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2016年第</w:t>
      </w:r>
      <w:r>
        <w:rPr>
          <w:rFonts w:hint="eastAsia" w:ascii="黑体" w:hAnsi="黑体" w:eastAsia="黑体"/>
          <w:sz w:val="36"/>
          <w:szCs w:val="36"/>
        </w:rPr>
        <w:t>二</w:t>
      </w:r>
      <w:r>
        <w:rPr>
          <w:rFonts w:ascii="黑体" w:hAnsi="黑体" w:eastAsia="黑体"/>
          <w:sz w:val="36"/>
          <w:szCs w:val="36"/>
        </w:rPr>
        <w:t>批工程建设协会标准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草案）增补项目</w:t>
      </w:r>
    </w:p>
    <w:tbl>
      <w:tblPr>
        <w:tblStyle w:val="12"/>
        <w:tblW w:w="15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85"/>
        <w:gridCol w:w="709"/>
        <w:gridCol w:w="4536"/>
        <w:gridCol w:w="1275"/>
        <w:gridCol w:w="2127"/>
        <w:gridCol w:w="26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制、修订</w:t>
            </w:r>
          </w:p>
        </w:tc>
        <w:tc>
          <w:tcPr>
            <w:tcW w:w="453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适用范围和主要内容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归口分支机构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主编单位</w:t>
            </w:r>
          </w:p>
        </w:tc>
        <w:tc>
          <w:tcPr>
            <w:tcW w:w="269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主要参编单位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起止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高寒高海拔地区公路工程造价标准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适用于高寒高海拔地区新建、改扩建的公路工程基本建设项目设计概算和施工图预算的编制。主要内容包括：总则、高寒高海拔概预算编制办法规定、高寒高海拔地区专项定额、高寒高海拔地区工程造价编制指南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交通运输部路网监测与应急处置中心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青海省交通运输厅交通建设工程造价管理站、四川交通运输厅交通建设工程造价管理站、西藏自治区交通运输厅工程造价管理站、云南省交通运输厅工程造价管理局、新疆维吾尔自治区交通运输厅工程造价管理局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公路跨海桥梁和沉管隧道预算定额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适用于跨海公路桥梁、公路沉管隧道的设计概算和施工图预算的编制。主要内容包括：总说明、公路工程跨海桥梁预算定额、公路沉管隧道预算定额、公路跨海桥梁和沉管隧道施工船机台班费用定额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交通运输部路网监测与应急处置中心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广东港珠澳大桥管理局、广东省交通工程造价管理站、辽宁省交通运输厅造价中心、浙江省交通厅工程造价管理站、福建省交通厅造价管理站、河南省交通运输厅定额站、中交公路规划设计院有限公司、中交第二航务局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公路机制砂高性能混凝土技术规程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适用于公路工程机制砂高性能混凝土的生产、质量控制和检验。主要内容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包括：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总则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、术语和符号、基本规定、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机制砂的生产、机制砂的品质控制、机制砂高性能混凝土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贵州高速公路集团有限公司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同济大学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贵州省交通勘察设计研究院股份有限公司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钢筋混凝土拱桥悬臂浇筑与劲性骨架组合法应用技术规程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适用于公路悬臂浇筑与劲性骨架组合法钢筋混凝土拱桥设计与施工。主要内容包括：总则、</w:t>
            </w:r>
            <w:r>
              <w:rPr>
                <w:sz w:val="24"/>
                <w:szCs w:val="21"/>
              </w:rPr>
              <w:t>术语、</w:t>
            </w:r>
            <w:r>
              <w:rPr>
                <w:rFonts w:hint="eastAsia"/>
                <w:sz w:val="24"/>
                <w:szCs w:val="21"/>
              </w:rPr>
              <w:t>基本规定</w:t>
            </w:r>
            <w:r>
              <w:rPr>
                <w:sz w:val="24"/>
                <w:szCs w:val="21"/>
              </w:rPr>
              <w:t>、结构设计、构造规定、</w:t>
            </w:r>
            <w:r>
              <w:rPr>
                <w:rFonts w:hint="eastAsia"/>
                <w:sz w:val="24"/>
                <w:szCs w:val="21"/>
              </w:rPr>
              <w:t>拱桥结构验算、施工工艺及施工监控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招商局重庆交通科研设计院有限公司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中国中铁八局集团第一工程有限公司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寒区公路隧道设计标准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适用于寒区公路隧道工程的设计。主要内容包括：总则、术语和符号、隧道调查、总体设计、建筑材料、荷载、结构计算、衬砌结构设计、防寒保温设计、防水与排水、辅助工程措施、特殊地段、隧道内路基路面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招商局重庆交通科研设计院有限公司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长安大学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公路隧道防排水技术规程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适用于各等级公路隧道的防排水设计、施工。主要内容包括：总则、术语与符号、基本规定、调查与勘察、防水、排水、特殊防排水、辅助通道防排水、施工防排水、渗漏水治理、质量检验及标准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招商局重庆交通科研设计院有限公司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中交第二公路勘察设计研究院有限公司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公路桥梁锚下预应力检测技术规程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4"/>
              </w:rPr>
              <w:t>适用于高速公路、一级公路、二级公路的</w:t>
            </w:r>
            <w:r>
              <w:rPr>
                <w:rFonts w:hint="eastAsia" w:ascii="宋体" w:hAnsi="宋体"/>
                <w:color w:val="000000"/>
                <w:szCs w:val="24"/>
              </w:rPr>
              <w:t>预应力桥梁</w:t>
            </w:r>
            <w:r>
              <w:rPr>
                <w:rFonts w:ascii="宋体" w:hAnsi="宋体"/>
                <w:color w:val="000000"/>
                <w:szCs w:val="24"/>
              </w:rPr>
              <w:t>建设期</w:t>
            </w:r>
            <w:r>
              <w:rPr>
                <w:rFonts w:hint="eastAsia" w:ascii="宋体" w:hAnsi="宋体"/>
                <w:color w:val="000000"/>
                <w:szCs w:val="24"/>
              </w:rPr>
              <w:t>锚下预应力质量</w:t>
            </w:r>
            <w:r>
              <w:rPr>
                <w:rFonts w:ascii="宋体" w:hAnsi="宋体"/>
                <w:color w:val="000000"/>
                <w:szCs w:val="24"/>
              </w:rPr>
              <w:t>检测。主要内容包括：</w:t>
            </w:r>
            <w:r>
              <w:rPr>
                <w:rFonts w:hint="eastAsia" w:ascii="宋体"/>
              </w:rPr>
              <w:t>总则、术语和符号、基本规定、应力应变法、反拉法、弹性波、附录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等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招商局重庆交通科研设计院有限公司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重庆交通大学、四川升拓检测技术有限责任公司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智慧高速公路技术标准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适用于智慧高速公路的设计及运营管理。主要内容包括：总则、术语和符号、基本规定、信息感知与智慧监测技术要求、车路通信技术要求、智慧管理与控制技术要求、智慧出行服务技术要求、智慧高速公路运行管理与服务平台技术要求、智慧高速公路信息安全技术要求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招商局重庆交通科研设计院有限公司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autoSpaceDN w:val="0"/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重庆云途交通科技有限公司、招商局华建公路投资有限公司、交通运输部路网监测与应急处置中心、华为技术有限公司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公路波形钢涵洞技术规程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适用于新建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与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改扩建公路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、其它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专用公路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中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波纹钢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涵洞的设计及施工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主要内容包括：</w:t>
            </w:r>
            <w:r>
              <w:fldChar w:fldCharType="begin"/>
            </w:r>
            <w:r>
              <w:instrText xml:space="preserve"> HYPERLINK \l "_Toc376957262" </w:instrText>
            </w:r>
            <w:r>
              <w:fldChar w:fldCharType="separate"/>
            </w:r>
            <w:r>
              <w:rPr>
                <w:rFonts w:hint="eastAsia"/>
                <w:sz w:val="24"/>
              </w:rPr>
              <w:t>总则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</w:t>
            </w:r>
            <w:r>
              <w:fldChar w:fldCharType="begin"/>
            </w:r>
            <w:r>
              <w:instrText xml:space="preserve"> HYPERLINK \l "_Toc376957263" </w:instrText>
            </w:r>
            <w:r>
              <w:fldChar w:fldCharType="separate"/>
            </w:r>
            <w:r>
              <w:rPr>
                <w:rFonts w:hint="eastAsia"/>
                <w:sz w:val="24"/>
              </w:rPr>
              <w:t>术语和符号</w:t>
            </w:r>
            <w:r>
              <w:rPr>
                <w:rFonts w:hint="eastAsia"/>
                <w:sz w:val="24"/>
              </w:rPr>
              <w:fldChar w:fldCharType="end"/>
            </w:r>
            <w:r>
              <w:fldChar w:fldCharType="begin"/>
            </w:r>
            <w:r>
              <w:instrText xml:space="preserve"> HYPERLINK \l "_Toc376957282" </w:instrText>
            </w:r>
            <w:r>
              <w:fldChar w:fldCharType="separate"/>
            </w:r>
            <w:r>
              <w:rPr>
                <w:rFonts w:hint="eastAsia"/>
                <w:sz w:val="24"/>
              </w:rPr>
              <w:t>、基本规定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、水力设计、</w:t>
            </w:r>
            <w:r>
              <w:fldChar w:fldCharType="begin"/>
            </w:r>
            <w:r>
              <w:instrText xml:space="preserve"> HYPERLINK \l "_Toc376957291" </w:instrText>
            </w:r>
            <w:r>
              <w:fldChar w:fldCharType="separate"/>
            </w:r>
            <w:r>
              <w:rPr>
                <w:rFonts w:hint="eastAsia"/>
                <w:sz w:val="24"/>
              </w:rPr>
              <w:t>结构设计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、连接设计、进出口设计、地基与基础设计、构造要求、</w:t>
            </w:r>
            <w:r>
              <w:fldChar w:fldCharType="begin"/>
            </w:r>
            <w:r>
              <w:instrText xml:space="preserve"> HYPERLINK \l "_Toc376957306" </w:instrText>
            </w:r>
            <w:r>
              <w:fldChar w:fldCharType="separate"/>
            </w:r>
            <w:r>
              <w:rPr>
                <w:rFonts w:hint="eastAsia"/>
                <w:sz w:val="24"/>
              </w:rPr>
              <w:t>耐久性设计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、地基处理与基础施工、安装与回填、形状控制与保护措施、端部处理与冲刷防护、施工监督与控制、检查与维护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中交第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二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公路勘察设计研究院有限公司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衡水益通金属制品有限责任公司、河北华虹工程材料有限公司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公路边坡生态绿色防护技术规程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适用于各等级新建和改扩建公路的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公路工程边坡生态绿色防护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。主要内容包括：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总则、术语和符号、基本规定、坡面生态防护类型与适用条件、三联生态防护系统设计、配料与施工、生态修复质量控制标准与检测方法、生态防护对边坡工程耐久性影响评价、附录等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路域生态工程有限公司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国家环境保护创面生态修复工程技术中心、交通运输部公路科学研究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、公路行业建设管理设计施工单位等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公路常温改性沥青路面技术规程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适用于各等级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公路</w:t>
            </w:r>
            <w:r>
              <w:rPr>
                <w:rFonts w:hint="eastAsia" w:ascii="宋体" w:hAnsi="宋体"/>
              </w:rPr>
              <w:t>常温</w:t>
            </w:r>
            <w:r>
              <w:rPr>
                <w:rFonts w:ascii="宋体" w:hAnsi="宋体"/>
              </w:rPr>
              <w:t>改性</w:t>
            </w:r>
            <w:r>
              <w:rPr>
                <w:rFonts w:hint="eastAsia" w:ascii="宋体" w:hAnsi="宋体"/>
              </w:rPr>
              <w:t>沥青路面</w:t>
            </w:r>
            <w:r>
              <w:rPr>
                <w:rFonts w:ascii="宋体" w:hAnsi="宋体"/>
              </w:rPr>
              <w:t>的设计与</w:t>
            </w:r>
            <w:r>
              <w:rPr>
                <w:rFonts w:hint="eastAsia" w:ascii="宋体" w:hAnsi="宋体"/>
              </w:rPr>
              <w:t>施工。主要</w:t>
            </w:r>
            <w:r>
              <w:rPr>
                <w:rFonts w:ascii="宋体" w:hAnsi="宋体"/>
              </w:rPr>
              <w:t>内容包括</w:t>
            </w:r>
            <w:r>
              <w:rPr>
                <w:rFonts w:hint="eastAsia" w:ascii="宋体" w:hAnsi="宋体"/>
              </w:rPr>
              <w:t>：总则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宋体" w:hAnsi="宋体"/>
              </w:rPr>
              <w:t>术语和</w:t>
            </w:r>
            <w:r>
              <w:rPr>
                <w:rFonts w:ascii="宋体" w:hAnsi="宋体"/>
              </w:rPr>
              <w:t>符号、</w:t>
            </w:r>
            <w:r>
              <w:rPr>
                <w:rFonts w:hint="eastAsia" w:ascii="宋体" w:hAnsi="宋体"/>
              </w:rPr>
              <w:t>基本规定、配合比</w:t>
            </w:r>
            <w:r>
              <w:rPr>
                <w:rFonts w:ascii="宋体" w:hAnsi="宋体"/>
              </w:rPr>
              <w:t>设计、</w:t>
            </w:r>
            <w:r>
              <w:rPr>
                <w:rFonts w:hint="eastAsia" w:ascii="宋体" w:hAnsi="宋体"/>
              </w:rPr>
              <w:t>施工</w:t>
            </w:r>
            <w:r>
              <w:rPr>
                <w:rFonts w:ascii="宋体" w:hAnsi="宋体"/>
              </w:rPr>
              <w:t>准备、施工工艺、</w:t>
            </w:r>
            <w:r>
              <w:rPr>
                <w:rFonts w:hint="eastAsia" w:ascii="宋体" w:hAnsi="宋体"/>
              </w:rPr>
              <w:t>施工</w:t>
            </w:r>
            <w:r>
              <w:rPr>
                <w:rFonts w:ascii="宋体" w:hAnsi="宋体"/>
              </w:rPr>
              <w:t>质量管理与检查验收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交通运输部公路科学研究所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tabs>
                <w:tab w:val="left" w:pos="2298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中石油燃料油有限责任公司研究院、重庆交通大学、四川路之星交通工程材料有限公司、中铁十一局集团有限公司、北京城建沥青混凝土有限公司、</w:t>
            </w:r>
            <w:r>
              <w:fldChar w:fldCharType="begin"/>
            </w:r>
            <w:r>
              <w:instrText xml:space="preserve"> HYPERLINK "https://www.baidu.com/link?url=ma78KJZSR-Rz6wBwIqbr1m1p2aW2DfHLb8fkJl14vvMlMO-eQ-bmaaDEZKZxJmCAz2mTcoxSj3g1t-842gAey37aiDB_KKcoPjD4lqa5JLK&amp;wd=&amp;eqid=d67dcce00006cb8f000000055799c823"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吉林省高等级公路股份有限公司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公路桥梁水下构件检测技术规程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适用于各级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公路在役桥梁水下构件的检测。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主要内容包括：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总则、术语和符号、基本规定、病害类型及检测项目、检测设备及检测方法、数据及报告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交通运输部公路科学研究所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北京新桥技术发展有限公司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公路灌注式半柔性路面技术规程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/>
              </w:rPr>
              <w:t>适用于各级公路重载交通路段及长大纵坡路段等工程的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灌注式半柔性路面的设计、施工及验收</w:t>
            </w:r>
            <w:r>
              <w:rPr>
                <w:rFonts w:hint="eastAsia"/>
              </w:rPr>
              <w:t>。主要内容包括：总则、术语、基本规定、配合比设计、施工、质量验收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交通运输部公路科学研究所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重庆交通大学、北京新桥技术发展有限公司、河南省三门峡至淅川高速公路项目有限公司、承德市交通运输局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Theme="minorEastAsia"/>
                <w:color w:val="00000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公路桥梁管理系统技术规程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适用于各级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公路桥梁管理系统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的设计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开发。主要内容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包括：总则，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术语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ascii="宋体" w:hAnsi="宋体"/>
              </w:rPr>
              <w:t>符号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基本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规定，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数据管理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，安全管理，桥梁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技术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状况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评定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交通运输部公路科学研究所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北京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新桥技术发展有限公司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公路纤维封层技术规程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适用于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各等级公路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纤维封层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设计、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施工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及验收。</w:t>
            </w:r>
            <w:r>
              <w:rPr>
                <w:rFonts w:hint="eastAsia" w:ascii="宋体" w:hAnsi="宋体"/>
              </w:rPr>
              <w:t>主要</w:t>
            </w:r>
            <w:r>
              <w:rPr>
                <w:rFonts w:ascii="宋体" w:hAnsi="宋体"/>
              </w:rPr>
              <w:t>内容包括</w:t>
            </w:r>
            <w:r>
              <w:rPr>
                <w:rFonts w:hint="eastAsia" w:ascii="宋体" w:hAnsi="宋体"/>
              </w:rPr>
              <w:t>：总则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宋体" w:hAnsi="宋体"/>
              </w:rPr>
              <w:t>术语和</w:t>
            </w:r>
            <w:r>
              <w:rPr>
                <w:rFonts w:ascii="宋体" w:hAnsi="宋体"/>
              </w:rPr>
              <w:t>符号、</w:t>
            </w:r>
            <w:r>
              <w:rPr>
                <w:rFonts w:hint="eastAsia" w:ascii="宋体" w:hAnsi="宋体"/>
              </w:rPr>
              <w:t>基本规定、材料设计、施工</w:t>
            </w:r>
            <w:r>
              <w:rPr>
                <w:rFonts w:ascii="宋体" w:hAnsi="宋体"/>
              </w:rPr>
              <w:t>准备、</w:t>
            </w:r>
            <w:r>
              <w:rPr>
                <w:rFonts w:hint="eastAsia" w:ascii="宋体" w:hAnsi="宋体"/>
              </w:rPr>
              <w:t>封层</w:t>
            </w:r>
            <w:r>
              <w:rPr>
                <w:rFonts w:ascii="宋体" w:hAnsi="宋体"/>
              </w:rPr>
              <w:t>施工工艺、</w:t>
            </w:r>
            <w:r>
              <w:rPr>
                <w:rFonts w:hint="eastAsia" w:ascii="宋体" w:hAnsi="宋体"/>
              </w:rPr>
              <w:t>施工</w:t>
            </w:r>
            <w:r>
              <w:rPr>
                <w:rFonts w:ascii="宋体" w:hAnsi="宋体"/>
              </w:rPr>
              <w:t>质量管理与检查验收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交通运输部公路科学研究所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</w:t>
            </w:r>
            <w:r>
              <w:rPr>
                <w:rFonts w:hint="eastAsia"/>
                <w:bCs/>
                <w:sz w:val="24"/>
                <w:szCs w:val="24"/>
              </w:rPr>
              <w:t>庆交通大学、</w:t>
            </w:r>
            <w:r>
              <w:rPr>
                <w:rFonts w:hint="eastAsia"/>
                <w:sz w:val="24"/>
                <w:szCs w:val="28"/>
              </w:rPr>
              <w:t>上海汇城建筑装饰有限公司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山区高速公路高边坡施工技术规程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制订</w:t>
            </w:r>
          </w:p>
        </w:tc>
        <w:tc>
          <w:tcPr>
            <w:tcW w:w="4536" w:type="dxa"/>
            <w:textDirection w:val="lrTb"/>
            <w:vAlign w:val="center"/>
          </w:tcPr>
          <w:p>
            <w:pPr>
              <w:pStyle w:val="13"/>
              <w:spacing w:line="340" w:lineRule="exact"/>
              <w:ind w:firstLine="0" w:firstLineChars="0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适用于山区高速公路挖方路堑边坡的施工。主要内容包括：总则、术语</w:t>
            </w:r>
            <w:r>
              <w:rPr>
                <w:rFonts w:asciiTheme="minorEastAsia" w:hAnsiTheme="minorEastAsia" w:eastAsiaTheme="minorEastAsia"/>
                <w:color w:val="000000"/>
                <w:szCs w:val="24"/>
              </w:rPr>
              <w:t>和符号</w:t>
            </w: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、施工准备、开挖工程、防护工程、加固工程、排水工程、监测工程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公路分会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广西交通投资集团有限公司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交通运输部公路科学研究所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bCs/>
                <w:sz w:val="24"/>
              </w:rPr>
              <w:t>中国科学院武汉岩土力学研究所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～2018.12</w:t>
            </w:r>
          </w:p>
        </w:tc>
      </w:tr>
    </w:tbl>
    <w:p>
      <w:pPr>
        <w:rPr>
          <w:rFonts w:asciiTheme="minorEastAsia" w:hAnsiTheme="minorEastAsia" w:eastAsiaTheme="minorEastAsia"/>
        </w:rPr>
        <w:sectPr>
          <w:footerReference r:id="rId3" w:type="default"/>
          <w:pgSz w:w="16838" w:h="11906" w:orient="landscape"/>
          <w:pgMar w:top="1588" w:right="1588" w:bottom="1588" w:left="1588" w:header="851" w:footer="1134" w:gutter="0"/>
          <w:cols w:space="720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/>
        </w:rPr>
      </w:pPr>
      <w:bookmarkStart w:id="0" w:name="_GoBack"/>
      <w:bookmarkEnd w:id="0"/>
    </w:p>
    <w:sectPr>
      <w:pgSz w:w="16838" w:h="11906" w:orient="landscape"/>
      <w:pgMar w:top="1191" w:right="1134" w:bottom="1191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9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9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>
    <w:pPr>
      <w:pStyle w:val="6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B225B"/>
    <w:rsid w:val="000516A7"/>
    <w:rsid w:val="000938AB"/>
    <w:rsid w:val="000C443A"/>
    <w:rsid w:val="000E11F2"/>
    <w:rsid w:val="000F78F9"/>
    <w:rsid w:val="0010214A"/>
    <w:rsid w:val="001421F6"/>
    <w:rsid w:val="0015605B"/>
    <w:rsid w:val="00192A06"/>
    <w:rsid w:val="001B346B"/>
    <w:rsid w:val="001C7A0C"/>
    <w:rsid w:val="00207C62"/>
    <w:rsid w:val="002222D3"/>
    <w:rsid w:val="002779D9"/>
    <w:rsid w:val="002A1D00"/>
    <w:rsid w:val="002A3310"/>
    <w:rsid w:val="002C458D"/>
    <w:rsid w:val="002D2B34"/>
    <w:rsid w:val="002D6CE6"/>
    <w:rsid w:val="00365A8F"/>
    <w:rsid w:val="00371296"/>
    <w:rsid w:val="003767C9"/>
    <w:rsid w:val="00391D1A"/>
    <w:rsid w:val="003A79EF"/>
    <w:rsid w:val="003E1FD4"/>
    <w:rsid w:val="004022F6"/>
    <w:rsid w:val="004B7216"/>
    <w:rsid w:val="004C5D18"/>
    <w:rsid w:val="004E1C04"/>
    <w:rsid w:val="004F598E"/>
    <w:rsid w:val="00506CE9"/>
    <w:rsid w:val="005118FB"/>
    <w:rsid w:val="00534568"/>
    <w:rsid w:val="005561F8"/>
    <w:rsid w:val="00567C1D"/>
    <w:rsid w:val="005C7D45"/>
    <w:rsid w:val="006024F9"/>
    <w:rsid w:val="00614331"/>
    <w:rsid w:val="00630236"/>
    <w:rsid w:val="006368D3"/>
    <w:rsid w:val="0067329D"/>
    <w:rsid w:val="0067795B"/>
    <w:rsid w:val="006B1CC2"/>
    <w:rsid w:val="006C3345"/>
    <w:rsid w:val="006C6883"/>
    <w:rsid w:val="006C6F79"/>
    <w:rsid w:val="006F0046"/>
    <w:rsid w:val="006F066C"/>
    <w:rsid w:val="00716D7C"/>
    <w:rsid w:val="007373B7"/>
    <w:rsid w:val="007B02DD"/>
    <w:rsid w:val="007D347C"/>
    <w:rsid w:val="00865318"/>
    <w:rsid w:val="00877D11"/>
    <w:rsid w:val="008D5347"/>
    <w:rsid w:val="008D6D40"/>
    <w:rsid w:val="009078AD"/>
    <w:rsid w:val="00947A3F"/>
    <w:rsid w:val="009E1C79"/>
    <w:rsid w:val="00A13184"/>
    <w:rsid w:val="00A21D2A"/>
    <w:rsid w:val="00A36DE0"/>
    <w:rsid w:val="00A56985"/>
    <w:rsid w:val="00A7512B"/>
    <w:rsid w:val="00AA6F35"/>
    <w:rsid w:val="00AC033A"/>
    <w:rsid w:val="00AE03AE"/>
    <w:rsid w:val="00B3601B"/>
    <w:rsid w:val="00B42C98"/>
    <w:rsid w:val="00B62661"/>
    <w:rsid w:val="00B97ACD"/>
    <w:rsid w:val="00BA3832"/>
    <w:rsid w:val="00C44B35"/>
    <w:rsid w:val="00C471F7"/>
    <w:rsid w:val="00C54DBB"/>
    <w:rsid w:val="00C6367D"/>
    <w:rsid w:val="00C81D4F"/>
    <w:rsid w:val="00C87CF7"/>
    <w:rsid w:val="00CA2894"/>
    <w:rsid w:val="00CB42E6"/>
    <w:rsid w:val="00D34DA3"/>
    <w:rsid w:val="00D5696B"/>
    <w:rsid w:val="00DB2F3C"/>
    <w:rsid w:val="00DC4AF6"/>
    <w:rsid w:val="00DF6170"/>
    <w:rsid w:val="00DF6FAF"/>
    <w:rsid w:val="00E1565D"/>
    <w:rsid w:val="00E25AA6"/>
    <w:rsid w:val="00E27C88"/>
    <w:rsid w:val="00E622D2"/>
    <w:rsid w:val="00E7710A"/>
    <w:rsid w:val="00E916F2"/>
    <w:rsid w:val="00EC0526"/>
    <w:rsid w:val="00EF77E8"/>
    <w:rsid w:val="00F26188"/>
    <w:rsid w:val="00F63009"/>
    <w:rsid w:val="00F7751F"/>
    <w:rsid w:val="00FB45C3"/>
    <w:rsid w:val="00FD2BCE"/>
    <w:rsid w:val="00FD5788"/>
    <w:rsid w:val="0336628B"/>
    <w:rsid w:val="0D2C07EB"/>
    <w:rsid w:val="0E662FE3"/>
    <w:rsid w:val="1C74253A"/>
    <w:rsid w:val="264B225B"/>
    <w:rsid w:val="2BA06E25"/>
    <w:rsid w:val="2E216823"/>
    <w:rsid w:val="37B72BC9"/>
    <w:rsid w:val="508F5169"/>
    <w:rsid w:val="57BB7C3D"/>
    <w:rsid w:val="59D62DF8"/>
    <w:rsid w:val="5DC144C7"/>
    <w:rsid w:val="5FF977DD"/>
    <w:rsid w:val="64CF78A2"/>
    <w:rsid w:val="6532033E"/>
    <w:rsid w:val="72A15B4A"/>
    <w:rsid w:val="739C45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qFormat/>
    <w:uiPriority w:val="0"/>
    <w:rPr>
      <w:b/>
      <w:bCs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0"/>
      <w:szCs w:val="24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paragraph" w:customStyle="1" w:styleId="13">
    <w:name w:val="bg正文"/>
    <w:basedOn w:val="1"/>
    <w:qFormat/>
    <w:uiPriority w:val="0"/>
    <w:pPr>
      <w:widowControl/>
      <w:spacing w:line="440" w:lineRule="exact"/>
      <w:ind w:firstLine="200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14">
    <w:name w:val="课题名"/>
    <w:basedOn w:val="7"/>
    <w:qFormat/>
    <w:uiPriority w:val="0"/>
    <w:pPr>
      <w:pBdr>
        <w:bottom w:val="none" w:color="auto" w:sz="0" w:space="0"/>
      </w:pBdr>
    </w:pPr>
    <w:rPr>
      <w:rFonts w:ascii="黑体" w:hAnsi="黑体" w:eastAsia="黑体"/>
      <w:b/>
      <w:kern w:val="0"/>
      <w:sz w:val="36"/>
      <w:szCs w:val="20"/>
    </w:rPr>
  </w:style>
  <w:style w:type="character" w:customStyle="1" w:styleId="15">
    <w:name w:val="批注文字 Char"/>
    <w:basedOn w:val="8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Char"/>
    <w:basedOn w:val="15"/>
    <w:link w:val="2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636</Words>
  <Characters>3627</Characters>
  <Lines>30</Lines>
  <Paragraphs>8</Paragraphs>
  <ScaleCrop>false</ScaleCrop>
  <LinksUpToDate>false</LinksUpToDate>
  <CharactersWithSpaces>4255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2016-05-30T01:32:00Z</dcterms:created>
  <dc:creator>Lenovon</dc:creator>
  <cp:lastModifiedBy>Administrator</cp:lastModifiedBy>
  <cp:lastPrinted>2016-09-25T13:51:00Z</cp:lastPrinted>
  <dcterms:modified xsi:type="dcterms:W3CDTF">2016-09-29T01:09:10Z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