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line="240" w:lineRule="auto"/>
        <w:rPr>
          <w:rFonts w:cs="Times New Roman"/>
          <w:sz w:val="52"/>
        </w:rPr>
      </w:pPr>
      <w:bookmarkStart w:id="129" w:name="_GoBack"/>
      <w:bookmarkEnd w:id="129"/>
      <w:r>
        <w:rPr>
          <w:rFonts w:hint="eastAsia" w:cs="Times New Roman"/>
          <w:sz w:val="52"/>
        </w:rPr>
        <w:t>CECS</w:t>
      </w:r>
    </w:p>
    <w:p>
      <w:pPr>
        <w:adjustRightInd/>
        <w:snapToGrid/>
        <w:spacing w:line="240" w:lineRule="auto"/>
        <w:jc w:val="right"/>
        <w:rPr>
          <w:rFonts w:cs="Times New Roman"/>
          <w:sz w:val="28"/>
          <w:szCs w:val="28"/>
        </w:rPr>
      </w:pPr>
      <w:r>
        <w:rPr>
          <w:rFonts w:cs="Times New Roman"/>
          <w:sz w:val="32"/>
          <w:szCs w:val="28"/>
        </w:rPr>
        <w:tab/>
      </w:r>
      <w:r>
        <w:rPr>
          <w:rFonts w:cs="Times New Roman"/>
          <w:sz w:val="32"/>
          <w:szCs w:val="28"/>
        </w:rPr>
        <w:tab/>
      </w:r>
      <w:r>
        <w:rPr>
          <w:rFonts w:cs="Times New Roman"/>
          <w:sz w:val="32"/>
          <w:szCs w:val="28"/>
        </w:rPr>
        <w:tab/>
      </w:r>
      <w:r>
        <w:rPr>
          <w:rFonts w:cs="Times New Roman"/>
          <w:sz w:val="32"/>
          <w:szCs w:val="28"/>
        </w:rPr>
        <w:tab/>
      </w:r>
      <w:r>
        <w:rPr>
          <w:rFonts w:cs="Times New Roman"/>
          <w:sz w:val="32"/>
          <w:szCs w:val="28"/>
        </w:rPr>
        <w:tab/>
      </w:r>
    </w:p>
    <w:p>
      <w:pPr>
        <w:pBdr>
          <w:bottom w:val="single" w:color="auto" w:sz="12" w:space="1"/>
        </w:pBdr>
        <w:adjustRightInd/>
        <w:snapToGrid/>
        <w:spacing w:line="360" w:lineRule="auto"/>
        <w:ind w:firstLine="200"/>
        <w:textAlignment w:val="center"/>
        <w:rPr>
          <w:rFonts w:eastAsia="楷体" w:cs="Times New Roman"/>
          <w:sz w:val="24"/>
        </w:rPr>
      </w:pP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hint="eastAsia" w:eastAsia="楷体" w:cs="Times New Roman"/>
          <w:sz w:val="24"/>
        </w:rPr>
        <w:t xml:space="preserve">     CECS  252</w:t>
      </w:r>
      <w:r>
        <w:rPr>
          <w:rFonts w:eastAsia="楷体" w:cs="Times New Roman"/>
          <w:sz w:val="24"/>
        </w:rPr>
        <w:t>—XXXX</w:t>
      </w:r>
    </w:p>
    <w:p>
      <w:pPr>
        <w:adjustRightInd/>
        <w:snapToGrid/>
        <w:spacing w:line="240" w:lineRule="auto"/>
        <w:rPr>
          <w:rFonts w:cs="Times New Roman"/>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b/>
          <w:sz w:val="32"/>
          <w:szCs w:val="28"/>
        </w:rPr>
      </w:pPr>
      <w:r>
        <w:rPr>
          <w:rFonts w:hint="eastAsia" w:cs="Times New Roman"/>
          <w:b/>
          <w:sz w:val="32"/>
          <w:szCs w:val="28"/>
        </w:rPr>
        <w:t>中国工程建设协会标准</w:t>
      </w:r>
    </w:p>
    <w:p>
      <w:pPr>
        <w:adjustRightInd/>
        <w:snapToGrid/>
        <w:spacing w:line="240" w:lineRule="auto"/>
        <w:jc w:val="center"/>
        <w:rPr>
          <w:rFonts w:cs="Times New Roman"/>
          <w:sz w:val="28"/>
          <w:szCs w:val="28"/>
        </w:rPr>
      </w:pPr>
    </w:p>
    <w:p>
      <w:pPr>
        <w:adjustRightInd/>
        <w:snapToGrid/>
        <w:spacing w:line="240" w:lineRule="auto"/>
        <w:jc w:val="center"/>
        <w:rPr>
          <w:rFonts w:cs="Times New Roman"/>
          <w:b/>
          <w:sz w:val="44"/>
          <w:szCs w:val="44"/>
        </w:rPr>
      </w:pPr>
      <w:r>
        <w:rPr>
          <w:rFonts w:hint="eastAsia" w:cs="Times New Roman"/>
          <w:b/>
          <w:sz w:val="44"/>
          <w:szCs w:val="44"/>
        </w:rPr>
        <w:t>火灾后工程结构鉴定标准</w:t>
      </w:r>
    </w:p>
    <w:p>
      <w:pPr>
        <w:adjustRightInd/>
        <w:snapToGrid/>
        <w:spacing w:line="240" w:lineRule="auto"/>
        <w:rPr>
          <w:rFonts w:cs="Times New Roman"/>
          <w:szCs w:val="21"/>
        </w:rPr>
      </w:pPr>
    </w:p>
    <w:p>
      <w:pPr>
        <w:adjustRightInd/>
        <w:snapToGrid/>
        <w:spacing w:line="240" w:lineRule="auto"/>
        <w:jc w:val="center"/>
        <w:rPr>
          <w:rFonts w:cs="Times New Roman"/>
          <w:sz w:val="32"/>
          <w:szCs w:val="28"/>
        </w:rPr>
      </w:pPr>
      <w:r>
        <w:rPr>
          <w:rFonts w:hint="eastAsia" w:cs="Times New Roman"/>
          <w:sz w:val="32"/>
          <w:szCs w:val="28"/>
        </w:rPr>
        <w:t>Standard for structural assessment after fire</w:t>
      </w:r>
    </w:p>
    <w:p>
      <w:pPr>
        <w:adjustRightInd/>
        <w:snapToGrid/>
        <w:spacing w:beforeLines="50" w:line="360" w:lineRule="auto"/>
        <w:jc w:val="center"/>
        <w:rPr>
          <w:rFonts w:cs="Times New Roman"/>
          <w:b/>
          <w:sz w:val="40"/>
          <w:szCs w:val="44"/>
        </w:rPr>
      </w:pPr>
      <w:r>
        <w:rPr>
          <w:rFonts w:hint="eastAsia" w:cs="Times New Roman"/>
          <w:b/>
          <w:sz w:val="40"/>
          <w:szCs w:val="44"/>
        </w:rPr>
        <w:t>(征求意见稿)</w:t>
      </w: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b/>
          <w:sz w:val="36"/>
          <w:szCs w:val="28"/>
        </w:rPr>
      </w:pPr>
      <w:r>
        <w:rPr>
          <w:rFonts w:hint="eastAsia" w:cs="Times New Roman"/>
          <w:b/>
          <w:sz w:val="36"/>
          <w:szCs w:val="28"/>
        </w:rPr>
        <w:t>《火灾后工程结构鉴定标准》修订组</w:t>
      </w:r>
    </w:p>
    <w:p>
      <w:pPr>
        <w:adjustRightInd/>
        <w:snapToGrid/>
        <w:spacing w:line="240" w:lineRule="auto"/>
        <w:jc w:val="center"/>
        <w:rPr>
          <w:rFonts w:hint="eastAsia" w:cs="Times New Roman"/>
          <w:sz w:val="32"/>
        </w:rPr>
      </w:pPr>
      <w:r>
        <w:rPr>
          <w:rFonts w:hint="eastAsia" w:cs="Times New Roman"/>
          <w:sz w:val="32"/>
        </w:rPr>
        <w:t>201X年</w:t>
      </w:r>
    </w:p>
    <w:p>
      <w:pPr>
        <w:adjustRightInd/>
        <w:snapToGrid/>
        <w:spacing w:line="240" w:lineRule="auto"/>
        <w:jc w:val="center"/>
        <w:rPr>
          <w:rFonts w:hint="eastAsia" w:cs="Times New Roman"/>
          <w:b/>
          <w:sz w:val="32"/>
          <w:szCs w:val="28"/>
        </w:rPr>
      </w:pPr>
    </w:p>
    <w:p>
      <w:pPr>
        <w:adjustRightInd/>
        <w:snapToGrid/>
        <w:spacing w:line="240" w:lineRule="auto"/>
        <w:jc w:val="center"/>
        <w:rPr>
          <w:rFonts w:cs="Times New Roman"/>
          <w:b/>
          <w:sz w:val="32"/>
          <w:szCs w:val="28"/>
        </w:rPr>
      </w:pPr>
      <w:r>
        <w:rPr>
          <w:rFonts w:hint="eastAsia" w:cs="Times New Roman"/>
          <w:b/>
          <w:sz w:val="32"/>
          <w:szCs w:val="28"/>
        </w:rPr>
        <w:t>中国工程建设协会标准</w:t>
      </w:r>
    </w:p>
    <w:p>
      <w:pPr>
        <w:adjustRightInd/>
        <w:snapToGrid/>
        <w:spacing w:line="240" w:lineRule="auto"/>
        <w:jc w:val="center"/>
        <w:rPr>
          <w:rFonts w:cs="Times New Roman"/>
          <w:sz w:val="28"/>
          <w:szCs w:val="28"/>
        </w:rPr>
      </w:pPr>
    </w:p>
    <w:p>
      <w:pPr>
        <w:adjustRightInd/>
        <w:snapToGrid/>
        <w:spacing w:line="240" w:lineRule="auto"/>
        <w:jc w:val="center"/>
        <w:rPr>
          <w:rFonts w:cs="Times New Roman"/>
          <w:b/>
          <w:sz w:val="44"/>
          <w:szCs w:val="44"/>
        </w:rPr>
      </w:pPr>
      <w:r>
        <w:rPr>
          <w:rFonts w:hint="eastAsia" w:cs="Times New Roman"/>
          <w:b/>
          <w:sz w:val="44"/>
          <w:szCs w:val="44"/>
        </w:rPr>
        <w:t>火灾后工程结构鉴定标准</w:t>
      </w:r>
    </w:p>
    <w:p>
      <w:pPr>
        <w:adjustRightInd/>
        <w:snapToGrid/>
        <w:spacing w:line="240" w:lineRule="auto"/>
        <w:jc w:val="center"/>
        <w:rPr>
          <w:rFonts w:cs="Times New Roman"/>
          <w:sz w:val="32"/>
          <w:szCs w:val="28"/>
        </w:rPr>
      </w:pPr>
      <w:r>
        <w:rPr>
          <w:rFonts w:hint="eastAsia" w:cs="Times New Roman"/>
          <w:sz w:val="32"/>
          <w:szCs w:val="28"/>
        </w:rPr>
        <w:t>Standard for structural assessment after fire</w:t>
      </w:r>
    </w:p>
    <w:p>
      <w:pPr>
        <w:adjustRightInd/>
        <w:snapToGrid/>
        <w:spacing w:beforeLines="50" w:line="360" w:lineRule="auto"/>
        <w:jc w:val="center"/>
        <w:rPr>
          <w:rFonts w:cs="Times New Roman"/>
          <w:b/>
          <w:sz w:val="40"/>
          <w:szCs w:val="44"/>
        </w:rPr>
      </w:pPr>
      <w:r>
        <w:rPr>
          <w:rFonts w:hint="eastAsia" w:cs="Times New Roman"/>
          <w:b/>
          <w:sz w:val="40"/>
          <w:szCs w:val="44"/>
        </w:rPr>
        <w:t>(征求意见稿)</w:t>
      </w:r>
    </w:p>
    <w:p>
      <w:pPr>
        <w:adjustRightInd/>
        <w:snapToGrid/>
        <w:spacing w:line="240" w:lineRule="auto"/>
        <w:jc w:val="center"/>
        <w:rPr>
          <w:rFonts w:cs="Times New Roman"/>
          <w:sz w:val="28"/>
          <w:szCs w:val="28"/>
        </w:rPr>
      </w:pPr>
    </w:p>
    <w:p>
      <w:pPr>
        <w:adjustRightInd/>
        <w:snapToGrid/>
        <w:spacing w:line="240" w:lineRule="auto"/>
        <w:jc w:val="center"/>
        <w:rPr>
          <w:rFonts w:cs="Times New Roman"/>
          <w:b/>
          <w:sz w:val="32"/>
          <w:szCs w:val="32"/>
        </w:rPr>
      </w:pPr>
      <w:r>
        <w:rPr>
          <w:rFonts w:hint="eastAsia" w:eastAsia="楷体" w:cs="Times New Roman"/>
          <w:b/>
          <w:sz w:val="32"/>
          <w:szCs w:val="32"/>
        </w:rPr>
        <w:t>CECS 252</w:t>
      </w:r>
      <w:r>
        <w:rPr>
          <w:rFonts w:eastAsia="楷体" w:cs="Times New Roman"/>
          <w:b/>
          <w:sz w:val="32"/>
          <w:szCs w:val="32"/>
        </w:rPr>
        <w:t>—XXXX</w:t>
      </w:r>
    </w:p>
    <w:p>
      <w:pPr>
        <w:adjustRightInd/>
        <w:snapToGrid/>
        <w:spacing w:line="240" w:lineRule="auto"/>
        <w:jc w:val="center"/>
        <w:rPr>
          <w:rFonts w:cs="Times New Roman"/>
          <w:sz w:val="28"/>
          <w:szCs w:val="28"/>
        </w:rPr>
      </w:pPr>
    </w:p>
    <w:p>
      <w:pPr>
        <w:adjustRightInd/>
        <w:snapToGrid/>
        <w:spacing w:line="240" w:lineRule="auto"/>
        <w:jc w:val="center"/>
        <w:rPr>
          <w:rFonts w:hint="eastAsia" w:cs="Times New Roman"/>
          <w:sz w:val="28"/>
          <w:szCs w:val="28"/>
        </w:rPr>
      </w:pPr>
      <w:r>
        <w:rPr>
          <w:rFonts w:hint="eastAsia" w:cs="Times New Roman"/>
          <w:sz w:val="28"/>
          <w:szCs w:val="28"/>
        </w:rPr>
        <w:t>主编单位：</w:t>
      </w:r>
    </w:p>
    <w:p>
      <w:pPr>
        <w:adjustRightInd/>
        <w:snapToGrid/>
        <w:spacing w:line="240" w:lineRule="auto"/>
        <w:jc w:val="center"/>
        <w:rPr>
          <w:rFonts w:cs="Times New Roman"/>
          <w:sz w:val="28"/>
          <w:szCs w:val="28"/>
        </w:rPr>
      </w:pPr>
      <w:r>
        <w:rPr>
          <w:rFonts w:hint="eastAsia" w:cs="Times New Roman"/>
          <w:sz w:val="28"/>
          <w:szCs w:val="28"/>
        </w:rPr>
        <w:t>批准单位：</w:t>
      </w:r>
    </w:p>
    <w:p>
      <w:pPr>
        <w:adjustRightInd/>
        <w:snapToGrid/>
        <w:spacing w:line="240" w:lineRule="auto"/>
        <w:jc w:val="center"/>
        <w:rPr>
          <w:rFonts w:cs="Times New Roman"/>
          <w:sz w:val="28"/>
          <w:szCs w:val="28"/>
        </w:rPr>
      </w:pPr>
      <w:r>
        <w:rPr>
          <w:rFonts w:hint="eastAsia" w:cs="Times New Roman"/>
          <w:sz w:val="28"/>
          <w:szCs w:val="28"/>
        </w:rPr>
        <w:t>施行日期：</w:t>
      </w: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hint="eastAsia"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30"/>
          <w:szCs w:val="30"/>
        </w:rPr>
      </w:pPr>
      <w:r>
        <w:rPr>
          <w:rFonts w:hint="eastAsia" w:cs="Times New Roman"/>
          <w:sz w:val="30"/>
          <w:szCs w:val="30"/>
        </w:rPr>
        <w:t>XXXX出版社</w:t>
      </w:r>
    </w:p>
    <w:p>
      <w:pPr>
        <w:adjustRightInd/>
        <w:snapToGrid/>
        <w:spacing w:line="240" w:lineRule="auto"/>
        <w:jc w:val="center"/>
        <w:rPr>
          <w:rFonts w:hint="eastAsia" w:cs="Times New Roman"/>
          <w:sz w:val="30"/>
          <w:szCs w:val="30"/>
        </w:rPr>
      </w:pPr>
      <w:r>
        <w:rPr>
          <w:rFonts w:hint="eastAsia" w:cs="Times New Roman"/>
          <w:sz w:val="30"/>
          <w:szCs w:val="30"/>
        </w:rPr>
        <w:t>201X年</w:t>
      </w:r>
    </w:p>
    <w:p>
      <w:pPr>
        <w:adjustRightInd/>
        <w:snapToGrid/>
        <w:spacing w:line="240" w:lineRule="auto"/>
        <w:jc w:val="center"/>
        <w:rPr>
          <w:rFonts w:hint="eastAsia" w:cs="Times New Roman"/>
          <w:sz w:val="32"/>
        </w:rPr>
      </w:pPr>
    </w:p>
    <w:p>
      <w:pPr>
        <w:adjustRightInd/>
        <w:snapToGrid/>
        <w:spacing w:line="240" w:lineRule="auto"/>
        <w:jc w:val="center"/>
        <w:rPr>
          <w:rFonts w:hint="eastAsia" w:cs="Times New Roman"/>
          <w:sz w:val="32"/>
        </w:rPr>
      </w:pPr>
    </w:p>
    <w:p>
      <w:pPr>
        <w:adjustRightInd/>
        <w:snapToGrid/>
        <w:spacing w:line="240" w:lineRule="auto"/>
        <w:jc w:val="center"/>
        <w:rPr>
          <w:rFonts w:hint="eastAsia" w:cs="Times New Roman"/>
          <w:b/>
          <w:sz w:val="30"/>
          <w:szCs w:val="30"/>
        </w:rPr>
      </w:pPr>
      <w:r>
        <w:rPr>
          <w:rFonts w:hint="eastAsia" w:cs="Times New Roman"/>
          <w:b/>
          <w:sz w:val="30"/>
          <w:szCs w:val="30"/>
        </w:rPr>
        <w:t>前言</w:t>
      </w:r>
    </w:p>
    <w:p>
      <w:pPr>
        <w:adjustRightInd/>
        <w:snapToGrid/>
        <w:spacing w:line="360" w:lineRule="auto"/>
        <w:ind w:firstLine="420" w:firstLineChars="200"/>
        <w:rPr>
          <w:rFonts w:hint="eastAsia" w:cs="Times New Roman"/>
          <w:szCs w:val="21"/>
        </w:rPr>
      </w:pPr>
      <w:r>
        <w:rPr>
          <w:rFonts w:hint="eastAsia" w:cs="Times New Roman"/>
          <w:szCs w:val="21"/>
        </w:rPr>
        <w:t>根据中国工程建设标准化协会[2016]建标协字084号文《关于印发﹤2016年第二批工程建设协会标准制订、修订计划﹥的通知》的要求，由中冶建筑研究总院有限公司会同有关科研 、高校及企业单位共同修订而成。</w:t>
      </w:r>
    </w:p>
    <w:p>
      <w:pPr>
        <w:adjustRightInd/>
        <w:snapToGrid/>
        <w:spacing w:line="360" w:lineRule="auto"/>
        <w:ind w:firstLine="420" w:firstLineChars="200"/>
        <w:rPr>
          <w:rFonts w:hint="eastAsia" w:cs="Times New Roman"/>
          <w:szCs w:val="21"/>
        </w:rPr>
      </w:pPr>
      <w:r>
        <w:rPr>
          <w:rFonts w:hint="eastAsia" w:cs="Times New Roman"/>
          <w:szCs w:val="21"/>
        </w:rPr>
        <w:t>本标准的修订总结了近年来我国工程结构火灾试验方面的</w:t>
      </w:r>
      <w:r>
        <w:rPr>
          <w:rFonts w:hint="eastAsia"/>
        </w:rPr>
        <w:t>科研</w:t>
      </w:r>
      <w:r>
        <w:rPr>
          <w:rFonts w:hint="eastAsia" w:cs="Times New Roman"/>
          <w:szCs w:val="21"/>
        </w:rPr>
        <w:t>成果以及各检测鉴定单位火灾后结构鉴定工程实践经验，参考国内外相关标准。在修订过程中，标准修订组进行了大量的调研工作，与相关的标准进行了协调，对主要问题进行了反复讨论，并经广泛征求意见后定稿。</w:t>
      </w:r>
    </w:p>
    <w:p>
      <w:pPr>
        <w:adjustRightInd/>
        <w:snapToGrid/>
        <w:spacing w:line="360" w:lineRule="auto"/>
        <w:ind w:firstLine="420" w:firstLineChars="200"/>
        <w:rPr>
          <w:rFonts w:hint="eastAsia" w:cs="Times New Roman"/>
          <w:szCs w:val="21"/>
        </w:rPr>
      </w:pPr>
      <w:r>
        <w:rPr>
          <w:rFonts w:hint="eastAsia" w:cs="Times New Roman"/>
          <w:szCs w:val="21"/>
        </w:rPr>
        <w:t>本标准主要内容包括总则、术语和符合、基本规定、调查与检测、火灾后结构分析与构件校核、火灾后结构构件鉴定评级、鉴定报告等内容。</w:t>
      </w:r>
    </w:p>
    <w:p>
      <w:pPr>
        <w:adjustRightInd/>
        <w:snapToGrid/>
        <w:spacing w:line="360" w:lineRule="auto"/>
        <w:ind w:firstLine="420" w:firstLineChars="200"/>
        <w:rPr>
          <w:rFonts w:hint="eastAsia" w:cs="Times New Roman"/>
          <w:szCs w:val="21"/>
        </w:rPr>
      </w:pPr>
      <w:r>
        <w:rPr>
          <w:rFonts w:hint="eastAsia" w:cs="Times New Roman"/>
          <w:szCs w:val="21"/>
        </w:rPr>
        <w:t>本标准由中国工程建设标准化协会建筑物鉴定与加固专业委员会归口管理，由中冶建筑研究总院有限公司负责解释。在执行过程中如有意见或建议，请寄送解释单位（地址：北京市海淀区西土城路33号，邮政编码：100088）。</w:t>
      </w:r>
    </w:p>
    <w:p>
      <w:pPr>
        <w:adjustRightInd/>
        <w:snapToGrid/>
        <w:spacing w:line="360" w:lineRule="auto"/>
        <w:ind w:firstLine="420" w:firstLineChars="200"/>
        <w:rPr>
          <w:rFonts w:hint="eastAsia" w:ascii="黑体" w:hAnsi="黑体" w:eastAsia="黑体" w:cs="Times New Roman"/>
          <w:szCs w:val="21"/>
        </w:rPr>
      </w:pPr>
      <w:r>
        <w:rPr>
          <w:rFonts w:hint="eastAsia" w:ascii="黑体" w:hAnsi="黑体" w:eastAsia="黑体" w:cs="Times New Roman"/>
          <w:szCs w:val="21"/>
        </w:rPr>
        <w:t>主编单位：中冶建筑研究总院有限公司</w:t>
      </w:r>
    </w:p>
    <w:p>
      <w:pPr>
        <w:adjustRightInd/>
        <w:snapToGrid/>
        <w:spacing w:line="360" w:lineRule="auto"/>
        <w:ind w:firstLine="420" w:firstLineChars="200"/>
        <w:rPr>
          <w:rFonts w:hint="eastAsia" w:ascii="黑体" w:hAnsi="黑体" w:eastAsia="黑体" w:cs="Times New Roman"/>
          <w:szCs w:val="21"/>
        </w:rPr>
      </w:pPr>
      <w:r>
        <w:rPr>
          <w:rFonts w:hint="eastAsia" w:ascii="黑体" w:hAnsi="黑体" w:eastAsia="黑体" w:cs="Times New Roman"/>
          <w:szCs w:val="21"/>
        </w:rPr>
        <w:t>参编单位：XXXXX</w:t>
      </w:r>
    </w:p>
    <w:p>
      <w:pPr>
        <w:adjustRightInd/>
        <w:snapToGrid/>
        <w:spacing w:line="360" w:lineRule="auto"/>
        <w:ind w:firstLine="420" w:firstLineChars="200"/>
        <w:rPr>
          <w:rFonts w:hint="eastAsia" w:ascii="黑体" w:hAnsi="黑体" w:eastAsia="黑体" w:cs="Times New Roman"/>
          <w:szCs w:val="21"/>
        </w:rPr>
      </w:pPr>
      <w:r>
        <w:rPr>
          <w:rFonts w:hint="eastAsia" w:ascii="黑体" w:hAnsi="黑体" w:eastAsia="黑体" w:cs="Times New Roman"/>
          <w:szCs w:val="21"/>
        </w:rPr>
        <w:t>主要起草人：XXXXX</w:t>
      </w:r>
    </w:p>
    <w:p>
      <w:pPr>
        <w:adjustRightInd/>
        <w:snapToGrid/>
        <w:spacing w:line="360" w:lineRule="auto"/>
        <w:ind w:firstLine="420" w:firstLineChars="200"/>
        <w:rPr>
          <w:rFonts w:hint="eastAsia" w:ascii="黑体" w:hAnsi="黑体" w:eastAsia="黑体" w:cs="Times New Roman"/>
          <w:szCs w:val="21"/>
        </w:rPr>
      </w:pPr>
      <w:r>
        <w:rPr>
          <w:rFonts w:hint="eastAsia" w:ascii="黑体" w:hAnsi="黑体" w:eastAsia="黑体" w:cs="Times New Roman"/>
          <w:szCs w:val="21"/>
        </w:rPr>
        <w:t>主要审查人：XXXXX</w:t>
      </w:r>
    </w:p>
    <w:p>
      <w:pPr>
        <w:adjustRightInd/>
        <w:snapToGrid/>
        <w:spacing w:line="360" w:lineRule="auto"/>
        <w:ind w:firstLine="420" w:firstLineChars="200"/>
        <w:rPr>
          <w:rFonts w:hint="eastAsia" w:ascii="黑体" w:hAnsi="黑体" w:eastAsia="黑体" w:cs="Times New Roman"/>
          <w:szCs w:val="21"/>
        </w:rPr>
      </w:pPr>
    </w:p>
    <w:p>
      <w:pPr>
        <w:adjustRightInd/>
        <w:snapToGrid/>
        <w:spacing w:line="360" w:lineRule="auto"/>
        <w:ind w:firstLine="420" w:firstLineChars="200"/>
        <w:rPr>
          <w:rFonts w:hint="eastAsia" w:ascii="黑体" w:hAnsi="黑体" w:eastAsia="黑体" w:cs="Times New Roman"/>
          <w:szCs w:val="21"/>
        </w:rPr>
      </w:pPr>
    </w:p>
    <w:p>
      <w:pPr>
        <w:adjustRightInd/>
        <w:snapToGrid/>
        <w:spacing w:line="360" w:lineRule="auto"/>
        <w:ind w:firstLine="420" w:firstLineChars="200"/>
        <w:rPr>
          <w:rFonts w:hint="eastAsia" w:ascii="黑体" w:hAnsi="黑体" w:eastAsia="黑体" w:cs="Times New Roman"/>
          <w:szCs w:val="21"/>
        </w:rPr>
      </w:pPr>
    </w:p>
    <w:p>
      <w:pPr>
        <w:adjustRightInd/>
        <w:snapToGrid/>
        <w:spacing w:line="360" w:lineRule="auto"/>
        <w:ind w:firstLine="420" w:firstLineChars="200"/>
        <w:rPr>
          <w:rFonts w:hint="eastAsia" w:ascii="黑体" w:hAnsi="黑体" w:eastAsia="黑体" w:cs="Times New Roman"/>
          <w:szCs w:val="21"/>
        </w:rPr>
      </w:pPr>
    </w:p>
    <w:p>
      <w:pPr>
        <w:adjustRightInd/>
        <w:snapToGrid/>
        <w:spacing w:line="360" w:lineRule="auto"/>
        <w:ind w:firstLine="420" w:firstLineChars="200"/>
        <w:rPr>
          <w:rFonts w:hint="eastAsia" w:cs="Times New Roman"/>
          <w:szCs w:val="21"/>
        </w:rPr>
      </w:pPr>
    </w:p>
    <w:p>
      <w:pPr>
        <w:adjustRightInd/>
        <w:snapToGrid/>
        <w:spacing w:line="360" w:lineRule="auto"/>
        <w:ind w:firstLine="420" w:firstLineChars="200"/>
        <w:rPr>
          <w:rFonts w:hint="eastAsia" w:cs="Times New Roman"/>
          <w:szCs w:val="21"/>
        </w:rPr>
      </w:pPr>
    </w:p>
    <w:p>
      <w:pPr>
        <w:adjustRightInd/>
        <w:snapToGrid/>
        <w:spacing w:line="360" w:lineRule="auto"/>
        <w:ind w:firstLine="420" w:firstLineChars="200"/>
        <w:jc w:val="left"/>
        <w:rPr>
          <w:rFonts w:cs="Times New Roman"/>
          <w:szCs w:val="21"/>
        </w:rPr>
      </w:pPr>
      <w:r>
        <w:rPr>
          <w:rFonts w:cs="Times New Roman"/>
          <w:szCs w:val="21"/>
        </w:rPr>
        <w:br w:type="page"/>
      </w:r>
    </w:p>
    <w:p>
      <w:pPr>
        <w:adjustRightInd/>
        <w:snapToGrid/>
        <w:spacing w:line="360" w:lineRule="auto"/>
        <w:ind w:firstLine="480" w:firstLineChars="200"/>
        <w:rPr>
          <w:rFonts w:eastAsia="楷体" w:cs="Times New Roman"/>
          <w:sz w:val="24"/>
        </w:rPr>
        <w:sectPr>
          <w:headerReference r:id="rId3" w:type="default"/>
          <w:pgSz w:w="11906" w:h="16838"/>
          <w:pgMar w:top="1440" w:right="1800" w:bottom="1440" w:left="1800" w:header="851" w:footer="992" w:gutter="0"/>
          <w:cols w:space="425" w:num="1"/>
          <w:docGrid w:type="lines" w:linePitch="312" w:charSpace="0"/>
        </w:sectPr>
      </w:pPr>
    </w:p>
    <w:sdt>
      <w:sdtPr>
        <w:rPr>
          <w:rFonts w:ascii="Times New Roman" w:hAnsi="Times New Roman" w:eastAsia="宋体" w:cstheme="minorBidi"/>
          <w:b w:val="0"/>
          <w:bCs w:val="0"/>
          <w:color w:val="auto"/>
          <w:kern w:val="2"/>
          <w:sz w:val="21"/>
          <w:szCs w:val="24"/>
          <w:lang w:val="zh-CN"/>
        </w:rPr>
        <w:id w:val="-244885300"/>
        <w:docPartObj>
          <w:docPartGallery w:val="Table of Contents"/>
          <w:docPartUnique/>
        </w:docPartObj>
      </w:sdtPr>
      <w:sdtEndPr>
        <w:rPr>
          <w:rFonts w:ascii="Times New Roman" w:hAnsi="Times New Roman" w:eastAsia="宋体" w:cstheme="minorBidi"/>
          <w:b w:val="0"/>
          <w:bCs w:val="0"/>
          <w:color w:val="auto"/>
          <w:kern w:val="2"/>
          <w:sz w:val="21"/>
          <w:szCs w:val="24"/>
          <w:lang w:val="zh-CN"/>
        </w:rPr>
      </w:sdtEndPr>
      <w:sdtContent>
        <w:p>
          <w:pPr>
            <w:pStyle w:val="44"/>
            <w:jc w:val="center"/>
            <w:rPr>
              <w:color w:val="auto"/>
            </w:rPr>
          </w:pPr>
          <w:r>
            <w:rPr>
              <w:color w:val="auto"/>
              <w:lang w:val="zh-CN"/>
            </w:rPr>
            <w:t>目录</w:t>
          </w:r>
        </w:p>
        <w:p>
          <w:pPr>
            <w:pStyle w:val="15"/>
            <w:tabs>
              <w:tab w:val="right" w:leader="dot" w:pos="9736"/>
            </w:tabs>
            <w:rPr>
              <w:rFonts w:asciiTheme="minorHAnsi" w:hAnsiTheme="minorHAnsi" w:eastAsiaTheme="minorEastAsia"/>
              <w:szCs w:val="22"/>
            </w:rPr>
          </w:pPr>
          <w:r>
            <w:fldChar w:fldCharType="begin"/>
          </w:r>
          <w:r>
            <w:instrText xml:space="preserve"> TOC \o "1-3" \h \z \u </w:instrText>
          </w:r>
          <w:r>
            <w:fldChar w:fldCharType="separate"/>
          </w:r>
          <w:r>
            <w:fldChar w:fldCharType="begin"/>
          </w:r>
          <w:r>
            <w:instrText xml:space="preserve"> HYPERLINK \l "_Toc505085877" </w:instrText>
          </w:r>
          <w:r>
            <w:fldChar w:fldCharType="separate"/>
          </w:r>
          <w:r>
            <w:rPr>
              <w:rStyle w:val="22"/>
              <w:rFonts w:cs="Times New Roman"/>
            </w:rPr>
            <w:t xml:space="preserve">1 </w:t>
          </w:r>
          <w:r>
            <w:rPr>
              <w:rStyle w:val="22"/>
              <w:rFonts w:hint="eastAsia" w:cs="Times New Roman"/>
            </w:rPr>
            <w:t>总则</w:t>
          </w:r>
          <w:r>
            <w:tab/>
          </w:r>
          <w:r>
            <w:fldChar w:fldCharType="begin"/>
          </w:r>
          <w:r>
            <w:instrText xml:space="preserve"> PAGEREF _Toc505085877 \h </w:instrText>
          </w:r>
          <w:r>
            <w:fldChar w:fldCharType="separate"/>
          </w:r>
          <w:r>
            <w:t>1</w:t>
          </w:r>
          <w:r>
            <w:fldChar w:fldCharType="end"/>
          </w:r>
          <w:r>
            <w:fldChar w:fldCharType="end"/>
          </w:r>
        </w:p>
        <w:p>
          <w:pPr>
            <w:pStyle w:val="15"/>
            <w:tabs>
              <w:tab w:val="right" w:leader="dot" w:pos="9736"/>
            </w:tabs>
            <w:rPr>
              <w:rFonts w:asciiTheme="minorHAnsi" w:hAnsiTheme="minorHAnsi" w:eastAsiaTheme="minorEastAsia"/>
              <w:szCs w:val="22"/>
            </w:rPr>
          </w:pPr>
          <w:r>
            <w:fldChar w:fldCharType="begin"/>
          </w:r>
          <w:r>
            <w:instrText xml:space="preserve"> HYPERLINK \l "_Toc505085878" </w:instrText>
          </w:r>
          <w:r>
            <w:fldChar w:fldCharType="separate"/>
          </w:r>
          <w:r>
            <w:rPr>
              <w:rStyle w:val="22"/>
              <w:rFonts w:cs="Times New Roman"/>
            </w:rPr>
            <w:t xml:space="preserve">2 </w:t>
          </w:r>
          <w:r>
            <w:rPr>
              <w:rStyle w:val="22"/>
              <w:rFonts w:hint="eastAsia" w:cs="Times New Roman"/>
            </w:rPr>
            <w:t>术语和符号</w:t>
          </w:r>
          <w:r>
            <w:tab/>
          </w:r>
          <w:r>
            <w:fldChar w:fldCharType="begin"/>
          </w:r>
          <w:r>
            <w:instrText xml:space="preserve"> PAGEREF _Toc505085878 \h </w:instrText>
          </w:r>
          <w:r>
            <w:fldChar w:fldCharType="separate"/>
          </w:r>
          <w:r>
            <w:t>2</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"_Toc505085879" </w:instrText>
          </w:r>
          <w:r>
            <w:fldChar w:fldCharType="separate"/>
          </w:r>
          <w:r>
            <w:rPr>
              <w:rStyle w:val="22"/>
              <w:rFonts w:cs="Times New Roman"/>
            </w:rPr>
            <w:t xml:space="preserve">2.1 </w:t>
          </w:r>
          <w:r>
            <w:rPr>
              <w:rStyle w:val="22"/>
              <w:rFonts w:hint="eastAsia" w:cs="Times New Roman"/>
            </w:rPr>
            <w:t>术语</w:t>
          </w:r>
          <w:r>
            <w:tab/>
          </w:r>
          <w:r>
            <w:fldChar w:fldCharType="begin"/>
          </w:r>
          <w:r>
            <w:instrText xml:space="preserve"> PAGEREF _Toc505085879 \h </w:instrText>
          </w:r>
          <w:r>
            <w:fldChar w:fldCharType="separate"/>
          </w:r>
          <w:r>
            <w:t>2</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"_Toc505085880" </w:instrText>
          </w:r>
          <w:r>
            <w:fldChar w:fldCharType="separate"/>
          </w:r>
          <w:r>
            <w:rPr>
              <w:rStyle w:val="22"/>
              <w:rFonts w:cs="Times New Roman"/>
            </w:rPr>
            <w:t xml:space="preserve">2.2 </w:t>
          </w:r>
          <w:r>
            <w:rPr>
              <w:rStyle w:val="22"/>
              <w:rFonts w:hint="eastAsia" w:cs="Times New Roman"/>
            </w:rPr>
            <w:t>符号</w:t>
          </w:r>
          <w:r>
            <w:tab/>
          </w:r>
          <w:r>
            <w:fldChar w:fldCharType="begin"/>
          </w:r>
          <w:r>
            <w:instrText xml:space="preserve"> PAGEREF _Toc505085880 \h </w:instrText>
          </w:r>
          <w:r>
            <w:fldChar w:fldCharType="separate"/>
          </w:r>
          <w:r>
            <w:t>2</w:t>
          </w:r>
          <w:r>
            <w:fldChar w:fldCharType="end"/>
          </w:r>
          <w:r>
            <w:fldChar w:fldCharType="end"/>
          </w:r>
        </w:p>
        <w:p>
          <w:pPr>
            <w:pStyle w:val="15"/>
            <w:tabs>
              <w:tab w:val="right" w:leader="dot" w:pos="9736"/>
            </w:tabs>
            <w:rPr>
              <w:rFonts w:asciiTheme="minorHAnsi" w:hAnsiTheme="minorHAnsi" w:eastAsiaTheme="minorEastAsia"/>
              <w:szCs w:val="22"/>
            </w:rPr>
          </w:pPr>
          <w:r>
            <w:fldChar w:fldCharType="begin"/>
          </w:r>
          <w:r>
            <w:instrText xml:space="preserve"> HYPERLINK \l "_Toc505085881" </w:instrText>
          </w:r>
          <w:r>
            <w:fldChar w:fldCharType="separate"/>
          </w:r>
          <w:r>
            <w:rPr>
              <w:rStyle w:val="22"/>
              <w:rFonts w:cs="Times New Roman"/>
            </w:rPr>
            <w:t>3</w:t>
          </w:r>
          <w:r>
            <w:rPr>
              <w:rStyle w:val="22"/>
              <w:rFonts w:hint="eastAsia" w:cs="Times New Roman"/>
            </w:rPr>
            <w:t>基本规定</w:t>
          </w:r>
          <w:r>
            <w:tab/>
          </w:r>
          <w:r>
            <w:fldChar w:fldCharType="begin"/>
          </w:r>
          <w:r>
            <w:instrText xml:space="preserve"> PAGEREF _Toc505085881 \h </w:instrText>
          </w:r>
          <w:r>
            <w:fldChar w:fldCharType="separate"/>
          </w:r>
          <w:r>
            <w:t>4</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"_Toc505085882" </w:instrText>
          </w:r>
          <w:r>
            <w:fldChar w:fldCharType="separate"/>
          </w:r>
          <w:r>
            <w:rPr>
              <w:rStyle w:val="22"/>
              <w:rFonts w:cs="Times New Roman"/>
            </w:rPr>
            <w:t>3.1</w:t>
          </w:r>
          <w:r>
            <w:rPr>
              <w:rStyle w:val="22"/>
              <w:rFonts w:hint="eastAsia" w:cs="Times New Roman"/>
            </w:rPr>
            <w:t>一般规定</w:t>
          </w:r>
          <w:r>
            <w:tab/>
          </w:r>
          <w:r>
            <w:fldChar w:fldCharType="begin"/>
          </w:r>
          <w:r>
            <w:instrText xml:space="preserve"> PAGEREF _Toc505085882 \h </w:instrText>
          </w:r>
          <w:r>
            <w:fldChar w:fldCharType="separate"/>
          </w:r>
          <w:r>
            <w:t>4</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"_Toc505085883" </w:instrText>
          </w:r>
          <w:r>
            <w:fldChar w:fldCharType="separate"/>
          </w:r>
          <w:r>
            <w:rPr>
              <w:rStyle w:val="22"/>
              <w:rFonts w:cs="Times New Roman"/>
            </w:rPr>
            <w:t>3.2</w:t>
          </w:r>
          <w:r>
            <w:rPr>
              <w:rStyle w:val="22"/>
              <w:rFonts w:hint="eastAsia" w:cs="Times New Roman"/>
            </w:rPr>
            <w:t>鉴定程序和工作内容</w:t>
          </w:r>
          <w:r>
            <w:tab/>
          </w:r>
          <w:r>
            <w:fldChar w:fldCharType="begin"/>
          </w:r>
          <w:r>
            <w:instrText xml:space="preserve"> PAGEREF _Toc505085883 \h </w:instrText>
          </w:r>
          <w:r>
            <w:fldChar w:fldCharType="separate"/>
          </w:r>
          <w:r>
            <w:t>4</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"_Toc505085884" </w:instrText>
          </w:r>
          <w:r>
            <w:fldChar w:fldCharType="separate"/>
          </w:r>
          <w:r>
            <w:rPr>
              <w:rStyle w:val="22"/>
              <w:rFonts w:cs="Times New Roman"/>
            </w:rPr>
            <w:t xml:space="preserve">3.3 </w:t>
          </w:r>
          <w:r>
            <w:rPr>
              <w:rStyle w:val="22"/>
              <w:rFonts w:hint="eastAsia" w:cs="Times New Roman"/>
            </w:rPr>
            <w:t>鉴定评级标准</w:t>
          </w:r>
          <w:r>
            <w:tab/>
          </w:r>
          <w:r>
            <w:fldChar w:fldCharType="begin"/>
          </w:r>
          <w:r>
            <w:instrText xml:space="preserve"> PAGEREF _Toc505085884 \h </w:instrText>
          </w:r>
          <w:r>
            <w:fldChar w:fldCharType="separate"/>
          </w:r>
          <w:r>
            <w:t>5</w:t>
          </w:r>
          <w:r>
            <w:fldChar w:fldCharType="end"/>
          </w:r>
          <w:r>
            <w:fldChar w:fldCharType="end"/>
          </w:r>
        </w:p>
        <w:p>
          <w:pPr>
            <w:pStyle w:val="15"/>
            <w:tabs>
              <w:tab w:val="right" w:leader="dot" w:pos="9736"/>
            </w:tabs>
            <w:rPr>
              <w:rFonts w:asciiTheme="minorHAnsi" w:hAnsiTheme="minorHAnsi" w:eastAsiaTheme="minorEastAsia"/>
              <w:szCs w:val="22"/>
            </w:rPr>
          </w:pPr>
          <w:r>
            <w:fldChar w:fldCharType="begin"/>
          </w:r>
          <w:r>
            <w:instrText xml:space="preserve"> HYPERLINK \l "_Toc505085885" </w:instrText>
          </w:r>
          <w:r>
            <w:fldChar w:fldCharType="separate"/>
          </w:r>
          <w:r>
            <w:rPr>
              <w:rStyle w:val="22"/>
              <w:rFonts w:cs="Times New Roman"/>
            </w:rPr>
            <w:t>4</w:t>
          </w:r>
          <w:r>
            <w:rPr>
              <w:rStyle w:val="22"/>
              <w:rFonts w:hint="eastAsia" w:cs="Times New Roman"/>
            </w:rPr>
            <w:t>调查与检测</w:t>
          </w:r>
          <w:r>
            <w:tab/>
          </w:r>
          <w:r>
            <w:fldChar w:fldCharType="begin"/>
          </w:r>
          <w:r>
            <w:instrText xml:space="preserve"> PAGEREF _Toc505085885 \h </w:instrText>
          </w:r>
          <w:r>
            <w:fldChar w:fldCharType="separate"/>
          </w:r>
          <w:r>
            <w:t>7</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"_Toc505085886" </w:instrText>
          </w:r>
          <w:r>
            <w:fldChar w:fldCharType="separate"/>
          </w:r>
          <w:r>
            <w:rPr>
              <w:rStyle w:val="22"/>
              <w:rFonts w:cs="Times New Roman"/>
            </w:rPr>
            <w:t>4.1</w:t>
          </w:r>
          <w:r>
            <w:rPr>
              <w:rStyle w:val="22"/>
              <w:rFonts w:hint="eastAsia" w:cs="Times New Roman"/>
            </w:rPr>
            <w:t>一般规定</w:t>
          </w:r>
          <w:r>
            <w:tab/>
          </w:r>
          <w:r>
            <w:fldChar w:fldCharType="begin"/>
          </w:r>
          <w:r>
            <w:instrText xml:space="preserve"> PAGEREF _Toc505085886 \h </w:instrText>
          </w:r>
          <w:r>
            <w:fldChar w:fldCharType="separate"/>
          </w:r>
          <w:r>
            <w:t>7</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"_Toc505085887" </w:instrText>
          </w:r>
          <w:r>
            <w:fldChar w:fldCharType="separate"/>
          </w:r>
          <w:r>
            <w:rPr>
              <w:rStyle w:val="22"/>
              <w:rFonts w:cs="Times New Roman"/>
            </w:rPr>
            <w:t xml:space="preserve">4.2  </w:t>
          </w:r>
          <w:r>
            <w:rPr>
              <w:rStyle w:val="22"/>
              <w:rFonts w:hint="eastAsia" w:cs="Times New Roman"/>
            </w:rPr>
            <w:t>火作用调查与分析</w:t>
          </w:r>
          <w:r>
            <w:tab/>
          </w:r>
          <w:r>
            <w:fldChar w:fldCharType="begin"/>
          </w:r>
          <w:r>
            <w:instrText xml:space="preserve"> PAGEREF _Toc505085887 \h </w:instrText>
          </w:r>
          <w:r>
            <w:fldChar w:fldCharType="separate"/>
          </w:r>
          <w:r>
            <w:t>7</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"_Toc505085888" </w:instrText>
          </w:r>
          <w:r>
            <w:fldChar w:fldCharType="separate"/>
          </w:r>
          <w:r>
            <w:rPr>
              <w:rStyle w:val="22"/>
              <w:rFonts w:cs="Times New Roman"/>
            </w:rPr>
            <w:t xml:space="preserve">4.3  </w:t>
          </w:r>
          <w:r>
            <w:rPr>
              <w:rStyle w:val="22"/>
              <w:rFonts w:hint="eastAsia" w:cs="Times New Roman"/>
            </w:rPr>
            <w:t>结构构件现状检测</w:t>
          </w:r>
          <w:r>
            <w:tab/>
          </w:r>
          <w:r>
            <w:fldChar w:fldCharType="begin"/>
          </w:r>
          <w:r>
            <w:instrText xml:space="preserve"> PAGEREF _Toc505085888 \h </w:instrText>
          </w:r>
          <w:r>
            <w:fldChar w:fldCharType="separate"/>
          </w:r>
          <w:r>
            <w:t>8</w:t>
          </w:r>
          <w:r>
            <w:fldChar w:fldCharType="end"/>
          </w:r>
          <w:r>
            <w:fldChar w:fldCharType="end"/>
          </w:r>
        </w:p>
        <w:p>
          <w:pPr>
            <w:pStyle w:val="15"/>
            <w:tabs>
              <w:tab w:val="right" w:leader="dot" w:pos="9736"/>
            </w:tabs>
            <w:rPr>
              <w:rFonts w:asciiTheme="minorHAnsi" w:hAnsiTheme="minorHAnsi" w:eastAsiaTheme="minorEastAsia"/>
              <w:szCs w:val="22"/>
            </w:rPr>
          </w:pPr>
          <w:r>
            <w:fldChar w:fldCharType="begin"/>
          </w:r>
          <w:r>
            <w:instrText xml:space="preserve"> HYPERLINK \l "_Toc505085889" </w:instrText>
          </w:r>
          <w:r>
            <w:fldChar w:fldCharType="separate"/>
          </w:r>
          <w:r>
            <w:rPr>
              <w:rStyle w:val="22"/>
            </w:rPr>
            <w:t>5</w:t>
          </w:r>
          <w:r>
            <w:rPr>
              <w:rStyle w:val="22"/>
              <w:rFonts w:hint="eastAsia"/>
            </w:rPr>
            <w:t xml:space="preserve"> 火灾后结构分析与构件校核</w:t>
          </w:r>
          <w:r>
            <w:tab/>
          </w:r>
          <w:r>
            <w:fldChar w:fldCharType="begin"/>
          </w:r>
          <w:r>
            <w:instrText xml:space="preserve"> PAGEREF _Toc505085889 \h </w:instrText>
          </w:r>
          <w:r>
            <w:fldChar w:fldCharType="separate"/>
          </w:r>
          <w:r>
            <w:t>10</w:t>
          </w:r>
          <w:r>
            <w:fldChar w:fldCharType="end"/>
          </w:r>
          <w:r>
            <w:fldChar w:fldCharType="end"/>
          </w:r>
        </w:p>
        <w:p>
          <w:pPr>
            <w:pStyle w:val="15"/>
            <w:tabs>
              <w:tab w:val="right" w:leader="dot" w:pos="9736"/>
            </w:tabs>
            <w:rPr>
              <w:rFonts w:asciiTheme="minorHAnsi" w:hAnsiTheme="minorHAnsi" w:eastAsiaTheme="minorEastAsia"/>
              <w:szCs w:val="22"/>
            </w:rPr>
          </w:pPr>
          <w:r>
            <w:fldChar w:fldCharType="begin"/>
          </w:r>
          <w:r>
            <w:instrText xml:space="preserve"> HYPERLINK \l "_Toc505085890" </w:instrText>
          </w:r>
          <w:r>
            <w:fldChar w:fldCharType="separate"/>
          </w:r>
          <w:r>
            <w:rPr>
              <w:rStyle w:val="22"/>
              <w:rFonts w:cs="Times New Roman"/>
            </w:rPr>
            <w:t xml:space="preserve">6 </w:t>
          </w:r>
          <w:r>
            <w:rPr>
              <w:rStyle w:val="22"/>
              <w:rFonts w:hint="eastAsia" w:cs="Times New Roman"/>
            </w:rPr>
            <w:t>火灾后结构构件鉴定评级</w:t>
          </w:r>
          <w:r>
            <w:tab/>
          </w:r>
          <w:r>
            <w:fldChar w:fldCharType="begin"/>
          </w:r>
          <w:r>
            <w:instrText xml:space="preserve"> PAGEREF _Toc505085890 \h </w:instrText>
          </w:r>
          <w:r>
            <w:fldChar w:fldCharType="separate"/>
          </w:r>
          <w:r>
            <w:t>11</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"_Toc505085891" </w:instrText>
          </w:r>
          <w:r>
            <w:fldChar w:fldCharType="separate"/>
          </w:r>
          <w:r>
            <w:rPr>
              <w:rStyle w:val="22"/>
              <w:rFonts w:cs="Times New Roman"/>
            </w:rPr>
            <w:t xml:space="preserve">6.1  </w:t>
          </w:r>
          <w:r>
            <w:rPr>
              <w:rStyle w:val="22"/>
              <w:rFonts w:hint="eastAsia" w:cs="Times New Roman"/>
            </w:rPr>
            <w:t>一般规定</w:t>
          </w:r>
          <w:r>
            <w:tab/>
          </w:r>
          <w:r>
            <w:fldChar w:fldCharType="begin"/>
          </w:r>
          <w:r>
            <w:instrText xml:space="preserve"> PAGEREF _Toc505085891 \h </w:instrText>
          </w:r>
          <w:r>
            <w:fldChar w:fldCharType="separate"/>
          </w:r>
          <w:r>
            <w:t>11</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"_Toc505085892" </w:instrText>
          </w:r>
          <w:r>
            <w:fldChar w:fldCharType="separate"/>
          </w:r>
          <w:r>
            <w:rPr>
              <w:rStyle w:val="22"/>
              <w:rFonts w:cs="Times New Roman"/>
            </w:rPr>
            <w:t xml:space="preserve">6.2  </w:t>
          </w:r>
          <w:r>
            <w:rPr>
              <w:rStyle w:val="22"/>
              <w:rFonts w:hint="eastAsia" w:cs="Times New Roman"/>
            </w:rPr>
            <w:t>火灾后混凝土结构构件的鉴定评级</w:t>
          </w:r>
          <w:r>
            <w:tab/>
          </w:r>
          <w:r>
            <w:fldChar w:fldCharType="begin"/>
          </w:r>
          <w:r>
            <w:instrText xml:space="preserve"> PAGEREF _Toc505085892 \h </w:instrText>
          </w:r>
          <w:r>
            <w:fldChar w:fldCharType="separate"/>
          </w:r>
          <w:r>
            <w:t>11</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"_Toc505085893" </w:instrText>
          </w:r>
          <w:r>
            <w:fldChar w:fldCharType="separate"/>
          </w:r>
          <w:r>
            <w:rPr>
              <w:rStyle w:val="22"/>
              <w:rFonts w:cs="Times New Roman"/>
            </w:rPr>
            <w:t xml:space="preserve">6.3  </w:t>
          </w:r>
          <w:r>
            <w:rPr>
              <w:rStyle w:val="22"/>
              <w:rFonts w:hint="eastAsia" w:cs="Times New Roman"/>
            </w:rPr>
            <w:t>火灾后钢结构构件的鉴定评级</w:t>
          </w:r>
          <w:r>
            <w:tab/>
          </w:r>
          <w:r>
            <w:fldChar w:fldCharType="begin"/>
          </w:r>
          <w:r>
            <w:instrText xml:space="preserve"> PAGEREF _Toc505085893 \h </w:instrText>
          </w:r>
          <w:r>
            <w:fldChar w:fldCharType="separate"/>
          </w:r>
          <w:r>
            <w:t>12</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"_Toc505085894" </w:instrText>
          </w:r>
          <w:r>
            <w:fldChar w:fldCharType="separate"/>
          </w:r>
          <w:r>
            <w:rPr>
              <w:rStyle w:val="22"/>
              <w:rFonts w:cs="Times New Roman"/>
            </w:rPr>
            <w:t xml:space="preserve">6.4 </w:t>
          </w:r>
          <w:r>
            <w:rPr>
              <w:rStyle w:val="22"/>
              <w:rFonts w:hint="eastAsia" w:cs="Times New Roman"/>
            </w:rPr>
            <w:t xml:space="preserve"> 火灾后砌体结构构件的鉴定评级</w:t>
          </w:r>
          <w:r>
            <w:tab/>
          </w:r>
          <w:r>
            <w:fldChar w:fldCharType="begin"/>
          </w:r>
          <w:r>
            <w:instrText xml:space="preserve"> PAGEREF _Toc505085894 \h </w:instrText>
          </w:r>
          <w:r>
            <w:fldChar w:fldCharType="separate"/>
          </w:r>
          <w:r>
            <w:t>14</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"_Toc505085895" </w:instrText>
          </w:r>
          <w:r>
            <w:fldChar w:fldCharType="separate"/>
          </w:r>
          <w:r>
            <w:rPr>
              <w:rStyle w:val="22"/>
              <w:rFonts w:cs="Times New Roman"/>
            </w:rPr>
            <w:t xml:space="preserve">6.5 </w:t>
          </w:r>
          <w:r>
            <w:rPr>
              <w:rStyle w:val="22"/>
              <w:rFonts w:hint="eastAsia" w:cs="Times New Roman"/>
            </w:rPr>
            <w:t xml:space="preserve"> 火灾后木结构构件的鉴定评级</w:t>
          </w:r>
          <w:r>
            <w:tab/>
          </w:r>
          <w:r>
            <w:fldChar w:fldCharType="begin"/>
          </w:r>
          <w:r>
            <w:instrText xml:space="preserve"> PAGEREF _Toc505085895 \h </w:instrText>
          </w:r>
          <w:r>
            <w:fldChar w:fldCharType="separate"/>
          </w:r>
          <w:r>
            <w:t>15</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"_Toc505085896" </w:instrText>
          </w:r>
          <w:r>
            <w:fldChar w:fldCharType="separate"/>
          </w:r>
          <w:r>
            <w:rPr>
              <w:rStyle w:val="22"/>
              <w:rFonts w:cs="Times New Roman"/>
            </w:rPr>
            <w:t xml:space="preserve">6.6 </w:t>
          </w:r>
          <w:r>
            <w:rPr>
              <w:rStyle w:val="22"/>
              <w:rFonts w:hint="eastAsia" w:cs="Times New Roman"/>
            </w:rPr>
            <w:t xml:space="preserve"> 火灾后钢</w:t>
          </w:r>
          <w:r>
            <w:rPr>
              <w:rStyle w:val="22"/>
              <w:rFonts w:cs="Times New Roman"/>
            </w:rPr>
            <w:t>-</w:t>
          </w:r>
          <w:r>
            <w:rPr>
              <w:rStyle w:val="22"/>
              <w:rFonts w:hint="eastAsia" w:cs="Times New Roman"/>
            </w:rPr>
            <w:t>混组合结构构件的鉴定评级</w:t>
          </w:r>
          <w:r>
            <w:tab/>
          </w:r>
          <w:r>
            <w:fldChar w:fldCharType="begin"/>
          </w:r>
          <w:r>
            <w:instrText xml:space="preserve"> PAGEREF _Toc505085896 \h </w:instrText>
          </w:r>
          <w:r>
            <w:fldChar w:fldCharType="separate"/>
          </w:r>
          <w:r>
            <w:t>15</w:t>
          </w:r>
          <w:r>
            <w:fldChar w:fldCharType="end"/>
          </w:r>
          <w:r>
            <w:fldChar w:fldCharType="end"/>
          </w:r>
        </w:p>
        <w:p>
          <w:pPr>
            <w:pStyle w:val="15"/>
            <w:tabs>
              <w:tab w:val="right" w:leader="dot" w:pos="9736"/>
            </w:tabs>
            <w:rPr>
              <w:rFonts w:asciiTheme="minorHAnsi" w:hAnsiTheme="minorHAnsi" w:eastAsiaTheme="minorEastAsia"/>
              <w:szCs w:val="22"/>
            </w:rPr>
          </w:pPr>
          <w:r>
            <w:fldChar w:fldCharType="begin"/>
          </w:r>
          <w:r>
            <w:instrText xml:space="preserve"> HYPERLINK \l "_Toc505085897" </w:instrText>
          </w:r>
          <w:r>
            <w:fldChar w:fldCharType="separate"/>
          </w:r>
          <w:r>
            <w:rPr>
              <w:rStyle w:val="22"/>
              <w:rFonts w:cs="Times New Roman"/>
            </w:rPr>
            <w:t>7</w:t>
          </w:r>
          <w:r>
            <w:rPr>
              <w:rStyle w:val="22"/>
              <w:rFonts w:hint="eastAsia" w:cs="Times New Roman"/>
            </w:rPr>
            <w:t xml:space="preserve"> 鉴定报告</w:t>
          </w:r>
          <w:r>
            <w:tab/>
          </w:r>
          <w:r>
            <w:fldChar w:fldCharType="begin"/>
          </w:r>
          <w:r>
            <w:instrText xml:space="preserve"> PAGEREF _Toc505085897 \h </w:instrText>
          </w:r>
          <w:r>
            <w:fldChar w:fldCharType="separate"/>
          </w:r>
          <w:r>
            <w:t>19</w:t>
          </w:r>
          <w:r>
            <w:fldChar w:fldCharType="end"/>
          </w:r>
          <w:r>
            <w:fldChar w:fldCharType="end"/>
          </w:r>
        </w:p>
        <w:p>
          <w:pPr>
            <w:pStyle w:val="15"/>
            <w:tabs>
              <w:tab w:val="right" w:leader="dot" w:pos="9736"/>
            </w:tabs>
            <w:rPr>
              <w:rFonts w:asciiTheme="minorHAnsi" w:hAnsiTheme="minorHAnsi" w:eastAsiaTheme="minorEastAsia"/>
              <w:szCs w:val="22"/>
            </w:rPr>
          </w:pPr>
          <w:r>
            <w:fldChar w:fldCharType="begin"/>
          </w:r>
          <w:r>
            <w:instrText xml:space="preserve"> HYPERLINK \l "_Toc505085898" </w:instrText>
          </w:r>
          <w:r>
            <w:fldChar w:fldCharType="separate"/>
          </w:r>
          <w:r>
            <w:rPr>
              <w:rStyle w:val="22"/>
              <w:rFonts w:hint="eastAsia" w:cs="Times New Roman"/>
            </w:rPr>
            <w:t>附录</w:t>
          </w:r>
          <w:r>
            <w:rPr>
              <w:rStyle w:val="22"/>
              <w:rFonts w:cs="Times New Roman"/>
            </w:rPr>
            <w:t xml:space="preserve">A </w:t>
          </w:r>
          <w:r>
            <w:rPr>
              <w:rStyle w:val="22"/>
              <w:rFonts w:hint="eastAsia" w:cs="Times New Roman"/>
            </w:rPr>
            <w:t>常见材料燃点、变态温度</w:t>
          </w:r>
          <w:r>
            <w:tab/>
          </w:r>
          <w:r>
            <w:fldChar w:fldCharType="begin"/>
          </w:r>
          <w:r>
            <w:instrText xml:space="preserve"> PAGEREF _Toc505085898 \h </w:instrText>
          </w:r>
          <w:r>
            <w:fldChar w:fldCharType="separate"/>
          </w:r>
          <w:r>
            <w:t>20</w:t>
          </w:r>
          <w:r>
            <w:fldChar w:fldCharType="end"/>
          </w:r>
          <w:r>
            <w:fldChar w:fldCharType="end"/>
          </w:r>
        </w:p>
        <w:p>
          <w:pPr>
            <w:pStyle w:val="15"/>
            <w:tabs>
              <w:tab w:val="right" w:leader="dot" w:pos="9736"/>
            </w:tabs>
            <w:rPr>
              <w:rFonts w:asciiTheme="minorHAnsi" w:hAnsiTheme="minorHAnsi" w:eastAsiaTheme="minorEastAsia"/>
              <w:szCs w:val="22"/>
            </w:rPr>
          </w:pPr>
          <w:r>
            <w:fldChar w:fldCharType="begin"/>
          </w:r>
          <w:r>
            <w:instrText xml:space="preserve"> HYPERLINK \l "_Toc505085899" </w:instrText>
          </w:r>
          <w:r>
            <w:fldChar w:fldCharType="separate"/>
          </w:r>
          <w:r>
            <w:rPr>
              <w:rStyle w:val="22"/>
              <w:rFonts w:hint="eastAsia" w:cs="Times New Roman"/>
            </w:rPr>
            <w:t>附录</w:t>
          </w:r>
          <w:r>
            <w:rPr>
              <w:rStyle w:val="22"/>
              <w:rFonts w:cs="Times New Roman"/>
            </w:rPr>
            <w:t xml:space="preserve">B </w:t>
          </w:r>
          <w:r>
            <w:rPr>
              <w:rStyle w:val="22"/>
              <w:rFonts w:hint="eastAsia" w:cs="Times New Roman"/>
            </w:rPr>
            <w:t>混凝土表面颜色、裂损剥落、锤击反应、爆裂与温度关系</w:t>
          </w:r>
          <w:r>
            <w:tab/>
          </w:r>
          <w:r>
            <w:fldChar w:fldCharType="begin"/>
          </w:r>
          <w:r>
            <w:instrText xml:space="preserve"> PAGEREF _Toc505085899 \h </w:instrText>
          </w:r>
          <w:r>
            <w:fldChar w:fldCharType="separate"/>
          </w:r>
          <w:r>
            <w:t>22</w:t>
          </w:r>
          <w:r>
            <w:fldChar w:fldCharType="end"/>
          </w:r>
          <w:r>
            <w:fldChar w:fldCharType="end"/>
          </w:r>
        </w:p>
        <w:p>
          <w:pPr>
            <w:pStyle w:val="15"/>
            <w:tabs>
              <w:tab w:val="right" w:leader="dot" w:pos="9736"/>
            </w:tabs>
            <w:rPr>
              <w:rFonts w:asciiTheme="minorHAnsi" w:hAnsiTheme="minorHAnsi" w:eastAsiaTheme="minorEastAsia"/>
              <w:szCs w:val="22"/>
            </w:rPr>
          </w:pPr>
          <w:r>
            <w:fldChar w:fldCharType="begin"/>
          </w:r>
          <w:r>
            <w:instrText xml:space="preserve"> HYPERLINK \l "_Toc505085900" </w:instrText>
          </w:r>
          <w:r>
            <w:fldChar w:fldCharType="separate"/>
          </w:r>
          <w:r>
            <w:rPr>
              <w:rStyle w:val="22"/>
              <w:rFonts w:hint="eastAsia"/>
            </w:rPr>
            <w:t>附录</w:t>
          </w:r>
          <w:r>
            <w:rPr>
              <w:rStyle w:val="22"/>
            </w:rPr>
            <w:t>C</w:t>
          </w:r>
          <w:r>
            <w:rPr>
              <w:rStyle w:val="22"/>
              <w:rFonts w:hint="eastAsia"/>
            </w:rPr>
            <w:t xml:space="preserve"> 砖、水泥砂浆表面颜色和裂缝与温度的关系</w:t>
          </w:r>
          <w:r>
            <w:tab/>
          </w:r>
          <w:r>
            <w:fldChar w:fldCharType="begin"/>
          </w:r>
          <w:r>
            <w:instrText xml:space="preserve"> PAGEREF _Toc505085900 \h </w:instrText>
          </w:r>
          <w:r>
            <w:fldChar w:fldCharType="separate"/>
          </w:r>
          <w:r>
            <w:t>24</w:t>
          </w:r>
          <w:r>
            <w:fldChar w:fldCharType="end"/>
          </w:r>
          <w:r>
            <w:fldChar w:fldCharType="end"/>
          </w:r>
        </w:p>
        <w:p>
          <w:pPr>
            <w:pStyle w:val="15"/>
            <w:tabs>
              <w:tab w:val="right" w:leader="dot" w:pos="9736"/>
            </w:tabs>
            <w:rPr>
              <w:rFonts w:asciiTheme="minorHAnsi" w:hAnsiTheme="minorHAnsi" w:eastAsiaTheme="minorEastAsia"/>
              <w:szCs w:val="22"/>
            </w:rPr>
          </w:pPr>
          <w:r>
            <w:fldChar w:fldCharType="begin"/>
          </w:r>
          <w:r>
            <w:instrText xml:space="preserve"> HYPERLINK \l "_Toc505085901" </w:instrText>
          </w:r>
          <w:r>
            <w:fldChar w:fldCharType="separate"/>
          </w:r>
          <w:r>
            <w:rPr>
              <w:rStyle w:val="22"/>
              <w:rFonts w:hint="eastAsia" w:cs="Times New Roman"/>
            </w:rPr>
            <w:t>附录</w:t>
          </w:r>
          <w:r>
            <w:rPr>
              <w:rStyle w:val="22"/>
              <w:rFonts w:cs="Times New Roman"/>
            </w:rPr>
            <w:t xml:space="preserve">D </w:t>
          </w:r>
          <w:r>
            <w:rPr>
              <w:rStyle w:val="22"/>
              <w:rFonts w:hint="eastAsia" w:cs="Times New Roman"/>
            </w:rPr>
            <w:t>混凝土构件在标准升温条件下温度场实用曲线图</w:t>
          </w:r>
          <w:r>
            <w:tab/>
          </w:r>
          <w:r>
            <w:fldChar w:fldCharType="begin"/>
          </w:r>
          <w:r>
            <w:instrText xml:space="preserve"> PAGEREF _Toc505085901 \h </w:instrText>
          </w:r>
          <w:r>
            <w:fldChar w:fldCharType="separate"/>
          </w:r>
          <w:r>
            <w:t>25</w:t>
          </w:r>
          <w:r>
            <w:fldChar w:fldCharType="end"/>
          </w:r>
          <w:r>
            <w:fldChar w:fldCharType="end"/>
          </w:r>
        </w:p>
        <w:p>
          <w:pPr>
            <w:pStyle w:val="15"/>
            <w:tabs>
              <w:tab w:val="right" w:leader="dot" w:pos="9736"/>
            </w:tabs>
            <w:rPr>
              <w:rFonts w:asciiTheme="minorHAnsi" w:hAnsiTheme="minorHAnsi" w:eastAsiaTheme="minorEastAsia"/>
              <w:szCs w:val="22"/>
            </w:rPr>
          </w:pPr>
          <w:r>
            <w:fldChar w:fldCharType="begin"/>
          </w:r>
          <w:r>
            <w:instrText xml:space="preserve"> HYPERLINK \l "_Toc505085902" </w:instrText>
          </w:r>
          <w:r>
            <w:fldChar w:fldCharType="separate"/>
          </w:r>
          <w:r>
            <w:rPr>
              <w:rStyle w:val="22"/>
              <w:rFonts w:hint="eastAsia" w:cs="Times New Roman"/>
            </w:rPr>
            <w:t>附录</w:t>
          </w:r>
          <w:r>
            <w:rPr>
              <w:rStyle w:val="22"/>
              <w:rFonts w:cs="Times New Roman"/>
            </w:rPr>
            <w:t xml:space="preserve">E </w:t>
          </w:r>
          <w:r>
            <w:rPr>
              <w:rStyle w:val="22"/>
              <w:rFonts w:hint="eastAsia" w:cs="Times New Roman"/>
            </w:rPr>
            <w:t>常见可燃物轰燃大火当量升温时间的确定</w:t>
          </w:r>
          <w:r>
            <w:tab/>
          </w:r>
          <w:r>
            <w:fldChar w:fldCharType="begin"/>
          </w:r>
          <w:r>
            <w:instrText xml:space="preserve"> PAGEREF _Toc505085902 \h </w:instrText>
          </w:r>
          <w:r>
            <w:fldChar w:fldCharType="separate"/>
          </w:r>
          <w:r>
            <w:t>39</w:t>
          </w:r>
          <w:r>
            <w:fldChar w:fldCharType="end"/>
          </w:r>
          <w:r>
            <w:fldChar w:fldCharType="end"/>
          </w:r>
        </w:p>
        <w:p>
          <w:pPr>
            <w:pStyle w:val="15"/>
            <w:tabs>
              <w:tab w:val="right" w:leader="dot" w:pos="9736"/>
            </w:tabs>
            <w:rPr>
              <w:rFonts w:asciiTheme="minorHAnsi" w:hAnsiTheme="minorHAnsi" w:eastAsiaTheme="minorEastAsia"/>
              <w:szCs w:val="22"/>
            </w:rPr>
          </w:pPr>
          <w:r>
            <w:fldChar w:fldCharType="begin"/>
          </w:r>
          <w:r>
            <w:instrText xml:space="preserve"> HYPERLINK \l "_Toc505085903" </w:instrText>
          </w:r>
          <w:r>
            <w:fldChar w:fldCharType="separate"/>
          </w:r>
          <w:r>
            <w:rPr>
              <w:rStyle w:val="22"/>
              <w:rFonts w:hint="eastAsia" w:cs="Times New Roman"/>
            </w:rPr>
            <w:t>附录</w:t>
          </w:r>
          <w:r>
            <w:rPr>
              <w:rStyle w:val="22"/>
              <w:rFonts w:cs="Times New Roman"/>
            </w:rPr>
            <w:t xml:space="preserve">F </w:t>
          </w:r>
          <w:r>
            <w:rPr>
              <w:rStyle w:val="22"/>
              <w:rFonts w:hint="eastAsia" w:cs="Times New Roman"/>
            </w:rPr>
            <w:t>火灾后混凝土构件材料微观分析</w:t>
          </w:r>
          <w:r>
            <w:tab/>
          </w:r>
          <w:r>
            <w:fldChar w:fldCharType="begin"/>
          </w:r>
          <w:r>
            <w:instrText xml:space="preserve"> PAGEREF _Toc505085903 \h </w:instrText>
          </w:r>
          <w:r>
            <w:fldChar w:fldCharType="separate"/>
          </w:r>
          <w:r>
            <w:t>42</w:t>
          </w:r>
          <w:r>
            <w:fldChar w:fldCharType="end"/>
          </w:r>
          <w:r>
            <w:fldChar w:fldCharType="end"/>
          </w:r>
        </w:p>
        <w:p>
          <w:pPr>
            <w:pStyle w:val="15"/>
            <w:tabs>
              <w:tab w:val="right" w:leader="dot" w:pos="9736"/>
            </w:tabs>
            <w:rPr>
              <w:rFonts w:asciiTheme="minorHAnsi" w:hAnsiTheme="minorHAnsi" w:eastAsiaTheme="minorEastAsia"/>
              <w:szCs w:val="22"/>
            </w:rPr>
          </w:pPr>
          <w:r>
            <w:fldChar w:fldCharType="begin"/>
          </w:r>
          <w:r>
            <w:instrText xml:space="preserve"> HYPERLINK \l "_Toc505085904" </w:instrText>
          </w:r>
          <w:r>
            <w:fldChar w:fldCharType="separate"/>
          </w:r>
          <w:r>
            <w:rPr>
              <w:rStyle w:val="22"/>
              <w:rFonts w:hint="eastAsia"/>
            </w:rPr>
            <w:t>附录</w:t>
          </w:r>
          <w:r>
            <w:rPr>
              <w:rStyle w:val="22"/>
            </w:rPr>
            <w:t xml:space="preserve">G </w:t>
          </w:r>
          <w:r>
            <w:rPr>
              <w:rStyle w:val="22"/>
              <w:rFonts w:hint="eastAsia"/>
            </w:rPr>
            <w:t>火灾后钢筋混凝土力学性能</w:t>
          </w:r>
          <w:r>
            <w:tab/>
          </w:r>
          <w:r>
            <w:fldChar w:fldCharType="begin"/>
          </w:r>
          <w:r>
            <w:instrText xml:space="preserve"> PAGEREF _Toc505085904 \h </w:instrText>
          </w:r>
          <w:r>
            <w:fldChar w:fldCharType="separate"/>
          </w:r>
          <w:r>
            <w:t>43</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"_Toc505085905" </w:instrText>
          </w:r>
          <w:r>
            <w:fldChar w:fldCharType="separate"/>
          </w:r>
          <w:r>
            <w:rPr>
              <w:rStyle w:val="22"/>
            </w:rPr>
            <w:t xml:space="preserve">G.1 </w:t>
          </w:r>
          <w:r>
            <w:rPr>
              <w:rStyle w:val="22"/>
              <w:rFonts w:hint="eastAsia"/>
            </w:rPr>
            <w:t>高温时和高温冷却后混凝土强度折减系数</w:t>
          </w:r>
          <w:r>
            <w:tab/>
          </w:r>
          <w:r>
            <w:fldChar w:fldCharType="begin"/>
          </w:r>
          <w:r>
            <w:instrText xml:space="preserve"> PAGEREF _Toc505085905 \h </w:instrText>
          </w:r>
          <w:r>
            <w:fldChar w:fldCharType="separate"/>
          </w:r>
          <w:r>
            <w:t>43</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"_Toc505085906" </w:instrText>
          </w:r>
          <w:r>
            <w:fldChar w:fldCharType="separate"/>
          </w:r>
          <w:r>
            <w:rPr>
              <w:rStyle w:val="22"/>
            </w:rPr>
            <w:t xml:space="preserve">G.2 </w:t>
          </w:r>
          <w:r>
            <w:rPr>
              <w:rStyle w:val="22"/>
              <w:rFonts w:hint="eastAsia"/>
            </w:rPr>
            <w:t>高温时和高温冷却后钢筋（普通及高强）强度折减系数</w:t>
          </w:r>
          <w:r>
            <w:tab/>
          </w:r>
          <w:r>
            <w:fldChar w:fldCharType="begin"/>
          </w:r>
          <w:r>
            <w:instrText xml:space="preserve"> PAGEREF _Toc505085906 \h </w:instrText>
          </w:r>
          <w:r>
            <w:fldChar w:fldCharType="separate"/>
          </w:r>
          <w:r>
            <w:t>43</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"_Toc505085907" </w:instrText>
          </w:r>
          <w:r>
            <w:fldChar w:fldCharType="separate"/>
          </w:r>
          <w:r>
            <w:rPr>
              <w:rStyle w:val="22"/>
            </w:rPr>
            <w:t xml:space="preserve">G.3 </w:t>
          </w:r>
          <w:r>
            <w:rPr>
              <w:rStyle w:val="22"/>
              <w:rFonts w:hint="eastAsia"/>
            </w:rPr>
            <w:t>高温自然冷却后混凝土弹性模量、钢筋与混凝土粘结强度折减系数</w:t>
          </w:r>
          <w:r>
            <w:tab/>
          </w:r>
          <w:r>
            <w:fldChar w:fldCharType="begin"/>
          </w:r>
          <w:r>
            <w:instrText xml:space="preserve"> PAGEREF _Toc505085907 \h </w:instrText>
          </w:r>
          <w:r>
            <w:fldChar w:fldCharType="separate"/>
          </w:r>
          <w:r>
            <w:t>44</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"_Toc505085908" </w:instrText>
          </w:r>
          <w:r>
            <w:fldChar w:fldCharType="separate"/>
          </w:r>
          <w:r>
            <w:rPr>
              <w:rStyle w:val="22"/>
            </w:rPr>
            <w:t>G.4</w:t>
          </w:r>
          <w:r>
            <w:rPr>
              <w:rStyle w:val="22"/>
              <w:rFonts w:hint="eastAsia"/>
            </w:rPr>
            <w:t>无粘结预应力钢绞线剩余应力测试方法</w:t>
          </w:r>
          <w:r>
            <w:tab/>
          </w:r>
          <w:r>
            <w:fldChar w:fldCharType="begin"/>
          </w:r>
          <w:r>
            <w:instrText xml:space="preserve"> PAGEREF _Toc505085908 \h </w:instrText>
          </w:r>
          <w:r>
            <w:fldChar w:fldCharType="separate"/>
          </w:r>
          <w:r>
            <w:t>44</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"_Toc505085909" </w:instrText>
          </w:r>
          <w:r>
            <w:fldChar w:fldCharType="separate"/>
          </w:r>
          <w:r>
            <w:rPr>
              <w:rStyle w:val="22"/>
            </w:rPr>
            <w:t xml:space="preserve">G.5 </w:t>
          </w:r>
          <w:r>
            <w:rPr>
              <w:rStyle w:val="22"/>
              <w:rFonts w:hint="eastAsia"/>
            </w:rPr>
            <w:t>预应力钢丝、钢绞线高温时和高温后强度折减系数</w:t>
          </w:r>
          <w:r>
            <w:tab/>
          </w:r>
          <w:r>
            <w:fldChar w:fldCharType="begin"/>
          </w:r>
          <w:r>
            <w:instrText xml:space="preserve"> PAGEREF _Toc505085909 \h </w:instrText>
          </w:r>
          <w:r>
            <w:fldChar w:fldCharType="separate"/>
          </w:r>
          <w:r>
            <w:t>44</w:t>
          </w:r>
          <w:r>
            <w:fldChar w:fldCharType="end"/>
          </w:r>
          <w:r>
            <w:fldChar w:fldCharType="end"/>
          </w:r>
        </w:p>
        <w:p>
          <w:pPr>
            <w:pStyle w:val="15"/>
            <w:tabs>
              <w:tab w:val="right" w:leader="dot" w:pos="9736"/>
            </w:tabs>
            <w:rPr>
              <w:rFonts w:asciiTheme="minorHAnsi" w:hAnsiTheme="minorHAnsi" w:eastAsiaTheme="minorEastAsia"/>
              <w:szCs w:val="22"/>
            </w:rPr>
          </w:pPr>
          <w:r>
            <w:fldChar w:fldCharType="begin"/>
          </w:r>
          <w:r>
            <w:instrText xml:space="preserve"> HYPERLINK \l "_Toc505085910" </w:instrText>
          </w:r>
          <w:r>
            <w:fldChar w:fldCharType="separate"/>
          </w:r>
          <w:r>
            <w:rPr>
              <w:rStyle w:val="22"/>
              <w:rFonts w:hint="eastAsia" w:cs="Times New Roman"/>
            </w:rPr>
            <w:t>附录</w:t>
          </w:r>
          <w:r>
            <w:rPr>
              <w:rStyle w:val="22"/>
              <w:rFonts w:cs="Times New Roman"/>
            </w:rPr>
            <w:t xml:space="preserve">H </w:t>
          </w:r>
          <w:r>
            <w:rPr>
              <w:rStyle w:val="22"/>
              <w:rFonts w:hint="eastAsia" w:cs="Times New Roman"/>
            </w:rPr>
            <w:t>高温过火后钢结构力学性能</w:t>
          </w:r>
          <w:r>
            <w:tab/>
          </w:r>
          <w:r>
            <w:fldChar w:fldCharType="begin"/>
          </w:r>
          <w:r>
            <w:instrText xml:space="preserve"> PAGEREF _Toc505085910 \h </w:instrText>
          </w:r>
          <w:r>
            <w:fldChar w:fldCharType="separate"/>
          </w:r>
          <w:r>
            <w:t>46</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"_Toc505085911" </w:instrText>
          </w:r>
          <w:r>
            <w:fldChar w:fldCharType="separate"/>
          </w:r>
          <w:r>
            <w:rPr>
              <w:rStyle w:val="22"/>
            </w:rPr>
            <w:t>H.1</w:t>
          </w:r>
          <w:r>
            <w:rPr>
              <w:rStyle w:val="22"/>
              <w:rFonts w:hint="eastAsia"/>
            </w:rPr>
            <w:t>高温过火后结构钢、高强度螺栓、焊缝的屈服强度折减系数</w:t>
          </w:r>
          <w:r>
            <w:tab/>
          </w:r>
          <w:r>
            <w:fldChar w:fldCharType="begin"/>
          </w:r>
          <w:r>
            <w:instrText xml:space="preserve"> PAGEREF _Toc505085911 \h </w:instrText>
          </w:r>
          <w:r>
            <w:fldChar w:fldCharType="separate"/>
          </w:r>
          <w:r>
            <w:t>46</w:t>
          </w:r>
          <w:r>
            <w:fldChar w:fldCharType="end"/>
          </w:r>
          <w:r>
            <w:fldChar w:fldCharType="end"/>
          </w:r>
        </w:p>
        <w:p>
          <w:pPr>
            <w:pStyle w:val="16"/>
            <w:tabs>
              <w:tab w:val="right" w:leader="dot" w:pos="9736"/>
            </w:tabs>
            <w:rPr>
              <w:rFonts w:asciiTheme="minorHAnsi" w:hAnsiTheme="minorHAnsi" w:eastAsiaTheme="minorEastAsia"/>
              <w:szCs w:val="22"/>
            </w:rPr>
          </w:pPr>
          <w:r>
            <w:fldChar w:fldCharType="begin"/>
          </w:r>
          <w:r>
            <w:instrText xml:space="preserve"> HYPERLINK \l "_Toc505085912" </w:instrText>
          </w:r>
          <w:r>
            <w:fldChar w:fldCharType="separate"/>
          </w:r>
          <w:r>
            <w:rPr>
              <w:rStyle w:val="22"/>
            </w:rPr>
            <w:t xml:space="preserve">H.2 </w:t>
          </w:r>
          <w:r>
            <w:rPr>
              <w:rStyle w:val="22"/>
              <w:rFonts w:hint="eastAsia"/>
            </w:rPr>
            <w:t>火灾后高强螺栓预拉力及连接接触面抗滑移系数</w:t>
          </w:r>
          <w:r>
            <w:tab/>
          </w:r>
          <w:r>
            <w:fldChar w:fldCharType="begin"/>
          </w:r>
          <w:r>
            <w:instrText xml:space="preserve"> PAGEREF _Toc505085912 \h </w:instrText>
          </w:r>
          <w:r>
            <w:fldChar w:fldCharType="separate"/>
          </w:r>
          <w:r>
            <w:t>47</w:t>
          </w:r>
          <w:r>
            <w:fldChar w:fldCharType="end"/>
          </w:r>
          <w:r>
            <w:fldChar w:fldCharType="end"/>
          </w:r>
        </w:p>
        <w:p>
          <w:pPr>
            <w:pStyle w:val="15"/>
            <w:tabs>
              <w:tab w:val="right" w:leader="dot" w:pos="9736"/>
            </w:tabs>
            <w:rPr>
              <w:rFonts w:asciiTheme="minorHAnsi" w:hAnsiTheme="minorHAnsi" w:eastAsiaTheme="minorEastAsia"/>
              <w:szCs w:val="22"/>
            </w:rPr>
          </w:pPr>
          <w:r>
            <w:fldChar w:fldCharType="begin"/>
          </w:r>
          <w:r>
            <w:instrText xml:space="preserve"> HYPERLINK \l "_Toc505085913" </w:instrText>
          </w:r>
          <w:r>
            <w:fldChar w:fldCharType="separate"/>
          </w:r>
          <w:r>
            <w:rPr>
              <w:rStyle w:val="22"/>
              <w:rFonts w:hint="eastAsia"/>
            </w:rPr>
            <w:t>附录</w:t>
          </w:r>
          <w:r>
            <w:rPr>
              <w:rStyle w:val="22"/>
            </w:rPr>
            <w:t xml:space="preserve">J </w:t>
          </w:r>
          <w:r>
            <w:rPr>
              <w:rStyle w:val="22"/>
              <w:rFonts w:hint="eastAsia"/>
            </w:rPr>
            <w:t>火灾后砌体强度及承载能力计算方法</w:t>
          </w:r>
          <w:r>
            <w:tab/>
          </w:r>
          <w:r>
            <w:fldChar w:fldCharType="begin"/>
          </w:r>
          <w:r>
            <w:instrText xml:space="preserve"> PAGEREF _Toc505085913 \h </w:instrText>
          </w:r>
          <w:r>
            <w:fldChar w:fldCharType="separate"/>
          </w:r>
          <w:r>
            <w:t>49</w:t>
          </w:r>
          <w:r>
            <w:fldChar w:fldCharType="end"/>
          </w:r>
          <w:r>
            <w:fldChar w:fldCharType="end"/>
          </w:r>
        </w:p>
        <w:p>
          <w:r>
            <w:rPr>
              <w:b/>
              <w:bCs/>
              <w:lang w:val="zh-CN"/>
            </w:rPr>
            <w:fldChar w:fldCharType="end"/>
          </w:r>
        </w:p>
      </w:sdtContent>
    </w:sdt>
    <w:p>
      <w:pPr>
        <w:rPr>
          <w:rFonts w:cs="Times New Roman"/>
        </w:rPr>
        <w:sectPr>
          <w:headerReference r:id="rId4" w:type="default"/>
          <w:pgSz w:w="11906" w:h="16838"/>
          <w:pgMar w:top="1440" w:right="1080" w:bottom="1440" w:left="1080" w:header="851" w:footer="992" w:gutter="0"/>
          <w:pgNumType w:start="1"/>
          <w:cols w:space="425" w:num="1"/>
          <w:docGrid w:type="lines" w:linePitch="312" w:charSpace="0"/>
        </w:sectPr>
      </w:pPr>
    </w:p>
    <w:p>
      <w:pPr>
        <w:rPr>
          <w:rFonts w:cs="Times New Roman"/>
        </w:rPr>
        <w:sectPr>
          <w:pgSz w:w="11906" w:h="16838"/>
          <w:pgMar w:top="1440" w:right="1080" w:bottom="1440" w:left="1080" w:header="851" w:footer="992" w:gutter="0"/>
          <w:pgNumType w:start="1"/>
          <w:cols w:space="425" w:num="1"/>
          <w:docGrid w:type="lines" w:linePitch="312" w:charSpace="0"/>
        </w:sectPr>
      </w:pPr>
    </w:p>
    <w:p>
      <w:pPr>
        <w:pStyle w:val="2"/>
        <w:spacing w:before="120"/>
        <w:rPr>
          <w:rFonts w:cs="Times New Roman"/>
        </w:rPr>
      </w:pPr>
      <w:bookmarkStart w:id="0" w:name="_Toc500168089"/>
      <w:bookmarkStart w:id="1" w:name="_Toc505085877"/>
      <w:bookmarkStart w:id="2" w:name="_Toc501474067"/>
      <w:r>
        <w:rPr>
          <w:rFonts w:cs="Times New Roman"/>
        </w:rPr>
        <w:t>1 总则</w:t>
      </w:r>
      <w:bookmarkEnd w:id="0"/>
      <w:bookmarkEnd w:id="1"/>
      <w:bookmarkEnd w:id="2"/>
    </w:p>
    <w:p>
      <w:pPr>
        <w:rPr>
          <w:rFonts w:cs="Times New Roman"/>
        </w:rPr>
      </w:pPr>
      <w:r>
        <w:rPr>
          <w:rFonts w:cs="Times New Roman"/>
          <w:b/>
        </w:rPr>
        <w:t>1.0.1</w:t>
      </w:r>
      <w:r>
        <w:rPr>
          <w:rFonts w:cs="Times New Roman"/>
        </w:rPr>
        <w:t>为了规范工程结构火灾后的检测鉴定工作，给工程结构火灾后的处理决策提供技术依据，做到技术先进、科学合理、安全适用、确保质量，制定本标准。</w:t>
      </w:r>
    </w:p>
    <w:p>
      <w:pPr>
        <w:rPr>
          <w:rFonts w:cs="Times New Roman"/>
        </w:rPr>
      </w:pPr>
      <w:r>
        <w:rPr>
          <w:rFonts w:cs="Times New Roman"/>
          <w:b/>
        </w:rPr>
        <w:t>1.0.2</w:t>
      </w:r>
      <w:r>
        <w:rPr>
          <w:rFonts w:cs="Times New Roman"/>
        </w:rPr>
        <w:t>本标准适用于工业与民用建</w:t>
      </w:r>
      <w:r>
        <w:rPr>
          <w:rFonts w:hint="eastAsia" w:cs="Times New Roman"/>
        </w:rPr>
        <w:t>构筑物</w:t>
      </w:r>
      <w:r>
        <w:rPr>
          <w:rFonts w:cs="Times New Roman"/>
        </w:rPr>
        <w:t>以及桥梁、隧道等火灾后的结构检测鉴定。</w:t>
      </w:r>
    </w:p>
    <w:p>
      <w:pPr>
        <w:rPr>
          <w:rFonts w:cs="Times New Roman"/>
        </w:rPr>
      </w:pPr>
      <w:r>
        <w:rPr>
          <w:rFonts w:cs="Times New Roman"/>
          <w:b/>
        </w:rPr>
        <w:t>1.0.3</w:t>
      </w:r>
      <w:r>
        <w:rPr>
          <w:rFonts w:cs="Times New Roman"/>
        </w:rPr>
        <w:t>本标准以火灾后结构构件的安全性鉴定为主，结构可靠性鉴定</w:t>
      </w:r>
      <w:r>
        <w:rPr>
          <w:rFonts w:hint="eastAsia" w:cs="Times New Roman"/>
        </w:rPr>
        <w:t>应根据</w:t>
      </w:r>
      <w:r>
        <w:rPr>
          <w:rFonts w:cs="Times New Roman"/>
        </w:rPr>
        <w:t>国家现行</w:t>
      </w:r>
      <w:r>
        <w:rPr>
          <w:rFonts w:hint="eastAsia" w:cs="Times New Roman"/>
        </w:rPr>
        <w:t>有关标准</w:t>
      </w:r>
      <w:r>
        <w:rPr>
          <w:rFonts w:cs="Times New Roman"/>
        </w:rPr>
        <w:t>进行鉴定。</w:t>
      </w:r>
    </w:p>
    <w:p>
      <w:pPr>
        <w:rPr>
          <w:rFonts w:cs="Times New Roman"/>
        </w:rPr>
      </w:pPr>
      <w:r>
        <w:rPr>
          <w:rFonts w:cs="Times New Roman"/>
          <w:b/>
        </w:rPr>
        <w:t>1.0.4</w:t>
      </w:r>
      <w:r>
        <w:rPr>
          <w:rFonts w:cs="Times New Roman"/>
        </w:rPr>
        <w:t>火灾后工程结构鉴定工作，应委托具有结构鉴定</w:t>
      </w:r>
      <w:r>
        <w:rPr>
          <w:rFonts w:hint="eastAsia" w:cs="Times New Roman"/>
        </w:rPr>
        <w:t>能力</w:t>
      </w:r>
      <w:r>
        <w:rPr>
          <w:rFonts w:cs="Times New Roman"/>
        </w:rPr>
        <w:t>的独立机构承担。</w:t>
      </w:r>
    </w:p>
    <w:p>
      <w:pPr>
        <w:rPr>
          <w:rFonts w:cs="Times New Roman"/>
        </w:rPr>
      </w:pPr>
      <w:r>
        <w:rPr>
          <w:rFonts w:cs="Times New Roman"/>
          <w:b/>
        </w:rPr>
        <w:t>1.0.5</w:t>
      </w:r>
      <w:r>
        <w:rPr>
          <w:rFonts w:cs="Times New Roman"/>
        </w:rPr>
        <w:t>火灾后工程结构的鉴定，除应符合本标准外，尚应符合国家现行有关标准的规定。</w:t>
      </w:r>
    </w:p>
    <w:p>
      <w:pPr>
        <w:rPr>
          <w:rFonts w:cs="Times New Roman"/>
        </w:rPr>
        <w:sectPr>
          <w:type w:val="continuous"/>
          <w:pgSz w:w="11906" w:h="16838"/>
          <w:pgMar w:top="1276" w:right="1080" w:bottom="1440" w:left="1080" w:header="851" w:footer="992" w:gutter="0"/>
          <w:cols w:space="425" w:num="1"/>
          <w:docGrid w:type="lines" w:linePitch="312" w:charSpace="0"/>
        </w:sectPr>
      </w:pPr>
    </w:p>
    <w:p>
      <w:pPr>
        <w:pStyle w:val="2"/>
        <w:rPr>
          <w:rFonts w:cs="Times New Roman"/>
        </w:rPr>
        <w:sectPr>
          <w:type w:val="continuous"/>
          <w:pgSz w:w="11906" w:h="16838"/>
          <w:pgMar w:top="1440" w:right="1080" w:bottom="1440" w:left="1080" w:header="851" w:footer="992" w:gutter="0"/>
          <w:cols w:space="425" w:num="1"/>
          <w:docGrid w:type="lines" w:linePitch="312" w:charSpace="0"/>
        </w:sectPr>
      </w:pPr>
      <w:bookmarkStart w:id="3" w:name="_Toc501474068"/>
      <w:bookmarkStart w:id="4" w:name="_Toc500168090"/>
    </w:p>
    <w:p>
      <w:pPr>
        <w:pStyle w:val="2"/>
        <w:rPr>
          <w:rFonts w:cs="Times New Roman"/>
        </w:rPr>
      </w:pPr>
      <w:bookmarkStart w:id="5" w:name="_Toc505085878"/>
      <w:r>
        <w:rPr>
          <w:rFonts w:cs="Times New Roman"/>
        </w:rPr>
        <w:t>2 术语和符号</w:t>
      </w:r>
      <w:bookmarkEnd w:id="3"/>
      <w:bookmarkEnd w:id="4"/>
      <w:bookmarkEnd w:id="5"/>
    </w:p>
    <w:p>
      <w:pPr>
        <w:pStyle w:val="3"/>
        <w:rPr>
          <w:rFonts w:ascii="Times New Roman" w:hAnsi="Times New Roman" w:cs="Times New Roman"/>
        </w:rPr>
      </w:pPr>
      <w:bookmarkStart w:id="6" w:name="_Toc505085879"/>
      <w:bookmarkStart w:id="7" w:name="_Toc501474069"/>
      <w:bookmarkStart w:id="8" w:name="_Toc500168091"/>
      <w:r>
        <w:rPr>
          <w:rFonts w:ascii="Times New Roman" w:hAnsi="Times New Roman" w:cs="Times New Roman"/>
        </w:rPr>
        <w:t>2.1 术语</w:t>
      </w:r>
      <w:bookmarkEnd w:id="6"/>
      <w:bookmarkEnd w:id="7"/>
      <w:bookmarkEnd w:id="8"/>
    </w:p>
    <w:p>
      <w:pPr>
        <w:rPr>
          <w:rFonts w:cs="Times New Roman"/>
          <w:b/>
        </w:rPr>
      </w:pPr>
      <w:r>
        <w:rPr>
          <w:rFonts w:cs="Times New Roman"/>
        </w:rPr>
        <w:t>2.1.1火灾后结构鉴定structural assessment after fire</w:t>
      </w:r>
    </w:p>
    <w:p>
      <w:pPr>
        <w:ind w:firstLine="420" w:firstLineChars="200"/>
        <w:rPr>
          <w:rFonts w:cs="Times New Roman"/>
        </w:rPr>
      </w:pPr>
      <w:r>
        <w:rPr>
          <w:rFonts w:cs="Times New Roman"/>
        </w:rPr>
        <w:t>为评估火灾后结构</w:t>
      </w:r>
      <w:r>
        <w:rPr>
          <w:rFonts w:hint="eastAsia" w:cs="Times New Roman"/>
        </w:rPr>
        <w:t>安全</w:t>
      </w:r>
      <w:r>
        <w:rPr>
          <w:rFonts w:cs="Times New Roman"/>
        </w:rPr>
        <w:t>性而进行的检测鉴定工作。</w:t>
      </w:r>
    </w:p>
    <w:p>
      <w:pPr>
        <w:rPr>
          <w:rFonts w:cs="Times New Roman"/>
          <w:b/>
        </w:rPr>
      </w:pPr>
      <w:r>
        <w:rPr>
          <w:rFonts w:cs="Times New Roman"/>
        </w:rPr>
        <w:t>2.1.2火场残留物 debris in scene of fire</w:t>
      </w:r>
    </w:p>
    <w:p>
      <w:pPr>
        <w:ind w:firstLine="420" w:firstLineChars="200"/>
        <w:rPr>
          <w:rFonts w:cs="Times New Roman"/>
        </w:rPr>
      </w:pPr>
      <w:r>
        <w:rPr>
          <w:rFonts w:cs="Times New Roman"/>
        </w:rPr>
        <w:t>火灾后现场残存的物品。</w:t>
      </w:r>
    </w:p>
    <w:p>
      <w:pPr>
        <w:rPr>
          <w:rFonts w:cs="Times New Roman"/>
          <w:b/>
        </w:rPr>
      </w:pPr>
      <w:r>
        <w:rPr>
          <w:rFonts w:cs="Times New Roman"/>
        </w:rPr>
        <w:t>2.1.3火灾荷载密度fire load density</w:t>
      </w:r>
    </w:p>
    <w:p>
      <w:pPr>
        <w:ind w:firstLine="420" w:firstLineChars="200"/>
        <w:rPr>
          <w:rFonts w:cs="Times New Roman"/>
        </w:rPr>
      </w:pPr>
      <w:r>
        <w:rPr>
          <w:rFonts w:cs="Times New Roman"/>
        </w:rPr>
        <w:t>火场单位建筑面积可燃物的发热量。</w:t>
      </w:r>
    </w:p>
    <w:p>
      <w:pPr>
        <w:rPr>
          <w:rFonts w:cs="Times New Roman"/>
          <w:b/>
        </w:rPr>
      </w:pPr>
      <w:r>
        <w:rPr>
          <w:rFonts w:cs="Times New Roman"/>
        </w:rPr>
        <w:t>2.1.4火灾温度作用过程temperature –time process</w:t>
      </w:r>
    </w:p>
    <w:p>
      <w:pPr>
        <w:ind w:firstLine="420" w:firstLineChars="200"/>
        <w:rPr>
          <w:rFonts w:cs="Times New Roman"/>
        </w:rPr>
      </w:pPr>
      <w:r>
        <w:rPr>
          <w:rFonts w:cs="Times New Roman"/>
        </w:rPr>
        <w:t>火灾场所从开始燃烧、发展、猛烈燃烧、减弱到熄灭全过程温度与时间关系的历程。</w:t>
      </w:r>
    </w:p>
    <w:p>
      <w:pPr>
        <w:rPr>
          <w:rFonts w:cs="Times New Roman"/>
        </w:rPr>
      </w:pPr>
      <w:r>
        <w:rPr>
          <w:rFonts w:cs="Times New Roman"/>
        </w:rPr>
        <w:t>2.1.5火灾后结构构件温度分析temperature analysis of structural element after fire</w:t>
      </w:r>
    </w:p>
    <w:p>
      <w:pPr>
        <w:ind w:firstLine="420" w:firstLineChars="200"/>
        <w:rPr>
          <w:rFonts w:cs="Times New Roman"/>
        </w:rPr>
      </w:pPr>
      <w:r>
        <w:rPr>
          <w:rFonts w:cs="Times New Roman"/>
        </w:rPr>
        <w:t>根据构件和防火层表面受热作用和构件材料热性能确定构件表面和内部温度的分布状况。</w:t>
      </w:r>
    </w:p>
    <w:p>
      <w:pPr>
        <w:rPr>
          <w:rFonts w:cs="Times New Roman"/>
        </w:rPr>
      </w:pPr>
      <w:r>
        <w:rPr>
          <w:rFonts w:cs="Times New Roman"/>
        </w:rPr>
        <w:t>2.1.6结构整体分析（火灾状况下）global structural analysis (under fire environment)</w:t>
      </w:r>
    </w:p>
    <w:p>
      <w:pPr>
        <w:ind w:firstLine="420" w:firstLineChars="200"/>
        <w:rPr>
          <w:rFonts w:cs="Times New Roman"/>
        </w:rPr>
      </w:pPr>
      <w:r>
        <w:rPr>
          <w:rFonts w:cs="Times New Roman"/>
        </w:rPr>
        <w:t>当整体结构或结构局部遭受火灾时，以整幢结构或其独立区段为对象，对火的直接作用效应和间接作用效应进行的分析。</w:t>
      </w:r>
    </w:p>
    <w:p>
      <w:pPr>
        <w:rPr>
          <w:rFonts w:cs="Times New Roman"/>
          <w:b/>
        </w:rPr>
      </w:pPr>
      <w:r>
        <w:rPr>
          <w:rFonts w:cs="Times New Roman"/>
        </w:rPr>
        <w:t>2.1.7火的间接作用indirect fire action</w:t>
      </w:r>
    </w:p>
    <w:p>
      <w:pPr>
        <w:ind w:firstLine="420" w:firstLineChars="200"/>
        <w:rPr>
          <w:rFonts w:cs="Times New Roman"/>
        </w:rPr>
      </w:pPr>
      <w:r>
        <w:rPr>
          <w:rFonts w:cs="Times New Roman"/>
        </w:rPr>
        <w:t>火灾作用下由于结构、构件热变形引起的非直接受火结构、构件的内力和变形。</w:t>
      </w:r>
    </w:p>
    <w:p>
      <w:pPr>
        <w:rPr>
          <w:rFonts w:cs="Times New Roman"/>
        </w:rPr>
      </w:pPr>
      <w:r>
        <w:rPr>
          <w:rFonts w:cs="Times New Roman"/>
        </w:rPr>
        <w:t>2.1.8标准当量升温时间normal equivalent temperature rise time</w:t>
      </w:r>
    </w:p>
    <w:p>
      <w:pPr>
        <w:ind w:firstLine="420" w:firstLineChars="200"/>
        <w:rPr>
          <w:rFonts w:cs="Times New Roman"/>
        </w:rPr>
      </w:pPr>
      <w:r>
        <w:rPr>
          <w:rFonts w:cs="Times New Roman"/>
        </w:rPr>
        <w:t>火灾作用达到的最高温度相当于采用ISO834标准升温曲线进行标准火灾试验达到相同温度所对应的升温时间。</w:t>
      </w:r>
    </w:p>
    <w:p>
      <w:pPr>
        <w:rPr>
          <w:rFonts w:cs="Times New Roman"/>
          <w:b/>
        </w:rPr>
      </w:pPr>
      <w:r>
        <w:rPr>
          <w:rFonts w:cs="Times New Roman"/>
        </w:rPr>
        <w:t>2.1.9重要构件dominant member</w:t>
      </w:r>
    </w:p>
    <w:p>
      <w:pPr>
        <w:ind w:firstLine="420" w:firstLineChars="200"/>
        <w:rPr>
          <w:rFonts w:cs="Times New Roman"/>
        </w:rPr>
      </w:pPr>
      <w:r>
        <w:rPr>
          <w:rFonts w:cs="Times New Roman"/>
        </w:rPr>
        <w:t>指自身失效将影响或危及承重结构整体或局部安全工作或直接影响结构整体正常使用的构件。</w:t>
      </w:r>
    </w:p>
    <w:p>
      <w:pPr>
        <w:rPr>
          <w:rFonts w:cs="Times New Roman"/>
        </w:rPr>
      </w:pPr>
      <w:r>
        <w:rPr>
          <w:rFonts w:cs="Times New Roman"/>
        </w:rPr>
        <w:t>2.1.10</w:t>
      </w:r>
      <w:r>
        <w:rPr>
          <w:rFonts w:hint="eastAsia" w:cs="Times New Roman"/>
        </w:rPr>
        <w:t>次要构件secon</w:t>
      </w:r>
      <w:r>
        <w:rPr>
          <w:rFonts w:cs="Times New Roman"/>
        </w:rPr>
        <w:t>dary member</w:t>
      </w:r>
    </w:p>
    <w:p>
      <w:pPr>
        <w:ind w:firstLine="420" w:firstLineChars="200"/>
        <w:rPr>
          <w:rFonts w:cs="Times New Roman"/>
        </w:rPr>
      </w:pPr>
      <w:r>
        <w:rPr>
          <w:rFonts w:cs="Times New Roman"/>
        </w:rPr>
        <w:t>其自身失效为孤立事件不会导致其他构件失效，并不影响承重结构整体安全工作或不直接影响结构整体正常使用的构件。</w:t>
      </w:r>
    </w:p>
    <w:p>
      <w:pPr>
        <w:pStyle w:val="3"/>
        <w:rPr>
          <w:rFonts w:ascii="Times New Roman" w:hAnsi="Times New Roman" w:cs="Times New Roman"/>
        </w:rPr>
      </w:pPr>
      <w:bookmarkStart w:id="9" w:name="_Toc505085880"/>
      <w:bookmarkStart w:id="10" w:name="_Toc501474070"/>
      <w:bookmarkStart w:id="11" w:name="_Toc500168092"/>
      <w:r>
        <w:rPr>
          <w:rFonts w:ascii="Times New Roman" w:hAnsi="Times New Roman" w:cs="Times New Roman"/>
        </w:rPr>
        <w:t>2.2 符号</w:t>
      </w:r>
      <w:bookmarkEnd w:id="9"/>
      <w:bookmarkEnd w:id="10"/>
      <w:bookmarkEnd w:id="11"/>
    </w:p>
    <w:p>
      <w:pPr>
        <w:rPr>
          <w:rFonts w:cs="Times New Roman"/>
        </w:rPr>
      </w:pPr>
    </w:p>
    <w:p>
      <w:pPr>
        <w:ind w:firstLine="420" w:firstLineChars="200"/>
        <w:rPr>
          <w:rFonts w:cs="Times New Roman"/>
        </w:rPr>
      </w:pPr>
      <w:r>
        <w:rPr>
          <w:rFonts w:cs="Times New Roman"/>
        </w:rPr>
        <w:object>
          <v:shape id="_x0000_i1025" o:spt="75" type="#_x0000_t75" style="height:13.8pt;width:6pt;" o:ole="t" fillcolor="#000005 [-4142]" filled="f" o:preferrelative="t" stroked="f" coordsize="21600,21600">
            <v:path/>
            <v:fill on="f" focussize="0,0"/>
            <v:stroke on="f" joinstyle="miter"/>
            <v:imagedata r:id="rId30" o:title=""/>
            <o:lock v:ext="edit" aspectratio="t"/>
            <w10:wrap type="none"/>
            <w10:anchorlock/>
          </v:shape>
          <o:OLEObject Type="Embed" ProgID="Equation.3" ShapeID="_x0000_i1025" DrawAspect="Content" ObjectID="_1468075725" r:id="rId29">
            <o:LockedField>false</o:LockedField>
          </o:OLEObject>
        </w:object>
      </w:r>
      <w:r>
        <w:rPr>
          <w:rFonts w:cs="Times New Roman"/>
          <w:vertAlign w:val="subscript"/>
        </w:rPr>
        <w:t>e</w:t>
      </w:r>
      <w:r>
        <w:rPr>
          <w:rFonts w:cs="Times New Roman"/>
        </w:rPr>
        <w:t>——房间内火灾的当量标准升温时间；</w:t>
      </w:r>
      <w:r>
        <w:rPr>
          <w:rFonts w:cs="Times New Roman"/>
        </w:rPr>
        <w:tab/>
      </w:r>
    </w:p>
    <w:p>
      <w:pPr>
        <w:ind w:firstLine="420" w:firstLineChars="200"/>
        <w:rPr>
          <w:rFonts w:cs="Times New Roman"/>
        </w:rPr>
      </w:pPr>
      <w:r>
        <w:rPr>
          <w:rFonts w:cs="Times New Roman"/>
          <w:i/>
        </w:rPr>
        <w:t>T</w:t>
      </w:r>
      <w:r>
        <w:rPr>
          <w:rFonts w:cs="Times New Roman"/>
        </w:rPr>
        <w:t>——构件的表面温度；</w:t>
      </w:r>
    </w:p>
    <w:p>
      <w:pPr>
        <w:ind w:firstLine="420" w:firstLineChars="200"/>
        <w:rPr>
          <w:rFonts w:cs="Times New Roman"/>
        </w:rPr>
      </w:pPr>
      <w:r>
        <w:rPr>
          <w:rFonts w:cs="Times New Roman"/>
          <w:i/>
        </w:rPr>
        <w:t>ω</w:t>
      </w:r>
      <w:r>
        <w:rPr>
          <w:rFonts w:cs="Times New Roman"/>
        </w:rPr>
        <w:t>——火灾后受弯构件实际挠度；</w:t>
      </w:r>
    </w:p>
    <w:p>
      <w:pPr>
        <w:ind w:firstLine="420" w:firstLineChars="200"/>
        <w:rPr>
          <w:rFonts w:cs="Times New Roman"/>
        </w:rPr>
      </w:pPr>
      <w:r>
        <w:rPr>
          <w:rFonts w:cs="Times New Roman"/>
        </w:rPr>
        <w:t>[</w:t>
      </w:r>
      <w:r>
        <w:rPr>
          <w:rFonts w:cs="Times New Roman"/>
          <w:i/>
        </w:rPr>
        <w:t>ω</w:t>
      </w:r>
      <w:r>
        <w:rPr>
          <w:rFonts w:cs="Times New Roman"/>
        </w:rPr>
        <w:t>]——受弯构件的挠度限值；</w:t>
      </w:r>
    </w:p>
    <w:p>
      <w:pPr>
        <w:ind w:firstLine="420" w:firstLineChars="200"/>
        <w:rPr>
          <w:rFonts w:cs="Times New Roman"/>
        </w:rPr>
      </w:pPr>
      <w:r>
        <w:rPr>
          <w:rFonts w:cs="Times New Roman"/>
          <w:i/>
        </w:rPr>
        <w:t>w</w:t>
      </w:r>
      <w:r>
        <w:rPr>
          <w:rFonts w:cs="Times New Roman"/>
          <w:vertAlign w:val="subscript"/>
        </w:rPr>
        <w:t>f</w:t>
      </w:r>
      <w:r>
        <w:rPr>
          <w:rFonts w:cs="Times New Roman"/>
        </w:rPr>
        <w:t>——砌体结构最大裂缝宽度;</w:t>
      </w:r>
    </w:p>
    <w:p>
      <w:pPr>
        <w:ind w:firstLine="420" w:firstLineChars="200"/>
        <w:rPr>
          <w:rFonts w:cs="Times New Roman"/>
        </w:rPr>
      </w:pPr>
      <w:r>
        <w:rPr>
          <w:rFonts w:cs="Times New Roman"/>
          <w:i/>
        </w:rPr>
        <w:sym w:font="Symbol" w:char="F064"/>
      </w:r>
      <w:r>
        <w:rPr>
          <w:rFonts w:cs="Times New Roman"/>
        </w:rPr>
        <w:t>——多层房屋楼层层间位移；</w:t>
      </w:r>
    </w:p>
    <w:p>
      <w:pPr>
        <w:ind w:firstLine="420" w:firstLineChars="200"/>
        <w:rPr>
          <w:rFonts w:cs="Times New Roman"/>
        </w:rPr>
      </w:pPr>
      <w:r>
        <w:rPr>
          <w:rFonts w:cs="Times New Roman"/>
          <w:i/>
        </w:rPr>
        <w:t>R</w:t>
      </w:r>
      <w:r>
        <w:rPr>
          <w:rFonts w:cs="Times New Roman"/>
          <w:vertAlign w:val="subscript"/>
        </w:rPr>
        <w:t>f</w:t>
      </w:r>
      <w:r>
        <w:rPr>
          <w:rFonts w:cs="Times New Roman"/>
        </w:rPr>
        <w:t>——火灾后结构构件的抗力；</w:t>
      </w:r>
    </w:p>
    <w:p>
      <w:pPr>
        <w:ind w:firstLine="420" w:firstLineChars="200"/>
        <w:rPr>
          <w:rFonts w:cs="Times New Roman"/>
        </w:rPr>
      </w:pPr>
      <w:r>
        <w:rPr>
          <w:rFonts w:cs="Times New Roman"/>
          <w:i/>
        </w:rPr>
        <w:t>S</w:t>
      </w:r>
      <w:r>
        <w:rPr>
          <w:rFonts w:cs="Times New Roman"/>
        </w:rPr>
        <w:t>——结构构件上的作用效应；</w:t>
      </w:r>
    </w:p>
    <w:p>
      <w:pPr>
        <w:ind w:firstLine="420" w:firstLineChars="200"/>
        <w:rPr>
          <w:rFonts w:cs="Times New Roman"/>
        </w:rPr>
      </w:pPr>
      <w:r>
        <w:rPr>
          <w:rFonts w:cs="Times New Roman"/>
          <w:i/>
        </w:rPr>
        <w:t>γ</w:t>
      </w:r>
      <w:r>
        <w:rPr>
          <w:rFonts w:cs="Times New Roman"/>
          <w:vertAlign w:val="subscript"/>
        </w:rPr>
        <w:t>0</w:t>
      </w:r>
      <w:r>
        <w:rPr>
          <w:rFonts w:cs="Times New Roman"/>
        </w:rPr>
        <w:t>——结构重要性系数；</w:t>
      </w:r>
    </w:p>
    <w:p>
      <w:pPr>
        <w:ind w:firstLine="420" w:firstLineChars="200"/>
        <w:rPr>
          <w:rFonts w:cs="Times New Roman"/>
        </w:rPr>
      </w:pPr>
      <w:r>
        <w:rPr>
          <w:rFonts w:cs="Times New Roman"/>
          <w:i/>
        </w:rPr>
        <w:t>l</w:t>
      </w:r>
      <w:r>
        <w:rPr>
          <w:rFonts w:cs="Times New Roman"/>
          <w:vertAlign w:val="subscript"/>
        </w:rPr>
        <w:t>0</w:t>
      </w:r>
      <w:r>
        <w:rPr>
          <w:rFonts w:cs="Times New Roman"/>
          <w:vertAlign w:val="subscript"/>
        </w:rPr>
        <w:softHyphen/>
      </w:r>
      <w:r>
        <w:rPr>
          <w:rFonts w:cs="Times New Roman"/>
          <w:i/>
        </w:rPr>
        <w:t>——</w:t>
      </w:r>
      <w:r>
        <w:rPr>
          <w:rFonts w:cs="Times New Roman"/>
        </w:rPr>
        <w:t>构件计算跨度；</w:t>
      </w:r>
    </w:p>
    <w:p>
      <w:pPr>
        <w:ind w:firstLine="420" w:firstLineChars="200"/>
        <w:rPr>
          <w:rFonts w:cs="Times New Roman"/>
        </w:rPr>
      </w:pPr>
      <w:r>
        <w:rPr>
          <w:rFonts w:cs="Times New Roman"/>
          <w:i/>
          <w:iCs/>
        </w:rPr>
        <w:t>h</w:t>
      </w:r>
      <w:r>
        <w:rPr>
          <w:rFonts w:cs="Times New Roman"/>
        </w:rPr>
        <w:t>——楼层层高或独立柱高；</w:t>
      </w:r>
    </w:p>
    <w:p>
      <w:pPr>
        <w:ind w:firstLine="420" w:firstLineChars="200"/>
        <w:rPr>
          <w:rFonts w:cs="Times New Roman"/>
        </w:rPr>
      </w:pPr>
      <w:r>
        <w:rPr>
          <w:rFonts w:cs="Times New Roman"/>
          <w:i/>
        </w:rPr>
        <w:t>H</w:t>
      </w:r>
      <w:r>
        <w:rPr>
          <w:rFonts w:cs="Times New Roman"/>
        </w:rPr>
        <w:t>——钢结构柱总高或砌体结构房屋总高度；</w:t>
      </w:r>
    </w:p>
    <w:p>
      <w:pPr>
        <w:ind w:firstLine="420" w:firstLineChars="200"/>
        <w:rPr>
          <w:rFonts w:cs="Times New Roman"/>
        </w:rPr>
      </w:pPr>
      <w:r>
        <w:rPr>
          <w:rFonts w:cs="Times New Roman"/>
          <w:i/>
        </w:rPr>
        <w:t>H</w:t>
      </w:r>
      <w:r>
        <w:rPr>
          <w:rFonts w:cs="Times New Roman"/>
          <w:vertAlign w:val="subscript"/>
        </w:rPr>
        <w:t>T</w:t>
      </w:r>
      <w:r>
        <w:rPr>
          <w:rFonts w:cs="Times New Roman"/>
        </w:rPr>
        <w:t>——单层房屋柱脚底面至吊车梁或吊车桁架顶面的高度。</w:t>
      </w:r>
    </w:p>
    <w:p>
      <w:pPr>
        <w:adjustRightInd/>
        <w:snapToGrid/>
        <w:ind w:firstLine="420" w:firstLineChars="200"/>
        <w:rPr>
          <w:rFonts w:eastAsia="楷体" w:cs="Times New Roman"/>
          <w:szCs w:val="22"/>
        </w:rPr>
      </w:pPr>
      <w:r>
        <w:rPr>
          <w:rFonts w:eastAsia="楷体" w:cs="Times New Roman"/>
          <w:szCs w:val="22"/>
        </w:rPr>
        <w:br w:type="page"/>
      </w:r>
    </w:p>
    <w:p>
      <w:pPr>
        <w:pStyle w:val="2"/>
        <w:rPr>
          <w:rFonts w:cs="Times New Roman"/>
        </w:rPr>
        <w:sectPr>
          <w:pgSz w:w="11906" w:h="16838"/>
          <w:pgMar w:top="1440" w:right="1080" w:bottom="1440" w:left="1080" w:header="851" w:footer="992" w:gutter="0"/>
          <w:cols w:space="425" w:num="1"/>
          <w:docGrid w:type="lines" w:linePitch="312" w:charSpace="0"/>
        </w:sectPr>
      </w:pPr>
      <w:bookmarkStart w:id="12" w:name="_Toc500168093"/>
    </w:p>
    <w:p>
      <w:pPr>
        <w:pStyle w:val="2"/>
        <w:rPr>
          <w:rFonts w:cs="Times New Roman"/>
        </w:rPr>
      </w:pPr>
      <w:bookmarkStart w:id="13" w:name="_Toc501474071"/>
      <w:bookmarkStart w:id="14" w:name="_Toc505085881"/>
      <w:r>
        <w:rPr>
          <w:rFonts w:cs="Times New Roman"/>
        </w:rPr>
        <w:t>3基本规定</w:t>
      </w:r>
      <w:bookmarkEnd w:id="12"/>
      <w:bookmarkEnd w:id="13"/>
      <w:bookmarkEnd w:id="14"/>
    </w:p>
    <w:p>
      <w:pPr>
        <w:pStyle w:val="3"/>
        <w:rPr>
          <w:rFonts w:ascii="Times New Roman" w:hAnsi="Times New Roman" w:cs="Times New Roman"/>
        </w:rPr>
      </w:pPr>
      <w:bookmarkStart w:id="15" w:name="_Toc500168094"/>
      <w:bookmarkStart w:id="16" w:name="_Toc501474072"/>
      <w:bookmarkStart w:id="17" w:name="_Toc505085882"/>
      <w:r>
        <w:rPr>
          <w:rFonts w:ascii="Times New Roman" w:hAnsi="Times New Roman" w:cs="Times New Roman"/>
        </w:rPr>
        <w:t>3.1一般规定</w:t>
      </w:r>
      <w:bookmarkEnd w:id="15"/>
      <w:bookmarkEnd w:id="16"/>
      <w:bookmarkEnd w:id="17"/>
    </w:p>
    <w:p>
      <w:pPr>
        <w:rPr>
          <w:rFonts w:cs="Times New Roman"/>
        </w:rPr>
      </w:pPr>
      <w:r>
        <w:rPr>
          <w:b/>
        </w:rPr>
        <w:t>3.1.1</w:t>
      </w:r>
      <w:r>
        <w:rPr>
          <w:rFonts w:cs="Times New Roman"/>
        </w:rPr>
        <w:t>火灾后应及时对工程结构进行检测鉴定。</w:t>
      </w:r>
    </w:p>
    <w:p>
      <w:pPr>
        <w:rPr>
          <w:b/>
        </w:rPr>
      </w:pPr>
      <w:r>
        <w:rPr>
          <w:b/>
        </w:rPr>
        <w:t xml:space="preserve">3.1.2 </w:t>
      </w:r>
      <w:r>
        <w:t>现场检测前</w:t>
      </w:r>
      <w:r>
        <w:rPr>
          <w:rFonts w:hint="eastAsia"/>
        </w:rPr>
        <w:t>应对主体结构及其附属物进行</w:t>
      </w:r>
      <w:r>
        <w:t>垮塌</w:t>
      </w:r>
      <w:r>
        <w:rPr>
          <w:rFonts w:hint="eastAsia"/>
        </w:rPr>
        <w:t>风险性评估，必要时应采取</w:t>
      </w:r>
      <w:r>
        <w:t>防护措施。</w:t>
      </w:r>
    </w:p>
    <w:p>
      <w:pPr>
        <w:rPr>
          <w:b/>
        </w:rPr>
      </w:pPr>
      <w:r>
        <w:rPr>
          <w:b/>
        </w:rPr>
        <w:t xml:space="preserve">3.1.3 </w:t>
      </w:r>
      <w:r>
        <w:t>鉴定对象可为工程结构整体或相对独立的</w:t>
      </w:r>
      <w:r>
        <w:rPr>
          <w:rFonts w:hint="eastAsia"/>
        </w:rPr>
        <w:t>结构</w:t>
      </w:r>
      <w:r>
        <w:t>单元，除对过火部位进行火灾后鉴定外，还应对该</w:t>
      </w:r>
      <w:r>
        <w:rPr>
          <w:rFonts w:hint="eastAsia"/>
        </w:rPr>
        <w:t>结构</w:t>
      </w:r>
      <w:r>
        <w:t>其他部位进行鉴定。</w:t>
      </w:r>
    </w:p>
    <w:p>
      <w:pPr>
        <w:pStyle w:val="3"/>
        <w:rPr>
          <w:rFonts w:ascii="Times New Roman" w:hAnsi="Times New Roman" w:cs="Times New Roman"/>
        </w:rPr>
      </w:pPr>
      <w:bookmarkStart w:id="18" w:name="_Toc505085883"/>
      <w:bookmarkStart w:id="19" w:name="_Toc501474073"/>
      <w:bookmarkStart w:id="20" w:name="_Toc500168095"/>
      <w:r>
        <w:rPr>
          <w:rFonts w:ascii="Times New Roman" w:hAnsi="Times New Roman" w:cs="Times New Roman"/>
        </w:rPr>
        <w:t>3.2鉴定程序和工作内容</w:t>
      </w:r>
      <w:bookmarkEnd w:id="18"/>
      <w:bookmarkEnd w:id="19"/>
      <w:bookmarkEnd w:id="20"/>
    </w:p>
    <w:p>
      <w:pPr>
        <w:rPr>
          <w:rFonts w:cs="Times New Roman"/>
        </w:rPr>
      </w:pPr>
      <w:r>
        <w:rPr>
          <w:b/>
        </w:rPr>
        <w:t>3.2.1</w:t>
      </w:r>
      <w:r>
        <w:rPr>
          <w:rFonts w:cs="Times New Roman"/>
        </w:rPr>
        <w:t>工程结构火灾后的鉴定，可根据结构鉴定的需要，分为初步鉴定和详细鉴定两阶段进行。初步鉴定以构件</w:t>
      </w:r>
      <w:r>
        <w:rPr>
          <w:rFonts w:hint="eastAsia" w:cs="Times New Roman"/>
        </w:rPr>
        <w:t>的</w:t>
      </w:r>
      <w:r>
        <w:rPr>
          <w:rFonts w:cs="Times New Roman"/>
        </w:rPr>
        <w:t>宏观检查鉴定为主，详细鉴定以承载能力结合火灾影响进行综合评价。</w:t>
      </w:r>
    </w:p>
    <w:p>
      <w:pPr>
        <w:rPr>
          <w:rFonts w:cs="Times New Roman"/>
        </w:rPr>
      </w:pPr>
      <w:r>
        <w:rPr>
          <w:b/>
        </w:rPr>
        <w:t>3.2.2</w:t>
      </w:r>
      <w:r>
        <w:rPr>
          <w:rFonts w:cs="Times New Roman"/>
        </w:rPr>
        <w:t>工程结构火灾后的鉴定，应按下列规定的鉴定程序（图3.2.2）进行。</w:t>
      </w:r>
    </w:p>
    <w:p>
      <w:pPr>
        <w:rPr>
          <w:rFonts w:cs="Times New Roman"/>
        </w:rPr>
      </w:pPr>
    </w:p>
    <w:p>
      <w:pPr>
        <w:jc w:val="center"/>
        <w:rPr>
          <w:rFonts w:cs="Times New Roman"/>
        </w:rPr>
      </w:pPr>
      <w:r>
        <w:rPr>
          <w:rFonts w:cs="Times New Roman"/>
        </w:rPr>
        <w:drawing>
          <wp:inline distT="0" distB="0" distL="0" distR="0">
            <wp:extent cx="3114675" cy="27247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t="10284"/>
                    <a:stretch>
                      <a:fillRect/>
                    </a:stretch>
                  </pic:blipFill>
                  <pic:spPr>
                    <a:xfrm>
                      <a:off x="0" y="0"/>
                      <a:ext cx="3145058" cy="2751177"/>
                    </a:xfrm>
                    <a:prstGeom prst="rect">
                      <a:avLst/>
                    </a:prstGeom>
                    <a:noFill/>
                    <a:ln>
                      <a:noFill/>
                    </a:ln>
                  </pic:spPr>
                </pic:pic>
              </a:graphicData>
            </a:graphic>
          </wp:inline>
        </w:drawing>
      </w:r>
    </w:p>
    <w:p>
      <w:pPr>
        <w:jc w:val="center"/>
        <w:rPr>
          <w:rFonts w:cs="Times New Roman"/>
        </w:rPr>
      </w:pPr>
      <w:r>
        <w:rPr>
          <w:rFonts w:cs="Times New Roman"/>
        </w:rPr>
        <w:t>图3.2.2火灾后工程结构鉴定程序</w:t>
      </w:r>
    </w:p>
    <w:p>
      <w:pPr>
        <w:rPr>
          <w:rFonts w:cs="Times New Roman"/>
        </w:rPr>
      </w:pPr>
      <w:r>
        <w:rPr>
          <w:b/>
        </w:rPr>
        <w:t>3.2.3</w:t>
      </w:r>
      <w:r>
        <w:rPr>
          <w:rFonts w:cs="Times New Roman"/>
        </w:rPr>
        <w:t>初步调查应包括下列基本工作内容：</w:t>
      </w:r>
    </w:p>
    <w:p>
      <w:pPr>
        <w:ind w:firstLine="420" w:firstLineChars="200"/>
        <w:rPr>
          <w:rFonts w:cs="Times New Roman"/>
        </w:rPr>
      </w:pPr>
      <w:r>
        <w:rPr>
          <w:rFonts w:cs="Times New Roman"/>
        </w:rPr>
        <w:t>1了解火灾过程及火灾影响区域</w:t>
      </w:r>
      <w:r>
        <w:rPr>
          <w:rFonts w:hint="eastAsia" w:cs="Times New Roman"/>
        </w:rPr>
        <w:t>，</w:t>
      </w:r>
      <w:r>
        <w:rPr>
          <w:rFonts w:cs="Times New Roman"/>
        </w:rPr>
        <w:t>查阅火灾报告</w:t>
      </w:r>
      <w:r>
        <w:rPr>
          <w:rFonts w:hint="eastAsia" w:cs="Times New Roman"/>
        </w:rPr>
        <w:t>等资料</w:t>
      </w:r>
      <w:r>
        <w:rPr>
          <w:rFonts w:cs="Times New Roman"/>
        </w:rPr>
        <w:t>。</w:t>
      </w:r>
    </w:p>
    <w:p>
      <w:pPr>
        <w:ind w:firstLine="420" w:firstLineChars="200"/>
        <w:rPr>
          <w:rFonts w:cs="Times New Roman"/>
        </w:rPr>
      </w:pPr>
      <w:r>
        <w:rPr>
          <w:rFonts w:cs="Times New Roman"/>
        </w:rPr>
        <w:t>2 现场勘查</w:t>
      </w:r>
      <w:r>
        <w:rPr>
          <w:rFonts w:hint="eastAsia" w:cs="Times New Roman"/>
        </w:rPr>
        <w:t>了解</w:t>
      </w:r>
      <w:r>
        <w:rPr>
          <w:rFonts w:cs="Times New Roman"/>
        </w:rPr>
        <w:t>火灾或残留物状况；</w:t>
      </w:r>
    </w:p>
    <w:p>
      <w:pPr>
        <w:ind w:firstLine="420" w:firstLineChars="200"/>
        <w:rPr>
          <w:rFonts w:cs="Times New Roman"/>
        </w:rPr>
      </w:pPr>
      <w:r>
        <w:rPr>
          <w:rFonts w:cs="Times New Roman"/>
        </w:rPr>
        <w:t>3 观察结构损伤严重程度</w:t>
      </w:r>
      <w:r>
        <w:rPr>
          <w:rFonts w:hint="eastAsia" w:cs="Times New Roman"/>
        </w:rPr>
        <w:t>，了解结构现状概况；</w:t>
      </w:r>
    </w:p>
    <w:p>
      <w:pPr>
        <w:ind w:firstLine="420" w:firstLineChars="200"/>
        <w:rPr>
          <w:rFonts w:hint="eastAsia" w:ascii="inherit" w:hAnsi="inherit"/>
          <w:szCs w:val="21"/>
        </w:rPr>
      </w:pPr>
      <w:r>
        <w:rPr>
          <w:rFonts w:ascii="inherit" w:hAnsi="inherit"/>
          <w:szCs w:val="21"/>
        </w:rPr>
        <w:t>4 判断</w:t>
      </w:r>
      <w:r>
        <w:rPr>
          <w:rFonts w:hint="eastAsia" w:ascii="inherit" w:hAnsi="inherit"/>
          <w:szCs w:val="21"/>
        </w:rPr>
        <w:t>主体结构及附属物</w:t>
      </w:r>
      <w:r>
        <w:rPr>
          <w:rFonts w:ascii="inherit" w:hAnsi="inherit"/>
          <w:szCs w:val="21"/>
        </w:rPr>
        <w:t>出现垮塌的</w:t>
      </w:r>
      <w:r>
        <w:rPr>
          <w:rFonts w:hint="eastAsia" w:ascii="inherit" w:hAnsi="inherit"/>
          <w:szCs w:val="21"/>
        </w:rPr>
        <w:t>风险性</w:t>
      </w:r>
      <w:r>
        <w:rPr>
          <w:rFonts w:ascii="inherit" w:hAnsi="inherit"/>
          <w:szCs w:val="21"/>
        </w:rPr>
        <w:t>；</w:t>
      </w:r>
    </w:p>
    <w:p>
      <w:pPr>
        <w:ind w:firstLine="420" w:firstLineChars="200"/>
        <w:rPr>
          <w:rFonts w:cs="Times New Roman"/>
        </w:rPr>
      </w:pPr>
      <w:r>
        <w:rPr>
          <w:rFonts w:cs="Times New Roman"/>
        </w:rPr>
        <w:t>5查阅图纸资料，包括结构设计和竣工资料，调查结构使用历史及目前实际使用状况。</w:t>
      </w:r>
    </w:p>
    <w:p>
      <w:pPr>
        <w:ind w:firstLine="420" w:firstLineChars="200"/>
        <w:rPr>
          <w:rFonts w:cs="Times New Roman"/>
        </w:rPr>
      </w:pPr>
      <w:r>
        <w:rPr>
          <w:rFonts w:cs="Times New Roman"/>
        </w:rPr>
        <w:t>6 确定调查与检测工作大纲，拟订鉴定方案。</w:t>
      </w:r>
    </w:p>
    <w:p>
      <w:pPr>
        <w:rPr>
          <w:rFonts w:cs="Times New Roman"/>
        </w:rPr>
      </w:pPr>
    </w:p>
    <w:p>
      <w:pPr>
        <w:rPr>
          <w:rFonts w:cs="Times New Roman"/>
        </w:rPr>
      </w:pPr>
      <w:r>
        <w:rPr>
          <w:b/>
        </w:rPr>
        <w:t>3.2.4</w:t>
      </w:r>
      <w:r>
        <w:rPr>
          <w:rFonts w:cs="Times New Roman"/>
        </w:rPr>
        <w:t>鉴定方案应根据鉴定对象的特点和初步调查结果、鉴定目的和要求制订</w:t>
      </w:r>
      <w:r>
        <w:rPr>
          <w:rFonts w:hint="eastAsia" w:cs="Times New Roman"/>
        </w:rPr>
        <w:t>，</w:t>
      </w:r>
      <w:r>
        <w:rPr>
          <w:rFonts w:cs="Times New Roman"/>
        </w:rPr>
        <w:t>并包括下列基本工作内容</w:t>
      </w:r>
      <w:r>
        <w:rPr>
          <w:rFonts w:hint="eastAsia" w:cs="Times New Roman"/>
        </w:rPr>
        <w:t>：</w:t>
      </w:r>
    </w:p>
    <w:p>
      <w:pPr>
        <w:ind w:firstLine="420" w:firstLineChars="200"/>
        <w:rPr>
          <w:rFonts w:cs="Times New Roman"/>
        </w:rPr>
      </w:pPr>
      <w:r>
        <w:rPr>
          <w:rFonts w:hint="eastAsia" w:cs="Times New Roman"/>
        </w:rPr>
        <w:t>1</w:t>
      </w:r>
      <w:r>
        <w:rPr>
          <w:rFonts w:cs="Times New Roman"/>
        </w:rPr>
        <w:t xml:space="preserve"> 检测鉴定的依据</w:t>
      </w:r>
      <w:r>
        <w:rPr>
          <w:rFonts w:hint="eastAsia" w:cs="Times New Roman"/>
        </w:rPr>
        <w:t>；</w:t>
      </w:r>
    </w:p>
    <w:p>
      <w:pPr>
        <w:ind w:firstLine="420" w:firstLineChars="200"/>
        <w:rPr>
          <w:rFonts w:cs="Times New Roman"/>
        </w:rPr>
      </w:pPr>
      <w:r>
        <w:rPr>
          <w:rFonts w:hint="eastAsia" w:cs="Times New Roman"/>
        </w:rPr>
        <w:t>2</w:t>
      </w:r>
      <w:r>
        <w:rPr>
          <w:rFonts w:cs="Times New Roman"/>
        </w:rPr>
        <w:t xml:space="preserve"> 检测鉴定的</w:t>
      </w:r>
      <w:r>
        <w:rPr>
          <w:rFonts w:hint="eastAsia" w:cs="Times New Roman"/>
        </w:rPr>
        <w:t>范围；</w:t>
      </w:r>
    </w:p>
    <w:p>
      <w:pPr>
        <w:ind w:firstLine="420" w:firstLineChars="200"/>
        <w:rPr>
          <w:rFonts w:cs="Times New Roman"/>
        </w:rPr>
      </w:pPr>
      <w:r>
        <w:rPr>
          <w:rFonts w:hint="eastAsia" w:cs="Times New Roman"/>
        </w:rPr>
        <w:t>3</w:t>
      </w:r>
      <w:r>
        <w:rPr>
          <w:rFonts w:cs="Times New Roman"/>
        </w:rPr>
        <w:t xml:space="preserve"> 调查与检测的工作内容</w:t>
      </w:r>
      <w:r>
        <w:rPr>
          <w:rFonts w:hint="eastAsia" w:cs="Times New Roman"/>
        </w:rPr>
        <w:t>；</w:t>
      </w:r>
    </w:p>
    <w:p>
      <w:pPr>
        <w:ind w:firstLine="420" w:firstLineChars="200"/>
        <w:rPr>
          <w:rFonts w:cs="Times New Roman"/>
        </w:rPr>
      </w:pPr>
      <w:r>
        <w:rPr>
          <w:rFonts w:cs="Times New Roman"/>
        </w:rPr>
        <w:t>4 检测方案和主要检测方法</w:t>
      </w:r>
      <w:r>
        <w:rPr>
          <w:rFonts w:hint="eastAsia" w:cs="Times New Roman"/>
        </w:rPr>
        <w:t>；</w:t>
      </w:r>
    </w:p>
    <w:p>
      <w:pPr>
        <w:ind w:firstLine="420" w:firstLineChars="200"/>
        <w:rPr>
          <w:rFonts w:cs="Times New Roman"/>
        </w:rPr>
      </w:pPr>
      <w:r>
        <w:rPr>
          <w:rFonts w:hint="eastAsia" w:cs="Times New Roman"/>
        </w:rPr>
        <w:t>5分析与校核内容；</w:t>
      </w:r>
    </w:p>
    <w:p>
      <w:pPr>
        <w:ind w:firstLine="420" w:firstLineChars="200"/>
        <w:rPr>
          <w:rFonts w:cs="Times New Roman"/>
        </w:rPr>
      </w:pPr>
      <w:r>
        <w:rPr>
          <w:rFonts w:cs="Times New Roman"/>
        </w:rPr>
        <w:t>6工作进度及需由委托方完成的准备工作</w:t>
      </w:r>
      <w:r>
        <w:rPr>
          <w:rFonts w:hint="eastAsia" w:cs="Times New Roman"/>
        </w:rPr>
        <w:t>。</w:t>
      </w:r>
    </w:p>
    <w:p>
      <w:pPr>
        <w:rPr>
          <w:rFonts w:cs="Times New Roman"/>
        </w:rPr>
      </w:pPr>
      <w:r>
        <w:rPr>
          <w:b/>
        </w:rPr>
        <w:t>3.2.5</w:t>
      </w:r>
      <w:r>
        <w:rPr>
          <w:rFonts w:cs="Times New Roman"/>
        </w:rPr>
        <w:t>初步鉴定应包括下列基本工作内容：</w:t>
      </w:r>
    </w:p>
    <w:p>
      <w:pPr>
        <w:ind w:firstLine="420" w:firstLineChars="200"/>
        <w:rPr>
          <w:rFonts w:cs="Times New Roman"/>
        </w:rPr>
      </w:pPr>
      <w:r>
        <w:rPr>
          <w:rFonts w:cs="Times New Roman"/>
        </w:rPr>
        <w:t>1 火作用调查与检测。初步判断结构所受的温度范围和作用时间</w:t>
      </w:r>
      <w:r>
        <w:rPr>
          <w:rFonts w:hint="eastAsia" w:cs="Times New Roman"/>
        </w:rPr>
        <w:t>，</w:t>
      </w:r>
      <w:r>
        <w:rPr>
          <w:rFonts w:cs="Times New Roman"/>
        </w:rPr>
        <w:t>包括调查火灾过程，火场残留物状况及火灾影响区域等</w:t>
      </w:r>
      <w:r>
        <w:rPr>
          <w:rFonts w:hint="eastAsia" w:cs="Times New Roman"/>
        </w:rPr>
        <w:t>。</w:t>
      </w:r>
    </w:p>
    <w:p>
      <w:pPr>
        <w:ind w:firstLine="420" w:firstLineChars="200"/>
        <w:rPr>
          <w:rFonts w:cs="Times New Roman"/>
        </w:rPr>
      </w:pPr>
      <w:r>
        <w:rPr>
          <w:rFonts w:cs="Times New Roman"/>
        </w:rPr>
        <w:t>2 结构现状调查与检测。检查结构构件受火灾的破坏程度，包括结构</w:t>
      </w:r>
      <w:r>
        <w:rPr>
          <w:rFonts w:hint="eastAsia" w:cs="Times New Roman"/>
        </w:rPr>
        <w:t>构件</w:t>
      </w:r>
      <w:r>
        <w:rPr>
          <w:rFonts w:cs="Times New Roman"/>
        </w:rPr>
        <w:t>烧灼</w:t>
      </w:r>
      <w:r>
        <w:rPr>
          <w:rFonts w:hint="eastAsia" w:cs="Times New Roman"/>
        </w:rPr>
        <w:t>及温度</w:t>
      </w:r>
      <w:r>
        <w:rPr>
          <w:rFonts w:cs="Times New Roman"/>
        </w:rPr>
        <w:t>损伤、结构材料性能检测</w:t>
      </w:r>
      <w:r>
        <w:rPr>
          <w:rFonts w:hint="eastAsia" w:cs="Times New Roman"/>
        </w:rPr>
        <w:t>等</w:t>
      </w:r>
      <w:r>
        <w:rPr>
          <w:rFonts w:cs="Times New Roman"/>
        </w:rPr>
        <w:t>。</w:t>
      </w:r>
    </w:p>
    <w:p>
      <w:pPr>
        <w:ind w:firstLine="420" w:firstLineChars="200"/>
        <w:rPr>
          <w:rFonts w:cs="Times New Roman"/>
        </w:rPr>
      </w:pPr>
      <w:r>
        <w:rPr>
          <w:rFonts w:cs="Times New Roman"/>
        </w:rPr>
        <w:t>3 初步鉴定评级。根据结构构件损伤状态特征进行结构构件的初步鉴定评级，对于不需要进行详细检测鉴定的结构，可根据初步鉴定结果直接编制鉴定报告。</w:t>
      </w:r>
    </w:p>
    <w:p>
      <w:pPr>
        <w:rPr>
          <w:rFonts w:cs="Times New Roman"/>
        </w:rPr>
      </w:pPr>
      <w:r>
        <w:rPr>
          <w:b/>
        </w:rPr>
        <w:t>3.2.6</w:t>
      </w:r>
      <w:r>
        <w:rPr>
          <w:rFonts w:cs="Times New Roman"/>
        </w:rPr>
        <w:t>详细鉴定</w:t>
      </w:r>
      <w:r>
        <w:rPr>
          <w:rFonts w:hint="eastAsia" w:cs="Times New Roman"/>
        </w:rPr>
        <w:t>应包括下列基本工作内容</w:t>
      </w:r>
      <w:r>
        <w:rPr>
          <w:rFonts w:cs="Times New Roman"/>
        </w:rPr>
        <w:t>：</w:t>
      </w:r>
    </w:p>
    <w:p>
      <w:pPr>
        <w:ind w:firstLine="420" w:firstLineChars="200"/>
        <w:rPr>
          <w:rFonts w:cs="Times New Roman"/>
        </w:rPr>
      </w:pPr>
      <w:r>
        <w:rPr>
          <w:rFonts w:cs="Times New Roman"/>
        </w:rPr>
        <w:t>1 火作用分析。</w:t>
      </w:r>
    </w:p>
    <w:p>
      <w:pPr>
        <w:ind w:firstLine="420" w:firstLineChars="200"/>
        <w:rPr>
          <w:rFonts w:cs="Times New Roman"/>
        </w:rPr>
      </w:pPr>
      <w:r>
        <w:rPr>
          <w:rFonts w:cs="Times New Roman"/>
        </w:rPr>
        <w:t>2 结构构件专项检测分析。</w:t>
      </w:r>
    </w:p>
    <w:p>
      <w:pPr>
        <w:ind w:firstLine="420" w:firstLineChars="200"/>
        <w:rPr>
          <w:rFonts w:cs="Times New Roman"/>
        </w:rPr>
      </w:pPr>
      <w:r>
        <w:rPr>
          <w:rFonts w:cs="Times New Roman"/>
        </w:rPr>
        <w:t>3 结构分析与构件校核。</w:t>
      </w:r>
    </w:p>
    <w:p>
      <w:pPr>
        <w:ind w:firstLine="420" w:firstLineChars="200"/>
        <w:rPr>
          <w:rFonts w:cs="Times New Roman"/>
        </w:rPr>
      </w:pPr>
      <w:r>
        <w:rPr>
          <w:rFonts w:cs="Times New Roman"/>
        </w:rPr>
        <w:t>4 构件详细鉴定评级。</w:t>
      </w:r>
    </w:p>
    <w:p>
      <w:pPr>
        <w:rPr>
          <w:rFonts w:cs="Times New Roman"/>
        </w:rPr>
      </w:pPr>
      <w:r>
        <w:rPr>
          <w:b/>
        </w:rPr>
        <w:t>3.2.7</w:t>
      </w:r>
      <w:r>
        <w:rPr>
          <w:rFonts w:cs="Times New Roman"/>
        </w:rPr>
        <w:t>编制鉴定报告。对于需要再作补充检测的项目，待补充检测完成后再编制最终鉴定报告。</w:t>
      </w:r>
    </w:p>
    <w:p>
      <w:pPr>
        <w:pStyle w:val="3"/>
        <w:rPr>
          <w:rFonts w:ascii="Times New Roman" w:hAnsi="Times New Roman" w:cs="Times New Roman"/>
        </w:rPr>
      </w:pPr>
      <w:bookmarkStart w:id="21" w:name="_Toc501474074"/>
      <w:bookmarkStart w:id="22" w:name="_Toc500168096"/>
      <w:bookmarkStart w:id="23" w:name="_Toc505085884"/>
      <w:r>
        <w:rPr>
          <w:rFonts w:ascii="Times New Roman" w:hAnsi="Times New Roman" w:cs="Times New Roman"/>
        </w:rPr>
        <w:t>3.3 鉴定评级标准</w:t>
      </w:r>
      <w:bookmarkEnd w:id="21"/>
      <w:bookmarkEnd w:id="22"/>
      <w:bookmarkEnd w:id="23"/>
    </w:p>
    <w:p>
      <w:r>
        <w:rPr>
          <w:b/>
        </w:rPr>
        <w:t>3.3.1</w:t>
      </w:r>
      <w:r>
        <w:t>火灾后结构构件的鉴定评级分初步鉴定评级和详细鉴定评级。</w:t>
      </w:r>
    </w:p>
    <w:p>
      <w:r>
        <w:rPr>
          <w:b/>
        </w:rPr>
        <w:t xml:space="preserve">3.3.2 </w:t>
      </w:r>
      <w:r>
        <w:t>火灾后结构构件的初步鉴定评级</w:t>
      </w:r>
      <w:r>
        <w:rPr>
          <w:rFonts w:hint="eastAsia"/>
        </w:rPr>
        <w:t>应符合下列规定</w:t>
      </w:r>
      <w:r>
        <w:t>：</w:t>
      </w:r>
    </w:p>
    <w:p>
      <w:pPr>
        <w:ind w:firstLine="420" w:firstLineChars="200"/>
        <w:rPr>
          <w:rFonts w:cs="Times New Roman"/>
        </w:rPr>
      </w:pPr>
      <w:r>
        <w:rPr>
          <w:rFonts w:cs="Times New Roman"/>
        </w:rPr>
        <w:t>Ⅱ</w:t>
      </w:r>
      <w:r>
        <w:rPr>
          <w:rFonts w:cs="Times New Roman"/>
          <w:vertAlign w:val="subscript"/>
        </w:rPr>
        <w:t>a</w:t>
      </w:r>
      <w:r>
        <w:rPr>
          <w:rFonts w:cs="Times New Roman"/>
        </w:rPr>
        <w:t>级——轻微或未直接遭受烧灼作用，结构材料及结构性能未受或仅受轻微影响，尚不影响结构安全，可不采取措施或仅采取提高耐久性的措施。</w:t>
      </w:r>
    </w:p>
    <w:p>
      <w:pPr>
        <w:ind w:firstLine="420" w:firstLineChars="200"/>
        <w:rPr>
          <w:rFonts w:cs="Times New Roman"/>
        </w:rPr>
      </w:pPr>
      <w:r>
        <w:rPr>
          <w:rFonts w:cs="Times New Roman"/>
        </w:rPr>
        <w:t>Ⅱ</w:t>
      </w:r>
      <w:r>
        <w:rPr>
          <w:rFonts w:cs="Times New Roman"/>
          <w:vertAlign w:val="subscript"/>
        </w:rPr>
        <w:t>b</w:t>
      </w:r>
      <w:r>
        <w:rPr>
          <w:rFonts w:cs="Times New Roman"/>
        </w:rPr>
        <w:t>级——轻度烧灼，结构材料及结构性能受轻度影响，尚不明显影响结构安全，应采取提高耐久性或局部处理和外观修复措施；</w:t>
      </w:r>
    </w:p>
    <w:p>
      <w:pPr>
        <w:ind w:firstLine="420" w:firstLineChars="200"/>
        <w:rPr>
          <w:rFonts w:cs="Times New Roman"/>
        </w:rPr>
      </w:pPr>
      <w:r>
        <w:rPr>
          <w:rFonts w:cs="Times New Roman"/>
        </w:rPr>
        <w:t>Ⅲ级——中度烧灼尚未破坏，显著影响结构材料或结构性能，明显变形或开裂，对结构安全或正常使用产生不利影响，应采取加固或局部更换措施；</w:t>
      </w:r>
    </w:p>
    <w:p>
      <w:pPr>
        <w:ind w:firstLine="420" w:firstLineChars="200"/>
        <w:rPr>
          <w:rFonts w:cs="Times New Roman"/>
        </w:rPr>
      </w:pPr>
      <w:r>
        <w:rPr>
          <w:rFonts w:cs="Times New Roman"/>
        </w:rPr>
        <w:t>Ⅳ级——破坏，火灾中或火灾后结构倒塌或构件塌落；结构严重烧灼损坏、变形损坏或开裂损坏，结构承载能力丧失或大部丧失，危及结构安全，必须或必须立即采取安全支护、彻底加固或拆除更换措施。</w:t>
      </w:r>
    </w:p>
    <w:p>
      <w:pPr>
        <w:pStyle w:val="19"/>
        <w:spacing w:before="0" w:beforeAutospacing="0" w:after="0" w:afterAutospacing="0"/>
        <w:rPr>
          <w:rFonts w:ascii="Times New Roman" w:hAnsi="Times New Roman" w:cs="Times New Roman"/>
        </w:rPr>
      </w:pPr>
      <w:r>
        <w:rPr>
          <w:rFonts w:ascii="Times New Roman" w:hAnsi="Times New Roman" w:cstheme="minorBidi"/>
          <w:b/>
          <w:kern w:val="2"/>
          <w:sz w:val="21"/>
        </w:rPr>
        <w:t xml:space="preserve">3.3.3 </w:t>
      </w:r>
      <w:r>
        <w:rPr>
          <w:rFonts w:ascii="Times New Roman" w:hAnsi="Times New Roman" w:cs="Times New Roman"/>
        </w:rPr>
        <w:t>火灾后结构构件的详细鉴定评级，应根据检测鉴定分析结果，评为b、c、d级。</w:t>
      </w:r>
    </w:p>
    <w:p>
      <w:pPr>
        <w:ind w:firstLine="420" w:firstLineChars="200"/>
        <w:rPr>
          <w:rFonts w:cs="Times New Roman"/>
        </w:rPr>
      </w:pPr>
      <w:r>
        <w:rPr>
          <w:rFonts w:cs="Times New Roman"/>
        </w:rPr>
        <w:t>b级——基本符合国家现行标准要求，尚不影响安全，可正常使用</w:t>
      </w:r>
      <w:r>
        <w:rPr>
          <w:rFonts w:hint="eastAsia" w:cs="Times New Roman"/>
        </w:rPr>
        <w:t>，宜采取适当措施</w:t>
      </w:r>
      <w:r>
        <w:rPr>
          <w:rFonts w:cs="Times New Roman"/>
        </w:rPr>
        <w:t>。</w:t>
      </w:r>
    </w:p>
    <w:p>
      <w:pPr>
        <w:ind w:firstLine="420" w:firstLineChars="200"/>
        <w:rPr>
          <w:rFonts w:cs="Times New Roman"/>
        </w:rPr>
      </w:pPr>
      <w:r>
        <w:rPr>
          <w:rFonts w:cs="Times New Roman"/>
        </w:rPr>
        <w:t>c级——不符合国家现行标准要求，影响安全和正常使用，应采取措施；</w:t>
      </w:r>
    </w:p>
    <w:p>
      <w:pPr>
        <w:ind w:firstLine="420" w:firstLineChars="200"/>
        <w:rPr>
          <w:rFonts w:cs="Times New Roman"/>
        </w:rPr>
      </w:pPr>
      <w:r>
        <w:rPr>
          <w:rFonts w:cs="Times New Roman"/>
        </w:rPr>
        <w:t>d级——严重不符合国家现行标准要求，影响安全，必须及时或立即加固或拆除。</w:t>
      </w:r>
    </w:p>
    <w:p>
      <w:pPr>
        <w:pStyle w:val="2"/>
        <w:rPr>
          <w:rFonts w:cs="Times New Roman"/>
        </w:rPr>
        <w:sectPr>
          <w:type w:val="continuous"/>
          <w:pgSz w:w="11906" w:h="16838"/>
          <w:pgMar w:top="1440" w:right="1080" w:bottom="1440" w:left="1080" w:header="851" w:footer="992" w:gutter="0"/>
          <w:cols w:space="425" w:num="1"/>
          <w:docGrid w:type="lines" w:linePitch="312" w:charSpace="0"/>
        </w:sectPr>
      </w:pPr>
      <w:bookmarkStart w:id="24" w:name="_Toc501474075"/>
      <w:bookmarkStart w:id="25" w:name="_Toc500168097"/>
    </w:p>
    <w:p>
      <w:pPr>
        <w:pStyle w:val="2"/>
        <w:rPr>
          <w:rFonts w:cs="Times New Roman"/>
        </w:rPr>
      </w:pPr>
      <w:bookmarkStart w:id="26" w:name="_Toc505085885"/>
      <w:r>
        <w:rPr>
          <w:rFonts w:cs="Times New Roman"/>
        </w:rPr>
        <w:t>4调查与检测</w:t>
      </w:r>
      <w:bookmarkEnd w:id="24"/>
      <w:bookmarkEnd w:id="25"/>
      <w:bookmarkEnd w:id="26"/>
    </w:p>
    <w:p>
      <w:pPr>
        <w:pStyle w:val="3"/>
        <w:rPr>
          <w:rFonts w:ascii="Times New Roman" w:hAnsi="Times New Roman" w:cs="Times New Roman"/>
        </w:rPr>
      </w:pPr>
      <w:bookmarkStart w:id="27" w:name="_Toc501474076"/>
      <w:bookmarkStart w:id="28" w:name="_Toc500168098"/>
      <w:bookmarkStart w:id="29" w:name="_Toc505085886"/>
      <w:r>
        <w:rPr>
          <w:rFonts w:ascii="Times New Roman" w:hAnsi="Times New Roman" w:cs="Times New Roman"/>
        </w:rPr>
        <w:t>4.1一般规定</w:t>
      </w:r>
      <w:bookmarkEnd w:id="27"/>
      <w:bookmarkEnd w:id="28"/>
      <w:bookmarkEnd w:id="29"/>
    </w:p>
    <w:p>
      <w:pPr>
        <w:rPr>
          <w:rFonts w:cs="Times New Roman"/>
        </w:rPr>
      </w:pPr>
      <w:r>
        <w:rPr>
          <w:rFonts w:cs="Times New Roman"/>
          <w:b/>
        </w:rPr>
        <w:t>4.1.1</w:t>
      </w:r>
      <w:r>
        <w:rPr>
          <w:rFonts w:cs="Times New Roman"/>
        </w:rPr>
        <w:t>火灾后工程结构调查和检测的范围</w:t>
      </w:r>
      <w:r>
        <w:rPr>
          <w:rFonts w:hint="eastAsia" w:cs="Times New Roman"/>
        </w:rPr>
        <w:t>应</w:t>
      </w:r>
      <w:r>
        <w:rPr>
          <w:rFonts w:cs="Times New Roman"/>
        </w:rPr>
        <w:t>为整个工程结构；对于局部火灾，</w:t>
      </w:r>
      <w:r>
        <w:rPr>
          <w:rFonts w:hint="eastAsia" w:cs="Times New Roman"/>
        </w:rPr>
        <w:t>调查和</w:t>
      </w:r>
      <w:r>
        <w:rPr>
          <w:rFonts w:cs="Times New Roman"/>
        </w:rPr>
        <w:t>检测范围可为相对独立的</w:t>
      </w:r>
      <w:r>
        <w:rPr>
          <w:rFonts w:hint="eastAsia" w:cs="Times New Roman"/>
        </w:rPr>
        <w:t>结构单元；</w:t>
      </w:r>
      <w:r>
        <w:rPr>
          <w:rFonts w:cs="Times New Roman"/>
        </w:rPr>
        <w:t>对于局部小范围火灾，经初步调查确认受损范围仅发生在有限区域时，检测对象也可仅考虑火灾影响区域范围内的结构或构件。</w:t>
      </w:r>
    </w:p>
    <w:p>
      <w:pPr>
        <w:rPr>
          <w:rFonts w:cs="Times New Roman"/>
        </w:rPr>
      </w:pPr>
      <w:r>
        <w:rPr>
          <w:rFonts w:cs="Times New Roman"/>
          <w:b/>
        </w:rPr>
        <w:t xml:space="preserve">4.1.2 </w:t>
      </w:r>
      <w:r>
        <w:rPr>
          <w:rFonts w:cs="Times New Roman"/>
        </w:rPr>
        <w:t>火灾后</w:t>
      </w:r>
      <w:r>
        <w:rPr>
          <w:rFonts w:hint="eastAsia" w:cs="Times New Roman"/>
        </w:rPr>
        <w:t>工程</w:t>
      </w:r>
      <w:r>
        <w:rPr>
          <w:rFonts w:cs="Times New Roman"/>
        </w:rPr>
        <w:t>结构调查和检测的内容应包括火作用调查与分析和结构现状检测。</w:t>
      </w:r>
    </w:p>
    <w:p>
      <w:pPr>
        <w:rPr>
          <w:rFonts w:cs="Times New Roman"/>
        </w:rPr>
      </w:pPr>
      <w:r>
        <w:rPr>
          <w:rFonts w:cs="Times New Roman"/>
          <w:b/>
        </w:rPr>
        <w:t>4.1.3</w:t>
      </w:r>
      <w:r>
        <w:rPr>
          <w:rFonts w:cs="Times New Roman"/>
        </w:rPr>
        <w:t xml:space="preserve"> </w:t>
      </w:r>
      <w:r>
        <w:rPr>
          <w:rFonts w:hint="eastAsia" w:cs="Times New Roman"/>
        </w:rPr>
        <w:t>火灾后工程结构构件的外观损伤应进行全数检测。</w:t>
      </w:r>
    </w:p>
    <w:p>
      <w:pPr>
        <w:pStyle w:val="3"/>
        <w:rPr>
          <w:rFonts w:ascii="Times New Roman" w:hAnsi="Times New Roman" w:cs="Times New Roman"/>
        </w:rPr>
      </w:pPr>
      <w:bookmarkStart w:id="30" w:name="_Toc500168099"/>
      <w:bookmarkStart w:id="31" w:name="_Toc501474077"/>
      <w:bookmarkStart w:id="32" w:name="_Toc505085887"/>
      <w:r>
        <w:rPr>
          <w:rFonts w:ascii="Times New Roman" w:hAnsi="Times New Roman" w:cs="Times New Roman"/>
        </w:rPr>
        <w:t>4.2  火作用调查与分析</w:t>
      </w:r>
      <w:bookmarkEnd w:id="30"/>
      <w:bookmarkEnd w:id="31"/>
      <w:bookmarkEnd w:id="32"/>
    </w:p>
    <w:p>
      <w:pPr>
        <w:rPr>
          <w:rFonts w:cs="Times New Roman"/>
        </w:rPr>
      </w:pPr>
      <w:r>
        <w:rPr>
          <w:rFonts w:cs="Times New Roman"/>
          <w:b/>
        </w:rPr>
        <w:t>4.2.1</w:t>
      </w:r>
      <w:r>
        <w:rPr>
          <w:rFonts w:cs="Times New Roman"/>
        </w:rPr>
        <w:t>火作用调查与分析，应包括火作用调查</w:t>
      </w:r>
      <w:r>
        <w:rPr>
          <w:rFonts w:hint="eastAsia" w:cs="Times New Roman"/>
        </w:rPr>
        <w:t>、</w:t>
      </w:r>
      <w:r>
        <w:rPr>
          <w:rFonts w:cs="Times New Roman"/>
        </w:rPr>
        <w:t>火场温度过程</w:t>
      </w:r>
      <w:r>
        <w:rPr>
          <w:rFonts w:hint="eastAsia" w:cs="Times New Roman"/>
        </w:rPr>
        <w:t>推断、火灾温度分布判断、</w:t>
      </w:r>
      <w:r>
        <w:rPr>
          <w:rFonts w:cs="Times New Roman"/>
        </w:rPr>
        <w:t>构件表面温度及结构内部温度推定。</w:t>
      </w:r>
    </w:p>
    <w:p>
      <w:pPr>
        <w:rPr>
          <w:rFonts w:cs="Times New Roman"/>
        </w:rPr>
      </w:pPr>
      <w:r>
        <w:rPr>
          <w:rFonts w:cs="Times New Roman"/>
          <w:b/>
        </w:rPr>
        <w:t>4.2.2</w:t>
      </w:r>
      <w:r>
        <w:rPr>
          <w:rFonts w:cs="Times New Roman"/>
        </w:rPr>
        <w:t>火作用调查应包括以下内容：</w:t>
      </w:r>
    </w:p>
    <w:p>
      <w:pPr>
        <w:ind w:firstLine="420" w:firstLineChars="200"/>
        <w:rPr>
          <w:rFonts w:cs="Times New Roman"/>
        </w:rPr>
      </w:pPr>
      <w:r>
        <w:rPr>
          <w:rFonts w:cs="Times New Roman"/>
        </w:rPr>
        <w:t>1 火灾过程调查</w:t>
      </w:r>
      <w:r>
        <w:rPr>
          <w:rFonts w:hint="eastAsia" w:cs="Times New Roman"/>
        </w:rPr>
        <w:t>：</w:t>
      </w:r>
      <w:r>
        <w:rPr>
          <w:rFonts w:cs="Times New Roman"/>
        </w:rPr>
        <w:t>调查起火时间</w:t>
      </w:r>
      <w:r>
        <w:rPr>
          <w:rFonts w:hint="eastAsia" w:cs="Times New Roman"/>
        </w:rPr>
        <w:t>、部位、蔓延路径</w:t>
      </w:r>
      <w:r>
        <w:rPr>
          <w:rFonts w:cs="Times New Roman"/>
        </w:rPr>
        <w:t>，燃烧特点和持续时间，灭火</w:t>
      </w:r>
      <w:r>
        <w:rPr>
          <w:rFonts w:hint="eastAsia" w:cs="Times New Roman"/>
        </w:rPr>
        <w:t>措施等</w:t>
      </w:r>
      <w:r>
        <w:rPr>
          <w:rFonts w:cs="Times New Roman"/>
        </w:rPr>
        <w:t>。</w:t>
      </w:r>
    </w:p>
    <w:p>
      <w:pPr>
        <w:ind w:firstLine="420" w:firstLineChars="200"/>
        <w:rPr>
          <w:rFonts w:cs="Times New Roman"/>
        </w:rPr>
      </w:pPr>
      <w:r>
        <w:rPr>
          <w:rFonts w:cs="Times New Roman"/>
        </w:rPr>
        <w:t>2 火灾荷载调查</w:t>
      </w:r>
      <w:r>
        <w:rPr>
          <w:rFonts w:hint="eastAsia" w:cs="Times New Roman"/>
        </w:rPr>
        <w:t>：</w:t>
      </w:r>
      <w:r>
        <w:rPr>
          <w:rFonts w:cs="Times New Roman"/>
        </w:rPr>
        <w:t>调查可燃物种类</w:t>
      </w:r>
      <w:r>
        <w:rPr>
          <w:rFonts w:hint="eastAsia" w:cs="Times New Roman"/>
        </w:rPr>
        <w:t>、特性、</w:t>
      </w:r>
      <w:r>
        <w:rPr>
          <w:rFonts w:cs="Times New Roman"/>
        </w:rPr>
        <w:t>数量、</w:t>
      </w:r>
      <w:r>
        <w:rPr>
          <w:rFonts w:hint="eastAsia" w:cs="Times New Roman"/>
        </w:rPr>
        <w:t>分布等</w:t>
      </w:r>
      <w:r>
        <w:rPr>
          <w:rFonts w:cs="Times New Roman"/>
        </w:rPr>
        <w:t>。</w:t>
      </w:r>
    </w:p>
    <w:p>
      <w:pPr>
        <w:ind w:firstLine="420" w:firstLineChars="200"/>
        <w:rPr>
          <w:rFonts w:cs="Times New Roman"/>
        </w:rPr>
      </w:pPr>
      <w:r>
        <w:rPr>
          <w:rFonts w:cs="Times New Roman"/>
        </w:rPr>
        <w:t xml:space="preserve">3 </w:t>
      </w:r>
      <w:r>
        <w:rPr>
          <w:rFonts w:hint="eastAsia" w:cs="Times New Roman"/>
        </w:rPr>
        <w:t>火场环境调查：</w:t>
      </w:r>
      <w:r>
        <w:rPr>
          <w:rFonts w:cs="Times New Roman"/>
        </w:rPr>
        <w:t>燃烧环境、通风条件，受火墙体及楼盖的热传导特性</w:t>
      </w:r>
      <w:r>
        <w:rPr>
          <w:rFonts w:hint="eastAsia" w:cs="Times New Roman"/>
        </w:rPr>
        <w:t>等</w:t>
      </w:r>
      <w:r>
        <w:rPr>
          <w:rFonts w:cs="Times New Roman"/>
        </w:rPr>
        <w:t>。</w:t>
      </w:r>
    </w:p>
    <w:p>
      <w:pPr>
        <w:ind w:firstLine="420" w:firstLineChars="200"/>
        <w:rPr>
          <w:rFonts w:cs="Times New Roman"/>
        </w:rPr>
      </w:pPr>
      <w:r>
        <w:rPr>
          <w:rFonts w:cs="Times New Roman"/>
        </w:rPr>
        <w:t>4 火场残留物状况调查</w:t>
      </w:r>
      <w:r>
        <w:rPr>
          <w:rFonts w:hint="eastAsia" w:cs="Times New Roman"/>
        </w:rPr>
        <w:t>：</w:t>
      </w:r>
      <w:r>
        <w:rPr>
          <w:rFonts w:cs="Times New Roman"/>
        </w:rPr>
        <w:t>调查火场残留物烧损程度等。</w:t>
      </w:r>
    </w:p>
    <w:p>
      <w:pPr>
        <w:ind w:firstLine="420" w:firstLineChars="200"/>
        <w:rPr>
          <w:rFonts w:cs="Times New Roman"/>
        </w:rPr>
      </w:pPr>
      <w:r>
        <w:rPr>
          <w:rFonts w:cs="Times New Roman"/>
        </w:rPr>
        <w:t>5 火灾影响区域调查与确定</w:t>
      </w:r>
      <w:r>
        <w:rPr>
          <w:rFonts w:hint="eastAsia" w:cs="Times New Roman"/>
        </w:rPr>
        <w:t>，</w:t>
      </w:r>
      <w:r>
        <w:rPr>
          <w:rFonts w:cs="Times New Roman"/>
        </w:rPr>
        <w:t>根据火灾过程，现场残留物状况及结构外观烧损状况综合判定。</w:t>
      </w:r>
    </w:p>
    <w:p>
      <w:pPr>
        <w:rPr>
          <w:rFonts w:cs="Times New Roman"/>
        </w:rPr>
      </w:pPr>
      <w:r>
        <w:rPr>
          <w:rFonts w:cs="Times New Roman"/>
          <w:b/>
        </w:rPr>
        <w:t>4.2.3</w:t>
      </w:r>
      <w:r>
        <w:rPr>
          <w:rFonts w:cs="Times New Roman"/>
        </w:rPr>
        <w:t>火场温度过程可根据</w:t>
      </w:r>
      <w:r>
        <w:rPr>
          <w:rFonts w:hint="eastAsia" w:cs="Times New Roman"/>
        </w:rPr>
        <w:t>火灾荷载、</w:t>
      </w:r>
      <w:r>
        <w:rPr>
          <w:rFonts w:cs="Times New Roman"/>
        </w:rPr>
        <w:t>受火墙体及楼盖的热传导特性、通风条件及灭火过程等按燃烧规律推断；必要时可采用模拟燃烧试验确定。</w:t>
      </w:r>
    </w:p>
    <w:p>
      <w:pPr>
        <w:rPr>
          <w:rFonts w:cs="Times New Roman"/>
        </w:rPr>
      </w:pPr>
      <w:r>
        <w:rPr>
          <w:rFonts w:cs="Times New Roman"/>
          <w:b/>
        </w:rPr>
        <w:t>4.2.4</w:t>
      </w:r>
      <w:r>
        <w:rPr>
          <w:rFonts w:hint="eastAsia" w:cs="Times New Roman"/>
        </w:rPr>
        <w:t>火灾温度分布判断，</w:t>
      </w:r>
      <w:r>
        <w:rPr>
          <w:rFonts w:cs="Times New Roman"/>
        </w:rPr>
        <w:t>应根据火灾调查、结构表观状况</w:t>
      </w:r>
      <w:r>
        <w:rPr>
          <w:rFonts w:hint="eastAsia" w:cs="Times New Roman"/>
        </w:rPr>
        <w:t>、火灾荷载及火场残留物状况、火灾燃烧时间、通风条件、灭火过程等综合分析推断</w:t>
      </w:r>
      <w:r>
        <w:rPr>
          <w:rFonts w:cs="Times New Roman"/>
        </w:rPr>
        <w:t>。</w:t>
      </w:r>
    </w:p>
    <w:p>
      <w:pPr>
        <w:rPr>
          <w:rFonts w:cs="Times New Roman"/>
        </w:rPr>
      </w:pPr>
      <w:bookmarkStart w:id="33" w:name="_Hlt154666385"/>
      <w:bookmarkEnd w:id="33"/>
      <w:r>
        <w:rPr>
          <w:rFonts w:cs="Times New Roman"/>
          <w:b/>
        </w:rPr>
        <w:t>4.2.5</w:t>
      </w:r>
      <w:r>
        <w:rPr>
          <w:rFonts w:cs="Times New Roman"/>
        </w:rPr>
        <w:t>构件表面曾经达到的温度及作用范围可根据火场残留物</w:t>
      </w:r>
      <w:r>
        <w:rPr>
          <w:rFonts w:hint="eastAsia" w:cs="Times New Roman"/>
        </w:rPr>
        <w:t>分布、</w:t>
      </w:r>
      <w:r>
        <w:rPr>
          <w:rFonts w:cs="Times New Roman"/>
        </w:rPr>
        <w:t>烧损程度等，按照附录A推断。</w:t>
      </w:r>
    </w:p>
    <w:p>
      <w:pPr>
        <w:rPr>
          <w:rFonts w:cs="Times New Roman"/>
        </w:rPr>
      </w:pPr>
      <w:r>
        <w:rPr>
          <w:rFonts w:cs="Times New Roman"/>
          <w:b/>
        </w:rPr>
        <w:t>4.2.6</w:t>
      </w:r>
      <w:r>
        <w:rPr>
          <w:rFonts w:cs="Times New Roman"/>
          <w:bCs/>
        </w:rPr>
        <w:t>火灾中</w:t>
      </w:r>
      <w:r>
        <w:rPr>
          <w:rFonts w:cs="Times New Roman"/>
        </w:rPr>
        <w:t>直接受火烧灼的混凝土结构构件表面曾经达到的温度</w:t>
      </w:r>
      <w:bookmarkStart w:id="34" w:name="_Hlt154667114"/>
      <w:bookmarkEnd w:id="34"/>
      <w:bookmarkStart w:id="35" w:name="_Hlt154667106"/>
      <w:bookmarkEnd w:id="35"/>
      <w:r>
        <w:rPr>
          <w:rFonts w:cs="Times New Roman"/>
        </w:rPr>
        <w:t>及作用范围可根据混凝土表面颜色、裂损剥落、锤击反应等，按照</w:t>
      </w:r>
      <w:bookmarkStart w:id="36" w:name="_Hlt154720076"/>
      <w:bookmarkStart w:id="37" w:name="_Hlt154721622"/>
      <w:r>
        <w:rPr>
          <w:rFonts w:cs="Times New Roman"/>
        </w:rPr>
        <w:t>附录B中表B-1</w:t>
      </w:r>
      <w:bookmarkEnd w:id="36"/>
      <w:bookmarkEnd w:id="37"/>
      <w:r>
        <w:rPr>
          <w:rFonts w:cs="Times New Roman"/>
        </w:rPr>
        <w:t>推断。</w:t>
      </w:r>
    </w:p>
    <w:p>
      <w:pPr>
        <w:rPr>
          <w:rFonts w:cs="Times New Roman"/>
        </w:rPr>
      </w:pPr>
      <w:r>
        <w:rPr>
          <w:rFonts w:cs="Times New Roman"/>
          <w:b/>
        </w:rPr>
        <w:t>4.2.7</w:t>
      </w:r>
      <w:r>
        <w:rPr>
          <w:rFonts w:cs="Times New Roman"/>
        </w:rPr>
        <w:t>火灾中直接受火烧灼的钢结构构件表面曾经达到的温度及作用范围，可根据</w:t>
      </w:r>
      <w:r>
        <w:rPr>
          <w:rFonts w:hint="eastAsia" w:cs="Times New Roman"/>
        </w:rPr>
        <w:t>附录A</w:t>
      </w:r>
      <w:r>
        <w:rPr>
          <w:rFonts w:cs="Times New Roman"/>
        </w:rPr>
        <w:t>推断。</w:t>
      </w:r>
    </w:p>
    <w:p>
      <w:pPr>
        <w:rPr>
          <w:rFonts w:cs="Times New Roman"/>
        </w:rPr>
      </w:pPr>
      <w:r>
        <w:rPr>
          <w:rFonts w:cs="Times New Roman"/>
          <w:b/>
        </w:rPr>
        <w:t>4.2.8</w:t>
      </w:r>
      <w:r>
        <w:rPr>
          <w:rFonts w:hint="eastAsia" w:cs="Times New Roman"/>
        </w:rPr>
        <w:t>砌体结构构件受火灾影响后，表面曾经达到的温度及作用范围可根据砖、水泥砂浆表面颜色和裂缝情况等按照附录C进行推断。</w:t>
      </w:r>
    </w:p>
    <w:p>
      <w:pPr>
        <w:rPr>
          <w:rFonts w:cs="Times New Roman"/>
        </w:rPr>
      </w:pPr>
      <w:r>
        <w:rPr>
          <w:rFonts w:cs="Times New Roman"/>
          <w:b/>
        </w:rPr>
        <w:t>4.2.9</w:t>
      </w:r>
      <w:r>
        <w:rPr>
          <w:rFonts w:cs="Times New Roman"/>
        </w:rPr>
        <w:t>火灾</w:t>
      </w:r>
      <w:r>
        <w:rPr>
          <w:rFonts w:hint="eastAsia" w:cs="Times New Roman"/>
        </w:rPr>
        <w:t>后</w:t>
      </w:r>
      <w:r>
        <w:rPr>
          <w:rFonts w:cs="Times New Roman"/>
        </w:rPr>
        <w:t>结构构件截面内部曾经达到的温度可根据火场温度过程、构件受火状况及构件材料特性按热传导规律推断。</w:t>
      </w:r>
    </w:p>
    <w:p>
      <w:pPr>
        <w:rPr>
          <w:rFonts w:cs="Times New Roman"/>
        </w:rPr>
      </w:pPr>
      <w:r>
        <w:rPr>
          <w:rFonts w:cs="Times New Roman"/>
          <w:b/>
        </w:rPr>
        <w:t>4.2.10</w:t>
      </w:r>
      <w:r>
        <w:rPr>
          <w:rFonts w:cs="Times New Roman"/>
        </w:rPr>
        <w:t>火灾后混凝土结构构件截面内部曾经达到的温度，可根据当量标准升温时间</w:t>
      </w:r>
      <w:r>
        <w:rPr>
          <w:rFonts w:cs="Times New Roman"/>
          <w:i/>
        </w:rPr>
        <w:t>t</w:t>
      </w:r>
      <w:r>
        <w:rPr>
          <w:rFonts w:cs="Times New Roman"/>
          <w:i/>
          <w:vertAlign w:val="subscript"/>
        </w:rPr>
        <w:t>e</w:t>
      </w:r>
      <w:r>
        <w:rPr>
          <w:rFonts w:cs="Times New Roman"/>
        </w:rPr>
        <w:t>按附录</w:t>
      </w:r>
      <w:r>
        <w:rPr>
          <w:rFonts w:hint="eastAsia" w:cs="Times New Roman"/>
        </w:rPr>
        <w:t>D</w:t>
      </w:r>
      <w:r>
        <w:rPr>
          <w:rFonts w:cs="Times New Roman"/>
        </w:rPr>
        <w:t>推断。当量标准升温时间</w:t>
      </w:r>
      <w:r>
        <w:rPr>
          <w:rFonts w:cs="Times New Roman"/>
          <w:i/>
        </w:rPr>
        <w:t>t</w:t>
      </w:r>
      <w:r>
        <w:rPr>
          <w:rFonts w:cs="Times New Roman"/>
          <w:vertAlign w:val="subscript"/>
        </w:rPr>
        <w:t>e</w:t>
      </w:r>
      <w:r>
        <w:rPr>
          <w:rFonts w:cs="Times New Roman"/>
        </w:rPr>
        <w:t>按下列规定取值：</w:t>
      </w:r>
    </w:p>
    <w:p>
      <w:pPr>
        <w:ind w:firstLine="420" w:firstLineChars="200"/>
        <w:rPr>
          <w:rFonts w:cs="Times New Roman"/>
        </w:rPr>
      </w:pPr>
      <w:r>
        <w:rPr>
          <w:rFonts w:cs="Times New Roman"/>
        </w:rPr>
        <w:t>1</w:t>
      </w:r>
      <w:r>
        <w:rPr>
          <w:rFonts w:hint="eastAsia" w:cs="Times New Roman"/>
        </w:rPr>
        <w:t>当</w:t>
      </w:r>
      <w:r>
        <w:rPr>
          <w:rFonts w:cs="Times New Roman"/>
        </w:rPr>
        <w:t>发生</w:t>
      </w:r>
      <w:r>
        <w:rPr>
          <w:rFonts w:hint="eastAsia" w:cs="Times New Roman"/>
        </w:rPr>
        <w:t>过猛烈燃烧</w:t>
      </w:r>
      <w:r>
        <w:rPr>
          <w:rFonts w:cs="Times New Roman"/>
        </w:rPr>
        <w:t>且主要可燃物为纤维类物品时，当量标准升温时间</w:t>
      </w:r>
      <w:r>
        <w:rPr>
          <w:rFonts w:cs="Times New Roman"/>
          <w:i/>
        </w:rPr>
        <w:t>t</w:t>
      </w:r>
      <w:r>
        <w:rPr>
          <w:rFonts w:cs="Times New Roman"/>
          <w:vertAlign w:val="subscript"/>
        </w:rPr>
        <w:t>e</w:t>
      </w:r>
      <w:r>
        <w:rPr>
          <w:rFonts w:cs="Times New Roman"/>
        </w:rPr>
        <w:t>可</w:t>
      </w:r>
      <w:r>
        <w:rPr>
          <w:rFonts w:hint="eastAsia" w:cs="Times New Roman"/>
        </w:rPr>
        <w:t>按</w:t>
      </w:r>
      <w:r>
        <w:rPr>
          <w:rFonts w:cs="Times New Roman"/>
        </w:rPr>
        <w:t>附录E推断。</w:t>
      </w:r>
    </w:p>
    <w:p>
      <w:pPr>
        <w:ind w:firstLine="420" w:firstLineChars="200"/>
        <w:rPr>
          <w:rFonts w:cs="Times New Roman"/>
        </w:rPr>
      </w:pPr>
      <w:r>
        <w:rPr>
          <w:rFonts w:cs="Times New Roman"/>
        </w:rPr>
        <w:t xml:space="preserve">2 </w:t>
      </w:r>
      <w:r>
        <w:rPr>
          <w:rFonts w:hint="eastAsia" w:cs="Times New Roman"/>
        </w:rPr>
        <w:t>当</w:t>
      </w:r>
      <w:r>
        <w:rPr>
          <w:rFonts w:cs="Times New Roman"/>
        </w:rPr>
        <w:t>未曾发生</w:t>
      </w:r>
      <w:r>
        <w:rPr>
          <w:rFonts w:hint="eastAsia" w:cs="Times New Roman"/>
        </w:rPr>
        <w:t>猛烈燃烧</w:t>
      </w:r>
      <w:r>
        <w:rPr>
          <w:rFonts w:cs="Times New Roman"/>
        </w:rPr>
        <w:t>时，当量标准升温时间</w:t>
      </w:r>
      <w:r>
        <w:rPr>
          <w:rFonts w:cs="Times New Roman"/>
          <w:i/>
        </w:rPr>
        <w:t>t</w:t>
      </w:r>
      <w:r>
        <w:rPr>
          <w:rFonts w:cs="Times New Roman"/>
          <w:vertAlign w:val="subscript"/>
        </w:rPr>
        <w:t>e</w:t>
      </w:r>
      <w:r>
        <w:rPr>
          <w:rFonts w:cs="Times New Roman"/>
        </w:rPr>
        <w:t>可</w:t>
      </w:r>
      <w:r>
        <w:rPr>
          <w:rFonts w:hint="eastAsia" w:cs="Times New Roman"/>
        </w:rPr>
        <w:t>按</w:t>
      </w:r>
      <w:r>
        <w:rPr>
          <w:rFonts w:cs="Times New Roman"/>
        </w:rPr>
        <w:t>构件表面温度按公式（4.2.1）推断。</w:t>
      </w:r>
    </w:p>
    <w:p>
      <w:pPr>
        <w:ind w:firstLine="420" w:firstLineChars="200"/>
        <w:rPr>
          <w:rFonts w:cs="Times New Roman"/>
        </w:rPr>
      </w:pPr>
      <m:oMath>
        <m:sSub>
          <m:sSubPr>
            <m:ctrlPr>
              <w:rPr>
                <w:rFonts w:ascii="Cambria Math" w:hAnsi="Cambria Math" w:cs="Times New Roman"/>
              </w:rPr>
            </m:ctrlPr>
          </m:sSubPr>
          <m:e>
            <m:r>
              <w:rPr>
                <w:rFonts w:ascii="Cambria Math" w:hAnsi="Cambria Math" w:cs="Times New Roman"/>
              </w:rPr>
              <m:t>t</m:t>
            </m:r>
            <m:ctrlPr>
              <w:rPr>
                <w:rFonts w:ascii="Cambria Math" w:hAnsi="Cambria Math" w:cs="Times New Roman"/>
              </w:rPr>
            </m:ctrlPr>
          </m:e>
          <m:sub>
            <m:r>
              <m:rPr>
                <m:sty m:val="p"/>
              </m:rPr>
              <w:rPr>
                <w:rFonts w:ascii="Cambria Math" w:hAnsi="Cambria Math" w:cs="Times New Roman"/>
              </w:rPr>
              <m:t>e</m:t>
            </m:r>
            <m:ctrlPr>
              <w:rPr>
                <w:rFonts w:ascii="Cambria Math" w:hAnsi="Cambria Math" w:cs="Times New Roman"/>
              </w:rPr>
            </m:ctrlPr>
          </m:sub>
        </m:sSub>
        <m:r>
          <w:rPr>
            <w:rFonts w:ascii="Cambria Math" w:hAnsi="Cambria Math" w:cs="Times New Roman"/>
          </w:rPr>
          <m:t>=</m:t>
        </m:r>
        <m:r>
          <m:rPr>
            <m:sty m:val="p"/>
          </m:rPr>
          <w:rPr>
            <w:rFonts w:ascii="Cambria Math" w:hAnsi="Cambria Math" w:cs="Times New Roman"/>
          </w:rPr>
          <m:t>exp⁡</m:t>
        </m:r>
        <m:r>
          <w:rPr>
            <w:rFonts w:ascii="Cambria Math" w:hAnsi="Cambria Math" w:cs="Times New Roman"/>
          </w:rPr>
          <m:t>(</m:t>
        </m:r>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ctrlPr>
                  <w:rPr>
                    <w:rFonts w:ascii="Cambria Math" w:hAnsi="Cambria Math" w:cs="Times New Roman"/>
                    <w:i/>
                  </w:rPr>
                </m:ctrlPr>
              </m:e>
              <m:sub>
                <m:r>
                  <m:rPr>
                    <m:sty m:val="p"/>
                  </m:rPr>
                  <w:rPr>
                    <w:rFonts w:ascii="Cambria Math" w:hAnsi="Cambria Math" w:cs="Times New Roman"/>
                  </w:rPr>
                  <m:t>s</m:t>
                </m:r>
                <m:ctrlPr>
                  <w:rPr>
                    <w:rFonts w:ascii="Cambria Math" w:hAnsi="Cambria Math" w:cs="Times New Roman"/>
                    <w:i/>
                  </w:rPr>
                </m:ctrlPr>
              </m:sub>
            </m:sSub>
            <m:ctrlPr>
              <w:rPr>
                <w:rFonts w:ascii="Cambria Math" w:hAnsi="Cambria Math" w:cs="Times New Roman"/>
                <w:i/>
              </w:rPr>
            </m:ctrlPr>
          </m:num>
          <m:den>
            <m:r>
              <w:rPr>
                <w:rFonts w:ascii="Cambria Math" w:hAnsi="Cambria Math" w:cs="Times New Roman"/>
              </w:rPr>
              <m:t>204)</m:t>
            </m:r>
            <m:ctrlPr>
              <w:rPr>
                <w:rFonts w:ascii="Cambria Math" w:hAnsi="Cambria Math" w:cs="Times New Roman"/>
                <w:i/>
              </w:rPr>
            </m:ctrlPr>
          </m:den>
        </m:f>
      </m:oMath>
      <w:r>
        <w:rPr>
          <w:rFonts w:hint="eastAsia" w:cs="Times New Roman"/>
        </w:rPr>
        <w:t xml:space="preserve">           </w:t>
      </w:r>
      <w:r>
        <w:rPr>
          <w:rFonts w:cs="Times New Roman"/>
        </w:rPr>
        <w:t>（4.2.1）</w:t>
      </w:r>
    </w:p>
    <w:p>
      <w:pPr>
        <w:ind w:firstLine="420" w:firstLineChars="200"/>
        <w:rPr>
          <w:rFonts w:cs="Times New Roman"/>
        </w:rPr>
      </w:pPr>
      <w:r>
        <w:rPr>
          <w:rFonts w:cs="Times New Roman"/>
        </w:rPr>
        <w:t>式中：</w:t>
      </w:r>
      <w:r>
        <w:rPr>
          <w:rFonts w:cs="Times New Roman"/>
          <w:i/>
        </w:rPr>
        <w:t>T</w:t>
      </w:r>
      <w:r>
        <w:rPr>
          <w:rFonts w:cs="Times New Roman"/>
          <w:vertAlign w:val="subscript"/>
        </w:rPr>
        <w:t>s</w:t>
      </w:r>
      <w:r>
        <w:rPr>
          <w:rFonts w:cs="Times New Roman"/>
        </w:rPr>
        <w:t>——构件的表面温度（℃）。</w:t>
      </w:r>
    </w:p>
    <w:p>
      <w:pPr>
        <w:ind w:firstLine="420" w:firstLineChars="200"/>
        <w:rPr>
          <w:rFonts w:cs="Times New Roman"/>
        </w:rPr>
      </w:pPr>
      <w:r>
        <w:rPr>
          <w:rFonts w:cs="Times New Roman"/>
        </w:rPr>
        <w:t>3对于直接受火的钢筋混凝土楼板，可根据构件表面颜色、裂损状况、锤击声音等特征，按</w:t>
      </w:r>
      <w:bookmarkStart w:id="38" w:name="_Hlt154734826"/>
      <w:r>
        <w:rPr>
          <w:rFonts w:cs="Times New Roman"/>
        </w:rPr>
        <w:t>附录B中表B-2</w:t>
      </w:r>
      <w:bookmarkEnd w:id="38"/>
      <w:r>
        <w:rPr>
          <w:rFonts w:cs="Times New Roman"/>
        </w:rPr>
        <w:t>确定当量标准升温时间</w:t>
      </w:r>
      <w:r>
        <w:rPr>
          <w:rFonts w:cs="Times New Roman"/>
          <w:i/>
        </w:rPr>
        <w:t>t</w:t>
      </w:r>
      <w:r>
        <w:rPr>
          <w:rFonts w:cs="Times New Roman"/>
          <w:vertAlign w:val="subscript"/>
        </w:rPr>
        <w:t>e</w:t>
      </w:r>
      <w:r>
        <w:rPr>
          <w:rFonts w:cs="Times New Roman"/>
        </w:rPr>
        <w:t>。</w:t>
      </w:r>
    </w:p>
    <w:p>
      <w:pPr>
        <w:rPr>
          <w:rFonts w:cs="Times New Roman"/>
        </w:rPr>
      </w:pPr>
      <w:r>
        <w:rPr>
          <w:rFonts w:cs="Times New Roman"/>
          <w:b/>
        </w:rPr>
        <w:t>4.2.11</w:t>
      </w:r>
      <w:r>
        <w:rPr>
          <w:rFonts w:cs="Times New Roman"/>
        </w:rPr>
        <w:t>火灾后混凝土结构构件截面内部曾经达到的温度，也可根据混凝土材料微观分析结果按照附录F 推断。</w:t>
      </w:r>
    </w:p>
    <w:p>
      <w:pPr>
        <w:pStyle w:val="3"/>
        <w:rPr>
          <w:rFonts w:ascii="Times New Roman" w:hAnsi="Times New Roman" w:cs="Times New Roman"/>
        </w:rPr>
      </w:pPr>
      <w:bookmarkStart w:id="39" w:name="_Toc501474078"/>
      <w:bookmarkStart w:id="40" w:name="_Toc500168100"/>
      <w:bookmarkStart w:id="41" w:name="_Toc505085888"/>
      <w:r>
        <w:rPr>
          <w:rFonts w:ascii="Times New Roman" w:hAnsi="Times New Roman" w:cs="Times New Roman"/>
        </w:rPr>
        <w:t>4.3  结构</w:t>
      </w:r>
      <w:r>
        <w:rPr>
          <w:rFonts w:hint="eastAsia" w:ascii="Times New Roman" w:hAnsi="Times New Roman" w:cs="Times New Roman"/>
        </w:rPr>
        <w:t>构件</w:t>
      </w:r>
      <w:r>
        <w:rPr>
          <w:rFonts w:ascii="Times New Roman" w:hAnsi="Times New Roman" w:cs="Times New Roman"/>
        </w:rPr>
        <w:t>现状检测</w:t>
      </w:r>
      <w:bookmarkEnd w:id="39"/>
      <w:bookmarkEnd w:id="40"/>
      <w:bookmarkEnd w:id="41"/>
    </w:p>
    <w:p>
      <w:pPr>
        <w:rPr>
          <w:rFonts w:cs="Times New Roman"/>
        </w:rPr>
      </w:pPr>
      <w:r>
        <w:rPr>
          <w:rFonts w:cs="Times New Roman"/>
          <w:b/>
        </w:rPr>
        <w:t>4.3.1</w:t>
      </w:r>
      <w:r>
        <w:rPr>
          <w:rFonts w:hint="eastAsia" w:cs="Times New Roman"/>
        </w:rPr>
        <w:t>结构构件</w:t>
      </w:r>
      <w:r>
        <w:rPr>
          <w:rFonts w:cs="Times New Roman"/>
        </w:rPr>
        <w:t>现状检测应包括下列内容：</w:t>
      </w:r>
    </w:p>
    <w:p>
      <w:pPr>
        <w:ind w:firstLine="420" w:firstLineChars="200"/>
        <w:rPr>
          <w:rFonts w:cs="Times New Roman"/>
        </w:rPr>
      </w:pPr>
      <w:r>
        <w:rPr>
          <w:rFonts w:cs="Times New Roman"/>
        </w:rPr>
        <w:t>1  结构</w:t>
      </w:r>
      <w:r>
        <w:rPr>
          <w:rFonts w:hint="eastAsia" w:cs="Times New Roman"/>
        </w:rPr>
        <w:t>构件</w:t>
      </w:r>
      <w:r>
        <w:rPr>
          <w:rFonts w:cs="Times New Roman"/>
        </w:rPr>
        <w:t>烧灼损伤状况检查；</w:t>
      </w:r>
    </w:p>
    <w:p>
      <w:pPr>
        <w:ind w:firstLine="420" w:firstLineChars="200"/>
        <w:rPr>
          <w:rFonts w:cs="Times New Roman"/>
        </w:rPr>
      </w:pPr>
      <w:r>
        <w:rPr>
          <w:rFonts w:cs="Times New Roman"/>
        </w:rPr>
        <w:t>2  温度作用损伤检查；</w:t>
      </w:r>
    </w:p>
    <w:p>
      <w:pPr>
        <w:ind w:firstLine="420" w:firstLineChars="200"/>
        <w:rPr>
          <w:rFonts w:cs="Times New Roman"/>
        </w:rPr>
      </w:pPr>
      <w:r>
        <w:rPr>
          <w:rFonts w:cs="Times New Roman"/>
        </w:rPr>
        <w:t>3  结构材料性能检测。</w:t>
      </w:r>
    </w:p>
    <w:p>
      <w:pPr>
        <w:rPr>
          <w:rFonts w:cs="Times New Roman"/>
        </w:rPr>
      </w:pPr>
      <w:r>
        <w:rPr>
          <w:rFonts w:cs="Times New Roman"/>
          <w:b/>
        </w:rPr>
        <w:t>4.3.2</w:t>
      </w:r>
      <w:r>
        <w:rPr>
          <w:rFonts w:cs="Times New Roman"/>
        </w:rPr>
        <w:t>结构烧灼损伤状况检查应符合下列要求：</w:t>
      </w:r>
    </w:p>
    <w:p>
      <w:pPr>
        <w:ind w:firstLine="420" w:firstLineChars="200"/>
        <w:rPr>
          <w:rFonts w:cs="Times New Roman"/>
        </w:rPr>
      </w:pPr>
      <w:r>
        <w:rPr>
          <w:rFonts w:cs="Times New Roman"/>
        </w:rPr>
        <w:t>1 对直接暴露于火焰或高温烟气的结构构件，应全数检查烧灼损伤部位。</w:t>
      </w:r>
    </w:p>
    <w:p>
      <w:pPr>
        <w:ind w:firstLine="420" w:firstLineChars="200"/>
        <w:rPr>
          <w:rFonts w:cs="Times New Roman"/>
        </w:rPr>
      </w:pPr>
      <w:r>
        <w:rPr>
          <w:rFonts w:cs="Times New Roman"/>
        </w:rPr>
        <w:t>2对于一般构件或连接可采用外观目测、锤击回声、探针、开挖探槽（孔）等手段检查</w:t>
      </w:r>
      <w:r>
        <w:rPr>
          <w:rFonts w:hint="eastAsia" w:cs="Times New Roman"/>
        </w:rPr>
        <w:t>；</w:t>
      </w:r>
      <w:r>
        <w:rPr>
          <w:rFonts w:cs="Times New Roman"/>
        </w:rPr>
        <w:t>对于重要结构构件或连接，</w:t>
      </w:r>
      <w:r>
        <w:rPr>
          <w:rFonts w:hint="eastAsia" w:cs="Times New Roman"/>
        </w:rPr>
        <w:t>还</w:t>
      </w:r>
      <w:r>
        <w:rPr>
          <w:rFonts w:cs="Times New Roman"/>
        </w:rPr>
        <w:t>可通过材料微观结构分析判断。</w:t>
      </w:r>
    </w:p>
    <w:p>
      <w:pPr>
        <w:rPr>
          <w:rFonts w:cs="Times New Roman"/>
        </w:rPr>
      </w:pPr>
      <w:r>
        <w:rPr>
          <w:rFonts w:cs="Times New Roman"/>
          <w:b/>
        </w:rPr>
        <w:t>4.3.3</w:t>
      </w:r>
      <w:r>
        <w:rPr>
          <w:rFonts w:cs="Times New Roman"/>
        </w:rPr>
        <w:t>温度作用损伤检查应符合下列要求：</w:t>
      </w:r>
    </w:p>
    <w:p>
      <w:pPr>
        <w:ind w:firstLine="420" w:firstLineChars="200"/>
        <w:rPr>
          <w:rFonts w:cs="Times New Roman"/>
        </w:rPr>
      </w:pPr>
      <w:r>
        <w:rPr>
          <w:rFonts w:cs="Times New Roman"/>
        </w:rPr>
        <w:t>1 对承受温度应力作用的结构构件及连接节点，应检查变形、裂损状况；</w:t>
      </w:r>
    </w:p>
    <w:p>
      <w:pPr>
        <w:ind w:firstLine="420" w:firstLineChars="200"/>
        <w:rPr>
          <w:rFonts w:cs="Times New Roman"/>
        </w:rPr>
      </w:pPr>
      <w:r>
        <w:rPr>
          <w:rFonts w:cs="Times New Roman"/>
        </w:rPr>
        <w:t>2 对于不便观察或仅通过观察难以发现问题的结构构件，可辅以温度作用应力分析判断。</w:t>
      </w:r>
    </w:p>
    <w:p>
      <w:pPr>
        <w:rPr>
          <w:rFonts w:cs="Times New Roman"/>
        </w:rPr>
      </w:pPr>
      <w:r>
        <w:rPr>
          <w:rFonts w:cs="Times New Roman"/>
          <w:b/>
        </w:rPr>
        <w:t>4.3.4</w:t>
      </w:r>
      <w:r>
        <w:rPr>
          <w:rFonts w:cs="Times New Roman"/>
        </w:rPr>
        <w:t>结构材料性能检测应符合下列要求：</w:t>
      </w:r>
    </w:p>
    <w:p>
      <w:pPr>
        <w:ind w:firstLine="420" w:firstLineChars="200"/>
        <w:rPr>
          <w:rFonts w:cs="Times New Roman"/>
        </w:rPr>
      </w:pPr>
      <w:r>
        <w:rPr>
          <w:rFonts w:cs="Times New Roman"/>
        </w:rPr>
        <w:t>1 火灾后结构材料的性能可能发生明显改变时，应通过抽样检验或模拟试验确定材料性能指标；</w:t>
      </w:r>
    </w:p>
    <w:p>
      <w:pPr>
        <w:ind w:firstLine="420" w:firstLineChars="200"/>
        <w:rPr>
          <w:rFonts w:cs="Times New Roman"/>
        </w:rPr>
      </w:pPr>
      <w:r>
        <w:rPr>
          <w:rFonts w:cs="Times New Roman"/>
        </w:rPr>
        <w:t>2 对于烧灼程度特征明显，材料性能对建筑物结构性能影响敏感程度较低，且火灾前材料性能明确，可根据温度场推定结构材料的性能指标，并宜通过取样检验修正。</w:t>
      </w:r>
    </w:p>
    <w:p>
      <w:pPr>
        <w:rPr>
          <w:rFonts w:cs="Times New Roman"/>
        </w:rPr>
      </w:pPr>
      <w:r>
        <w:rPr>
          <w:rFonts w:cs="Times New Roman"/>
          <w:b/>
        </w:rPr>
        <w:t>4.3.5</w:t>
      </w:r>
      <w:r>
        <w:rPr>
          <w:rFonts w:cs="Times New Roman"/>
        </w:rPr>
        <w:t>混凝土结构</w:t>
      </w:r>
      <w:r>
        <w:rPr>
          <w:rFonts w:hint="eastAsia" w:cs="Times New Roman"/>
        </w:rPr>
        <w:t>构件</w:t>
      </w:r>
      <w:r>
        <w:rPr>
          <w:rFonts w:cs="Times New Roman"/>
        </w:rPr>
        <w:t>现状检测主要包括：构件颜色、裂损情况、锤击反应</w:t>
      </w:r>
      <w:r>
        <w:rPr>
          <w:rFonts w:hint="eastAsia" w:cs="Times New Roman"/>
        </w:rPr>
        <w:t>、</w:t>
      </w:r>
      <w:r>
        <w:rPr>
          <w:rFonts w:cs="Times New Roman"/>
        </w:rPr>
        <w:t>保护层脱落及露筋情况、受力钢筋粘结性能、构件变形、混凝土及钢筋材料性能等。预应力混凝土结构构件检测除上述内容外还包括</w:t>
      </w:r>
      <w:r>
        <w:rPr>
          <w:rFonts w:hint="eastAsia" w:cs="Times New Roman"/>
        </w:rPr>
        <w:t>预应力锚具和预应力筋经历温度等。</w:t>
      </w:r>
    </w:p>
    <w:p>
      <w:pPr>
        <w:rPr>
          <w:rFonts w:cs="Times New Roman"/>
        </w:rPr>
      </w:pPr>
      <w:r>
        <w:rPr>
          <w:rFonts w:cs="Times New Roman"/>
          <w:b/>
        </w:rPr>
        <w:t xml:space="preserve">4.3.6 </w:t>
      </w:r>
      <w:r>
        <w:rPr>
          <w:rFonts w:cs="Times New Roman"/>
        </w:rPr>
        <w:t>钢结构</w:t>
      </w:r>
      <w:r>
        <w:rPr>
          <w:rFonts w:hint="eastAsia" w:cs="Times New Roman"/>
        </w:rPr>
        <w:t>构件</w:t>
      </w:r>
      <w:r>
        <w:rPr>
          <w:rFonts w:cs="Times New Roman"/>
        </w:rPr>
        <w:t>现状检测主要包括：涂装与防火保护层、残余变形与撕裂、局部</w:t>
      </w:r>
      <w:r>
        <w:rPr>
          <w:rFonts w:hint="eastAsia" w:cs="Times New Roman"/>
        </w:rPr>
        <w:t>变形</w:t>
      </w:r>
      <w:r>
        <w:rPr>
          <w:rFonts w:cs="Times New Roman"/>
        </w:rPr>
        <w:t>、整体变形等；连接节点处连接板残余变形与撕裂、焊缝</w:t>
      </w:r>
      <w:r>
        <w:rPr>
          <w:rFonts w:hint="eastAsia" w:cs="Times New Roman"/>
        </w:rPr>
        <w:t>开裂</w:t>
      </w:r>
      <w:r>
        <w:rPr>
          <w:rFonts w:cs="Times New Roman"/>
        </w:rPr>
        <w:t>、螺栓滑移及断裂等。必要时，还需检测钢结构的材料性能。</w:t>
      </w:r>
    </w:p>
    <w:p>
      <w:pPr>
        <w:rPr>
          <w:rFonts w:cs="Times New Roman"/>
        </w:rPr>
      </w:pPr>
      <w:r>
        <w:rPr>
          <w:rFonts w:cs="Times New Roman"/>
          <w:b/>
        </w:rPr>
        <w:t>4.3.7</w:t>
      </w:r>
      <w:r>
        <w:rPr>
          <w:rFonts w:cs="Times New Roman"/>
        </w:rPr>
        <w:t>砌体结构</w:t>
      </w:r>
      <w:r>
        <w:rPr>
          <w:rFonts w:hint="eastAsia" w:cs="Times New Roman"/>
        </w:rPr>
        <w:t>构件</w:t>
      </w:r>
      <w:r>
        <w:rPr>
          <w:rFonts w:cs="Times New Roman"/>
        </w:rPr>
        <w:t>现状检测主要包括：</w:t>
      </w:r>
      <w:r>
        <w:rPr>
          <w:rFonts w:hint="eastAsia" w:cs="Times New Roman"/>
        </w:rPr>
        <w:t>外观损伤情况</w:t>
      </w:r>
      <w:r>
        <w:rPr>
          <w:rFonts w:cs="Times New Roman"/>
        </w:rPr>
        <w:t>、构件裂缝情况、结构变形、材料性能等。</w:t>
      </w:r>
    </w:p>
    <w:p>
      <w:pPr>
        <w:rPr>
          <w:rFonts w:cs="Times New Roman"/>
        </w:rPr>
      </w:pPr>
      <w:r>
        <w:rPr>
          <w:rFonts w:cs="Times New Roman"/>
          <w:b/>
        </w:rPr>
        <w:t>4.3.8</w:t>
      </w:r>
      <w:r>
        <w:rPr>
          <w:rFonts w:cs="Times New Roman"/>
        </w:rPr>
        <w:t>木结构现状检测主要包括：构件外观损伤、防火保护损伤、连接板残余变形与撕裂、螺栓滑移及变形撕裂、构件变形、剩余有效截面尺寸、材料性能等。</w:t>
      </w:r>
    </w:p>
    <w:p>
      <w:pPr>
        <w:rPr>
          <w:rFonts w:cs="Times New Roman"/>
        </w:rPr>
      </w:pPr>
      <w:r>
        <w:rPr>
          <w:rFonts w:hint="eastAsia" w:cs="Times New Roman"/>
          <w:b/>
        </w:rPr>
        <w:t>4.3.</w:t>
      </w:r>
      <w:r>
        <w:rPr>
          <w:rFonts w:cs="Times New Roman"/>
          <w:b/>
        </w:rPr>
        <w:t>9</w:t>
      </w:r>
      <w:r>
        <w:rPr>
          <w:rFonts w:hint="eastAsia" w:cs="Times New Roman"/>
        </w:rPr>
        <w:t xml:space="preserve"> 钢-混组合结构构件现状检测主要包括：构件颜色、裂损情况、保护层脱落及露筋情况、受力钢筋粘结性能、混凝土及钢筋材料性能、涂装与防火保护层、残余变形与撕裂、局部变形、整体变形等；连接节点处连接板残余变形与撕裂、焊缝开裂、螺栓滑移及断裂等。</w:t>
      </w:r>
    </w:p>
    <w:p>
      <w:pPr>
        <w:adjustRightInd/>
        <w:snapToGrid/>
        <w:ind w:firstLine="420" w:firstLineChars="200"/>
        <w:rPr>
          <w:rFonts w:eastAsia="楷体" w:cs="Times New Roman"/>
          <w:color w:val="FF0000"/>
          <w:szCs w:val="22"/>
        </w:rPr>
      </w:pPr>
    </w:p>
    <w:p>
      <w:pPr>
        <w:adjustRightInd/>
        <w:snapToGrid/>
        <w:ind w:firstLine="420" w:firstLineChars="200"/>
        <w:rPr>
          <w:rFonts w:eastAsia="楷体" w:cs="Times New Roman"/>
          <w:szCs w:val="22"/>
        </w:rPr>
      </w:pPr>
    </w:p>
    <w:p>
      <w:pPr>
        <w:rPr>
          <w:rFonts w:cs="Times New Roman"/>
        </w:rPr>
        <w:sectPr>
          <w:pgSz w:w="11906" w:h="16838"/>
          <w:pgMar w:top="1440" w:right="1080" w:bottom="1440" w:left="1080" w:header="851" w:footer="992" w:gutter="0"/>
          <w:cols w:space="425" w:num="1"/>
          <w:docGrid w:type="lines" w:linePitch="312" w:charSpace="0"/>
        </w:sectPr>
      </w:pPr>
    </w:p>
    <w:p>
      <w:pPr>
        <w:pStyle w:val="2"/>
      </w:pPr>
      <w:bookmarkStart w:id="42" w:name="_Toc500168101"/>
      <w:bookmarkStart w:id="43" w:name="_Toc505085889"/>
      <w:bookmarkStart w:id="44" w:name="_Toc501474079"/>
      <w:r>
        <w:t>5. 火灾后结构分析与构件校核</w:t>
      </w:r>
      <w:bookmarkEnd w:id="42"/>
      <w:bookmarkEnd w:id="43"/>
      <w:bookmarkEnd w:id="44"/>
    </w:p>
    <w:p>
      <w:pPr>
        <w:rPr>
          <w:rFonts w:cs="Times New Roman"/>
        </w:rPr>
      </w:pPr>
      <w:r>
        <w:rPr>
          <w:rFonts w:cs="Times New Roman"/>
          <w:b/>
        </w:rPr>
        <w:t xml:space="preserve">5.0.1 </w:t>
      </w:r>
      <w:r>
        <w:rPr>
          <w:rFonts w:cs="Times New Roman"/>
        </w:rPr>
        <w:t>火灾后的结构分析，应考虑火灾后结构的材料力学性能、连接状态、结构几何形状变化</w:t>
      </w:r>
      <w:r>
        <w:rPr>
          <w:rFonts w:hint="eastAsia" w:cs="Times New Roman"/>
        </w:rPr>
        <w:t>、</w:t>
      </w:r>
      <w:r>
        <w:rPr>
          <w:rFonts w:cs="Times New Roman"/>
        </w:rPr>
        <w:t>构件的变形和损伤等。</w:t>
      </w:r>
    </w:p>
    <w:p>
      <w:pPr>
        <w:rPr>
          <w:rFonts w:cs="Times New Roman"/>
        </w:rPr>
      </w:pPr>
      <w:r>
        <w:rPr>
          <w:rFonts w:cs="Times New Roman"/>
          <w:b/>
        </w:rPr>
        <w:t>5.0.2</w:t>
      </w:r>
      <w:r>
        <w:rPr>
          <w:rFonts w:cs="Times New Roman"/>
        </w:rPr>
        <w:t>结构内力分析可根据结构概念和工程</w:t>
      </w:r>
      <w:r>
        <w:rPr>
          <w:rFonts w:hint="eastAsia" w:cs="Times New Roman"/>
        </w:rPr>
        <w:t>鉴定</w:t>
      </w:r>
      <w:r>
        <w:rPr>
          <w:rFonts w:cs="Times New Roman"/>
        </w:rPr>
        <w:t>的需要在满足安全的条件下，进行合理的简化。</w:t>
      </w:r>
    </w:p>
    <w:p>
      <w:pPr>
        <w:ind w:firstLine="420" w:firstLineChars="200"/>
        <w:rPr>
          <w:rFonts w:cs="Times New Roman"/>
        </w:rPr>
      </w:pPr>
      <w:r>
        <w:rPr>
          <w:rFonts w:cs="Times New Roman"/>
        </w:rPr>
        <w:t xml:space="preserve">1  </w:t>
      </w:r>
      <w:r>
        <w:rPr>
          <w:rFonts w:hint="eastAsia" w:cs="Times New Roman"/>
        </w:rPr>
        <w:t>局部火灾未造成整体结构明显变位、损伤及裂缝时，可仅考虑局部作用。</w:t>
      </w:r>
    </w:p>
    <w:p>
      <w:pPr>
        <w:ind w:firstLine="420" w:firstLineChars="200"/>
        <w:rPr>
          <w:rFonts w:cs="Times New Roman"/>
        </w:rPr>
      </w:pPr>
      <w:r>
        <w:rPr>
          <w:rFonts w:cs="Times New Roman"/>
        </w:rPr>
        <w:t xml:space="preserve">2  </w:t>
      </w:r>
      <w:r>
        <w:rPr>
          <w:rFonts w:hint="eastAsia" w:cs="Times New Roman"/>
        </w:rPr>
        <w:t>支座没有明显变位的连续结构（板、梁、框架等）可不考虑支座变位的影响。</w:t>
      </w:r>
    </w:p>
    <w:p>
      <w:pPr>
        <w:rPr>
          <w:rFonts w:cs="Times New Roman"/>
        </w:rPr>
      </w:pPr>
      <w:r>
        <w:rPr>
          <w:rFonts w:cs="Times New Roman"/>
          <w:b/>
        </w:rPr>
        <w:t>5.0.3</w:t>
      </w:r>
      <w:r>
        <w:rPr>
          <w:rFonts w:cs="Times New Roman"/>
        </w:rPr>
        <w:t>火灾后结构构件的抗力，在考虑火灾作用对结构材料性能、结构受力性能的不利影响后，可按照现行设计规范和标准的规定进行</w:t>
      </w:r>
      <w:r>
        <w:rPr>
          <w:rFonts w:hint="eastAsia" w:cs="Times New Roman"/>
        </w:rPr>
        <w:t>计算</w:t>
      </w:r>
      <w:r>
        <w:rPr>
          <w:rFonts w:cs="Times New Roman"/>
        </w:rPr>
        <w:t>分析；对于烧灼严重、变形明显等损伤严重的结构构件，必要时应采用更精确的计算模型进行分析；对于重要的结构构件，宜通过试验检验分析确定。</w:t>
      </w:r>
    </w:p>
    <w:p>
      <w:pPr>
        <w:rPr>
          <w:rFonts w:cs="Times New Roman"/>
        </w:rPr>
        <w:sectPr>
          <w:pgSz w:w="11906" w:h="16838"/>
          <w:pgMar w:top="1440" w:right="1080" w:bottom="1440" w:left="1080" w:header="851" w:footer="992" w:gutter="0"/>
          <w:cols w:space="425" w:num="1"/>
          <w:docGrid w:type="lines" w:linePitch="312" w:charSpace="0"/>
        </w:sectPr>
      </w:pPr>
    </w:p>
    <w:p>
      <w:pPr>
        <w:pStyle w:val="2"/>
        <w:rPr>
          <w:rFonts w:cs="Times New Roman"/>
        </w:rPr>
        <w:sectPr>
          <w:headerReference r:id="rId5" w:type="default"/>
          <w:type w:val="continuous"/>
          <w:pgSz w:w="11906" w:h="16838"/>
          <w:pgMar w:top="1440" w:right="1080" w:bottom="1440" w:left="1080" w:header="851" w:footer="1134" w:gutter="0"/>
          <w:cols w:space="425" w:num="1"/>
          <w:docGrid w:type="lines" w:linePitch="312" w:charSpace="0"/>
        </w:sectPr>
      </w:pPr>
      <w:bookmarkStart w:id="45" w:name="_Toc501474080"/>
      <w:bookmarkStart w:id="46" w:name="_Toc500168102"/>
    </w:p>
    <w:p>
      <w:pPr>
        <w:pStyle w:val="2"/>
        <w:rPr>
          <w:rFonts w:cs="Times New Roman"/>
        </w:rPr>
      </w:pPr>
      <w:bookmarkStart w:id="47" w:name="_Toc505085890"/>
      <w:r>
        <w:rPr>
          <w:rFonts w:cs="Times New Roman"/>
        </w:rPr>
        <w:t>6  火灾后结构构件鉴定评级</w:t>
      </w:r>
      <w:bookmarkEnd w:id="45"/>
      <w:bookmarkEnd w:id="46"/>
      <w:bookmarkEnd w:id="47"/>
    </w:p>
    <w:p>
      <w:pPr>
        <w:pStyle w:val="3"/>
        <w:rPr>
          <w:rFonts w:ascii="Times New Roman" w:hAnsi="Times New Roman" w:cs="Times New Roman"/>
        </w:rPr>
      </w:pPr>
      <w:bookmarkStart w:id="48" w:name="_Toc500168103"/>
      <w:bookmarkStart w:id="49" w:name="_Toc501474081"/>
      <w:bookmarkStart w:id="50" w:name="_Toc505085891"/>
      <w:r>
        <w:rPr>
          <w:rFonts w:ascii="Times New Roman" w:hAnsi="Times New Roman" w:cs="Times New Roman"/>
        </w:rPr>
        <w:t>6.1  一般规定</w:t>
      </w:r>
      <w:bookmarkEnd w:id="48"/>
      <w:bookmarkEnd w:id="49"/>
      <w:bookmarkEnd w:id="50"/>
    </w:p>
    <w:p>
      <w:pPr>
        <w:rPr>
          <w:rFonts w:cs="Times New Roman"/>
        </w:rPr>
      </w:pPr>
      <w:r>
        <w:rPr>
          <w:rFonts w:cs="Times New Roman"/>
          <w:b/>
        </w:rPr>
        <w:t>6.1.1</w:t>
      </w:r>
      <w:r>
        <w:rPr>
          <w:rFonts w:hint="eastAsia" w:cs="Times New Roman"/>
        </w:rPr>
        <w:t>初步鉴定评级中，火灾后结构构件的损伤状态等级应按</w:t>
      </w:r>
      <w:r>
        <w:rPr>
          <w:rFonts w:cs="Times New Roman"/>
        </w:rPr>
        <w:t>6.2</w:t>
      </w:r>
      <w:r>
        <w:rPr>
          <w:rFonts w:hint="eastAsia" w:cs="Times New Roman"/>
        </w:rPr>
        <w:t>节、</w:t>
      </w:r>
      <w:r>
        <w:rPr>
          <w:rFonts w:cs="Times New Roman"/>
        </w:rPr>
        <w:t>6.3</w:t>
      </w:r>
      <w:r>
        <w:rPr>
          <w:rFonts w:hint="eastAsia" w:cs="Times New Roman"/>
        </w:rPr>
        <w:t>节、</w:t>
      </w:r>
      <w:r>
        <w:rPr>
          <w:rFonts w:cs="Times New Roman"/>
        </w:rPr>
        <w:t>6.4</w:t>
      </w:r>
      <w:r>
        <w:rPr>
          <w:rFonts w:hint="eastAsia" w:cs="Times New Roman"/>
        </w:rPr>
        <w:t>节、</w:t>
      </w:r>
      <w:r>
        <w:rPr>
          <w:rFonts w:cs="Times New Roman"/>
        </w:rPr>
        <w:t>6.5</w:t>
      </w:r>
      <w:r>
        <w:rPr>
          <w:rFonts w:hint="eastAsia" w:cs="Times New Roman"/>
        </w:rPr>
        <w:t>节中规定的项目评定，并取其中的最不利等级作为结构构件的损伤状态等级。</w:t>
      </w:r>
    </w:p>
    <w:p>
      <w:pPr>
        <w:rPr>
          <w:rFonts w:cs="Times New Roman"/>
          <w:bCs/>
          <w:strike/>
        </w:rPr>
      </w:pPr>
      <w:r>
        <w:rPr>
          <w:rFonts w:cs="Times New Roman"/>
          <w:b/>
        </w:rPr>
        <w:t>6.1.2</w:t>
      </w:r>
      <w:r>
        <w:rPr>
          <w:rFonts w:hint="eastAsia" w:cs="Times New Roman"/>
        </w:rPr>
        <w:t>对损伤状态等级为Ⅱ</w:t>
      </w:r>
      <w:r>
        <w:rPr>
          <w:rFonts w:cs="Times New Roman"/>
          <w:vertAlign w:val="subscript"/>
        </w:rPr>
        <w:t>b</w:t>
      </w:r>
      <w:r>
        <w:rPr>
          <w:rFonts w:hint="eastAsia" w:cs="Times New Roman"/>
        </w:rPr>
        <w:t>级、Ⅲ级的重要结构构件，应进行详细鉴定评级。</w:t>
      </w:r>
    </w:p>
    <w:p>
      <w:pPr>
        <w:pStyle w:val="3"/>
        <w:rPr>
          <w:rFonts w:ascii="Times New Roman" w:hAnsi="Times New Roman" w:cs="Times New Roman"/>
        </w:rPr>
      </w:pPr>
      <w:bookmarkStart w:id="51" w:name="_Toc500168104"/>
      <w:bookmarkStart w:id="52" w:name="_Toc501474082"/>
      <w:bookmarkStart w:id="53" w:name="_Toc505085892"/>
      <w:r>
        <w:rPr>
          <w:rFonts w:ascii="Times New Roman" w:hAnsi="Times New Roman" w:cs="Times New Roman"/>
        </w:rPr>
        <w:t>6.2  火灾后混凝土结构构件的鉴定评级</w:t>
      </w:r>
      <w:bookmarkEnd w:id="51"/>
      <w:bookmarkEnd w:id="52"/>
      <w:bookmarkEnd w:id="53"/>
    </w:p>
    <w:p>
      <w:pPr>
        <w:rPr>
          <w:rFonts w:cs="Times New Roman"/>
        </w:rPr>
      </w:pPr>
      <w:bookmarkStart w:id="54" w:name="_Toc500168105"/>
      <w:bookmarkStart w:id="55" w:name="_Toc501474083"/>
      <w:r>
        <w:rPr>
          <w:rFonts w:cs="Times New Roman"/>
          <w:b/>
        </w:rPr>
        <w:t>6.2.1</w:t>
      </w:r>
      <w:r>
        <w:rPr>
          <w:rFonts w:cs="Times New Roman"/>
        </w:rPr>
        <w:t>火灾后混凝土</w:t>
      </w:r>
      <w:r>
        <w:rPr>
          <w:rFonts w:hint="eastAsia" w:cs="Times New Roman"/>
        </w:rPr>
        <w:t>构件</w:t>
      </w:r>
      <w:r>
        <w:rPr>
          <w:rFonts w:cs="Times New Roman"/>
        </w:rPr>
        <w:t>初步鉴定评级应按</w:t>
      </w:r>
      <w:r>
        <w:rPr>
          <w:rFonts w:hint="eastAsia" w:cs="Times New Roman"/>
        </w:rPr>
        <w:t>本标准</w:t>
      </w:r>
      <w:r>
        <w:rPr>
          <w:rFonts w:cs="Times New Roman"/>
        </w:rPr>
        <w:t>表6.2.1进行</w:t>
      </w:r>
      <w:r>
        <w:rPr>
          <w:rFonts w:hint="eastAsia" w:cs="Times New Roman"/>
        </w:rPr>
        <w:t>，并按各项所评定的损伤等级中的最严重级别作为构件损伤等级。</w:t>
      </w:r>
      <w:r>
        <w:rPr>
          <w:rFonts w:cs="Times New Roman"/>
        </w:rPr>
        <w:t>当混凝土构件火灾后严重破坏，难以加固修复，需要拆除或更换时，该构件初步鉴定可评为Ⅳ级。</w:t>
      </w:r>
    </w:p>
    <w:p>
      <w:pPr>
        <w:pStyle w:val="41"/>
      </w:pPr>
      <w:r>
        <w:t>表6.2.1火灾后混凝土</w:t>
      </w:r>
      <w:r>
        <w:rPr>
          <w:rFonts w:hint="eastAsia"/>
        </w:rPr>
        <w:t>结构构件</w:t>
      </w:r>
      <w:r>
        <w:t>初步鉴定评级标准</w:t>
      </w:r>
    </w:p>
    <w:tbl>
      <w:tblPr>
        <w:tblStyle w:val="24"/>
        <w:tblW w:w="101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770"/>
        <w:gridCol w:w="2676"/>
        <w:gridCol w:w="2962"/>
        <w:gridCol w:w="2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1" w:type="dxa"/>
            <w:gridSpan w:val="2"/>
            <w:vMerge w:val="restart"/>
            <w:vAlign w:val="center"/>
          </w:tcPr>
          <w:p>
            <w:pPr>
              <w:pStyle w:val="42"/>
              <w:spacing w:line="240" w:lineRule="auto"/>
              <w:jc w:val="center"/>
            </w:pPr>
            <w:r>
              <w:t>等级评级要素</w:t>
            </w:r>
          </w:p>
        </w:tc>
        <w:tc>
          <w:tcPr>
            <w:tcW w:w="7886" w:type="dxa"/>
            <w:gridSpan w:val="3"/>
            <w:vAlign w:val="center"/>
          </w:tcPr>
          <w:p>
            <w:pPr>
              <w:pStyle w:val="42"/>
              <w:spacing w:line="240" w:lineRule="auto"/>
              <w:jc w:val="center"/>
            </w:pPr>
            <w:r>
              <w:t>各级损伤等级状态特征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1" w:type="dxa"/>
            <w:gridSpan w:val="2"/>
            <w:vMerge w:val="continue"/>
            <w:vAlign w:val="center"/>
          </w:tcPr>
          <w:p>
            <w:pPr>
              <w:pStyle w:val="42"/>
              <w:spacing w:line="240" w:lineRule="auto"/>
              <w:jc w:val="center"/>
            </w:pPr>
          </w:p>
        </w:tc>
        <w:tc>
          <w:tcPr>
            <w:tcW w:w="2676" w:type="dxa"/>
            <w:vAlign w:val="center"/>
          </w:tcPr>
          <w:p>
            <w:pPr>
              <w:pStyle w:val="42"/>
              <w:spacing w:line="240" w:lineRule="auto"/>
              <w:jc w:val="center"/>
              <w:rPr>
                <w:vertAlign w:val="subscript"/>
              </w:rPr>
            </w:pPr>
            <w:r>
              <w:t>Ⅱ</w:t>
            </w:r>
            <w:r>
              <w:rPr>
                <w:vertAlign w:val="subscript"/>
              </w:rPr>
              <w:t>a</w:t>
            </w:r>
          </w:p>
        </w:tc>
        <w:tc>
          <w:tcPr>
            <w:tcW w:w="2962" w:type="dxa"/>
            <w:vAlign w:val="center"/>
          </w:tcPr>
          <w:p>
            <w:pPr>
              <w:pStyle w:val="42"/>
              <w:spacing w:line="240" w:lineRule="auto"/>
              <w:jc w:val="center"/>
              <w:rPr>
                <w:vertAlign w:val="subscript"/>
              </w:rPr>
            </w:pPr>
            <w:r>
              <w:t>Ⅱ</w:t>
            </w:r>
            <w:r>
              <w:rPr>
                <w:vertAlign w:val="subscript"/>
              </w:rPr>
              <w:t>b</w:t>
            </w:r>
          </w:p>
        </w:tc>
        <w:tc>
          <w:tcPr>
            <w:tcW w:w="2248" w:type="dxa"/>
            <w:vAlign w:val="center"/>
          </w:tcPr>
          <w:p>
            <w:pPr>
              <w:pStyle w:val="42"/>
              <w:spacing w:line="240" w:lineRule="auto"/>
              <w:jc w:val="center"/>
            </w:pPr>
            <w: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1" w:type="dxa"/>
            <w:gridSpan w:val="2"/>
            <w:vAlign w:val="center"/>
          </w:tcPr>
          <w:p>
            <w:pPr>
              <w:pStyle w:val="42"/>
              <w:spacing w:line="240" w:lineRule="auto"/>
              <w:jc w:val="center"/>
              <w:rPr>
                <w:vertAlign w:val="superscript"/>
              </w:rPr>
            </w:pPr>
            <w:r>
              <w:t>油烟和烟灰</w:t>
            </w:r>
          </w:p>
        </w:tc>
        <w:tc>
          <w:tcPr>
            <w:tcW w:w="2676" w:type="dxa"/>
            <w:vAlign w:val="center"/>
          </w:tcPr>
          <w:p>
            <w:pPr>
              <w:pStyle w:val="42"/>
              <w:spacing w:line="240" w:lineRule="auto"/>
              <w:jc w:val="center"/>
            </w:pPr>
            <w:r>
              <w:t>无或局部有</w:t>
            </w:r>
          </w:p>
        </w:tc>
        <w:tc>
          <w:tcPr>
            <w:tcW w:w="2962" w:type="dxa"/>
            <w:vAlign w:val="center"/>
          </w:tcPr>
          <w:p>
            <w:pPr>
              <w:pStyle w:val="42"/>
              <w:spacing w:line="240" w:lineRule="auto"/>
              <w:jc w:val="center"/>
            </w:pPr>
            <w:r>
              <w:t>大面积有或局部被烧光</w:t>
            </w:r>
          </w:p>
        </w:tc>
        <w:tc>
          <w:tcPr>
            <w:tcW w:w="2248" w:type="dxa"/>
            <w:vAlign w:val="center"/>
          </w:tcPr>
          <w:p>
            <w:pPr>
              <w:pStyle w:val="42"/>
              <w:spacing w:line="240" w:lineRule="auto"/>
              <w:jc w:val="center"/>
            </w:pPr>
            <w:r>
              <w:t>大面积被烧光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1" w:type="dxa"/>
            <w:gridSpan w:val="2"/>
            <w:vAlign w:val="center"/>
          </w:tcPr>
          <w:p>
            <w:pPr>
              <w:pStyle w:val="42"/>
              <w:spacing w:line="240" w:lineRule="auto"/>
              <w:jc w:val="center"/>
            </w:pPr>
            <w:r>
              <w:t>混凝土颜色改变</w:t>
            </w:r>
          </w:p>
        </w:tc>
        <w:tc>
          <w:tcPr>
            <w:tcW w:w="2676" w:type="dxa"/>
            <w:vAlign w:val="center"/>
          </w:tcPr>
          <w:p>
            <w:pPr>
              <w:pStyle w:val="42"/>
              <w:spacing w:line="240" w:lineRule="auto"/>
              <w:jc w:val="center"/>
            </w:pPr>
            <w:r>
              <w:t>基本未变或被黑色覆盖</w:t>
            </w:r>
          </w:p>
        </w:tc>
        <w:tc>
          <w:tcPr>
            <w:tcW w:w="2962" w:type="dxa"/>
            <w:vAlign w:val="center"/>
          </w:tcPr>
          <w:p>
            <w:pPr>
              <w:pStyle w:val="42"/>
              <w:spacing w:line="240" w:lineRule="auto"/>
              <w:jc w:val="center"/>
            </w:pPr>
            <w:r>
              <w:t>粉红</w:t>
            </w:r>
          </w:p>
        </w:tc>
        <w:tc>
          <w:tcPr>
            <w:tcW w:w="2248" w:type="dxa"/>
            <w:vAlign w:val="center"/>
          </w:tcPr>
          <w:p>
            <w:pPr>
              <w:pStyle w:val="42"/>
              <w:spacing w:line="240" w:lineRule="auto"/>
              <w:jc w:val="center"/>
            </w:pPr>
            <w:r>
              <w:t>土黄色或灰白色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1" w:type="dxa"/>
            <w:gridSpan w:val="2"/>
            <w:vAlign w:val="center"/>
          </w:tcPr>
          <w:p>
            <w:pPr>
              <w:pStyle w:val="42"/>
              <w:spacing w:line="240" w:lineRule="auto"/>
              <w:jc w:val="center"/>
            </w:pPr>
            <w:r>
              <w:t>火灾裂缝</w:t>
            </w:r>
          </w:p>
        </w:tc>
        <w:tc>
          <w:tcPr>
            <w:tcW w:w="2676" w:type="dxa"/>
            <w:vAlign w:val="center"/>
          </w:tcPr>
          <w:p>
            <w:pPr>
              <w:pStyle w:val="42"/>
              <w:spacing w:line="240" w:lineRule="auto"/>
              <w:jc w:val="center"/>
            </w:pPr>
            <w:r>
              <w:t>无火灾裂缝</w:t>
            </w:r>
          </w:p>
        </w:tc>
        <w:tc>
          <w:tcPr>
            <w:tcW w:w="2962" w:type="dxa"/>
            <w:vAlign w:val="center"/>
          </w:tcPr>
          <w:p>
            <w:pPr>
              <w:pStyle w:val="42"/>
              <w:spacing w:line="240" w:lineRule="auto"/>
              <w:jc w:val="center"/>
            </w:pPr>
            <w:r>
              <w:t>表面轻微裂缝网</w:t>
            </w:r>
          </w:p>
        </w:tc>
        <w:tc>
          <w:tcPr>
            <w:tcW w:w="2248" w:type="dxa"/>
            <w:vAlign w:val="center"/>
          </w:tcPr>
          <w:p>
            <w:pPr>
              <w:pStyle w:val="42"/>
              <w:spacing w:line="240" w:lineRule="auto"/>
              <w:jc w:val="center"/>
            </w:pPr>
            <w:r>
              <w:t>粗裂缝网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1" w:type="dxa"/>
            <w:gridSpan w:val="2"/>
            <w:vAlign w:val="center"/>
          </w:tcPr>
          <w:p>
            <w:pPr>
              <w:pStyle w:val="42"/>
              <w:spacing w:line="240" w:lineRule="auto"/>
              <w:jc w:val="center"/>
            </w:pPr>
            <w:r>
              <w:t>锤击反应</w:t>
            </w:r>
          </w:p>
        </w:tc>
        <w:tc>
          <w:tcPr>
            <w:tcW w:w="2676" w:type="dxa"/>
            <w:vAlign w:val="center"/>
          </w:tcPr>
          <w:p>
            <w:pPr>
              <w:pStyle w:val="42"/>
              <w:spacing w:line="240" w:lineRule="auto"/>
              <w:jc w:val="center"/>
            </w:pPr>
            <w:r>
              <w:t>声音响亮，混凝土表面不留下痕迹</w:t>
            </w:r>
          </w:p>
        </w:tc>
        <w:tc>
          <w:tcPr>
            <w:tcW w:w="2962" w:type="dxa"/>
            <w:vAlign w:val="center"/>
          </w:tcPr>
          <w:p>
            <w:pPr>
              <w:pStyle w:val="42"/>
              <w:spacing w:line="240" w:lineRule="auto"/>
              <w:jc w:val="center"/>
            </w:pPr>
            <w:r>
              <w:t>声音较响或较闷，混凝土表面留下较明显痕迹或局部混凝土酥碎</w:t>
            </w:r>
          </w:p>
        </w:tc>
        <w:tc>
          <w:tcPr>
            <w:tcW w:w="2248" w:type="dxa"/>
            <w:vAlign w:val="center"/>
          </w:tcPr>
          <w:p>
            <w:pPr>
              <w:pStyle w:val="42"/>
              <w:spacing w:line="240" w:lineRule="auto"/>
              <w:jc w:val="center"/>
            </w:pPr>
            <w:r>
              <w:t>声音发闷，混凝土粉碎或塌落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1" w:type="dxa"/>
            <w:vMerge w:val="restart"/>
            <w:vAlign w:val="center"/>
          </w:tcPr>
          <w:p>
            <w:pPr>
              <w:pStyle w:val="42"/>
              <w:spacing w:line="240" w:lineRule="auto"/>
              <w:jc w:val="center"/>
            </w:pPr>
            <w:r>
              <w:t>混凝土脱落</w:t>
            </w:r>
          </w:p>
        </w:tc>
        <w:tc>
          <w:tcPr>
            <w:tcW w:w="770" w:type="dxa"/>
            <w:vAlign w:val="center"/>
          </w:tcPr>
          <w:p>
            <w:pPr>
              <w:pStyle w:val="42"/>
              <w:spacing w:line="240" w:lineRule="auto"/>
              <w:jc w:val="center"/>
            </w:pPr>
            <w:r>
              <w:t>实心板</w:t>
            </w:r>
          </w:p>
        </w:tc>
        <w:tc>
          <w:tcPr>
            <w:tcW w:w="2676" w:type="dxa"/>
            <w:vAlign w:val="center"/>
          </w:tcPr>
          <w:p>
            <w:pPr>
              <w:pStyle w:val="42"/>
              <w:spacing w:line="240" w:lineRule="auto"/>
              <w:jc w:val="center"/>
            </w:pPr>
            <w:r>
              <w:t>无</w:t>
            </w:r>
          </w:p>
        </w:tc>
        <w:tc>
          <w:tcPr>
            <w:tcW w:w="2962" w:type="dxa"/>
            <w:vAlign w:val="center"/>
          </w:tcPr>
          <w:p>
            <w:pPr>
              <w:pStyle w:val="42"/>
              <w:spacing w:line="240" w:lineRule="auto"/>
              <w:jc w:val="center"/>
            </w:pPr>
            <w:r>
              <w:t>&lt;5处，且每处面积≤100cm</w:t>
            </w:r>
            <w:r>
              <w:rPr>
                <w:vertAlign w:val="superscript"/>
              </w:rPr>
              <w:t>2</w:t>
            </w:r>
          </w:p>
        </w:tc>
        <w:tc>
          <w:tcPr>
            <w:tcW w:w="2248" w:type="dxa"/>
            <w:vAlign w:val="center"/>
          </w:tcPr>
          <w:p>
            <w:pPr>
              <w:pStyle w:val="42"/>
              <w:spacing w:line="240" w:lineRule="auto"/>
              <w:jc w:val="center"/>
            </w:pPr>
            <w:r>
              <w:t>＞5处或单处面积&gt;100cm</w:t>
            </w:r>
            <w:r>
              <w:rPr>
                <w:vertAlign w:val="superscript"/>
              </w:rPr>
              <w:t>2</w:t>
            </w:r>
            <w:r>
              <w:rPr>
                <w:rFonts w:hint="eastAsia"/>
              </w:rPr>
              <w:t>，</w:t>
            </w:r>
            <w:r>
              <w:t>或穿透或全面脱落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1" w:type="dxa"/>
            <w:vMerge w:val="continue"/>
            <w:vAlign w:val="center"/>
          </w:tcPr>
          <w:p>
            <w:pPr>
              <w:pStyle w:val="42"/>
              <w:spacing w:line="240" w:lineRule="auto"/>
              <w:jc w:val="center"/>
            </w:pPr>
          </w:p>
        </w:tc>
        <w:tc>
          <w:tcPr>
            <w:tcW w:w="770" w:type="dxa"/>
            <w:vAlign w:val="center"/>
          </w:tcPr>
          <w:p>
            <w:pPr>
              <w:pStyle w:val="42"/>
              <w:spacing w:line="240" w:lineRule="auto"/>
              <w:jc w:val="center"/>
            </w:pPr>
            <w:r>
              <w:t>肋形板</w:t>
            </w:r>
          </w:p>
        </w:tc>
        <w:tc>
          <w:tcPr>
            <w:tcW w:w="2676" w:type="dxa"/>
            <w:vAlign w:val="center"/>
          </w:tcPr>
          <w:p>
            <w:pPr>
              <w:pStyle w:val="42"/>
              <w:spacing w:line="240" w:lineRule="auto"/>
              <w:jc w:val="center"/>
            </w:pPr>
            <w:r>
              <w:t>无</w:t>
            </w:r>
          </w:p>
        </w:tc>
        <w:tc>
          <w:tcPr>
            <w:tcW w:w="2962" w:type="dxa"/>
            <w:vAlign w:val="center"/>
          </w:tcPr>
          <w:p>
            <w:pPr>
              <w:pStyle w:val="42"/>
              <w:spacing w:line="240" w:lineRule="auto"/>
              <w:jc w:val="center"/>
            </w:pPr>
            <w:r>
              <w:t>肋部有，锚固区无；板中个别处有，但面积不大于20%板面积，且不在跨中</w:t>
            </w:r>
          </w:p>
        </w:tc>
        <w:tc>
          <w:tcPr>
            <w:tcW w:w="2248" w:type="dxa"/>
            <w:vAlign w:val="center"/>
          </w:tcPr>
          <w:p>
            <w:pPr>
              <w:pStyle w:val="42"/>
              <w:spacing w:line="240" w:lineRule="auto"/>
              <w:jc w:val="center"/>
            </w:pPr>
            <w:r>
              <w:t>锚固区有，板有贯通，面积大于20%板面积，或穿过跨中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1" w:type="dxa"/>
            <w:vMerge w:val="continue"/>
            <w:vAlign w:val="center"/>
          </w:tcPr>
          <w:p>
            <w:pPr>
              <w:pStyle w:val="42"/>
              <w:spacing w:line="240" w:lineRule="auto"/>
              <w:jc w:val="center"/>
            </w:pPr>
          </w:p>
        </w:tc>
        <w:tc>
          <w:tcPr>
            <w:tcW w:w="770" w:type="dxa"/>
            <w:vAlign w:val="center"/>
          </w:tcPr>
          <w:p>
            <w:pPr>
              <w:pStyle w:val="42"/>
              <w:spacing w:line="240" w:lineRule="auto"/>
              <w:jc w:val="center"/>
            </w:pPr>
            <w:r>
              <w:t>梁</w:t>
            </w:r>
          </w:p>
        </w:tc>
        <w:tc>
          <w:tcPr>
            <w:tcW w:w="2676" w:type="dxa"/>
            <w:vAlign w:val="center"/>
          </w:tcPr>
          <w:p>
            <w:pPr>
              <w:pStyle w:val="42"/>
              <w:spacing w:line="240" w:lineRule="auto"/>
              <w:jc w:val="center"/>
            </w:pPr>
            <w:r>
              <w:t>无</w:t>
            </w:r>
          </w:p>
        </w:tc>
        <w:tc>
          <w:tcPr>
            <w:tcW w:w="2962" w:type="dxa"/>
            <w:vAlign w:val="center"/>
          </w:tcPr>
          <w:p>
            <w:pPr>
              <w:pStyle w:val="42"/>
              <w:spacing w:line="240" w:lineRule="auto"/>
              <w:jc w:val="center"/>
            </w:pPr>
            <w:r>
              <w:t>下表面局部脱落或少量局部露筋</w:t>
            </w:r>
          </w:p>
        </w:tc>
        <w:tc>
          <w:tcPr>
            <w:tcW w:w="2248" w:type="dxa"/>
            <w:vAlign w:val="center"/>
          </w:tcPr>
          <w:p>
            <w:pPr>
              <w:pStyle w:val="42"/>
              <w:spacing w:line="240" w:lineRule="auto"/>
              <w:jc w:val="center"/>
            </w:pPr>
            <w:r>
              <w:t>跨中和锚固区单排钢筋保护层脱落，或多排钢筋大面积钢筋深度烧伤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1" w:type="dxa"/>
            <w:vMerge w:val="continue"/>
            <w:vAlign w:val="center"/>
          </w:tcPr>
          <w:p>
            <w:pPr>
              <w:pStyle w:val="42"/>
              <w:spacing w:line="240" w:lineRule="auto"/>
              <w:jc w:val="center"/>
            </w:pPr>
          </w:p>
        </w:tc>
        <w:tc>
          <w:tcPr>
            <w:tcW w:w="770" w:type="dxa"/>
            <w:vAlign w:val="center"/>
          </w:tcPr>
          <w:p>
            <w:pPr>
              <w:pStyle w:val="42"/>
              <w:spacing w:line="240" w:lineRule="auto"/>
              <w:jc w:val="center"/>
            </w:pPr>
            <w:r>
              <w:t>柱</w:t>
            </w:r>
          </w:p>
        </w:tc>
        <w:tc>
          <w:tcPr>
            <w:tcW w:w="2676" w:type="dxa"/>
            <w:vAlign w:val="center"/>
          </w:tcPr>
          <w:p>
            <w:pPr>
              <w:pStyle w:val="42"/>
              <w:spacing w:line="240" w:lineRule="auto"/>
              <w:jc w:val="center"/>
            </w:pPr>
            <w:r>
              <w:t>无</w:t>
            </w:r>
          </w:p>
        </w:tc>
        <w:tc>
          <w:tcPr>
            <w:tcW w:w="2962" w:type="dxa"/>
            <w:vAlign w:val="center"/>
          </w:tcPr>
          <w:p>
            <w:pPr>
              <w:pStyle w:val="42"/>
              <w:spacing w:line="240" w:lineRule="auto"/>
              <w:jc w:val="center"/>
            </w:pPr>
            <w:r>
              <w:t>局部混凝土脱落</w:t>
            </w:r>
          </w:p>
        </w:tc>
        <w:tc>
          <w:tcPr>
            <w:tcW w:w="2248" w:type="dxa"/>
            <w:vAlign w:val="center"/>
          </w:tcPr>
          <w:p>
            <w:pPr>
              <w:pStyle w:val="42"/>
              <w:spacing w:line="240" w:lineRule="auto"/>
              <w:jc w:val="center"/>
            </w:pPr>
            <w:r>
              <w:t>大部分混凝土脱落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1" w:type="dxa"/>
            <w:vMerge w:val="continue"/>
            <w:vAlign w:val="center"/>
          </w:tcPr>
          <w:p>
            <w:pPr>
              <w:pStyle w:val="42"/>
              <w:spacing w:line="240" w:lineRule="auto"/>
              <w:jc w:val="center"/>
            </w:pPr>
          </w:p>
        </w:tc>
        <w:tc>
          <w:tcPr>
            <w:tcW w:w="770" w:type="dxa"/>
            <w:vAlign w:val="center"/>
          </w:tcPr>
          <w:p>
            <w:pPr>
              <w:pStyle w:val="42"/>
              <w:spacing w:line="240" w:lineRule="auto"/>
              <w:jc w:val="center"/>
            </w:pPr>
            <w:r>
              <w:t>墙</w:t>
            </w:r>
          </w:p>
        </w:tc>
        <w:tc>
          <w:tcPr>
            <w:tcW w:w="2676" w:type="dxa"/>
            <w:vAlign w:val="center"/>
          </w:tcPr>
          <w:p>
            <w:pPr>
              <w:pStyle w:val="42"/>
              <w:spacing w:line="240" w:lineRule="auto"/>
              <w:jc w:val="center"/>
            </w:pPr>
            <w:r>
              <w:t>无</w:t>
            </w:r>
          </w:p>
        </w:tc>
        <w:tc>
          <w:tcPr>
            <w:tcW w:w="2962" w:type="dxa"/>
            <w:vAlign w:val="center"/>
          </w:tcPr>
          <w:p>
            <w:pPr>
              <w:pStyle w:val="42"/>
              <w:spacing w:line="240" w:lineRule="auto"/>
              <w:jc w:val="center"/>
            </w:pPr>
            <w:r>
              <w:t>脱落面积小于50×50cm</w:t>
            </w:r>
            <w:r>
              <w:rPr>
                <w:vertAlign w:val="superscript"/>
              </w:rPr>
              <w:t>2</w:t>
            </w:r>
            <w:r>
              <w:t>，且为表面剥落</w:t>
            </w:r>
          </w:p>
        </w:tc>
        <w:tc>
          <w:tcPr>
            <w:tcW w:w="2248" w:type="dxa"/>
            <w:vAlign w:val="center"/>
          </w:tcPr>
          <w:p>
            <w:pPr>
              <w:pStyle w:val="42"/>
              <w:spacing w:line="240" w:lineRule="auto"/>
              <w:jc w:val="center"/>
            </w:pPr>
            <w:r>
              <w:t>最大</w:t>
            </w:r>
            <w:r>
              <w:rPr>
                <w:rFonts w:hint="eastAsia"/>
              </w:rPr>
              <w:t>块</w:t>
            </w:r>
            <w:r>
              <w:t>脱落面积不小于50×50cm</w:t>
            </w:r>
            <w:r>
              <w:rPr>
                <w:vertAlign w:val="superscript"/>
              </w:rPr>
              <w:t>2</w:t>
            </w:r>
            <w:r>
              <w:t>，或大面积剥落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1" w:type="dxa"/>
            <w:vMerge w:val="restart"/>
            <w:vAlign w:val="center"/>
          </w:tcPr>
          <w:p>
            <w:pPr>
              <w:pStyle w:val="42"/>
              <w:spacing w:line="240" w:lineRule="auto"/>
              <w:jc w:val="center"/>
            </w:pPr>
            <w:r>
              <w:t>受力钢筋露筋</w:t>
            </w:r>
          </w:p>
        </w:tc>
        <w:tc>
          <w:tcPr>
            <w:tcW w:w="770" w:type="dxa"/>
            <w:vAlign w:val="center"/>
          </w:tcPr>
          <w:p>
            <w:pPr>
              <w:pStyle w:val="42"/>
              <w:spacing w:line="240" w:lineRule="auto"/>
              <w:jc w:val="center"/>
            </w:pPr>
            <w:r>
              <w:t>板</w:t>
            </w:r>
          </w:p>
        </w:tc>
        <w:tc>
          <w:tcPr>
            <w:tcW w:w="2676" w:type="dxa"/>
            <w:vAlign w:val="center"/>
          </w:tcPr>
          <w:p>
            <w:pPr>
              <w:pStyle w:val="42"/>
              <w:spacing w:line="240" w:lineRule="auto"/>
              <w:jc w:val="center"/>
            </w:pPr>
            <w:r>
              <w:t>无</w:t>
            </w:r>
          </w:p>
        </w:tc>
        <w:tc>
          <w:tcPr>
            <w:tcW w:w="2962" w:type="dxa"/>
            <w:vAlign w:val="center"/>
          </w:tcPr>
          <w:p>
            <w:pPr>
              <w:pStyle w:val="42"/>
              <w:spacing w:line="240" w:lineRule="auto"/>
              <w:jc w:val="center"/>
            </w:pPr>
            <w:r>
              <w:t>有露筋，露筋长度小于20%板跨，且锚固区未露筋</w:t>
            </w:r>
          </w:p>
        </w:tc>
        <w:tc>
          <w:tcPr>
            <w:tcW w:w="2248" w:type="dxa"/>
            <w:vAlign w:val="center"/>
          </w:tcPr>
          <w:p>
            <w:pPr>
              <w:pStyle w:val="42"/>
              <w:spacing w:line="240" w:lineRule="auto"/>
              <w:jc w:val="center"/>
            </w:pPr>
            <w:r>
              <w:t>大面积露筋，露筋长度大于20%板跨，或锚固区露筋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1" w:type="dxa"/>
            <w:vMerge w:val="continue"/>
            <w:vAlign w:val="center"/>
          </w:tcPr>
          <w:p>
            <w:pPr>
              <w:pStyle w:val="42"/>
              <w:spacing w:line="240" w:lineRule="auto"/>
              <w:jc w:val="center"/>
            </w:pPr>
          </w:p>
        </w:tc>
        <w:tc>
          <w:tcPr>
            <w:tcW w:w="770" w:type="dxa"/>
            <w:vAlign w:val="center"/>
          </w:tcPr>
          <w:p>
            <w:pPr>
              <w:pStyle w:val="42"/>
              <w:spacing w:line="240" w:lineRule="auto"/>
              <w:jc w:val="center"/>
            </w:pPr>
            <w:r>
              <w:t>梁</w:t>
            </w:r>
          </w:p>
        </w:tc>
        <w:tc>
          <w:tcPr>
            <w:tcW w:w="2676" w:type="dxa"/>
            <w:vAlign w:val="center"/>
          </w:tcPr>
          <w:p>
            <w:pPr>
              <w:pStyle w:val="42"/>
              <w:spacing w:line="240" w:lineRule="auto"/>
              <w:jc w:val="center"/>
            </w:pPr>
            <w:r>
              <w:t>无</w:t>
            </w:r>
          </w:p>
        </w:tc>
        <w:tc>
          <w:tcPr>
            <w:tcW w:w="2962" w:type="dxa"/>
            <w:vAlign w:val="center"/>
          </w:tcPr>
          <w:p>
            <w:pPr>
              <w:pStyle w:val="42"/>
              <w:spacing w:line="240" w:lineRule="auto"/>
              <w:jc w:val="center"/>
            </w:pPr>
            <w:r>
              <w:t>受力钢筋外露不大于30%的梁计算跨度，单排钢筋不多于一根，多排筋不多于二根</w:t>
            </w:r>
          </w:p>
        </w:tc>
        <w:tc>
          <w:tcPr>
            <w:tcW w:w="2248" w:type="dxa"/>
            <w:vAlign w:val="center"/>
          </w:tcPr>
          <w:p>
            <w:pPr>
              <w:pStyle w:val="42"/>
              <w:spacing w:line="240" w:lineRule="auto"/>
              <w:jc w:val="center"/>
            </w:pPr>
            <w:r>
              <w:t>受力钢筋外露大于30%的梁计算跨度，或单排钢筋多于一根，多排钢筋多于二根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1" w:type="dxa"/>
            <w:vMerge w:val="continue"/>
            <w:vAlign w:val="center"/>
          </w:tcPr>
          <w:p>
            <w:pPr>
              <w:pStyle w:val="42"/>
              <w:spacing w:line="240" w:lineRule="auto"/>
              <w:jc w:val="center"/>
            </w:pPr>
          </w:p>
        </w:tc>
        <w:tc>
          <w:tcPr>
            <w:tcW w:w="770" w:type="dxa"/>
            <w:vAlign w:val="center"/>
          </w:tcPr>
          <w:p>
            <w:pPr>
              <w:pStyle w:val="42"/>
              <w:spacing w:line="240" w:lineRule="auto"/>
              <w:jc w:val="center"/>
            </w:pPr>
            <w:r>
              <w:t>柱</w:t>
            </w:r>
          </w:p>
        </w:tc>
        <w:tc>
          <w:tcPr>
            <w:tcW w:w="2676" w:type="dxa"/>
            <w:vAlign w:val="center"/>
          </w:tcPr>
          <w:p>
            <w:pPr>
              <w:pStyle w:val="42"/>
              <w:spacing w:line="240" w:lineRule="auto"/>
              <w:jc w:val="center"/>
            </w:pPr>
            <w:r>
              <w:t>无</w:t>
            </w:r>
          </w:p>
        </w:tc>
        <w:tc>
          <w:tcPr>
            <w:tcW w:w="2962" w:type="dxa"/>
            <w:vAlign w:val="center"/>
          </w:tcPr>
          <w:p>
            <w:pPr>
              <w:pStyle w:val="42"/>
              <w:spacing w:line="240" w:lineRule="auto"/>
              <w:jc w:val="center"/>
            </w:pPr>
            <w:r>
              <w:t>轻微露筋，不多于一根，露筋长度不大于20%柱高或层高</w:t>
            </w:r>
          </w:p>
        </w:tc>
        <w:tc>
          <w:tcPr>
            <w:tcW w:w="2248" w:type="dxa"/>
            <w:vAlign w:val="center"/>
          </w:tcPr>
          <w:p>
            <w:pPr>
              <w:pStyle w:val="42"/>
              <w:spacing w:line="240" w:lineRule="auto"/>
              <w:jc w:val="center"/>
            </w:pPr>
            <w:r>
              <w:t>露筋多于一根，或露筋长度大于20%柱高或层高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1" w:type="dxa"/>
            <w:vMerge w:val="continue"/>
            <w:vAlign w:val="center"/>
          </w:tcPr>
          <w:p>
            <w:pPr>
              <w:pStyle w:val="42"/>
              <w:spacing w:line="240" w:lineRule="auto"/>
              <w:jc w:val="center"/>
            </w:pPr>
          </w:p>
        </w:tc>
        <w:tc>
          <w:tcPr>
            <w:tcW w:w="770" w:type="dxa"/>
            <w:vAlign w:val="center"/>
          </w:tcPr>
          <w:p>
            <w:pPr>
              <w:pStyle w:val="42"/>
              <w:spacing w:line="240" w:lineRule="auto"/>
              <w:jc w:val="center"/>
            </w:pPr>
            <w:r>
              <w:t>墙</w:t>
            </w:r>
          </w:p>
        </w:tc>
        <w:tc>
          <w:tcPr>
            <w:tcW w:w="2676" w:type="dxa"/>
            <w:vAlign w:val="center"/>
          </w:tcPr>
          <w:p>
            <w:pPr>
              <w:pStyle w:val="42"/>
              <w:spacing w:line="240" w:lineRule="auto"/>
              <w:jc w:val="center"/>
            </w:pPr>
            <w:r>
              <w:t>无</w:t>
            </w:r>
          </w:p>
        </w:tc>
        <w:tc>
          <w:tcPr>
            <w:tcW w:w="2962" w:type="dxa"/>
            <w:vAlign w:val="center"/>
          </w:tcPr>
          <w:p>
            <w:pPr>
              <w:pStyle w:val="42"/>
              <w:spacing w:line="240" w:lineRule="auto"/>
              <w:jc w:val="center"/>
            </w:pPr>
            <w:r>
              <w:t>小面积露筋</w:t>
            </w:r>
          </w:p>
        </w:tc>
        <w:tc>
          <w:tcPr>
            <w:tcW w:w="2248" w:type="dxa"/>
            <w:vAlign w:val="center"/>
          </w:tcPr>
          <w:p>
            <w:pPr>
              <w:pStyle w:val="42"/>
              <w:spacing w:line="240" w:lineRule="auto"/>
              <w:jc w:val="center"/>
            </w:pPr>
            <w:r>
              <w:t>大面积露筋或锚固区露筋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1" w:type="dxa"/>
            <w:gridSpan w:val="2"/>
            <w:vAlign w:val="center"/>
          </w:tcPr>
          <w:p>
            <w:pPr>
              <w:pStyle w:val="42"/>
              <w:spacing w:line="240" w:lineRule="auto"/>
              <w:jc w:val="center"/>
            </w:pPr>
            <w:r>
              <w:t>受力钢筋粘结性能</w:t>
            </w:r>
          </w:p>
        </w:tc>
        <w:tc>
          <w:tcPr>
            <w:tcW w:w="2676" w:type="dxa"/>
            <w:vAlign w:val="center"/>
          </w:tcPr>
          <w:p>
            <w:pPr>
              <w:pStyle w:val="42"/>
              <w:spacing w:line="240" w:lineRule="auto"/>
              <w:jc w:val="center"/>
            </w:pPr>
            <w:r>
              <w:t>无影响</w:t>
            </w:r>
          </w:p>
        </w:tc>
        <w:tc>
          <w:tcPr>
            <w:tcW w:w="2962" w:type="dxa"/>
            <w:vAlign w:val="center"/>
          </w:tcPr>
          <w:p>
            <w:pPr>
              <w:pStyle w:val="42"/>
              <w:spacing w:line="240" w:lineRule="auto"/>
              <w:jc w:val="center"/>
            </w:pPr>
            <w:r>
              <w:t>略有降低，但锚固区无影响</w:t>
            </w:r>
          </w:p>
        </w:tc>
        <w:tc>
          <w:tcPr>
            <w:tcW w:w="2248" w:type="dxa"/>
            <w:vAlign w:val="center"/>
          </w:tcPr>
          <w:p>
            <w:pPr>
              <w:pStyle w:val="42"/>
              <w:spacing w:line="240" w:lineRule="auto"/>
              <w:jc w:val="center"/>
            </w:pPr>
            <w:r>
              <w:t>降低严重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1" w:type="dxa"/>
            <w:gridSpan w:val="2"/>
            <w:vAlign w:val="center"/>
          </w:tcPr>
          <w:p>
            <w:pPr>
              <w:pStyle w:val="42"/>
              <w:spacing w:line="240" w:lineRule="auto"/>
              <w:jc w:val="center"/>
            </w:pPr>
            <w:r>
              <w:t>变形</w:t>
            </w:r>
          </w:p>
        </w:tc>
        <w:tc>
          <w:tcPr>
            <w:tcW w:w="2676" w:type="dxa"/>
            <w:vAlign w:val="center"/>
          </w:tcPr>
          <w:p>
            <w:pPr>
              <w:pStyle w:val="42"/>
              <w:spacing w:line="240" w:lineRule="auto"/>
              <w:jc w:val="center"/>
            </w:pPr>
            <w:r>
              <w:t>无明显变形</w:t>
            </w:r>
          </w:p>
        </w:tc>
        <w:tc>
          <w:tcPr>
            <w:tcW w:w="2962" w:type="dxa"/>
            <w:vAlign w:val="center"/>
          </w:tcPr>
          <w:p>
            <w:pPr>
              <w:pStyle w:val="42"/>
              <w:spacing w:line="240" w:lineRule="auto"/>
              <w:jc w:val="center"/>
            </w:pPr>
            <w:r>
              <w:t>略有变形</w:t>
            </w:r>
          </w:p>
        </w:tc>
        <w:tc>
          <w:tcPr>
            <w:tcW w:w="2248" w:type="dxa"/>
            <w:vAlign w:val="center"/>
          </w:tcPr>
          <w:p>
            <w:pPr>
              <w:pStyle w:val="42"/>
              <w:spacing w:line="240" w:lineRule="auto"/>
              <w:jc w:val="center"/>
            </w:pPr>
            <w:r>
              <w:t>较大变形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1" w:type="dxa"/>
            <w:gridSpan w:val="2"/>
            <w:vAlign w:val="center"/>
          </w:tcPr>
          <w:p>
            <w:pPr>
              <w:pStyle w:val="42"/>
              <w:spacing w:line="240" w:lineRule="auto"/>
              <w:jc w:val="center"/>
            </w:pPr>
            <w:r>
              <w:t>柱倾斜</w:t>
            </w:r>
          </w:p>
        </w:tc>
        <w:tc>
          <w:tcPr>
            <w:tcW w:w="2676" w:type="dxa"/>
            <w:vAlign w:val="center"/>
          </w:tcPr>
          <w:p>
            <w:pPr>
              <w:pStyle w:val="42"/>
              <w:spacing w:line="240" w:lineRule="auto"/>
              <w:jc w:val="center"/>
            </w:pPr>
            <w:r>
              <w:t>无</w:t>
            </w:r>
            <w:r>
              <w:rPr>
                <w:rFonts w:hint="eastAsia"/>
              </w:rPr>
              <w:t>明显倾斜</w:t>
            </w:r>
          </w:p>
        </w:tc>
        <w:tc>
          <w:tcPr>
            <w:tcW w:w="2962" w:type="dxa"/>
            <w:vAlign w:val="center"/>
          </w:tcPr>
          <w:p>
            <w:pPr>
              <w:pStyle w:val="42"/>
              <w:spacing w:line="240" w:lineRule="auto"/>
              <w:jc w:val="center"/>
            </w:pPr>
            <w:r>
              <w:t>无</w:t>
            </w:r>
            <w:r>
              <w:rPr>
                <w:rFonts w:hint="eastAsia"/>
              </w:rPr>
              <w:t>明显倾斜</w:t>
            </w:r>
          </w:p>
        </w:tc>
        <w:tc>
          <w:tcPr>
            <w:tcW w:w="2248" w:type="dxa"/>
            <w:vAlign w:val="center"/>
          </w:tcPr>
          <w:p>
            <w:pPr>
              <w:pStyle w:val="42"/>
              <w:spacing w:line="240" w:lineRule="auto"/>
              <w:jc w:val="center"/>
            </w:pPr>
            <w:r>
              <w:rPr>
                <w:rFonts w:hint="eastAsia"/>
              </w:rPr>
              <w:t>有可见倾斜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1" w:type="dxa"/>
            <w:gridSpan w:val="2"/>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bookmarkStart w:id="56" w:name="_Hlk512673126"/>
            <w:r>
              <w:t>预应力锚具</w:t>
            </w:r>
          </w:p>
        </w:tc>
        <w:tc>
          <w:tcPr>
            <w:tcW w:w="2676"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历经最高温度不高于200℃</w:t>
            </w:r>
          </w:p>
        </w:tc>
        <w:tc>
          <w:tcPr>
            <w:tcW w:w="2962"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rPr>
                <w:rFonts w:hint="eastAsia"/>
              </w:rPr>
              <w:t>单个构件</w:t>
            </w:r>
            <w:r>
              <w:t>锚具经历最高温度高于200℃的不超过10%</w:t>
            </w:r>
          </w:p>
        </w:tc>
        <w:tc>
          <w:tcPr>
            <w:tcW w:w="2248"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rPr>
                <w:rFonts w:hint="eastAsia"/>
              </w:rPr>
              <w:t>单个构件</w:t>
            </w:r>
            <w:r>
              <w:t>锚具经历最高温度高于200℃的超过10%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1" w:type="dxa"/>
            <w:gridSpan w:val="2"/>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rPr>
                <w:rFonts w:hint="eastAsia"/>
              </w:rPr>
              <w:t>预应力筋</w:t>
            </w:r>
          </w:p>
        </w:tc>
        <w:tc>
          <w:tcPr>
            <w:tcW w:w="2676"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rPr>
                <w:rFonts w:hint="eastAsia"/>
              </w:rPr>
              <w:t>控制截面预应力筋历经最高温度不超过</w:t>
            </w:r>
            <w:r>
              <w:t>250</w:t>
            </w:r>
            <w:r>
              <w:rPr>
                <w:rFonts w:hint="eastAsia" w:ascii="宋体" w:hAnsi="宋体" w:cs="宋体"/>
              </w:rPr>
              <w:t>℃</w:t>
            </w:r>
          </w:p>
        </w:tc>
        <w:tc>
          <w:tcPr>
            <w:tcW w:w="2962"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控制截面预应力筋历经最高温度超过250</w:t>
            </w:r>
            <w:r>
              <w:rPr>
                <w:rFonts w:hAnsi="宋体"/>
              </w:rPr>
              <w:t>℃，但不超过</w:t>
            </w:r>
            <w:r>
              <w:t>325</w:t>
            </w:r>
            <w:r>
              <w:rPr>
                <w:rFonts w:hAnsi="宋体"/>
              </w:rPr>
              <w:t>℃</w:t>
            </w:r>
          </w:p>
        </w:tc>
        <w:tc>
          <w:tcPr>
            <w:tcW w:w="2248"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控制截面预应力筋历经最高温度超过325</w:t>
            </w:r>
            <w:r>
              <w:rPr>
                <w:rFonts w:ascii="宋体" w:hAnsi="宋体"/>
              </w:rPr>
              <w:t>℃</w:t>
            </w:r>
          </w:p>
        </w:tc>
      </w:tr>
      <w:bookmarkEnd w:id="5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1" w:type="dxa"/>
            <w:gridSpan w:val="2"/>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型钢</w:t>
            </w:r>
          </w:p>
        </w:tc>
        <w:tc>
          <w:tcPr>
            <w:tcW w:w="2676"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无局部变形</w:t>
            </w:r>
          </w:p>
        </w:tc>
        <w:tc>
          <w:tcPr>
            <w:tcW w:w="2962"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无局部变形</w:t>
            </w:r>
          </w:p>
        </w:tc>
        <w:tc>
          <w:tcPr>
            <w:tcW w:w="2248"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有轻微局部变形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251" w:type="dxa"/>
            <w:gridSpan w:val="2"/>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栓钉</w:t>
            </w:r>
          </w:p>
        </w:tc>
        <w:tc>
          <w:tcPr>
            <w:tcW w:w="2676"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无变形</w:t>
            </w:r>
          </w:p>
        </w:tc>
        <w:tc>
          <w:tcPr>
            <w:tcW w:w="2962"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无变形</w:t>
            </w:r>
          </w:p>
        </w:tc>
        <w:tc>
          <w:tcPr>
            <w:tcW w:w="2248"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有一定变形</w:t>
            </w:r>
          </w:p>
        </w:tc>
      </w:tr>
    </w:tbl>
    <w:p>
      <w:pPr>
        <w:pStyle w:val="42"/>
        <w:rPr>
          <w:sz w:val="20"/>
        </w:rPr>
      </w:pPr>
      <w:r>
        <w:rPr>
          <w:rFonts w:hint="eastAsia"/>
          <w:sz w:val="20"/>
        </w:rPr>
        <w:t>注：1混凝土楼板、屋面板包含混凝土及预应力混凝土楼板、屋面板。</w:t>
      </w:r>
    </w:p>
    <w:p>
      <w:pPr>
        <w:pStyle w:val="42"/>
        <w:ind w:firstLine="400" w:firstLineChars="200"/>
        <w:rPr>
          <w:sz w:val="20"/>
        </w:rPr>
      </w:pPr>
      <w:r>
        <w:rPr>
          <w:sz w:val="20"/>
        </w:rPr>
        <w:t>2 梁包括钢筋混凝土梁、预应力混凝土梁和型钢混凝土梁。</w:t>
      </w:r>
    </w:p>
    <w:p>
      <w:pPr>
        <w:pStyle w:val="42"/>
        <w:ind w:firstLine="400" w:firstLineChars="200"/>
        <w:rPr>
          <w:sz w:val="20"/>
        </w:rPr>
      </w:pPr>
      <w:r>
        <w:rPr>
          <w:sz w:val="20"/>
        </w:rPr>
        <w:t>3 截面小于</w:t>
      </w:r>
      <w:r>
        <w:rPr>
          <w:rFonts w:hint="eastAsia"/>
          <w:sz w:val="20"/>
        </w:rPr>
        <w:t>等于</w:t>
      </w:r>
      <w:r>
        <w:rPr>
          <w:sz w:val="20"/>
        </w:rPr>
        <w:t>400mm×400mm的柱，火灾后鉴定评级宜从严。</w:t>
      </w:r>
    </w:p>
    <w:p>
      <w:pPr>
        <w:pStyle w:val="42"/>
        <w:ind w:firstLine="400" w:firstLineChars="200"/>
        <w:rPr>
          <w:sz w:val="20"/>
        </w:rPr>
      </w:pPr>
      <w:r>
        <w:rPr>
          <w:sz w:val="20"/>
        </w:rPr>
        <w:t>4 柱包括普通混凝土柱、型钢混凝土柱。</w:t>
      </w:r>
    </w:p>
    <w:p>
      <w:pPr>
        <w:pStyle w:val="42"/>
        <w:ind w:firstLine="400" w:firstLineChars="200"/>
        <w:rPr>
          <w:sz w:val="20"/>
        </w:rPr>
      </w:pPr>
      <w:r>
        <w:rPr>
          <w:sz w:val="20"/>
        </w:rPr>
        <w:t>5 墙包括普通混凝土墙、型钢混凝土墙。</w:t>
      </w:r>
    </w:p>
    <w:p>
      <w:pPr>
        <w:rPr>
          <w:rFonts w:cs="Times New Roman"/>
        </w:rPr>
      </w:pPr>
      <w:r>
        <w:rPr>
          <w:rFonts w:cs="Times New Roman"/>
          <w:b/>
        </w:rPr>
        <w:t>6.2.2</w:t>
      </w:r>
      <w:r>
        <w:rPr>
          <w:rFonts w:cs="Times New Roman"/>
        </w:rPr>
        <w:t>火灾后混凝土结构构件的详细鉴定评级应符合下列规定：</w:t>
      </w:r>
    </w:p>
    <w:p>
      <w:pPr>
        <w:ind w:firstLine="420" w:firstLineChars="200"/>
        <w:rPr>
          <w:rFonts w:cs="Times New Roman"/>
        </w:rPr>
      </w:pPr>
      <w:r>
        <w:rPr>
          <w:rFonts w:cs="Times New Roman"/>
        </w:rPr>
        <w:t>1 混凝土结构构件火灾截面温度场取决于构件的截面形式、材料热性能、构件表面最高温度和火灾持续时间。混凝土柱、梁、板的火灾截面温度场可按本标准附录D判定。</w:t>
      </w:r>
    </w:p>
    <w:p>
      <w:pPr>
        <w:ind w:firstLine="420" w:firstLineChars="200"/>
        <w:rPr>
          <w:rFonts w:cs="Times New Roman"/>
        </w:rPr>
      </w:pPr>
      <w:r>
        <w:rPr>
          <w:rFonts w:cs="Times New Roman"/>
        </w:rPr>
        <w:t>2 火灾后混凝土、普通钢筋、型钢力学性能宜根据钻取混凝土芯样、取钢筋试样检验，也可根据构件截面温度场按本标准附录G判定。火灾后钢筋与混凝土弹性模量</w:t>
      </w:r>
      <w:r>
        <w:rPr>
          <w:rFonts w:hint="eastAsia" w:cs="Times New Roman"/>
        </w:rPr>
        <w:t>、</w:t>
      </w:r>
      <w:r>
        <w:rPr>
          <w:rFonts w:cs="Times New Roman"/>
        </w:rPr>
        <w:t>钢筋与混凝土粘结强度折减系数</w:t>
      </w:r>
      <w:r>
        <w:rPr>
          <w:rFonts w:hint="eastAsia" w:cs="Times New Roman"/>
        </w:rPr>
        <w:t>、</w:t>
      </w:r>
      <w:r>
        <w:rPr>
          <w:rFonts w:cs="Times New Roman"/>
        </w:rPr>
        <w:t>预应力筋剩余应力及剩余强度指标</w:t>
      </w:r>
      <w:r>
        <w:rPr>
          <w:rFonts w:hint="eastAsia" w:cs="Times New Roman"/>
        </w:rPr>
        <w:t>，</w:t>
      </w:r>
      <w:r>
        <w:rPr>
          <w:rFonts w:cs="Times New Roman"/>
        </w:rPr>
        <w:t>可根据构件截面温度场</w:t>
      </w:r>
      <w:r>
        <w:rPr>
          <w:rFonts w:hint="eastAsia" w:cs="Times New Roman"/>
        </w:rPr>
        <w:t>按</w:t>
      </w:r>
      <w:r>
        <w:rPr>
          <w:rFonts w:cs="Times New Roman"/>
        </w:rPr>
        <w:t>本标准附录G判定。</w:t>
      </w:r>
    </w:p>
    <w:p>
      <w:pPr>
        <w:ind w:firstLine="420" w:firstLineChars="200"/>
        <w:rPr>
          <w:rFonts w:cs="Times New Roman"/>
        </w:rPr>
      </w:pPr>
      <w:r>
        <w:rPr>
          <w:rFonts w:cs="Times New Roman"/>
        </w:rPr>
        <w:t>3 火灾后混凝土结构构件承载能力应按国家现行标准《工业建筑可靠性鉴定标准》（GB50144）、《民用建筑可靠性鉴定标准》（GB50292）等进行鉴定评级。</w:t>
      </w:r>
    </w:p>
    <w:p>
      <w:pPr>
        <w:pStyle w:val="3"/>
        <w:rPr>
          <w:rFonts w:ascii="Times New Roman" w:hAnsi="Times New Roman" w:cs="Times New Roman"/>
        </w:rPr>
      </w:pPr>
      <w:bookmarkStart w:id="57" w:name="_Toc505085893"/>
      <w:r>
        <w:rPr>
          <w:rFonts w:ascii="Times New Roman" w:hAnsi="Times New Roman" w:cs="Times New Roman"/>
        </w:rPr>
        <w:t>6.3  火灾后钢结构构件的鉴定评级</w:t>
      </w:r>
      <w:bookmarkEnd w:id="54"/>
      <w:bookmarkEnd w:id="55"/>
      <w:bookmarkEnd w:id="57"/>
    </w:p>
    <w:p>
      <w:pPr>
        <w:rPr>
          <w:rFonts w:cs="Times New Roman"/>
        </w:rPr>
      </w:pPr>
      <w:r>
        <w:rPr>
          <w:rFonts w:cs="Times New Roman"/>
          <w:b/>
        </w:rPr>
        <w:t>6.3.1</w:t>
      </w:r>
      <w:r>
        <w:rPr>
          <w:rFonts w:cs="Times New Roman"/>
        </w:rPr>
        <w:t>火灾后钢结构构件的初步鉴定评级，应根据构件</w:t>
      </w:r>
      <w:r>
        <w:t>涂装与防火保护层</w:t>
      </w:r>
      <w:r>
        <w:rPr>
          <w:rFonts w:cs="Times New Roman"/>
        </w:rPr>
        <w:t>、</w:t>
      </w:r>
      <w:r>
        <w:rPr>
          <w:rFonts w:hint="eastAsia" w:cs="Times New Roman"/>
        </w:rPr>
        <w:t>开裂</w:t>
      </w:r>
      <w:r>
        <w:rPr>
          <w:rFonts w:cs="Times New Roman"/>
        </w:rPr>
        <w:t>、</w:t>
      </w:r>
      <w:r>
        <w:rPr>
          <w:rFonts w:hint="eastAsia" w:cs="Times New Roman"/>
        </w:rPr>
        <w:t>局部变形</w:t>
      </w:r>
      <w:r>
        <w:rPr>
          <w:rFonts w:cs="Times New Roman"/>
        </w:rPr>
        <w:t>、整体变形</w:t>
      </w:r>
      <w:r>
        <w:rPr>
          <w:rFonts w:hint="eastAsia" w:cs="Times New Roman"/>
        </w:rPr>
        <w:t>、连接损伤情况等按本标准表6</w:t>
      </w:r>
      <w:r>
        <w:rPr>
          <w:rFonts w:cs="Times New Roman"/>
        </w:rPr>
        <w:t>.3.1进行评定，并按各项所评定的损伤等级中的最严重级别作为构件损伤等级。</w:t>
      </w:r>
      <w:r>
        <w:rPr>
          <w:rFonts w:hint="eastAsia" w:cs="Times New Roman"/>
        </w:rPr>
        <w:t>当出现以下情况时，应评为</w:t>
      </w:r>
      <w:r>
        <w:rPr>
          <w:rFonts w:cs="Times New Roman"/>
        </w:rPr>
        <w:t>IV级</w:t>
      </w:r>
      <w:r>
        <w:rPr>
          <w:rFonts w:hint="eastAsia" w:cs="Times New Roman"/>
        </w:rPr>
        <w:t>。</w:t>
      </w:r>
    </w:p>
    <w:p>
      <w:pPr>
        <w:ind w:firstLine="420" w:firstLineChars="200"/>
        <w:rPr>
          <w:rFonts w:cs="Times New Roman"/>
        </w:rPr>
      </w:pPr>
      <w:r>
        <w:rPr>
          <w:rFonts w:cs="Times New Roman"/>
        </w:rPr>
        <w:t>1</w:t>
      </w:r>
      <w:r>
        <w:rPr>
          <w:rFonts w:hint="eastAsia" w:cs="Times New Roman"/>
        </w:rPr>
        <w:t>当</w:t>
      </w:r>
      <w:r>
        <w:rPr>
          <w:rFonts w:cs="Times New Roman"/>
        </w:rPr>
        <w:t>构件火灾后严重烧灼损坏、出现过大的整体变形、严重残余变形、局部屈曲、扭曲或部分焊缝撕裂导致承载力丧失或大部丧失。</w:t>
      </w:r>
    </w:p>
    <w:p>
      <w:pPr>
        <w:ind w:firstLine="420" w:firstLineChars="200"/>
        <w:rPr>
          <w:rFonts w:cs="Times New Roman"/>
        </w:rPr>
      </w:pPr>
      <w:r>
        <w:rPr>
          <w:rFonts w:cs="Times New Roman"/>
        </w:rPr>
        <w:t>2当火灾后钢结构连接大面积损坏、焊缝严重变形或</w:t>
      </w:r>
      <w:r>
        <w:rPr>
          <w:rFonts w:hint="eastAsia" w:cs="Times New Roman"/>
        </w:rPr>
        <w:t>开裂</w:t>
      </w:r>
      <w:r>
        <w:rPr>
          <w:rFonts w:cs="Times New Roman"/>
        </w:rPr>
        <w:t>、螺栓烧损或断裂脱落。</w:t>
      </w:r>
    </w:p>
    <w:p>
      <w:pPr>
        <w:ind w:firstLine="420" w:firstLineChars="200"/>
        <w:jc w:val="center"/>
      </w:pPr>
      <w:r>
        <w:t>表6.3.1</w:t>
      </w:r>
      <w:r>
        <w:rPr>
          <w:rFonts w:hint="eastAsia"/>
        </w:rPr>
        <w:t>-</w:t>
      </w:r>
      <w:r>
        <w:t>1  火灾后钢</w:t>
      </w:r>
      <w:r>
        <w:rPr>
          <w:rFonts w:hint="eastAsia"/>
        </w:rPr>
        <w:t>结构</w:t>
      </w:r>
      <w:r>
        <w:t>构件</w:t>
      </w:r>
      <w:r>
        <w:rPr>
          <w:rFonts w:hint="eastAsia"/>
        </w:rPr>
        <w:t>（含连接）</w:t>
      </w:r>
      <w:r>
        <w:t>的初步鉴定评级标准</w:t>
      </w:r>
    </w:p>
    <w:tbl>
      <w:tblPr>
        <w:tblStyle w:val="24"/>
        <w:tblW w:w="99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
      <w:tblGrid>
        <w:gridCol w:w="387"/>
        <w:gridCol w:w="692"/>
        <w:gridCol w:w="1418"/>
        <w:gridCol w:w="1751"/>
        <w:gridCol w:w="2654"/>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trHeight w:val="397" w:hRule="atLeast"/>
          <w:jc w:val="center"/>
        </w:trPr>
        <w:tc>
          <w:tcPr>
            <w:tcW w:w="2497" w:type="dxa"/>
            <w:gridSpan w:val="3"/>
            <w:vMerge w:val="restart"/>
            <w:vAlign w:val="center"/>
          </w:tcPr>
          <w:p>
            <w:pPr>
              <w:pStyle w:val="42"/>
              <w:spacing w:line="240" w:lineRule="auto"/>
              <w:jc w:val="center"/>
            </w:pPr>
            <w:r>
              <w:t>等级评定要素</w:t>
            </w:r>
          </w:p>
        </w:tc>
        <w:tc>
          <w:tcPr>
            <w:tcW w:w="7419" w:type="dxa"/>
            <w:gridSpan w:val="3"/>
            <w:tcBorders>
              <w:bottom w:val="single" w:color="auto" w:sz="4" w:space="0"/>
            </w:tcBorders>
            <w:vAlign w:val="center"/>
          </w:tcPr>
          <w:p>
            <w:pPr>
              <w:pStyle w:val="42"/>
              <w:spacing w:line="240" w:lineRule="auto"/>
              <w:jc w:val="center"/>
            </w:pPr>
            <w:r>
              <w:t>各级损伤等级状态特征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trHeight w:val="397" w:hRule="atLeast"/>
          <w:jc w:val="center"/>
        </w:trPr>
        <w:tc>
          <w:tcPr>
            <w:tcW w:w="2497" w:type="dxa"/>
            <w:gridSpan w:val="3"/>
            <w:vMerge w:val="continue"/>
            <w:vAlign w:val="center"/>
          </w:tcPr>
          <w:p>
            <w:pPr>
              <w:pStyle w:val="42"/>
              <w:spacing w:line="240" w:lineRule="auto"/>
              <w:jc w:val="center"/>
            </w:pPr>
          </w:p>
        </w:tc>
        <w:tc>
          <w:tcPr>
            <w:tcW w:w="1751" w:type="dxa"/>
            <w:vAlign w:val="center"/>
          </w:tcPr>
          <w:p>
            <w:pPr>
              <w:pStyle w:val="42"/>
              <w:spacing w:line="240" w:lineRule="auto"/>
              <w:jc w:val="center"/>
            </w:pPr>
            <w:r>
              <w:t>Ⅱ</w:t>
            </w:r>
            <w:r>
              <w:rPr>
                <w:vertAlign w:val="subscript"/>
              </w:rPr>
              <w:t>a</w:t>
            </w:r>
          </w:p>
        </w:tc>
        <w:tc>
          <w:tcPr>
            <w:tcW w:w="2654" w:type="dxa"/>
            <w:vAlign w:val="center"/>
          </w:tcPr>
          <w:p>
            <w:pPr>
              <w:pStyle w:val="42"/>
              <w:spacing w:line="240" w:lineRule="auto"/>
              <w:jc w:val="center"/>
            </w:pPr>
            <w:r>
              <w:t>II</w:t>
            </w:r>
            <w:r>
              <w:rPr>
                <w:vertAlign w:val="subscript"/>
              </w:rPr>
              <w:t>b</w:t>
            </w:r>
          </w:p>
        </w:tc>
        <w:tc>
          <w:tcPr>
            <w:tcW w:w="3014" w:type="dxa"/>
            <w:vAlign w:val="center"/>
          </w:tcPr>
          <w:p>
            <w:pPr>
              <w:pStyle w:val="42"/>
              <w:spacing w:line="240" w:lineRule="auto"/>
              <w:jc w:val="center"/>
            </w:pPr>
            <w: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trHeight w:val="397" w:hRule="atLeast"/>
          <w:jc w:val="center"/>
        </w:trPr>
        <w:tc>
          <w:tcPr>
            <w:tcW w:w="387" w:type="dxa"/>
            <w:vAlign w:val="center"/>
          </w:tcPr>
          <w:p>
            <w:pPr>
              <w:pStyle w:val="42"/>
              <w:spacing w:line="240" w:lineRule="auto"/>
              <w:jc w:val="center"/>
            </w:pPr>
            <w:r>
              <w:t>1</w:t>
            </w:r>
          </w:p>
        </w:tc>
        <w:tc>
          <w:tcPr>
            <w:tcW w:w="2110" w:type="dxa"/>
            <w:gridSpan w:val="2"/>
            <w:vAlign w:val="center"/>
          </w:tcPr>
          <w:p>
            <w:pPr>
              <w:pStyle w:val="42"/>
              <w:spacing w:line="240" w:lineRule="auto"/>
              <w:jc w:val="center"/>
            </w:pPr>
            <w:r>
              <w:t>涂装与防火保护层</w:t>
            </w:r>
          </w:p>
        </w:tc>
        <w:tc>
          <w:tcPr>
            <w:tcW w:w="1751" w:type="dxa"/>
            <w:vAlign w:val="center"/>
          </w:tcPr>
          <w:p>
            <w:pPr>
              <w:pStyle w:val="42"/>
              <w:spacing w:line="240" w:lineRule="auto"/>
              <w:jc w:val="center"/>
            </w:pPr>
            <w:r>
              <w:t>基本完好无损；防火保护层有细微裂纹且无脱落</w:t>
            </w:r>
          </w:p>
        </w:tc>
        <w:tc>
          <w:tcPr>
            <w:tcW w:w="2654" w:type="dxa"/>
            <w:vAlign w:val="center"/>
          </w:tcPr>
          <w:p>
            <w:pPr>
              <w:pStyle w:val="42"/>
              <w:spacing w:line="240" w:lineRule="auto"/>
              <w:jc w:val="center"/>
            </w:pPr>
            <w:r>
              <w:t>防腐涂装完好；防火涂装或防火保护层开裂但无脱落</w:t>
            </w:r>
          </w:p>
        </w:tc>
        <w:tc>
          <w:tcPr>
            <w:tcW w:w="3014" w:type="dxa"/>
            <w:vAlign w:val="center"/>
          </w:tcPr>
          <w:p>
            <w:pPr>
              <w:pStyle w:val="42"/>
              <w:spacing w:line="240" w:lineRule="auto"/>
              <w:jc w:val="center"/>
            </w:pPr>
            <w:r>
              <w:t>防腐涂装碳化；防火涂装或防火保护层局部范围脱落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trHeight w:val="397" w:hRule="atLeast"/>
          <w:jc w:val="center"/>
        </w:trPr>
        <w:tc>
          <w:tcPr>
            <w:tcW w:w="387" w:type="dxa"/>
            <w:vAlign w:val="center"/>
          </w:tcPr>
          <w:p>
            <w:pPr>
              <w:pStyle w:val="42"/>
              <w:spacing w:line="240" w:lineRule="auto"/>
              <w:jc w:val="center"/>
            </w:pPr>
            <w:r>
              <w:t>2</w:t>
            </w:r>
          </w:p>
        </w:tc>
        <w:tc>
          <w:tcPr>
            <w:tcW w:w="2110" w:type="dxa"/>
            <w:gridSpan w:val="2"/>
            <w:vAlign w:val="center"/>
          </w:tcPr>
          <w:p>
            <w:pPr>
              <w:pStyle w:val="42"/>
              <w:spacing w:line="240" w:lineRule="auto"/>
              <w:jc w:val="center"/>
            </w:pPr>
            <w:r>
              <w:rPr>
                <w:rFonts w:hint="eastAsia"/>
              </w:rPr>
              <w:t>开裂</w:t>
            </w:r>
          </w:p>
        </w:tc>
        <w:tc>
          <w:tcPr>
            <w:tcW w:w="1751" w:type="dxa"/>
            <w:vAlign w:val="center"/>
          </w:tcPr>
          <w:p>
            <w:pPr>
              <w:pStyle w:val="42"/>
              <w:spacing w:line="240" w:lineRule="auto"/>
              <w:jc w:val="center"/>
            </w:pPr>
            <w:r>
              <w:t>无</w:t>
            </w:r>
          </w:p>
        </w:tc>
        <w:tc>
          <w:tcPr>
            <w:tcW w:w="2654" w:type="dxa"/>
            <w:vAlign w:val="center"/>
          </w:tcPr>
          <w:p>
            <w:pPr>
              <w:pStyle w:val="42"/>
              <w:spacing w:line="240" w:lineRule="auto"/>
              <w:jc w:val="center"/>
            </w:pPr>
            <w:r>
              <w:rPr>
                <w:rFonts w:hint="eastAsia"/>
              </w:rPr>
              <w:t>无</w:t>
            </w:r>
          </w:p>
        </w:tc>
        <w:tc>
          <w:tcPr>
            <w:tcW w:w="3014" w:type="dxa"/>
            <w:vAlign w:val="center"/>
          </w:tcPr>
          <w:p>
            <w:pPr>
              <w:pStyle w:val="42"/>
              <w:spacing w:line="240" w:lineRule="auto"/>
              <w:jc w:val="center"/>
            </w:pPr>
            <w:r>
              <w:rPr>
                <w:rFonts w:hint="eastAsia"/>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trHeight w:val="397" w:hRule="atLeast"/>
          <w:jc w:val="center"/>
        </w:trPr>
        <w:tc>
          <w:tcPr>
            <w:tcW w:w="387" w:type="dxa"/>
            <w:vAlign w:val="center"/>
          </w:tcPr>
          <w:p>
            <w:pPr>
              <w:pStyle w:val="42"/>
              <w:spacing w:line="240" w:lineRule="auto"/>
              <w:jc w:val="center"/>
            </w:pPr>
            <w:r>
              <w:t>3</w:t>
            </w:r>
          </w:p>
        </w:tc>
        <w:tc>
          <w:tcPr>
            <w:tcW w:w="2110" w:type="dxa"/>
            <w:gridSpan w:val="2"/>
            <w:vAlign w:val="center"/>
          </w:tcPr>
          <w:p>
            <w:pPr>
              <w:pStyle w:val="42"/>
              <w:spacing w:line="240" w:lineRule="auto"/>
              <w:jc w:val="center"/>
            </w:pPr>
            <w:r>
              <w:rPr>
                <w:rFonts w:hint="eastAsia"/>
              </w:rPr>
              <w:t>局部变形</w:t>
            </w:r>
          </w:p>
        </w:tc>
        <w:tc>
          <w:tcPr>
            <w:tcW w:w="1751" w:type="dxa"/>
            <w:vAlign w:val="center"/>
          </w:tcPr>
          <w:p>
            <w:pPr>
              <w:pStyle w:val="42"/>
              <w:spacing w:line="240" w:lineRule="auto"/>
              <w:jc w:val="center"/>
            </w:pPr>
            <w:r>
              <w:t>无</w:t>
            </w:r>
          </w:p>
        </w:tc>
        <w:tc>
          <w:tcPr>
            <w:tcW w:w="2654" w:type="dxa"/>
            <w:vAlign w:val="center"/>
          </w:tcPr>
          <w:p>
            <w:pPr>
              <w:pStyle w:val="42"/>
              <w:spacing w:line="240" w:lineRule="auto"/>
              <w:jc w:val="center"/>
            </w:pPr>
            <w:r>
              <w:rPr>
                <w:rFonts w:hint="eastAsia"/>
              </w:rPr>
              <w:t>有局部残余变形、</w:t>
            </w:r>
            <w:r>
              <w:t>轻度局部屈曲或扭曲，对承载力无明显影响</w:t>
            </w:r>
          </w:p>
        </w:tc>
        <w:tc>
          <w:tcPr>
            <w:tcW w:w="3014" w:type="dxa"/>
            <w:vAlign w:val="center"/>
          </w:tcPr>
          <w:p>
            <w:pPr>
              <w:pStyle w:val="42"/>
              <w:spacing w:line="240" w:lineRule="auto"/>
              <w:jc w:val="center"/>
            </w:pPr>
            <w:r>
              <w:t>主要受力截面有局部屈曲或扭曲，对承载力无明显影响；非主要受力截面有明显局部屈曲或扭曲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trHeight w:val="397" w:hRule="atLeast"/>
          <w:jc w:val="center"/>
        </w:trPr>
        <w:tc>
          <w:tcPr>
            <w:tcW w:w="387" w:type="dxa"/>
            <w:vAlign w:val="center"/>
          </w:tcPr>
          <w:p>
            <w:pPr>
              <w:pStyle w:val="42"/>
              <w:spacing w:line="240" w:lineRule="auto"/>
              <w:jc w:val="center"/>
            </w:pPr>
            <w:r>
              <w:rPr>
                <w:rFonts w:hint="eastAsia"/>
              </w:rPr>
              <w:t>4</w:t>
            </w:r>
          </w:p>
        </w:tc>
        <w:tc>
          <w:tcPr>
            <w:tcW w:w="2110" w:type="dxa"/>
            <w:gridSpan w:val="2"/>
            <w:vAlign w:val="center"/>
          </w:tcPr>
          <w:p>
            <w:pPr>
              <w:pStyle w:val="42"/>
              <w:spacing w:line="240" w:lineRule="auto"/>
              <w:jc w:val="center"/>
            </w:pPr>
            <w:r>
              <w:t>整体变形</w:t>
            </w:r>
          </w:p>
        </w:tc>
        <w:tc>
          <w:tcPr>
            <w:tcW w:w="1751" w:type="dxa"/>
            <w:vAlign w:val="center"/>
          </w:tcPr>
          <w:p>
            <w:pPr>
              <w:pStyle w:val="42"/>
              <w:spacing w:line="240" w:lineRule="auto"/>
              <w:jc w:val="center"/>
            </w:pPr>
            <w:r>
              <w:rPr>
                <w:rFonts w:hint="eastAsia"/>
              </w:rPr>
              <w:t>未见明显变形</w:t>
            </w:r>
          </w:p>
        </w:tc>
        <w:tc>
          <w:tcPr>
            <w:tcW w:w="2654" w:type="dxa"/>
            <w:vAlign w:val="center"/>
          </w:tcPr>
          <w:p>
            <w:pPr>
              <w:pStyle w:val="42"/>
              <w:spacing w:line="240" w:lineRule="auto"/>
              <w:jc w:val="center"/>
            </w:pPr>
            <w:r>
              <w:rPr>
                <w:rFonts w:hint="eastAsia"/>
              </w:rPr>
              <w:t>未见明显变形</w:t>
            </w:r>
          </w:p>
        </w:tc>
        <w:tc>
          <w:tcPr>
            <w:tcW w:w="3014" w:type="dxa"/>
            <w:vAlign w:val="center"/>
          </w:tcPr>
          <w:p>
            <w:pPr>
              <w:pStyle w:val="42"/>
              <w:spacing w:line="240" w:lineRule="auto"/>
              <w:jc w:val="center"/>
            </w:pPr>
            <w:r>
              <w:rPr>
                <w:rFonts w:hint="eastAsia"/>
              </w:rPr>
              <w:t>可见明显变形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trHeight w:val="397" w:hRule="atLeast"/>
          <w:jc w:val="center"/>
        </w:trPr>
        <w:tc>
          <w:tcPr>
            <w:tcW w:w="387" w:type="dxa"/>
            <w:vMerge w:val="restart"/>
            <w:vAlign w:val="center"/>
          </w:tcPr>
          <w:p>
            <w:pPr>
              <w:pStyle w:val="42"/>
              <w:spacing w:line="240" w:lineRule="auto"/>
              <w:jc w:val="center"/>
            </w:pPr>
            <w:r>
              <w:rPr>
                <w:rFonts w:hint="eastAsia"/>
              </w:rPr>
              <w:t>5</w:t>
            </w:r>
          </w:p>
        </w:tc>
        <w:tc>
          <w:tcPr>
            <w:tcW w:w="692" w:type="dxa"/>
            <w:vMerge w:val="restart"/>
            <w:vAlign w:val="center"/>
          </w:tcPr>
          <w:p>
            <w:pPr>
              <w:pStyle w:val="42"/>
              <w:spacing w:line="240" w:lineRule="auto"/>
              <w:jc w:val="center"/>
            </w:pPr>
            <w:r>
              <w:rPr>
                <w:rFonts w:hint="eastAsia"/>
              </w:rPr>
              <w:t>连接损伤情况</w:t>
            </w:r>
          </w:p>
        </w:tc>
        <w:tc>
          <w:tcPr>
            <w:tcW w:w="1418" w:type="dxa"/>
            <w:vAlign w:val="center"/>
          </w:tcPr>
          <w:p>
            <w:pPr>
              <w:pStyle w:val="42"/>
              <w:spacing w:line="240" w:lineRule="auto"/>
              <w:jc w:val="center"/>
            </w:pPr>
            <w:r>
              <w:t>连接板残余变形与撕裂</w:t>
            </w:r>
          </w:p>
        </w:tc>
        <w:tc>
          <w:tcPr>
            <w:tcW w:w="1751" w:type="dxa"/>
            <w:vAlign w:val="center"/>
          </w:tcPr>
          <w:p>
            <w:pPr>
              <w:pStyle w:val="42"/>
              <w:spacing w:line="240" w:lineRule="auto"/>
              <w:jc w:val="center"/>
            </w:pPr>
            <w:r>
              <w:t>无</w:t>
            </w:r>
          </w:p>
        </w:tc>
        <w:tc>
          <w:tcPr>
            <w:tcW w:w="2654" w:type="dxa"/>
            <w:vAlign w:val="center"/>
          </w:tcPr>
          <w:p>
            <w:pPr>
              <w:pStyle w:val="42"/>
              <w:spacing w:line="240" w:lineRule="auto"/>
              <w:jc w:val="center"/>
            </w:pPr>
            <w:r>
              <w:t>轻度残余变形，对承载力无明显影响</w:t>
            </w:r>
          </w:p>
        </w:tc>
        <w:tc>
          <w:tcPr>
            <w:tcW w:w="3014" w:type="dxa"/>
            <w:vAlign w:val="center"/>
          </w:tcPr>
          <w:p>
            <w:pPr>
              <w:pStyle w:val="42"/>
              <w:spacing w:line="240" w:lineRule="auto"/>
              <w:jc w:val="center"/>
            </w:pPr>
            <w:r>
              <w:t>主要受力节点板有一定的变形，或节点加劲肋有较明显的变形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trHeight w:val="397" w:hRule="atLeast"/>
          <w:jc w:val="center"/>
        </w:trPr>
        <w:tc>
          <w:tcPr>
            <w:tcW w:w="387" w:type="dxa"/>
            <w:vMerge w:val="continue"/>
            <w:vAlign w:val="center"/>
          </w:tcPr>
          <w:p>
            <w:pPr>
              <w:pStyle w:val="42"/>
              <w:spacing w:line="240" w:lineRule="auto"/>
              <w:jc w:val="center"/>
            </w:pPr>
          </w:p>
        </w:tc>
        <w:tc>
          <w:tcPr>
            <w:tcW w:w="692" w:type="dxa"/>
            <w:vMerge w:val="continue"/>
            <w:vAlign w:val="center"/>
          </w:tcPr>
          <w:p>
            <w:pPr>
              <w:pStyle w:val="42"/>
              <w:spacing w:line="240" w:lineRule="auto"/>
              <w:jc w:val="center"/>
            </w:pPr>
          </w:p>
        </w:tc>
        <w:tc>
          <w:tcPr>
            <w:tcW w:w="1418" w:type="dxa"/>
            <w:vAlign w:val="center"/>
          </w:tcPr>
          <w:p>
            <w:pPr>
              <w:pStyle w:val="42"/>
              <w:spacing w:line="240" w:lineRule="auto"/>
              <w:jc w:val="center"/>
            </w:pPr>
            <w:r>
              <w:t>焊缝撕裂与螺栓滑移及变形断裂</w:t>
            </w:r>
          </w:p>
        </w:tc>
        <w:tc>
          <w:tcPr>
            <w:tcW w:w="1751" w:type="dxa"/>
            <w:vAlign w:val="center"/>
          </w:tcPr>
          <w:p>
            <w:pPr>
              <w:pStyle w:val="42"/>
              <w:spacing w:line="240" w:lineRule="auto"/>
              <w:jc w:val="center"/>
            </w:pPr>
            <w:r>
              <w:t>无</w:t>
            </w:r>
          </w:p>
        </w:tc>
        <w:tc>
          <w:tcPr>
            <w:tcW w:w="2654" w:type="dxa"/>
            <w:vAlign w:val="center"/>
          </w:tcPr>
          <w:p>
            <w:pPr>
              <w:pStyle w:val="42"/>
              <w:spacing w:line="240" w:lineRule="auto"/>
              <w:jc w:val="center"/>
            </w:pPr>
            <w:r>
              <w:t>个别连接螺栓松动</w:t>
            </w:r>
          </w:p>
        </w:tc>
        <w:tc>
          <w:tcPr>
            <w:tcW w:w="3014" w:type="dxa"/>
            <w:vAlign w:val="center"/>
          </w:tcPr>
          <w:p>
            <w:pPr>
              <w:pStyle w:val="42"/>
              <w:spacing w:line="240" w:lineRule="auto"/>
              <w:jc w:val="center"/>
            </w:pPr>
            <w:r>
              <w:t>螺栓松动，有滑移；受拉区连接板之间脱开，个别焊缝撕裂</w:t>
            </w:r>
          </w:p>
        </w:tc>
      </w:tr>
    </w:tbl>
    <w:p>
      <w:pPr>
        <w:pStyle w:val="42"/>
        <w:ind w:firstLine="210"/>
      </w:pPr>
      <w:r>
        <w:t>注：有防火保护的钢构件按1、2、3</w:t>
      </w:r>
      <w:r>
        <w:rPr>
          <w:rFonts w:hint="eastAsia"/>
        </w:rPr>
        <w:t>、4、5</w:t>
      </w:r>
      <w:r>
        <w:t>项进行评定，无防火保护的钢构件按2、3</w:t>
      </w:r>
      <w:r>
        <w:rPr>
          <w:rFonts w:hint="eastAsia"/>
        </w:rPr>
        <w:t>、4、5</w:t>
      </w:r>
      <w:r>
        <w:t>项进行评定。</w:t>
      </w:r>
    </w:p>
    <w:p>
      <w:pPr>
        <w:ind w:firstLine="420" w:firstLineChars="200"/>
        <w:jc w:val="center"/>
      </w:pPr>
      <w:r>
        <w:rPr>
          <w:rFonts w:hint="eastAsia"/>
        </w:rPr>
        <w:t>表</w:t>
      </w:r>
      <w:r>
        <w:t xml:space="preserve">6.3.1-2  </w:t>
      </w:r>
      <w:r>
        <w:rPr>
          <w:rFonts w:hint="eastAsia"/>
        </w:rPr>
        <w:t>火灾后钢构件基于整体变形的初步鉴定评级标准</w:t>
      </w:r>
    </w:p>
    <w:tbl>
      <w:tblPr>
        <w:tblStyle w:val="24"/>
        <w:tblW w:w="99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
      <w:tblGrid>
        <w:gridCol w:w="1408"/>
        <w:gridCol w:w="1238"/>
        <w:gridCol w:w="1955"/>
        <w:gridCol w:w="3161"/>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397" w:hRule="atLeast"/>
          <w:jc w:val="center"/>
        </w:trPr>
        <w:tc>
          <w:tcPr>
            <w:tcW w:w="1408" w:type="dxa"/>
            <w:vMerge w:val="restart"/>
            <w:vAlign w:val="center"/>
          </w:tcPr>
          <w:p>
            <w:pPr>
              <w:pStyle w:val="42"/>
              <w:spacing w:line="240" w:lineRule="auto"/>
              <w:jc w:val="center"/>
            </w:pPr>
            <w:r>
              <w:rPr>
                <w:rFonts w:hint="eastAsia"/>
              </w:rPr>
              <w:t>等级评定要素</w:t>
            </w:r>
          </w:p>
        </w:tc>
        <w:tc>
          <w:tcPr>
            <w:tcW w:w="3193" w:type="dxa"/>
            <w:gridSpan w:val="2"/>
            <w:vMerge w:val="restart"/>
            <w:vAlign w:val="center"/>
          </w:tcPr>
          <w:p>
            <w:pPr>
              <w:pStyle w:val="42"/>
              <w:spacing w:line="240" w:lineRule="auto"/>
              <w:jc w:val="center"/>
            </w:pPr>
            <w:r>
              <w:rPr>
                <w:rFonts w:hint="eastAsia"/>
              </w:rPr>
              <w:t>构件类别</w:t>
            </w:r>
          </w:p>
        </w:tc>
        <w:tc>
          <w:tcPr>
            <w:tcW w:w="5315" w:type="dxa"/>
            <w:gridSpan w:val="2"/>
            <w:vAlign w:val="center"/>
          </w:tcPr>
          <w:p>
            <w:pPr>
              <w:pStyle w:val="42"/>
              <w:spacing w:line="240" w:lineRule="auto"/>
              <w:jc w:val="center"/>
            </w:pPr>
            <w:r>
              <w:rPr>
                <w:rFonts w:hint="eastAsia"/>
              </w:rPr>
              <w:t>各级变形损伤等级状态特征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397" w:hRule="atLeast"/>
          <w:jc w:val="center"/>
        </w:trPr>
        <w:tc>
          <w:tcPr>
            <w:tcW w:w="1408" w:type="dxa"/>
            <w:vMerge w:val="continue"/>
            <w:vAlign w:val="center"/>
          </w:tcPr>
          <w:p>
            <w:pPr>
              <w:pStyle w:val="42"/>
              <w:spacing w:line="240" w:lineRule="auto"/>
              <w:jc w:val="center"/>
            </w:pPr>
          </w:p>
        </w:tc>
        <w:tc>
          <w:tcPr>
            <w:tcW w:w="3193" w:type="dxa"/>
            <w:gridSpan w:val="2"/>
            <w:vMerge w:val="continue"/>
            <w:vAlign w:val="center"/>
          </w:tcPr>
          <w:p>
            <w:pPr>
              <w:pStyle w:val="42"/>
              <w:spacing w:line="240" w:lineRule="auto"/>
              <w:jc w:val="center"/>
            </w:pPr>
          </w:p>
        </w:tc>
        <w:tc>
          <w:tcPr>
            <w:tcW w:w="3161" w:type="dxa"/>
            <w:vAlign w:val="center"/>
          </w:tcPr>
          <w:p>
            <w:pPr>
              <w:pStyle w:val="42"/>
              <w:spacing w:line="240" w:lineRule="auto"/>
              <w:jc w:val="center"/>
            </w:pPr>
            <w:r>
              <w:rPr>
                <w:rFonts w:hint="eastAsia"/>
              </w:rPr>
              <w:t>Ⅱ</w:t>
            </w:r>
            <w:r>
              <w:t>a</w:t>
            </w:r>
            <w:r>
              <w:rPr>
                <w:rFonts w:hint="eastAsia"/>
              </w:rPr>
              <w:t>级或Ⅱ</w:t>
            </w:r>
            <w:r>
              <w:t>b</w:t>
            </w:r>
            <w:r>
              <w:rPr>
                <w:rFonts w:hint="eastAsia"/>
              </w:rPr>
              <w:t>级</w:t>
            </w:r>
          </w:p>
        </w:tc>
        <w:tc>
          <w:tcPr>
            <w:tcW w:w="2154" w:type="dxa"/>
            <w:vAlign w:val="center"/>
          </w:tcPr>
          <w:p>
            <w:pPr>
              <w:pStyle w:val="42"/>
              <w:spacing w:line="240" w:lineRule="auto"/>
              <w:jc w:val="center"/>
            </w:pPr>
            <w:r>
              <w:rPr>
                <w:rFonts w:hint="eastAsia"/>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397" w:hRule="atLeast"/>
          <w:jc w:val="center"/>
        </w:trPr>
        <w:tc>
          <w:tcPr>
            <w:tcW w:w="1408" w:type="dxa"/>
            <w:vMerge w:val="restart"/>
            <w:vAlign w:val="center"/>
          </w:tcPr>
          <w:p>
            <w:pPr>
              <w:pStyle w:val="42"/>
              <w:spacing w:line="240" w:lineRule="auto"/>
              <w:jc w:val="center"/>
            </w:pPr>
            <w:r>
              <w:rPr>
                <w:rFonts w:hint="eastAsia"/>
              </w:rPr>
              <w:t>挠度</w:t>
            </w:r>
          </w:p>
        </w:tc>
        <w:tc>
          <w:tcPr>
            <w:tcW w:w="3193" w:type="dxa"/>
            <w:gridSpan w:val="2"/>
            <w:vAlign w:val="center"/>
          </w:tcPr>
          <w:p>
            <w:pPr>
              <w:pStyle w:val="42"/>
              <w:spacing w:line="240" w:lineRule="auto"/>
              <w:jc w:val="center"/>
            </w:pPr>
            <w:r>
              <w:rPr>
                <w:rFonts w:hint="eastAsia"/>
              </w:rPr>
              <w:t>屋架、网架</w:t>
            </w:r>
          </w:p>
        </w:tc>
        <w:tc>
          <w:tcPr>
            <w:tcW w:w="3161" w:type="dxa"/>
            <w:vAlign w:val="center"/>
          </w:tcPr>
          <w:p>
            <w:pPr>
              <w:pStyle w:val="42"/>
              <w:spacing w:line="240" w:lineRule="auto"/>
              <w:jc w:val="center"/>
            </w:pPr>
            <w:r>
              <w:t>&gt; l</w:t>
            </w:r>
            <w:r>
              <w:rPr>
                <w:vertAlign w:val="subscript"/>
              </w:rPr>
              <w:t>0</w:t>
            </w:r>
            <w:r>
              <w:t>/400</w:t>
            </w:r>
          </w:p>
        </w:tc>
        <w:tc>
          <w:tcPr>
            <w:tcW w:w="2154" w:type="dxa"/>
            <w:vAlign w:val="center"/>
          </w:tcPr>
          <w:p>
            <w:pPr>
              <w:pStyle w:val="42"/>
              <w:spacing w:line="240" w:lineRule="auto"/>
              <w:jc w:val="center"/>
            </w:pPr>
            <w:r>
              <w:t>&gt; l</w:t>
            </w:r>
            <w:r>
              <w:rPr>
                <w:vertAlign w:val="subscript"/>
              </w:rPr>
              <w:t>0</w:t>
            </w: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397" w:hRule="atLeast"/>
          <w:jc w:val="center"/>
        </w:trPr>
        <w:tc>
          <w:tcPr>
            <w:tcW w:w="1408" w:type="dxa"/>
            <w:vMerge w:val="continue"/>
            <w:vAlign w:val="center"/>
          </w:tcPr>
          <w:p>
            <w:pPr>
              <w:pStyle w:val="42"/>
              <w:spacing w:line="240" w:lineRule="auto"/>
              <w:jc w:val="center"/>
            </w:pPr>
          </w:p>
        </w:tc>
        <w:tc>
          <w:tcPr>
            <w:tcW w:w="3193" w:type="dxa"/>
            <w:gridSpan w:val="2"/>
            <w:vAlign w:val="center"/>
          </w:tcPr>
          <w:p>
            <w:pPr>
              <w:pStyle w:val="42"/>
              <w:spacing w:line="240" w:lineRule="auto"/>
              <w:jc w:val="center"/>
            </w:pPr>
            <w:r>
              <w:rPr>
                <w:rFonts w:hint="eastAsia"/>
              </w:rPr>
              <w:t>主梁、托梁</w:t>
            </w:r>
          </w:p>
        </w:tc>
        <w:tc>
          <w:tcPr>
            <w:tcW w:w="3161" w:type="dxa"/>
            <w:vAlign w:val="center"/>
          </w:tcPr>
          <w:p>
            <w:pPr>
              <w:pStyle w:val="42"/>
              <w:spacing w:line="240" w:lineRule="auto"/>
              <w:jc w:val="center"/>
            </w:pPr>
            <w:r>
              <w:t>&gt; l</w:t>
            </w:r>
            <w:r>
              <w:rPr>
                <w:vertAlign w:val="subscript"/>
              </w:rPr>
              <w:t>0</w:t>
            </w:r>
            <w:r>
              <w:t>/400</w:t>
            </w:r>
          </w:p>
        </w:tc>
        <w:tc>
          <w:tcPr>
            <w:tcW w:w="2154" w:type="dxa"/>
            <w:vAlign w:val="center"/>
          </w:tcPr>
          <w:p>
            <w:pPr>
              <w:pStyle w:val="42"/>
              <w:spacing w:line="240" w:lineRule="auto"/>
              <w:jc w:val="center"/>
            </w:pPr>
            <w:r>
              <w:t>&gt; l</w:t>
            </w:r>
            <w:r>
              <w:rPr>
                <w:vertAlign w:val="subscript"/>
              </w:rPr>
              <w:t>0</w:t>
            </w: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397" w:hRule="atLeast"/>
          <w:jc w:val="center"/>
        </w:trPr>
        <w:tc>
          <w:tcPr>
            <w:tcW w:w="1408" w:type="dxa"/>
            <w:vMerge w:val="continue"/>
            <w:vAlign w:val="center"/>
          </w:tcPr>
          <w:p>
            <w:pPr>
              <w:pStyle w:val="42"/>
              <w:spacing w:line="240" w:lineRule="auto"/>
              <w:jc w:val="center"/>
            </w:pPr>
          </w:p>
        </w:tc>
        <w:tc>
          <w:tcPr>
            <w:tcW w:w="1238" w:type="dxa"/>
            <w:vMerge w:val="restart"/>
            <w:vAlign w:val="center"/>
          </w:tcPr>
          <w:p>
            <w:pPr>
              <w:pStyle w:val="42"/>
              <w:spacing w:line="240" w:lineRule="auto"/>
              <w:jc w:val="center"/>
            </w:pPr>
            <w:r>
              <w:rPr>
                <w:rFonts w:hint="eastAsia"/>
              </w:rPr>
              <w:t>吊车梁</w:t>
            </w:r>
          </w:p>
        </w:tc>
        <w:tc>
          <w:tcPr>
            <w:tcW w:w="1955" w:type="dxa"/>
            <w:vAlign w:val="center"/>
          </w:tcPr>
          <w:p>
            <w:pPr>
              <w:pStyle w:val="42"/>
              <w:spacing w:line="240" w:lineRule="auto"/>
              <w:jc w:val="center"/>
            </w:pPr>
            <w:r>
              <w:rPr>
                <w:rFonts w:hint="eastAsia"/>
              </w:rPr>
              <w:t>电动</w:t>
            </w:r>
          </w:p>
        </w:tc>
        <w:tc>
          <w:tcPr>
            <w:tcW w:w="3161" w:type="dxa"/>
            <w:vAlign w:val="center"/>
          </w:tcPr>
          <w:p>
            <w:pPr>
              <w:pStyle w:val="42"/>
              <w:spacing w:line="240" w:lineRule="auto"/>
              <w:jc w:val="center"/>
            </w:pPr>
            <w:r>
              <w:t>&gt; l</w:t>
            </w:r>
            <w:r>
              <w:rPr>
                <w:vertAlign w:val="subscript"/>
              </w:rPr>
              <w:t>0</w:t>
            </w:r>
            <w:r>
              <w:t>/800</w:t>
            </w:r>
          </w:p>
        </w:tc>
        <w:tc>
          <w:tcPr>
            <w:tcW w:w="2154" w:type="dxa"/>
            <w:vAlign w:val="center"/>
          </w:tcPr>
          <w:p>
            <w:pPr>
              <w:pStyle w:val="42"/>
              <w:spacing w:line="240" w:lineRule="auto"/>
              <w:jc w:val="center"/>
            </w:pPr>
            <w:r>
              <w:t>&gt; l</w:t>
            </w:r>
            <w:r>
              <w:rPr>
                <w:vertAlign w:val="subscript"/>
              </w:rPr>
              <w:t>0</w:t>
            </w:r>
            <w: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397" w:hRule="atLeast"/>
          <w:jc w:val="center"/>
        </w:trPr>
        <w:tc>
          <w:tcPr>
            <w:tcW w:w="1408" w:type="dxa"/>
            <w:vMerge w:val="continue"/>
            <w:vAlign w:val="center"/>
          </w:tcPr>
          <w:p>
            <w:pPr>
              <w:pStyle w:val="42"/>
              <w:spacing w:line="240" w:lineRule="auto"/>
              <w:jc w:val="center"/>
            </w:pPr>
          </w:p>
        </w:tc>
        <w:tc>
          <w:tcPr>
            <w:tcW w:w="1238" w:type="dxa"/>
            <w:vMerge w:val="continue"/>
            <w:vAlign w:val="center"/>
          </w:tcPr>
          <w:p>
            <w:pPr>
              <w:pStyle w:val="42"/>
              <w:spacing w:line="240" w:lineRule="auto"/>
              <w:jc w:val="center"/>
            </w:pPr>
          </w:p>
        </w:tc>
        <w:tc>
          <w:tcPr>
            <w:tcW w:w="1955" w:type="dxa"/>
            <w:vAlign w:val="center"/>
          </w:tcPr>
          <w:p>
            <w:pPr>
              <w:pStyle w:val="42"/>
              <w:spacing w:line="240" w:lineRule="auto"/>
              <w:jc w:val="center"/>
            </w:pPr>
            <w:r>
              <w:rPr>
                <w:rFonts w:hint="eastAsia"/>
              </w:rPr>
              <w:t>手动</w:t>
            </w:r>
          </w:p>
        </w:tc>
        <w:tc>
          <w:tcPr>
            <w:tcW w:w="3161" w:type="dxa"/>
            <w:vAlign w:val="center"/>
          </w:tcPr>
          <w:p>
            <w:pPr>
              <w:pStyle w:val="42"/>
              <w:spacing w:line="240" w:lineRule="auto"/>
              <w:jc w:val="center"/>
            </w:pPr>
            <w:r>
              <w:t>&gt; l</w:t>
            </w:r>
            <w:r>
              <w:rPr>
                <w:vertAlign w:val="subscript"/>
              </w:rPr>
              <w:t>0</w:t>
            </w:r>
            <w:r>
              <w:t>/500</w:t>
            </w:r>
          </w:p>
        </w:tc>
        <w:tc>
          <w:tcPr>
            <w:tcW w:w="2154" w:type="dxa"/>
            <w:vAlign w:val="center"/>
          </w:tcPr>
          <w:p>
            <w:pPr>
              <w:pStyle w:val="42"/>
              <w:spacing w:line="240" w:lineRule="auto"/>
              <w:jc w:val="center"/>
            </w:pPr>
            <w:r>
              <w:t>&gt; l</w:t>
            </w:r>
            <w:r>
              <w:rPr>
                <w:vertAlign w:val="subscript"/>
              </w:rPr>
              <w:t>0</w:t>
            </w:r>
            <w: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397" w:hRule="atLeast"/>
          <w:jc w:val="center"/>
        </w:trPr>
        <w:tc>
          <w:tcPr>
            <w:tcW w:w="1408" w:type="dxa"/>
            <w:vMerge w:val="continue"/>
            <w:vAlign w:val="center"/>
          </w:tcPr>
          <w:p>
            <w:pPr>
              <w:pStyle w:val="42"/>
              <w:spacing w:line="240" w:lineRule="auto"/>
              <w:jc w:val="center"/>
            </w:pPr>
          </w:p>
        </w:tc>
        <w:tc>
          <w:tcPr>
            <w:tcW w:w="3193" w:type="dxa"/>
            <w:gridSpan w:val="2"/>
            <w:vAlign w:val="center"/>
          </w:tcPr>
          <w:p>
            <w:pPr>
              <w:pStyle w:val="42"/>
              <w:spacing w:line="240" w:lineRule="auto"/>
              <w:jc w:val="center"/>
            </w:pPr>
            <w:r>
              <w:rPr>
                <w:rFonts w:hint="eastAsia"/>
              </w:rPr>
              <w:t>次梁</w:t>
            </w:r>
          </w:p>
        </w:tc>
        <w:tc>
          <w:tcPr>
            <w:tcW w:w="3161" w:type="dxa"/>
            <w:vAlign w:val="center"/>
          </w:tcPr>
          <w:p>
            <w:pPr>
              <w:pStyle w:val="42"/>
              <w:spacing w:line="240" w:lineRule="auto"/>
              <w:jc w:val="center"/>
            </w:pPr>
            <w:r>
              <w:t>&gt; l</w:t>
            </w:r>
            <w:r>
              <w:rPr>
                <w:vertAlign w:val="subscript"/>
              </w:rPr>
              <w:t>0</w:t>
            </w:r>
            <w:r>
              <w:t>/250</w:t>
            </w:r>
          </w:p>
        </w:tc>
        <w:tc>
          <w:tcPr>
            <w:tcW w:w="2154" w:type="dxa"/>
            <w:vAlign w:val="center"/>
          </w:tcPr>
          <w:p>
            <w:pPr>
              <w:pStyle w:val="42"/>
              <w:spacing w:line="240" w:lineRule="auto"/>
              <w:jc w:val="center"/>
            </w:pPr>
            <w:r>
              <w:t>&gt; l</w:t>
            </w:r>
            <w:r>
              <w:rPr>
                <w:vertAlign w:val="subscript"/>
              </w:rPr>
              <w:t>0</w:t>
            </w:r>
            <w: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397" w:hRule="atLeast"/>
          <w:jc w:val="center"/>
        </w:trPr>
        <w:tc>
          <w:tcPr>
            <w:tcW w:w="1408" w:type="dxa"/>
            <w:vMerge w:val="continue"/>
            <w:vAlign w:val="center"/>
          </w:tcPr>
          <w:p>
            <w:pPr>
              <w:pStyle w:val="42"/>
              <w:spacing w:line="240" w:lineRule="auto"/>
              <w:jc w:val="center"/>
            </w:pPr>
          </w:p>
        </w:tc>
        <w:tc>
          <w:tcPr>
            <w:tcW w:w="3193" w:type="dxa"/>
            <w:gridSpan w:val="2"/>
            <w:vAlign w:val="center"/>
          </w:tcPr>
          <w:p>
            <w:pPr>
              <w:pStyle w:val="42"/>
              <w:spacing w:line="240" w:lineRule="auto"/>
              <w:jc w:val="center"/>
            </w:pPr>
            <w:r>
              <w:rPr>
                <w:rFonts w:hint="eastAsia"/>
              </w:rPr>
              <w:t>檩条</w:t>
            </w:r>
          </w:p>
        </w:tc>
        <w:tc>
          <w:tcPr>
            <w:tcW w:w="3161" w:type="dxa"/>
            <w:vAlign w:val="center"/>
          </w:tcPr>
          <w:p>
            <w:pPr>
              <w:pStyle w:val="42"/>
              <w:spacing w:line="240" w:lineRule="auto"/>
              <w:jc w:val="center"/>
            </w:pPr>
            <w:r>
              <w:t>&gt; l</w:t>
            </w:r>
            <w:r>
              <w:rPr>
                <w:vertAlign w:val="subscript"/>
              </w:rPr>
              <w:t>0</w:t>
            </w:r>
            <w:r>
              <w:t>/200</w:t>
            </w:r>
          </w:p>
        </w:tc>
        <w:tc>
          <w:tcPr>
            <w:tcW w:w="2154" w:type="dxa"/>
            <w:vAlign w:val="center"/>
          </w:tcPr>
          <w:p>
            <w:pPr>
              <w:pStyle w:val="42"/>
              <w:spacing w:line="240" w:lineRule="auto"/>
              <w:jc w:val="center"/>
            </w:pPr>
            <w:r>
              <w:t>&gt; l</w:t>
            </w:r>
            <w:r>
              <w:rPr>
                <w:vertAlign w:val="subscript"/>
              </w:rPr>
              <w:t>0</w:t>
            </w:r>
            <w: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397" w:hRule="atLeast"/>
          <w:jc w:val="center"/>
        </w:trPr>
        <w:tc>
          <w:tcPr>
            <w:tcW w:w="1408" w:type="dxa"/>
            <w:vMerge w:val="restart"/>
            <w:vAlign w:val="center"/>
          </w:tcPr>
          <w:p>
            <w:pPr>
              <w:pStyle w:val="42"/>
              <w:spacing w:line="240" w:lineRule="auto"/>
              <w:jc w:val="center"/>
            </w:pPr>
            <w:r>
              <w:rPr>
                <w:rFonts w:hint="eastAsia"/>
              </w:rPr>
              <w:t>弯曲矢高</w:t>
            </w:r>
          </w:p>
        </w:tc>
        <w:tc>
          <w:tcPr>
            <w:tcW w:w="3193" w:type="dxa"/>
            <w:gridSpan w:val="2"/>
            <w:vAlign w:val="center"/>
          </w:tcPr>
          <w:p>
            <w:pPr>
              <w:pStyle w:val="42"/>
              <w:spacing w:line="240" w:lineRule="auto"/>
              <w:jc w:val="center"/>
            </w:pPr>
            <w:r>
              <w:rPr>
                <w:rFonts w:hint="eastAsia"/>
              </w:rPr>
              <w:t>柱</w:t>
            </w:r>
          </w:p>
        </w:tc>
        <w:tc>
          <w:tcPr>
            <w:tcW w:w="3161" w:type="dxa"/>
            <w:vAlign w:val="center"/>
          </w:tcPr>
          <w:p>
            <w:pPr>
              <w:pStyle w:val="42"/>
              <w:spacing w:line="240" w:lineRule="auto"/>
              <w:jc w:val="center"/>
            </w:pPr>
            <w:r>
              <w:t>&gt; l</w:t>
            </w:r>
            <w:r>
              <w:rPr>
                <w:vertAlign w:val="subscript"/>
              </w:rPr>
              <w:t>0</w:t>
            </w:r>
            <w:r>
              <w:t>/1000</w:t>
            </w:r>
          </w:p>
        </w:tc>
        <w:tc>
          <w:tcPr>
            <w:tcW w:w="2154" w:type="dxa"/>
            <w:vAlign w:val="center"/>
          </w:tcPr>
          <w:p>
            <w:pPr>
              <w:pStyle w:val="42"/>
              <w:spacing w:line="240" w:lineRule="auto"/>
              <w:jc w:val="center"/>
            </w:pPr>
            <w:r>
              <w:t>&gt; l</w:t>
            </w:r>
            <w:r>
              <w:rPr>
                <w:vertAlign w:val="subscript"/>
              </w:rPr>
              <w:t>0</w:t>
            </w:r>
            <w: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397" w:hRule="atLeast"/>
          <w:jc w:val="center"/>
        </w:trPr>
        <w:tc>
          <w:tcPr>
            <w:tcW w:w="1408" w:type="dxa"/>
            <w:vMerge w:val="continue"/>
            <w:vAlign w:val="center"/>
          </w:tcPr>
          <w:p>
            <w:pPr>
              <w:pStyle w:val="42"/>
              <w:spacing w:line="240" w:lineRule="auto"/>
              <w:jc w:val="center"/>
            </w:pPr>
          </w:p>
        </w:tc>
        <w:tc>
          <w:tcPr>
            <w:tcW w:w="3193" w:type="dxa"/>
            <w:gridSpan w:val="2"/>
            <w:vAlign w:val="center"/>
          </w:tcPr>
          <w:p>
            <w:pPr>
              <w:pStyle w:val="42"/>
              <w:spacing w:line="240" w:lineRule="auto"/>
              <w:jc w:val="center"/>
            </w:pPr>
            <w:r>
              <w:rPr>
                <w:rFonts w:hint="eastAsia"/>
              </w:rPr>
              <w:t>受压支撑</w:t>
            </w:r>
          </w:p>
        </w:tc>
        <w:tc>
          <w:tcPr>
            <w:tcW w:w="3161" w:type="dxa"/>
            <w:vAlign w:val="center"/>
          </w:tcPr>
          <w:p>
            <w:pPr>
              <w:pStyle w:val="42"/>
              <w:spacing w:line="240" w:lineRule="auto"/>
              <w:jc w:val="center"/>
            </w:pPr>
            <w:r>
              <w:t>&gt; l</w:t>
            </w:r>
            <w:r>
              <w:rPr>
                <w:vertAlign w:val="subscript"/>
              </w:rPr>
              <w:t>0</w:t>
            </w:r>
            <w:r>
              <w:t>/1000</w:t>
            </w:r>
          </w:p>
        </w:tc>
        <w:tc>
          <w:tcPr>
            <w:tcW w:w="2154" w:type="dxa"/>
            <w:vAlign w:val="center"/>
          </w:tcPr>
          <w:p>
            <w:pPr>
              <w:pStyle w:val="42"/>
              <w:spacing w:line="240" w:lineRule="auto"/>
              <w:jc w:val="center"/>
            </w:pPr>
            <w:r>
              <w:t>&gt; l</w:t>
            </w:r>
            <w:r>
              <w:rPr>
                <w:vertAlign w:val="subscript"/>
              </w:rPr>
              <w:t>0</w:t>
            </w:r>
            <w: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397" w:hRule="atLeast"/>
          <w:jc w:val="center"/>
        </w:trPr>
        <w:tc>
          <w:tcPr>
            <w:tcW w:w="1408" w:type="dxa"/>
            <w:vMerge w:val="restart"/>
            <w:vAlign w:val="center"/>
          </w:tcPr>
          <w:p>
            <w:pPr>
              <w:pStyle w:val="42"/>
              <w:spacing w:line="240" w:lineRule="auto"/>
              <w:jc w:val="center"/>
            </w:pPr>
            <w:r>
              <w:rPr>
                <w:rFonts w:hint="eastAsia"/>
              </w:rPr>
              <w:t>柱顶侧移</w:t>
            </w:r>
          </w:p>
        </w:tc>
        <w:tc>
          <w:tcPr>
            <w:tcW w:w="3193" w:type="dxa"/>
            <w:gridSpan w:val="2"/>
            <w:vAlign w:val="center"/>
          </w:tcPr>
          <w:p>
            <w:pPr>
              <w:pStyle w:val="42"/>
              <w:spacing w:line="240" w:lineRule="auto"/>
              <w:jc w:val="center"/>
            </w:pPr>
            <w:r>
              <w:rPr>
                <w:rFonts w:hint="eastAsia"/>
              </w:rPr>
              <w:t>多高层框架的层间水平位移</w:t>
            </w:r>
          </w:p>
        </w:tc>
        <w:tc>
          <w:tcPr>
            <w:tcW w:w="3161" w:type="dxa"/>
            <w:vAlign w:val="center"/>
          </w:tcPr>
          <w:p>
            <w:pPr>
              <w:pStyle w:val="42"/>
              <w:spacing w:line="240" w:lineRule="auto"/>
              <w:jc w:val="center"/>
            </w:pPr>
            <w:r>
              <w:t>&gt; h/400</w:t>
            </w:r>
          </w:p>
        </w:tc>
        <w:tc>
          <w:tcPr>
            <w:tcW w:w="2154" w:type="dxa"/>
            <w:vAlign w:val="center"/>
          </w:tcPr>
          <w:p>
            <w:pPr>
              <w:pStyle w:val="42"/>
              <w:spacing w:line="240" w:lineRule="auto"/>
              <w:jc w:val="center"/>
            </w:pPr>
            <w:r>
              <w:t>&gt; h/200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397" w:hRule="atLeast"/>
          <w:jc w:val="center"/>
        </w:trPr>
        <w:tc>
          <w:tcPr>
            <w:tcW w:w="1408" w:type="dxa"/>
            <w:vMerge w:val="continue"/>
            <w:vAlign w:val="center"/>
          </w:tcPr>
          <w:p>
            <w:pPr>
              <w:pStyle w:val="42"/>
              <w:spacing w:line="240" w:lineRule="auto"/>
              <w:jc w:val="center"/>
            </w:pPr>
          </w:p>
        </w:tc>
        <w:tc>
          <w:tcPr>
            <w:tcW w:w="3193" w:type="dxa"/>
            <w:gridSpan w:val="2"/>
            <w:vAlign w:val="center"/>
          </w:tcPr>
          <w:p>
            <w:pPr>
              <w:pStyle w:val="42"/>
              <w:spacing w:line="240" w:lineRule="auto"/>
              <w:jc w:val="center"/>
            </w:pPr>
            <w:r>
              <w:rPr>
                <w:rFonts w:hint="eastAsia"/>
              </w:rPr>
              <w:t>单层厂房中柱倾斜</w:t>
            </w:r>
          </w:p>
        </w:tc>
        <w:tc>
          <w:tcPr>
            <w:tcW w:w="3161" w:type="dxa"/>
            <w:vAlign w:val="center"/>
          </w:tcPr>
          <w:p>
            <w:pPr>
              <w:pStyle w:val="42"/>
              <w:spacing w:line="240" w:lineRule="auto"/>
              <w:jc w:val="center"/>
            </w:pPr>
            <w:r>
              <w:t>&gt; H/1000</w:t>
            </w:r>
          </w:p>
        </w:tc>
        <w:tc>
          <w:tcPr>
            <w:tcW w:w="2154" w:type="dxa"/>
            <w:vAlign w:val="center"/>
          </w:tcPr>
          <w:p>
            <w:pPr>
              <w:pStyle w:val="42"/>
              <w:spacing w:line="240" w:lineRule="auto"/>
              <w:jc w:val="center"/>
            </w:pPr>
            <w:r>
              <w:t>&gt; H/500</w:t>
            </w:r>
          </w:p>
        </w:tc>
      </w:tr>
    </w:tbl>
    <w:p>
      <w:pPr>
        <w:pStyle w:val="42"/>
        <w:ind w:firstLine="210"/>
        <w:rPr>
          <w:rFonts w:ascii="Adobe 楷体 Std R" w:hAnsi="Adobe 楷体 Std R" w:eastAsia="Adobe 楷体 Std R"/>
        </w:rPr>
      </w:pPr>
      <w:r>
        <w:rPr>
          <w:rFonts w:hint="eastAsia" w:ascii="Adobe 楷体 Std R" w:hAnsi="Adobe 楷体 Std R" w:eastAsia="Adobe 楷体 Std R"/>
        </w:rPr>
        <w:t>注：</w:t>
      </w:r>
      <w:r>
        <w:rPr>
          <w:rFonts w:ascii="Adobe 楷体 Std R" w:hAnsi="Adobe 楷体 Std R" w:eastAsia="Adobe 楷体 Std R"/>
        </w:rPr>
        <w:t>1</w:t>
      </w:r>
      <w:r>
        <w:rPr>
          <w:rFonts w:hint="eastAsia" w:ascii="Adobe 楷体 Std R" w:hAnsi="Adobe 楷体 Std R" w:eastAsia="Adobe 楷体 Std R"/>
        </w:rPr>
        <w:t>、表中</w:t>
      </w:r>
      <w:r>
        <w:rPr>
          <w:rFonts w:ascii="Adobe 楷体 Std R" w:hAnsi="Adobe 楷体 Std R" w:eastAsia="Adobe 楷体 Std R"/>
          <w:i/>
        </w:rPr>
        <w:t>l</w:t>
      </w:r>
      <w:r>
        <w:rPr>
          <w:rFonts w:ascii="Adobe 楷体 Std R" w:hAnsi="Adobe 楷体 Std R" w:eastAsia="Adobe 楷体 Std R"/>
          <w:i/>
          <w:vertAlign w:val="subscript"/>
        </w:rPr>
        <w:t>0</w:t>
      </w:r>
      <w:r>
        <w:rPr>
          <w:rFonts w:hint="eastAsia" w:ascii="Adobe 楷体 Std R" w:hAnsi="Adobe 楷体 Std R" w:eastAsia="Adobe 楷体 Std R"/>
        </w:rPr>
        <w:t>为构件的计算跨度，</w:t>
      </w:r>
      <w:r>
        <w:rPr>
          <w:rFonts w:ascii="Adobe 楷体 Std R" w:hAnsi="Adobe 楷体 Std R" w:eastAsia="Adobe 楷体 Std R"/>
          <w:i/>
        </w:rPr>
        <w:t>h</w:t>
      </w:r>
      <w:r>
        <w:rPr>
          <w:rFonts w:hint="eastAsia" w:ascii="Adobe 楷体 Std R" w:hAnsi="Adobe 楷体 Std R" w:eastAsia="Adobe 楷体 Std R"/>
        </w:rPr>
        <w:t>为框架层高，</w:t>
      </w:r>
      <w:r>
        <w:rPr>
          <w:rFonts w:ascii="Adobe 楷体 Std R" w:hAnsi="Adobe 楷体 Std R" w:eastAsia="Adobe 楷体 Std R"/>
          <w:i/>
        </w:rPr>
        <w:t>H</w:t>
      </w:r>
      <w:r>
        <w:rPr>
          <w:rFonts w:hint="eastAsia" w:ascii="Adobe 楷体 Std R" w:hAnsi="Adobe 楷体 Std R" w:eastAsia="Adobe 楷体 Std R"/>
        </w:rPr>
        <w:t>为柱总高。</w:t>
      </w:r>
    </w:p>
    <w:p>
      <w:pPr>
        <w:pStyle w:val="42"/>
        <w:ind w:firstLine="210"/>
        <w:rPr>
          <w:rFonts w:ascii="Adobe 楷体 Std R" w:hAnsi="Adobe 楷体 Std R" w:eastAsia="Adobe 楷体 Std R"/>
        </w:rPr>
      </w:pPr>
      <w:r>
        <w:rPr>
          <w:rFonts w:ascii="Adobe 楷体 Std R" w:hAnsi="Adobe 楷体 Std R" w:eastAsia="Adobe 楷体 Std R"/>
        </w:rPr>
        <w:t xml:space="preserve">    2</w:t>
      </w:r>
      <w:r>
        <w:rPr>
          <w:rFonts w:hint="eastAsia" w:ascii="Adobe 楷体 Std R" w:hAnsi="Adobe 楷体 Std R" w:eastAsia="Adobe 楷体 Std R"/>
        </w:rPr>
        <w:t>、评定结果取Ⅱ</w:t>
      </w:r>
      <w:r>
        <w:rPr>
          <w:rFonts w:ascii="Adobe 楷体 Std R" w:hAnsi="Adobe 楷体 Std R" w:eastAsia="Adobe 楷体 Std R"/>
          <w:vertAlign w:val="subscript"/>
        </w:rPr>
        <w:t>a</w:t>
      </w:r>
      <w:r>
        <w:rPr>
          <w:rFonts w:hint="eastAsia" w:ascii="Adobe 楷体 Std R" w:hAnsi="Adobe 楷体 Std R" w:eastAsia="Adobe 楷体 Std R"/>
        </w:rPr>
        <w:t>级或Ⅱ</w:t>
      </w:r>
      <w:r>
        <w:rPr>
          <w:rFonts w:ascii="Adobe 楷体 Std R" w:hAnsi="Adobe 楷体 Std R" w:eastAsia="Adobe 楷体 Std R"/>
          <w:vertAlign w:val="subscript"/>
        </w:rPr>
        <w:t>b</w:t>
      </w:r>
      <w:r>
        <w:rPr>
          <w:rFonts w:hint="eastAsia" w:ascii="Adobe 楷体 Std R" w:hAnsi="Adobe 楷体 Std R" w:eastAsia="Adobe 楷体 Std R"/>
        </w:rPr>
        <w:t>级，可根据实际情况由鉴定者确定。</w:t>
      </w:r>
    </w:p>
    <w:p>
      <w:pPr>
        <w:rPr>
          <w:rFonts w:cs="Times New Roman"/>
        </w:rPr>
      </w:pPr>
      <w:r>
        <w:rPr>
          <w:rFonts w:cs="Times New Roman"/>
          <w:b/>
        </w:rPr>
        <w:t>6.3.2</w:t>
      </w:r>
      <w:r>
        <w:rPr>
          <w:rFonts w:cs="Times New Roman"/>
        </w:rPr>
        <w:t>火灾后钢结构</w:t>
      </w:r>
      <w:r>
        <w:rPr>
          <w:rFonts w:hint="eastAsia" w:cs="Times New Roman"/>
        </w:rPr>
        <w:t>构件</w:t>
      </w:r>
      <w:r>
        <w:rPr>
          <w:rFonts w:cs="Times New Roman"/>
        </w:rPr>
        <w:t>的详细鉴定评级应符合下列规定：</w:t>
      </w:r>
    </w:p>
    <w:p>
      <w:pPr>
        <w:ind w:firstLine="420" w:firstLineChars="200"/>
        <w:rPr>
          <w:rFonts w:cs="Times New Roman"/>
        </w:rPr>
      </w:pPr>
      <w:r>
        <w:rPr>
          <w:rFonts w:cs="Times New Roman"/>
        </w:rPr>
        <w:t>1火灾后钢结构过火钢材力学性能指标宜现场取样检验。如能确定作用温度，还可根据本标准附录H判定不同温度下结构钢的屈服强度。</w:t>
      </w:r>
    </w:p>
    <w:p>
      <w:pPr>
        <w:ind w:firstLine="420" w:firstLineChars="200"/>
        <w:rPr>
          <w:rFonts w:cs="Times New Roman"/>
        </w:rPr>
      </w:pPr>
      <w:r>
        <w:rPr>
          <w:rFonts w:hint="eastAsia" w:cs="Times New Roman"/>
        </w:rPr>
        <w:t>2</w:t>
      </w:r>
      <w:r>
        <w:rPr>
          <w:rFonts w:cs="Times New Roman"/>
        </w:rPr>
        <w:t>构件</w:t>
      </w:r>
      <w:r>
        <w:rPr>
          <w:rFonts w:hint="eastAsia" w:cs="Times New Roman"/>
        </w:rPr>
        <w:t>及连接</w:t>
      </w:r>
      <w:r>
        <w:rPr>
          <w:rFonts w:cs="Times New Roman"/>
        </w:rPr>
        <w:t>承载力鉴定时，应考虑火灾对材料强度</w:t>
      </w:r>
      <w:r>
        <w:rPr>
          <w:rFonts w:hint="eastAsia" w:cs="Times New Roman"/>
        </w:rPr>
        <w:t>、</w:t>
      </w:r>
      <w:r>
        <w:rPr>
          <w:rFonts w:cs="Times New Roman"/>
        </w:rPr>
        <w:t>连接和构件变形的影响</w:t>
      </w:r>
      <w:r>
        <w:rPr>
          <w:rFonts w:hint="eastAsia" w:cs="Times New Roman"/>
        </w:rPr>
        <w:t>。高温过火后高强度螺栓、焊缝的屈服强度折减系数按附录H取值。</w:t>
      </w:r>
      <w:r>
        <w:rPr>
          <w:rFonts w:cs="Times New Roman"/>
        </w:rPr>
        <w:t>对于无冲击韧性要求的钢构件，可按承载力评定等级。对于有冲击韧性要求的钢构件，当构件受火后材料的冲击韧性不满足原设计要求，且冲击韧性等级相差一级时，构件承载能力评定应评为c级；当其冲击韧性等级相差两级或两级以上时，构件的承载能力评定应评为d级。</w:t>
      </w:r>
    </w:p>
    <w:p>
      <w:pPr>
        <w:ind w:firstLine="420" w:firstLineChars="200"/>
        <w:rPr>
          <w:rFonts w:cs="Times New Roman"/>
        </w:rPr>
      </w:pPr>
      <w:r>
        <w:rPr>
          <w:rFonts w:cs="Times New Roman"/>
        </w:rPr>
        <w:t>3受火构件的材料强度与冲击韧性可通过现场取样试验或同种钢材加温冷却试验确定。现场取样应避开构件的主要受力位置和截面最大应力处，并对取样部位进行补强。</w:t>
      </w:r>
    </w:p>
    <w:p>
      <w:pPr>
        <w:ind w:firstLine="420" w:firstLineChars="200"/>
        <w:rPr>
          <w:rFonts w:cs="Times New Roman"/>
        </w:rPr>
      </w:pPr>
      <w:r>
        <w:rPr>
          <w:rFonts w:cs="Times New Roman"/>
        </w:rPr>
        <w:t>4火灾后钢结构构件承载能力应按国家现行标准《工业建筑可靠性鉴定标准》（GB50144）、《民用建筑可靠性鉴定标准》（GB50292）等进行鉴定评级。</w:t>
      </w:r>
    </w:p>
    <w:p>
      <w:pPr>
        <w:pStyle w:val="3"/>
        <w:rPr>
          <w:rFonts w:ascii="Times New Roman" w:hAnsi="Times New Roman" w:cs="Times New Roman"/>
        </w:rPr>
      </w:pPr>
      <w:bookmarkStart w:id="58" w:name="_Toc501474084"/>
      <w:bookmarkStart w:id="59" w:name="_Toc505085894"/>
      <w:bookmarkStart w:id="60" w:name="_Toc500168106"/>
      <w:r>
        <w:rPr>
          <w:rFonts w:ascii="Times New Roman" w:hAnsi="Times New Roman" w:cs="Times New Roman"/>
        </w:rPr>
        <w:t>6.4 火灾后砌体结构构件的鉴定评级</w:t>
      </w:r>
      <w:bookmarkEnd w:id="58"/>
      <w:bookmarkEnd w:id="59"/>
      <w:bookmarkEnd w:id="60"/>
    </w:p>
    <w:p>
      <w:pPr>
        <w:rPr>
          <w:rFonts w:cs="Times New Roman"/>
        </w:rPr>
      </w:pPr>
      <w:r>
        <w:rPr>
          <w:rFonts w:cs="Times New Roman"/>
          <w:b/>
        </w:rPr>
        <w:t>6.4.1</w:t>
      </w:r>
      <w:r>
        <w:rPr>
          <w:rFonts w:cs="Times New Roman"/>
        </w:rPr>
        <w:t>火灾后砌体结构</w:t>
      </w:r>
      <w:r>
        <w:rPr>
          <w:rFonts w:hint="eastAsia" w:cs="Times New Roman"/>
        </w:rPr>
        <w:t>构件</w:t>
      </w:r>
      <w:r>
        <w:rPr>
          <w:rFonts w:cs="Times New Roman"/>
        </w:rPr>
        <w:t>初步鉴定，根据外观损伤、裂缝和变形</w:t>
      </w:r>
      <w:r>
        <w:rPr>
          <w:rFonts w:hint="eastAsia" w:cs="Times New Roman"/>
        </w:rPr>
        <w:t>等</w:t>
      </w:r>
      <w:r>
        <w:rPr>
          <w:rFonts w:cs="Times New Roman"/>
        </w:rPr>
        <w:t>按表6.4.1进行</w:t>
      </w:r>
      <w:r>
        <w:rPr>
          <w:rFonts w:hint="eastAsia" w:cs="Times New Roman"/>
        </w:rPr>
        <w:t>评定，并</w:t>
      </w:r>
      <w:r>
        <w:rPr>
          <w:rFonts w:cs="Times New Roman"/>
        </w:rPr>
        <w:t>按各项所评定损伤等级中的最严重级别作为构件损伤等级</w:t>
      </w:r>
      <w:r>
        <w:rPr>
          <w:rFonts w:hint="eastAsia" w:cs="Times New Roman"/>
        </w:rPr>
        <w:t>。</w:t>
      </w:r>
      <w:r>
        <w:rPr>
          <w:rFonts w:cs="Times New Roman"/>
        </w:rPr>
        <w:t>当砌体结构构件火灾后严重破坏，需要拆除或更换时，初步鉴定可评为IV级。</w:t>
      </w:r>
    </w:p>
    <w:p>
      <w:pPr>
        <w:pStyle w:val="41"/>
      </w:pPr>
      <w:r>
        <w:t>表 6.4.1  火灾后砌体结构</w:t>
      </w:r>
      <w:r>
        <w:rPr>
          <w:rFonts w:hint="eastAsia"/>
        </w:rPr>
        <w:t>构件</w:t>
      </w:r>
      <w:r>
        <w:t>初步鉴定评级标准</w:t>
      </w:r>
    </w:p>
    <w:tbl>
      <w:tblPr>
        <w:tblStyle w:val="24"/>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275"/>
        <w:gridCol w:w="2411"/>
        <w:gridCol w:w="2550"/>
        <w:gridCol w:w="3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51" w:type="dxa"/>
            <w:gridSpan w:val="2"/>
            <w:vMerge w:val="restart"/>
            <w:vAlign w:val="center"/>
          </w:tcPr>
          <w:p>
            <w:pPr>
              <w:pStyle w:val="42"/>
              <w:spacing w:line="240" w:lineRule="auto"/>
              <w:jc w:val="center"/>
            </w:pPr>
            <w:r>
              <w:t>等级评定要素</w:t>
            </w:r>
          </w:p>
        </w:tc>
        <w:tc>
          <w:tcPr>
            <w:tcW w:w="8011" w:type="dxa"/>
            <w:gridSpan w:val="3"/>
            <w:vAlign w:val="center"/>
          </w:tcPr>
          <w:p>
            <w:pPr>
              <w:pStyle w:val="42"/>
              <w:spacing w:line="240" w:lineRule="auto"/>
              <w:jc w:val="center"/>
            </w:pPr>
            <w:r>
              <w:t>各级损伤等级状态特征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51" w:type="dxa"/>
            <w:gridSpan w:val="2"/>
            <w:vMerge w:val="continue"/>
            <w:vAlign w:val="center"/>
          </w:tcPr>
          <w:p>
            <w:pPr>
              <w:pStyle w:val="42"/>
              <w:spacing w:line="240" w:lineRule="auto"/>
              <w:jc w:val="center"/>
            </w:pPr>
          </w:p>
        </w:tc>
        <w:tc>
          <w:tcPr>
            <w:tcW w:w="2411" w:type="dxa"/>
            <w:vAlign w:val="center"/>
          </w:tcPr>
          <w:p>
            <w:pPr>
              <w:pStyle w:val="42"/>
              <w:spacing w:line="240" w:lineRule="auto"/>
              <w:jc w:val="center"/>
              <w:rPr>
                <w:vertAlign w:val="subscript"/>
              </w:rPr>
            </w:pPr>
            <w:r>
              <w:t>II</w:t>
            </w:r>
            <w:r>
              <w:rPr>
                <w:vertAlign w:val="subscript"/>
              </w:rPr>
              <w:t>a</w:t>
            </w:r>
          </w:p>
        </w:tc>
        <w:tc>
          <w:tcPr>
            <w:tcW w:w="2550" w:type="dxa"/>
            <w:vAlign w:val="center"/>
          </w:tcPr>
          <w:p>
            <w:pPr>
              <w:pStyle w:val="42"/>
              <w:spacing w:line="240" w:lineRule="auto"/>
              <w:jc w:val="center"/>
            </w:pPr>
            <w:r>
              <w:t>II</w:t>
            </w:r>
            <w:r>
              <w:rPr>
                <w:vertAlign w:val="subscript"/>
              </w:rPr>
              <w:t>b</w:t>
            </w:r>
          </w:p>
        </w:tc>
        <w:tc>
          <w:tcPr>
            <w:tcW w:w="3050" w:type="dxa"/>
            <w:vAlign w:val="center"/>
          </w:tcPr>
          <w:p>
            <w:pPr>
              <w:pStyle w:val="42"/>
              <w:spacing w:line="240" w:lineRule="auto"/>
              <w:jc w:val="center"/>
            </w:pPr>
            <w: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51" w:type="dxa"/>
            <w:gridSpan w:val="2"/>
            <w:vAlign w:val="center"/>
          </w:tcPr>
          <w:p>
            <w:pPr>
              <w:pStyle w:val="42"/>
              <w:spacing w:line="240" w:lineRule="auto"/>
              <w:jc w:val="center"/>
            </w:pPr>
            <w:r>
              <w:t>外观损伤</w:t>
            </w:r>
          </w:p>
        </w:tc>
        <w:tc>
          <w:tcPr>
            <w:tcW w:w="2411" w:type="dxa"/>
            <w:vAlign w:val="center"/>
          </w:tcPr>
          <w:p>
            <w:pPr>
              <w:pStyle w:val="42"/>
              <w:spacing w:line="240" w:lineRule="auto"/>
            </w:pPr>
            <w:r>
              <w:t>无损伤、墙面或抹灰层有烟黑</w:t>
            </w:r>
          </w:p>
        </w:tc>
        <w:tc>
          <w:tcPr>
            <w:tcW w:w="2550" w:type="dxa"/>
            <w:vAlign w:val="center"/>
          </w:tcPr>
          <w:p>
            <w:pPr>
              <w:pStyle w:val="42"/>
              <w:spacing w:line="240" w:lineRule="auto"/>
            </w:pPr>
            <w:r>
              <w:t>抹灰层有局部脱落或脱落，灰缝砂浆无明显烧伤</w:t>
            </w:r>
          </w:p>
        </w:tc>
        <w:tc>
          <w:tcPr>
            <w:tcW w:w="3050" w:type="dxa"/>
            <w:vAlign w:val="center"/>
          </w:tcPr>
          <w:p>
            <w:pPr>
              <w:pStyle w:val="42"/>
              <w:spacing w:line="240" w:lineRule="auto"/>
            </w:pPr>
            <w:r>
              <w:t>抹灰层有局部脱落或脱落部位砂浆烧伤在15mm以内、块材表面尚未开裂变形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6" w:type="dxa"/>
            <w:vMerge w:val="restart"/>
            <w:vAlign w:val="center"/>
          </w:tcPr>
          <w:p>
            <w:pPr>
              <w:pStyle w:val="42"/>
              <w:spacing w:line="240" w:lineRule="auto"/>
            </w:pPr>
            <w:r>
              <w:t>变形裂缝</w:t>
            </w:r>
          </w:p>
        </w:tc>
        <w:tc>
          <w:tcPr>
            <w:tcW w:w="1275" w:type="dxa"/>
            <w:vAlign w:val="center"/>
          </w:tcPr>
          <w:p>
            <w:pPr>
              <w:pStyle w:val="42"/>
              <w:spacing w:line="240" w:lineRule="auto"/>
            </w:pPr>
            <w:r>
              <w:t>墙、壁柱墙</w:t>
            </w:r>
          </w:p>
        </w:tc>
        <w:tc>
          <w:tcPr>
            <w:tcW w:w="2411" w:type="dxa"/>
            <w:vAlign w:val="center"/>
          </w:tcPr>
          <w:p>
            <w:pPr>
              <w:pStyle w:val="42"/>
              <w:spacing w:line="240" w:lineRule="auto"/>
            </w:pPr>
            <w:r>
              <w:t>无裂缝，略有灼</w:t>
            </w:r>
            <w:r>
              <w:rPr>
                <w:rFonts w:hint="eastAsia"/>
              </w:rPr>
              <w:t>烧</w:t>
            </w:r>
            <w:r>
              <w:t>痕迹</w:t>
            </w:r>
          </w:p>
        </w:tc>
        <w:tc>
          <w:tcPr>
            <w:tcW w:w="2550" w:type="dxa"/>
            <w:vAlign w:val="center"/>
          </w:tcPr>
          <w:p>
            <w:pPr>
              <w:pStyle w:val="42"/>
              <w:spacing w:line="240" w:lineRule="auto"/>
            </w:pPr>
            <w:r>
              <w:t>有裂痕显示</w:t>
            </w:r>
          </w:p>
        </w:tc>
        <w:tc>
          <w:tcPr>
            <w:tcW w:w="3050" w:type="dxa"/>
            <w:vAlign w:val="center"/>
          </w:tcPr>
          <w:p>
            <w:pPr>
              <w:pStyle w:val="42"/>
              <w:spacing w:line="240" w:lineRule="auto"/>
            </w:pPr>
            <w:r>
              <w:t>有裂缝，最大宽度w</w:t>
            </w:r>
            <w:r>
              <w:rPr>
                <w:vertAlign w:val="subscript"/>
              </w:rPr>
              <w:t>f</w:t>
            </w:r>
            <w:r>
              <w:rPr>
                <w:rFonts w:hint="eastAsia"/>
              </w:rPr>
              <w:t>≤</w:t>
            </w:r>
            <w:r>
              <w:t>0.6mm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6" w:type="dxa"/>
            <w:vMerge w:val="continue"/>
            <w:vAlign w:val="center"/>
          </w:tcPr>
          <w:p>
            <w:pPr>
              <w:pStyle w:val="42"/>
              <w:spacing w:line="240" w:lineRule="auto"/>
            </w:pPr>
          </w:p>
        </w:tc>
        <w:tc>
          <w:tcPr>
            <w:tcW w:w="1275" w:type="dxa"/>
            <w:vAlign w:val="center"/>
          </w:tcPr>
          <w:p>
            <w:pPr>
              <w:pStyle w:val="42"/>
              <w:spacing w:line="240" w:lineRule="auto"/>
            </w:pPr>
            <w:r>
              <w:t>独立柱</w:t>
            </w:r>
          </w:p>
        </w:tc>
        <w:tc>
          <w:tcPr>
            <w:tcW w:w="2411" w:type="dxa"/>
            <w:vAlign w:val="center"/>
          </w:tcPr>
          <w:p>
            <w:pPr>
              <w:pStyle w:val="42"/>
              <w:spacing w:line="240" w:lineRule="auto"/>
            </w:pPr>
            <w:r>
              <w:t>无裂缝，略有灼</w:t>
            </w:r>
            <w:r>
              <w:rPr>
                <w:rFonts w:hint="eastAsia"/>
              </w:rPr>
              <w:t>烧</w:t>
            </w:r>
            <w:r>
              <w:t>痕迹</w:t>
            </w:r>
          </w:p>
        </w:tc>
        <w:tc>
          <w:tcPr>
            <w:tcW w:w="2550" w:type="dxa"/>
            <w:vAlign w:val="center"/>
          </w:tcPr>
          <w:p>
            <w:pPr>
              <w:pStyle w:val="42"/>
              <w:spacing w:line="240" w:lineRule="auto"/>
            </w:pPr>
            <w:r>
              <w:t>无裂缝，有灼烤痕迹</w:t>
            </w:r>
          </w:p>
        </w:tc>
        <w:tc>
          <w:tcPr>
            <w:tcW w:w="3050" w:type="dxa"/>
            <w:vAlign w:val="center"/>
          </w:tcPr>
          <w:p>
            <w:pPr>
              <w:pStyle w:val="42"/>
              <w:spacing w:line="240" w:lineRule="auto"/>
            </w:pPr>
            <w:r>
              <w:t>有裂痕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6" w:type="dxa"/>
            <w:vMerge w:val="restart"/>
            <w:vAlign w:val="center"/>
          </w:tcPr>
          <w:p>
            <w:pPr>
              <w:pStyle w:val="42"/>
              <w:spacing w:line="240" w:lineRule="auto"/>
            </w:pPr>
            <w:r>
              <w:t>受压裂缝</w:t>
            </w:r>
          </w:p>
        </w:tc>
        <w:tc>
          <w:tcPr>
            <w:tcW w:w="1275" w:type="dxa"/>
            <w:vAlign w:val="center"/>
          </w:tcPr>
          <w:p>
            <w:pPr>
              <w:pStyle w:val="42"/>
              <w:spacing w:line="240" w:lineRule="auto"/>
            </w:pPr>
            <w:r>
              <w:t>墙、壁柱墙</w:t>
            </w:r>
          </w:p>
        </w:tc>
        <w:tc>
          <w:tcPr>
            <w:tcW w:w="2411" w:type="dxa"/>
            <w:vAlign w:val="center"/>
          </w:tcPr>
          <w:p>
            <w:pPr>
              <w:pStyle w:val="42"/>
              <w:spacing w:line="240" w:lineRule="auto"/>
            </w:pPr>
            <w:r>
              <w:t>无裂缝，略有灼</w:t>
            </w:r>
            <w:r>
              <w:rPr>
                <w:rFonts w:hint="eastAsia"/>
              </w:rPr>
              <w:t>烧</w:t>
            </w:r>
            <w:r>
              <w:t>痕迹</w:t>
            </w:r>
          </w:p>
        </w:tc>
        <w:tc>
          <w:tcPr>
            <w:tcW w:w="2550" w:type="dxa"/>
            <w:vAlign w:val="center"/>
          </w:tcPr>
          <w:p>
            <w:pPr>
              <w:pStyle w:val="42"/>
              <w:spacing w:line="240" w:lineRule="auto"/>
            </w:pPr>
            <w:r>
              <w:t>个别块材有裂缝</w:t>
            </w:r>
          </w:p>
        </w:tc>
        <w:tc>
          <w:tcPr>
            <w:tcW w:w="3050" w:type="dxa"/>
            <w:vAlign w:val="center"/>
          </w:tcPr>
          <w:p>
            <w:pPr>
              <w:pStyle w:val="42"/>
              <w:spacing w:line="240" w:lineRule="auto"/>
            </w:pPr>
            <w:r>
              <w:t>裂缝贯通3皮块材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6" w:type="dxa"/>
            <w:vMerge w:val="continue"/>
            <w:vAlign w:val="center"/>
          </w:tcPr>
          <w:p>
            <w:pPr>
              <w:pStyle w:val="42"/>
              <w:spacing w:line="240" w:lineRule="auto"/>
            </w:pPr>
          </w:p>
        </w:tc>
        <w:tc>
          <w:tcPr>
            <w:tcW w:w="1275" w:type="dxa"/>
            <w:vAlign w:val="center"/>
          </w:tcPr>
          <w:p>
            <w:pPr>
              <w:pStyle w:val="42"/>
              <w:spacing w:line="240" w:lineRule="auto"/>
            </w:pPr>
            <w:r>
              <w:t>独立柱</w:t>
            </w:r>
          </w:p>
        </w:tc>
        <w:tc>
          <w:tcPr>
            <w:tcW w:w="2411" w:type="dxa"/>
            <w:vAlign w:val="center"/>
          </w:tcPr>
          <w:p>
            <w:pPr>
              <w:pStyle w:val="42"/>
              <w:spacing w:line="240" w:lineRule="auto"/>
            </w:pPr>
            <w:r>
              <w:t>无裂缝，无灼</w:t>
            </w:r>
            <w:r>
              <w:rPr>
                <w:rFonts w:hint="eastAsia"/>
              </w:rPr>
              <w:t>烧</w:t>
            </w:r>
            <w:r>
              <w:t>痕迹</w:t>
            </w:r>
          </w:p>
        </w:tc>
        <w:tc>
          <w:tcPr>
            <w:tcW w:w="2550" w:type="dxa"/>
            <w:vAlign w:val="center"/>
          </w:tcPr>
          <w:p>
            <w:pPr>
              <w:pStyle w:val="42"/>
              <w:spacing w:line="240" w:lineRule="auto"/>
            </w:pPr>
            <w:r>
              <w:t>个别砖块材有裂缝</w:t>
            </w:r>
          </w:p>
        </w:tc>
        <w:tc>
          <w:tcPr>
            <w:tcW w:w="3050" w:type="dxa"/>
            <w:vAlign w:val="center"/>
          </w:tcPr>
          <w:p>
            <w:pPr>
              <w:pStyle w:val="42"/>
              <w:spacing w:line="240" w:lineRule="auto"/>
            </w:pPr>
            <w:r>
              <w:t>有裂缝贯通块材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51" w:type="dxa"/>
            <w:gridSpan w:val="2"/>
            <w:vAlign w:val="center"/>
          </w:tcPr>
          <w:p>
            <w:pPr>
              <w:pStyle w:val="42"/>
              <w:spacing w:line="240" w:lineRule="auto"/>
            </w:pPr>
            <w:r>
              <w:rPr>
                <w:rFonts w:hint="eastAsia"/>
              </w:rPr>
              <w:t>结构构件变形</w:t>
            </w:r>
          </w:p>
        </w:tc>
        <w:tc>
          <w:tcPr>
            <w:tcW w:w="2411" w:type="dxa"/>
            <w:vAlign w:val="center"/>
          </w:tcPr>
          <w:p>
            <w:pPr>
              <w:pStyle w:val="42"/>
              <w:spacing w:line="240" w:lineRule="auto"/>
            </w:pPr>
            <w:r>
              <w:rPr>
                <w:rFonts w:hint="eastAsia"/>
              </w:rPr>
              <w:t>未见变形</w:t>
            </w:r>
          </w:p>
        </w:tc>
        <w:tc>
          <w:tcPr>
            <w:tcW w:w="2550" w:type="dxa"/>
            <w:vAlign w:val="center"/>
          </w:tcPr>
          <w:p>
            <w:pPr>
              <w:pStyle w:val="42"/>
              <w:spacing w:line="240" w:lineRule="auto"/>
            </w:pPr>
            <w:r>
              <w:rPr>
                <w:rFonts w:hint="eastAsia"/>
              </w:rPr>
              <w:t>未见变形</w:t>
            </w:r>
          </w:p>
        </w:tc>
        <w:tc>
          <w:tcPr>
            <w:tcW w:w="3050" w:type="dxa"/>
            <w:vAlign w:val="center"/>
          </w:tcPr>
          <w:p>
            <w:pPr>
              <w:pStyle w:val="42"/>
              <w:spacing w:line="240" w:lineRule="auto"/>
            </w:pPr>
            <w:r>
              <w:rPr>
                <w:rFonts w:hint="eastAsia"/>
              </w:rPr>
              <w:t>明显变形</w:t>
            </w:r>
          </w:p>
        </w:tc>
      </w:tr>
    </w:tbl>
    <w:p>
      <w:pPr>
        <w:pStyle w:val="42"/>
        <w:spacing w:line="240" w:lineRule="auto"/>
        <w:ind w:firstLine="361"/>
        <w:rPr>
          <w:sz w:val="18"/>
          <w:szCs w:val="18"/>
        </w:rPr>
      </w:pPr>
      <w:r>
        <w:rPr>
          <w:b/>
          <w:sz w:val="18"/>
          <w:szCs w:val="18"/>
        </w:rPr>
        <w:t>注：</w:t>
      </w:r>
      <w:r>
        <w:rPr>
          <w:rFonts w:hint="eastAsia"/>
          <w:sz w:val="18"/>
          <w:szCs w:val="18"/>
        </w:rPr>
        <w:t xml:space="preserve">1. </w:t>
      </w:r>
      <w:r>
        <w:rPr>
          <w:sz w:val="18"/>
          <w:szCs w:val="18"/>
        </w:rPr>
        <w:t>对墙体裂缝有严格要求的</w:t>
      </w:r>
      <w:r>
        <w:rPr>
          <w:rFonts w:hint="eastAsia"/>
          <w:sz w:val="18"/>
          <w:szCs w:val="18"/>
        </w:rPr>
        <w:t>工程</w:t>
      </w:r>
      <w:r>
        <w:rPr>
          <w:sz w:val="18"/>
          <w:szCs w:val="18"/>
        </w:rPr>
        <w:t>结构，</w:t>
      </w:r>
      <w:r>
        <w:rPr>
          <w:rFonts w:hint="eastAsia"/>
          <w:sz w:val="18"/>
          <w:szCs w:val="18"/>
        </w:rPr>
        <w:t>采用</w:t>
      </w:r>
      <w:r>
        <w:rPr>
          <w:sz w:val="18"/>
          <w:szCs w:val="18"/>
        </w:rPr>
        <w:t>表中裂缝宽度，对次要建筑可放宽</w:t>
      </w:r>
      <w:r>
        <w:rPr>
          <w:rFonts w:hint="eastAsia"/>
          <w:sz w:val="18"/>
          <w:szCs w:val="18"/>
        </w:rPr>
        <w:t>为</w:t>
      </w:r>
      <w:r>
        <w:rPr>
          <w:sz w:val="18"/>
          <w:szCs w:val="18"/>
        </w:rPr>
        <w:t>1.0mm。</w:t>
      </w:r>
    </w:p>
    <w:p>
      <w:pPr>
        <w:pStyle w:val="42"/>
        <w:spacing w:line="240" w:lineRule="auto"/>
        <w:ind w:firstLine="720" w:firstLineChars="400"/>
        <w:rPr>
          <w:sz w:val="18"/>
          <w:szCs w:val="18"/>
        </w:rPr>
      </w:pPr>
      <w:r>
        <w:rPr>
          <w:rFonts w:hint="eastAsia"/>
          <w:sz w:val="18"/>
          <w:szCs w:val="18"/>
        </w:rPr>
        <w:t>2. 变形的判别标准见条文说明。</w:t>
      </w:r>
    </w:p>
    <w:p>
      <w:pPr>
        <w:rPr>
          <w:rFonts w:cs="Times New Roman"/>
        </w:rPr>
      </w:pPr>
      <w:r>
        <w:rPr>
          <w:rFonts w:cs="Times New Roman"/>
          <w:b/>
        </w:rPr>
        <w:t>6.4.2</w:t>
      </w:r>
      <w:r>
        <w:rPr>
          <w:rFonts w:cs="Times New Roman"/>
        </w:rPr>
        <w:t>火灾后</w:t>
      </w:r>
      <w:r>
        <w:rPr>
          <w:rFonts w:hint="eastAsia" w:cs="Times New Roman"/>
        </w:rPr>
        <w:t>砌体</w:t>
      </w:r>
      <w:r>
        <w:rPr>
          <w:rFonts w:cs="Times New Roman"/>
        </w:rPr>
        <w:t>结构</w:t>
      </w:r>
      <w:r>
        <w:rPr>
          <w:rFonts w:hint="eastAsia" w:cs="Times New Roman"/>
        </w:rPr>
        <w:t>构件</w:t>
      </w:r>
      <w:r>
        <w:rPr>
          <w:rFonts w:cs="Times New Roman"/>
        </w:rPr>
        <w:t>的详细鉴定评级应符合下列规定：</w:t>
      </w:r>
    </w:p>
    <w:p>
      <w:pPr>
        <w:ind w:firstLine="420" w:firstLineChars="200"/>
        <w:rPr>
          <w:rFonts w:cs="Times New Roman"/>
        </w:rPr>
      </w:pPr>
      <w:r>
        <w:rPr>
          <w:rFonts w:cs="Times New Roman"/>
        </w:rPr>
        <w:t>1 火灾后砌体、砌块和砂浆强度可按照现行国家标准《砌体工程现场检测技术标准》（GB/T</w:t>
      </w:r>
      <w:r>
        <w:rPr>
          <w:rFonts w:hint="eastAsia" w:cs="Times New Roman"/>
        </w:rPr>
        <w:t xml:space="preserve"> </w:t>
      </w:r>
      <w:r>
        <w:rPr>
          <w:rFonts w:cs="Times New Roman"/>
        </w:rPr>
        <w:t>50315）进行现场检测；也可现场取样分别对砌块和砂浆进行材料试验检测；还可根据构件</w:t>
      </w:r>
      <w:r>
        <w:rPr>
          <w:rFonts w:hint="eastAsia" w:cs="Times New Roman"/>
        </w:rPr>
        <w:t>表面温度</w:t>
      </w:r>
      <w:r>
        <w:rPr>
          <w:rFonts w:cs="Times New Roman"/>
        </w:rPr>
        <w:t>按照本标准附录J推定。当根据温度场推定火灾后材料力学性能指标时，宜用抽样试验进行修正。</w:t>
      </w:r>
    </w:p>
    <w:p>
      <w:pPr>
        <w:ind w:firstLine="420" w:firstLineChars="200"/>
        <w:rPr>
          <w:rFonts w:cs="Times New Roman"/>
        </w:rPr>
      </w:pPr>
      <w:r>
        <w:rPr>
          <w:rFonts w:cs="Times New Roman"/>
        </w:rPr>
        <w:t>2 火灾后砌体的轴心抗压、抗拉、抗弯与抗剪强度的设计值按附录J推定</w:t>
      </w:r>
      <w:r>
        <w:rPr>
          <w:rFonts w:hint="eastAsia" w:cs="Times New Roman"/>
        </w:rPr>
        <w:t>；</w:t>
      </w:r>
      <w:r>
        <w:rPr>
          <w:rFonts w:cs="Times New Roman"/>
        </w:rPr>
        <w:t>火灾后砌体受压承载能力</w:t>
      </w:r>
      <w:r>
        <w:rPr>
          <w:rFonts w:hint="eastAsia" w:cs="Times New Roman"/>
        </w:rPr>
        <w:t>，根据推定的砌体抗压强度按</w:t>
      </w:r>
      <w:r>
        <w:rPr>
          <w:rFonts w:cs="Times New Roman"/>
        </w:rPr>
        <w:t>《砌体结构设计规范》（GB50003）</w:t>
      </w:r>
      <w:r>
        <w:rPr>
          <w:rFonts w:hint="eastAsia" w:cs="Times New Roman"/>
        </w:rPr>
        <w:t>的公式计算</w:t>
      </w:r>
      <w:r>
        <w:rPr>
          <w:rFonts w:cs="Times New Roman"/>
        </w:rPr>
        <w:t>。</w:t>
      </w:r>
    </w:p>
    <w:p>
      <w:pPr>
        <w:ind w:firstLine="420" w:firstLineChars="200"/>
        <w:rPr>
          <w:rFonts w:cs="Times New Roman"/>
        </w:rPr>
      </w:pPr>
      <w:r>
        <w:rPr>
          <w:rFonts w:cs="Times New Roman"/>
        </w:rPr>
        <w:t>3</w:t>
      </w:r>
      <w:r>
        <w:rPr>
          <w:rFonts w:hint="eastAsia" w:cs="Times New Roman"/>
        </w:rPr>
        <w:t>火灾后砌体结构墙、柱的允许高厚比</w:t>
      </w:r>
      <w:r>
        <w:rPr>
          <w:rFonts w:cs="Times New Roman"/>
        </w:rPr>
        <w:t>[β]</w:t>
      </w:r>
      <w:r>
        <w:rPr>
          <w:rFonts w:hint="eastAsia" w:cs="Times New Roman"/>
        </w:rPr>
        <w:t>仍按《砌体结构设计规范》（</w:t>
      </w:r>
      <w:r>
        <w:rPr>
          <w:rFonts w:cs="Times New Roman"/>
        </w:rPr>
        <w:t>GB50003</w:t>
      </w:r>
      <w:r>
        <w:rPr>
          <w:rFonts w:hint="eastAsia" w:cs="Times New Roman"/>
        </w:rPr>
        <w:t>）的规定取值，砂浆强度等级以火灾后的评定等级为准。</w:t>
      </w:r>
    </w:p>
    <w:p>
      <w:pPr>
        <w:ind w:firstLine="420" w:firstLineChars="200"/>
        <w:rPr>
          <w:rFonts w:cs="Times New Roman"/>
        </w:rPr>
      </w:pPr>
      <w:r>
        <w:rPr>
          <w:rFonts w:cs="Times New Roman"/>
        </w:rPr>
        <w:t>4火灾后砌体结构构件承载能力应按国家现行标准《工业建筑可靠性鉴定标准》（GB50144）、《民用建筑可靠性鉴定标准》（GB50292）等进行</w:t>
      </w:r>
      <w:r>
        <w:rPr>
          <w:rFonts w:hint="eastAsia" w:cs="Times New Roman"/>
        </w:rPr>
        <w:t>详细</w:t>
      </w:r>
      <w:r>
        <w:rPr>
          <w:rFonts w:cs="Times New Roman"/>
        </w:rPr>
        <w:t>鉴定评级。</w:t>
      </w:r>
    </w:p>
    <w:p>
      <w:pPr>
        <w:pStyle w:val="3"/>
        <w:rPr>
          <w:rFonts w:ascii="Times New Roman" w:hAnsi="Times New Roman" w:cs="Times New Roman"/>
        </w:rPr>
      </w:pPr>
      <w:bookmarkStart w:id="61" w:name="_Toc500168107"/>
      <w:bookmarkStart w:id="62" w:name="_Toc505085895"/>
      <w:bookmarkStart w:id="63" w:name="_Toc501474085"/>
      <w:r>
        <w:rPr>
          <w:rFonts w:ascii="Times New Roman" w:hAnsi="Times New Roman" w:cs="Times New Roman"/>
        </w:rPr>
        <w:t>6.5 火灾后木结构构件的鉴定评级</w:t>
      </w:r>
      <w:bookmarkEnd w:id="61"/>
      <w:bookmarkEnd w:id="62"/>
      <w:bookmarkEnd w:id="63"/>
    </w:p>
    <w:p>
      <w:pPr>
        <w:rPr>
          <w:rFonts w:cs="Times New Roman"/>
        </w:rPr>
      </w:pPr>
      <w:r>
        <w:rPr>
          <w:rFonts w:cs="Times New Roman"/>
          <w:b/>
        </w:rPr>
        <w:t>6.5.1</w:t>
      </w:r>
      <w:r>
        <w:rPr>
          <w:rFonts w:cs="Times New Roman"/>
        </w:rPr>
        <w:t>火灾后木结构初步鉴定，根据</w:t>
      </w:r>
      <w:r>
        <w:rPr>
          <w:rFonts w:hint="eastAsia" w:cs="Times New Roman"/>
        </w:rPr>
        <w:t>构件</w:t>
      </w:r>
      <w:r>
        <w:rPr>
          <w:rFonts w:cs="Times New Roman"/>
        </w:rPr>
        <w:t>外观损伤、防火保护受损、连接板残余变形与</w:t>
      </w:r>
      <w:r>
        <w:rPr>
          <w:rFonts w:hint="eastAsia" w:cs="Times New Roman"/>
        </w:rPr>
        <w:t>开</w:t>
      </w:r>
      <w:r>
        <w:rPr>
          <w:rFonts w:cs="Times New Roman"/>
        </w:rPr>
        <w:t>裂、螺栓滑移及变形</w:t>
      </w:r>
      <w:r>
        <w:rPr>
          <w:rFonts w:hint="eastAsia" w:cs="Times New Roman"/>
        </w:rPr>
        <w:t>断</w:t>
      </w:r>
      <w:r>
        <w:rPr>
          <w:rFonts w:cs="Times New Roman"/>
        </w:rPr>
        <w:t>裂</w:t>
      </w:r>
      <w:r>
        <w:rPr>
          <w:rFonts w:hint="eastAsia" w:cs="Times New Roman"/>
        </w:rPr>
        <w:t>、</w:t>
      </w:r>
      <w:r>
        <w:rPr>
          <w:rFonts w:cs="Times New Roman"/>
        </w:rPr>
        <w:t>变形按表6.5.1进行初步鉴定评级。当木结构构件火灾后严重破坏，出现连接板开裂</w:t>
      </w:r>
      <w:r>
        <w:rPr>
          <w:rFonts w:hint="eastAsia" w:cs="Times New Roman"/>
        </w:rPr>
        <w:t>、</w:t>
      </w:r>
      <w:r>
        <w:rPr>
          <w:rFonts w:cs="Times New Roman"/>
        </w:rPr>
        <w:t>螺栓断裂</w:t>
      </w:r>
      <w:r>
        <w:rPr>
          <w:rFonts w:hint="eastAsia" w:cs="Times New Roman"/>
        </w:rPr>
        <w:t>、</w:t>
      </w:r>
      <w:r>
        <w:rPr>
          <w:rFonts w:cs="Times New Roman"/>
        </w:rPr>
        <w:t>变形损伤严重等情况</w:t>
      </w:r>
      <w:r>
        <w:rPr>
          <w:rFonts w:hint="eastAsia" w:cs="Times New Roman"/>
        </w:rPr>
        <w:t>，</w:t>
      </w:r>
      <w:r>
        <w:rPr>
          <w:rFonts w:cs="Times New Roman"/>
        </w:rPr>
        <w:t>需要拆除或更换时，该构件初步鉴定评为Ⅳ级。</w:t>
      </w:r>
    </w:p>
    <w:p>
      <w:pPr>
        <w:pStyle w:val="41"/>
      </w:pPr>
      <w:r>
        <w:t>表 6.5.1  火灾后木结构</w:t>
      </w:r>
      <w:r>
        <w:rPr>
          <w:rFonts w:hint="eastAsia"/>
        </w:rPr>
        <w:t>构件</w:t>
      </w:r>
      <w:r>
        <w:t>的初步鉴定评级标准</w:t>
      </w:r>
    </w:p>
    <w:tbl>
      <w:tblPr>
        <w:tblStyle w:val="24"/>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7"/>
        <w:gridCol w:w="2530"/>
        <w:gridCol w:w="2277"/>
        <w:gridCol w:w="3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2" w:hRule="atLeast"/>
          <w:jc w:val="center"/>
        </w:trPr>
        <w:tc>
          <w:tcPr>
            <w:tcW w:w="2117" w:type="dxa"/>
            <w:vMerge w:val="restart"/>
            <w:vAlign w:val="center"/>
          </w:tcPr>
          <w:p>
            <w:pPr>
              <w:pStyle w:val="42"/>
              <w:spacing w:line="240" w:lineRule="auto"/>
              <w:jc w:val="center"/>
            </w:pPr>
            <w:r>
              <w:t>等级评定要素</w:t>
            </w:r>
          </w:p>
        </w:tc>
        <w:tc>
          <w:tcPr>
            <w:tcW w:w="7845" w:type="dxa"/>
            <w:gridSpan w:val="3"/>
            <w:vAlign w:val="center"/>
          </w:tcPr>
          <w:p>
            <w:pPr>
              <w:pStyle w:val="42"/>
              <w:spacing w:line="240" w:lineRule="auto"/>
              <w:jc w:val="center"/>
            </w:pPr>
            <w:r>
              <w:t>各级损伤等级状态特征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6" w:hRule="atLeast"/>
          <w:jc w:val="center"/>
        </w:trPr>
        <w:tc>
          <w:tcPr>
            <w:tcW w:w="2117" w:type="dxa"/>
            <w:vMerge w:val="continue"/>
            <w:vAlign w:val="center"/>
          </w:tcPr>
          <w:p>
            <w:pPr>
              <w:pStyle w:val="42"/>
              <w:spacing w:line="240" w:lineRule="auto"/>
              <w:jc w:val="center"/>
            </w:pPr>
          </w:p>
        </w:tc>
        <w:tc>
          <w:tcPr>
            <w:tcW w:w="2530" w:type="dxa"/>
            <w:vAlign w:val="center"/>
          </w:tcPr>
          <w:p>
            <w:pPr>
              <w:pStyle w:val="42"/>
              <w:spacing w:line="240" w:lineRule="auto"/>
              <w:jc w:val="center"/>
            </w:pPr>
            <w:r>
              <w:t>Ⅱ</w:t>
            </w:r>
            <w:r>
              <w:rPr>
                <w:vertAlign w:val="subscript"/>
              </w:rPr>
              <w:t>a</w:t>
            </w:r>
          </w:p>
        </w:tc>
        <w:tc>
          <w:tcPr>
            <w:tcW w:w="2277" w:type="dxa"/>
            <w:vAlign w:val="center"/>
          </w:tcPr>
          <w:p>
            <w:pPr>
              <w:pStyle w:val="42"/>
              <w:spacing w:line="240" w:lineRule="auto"/>
              <w:jc w:val="center"/>
            </w:pPr>
            <w:r>
              <w:t>Ⅱ</w:t>
            </w:r>
            <w:r>
              <w:rPr>
                <w:vertAlign w:val="subscript"/>
              </w:rPr>
              <w:t>b</w:t>
            </w:r>
          </w:p>
        </w:tc>
        <w:tc>
          <w:tcPr>
            <w:tcW w:w="3038" w:type="dxa"/>
            <w:vAlign w:val="center"/>
          </w:tcPr>
          <w:p>
            <w:pPr>
              <w:pStyle w:val="42"/>
              <w:spacing w:line="240" w:lineRule="auto"/>
              <w:jc w:val="center"/>
            </w:pPr>
            <w: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2117" w:type="dxa"/>
            <w:vAlign w:val="center"/>
          </w:tcPr>
          <w:p>
            <w:pPr>
              <w:pStyle w:val="42"/>
              <w:spacing w:line="240" w:lineRule="auto"/>
              <w:jc w:val="center"/>
            </w:pPr>
            <w:r>
              <w:t>外观损伤</w:t>
            </w:r>
          </w:p>
        </w:tc>
        <w:tc>
          <w:tcPr>
            <w:tcW w:w="2530" w:type="dxa"/>
            <w:vAlign w:val="center"/>
          </w:tcPr>
          <w:p>
            <w:pPr>
              <w:pStyle w:val="42"/>
              <w:spacing w:line="240" w:lineRule="auto"/>
              <w:jc w:val="center"/>
            </w:pPr>
            <w:r>
              <w:rPr>
                <w:rFonts w:hint="eastAsia"/>
              </w:rPr>
              <w:t>基本无损伤，构件表面局部熏黑</w:t>
            </w:r>
          </w:p>
        </w:tc>
        <w:tc>
          <w:tcPr>
            <w:tcW w:w="2277" w:type="dxa"/>
            <w:vAlign w:val="center"/>
          </w:tcPr>
          <w:p>
            <w:pPr>
              <w:pStyle w:val="42"/>
              <w:spacing w:line="240" w:lineRule="auto"/>
              <w:jc w:val="center"/>
            </w:pPr>
            <w:r>
              <w:rPr>
                <w:rFonts w:hint="eastAsia"/>
              </w:rPr>
              <w:t>构件表面局部炭化，对承载力无明显影响</w:t>
            </w:r>
          </w:p>
        </w:tc>
        <w:tc>
          <w:tcPr>
            <w:tcW w:w="3038" w:type="dxa"/>
            <w:tcBorders>
              <w:right w:val="single" w:color="auto" w:sz="4" w:space="0"/>
            </w:tcBorders>
            <w:vAlign w:val="center"/>
          </w:tcPr>
          <w:p>
            <w:pPr>
              <w:pStyle w:val="42"/>
              <w:spacing w:line="240" w:lineRule="auto"/>
              <w:jc w:val="center"/>
            </w:pPr>
            <w:r>
              <w:rPr>
                <w:rFonts w:hint="eastAsia"/>
              </w:rPr>
              <w:t>构件表面炭化，对承载力有一定的影响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2117" w:type="dxa"/>
            <w:vAlign w:val="center"/>
          </w:tcPr>
          <w:p>
            <w:pPr>
              <w:pStyle w:val="42"/>
              <w:spacing w:line="240" w:lineRule="auto"/>
              <w:jc w:val="center"/>
            </w:pPr>
            <w:r>
              <w:t>防火保护层</w:t>
            </w:r>
          </w:p>
        </w:tc>
        <w:tc>
          <w:tcPr>
            <w:tcW w:w="2530" w:type="dxa"/>
            <w:vAlign w:val="center"/>
          </w:tcPr>
          <w:p>
            <w:pPr>
              <w:pStyle w:val="42"/>
              <w:spacing w:line="240" w:lineRule="auto"/>
              <w:jc w:val="center"/>
            </w:pPr>
            <w:r>
              <w:t>基本完好无损</w:t>
            </w:r>
          </w:p>
        </w:tc>
        <w:tc>
          <w:tcPr>
            <w:tcW w:w="2277" w:type="dxa"/>
            <w:vAlign w:val="center"/>
          </w:tcPr>
          <w:p>
            <w:pPr>
              <w:pStyle w:val="42"/>
              <w:spacing w:line="240" w:lineRule="auto"/>
              <w:jc w:val="center"/>
            </w:pPr>
            <w:r>
              <w:t>防火涂装或防火保护层开裂但无脱落</w:t>
            </w:r>
          </w:p>
        </w:tc>
        <w:tc>
          <w:tcPr>
            <w:tcW w:w="3038" w:type="dxa"/>
            <w:tcBorders>
              <w:right w:val="single" w:color="auto" w:sz="4" w:space="0"/>
            </w:tcBorders>
            <w:vAlign w:val="center"/>
          </w:tcPr>
          <w:p>
            <w:pPr>
              <w:pStyle w:val="42"/>
              <w:spacing w:line="240" w:lineRule="auto"/>
              <w:jc w:val="center"/>
            </w:pPr>
            <w:r>
              <w:t>防火涂装或防火保护层局部范围脱落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2117" w:type="dxa"/>
            <w:vAlign w:val="center"/>
          </w:tcPr>
          <w:p>
            <w:pPr>
              <w:pStyle w:val="42"/>
              <w:spacing w:line="240" w:lineRule="auto"/>
              <w:jc w:val="center"/>
            </w:pPr>
            <w:r>
              <w:t>连接板残余变形与撕裂</w:t>
            </w:r>
          </w:p>
        </w:tc>
        <w:tc>
          <w:tcPr>
            <w:tcW w:w="2530" w:type="dxa"/>
            <w:vAlign w:val="center"/>
          </w:tcPr>
          <w:p>
            <w:pPr>
              <w:pStyle w:val="42"/>
              <w:spacing w:line="240" w:lineRule="auto"/>
              <w:jc w:val="center"/>
            </w:pPr>
            <w:r>
              <w:t>无</w:t>
            </w:r>
          </w:p>
        </w:tc>
        <w:tc>
          <w:tcPr>
            <w:tcW w:w="2277" w:type="dxa"/>
            <w:vAlign w:val="center"/>
          </w:tcPr>
          <w:p>
            <w:pPr>
              <w:pStyle w:val="42"/>
              <w:spacing w:line="240" w:lineRule="auto"/>
              <w:jc w:val="center"/>
            </w:pPr>
            <w:r>
              <w:t>轻度残余变形，对承载力无明显影响</w:t>
            </w:r>
          </w:p>
        </w:tc>
        <w:tc>
          <w:tcPr>
            <w:tcW w:w="3038" w:type="dxa"/>
            <w:tcBorders>
              <w:right w:val="single" w:color="auto" w:sz="4" w:space="0"/>
            </w:tcBorders>
            <w:vAlign w:val="center"/>
          </w:tcPr>
          <w:p>
            <w:pPr>
              <w:pStyle w:val="42"/>
              <w:spacing w:line="240" w:lineRule="auto"/>
              <w:jc w:val="center"/>
            </w:pPr>
            <w:r>
              <w:t>主要受力节点板有一定的变形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2117" w:type="dxa"/>
            <w:vAlign w:val="center"/>
          </w:tcPr>
          <w:p>
            <w:pPr>
              <w:pStyle w:val="42"/>
              <w:spacing w:line="240" w:lineRule="auto"/>
              <w:jc w:val="center"/>
            </w:pPr>
            <w:r>
              <w:t>螺栓滑移及变形断裂</w:t>
            </w:r>
          </w:p>
        </w:tc>
        <w:tc>
          <w:tcPr>
            <w:tcW w:w="2530" w:type="dxa"/>
            <w:vAlign w:val="center"/>
          </w:tcPr>
          <w:p>
            <w:pPr>
              <w:pStyle w:val="42"/>
              <w:spacing w:line="240" w:lineRule="auto"/>
              <w:jc w:val="center"/>
            </w:pPr>
            <w:r>
              <w:t>无</w:t>
            </w:r>
          </w:p>
        </w:tc>
        <w:tc>
          <w:tcPr>
            <w:tcW w:w="2277" w:type="dxa"/>
            <w:vAlign w:val="center"/>
          </w:tcPr>
          <w:p>
            <w:pPr>
              <w:pStyle w:val="42"/>
              <w:spacing w:line="240" w:lineRule="auto"/>
              <w:jc w:val="center"/>
            </w:pPr>
            <w:r>
              <w:t>个别连接螺栓松动</w:t>
            </w:r>
          </w:p>
        </w:tc>
        <w:tc>
          <w:tcPr>
            <w:tcW w:w="3038" w:type="dxa"/>
            <w:tcBorders>
              <w:right w:val="single" w:color="auto" w:sz="4" w:space="0"/>
            </w:tcBorders>
            <w:vAlign w:val="center"/>
          </w:tcPr>
          <w:p>
            <w:pPr>
              <w:pStyle w:val="42"/>
              <w:spacing w:line="240" w:lineRule="auto"/>
              <w:jc w:val="center"/>
            </w:pPr>
            <w:r>
              <w:t>螺栓松动，有滑移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17" w:type="dxa"/>
            <w:vAlign w:val="center"/>
          </w:tcPr>
          <w:p>
            <w:pPr>
              <w:pStyle w:val="42"/>
              <w:spacing w:line="240" w:lineRule="auto"/>
              <w:jc w:val="center"/>
            </w:pPr>
            <w:r>
              <w:rPr>
                <w:rFonts w:hint="eastAsia"/>
              </w:rPr>
              <w:t>构件变形</w:t>
            </w:r>
          </w:p>
        </w:tc>
        <w:tc>
          <w:tcPr>
            <w:tcW w:w="2530" w:type="dxa"/>
            <w:vAlign w:val="center"/>
          </w:tcPr>
          <w:p>
            <w:pPr>
              <w:pStyle w:val="42"/>
              <w:spacing w:line="240" w:lineRule="auto"/>
              <w:jc w:val="center"/>
            </w:pPr>
            <w:r>
              <w:rPr>
                <w:rFonts w:hint="eastAsia"/>
              </w:rPr>
              <w:t>未见明显变形</w:t>
            </w:r>
          </w:p>
        </w:tc>
        <w:tc>
          <w:tcPr>
            <w:tcW w:w="2277" w:type="dxa"/>
            <w:vAlign w:val="center"/>
          </w:tcPr>
          <w:p>
            <w:pPr>
              <w:pStyle w:val="42"/>
              <w:spacing w:line="240" w:lineRule="auto"/>
              <w:jc w:val="center"/>
            </w:pPr>
            <w:r>
              <w:rPr>
                <w:rFonts w:hint="eastAsia"/>
              </w:rPr>
              <w:t>未见明显变形</w:t>
            </w:r>
          </w:p>
        </w:tc>
        <w:tc>
          <w:tcPr>
            <w:tcW w:w="3038" w:type="dxa"/>
            <w:tcBorders>
              <w:right w:val="single" w:color="auto" w:sz="4" w:space="0"/>
            </w:tcBorders>
            <w:vAlign w:val="center"/>
          </w:tcPr>
          <w:p>
            <w:pPr>
              <w:pStyle w:val="42"/>
              <w:spacing w:line="240" w:lineRule="auto"/>
              <w:jc w:val="center"/>
            </w:pPr>
            <w:r>
              <w:rPr>
                <w:rFonts w:hint="eastAsia"/>
              </w:rPr>
              <w:t>可见明显变形</w:t>
            </w:r>
          </w:p>
        </w:tc>
      </w:tr>
    </w:tbl>
    <w:p>
      <w:pPr>
        <w:rPr>
          <w:rFonts w:cs="Times New Roman"/>
        </w:rPr>
      </w:pPr>
      <w:r>
        <w:rPr>
          <w:rFonts w:cs="Times New Roman"/>
          <w:b/>
        </w:rPr>
        <w:t>6.5.2</w:t>
      </w:r>
      <w:r>
        <w:rPr>
          <w:rFonts w:cs="Times New Roman"/>
        </w:rPr>
        <w:t>火灾后木结构构件的详细鉴定评级应符合下列规定：</w:t>
      </w:r>
    </w:p>
    <w:p>
      <w:pPr>
        <w:ind w:firstLine="420" w:firstLineChars="200"/>
        <w:rPr>
          <w:rFonts w:cs="Times New Roman"/>
        </w:rPr>
      </w:pPr>
      <w:r>
        <w:rPr>
          <w:rFonts w:cs="Times New Roman"/>
        </w:rPr>
        <w:t>1 木结构构件火灾后承载力可根据量测凿除炭化层后的剩余有效截面尺寸</w:t>
      </w:r>
      <w:r>
        <w:rPr>
          <w:rFonts w:hint="eastAsia" w:cs="Times New Roman"/>
        </w:rPr>
        <w:t>计算</w:t>
      </w:r>
      <w:r>
        <w:rPr>
          <w:rFonts w:cs="Times New Roman"/>
        </w:rPr>
        <w:t>，剩余有效截面的材料性能指标可根据受火前的结构材料确定。</w:t>
      </w:r>
    </w:p>
    <w:p>
      <w:pPr>
        <w:ind w:firstLine="420" w:firstLineChars="200"/>
        <w:rPr>
          <w:rFonts w:cs="Times New Roman"/>
        </w:rPr>
      </w:pPr>
      <w:r>
        <w:rPr>
          <w:rFonts w:cs="Times New Roman"/>
        </w:rPr>
        <w:t>2火灾后木结构构件承载能力应按现行国家标准《民用建筑可靠性鉴定标准》（GB50292）进行</w:t>
      </w:r>
      <w:r>
        <w:rPr>
          <w:rFonts w:hint="eastAsia" w:cs="Times New Roman"/>
        </w:rPr>
        <w:t>详细</w:t>
      </w:r>
      <w:r>
        <w:rPr>
          <w:rFonts w:cs="Times New Roman"/>
        </w:rPr>
        <w:t>鉴定评级。</w:t>
      </w:r>
    </w:p>
    <w:p>
      <w:pPr>
        <w:pStyle w:val="3"/>
        <w:rPr>
          <w:rFonts w:cs="Times New Roman"/>
        </w:rPr>
      </w:pPr>
      <w:bookmarkStart w:id="64" w:name="_Toc505085896"/>
      <w:r>
        <w:rPr>
          <w:rFonts w:ascii="Times New Roman" w:hAnsi="Times New Roman" w:cs="Times New Roman"/>
        </w:rPr>
        <w:t xml:space="preserve">6.6 </w:t>
      </w:r>
      <w:r>
        <w:rPr>
          <w:rFonts w:hint="eastAsia" w:ascii="Times New Roman" w:hAnsi="Times New Roman" w:cs="Times New Roman"/>
        </w:rPr>
        <w:t>火灾后钢</w:t>
      </w:r>
      <w:r>
        <w:rPr>
          <w:rFonts w:ascii="Times New Roman" w:hAnsi="Times New Roman" w:cs="Times New Roman"/>
        </w:rPr>
        <w:t>-</w:t>
      </w:r>
      <w:r>
        <w:rPr>
          <w:rFonts w:hint="eastAsia" w:ascii="Times New Roman" w:hAnsi="Times New Roman" w:cs="Times New Roman"/>
        </w:rPr>
        <w:t>混组合结构构件的鉴定评级</w:t>
      </w:r>
      <w:bookmarkEnd w:id="64"/>
    </w:p>
    <w:p>
      <w:r>
        <w:rPr>
          <w:rFonts w:hint="eastAsia"/>
          <w:b/>
        </w:rPr>
        <w:t>6.</w:t>
      </w:r>
      <w:r>
        <w:rPr>
          <w:b/>
        </w:rPr>
        <w:t>6</w:t>
      </w:r>
      <w:r>
        <w:rPr>
          <w:rFonts w:hint="eastAsia"/>
          <w:b/>
        </w:rPr>
        <w:t>.1</w:t>
      </w:r>
      <w:r>
        <w:rPr>
          <w:rFonts w:hint="eastAsia"/>
        </w:rPr>
        <w:t xml:space="preserve"> 火灾后钢-混组合结构构件的初步鉴定评级中，当该构件为型钢混凝土组合结构构件（型钢混凝土框架梁、型钢混凝土框架柱、型钢混凝土框架梁柱节点、型钢混凝土剪力墙）时，按照本标准6.2节火灾后混凝土结构构件进行鉴定评级。</w:t>
      </w:r>
    </w:p>
    <w:p>
      <w:r>
        <w:rPr>
          <w:rFonts w:hint="eastAsia"/>
          <w:b/>
        </w:rPr>
        <w:t>6.</w:t>
      </w:r>
      <w:r>
        <w:rPr>
          <w:b/>
        </w:rPr>
        <w:t>6</w:t>
      </w:r>
      <w:r>
        <w:rPr>
          <w:rFonts w:hint="eastAsia"/>
          <w:b/>
        </w:rPr>
        <w:t>.2</w:t>
      </w:r>
      <w:r>
        <w:t xml:space="preserve"> </w:t>
      </w:r>
      <w:r>
        <w:rPr>
          <w:rFonts w:hint="eastAsia"/>
        </w:rPr>
        <w:t>火灾后钢-混组合结构构件的初步鉴定评级中，当该构件为钢管混凝土柱、钢板组合剪力墙、外包钢-混凝土组合梁、钢管混凝土支撑时，应根据构件涂装与防火保护层、残余变形与撕裂、局部屈曲与扭曲、构件整体变形、连接损伤情况等按表6.</w:t>
      </w:r>
      <w:r>
        <w:t>6</w:t>
      </w:r>
      <w:r>
        <w:rPr>
          <w:rFonts w:hint="eastAsia"/>
        </w:rPr>
        <w:t>.1-1和表6.6.1-2进行评定，并按各项所评定的损伤等级中的最严重级别作为构件损伤等级。当出现以下情况时，应评为IV级。</w:t>
      </w:r>
    </w:p>
    <w:p>
      <w:pPr>
        <w:ind w:firstLine="420" w:firstLineChars="200"/>
      </w:pPr>
      <w:r>
        <w:rPr>
          <w:rFonts w:hint="eastAsia"/>
        </w:rPr>
        <w:t>1当构件火灾后严重烧灼损坏、出现过大的整体变形、严重残余变形、局部屈曲、扭曲或部分焊缝撕裂导致承载力丧失或大部丧失，应采取安全支护、加固、或拆除更换措施时，评为IV级。</w:t>
      </w:r>
    </w:p>
    <w:p>
      <w:pPr>
        <w:ind w:firstLine="420" w:firstLineChars="200"/>
      </w:pPr>
      <w:r>
        <w:rPr>
          <w:rFonts w:hint="eastAsia"/>
        </w:rPr>
        <w:t>2 当火灾后钢-混组合构件严重破坏，难以加固修复，需要拆除或更换时，评为IV级。</w:t>
      </w:r>
    </w:p>
    <w:p>
      <w:pPr>
        <w:ind w:firstLine="420" w:firstLineChars="200"/>
      </w:pPr>
      <w:r>
        <w:t>3</w:t>
      </w:r>
      <w:r>
        <w:rPr>
          <w:rFonts w:hint="eastAsia"/>
        </w:rPr>
        <w:t>当火灾后钢-混组合构件连接大面积损坏、焊缝严重变形或开裂、螺栓烧损或断裂脱落，需要拆除或更换时，评为IV级。</w:t>
      </w:r>
    </w:p>
    <w:p>
      <w:pPr>
        <w:jc w:val="center"/>
      </w:pPr>
      <w:r>
        <w:t>表</w:t>
      </w:r>
      <w:r>
        <w:rPr>
          <w:rFonts w:hint="eastAsia"/>
        </w:rPr>
        <w:t>6</w:t>
      </w:r>
      <w:r>
        <w:t>.6.</w:t>
      </w:r>
      <w:r>
        <w:rPr>
          <w:rFonts w:hint="eastAsia"/>
        </w:rPr>
        <w:t>1</w:t>
      </w:r>
      <w:r>
        <w:t xml:space="preserve">-1 </w:t>
      </w:r>
      <w:r>
        <w:rPr>
          <w:rFonts w:hint="eastAsia"/>
        </w:rPr>
        <w:t>火灾后钢-混组合构件基于防火保护受损、残余变形与开裂、局部屈曲或扭曲、连接损伤情况的初步鉴定评级标准</w:t>
      </w:r>
    </w:p>
    <w:tbl>
      <w:tblPr>
        <w:tblStyle w:val="24"/>
        <w:tblW w:w="99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
      <w:tblGrid>
        <w:gridCol w:w="387"/>
        <w:gridCol w:w="692"/>
        <w:gridCol w:w="1418"/>
        <w:gridCol w:w="1751"/>
        <w:gridCol w:w="2654"/>
        <w:gridCol w:w="3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trHeight w:val="397" w:hRule="atLeast"/>
          <w:jc w:val="center"/>
        </w:trPr>
        <w:tc>
          <w:tcPr>
            <w:tcW w:w="2497" w:type="dxa"/>
            <w:gridSpan w:val="3"/>
            <w:vMerge w:val="restart"/>
            <w:vAlign w:val="center"/>
          </w:tcPr>
          <w:p>
            <w:pPr>
              <w:pStyle w:val="42"/>
              <w:spacing w:line="240" w:lineRule="auto"/>
              <w:jc w:val="center"/>
            </w:pPr>
            <w:r>
              <w:t>等级评定要素</w:t>
            </w:r>
          </w:p>
        </w:tc>
        <w:tc>
          <w:tcPr>
            <w:tcW w:w="7419" w:type="dxa"/>
            <w:gridSpan w:val="3"/>
            <w:tcBorders>
              <w:bottom w:val="single" w:color="auto" w:sz="4" w:space="0"/>
            </w:tcBorders>
            <w:vAlign w:val="center"/>
          </w:tcPr>
          <w:p>
            <w:pPr>
              <w:pStyle w:val="42"/>
              <w:spacing w:line="240" w:lineRule="auto"/>
              <w:jc w:val="center"/>
            </w:pPr>
            <w:r>
              <w:t>各级损伤等级状态特征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trHeight w:val="397" w:hRule="atLeast"/>
          <w:jc w:val="center"/>
        </w:trPr>
        <w:tc>
          <w:tcPr>
            <w:tcW w:w="2497" w:type="dxa"/>
            <w:gridSpan w:val="3"/>
            <w:vMerge w:val="continue"/>
            <w:vAlign w:val="center"/>
          </w:tcPr>
          <w:p>
            <w:pPr>
              <w:pStyle w:val="42"/>
              <w:spacing w:line="240" w:lineRule="auto"/>
              <w:jc w:val="center"/>
            </w:pPr>
          </w:p>
        </w:tc>
        <w:tc>
          <w:tcPr>
            <w:tcW w:w="1751" w:type="dxa"/>
            <w:vAlign w:val="center"/>
          </w:tcPr>
          <w:p>
            <w:pPr>
              <w:pStyle w:val="42"/>
              <w:spacing w:line="240" w:lineRule="auto"/>
              <w:jc w:val="center"/>
            </w:pPr>
            <w:r>
              <w:t>Ⅱ</w:t>
            </w:r>
            <w:r>
              <w:rPr>
                <w:vertAlign w:val="subscript"/>
              </w:rPr>
              <w:t>a</w:t>
            </w:r>
          </w:p>
        </w:tc>
        <w:tc>
          <w:tcPr>
            <w:tcW w:w="2654" w:type="dxa"/>
            <w:vAlign w:val="center"/>
          </w:tcPr>
          <w:p>
            <w:pPr>
              <w:pStyle w:val="42"/>
              <w:spacing w:line="240" w:lineRule="auto"/>
              <w:jc w:val="center"/>
            </w:pPr>
            <w:r>
              <w:t>II</w:t>
            </w:r>
            <w:r>
              <w:rPr>
                <w:vertAlign w:val="subscript"/>
              </w:rPr>
              <w:t>b</w:t>
            </w:r>
          </w:p>
        </w:tc>
        <w:tc>
          <w:tcPr>
            <w:tcW w:w="3014" w:type="dxa"/>
            <w:vAlign w:val="center"/>
          </w:tcPr>
          <w:p>
            <w:pPr>
              <w:pStyle w:val="42"/>
              <w:spacing w:line="240" w:lineRule="auto"/>
              <w:jc w:val="center"/>
            </w:pPr>
            <w: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trHeight w:val="397" w:hRule="atLeast"/>
          <w:jc w:val="center"/>
        </w:trPr>
        <w:tc>
          <w:tcPr>
            <w:tcW w:w="387" w:type="dxa"/>
            <w:vAlign w:val="center"/>
          </w:tcPr>
          <w:p>
            <w:pPr>
              <w:pStyle w:val="42"/>
              <w:spacing w:line="240" w:lineRule="auto"/>
              <w:jc w:val="center"/>
            </w:pPr>
            <w:r>
              <w:t>1</w:t>
            </w:r>
          </w:p>
        </w:tc>
        <w:tc>
          <w:tcPr>
            <w:tcW w:w="2110" w:type="dxa"/>
            <w:gridSpan w:val="2"/>
            <w:vAlign w:val="center"/>
          </w:tcPr>
          <w:p>
            <w:pPr>
              <w:pStyle w:val="42"/>
              <w:spacing w:line="240" w:lineRule="auto"/>
              <w:jc w:val="center"/>
            </w:pPr>
            <w:r>
              <w:t>涂装与防火保护层</w:t>
            </w:r>
          </w:p>
        </w:tc>
        <w:tc>
          <w:tcPr>
            <w:tcW w:w="1751" w:type="dxa"/>
            <w:vAlign w:val="center"/>
          </w:tcPr>
          <w:p>
            <w:pPr>
              <w:pStyle w:val="42"/>
              <w:spacing w:line="240" w:lineRule="auto"/>
              <w:jc w:val="center"/>
            </w:pPr>
            <w:r>
              <w:t>基本完好无损；防火保护层有细微裂纹且无脱落</w:t>
            </w:r>
          </w:p>
        </w:tc>
        <w:tc>
          <w:tcPr>
            <w:tcW w:w="2654" w:type="dxa"/>
            <w:vAlign w:val="center"/>
          </w:tcPr>
          <w:p>
            <w:pPr>
              <w:pStyle w:val="42"/>
              <w:spacing w:line="240" w:lineRule="auto"/>
              <w:jc w:val="center"/>
            </w:pPr>
            <w:r>
              <w:t>防腐涂装完好；防火涂装或防火保护层开裂但无脱落</w:t>
            </w:r>
          </w:p>
        </w:tc>
        <w:tc>
          <w:tcPr>
            <w:tcW w:w="3014" w:type="dxa"/>
            <w:vAlign w:val="center"/>
          </w:tcPr>
          <w:p>
            <w:pPr>
              <w:pStyle w:val="42"/>
              <w:spacing w:line="240" w:lineRule="auto"/>
              <w:jc w:val="center"/>
            </w:pPr>
            <w:r>
              <w:t>防腐涂装碳化；防火涂装或防火保护层局部范围脱落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trHeight w:val="397" w:hRule="atLeast"/>
          <w:jc w:val="center"/>
        </w:trPr>
        <w:tc>
          <w:tcPr>
            <w:tcW w:w="387" w:type="dxa"/>
            <w:vAlign w:val="center"/>
          </w:tcPr>
          <w:p>
            <w:pPr>
              <w:pStyle w:val="42"/>
              <w:spacing w:line="240" w:lineRule="auto"/>
              <w:jc w:val="center"/>
            </w:pPr>
            <w:r>
              <w:t>2</w:t>
            </w:r>
          </w:p>
        </w:tc>
        <w:tc>
          <w:tcPr>
            <w:tcW w:w="2110" w:type="dxa"/>
            <w:gridSpan w:val="2"/>
            <w:vAlign w:val="center"/>
          </w:tcPr>
          <w:p>
            <w:pPr>
              <w:pStyle w:val="42"/>
              <w:spacing w:line="240" w:lineRule="auto"/>
              <w:jc w:val="center"/>
            </w:pPr>
            <w:r>
              <w:rPr>
                <w:rFonts w:hint="eastAsia"/>
              </w:rPr>
              <w:t>残余变形与开裂</w:t>
            </w:r>
          </w:p>
        </w:tc>
        <w:tc>
          <w:tcPr>
            <w:tcW w:w="1751" w:type="dxa"/>
            <w:vAlign w:val="center"/>
          </w:tcPr>
          <w:p>
            <w:pPr>
              <w:pStyle w:val="42"/>
              <w:spacing w:line="240" w:lineRule="auto"/>
              <w:jc w:val="center"/>
            </w:pPr>
            <w:r>
              <w:t>无</w:t>
            </w:r>
          </w:p>
        </w:tc>
        <w:tc>
          <w:tcPr>
            <w:tcW w:w="2654" w:type="dxa"/>
            <w:vAlign w:val="center"/>
          </w:tcPr>
          <w:p>
            <w:pPr>
              <w:pStyle w:val="42"/>
              <w:spacing w:line="240" w:lineRule="auto"/>
              <w:jc w:val="center"/>
            </w:pPr>
            <w:r>
              <w:rPr>
                <w:rFonts w:hint="eastAsia"/>
              </w:rPr>
              <w:t>无</w:t>
            </w:r>
          </w:p>
        </w:tc>
        <w:tc>
          <w:tcPr>
            <w:tcW w:w="3014" w:type="dxa"/>
            <w:vAlign w:val="center"/>
          </w:tcPr>
          <w:p>
            <w:pPr>
              <w:pStyle w:val="42"/>
              <w:spacing w:line="240" w:lineRule="auto"/>
              <w:jc w:val="center"/>
            </w:pPr>
            <w:r>
              <w:rPr>
                <w:rFonts w:hint="eastAsia"/>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trHeight w:val="397" w:hRule="atLeast"/>
          <w:jc w:val="center"/>
        </w:trPr>
        <w:tc>
          <w:tcPr>
            <w:tcW w:w="387" w:type="dxa"/>
            <w:vAlign w:val="center"/>
          </w:tcPr>
          <w:p>
            <w:pPr>
              <w:pStyle w:val="42"/>
              <w:spacing w:line="240" w:lineRule="auto"/>
              <w:jc w:val="center"/>
            </w:pPr>
            <w:r>
              <w:t>3</w:t>
            </w:r>
          </w:p>
        </w:tc>
        <w:tc>
          <w:tcPr>
            <w:tcW w:w="2110" w:type="dxa"/>
            <w:gridSpan w:val="2"/>
            <w:vAlign w:val="center"/>
          </w:tcPr>
          <w:p>
            <w:pPr>
              <w:pStyle w:val="42"/>
              <w:spacing w:line="240" w:lineRule="auto"/>
              <w:jc w:val="center"/>
            </w:pPr>
            <w:r>
              <w:rPr>
                <w:rFonts w:hint="eastAsia"/>
              </w:rPr>
              <w:t>局部屈曲与扭曲</w:t>
            </w:r>
          </w:p>
        </w:tc>
        <w:tc>
          <w:tcPr>
            <w:tcW w:w="1751" w:type="dxa"/>
            <w:vAlign w:val="center"/>
          </w:tcPr>
          <w:p>
            <w:pPr>
              <w:pStyle w:val="42"/>
              <w:spacing w:line="240" w:lineRule="auto"/>
              <w:jc w:val="center"/>
            </w:pPr>
            <w:r>
              <w:t>无</w:t>
            </w:r>
          </w:p>
        </w:tc>
        <w:tc>
          <w:tcPr>
            <w:tcW w:w="2654" w:type="dxa"/>
            <w:vAlign w:val="center"/>
          </w:tcPr>
          <w:p>
            <w:pPr>
              <w:pStyle w:val="42"/>
              <w:spacing w:line="240" w:lineRule="auto"/>
              <w:jc w:val="center"/>
            </w:pPr>
            <w:r>
              <w:rPr>
                <w:rFonts w:hint="eastAsia"/>
              </w:rPr>
              <w:t>有局部残余变形、</w:t>
            </w:r>
            <w:r>
              <w:t>轻度局部屈曲或扭曲，对承载力无明显影响</w:t>
            </w:r>
          </w:p>
        </w:tc>
        <w:tc>
          <w:tcPr>
            <w:tcW w:w="3014" w:type="dxa"/>
            <w:vAlign w:val="center"/>
          </w:tcPr>
          <w:p>
            <w:pPr>
              <w:pStyle w:val="42"/>
              <w:spacing w:line="240" w:lineRule="auto"/>
              <w:jc w:val="center"/>
            </w:pPr>
            <w:r>
              <w:t>主要受力截面有局部屈曲或扭曲，对承载力无明显影响；非主要受力截面有明显局部屈曲或扭曲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trHeight w:val="397" w:hRule="atLeast"/>
          <w:jc w:val="center"/>
        </w:trPr>
        <w:tc>
          <w:tcPr>
            <w:tcW w:w="387" w:type="dxa"/>
            <w:vMerge w:val="restart"/>
            <w:vAlign w:val="center"/>
          </w:tcPr>
          <w:p>
            <w:pPr>
              <w:pStyle w:val="42"/>
              <w:spacing w:line="240" w:lineRule="auto"/>
              <w:jc w:val="center"/>
            </w:pPr>
            <w:r>
              <w:t>4</w:t>
            </w:r>
          </w:p>
        </w:tc>
        <w:tc>
          <w:tcPr>
            <w:tcW w:w="692" w:type="dxa"/>
            <w:vMerge w:val="restart"/>
            <w:vAlign w:val="center"/>
          </w:tcPr>
          <w:p>
            <w:pPr>
              <w:pStyle w:val="42"/>
              <w:spacing w:line="240" w:lineRule="auto"/>
              <w:jc w:val="center"/>
            </w:pPr>
            <w:r>
              <w:rPr>
                <w:rFonts w:hint="eastAsia"/>
              </w:rPr>
              <w:t>连接损伤情况</w:t>
            </w:r>
          </w:p>
        </w:tc>
        <w:tc>
          <w:tcPr>
            <w:tcW w:w="1418" w:type="dxa"/>
            <w:vAlign w:val="center"/>
          </w:tcPr>
          <w:p>
            <w:pPr>
              <w:pStyle w:val="42"/>
              <w:spacing w:line="240" w:lineRule="auto"/>
              <w:jc w:val="center"/>
            </w:pPr>
            <w:r>
              <w:t>连接板残余变形与撕裂</w:t>
            </w:r>
          </w:p>
        </w:tc>
        <w:tc>
          <w:tcPr>
            <w:tcW w:w="1751" w:type="dxa"/>
            <w:vAlign w:val="center"/>
          </w:tcPr>
          <w:p>
            <w:pPr>
              <w:pStyle w:val="42"/>
              <w:spacing w:line="240" w:lineRule="auto"/>
              <w:jc w:val="center"/>
            </w:pPr>
            <w:r>
              <w:t>无</w:t>
            </w:r>
          </w:p>
        </w:tc>
        <w:tc>
          <w:tcPr>
            <w:tcW w:w="2654" w:type="dxa"/>
            <w:vAlign w:val="center"/>
          </w:tcPr>
          <w:p>
            <w:pPr>
              <w:pStyle w:val="42"/>
              <w:spacing w:line="240" w:lineRule="auto"/>
              <w:jc w:val="center"/>
            </w:pPr>
            <w:r>
              <w:t>轻度残余变形，对承载力无明显影响</w:t>
            </w:r>
          </w:p>
        </w:tc>
        <w:tc>
          <w:tcPr>
            <w:tcW w:w="3014" w:type="dxa"/>
            <w:vAlign w:val="center"/>
          </w:tcPr>
          <w:p>
            <w:pPr>
              <w:pStyle w:val="42"/>
              <w:spacing w:line="240" w:lineRule="auto"/>
              <w:jc w:val="center"/>
            </w:pPr>
            <w:r>
              <w:t>主要受力节点板有一定的变形，或节点加劲肋有较明显的变形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trHeight w:val="397" w:hRule="atLeast"/>
          <w:jc w:val="center"/>
        </w:trPr>
        <w:tc>
          <w:tcPr>
            <w:tcW w:w="387" w:type="dxa"/>
            <w:vMerge w:val="continue"/>
            <w:vAlign w:val="center"/>
          </w:tcPr>
          <w:p>
            <w:pPr>
              <w:pStyle w:val="42"/>
              <w:spacing w:line="240" w:lineRule="auto"/>
              <w:jc w:val="center"/>
            </w:pPr>
          </w:p>
        </w:tc>
        <w:tc>
          <w:tcPr>
            <w:tcW w:w="692" w:type="dxa"/>
            <w:vMerge w:val="continue"/>
            <w:vAlign w:val="center"/>
          </w:tcPr>
          <w:p>
            <w:pPr>
              <w:pStyle w:val="42"/>
              <w:spacing w:line="240" w:lineRule="auto"/>
              <w:jc w:val="center"/>
            </w:pPr>
          </w:p>
        </w:tc>
        <w:tc>
          <w:tcPr>
            <w:tcW w:w="1418" w:type="dxa"/>
            <w:vAlign w:val="center"/>
          </w:tcPr>
          <w:p>
            <w:pPr>
              <w:pStyle w:val="42"/>
              <w:spacing w:line="240" w:lineRule="auto"/>
              <w:jc w:val="center"/>
            </w:pPr>
            <w:r>
              <w:t>焊缝撕裂与螺栓滑移及变形断裂</w:t>
            </w:r>
          </w:p>
        </w:tc>
        <w:tc>
          <w:tcPr>
            <w:tcW w:w="1751" w:type="dxa"/>
            <w:vAlign w:val="center"/>
          </w:tcPr>
          <w:p>
            <w:pPr>
              <w:pStyle w:val="42"/>
              <w:spacing w:line="240" w:lineRule="auto"/>
              <w:jc w:val="center"/>
            </w:pPr>
            <w:r>
              <w:t>无</w:t>
            </w:r>
          </w:p>
        </w:tc>
        <w:tc>
          <w:tcPr>
            <w:tcW w:w="2654" w:type="dxa"/>
            <w:vAlign w:val="center"/>
          </w:tcPr>
          <w:p>
            <w:pPr>
              <w:pStyle w:val="42"/>
              <w:spacing w:line="240" w:lineRule="auto"/>
              <w:jc w:val="center"/>
            </w:pPr>
            <w:r>
              <w:t>个别连接螺栓松动</w:t>
            </w:r>
          </w:p>
        </w:tc>
        <w:tc>
          <w:tcPr>
            <w:tcW w:w="3014" w:type="dxa"/>
            <w:vAlign w:val="center"/>
          </w:tcPr>
          <w:p>
            <w:pPr>
              <w:pStyle w:val="42"/>
              <w:spacing w:line="240" w:lineRule="auto"/>
              <w:jc w:val="center"/>
            </w:pPr>
            <w:r>
              <w:t>螺栓松动，有滑移；受拉区连接板之间脱开，个别焊缝撕裂</w:t>
            </w:r>
          </w:p>
        </w:tc>
      </w:tr>
    </w:tbl>
    <w:p>
      <w:pPr>
        <w:pStyle w:val="42"/>
        <w:ind w:firstLine="210"/>
      </w:pPr>
      <w:r>
        <w:t>注：有防火保护的钢构件按1、2、3</w:t>
      </w:r>
      <w:r>
        <w:rPr>
          <w:rFonts w:hint="eastAsia"/>
        </w:rPr>
        <w:t>、4</w:t>
      </w:r>
      <w:r>
        <w:t>项进行评定，无防火保护的钢构件按2、3</w:t>
      </w:r>
      <w:r>
        <w:rPr>
          <w:rFonts w:hint="eastAsia"/>
        </w:rPr>
        <w:t>、4</w:t>
      </w:r>
      <w:r>
        <w:t>项进行评定。</w:t>
      </w:r>
    </w:p>
    <w:p>
      <w:pPr>
        <w:jc w:val="center"/>
      </w:pPr>
      <w:r>
        <w:t>表</w:t>
      </w:r>
      <w:r>
        <w:rPr>
          <w:rFonts w:hint="eastAsia"/>
        </w:rPr>
        <w:t>6</w:t>
      </w:r>
      <w:r>
        <w:t>.6.</w:t>
      </w:r>
      <w:r>
        <w:rPr>
          <w:rFonts w:hint="eastAsia"/>
        </w:rPr>
        <w:t>1</w:t>
      </w:r>
      <w:r>
        <w:t xml:space="preserve">-2 </w:t>
      </w:r>
      <w:r>
        <w:rPr>
          <w:rFonts w:hint="eastAsia"/>
        </w:rPr>
        <w:t>火灾后钢-混组合构件基于整体变形的初步鉴定评级标准</w:t>
      </w:r>
    </w:p>
    <w:tbl>
      <w:tblPr>
        <w:tblStyle w:val="25"/>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992"/>
        <w:gridCol w:w="1276"/>
        <w:gridCol w:w="3677"/>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trPr>
        <w:tc>
          <w:tcPr>
            <w:tcW w:w="1526" w:type="dxa"/>
            <w:vMerge w:val="restart"/>
            <w:vAlign w:val="center"/>
          </w:tcPr>
          <w:p>
            <w:pPr>
              <w:pStyle w:val="41"/>
              <w:rPr>
                <w:rFonts w:ascii="宋体" w:hAnsi="宋体"/>
                <w:b w:val="0"/>
                <w:kern w:val="0"/>
                <w:sz w:val="21"/>
                <w:szCs w:val="21"/>
              </w:rPr>
            </w:pPr>
            <w:r>
              <w:rPr>
                <w:rFonts w:ascii="宋体" w:hAnsi="宋体"/>
                <w:b w:val="0"/>
                <w:kern w:val="0"/>
                <w:sz w:val="21"/>
                <w:szCs w:val="21"/>
              </w:rPr>
              <w:t>等级评定要素</w:t>
            </w:r>
          </w:p>
        </w:tc>
        <w:tc>
          <w:tcPr>
            <w:tcW w:w="2268" w:type="dxa"/>
            <w:gridSpan w:val="2"/>
            <w:vMerge w:val="restart"/>
            <w:vAlign w:val="center"/>
          </w:tcPr>
          <w:p>
            <w:pPr>
              <w:pStyle w:val="41"/>
              <w:rPr>
                <w:rFonts w:ascii="宋体" w:hAnsi="宋体"/>
                <w:b w:val="0"/>
                <w:kern w:val="0"/>
                <w:sz w:val="21"/>
                <w:szCs w:val="21"/>
              </w:rPr>
            </w:pPr>
            <w:r>
              <w:rPr>
                <w:rFonts w:ascii="宋体" w:hAnsi="宋体"/>
                <w:b w:val="0"/>
                <w:kern w:val="0"/>
                <w:sz w:val="21"/>
                <w:szCs w:val="21"/>
              </w:rPr>
              <w:t>构件类别</w:t>
            </w:r>
          </w:p>
        </w:tc>
        <w:tc>
          <w:tcPr>
            <w:tcW w:w="6168" w:type="dxa"/>
            <w:gridSpan w:val="2"/>
            <w:vAlign w:val="center"/>
          </w:tcPr>
          <w:p>
            <w:pPr>
              <w:pStyle w:val="41"/>
              <w:rPr>
                <w:rFonts w:ascii="宋体" w:hAnsi="宋体"/>
                <w:b w:val="0"/>
                <w:kern w:val="0"/>
                <w:sz w:val="21"/>
                <w:szCs w:val="21"/>
              </w:rPr>
            </w:pPr>
            <w:r>
              <w:rPr>
                <w:rFonts w:ascii="宋体" w:hAnsi="宋体"/>
                <w:b w:val="0"/>
                <w:kern w:val="0"/>
                <w:sz w:val="21"/>
                <w:szCs w:val="21"/>
              </w:rPr>
              <w:t>各级变形损伤等级状态特征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trPr>
        <w:tc>
          <w:tcPr>
            <w:tcW w:w="1526" w:type="dxa"/>
            <w:vMerge w:val="continue"/>
            <w:vAlign w:val="center"/>
          </w:tcPr>
          <w:p>
            <w:pPr>
              <w:pStyle w:val="41"/>
              <w:rPr>
                <w:rFonts w:ascii="宋体" w:hAnsi="宋体"/>
                <w:b w:val="0"/>
                <w:kern w:val="0"/>
                <w:sz w:val="21"/>
                <w:szCs w:val="21"/>
              </w:rPr>
            </w:pPr>
          </w:p>
        </w:tc>
        <w:tc>
          <w:tcPr>
            <w:tcW w:w="2268" w:type="dxa"/>
            <w:gridSpan w:val="2"/>
            <w:vMerge w:val="continue"/>
            <w:vAlign w:val="center"/>
          </w:tcPr>
          <w:p>
            <w:pPr>
              <w:pStyle w:val="41"/>
              <w:rPr>
                <w:rFonts w:ascii="宋体" w:hAnsi="宋体"/>
                <w:b w:val="0"/>
                <w:kern w:val="0"/>
                <w:sz w:val="21"/>
                <w:szCs w:val="21"/>
              </w:rPr>
            </w:pPr>
          </w:p>
        </w:tc>
        <w:tc>
          <w:tcPr>
            <w:tcW w:w="3677" w:type="dxa"/>
            <w:vAlign w:val="center"/>
          </w:tcPr>
          <w:p>
            <w:pPr>
              <w:pStyle w:val="41"/>
              <w:rPr>
                <w:rFonts w:ascii="宋体" w:hAnsi="宋体"/>
                <w:b w:val="0"/>
                <w:kern w:val="0"/>
                <w:sz w:val="21"/>
                <w:szCs w:val="21"/>
              </w:rPr>
            </w:pPr>
            <w:r>
              <w:rPr>
                <w:rFonts w:ascii="宋体" w:hAnsi="宋体"/>
                <w:b w:val="0"/>
                <w:kern w:val="0"/>
                <w:sz w:val="21"/>
                <w:szCs w:val="21"/>
              </w:rPr>
              <w:t>Ⅱ</w:t>
            </w:r>
            <w:r>
              <w:rPr>
                <w:rFonts w:ascii="宋体" w:hAnsi="宋体"/>
                <w:b w:val="0"/>
                <w:kern w:val="0"/>
                <w:sz w:val="21"/>
                <w:szCs w:val="21"/>
                <w:vertAlign w:val="subscript"/>
              </w:rPr>
              <w:t>a</w:t>
            </w:r>
            <w:r>
              <w:rPr>
                <w:rFonts w:ascii="宋体" w:hAnsi="宋体"/>
                <w:b w:val="0"/>
                <w:kern w:val="0"/>
                <w:sz w:val="21"/>
                <w:szCs w:val="21"/>
              </w:rPr>
              <w:t>级或Ⅱ</w:t>
            </w:r>
            <w:r>
              <w:rPr>
                <w:rFonts w:ascii="宋体" w:hAnsi="宋体"/>
                <w:b w:val="0"/>
                <w:kern w:val="0"/>
                <w:sz w:val="21"/>
                <w:szCs w:val="21"/>
                <w:vertAlign w:val="subscript"/>
              </w:rPr>
              <w:t>b</w:t>
            </w:r>
            <w:r>
              <w:rPr>
                <w:rFonts w:ascii="宋体" w:hAnsi="宋体"/>
                <w:b w:val="0"/>
                <w:kern w:val="0"/>
                <w:sz w:val="21"/>
                <w:szCs w:val="21"/>
              </w:rPr>
              <w:t>级</w:t>
            </w:r>
          </w:p>
        </w:tc>
        <w:tc>
          <w:tcPr>
            <w:tcW w:w="2491" w:type="dxa"/>
            <w:vAlign w:val="center"/>
          </w:tcPr>
          <w:p>
            <w:pPr>
              <w:pStyle w:val="41"/>
              <w:rPr>
                <w:rFonts w:ascii="宋体" w:hAnsi="宋体"/>
                <w:b w:val="0"/>
                <w:kern w:val="0"/>
                <w:sz w:val="21"/>
                <w:szCs w:val="21"/>
              </w:rPr>
            </w:pPr>
            <w:r>
              <w:rPr>
                <w:rFonts w:ascii="宋体" w:hAnsi="宋体"/>
                <w:b w:val="0"/>
                <w:kern w:val="0"/>
                <w:sz w:val="21"/>
                <w:szCs w:val="21"/>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trPr>
        <w:tc>
          <w:tcPr>
            <w:tcW w:w="1526" w:type="dxa"/>
            <w:vMerge w:val="restart"/>
            <w:vAlign w:val="center"/>
          </w:tcPr>
          <w:p>
            <w:pPr>
              <w:pStyle w:val="41"/>
              <w:rPr>
                <w:rFonts w:ascii="宋体" w:hAnsi="宋体"/>
                <w:b w:val="0"/>
                <w:kern w:val="0"/>
                <w:sz w:val="21"/>
                <w:szCs w:val="21"/>
              </w:rPr>
            </w:pPr>
            <w:r>
              <w:rPr>
                <w:rFonts w:ascii="宋体" w:hAnsi="宋体"/>
                <w:b w:val="0"/>
                <w:kern w:val="0"/>
                <w:sz w:val="21"/>
                <w:szCs w:val="21"/>
              </w:rPr>
              <w:t>挠度</w:t>
            </w:r>
          </w:p>
        </w:tc>
        <w:tc>
          <w:tcPr>
            <w:tcW w:w="2268" w:type="dxa"/>
            <w:gridSpan w:val="2"/>
            <w:vAlign w:val="center"/>
          </w:tcPr>
          <w:p>
            <w:pPr>
              <w:pStyle w:val="41"/>
              <w:rPr>
                <w:rFonts w:ascii="宋体" w:hAnsi="宋体"/>
                <w:b w:val="0"/>
                <w:kern w:val="0"/>
                <w:sz w:val="21"/>
                <w:szCs w:val="21"/>
              </w:rPr>
            </w:pPr>
            <w:r>
              <w:rPr>
                <w:rFonts w:ascii="宋体" w:hAnsi="宋体"/>
                <w:b w:val="0"/>
                <w:kern w:val="0"/>
                <w:sz w:val="21"/>
                <w:szCs w:val="21"/>
              </w:rPr>
              <w:t>主梁</w:t>
            </w:r>
          </w:p>
        </w:tc>
        <w:tc>
          <w:tcPr>
            <w:tcW w:w="3677" w:type="dxa"/>
            <w:vAlign w:val="center"/>
          </w:tcPr>
          <w:p>
            <w:pPr>
              <w:pStyle w:val="41"/>
              <w:rPr>
                <w:rFonts w:ascii="宋体" w:hAnsi="宋体"/>
                <w:b w:val="0"/>
                <w:kern w:val="0"/>
                <w:sz w:val="21"/>
                <w:szCs w:val="21"/>
              </w:rPr>
            </w:pPr>
            <w:r>
              <w:rPr>
                <w:rFonts w:ascii="宋体" w:hAnsi="宋体"/>
                <w:b w:val="0"/>
                <w:kern w:val="0"/>
                <w:sz w:val="21"/>
                <w:szCs w:val="21"/>
              </w:rPr>
              <w:t>&gt;l</w:t>
            </w:r>
            <w:r>
              <w:rPr>
                <w:rFonts w:ascii="宋体" w:hAnsi="宋体"/>
                <w:b w:val="0"/>
                <w:kern w:val="0"/>
                <w:sz w:val="21"/>
                <w:szCs w:val="21"/>
                <w:vertAlign w:val="subscript"/>
              </w:rPr>
              <w:t>0</w:t>
            </w:r>
            <w:r>
              <w:rPr>
                <w:rFonts w:ascii="宋体" w:hAnsi="宋体"/>
                <w:b w:val="0"/>
                <w:kern w:val="0"/>
                <w:sz w:val="21"/>
                <w:szCs w:val="21"/>
              </w:rPr>
              <w:t>/500</w:t>
            </w:r>
          </w:p>
        </w:tc>
        <w:tc>
          <w:tcPr>
            <w:tcW w:w="2491" w:type="dxa"/>
            <w:vAlign w:val="center"/>
          </w:tcPr>
          <w:p>
            <w:pPr>
              <w:pStyle w:val="41"/>
              <w:rPr>
                <w:rFonts w:ascii="宋体" w:hAnsi="宋体"/>
                <w:b w:val="0"/>
                <w:kern w:val="0"/>
                <w:sz w:val="21"/>
                <w:szCs w:val="21"/>
              </w:rPr>
            </w:pPr>
            <w:r>
              <w:rPr>
                <w:rFonts w:ascii="宋体" w:hAnsi="宋体"/>
                <w:b w:val="0"/>
                <w:kern w:val="0"/>
                <w:sz w:val="21"/>
                <w:szCs w:val="21"/>
              </w:rPr>
              <w:t>&gt;l</w:t>
            </w:r>
            <w:r>
              <w:rPr>
                <w:rFonts w:ascii="宋体" w:hAnsi="宋体"/>
                <w:b w:val="0"/>
                <w:kern w:val="0"/>
                <w:sz w:val="21"/>
                <w:szCs w:val="21"/>
                <w:vertAlign w:val="subscript"/>
              </w:rPr>
              <w:t>0</w:t>
            </w:r>
            <w:r>
              <w:rPr>
                <w:rFonts w:ascii="宋体" w:hAnsi="宋体"/>
                <w:b w:val="0"/>
                <w:kern w:val="0"/>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trPr>
        <w:tc>
          <w:tcPr>
            <w:tcW w:w="1526" w:type="dxa"/>
            <w:vMerge w:val="continue"/>
            <w:vAlign w:val="center"/>
          </w:tcPr>
          <w:p>
            <w:pPr>
              <w:pStyle w:val="41"/>
              <w:rPr>
                <w:rFonts w:ascii="宋体" w:hAnsi="宋体"/>
                <w:b w:val="0"/>
                <w:kern w:val="0"/>
                <w:sz w:val="21"/>
                <w:szCs w:val="21"/>
              </w:rPr>
            </w:pPr>
          </w:p>
        </w:tc>
        <w:tc>
          <w:tcPr>
            <w:tcW w:w="2268" w:type="dxa"/>
            <w:gridSpan w:val="2"/>
            <w:vAlign w:val="center"/>
          </w:tcPr>
          <w:p>
            <w:pPr>
              <w:pStyle w:val="41"/>
              <w:rPr>
                <w:rFonts w:ascii="宋体" w:hAnsi="宋体"/>
                <w:b w:val="0"/>
                <w:kern w:val="0"/>
                <w:sz w:val="21"/>
                <w:szCs w:val="21"/>
              </w:rPr>
            </w:pPr>
            <w:r>
              <w:rPr>
                <w:rFonts w:ascii="宋体" w:hAnsi="宋体"/>
                <w:b w:val="0"/>
                <w:kern w:val="0"/>
                <w:sz w:val="21"/>
                <w:szCs w:val="21"/>
              </w:rPr>
              <w:t>次梁</w:t>
            </w:r>
          </w:p>
        </w:tc>
        <w:tc>
          <w:tcPr>
            <w:tcW w:w="3677" w:type="dxa"/>
            <w:vAlign w:val="center"/>
          </w:tcPr>
          <w:p>
            <w:pPr>
              <w:pStyle w:val="41"/>
              <w:rPr>
                <w:rFonts w:ascii="宋体" w:hAnsi="宋体"/>
                <w:b w:val="0"/>
                <w:kern w:val="0"/>
                <w:sz w:val="21"/>
                <w:szCs w:val="21"/>
              </w:rPr>
            </w:pPr>
            <w:r>
              <w:rPr>
                <w:rFonts w:ascii="宋体" w:hAnsi="宋体"/>
                <w:b w:val="0"/>
                <w:kern w:val="0"/>
                <w:sz w:val="21"/>
                <w:szCs w:val="21"/>
              </w:rPr>
              <w:t>&gt;1</w:t>
            </w:r>
            <w:r>
              <w:rPr>
                <w:rFonts w:ascii="宋体" w:hAnsi="宋体"/>
                <w:b w:val="0"/>
                <w:kern w:val="0"/>
                <w:sz w:val="21"/>
                <w:szCs w:val="21"/>
                <w:vertAlign w:val="subscript"/>
              </w:rPr>
              <w:t>0</w:t>
            </w:r>
            <w:r>
              <w:rPr>
                <w:rFonts w:ascii="宋体" w:hAnsi="宋体"/>
                <w:b w:val="0"/>
                <w:kern w:val="0"/>
                <w:sz w:val="21"/>
                <w:szCs w:val="21"/>
              </w:rPr>
              <w:t>/300</w:t>
            </w:r>
          </w:p>
        </w:tc>
        <w:tc>
          <w:tcPr>
            <w:tcW w:w="2491" w:type="dxa"/>
            <w:vAlign w:val="center"/>
          </w:tcPr>
          <w:p>
            <w:pPr>
              <w:pStyle w:val="41"/>
              <w:rPr>
                <w:rFonts w:ascii="宋体" w:hAnsi="宋体"/>
                <w:b w:val="0"/>
                <w:kern w:val="0"/>
                <w:sz w:val="21"/>
                <w:szCs w:val="21"/>
              </w:rPr>
            </w:pPr>
            <w:r>
              <w:rPr>
                <w:rFonts w:ascii="宋体" w:hAnsi="宋体"/>
                <w:b w:val="0"/>
                <w:kern w:val="0"/>
                <w:sz w:val="21"/>
                <w:szCs w:val="21"/>
              </w:rPr>
              <w:t>&gt;l</w:t>
            </w:r>
            <w:r>
              <w:rPr>
                <w:rFonts w:ascii="宋体" w:hAnsi="宋体"/>
                <w:b w:val="0"/>
                <w:kern w:val="0"/>
                <w:sz w:val="21"/>
                <w:szCs w:val="21"/>
                <w:vertAlign w:val="subscript"/>
              </w:rPr>
              <w:t>0</w:t>
            </w:r>
            <w:r>
              <w:rPr>
                <w:rFonts w:ascii="宋体" w:hAnsi="宋体"/>
                <w:b w:val="0"/>
                <w:kern w:val="0"/>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trPr>
        <w:tc>
          <w:tcPr>
            <w:tcW w:w="1526" w:type="dxa"/>
            <w:vMerge w:val="continue"/>
            <w:vAlign w:val="center"/>
          </w:tcPr>
          <w:p>
            <w:pPr>
              <w:pStyle w:val="41"/>
              <w:rPr>
                <w:rFonts w:ascii="宋体" w:hAnsi="宋体"/>
                <w:b w:val="0"/>
                <w:kern w:val="0"/>
                <w:sz w:val="21"/>
                <w:szCs w:val="21"/>
              </w:rPr>
            </w:pPr>
          </w:p>
        </w:tc>
        <w:tc>
          <w:tcPr>
            <w:tcW w:w="992" w:type="dxa"/>
            <w:vMerge w:val="restart"/>
            <w:vAlign w:val="center"/>
          </w:tcPr>
          <w:p>
            <w:pPr>
              <w:pStyle w:val="41"/>
              <w:rPr>
                <w:rFonts w:ascii="宋体" w:hAnsi="宋体"/>
                <w:b w:val="0"/>
                <w:kern w:val="0"/>
                <w:sz w:val="21"/>
                <w:szCs w:val="21"/>
              </w:rPr>
            </w:pPr>
            <w:r>
              <w:rPr>
                <w:rFonts w:ascii="宋体" w:hAnsi="宋体"/>
                <w:b w:val="0"/>
                <w:kern w:val="0"/>
                <w:sz w:val="21"/>
                <w:szCs w:val="21"/>
              </w:rPr>
              <w:t>吊车梁</w:t>
            </w:r>
          </w:p>
        </w:tc>
        <w:tc>
          <w:tcPr>
            <w:tcW w:w="1276" w:type="dxa"/>
            <w:vAlign w:val="center"/>
          </w:tcPr>
          <w:p>
            <w:pPr>
              <w:pStyle w:val="41"/>
              <w:rPr>
                <w:rFonts w:ascii="宋体" w:hAnsi="宋体"/>
                <w:b w:val="0"/>
                <w:kern w:val="0"/>
                <w:sz w:val="21"/>
                <w:szCs w:val="21"/>
              </w:rPr>
            </w:pPr>
            <w:r>
              <w:rPr>
                <w:rFonts w:ascii="宋体" w:hAnsi="宋体"/>
                <w:b w:val="0"/>
                <w:kern w:val="0"/>
                <w:sz w:val="21"/>
                <w:szCs w:val="21"/>
              </w:rPr>
              <w:t>电动</w:t>
            </w:r>
          </w:p>
        </w:tc>
        <w:tc>
          <w:tcPr>
            <w:tcW w:w="3677" w:type="dxa"/>
            <w:vAlign w:val="center"/>
          </w:tcPr>
          <w:p>
            <w:pPr>
              <w:pStyle w:val="41"/>
              <w:rPr>
                <w:rFonts w:ascii="宋体" w:hAnsi="宋体"/>
                <w:b w:val="0"/>
                <w:kern w:val="0"/>
                <w:sz w:val="21"/>
                <w:szCs w:val="21"/>
              </w:rPr>
            </w:pPr>
            <w:r>
              <w:rPr>
                <w:rFonts w:ascii="宋体" w:hAnsi="宋体"/>
                <w:b w:val="0"/>
                <w:kern w:val="0"/>
                <w:sz w:val="21"/>
                <w:szCs w:val="21"/>
              </w:rPr>
              <w:t>&gt;1</w:t>
            </w:r>
            <w:r>
              <w:rPr>
                <w:rFonts w:ascii="宋体" w:hAnsi="宋体"/>
                <w:b w:val="0"/>
                <w:kern w:val="0"/>
                <w:sz w:val="21"/>
                <w:szCs w:val="21"/>
                <w:vertAlign w:val="subscript"/>
              </w:rPr>
              <w:t>0</w:t>
            </w:r>
            <w:r>
              <w:rPr>
                <w:rFonts w:hint="eastAsia" w:ascii="宋体" w:hAnsi="宋体"/>
                <w:b w:val="0"/>
                <w:kern w:val="0"/>
                <w:sz w:val="21"/>
                <w:szCs w:val="21"/>
              </w:rPr>
              <w:t>/</w:t>
            </w:r>
            <w:r>
              <w:rPr>
                <w:rFonts w:ascii="宋体" w:hAnsi="宋体"/>
                <w:b w:val="0"/>
                <w:kern w:val="0"/>
                <w:sz w:val="21"/>
                <w:szCs w:val="21"/>
              </w:rPr>
              <w:t>1000</w:t>
            </w:r>
          </w:p>
        </w:tc>
        <w:tc>
          <w:tcPr>
            <w:tcW w:w="2491" w:type="dxa"/>
            <w:vAlign w:val="center"/>
          </w:tcPr>
          <w:p>
            <w:pPr>
              <w:pStyle w:val="41"/>
              <w:rPr>
                <w:rFonts w:ascii="宋体" w:hAnsi="宋体"/>
                <w:b w:val="0"/>
                <w:kern w:val="0"/>
                <w:sz w:val="21"/>
                <w:szCs w:val="21"/>
              </w:rPr>
            </w:pPr>
            <w:r>
              <w:rPr>
                <w:rFonts w:ascii="宋体" w:hAnsi="宋体"/>
                <w:b w:val="0"/>
                <w:kern w:val="0"/>
                <w:sz w:val="21"/>
                <w:szCs w:val="21"/>
              </w:rPr>
              <w:t>&gt;1</w:t>
            </w:r>
            <w:r>
              <w:rPr>
                <w:rFonts w:ascii="宋体" w:hAnsi="宋体"/>
                <w:b w:val="0"/>
                <w:kern w:val="0"/>
                <w:sz w:val="21"/>
                <w:szCs w:val="21"/>
                <w:vertAlign w:val="subscript"/>
              </w:rPr>
              <w:t>0</w:t>
            </w:r>
            <w:r>
              <w:rPr>
                <w:rFonts w:ascii="宋体" w:hAnsi="宋体"/>
                <w:b w:val="0"/>
                <w:kern w:val="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trPr>
        <w:tc>
          <w:tcPr>
            <w:tcW w:w="1526" w:type="dxa"/>
            <w:vMerge w:val="continue"/>
            <w:vAlign w:val="center"/>
          </w:tcPr>
          <w:p>
            <w:pPr>
              <w:pStyle w:val="41"/>
              <w:rPr>
                <w:rFonts w:ascii="宋体" w:hAnsi="宋体"/>
                <w:b w:val="0"/>
                <w:kern w:val="0"/>
                <w:sz w:val="21"/>
                <w:szCs w:val="21"/>
              </w:rPr>
            </w:pPr>
          </w:p>
        </w:tc>
        <w:tc>
          <w:tcPr>
            <w:tcW w:w="992" w:type="dxa"/>
            <w:vMerge w:val="continue"/>
            <w:vAlign w:val="center"/>
          </w:tcPr>
          <w:p>
            <w:pPr>
              <w:pStyle w:val="41"/>
              <w:rPr>
                <w:rFonts w:ascii="宋体" w:hAnsi="宋体"/>
                <w:b w:val="0"/>
                <w:kern w:val="0"/>
                <w:sz w:val="21"/>
                <w:szCs w:val="21"/>
              </w:rPr>
            </w:pPr>
          </w:p>
        </w:tc>
        <w:tc>
          <w:tcPr>
            <w:tcW w:w="1276" w:type="dxa"/>
            <w:vAlign w:val="center"/>
          </w:tcPr>
          <w:p>
            <w:pPr>
              <w:pStyle w:val="41"/>
              <w:rPr>
                <w:rFonts w:ascii="宋体" w:hAnsi="宋体"/>
                <w:b w:val="0"/>
                <w:kern w:val="0"/>
                <w:sz w:val="21"/>
                <w:szCs w:val="21"/>
              </w:rPr>
            </w:pPr>
            <w:r>
              <w:rPr>
                <w:rFonts w:ascii="宋体" w:hAnsi="宋体"/>
                <w:b w:val="0"/>
                <w:kern w:val="0"/>
                <w:sz w:val="21"/>
                <w:szCs w:val="21"/>
              </w:rPr>
              <w:t>手动</w:t>
            </w:r>
          </w:p>
        </w:tc>
        <w:tc>
          <w:tcPr>
            <w:tcW w:w="3677" w:type="dxa"/>
            <w:vAlign w:val="center"/>
          </w:tcPr>
          <w:p>
            <w:pPr>
              <w:pStyle w:val="41"/>
              <w:rPr>
                <w:rFonts w:ascii="宋体" w:hAnsi="宋体"/>
                <w:b w:val="0"/>
                <w:kern w:val="0"/>
                <w:sz w:val="21"/>
                <w:szCs w:val="21"/>
              </w:rPr>
            </w:pPr>
            <w:r>
              <w:rPr>
                <w:rFonts w:ascii="宋体" w:hAnsi="宋体"/>
                <w:b w:val="0"/>
                <w:kern w:val="0"/>
                <w:sz w:val="21"/>
                <w:szCs w:val="21"/>
              </w:rPr>
              <w:t>&gt;1</w:t>
            </w:r>
            <w:r>
              <w:rPr>
                <w:rFonts w:ascii="宋体" w:hAnsi="宋体"/>
                <w:b w:val="0"/>
                <w:kern w:val="0"/>
                <w:sz w:val="21"/>
                <w:szCs w:val="21"/>
                <w:vertAlign w:val="subscript"/>
              </w:rPr>
              <w:t>0</w:t>
            </w:r>
            <w:r>
              <w:rPr>
                <w:rFonts w:ascii="宋体" w:hAnsi="宋体"/>
                <w:b w:val="0"/>
                <w:kern w:val="0"/>
                <w:sz w:val="21"/>
                <w:szCs w:val="21"/>
              </w:rPr>
              <w:t>/600</w:t>
            </w:r>
          </w:p>
        </w:tc>
        <w:tc>
          <w:tcPr>
            <w:tcW w:w="2491" w:type="dxa"/>
            <w:vAlign w:val="center"/>
          </w:tcPr>
          <w:p>
            <w:pPr>
              <w:pStyle w:val="41"/>
              <w:rPr>
                <w:rFonts w:ascii="宋体" w:hAnsi="宋体"/>
                <w:b w:val="0"/>
                <w:kern w:val="0"/>
                <w:sz w:val="21"/>
                <w:szCs w:val="21"/>
              </w:rPr>
            </w:pPr>
            <w:r>
              <w:rPr>
                <w:rFonts w:ascii="宋体" w:hAnsi="宋体"/>
                <w:b w:val="0"/>
                <w:kern w:val="0"/>
                <w:sz w:val="21"/>
                <w:szCs w:val="21"/>
              </w:rPr>
              <w:t>&gt;1</w:t>
            </w:r>
            <w:r>
              <w:rPr>
                <w:rFonts w:ascii="宋体" w:hAnsi="宋体"/>
                <w:b w:val="0"/>
                <w:kern w:val="0"/>
                <w:sz w:val="21"/>
                <w:szCs w:val="21"/>
                <w:vertAlign w:val="subscript"/>
              </w:rPr>
              <w:t>0</w:t>
            </w:r>
            <w:r>
              <w:rPr>
                <w:rFonts w:ascii="宋体" w:hAnsi="宋体"/>
                <w:b w:val="0"/>
                <w:kern w:val="0"/>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trPr>
        <w:tc>
          <w:tcPr>
            <w:tcW w:w="1526" w:type="dxa"/>
            <w:vMerge w:val="restart"/>
            <w:vAlign w:val="center"/>
          </w:tcPr>
          <w:p>
            <w:pPr>
              <w:pStyle w:val="41"/>
              <w:rPr>
                <w:rFonts w:ascii="宋体" w:hAnsi="宋体"/>
                <w:b w:val="0"/>
                <w:kern w:val="0"/>
                <w:sz w:val="21"/>
                <w:szCs w:val="21"/>
              </w:rPr>
            </w:pPr>
            <w:r>
              <w:rPr>
                <w:rFonts w:ascii="宋体" w:hAnsi="宋体"/>
                <w:b w:val="0"/>
                <w:kern w:val="0"/>
                <w:sz w:val="21"/>
                <w:szCs w:val="21"/>
              </w:rPr>
              <w:t>弯曲矢高</w:t>
            </w:r>
          </w:p>
        </w:tc>
        <w:tc>
          <w:tcPr>
            <w:tcW w:w="2268" w:type="dxa"/>
            <w:gridSpan w:val="2"/>
            <w:vAlign w:val="center"/>
          </w:tcPr>
          <w:p>
            <w:pPr>
              <w:pStyle w:val="41"/>
              <w:rPr>
                <w:rFonts w:ascii="宋体" w:hAnsi="宋体"/>
                <w:b w:val="0"/>
                <w:kern w:val="0"/>
                <w:sz w:val="21"/>
                <w:szCs w:val="21"/>
              </w:rPr>
            </w:pPr>
            <w:r>
              <w:rPr>
                <w:rFonts w:ascii="宋体" w:hAnsi="宋体"/>
                <w:b w:val="0"/>
                <w:kern w:val="0"/>
                <w:sz w:val="21"/>
                <w:szCs w:val="21"/>
              </w:rPr>
              <w:t>柱</w:t>
            </w:r>
          </w:p>
        </w:tc>
        <w:tc>
          <w:tcPr>
            <w:tcW w:w="3677" w:type="dxa"/>
            <w:vAlign w:val="center"/>
          </w:tcPr>
          <w:p>
            <w:pPr>
              <w:pStyle w:val="41"/>
              <w:rPr>
                <w:rFonts w:ascii="宋体" w:hAnsi="宋体"/>
                <w:b w:val="0"/>
                <w:kern w:val="0"/>
                <w:sz w:val="21"/>
                <w:szCs w:val="21"/>
              </w:rPr>
            </w:pPr>
            <w:r>
              <w:rPr>
                <w:rFonts w:ascii="宋体" w:hAnsi="宋体"/>
                <w:b w:val="0"/>
                <w:kern w:val="0"/>
                <w:sz w:val="21"/>
                <w:szCs w:val="21"/>
              </w:rPr>
              <w:t>&gt;l</w:t>
            </w:r>
            <w:r>
              <w:rPr>
                <w:rFonts w:ascii="宋体" w:hAnsi="宋体"/>
                <w:b w:val="0"/>
                <w:kern w:val="0"/>
                <w:sz w:val="21"/>
                <w:szCs w:val="21"/>
                <w:vertAlign w:val="subscript"/>
              </w:rPr>
              <w:t>0</w:t>
            </w:r>
            <w:r>
              <w:rPr>
                <w:rFonts w:ascii="宋体" w:hAnsi="宋体"/>
                <w:b w:val="0"/>
                <w:kern w:val="0"/>
                <w:sz w:val="21"/>
                <w:szCs w:val="21"/>
              </w:rPr>
              <w:t>/1200</w:t>
            </w:r>
          </w:p>
        </w:tc>
        <w:tc>
          <w:tcPr>
            <w:tcW w:w="2491" w:type="dxa"/>
            <w:vAlign w:val="center"/>
          </w:tcPr>
          <w:p>
            <w:pPr>
              <w:pStyle w:val="41"/>
              <w:rPr>
                <w:rFonts w:ascii="宋体" w:hAnsi="宋体"/>
                <w:b w:val="0"/>
                <w:kern w:val="0"/>
                <w:sz w:val="21"/>
                <w:szCs w:val="21"/>
              </w:rPr>
            </w:pPr>
            <w:r>
              <w:rPr>
                <w:rFonts w:ascii="宋体" w:hAnsi="宋体"/>
                <w:b w:val="0"/>
                <w:kern w:val="0"/>
                <w:sz w:val="21"/>
                <w:szCs w:val="21"/>
              </w:rPr>
              <w:t>&gt;l</w:t>
            </w:r>
            <w:r>
              <w:rPr>
                <w:rFonts w:ascii="宋体" w:hAnsi="宋体"/>
                <w:b w:val="0"/>
                <w:kern w:val="0"/>
                <w:sz w:val="21"/>
                <w:szCs w:val="21"/>
                <w:vertAlign w:val="subscript"/>
              </w:rPr>
              <w:t>0</w:t>
            </w:r>
            <w:r>
              <w:rPr>
                <w:rFonts w:ascii="宋体" w:hAnsi="宋体"/>
                <w:b w:val="0"/>
                <w:kern w:val="0"/>
                <w:sz w:val="21"/>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trPr>
        <w:tc>
          <w:tcPr>
            <w:tcW w:w="1526" w:type="dxa"/>
            <w:vMerge w:val="continue"/>
            <w:vAlign w:val="center"/>
          </w:tcPr>
          <w:p>
            <w:pPr>
              <w:pStyle w:val="41"/>
              <w:rPr>
                <w:rFonts w:ascii="宋体" w:hAnsi="宋体"/>
                <w:b w:val="0"/>
                <w:kern w:val="0"/>
                <w:sz w:val="21"/>
                <w:szCs w:val="21"/>
              </w:rPr>
            </w:pPr>
          </w:p>
        </w:tc>
        <w:tc>
          <w:tcPr>
            <w:tcW w:w="2268" w:type="dxa"/>
            <w:gridSpan w:val="2"/>
            <w:vAlign w:val="center"/>
          </w:tcPr>
          <w:p>
            <w:pPr>
              <w:pStyle w:val="41"/>
              <w:rPr>
                <w:rFonts w:ascii="宋体" w:hAnsi="宋体"/>
                <w:b w:val="0"/>
                <w:kern w:val="0"/>
                <w:sz w:val="21"/>
                <w:szCs w:val="21"/>
              </w:rPr>
            </w:pPr>
            <w:r>
              <w:rPr>
                <w:rFonts w:ascii="宋体" w:hAnsi="宋体"/>
                <w:b w:val="0"/>
                <w:kern w:val="0"/>
                <w:sz w:val="21"/>
                <w:szCs w:val="21"/>
              </w:rPr>
              <w:t>支撑</w:t>
            </w:r>
          </w:p>
        </w:tc>
        <w:tc>
          <w:tcPr>
            <w:tcW w:w="3677" w:type="dxa"/>
            <w:vAlign w:val="center"/>
          </w:tcPr>
          <w:p>
            <w:pPr>
              <w:pStyle w:val="41"/>
              <w:rPr>
                <w:rFonts w:ascii="宋体" w:hAnsi="宋体"/>
                <w:b w:val="0"/>
                <w:kern w:val="0"/>
                <w:sz w:val="21"/>
                <w:szCs w:val="21"/>
              </w:rPr>
            </w:pPr>
            <w:r>
              <w:rPr>
                <w:rFonts w:ascii="宋体" w:hAnsi="宋体"/>
                <w:b w:val="0"/>
                <w:kern w:val="0"/>
                <w:sz w:val="21"/>
                <w:szCs w:val="21"/>
              </w:rPr>
              <w:t>&gt;l</w:t>
            </w:r>
            <w:r>
              <w:rPr>
                <w:rFonts w:ascii="宋体" w:hAnsi="宋体"/>
                <w:b w:val="0"/>
                <w:kern w:val="0"/>
                <w:sz w:val="21"/>
                <w:szCs w:val="21"/>
                <w:vertAlign w:val="subscript"/>
              </w:rPr>
              <w:t>0</w:t>
            </w:r>
            <w:r>
              <w:rPr>
                <w:rFonts w:ascii="宋体" w:hAnsi="宋体"/>
                <w:b w:val="0"/>
                <w:kern w:val="0"/>
                <w:sz w:val="21"/>
                <w:szCs w:val="21"/>
              </w:rPr>
              <w:t>/1200</w:t>
            </w:r>
          </w:p>
        </w:tc>
        <w:tc>
          <w:tcPr>
            <w:tcW w:w="2491" w:type="dxa"/>
            <w:vAlign w:val="center"/>
          </w:tcPr>
          <w:p>
            <w:pPr>
              <w:pStyle w:val="41"/>
              <w:rPr>
                <w:rFonts w:ascii="宋体" w:hAnsi="宋体"/>
                <w:b w:val="0"/>
                <w:kern w:val="0"/>
                <w:sz w:val="21"/>
                <w:szCs w:val="21"/>
              </w:rPr>
            </w:pPr>
            <w:r>
              <w:rPr>
                <w:rFonts w:ascii="宋体" w:hAnsi="宋体"/>
                <w:b w:val="0"/>
                <w:kern w:val="0"/>
                <w:sz w:val="21"/>
                <w:szCs w:val="21"/>
              </w:rPr>
              <w:t>&gt;l</w:t>
            </w:r>
            <w:r>
              <w:rPr>
                <w:rFonts w:ascii="宋体" w:hAnsi="宋体"/>
                <w:b w:val="0"/>
                <w:kern w:val="0"/>
                <w:sz w:val="21"/>
                <w:szCs w:val="21"/>
                <w:vertAlign w:val="subscript"/>
              </w:rPr>
              <w:t>0</w:t>
            </w:r>
            <w:r>
              <w:rPr>
                <w:rFonts w:ascii="宋体" w:hAnsi="宋体"/>
                <w:b w:val="0"/>
                <w:kern w:val="0"/>
                <w:sz w:val="21"/>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trPr>
        <w:tc>
          <w:tcPr>
            <w:tcW w:w="1526" w:type="dxa"/>
            <w:vMerge w:val="restart"/>
            <w:vAlign w:val="center"/>
          </w:tcPr>
          <w:p>
            <w:pPr>
              <w:pStyle w:val="41"/>
              <w:rPr>
                <w:rFonts w:ascii="宋体" w:hAnsi="宋体"/>
                <w:b w:val="0"/>
                <w:kern w:val="0"/>
                <w:sz w:val="21"/>
                <w:szCs w:val="21"/>
              </w:rPr>
            </w:pPr>
            <w:r>
              <w:rPr>
                <w:rFonts w:ascii="宋体" w:hAnsi="宋体"/>
                <w:b w:val="0"/>
                <w:kern w:val="0"/>
                <w:sz w:val="21"/>
                <w:szCs w:val="21"/>
              </w:rPr>
              <w:t>柱顶侧移</w:t>
            </w:r>
          </w:p>
        </w:tc>
        <w:tc>
          <w:tcPr>
            <w:tcW w:w="2268" w:type="dxa"/>
            <w:gridSpan w:val="2"/>
            <w:vAlign w:val="center"/>
          </w:tcPr>
          <w:p>
            <w:pPr>
              <w:pStyle w:val="41"/>
              <w:rPr>
                <w:rFonts w:ascii="宋体" w:hAnsi="宋体"/>
                <w:b w:val="0"/>
                <w:kern w:val="0"/>
                <w:sz w:val="21"/>
                <w:szCs w:val="21"/>
              </w:rPr>
            </w:pPr>
            <w:r>
              <w:rPr>
                <w:rFonts w:ascii="宋体" w:hAnsi="宋体"/>
                <w:b w:val="0"/>
                <w:kern w:val="0"/>
                <w:sz w:val="21"/>
                <w:szCs w:val="21"/>
              </w:rPr>
              <w:t>多高层框架的层间水平位移</w:t>
            </w:r>
          </w:p>
        </w:tc>
        <w:tc>
          <w:tcPr>
            <w:tcW w:w="3677" w:type="dxa"/>
            <w:vAlign w:val="center"/>
          </w:tcPr>
          <w:p>
            <w:pPr>
              <w:pStyle w:val="41"/>
              <w:rPr>
                <w:rFonts w:ascii="宋体" w:hAnsi="宋体"/>
                <w:b w:val="0"/>
                <w:kern w:val="0"/>
                <w:sz w:val="21"/>
                <w:szCs w:val="21"/>
              </w:rPr>
            </w:pPr>
            <w:r>
              <w:rPr>
                <w:rFonts w:ascii="宋体" w:hAnsi="宋体"/>
                <w:b w:val="0"/>
                <w:kern w:val="0"/>
                <w:sz w:val="21"/>
                <w:szCs w:val="21"/>
              </w:rPr>
              <w:t>&gt;h/450</w:t>
            </w:r>
          </w:p>
        </w:tc>
        <w:tc>
          <w:tcPr>
            <w:tcW w:w="2491" w:type="dxa"/>
            <w:vAlign w:val="center"/>
          </w:tcPr>
          <w:p>
            <w:pPr>
              <w:pStyle w:val="41"/>
              <w:rPr>
                <w:rFonts w:ascii="宋体" w:hAnsi="宋体"/>
                <w:b w:val="0"/>
                <w:kern w:val="0"/>
                <w:sz w:val="21"/>
                <w:szCs w:val="21"/>
              </w:rPr>
            </w:pPr>
            <w:r>
              <w:rPr>
                <w:rFonts w:ascii="宋体" w:hAnsi="宋体"/>
                <w:b w:val="0"/>
                <w:kern w:val="0"/>
                <w:sz w:val="21"/>
                <w:szCs w:val="21"/>
              </w:rPr>
              <w:t>&gt;h/300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trPr>
        <w:tc>
          <w:tcPr>
            <w:tcW w:w="1526" w:type="dxa"/>
            <w:vMerge w:val="continue"/>
            <w:vAlign w:val="center"/>
          </w:tcPr>
          <w:p>
            <w:pPr>
              <w:pStyle w:val="41"/>
              <w:rPr>
                <w:rFonts w:ascii="宋体" w:hAnsi="宋体"/>
                <w:b w:val="0"/>
                <w:kern w:val="0"/>
                <w:sz w:val="21"/>
                <w:szCs w:val="21"/>
              </w:rPr>
            </w:pPr>
          </w:p>
        </w:tc>
        <w:tc>
          <w:tcPr>
            <w:tcW w:w="2268" w:type="dxa"/>
            <w:gridSpan w:val="2"/>
            <w:vAlign w:val="center"/>
          </w:tcPr>
          <w:p>
            <w:pPr>
              <w:pStyle w:val="41"/>
              <w:rPr>
                <w:rFonts w:ascii="宋体" w:hAnsi="宋体"/>
                <w:b w:val="0"/>
                <w:kern w:val="0"/>
                <w:sz w:val="21"/>
                <w:szCs w:val="21"/>
              </w:rPr>
            </w:pPr>
            <w:r>
              <w:rPr>
                <w:rFonts w:ascii="宋体" w:hAnsi="宋体"/>
                <w:b w:val="0"/>
                <w:kern w:val="0"/>
                <w:sz w:val="21"/>
                <w:szCs w:val="21"/>
              </w:rPr>
              <w:t>单层厂房中柱倾斜</w:t>
            </w:r>
          </w:p>
        </w:tc>
        <w:tc>
          <w:tcPr>
            <w:tcW w:w="3677" w:type="dxa"/>
            <w:vAlign w:val="center"/>
          </w:tcPr>
          <w:p>
            <w:pPr>
              <w:pStyle w:val="41"/>
              <w:rPr>
                <w:rFonts w:ascii="宋体" w:hAnsi="宋体"/>
                <w:b w:val="0"/>
                <w:kern w:val="0"/>
                <w:sz w:val="21"/>
                <w:szCs w:val="21"/>
              </w:rPr>
            </w:pPr>
            <w:r>
              <w:rPr>
                <w:rFonts w:ascii="宋体" w:hAnsi="宋体"/>
                <w:b w:val="0"/>
                <w:kern w:val="0"/>
                <w:sz w:val="21"/>
                <w:szCs w:val="21"/>
              </w:rPr>
              <w:t>&gt;H/1200</w:t>
            </w:r>
          </w:p>
        </w:tc>
        <w:tc>
          <w:tcPr>
            <w:tcW w:w="2491" w:type="dxa"/>
            <w:vAlign w:val="center"/>
          </w:tcPr>
          <w:p>
            <w:pPr>
              <w:pStyle w:val="41"/>
              <w:rPr>
                <w:rFonts w:ascii="宋体" w:hAnsi="宋体"/>
                <w:b w:val="0"/>
                <w:kern w:val="0"/>
                <w:sz w:val="21"/>
                <w:szCs w:val="21"/>
              </w:rPr>
            </w:pPr>
            <w:r>
              <w:rPr>
                <w:rFonts w:ascii="宋体" w:hAnsi="宋体"/>
                <w:b w:val="0"/>
                <w:kern w:val="0"/>
                <w:sz w:val="21"/>
                <w:szCs w:val="21"/>
              </w:rPr>
              <w:t>&gt;H/600</w:t>
            </w:r>
          </w:p>
        </w:tc>
      </w:tr>
    </w:tbl>
    <w:p>
      <w:pPr>
        <w:pStyle w:val="41"/>
        <w:jc w:val="both"/>
        <w:rPr>
          <w:rFonts w:ascii="宋体" w:hAnsi="宋体"/>
          <w:b w:val="0"/>
        </w:rPr>
      </w:pPr>
      <w:r>
        <w:rPr>
          <w:rFonts w:ascii="宋体" w:hAnsi="宋体"/>
          <w:b w:val="0"/>
        </w:rPr>
        <w:t>注：1、表中l</w:t>
      </w:r>
      <w:r>
        <w:rPr>
          <w:rFonts w:ascii="宋体" w:hAnsi="宋体"/>
          <w:b w:val="0"/>
          <w:vertAlign w:val="subscript"/>
        </w:rPr>
        <w:t>0</w:t>
      </w:r>
      <w:r>
        <w:rPr>
          <w:rFonts w:ascii="宋体" w:hAnsi="宋体"/>
          <w:b w:val="0"/>
        </w:rPr>
        <w:t>为构件的计算跨度，h为框架层高，H为柱总高。</w:t>
      </w:r>
    </w:p>
    <w:p>
      <w:pPr>
        <w:pStyle w:val="41"/>
        <w:jc w:val="both"/>
        <w:rPr>
          <w:rFonts w:ascii="宋体" w:hAnsi="宋体"/>
          <w:b w:val="0"/>
        </w:rPr>
      </w:pPr>
      <w:r>
        <w:rPr>
          <w:rFonts w:ascii="宋体" w:hAnsi="宋体"/>
          <w:b w:val="0"/>
        </w:rPr>
        <w:t xml:space="preserve">    2、评定结果取Ⅱ</w:t>
      </w:r>
      <w:r>
        <w:rPr>
          <w:rFonts w:ascii="宋体" w:hAnsi="宋体"/>
          <w:b w:val="0"/>
          <w:vertAlign w:val="subscript"/>
        </w:rPr>
        <w:t>a</w:t>
      </w:r>
      <w:r>
        <w:rPr>
          <w:rFonts w:ascii="宋体" w:hAnsi="宋体"/>
          <w:b w:val="0"/>
        </w:rPr>
        <w:t>级或Ⅱ</w:t>
      </w:r>
      <w:r>
        <w:rPr>
          <w:rFonts w:ascii="宋体" w:hAnsi="宋体"/>
          <w:b w:val="0"/>
          <w:vertAlign w:val="subscript"/>
        </w:rPr>
        <w:t>b</w:t>
      </w:r>
      <w:r>
        <w:rPr>
          <w:rFonts w:ascii="宋体" w:hAnsi="宋体"/>
          <w:b w:val="0"/>
        </w:rPr>
        <w:t>级，可根据实际情况，由鉴定者确定。</w:t>
      </w:r>
    </w:p>
    <w:p>
      <w:pPr>
        <w:pStyle w:val="42"/>
      </w:pPr>
      <w:r>
        <w:rPr>
          <w:rFonts w:hint="eastAsia"/>
          <w:b/>
        </w:rPr>
        <w:t>6</w:t>
      </w:r>
      <w:r>
        <w:rPr>
          <w:b/>
        </w:rPr>
        <w:t>.6.3</w:t>
      </w:r>
      <w:r>
        <w:rPr>
          <w:rFonts w:hint="eastAsia"/>
        </w:rPr>
        <w:t>火灾后钢-混组合结构构件的初步鉴定评级中，当该构件为压型钢板组合楼板、钢筋桁架组合楼板时，当楼板、屋面板火灾后严重破坏，难以加固修复，需要拆除或更换时，该构件初步鉴定评为Ⅳ级。</w:t>
      </w:r>
    </w:p>
    <w:p>
      <w:pPr>
        <w:pStyle w:val="41"/>
      </w:pPr>
      <w:r>
        <w:t>表6.6.</w:t>
      </w:r>
      <w:r>
        <w:rPr>
          <w:rFonts w:hint="eastAsia"/>
        </w:rPr>
        <w:t>2</w:t>
      </w:r>
      <w:r>
        <w:t>火灾后</w:t>
      </w:r>
      <w:r>
        <w:rPr>
          <w:rFonts w:hint="eastAsia"/>
        </w:rPr>
        <w:t>钢-混组合楼板、</w:t>
      </w:r>
      <w:r>
        <w:t>屋面板初步鉴定评级标准</w:t>
      </w:r>
    </w:p>
    <w:tbl>
      <w:tblPr>
        <w:tblStyle w:val="24"/>
        <w:tblW w:w="101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426"/>
        <w:gridCol w:w="228"/>
        <w:gridCol w:w="852"/>
        <w:gridCol w:w="2552"/>
        <w:gridCol w:w="326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85" w:type="dxa"/>
            <w:gridSpan w:val="4"/>
            <w:vMerge w:val="restart"/>
            <w:vAlign w:val="center"/>
          </w:tcPr>
          <w:p>
            <w:pPr>
              <w:pStyle w:val="42"/>
              <w:spacing w:line="240" w:lineRule="auto"/>
              <w:jc w:val="center"/>
            </w:pPr>
            <w:r>
              <w:t>等级评级要素</w:t>
            </w:r>
          </w:p>
        </w:tc>
        <w:tc>
          <w:tcPr>
            <w:tcW w:w="8152" w:type="dxa"/>
            <w:gridSpan w:val="3"/>
            <w:vAlign w:val="center"/>
          </w:tcPr>
          <w:p>
            <w:pPr>
              <w:pStyle w:val="42"/>
              <w:spacing w:line="240" w:lineRule="auto"/>
              <w:jc w:val="center"/>
            </w:pPr>
            <w:r>
              <w:t>各级损伤等级状态特征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85" w:type="dxa"/>
            <w:gridSpan w:val="4"/>
            <w:vMerge w:val="continue"/>
            <w:vAlign w:val="center"/>
          </w:tcPr>
          <w:p>
            <w:pPr>
              <w:pStyle w:val="42"/>
              <w:spacing w:line="240" w:lineRule="auto"/>
              <w:jc w:val="center"/>
            </w:pPr>
          </w:p>
        </w:tc>
        <w:tc>
          <w:tcPr>
            <w:tcW w:w="2552" w:type="dxa"/>
            <w:vAlign w:val="center"/>
          </w:tcPr>
          <w:p>
            <w:pPr>
              <w:pStyle w:val="42"/>
              <w:spacing w:line="240" w:lineRule="auto"/>
              <w:jc w:val="center"/>
              <w:rPr>
                <w:vertAlign w:val="subscript"/>
              </w:rPr>
            </w:pPr>
            <w:r>
              <w:t>Ⅱ</w:t>
            </w:r>
            <w:r>
              <w:rPr>
                <w:vertAlign w:val="subscript"/>
              </w:rPr>
              <w:t>a</w:t>
            </w:r>
          </w:p>
        </w:tc>
        <w:tc>
          <w:tcPr>
            <w:tcW w:w="3260" w:type="dxa"/>
            <w:vAlign w:val="center"/>
          </w:tcPr>
          <w:p>
            <w:pPr>
              <w:pStyle w:val="42"/>
              <w:spacing w:line="240" w:lineRule="auto"/>
              <w:jc w:val="center"/>
              <w:rPr>
                <w:vertAlign w:val="subscript"/>
              </w:rPr>
            </w:pPr>
            <w:r>
              <w:t>Ⅱ</w:t>
            </w:r>
            <w:r>
              <w:rPr>
                <w:vertAlign w:val="subscript"/>
              </w:rPr>
              <w:t>b</w:t>
            </w:r>
          </w:p>
        </w:tc>
        <w:tc>
          <w:tcPr>
            <w:tcW w:w="2340" w:type="dxa"/>
            <w:vAlign w:val="center"/>
          </w:tcPr>
          <w:p>
            <w:pPr>
              <w:pStyle w:val="42"/>
              <w:spacing w:line="240" w:lineRule="auto"/>
              <w:jc w:val="center"/>
            </w:pPr>
            <w: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79" w:type="dxa"/>
            <w:vAlign w:val="center"/>
          </w:tcPr>
          <w:p>
            <w:pPr>
              <w:pStyle w:val="42"/>
              <w:spacing w:line="240" w:lineRule="auto"/>
              <w:jc w:val="center"/>
              <w:rPr>
                <w:vertAlign w:val="superscript"/>
              </w:rPr>
            </w:pPr>
            <w:r>
              <w:rPr>
                <w:rFonts w:hint="eastAsia"/>
                <w:vertAlign w:val="superscript"/>
              </w:rPr>
              <w:t>1</w:t>
            </w:r>
          </w:p>
        </w:tc>
        <w:tc>
          <w:tcPr>
            <w:tcW w:w="1506" w:type="dxa"/>
            <w:gridSpan w:val="3"/>
            <w:vAlign w:val="center"/>
          </w:tcPr>
          <w:p>
            <w:pPr>
              <w:pStyle w:val="42"/>
              <w:spacing w:line="240" w:lineRule="auto"/>
              <w:jc w:val="center"/>
              <w:rPr>
                <w:vertAlign w:val="superscript"/>
              </w:rPr>
            </w:pPr>
            <w:r>
              <w:t>油烟和烟灰</w:t>
            </w:r>
          </w:p>
        </w:tc>
        <w:tc>
          <w:tcPr>
            <w:tcW w:w="2552" w:type="dxa"/>
            <w:vAlign w:val="center"/>
          </w:tcPr>
          <w:p>
            <w:pPr>
              <w:pStyle w:val="42"/>
              <w:spacing w:line="240" w:lineRule="auto"/>
              <w:jc w:val="center"/>
            </w:pPr>
            <w:r>
              <w:t>无或局部有</w:t>
            </w:r>
          </w:p>
        </w:tc>
        <w:tc>
          <w:tcPr>
            <w:tcW w:w="3260" w:type="dxa"/>
            <w:vAlign w:val="center"/>
          </w:tcPr>
          <w:p>
            <w:pPr>
              <w:pStyle w:val="42"/>
              <w:spacing w:line="240" w:lineRule="auto"/>
              <w:jc w:val="center"/>
            </w:pPr>
            <w:r>
              <w:t>大面积有或局部被烧光</w:t>
            </w:r>
          </w:p>
        </w:tc>
        <w:tc>
          <w:tcPr>
            <w:tcW w:w="2340" w:type="dxa"/>
            <w:vAlign w:val="center"/>
          </w:tcPr>
          <w:p>
            <w:pPr>
              <w:pStyle w:val="42"/>
              <w:spacing w:line="240" w:lineRule="auto"/>
              <w:jc w:val="center"/>
            </w:pPr>
            <w:r>
              <w:t>大面积被烧光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79" w:type="dxa"/>
            <w:vAlign w:val="center"/>
          </w:tcPr>
          <w:p>
            <w:pPr>
              <w:pStyle w:val="42"/>
              <w:spacing w:line="240" w:lineRule="auto"/>
              <w:jc w:val="center"/>
            </w:pPr>
            <w:r>
              <w:rPr>
                <w:rFonts w:hint="eastAsia"/>
              </w:rPr>
              <w:t>2</w:t>
            </w:r>
          </w:p>
        </w:tc>
        <w:tc>
          <w:tcPr>
            <w:tcW w:w="1506" w:type="dxa"/>
            <w:gridSpan w:val="3"/>
            <w:vAlign w:val="center"/>
          </w:tcPr>
          <w:p>
            <w:pPr>
              <w:pStyle w:val="42"/>
              <w:spacing w:line="240" w:lineRule="auto"/>
              <w:jc w:val="center"/>
            </w:pPr>
            <w:r>
              <w:t>混凝土颜色改变</w:t>
            </w:r>
          </w:p>
        </w:tc>
        <w:tc>
          <w:tcPr>
            <w:tcW w:w="2552" w:type="dxa"/>
            <w:vAlign w:val="center"/>
          </w:tcPr>
          <w:p>
            <w:pPr>
              <w:pStyle w:val="42"/>
              <w:spacing w:line="240" w:lineRule="auto"/>
              <w:jc w:val="center"/>
            </w:pPr>
            <w:r>
              <w:t>基本未变或被黑色覆盖</w:t>
            </w:r>
          </w:p>
        </w:tc>
        <w:tc>
          <w:tcPr>
            <w:tcW w:w="3260" w:type="dxa"/>
            <w:vAlign w:val="center"/>
          </w:tcPr>
          <w:p>
            <w:pPr>
              <w:pStyle w:val="42"/>
              <w:spacing w:line="240" w:lineRule="auto"/>
              <w:jc w:val="center"/>
            </w:pPr>
            <w:r>
              <w:t>粉红</w:t>
            </w:r>
          </w:p>
        </w:tc>
        <w:tc>
          <w:tcPr>
            <w:tcW w:w="2340" w:type="dxa"/>
            <w:vAlign w:val="center"/>
          </w:tcPr>
          <w:p>
            <w:pPr>
              <w:pStyle w:val="42"/>
              <w:spacing w:line="240" w:lineRule="auto"/>
              <w:jc w:val="center"/>
            </w:pPr>
            <w:r>
              <w:t>土黄色或灰白色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79" w:type="dxa"/>
            <w:vAlign w:val="center"/>
          </w:tcPr>
          <w:p>
            <w:pPr>
              <w:pStyle w:val="42"/>
              <w:spacing w:line="240" w:lineRule="auto"/>
              <w:jc w:val="center"/>
            </w:pPr>
            <w:r>
              <w:rPr>
                <w:rFonts w:hint="eastAsia"/>
              </w:rPr>
              <w:t>3</w:t>
            </w:r>
          </w:p>
        </w:tc>
        <w:tc>
          <w:tcPr>
            <w:tcW w:w="1506" w:type="dxa"/>
            <w:gridSpan w:val="3"/>
            <w:vAlign w:val="center"/>
          </w:tcPr>
          <w:p>
            <w:pPr>
              <w:pStyle w:val="42"/>
              <w:spacing w:line="240" w:lineRule="auto"/>
              <w:jc w:val="center"/>
            </w:pPr>
            <w:r>
              <w:t>火灾裂缝</w:t>
            </w:r>
          </w:p>
        </w:tc>
        <w:tc>
          <w:tcPr>
            <w:tcW w:w="2552" w:type="dxa"/>
            <w:vAlign w:val="center"/>
          </w:tcPr>
          <w:p>
            <w:pPr>
              <w:pStyle w:val="42"/>
              <w:spacing w:line="240" w:lineRule="auto"/>
              <w:jc w:val="center"/>
            </w:pPr>
            <w:r>
              <w:t>无火灾裂缝或轻微裂缝网</w:t>
            </w:r>
          </w:p>
        </w:tc>
        <w:tc>
          <w:tcPr>
            <w:tcW w:w="3260" w:type="dxa"/>
            <w:vAlign w:val="center"/>
          </w:tcPr>
          <w:p>
            <w:pPr>
              <w:pStyle w:val="42"/>
              <w:spacing w:line="240" w:lineRule="auto"/>
              <w:jc w:val="center"/>
            </w:pPr>
            <w:r>
              <w:t>表面轻微裂缝网</w:t>
            </w:r>
          </w:p>
        </w:tc>
        <w:tc>
          <w:tcPr>
            <w:tcW w:w="2340" w:type="dxa"/>
            <w:vAlign w:val="center"/>
          </w:tcPr>
          <w:p>
            <w:pPr>
              <w:pStyle w:val="42"/>
              <w:spacing w:line="240" w:lineRule="auto"/>
              <w:jc w:val="center"/>
            </w:pPr>
            <w:r>
              <w:t>粗裂缝网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79" w:type="dxa"/>
            <w:vAlign w:val="center"/>
          </w:tcPr>
          <w:p>
            <w:pPr>
              <w:pStyle w:val="42"/>
              <w:spacing w:line="240" w:lineRule="auto"/>
              <w:jc w:val="center"/>
            </w:pPr>
            <w:r>
              <w:rPr>
                <w:rFonts w:hint="eastAsia"/>
              </w:rPr>
              <w:t>4</w:t>
            </w:r>
          </w:p>
        </w:tc>
        <w:tc>
          <w:tcPr>
            <w:tcW w:w="1506" w:type="dxa"/>
            <w:gridSpan w:val="3"/>
            <w:vAlign w:val="center"/>
          </w:tcPr>
          <w:p>
            <w:pPr>
              <w:pStyle w:val="42"/>
              <w:spacing w:line="240" w:lineRule="auto"/>
              <w:jc w:val="center"/>
            </w:pPr>
            <w:r>
              <w:t>锤击反应</w:t>
            </w:r>
          </w:p>
        </w:tc>
        <w:tc>
          <w:tcPr>
            <w:tcW w:w="2552" w:type="dxa"/>
            <w:vAlign w:val="center"/>
          </w:tcPr>
          <w:p>
            <w:pPr>
              <w:pStyle w:val="42"/>
              <w:spacing w:line="240" w:lineRule="auto"/>
              <w:jc w:val="center"/>
            </w:pPr>
            <w:r>
              <w:t>声音响亮，混凝土表面不留下痕迹</w:t>
            </w:r>
          </w:p>
        </w:tc>
        <w:tc>
          <w:tcPr>
            <w:tcW w:w="3260" w:type="dxa"/>
            <w:vAlign w:val="center"/>
          </w:tcPr>
          <w:p>
            <w:pPr>
              <w:pStyle w:val="42"/>
              <w:spacing w:line="240" w:lineRule="auto"/>
              <w:jc w:val="center"/>
            </w:pPr>
            <w:r>
              <w:t>声音较响或较闷，混凝土表面留下较明显痕迹或局部混凝土酥碎</w:t>
            </w:r>
          </w:p>
        </w:tc>
        <w:tc>
          <w:tcPr>
            <w:tcW w:w="2340" w:type="dxa"/>
            <w:vAlign w:val="center"/>
          </w:tcPr>
          <w:p>
            <w:pPr>
              <w:pStyle w:val="42"/>
              <w:spacing w:line="240" w:lineRule="auto"/>
              <w:jc w:val="center"/>
            </w:pPr>
            <w:r>
              <w:t>声音发闷，混凝土粉碎或塌落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79" w:type="dxa"/>
            <w:vMerge w:val="restart"/>
            <w:vAlign w:val="center"/>
          </w:tcPr>
          <w:p>
            <w:pPr>
              <w:pStyle w:val="42"/>
              <w:spacing w:line="240" w:lineRule="auto"/>
              <w:jc w:val="center"/>
            </w:pPr>
            <w:r>
              <w:rPr>
                <w:rFonts w:hint="eastAsia"/>
              </w:rPr>
              <w:t>5</w:t>
            </w:r>
          </w:p>
        </w:tc>
        <w:tc>
          <w:tcPr>
            <w:tcW w:w="654" w:type="dxa"/>
            <w:gridSpan w:val="2"/>
            <w:vMerge w:val="restart"/>
            <w:vAlign w:val="center"/>
          </w:tcPr>
          <w:p>
            <w:pPr>
              <w:pStyle w:val="42"/>
              <w:spacing w:line="240" w:lineRule="auto"/>
              <w:jc w:val="center"/>
            </w:pPr>
            <w:r>
              <w:t>混凝土脱落</w:t>
            </w:r>
          </w:p>
        </w:tc>
        <w:tc>
          <w:tcPr>
            <w:tcW w:w="852" w:type="dxa"/>
            <w:vAlign w:val="center"/>
          </w:tcPr>
          <w:p>
            <w:pPr>
              <w:pStyle w:val="42"/>
              <w:spacing w:line="240" w:lineRule="auto"/>
              <w:jc w:val="center"/>
            </w:pPr>
            <w:r>
              <w:t>实心板</w:t>
            </w:r>
          </w:p>
        </w:tc>
        <w:tc>
          <w:tcPr>
            <w:tcW w:w="2552" w:type="dxa"/>
            <w:vAlign w:val="center"/>
          </w:tcPr>
          <w:p>
            <w:pPr>
              <w:pStyle w:val="42"/>
              <w:spacing w:line="240" w:lineRule="auto"/>
              <w:jc w:val="center"/>
            </w:pPr>
            <w:r>
              <w:t>无</w:t>
            </w:r>
          </w:p>
        </w:tc>
        <w:tc>
          <w:tcPr>
            <w:tcW w:w="3260" w:type="dxa"/>
            <w:vAlign w:val="center"/>
          </w:tcPr>
          <w:p>
            <w:pPr>
              <w:pStyle w:val="42"/>
              <w:spacing w:line="240" w:lineRule="auto"/>
              <w:jc w:val="center"/>
            </w:pPr>
            <w:r>
              <w:t>&lt;3处，且每处面积≤80cm</w:t>
            </w:r>
            <w:r>
              <w:rPr>
                <w:vertAlign w:val="superscript"/>
              </w:rPr>
              <w:t>2</w:t>
            </w:r>
          </w:p>
        </w:tc>
        <w:tc>
          <w:tcPr>
            <w:tcW w:w="2340" w:type="dxa"/>
            <w:vAlign w:val="center"/>
          </w:tcPr>
          <w:p>
            <w:pPr>
              <w:pStyle w:val="42"/>
              <w:spacing w:line="240" w:lineRule="auto"/>
              <w:jc w:val="center"/>
            </w:pPr>
            <w:r>
              <w:t>＞3处或单处面积&gt;80cm</w:t>
            </w:r>
            <w:r>
              <w:rPr>
                <w:vertAlign w:val="superscript"/>
              </w:rPr>
              <w:t>2</w:t>
            </w:r>
            <w:r>
              <w:rPr>
                <w:rFonts w:hint="eastAsia"/>
              </w:rPr>
              <w:t>，</w:t>
            </w:r>
            <w:r>
              <w:t>或穿透或全面脱落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79" w:type="dxa"/>
            <w:vMerge w:val="continue"/>
            <w:vAlign w:val="center"/>
          </w:tcPr>
          <w:p>
            <w:pPr>
              <w:pStyle w:val="42"/>
              <w:spacing w:line="240" w:lineRule="auto"/>
              <w:jc w:val="center"/>
            </w:pPr>
          </w:p>
        </w:tc>
        <w:tc>
          <w:tcPr>
            <w:tcW w:w="654" w:type="dxa"/>
            <w:gridSpan w:val="2"/>
            <w:vMerge w:val="continue"/>
            <w:vAlign w:val="center"/>
          </w:tcPr>
          <w:p>
            <w:pPr>
              <w:pStyle w:val="42"/>
              <w:spacing w:line="240" w:lineRule="auto"/>
              <w:jc w:val="center"/>
            </w:pPr>
          </w:p>
        </w:tc>
        <w:tc>
          <w:tcPr>
            <w:tcW w:w="852" w:type="dxa"/>
            <w:vAlign w:val="center"/>
          </w:tcPr>
          <w:p>
            <w:pPr>
              <w:pStyle w:val="42"/>
              <w:spacing w:line="240" w:lineRule="auto"/>
              <w:jc w:val="center"/>
            </w:pPr>
            <w:r>
              <w:t>肋形板</w:t>
            </w:r>
          </w:p>
        </w:tc>
        <w:tc>
          <w:tcPr>
            <w:tcW w:w="2552" w:type="dxa"/>
            <w:vAlign w:val="center"/>
          </w:tcPr>
          <w:p>
            <w:pPr>
              <w:pStyle w:val="42"/>
              <w:spacing w:line="240" w:lineRule="auto"/>
              <w:jc w:val="center"/>
            </w:pPr>
            <w:r>
              <w:t>无</w:t>
            </w:r>
          </w:p>
        </w:tc>
        <w:tc>
          <w:tcPr>
            <w:tcW w:w="3260" w:type="dxa"/>
            <w:vAlign w:val="center"/>
          </w:tcPr>
          <w:p>
            <w:pPr>
              <w:pStyle w:val="42"/>
              <w:spacing w:line="240" w:lineRule="auto"/>
              <w:jc w:val="center"/>
            </w:pPr>
            <w:r>
              <w:t>肋部有，锚固区无；板中个别处有，但面积不大于15%板面积，且不在跨中</w:t>
            </w:r>
          </w:p>
        </w:tc>
        <w:tc>
          <w:tcPr>
            <w:tcW w:w="2340" w:type="dxa"/>
            <w:vAlign w:val="center"/>
          </w:tcPr>
          <w:p>
            <w:pPr>
              <w:pStyle w:val="42"/>
              <w:spacing w:line="240" w:lineRule="auto"/>
              <w:jc w:val="center"/>
            </w:pPr>
            <w:r>
              <w:t>锚固区有，板有贯通，面积大于15%板面积，或穿过跨中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79" w:type="dxa"/>
            <w:vAlign w:val="center"/>
          </w:tcPr>
          <w:p>
            <w:pPr>
              <w:pStyle w:val="42"/>
              <w:spacing w:line="240" w:lineRule="auto"/>
              <w:jc w:val="center"/>
            </w:pPr>
            <w:r>
              <w:rPr>
                <w:rFonts w:hint="eastAsia"/>
              </w:rPr>
              <w:t>6</w:t>
            </w:r>
          </w:p>
        </w:tc>
        <w:tc>
          <w:tcPr>
            <w:tcW w:w="1506" w:type="dxa"/>
            <w:gridSpan w:val="3"/>
            <w:vAlign w:val="center"/>
          </w:tcPr>
          <w:p>
            <w:pPr>
              <w:pStyle w:val="42"/>
              <w:spacing w:line="240" w:lineRule="auto"/>
              <w:jc w:val="center"/>
            </w:pPr>
            <w:r>
              <w:t>受力钢筋露筋</w:t>
            </w:r>
          </w:p>
        </w:tc>
        <w:tc>
          <w:tcPr>
            <w:tcW w:w="2552" w:type="dxa"/>
            <w:vAlign w:val="center"/>
          </w:tcPr>
          <w:p>
            <w:pPr>
              <w:pStyle w:val="42"/>
              <w:spacing w:line="240" w:lineRule="auto"/>
              <w:jc w:val="center"/>
            </w:pPr>
            <w:r>
              <w:t>无</w:t>
            </w:r>
          </w:p>
        </w:tc>
        <w:tc>
          <w:tcPr>
            <w:tcW w:w="3260" w:type="dxa"/>
            <w:vAlign w:val="center"/>
          </w:tcPr>
          <w:p>
            <w:pPr>
              <w:pStyle w:val="42"/>
              <w:spacing w:line="240" w:lineRule="auto"/>
              <w:jc w:val="center"/>
            </w:pPr>
            <w:r>
              <w:t>有露筋，露筋长度小于15%板跨，且锚固区未露筋</w:t>
            </w:r>
          </w:p>
        </w:tc>
        <w:tc>
          <w:tcPr>
            <w:tcW w:w="2340" w:type="dxa"/>
            <w:vAlign w:val="center"/>
          </w:tcPr>
          <w:p>
            <w:pPr>
              <w:pStyle w:val="42"/>
              <w:spacing w:line="240" w:lineRule="auto"/>
              <w:jc w:val="center"/>
            </w:pPr>
            <w:r>
              <w:t>大面积露筋，露筋长度大于15%板跨，或锚固区露筋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79" w:type="dxa"/>
            <w:vAlign w:val="center"/>
          </w:tcPr>
          <w:p>
            <w:pPr>
              <w:pStyle w:val="42"/>
              <w:spacing w:line="240" w:lineRule="auto"/>
              <w:jc w:val="center"/>
            </w:pPr>
            <w:r>
              <w:rPr>
                <w:rFonts w:hint="eastAsia"/>
              </w:rPr>
              <w:t>7</w:t>
            </w:r>
          </w:p>
        </w:tc>
        <w:tc>
          <w:tcPr>
            <w:tcW w:w="1506" w:type="dxa"/>
            <w:gridSpan w:val="3"/>
            <w:vAlign w:val="center"/>
          </w:tcPr>
          <w:p>
            <w:pPr>
              <w:pStyle w:val="42"/>
              <w:spacing w:line="240" w:lineRule="auto"/>
              <w:jc w:val="center"/>
            </w:pPr>
            <w:r>
              <w:t>受力钢筋粘结性能</w:t>
            </w:r>
          </w:p>
        </w:tc>
        <w:tc>
          <w:tcPr>
            <w:tcW w:w="2552" w:type="dxa"/>
            <w:vAlign w:val="center"/>
          </w:tcPr>
          <w:p>
            <w:pPr>
              <w:pStyle w:val="42"/>
              <w:spacing w:line="240" w:lineRule="auto"/>
              <w:jc w:val="center"/>
            </w:pPr>
            <w:r>
              <w:t>无影响</w:t>
            </w:r>
          </w:p>
        </w:tc>
        <w:tc>
          <w:tcPr>
            <w:tcW w:w="3260" w:type="dxa"/>
            <w:vAlign w:val="center"/>
          </w:tcPr>
          <w:p>
            <w:pPr>
              <w:pStyle w:val="42"/>
              <w:spacing w:line="240" w:lineRule="auto"/>
              <w:jc w:val="center"/>
            </w:pPr>
            <w:r>
              <w:t>略有降低，但锚固区无影响</w:t>
            </w:r>
          </w:p>
        </w:tc>
        <w:tc>
          <w:tcPr>
            <w:tcW w:w="2340" w:type="dxa"/>
            <w:vAlign w:val="center"/>
          </w:tcPr>
          <w:p>
            <w:pPr>
              <w:pStyle w:val="42"/>
              <w:spacing w:line="240" w:lineRule="auto"/>
              <w:jc w:val="center"/>
            </w:pPr>
            <w:r>
              <w:t>降低严重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79" w:type="dxa"/>
            <w:vAlign w:val="center"/>
          </w:tcPr>
          <w:p>
            <w:pPr>
              <w:pStyle w:val="42"/>
              <w:spacing w:line="240" w:lineRule="auto"/>
              <w:jc w:val="center"/>
            </w:pPr>
            <w:r>
              <w:rPr>
                <w:rFonts w:hint="eastAsia"/>
              </w:rPr>
              <w:t>8</w:t>
            </w:r>
          </w:p>
        </w:tc>
        <w:tc>
          <w:tcPr>
            <w:tcW w:w="1506" w:type="dxa"/>
            <w:gridSpan w:val="3"/>
            <w:vAlign w:val="center"/>
          </w:tcPr>
          <w:p>
            <w:pPr>
              <w:pStyle w:val="42"/>
              <w:spacing w:line="240" w:lineRule="auto"/>
              <w:jc w:val="center"/>
            </w:pPr>
            <w:r>
              <w:t>变形</w:t>
            </w:r>
          </w:p>
        </w:tc>
        <w:tc>
          <w:tcPr>
            <w:tcW w:w="2552" w:type="dxa"/>
            <w:vAlign w:val="center"/>
          </w:tcPr>
          <w:p>
            <w:pPr>
              <w:pStyle w:val="42"/>
              <w:spacing w:line="240" w:lineRule="auto"/>
              <w:jc w:val="center"/>
            </w:pPr>
            <w:r>
              <w:t>无明显变形</w:t>
            </w:r>
          </w:p>
        </w:tc>
        <w:tc>
          <w:tcPr>
            <w:tcW w:w="3260" w:type="dxa"/>
            <w:vAlign w:val="center"/>
          </w:tcPr>
          <w:p>
            <w:pPr>
              <w:pStyle w:val="42"/>
              <w:spacing w:line="240" w:lineRule="auto"/>
              <w:jc w:val="center"/>
            </w:pPr>
            <w:r>
              <w:t>略有变形</w:t>
            </w:r>
          </w:p>
        </w:tc>
        <w:tc>
          <w:tcPr>
            <w:tcW w:w="2340" w:type="dxa"/>
            <w:vAlign w:val="center"/>
          </w:tcPr>
          <w:p>
            <w:pPr>
              <w:pStyle w:val="42"/>
              <w:spacing w:line="240" w:lineRule="auto"/>
              <w:jc w:val="center"/>
            </w:pPr>
            <w:r>
              <w:t>较大变形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79"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rPr>
                <w:rFonts w:hint="eastAsia"/>
              </w:rPr>
              <w:t>9</w:t>
            </w:r>
          </w:p>
        </w:tc>
        <w:tc>
          <w:tcPr>
            <w:tcW w:w="1506" w:type="dxa"/>
            <w:gridSpan w:val="3"/>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rPr>
                <w:rFonts w:hint="eastAsia"/>
              </w:rPr>
              <w:t>涂装与防火保护层</w:t>
            </w:r>
          </w:p>
        </w:tc>
        <w:tc>
          <w:tcPr>
            <w:tcW w:w="2552"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rPr>
                <w:rFonts w:hint="eastAsia"/>
              </w:rPr>
              <w:t>基本完好无损；防火保护层有细微裂纹且无脱落</w:t>
            </w:r>
          </w:p>
        </w:tc>
        <w:tc>
          <w:tcPr>
            <w:tcW w:w="3260"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防腐涂装完好；防火涂装或防火保护层开裂但无脱落</w:t>
            </w:r>
          </w:p>
        </w:tc>
        <w:tc>
          <w:tcPr>
            <w:tcW w:w="2340"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防腐涂装碳化；防火涂装或防火保护层局部范围脱落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79"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rPr>
                <w:rFonts w:hint="eastAsia"/>
              </w:rPr>
              <w:t>10</w:t>
            </w:r>
          </w:p>
        </w:tc>
        <w:tc>
          <w:tcPr>
            <w:tcW w:w="1506" w:type="dxa"/>
            <w:gridSpan w:val="3"/>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rPr>
                <w:rFonts w:hint="eastAsia"/>
              </w:rPr>
              <w:t>残余变形与开裂</w:t>
            </w:r>
          </w:p>
        </w:tc>
        <w:tc>
          <w:tcPr>
            <w:tcW w:w="2552"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无</w:t>
            </w:r>
          </w:p>
        </w:tc>
        <w:tc>
          <w:tcPr>
            <w:tcW w:w="3260"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rPr>
                <w:rFonts w:hint="eastAsia"/>
              </w:rPr>
              <w:t>无</w:t>
            </w:r>
          </w:p>
        </w:tc>
        <w:tc>
          <w:tcPr>
            <w:tcW w:w="2340"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rPr>
                <w:rFonts w:hint="eastAsia"/>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79"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rPr>
                <w:rFonts w:hint="eastAsia"/>
              </w:rPr>
              <w:t>11</w:t>
            </w:r>
          </w:p>
        </w:tc>
        <w:tc>
          <w:tcPr>
            <w:tcW w:w="1506" w:type="dxa"/>
            <w:gridSpan w:val="3"/>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rPr>
                <w:rFonts w:hint="eastAsia"/>
              </w:rPr>
              <w:t>局部屈曲与扭曲</w:t>
            </w:r>
          </w:p>
        </w:tc>
        <w:tc>
          <w:tcPr>
            <w:tcW w:w="2552"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无</w:t>
            </w:r>
          </w:p>
        </w:tc>
        <w:tc>
          <w:tcPr>
            <w:tcW w:w="3260"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rPr>
                <w:rFonts w:hint="eastAsia"/>
              </w:rPr>
              <w:t>有局部残余变形、</w:t>
            </w:r>
            <w:r>
              <w:t>轻度局部屈曲或扭曲，对承载力无明显影响</w:t>
            </w:r>
          </w:p>
        </w:tc>
        <w:tc>
          <w:tcPr>
            <w:tcW w:w="2340"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主要受力截面有局部屈曲或扭曲，对承载力无明显影响；非主要受力截面有明显局部屈曲或扭曲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479" w:type="dxa"/>
            <w:vMerge w:val="restart"/>
            <w:tcBorders>
              <w:top w:val="single" w:color="auto" w:sz="4" w:space="0"/>
              <w:left w:val="single" w:color="auto" w:sz="4" w:space="0"/>
              <w:right w:val="single" w:color="auto" w:sz="4" w:space="0"/>
            </w:tcBorders>
            <w:vAlign w:val="center"/>
          </w:tcPr>
          <w:p>
            <w:pPr>
              <w:pStyle w:val="42"/>
              <w:spacing w:line="240" w:lineRule="auto"/>
              <w:jc w:val="center"/>
            </w:pPr>
            <w:r>
              <w:rPr>
                <w:rFonts w:hint="eastAsia"/>
              </w:rPr>
              <w:t>12</w:t>
            </w:r>
          </w:p>
        </w:tc>
        <w:tc>
          <w:tcPr>
            <w:tcW w:w="426" w:type="dxa"/>
            <w:vMerge w:val="restart"/>
            <w:tcBorders>
              <w:top w:val="single" w:color="auto" w:sz="4" w:space="0"/>
              <w:left w:val="single" w:color="auto" w:sz="4" w:space="0"/>
              <w:right w:val="single" w:color="auto" w:sz="4" w:space="0"/>
            </w:tcBorders>
            <w:vAlign w:val="center"/>
          </w:tcPr>
          <w:p>
            <w:pPr>
              <w:pStyle w:val="42"/>
              <w:spacing w:line="240" w:lineRule="auto"/>
              <w:jc w:val="center"/>
            </w:pPr>
            <w:r>
              <w:rPr>
                <w:rFonts w:hint="eastAsia"/>
              </w:rPr>
              <w:t>连接损伤情况</w:t>
            </w:r>
          </w:p>
        </w:tc>
        <w:tc>
          <w:tcPr>
            <w:tcW w:w="1080" w:type="dxa"/>
            <w:gridSpan w:val="2"/>
            <w:tcBorders>
              <w:top w:val="single" w:color="auto" w:sz="4" w:space="0"/>
              <w:left w:val="single" w:color="auto" w:sz="4" w:space="0"/>
              <w:right w:val="single" w:color="auto" w:sz="4" w:space="0"/>
            </w:tcBorders>
            <w:vAlign w:val="center"/>
          </w:tcPr>
          <w:p>
            <w:pPr>
              <w:pStyle w:val="42"/>
              <w:spacing w:line="240" w:lineRule="auto"/>
              <w:jc w:val="center"/>
            </w:pPr>
            <w:r>
              <w:t>连接板残余变形与撕裂</w:t>
            </w:r>
          </w:p>
        </w:tc>
        <w:tc>
          <w:tcPr>
            <w:tcW w:w="2552"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无</w:t>
            </w:r>
          </w:p>
        </w:tc>
        <w:tc>
          <w:tcPr>
            <w:tcW w:w="3260" w:type="dxa"/>
            <w:tcBorders>
              <w:top w:val="single" w:color="auto" w:sz="4" w:space="0"/>
              <w:left w:val="single" w:color="auto" w:sz="4" w:space="0"/>
              <w:right w:val="single" w:color="auto" w:sz="4" w:space="0"/>
            </w:tcBorders>
            <w:vAlign w:val="center"/>
          </w:tcPr>
          <w:p>
            <w:pPr>
              <w:pStyle w:val="42"/>
              <w:spacing w:line="240" w:lineRule="auto"/>
              <w:jc w:val="center"/>
            </w:pPr>
            <w:r>
              <w:t>轻度残余变形，对承载力无明显影响</w:t>
            </w:r>
          </w:p>
        </w:tc>
        <w:tc>
          <w:tcPr>
            <w:tcW w:w="2340" w:type="dxa"/>
            <w:tcBorders>
              <w:top w:val="single" w:color="auto" w:sz="4" w:space="0"/>
              <w:left w:val="single" w:color="auto" w:sz="4" w:space="0"/>
              <w:right w:val="single" w:color="auto" w:sz="4" w:space="0"/>
            </w:tcBorders>
            <w:vAlign w:val="center"/>
          </w:tcPr>
          <w:p>
            <w:pPr>
              <w:pStyle w:val="42"/>
              <w:spacing w:line="240" w:lineRule="auto"/>
              <w:jc w:val="center"/>
            </w:pPr>
            <w:r>
              <w:t>主要受力节点板有一定的变形，或节点加劲肋有较明显的变形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479" w:type="dxa"/>
            <w:vMerge w:val="continue"/>
            <w:tcBorders>
              <w:left w:val="single" w:color="auto" w:sz="4" w:space="0"/>
              <w:bottom w:val="single" w:color="auto" w:sz="4" w:space="0"/>
              <w:right w:val="single" w:color="auto" w:sz="4" w:space="0"/>
            </w:tcBorders>
            <w:vAlign w:val="center"/>
          </w:tcPr>
          <w:p>
            <w:pPr>
              <w:pStyle w:val="42"/>
              <w:spacing w:line="240" w:lineRule="auto"/>
              <w:jc w:val="center"/>
            </w:pPr>
          </w:p>
        </w:tc>
        <w:tc>
          <w:tcPr>
            <w:tcW w:w="426" w:type="dxa"/>
            <w:vMerge w:val="continue"/>
            <w:tcBorders>
              <w:left w:val="single" w:color="auto" w:sz="4" w:space="0"/>
              <w:bottom w:val="single" w:color="auto" w:sz="4" w:space="0"/>
              <w:right w:val="single" w:color="auto" w:sz="4" w:space="0"/>
            </w:tcBorders>
            <w:vAlign w:val="center"/>
          </w:tcPr>
          <w:p>
            <w:pPr>
              <w:pStyle w:val="42"/>
              <w:spacing w:line="240" w:lineRule="auto"/>
              <w:jc w:val="center"/>
            </w:pPr>
          </w:p>
        </w:tc>
        <w:tc>
          <w:tcPr>
            <w:tcW w:w="1080" w:type="dxa"/>
            <w:gridSpan w:val="2"/>
            <w:tcBorders>
              <w:left w:val="single" w:color="auto" w:sz="4" w:space="0"/>
              <w:bottom w:val="single" w:color="auto" w:sz="4" w:space="0"/>
              <w:right w:val="single" w:color="auto" w:sz="4" w:space="0"/>
            </w:tcBorders>
            <w:vAlign w:val="center"/>
          </w:tcPr>
          <w:p>
            <w:pPr>
              <w:pStyle w:val="42"/>
              <w:spacing w:line="240" w:lineRule="auto"/>
              <w:jc w:val="center"/>
            </w:pPr>
            <w:r>
              <w:t>焊缝撕裂与螺栓滑移及变形断裂</w:t>
            </w:r>
          </w:p>
        </w:tc>
        <w:tc>
          <w:tcPr>
            <w:tcW w:w="2552" w:type="dxa"/>
            <w:tcBorders>
              <w:top w:val="single" w:color="auto" w:sz="4" w:space="0"/>
              <w:left w:val="single" w:color="auto" w:sz="4" w:space="0"/>
              <w:bottom w:val="single" w:color="auto" w:sz="4" w:space="0"/>
              <w:right w:val="single" w:color="auto" w:sz="4" w:space="0"/>
            </w:tcBorders>
            <w:vAlign w:val="center"/>
          </w:tcPr>
          <w:p>
            <w:pPr>
              <w:pStyle w:val="42"/>
              <w:spacing w:line="240" w:lineRule="auto"/>
              <w:jc w:val="center"/>
            </w:pPr>
            <w:r>
              <w:t>无</w:t>
            </w:r>
          </w:p>
        </w:tc>
        <w:tc>
          <w:tcPr>
            <w:tcW w:w="3260" w:type="dxa"/>
            <w:tcBorders>
              <w:left w:val="single" w:color="auto" w:sz="4" w:space="0"/>
              <w:bottom w:val="single" w:color="auto" w:sz="4" w:space="0"/>
              <w:right w:val="single" w:color="auto" w:sz="4" w:space="0"/>
            </w:tcBorders>
            <w:vAlign w:val="center"/>
          </w:tcPr>
          <w:p>
            <w:pPr>
              <w:pStyle w:val="42"/>
              <w:spacing w:line="240" w:lineRule="auto"/>
              <w:jc w:val="center"/>
            </w:pPr>
            <w:r>
              <w:t>个别连接螺栓松动</w:t>
            </w:r>
          </w:p>
        </w:tc>
        <w:tc>
          <w:tcPr>
            <w:tcW w:w="2340" w:type="dxa"/>
            <w:tcBorders>
              <w:left w:val="single" w:color="auto" w:sz="4" w:space="0"/>
              <w:bottom w:val="single" w:color="auto" w:sz="4" w:space="0"/>
              <w:right w:val="single" w:color="auto" w:sz="4" w:space="0"/>
            </w:tcBorders>
            <w:vAlign w:val="center"/>
          </w:tcPr>
          <w:p>
            <w:pPr>
              <w:pStyle w:val="42"/>
              <w:spacing w:line="240" w:lineRule="auto"/>
              <w:jc w:val="center"/>
            </w:pPr>
            <w:r>
              <w:rPr>
                <w:rFonts w:hint="eastAsia"/>
              </w:rPr>
              <w:t>螺栓松动，有滑移；受拉区连接板之间脱开，个别焊缝撕裂</w:t>
            </w:r>
          </w:p>
        </w:tc>
      </w:tr>
    </w:tbl>
    <w:p>
      <w:pPr>
        <w:pStyle w:val="42"/>
        <w:rPr>
          <w:sz w:val="20"/>
        </w:rPr>
      </w:pPr>
      <w:r>
        <w:rPr>
          <w:rFonts w:hint="eastAsia"/>
          <w:sz w:val="20"/>
        </w:rPr>
        <w:t>注：1、钢-混组合楼板、屋面板包含不配筋的组合楼板以及配筋或配钢筋网片的组合楼板。当钢-混组合楼板配筋时，火灾后初步鉴定需要鉴定6、7项；不配筋时，可忽略6、7项的鉴定。</w:t>
      </w:r>
    </w:p>
    <w:p>
      <w:pPr>
        <w:pStyle w:val="42"/>
      </w:pPr>
      <w:r>
        <w:rPr>
          <w:rFonts w:hint="eastAsia"/>
          <w:sz w:val="20"/>
        </w:rPr>
        <w:t xml:space="preserve">    2、对于局部小范围火灾，当火灾只直接影响到楼板或屋面板的混凝土区域，根据表6.</w:t>
      </w:r>
      <w:r>
        <w:rPr>
          <w:sz w:val="20"/>
        </w:rPr>
        <w:t>6</w:t>
      </w:r>
      <w:r>
        <w:rPr>
          <w:rFonts w:hint="eastAsia"/>
          <w:sz w:val="20"/>
        </w:rPr>
        <w:t>.2中的1~</w:t>
      </w:r>
      <w:r>
        <w:rPr>
          <w:sz w:val="20"/>
        </w:rPr>
        <w:t>8项进行初步鉴定</w:t>
      </w:r>
      <w:r>
        <w:rPr>
          <w:rFonts w:hint="eastAsia"/>
          <w:sz w:val="20"/>
        </w:rPr>
        <w:t>；当火灾只直接影响到楼板或屋面板的楼承板的钢板区域，根据表6.</w:t>
      </w:r>
      <w:r>
        <w:rPr>
          <w:sz w:val="20"/>
        </w:rPr>
        <w:t>6</w:t>
      </w:r>
      <w:r>
        <w:rPr>
          <w:rFonts w:hint="eastAsia"/>
          <w:sz w:val="20"/>
        </w:rPr>
        <w:t>.2中的</w:t>
      </w:r>
      <w:r>
        <w:rPr>
          <w:sz w:val="20"/>
        </w:rPr>
        <w:t>9</w:t>
      </w:r>
      <w:r>
        <w:rPr>
          <w:rFonts w:hint="eastAsia"/>
          <w:sz w:val="20"/>
        </w:rPr>
        <w:t>~</w:t>
      </w:r>
      <w:r>
        <w:rPr>
          <w:sz w:val="20"/>
        </w:rPr>
        <w:t>12</w:t>
      </w:r>
      <w:r>
        <w:rPr>
          <w:rFonts w:hint="eastAsia"/>
          <w:sz w:val="20"/>
        </w:rPr>
        <w:t>项进行初步鉴定；</w:t>
      </w:r>
    </w:p>
    <w:p>
      <w:r>
        <w:rPr>
          <w:rFonts w:hint="eastAsia"/>
          <w:b/>
        </w:rPr>
        <w:t>6.</w:t>
      </w:r>
      <w:r>
        <w:rPr>
          <w:b/>
        </w:rPr>
        <w:t>6</w:t>
      </w:r>
      <w:r>
        <w:rPr>
          <w:rFonts w:hint="eastAsia"/>
          <w:b/>
        </w:rPr>
        <w:t>.</w:t>
      </w:r>
      <w:r>
        <w:rPr>
          <w:b/>
        </w:rPr>
        <w:t>4</w:t>
      </w:r>
      <w:r>
        <w:t xml:space="preserve"> </w:t>
      </w:r>
      <w:r>
        <w:rPr>
          <w:rFonts w:hint="eastAsia"/>
        </w:rPr>
        <w:t>火灾后钢-混组合结构构件的详细鉴定评级应符合下列规定：</w:t>
      </w:r>
    </w:p>
    <w:p>
      <w:pPr>
        <w:ind w:firstLine="420" w:firstLineChars="200"/>
        <w:rPr>
          <w:rFonts w:cs="Times New Roman"/>
        </w:rPr>
      </w:pPr>
      <w:r>
        <w:rPr>
          <w:rFonts w:cs="Times New Roman"/>
        </w:rPr>
        <w:t>1 火灾后</w:t>
      </w:r>
      <w:r>
        <w:rPr>
          <w:rFonts w:hint="eastAsia"/>
        </w:rPr>
        <w:t>钢-混组合结构构件</w:t>
      </w:r>
      <w:r>
        <w:rPr>
          <w:rFonts w:cs="Times New Roman"/>
        </w:rPr>
        <w:t>过火钢材力学性能指标宜现场取样检验</w:t>
      </w:r>
      <w:r>
        <w:rPr>
          <w:rFonts w:hint="eastAsia" w:cs="Times New Roman"/>
        </w:rPr>
        <w:t>，</w:t>
      </w:r>
      <w:r>
        <w:rPr>
          <w:rFonts w:cs="Times New Roman"/>
        </w:rPr>
        <w:t>还可根据本标准附录H判定不同温度下结构钢的屈服强度</w:t>
      </w:r>
      <w:r>
        <w:rPr>
          <w:rFonts w:hint="eastAsia" w:cs="Times New Roman"/>
        </w:rPr>
        <w:t>；火灾后钢-混组合结构构件</w:t>
      </w:r>
      <w:r>
        <w:rPr>
          <w:rFonts w:cs="Times New Roman"/>
        </w:rPr>
        <w:t>过火混凝土截面温度场取决于</w:t>
      </w:r>
      <w:r>
        <w:rPr>
          <w:rFonts w:hint="eastAsia" w:cs="Times New Roman"/>
        </w:rPr>
        <w:t>构件的截面形式、材料热性能、构件表面最高温度和火灾持续时间，还可根据本标准附录</w:t>
      </w:r>
      <w:r>
        <w:rPr>
          <w:rFonts w:cs="Times New Roman"/>
        </w:rPr>
        <w:t>D</w:t>
      </w:r>
      <w:r>
        <w:rPr>
          <w:rFonts w:hint="eastAsia" w:cs="Times New Roman"/>
        </w:rPr>
        <w:t>判定不同温度下混凝土的火灾截面温度场。</w:t>
      </w:r>
    </w:p>
    <w:p>
      <w:pPr>
        <w:ind w:firstLine="420" w:firstLineChars="200"/>
        <w:rPr>
          <w:rFonts w:cs="Times New Roman"/>
        </w:rPr>
      </w:pPr>
      <w:r>
        <w:rPr>
          <w:rFonts w:hint="eastAsia" w:cs="Times New Roman"/>
        </w:rPr>
        <w:t>2</w:t>
      </w:r>
      <w:r>
        <w:rPr>
          <w:rFonts w:cs="Times New Roman"/>
        </w:rPr>
        <w:t xml:space="preserve"> 构件</w:t>
      </w:r>
      <w:r>
        <w:rPr>
          <w:rFonts w:hint="eastAsia" w:cs="Times New Roman"/>
        </w:rPr>
        <w:t>与连接</w:t>
      </w:r>
      <w:r>
        <w:rPr>
          <w:rFonts w:cs="Times New Roman"/>
        </w:rPr>
        <w:t>承载力鉴定时，应考虑火灾对材料强度和构件变形的影响</w:t>
      </w:r>
      <w:r>
        <w:rPr>
          <w:rFonts w:hint="eastAsia" w:cs="Times New Roman"/>
        </w:rPr>
        <w:t>；</w:t>
      </w:r>
      <w:r>
        <w:rPr>
          <w:rFonts w:cs="Times New Roman"/>
        </w:rPr>
        <w:t>火灾后</w:t>
      </w:r>
      <w:r>
        <w:rPr>
          <w:rFonts w:hint="eastAsia" w:cs="Times New Roman"/>
        </w:rPr>
        <w:t>型钢混凝土组合结构构件承载能力应按国家现行标准《工业建筑可靠性鉴定标准》（GB50144）、《民用建筑可靠性鉴定标准》（GB50292）等中的火灾后混凝土结构构件进行详细鉴定评级。</w:t>
      </w:r>
    </w:p>
    <w:p>
      <w:pPr>
        <w:ind w:firstLine="420" w:firstLineChars="200"/>
        <w:rPr>
          <w:rFonts w:cs="Times New Roman"/>
        </w:rPr>
      </w:pPr>
      <w:r>
        <w:rPr>
          <w:rFonts w:hint="eastAsia" w:cs="Times New Roman"/>
        </w:rPr>
        <w:t>火灾后其他组合结构构件承载能力应根据过火后钢材和混凝土的强度进行详细鉴定评级。</w:t>
      </w:r>
    </w:p>
    <w:p>
      <w:pPr>
        <w:ind w:firstLine="420" w:firstLineChars="200"/>
        <w:rPr>
          <w:rFonts w:cs="Times New Roman"/>
        </w:rPr>
      </w:pPr>
      <w:r>
        <w:rPr>
          <w:rFonts w:hint="eastAsia" w:cs="Times New Roman"/>
        </w:rPr>
        <w:t>3</w:t>
      </w:r>
      <w:r>
        <w:rPr>
          <w:rFonts w:cs="Times New Roman"/>
        </w:rPr>
        <w:t xml:space="preserve"> </w:t>
      </w:r>
      <w:r>
        <w:rPr>
          <w:rFonts w:hint="eastAsia" w:cs="Times New Roman"/>
        </w:rPr>
        <w:t>火灾后混凝土、普通钢筋、型钢力学性能宜根据钻取混凝土芯样、取钢筋试样检验，也可根据构件截面温度场按本标准附录</w:t>
      </w:r>
      <w:r>
        <w:rPr>
          <w:rFonts w:cs="Times New Roman"/>
        </w:rPr>
        <w:t>G.1和附录</w:t>
      </w:r>
      <w:r>
        <w:rPr>
          <w:rFonts w:hint="eastAsia" w:cs="Times New Roman"/>
        </w:rPr>
        <w:t>G.2判定。火灾后钢筋与混凝土弹性模量以及钢筋与混凝土粘结强度折减系数可根据构件截面温度场参照本标准附录</w:t>
      </w:r>
      <w:r>
        <w:rPr>
          <w:rFonts w:cs="Times New Roman"/>
        </w:rPr>
        <w:t>G.3</w:t>
      </w:r>
      <w:r>
        <w:rPr>
          <w:rFonts w:hint="eastAsia" w:cs="Times New Roman"/>
        </w:rPr>
        <w:t>判定。</w:t>
      </w:r>
    </w:p>
    <w:p>
      <w:pPr>
        <w:rPr>
          <w:rFonts w:cs="Times New Roman"/>
        </w:rPr>
        <w:sectPr>
          <w:pgSz w:w="11906" w:h="16838"/>
          <w:pgMar w:top="1440" w:right="1080" w:bottom="1440" w:left="1080" w:header="851" w:footer="1134" w:gutter="0"/>
          <w:cols w:space="425" w:num="1"/>
          <w:docGrid w:type="lines" w:linePitch="312" w:charSpace="0"/>
        </w:sectPr>
      </w:pPr>
    </w:p>
    <w:p>
      <w:pPr>
        <w:pStyle w:val="2"/>
        <w:rPr>
          <w:rFonts w:cs="Times New Roman"/>
        </w:rPr>
      </w:pPr>
      <w:bookmarkStart w:id="65" w:name="_Toc500168108"/>
      <w:bookmarkStart w:id="66" w:name="_Toc505085897"/>
      <w:bookmarkStart w:id="67" w:name="_Toc501474086"/>
      <w:r>
        <w:rPr>
          <w:rFonts w:cs="Times New Roman"/>
        </w:rPr>
        <w:t>7鉴定报告</w:t>
      </w:r>
      <w:bookmarkEnd w:id="65"/>
      <w:bookmarkEnd w:id="66"/>
      <w:bookmarkEnd w:id="67"/>
    </w:p>
    <w:p>
      <w:pPr>
        <w:rPr>
          <w:rFonts w:cs="Times New Roman"/>
        </w:rPr>
      </w:pPr>
      <w:r>
        <w:rPr>
          <w:rFonts w:cs="Times New Roman"/>
          <w:b/>
        </w:rPr>
        <w:t>7.0.1</w:t>
      </w:r>
      <w:r>
        <w:rPr>
          <w:rFonts w:cs="Times New Roman"/>
        </w:rPr>
        <w:t>鉴定报告应包括下列内容：</w:t>
      </w:r>
    </w:p>
    <w:p>
      <w:pPr>
        <w:ind w:firstLine="420" w:firstLineChars="200"/>
        <w:rPr>
          <w:rFonts w:cs="Times New Roman"/>
        </w:rPr>
      </w:pPr>
      <w:r>
        <w:rPr>
          <w:rFonts w:cs="Times New Roman"/>
        </w:rPr>
        <w:t>1  工程概况；</w:t>
      </w:r>
    </w:p>
    <w:p>
      <w:pPr>
        <w:ind w:firstLine="420" w:firstLineChars="200"/>
        <w:rPr>
          <w:rFonts w:cs="Times New Roman"/>
        </w:rPr>
      </w:pPr>
      <w:r>
        <w:rPr>
          <w:rFonts w:cs="Times New Roman"/>
        </w:rPr>
        <w:t>2  鉴定的目的、范围、内容、依据以及检测仪器；</w:t>
      </w:r>
    </w:p>
    <w:p>
      <w:pPr>
        <w:ind w:firstLine="420" w:firstLineChars="200"/>
        <w:rPr>
          <w:rFonts w:cs="Times New Roman"/>
        </w:rPr>
      </w:pPr>
      <w:r>
        <w:rPr>
          <w:rFonts w:cs="Times New Roman"/>
        </w:rPr>
        <w:t>3  调查、检测与分析结果；</w:t>
      </w:r>
    </w:p>
    <w:p>
      <w:pPr>
        <w:ind w:firstLine="420" w:firstLineChars="200"/>
        <w:rPr>
          <w:rFonts w:cs="Times New Roman"/>
        </w:rPr>
      </w:pPr>
      <w:r>
        <w:rPr>
          <w:rFonts w:cs="Times New Roman"/>
        </w:rPr>
        <w:t>4  评定等级；</w:t>
      </w:r>
    </w:p>
    <w:p>
      <w:pPr>
        <w:ind w:firstLine="420" w:firstLineChars="200"/>
        <w:rPr>
          <w:rFonts w:cs="Times New Roman"/>
        </w:rPr>
      </w:pPr>
      <w:r>
        <w:rPr>
          <w:rFonts w:cs="Times New Roman"/>
        </w:rPr>
        <w:t>5  结论与建议；</w:t>
      </w:r>
    </w:p>
    <w:p>
      <w:pPr>
        <w:ind w:firstLine="420" w:firstLineChars="200"/>
        <w:rPr>
          <w:rFonts w:cs="Times New Roman"/>
        </w:rPr>
      </w:pPr>
      <w:r>
        <w:rPr>
          <w:rFonts w:cs="Times New Roman"/>
        </w:rPr>
        <w:t>6  附件。</w:t>
      </w:r>
    </w:p>
    <w:p>
      <w:pPr>
        <w:rPr>
          <w:rFonts w:cs="Times New Roman"/>
        </w:rPr>
      </w:pPr>
      <w:r>
        <w:rPr>
          <w:rFonts w:cs="Times New Roman"/>
          <w:b/>
        </w:rPr>
        <w:t>7.0.2</w:t>
      </w:r>
      <w:r>
        <w:rPr>
          <w:rFonts w:cs="Times New Roman"/>
        </w:rPr>
        <w:t>鉴定报告编写</w:t>
      </w:r>
      <w:r>
        <w:rPr>
          <w:rFonts w:hint="eastAsia" w:cs="Times New Roman"/>
        </w:rPr>
        <w:t>尚</w:t>
      </w:r>
      <w:r>
        <w:rPr>
          <w:rFonts w:cs="Times New Roman"/>
        </w:rPr>
        <w:t>应符合下列要求：</w:t>
      </w:r>
    </w:p>
    <w:p>
      <w:pPr>
        <w:ind w:firstLine="420" w:firstLineChars="200"/>
        <w:rPr>
          <w:rFonts w:cs="Times New Roman"/>
        </w:rPr>
      </w:pPr>
      <w:r>
        <w:rPr>
          <w:rFonts w:cs="Times New Roman"/>
        </w:rPr>
        <w:t>1 鉴定报告中应对初步鉴定评为Ⅱ</w:t>
      </w:r>
      <w:r>
        <w:rPr>
          <w:rFonts w:cs="Times New Roman"/>
          <w:vertAlign w:val="subscript"/>
        </w:rPr>
        <w:t>b</w:t>
      </w:r>
      <w:r>
        <w:rPr>
          <w:rFonts w:cs="Times New Roman"/>
        </w:rPr>
        <w:t>级、Ⅲ级和Ⅳ级构件和详细鉴定评为c级或d级构件的数量、所处位置及其处理建议作出说明。</w:t>
      </w:r>
    </w:p>
    <w:p>
      <w:pPr>
        <w:ind w:firstLine="420" w:firstLineChars="200"/>
        <w:rPr>
          <w:rFonts w:cs="Times New Roman"/>
        </w:rPr>
      </w:pPr>
      <w:r>
        <w:rPr>
          <w:rFonts w:hint="eastAsia" w:cs="Times New Roman"/>
        </w:rPr>
        <w:t>2</w:t>
      </w:r>
      <w:r>
        <w:rPr>
          <w:rFonts w:cs="Times New Roman"/>
        </w:rPr>
        <w:t xml:space="preserve"> </w:t>
      </w:r>
      <w:r>
        <w:rPr>
          <w:rFonts w:hint="eastAsia" w:cs="Times New Roman"/>
        </w:rPr>
        <w:t>当需要对火灾后工程结构的整体安全性进行评估时，应明确鉴定结论，指明被鉴定工程结构各鉴定单元的最终评定等级。</w:t>
      </w:r>
    </w:p>
    <w:p>
      <w:pPr>
        <w:rPr>
          <w:rFonts w:ascii="Adobe 楷体 Std R" w:hAnsi="Adobe 楷体 Std R" w:eastAsia="Adobe 楷体 Std R" w:cs="Times New Roman"/>
        </w:rPr>
      </w:pPr>
    </w:p>
    <w:p>
      <w:pPr>
        <w:pStyle w:val="2"/>
        <w:rPr>
          <w:rFonts w:cs="Times New Roman"/>
        </w:rPr>
        <w:sectPr>
          <w:headerReference r:id="rId7" w:type="first"/>
          <w:footerReference r:id="rId10" w:type="first"/>
          <w:headerReference r:id="rId6" w:type="default"/>
          <w:footerReference r:id="rId8" w:type="default"/>
          <w:footerReference r:id="rId9" w:type="even"/>
          <w:pgSz w:w="11906" w:h="16838"/>
          <w:pgMar w:top="1440" w:right="1080" w:bottom="1440" w:left="1080" w:header="851" w:footer="992" w:gutter="0"/>
          <w:cols w:space="425" w:num="1"/>
          <w:docGrid w:type="lines" w:linePitch="312" w:charSpace="0"/>
        </w:sectPr>
      </w:pPr>
      <w:bookmarkStart w:id="68" w:name="_Toc500168109"/>
      <w:bookmarkStart w:id="69" w:name="_Toc501474087"/>
    </w:p>
    <w:bookmarkEnd w:id="68"/>
    <w:bookmarkEnd w:id="69"/>
    <w:p>
      <w:pPr>
        <w:pStyle w:val="2"/>
        <w:rPr>
          <w:rFonts w:cs="Times New Roman"/>
        </w:rPr>
      </w:pPr>
      <w:bookmarkStart w:id="70" w:name="_Toc505085898"/>
      <w:r>
        <w:rPr>
          <w:rFonts w:cs="Times New Roman"/>
        </w:rPr>
        <w:t>附录A  常见材料燃点、变态温度</w:t>
      </w:r>
      <w:bookmarkEnd w:id="70"/>
    </w:p>
    <w:p>
      <w:pPr>
        <w:pStyle w:val="41"/>
      </w:pPr>
      <w:r>
        <w:t>表A-1   玻璃、金属材料、塑料的变态温度</w:t>
      </w:r>
    </w:p>
    <w:tbl>
      <w:tblPr>
        <w:tblStyle w:val="24"/>
        <w:tblW w:w="80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842"/>
        <w:gridCol w:w="2511"/>
        <w:gridCol w:w="1844"/>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vAlign w:val="center"/>
          </w:tcPr>
          <w:p>
            <w:pPr>
              <w:pStyle w:val="42"/>
              <w:jc w:val="center"/>
            </w:pPr>
            <w:r>
              <w:t>分类</w:t>
            </w:r>
          </w:p>
        </w:tc>
        <w:tc>
          <w:tcPr>
            <w:tcW w:w="1842" w:type="dxa"/>
            <w:vAlign w:val="center"/>
          </w:tcPr>
          <w:p>
            <w:pPr>
              <w:pStyle w:val="42"/>
              <w:jc w:val="center"/>
            </w:pPr>
            <w:r>
              <w:t>名称</w:t>
            </w:r>
          </w:p>
        </w:tc>
        <w:tc>
          <w:tcPr>
            <w:tcW w:w="2511" w:type="dxa"/>
            <w:vAlign w:val="center"/>
          </w:tcPr>
          <w:p>
            <w:pPr>
              <w:pStyle w:val="42"/>
              <w:jc w:val="center"/>
            </w:pPr>
            <w:r>
              <w:t>代表制品</w:t>
            </w:r>
          </w:p>
        </w:tc>
        <w:tc>
          <w:tcPr>
            <w:tcW w:w="1844" w:type="dxa"/>
            <w:vAlign w:val="center"/>
          </w:tcPr>
          <w:p>
            <w:pPr>
              <w:pStyle w:val="42"/>
              <w:jc w:val="center"/>
            </w:pPr>
            <w:r>
              <w:t>形态</w:t>
            </w:r>
          </w:p>
        </w:tc>
        <w:tc>
          <w:tcPr>
            <w:tcW w:w="989" w:type="dxa"/>
            <w:vAlign w:val="center"/>
          </w:tcPr>
          <w:p>
            <w:pPr>
              <w:pStyle w:val="42"/>
              <w:jc w:val="center"/>
            </w:pPr>
            <w: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866" w:type="dxa"/>
            <w:vMerge w:val="restart"/>
            <w:vAlign w:val="center"/>
          </w:tcPr>
          <w:p>
            <w:pPr>
              <w:pStyle w:val="42"/>
              <w:jc w:val="center"/>
            </w:pPr>
            <w:r>
              <w:t>玻璃</w:t>
            </w:r>
          </w:p>
        </w:tc>
        <w:tc>
          <w:tcPr>
            <w:tcW w:w="1842" w:type="dxa"/>
            <w:vMerge w:val="restart"/>
            <w:vAlign w:val="center"/>
          </w:tcPr>
          <w:p>
            <w:pPr>
              <w:pStyle w:val="42"/>
              <w:jc w:val="center"/>
            </w:pPr>
            <w:r>
              <w:t>模制玻璃</w:t>
            </w:r>
          </w:p>
        </w:tc>
        <w:tc>
          <w:tcPr>
            <w:tcW w:w="2511" w:type="dxa"/>
            <w:vMerge w:val="restart"/>
            <w:vAlign w:val="center"/>
          </w:tcPr>
          <w:p>
            <w:pPr>
              <w:pStyle w:val="42"/>
              <w:jc w:val="center"/>
            </w:pPr>
            <w:r>
              <w:t>玻璃砖、缸、杯、瓶，玻璃装饰物</w:t>
            </w:r>
          </w:p>
        </w:tc>
        <w:tc>
          <w:tcPr>
            <w:tcW w:w="1844" w:type="dxa"/>
            <w:vAlign w:val="center"/>
          </w:tcPr>
          <w:p>
            <w:pPr>
              <w:pStyle w:val="42"/>
              <w:jc w:val="center"/>
            </w:pPr>
            <w:r>
              <w:t>软化或粘着</w:t>
            </w:r>
          </w:p>
        </w:tc>
        <w:tc>
          <w:tcPr>
            <w:tcW w:w="989" w:type="dxa"/>
            <w:vAlign w:val="center"/>
          </w:tcPr>
          <w:p>
            <w:pPr>
              <w:pStyle w:val="42"/>
              <w:jc w:val="center"/>
            </w:pPr>
            <w:r>
              <w:t>700~750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866" w:type="dxa"/>
            <w:vMerge w:val="continue"/>
            <w:vAlign w:val="center"/>
          </w:tcPr>
          <w:p>
            <w:pPr>
              <w:pStyle w:val="42"/>
              <w:jc w:val="center"/>
            </w:pPr>
          </w:p>
        </w:tc>
        <w:tc>
          <w:tcPr>
            <w:tcW w:w="1842" w:type="dxa"/>
            <w:vMerge w:val="continue"/>
            <w:vAlign w:val="center"/>
          </w:tcPr>
          <w:p>
            <w:pPr>
              <w:pStyle w:val="42"/>
              <w:jc w:val="center"/>
            </w:pPr>
          </w:p>
        </w:tc>
        <w:tc>
          <w:tcPr>
            <w:tcW w:w="2511" w:type="dxa"/>
            <w:vMerge w:val="continue"/>
            <w:vAlign w:val="center"/>
          </w:tcPr>
          <w:p>
            <w:pPr>
              <w:pStyle w:val="42"/>
              <w:jc w:val="center"/>
            </w:pPr>
          </w:p>
        </w:tc>
        <w:tc>
          <w:tcPr>
            <w:tcW w:w="1844" w:type="dxa"/>
            <w:vAlign w:val="center"/>
          </w:tcPr>
          <w:p>
            <w:pPr>
              <w:pStyle w:val="42"/>
              <w:jc w:val="center"/>
            </w:pPr>
            <w:r>
              <w:t>变圆</w:t>
            </w:r>
          </w:p>
        </w:tc>
        <w:tc>
          <w:tcPr>
            <w:tcW w:w="989" w:type="dxa"/>
            <w:vAlign w:val="center"/>
          </w:tcPr>
          <w:p>
            <w:pPr>
              <w:pStyle w:val="42"/>
              <w:jc w:val="center"/>
            </w:pPr>
            <w: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866" w:type="dxa"/>
            <w:vMerge w:val="continue"/>
            <w:vAlign w:val="center"/>
          </w:tcPr>
          <w:p>
            <w:pPr>
              <w:pStyle w:val="42"/>
              <w:jc w:val="center"/>
            </w:pPr>
          </w:p>
        </w:tc>
        <w:tc>
          <w:tcPr>
            <w:tcW w:w="1842" w:type="dxa"/>
            <w:vMerge w:val="continue"/>
            <w:vAlign w:val="center"/>
          </w:tcPr>
          <w:p>
            <w:pPr>
              <w:pStyle w:val="42"/>
              <w:jc w:val="center"/>
            </w:pPr>
          </w:p>
        </w:tc>
        <w:tc>
          <w:tcPr>
            <w:tcW w:w="2511" w:type="dxa"/>
            <w:vMerge w:val="continue"/>
            <w:vAlign w:val="center"/>
          </w:tcPr>
          <w:p>
            <w:pPr>
              <w:pStyle w:val="42"/>
              <w:jc w:val="center"/>
            </w:pPr>
          </w:p>
        </w:tc>
        <w:tc>
          <w:tcPr>
            <w:tcW w:w="1844" w:type="dxa"/>
            <w:vAlign w:val="center"/>
          </w:tcPr>
          <w:p>
            <w:pPr>
              <w:pStyle w:val="42"/>
              <w:jc w:val="center"/>
            </w:pPr>
            <w:r>
              <w:t>流动</w:t>
            </w:r>
          </w:p>
        </w:tc>
        <w:tc>
          <w:tcPr>
            <w:tcW w:w="989" w:type="dxa"/>
            <w:vAlign w:val="center"/>
          </w:tcPr>
          <w:p>
            <w:pPr>
              <w:pStyle w:val="42"/>
              <w:jc w:val="center"/>
            </w:pPr>
            <w: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866" w:type="dxa"/>
            <w:vMerge w:val="continue"/>
            <w:vAlign w:val="center"/>
          </w:tcPr>
          <w:p>
            <w:pPr>
              <w:pStyle w:val="42"/>
              <w:jc w:val="center"/>
            </w:pPr>
          </w:p>
        </w:tc>
        <w:tc>
          <w:tcPr>
            <w:tcW w:w="1842" w:type="dxa"/>
            <w:vMerge w:val="restart"/>
            <w:vAlign w:val="center"/>
          </w:tcPr>
          <w:p>
            <w:pPr>
              <w:pStyle w:val="42"/>
              <w:jc w:val="center"/>
            </w:pPr>
            <w:r>
              <w:t>片状玻璃</w:t>
            </w:r>
          </w:p>
        </w:tc>
        <w:tc>
          <w:tcPr>
            <w:tcW w:w="2511" w:type="dxa"/>
            <w:vMerge w:val="restart"/>
            <w:vAlign w:val="center"/>
          </w:tcPr>
          <w:p>
            <w:pPr>
              <w:pStyle w:val="42"/>
              <w:jc w:val="center"/>
            </w:pPr>
            <w:r>
              <w:t>门窗玻璃、玻璃板、增强玻璃</w:t>
            </w:r>
          </w:p>
        </w:tc>
        <w:tc>
          <w:tcPr>
            <w:tcW w:w="1844" w:type="dxa"/>
            <w:vAlign w:val="center"/>
          </w:tcPr>
          <w:p>
            <w:pPr>
              <w:pStyle w:val="42"/>
              <w:jc w:val="center"/>
            </w:pPr>
            <w:r>
              <w:t>软化或粘着</w:t>
            </w:r>
          </w:p>
        </w:tc>
        <w:tc>
          <w:tcPr>
            <w:tcW w:w="989" w:type="dxa"/>
            <w:vAlign w:val="center"/>
          </w:tcPr>
          <w:p>
            <w:pPr>
              <w:pStyle w:val="42"/>
              <w:jc w:val="center"/>
            </w:pPr>
            <w:r>
              <w:t>700~750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866" w:type="dxa"/>
            <w:vMerge w:val="continue"/>
            <w:vAlign w:val="center"/>
          </w:tcPr>
          <w:p>
            <w:pPr>
              <w:pStyle w:val="42"/>
              <w:jc w:val="center"/>
            </w:pPr>
          </w:p>
        </w:tc>
        <w:tc>
          <w:tcPr>
            <w:tcW w:w="1842" w:type="dxa"/>
            <w:vMerge w:val="continue"/>
            <w:vAlign w:val="center"/>
          </w:tcPr>
          <w:p>
            <w:pPr>
              <w:pStyle w:val="42"/>
              <w:jc w:val="center"/>
            </w:pPr>
          </w:p>
        </w:tc>
        <w:tc>
          <w:tcPr>
            <w:tcW w:w="2511" w:type="dxa"/>
            <w:vMerge w:val="continue"/>
            <w:vAlign w:val="center"/>
          </w:tcPr>
          <w:p>
            <w:pPr>
              <w:pStyle w:val="42"/>
              <w:jc w:val="center"/>
            </w:pPr>
          </w:p>
        </w:tc>
        <w:tc>
          <w:tcPr>
            <w:tcW w:w="1844" w:type="dxa"/>
            <w:vAlign w:val="center"/>
          </w:tcPr>
          <w:p>
            <w:pPr>
              <w:pStyle w:val="42"/>
              <w:jc w:val="center"/>
            </w:pPr>
            <w:r>
              <w:t>变圆</w:t>
            </w:r>
          </w:p>
        </w:tc>
        <w:tc>
          <w:tcPr>
            <w:tcW w:w="989" w:type="dxa"/>
            <w:vAlign w:val="center"/>
          </w:tcPr>
          <w:p>
            <w:pPr>
              <w:pStyle w:val="42"/>
              <w:jc w:val="center"/>
            </w:pPr>
            <w: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866" w:type="dxa"/>
            <w:vMerge w:val="continue"/>
            <w:vAlign w:val="center"/>
          </w:tcPr>
          <w:p>
            <w:pPr>
              <w:pStyle w:val="42"/>
              <w:jc w:val="center"/>
            </w:pPr>
          </w:p>
        </w:tc>
        <w:tc>
          <w:tcPr>
            <w:tcW w:w="1842" w:type="dxa"/>
            <w:vMerge w:val="continue"/>
            <w:vAlign w:val="center"/>
          </w:tcPr>
          <w:p>
            <w:pPr>
              <w:pStyle w:val="42"/>
              <w:jc w:val="center"/>
            </w:pPr>
          </w:p>
        </w:tc>
        <w:tc>
          <w:tcPr>
            <w:tcW w:w="2511" w:type="dxa"/>
            <w:vMerge w:val="continue"/>
            <w:vAlign w:val="center"/>
          </w:tcPr>
          <w:p>
            <w:pPr>
              <w:pStyle w:val="42"/>
              <w:jc w:val="center"/>
            </w:pPr>
          </w:p>
        </w:tc>
        <w:tc>
          <w:tcPr>
            <w:tcW w:w="1844" w:type="dxa"/>
            <w:vAlign w:val="center"/>
          </w:tcPr>
          <w:p>
            <w:pPr>
              <w:pStyle w:val="42"/>
              <w:jc w:val="center"/>
            </w:pPr>
            <w:r>
              <w:t>流动</w:t>
            </w:r>
          </w:p>
        </w:tc>
        <w:tc>
          <w:tcPr>
            <w:tcW w:w="989" w:type="dxa"/>
            <w:vAlign w:val="center"/>
          </w:tcPr>
          <w:p>
            <w:pPr>
              <w:pStyle w:val="42"/>
              <w:jc w:val="center"/>
            </w:pPr>
            <w: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866" w:type="dxa"/>
            <w:vMerge w:val="restart"/>
            <w:vAlign w:val="center"/>
          </w:tcPr>
          <w:p>
            <w:pPr>
              <w:pStyle w:val="42"/>
              <w:jc w:val="center"/>
            </w:pPr>
            <w:r>
              <w:t>金属材料</w:t>
            </w:r>
          </w:p>
        </w:tc>
        <w:tc>
          <w:tcPr>
            <w:tcW w:w="1842" w:type="dxa"/>
            <w:vAlign w:val="center"/>
          </w:tcPr>
          <w:p>
            <w:pPr>
              <w:pStyle w:val="42"/>
              <w:jc w:val="center"/>
            </w:pPr>
            <w:r>
              <w:t>铅</w:t>
            </w:r>
          </w:p>
        </w:tc>
        <w:tc>
          <w:tcPr>
            <w:tcW w:w="2511" w:type="dxa"/>
            <w:vAlign w:val="center"/>
          </w:tcPr>
          <w:p>
            <w:pPr>
              <w:pStyle w:val="42"/>
              <w:jc w:val="center"/>
            </w:pPr>
            <w:r>
              <w:t>铅管子、蓄电池、玩具等</w:t>
            </w:r>
          </w:p>
        </w:tc>
        <w:tc>
          <w:tcPr>
            <w:tcW w:w="1844" w:type="dxa"/>
            <w:vAlign w:val="center"/>
          </w:tcPr>
          <w:p>
            <w:pPr>
              <w:pStyle w:val="42"/>
              <w:jc w:val="center"/>
            </w:pPr>
            <w:r>
              <w:t>锐边变圆，有滴状物</w:t>
            </w:r>
          </w:p>
        </w:tc>
        <w:tc>
          <w:tcPr>
            <w:tcW w:w="989" w:type="dxa"/>
            <w:vAlign w:val="center"/>
          </w:tcPr>
          <w:p>
            <w:pPr>
              <w:pStyle w:val="42"/>
              <w:jc w:val="center"/>
            </w:pPr>
            <w:r>
              <w:t>300~350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866" w:type="dxa"/>
            <w:vMerge w:val="continue"/>
            <w:vAlign w:val="center"/>
          </w:tcPr>
          <w:p>
            <w:pPr>
              <w:pStyle w:val="42"/>
              <w:jc w:val="center"/>
            </w:pPr>
          </w:p>
        </w:tc>
        <w:tc>
          <w:tcPr>
            <w:tcW w:w="1842" w:type="dxa"/>
            <w:vAlign w:val="center"/>
          </w:tcPr>
          <w:p>
            <w:pPr>
              <w:pStyle w:val="42"/>
              <w:jc w:val="center"/>
            </w:pPr>
            <w:r>
              <w:t>锌</w:t>
            </w:r>
          </w:p>
        </w:tc>
        <w:tc>
          <w:tcPr>
            <w:tcW w:w="2511" w:type="dxa"/>
            <w:vAlign w:val="center"/>
          </w:tcPr>
          <w:p>
            <w:pPr>
              <w:pStyle w:val="42"/>
              <w:jc w:val="center"/>
            </w:pPr>
            <w:r>
              <w:t>锚固件、镀锌材料</w:t>
            </w:r>
          </w:p>
        </w:tc>
        <w:tc>
          <w:tcPr>
            <w:tcW w:w="1844" w:type="dxa"/>
            <w:vAlign w:val="center"/>
          </w:tcPr>
          <w:p>
            <w:pPr>
              <w:pStyle w:val="42"/>
              <w:jc w:val="center"/>
            </w:pPr>
            <w:r>
              <w:t>有滴状物形成</w:t>
            </w:r>
          </w:p>
        </w:tc>
        <w:tc>
          <w:tcPr>
            <w:tcW w:w="989" w:type="dxa"/>
            <w:vAlign w:val="center"/>
          </w:tcPr>
          <w:p>
            <w:pPr>
              <w:pStyle w:val="42"/>
              <w:jc w:val="center"/>
            </w:pPr>
            <w: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866" w:type="dxa"/>
            <w:vMerge w:val="continue"/>
            <w:vAlign w:val="center"/>
          </w:tcPr>
          <w:p>
            <w:pPr>
              <w:pStyle w:val="42"/>
              <w:jc w:val="center"/>
            </w:pPr>
          </w:p>
        </w:tc>
        <w:tc>
          <w:tcPr>
            <w:tcW w:w="1842" w:type="dxa"/>
            <w:vAlign w:val="center"/>
          </w:tcPr>
          <w:p>
            <w:pPr>
              <w:pStyle w:val="42"/>
              <w:jc w:val="center"/>
            </w:pPr>
            <w:r>
              <w:t>铝及其合金</w:t>
            </w:r>
          </w:p>
        </w:tc>
        <w:tc>
          <w:tcPr>
            <w:tcW w:w="2511" w:type="dxa"/>
            <w:vAlign w:val="center"/>
          </w:tcPr>
          <w:p>
            <w:pPr>
              <w:pStyle w:val="42"/>
              <w:jc w:val="center"/>
            </w:pPr>
            <w:r>
              <w:t>机械部件、门窗及配件、支架、装饰材料、厨房用具</w:t>
            </w:r>
          </w:p>
        </w:tc>
        <w:tc>
          <w:tcPr>
            <w:tcW w:w="1844" w:type="dxa"/>
            <w:vAlign w:val="center"/>
          </w:tcPr>
          <w:p>
            <w:pPr>
              <w:pStyle w:val="42"/>
              <w:jc w:val="center"/>
            </w:pPr>
            <w:r>
              <w:t>有滴状物形成</w:t>
            </w:r>
          </w:p>
        </w:tc>
        <w:tc>
          <w:tcPr>
            <w:tcW w:w="989" w:type="dxa"/>
            <w:vAlign w:val="center"/>
          </w:tcPr>
          <w:p>
            <w:pPr>
              <w:pStyle w:val="42"/>
              <w:jc w:val="center"/>
            </w:pPr>
            <w: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866" w:type="dxa"/>
            <w:vMerge w:val="continue"/>
            <w:vAlign w:val="center"/>
          </w:tcPr>
          <w:p>
            <w:pPr>
              <w:pStyle w:val="42"/>
              <w:jc w:val="center"/>
            </w:pPr>
          </w:p>
        </w:tc>
        <w:tc>
          <w:tcPr>
            <w:tcW w:w="1842" w:type="dxa"/>
            <w:vAlign w:val="center"/>
          </w:tcPr>
          <w:p>
            <w:pPr>
              <w:pStyle w:val="42"/>
              <w:jc w:val="center"/>
            </w:pPr>
            <w:r>
              <w:t>银</w:t>
            </w:r>
          </w:p>
        </w:tc>
        <w:tc>
          <w:tcPr>
            <w:tcW w:w="2511" w:type="dxa"/>
            <w:vAlign w:val="center"/>
          </w:tcPr>
          <w:p>
            <w:pPr>
              <w:pStyle w:val="42"/>
              <w:jc w:val="center"/>
            </w:pPr>
            <w:r>
              <w:t>装饰物、餐具、银币</w:t>
            </w:r>
          </w:p>
        </w:tc>
        <w:tc>
          <w:tcPr>
            <w:tcW w:w="1844" w:type="dxa"/>
            <w:vAlign w:val="center"/>
          </w:tcPr>
          <w:p>
            <w:pPr>
              <w:pStyle w:val="42"/>
              <w:jc w:val="center"/>
            </w:pPr>
            <w:r>
              <w:t>锐边变圆，有滴状物形成</w:t>
            </w:r>
          </w:p>
        </w:tc>
        <w:tc>
          <w:tcPr>
            <w:tcW w:w="989" w:type="dxa"/>
            <w:vAlign w:val="center"/>
          </w:tcPr>
          <w:p>
            <w:pPr>
              <w:pStyle w:val="42"/>
              <w:jc w:val="center"/>
            </w:pPr>
            <w: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866" w:type="dxa"/>
            <w:vMerge w:val="continue"/>
            <w:vAlign w:val="center"/>
          </w:tcPr>
          <w:p>
            <w:pPr>
              <w:pStyle w:val="42"/>
              <w:jc w:val="center"/>
            </w:pPr>
          </w:p>
        </w:tc>
        <w:tc>
          <w:tcPr>
            <w:tcW w:w="1842" w:type="dxa"/>
            <w:vAlign w:val="center"/>
          </w:tcPr>
          <w:p>
            <w:pPr>
              <w:pStyle w:val="42"/>
              <w:jc w:val="center"/>
            </w:pPr>
            <w:r>
              <w:t>黄铜</w:t>
            </w:r>
          </w:p>
        </w:tc>
        <w:tc>
          <w:tcPr>
            <w:tcW w:w="2511" w:type="dxa"/>
            <w:vAlign w:val="center"/>
          </w:tcPr>
          <w:p>
            <w:pPr>
              <w:pStyle w:val="42"/>
              <w:jc w:val="center"/>
            </w:pPr>
            <w:r>
              <w:t>门拉手、锁、小五金等</w:t>
            </w:r>
          </w:p>
        </w:tc>
        <w:tc>
          <w:tcPr>
            <w:tcW w:w="1844" w:type="dxa"/>
            <w:vAlign w:val="center"/>
          </w:tcPr>
          <w:p>
            <w:pPr>
              <w:pStyle w:val="42"/>
              <w:jc w:val="center"/>
            </w:pPr>
            <w:r>
              <w:t>锐边变圆，有滴状物形成</w:t>
            </w:r>
          </w:p>
        </w:tc>
        <w:tc>
          <w:tcPr>
            <w:tcW w:w="989" w:type="dxa"/>
            <w:vAlign w:val="center"/>
          </w:tcPr>
          <w:p>
            <w:pPr>
              <w:pStyle w:val="42"/>
              <w:jc w:val="center"/>
            </w:pPr>
            <w: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866" w:type="dxa"/>
            <w:vMerge w:val="continue"/>
            <w:vAlign w:val="center"/>
          </w:tcPr>
          <w:p>
            <w:pPr>
              <w:pStyle w:val="42"/>
              <w:jc w:val="center"/>
            </w:pPr>
          </w:p>
        </w:tc>
        <w:tc>
          <w:tcPr>
            <w:tcW w:w="1842" w:type="dxa"/>
            <w:vAlign w:val="center"/>
          </w:tcPr>
          <w:p>
            <w:pPr>
              <w:pStyle w:val="42"/>
              <w:jc w:val="center"/>
            </w:pPr>
            <w:r>
              <w:t>青铜</w:t>
            </w:r>
          </w:p>
        </w:tc>
        <w:tc>
          <w:tcPr>
            <w:tcW w:w="2511" w:type="dxa"/>
            <w:vAlign w:val="center"/>
          </w:tcPr>
          <w:p>
            <w:pPr>
              <w:pStyle w:val="42"/>
              <w:jc w:val="center"/>
            </w:pPr>
            <w:r>
              <w:t>窗框、装饰物</w:t>
            </w:r>
          </w:p>
        </w:tc>
        <w:tc>
          <w:tcPr>
            <w:tcW w:w="1844" w:type="dxa"/>
            <w:vAlign w:val="center"/>
          </w:tcPr>
          <w:p>
            <w:pPr>
              <w:pStyle w:val="42"/>
              <w:jc w:val="center"/>
            </w:pPr>
            <w:r>
              <w:t>锐边变圆，有滴状物形成</w:t>
            </w:r>
          </w:p>
        </w:tc>
        <w:tc>
          <w:tcPr>
            <w:tcW w:w="989" w:type="dxa"/>
            <w:vAlign w:val="center"/>
          </w:tcPr>
          <w:p>
            <w:pPr>
              <w:pStyle w:val="42"/>
              <w:jc w:val="center"/>
            </w:pP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866" w:type="dxa"/>
            <w:vMerge w:val="continue"/>
            <w:vAlign w:val="center"/>
          </w:tcPr>
          <w:p>
            <w:pPr>
              <w:pStyle w:val="42"/>
              <w:jc w:val="center"/>
            </w:pPr>
          </w:p>
        </w:tc>
        <w:tc>
          <w:tcPr>
            <w:tcW w:w="1842" w:type="dxa"/>
            <w:vAlign w:val="center"/>
          </w:tcPr>
          <w:p>
            <w:pPr>
              <w:pStyle w:val="42"/>
              <w:jc w:val="center"/>
            </w:pPr>
            <w:r>
              <w:t>紫铜</w:t>
            </w:r>
          </w:p>
        </w:tc>
        <w:tc>
          <w:tcPr>
            <w:tcW w:w="2511" w:type="dxa"/>
            <w:vAlign w:val="center"/>
          </w:tcPr>
          <w:p>
            <w:pPr>
              <w:pStyle w:val="42"/>
              <w:jc w:val="center"/>
            </w:pPr>
            <w:r>
              <w:t>电线、铜币</w:t>
            </w:r>
          </w:p>
        </w:tc>
        <w:tc>
          <w:tcPr>
            <w:tcW w:w="1844" w:type="dxa"/>
            <w:vAlign w:val="center"/>
          </w:tcPr>
          <w:p>
            <w:pPr>
              <w:pStyle w:val="42"/>
              <w:jc w:val="center"/>
            </w:pPr>
            <w:r>
              <w:t>方角变圆，有滴状物形成</w:t>
            </w:r>
          </w:p>
        </w:tc>
        <w:tc>
          <w:tcPr>
            <w:tcW w:w="989" w:type="dxa"/>
            <w:vAlign w:val="center"/>
          </w:tcPr>
          <w:p>
            <w:pPr>
              <w:pStyle w:val="42"/>
              <w:jc w:val="center"/>
            </w:pPr>
            <w: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866" w:type="dxa"/>
            <w:vMerge w:val="continue"/>
            <w:vAlign w:val="center"/>
          </w:tcPr>
          <w:p>
            <w:pPr>
              <w:pStyle w:val="42"/>
              <w:jc w:val="center"/>
            </w:pPr>
          </w:p>
        </w:tc>
        <w:tc>
          <w:tcPr>
            <w:tcW w:w="1842" w:type="dxa"/>
            <w:vAlign w:val="center"/>
          </w:tcPr>
          <w:p>
            <w:pPr>
              <w:pStyle w:val="42"/>
              <w:jc w:val="center"/>
            </w:pPr>
            <w:r>
              <w:t>铸铁</w:t>
            </w:r>
          </w:p>
        </w:tc>
        <w:tc>
          <w:tcPr>
            <w:tcW w:w="2511" w:type="dxa"/>
            <w:vAlign w:val="center"/>
          </w:tcPr>
          <w:p>
            <w:pPr>
              <w:pStyle w:val="42"/>
              <w:jc w:val="center"/>
            </w:pPr>
            <w:r>
              <w:t>管子、暖气片、机器支座等</w:t>
            </w:r>
          </w:p>
        </w:tc>
        <w:tc>
          <w:tcPr>
            <w:tcW w:w="1844" w:type="dxa"/>
            <w:vAlign w:val="center"/>
          </w:tcPr>
          <w:p>
            <w:pPr>
              <w:pStyle w:val="42"/>
              <w:jc w:val="center"/>
            </w:pPr>
            <w:r>
              <w:t>有滴状物形成</w:t>
            </w:r>
          </w:p>
        </w:tc>
        <w:tc>
          <w:tcPr>
            <w:tcW w:w="989" w:type="dxa"/>
            <w:vAlign w:val="center"/>
          </w:tcPr>
          <w:p>
            <w:pPr>
              <w:pStyle w:val="42"/>
              <w:jc w:val="center"/>
            </w:pPr>
            <w:r>
              <w:t>1100~1200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rPr>
        <w:tc>
          <w:tcPr>
            <w:tcW w:w="866" w:type="dxa"/>
            <w:vMerge w:val="continue"/>
            <w:vAlign w:val="center"/>
          </w:tcPr>
          <w:p>
            <w:pPr>
              <w:pStyle w:val="42"/>
              <w:jc w:val="center"/>
            </w:pPr>
          </w:p>
        </w:tc>
        <w:tc>
          <w:tcPr>
            <w:tcW w:w="1842" w:type="dxa"/>
            <w:vAlign w:val="center"/>
          </w:tcPr>
          <w:p>
            <w:pPr>
              <w:pStyle w:val="42"/>
              <w:jc w:val="center"/>
            </w:pPr>
            <w:r>
              <w:t>低碳钢</w:t>
            </w:r>
          </w:p>
        </w:tc>
        <w:tc>
          <w:tcPr>
            <w:tcW w:w="2511" w:type="dxa"/>
            <w:vAlign w:val="center"/>
          </w:tcPr>
          <w:p>
            <w:pPr>
              <w:pStyle w:val="42"/>
              <w:jc w:val="center"/>
            </w:pPr>
            <w:r>
              <w:t>管子、家具、支架等</w:t>
            </w:r>
          </w:p>
        </w:tc>
        <w:tc>
          <w:tcPr>
            <w:tcW w:w="1844" w:type="dxa"/>
            <w:vAlign w:val="center"/>
          </w:tcPr>
          <w:p>
            <w:pPr>
              <w:pStyle w:val="42"/>
              <w:jc w:val="center"/>
            </w:pPr>
            <w:r>
              <w:t>扭曲变形</w:t>
            </w:r>
          </w:p>
        </w:tc>
        <w:tc>
          <w:tcPr>
            <w:tcW w:w="989" w:type="dxa"/>
            <w:vAlign w:val="center"/>
          </w:tcPr>
          <w:p>
            <w:pPr>
              <w:pStyle w:val="42"/>
              <w:jc w:val="center"/>
            </w:pPr>
            <w:r>
              <w:t>&gt;700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8" w:hRule="atLeast"/>
        </w:trPr>
        <w:tc>
          <w:tcPr>
            <w:tcW w:w="866" w:type="dxa"/>
            <w:vMerge w:val="restart"/>
            <w:tcBorders>
              <w:right w:val="single" w:color="auto" w:sz="4" w:space="0"/>
            </w:tcBorders>
            <w:vAlign w:val="center"/>
          </w:tcPr>
          <w:p>
            <w:pPr>
              <w:pStyle w:val="42"/>
              <w:jc w:val="center"/>
            </w:pPr>
            <w:r>
              <w:t>建筑材料</w:t>
            </w:r>
          </w:p>
        </w:tc>
        <w:tc>
          <w:tcPr>
            <w:tcW w:w="1842" w:type="dxa"/>
            <w:tcBorders>
              <w:left w:val="single" w:color="auto" w:sz="4" w:space="0"/>
            </w:tcBorders>
            <w:vAlign w:val="center"/>
          </w:tcPr>
          <w:p>
            <w:pPr>
              <w:pStyle w:val="42"/>
              <w:jc w:val="center"/>
            </w:pPr>
            <w:r>
              <w:t>聚乙烯</w:t>
            </w:r>
          </w:p>
        </w:tc>
        <w:tc>
          <w:tcPr>
            <w:tcW w:w="2511" w:type="dxa"/>
            <w:vAlign w:val="center"/>
          </w:tcPr>
          <w:p>
            <w:pPr>
              <w:pStyle w:val="42"/>
              <w:jc w:val="center"/>
            </w:pPr>
            <w:r>
              <w:t>地面、壁纸等</w:t>
            </w:r>
          </w:p>
        </w:tc>
        <w:tc>
          <w:tcPr>
            <w:tcW w:w="1844" w:type="dxa"/>
            <w:vAlign w:val="center"/>
          </w:tcPr>
          <w:p>
            <w:pPr>
              <w:pStyle w:val="42"/>
              <w:jc w:val="center"/>
            </w:pPr>
            <w:r>
              <w:t>软化</w:t>
            </w:r>
          </w:p>
        </w:tc>
        <w:tc>
          <w:tcPr>
            <w:tcW w:w="989" w:type="dxa"/>
            <w:vAlign w:val="center"/>
          </w:tcPr>
          <w:p>
            <w:pPr>
              <w:pStyle w:val="42"/>
              <w:jc w:val="center"/>
            </w:pPr>
            <w:r>
              <w:t>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 w:hRule="atLeast"/>
        </w:trPr>
        <w:tc>
          <w:tcPr>
            <w:tcW w:w="866" w:type="dxa"/>
            <w:vMerge w:val="continue"/>
            <w:tcBorders>
              <w:right w:val="single" w:color="auto" w:sz="4" w:space="0"/>
            </w:tcBorders>
            <w:vAlign w:val="center"/>
          </w:tcPr>
          <w:p>
            <w:pPr>
              <w:pStyle w:val="42"/>
              <w:jc w:val="center"/>
            </w:pPr>
          </w:p>
        </w:tc>
        <w:tc>
          <w:tcPr>
            <w:tcW w:w="1842" w:type="dxa"/>
            <w:tcBorders>
              <w:left w:val="single" w:color="auto" w:sz="4" w:space="0"/>
            </w:tcBorders>
            <w:vAlign w:val="center"/>
          </w:tcPr>
          <w:p>
            <w:pPr>
              <w:pStyle w:val="42"/>
              <w:jc w:val="center"/>
            </w:pPr>
            <w:r>
              <w:t>聚丙烯</w:t>
            </w:r>
          </w:p>
        </w:tc>
        <w:tc>
          <w:tcPr>
            <w:tcW w:w="2511" w:type="dxa"/>
            <w:vAlign w:val="center"/>
          </w:tcPr>
          <w:p>
            <w:pPr>
              <w:pStyle w:val="42"/>
              <w:jc w:val="center"/>
            </w:pPr>
            <w:r>
              <w:t>装饰材料、涂料</w:t>
            </w:r>
          </w:p>
        </w:tc>
        <w:tc>
          <w:tcPr>
            <w:tcW w:w="1844" w:type="dxa"/>
            <w:vAlign w:val="center"/>
          </w:tcPr>
          <w:p>
            <w:pPr>
              <w:pStyle w:val="42"/>
              <w:jc w:val="center"/>
            </w:pPr>
            <w:r>
              <w:t>软化</w:t>
            </w:r>
          </w:p>
        </w:tc>
        <w:tc>
          <w:tcPr>
            <w:tcW w:w="989" w:type="dxa"/>
            <w:vAlign w:val="center"/>
          </w:tcPr>
          <w:p>
            <w:pPr>
              <w:pStyle w:val="42"/>
              <w:jc w:val="center"/>
            </w:pPr>
            <w:r>
              <w:t>60~95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trPr>
        <w:tc>
          <w:tcPr>
            <w:tcW w:w="866" w:type="dxa"/>
            <w:vMerge w:val="continue"/>
            <w:tcBorders>
              <w:right w:val="single" w:color="auto" w:sz="4" w:space="0"/>
            </w:tcBorders>
            <w:vAlign w:val="center"/>
          </w:tcPr>
          <w:p>
            <w:pPr>
              <w:pStyle w:val="42"/>
              <w:jc w:val="center"/>
            </w:pPr>
          </w:p>
        </w:tc>
        <w:tc>
          <w:tcPr>
            <w:tcW w:w="1842" w:type="dxa"/>
            <w:tcBorders>
              <w:left w:val="single" w:color="auto" w:sz="4" w:space="0"/>
            </w:tcBorders>
            <w:vAlign w:val="center"/>
          </w:tcPr>
          <w:p>
            <w:pPr>
              <w:pStyle w:val="42"/>
              <w:jc w:val="center"/>
            </w:pPr>
            <w:r>
              <w:t>聚苯乙烯</w:t>
            </w:r>
          </w:p>
        </w:tc>
        <w:tc>
          <w:tcPr>
            <w:tcW w:w="2511" w:type="dxa"/>
            <w:vAlign w:val="center"/>
          </w:tcPr>
          <w:p>
            <w:pPr>
              <w:pStyle w:val="42"/>
              <w:jc w:val="center"/>
            </w:pPr>
            <w:r>
              <w:t>防热材料</w:t>
            </w:r>
          </w:p>
        </w:tc>
        <w:tc>
          <w:tcPr>
            <w:tcW w:w="1844" w:type="dxa"/>
            <w:vAlign w:val="center"/>
          </w:tcPr>
          <w:p>
            <w:pPr>
              <w:pStyle w:val="42"/>
              <w:jc w:val="center"/>
            </w:pPr>
            <w:r>
              <w:t>软化</w:t>
            </w:r>
          </w:p>
        </w:tc>
        <w:tc>
          <w:tcPr>
            <w:tcW w:w="989" w:type="dxa"/>
            <w:vAlign w:val="center"/>
          </w:tcPr>
          <w:p>
            <w:pPr>
              <w:pStyle w:val="42"/>
              <w:jc w:val="center"/>
            </w:pPr>
            <w:r>
              <w:t>60~100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4" w:hRule="atLeast"/>
        </w:trPr>
        <w:tc>
          <w:tcPr>
            <w:tcW w:w="866" w:type="dxa"/>
            <w:vMerge w:val="continue"/>
            <w:tcBorders>
              <w:right w:val="single" w:color="auto" w:sz="4" w:space="0"/>
            </w:tcBorders>
            <w:vAlign w:val="center"/>
          </w:tcPr>
          <w:p>
            <w:pPr>
              <w:pStyle w:val="42"/>
              <w:jc w:val="center"/>
            </w:pPr>
          </w:p>
        </w:tc>
        <w:tc>
          <w:tcPr>
            <w:tcW w:w="1842" w:type="dxa"/>
            <w:tcBorders>
              <w:left w:val="single" w:color="auto" w:sz="4" w:space="0"/>
            </w:tcBorders>
            <w:vAlign w:val="center"/>
          </w:tcPr>
          <w:p>
            <w:pPr>
              <w:pStyle w:val="42"/>
              <w:jc w:val="center"/>
            </w:pPr>
            <w:r>
              <w:t>硅</w:t>
            </w:r>
          </w:p>
        </w:tc>
        <w:tc>
          <w:tcPr>
            <w:tcW w:w="2511" w:type="dxa"/>
            <w:vAlign w:val="center"/>
          </w:tcPr>
          <w:p>
            <w:pPr>
              <w:pStyle w:val="42"/>
              <w:jc w:val="center"/>
            </w:pPr>
            <w:r>
              <w:t>防水材料</w:t>
            </w:r>
          </w:p>
        </w:tc>
        <w:tc>
          <w:tcPr>
            <w:tcW w:w="1844" w:type="dxa"/>
            <w:vAlign w:val="center"/>
          </w:tcPr>
          <w:p>
            <w:pPr>
              <w:pStyle w:val="42"/>
              <w:jc w:val="center"/>
            </w:pPr>
            <w:r>
              <w:t>软化</w:t>
            </w:r>
          </w:p>
        </w:tc>
        <w:tc>
          <w:tcPr>
            <w:tcW w:w="989" w:type="dxa"/>
            <w:vAlign w:val="center"/>
          </w:tcPr>
          <w:p>
            <w:pPr>
              <w:pStyle w:val="42"/>
              <w:jc w:val="center"/>
            </w:pPr>
            <w:r>
              <w:t>80~135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66" w:type="dxa"/>
            <w:vMerge w:val="continue"/>
            <w:tcBorders>
              <w:right w:val="single" w:color="auto" w:sz="4" w:space="0"/>
            </w:tcBorders>
            <w:vAlign w:val="center"/>
          </w:tcPr>
          <w:p>
            <w:pPr>
              <w:pStyle w:val="42"/>
              <w:jc w:val="center"/>
            </w:pPr>
          </w:p>
        </w:tc>
        <w:tc>
          <w:tcPr>
            <w:tcW w:w="1842" w:type="dxa"/>
            <w:tcBorders>
              <w:left w:val="single" w:color="auto" w:sz="4" w:space="0"/>
            </w:tcBorders>
            <w:vAlign w:val="center"/>
          </w:tcPr>
          <w:p>
            <w:pPr>
              <w:pStyle w:val="42"/>
              <w:jc w:val="center"/>
            </w:pPr>
            <w:r>
              <w:t>氟化塑料</w:t>
            </w:r>
          </w:p>
        </w:tc>
        <w:tc>
          <w:tcPr>
            <w:tcW w:w="2511" w:type="dxa"/>
            <w:vAlign w:val="center"/>
          </w:tcPr>
          <w:p>
            <w:pPr>
              <w:pStyle w:val="42"/>
              <w:jc w:val="center"/>
            </w:pPr>
            <w:r>
              <w:t>配管</w:t>
            </w:r>
          </w:p>
        </w:tc>
        <w:tc>
          <w:tcPr>
            <w:tcW w:w="1844" w:type="dxa"/>
            <w:vAlign w:val="center"/>
          </w:tcPr>
          <w:p>
            <w:pPr>
              <w:pStyle w:val="42"/>
              <w:jc w:val="center"/>
            </w:pPr>
            <w:r>
              <w:t>软化</w:t>
            </w:r>
          </w:p>
        </w:tc>
        <w:tc>
          <w:tcPr>
            <w:tcW w:w="989" w:type="dxa"/>
            <w:vAlign w:val="center"/>
          </w:tcPr>
          <w:p>
            <w:pPr>
              <w:pStyle w:val="42"/>
              <w:jc w:val="center"/>
            </w:pPr>
            <w:r>
              <w:t>150~290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66" w:type="dxa"/>
            <w:vMerge w:val="continue"/>
            <w:tcBorders>
              <w:right w:val="single" w:color="auto" w:sz="4" w:space="0"/>
            </w:tcBorders>
            <w:vAlign w:val="center"/>
          </w:tcPr>
          <w:p>
            <w:pPr>
              <w:pStyle w:val="42"/>
              <w:jc w:val="center"/>
            </w:pPr>
          </w:p>
        </w:tc>
        <w:tc>
          <w:tcPr>
            <w:tcW w:w="1842" w:type="dxa"/>
            <w:tcBorders>
              <w:left w:val="single" w:color="auto" w:sz="4" w:space="0"/>
            </w:tcBorders>
            <w:vAlign w:val="center"/>
          </w:tcPr>
          <w:p>
            <w:pPr>
              <w:pStyle w:val="42"/>
              <w:jc w:val="center"/>
            </w:pPr>
            <w:r>
              <w:t>聚乙烯</w:t>
            </w:r>
          </w:p>
        </w:tc>
        <w:tc>
          <w:tcPr>
            <w:tcW w:w="2511" w:type="dxa"/>
            <w:vAlign w:val="center"/>
          </w:tcPr>
          <w:p>
            <w:pPr>
              <w:pStyle w:val="42"/>
              <w:jc w:val="center"/>
            </w:pPr>
            <w:r>
              <w:t>隔热、防潮材料</w:t>
            </w:r>
          </w:p>
        </w:tc>
        <w:tc>
          <w:tcPr>
            <w:tcW w:w="1844" w:type="dxa"/>
            <w:vAlign w:val="center"/>
          </w:tcPr>
          <w:p>
            <w:pPr>
              <w:pStyle w:val="42"/>
              <w:jc w:val="center"/>
            </w:pPr>
            <w:r>
              <w:t>软化</w:t>
            </w:r>
          </w:p>
        </w:tc>
        <w:tc>
          <w:tcPr>
            <w:tcW w:w="989" w:type="dxa"/>
            <w:vAlign w:val="center"/>
          </w:tcPr>
          <w:p>
            <w:pPr>
              <w:pStyle w:val="42"/>
              <w:jc w:val="center"/>
            </w:pPr>
            <w:r>
              <w:t>80~135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right w:val="single" w:color="auto" w:sz="4" w:space="0"/>
            </w:tcBorders>
            <w:vAlign w:val="center"/>
          </w:tcPr>
          <w:p>
            <w:pPr>
              <w:pStyle w:val="42"/>
              <w:jc w:val="center"/>
            </w:pPr>
          </w:p>
        </w:tc>
        <w:tc>
          <w:tcPr>
            <w:tcW w:w="1842" w:type="dxa"/>
            <w:tcBorders>
              <w:left w:val="single" w:color="auto" w:sz="4" w:space="0"/>
            </w:tcBorders>
            <w:vAlign w:val="center"/>
          </w:tcPr>
          <w:p>
            <w:pPr>
              <w:pStyle w:val="42"/>
              <w:jc w:val="center"/>
            </w:pPr>
            <w:r>
              <w:t>聚酯树脂</w:t>
            </w:r>
          </w:p>
        </w:tc>
        <w:tc>
          <w:tcPr>
            <w:tcW w:w="2511" w:type="dxa"/>
            <w:vAlign w:val="center"/>
          </w:tcPr>
          <w:p>
            <w:pPr>
              <w:pStyle w:val="42"/>
              <w:jc w:val="center"/>
            </w:pPr>
            <w:r>
              <w:t>地面材料</w:t>
            </w:r>
          </w:p>
        </w:tc>
        <w:tc>
          <w:tcPr>
            <w:tcW w:w="1844" w:type="dxa"/>
            <w:vAlign w:val="center"/>
          </w:tcPr>
          <w:p>
            <w:pPr>
              <w:pStyle w:val="42"/>
              <w:jc w:val="center"/>
            </w:pPr>
            <w:r>
              <w:t>软化</w:t>
            </w:r>
          </w:p>
        </w:tc>
        <w:tc>
          <w:tcPr>
            <w:tcW w:w="989" w:type="dxa"/>
            <w:vAlign w:val="center"/>
          </w:tcPr>
          <w:p>
            <w:pPr>
              <w:pStyle w:val="42"/>
              <w:jc w:val="center"/>
            </w:pPr>
            <w:r>
              <w:t>120~230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right w:val="single" w:color="auto" w:sz="4" w:space="0"/>
            </w:tcBorders>
            <w:vAlign w:val="center"/>
          </w:tcPr>
          <w:p>
            <w:pPr>
              <w:pStyle w:val="42"/>
              <w:jc w:val="center"/>
            </w:pPr>
          </w:p>
        </w:tc>
        <w:tc>
          <w:tcPr>
            <w:tcW w:w="1842" w:type="dxa"/>
            <w:tcBorders>
              <w:left w:val="single" w:color="auto" w:sz="4" w:space="0"/>
            </w:tcBorders>
            <w:vAlign w:val="center"/>
          </w:tcPr>
          <w:p>
            <w:pPr>
              <w:pStyle w:val="42"/>
              <w:jc w:val="center"/>
            </w:pPr>
            <w:r>
              <w:t>聚氨脂</w:t>
            </w:r>
          </w:p>
        </w:tc>
        <w:tc>
          <w:tcPr>
            <w:tcW w:w="2511" w:type="dxa"/>
            <w:vAlign w:val="center"/>
          </w:tcPr>
          <w:p>
            <w:pPr>
              <w:pStyle w:val="42"/>
              <w:jc w:val="center"/>
            </w:pPr>
            <w:r>
              <w:t>防水、热材料，涂料</w:t>
            </w:r>
          </w:p>
        </w:tc>
        <w:tc>
          <w:tcPr>
            <w:tcW w:w="1844" w:type="dxa"/>
            <w:vAlign w:val="center"/>
          </w:tcPr>
          <w:p>
            <w:pPr>
              <w:pStyle w:val="42"/>
              <w:jc w:val="center"/>
            </w:pPr>
            <w:r>
              <w:t>软化</w:t>
            </w:r>
          </w:p>
        </w:tc>
        <w:tc>
          <w:tcPr>
            <w:tcW w:w="989" w:type="dxa"/>
            <w:vAlign w:val="center"/>
          </w:tcPr>
          <w:p>
            <w:pPr>
              <w:pStyle w:val="42"/>
              <w:jc w:val="center"/>
            </w:pPr>
            <w:r>
              <w:t>90~120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vMerge w:val="continue"/>
            <w:tcBorders>
              <w:right w:val="single" w:color="auto" w:sz="4" w:space="0"/>
            </w:tcBorders>
            <w:vAlign w:val="center"/>
          </w:tcPr>
          <w:p>
            <w:pPr>
              <w:pStyle w:val="42"/>
              <w:jc w:val="center"/>
            </w:pPr>
          </w:p>
        </w:tc>
        <w:tc>
          <w:tcPr>
            <w:tcW w:w="1842" w:type="dxa"/>
            <w:tcBorders>
              <w:left w:val="single" w:color="auto" w:sz="4" w:space="0"/>
            </w:tcBorders>
            <w:vAlign w:val="center"/>
          </w:tcPr>
          <w:p>
            <w:pPr>
              <w:pStyle w:val="42"/>
              <w:jc w:val="center"/>
            </w:pPr>
            <w:r>
              <w:t>环氧树脂</w:t>
            </w:r>
          </w:p>
        </w:tc>
        <w:tc>
          <w:tcPr>
            <w:tcW w:w="2511" w:type="dxa"/>
            <w:vAlign w:val="center"/>
          </w:tcPr>
          <w:p>
            <w:pPr>
              <w:pStyle w:val="42"/>
              <w:jc w:val="center"/>
            </w:pPr>
            <w:r>
              <w:t>地面材料、涂料</w:t>
            </w:r>
          </w:p>
        </w:tc>
        <w:tc>
          <w:tcPr>
            <w:tcW w:w="1844" w:type="dxa"/>
            <w:vAlign w:val="center"/>
          </w:tcPr>
          <w:p>
            <w:pPr>
              <w:pStyle w:val="42"/>
              <w:jc w:val="center"/>
            </w:pPr>
            <w:r>
              <w:t>软化</w:t>
            </w:r>
          </w:p>
        </w:tc>
        <w:tc>
          <w:tcPr>
            <w:tcW w:w="989" w:type="dxa"/>
            <w:vAlign w:val="center"/>
          </w:tcPr>
          <w:p>
            <w:pPr>
              <w:pStyle w:val="42"/>
              <w:jc w:val="center"/>
            </w:pPr>
            <w:r>
              <w:t>95~290</w:t>
            </w:r>
          </w:p>
        </w:tc>
      </w:tr>
    </w:tbl>
    <w:p>
      <w:pPr>
        <w:pStyle w:val="41"/>
      </w:pPr>
      <w:r>
        <w:t>表A-2  部分材料燃点</w:t>
      </w:r>
    </w:p>
    <w:tbl>
      <w:tblPr>
        <w:tblStyle w:val="2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9"/>
        <w:gridCol w:w="2090"/>
        <w:gridCol w:w="2061"/>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9" w:type="dxa"/>
            <w:vAlign w:val="center"/>
          </w:tcPr>
          <w:p>
            <w:pPr>
              <w:pStyle w:val="42"/>
              <w:jc w:val="center"/>
            </w:pPr>
            <w:r>
              <w:t>材料名称</w:t>
            </w:r>
          </w:p>
        </w:tc>
        <w:tc>
          <w:tcPr>
            <w:tcW w:w="2090" w:type="dxa"/>
            <w:tcBorders>
              <w:right w:val="double" w:color="auto" w:sz="4" w:space="0"/>
            </w:tcBorders>
            <w:vAlign w:val="center"/>
          </w:tcPr>
          <w:p>
            <w:pPr>
              <w:pStyle w:val="42"/>
              <w:jc w:val="center"/>
            </w:pPr>
            <w:r>
              <w:t>燃点温度（℃）</w:t>
            </w:r>
          </w:p>
        </w:tc>
        <w:tc>
          <w:tcPr>
            <w:tcW w:w="2061" w:type="dxa"/>
            <w:tcBorders>
              <w:left w:val="double" w:color="auto" w:sz="4" w:space="0"/>
            </w:tcBorders>
            <w:vAlign w:val="center"/>
          </w:tcPr>
          <w:p>
            <w:pPr>
              <w:pStyle w:val="42"/>
              <w:jc w:val="center"/>
            </w:pPr>
            <w:r>
              <w:t>材料名称</w:t>
            </w:r>
          </w:p>
        </w:tc>
        <w:tc>
          <w:tcPr>
            <w:tcW w:w="1902" w:type="dxa"/>
            <w:vAlign w:val="center"/>
          </w:tcPr>
          <w:p>
            <w:pPr>
              <w:pStyle w:val="42"/>
              <w:jc w:val="center"/>
            </w:pPr>
            <w:r>
              <w:t>燃点温度（℃）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9" w:type="dxa"/>
            <w:vAlign w:val="center"/>
          </w:tcPr>
          <w:p>
            <w:pPr>
              <w:pStyle w:val="42"/>
              <w:jc w:val="center"/>
            </w:pPr>
            <w:r>
              <w:t>木材</w:t>
            </w:r>
          </w:p>
        </w:tc>
        <w:tc>
          <w:tcPr>
            <w:tcW w:w="2090" w:type="dxa"/>
            <w:tcBorders>
              <w:right w:val="double" w:color="auto" w:sz="4" w:space="0"/>
            </w:tcBorders>
            <w:vAlign w:val="center"/>
          </w:tcPr>
          <w:p>
            <w:pPr>
              <w:pStyle w:val="42"/>
              <w:jc w:val="center"/>
            </w:pPr>
            <w:r>
              <w:t>240~270</w:t>
            </w:r>
          </w:p>
        </w:tc>
        <w:tc>
          <w:tcPr>
            <w:tcW w:w="2061" w:type="dxa"/>
            <w:tcBorders>
              <w:left w:val="double" w:color="auto" w:sz="4" w:space="0"/>
            </w:tcBorders>
            <w:vAlign w:val="center"/>
          </w:tcPr>
          <w:p>
            <w:pPr>
              <w:pStyle w:val="42"/>
              <w:jc w:val="center"/>
            </w:pPr>
            <w:r>
              <w:t>聚氯乙烯</w:t>
            </w:r>
          </w:p>
        </w:tc>
        <w:tc>
          <w:tcPr>
            <w:tcW w:w="1902" w:type="dxa"/>
            <w:vAlign w:val="center"/>
          </w:tcPr>
          <w:p>
            <w:pPr>
              <w:pStyle w:val="42"/>
              <w:jc w:val="center"/>
            </w:pPr>
            <w: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9" w:type="dxa"/>
            <w:vAlign w:val="center"/>
          </w:tcPr>
          <w:p>
            <w:pPr>
              <w:pStyle w:val="42"/>
              <w:jc w:val="center"/>
            </w:pPr>
            <w:r>
              <w:t>纸</w:t>
            </w:r>
          </w:p>
        </w:tc>
        <w:tc>
          <w:tcPr>
            <w:tcW w:w="2090" w:type="dxa"/>
            <w:tcBorders>
              <w:right w:val="double" w:color="auto" w:sz="4" w:space="0"/>
            </w:tcBorders>
            <w:vAlign w:val="center"/>
          </w:tcPr>
          <w:p>
            <w:pPr>
              <w:pStyle w:val="42"/>
              <w:jc w:val="center"/>
            </w:pPr>
            <w:r>
              <w:t>130</w:t>
            </w:r>
          </w:p>
        </w:tc>
        <w:tc>
          <w:tcPr>
            <w:tcW w:w="2061" w:type="dxa"/>
            <w:tcBorders>
              <w:left w:val="double" w:color="auto" w:sz="4" w:space="0"/>
            </w:tcBorders>
            <w:vAlign w:val="center"/>
          </w:tcPr>
          <w:p>
            <w:pPr>
              <w:pStyle w:val="42"/>
              <w:jc w:val="center"/>
            </w:pPr>
            <w:r>
              <w:t>粘胶纤维</w:t>
            </w:r>
          </w:p>
        </w:tc>
        <w:tc>
          <w:tcPr>
            <w:tcW w:w="1902" w:type="dxa"/>
            <w:vAlign w:val="center"/>
          </w:tcPr>
          <w:p>
            <w:pPr>
              <w:pStyle w:val="42"/>
              <w:jc w:val="center"/>
            </w:pPr>
            <w: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9" w:type="dxa"/>
            <w:vAlign w:val="center"/>
          </w:tcPr>
          <w:p>
            <w:pPr>
              <w:pStyle w:val="42"/>
              <w:jc w:val="center"/>
            </w:pPr>
            <w:r>
              <w:t>棉花</w:t>
            </w:r>
          </w:p>
        </w:tc>
        <w:tc>
          <w:tcPr>
            <w:tcW w:w="2090" w:type="dxa"/>
            <w:tcBorders>
              <w:right w:val="double" w:color="auto" w:sz="4" w:space="0"/>
            </w:tcBorders>
            <w:vAlign w:val="center"/>
          </w:tcPr>
          <w:p>
            <w:pPr>
              <w:pStyle w:val="42"/>
              <w:jc w:val="center"/>
            </w:pPr>
            <w:r>
              <w:t>150</w:t>
            </w:r>
          </w:p>
        </w:tc>
        <w:tc>
          <w:tcPr>
            <w:tcW w:w="2061" w:type="dxa"/>
            <w:tcBorders>
              <w:left w:val="double" w:color="auto" w:sz="4" w:space="0"/>
            </w:tcBorders>
            <w:vAlign w:val="center"/>
          </w:tcPr>
          <w:p>
            <w:pPr>
              <w:pStyle w:val="42"/>
              <w:jc w:val="center"/>
            </w:pPr>
            <w:r>
              <w:t>涤纶纤维</w:t>
            </w:r>
          </w:p>
        </w:tc>
        <w:tc>
          <w:tcPr>
            <w:tcW w:w="1902" w:type="dxa"/>
            <w:vAlign w:val="center"/>
          </w:tcPr>
          <w:p>
            <w:pPr>
              <w:pStyle w:val="42"/>
              <w:jc w:val="center"/>
            </w:pPr>
            <w: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9" w:type="dxa"/>
            <w:vAlign w:val="center"/>
          </w:tcPr>
          <w:p>
            <w:pPr>
              <w:pStyle w:val="42"/>
              <w:jc w:val="center"/>
            </w:pPr>
            <w:r>
              <w:t>棉布</w:t>
            </w:r>
          </w:p>
        </w:tc>
        <w:tc>
          <w:tcPr>
            <w:tcW w:w="2090" w:type="dxa"/>
            <w:tcBorders>
              <w:right w:val="double" w:color="auto" w:sz="4" w:space="0"/>
            </w:tcBorders>
            <w:vAlign w:val="center"/>
          </w:tcPr>
          <w:p>
            <w:pPr>
              <w:pStyle w:val="42"/>
              <w:jc w:val="center"/>
            </w:pPr>
            <w:r>
              <w:t>200</w:t>
            </w:r>
          </w:p>
        </w:tc>
        <w:tc>
          <w:tcPr>
            <w:tcW w:w="2061" w:type="dxa"/>
            <w:tcBorders>
              <w:left w:val="double" w:color="auto" w:sz="4" w:space="0"/>
            </w:tcBorders>
            <w:vAlign w:val="center"/>
          </w:tcPr>
          <w:p>
            <w:pPr>
              <w:pStyle w:val="42"/>
              <w:jc w:val="center"/>
            </w:pPr>
            <w:r>
              <w:t>橡胶</w:t>
            </w:r>
          </w:p>
        </w:tc>
        <w:tc>
          <w:tcPr>
            <w:tcW w:w="1902" w:type="dxa"/>
            <w:vAlign w:val="center"/>
          </w:tcPr>
          <w:p>
            <w:pPr>
              <w:pStyle w:val="42"/>
              <w:jc w:val="center"/>
            </w:pPr>
            <w: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9" w:type="dxa"/>
            <w:vAlign w:val="center"/>
          </w:tcPr>
          <w:p>
            <w:pPr>
              <w:pStyle w:val="42"/>
              <w:jc w:val="center"/>
            </w:pPr>
            <w:r>
              <w:t>麻绒</w:t>
            </w:r>
          </w:p>
        </w:tc>
        <w:tc>
          <w:tcPr>
            <w:tcW w:w="2090" w:type="dxa"/>
            <w:tcBorders>
              <w:right w:val="double" w:color="auto" w:sz="4" w:space="0"/>
            </w:tcBorders>
            <w:vAlign w:val="center"/>
          </w:tcPr>
          <w:p>
            <w:pPr>
              <w:pStyle w:val="42"/>
              <w:jc w:val="center"/>
            </w:pPr>
            <w:r>
              <w:t>150</w:t>
            </w:r>
          </w:p>
        </w:tc>
        <w:tc>
          <w:tcPr>
            <w:tcW w:w="2061" w:type="dxa"/>
            <w:tcBorders>
              <w:left w:val="double" w:color="auto" w:sz="4" w:space="0"/>
            </w:tcBorders>
            <w:vAlign w:val="center"/>
          </w:tcPr>
          <w:p>
            <w:pPr>
              <w:pStyle w:val="42"/>
              <w:jc w:val="center"/>
            </w:pPr>
            <w:r>
              <w:t>尼龙</w:t>
            </w:r>
          </w:p>
        </w:tc>
        <w:tc>
          <w:tcPr>
            <w:tcW w:w="1902" w:type="dxa"/>
            <w:vAlign w:val="center"/>
          </w:tcPr>
          <w:p>
            <w:pPr>
              <w:pStyle w:val="42"/>
              <w:jc w:val="center"/>
            </w:pPr>
            <w: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9" w:type="dxa"/>
            <w:vAlign w:val="center"/>
          </w:tcPr>
          <w:p>
            <w:pPr>
              <w:pStyle w:val="42"/>
              <w:jc w:val="center"/>
            </w:pPr>
            <w:r>
              <w:t>酚醛树脂</w:t>
            </w:r>
          </w:p>
        </w:tc>
        <w:tc>
          <w:tcPr>
            <w:tcW w:w="2090" w:type="dxa"/>
            <w:tcBorders>
              <w:right w:val="double" w:color="auto" w:sz="4" w:space="0"/>
            </w:tcBorders>
            <w:vAlign w:val="center"/>
          </w:tcPr>
          <w:p>
            <w:pPr>
              <w:pStyle w:val="42"/>
              <w:jc w:val="center"/>
            </w:pPr>
            <w:r>
              <w:t>571</w:t>
            </w:r>
          </w:p>
        </w:tc>
        <w:tc>
          <w:tcPr>
            <w:tcW w:w="2061" w:type="dxa"/>
            <w:tcBorders>
              <w:left w:val="double" w:color="auto" w:sz="4" w:space="0"/>
            </w:tcBorders>
            <w:vAlign w:val="center"/>
          </w:tcPr>
          <w:p>
            <w:pPr>
              <w:pStyle w:val="42"/>
              <w:jc w:val="center"/>
            </w:pPr>
            <w:r>
              <w:t>聚四氟乙烯</w:t>
            </w:r>
          </w:p>
        </w:tc>
        <w:tc>
          <w:tcPr>
            <w:tcW w:w="1902" w:type="dxa"/>
            <w:vAlign w:val="center"/>
          </w:tcPr>
          <w:p>
            <w:pPr>
              <w:pStyle w:val="42"/>
              <w:jc w:val="center"/>
            </w:pPr>
            <w: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9" w:type="dxa"/>
            <w:vAlign w:val="center"/>
          </w:tcPr>
          <w:p>
            <w:pPr>
              <w:pStyle w:val="42"/>
              <w:jc w:val="center"/>
            </w:pPr>
            <w:r>
              <w:t>聚乙烯</w:t>
            </w:r>
          </w:p>
        </w:tc>
        <w:tc>
          <w:tcPr>
            <w:tcW w:w="2090" w:type="dxa"/>
            <w:tcBorders>
              <w:right w:val="double" w:color="auto" w:sz="4" w:space="0"/>
            </w:tcBorders>
            <w:vAlign w:val="center"/>
          </w:tcPr>
          <w:p>
            <w:pPr>
              <w:pStyle w:val="42"/>
              <w:jc w:val="center"/>
            </w:pPr>
            <w:r>
              <w:t>342</w:t>
            </w:r>
          </w:p>
        </w:tc>
        <w:tc>
          <w:tcPr>
            <w:tcW w:w="2061" w:type="dxa"/>
            <w:tcBorders>
              <w:left w:val="double" w:color="auto" w:sz="4" w:space="0"/>
            </w:tcBorders>
            <w:vAlign w:val="center"/>
          </w:tcPr>
          <w:p>
            <w:pPr>
              <w:pStyle w:val="42"/>
              <w:jc w:val="center"/>
            </w:pPr>
            <w:r>
              <w:t>乙烯丙烯共聚</w:t>
            </w:r>
          </w:p>
        </w:tc>
        <w:tc>
          <w:tcPr>
            <w:tcW w:w="1902" w:type="dxa"/>
            <w:vAlign w:val="center"/>
          </w:tcPr>
          <w:p>
            <w:pPr>
              <w:pStyle w:val="42"/>
              <w:jc w:val="center"/>
            </w:pPr>
            <w:r>
              <w:t>454</w:t>
            </w:r>
          </w:p>
        </w:tc>
      </w:tr>
    </w:tbl>
    <w:p>
      <w:pPr>
        <w:pStyle w:val="41"/>
      </w:pPr>
      <w:r>
        <w:t>表A-3  油漆烧损状况</w:t>
      </w:r>
    </w:p>
    <w:tbl>
      <w:tblPr>
        <w:tblStyle w:val="2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241"/>
        <w:gridCol w:w="1701"/>
        <w:gridCol w:w="1757"/>
        <w:gridCol w:w="1311"/>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jc w:val="center"/>
        </w:trPr>
        <w:tc>
          <w:tcPr>
            <w:tcW w:w="2519" w:type="dxa"/>
            <w:gridSpan w:val="2"/>
            <w:vAlign w:val="center"/>
          </w:tcPr>
          <w:p>
            <w:pPr>
              <w:pStyle w:val="42"/>
              <w:jc w:val="center"/>
            </w:pPr>
            <w:r>
              <w:t>温度（℃）</w:t>
            </w:r>
          </w:p>
        </w:tc>
        <w:tc>
          <w:tcPr>
            <w:tcW w:w="1701" w:type="dxa"/>
            <w:vAlign w:val="center"/>
          </w:tcPr>
          <w:p>
            <w:pPr>
              <w:pStyle w:val="42"/>
              <w:jc w:val="center"/>
            </w:pPr>
            <w:r>
              <w:t>&lt;100</w:t>
            </w:r>
          </w:p>
        </w:tc>
        <w:tc>
          <w:tcPr>
            <w:tcW w:w="1757" w:type="dxa"/>
            <w:vAlign w:val="center"/>
          </w:tcPr>
          <w:p>
            <w:pPr>
              <w:pStyle w:val="42"/>
              <w:jc w:val="center"/>
            </w:pPr>
            <w:r>
              <w:t>100~300</w:t>
            </w:r>
          </w:p>
        </w:tc>
        <w:tc>
          <w:tcPr>
            <w:tcW w:w="1311" w:type="dxa"/>
            <w:vAlign w:val="center"/>
          </w:tcPr>
          <w:p>
            <w:pPr>
              <w:pStyle w:val="42"/>
              <w:jc w:val="center"/>
            </w:pPr>
            <w:r>
              <w:t>300~600</w:t>
            </w:r>
          </w:p>
        </w:tc>
        <w:tc>
          <w:tcPr>
            <w:tcW w:w="1234" w:type="dxa"/>
            <w:vAlign w:val="center"/>
          </w:tcPr>
          <w:p>
            <w:pPr>
              <w:pStyle w:val="42"/>
              <w:jc w:val="center"/>
            </w:pPr>
            <w:r>
              <w:t>&gt;600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jc w:val="center"/>
        </w:trPr>
        <w:tc>
          <w:tcPr>
            <w:tcW w:w="1278" w:type="dxa"/>
            <w:vMerge w:val="restart"/>
            <w:vAlign w:val="center"/>
          </w:tcPr>
          <w:p>
            <w:pPr>
              <w:pStyle w:val="42"/>
              <w:jc w:val="center"/>
            </w:pPr>
            <w:r>
              <w:t>烧损状况</w:t>
            </w:r>
          </w:p>
        </w:tc>
        <w:tc>
          <w:tcPr>
            <w:tcW w:w="1241" w:type="dxa"/>
            <w:vAlign w:val="center"/>
          </w:tcPr>
          <w:p>
            <w:pPr>
              <w:pStyle w:val="42"/>
              <w:jc w:val="center"/>
            </w:pPr>
            <w:r>
              <w:t>一般油漆</w:t>
            </w:r>
          </w:p>
        </w:tc>
        <w:tc>
          <w:tcPr>
            <w:tcW w:w="1701" w:type="dxa"/>
            <w:vAlign w:val="center"/>
          </w:tcPr>
          <w:p>
            <w:pPr>
              <w:pStyle w:val="42"/>
              <w:jc w:val="center"/>
            </w:pPr>
            <w:r>
              <w:t>表面附着黑烟</w:t>
            </w:r>
          </w:p>
        </w:tc>
        <w:tc>
          <w:tcPr>
            <w:tcW w:w="1757" w:type="dxa"/>
            <w:vAlign w:val="center"/>
          </w:tcPr>
          <w:p>
            <w:pPr>
              <w:pStyle w:val="42"/>
              <w:jc w:val="center"/>
            </w:pPr>
            <w:r>
              <w:t>有裂缝和脱皮</w:t>
            </w:r>
          </w:p>
        </w:tc>
        <w:tc>
          <w:tcPr>
            <w:tcW w:w="1311" w:type="dxa"/>
            <w:vAlign w:val="center"/>
          </w:tcPr>
          <w:p>
            <w:pPr>
              <w:pStyle w:val="42"/>
              <w:jc w:val="center"/>
            </w:pPr>
            <w:r>
              <w:t>变黑、脱落</w:t>
            </w:r>
          </w:p>
        </w:tc>
        <w:tc>
          <w:tcPr>
            <w:tcW w:w="1234" w:type="dxa"/>
            <w:vAlign w:val="center"/>
          </w:tcPr>
          <w:p>
            <w:pPr>
              <w:pStyle w:val="42"/>
              <w:jc w:val="center"/>
            </w:pPr>
            <w:r>
              <w:t>烧光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jc w:val="center"/>
        </w:trPr>
        <w:tc>
          <w:tcPr>
            <w:tcW w:w="1278" w:type="dxa"/>
            <w:vMerge w:val="continue"/>
            <w:vAlign w:val="center"/>
          </w:tcPr>
          <w:p>
            <w:pPr>
              <w:pStyle w:val="42"/>
              <w:jc w:val="center"/>
            </w:pPr>
          </w:p>
        </w:tc>
        <w:tc>
          <w:tcPr>
            <w:tcW w:w="1241" w:type="dxa"/>
            <w:vAlign w:val="center"/>
          </w:tcPr>
          <w:p>
            <w:pPr>
              <w:pStyle w:val="42"/>
              <w:jc w:val="center"/>
            </w:pPr>
            <w:r>
              <w:t>防锈油漆</w:t>
            </w:r>
          </w:p>
        </w:tc>
        <w:tc>
          <w:tcPr>
            <w:tcW w:w="1701" w:type="dxa"/>
            <w:vAlign w:val="center"/>
          </w:tcPr>
          <w:p>
            <w:pPr>
              <w:pStyle w:val="42"/>
              <w:jc w:val="center"/>
            </w:pPr>
            <w:r>
              <w:t>完好</w:t>
            </w:r>
          </w:p>
        </w:tc>
        <w:tc>
          <w:tcPr>
            <w:tcW w:w="1757" w:type="dxa"/>
            <w:vAlign w:val="center"/>
          </w:tcPr>
          <w:p>
            <w:pPr>
              <w:pStyle w:val="42"/>
              <w:jc w:val="center"/>
            </w:pPr>
            <w:r>
              <w:t>完好</w:t>
            </w:r>
          </w:p>
        </w:tc>
        <w:tc>
          <w:tcPr>
            <w:tcW w:w="1311" w:type="dxa"/>
            <w:vAlign w:val="center"/>
          </w:tcPr>
          <w:p>
            <w:pPr>
              <w:pStyle w:val="42"/>
              <w:jc w:val="center"/>
            </w:pPr>
            <w:r>
              <w:t>变色</w:t>
            </w:r>
          </w:p>
        </w:tc>
        <w:tc>
          <w:tcPr>
            <w:tcW w:w="1234" w:type="dxa"/>
            <w:vAlign w:val="center"/>
          </w:tcPr>
          <w:p>
            <w:pPr>
              <w:pStyle w:val="42"/>
              <w:jc w:val="center"/>
            </w:pPr>
            <w:r>
              <w:t>烧光</w:t>
            </w:r>
          </w:p>
        </w:tc>
      </w:tr>
    </w:tbl>
    <w:p/>
    <w:p/>
    <w:p/>
    <w:p>
      <w:pPr>
        <w:sectPr>
          <w:pgSz w:w="11906" w:h="16838"/>
          <w:pgMar w:top="1440" w:right="1800" w:bottom="1440" w:left="1800" w:header="851" w:footer="992" w:gutter="0"/>
          <w:cols w:space="425" w:num="1"/>
          <w:docGrid w:type="lines" w:linePitch="312" w:charSpace="0"/>
        </w:sectPr>
      </w:pPr>
    </w:p>
    <w:p>
      <w:pPr>
        <w:pStyle w:val="2"/>
        <w:rPr>
          <w:rFonts w:cs="Times New Roman"/>
        </w:rPr>
      </w:pPr>
      <w:bookmarkStart w:id="71" w:name="_Toc505085899"/>
      <w:r>
        <w:rPr>
          <w:rFonts w:hint="eastAsia" w:cs="Times New Roman"/>
        </w:rPr>
        <w:t>附录B  混凝土表面颜色、裂损剥落、锤击反应、爆裂与温度关系</w:t>
      </w:r>
      <w:bookmarkEnd w:id="71"/>
    </w:p>
    <w:p>
      <w:r>
        <w:rPr>
          <w:rFonts w:hint="eastAsia"/>
          <w:b/>
        </w:rPr>
        <w:t>B.</w:t>
      </w:r>
      <w:r>
        <w:rPr>
          <w:b/>
        </w:rPr>
        <w:t>0.1</w:t>
      </w:r>
      <w:r>
        <w:t xml:space="preserve"> 火灾后的</w:t>
      </w:r>
      <w:r>
        <w:rPr>
          <w:rFonts w:hint="eastAsia"/>
        </w:rPr>
        <w:t>混凝土表面颜色、裂损剥落、锤击反应与温度的关系可按表B-1进行判定。</w:t>
      </w:r>
    </w:p>
    <w:p>
      <w:pPr>
        <w:pStyle w:val="41"/>
      </w:pPr>
      <w:r>
        <w:t>表 B-1  混凝土表面颜色、裂损剥落、锤击反应与温度的关系</w:t>
      </w:r>
    </w:p>
    <w:tbl>
      <w:tblPr>
        <w:tblStyle w:val="24"/>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624"/>
        <w:gridCol w:w="1594"/>
        <w:gridCol w:w="2086"/>
        <w:gridCol w:w="1652"/>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9" w:type="dxa"/>
            <w:tcBorders>
              <w:left w:val="single" w:color="auto" w:sz="4" w:space="0"/>
              <w:bottom w:val="nil"/>
            </w:tcBorders>
            <w:vAlign w:val="center"/>
          </w:tcPr>
          <w:p>
            <w:pPr>
              <w:pStyle w:val="42"/>
              <w:jc w:val="center"/>
            </w:pPr>
            <w:r>
              <w:t>温度/℃</w:t>
            </w:r>
          </w:p>
        </w:tc>
        <w:tc>
          <w:tcPr>
            <w:tcW w:w="1624" w:type="dxa"/>
            <w:vAlign w:val="center"/>
          </w:tcPr>
          <w:p>
            <w:pPr>
              <w:pStyle w:val="42"/>
              <w:jc w:val="center"/>
            </w:pPr>
            <w:r>
              <w:t>&lt;200</w:t>
            </w:r>
          </w:p>
        </w:tc>
        <w:tc>
          <w:tcPr>
            <w:tcW w:w="1594" w:type="dxa"/>
            <w:vAlign w:val="center"/>
          </w:tcPr>
          <w:p>
            <w:pPr>
              <w:pStyle w:val="42"/>
              <w:jc w:val="center"/>
            </w:pPr>
            <w:r>
              <w:t>300~500</w:t>
            </w:r>
          </w:p>
        </w:tc>
        <w:tc>
          <w:tcPr>
            <w:tcW w:w="2086" w:type="dxa"/>
            <w:vAlign w:val="center"/>
          </w:tcPr>
          <w:p>
            <w:pPr>
              <w:pStyle w:val="42"/>
              <w:jc w:val="center"/>
            </w:pPr>
            <w:r>
              <w:t>500~700</w:t>
            </w:r>
          </w:p>
        </w:tc>
        <w:tc>
          <w:tcPr>
            <w:tcW w:w="1652" w:type="dxa"/>
            <w:vAlign w:val="center"/>
          </w:tcPr>
          <w:p>
            <w:pPr>
              <w:pStyle w:val="42"/>
              <w:jc w:val="center"/>
            </w:pPr>
            <w:r>
              <w:t>700~800</w:t>
            </w:r>
          </w:p>
        </w:tc>
        <w:tc>
          <w:tcPr>
            <w:tcW w:w="1847" w:type="dxa"/>
            <w:vAlign w:val="center"/>
          </w:tcPr>
          <w:p>
            <w:pPr>
              <w:pStyle w:val="42"/>
              <w:jc w:val="center"/>
            </w:pPr>
            <w:r>
              <w:t>&gt;800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9" w:type="dxa"/>
            <w:tcBorders>
              <w:top w:val="single" w:color="auto" w:sz="4" w:space="0"/>
              <w:left w:val="single" w:color="auto" w:sz="4" w:space="0"/>
              <w:bottom w:val="nil"/>
            </w:tcBorders>
            <w:vAlign w:val="center"/>
          </w:tcPr>
          <w:p>
            <w:pPr>
              <w:pStyle w:val="42"/>
              <w:jc w:val="center"/>
            </w:pPr>
            <w:r>
              <w:t>颜色</w:t>
            </w:r>
          </w:p>
        </w:tc>
        <w:tc>
          <w:tcPr>
            <w:tcW w:w="1624" w:type="dxa"/>
            <w:vAlign w:val="center"/>
          </w:tcPr>
          <w:p>
            <w:pPr>
              <w:pStyle w:val="42"/>
              <w:jc w:val="center"/>
            </w:pPr>
            <w:r>
              <w:t>灰青，近视正常</w:t>
            </w:r>
          </w:p>
        </w:tc>
        <w:tc>
          <w:tcPr>
            <w:tcW w:w="1594" w:type="dxa"/>
            <w:vAlign w:val="center"/>
          </w:tcPr>
          <w:p>
            <w:pPr>
              <w:pStyle w:val="42"/>
              <w:jc w:val="center"/>
            </w:pPr>
            <w:r>
              <w:t>浅灰，略显粉红</w:t>
            </w:r>
          </w:p>
        </w:tc>
        <w:tc>
          <w:tcPr>
            <w:tcW w:w="2086" w:type="dxa"/>
            <w:vAlign w:val="center"/>
          </w:tcPr>
          <w:p>
            <w:pPr>
              <w:pStyle w:val="42"/>
              <w:jc w:val="center"/>
            </w:pPr>
            <w:r>
              <w:t>浅灰白，显浅红</w:t>
            </w:r>
          </w:p>
        </w:tc>
        <w:tc>
          <w:tcPr>
            <w:tcW w:w="1652" w:type="dxa"/>
            <w:vAlign w:val="center"/>
          </w:tcPr>
          <w:p>
            <w:pPr>
              <w:pStyle w:val="42"/>
              <w:jc w:val="center"/>
            </w:pPr>
            <w:r>
              <w:t>灰白，显浅黄</w:t>
            </w:r>
          </w:p>
        </w:tc>
        <w:tc>
          <w:tcPr>
            <w:tcW w:w="1847" w:type="dxa"/>
            <w:vAlign w:val="center"/>
          </w:tcPr>
          <w:p>
            <w:pPr>
              <w:pStyle w:val="42"/>
              <w:jc w:val="center"/>
            </w:pPr>
            <w:r>
              <w:t>浅黄色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59" w:type="dxa"/>
            <w:tcBorders>
              <w:top w:val="single" w:color="auto" w:sz="4" w:space="0"/>
              <w:left w:val="single" w:color="auto" w:sz="4" w:space="0"/>
            </w:tcBorders>
            <w:vAlign w:val="center"/>
          </w:tcPr>
          <w:p>
            <w:pPr>
              <w:pStyle w:val="42"/>
              <w:jc w:val="center"/>
            </w:pPr>
            <w:r>
              <w:t>爆裂、剥落</w:t>
            </w:r>
          </w:p>
        </w:tc>
        <w:tc>
          <w:tcPr>
            <w:tcW w:w="1624" w:type="dxa"/>
            <w:vAlign w:val="center"/>
          </w:tcPr>
          <w:p>
            <w:pPr>
              <w:pStyle w:val="42"/>
              <w:jc w:val="center"/>
            </w:pPr>
            <w:r>
              <w:t>无</w:t>
            </w:r>
          </w:p>
        </w:tc>
        <w:tc>
          <w:tcPr>
            <w:tcW w:w="1594" w:type="dxa"/>
            <w:vAlign w:val="center"/>
          </w:tcPr>
          <w:p>
            <w:pPr>
              <w:pStyle w:val="42"/>
              <w:jc w:val="center"/>
            </w:pPr>
            <w:r>
              <w:t>局部粉刷层</w:t>
            </w:r>
          </w:p>
        </w:tc>
        <w:tc>
          <w:tcPr>
            <w:tcW w:w="2086" w:type="dxa"/>
            <w:vAlign w:val="center"/>
          </w:tcPr>
          <w:p>
            <w:pPr>
              <w:pStyle w:val="42"/>
              <w:jc w:val="center"/>
            </w:pPr>
            <w:r>
              <w:t>角部混凝土</w:t>
            </w:r>
          </w:p>
        </w:tc>
        <w:tc>
          <w:tcPr>
            <w:tcW w:w="1652" w:type="dxa"/>
            <w:vAlign w:val="center"/>
          </w:tcPr>
          <w:p>
            <w:pPr>
              <w:pStyle w:val="42"/>
              <w:jc w:val="center"/>
            </w:pPr>
            <w:r>
              <w:t>大面积</w:t>
            </w:r>
          </w:p>
        </w:tc>
        <w:tc>
          <w:tcPr>
            <w:tcW w:w="1847" w:type="dxa"/>
            <w:vAlign w:val="center"/>
          </w:tcPr>
          <w:p>
            <w:pPr>
              <w:pStyle w:val="42"/>
              <w:jc w:val="center"/>
            </w:pPr>
            <w:r>
              <w:t>酥松、大面积剥落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59" w:type="dxa"/>
            <w:tcBorders>
              <w:top w:val="single" w:color="auto" w:sz="4" w:space="0"/>
              <w:left w:val="single" w:color="auto" w:sz="4" w:space="0"/>
            </w:tcBorders>
            <w:vAlign w:val="center"/>
          </w:tcPr>
          <w:p>
            <w:pPr>
              <w:pStyle w:val="42"/>
              <w:jc w:val="center"/>
            </w:pPr>
            <w:r>
              <w:t>开裂</w:t>
            </w:r>
          </w:p>
        </w:tc>
        <w:tc>
          <w:tcPr>
            <w:tcW w:w="1624" w:type="dxa"/>
            <w:vAlign w:val="center"/>
          </w:tcPr>
          <w:p>
            <w:pPr>
              <w:pStyle w:val="42"/>
              <w:jc w:val="center"/>
            </w:pPr>
            <w:r>
              <w:t>无</w:t>
            </w:r>
          </w:p>
        </w:tc>
        <w:tc>
          <w:tcPr>
            <w:tcW w:w="1594" w:type="dxa"/>
            <w:vAlign w:val="center"/>
          </w:tcPr>
          <w:p>
            <w:pPr>
              <w:pStyle w:val="42"/>
              <w:jc w:val="center"/>
            </w:pPr>
            <w:r>
              <w:t>微细裂缝</w:t>
            </w:r>
          </w:p>
        </w:tc>
        <w:tc>
          <w:tcPr>
            <w:tcW w:w="2086" w:type="dxa"/>
            <w:vAlign w:val="center"/>
          </w:tcPr>
          <w:p>
            <w:pPr>
              <w:pStyle w:val="42"/>
              <w:jc w:val="center"/>
            </w:pPr>
            <w:r>
              <w:t>角部出现裂缝</w:t>
            </w:r>
          </w:p>
        </w:tc>
        <w:tc>
          <w:tcPr>
            <w:tcW w:w="1652" w:type="dxa"/>
            <w:vAlign w:val="center"/>
          </w:tcPr>
          <w:p>
            <w:pPr>
              <w:pStyle w:val="42"/>
              <w:jc w:val="center"/>
            </w:pPr>
            <w:r>
              <w:t>较多裂缝</w:t>
            </w:r>
          </w:p>
        </w:tc>
        <w:tc>
          <w:tcPr>
            <w:tcW w:w="1847" w:type="dxa"/>
            <w:vAlign w:val="center"/>
          </w:tcPr>
          <w:p>
            <w:pPr>
              <w:pStyle w:val="42"/>
              <w:jc w:val="center"/>
            </w:pPr>
            <w:r>
              <w:t>贯穿裂缝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59" w:type="dxa"/>
            <w:tcBorders>
              <w:top w:val="single" w:color="auto" w:sz="4" w:space="0"/>
              <w:left w:val="single" w:color="auto" w:sz="4" w:space="0"/>
            </w:tcBorders>
            <w:vAlign w:val="center"/>
          </w:tcPr>
          <w:p>
            <w:pPr>
              <w:pStyle w:val="42"/>
              <w:jc w:val="center"/>
            </w:pPr>
            <w:r>
              <w:t>锤击反应</w:t>
            </w:r>
          </w:p>
        </w:tc>
        <w:tc>
          <w:tcPr>
            <w:tcW w:w="1624" w:type="dxa"/>
            <w:vAlign w:val="center"/>
          </w:tcPr>
          <w:p>
            <w:pPr>
              <w:pStyle w:val="42"/>
              <w:jc w:val="center"/>
            </w:pPr>
            <w:r>
              <w:t>声音响亮、表面不留下痕迹</w:t>
            </w:r>
          </w:p>
        </w:tc>
        <w:tc>
          <w:tcPr>
            <w:tcW w:w="1594" w:type="dxa"/>
            <w:vAlign w:val="center"/>
          </w:tcPr>
          <w:p>
            <w:pPr>
              <w:pStyle w:val="42"/>
              <w:jc w:val="center"/>
            </w:pPr>
            <w:r>
              <w:t>较响亮、表面留下较明显痕迹</w:t>
            </w:r>
          </w:p>
        </w:tc>
        <w:tc>
          <w:tcPr>
            <w:tcW w:w="2086" w:type="dxa"/>
            <w:vAlign w:val="center"/>
          </w:tcPr>
          <w:p>
            <w:pPr>
              <w:pStyle w:val="42"/>
              <w:jc w:val="center"/>
            </w:pPr>
            <w:r>
              <w:t>声音较闷、混凝土粉碎和塌落，留下痕迹</w:t>
            </w:r>
          </w:p>
        </w:tc>
        <w:tc>
          <w:tcPr>
            <w:tcW w:w="1652" w:type="dxa"/>
            <w:vAlign w:val="center"/>
          </w:tcPr>
          <w:p>
            <w:pPr>
              <w:pStyle w:val="42"/>
              <w:jc w:val="center"/>
            </w:pPr>
            <w:r>
              <w:t>声音发闷、混凝土粉碎和塌落</w:t>
            </w:r>
          </w:p>
        </w:tc>
        <w:tc>
          <w:tcPr>
            <w:tcW w:w="1847" w:type="dxa"/>
            <w:vAlign w:val="center"/>
          </w:tcPr>
          <w:p>
            <w:pPr>
              <w:pStyle w:val="42"/>
              <w:jc w:val="center"/>
            </w:pPr>
            <w:r>
              <w:t>声音发哑、混凝土严重脱落</w:t>
            </w:r>
          </w:p>
        </w:tc>
      </w:tr>
    </w:tbl>
    <w:p>
      <w:r>
        <w:rPr>
          <w:rFonts w:hint="eastAsia"/>
          <w:b/>
        </w:rPr>
        <w:t>B.</w:t>
      </w:r>
      <w:r>
        <w:rPr>
          <w:b/>
        </w:rPr>
        <w:t>0.2</w:t>
      </w:r>
      <w:r>
        <w:rPr>
          <w:rFonts w:hint="eastAsia"/>
        </w:rPr>
        <w:t>标准耐火试验中混凝土构件的颜色及外观特征可按表B-</w:t>
      </w:r>
      <w:r>
        <w:t>2</w:t>
      </w:r>
      <w:r>
        <w:rPr>
          <w:rFonts w:hint="eastAsia"/>
        </w:rPr>
        <w:t>进行判定。</w:t>
      </w:r>
    </w:p>
    <w:p>
      <w:pPr>
        <w:pStyle w:val="41"/>
      </w:pPr>
      <w:r>
        <w:t>表B-2  标准耐火试验中混凝土构件的颜色及外观特征</w:t>
      </w:r>
    </w:p>
    <w:tbl>
      <w:tblPr>
        <w:tblStyle w:val="24"/>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156"/>
        <w:gridCol w:w="1574"/>
        <w:gridCol w:w="1536"/>
        <w:gridCol w:w="2323"/>
        <w:gridCol w:w="827"/>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92" w:type="dxa"/>
            <w:vMerge w:val="restart"/>
            <w:vAlign w:val="center"/>
          </w:tcPr>
          <w:p>
            <w:pPr>
              <w:pStyle w:val="42"/>
              <w:jc w:val="center"/>
            </w:pPr>
            <w:r>
              <w:t>当量标准升温时间te(min）</w:t>
            </w:r>
          </w:p>
        </w:tc>
        <w:tc>
          <w:tcPr>
            <w:tcW w:w="1156" w:type="dxa"/>
            <w:vMerge w:val="restart"/>
            <w:vAlign w:val="center"/>
          </w:tcPr>
          <w:p>
            <w:pPr>
              <w:pStyle w:val="42"/>
              <w:jc w:val="center"/>
            </w:pPr>
            <w:r>
              <w:t>炉温</w:t>
            </w:r>
          </w:p>
          <w:p>
            <w:pPr>
              <w:pStyle w:val="42"/>
              <w:jc w:val="center"/>
            </w:pPr>
          </w:p>
        </w:tc>
        <w:tc>
          <w:tcPr>
            <w:tcW w:w="6260" w:type="dxa"/>
            <w:gridSpan w:val="4"/>
            <w:vAlign w:val="center"/>
          </w:tcPr>
          <w:p>
            <w:pPr>
              <w:pStyle w:val="42"/>
              <w:jc w:val="center"/>
            </w:pPr>
            <w:r>
              <w:t>外观特征</w:t>
            </w:r>
          </w:p>
        </w:tc>
        <w:tc>
          <w:tcPr>
            <w:tcW w:w="1054" w:type="dxa"/>
            <w:vMerge w:val="restart"/>
            <w:vAlign w:val="center"/>
          </w:tcPr>
          <w:p>
            <w:pPr>
              <w:pStyle w:val="42"/>
              <w:jc w:val="center"/>
            </w:pPr>
            <w:r>
              <w:t>锤击声音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92" w:type="dxa"/>
            <w:vMerge w:val="continue"/>
            <w:vAlign w:val="center"/>
          </w:tcPr>
          <w:p>
            <w:pPr>
              <w:pStyle w:val="42"/>
              <w:jc w:val="center"/>
            </w:pPr>
          </w:p>
        </w:tc>
        <w:tc>
          <w:tcPr>
            <w:tcW w:w="1156" w:type="dxa"/>
            <w:vMerge w:val="continue"/>
            <w:vAlign w:val="center"/>
          </w:tcPr>
          <w:p>
            <w:pPr>
              <w:pStyle w:val="42"/>
              <w:jc w:val="center"/>
            </w:pPr>
          </w:p>
        </w:tc>
        <w:tc>
          <w:tcPr>
            <w:tcW w:w="1574" w:type="dxa"/>
            <w:vAlign w:val="center"/>
          </w:tcPr>
          <w:p>
            <w:pPr>
              <w:pStyle w:val="42"/>
              <w:jc w:val="center"/>
            </w:pPr>
            <w:r>
              <w:t>颜色</w:t>
            </w:r>
          </w:p>
        </w:tc>
        <w:tc>
          <w:tcPr>
            <w:tcW w:w="1536" w:type="dxa"/>
            <w:vAlign w:val="center"/>
          </w:tcPr>
          <w:p>
            <w:pPr>
              <w:pStyle w:val="42"/>
              <w:jc w:val="center"/>
            </w:pPr>
            <w:r>
              <w:t>表面裂纹</w:t>
            </w:r>
          </w:p>
        </w:tc>
        <w:tc>
          <w:tcPr>
            <w:tcW w:w="2323" w:type="dxa"/>
            <w:vAlign w:val="center"/>
          </w:tcPr>
          <w:p>
            <w:pPr>
              <w:pStyle w:val="42"/>
              <w:jc w:val="center"/>
            </w:pPr>
            <w:r>
              <w:t>疏松脱落</w:t>
            </w:r>
          </w:p>
        </w:tc>
        <w:tc>
          <w:tcPr>
            <w:tcW w:w="827" w:type="dxa"/>
            <w:vAlign w:val="center"/>
          </w:tcPr>
          <w:p>
            <w:pPr>
              <w:pStyle w:val="42"/>
              <w:jc w:val="center"/>
            </w:pPr>
            <w:r>
              <w:t>露筋</w:t>
            </w:r>
          </w:p>
        </w:tc>
        <w:tc>
          <w:tcPr>
            <w:tcW w:w="1054" w:type="dxa"/>
            <w:vMerge w:val="continue"/>
            <w:vAlign w:val="center"/>
          </w:tcPr>
          <w:p>
            <w:pPr>
              <w:pStyle w:val="42"/>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1492" w:type="dxa"/>
            <w:vAlign w:val="center"/>
          </w:tcPr>
          <w:p>
            <w:pPr>
              <w:pStyle w:val="42"/>
              <w:jc w:val="center"/>
            </w:pPr>
            <w:r>
              <w:t>20</w:t>
            </w:r>
          </w:p>
        </w:tc>
        <w:tc>
          <w:tcPr>
            <w:tcW w:w="1156" w:type="dxa"/>
            <w:vAlign w:val="center"/>
          </w:tcPr>
          <w:p>
            <w:pPr>
              <w:pStyle w:val="42"/>
              <w:jc w:val="center"/>
            </w:pPr>
            <w:r>
              <w:t>790</w:t>
            </w:r>
          </w:p>
        </w:tc>
        <w:tc>
          <w:tcPr>
            <w:tcW w:w="1574" w:type="dxa"/>
            <w:vAlign w:val="center"/>
          </w:tcPr>
          <w:p>
            <w:pPr>
              <w:pStyle w:val="42"/>
              <w:jc w:val="center"/>
            </w:pPr>
            <w:r>
              <w:t>浅灰白，略显黄色</w:t>
            </w:r>
          </w:p>
        </w:tc>
        <w:tc>
          <w:tcPr>
            <w:tcW w:w="1536" w:type="dxa"/>
            <w:vAlign w:val="center"/>
          </w:tcPr>
          <w:p>
            <w:pPr>
              <w:pStyle w:val="42"/>
              <w:jc w:val="center"/>
            </w:pPr>
            <w:r>
              <w:t>有少许细裂纹</w:t>
            </w:r>
          </w:p>
        </w:tc>
        <w:tc>
          <w:tcPr>
            <w:tcW w:w="2323" w:type="dxa"/>
            <w:vAlign w:val="center"/>
          </w:tcPr>
          <w:p>
            <w:pPr>
              <w:pStyle w:val="42"/>
              <w:jc w:val="center"/>
            </w:pPr>
            <w:r>
              <w:t>无</w:t>
            </w:r>
          </w:p>
        </w:tc>
        <w:tc>
          <w:tcPr>
            <w:tcW w:w="827" w:type="dxa"/>
            <w:vAlign w:val="center"/>
          </w:tcPr>
          <w:p>
            <w:pPr>
              <w:pStyle w:val="42"/>
              <w:jc w:val="center"/>
            </w:pPr>
            <w:r>
              <w:t>无</w:t>
            </w:r>
          </w:p>
        </w:tc>
        <w:tc>
          <w:tcPr>
            <w:tcW w:w="1054" w:type="dxa"/>
            <w:vAlign w:val="center"/>
          </w:tcPr>
          <w:p>
            <w:pPr>
              <w:pStyle w:val="42"/>
              <w:jc w:val="center"/>
            </w:pPr>
            <w:r>
              <w:t>响亮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1492" w:type="dxa"/>
            <w:vAlign w:val="center"/>
          </w:tcPr>
          <w:p>
            <w:pPr>
              <w:pStyle w:val="42"/>
              <w:jc w:val="center"/>
            </w:pPr>
            <w:r>
              <w:t>20~30</w:t>
            </w:r>
          </w:p>
        </w:tc>
        <w:tc>
          <w:tcPr>
            <w:tcW w:w="1156" w:type="dxa"/>
            <w:vAlign w:val="center"/>
          </w:tcPr>
          <w:p>
            <w:pPr>
              <w:pStyle w:val="42"/>
              <w:jc w:val="center"/>
            </w:pPr>
            <w:r>
              <w:t>790~863</w:t>
            </w:r>
          </w:p>
        </w:tc>
        <w:tc>
          <w:tcPr>
            <w:tcW w:w="1574" w:type="dxa"/>
            <w:vAlign w:val="center"/>
          </w:tcPr>
          <w:p>
            <w:pPr>
              <w:pStyle w:val="42"/>
              <w:jc w:val="center"/>
            </w:pPr>
            <w:r>
              <w:t>浅灰白，略显浅黄色</w:t>
            </w:r>
          </w:p>
        </w:tc>
        <w:tc>
          <w:tcPr>
            <w:tcW w:w="1536" w:type="dxa"/>
            <w:vAlign w:val="center"/>
          </w:tcPr>
          <w:p>
            <w:pPr>
              <w:pStyle w:val="42"/>
              <w:jc w:val="center"/>
            </w:pPr>
            <w:r>
              <w:t>有较多细裂纹</w:t>
            </w:r>
          </w:p>
        </w:tc>
        <w:tc>
          <w:tcPr>
            <w:tcW w:w="2323" w:type="dxa"/>
            <w:vAlign w:val="center"/>
          </w:tcPr>
          <w:p>
            <w:pPr>
              <w:pStyle w:val="42"/>
              <w:jc w:val="center"/>
            </w:pPr>
            <w:r>
              <w:t>表面疏松，棱角处有轻度脱落</w:t>
            </w:r>
          </w:p>
        </w:tc>
        <w:tc>
          <w:tcPr>
            <w:tcW w:w="827" w:type="dxa"/>
            <w:vAlign w:val="center"/>
          </w:tcPr>
          <w:p>
            <w:pPr>
              <w:pStyle w:val="42"/>
              <w:jc w:val="center"/>
            </w:pPr>
            <w:r>
              <w:t>无</w:t>
            </w:r>
          </w:p>
        </w:tc>
        <w:tc>
          <w:tcPr>
            <w:tcW w:w="1054" w:type="dxa"/>
            <w:vAlign w:val="center"/>
          </w:tcPr>
          <w:p>
            <w:pPr>
              <w:pStyle w:val="42"/>
              <w:jc w:val="center"/>
            </w:pPr>
            <w:r>
              <w:t>较响亮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492" w:type="dxa"/>
            <w:vAlign w:val="center"/>
          </w:tcPr>
          <w:p>
            <w:pPr>
              <w:pStyle w:val="42"/>
              <w:jc w:val="center"/>
            </w:pPr>
            <w:r>
              <w:t>30~45</w:t>
            </w:r>
          </w:p>
        </w:tc>
        <w:tc>
          <w:tcPr>
            <w:tcW w:w="1156" w:type="dxa"/>
            <w:vAlign w:val="center"/>
          </w:tcPr>
          <w:p>
            <w:pPr>
              <w:pStyle w:val="42"/>
              <w:jc w:val="center"/>
            </w:pPr>
            <w:r>
              <w:t>863~910</w:t>
            </w:r>
          </w:p>
        </w:tc>
        <w:tc>
          <w:tcPr>
            <w:tcW w:w="1574" w:type="dxa"/>
            <w:vAlign w:val="center"/>
          </w:tcPr>
          <w:p>
            <w:pPr>
              <w:pStyle w:val="42"/>
              <w:jc w:val="center"/>
            </w:pPr>
            <w:r>
              <w:t>灰白，显浅黄色</w:t>
            </w:r>
          </w:p>
        </w:tc>
        <w:tc>
          <w:tcPr>
            <w:tcW w:w="1536" w:type="dxa"/>
            <w:vAlign w:val="center"/>
          </w:tcPr>
          <w:p>
            <w:pPr>
              <w:pStyle w:val="42"/>
              <w:jc w:val="center"/>
            </w:pPr>
            <w:r>
              <w:t>有较多细裂纹并伴有少量贯穿裂纹</w:t>
            </w:r>
          </w:p>
        </w:tc>
        <w:tc>
          <w:tcPr>
            <w:tcW w:w="2323" w:type="dxa"/>
            <w:vAlign w:val="center"/>
          </w:tcPr>
          <w:p>
            <w:pPr>
              <w:pStyle w:val="42"/>
              <w:jc w:val="center"/>
            </w:pPr>
            <w:r>
              <w:t>表面起鼓，棱角处轻度脱落，部分石子石灰化</w:t>
            </w:r>
          </w:p>
        </w:tc>
        <w:tc>
          <w:tcPr>
            <w:tcW w:w="827" w:type="dxa"/>
            <w:vAlign w:val="center"/>
          </w:tcPr>
          <w:p>
            <w:pPr>
              <w:pStyle w:val="42"/>
              <w:jc w:val="center"/>
            </w:pPr>
            <w:r>
              <w:t>无</w:t>
            </w:r>
          </w:p>
        </w:tc>
        <w:tc>
          <w:tcPr>
            <w:tcW w:w="1054" w:type="dxa"/>
            <w:vAlign w:val="center"/>
          </w:tcPr>
          <w:p>
            <w:pPr>
              <w:pStyle w:val="42"/>
              <w:jc w:val="center"/>
            </w:pPr>
            <w:r>
              <w:t>沉闷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492" w:type="dxa"/>
            <w:vAlign w:val="center"/>
          </w:tcPr>
          <w:p>
            <w:pPr>
              <w:pStyle w:val="42"/>
              <w:jc w:val="center"/>
            </w:pPr>
            <w:r>
              <w:t>45~60</w:t>
            </w:r>
          </w:p>
        </w:tc>
        <w:tc>
          <w:tcPr>
            <w:tcW w:w="1156" w:type="dxa"/>
            <w:vAlign w:val="center"/>
          </w:tcPr>
          <w:p>
            <w:pPr>
              <w:pStyle w:val="42"/>
              <w:jc w:val="center"/>
            </w:pPr>
            <w:r>
              <w:t>910~944</w:t>
            </w:r>
          </w:p>
        </w:tc>
        <w:tc>
          <w:tcPr>
            <w:tcW w:w="1574" w:type="dxa"/>
            <w:vAlign w:val="center"/>
          </w:tcPr>
          <w:p>
            <w:pPr>
              <w:pStyle w:val="42"/>
              <w:jc w:val="center"/>
            </w:pPr>
            <w:r>
              <w:t>浅黄色</w:t>
            </w:r>
          </w:p>
        </w:tc>
        <w:tc>
          <w:tcPr>
            <w:tcW w:w="1536" w:type="dxa"/>
            <w:vAlign w:val="center"/>
          </w:tcPr>
          <w:p>
            <w:pPr>
              <w:pStyle w:val="42"/>
              <w:jc w:val="center"/>
            </w:pPr>
            <w:r>
              <w:t>贯穿裂纹增多</w:t>
            </w:r>
          </w:p>
        </w:tc>
        <w:tc>
          <w:tcPr>
            <w:tcW w:w="2323" w:type="dxa"/>
            <w:vAlign w:val="center"/>
          </w:tcPr>
          <w:p>
            <w:pPr>
              <w:pStyle w:val="42"/>
              <w:jc w:val="center"/>
            </w:pPr>
            <w:r>
              <w:t>表面起鼓，棱角处严重脱落</w:t>
            </w:r>
          </w:p>
        </w:tc>
        <w:tc>
          <w:tcPr>
            <w:tcW w:w="827" w:type="dxa"/>
            <w:vAlign w:val="center"/>
          </w:tcPr>
          <w:p>
            <w:pPr>
              <w:pStyle w:val="42"/>
              <w:jc w:val="center"/>
            </w:pPr>
            <w:r>
              <w:t>无</w:t>
            </w:r>
          </w:p>
        </w:tc>
        <w:tc>
          <w:tcPr>
            <w:tcW w:w="1054" w:type="dxa"/>
            <w:vAlign w:val="center"/>
          </w:tcPr>
          <w:p>
            <w:pPr>
              <w:pStyle w:val="42"/>
              <w:jc w:val="center"/>
            </w:pPr>
            <w:r>
              <w:t>声哑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492" w:type="dxa"/>
            <w:vAlign w:val="center"/>
          </w:tcPr>
          <w:p>
            <w:pPr>
              <w:pStyle w:val="42"/>
              <w:jc w:val="center"/>
            </w:pPr>
            <w:r>
              <w:t>60~75</w:t>
            </w:r>
          </w:p>
        </w:tc>
        <w:tc>
          <w:tcPr>
            <w:tcW w:w="1156" w:type="dxa"/>
            <w:vAlign w:val="center"/>
          </w:tcPr>
          <w:p>
            <w:pPr>
              <w:pStyle w:val="42"/>
              <w:jc w:val="center"/>
            </w:pPr>
            <w:r>
              <w:t>944~972</w:t>
            </w:r>
          </w:p>
        </w:tc>
        <w:tc>
          <w:tcPr>
            <w:tcW w:w="1574" w:type="dxa"/>
            <w:vAlign w:val="center"/>
          </w:tcPr>
          <w:p>
            <w:pPr>
              <w:pStyle w:val="42"/>
              <w:jc w:val="center"/>
            </w:pPr>
            <w:r>
              <w:t>浅黄色</w:t>
            </w:r>
          </w:p>
        </w:tc>
        <w:tc>
          <w:tcPr>
            <w:tcW w:w="1536" w:type="dxa"/>
            <w:vAlign w:val="center"/>
          </w:tcPr>
          <w:p>
            <w:pPr>
              <w:pStyle w:val="42"/>
              <w:jc w:val="center"/>
            </w:pPr>
            <w:r>
              <w:t>贯穿裂纹增多</w:t>
            </w:r>
          </w:p>
        </w:tc>
        <w:tc>
          <w:tcPr>
            <w:tcW w:w="2323" w:type="dxa"/>
            <w:vAlign w:val="center"/>
          </w:tcPr>
          <w:p>
            <w:pPr>
              <w:pStyle w:val="42"/>
              <w:jc w:val="center"/>
            </w:pPr>
            <w:r>
              <w:t>表面起鼓，棱角处脱落较重</w:t>
            </w:r>
          </w:p>
        </w:tc>
        <w:tc>
          <w:tcPr>
            <w:tcW w:w="827" w:type="dxa"/>
            <w:vAlign w:val="center"/>
          </w:tcPr>
          <w:p>
            <w:pPr>
              <w:pStyle w:val="42"/>
              <w:jc w:val="center"/>
            </w:pPr>
            <w:r>
              <w:t>露筋</w:t>
            </w:r>
          </w:p>
        </w:tc>
        <w:tc>
          <w:tcPr>
            <w:tcW w:w="1054" w:type="dxa"/>
            <w:vAlign w:val="center"/>
          </w:tcPr>
          <w:p>
            <w:pPr>
              <w:pStyle w:val="42"/>
              <w:jc w:val="center"/>
            </w:pPr>
            <w:r>
              <w:t>声哑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2" w:type="dxa"/>
            <w:vAlign w:val="center"/>
          </w:tcPr>
          <w:p>
            <w:pPr>
              <w:pStyle w:val="42"/>
              <w:jc w:val="center"/>
            </w:pPr>
            <w:r>
              <w:t>75~90</w:t>
            </w:r>
          </w:p>
        </w:tc>
        <w:tc>
          <w:tcPr>
            <w:tcW w:w="1156" w:type="dxa"/>
            <w:vAlign w:val="center"/>
          </w:tcPr>
          <w:p>
            <w:pPr>
              <w:pStyle w:val="42"/>
              <w:jc w:val="center"/>
            </w:pPr>
            <w:r>
              <w:t>972~1001</w:t>
            </w:r>
          </w:p>
        </w:tc>
        <w:tc>
          <w:tcPr>
            <w:tcW w:w="1574" w:type="dxa"/>
            <w:vAlign w:val="center"/>
          </w:tcPr>
          <w:p>
            <w:pPr>
              <w:pStyle w:val="42"/>
              <w:jc w:val="center"/>
            </w:pPr>
            <w:r>
              <w:t>浅黄显白色</w:t>
            </w:r>
          </w:p>
        </w:tc>
        <w:tc>
          <w:tcPr>
            <w:tcW w:w="1536" w:type="dxa"/>
            <w:vAlign w:val="center"/>
          </w:tcPr>
          <w:p>
            <w:pPr>
              <w:pStyle w:val="42"/>
              <w:jc w:val="center"/>
            </w:pPr>
            <w:r>
              <w:t>贯穿裂纹增多</w:t>
            </w:r>
          </w:p>
        </w:tc>
        <w:tc>
          <w:tcPr>
            <w:tcW w:w="2323" w:type="dxa"/>
            <w:vAlign w:val="center"/>
          </w:tcPr>
          <w:p>
            <w:pPr>
              <w:pStyle w:val="42"/>
              <w:jc w:val="center"/>
            </w:pPr>
            <w:r>
              <w:t>表面严重脱落，棱角处露筋</w:t>
            </w:r>
          </w:p>
        </w:tc>
        <w:tc>
          <w:tcPr>
            <w:tcW w:w="827" w:type="dxa"/>
            <w:vAlign w:val="center"/>
          </w:tcPr>
          <w:p>
            <w:pPr>
              <w:pStyle w:val="42"/>
              <w:jc w:val="center"/>
            </w:pPr>
            <w:r>
              <w:t>露筋</w:t>
            </w:r>
          </w:p>
        </w:tc>
        <w:tc>
          <w:tcPr>
            <w:tcW w:w="1054" w:type="dxa"/>
            <w:vAlign w:val="center"/>
          </w:tcPr>
          <w:p>
            <w:pPr>
              <w:pStyle w:val="42"/>
              <w:jc w:val="center"/>
            </w:pPr>
            <w:r>
              <w:t>声哑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2" w:type="dxa"/>
            <w:vAlign w:val="center"/>
          </w:tcPr>
          <w:p>
            <w:pPr>
              <w:pStyle w:val="42"/>
              <w:jc w:val="center"/>
            </w:pPr>
            <w:r>
              <w:t>100</w:t>
            </w:r>
          </w:p>
        </w:tc>
        <w:tc>
          <w:tcPr>
            <w:tcW w:w="1156" w:type="dxa"/>
            <w:vAlign w:val="center"/>
          </w:tcPr>
          <w:p>
            <w:pPr>
              <w:pStyle w:val="42"/>
              <w:jc w:val="center"/>
            </w:pPr>
            <w:r>
              <w:t>1026</w:t>
            </w:r>
          </w:p>
        </w:tc>
        <w:tc>
          <w:tcPr>
            <w:tcW w:w="1574" w:type="dxa"/>
            <w:vAlign w:val="center"/>
          </w:tcPr>
          <w:p>
            <w:pPr>
              <w:pStyle w:val="42"/>
              <w:jc w:val="center"/>
            </w:pPr>
            <w:r>
              <w:t>浅黄显白色</w:t>
            </w:r>
          </w:p>
        </w:tc>
        <w:tc>
          <w:tcPr>
            <w:tcW w:w="1536" w:type="dxa"/>
            <w:vAlign w:val="center"/>
          </w:tcPr>
          <w:p>
            <w:pPr>
              <w:pStyle w:val="42"/>
              <w:jc w:val="center"/>
            </w:pPr>
            <w:r>
              <w:t>多贯穿裂纹增</w:t>
            </w:r>
          </w:p>
        </w:tc>
        <w:tc>
          <w:tcPr>
            <w:tcW w:w="2323" w:type="dxa"/>
            <w:vAlign w:val="center"/>
          </w:tcPr>
          <w:p>
            <w:pPr>
              <w:pStyle w:val="42"/>
              <w:jc w:val="center"/>
            </w:pPr>
            <w:r>
              <w:t>表面全部脱落，棱角处严重露筋</w:t>
            </w:r>
          </w:p>
        </w:tc>
        <w:tc>
          <w:tcPr>
            <w:tcW w:w="827" w:type="dxa"/>
            <w:vAlign w:val="center"/>
          </w:tcPr>
          <w:p>
            <w:pPr>
              <w:pStyle w:val="42"/>
              <w:jc w:val="center"/>
            </w:pPr>
            <w:r>
              <w:t>严重露筋</w:t>
            </w:r>
          </w:p>
        </w:tc>
        <w:tc>
          <w:tcPr>
            <w:tcW w:w="1054" w:type="dxa"/>
            <w:vAlign w:val="center"/>
          </w:tcPr>
          <w:p>
            <w:pPr>
              <w:pStyle w:val="42"/>
              <w:jc w:val="center"/>
            </w:pPr>
            <w:r>
              <w:t>声哑</w:t>
            </w:r>
          </w:p>
        </w:tc>
      </w:tr>
    </w:tbl>
    <w:p>
      <w:pPr>
        <w:rPr>
          <w:rFonts w:cs="Times New Roman"/>
          <w:b/>
        </w:rPr>
      </w:pPr>
      <w:r>
        <w:rPr>
          <w:rFonts w:cs="Times New Roman"/>
          <w:b/>
        </w:rPr>
        <w:t>B.0.3</w:t>
      </w:r>
    </w:p>
    <w:p>
      <w:pPr>
        <w:rPr>
          <w:rFonts w:cs="Times New Roman"/>
        </w:rPr>
      </w:pPr>
      <w:r>
        <w:rPr>
          <w:rFonts w:cs="Times New Roman"/>
        </w:rPr>
        <w:t>1 火灾后发生爆裂的混凝土，可按表B-3常温下混凝土强度等级判断混凝土表面爆裂临界温度，混凝土表面爆裂临界温度为混凝土发生首次爆裂时对应的温度。</w:t>
      </w:r>
    </w:p>
    <w:p>
      <w:pPr>
        <w:pStyle w:val="41"/>
      </w:pPr>
      <w:r>
        <w:t>表B-3  混凝土爆裂临界温度</w:t>
      </w:r>
    </w:p>
    <w:tbl>
      <w:tblPr>
        <w:tblStyle w:val="25"/>
        <w:tblW w:w="44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62" w:type="dxa"/>
            <w:vAlign w:val="center"/>
          </w:tcPr>
          <w:p>
            <w:pPr>
              <w:pStyle w:val="43"/>
              <w:ind w:firstLine="420"/>
              <w:rPr>
                <w:rFonts w:cs="Times New Roman"/>
                <w:kern w:val="0"/>
                <w:sz w:val="20"/>
              </w:rPr>
            </w:pPr>
            <w:r>
              <w:rPr>
                <w:rFonts w:cs="Times New Roman"/>
                <w:kern w:val="0"/>
                <w:sz w:val="20"/>
              </w:rPr>
              <w:t>混凝土强度等级</w:t>
            </w:r>
          </w:p>
        </w:tc>
        <w:tc>
          <w:tcPr>
            <w:tcW w:w="2322" w:type="dxa"/>
            <w:vAlign w:val="center"/>
          </w:tcPr>
          <w:p>
            <w:pPr>
              <w:pStyle w:val="43"/>
              <w:ind w:firstLine="420"/>
              <w:rPr>
                <w:rFonts w:cs="Times New Roman"/>
                <w:kern w:val="0"/>
                <w:sz w:val="20"/>
              </w:rPr>
            </w:pPr>
            <w:r>
              <w:rPr>
                <w:rFonts w:cs="Times New Roman"/>
                <w:kern w:val="0"/>
                <w:sz w:val="20"/>
              </w:rPr>
              <w:t>爆裂临界温度(℃)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62" w:type="dxa"/>
            <w:vAlign w:val="center"/>
          </w:tcPr>
          <w:p>
            <w:pPr>
              <w:pStyle w:val="43"/>
              <w:ind w:firstLine="420"/>
              <w:rPr>
                <w:rFonts w:cs="Times New Roman"/>
                <w:kern w:val="0"/>
                <w:sz w:val="20"/>
              </w:rPr>
            </w:pPr>
            <w:r>
              <w:rPr>
                <w:rFonts w:cs="Times New Roman"/>
                <w:kern w:val="0"/>
                <w:sz w:val="20"/>
              </w:rPr>
              <w:t>C20</w:t>
            </w:r>
          </w:p>
        </w:tc>
        <w:tc>
          <w:tcPr>
            <w:tcW w:w="2322" w:type="dxa"/>
            <w:vAlign w:val="center"/>
          </w:tcPr>
          <w:p>
            <w:pPr>
              <w:pStyle w:val="43"/>
              <w:ind w:firstLine="420"/>
              <w:rPr>
                <w:rFonts w:cs="Times New Roman"/>
                <w:kern w:val="0"/>
                <w:sz w:val="20"/>
              </w:rPr>
            </w:pPr>
            <w:r>
              <w:rPr>
                <w:rFonts w:cs="Times New Roman"/>
                <w:kern w:val="0"/>
                <w:sz w:val="20"/>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62" w:type="dxa"/>
            <w:vAlign w:val="center"/>
          </w:tcPr>
          <w:p>
            <w:pPr>
              <w:pStyle w:val="43"/>
              <w:ind w:firstLine="420"/>
              <w:rPr>
                <w:rFonts w:cs="Times New Roman"/>
                <w:kern w:val="0"/>
                <w:sz w:val="20"/>
              </w:rPr>
            </w:pPr>
            <w:r>
              <w:rPr>
                <w:rFonts w:cs="Times New Roman"/>
                <w:kern w:val="0"/>
                <w:sz w:val="20"/>
              </w:rPr>
              <w:t>C25</w:t>
            </w:r>
          </w:p>
        </w:tc>
        <w:tc>
          <w:tcPr>
            <w:tcW w:w="2322" w:type="dxa"/>
            <w:vAlign w:val="center"/>
          </w:tcPr>
          <w:p>
            <w:pPr>
              <w:pStyle w:val="43"/>
              <w:ind w:firstLine="420"/>
              <w:rPr>
                <w:rFonts w:cs="Times New Roman"/>
                <w:kern w:val="0"/>
                <w:sz w:val="20"/>
              </w:rPr>
            </w:pPr>
            <w:r>
              <w:rPr>
                <w:rFonts w:cs="Times New Roman"/>
                <w:kern w:val="0"/>
                <w:sz w:val="20"/>
              </w:rPr>
              <w:t>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62" w:type="dxa"/>
            <w:vAlign w:val="center"/>
          </w:tcPr>
          <w:p>
            <w:pPr>
              <w:pStyle w:val="43"/>
              <w:ind w:firstLine="420"/>
              <w:rPr>
                <w:rFonts w:cs="Times New Roman"/>
                <w:kern w:val="0"/>
                <w:sz w:val="20"/>
              </w:rPr>
            </w:pPr>
            <w:r>
              <w:rPr>
                <w:rFonts w:cs="Times New Roman"/>
                <w:kern w:val="0"/>
                <w:sz w:val="20"/>
              </w:rPr>
              <w:t>C30</w:t>
            </w:r>
          </w:p>
        </w:tc>
        <w:tc>
          <w:tcPr>
            <w:tcW w:w="2322" w:type="dxa"/>
            <w:vAlign w:val="center"/>
          </w:tcPr>
          <w:p>
            <w:pPr>
              <w:pStyle w:val="43"/>
              <w:ind w:firstLine="420"/>
              <w:rPr>
                <w:rFonts w:cs="Times New Roman"/>
                <w:kern w:val="0"/>
                <w:sz w:val="20"/>
              </w:rPr>
            </w:pPr>
            <w:r>
              <w:rPr>
                <w:rFonts w:cs="Times New Roman"/>
                <w:kern w:val="0"/>
                <w:sz w:val="20"/>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62" w:type="dxa"/>
            <w:vAlign w:val="center"/>
          </w:tcPr>
          <w:p>
            <w:pPr>
              <w:pStyle w:val="43"/>
              <w:ind w:firstLine="420"/>
              <w:rPr>
                <w:rFonts w:cs="Times New Roman"/>
                <w:kern w:val="0"/>
                <w:sz w:val="20"/>
              </w:rPr>
            </w:pPr>
            <w:r>
              <w:rPr>
                <w:rFonts w:cs="Times New Roman"/>
                <w:kern w:val="0"/>
                <w:sz w:val="20"/>
              </w:rPr>
              <w:t>C35</w:t>
            </w:r>
          </w:p>
        </w:tc>
        <w:tc>
          <w:tcPr>
            <w:tcW w:w="2322" w:type="dxa"/>
            <w:vAlign w:val="center"/>
          </w:tcPr>
          <w:p>
            <w:pPr>
              <w:pStyle w:val="43"/>
              <w:ind w:firstLine="420"/>
              <w:rPr>
                <w:rFonts w:cs="Times New Roman"/>
                <w:kern w:val="0"/>
                <w:sz w:val="20"/>
              </w:rPr>
            </w:pPr>
            <w:r>
              <w:rPr>
                <w:rFonts w:cs="Times New Roman"/>
                <w:kern w:val="0"/>
                <w:sz w:val="20"/>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62" w:type="dxa"/>
            <w:vAlign w:val="center"/>
          </w:tcPr>
          <w:p>
            <w:pPr>
              <w:pStyle w:val="43"/>
              <w:ind w:firstLine="420"/>
              <w:rPr>
                <w:rFonts w:cs="Times New Roman"/>
                <w:kern w:val="0"/>
                <w:sz w:val="20"/>
              </w:rPr>
            </w:pPr>
            <w:r>
              <w:rPr>
                <w:rFonts w:cs="Times New Roman"/>
                <w:kern w:val="0"/>
                <w:sz w:val="20"/>
              </w:rPr>
              <w:t>C40</w:t>
            </w:r>
          </w:p>
        </w:tc>
        <w:tc>
          <w:tcPr>
            <w:tcW w:w="2322" w:type="dxa"/>
            <w:vAlign w:val="center"/>
          </w:tcPr>
          <w:p>
            <w:pPr>
              <w:pStyle w:val="43"/>
              <w:ind w:firstLine="420"/>
              <w:rPr>
                <w:rFonts w:cs="Times New Roman"/>
                <w:kern w:val="0"/>
                <w:sz w:val="20"/>
              </w:rPr>
            </w:pPr>
            <w:r>
              <w:rPr>
                <w:rFonts w:cs="Times New Roman"/>
                <w:kern w:val="0"/>
                <w:sz w:val="20"/>
              </w:rPr>
              <w:t>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62" w:type="dxa"/>
            <w:vAlign w:val="center"/>
          </w:tcPr>
          <w:p>
            <w:pPr>
              <w:pStyle w:val="43"/>
              <w:ind w:firstLine="420"/>
              <w:rPr>
                <w:rFonts w:cs="Times New Roman"/>
                <w:kern w:val="0"/>
                <w:sz w:val="20"/>
              </w:rPr>
            </w:pPr>
            <w:r>
              <w:rPr>
                <w:rFonts w:cs="Times New Roman"/>
                <w:kern w:val="0"/>
                <w:sz w:val="20"/>
              </w:rPr>
              <w:t>C45</w:t>
            </w:r>
          </w:p>
        </w:tc>
        <w:tc>
          <w:tcPr>
            <w:tcW w:w="2322" w:type="dxa"/>
            <w:vAlign w:val="center"/>
          </w:tcPr>
          <w:p>
            <w:pPr>
              <w:pStyle w:val="43"/>
              <w:ind w:firstLine="420"/>
              <w:rPr>
                <w:rFonts w:cs="Times New Roman"/>
                <w:kern w:val="0"/>
                <w:sz w:val="20"/>
              </w:rPr>
            </w:pPr>
            <w:r>
              <w:rPr>
                <w:rFonts w:cs="Times New Roman"/>
                <w:kern w:val="0"/>
                <w:sz w:val="20"/>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62" w:type="dxa"/>
            <w:vAlign w:val="center"/>
          </w:tcPr>
          <w:p>
            <w:pPr>
              <w:pStyle w:val="43"/>
              <w:ind w:firstLine="420"/>
              <w:rPr>
                <w:rFonts w:cs="Times New Roman"/>
                <w:kern w:val="0"/>
                <w:sz w:val="20"/>
              </w:rPr>
            </w:pPr>
            <w:r>
              <w:rPr>
                <w:rFonts w:cs="Times New Roman"/>
                <w:kern w:val="0"/>
                <w:sz w:val="20"/>
              </w:rPr>
              <w:t>C50</w:t>
            </w:r>
          </w:p>
        </w:tc>
        <w:tc>
          <w:tcPr>
            <w:tcW w:w="2322" w:type="dxa"/>
            <w:vAlign w:val="center"/>
          </w:tcPr>
          <w:p>
            <w:pPr>
              <w:pStyle w:val="43"/>
              <w:ind w:firstLine="420"/>
              <w:rPr>
                <w:rFonts w:cs="Times New Roman"/>
                <w:kern w:val="0"/>
                <w:sz w:val="20"/>
              </w:rPr>
            </w:pPr>
            <w:r>
              <w:rPr>
                <w:rFonts w:cs="Times New Roman"/>
                <w:kern w:val="0"/>
                <w:sz w:val="20"/>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62" w:type="dxa"/>
            <w:vAlign w:val="center"/>
          </w:tcPr>
          <w:p>
            <w:pPr>
              <w:pStyle w:val="43"/>
              <w:ind w:firstLine="420"/>
              <w:rPr>
                <w:rFonts w:cs="Times New Roman"/>
                <w:kern w:val="0"/>
                <w:sz w:val="20"/>
              </w:rPr>
            </w:pPr>
            <w:r>
              <w:rPr>
                <w:rFonts w:cs="Times New Roman"/>
                <w:kern w:val="0"/>
                <w:sz w:val="20"/>
              </w:rPr>
              <w:t>C55</w:t>
            </w:r>
          </w:p>
        </w:tc>
        <w:tc>
          <w:tcPr>
            <w:tcW w:w="2322" w:type="dxa"/>
            <w:vAlign w:val="center"/>
          </w:tcPr>
          <w:p>
            <w:pPr>
              <w:pStyle w:val="43"/>
              <w:ind w:firstLine="420"/>
              <w:rPr>
                <w:rFonts w:cs="Times New Roman"/>
                <w:kern w:val="0"/>
                <w:sz w:val="20"/>
              </w:rPr>
            </w:pPr>
            <w:r>
              <w:rPr>
                <w:rFonts w:cs="Times New Roman"/>
                <w:kern w:val="0"/>
                <w:sz w:val="20"/>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62" w:type="dxa"/>
            <w:vAlign w:val="center"/>
          </w:tcPr>
          <w:p>
            <w:pPr>
              <w:pStyle w:val="43"/>
              <w:ind w:firstLine="420"/>
              <w:rPr>
                <w:rFonts w:cs="Times New Roman"/>
                <w:kern w:val="0"/>
                <w:sz w:val="20"/>
              </w:rPr>
            </w:pPr>
            <w:r>
              <w:rPr>
                <w:rFonts w:cs="Times New Roman"/>
                <w:kern w:val="0"/>
                <w:sz w:val="20"/>
              </w:rPr>
              <w:t>C60</w:t>
            </w:r>
          </w:p>
        </w:tc>
        <w:tc>
          <w:tcPr>
            <w:tcW w:w="2322" w:type="dxa"/>
            <w:vAlign w:val="center"/>
          </w:tcPr>
          <w:p>
            <w:pPr>
              <w:pStyle w:val="43"/>
              <w:ind w:firstLine="420"/>
              <w:rPr>
                <w:rFonts w:cs="Times New Roman"/>
                <w:kern w:val="0"/>
                <w:sz w:val="20"/>
              </w:rPr>
            </w:pPr>
            <w:r>
              <w:rPr>
                <w:rFonts w:cs="Times New Roman"/>
                <w:kern w:val="0"/>
                <w:sz w:val="20"/>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62" w:type="dxa"/>
            <w:vAlign w:val="center"/>
          </w:tcPr>
          <w:p>
            <w:pPr>
              <w:pStyle w:val="43"/>
              <w:ind w:firstLine="420"/>
              <w:rPr>
                <w:rFonts w:cs="Times New Roman"/>
                <w:kern w:val="0"/>
                <w:sz w:val="20"/>
              </w:rPr>
            </w:pPr>
            <w:r>
              <w:rPr>
                <w:rFonts w:cs="Times New Roman"/>
                <w:kern w:val="0"/>
                <w:sz w:val="20"/>
              </w:rPr>
              <w:t>C65</w:t>
            </w:r>
          </w:p>
        </w:tc>
        <w:tc>
          <w:tcPr>
            <w:tcW w:w="2322" w:type="dxa"/>
            <w:vAlign w:val="center"/>
          </w:tcPr>
          <w:p>
            <w:pPr>
              <w:pStyle w:val="43"/>
              <w:ind w:firstLine="420"/>
              <w:rPr>
                <w:rFonts w:cs="Times New Roman"/>
                <w:kern w:val="0"/>
                <w:sz w:val="20"/>
              </w:rPr>
            </w:pPr>
            <w:r>
              <w:rPr>
                <w:rFonts w:cs="Times New Roman"/>
                <w:kern w:val="0"/>
                <w:sz w:val="20"/>
              </w:rPr>
              <w:t>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62" w:type="dxa"/>
            <w:vAlign w:val="center"/>
          </w:tcPr>
          <w:p>
            <w:pPr>
              <w:pStyle w:val="43"/>
              <w:ind w:firstLine="420"/>
              <w:rPr>
                <w:rFonts w:cs="Times New Roman"/>
                <w:kern w:val="0"/>
                <w:sz w:val="20"/>
              </w:rPr>
            </w:pPr>
            <w:r>
              <w:rPr>
                <w:rFonts w:cs="Times New Roman"/>
                <w:kern w:val="0"/>
                <w:sz w:val="20"/>
              </w:rPr>
              <w:t>C70</w:t>
            </w:r>
          </w:p>
        </w:tc>
        <w:tc>
          <w:tcPr>
            <w:tcW w:w="2322" w:type="dxa"/>
            <w:vAlign w:val="center"/>
          </w:tcPr>
          <w:p>
            <w:pPr>
              <w:pStyle w:val="43"/>
              <w:ind w:firstLine="420"/>
              <w:rPr>
                <w:rFonts w:cs="Times New Roman"/>
                <w:kern w:val="0"/>
                <w:sz w:val="20"/>
              </w:rPr>
            </w:pPr>
            <w:r>
              <w:rPr>
                <w:rFonts w:cs="Times New Roman"/>
                <w:kern w:val="0"/>
                <w:sz w:val="20"/>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62" w:type="dxa"/>
            <w:vAlign w:val="center"/>
          </w:tcPr>
          <w:p>
            <w:pPr>
              <w:pStyle w:val="43"/>
              <w:ind w:firstLine="420"/>
              <w:rPr>
                <w:rFonts w:cs="Times New Roman"/>
                <w:kern w:val="0"/>
                <w:sz w:val="20"/>
              </w:rPr>
            </w:pPr>
            <w:r>
              <w:rPr>
                <w:rFonts w:cs="Times New Roman"/>
                <w:kern w:val="0"/>
                <w:sz w:val="20"/>
              </w:rPr>
              <w:t>C75</w:t>
            </w:r>
          </w:p>
        </w:tc>
        <w:tc>
          <w:tcPr>
            <w:tcW w:w="2322" w:type="dxa"/>
            <w:vAlign w:val="center"/>
          </w:tcPr>
          <w:p>
            <w:pPr>
              <w:pStyle w:val="43"/>
              <w:ind w:firstLine="420"/>
              <w:rPr>
                <w:rFonts w:cs="Times New Roman"/>
                <w:kern w:val="0"/>
                <w:sz w:val="20"/>
              </w:rPr>
            </w:pPr>
            <w:r>
              <w:rPr>
                <w:rFonts w:cs="Times New Roman"/>
                <w:kern w:val="0"/>
                <w:sz w:val="20"/>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62" w:type="dxa"/>
            <w:vAlign w:val="center"/>
          </w:tcPr>
          <w:p>
            <w:pPr>
              <w:pStyle w:val="43"/>
              <w:ind w:firstLine="420"/>
              <w:rPr>
                <w:rFonts w:cs="Times New Roman"/>
                <w:kern w:val="0"/>
                <w:sz w:val="20"/>
              </w:rPr>
            </w:pPr>
            <w:r>
              <w:rPr>
                <w:rFonts w:cs="Times New Roman"/>
                <w:kern w:val="0"/>
                <w:sz w:val="20"/>
              </w:rPr>
              <w:t>C80</w:t>
            </w:r>
          </w:p>
        </w:tc>
        <w:tc>
          <w:tcPr>
            <w:tcW w:w="2322" w:type="dxa"/>
            <w:vAlign w:val="center"/>
          </w:tcPr>
          <w:p>
            <w:pPr>
              <w:pStyle w:val="43"/>
              <w:ind w:firstLine="420"/>
              <w:rPr>
                <w:rFonts w:cs="Times New Roman"/>
                <w:kern w:val="0"/>
                <w:sz w:val="20"/>
              </w:rPr>
            </w:pPr>
            <w:r>
              <w:rPr>
                <w:rFonts w:cs="Times New Roman"/>
                <w:kern w:val="0"/>
                <w:sz w:val="20"/>
              </w:rPr>
              <w:t>291</w:t>
            </w:r>
          </w:p>
        </w:tc>
      </w:tr>
    </w:tbl>
    <w:p>
      <w:pPr>
        <w:rPr>
          <w:rFonts w:cs="Times New Roman"/>
        </w:rPr>
      </w:pPr>
      <w:r>
        <w:rPr>
          <w:rFonts w:cs="Times New Roman"/>
        </w:rPr>
        <w:t>2 由表B-3确定混凝土爆裂临界温度后，可由实际火灾升温曲线计算确定混凝土发生爆裂的时刻。当缺乏实际火灾升温曲线时，也可由</w:t>
      </w:r>
      <w:r>
        <w:rPr>
          <w:rFonts w:hint="eastAsia" w:cs="Times New Roman"/>
        </w:rPr>
        <w:t>“</w:t>
      </w:r>
      <w:r>
        <w:rPr>
          <w:rFonts w:cs="Times New Roman"/>
        </w:rPr>
        <w:t>附录D混凝土构件在标准升温条件下温度场实用曲线图</w:t>
      </w:r>
      <w:r>
        <w:rPr>
          <w:rFonts w:hint="eastAsia" w:cs="Times New Roman"/>
        </w:rPr>
        <w:t>”推断</w:t>
      </w:r>
      <w:r>
        <w:rPr>
          <w:rFonts w:cs="Times New Roman"/>
        </w:rPr>
        <w:t>混凝土发生爆裂的时刻。</w:t>
      </w:r>
    </w:p>
    <w:p>
      <w:pPr>
        <w:rPr>
          <w:rFonts w:cs="Times New Roman"/>
        </w:rPr>
      </w:pPr>
      <w:r>
        <w:rPr>
          <w:rFonts w:cs="Times New Roman"/>
        </w:rPr>
        <w:t>3 由混凝土发生爆裂的时刻为分界线，爆裂前，按全截面计算温度场</w:t>
      </w:r>
      <w:r>
        <w:rPr>
          <w:rFonts w:hint="eastAsia" w:cs="Times New Roman"/>
        </w:rPr>
        <w:t>；</w:t>
      </w:r>
      <w:r>
        <w:rPr>
          <w:rFonts w:cs="Times New Roman"/>
        </w:rPr>
        <w:t>爆裂后，按火灾后发生爆裂后的剩余截面计算温度场。</w:t>
      </w:r>
    </w:p>
    <w:p>
      <w:pPr>
        <w:ind w:firstLine="420" w:firstLineChars="200"/>
        <w:rPr>
          <w:rFonts w:ascii="楷体" w:hAnsi="楷体" w:eastAsia="楷体"/>
        </w:rPr>
      </w:pPr>
    </w:p>
    <w:p>
      <w:pPr>
        <w:ind w:firstLine="420" w:firstLineChars="200"/>
        <w:rPr>
          <w:rFonts w:ascii="楷体" w:hAnsi="楷体" w:eastAsia="楷体"/>
        </w:rPr>
      </w:pPr>
    </w:p>
    <w:p>
      <w:pPr>
        <w:ind w:firstLine="420" w:firstLineChars="200"/>
        <w:rPr>
          <w:rFonts w:ascii="楷体" w:hAnsi="楷体" w:eastAsia="楷体"/>
        </w:rPr>
      </w:pPr>
    </w:p>
    <w:p>
      <w:pPr>
        <w:ind w:firstLine="420" w:firstLineChars="200"/>
        <w:rPr>
          <w:rFonts w:ascii="楷体" w:hAnsi="楷体" w:eastAsia="楷体"/>
        </w:rPr>
        <w:sectPr>
          <w:pgSz w:w="11906" w:h="16838"/>
          <w:pgMar w:top="1440" w:right="1080" w:bottom="1440" w:left="1080" w:header="851" w:footer="992" w:gutter="0"/>
          <w:cols w:space="425" w:num="1"/>
          <w:docGrid w:type="lines" w:linePitch="312" w:charSpace="0"/>
        </w:sectPr>
      </w:pPr>
    </w:p>
    <w:p>
      <w:pPr>
        <w:pStyle w:val="2"/>
      </w:pPr>
      <w:bookmarkStart w:id="72" w:name="_Toc505085900"/>
      <w:r>
        <w:t>附录</w:t>
      </w:r>
      <w:r>
        <w:rPr>
          <w:rFonts w:hint="eastAsia"/>
        </w:rPr>
        <w:t>C 砖、水泥砂浆表面颜色和裂缝与温度的关系</w:t>
      </w:r>
      <w:bookmarkEnd w:id="72"/>
    </w:p>
    <w:p>
      <w:r>
        <w:rPr>
          <w:b/>
        </w:rPr>
        <w:t>C</w:t>
      </w:r>
      <w:r>
        <w:rPr>
          <w:rFonts w:hint="eastAsia"/>
          <w:b/>
        </w:rPr>
        <w:t>.</w:t>
      </w:r>
      <w:r>
        <w:rPr>
          <w:b/>
        </w:rPr>
        <w:t>0.1</w:t>
      </w:r>
      <w:r>
        <w:rPr>
          <w:rFonts w:hint="eastAsia"/>
        </w:rPr>
        <w:t>火灾后砖、水泥砂浆表面颜色和裂缝与温度的关系可按表C-</w:t>
      </w:r>
      <w:r>
        <w:t>1</w:t>
      </w:r>
      <w:r>
        <w:rPr>
          <w:rFonts w:hint="eastAsia"/>
        </w:rPr>
        <w:t>进行判定。</w:t>
      </w:r>
    </w:p>
    <w:p>
      <w:pPr>
        <w:spacing w:line="276" w:lineRule="auto"/>
        <w:jc w:val="center"/>
        <w:rPr>
          <w:rFonts w:ascii="楷体" w:hAnsi="楷体" w:eastAsia="楷体"/>
        </w:rPr>
      </w:pPr>
    </w:p>
    <w:p>
      <w:pPr>
        <w:spacing w:line="276" w:lineRule="auto"/>
        <w:jc w:val="center"/>
        <w:rPr>
          <w:rFonts w:ascii="宋体" w:hAnsi="宋体"/>
        </w:rPr>
      </w:pPr>
      <w:r>
        <w:rPr>
          <w:rFonts w:hint="eastAsia" w:ascii="宋体" w:hAnsi="宋体"/>
        </w:rPr>
        <w:t>表C</w:t>
      </w:r>
      <w:r>
        <w:rPr>
          <w:rFonts w:ascii="宋体" w:hAnsi="宋体"/>
        </w:rPr>
        <w:t>-</w:t>
      </w:r>
      <w:r>
        <w:rPr>
          <w:rFonts w:hint="eastAsia" w:ascii="宋体" w:hAnsi="宋体"/>
        </w:rPr>
        <w:t>1 火灾后砖、水泥砂浆表面颜色和裂缝与温度的关系</w:t>
      </w:r>
    </w:p>
    <w:tbl>
      <w:tblPr>
        <w:tblStyle w:val="25"/>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107"/>
        <w:gridCol w:w="1108"/>
        <w:gridCol w:w="1108"/>
        <w:gridCol w:w="1108"/>
        <w:gridCol w:w="1108"/>
        <w:gridCol w:w="1108"/>
        <w:gridCol w:w="1108"/>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5" w:type="dxa"/>
            <w:vMerge w:val="restart"/>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火灾温度（℃）</w:t>
            </w:r>
          </w:p>
        </w:tc>
        <w:tc>
          <w:tcPr>
            <w:tcW w:w="8857" w:type="dxa"/>
            <w:gridSpan w:val="8"/>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外  观  特  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5" w:type="dxa"/>
            <w:vMerge w:val="continue"/>
            <w:vAlign w:val="center"/>
          </w:tcPr>
          <w:p>
            <w:pPr>
              <w:spacing w:line="276" w:lineRule="auto"/>
              <w:jc w:val="center"/>
              <w:rPr>
                <w:rFonts w:ascii="宋体" w:hAnsi="宋体" w:cs="Times New Roman"/>
                <w:kern w:val="0"/>
                <w:sz w:val="20"/>
                <w:szCs w:val="21"/>
              </w:rPr>
            </w:pPr>
          </w:p>
        </w:tc>
        <w:tc>
          <w:tcPr>
            <w:tcW w:w="2215" w:type="dxa"/>
            <w:gridSpan w:val="2"/>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混凝土砌块和砖</w:t>
            </w:r>
          </w:p>
        </w:tc>
        <w:tc>
          <w:tcPr>
            <w:tcW w:w="2216" w:type="dxa"/>
            <w:gridSpan w:val="2"/>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粘土砖</w:t>
            </w:r>
          </w:p>
        </w:tc>
        <w:tc>
          <w:tcPr>
            <w:tcW w:w="2216" w:type="dxa"/>
            <w:gridSpan w:val="2"/>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水泥砂浆抹面</w:t>
            </w:r>
          </w:p>
        </w:tc>
        <w:tc>
          <w:tcPr>
            <w:tcW w:w="2210" w:type="dxa"/>
            <w:gridSpan w:val="2"/>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石灰抹面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5" w:type="dxa"/>
            <w:vMerge w:val="continue"/>
            <w:vAlign w:val="center"/>
          </w:tcPr>
          <w:p>
            <w:pPr>
              <w:spacing w:line="276" w:lineRule="auto"/>
              <w:jc w:val="center"/>
              <w:rPr>
                <w:rFonts w:ascii="宋体" w:hAnsi="宋体" w:cs="Times New Roman"/>
                <w:kern w:val="0"/>
                <w:sz w:val="20"/>
                <w:szCs w:val="21"/>
              </w:rPr>
            </w:pPr>
          </w:p>
        </w:tc>
        <w:tc>
          <w:tcPr>
            <w:tcW w:w="1107"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颜色</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裂纹</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颜色</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裂纹</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颜色</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裂纹</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颜色</w:t>
            </w:r>
          </w:p>
        </w:tc>
        <w:tc>
          <w:tcPr>
            <w:tcW w:w="1102"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5"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200以下</w:t>
            </w:r>
          </w:p>
        </w:tc>
        <w:tc>
          <w:tcPr>
            <w:tcW w:w="1107"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不变</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无</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不变</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无</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不变</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无</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不变</w:t>
            </w:r>
          </w:p>
        </w:tc>
        <w:tc>
          <w:tcPr>
            <w:tcW w:w="1102"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5"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300～500</w:t>
            </w:r>
          </w:p>
        </w:tc>
        <w:tc>
          <w:tcPr>
            <w:tcW w:w="1107"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微粉色</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无</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不变</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无</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不变</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无</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不变</w:t>
            </w:r>
          </w:p>
        </w:tc>
        <w:tc>
          <w:tcPr>
            <w:tcW w:w="1102"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5"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719～795</w:t>
            </w:r>
          </w:p>
        </w:tc>
        <w:tc>
          <w:tcPr>
            <w:tcW w:w="1107"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粉红见灰白</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出现裂缝</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不变</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出现表面细裂缝</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玫瑰色</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出现细小裂缝</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初现灰黄色</w:t>
            </w:r>
          </w:p>
        </w:tc>
        <w:tc>
          <w:tcPr>
            <w:tcW w:w="1102"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薄层煤烟分层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5"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795～857</w:t>
            </w:r>
          </w:p>
        </w:tc>
        <w:tc>
          <w:tcPr>
            <w:tcW w:w="1107"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灰白</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出现许多裂缝</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不变</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表面缝增多</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浅灰色</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出现裂缝</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浅黄色</w:t>
            </w:r>
          </w:p>
        </w:tc>
        <w:tc>
          <w:tcPr>
            <w:tcW w:w="1102"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出现裂缝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5"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857～892</w:t>
            </w:r>
          </w:p>
        </w:tc>
        <w:tc>
          <w:tcPr>
            <w:tcW w:w="1107"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浅黄色</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裂缝增多、缝扩大</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不变</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表面缝增多</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浅灰色</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裂缝增多</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浅黄色</w:t>
            </w:r>
          </w:p>
        </w:tc>
        <w:tc>
          <w:tcPr>
            <w:tcW w:w="1102"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裂缝增多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5"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892～985</w:t>
            </w:r>
          </w:p>
        </w:tc>
        <w:tc>
          <w:tcPr>
            <w:tcW w:w="1107"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浅黄色</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贯通裂缝</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颜色转淡</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表面缝增多</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浅黄色</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表面剥落</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浅灰色</w:t>
            </w:r>
          </w:p>
        </w:tc>
        <w:tc>
          <w:tcPr>
            <w:tcW w:w="1102"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5"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986以上</w:t>
            </w:r>
          </w:p>
        </w:tc>
        <w:tc>
          <w:tcPr>
            <w:tcW w:w="1107"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白色</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贯通裂缝增多</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颜色转淡</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严重裂缝</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白色</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表面剥落</w:t>
            </w:r>
          </w:p>
        </w:tc>
        <w:tc>
          <w:tcPr>
            <w:tcW w:w="1108"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白色</w:t>
            </w:r>
          </w:p>
        </w:tc>
        <w:tc>
          <w:tcPr>
            <w:tcW w:w="1102" w:type="dxa"/>
            <w:vAlign w:val="center"/>
          </w:tcPr>
          <w:p>
            <w:pPr>
              <w:spacing w:line="276" w:lineRule="auto"/>
              <w:jc w:val="center"/>
              <w:rPr>
                <w:rFonts w:ascii="宋体" w:hAnsi="宋体" w:cs="Times New Roman"/>
                <w:kern w:val="0"/>
                <w:sz w:val="20"/>
                <w:szCs w:val="21"/>
              </w:rPr>
            </w:pPr>
            <w:r>
              <w:rPr>
                <w:rFonts w:hint="eastAsia" w:ascii="宋体" w:hAnsi="宋体" w:cs="Times New Roman"/>
                <w:kern w:val="0"/>
                <w:sz w:val="20"/>
                <w:szCs w:val="21"/>
              </w:rPr>
              <w:t>脱落</w:t>
            </w:r>
          </w:p>
        </w:tc>
      </w:tr>
    </w:tbl>
    <w:p>
      <w:pPr>
        <w:ind w:firstLine="420" w:firstLineChars="200"/>
        <w:rPr>
          <w:rFonts w:ascii="楷体" w:hAnsi="楷体" w:eastAsia="楷体"/>
        </w:rPr>
      </w:pPr>
    </w:p>
    <w:p>
      <w:pPr>
        <w:ind w:firstLine="420" w:firstLineChars="200"/>
        <w:rPr>
          <w:rFonts w:ascii="楷体" w:hAnsi="楷体" w:eastAsia="楷体"/>
        </w:rPr>
      </w:pPr>
    </w:p>
    <w:p>
      <w:pPr>
        <w:ind w:firstLine="420" w:firstLineChars="200"/>
        <w:rPr>
          <w:rFonts w:ascii="楷体" w:hAnsi="楷体" w:eastAsia="楷体"/>
        </w:rPr>
        <w:sectPr>
          <w:pgSz w:w="11906" w:h="16838"/>
          <w:pgMar w:top="1440" w:right="1080" w:bottom="1440" w:left="1080" w:header="851" w:footer="992" w:gutter="0"/>
          <w:cols w:space="425" w:num="1"/>
          <w:docGrid w:type="lines" w:linePitch="312" w:charSpace="0"/>
        </w:sectPr>
      </w:pPr>
    </w:p>
    <w:p>
      <w:pPr>
        <w:pStyle w:val="2"/>
        <w:rPr>
          <w:rFonts w:cs="Times New Roman"/>
          <w:i/>
        </w:rPr>
      </w:pPr>
      <w:bookmarkStart w:id="73" w:name="_Toc505085901"/>
      <w:bookmarkStart w:id="74" w:name="_Toc501474091"/>
      <w:r>
        <w:rPr>
          <w:rFonts w:cs="Times New Roman"/>
        </w:rPr>
        <w:t>附录</w:t>
      </w:r>
      <w:r>
        <w:rPr>
          <w:rFonts w:hint="eastAsia" w:cs="Times New Roman"/>
        </w:rPr>
        <w:t>D</w:t>
      </w:r>
      <w:r>
        <w:rPr>
          <w:rFonts w:cs="Times New Roman"/>
        </w:rPr>
        <w:t xml:space="preserve"> 混凝土构件在标准升温条件下温度场实用曲线图</w:t>
      </w:r>
      <w:bookmarkEnd w:id="73"/>
      <w:bookmarkEnd w:id="74"/>
    </w:p>
    <w:p>
      <w:pPr>
        <w:rPr>
          <w:rFonts w:cs="Times New Roman"/>
        </w:rPr>
      </w:pPr>
      <w:r>
        <w:rPr>
          <w:rFonts w:cs="Times New Roman"/>
          <w:b/>
        </w:rPr>
        <w:t>D.0.1</w:t>
      </w:r>
      <w:r>
        <w:rPr>
          <w:rFonts w:cs="Times New Roman"/>
        </w:rPr>
        <w:t>实心板</w:t>
      </w:r>
    </w:p>
    <w:p>
      <w:pPr>
        <w:ind w:left="420" w:hanging="420" w:hangingChars="200"/>
        <w:rPr>
          <w:rFonts w:cs="Times New Roman"/>
        </w:rPr>
      </w:pPr>
      <w:r>
        <w:rPr>
          <w:rFonts w:cs="Times New Roman"/>
        </w:rPr>
        <w:t>说明：图中给出了板厚为80mm 、100mm 、120mm 、150mm 、200mm 5种规格。图中温度值是厚为1cm区间中点处的温度，以℃计。受火表面的距离（包括构件表面抹灰厚度），mm；图中时间</w:t>
      </w:r>
      <w:r>
        <w:rPr>
          <w:rFonts w:cs="Times New Roman"/>
          <w:i/>
        </w:rPr>
        <w:t>t</w:t>
      </w:r>
      <w:r>
        <w:rPr>
          <w:rFonts w:cs="Times New Roman"/>
          <w:i/>
          <w:vertAlign w:val="subscript"/>
        </w:rPr>
        <w:t>e</w:t>
      </w:r>
      <w:r>
        <w:rPr>
          <w:rFonts w:cs="Times New Roman"/>
        </w:rPr>
        <w:t>是指当量标准升温时间，min</w:t>
      </w:r>
    </w:p>
    <w:p>
      <w:pPr>
        <w:jc w:val="center"/>
        <w:rPr>
          <w:rFonts w:cs="Times New Roman"/>
        </w:rPr>
      </w:pPr>
      <w:r>
        <w:rPr>
          <w:rFonts w:cs="Times New Roman"/>
        </w:rPr>
        <w:object>
          <v:shape id="_x0000_i1026" o:spt="75" type="#_x0000_t75" style="height:192pt;width:225.6pt;" o:ole="t" filled="f" o:preferrelative="t" stroked="f" coordsize="21600,21600">
            <v:path/>
            <v:fill on="f" focussize="0,0"/>
            <v:stroke on="f" joinstyle="miter"/>
            <v:imagedata r:id="rId33" cropleft="3909f" croptop="4736f" cropright="7509f" cropbottom="3510f" o:title=""/>
            <o:lock v:ext="edit" aspectratio="t"/>
            <w10:wrap type="none"/>
            <w10:anchorlock/>
          </v:shape>
          <o:OLEObject Type="Embed" ProgID="Origin50.Graph" ShapeID="_x0000_i1026" DrawAspect="Content" ObjectID="_1468075726" r:id="rId32">
            <o:LockedField>false</o:LockedField>
          </o:OLEObject>
        </w:object>
      </w:r>
    </w:p>
    <w:p>
      <w:pPr>
        <w:pStyle w:val="41"/>
      </w:pPr>
      <w:r>
        <w:t>图D.0.1-1H=80mm</w:t>
      </w:r>
    </w:p>
    <w:p>
      <w:pPr>
        <w:jc w:val="center"/>
        <w:rPr>
          <w:rFonts w:cs="Times New Roman"/>
        </w:rPr>
      </w:pPr>
      <w:r>
        <w:rPr>
          <w:rFonts w:cs="Times New Roman"/>
        </w:rPr>
        <w:object>
          <v:shape id="_x0000_i1027" o:spt="75" type="#_x0000_t75" style="height:174.6pt;width:234.6pt;" o:ole="t" filled="f" o:preferrelative="t" stroked="f" coordsize="21600,21600">
            <v:path/>
            <v:fill on="f" focussize="0,0"/>
            <v:stroke on="f" joinstyle="miter"/>
            <v:imagedata r:id="rId35" cropleft="3556f" croptop="4194f" cropright="7259f" cropbottom="3314f" o:title=""/>
            <o:lock v:ext="edit" aspectratio="t"/>
            <w10:wrap type="none"/>
            <w10:anchorlock/>
          </v:shape>
          <o:OLEObject Type="Embed" ProgID="Origin50.Graph" ShapeID="_x0000_i1027" DrawAspect="Content" ObjectID="_1468075727" r:id="rId34">
            <o:LockedField>false</o:LockedField>
          </o:OLEObject>
        </w:object>
      </w:r>
    </w:p>
    <w:p>
      <w:pPr>
        <w:pStyle w:val="41"/>
      </w:pPr>
      <w:r>
        <w:t>图D.0.1-2  H=100mm</w:t>
      </w:r>
    </w:p>
    <w:p>
      <w:pPr>
        <w:jc w:val="center"/>
        <w:rPr>
          <w:rFonts w:cs="Times New Roman"/>
        </w:rPr>
      </w:pPr>
      <w:r>
        <w:rPr>
          <w:rFonts w:cs="Times New Roman"/>
        </w:rPr>
        <w:object>
          <v:shape id="_x0000_i1028" o:spt="75" type="#_x0000_t75" style="height:200.4pt;width:233.4pt;" o:ole="t" filled="f" o:preferrelative="t" stroked="f" coordsize="21600,21600">
            <v:path/>
            <v:fill on="f" focussize="0,0"/>
            <v:stroke on="f" joinstyle="miter"/>
            <v:imagedata r:id="rId37" cropleft="3458f" croptop="4672f" cropright="6914f" cropbottom="3638f" o:title=""/>
            <o:lock v:ext="edit" aspectratio="t"/>
            <w10:wrap type="none"/>
            <w10:anchorlock/>
          </v:shape>
          <o:OLEObject Type="Embed" ProgID="Origin50.Graph" ShapeID="_x0000_i1028" DrawAspect="Content" ObjectID="_1468075728" r:id="rId36">
            <o:LockedField>false</o:LockedField>
          </o:OLEObject>
        </w:object>
      </w:r>
    </w:p>
    <w:p>
      <w:pPr>
        <w:pStyle w:val="41"/>
      </w:pPr>
      <w:r>
        <w:t>图D.0.1-3  H=120mm</w:t>
      </w:r>
    </w:p>
    <w:p>
      <w:pPr>
        <w:pStyle w:val="41"/>
      </w:pPr>
      <w:r>
        <w:object>
          <v:shape id="_x0000_i1029" o:spt="75" type="#_x0000_t75" style="height:195pt;width:264.6pt;" o:ole="t" filled="f" o:preferrelative="t" stroked="f" coordsize="21600,21600">
            <v:path/>
            <v:fill on="f" focussize="0,0"/>
            <v:stroke on="f" joinstyle="miter"/>
            <v:imagedata r:id="rId39" cropleft="3819f" croptop="4155f" cropright="7102f" cropbottom="4155f" o:title=""/>
            <o:lock v:ext="edit" aspectratio="t"/>
            <w10:wrap type="none"/>
            <w10:anchorlock/>
          </v:shape>
          <o:OLEObject Type="Embed" ProgID="Origin50.Graph" ShapeID="_x0000_i1029" DrawAspect="Content" ObjectID="_1468075729" r:id="rId38">
            <o:LockedField>false</o:LockedField>
          </o:OLEObject>
        </w:object>
      </w:r>
    </w:p>
    <w:p>
      <w:pPr>
        <w:pStyle w:val="41"/>
      </w:pPr>
      <w:r>
        <w:t>图D.0.1-4  H=150mm</w:t>
      </w:r>
    </w:p>
    <w:p>
      <w:pPr>
        <w:pStyle w:val="41"/>
      </w:pPr>
      <w:r>
        <w:object>
          <v:shape id="_x0000_i1030" o:spt="75" type="#_x0000_t75" style="height:201pt;width:275.4pt;" o:ole="t" filled="f" o:preferrelative="t" stroked="f" coordsize="21600,21600">
            <v:path/>
            <v:fill on="f" focussize="0,0"/>
            <v:stroke on="f" joinstyle="miter"/>
            <v:imagedata r:id="rId41" cropleft="3645f" croptop="4423f" cropright="6726f" cropbottom="3638f" o:title=""/>
            <o:lock v:ext="edit" aspectratio="t"/>
            <w10:wrap type="none"/>
            <w10:anchorlock/>
          </v:shape>
          <o:OLEObject Type="Embed" ProgID="Origin50.Graph" ShapeID="_x0000_i1030" DrawAspect="Content" ObjectID="_1468075730" r:id="rId40">
            <o:LockedField>false</o:LockedField>
          </o:OLEObject>
        </w:object>
      </w:r>
    </w:p>
    <w:p>
      <w:pPr>
        <w:pStyle w:val="41"/>
      </w:pPr>
      <w:r>
        <w:t>图D.0.1-5  H=200mm</w:t>
      </w:r>
    </w:p>
    <w:p>
      <w:pPr>
        <w:rPr>
          <w:rFonts w:cs="Times New Roman"/>
          <w:b/>
        </w:rPr>
      </w:pPr>
      <w:r>
        <w:rPr>
          <w:rFonts w:cs="Times New Roman"/>
          <w:b/>
        </w:rPr>
        <w:t>D.0.2</w:t>
      </w:r>
      <w:r>
        <w:rPr>
          <w:rFonts w:cs="Times New Roman"/>
        </w:rPr>
        <w:t>圆形柱构件</w:t>
      </w:r>
    </w:p>
    <w:p>
      <w:pPr>
        <w:ind w:left="420" w:hanging="420" w:hangingChars="200"/>
        <w:rPr>
          <w:rFonts w:cs="Times New Roman"/>
        </w:rPr>
      </w:pPr>
      <w:r>
        <w:rPr>
          <w:rFonts w:cs="Times New Roman"/>
        </w:rPr>
        <w:t>说明</w:t>
      </w:r>
      <w:r>
        <w:rPr>
          <w:rFonts w:cs="Times New Roman"/>
          <w:b/>
        </w:rPr>
        <w:t>：</w:t>
      </w:r>
      <w:r>
        <w:rPr>
          <w:rFonts w:cs="Times New Roman"/>
        </w:rPr>
        <w:t>柱截面半径为150mm 、170mm 、200mm 、220mm 、250mm、270 mm、300 mm、320 mm、350 mm共9种。温度值是厚为1cm的圆环中点处的温度，以℃计。迎火距离，即所求点到柱外表面的距离（包括构件表面抹灰厚度），mm；图中时间</w:t>
      </w:r>
      <w:r>
        <w:rPr>
          <w:rFonts w:cs="Times New Roman"/>
          <w:i/>
        </w:rPr>
        <w:t>t</w:t>
      </w:r>
      <w:r>
        <w:rPr>
          <w:rFonts w:cs="Times New Roman"/>
          <w:i/>
          <w:vertAlign w:val="subscript"/>
        </w:rPr>
        <w:t>e</w:t>
      </w:r>
      <w:r>
        <w:rPr>
          <w:rFonts w:cs="Times New Roman"/>
        </w:rPr>
        <w:t>为当量标准升温时间，min。</w:t>
      </w:r>
    </w:p>
    <w:p>
      <w:pPr>
        <w:pStyle w:val="41"/>
      </w:pPr>
      <w:r>
        <w:object>
          <v:shape id="_x0000_i1031" o:spt="75" type="#_x0000_t75" style="height:191.4pt;width:254.4pt;" o:ole="t" filled="f" o:preferrelative="t" stroked="f" coordsize="21600,21600">
            <v:path/>
            <v:fill on="f" focussize="0,0"/>
            <v:stroke on="f" joinstyle="miter"/>
            <v:imagedata r:id="rId43" cropleft="3626f" croptop="4216f" cropright="6983f" cropbottom="2491f" o:title=""/>
            <o:lock v:ext="edit" aspectratio="t"/>
            <w10:wrap type="none"/>
            <w10:anchorlock/>
          </v:shape>
          <o:OLEObject Type="Embed" ProgID="Origin50.Graph" ShapeID="_x0000_i1031" DrawAspect="Content" ObjectID="_1468075731" r:id="rId42">
            <o:LockedField>false</o:LockedField>
          </o:OLEObject>
        </w:object>
      </w:r>
    </w:p>
    <w:p>
      <w:pPr>
        <w:pStyle w:val="41"/>
      </w:pPr>
      <w:r>
        <w:t>图D.0.2-1</w:t>
      </w:r>
      <w:r>
        <w:rPr>
          <w:i/>
        </w:rPr>
        <w:t>R</w:t>
      </w:r>
      <w:r>
        <w:t>=150mm</w:t>
      </w:r>
    </w:p>
    <w:p>
      <w:pPr>
        <w:pStyle w:val="41"/>
      </w:pPr>
      <w:r>
        <w:object>
          <v:shape id="_x0000_i1032" o:spt="75" type="#_x0000_t75" style="height:192pt;width:257.4pt;" o:ole="t" filled="f" o:preferrelative="t" stroked="f" coordsize="21600,21600">
            <v:path/>
            <v:fill on="f" focussize="0,0"/>
            <v:stroke on="f" joinstyle="miter"/>
            <v:imagedata r:id="rId45" cropleft="4163f" croptop="4791f" cropright="7252f" cropbottom="3449f" o:title=""/>
            <o:lock v:ext="edit" aspectratio="t"/>
            <w10:wrap type="none"/>
            <w10:anchorlock/>
          </v:shape>
          <o:OLEObject Type="Embed" ProgID="Origin50.Graph" ShapeID="_x0000_i1032" DrawAspect="Content" ObjectID="_1468075732" r:id="rId44">
            <o:LockedField>false</o:LockedField>
          </o:OLEObject>
        </w:object>
      </w:r>
    </w:p>
    <w:p>
      <w:pPr>
        <w:pStyle w:val="41"/>
      </w:pPr>
      <w:r>
        <w:t xml:space="preserve">图D.0.2-2    </w:t>
      </w:r>
      <w:r>
        <w:rPr>
          <w:i/>
        </w:rPr>
        <w:t>R</w:t>
      </w:r>
      <w:r>
        <w:t>=170mm</w:t>
      </w:r>
    </w:p>
    <w:p>
      <w:pPr>
        <w:pStyle w:val="41"/>
      </w:pPr>
      <w:r>
        <w:object>
          <v:shape id="_x0000_i1033" o:spt="75" type="#_x0000_t75" style="height:197.4pt;width:265.8pt;" o:ole="t" filled="f" o:preferrelative="t" stroked="f" coordsize="21600,21600">
            <v:path/>
            <v:fill on="f" focussize="0,0"/>
            <v:stroke on="f" joinstyle="miter"/>
            <v:imagedata r:id="rId47" cropleft="3896f" croptop="4599f" cropright="6554f" cropbottom="2491f" o:title=""/>
            <o:lock v:ext="edit" aspectratio="t"/>
            <w10:wrap type="none"/>
            <w10:anchorlock/>
          </v:shape>
          <o:OLEObject Type="Embed" ProgID="Origin50.Graph" ShapeID="_x0000_i1033" DrawAspect="Content" ObjectID="_1468075733" r:id="rId46">
            <o:LockedField>false</o:LockedField>
          </o:OLEObject>
        </w:object>
      </w:r>
    </w:p>
    <w:p>
      <w:pPr>
        <w:pStyle w:val="41"/>
      </w:pPr>
      <w:r>
        <w:t>图D.0.2-3</w:t>
      </w:r>
      <w:r>
        <w:rPr>
          <w:i/>
        </w:rPr>
        <w:t>R</w:t>
      </w:r>
      <w:r>
        <w:t>=200mm</w:t>
      </w:r>
    </w:p>
    <w:p>
      <w:pPr>
        <w:pStyle w:val="41"/>
      </w:pPr>
      <w:r>
        <w:object>
          <v:shape id="_x0000_i1034" o:spt="75" type="#_x0000_t75" style="height:180pt;width:242.4pt;" o:ole="t" filled="f" o:preferrelative="t" stroked="f" coordsize="21600,21600">
            <v:path/>
            <v:fill on="f" focussize="0,0"/>
            <v:stroke on="f" joinstyle="miter"/>
            <v:imagedata r:id="rId49" cropleft="3933f" croptop="4993f" cropright="7222f" cropbottom="3788f" o:title=""/>
            <o:lock v:ext="edit" aspectratio="t"/>
            <w10:wrap type="none"/>
            <w10:anchorlock/>
          </v:shape>
          <o:OLEObject Type="Embed" ProgID="Origin50.Graph" ShapeID="_x0000_i1034" DrawAspect="Content" ObjectID="_1468075734" r:id="rId48">
            <o:LockedField>false</o:LockedField>
          </o:OLEObject>
        </w:object>
      </w:r>
    </w:p>
    <w:p>
      <w:pPr>
        <w:pStyle w:val="41"/>
      </w:pPr>
      <w:r>
        <w:t xml:space="preserve">图D.0.2-4 </w:t>
      </w:r>
      <w:r>
        <w:rPr>
          <w:i/>
        </w:rPr>
        <w:t>R</w:t>
      </w:r>
      <w:r>
        <w:t>=220mm</w:t>
      </w:r>
    </w:p>
    <w:p>
      <w:pPr>
        <w:pStyle w:val="41"/>
      </w:pPr>
      <w:r>
        <w:object>
          <v:shape id="_x0000_i1035" o:spt="75" type="#_x0000_t75" style="height:189.6pt;width:255.6pt;" o:ole="t" filled="f" o:preferrelative="t" stroked="f" coordsize="21600,21600">
            <v:path/>
            <v:fill on="f" focussize="0,0"/>
            <v:stroke on="f" joinstyle="miter"/>
            <v:imagedata r:id="rId51" cropleft="3645f" croptop="4423f" cropright="5829f" cropbottom="3121f" o:title=""/>
            <o:lock v:ext="edit" aspectratio="t"/>
            <w10:wrap type="none"/>
            <w10:anchorlock/>
          </v:shape>
          <o:OLEObject Type="Embed" ProgID="Origin50.Graph" ShapeID="_x0000_i1035" DrawAspect="Content" ObjectID="_1468075735" r:id="rId50">
            <o:LockedField>false</o:LockedField>
          </o:OLEObject>
        </w:object>
      </w:r>
    </w:p>
    <w:p>
      <w:pPr>
        <w:pStyle w:val="41"/>
      </w:pPr>
      <w:r>
        <w:t xml:space="preserve">图D.0.2-5     </w:t>
      </w:r>
      <w:r>
        <w:rPr>
          <w:i/>
        </w:rPr>
        <w:t xml:space="preserve"> R</w:t>
      </w:r>
      <w:r>
        <w:t>=250mm</w:t>
      </w:r>
    </w:p>
    <w:p>
      <w:pPr>
        <w:pStyle w:val="41"/>
      </w:pPr>
      <w:r>
        <w:object>
          <v:shape id="_x0000_i1036" o:spt="75" type="#_x0000_t75" style="height:192pt;width:257.4pt;" o:ole="t" filled="f" o:preferrelative="t" stroked="f" coordsize="21600,21600">
            <v:path/>
            <v:fill on="f" focussize="0,0"/>
            <v:stroke on="f" joinstyle="miter"/>
            <v:imagedata r:id="rId53" cropleft="3457f" croptop="4153f" cropright="7102f" cropbottom="3389f" o:title=""/>
            <o:lock v:ext="edit" aspectratio="t"/>
            <w10:wrap type="none"/>
            <w10:anchorlock/>
          </v:shape>
          <o:OLEObject Type="Embed" ProgID="Origin50.Graph" ShapeID="_x0000_i1036" DrawAspect="Content" ObjectID="_1468075736" r:id="rId52">
            <o:LockedField>false</o:LockedField>
          </o:OLEObject>
        </w:object>
      </w:r>
    </w:p>
    <w:p>
      <w:pPr>
        <w:pStyle w:val="41"/>
      </w:pPr>
      <w:r>
        <w:t xml:space="preserve">图D.0.2-6   </w:t>
      </w:r>
      <w:r>
        <w:rPr>
          <w:i/>
        </w:rPr>
        <w:t xml:space="preserve">  R</w:t>
      </w:r>
      <w:r>
        <w:t>=270mm</w:t>
      </w:r>
    </w:p>
    <w:p>
      <w:pPr>
        <w:pStyle w:val="41"/>
      </w:pPr>
      <w:r>
        <w:object>
          <v:shape id="_x0000_i1037" o:spt="75" type="#_x0000_t75" style="height:201.6pt;width:269.4pt;" o:ole="t" filled="f" o:preferrelative="t" stroked="f" coordsize="21600,21600">
            <v:path/>
            <v:fill on="f" focussize="0,0"/>
            <v:stroke on="f" joinstyle="miter"/>
            <v:imagedata r:id="rId55" cropleft="3717f" croptop="3985f" cropright="6951f" cropbottom="3084f" o:title=""/>
            <o:lock v:ext="edit" aspectratio="t"/>
            <w10:wrap type="none"/>
            <w10:anchorlock/>
          </v:shape>
          <o:OLEObject Type="Embed" ProgID="Origin50.Graph" ShapeID="_x0000_i1037" DrawAspect="Content" ObjectID="_1468075737" r:id="rId54">
            <o:LockedField>false</o:LockedField>
          </o:OLEObject>
        </w:object>
      </w:r>
    </w:p>
    <w:p>
      <w:pPr>
        <w:pStyle w:val="41"/>
      </w:pPr>
      <w:r>
        <w:t xml:space="preserve">图D 0.2-7     </w:t>
      </w:r>
      <w:r>
        <w:rPr>
          <w:i/>
        </w:rPr>
        <w:t>R</w:t>
      </w:r>
      <w:r>
        <w:t>=300mm</w:t>
      </w:r>
    </w:p>
    <w:p>
      <w:pPr>
        <w:pStyle w:val="41"/>
      </w:pPr>
      <w:r>
        <w:object>
          <v:shape id="_x0000_i1038" o:spt="75" type="#_x0000_t75" style="height:183.6pt;width:257.4pt;" o:ole="t" filled="f" o:preferrelative="t" stroked="f" coordsize="21600,21600">
            <v:path/>
            <v:fill on="f" focussize="0,0"/>
            <v:stroke on="f" joinstyle="miter"/>
            <v:imagedata r:id="rId57" cropleft="4415f" croptop="3870f" cropright="6406f" cropbottom="3658f" o:title=""/>
            <o:lock v:ext="edit" aspectratio="t"/>
            <w10:wrap type="none"/>
            <w10:anchorlock/>
          </v:shape>
          <o:OLEObject Type="Embed" ProgID="Origin50.Graph" ShapeID="_x0000_i1038" DrawAspect="Content" ObjectID="_1468075738" r:id="rId56">
            <o:LockedField>false</o:LockedField>
          </o:OLEObject>
        </w:object>
      </w:r>
    </w:p>
    <w:p>
      <w:pPr>
        <w:pStyle w:val="41"/>
      </w:pPr>
      <w:r>
        <w:t xml:space="preserve">图D.0.2-8  </w:t>
      </w:r>
      <w:r>
        <w:rPr>
          <w:i/>
        </w:rPr>
        <w:t>R</w:t>
      </w:r>
      <w:r>
        <w:t>=320mm</w:t>
      </w:r>
    </w:p>
    <w:p>
      <w:pPr>
        <w:pStyle w:val="41"/>
      </w:pPr>
      <w:r>
        <w:object>
          <v:shape id="_x0000_i1039" o:spt="75" type="#_x0000_t75" style="height:201.6pt;width:270pt;" o:ole="t" filled="f" o:preferrelative="t" stroked="f" coordsize="21600,21600">
            <v:path/>
            <v:fill on="f" focussize="0,0"/>
            <v:stroke on="f" joinstyle="miter"/>
            <v:imagedata r:id="rId59" cropleft="3632f" croptop="3638f" cropright="6914f" cropbottom="2853f" o:title=""/>
            <o:lock v:ext="edit" aspectratio="t"/>
            <w10:wrap type="none"/>
            <w10:anchorlock/>
          </v:shape>
          <o:OLEObject Type="Embed" ProgID="Origin50.Graph" ShapeID="_x0000_i1039" DrawAspect="Content" ObjectID="_1468075739" r:id="rId58">
            <o:LockedField>false</o:LockedField>
          </o:OLEObject>
        </w:object>
      </w:r>
    </w:p>
    <w:p>
      <w:pPr>
        <w:pStyle w:val="41"/>
      </w:pPr>
      <w:r>
        <w:t>图D.0.2-9</w:t>
      </w:r>
      <w:r>
        <w:rPr>
          <w:i/>
        </w:rPr>
        <w:t>R</w:t>
      </w:r>
      <w:r>
        <w:t>=350mm</w:t>
      </w:r>
    </w:p>
    <w:p>
      <w:pPr>
        <w:rPr>
          <w:rFonts w:cs="Times New Roman"/>
          <w:b/>
        </w:rPr>
      </w:pPr>
      <w:r>
        <w:rPr>
          <w:rFonts w:cs="Times New Roman"/>
          <w:b/>
        </w:rPr>
        <w:t>D.0.3</w:t>
      </w:r>
      <w:r>
        <w:rPr>
          <w:rFonts w:cs="Times New Roman"/>
        </w:rPr>
        <w:t>矩形截面</w:t>
      </w:r>
    </w:p>
    <w:p>
      <w:pPr>
        <w:ind w:left="420" w:hanging="420" w:hangingChars="200"/>
        <w:rPr>
          <w:rFonts w:cs="Times New Roman"/>
        </w:rPr>
      </w:pPr>
      <w:r>
        <w:rPr>
          <w:rFonts w:cs="Times New Roman"/>
        </w:rPr>
        <w:t>说明：图中给出了矩形截面宽度</w:t>
      </w:r>
      <w:r>
        <w:rPr>
          <w:rFonts w:cs="Times New Roman"/>
          <w:i/>
        </w:rPr>
        <w:t>b</w:t>
      </w:r>
      <w:r>
        <w:rPr>
          <w:rFonts w:cs="Times New Roman"/>
        </w:rPr>
        <w:t>=200mm~400mm 、其截面下部200mm范围内对称轴左侧的温度。在受火2.0h内，如宽度大于400mm、（下部大于200mm）仍采用400mm时的温度值。但把对称轴边上的数值重复外推、直至所研究的宽度为止。图中温度值是边长200mm的正方形中心处的温度，以℃计，当量标准升温时间，以min计。确定截面温度时应考虑构件表面抹灰厚度。</w:t>
      </w:r>
    </w:p>
    <w:p>
      <w:pPr>
        <w:rPr>
          <w:rFonts w:cs="Times New Roman"/>
          <w:b/>
        </w:rPr>
      </w:pPr>
      <w:r>
        <w:rPr>
          <w:rFonts w:cs="Times New Roman"/>
          <w:b/>
        </w:rPr>
        <w:t>1 b=200mm矩形截面：</w:t>
      </w:r>
    </w:p>
    <w:p>
      <w:pPr>
        <w:jc w:val="center"/>
        <w:rPr>
          <w:rFonts w:cs="Times New Roman"/>
        </w:rPr>
      </w:pPr>
      <w:r>
        <w:rPr>
          <w:rFonts w:cs="Times New Roman"/>
        </w:rPr>
        <w:object>
          <v:shape id="_x0000_i1040" o:spt="75" type="#_x0000_t75" style="height:203.4pt;width:108pt;" o:ole="t" filled="f" o:preferrelative="t" stroked="f" coordsize="21600,21600">
            <v:path/>
            <v:fill on="f" focussize="0,0"/>
            <v:stroke on="f" joinstyle="miter"/>
            <v:imagedata r:id="rId61" o:title=""/>
            <o:lock v:ext="edit" aspectratio="f"/>
            <w10:wrap type="none"/>
            <w10:anchorlock/>
          </v:shape>
          <o:OLEObject Type="Embed" ProgID="Origin50.Graph" ShapeID="_x0000_i1040" DrawAspect="Content" ObjectID="_1468075740" r:id="rId60">
            <o:LockedField>false</o:LockedField>
          </o:OLEObject>
        </w:object>
      </w:r>
      <w:r>
        <w:rPr>
          <w:rFonts w:cs="Times New Roman"/>
        </w:rPr>
        <w:object>
          <v:shape id="_x0000_i1041" o:spt="75" type="#_x0000_t75" style="height:203.4pt;width:108pt;" o:ole="t" filled="f" o:preferrelative="t" stroked="f" coordsize="21600,21600">
            <v:path/>
            <v:fill on="f" focussize="0,0"/>
            <v:stroke on="f" joinstyle="miter"/>
            <v:imagedata r:id="rId63" o:title=""/>
            <o:lock v:ext="edit" aspectratio="f"/>
            <w10:wrap type="none"/>
            <w10:anchorlock/>
          </v:shape>
          <o:OLEObject Type="Embed" ProgID="Origin50.Graph" ShapeID="_x0000_i1041" DrawAspect="Content" ObjectID="_1468075741" r:id="rId62">
            <o:LockedField>false</o:LockedField>
          </o:OLEObject>
        </w:object>
      </w:r>
    </w:p>
    <w:p>
      <w:pPr>
        <w:pStyle w:val="41"/>
      </w:pPr>
      <w:r>
        <w:t xml:space="preserve">图 D.0.3-1 </w:t>
      </w:r>
      <w:r>
        <w:rPr>
          <w:i/>
        </w:rPr>
        <w:t>b</w:t>
      </w:r>
      <w:r>
        <w:t xml:space="preserve">=200mm </w:t>
      </w:r>
      <w:r>
        <w:rPr>
          <w:i/>
        </w:rPr>
        <w:t xml:space="preserve"> t</w:t>
      </w:r>
      <w:r>
        <w:rPr>
          <w:rFonts w:hint="eastAsia"/>
          <w:i/>
          <w:vertAlign w:val="subscript"/>
        </w:rPr>
        <w:t>e</w:t>
      </w:r>
      <w:r>
        <w:t xml:space="preserve">=60min           图 D.0.3-2  </w:t>
      </w:r>
      <w:r>
        <w:rPr>
          <w:i/>
        </w:rPr>
        <w:t>b</w:t>
      </w:r>
      <w:r>
        <w:t xml:space="preserve"> =200mm  </w:t>
      </w:r>
      <w:r>
        <w:rPr>
          <w:i/>
        </w:rPr>
        <w:t>t</w:t>
      </w:r>
      <w:r>
        <w:rPr>
          <w:i/>
          <w:vertAlign w:val="subscript"/>
        </w:rPr>
        <w:t>e</w:t>
      </w:r>
      <w:r>
        <w:t>=70min</w:t>
      </w:r>
    </w:p>
    <w:p>
      <w:pPr>
        <w:pStyle w:val="41"/>
      </w:pPr>
      <w:r>
        <w:object>
          <v:shape id="_x0000_i1042" o:spt="75" type="#_x0000_t75" style="height:203.4pt;width:108pt;" o:ole="t" filled="f" o:preferrelative="t" stroked="f" coordsize="21600,21600">
            <v:path/>
            <v:fill on="f" focussize="0,0"/>
            <v:stroke on="f" joinstyle="miter"/>
            <v:imagedata r:id="rId65" o:title=""/>
            <o:lock v:ext="edit" aspectratio="f"/>
            <w10:wrap type="none"/>
            <w10:anchorlock/>
          </v:shape>
          <o:OLEObject Type="Embed" ProgID="Origin50.Graph" ShapeID="_x0000_i1042" DrawAspect="Content" ObjectID="_1468075742" r:id="rId64">
            <o:LockedField>false</o:LockedField>
          </o:OLEObject>
        </w:object>
      </w:r>
      <w:r>
        <w:object>
          <v:shape id="_x0000_i1043" o:spt="75" type="#_x0000_t75" style="height:203.4pt;width:108pt;" o:ole="t" filled="f" o:preferrelative="t" stroked="f" coordsize="21600,21600">
            <v:path/>
            <v:fill on="f" focussize="0,0"/>
            <v:stroke on="f" joinstyle="miter"/>
            <v:imagedata r:id="rId67" o:title=""/>
            <o:lock v:ext="edit" aspectratio="f"/>
            <w10:wrap type="none"/>
            <w10:anchorlock/>
          </v:shape>
          <o:OLEObject Type="Embed" ProgID="Origin50.Graph" ShapeID="_x0000_i1043" DrawAspect="Content" ObjectID="_1468075743" r:id="rId66">
            <o:LockedField>false</o:LockedField>
          </o:OLEObject>
        </w:object>
      </w:r>
    </w:p>
    <w:p>
      <w:pPr>
        <w:pStyle w:val="41"/>
        <w:rPr>
          <w:lang w:val="de-DE"/>
        </w:rPr>
      </w:pPr>
      <w:r>
        <w:t xml:space="preserve">图D.0.3-3 </w:t>
      </w:r>
      <w:r>
        <w:rPr>
          <w:i/>
        </w:rPr>
        <w:t>b</w:t>
      </w:r>
      <w:r>
        <w:t>=200mm</w:t>
      </w:r>
      <w:r>
        <w:rPr>
          <w:i/>
        </w:rPr>
        <w:t>t</w:t>
      </w:r>
      <w:r>
        <w:rPr>
          <w:i/>
          <w:vertAlign w:val="subscript"/>
        </w:rPr>
        <w:t>e</w:t>
      </w:r>
      <w:r>
        <w:t>=80min图</w:t>
      </w:r>
      <w:r>
        <w:rPr>
          <w:lang w:val="de-DE"/>
        </w:rPr>
        <w:t xml:space="preserve">D.0.3-4 </w:t>
      </w:r>
      <w:r>
        <w:rPr>
          <w:i/>
        </w:rPr>
        <w:t xml:space="preserve"> b</w:t>
      </w:r>
      <w:r>
        <w:rPr>
          <w:lang w:val="de-DE"/>
        </w:rPr>
        <w:t xml:space="preserve"> =200mm </w:t>
      </w:r>
      <w:r>
        <w:rPr>
          <w:i/>
        </w:rPr>
        <w:t xml:space="preserve"> t</w:t>
      </w:r>
      <w:r>
        <w:rPr>
          <w:i/>
          <w:vertAlign w:val="subscript"/>
        </w:rPr>
        <w:t>e</w:t>
      </w:r>
      <w:r>
        <w:rPr>
          <w:lang w:val="de-DE"/>
        </w:rPr>
        <w:t xml:space="preserve"> =90min</w:t>
      </w:r>
    </w:p>
    <w:p>
      <w:pPr>
        <w:pStyle w:val="41"/>
        <w:rPr>
          <w:lang w:val="de-DE"/>
        </w:rPr>
      </w:pPr>
      <w:r>
        <w:object>
          <v:shape id="_x0000_i1044" o:spt="75" type="#_x0000_t75" style="height:203.4pt;width:108pt;" o:ole="t" filled="f" o:preferrelative="t" stroked="f" coordsize="21600,21600">
            <v:path/>
            <v:fill on="f" focussize="0,0"/>
            <v:stroke on="f" joinstyle="miter"/>
            <v:imagedata r:id="rId69" o:title=""/>
            <o:lock v:ext="edit" aspectratio="f"/>
            <w10:wrap type="none"/>
            <w10:anchorlock/>
          </v:shape>
          <o:OLEObject Type="Embed" ProgID="Origin50.Graph" ShapeID="_x0000_i1044" DrawAspect="Content" ObjectID="_1468075744" r:id="rId68">
            <o:LockedField>false</o:LockedField>
          </o:OLEObject>
        </w:object>
      </w:r>
      <w:r>
        <w:drawing>
          <wp:inline distT="0" distB="0" distL="0" distR="0">
            <wp:extent cx="1382395" cy="25679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0" cstate="print"/>
                    <a:stretch>
                      <a:fillRect/>
                    </a:stretch>
                  </pic:blipFill>
                  <pic:spPr>
                    <a:xfrm>
                      <a:off x="0" y="0"/>
                      <a:ext cx="1382395" cy="2567940"/>
                    </a:xfrm>
                    <a:prstGeom prst="rect">
                      <a:avLst/>
                    </a:prstGeom>
                    <a:noFill/>
                    <a:ln w="9525">
                      <a:noFill/>
                    </a:ln>
                  </pic:spPr>
                </pic:pic>
              </a:graphicData>
            </a:graphic>
          </wp:inline>
        </w:drawing>
      </w:r>
    </w:p>
    <w:p>
      <w:pPr>
        <w:pStyle w:val="41"/>
        <w:rPr>
          <w:lang w:val="de-DE"/>
        </w:rPr>
      </w:pPr>
      <w:r>
        <w:t>D.0.3-5</w:t>
      </w:r>
      <w:r>
        <w:rPr>
          <w:i/>
        </w:rPr>
        <w:t xml:space="preserve"> b</w:t>
      </w:r>
      <w:r>
        <w:t xml:space="preserve"> =200mm</w:t>
      </w:r>
      <w:r>
        <w:rPr>
          <w:i/>
        </w:rPr>
        <w:t>t</w:t>
      </w:r>
      <w:r>
        <w:rPr>
          <w:i/>
          <w:vertAlign w:val="subscript"/>
        </w:rPr>
        <w:t>e</w:t>
      </w:r>
      <w:r>
        <w:t xml:space="preserve"> =100min</w:t>
      </w:r>
      <w:r>
        <w:rPr>
          <w:lang w:val="de-DE"/>
        </w:rPr>
        <w:t xml:space="preserve">D.0.3-6 </w:t>
      </w:r>
      <w:r>
        <w:rPr>
          <w:i/>
        </w:rPr>
        <w:t xml:space="preserve"> b</w:t>
      </w:r>
      <w:r>
        <w:rPr>
          <w:lang w:val="de-DE"/>
        </w:rPr>
        <w:t xml:space="preserve"> =200mm</w:t>
      </w:r>
      <w:r>
        <w:rPr>
          <w:i/>
        </w:rPr>
        <w:t>t</w:t>
      </w:r>
      <w:r>
        <w:rPr>
          <w:i/>
          <w:vertAlign w:val="subscript"/>
        </w:rPr>
        <w:t>e</w:t>
      </w:r>
      <w:r>
        <w:rPr>
          <w:lang w:val="de-DE"/>
        </w:rPr>
        <w:t>=110min</w:t>
      </w:r>
    </w:p>
    <w:p>
      <w:pPr>
        <w:pStyle w:val="41"/>
        <w:rPr>
          <w:lang w:val="de-DE"/>
        </w:rPr>
      </w:pPr>
    </w:p>
    <w:p>
      <w:pPr>
        <w:pStyle w:val="41"/>
      </w:pPr>
      <w:r>
        <w:drawing>
          <wp:inline distT="0" distB="0" distL="0" distR="0">
            <wp:extent cx="1382395" cy="25679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1" cstate="print"/>
                    <a:stretch>
                      <a:fillRect/>
                    </a:stretch>
                  </pic:blipFill>
                  <pic:spPr>
                    <a:xfrm>
                      <a:off x="0" y="0"/>
                      <a:ext cx="1382395" cy="2567940"/>
                    </a:xfrm>
                    <a:prstGeom prst="rect">
                      <a:avLst/>
                    </a:prstGeom>
                    <a:noFill/>
                    <a:ln w="9525">
                      <a:noFill/>
                    </a:ln>
                  </pic:spPr>
                </pic:pic>
              </a:graphicData>
            </a:graphic>
          </wp:inline>
        </w:drawing>
      </w:r>
    </w:p>
    <w:p>
      <w:pPr>
        <w:pStyle w:val="41"/>
      </w:pPr>
      <w:r>
        <w:t xml:space="preserve">图D.0.3-7  </w:t>
      </w:r>
      <w:r>
        <w:rPr>
          <w:i/>
        </w:rPr>
        <w:t>b</w:t>
      </w:r>
      <w:r>
        <w:t>=200mm</w:t>
      </w:r>
      <w:r>
        <w:rPr>
          <w:i/>
        </w:rPr>
        <w:t>t</w:t>
      </w:r>
      <w:r>
        <w:rPr>
          <w:i/>
          <w:vertAlign w:val="subscript"/>
        </w:rPr>
        <w:t>e</w:t>
      </w:r>
      <w:r>
        <w:t>=120min</w:t>
      </w:r>
    </w:p>
    <w:p>
      <w:pPr>
        <w:pStyle w:val="41"/>
        <w:jc w:val="left"/>
      </w:pPr>
      <w:r>
        <w:t>2</w:t>
      </w:r>
      <w:r>
        <w:rPr>
          <w:rFonts w:hint="eastAsia"/>
        </w:rPr>
        <w:t xml:space="preserve"> </w:t>
      </w:r>
      <w:r>
        <w:t xml:space="preserve"> b=240mm矩形截面：</w:t>
      </w:r>
    </w:p>
    <w:p>
      <w:pPr>
        <w:pStyle w:val="41"/>
      </w:pPr>
      <w:r>
        <w:object>
          <v:shape id="_x0000_i1045" o:spt="75" type="#_x0000_t75" style="height:203.4pt;width:130.8pt;" o:ole="t" filled="f" o:preferrelative="t" stroked="f" coordsize="21600,21600">
            <v:path/>
            <v:fill on="f" focussize="0,0"/>
            <v:stroke on="f" joinstyle="miter"/>
            <v:imagedata r:id="rId73" o:title=""/>
            <o:lock v:ext="edit" aspectratio="f"/>
            <w10:wrap type="none"/>
            <w10:anchorlock/>
          </v:shape>
          <o:OLEObject Type="Embed" ProgID="Origin50.Graph" ShapeID="_x0000_i1045" DrawAspect="Content" ObjectID="_1468075745" r:id="rId72">
            <o:LockedField>false</o:LockedField>
          </o:OLEObject>
        </w:object>
      </w:r>
      <w:r>
        <w:object>
          <v:shape id="_x0000_i1046" o:spt="75" type="#_x0000_t75" style="height:203.4pt;width:130.8pt;" o:ole="t" filled="f" o:preferrelative="t" stroked="f" coordsize="21600,21600">
            <v:path/>
            <v:fill on="f" focussize="0,0"/>
            <v:stroke on="f" joinstyle="miter"/>
            <v:imagedata r:id="rId75" o:title=""/>
            <o:lock v:ext="edit" aspectratio="f"/>
            <w10:wrap type="none"/>
            <w10:anchorlock/>
          </v:shape>
          <o:OLEObject Type="Embed" ProgID="Origin50.Graph" ShapeID="_x0000_i1046" DrawAspect="Content" ObjectID="_1468075746" r:id="rId74">
            <o:LockedField>false</o:LockedField>
          </o:OLEObject>
        </w:object>
      </w:r>
    </w:p>
    <w:p>
      <w:pPr>
        <w:pStyle w:val="41"/>
      </w:pPr>
      <w:r>
        <w:t xml:space="preserve">图D.0.3-8 </w:t>
      </w:r>
      <w:r>
        <w:rPr>
          <w:i/>
        </w:rPr>
        <w:t xml:space="preserve"> b</w:t>
      </w:r>
      <w:r>
        <w:t xml:space="preserve"> =240mm </w:t>
      </w:r>
      <w:r>
        <w:rPr>
          <w:i/>
        </w:rPr>
        <w:t xml:space="preserve"> t</w:t>
      </w:r>
      <w:r>
        <w:rPr>
          <w:i/>
          <w:vertAlign w:val="subscript"/>
        </w:rPr>
        <w:t>e</w:t>
      </w:r>
      <w:r>
        <w:t xml:space="preserve"> =60min图D.0.3-9</w:t>
      </w:r>
      <w:r>
        <w:rPr>
          <w:i/>
        </w:rPr>
        <w:t xml:space="preserve"> b</w:t>
      </w:r>
      <w:r>
        <w:t xml:space="preserve"> =240mm </w:t>
      </w:r>
      <w:r>
        <w:rPr>
          <w:i/>
        </w:rPr>
        <w:t xml:space="preserve"> t</w:t>
      </w:r>
      <w:r>
        <w:rPr>
          <w:i/>
          <w:vertAlign w:val="subscript"/>
        </w:rPr>
        <w:t>e</w:t>
      </w:r>
      <w:r>
        <w:t xml:space="preserve"> =70min</w:t>
      </w:r>
    </w:p>
    <w:p>
      <w:pPr>
        <w:pStyle w:val="41"/>
      </w:pPr>
      <w:r>
        <w:object>
          <v:shape id="_x0000_i1047" o:spt="75" type="#_x0000_t75" style="height:203.4pt;width:130.8pt;" o:ole="t" filled="f" o:preferrelative="t" stroked="f" coordsize="21600,21600">
            <v:path/>
            <v:fill on="f" focussize="0,0"/>
            <v:stroke on="f" joinstyle="miter"/>
            <v:imagedata r:id="rId77" o:title=""/>
            <o:lock v:ext="edit" aspectratio="f"/>
            <w10:wrap type="none"/>
            <w10:anchorlock/>
          </v:shape>
          <o:OLEObject Type="Embed" ProgID="Origin50.Graph" ShapeID="_x0000_i1047" DrawAspect="Content" ObjectID="_1468075747" r:id="rId76">
            <o:LockedField>false</o:LockedField>
          </o:OLEObject>
        </w:object>
      </w:r>
      <w:r>
        <w:object>
          <v:shape id="_x0000_i1048" o:spt="75" type="#_x0000_t75" style="height:203.4pt;width:130.8pt;" o:ole="t" filled="f" o:preferrelative="t" stroked="f" coordsize="21600,21600">
            <v:path/>
            <v:fill on="f" focussize="0,0"/>
            <v:stroke on="f" joinstyle="miter"/>
            <v:imagedata r:id="rId79" o:title=""/>
            <o:lock v:ext="edit" aspectratio="f"/>
            <w10:wrap type="none"/>
            <w10:anchorlock/>
          </v:shape>
          <o:OLEObject Type="Embed" ProgID="Origin50.Graph" ShapeID="_x0000_i1048" DrawAspect="Content" ObjectID="_1468075748" r:id="rId78">
            <o:LockedField>false</o:LockedField>
          </o:OLEObject>
        </w:object>
      </w:r>
    </w:p>
    <w:p>
      <w:pPr>
        <w:pStyle w:val="41"/>
      </w:pPr>
      <w:r>
        <w:t>图D.0.3-10</w:t>
      </w:r>
      <w:r>
        <w:rPr>
          <w:i/>
        </w:rPr>
        <w:t xml:space="preserve"> b</w:t>
      </w:r>
      <w:r>
        <w:t xml:space="preserve"> =240mm </w:t>
      </w:r>
      <w:r>
        <w:rPr>
          <w:i/>
        </w:rPr>
        <w:t xml:space="preserve"> t</w:t>
      </w:r>
      <w:r>
        <w:rPr>
          <w:i/>
          <w:vertAlign w:val="subscript"/>
        </w:rPr>
        <w:t>e</w:t>
      </w:r>
      <w:r>
        <w:t xml:space="preserve"> =80min图D.0.3-11</w:t>
      </w:r>
      <w:r>
        <w:rPr>
          <w:i/>
        </w:rPr>
        <w:t xml:space="preserve"> b</w:t>
      </w:r>
      <w:r>
        <w:t xml:space="preserve"> =240mm </w:t>
      </w:r>
      <w:r>
        <w:rPr>
          <w:i/>
        </w:rPr>
        <w:t xml:space="preserve"> t</w:t>
      </w:r>
      <w:r>
        <w:rPr>
          <w:i/>
          <w:vertAlign w:val="subscript"/>
        </w:rPr>
        <w:t>e</w:t>
      </w:r>
      <w:r>
        <w:t xml:space="preserve"> =90min</w:t>
      </w:r>
      <w:r>
        <w:br w:type="page"/>
      </w:r>
    </w:p>
    <w:p>
      <w:pPr>
        <w:jc w:val="center"/>
        <w:rPr>
          <w:rFonts w:cs="Times New Roman"/>
        </w:rPr>
      </w:pPr>
      <w:r>
        <w:rPr>
          <w:rFonts w:cs="Times New Roman"/>
        </w:rPr>
        <w:object>
          <v:shape id="_x0000_i1049" o:spt="75" type="#_x0000_t75" style="height:203.4pt;width:130.8pt;" o:ole="t" filled="f" o:preferrelative="t" stroked="f" coordsize="21600,21600">
            <v:path/>
            <v:fill on="f" focussize="0,0"/>
            <v:stroke on="f" joinstyle="miter"/>
            <v:imagedata r:id="rId81" o:title=""/>
            <o:lock v:ext="edit" aspectratio="f"/>
            <w10:wrap type="none"/>
            <w10:anchorlock/>
          </v:shape>
          <o:OLEObject Type="Embed" ProgID="Origin50.Graph" ShapeID="_x0000_i1049" DrawAspect="Content" ObjectID="_1468075749" r:id="rId80">
            <o:LockedField>false</o:LockedField>
          </o:OLEObject>
        </w:object>
      </w:r>
      <w:r>
        <w:rPr>
          <w:rFonts w:cs="Times New Roman"/>
        </w:rPr>
        <w:object>
          <v:shape id="_x0000_i1050" o:spt="75" type="#_x0000_t75" style="height:203.4pt;width:130.8pt;" o:ole="t" filled="f" o:preferrelative="t" stroked="f" coordsize="21600,21600">
            <v:path/>
            <v:fill on="f" focussize="0,0"/>
            <v:stroke on="f" joinstyle="miter"/>
            <v:imagedata r:id="rId83" o:title=""/>
            <o:lock v:ext="edit" aspectratio="f"/>
            <w10:wrap type="none"/>
            <w10:anchorlock/>
          </v:shape>
          <o:OLEObject Type="Embed" ProgID="Origin50.Graph" ShapeID="_x0000_i1050" DrawAspect="Content" ObjectID="_1468075750" r:id="rId82">
            <o:LockedField>false</o:LockedField>
          </o:OLEObject>
        </w:object>
      </w:r>
    </w:p>
    <w:p>
      <w:pPr>
        <w:pStyle w:val="41"/>
      </w:pPr>
      <w:r>
        <w:t>图D.0.3-12</w:t>
      </w:r>
      <w:r>
        <w:rPr>
          <w:i/>
        </w:rPr>
        <w:t xml:space="preserve"> b</w:t>
      </w:r>
      <w:r>
        <w:t xml:space="preserve"> =240mm </w:t>
      </w:r>
      <w:r>
        <w:rPr>
          <w:i/>
        </w:rPr>
        <w:t xml:space="preserve"> t</w:t>
      </w:r>
      <w:r>
        <w:rPr>
          <w:i/>
          <w:vertAlign w:val="subscript"/>
        </w:rPr>
        <w:t>e</w:t>
      </w:r>
      <w:r>
        <w:t xml:space="preserve"> =100min图D.0.3-13</w:t>
      </w:r>
      <w:r>
        <w:rPr>
          <w:i/>
        </w:rPr>
        <w:t xml:space="preserve"> b</w:t>
      </w:r>
      <w:r>
        <w:t xml:space="preserve"> =240mm </w:t>
      </w:r>
      <w:r>
        <w:rPr>
          <w:i/>
        </w:rPr>
        <w:t xml:space="preserve"> t</w:t>
      </w:r>
      <w:r>
        <w:rPr>
          <w:i/>
          <w:vertAlign w:val="subscript"/>
        </w:rPr>
        <w:t>e</w:t>
      </w:r>
      <w:r>
        <w:t xml:space="preserve"> =110min</w:t>
      </w:r>
    </w:p>
    <w:p>
      <w:pPr>
        <w:pStyle w:val="41"/>
      </w:pPr>
      <w:r>
        <w:object>
          <v:shape id="_x0000_i1051" o:spt="75" type="#_x0000_t75" style="height:203.4pt;width:130.8pt;" o:ole="t" filled="f" o:preferrelative="t" stroked="f" coordsize="21600,21600">
            <v:path/>
            <v:fill on="f" focussize="0,0"/>
            <v:stroke on="f" joinstyle="miter"/>
            <v:imagedata r:id="rId85" o:title=""/>
            <o:lock v:ext="edit" aspectratio="f"/>
            <w10:wrap type="none"/>
            <w10:anchorlock/>
          </v:shape>
          <o:OLEObject Type="Embed" ProgID="Origin50.Graph" ShapeID="_x0000_i1051" DrawAspect="Content" ObjectID="_1468075751" r:id="rId84">
            <o:LockedField>false</o:LockedField>
          </o:OLEObject>
        </w:object>
      </w:r>
    </w:p>
    <w:p>
      <w:pPr>
        <w:pStyle w:val="41"/>
      </w:pPr>
      <w:r>
        <w:t>图D.0.3-14</w:t>
      </w:r>
      <w:r>
        <w:rPr>
          <w:i/>
        </w:rPr>
        <w:t xml:space="preserve"> b</w:t>
      </w:r>
      <w:r>
        <w:t xml:space="preserve"> =240mm </w:t>
      </w:r>
      <w:r>
        <w:rPr>
          <w:i/>
        </w:rPr>
        <w:t xml:space="preserve"> t</w:t>
      </w:r>
      <w:r>
        <w:rPr>
          <w:i/>
          <w:vertAlign w:val="subscript"/>
        </w:rPr>
        <w:t>e</w:t>
      </w:r>
      <w:r>
        <w:t xml:space="preserve"> =120min</w:t>
      </w:r>
    </w:p>
    <w:p>
      <w:pPr>
        <w:pStyle w:val="41"/>
        <w:jc w:val="left"/>
      </w:pPr>
      <w:r>
        <w:t>3  b=280mm矩形截面:</w:t>
      </w:r>
    </w:p>
    <w:p>
      <w:pPr>
        <w:pStyle w:val="41"/>
      </w:pPr>
      <w:r>
        <w:object>
          <v:shape id="_x0000_i1052" o:spt="75" type="#_x0000_t75" style="height:186pt;width:142.8pt;" o:ole="t" filled="f" o:preferrelative="t" stroked="f" coordsize="21600,21600">
            <v:path/>
            <v:fill on="f" focussize="0,0"/>
            <v:stroke on="f" joinstyle="miter"/>
            <v:imagedata r:id="rId87" o:title=""/>
            <o:lock v:ext="edit" aspectratio="f"/>
            <w10:wrap type="none"/>
            <w10:anchorlock/>
          </v:shape>
          <o:OLEObject Type="Embed" ProgID="Origin50.Graph" ShapeID="_x0000_i1052" DrawAspect="Content" ObjectID="_1468075752" r:id="rId86">
            <o:LockedField>false</o:LockedField>
          </o:OLEObject>
        </w:object>
      </w:r>
      <w:r>
        <w:object>
          <v:shape id="_x0000_i1053" o:spt="75" type="#_x0000_t75" style="height:186pt;width:142.8pt;" o:ole="t" filled="f" o:preferrelative="t" stroked="f" coordsize="21600,21600">
            <v:path/>
            <v:fill on="f" focussize="0,0"/>
            <v:stroke on="f" joinstyle="miter"/>
            <v:imagedata r:id="rId89" o:title=""/>
            <o:lock v:ext="edit" aspectratio="f"/>
            <w10:wrap type="none"/>
            <w10:anchorlock/>
          </v:shape>
          <o:OLEObject Type="Embed" ProgID="Origin50.Graph" ShapeID="_x0000_i1053" DrawAspect="Content" ObjectID="_1468075753" r:id="rId88">
            <o:LockedField>false</o:LockedField>
          </o:OLEObject>
        </w:object>
      </w:r>
    </w:p>
    <w:p>
      <w:pPr>
        <w:pStyle w:val="41"/>
      </w:pPr>
      <w:r>
        <w:t xml:space="preserve">图D.0.3-15  </w:t>
      </w:r>
      <w:r>
        <w:rPr>
          <w:i/>
        </w:rPr>
        <w:t>b</w:t>
      </w:r>
      <w:r>
        <w:t xml:space="preserve"> =280mm  </w:t>
      </w:r>
      <w:r>
        <w:rPr>
          <w:i/>
        </w:rPr>
        <w:t>t</w:t>
      </w:r>
      <w:r>
        <w:rPr>
          <w:vertAlign w:val="subscript"/>
        </w:rPr>
        <w:t>e</w:t>
      </w:r>
      <w:r>
        <w:t xml:space="preserve"> =60min       图D.0.3-16  </w:t>
      </w:r>
      <w:r>
        <w:rPr>
          <w:i/>
        </w:rPr>
        <w:t>b</w:t>
      </w:r>
      <w:r>
        <w:t xml:space="preserve"> =280mm  </w:t>
      </w:r>
      <w:r>
        <w:rPr>
          <w:i/>
        </w:rPr>
        <w:t>t</w:t>
      </w:r>
      <w:r>
        <w:rPr>
          <w:vertAlign w:val="subscript"/>
        </w:rPr>
        <w:t>e</w:t>
      </w:r>
      <w:r>
        <w:t xml:space="preserve"> =70min</w:t>
      </w:r>
    </w:p>
    <w:p>
      <w:pPr>
        <w:pStyle w:val="41"/>
      </w:pPr>
      <w:r>
        <w:object>
          <v:shape id="_x0000_i1054" o:spt="75" type="#_x0000_t75" style="height:192pt;width:142.8pt;" o:ole="t" filled="f" o:preferrelative="t" stroked="f" coordsize="21600,21600">
            <v:path/>
            <v:fill on="f" focussize="0,0"/>
            <v:stroke on="f" joinstyle="miter"/>
            <v:imagedata r:id="rId91" o:title=""/>
            <o:lock v:ext="edit" aspectratio="f"/>
            <w10:wrap type="none"/>
            <w10:anchorlock/>
          </v:shape>
          <o:OLEObject Type="Embed" ProgID="Origin50.Graph" ShapeID="_x0000_i1054" DrawAspect="Content" ObjectID="_1468075754" r:id="rId90">
            <o:LockedField>false</o:LockedField>
          </o:OLEObject>
        </w:object>
      </w:r>
      <w:r>
        <w:object>
          <v:shape id="_x0000_i1055" o:spt="75" type="#_x0000_t75" style="height:192pt;width:142.8pt;" o:ole="t" filled="f" o:preferrelative="t" stroked="f" coordsize="21600,21600">
            <v:path/>
            <v:fill on="f" focussize="0,0"/>
            <v:stroke on="f" joinstyle="miter"/>
            <v:imagedata r:id="rId93" o:title=""/>
            <o:lock v:ext="edit" aspectratio="f"/>
            <w10:wrap type="none"/>
            <w10:anchorlock/>
          </v:shape>
          <o:OLEObject Type="Embed" ProgID="Origin50.Graph" ShapeID="_x0000_i1055" DrawAspect="Content" ObjectID="_1468075755" r:id="rId92">
            <o:LockedField>false</o:LockedField>
          </o:OLEObject>
        </w:object>
      </w:r>
    </w:p>
    <w:p>
      <w:pPr>
        <w:pStyle w:val="41"/>
      </w:pPr>
      <w:r>
        <w:t>图 D.0.3-17</w:t>
      </w:r>
      <w:r>
        <w:rPr>
          <w:i/>
        </w:rPr>
        <w:t xml:space="preserve"> b</w:t>
      </w:r>
      <w:r>
        <w:t xml:space="preserve">=280mm  </w:t>
      </w:r>
      <w:r>
        <w:rPr>
          <w:i/>
        </w:rPr>
        <w:t>t</w:t>
      </w:r>
      <w:r>
        <w:rPr>
          <w:i/>
          <w:vertAlign w:val="subscript"/>
        </w:rPr>
        <w:t>e</w:t>
      </w:r>
      <w:r>
        <w:t xml:space="preserve">=80min         图 D.0.3-18  </w:t>
      </w:r>
      <w:r>
        <w:rPr>
          <w:i/>
        </w:rPr>
        <w:t>b</w:t>
      </w:r>
      <w:r>
        <w:t xml:space="preserve"> =280mm </w:t>
      </w:r>
      <w:r>
        <w:rPr>
          <w:i/>
        </w:rPr>
        <w:t xml:space="preserve"> t</w:t>
      </w:r>
      <w:r>
        <w:rPr>
          <w:i/>
          <w:vertAlign w:val="subscript"/>
        </w:rPr>
        <w:t>e</w:t>
      </w:r>
      <w:r>
        <w:t xml:space="preserve"> =90min</w:t>
      </w:r>
    </w:p>
    <w:p>
      <w:pPr>
        <w:pStyle w:val="41"/>
      </w:pPr>
      <w:r>
        <w:object>
          <v:shape id="_x0000_i1056" o:spt="75" type="#_x0000_t75" style="height:203.4pt;width:142.8pt;" o:ole="t" filled="f" o:preferrelative="t" stroked="f" coordsize="21600,21600">
            <v:path/>
            <v:fill on="f" focussize="0,0"/>
            <v:stroke on="f" joinstyle="miter"/>
            <v:imagedata r:id="rId95" o:title=""/>
            <o:lock v:ext="edit" aspectratio="f"/>
            <w10:wrap type="none"/>
            <w10:anchorlock/>
          </v:shape>
          <o:OLEObject Type="Embed" ProgID="Origin50.Graph" ShapeID="_x0000_i1056" DrawAspect="Content" ObjectID="_1468075756" r:id="rId94">
            <o:LockedField>false</o:LockedField>
          </o:OLEObject>
        </w:object>
      </w:r>
      <w:r>
        <w:object>
          <v:shape id="_x0000_i1057" o:spt="75" type="#_x0000_t75" style="height:203.4pt;width:142.8pt;" o:ole="t" filled="f" o:preferrelative="t" stroked="f" coordsize="21600,21600">
            <v:path/>
            <v:fill on="f" focussize="0,0"/>
            <v:stroke on="f" joinstyle="miter"/>
            <v:imagedata r:id="rId97" o:title=""/>
            <o:lock v:ext="edit" aspectratio="f"/>
            <w10:wrap type="none"/>
            <w10:anchorlock/>
          </v:shape>
          <o:OLEObject Type="Embed" ProgID="Origin50.Graph" ShapeID="_x0000_i1057" DrawAspect="Content" ObjectID="_1468075757" r:id="rId96">
            <o:LockedField>false</o:LockedField>
          </o:OLEObject>
        </w:object>
      </w:r>
    </w:p>
    <w:p>
      <w:pPr>
        <w:pStyle w:val="41"/>
      </w:pPr>
      <w:r>
        <w:t xml:space="preserve">图 D.0.3-19  </w:t>
      </w:r>
      <w:r>
        <w:rPr>
          <w:i/>
        </w:rPr>
        <w:t>b</w:t>
      </w:r>
      <w:r>
        <w:t xml:space="preserve"> =280mm  </w:t>
      </w:r>
      <w:r>
        <w:rPr>
          <w:i/>
        </w:rPr>
        <w:t>t</w:t>
      </w:r>
      <w:r>
        <w:rPr>
          <w:i/>
          <w:vertAlign w:val="subscript"/>
        </w:rPr>
        <w:t>e</w:t>
      </w:r>
      <w:r>
        <w:t xml:space="preserve"> =100min     图 D.0.3-20 </w:t>
      </w:r>
      <w:r>
        <w:rPr>
          <w:i/>
        </w:rPr>
        <w:t>b</w:t>
      </w:r>
      <w:r>
        <w:t xml:space="preserve"> =280mm  </w:t>
      </w:r>
      <w:r>
        <w:rPr>
          <w:i/>
        </w:rPr>
        <w:t>t</w:t>
      </w:r>
      <w:r>
        <w:rPr>
          <w:i/>
          <w:vertAlign w:val="subscript"/>
        </w:rPr>
        <w:t>e</w:t>
      </w:r>
      <w:r>
        <w:t xml:space="preserve"> =110min</w:t>
      </w:r>
    </w:p>
    <w:p>
      <w:pPr>
        <w:pStyle w:val="41"/>
      </w:pPr>
      <w:r>
        <w:object>
          <v:shape id="_x0000_i1058" o:spt="75" type="#_x0000_t75" style="height:203.4pt;width:142.8pt;" o:ole="t" filled="f" o:preferrelative="t" stroked="f" coordsize="21600,21600">
            <v:path/>
            <v:fill on="f" focussize="0,0"/>
            <v:stroke on="f" joinstyle="miter"/>
            <v:imagedata r:id="rId99" o:title=""/>
            <o:lock v:ext="edit" aspectratio="f"/>
            <w10:wrap type="none"/>
            <w10:anchorlock/>
          </v:shape>
          <o:OLEObject Type="Embed" ProgID="Origin50.Graph" ShapeID="_x0000_i1058" DrawAspect="Content" ObjectID="_1468075758" r:id="rId98">
            <o:LockedField>false</o:LockedField>
          </o:OLEObject>
        </w:object>
      </w:r>
    </w:p>
    <w:p>
      <w:pPr>
        <w:pStyle w:val="41"/>
      </w:pPr>
      <w:r>
        <w:t xml:space="preserve">图 D.0.3-21  </w:t>
      </w:r>
      <w:r>
        <w:rPr>
          <w:i/>
        </w:rPr>
        <w:t>b</w:t>
      </w:r>
      <w:r>
        <w:t xml:space="preserve">=280mm  </w:t>
      </w:r>
      <w:r>
        <w:rPr>
          <w:i/>
        </w:rPr>
        <w:t>t</w:t>
      </w:r>
      <w:r>
        <w:rPr>
          <w:vertAlign w:val="subscript"/>
        </w:rPr>
        <w:t>e</w:t>
      </w:r>
      <w:r>
        <w:t>=120min</w:t>
      </w:r>
    </w:p>
    <w:p>
      <w:pPr>
        <w:pStyle w:val="41"/>
        <w:jc w:val="left"/>
        <w:rPr>
          <w:lang w:val="de-DE"/>
        </w:rPr>
      </w:pPr>
      <w:r>
        <w:rPr>
          <w:lang w:val="de-DE"/>
        </w:rPr>
        <w:t>4  b=320mm 矩形截面</w:t>
      </w:r>
    </w:p>
    <w:p>
      <w:pPr>
        <w:pStyle w:val="41"/>
      </w:pPr>
      <w:r>
        <w:object>
          <v:shape id="_x0000_i1059" o:spt="75" type="#_x0000_t75" style="height:182.4pt;width:145.2pt;" o:ole="t" filled="f" o:preferrelative="t" stroked="f" coordsize="21600,21600">
            <v:path/>
            <v:fill on="f" focussize="0,0"/>
            <v:stroke on="f" joinstyle="miter"/>
            <v:imagedata r:id="rId101" o:title=""/>
            <o:lock v:ext="edit" aspectratio="f"/>
            <w10:wrap type="none"/>
            <w10:anchorlock/>
          </v:shape>
          <o:OLEObject Type="Embed" ProgID="Origin50.Graph" ShapeID="_x0000_i1059" DrawAspect="Content" ObjectID="_1468075759" r:id="rId100">
            <o:LockedField>false</o:LockedField>
          </o:OLEObject>
        </w:object>
      </w:r>
      <w:r>
        <w:object>
          <v:shape id="_x0000_i1060" o:spt="75" type="#_x0000_t75" style="height:182.4pt;width:145.2pt;" o:ole="t" filled="f" o:preferrelative="t" stroked="f" coordsize="21600,21600">
            <v:path/>
            <v:fill on="f" focussize="0,0"/>
            <v:stroke on="f" joinstyle="miter"/>
            <v:imagedata r:id="rId103" o:title=""/>
            <o:lock v:ext="edit" aspectratio="f"/>
            <w10:wrap type="none"/>
            <w10:anchorlock/>
          </v:shape>
          <o:OLEObject Type="Embed" ProgID="Origin50.Graph" ShapeID="_x0000_i1060" DrawAspect="Content" ObjectID="_1468075760" r:id="rId102">
            <o:LockedField>false</o:LockedField>
          </o:OLEObject>
        </w:object>
      </w:r>
    </w:p>
    <w:p>
      <w:pPr>
        <w:pStyle w:val="41"/>
        <w:rPr>
          <w:lang w:val="de-DE"/>
        </w:rPr>
      </w:pPr>
      <w:r>
        <w:rPr>
          <w:lang w:val="de-DE"/>
        </w:rPr>
        <w:t xml:space="preserve">图 D.0.3-22  </w:t>
      </w:r>
      <w:r>
        <w:rPr>
          <w:i/>
        </w:rPr>
        <w:t>b</w:t>
      </w:r>
      <w:r>
        <w:rPr>
          <w:lang w:val="de-DE"/>
        </w:rPr>
        <w:t xml:space="preserve"> =320mm  </w:t>
      </w:r>
      <w:r>
        <w:rPr>
          <w:i/>
        </w:rPr>
        <w:t>t</w:t>
      </w:r>
      <w:r>
        <w:rPr>
          <w:vertAlign w:val="subscript"/>
        </w:rPr>
        <w:t>e</w:t>
      </w:r>
      <w:r>
        <w:rPr>
          <w:lang w:val="de-DE"/>
        </w:rPr>
        <w:t xml:space="preserve"> =60min   图 D.0,3-23  </w:t>
      </w:r>
      <w:r>
        <w:rPr>
          <w:i/>
        </w:rPr>
        <w:t>b</w:t>
      </w:r>
      <w:r>
        <w:rPr>
          <w:lang w:val="de-DE"/>
        </w:rPr>
        <w:t xml:space="preserve"> =320mm  </w:t>
      </w:r>
      <w:r>
        <w:rPr>
          <w:i/>
        </w:rPr>
        <w:t>t</w:t>
      </w:r>
      <w:r>
        <w:rPr>
          <w:vertAlign w:val="subscript"/>
        </w:rPr>
        <w:t>e</w:t>
      </w:r>
      <w:r>
        <w:rPr>
          <w:lang w:val="de-DE"/>
        </w:rPr>
        <w:t xml:space="preserve"> =70min</w:t>
      </w:r>
    </w:p>
    <w:p>
      <w:pPr>
        <w:pStyle w:val="41"/>
        <w:rPr>
          <w:lang w:val="de-DE"/>
        </w:rPr>
      </w:pPr>
      <w:r>
        <w:rPr>
          <w:lang w:val="de-DE"/>
        </w:rPr>
        <w:object>
          <v:shape id="_x0000_i1061" o:spt="75" type="#_x0000_t75" style="height:182.4pt;width:145.2pt;" o:ole="t" filled="f" o:preferrelative="t" stroked="f" coordsize="21600,21600">
            <v:path/>
            <v:fill on="f" focussize="0,0"/>
            <v:stroke on="f" joinstyle="miter"/>
            <v:imagedata r:id="rId105" o:title=""/>
            <o:lock v:ext="edit" aspectratio="f"/>
            <w10:wrap type="none"/>
            <w10:anchorlock/>
          </v:shape>
          <o:OLEObject Type="Embed" ProgID="Origin50.Graph" ShapeID="_x0000_i1061" DrawAspect="Content" ObjectID="_1468075761" r:id="rId104">
            <o:LockedField>false</o:LockedField>
          </o:OLEObject>
        </w:object>
      </w:r>
      <w:r>
        <w:rPr>
          <w:lang w:val="de-DE"/>
        </w:rPr>
        <w:object>
          <v:shape id="_x0000_i1062" o:spt="75" type="#_x0000_t75" style="height:182.4pt;width:145.2pt;" o:ole="t" filled="f" o:preferrelative="t" stroked="f" coordsize="21600,21600">
            <v:path/>
            <v:fill on="f" focussize="0,0"/>
            <v:stroke on="f" joinstyle="miter"/>
            <v:imagedata r:id="rId107" o:title=""/>
            <o:lock v:ext="edit" aspectratio="f"/>
            <w10:wrap type="none"/>
            <w10:anchorlock/>
          </v:shape>
          <o:OLEObject Type="Embed" ProgID="Origin50.Graph" ShapeID="_x0000_i1062" DrawAspect="Content" ObjectID="_1468075762" r:id="rId106">
            <o:LockedField>false</o:LockedField>
          </o:OLEObject>
        </w:object>
      </w:r>
    </w:p>
    <w:p>
      <w:pPr>
        <w:pStyle w:val="41"/>
      </w:pPr>
      <w:r>
        <w:rPr>
          <w:lang w:val="de-DE"/>
        </w:rPr>
        <w:t xml:space="preserve">图 D.0.3-24  </w:t>
      </w:r>
      <w:r>
        <w:rPr>
          <w:i/>
          <w:lang w:val="de-DE"/>
        </w:rPr>
        <w:t>b</w:t>
      </w:r>
      <w:r>
        <w:rPr>
          <w:lang w:val="de-DE"/>
        </w:rPr>
        <w:t xml:space="preserve">=320mm  </w:t>
      </w:r>
      <w:r>
        <w:rPr>
          <w:i/>
          <w:lang w:val="de-DE"/>
        </w:rPr>
        <w:t>t</w:t>
      </w:r>
      <w:r>
        <w:rPr>
          <w:vertAlign w:val="subscript"/>
          <w:lang w:val="de-DE"/>
        </w:rPr>
        <w:t>e</w:t>
      </w:r>
      <w:r>
        <w:rPr>
          <w:lang w:val="de-DE"/>
        </w:rPr>
        <w:t xml:space="preserve">=80min   </w:t>
      </w:r>
      <w:r>
        <w:t xml:space="preserve">图 D.0.3-25  </w:t>
      </w:r>
      <w:r>
        <w:rPr>
          <w:i/>
          <w:lang w:val="de-DE"/>
        </w:rPr>
        <w:t>b</w:t>
      </w:r>
      <w:r>
        <w:t xml:space="preserve"> =320mm  </w:t>
      </w:r>
      <w:r>
        <w:rPr>
          <w:i/>
          <w:lang w:val="de-DE"/>
        </w:rPr>
        <w:t>t</w:t>
      </w:r>
      <w:r>
        <w:rPr>
          <w:vertAlign w:val="subscript"/>
          <w:lang w:val="de-DE"/>
        </w:rPr>
        <w:t>e</w:t>
      </w:r>
      <w:r>
        <w:t xml:space="preserve"> =90min</w:t>
      </w:r>
    </w:p>
    <w:p>
      <w:pPr>
        <w:pStyle w:val="41"/>
      </w:pPr>
      <w:r>
        <w:object>
          <v:shape id="_x0000_i1063" o:spt="75" type="#_x0000_t75" style="height:182.4pt;width:145.2pt;" o:ole="t" filled="f" o:preferrelative="t" stroked="f" coordsize="21600,21600">
            <v:path/>
            <v:fill on="f" focussize="0,0"/>
            <v:stroke on="f" joinstyle="miter"/>
            <v:imagedata r:id="rId109" o:title=""/>
            <o:lock v:ext="edit" aspectratio="f"/>
            <w10:wrap type="none"/>
            <w10:anchorlock/>
          </v:shape>
          <o:OLEObject Type="Embed" ProgID="Origin50.Graph" ShapeID="_x0000_i1063" DrawAspect="Content" ObjectID="_1468075763" r:id="rId108">
            <o:LockedField>false</o:LockedField>
          </o:OLEObject>
        </w:object>
      </w:r>
      <w:r>
        <w:object>
          <v:shape id="_x0000_i1064" o:spt="75" type="#_x0000_t75" style="height:182.4pt;width:145.2pt;" o:ole="t" filled="f" o:preferrelative="t" stroked="f" coordsize="21600,21600">
            <v:path/>
            <v:fill on="f" focussize="0,0"/>
            <v:stroke on="f" joinstyle="miter"/>
            <v:imagedata r:id="rId111" o:title=""/>
            <o:lock v:ext="edit" aspectratio="f"/>
            <w10:wrap type="none"/>
            <w10:anchorlock/>
          </v:shape>
          <o:OLEObject Type="Embed" ProgID="Origin50.Graph" ShapeID="_x0000_i1064" DrawAspect="Content" ObjectID="_1468075764" r:id="rId110">
            <o:LockedField>false</o:LockedField>
          </o:OLEObject>
        </w:object>
      </w:r>
    </w:p>
    <w:p>
      <w:pPr>
        <w:pStyle w:val="41"/>
      </w:pPr>
      <w:r>
        <w:rPr>
          <w:lang w:val="de-DE"/>
        </w:rPr>
        <w:t xml:space="preserve">图 D.0.3-26  </w:t>
      </w:r>
      <w:r>
        <w:rPr>
          <w:i/>
          <w:lang w:val="de-DE"/>
        </w:rPr>
        <w:t>b</w:t>
      </w:r>
      <w:r>
        <w:rPr>
          <w:lang w:val="de-DE"/>
        </w:rPr>
        <w:t xml:space="preserve"> =320mm  </w:t>
      </w:r>
      <w:r>
        <w:rPr>
          <w:i/>
          <w:lang w:val="de-DE"/>
        </w:rPr>
        <w:t>t</w:t>
      </w:r>
      <w:r>
        <w:rPr>
          <w:vertAlign w:val="subscript"/>
          <w:lang w:val="de-DE"/>
        </w:rPr>
        <w:t>e</w:t>
      </w:r>
      <w:r>
        <w:rPr>
          <w:lang w:val="de-DE"/>
        </w:rPr>
        <w:t xml:space="preserve"> =100min  </w:t>
      </w:r>
      <w:r>
        <w:t xml:space="preserve">图D.0.3-27  </w:t>
      </w:r>
      <w:r>
        <w:rPr>
          <w:i/>
          <w:lang w:val="de-DE"/>
        </w:rPr>
        <w:t>b</w:t>
      </w:r>
      <w:r>
        <w:t xml:space="preserve"> =320mm  </w:t>
      </w:r>
      <w:r>
        <w:rPr>
          <w:i/>
          <w:lang w:val="de-DE"/>
        </w:rPr>
        <w:t>t</w:t>
      </w:r>
      <w:r>
        <w:rPr>
          <w:vertAlign w:val="subscript"/>
          <w:lang w:val="de-DE"/>
        </w:rPr>
        <w:t>e</w:t>
      </w:r>
      <w:r>
        <w:t xml:space="preserve"> =110min</w:t>
      </w:r>
    </w:p>
    <w:p>
      <w:pPr>
        <w:pStyle w:val="41"/>
        <w:rPr>
          <w:lang w:val="de-DE"/>
        </w:rPr>
      </w:pPr>
    </w:p>
    <w:p>
      <w:pPr>
        <w:pStyle w:val="41"/>
      </w:pPr>
      <w:r>
        <w:object>
          <v:shape id="_x0000_i1065" o:spt="75" type="#_x0000_t75" style="height:182.4pt;width:145.2pt;" o:ole="t" filled="f" o:preferrelative="t" stroked="f" coordsize="21600,21600">
            <v:path/>
            <v:fill on="f" focussize="0,0"/>
            <v:stroke on="f" joinstyle="miter"/>
            <v:imagedata r:id="rId113" o:title=""/>
            <o:lock v:ext="edit" aspectratio="f"/>
            <w10:wrap type="none"/>
            <w10:anchorlock/>
          </v:shape>
          <o:OLEObject Type="Embed" ProgID="Origin50.Graph" ShapeID="_x0000_i1065" DrawAspect="Content" ObjectID="_1468075765" r:id="rId112">
            <o:LockedField>false</o:LockedField>
          </o:OLEObject>
        </w:object>
      </w:r>
    </w:p>
    <w:p>
      <w:pPr>
        <w:pStyle w:val="41"/>
        <w:rPr>
          <w:lang w:val="de-DE"/>
        </w:rPr>
      </w:pPr>
      <w:r>
        <w:rPr>
          <w:lang w:val="de-DE"/>
        </w:rPr>
        <w:t xml:space="preserve">图D.0.3-28  </w:t>
      </w:r>
      <w:r>
        <w:rPr>
          <w:i/>
          <w:lang w:val="de-DE"/>
        </w:rPr>
        <w:t>b</w:t>
      </w:r>
      <w:r>
        <w:rPr>
          <w:lang w:val="de-DE"/>
        </w:rPr>
        <w:t xml:space="preserve">=320mm  </w:t>
      </w:r>
      <w:r>
        <w:rPr>
          <w:i/>
          <w:lang w:val="de-DE"/>
        </w:rPr>
        <w:t>t</w:t>
      </w:r>
      <w:r>
        <w:rPr>
          <w:i/>
          <w:vertAlign w:val="subscript"/>
          <w:lang w:val="de-DE"/>
        </w:rPr>
        <w:t>e</w:t>
      </w:r>
      <w:r>
        <w:rPr>
          <w:lang w:val="de-DE"/>
        </w:rPr>
        <w:t>=120min</w:t>
      </w:r>
    </w:p>
    <w:p>
      <w:pPr>
        <w:pStyle w:val="41"/>
        <w:jc w:val="left"/>
      </w:pPr>
      <w:r>
        <w:rPr>
          <w:lang w:val="de-DE"/>
        </w:rPr>
        <w:t xml:space="preserve">5  b=360mm </w:t>
      </w:r>
      <w:r>
        <w:t>矩形截面:</w:t>
      </w:r>
    </w:p>
    <w:p>
      <w:pPr>
        <w:pStyle w:val="41"/>
      </w:pPr>
      <w:r>
        <w:object>
          <v:shape id="_x0000_i1066" o:spt="75" type="#_x0000_t75" style="height:182.4pt;width:145.8pt;" o:ole="t" filled="f" o:preferrelative="t" stroked="f" coordsize="21600,21600">
            <v:path/>
            <v:fill on="f" focussize="0,0"/>
            <v:stroke on="f" joinstyle="miter"/>
            <v:imagedata r:id="rId115" o:title=""/>
            <o:lock v:ext="edit" aspectratio="f"/>
            <w10:wrap type="none"/>
            <w10:anchorlock/>
          </v:shape>
          <o:OLEObject Type="Embed" ProgID="Origin50.Graph" ShapeID="_x0000_i1066" DrawAspect="Content" ObjectID="_1468075766" r:id="rId114">
            <o:LockedField>false</o:LockedField>
          </o:OLEObject>
        </w:object>
      </w:r>
      <w:r>
        <w:object>
          <v:shape id="_x0000_i1067" o:spt="75" type="#_x0000_t75" style="height:182.4pt;width:145.8pt;" o:ole="t" filled="f" o:preferrelative="t" stroked="f" coordsize="21600,21600">
            <v:path/>
            <v:fill on="f" focussize="0,0"/>
            <v:stroke on="f" joinstyle="miter"/>
            <v:imagedata r:id="rId117" o:title=""/>
            <o:lock v:ext="edit" aspectratio="f"/>
            <w10:wrap type="none"/>
            <w10:anchorlock/>
          </v:shape>
          <o:OLEObject Type="Embed" ProgID="Origin50.Graph" ShapeID="_x0000_i1067" DrawAspect="Content" ObjectID="_1468075767" r:id="rId116">
            <o:LockedField>false</o:LockedField>
          </o:OLEObject>
        </w:object>
      </w:r>
    </w:p>
    <w:p>
      <w:pPr>
        <w:pStyle w:val="41"/>
        <w:rPr>
          <w:lang w:val="de-DE"/>
        </w:rPr>
      </w:pPr>
      <w:r>
        <w:rPr>
          <w:lang w:val="de-DE"/>
        </w:rPr>
        <w:t xml:space="preserve">图D.0.3-29  </w:t>
      </w:r>
      <w:r>
        <w:rPr>
          <w:i/>
          <w:lang w:val="de-DE"/>
        </w:rPr>
        <w:t>b</w:t>
      </w:r>
      <w:r>
        <w:rPr>
          <w:lang w:val="de-DE"/>
        </w:rPr>
        <w:t xml:space="preserve"> =360mm  </w:t>
      </w:r>
      <w:r>
        <w:rPr>
          <w:i/>
          <w:lang w:val="de-DE"/>
        </w:rPr>
        <w:t>t</w:t>
      </w:r>
      <w:r>
        <w:rPr>
          <w:i/>
          <w:vertAlign w:val="subscript"/>
          <w:lang w:val="de-DE"/>
        </w:rPr>
        <w:t>e</w:t>
      </w:r>
      <w:r>
        <w:rPr>
          <w:lang w:val="de-DE"/>
        </w:rPr>
        <w:t xml:space="preserve"> =60min  图 D.0.3-30  </w:t>
      </w:r>
      <w:r>
        <w:rPr>
          <w:i/>
          <w:lang w:val="de-DE"/>
        </w:rPr>
        <w:t>b</w:t>
      </w:r>
      <w:r>
        <w:rPr>
          <w:lang w:val="de-DE"/>
        </w:rPr>
        <w:t xml:space="preserve"> =360mm  </w:t>
      </w:r>
      <w:r>
        <w:rPr>
          <w:i/>
          <w:lang w:val="de-DE"/>
        </w:rPr>
        <w:t>t</w:t>
      </w:r>
      <w:r>
        <w:rPr>
          <w:i/>
          <w:vertAlign w:val="subscript"/>
          <w:lang w:val="de-DE"/>
        </w:rPr>
        <w:t>e</w:t>
      </w:r>
      <w:r>
        <w:rPr>
          <w:lang w:val="de-DE"/>
        </w:rPr>
        <w:t xml:space="preserve"> =70min</w:t>
      </w:r>
    </w:p>
    <w:p>
      <w:pPr>
        <w:pStyle w:val="41"/>
        <w:rPr>
          <w:lang w:val="de-DE"/>
        </w:rPr>
      </w:pPr>
      <w:r>
        <w:rPr>
          <w:lang w:val="de-DE"/>
        </w:rPr>
        <w:object>
          <v:shape id="_x0000_i1068" o:spt="75" type="#_x0000_t75" style="height:182.4pt;width:145.8pt;" o:ole="t" filled="f" o:preferrelative="t" stroked="f" coordsize="21600,21600">
            <v:path/>
            <v:fill on="f" focussize="0,0"/>
            <v:stroke on="f" joinstyle="miter"/>
            <v:imagedata r:id="rId119" o:title=""/>
            <o:lock v:ext="edit" aspectratio="f"/>
            <w10:wrap type="none"/>
            <w10:anchorlock/>
          </v:shape>
          <o:OLEObject Type="Embed" ProgID="Origin50.Graph" ShapeID="_x0000_i1068" DrawAspect="Content" ObjectID="_1468075768" r:id="rId118">
            <o:LockedField>false</o:LockedField>
          </o:OLEObject>
        </w:object>
      </w:r>
      <w:r>
        <w:rPr>
          <w:lang w:val="de-DE"/>
        </w:rPr>
        <w:object>
          <v:shape id="_x0000_i1069" o:spt="75" type="#_x0000_t75" style="height:182.4pt;width:145.8pt;" o:ole="t" filled="f" o:preferrelative="t" stroked="f" coordsize="21600,21600">
            <v:path/>
            <v:fill on="f" focussize="0,0"/>
            <v:stroke on="f" joinstyle="miter"/>
            <v:imagedata r:id="rId121" o:title=""/>
            <o:lock v:ext="edit" aspectratio="f"/>
            <w10:wrap type="none"/>
            <w10:anchorlock/>
          </v:shape>
          <o:OLEObject Type="Embed" ProgID="Origin50.Graph" ShapeID="_x0000_i1069" DrawAspect="Content" ObjectID="_1468075769" r:id="rId120">
            <o:LockedField>false</o:LockedField>
          </o:OLEObject>
        </w:object>
      </w:r>
    </w:p>
    <w:p>
      <w:pPr>
        <w:pStyle w:val="41"/>
        <w:rPr>
          <w:lang w:val="de-DE"/>
        </w:rPr>
      </w:pPr>
      <w:r>
        <w:rPr>
          <w:lang w:val="de-DE"/>
        </w:rPr>
        <w:t xml:space="preserve">图 D.0.3-31  </w:t>
      </w:r>
      <w:r>
        <w:rPr>
          <w:i/>
          <w:lang w:val="de-DE"/>
        </w:rPr>
        <w:t>b</w:t>
      </w:r>
      <w:r>
        <w:rPr>
          <w:lang w:val="de-DE"/>
        </w:rPr>
        <w:t xml:space="preserve">=360mm  </w:t>
      </w:r>
      <w:r>
        <w:rPr>
          <w:i/>
          <w:lang w:val="de-DE"/>
        </w:rPr>
        <w:t>t</w:t>
      </w:r>
      <w:r>
        <w:rPr>
          <w:i/>
          <w:vertAlign w:val="subscript"/>
          <w:lang w:val="de-DE"/>
        </w:rPr>
        <w:t>e</w:t>
      </w:r>
      <w:r>
        <w:rPr>
          <w:lang w:val="de-DE"/>
        </w:rPr>
        <w:t>=80min</w:t>
      </w:r>
      <w:r>
        <w:rPr>
          <w:lang w:val="de-DE"/>
        </w:rPr>
        <w:tab/>
      </w:r>
      <w:r>
        <w:rPr>
          <w:lang w:val="de-DE"/>
        </w:rPr>
        <w:t xml:space="preserve">图D.0.3-32  </w:t>
      </w:r>
      <w:r>
        <w:rPr>
          <w:i/>
          <w:lang w:val="de-DE"/>
        </w:rPr>
        <w:t>b</w:t>
      </w:r>
      <w:r>
        <w:rPr>
          <w:lang w:val="de-DE"/>
        </w:rPr>
        <w:t xml:space="preserve"> =360mm  </w:t>
      </w:r>
      <w:r>
        <w:rPr>
          <w:i/>
          <w:lang w:val="de-DE"/>
        </w:rPr>
        <w:t>t</w:t>
      </w:r>
      <w:r>
        <w:rPr>
          <w:i/>
          <w:vertAlign w:val="subscript"/>
          <w:lang w:val="de-DE"/>
        </w:rPr>
        <w:t>e</w:t>
      </w:r>
      <w:r>
        <w:rPr>
          <w:lang w:val="de-DE"/>
        </w:rPr>
        <w:t xml:space="preserve"> =90min</w:t>
      </w:r>
    </w:p>
    <w:p>
      <w:pPr>
        <w:pStyle w:val="41"/>
        <w:rPr>
          <w:lang w:val="de-DE"/>
        </w:rPr>
      </w:pPr>
      <w:r>
        <w:rPr>
          <w:lang w:val="de-DE"/>
        </w:rPr>
        <w:object>
          <v:shape id="_x0000_i1070" o:spt="75" type="#_x0000_t75" style="height:182.4pt;width:145.8pt;" o:ole="t" filled="f" o:preferrelative="t" stroked="f" coordsize="21600,21600">
            <v:path/>
            <v:fill on="f" focussize="0,0"/>
            <v:stroke on="f" joinstyle="miter"/>
            <v:imagedata r:id="rId123" o:title=""/>
            <o:lock v:ext="edit" aspectratio="f"/>
            <w10:wrap type="none"/>
            <w10:anchorlock/>
          </v:shape>
          <o:OLEObject Type="Embed" ProgID="Origin50.Graph" ShapeID="_x0000_i1070" DrawAspect="Content" ObjectID="_1468075770" r:id="rId122">
            <o:LockedField>false</o:LockedField>
          </o:OLEObject>
        </w:object>
      </w:r>
      <w:r>
        <w:rPr>
          <w:lang w:val="de-DE"/>
        </w:rPr>
        <w:object>
          <v:shape id="_x0000_i1071" o:spt="75" type="#_x0000_t75" style="height:182.4pt;width:145.8pt;" o:ole="t" filled="f" o:preferrelative="t" stroked="f" coordsize="21600,21600">
            <v:path/>
            <v:fill on="f" focussize="0,0"/>
            <v:stroke on="f" joinstyle="miter"/>
            <v:imagedata r:id="rId125" o:title=""/>
            <o:lock v:ext="edit" aspectratio="f"/>
            <w10:wrap type="none"/>
            <w10:anchorlock/>
          </v:shape>
          <o:OLEObject Type="Embed" ProgID="Origin50.Graph" ShapeID="_x0000_i1071" DrawAspect="Content" ObjectID="_1468075771" r:id="rId124">
            <o:LockedField>false</o:LockedField>
          </o:OLEObject>
        </w:object>
      </w:r>
    </w:p>
    <w:p>
      <w:pPr>
        <w:pStyle w:val="41"/>
        <w:rPr>
          <w:lang w:val="de-DE"/>
        </w:rPr>
      </w:pPr>
      <w:r>
        <w:rPr>
          <w:lang w:val="de-DE"/>
        </w:rPr>
        <w:t xml:space="preserve">图D.0.3-33  </w:t>
      </w:r>
      <w:r>
        <w:rPr>
          <w:i/>
          <w:lang w:val="de-DE"/>
        </w:rPr>
        <w:t>b</w:t>
      </w:r>
      <w:r>
        <w:rPr>
          <w:lang w:val="de-DE"/>
        </w:rPr>
        <w:t xml:space="preserve"> =360mm  </w:t>
      </w:r>
      <w:r>
        <w:rPr>
          <w:i/>
          <w:lang w:val="de-DE"/>
        </w:rPr>
        <w:t>t</w:t>
      </w:r>
      <w:r>
        <w:rPr>
          <w:i/>
          <w:vertAlign w:val="subscript"/>
          <w:lang w:val="de-DE"/>
        </w:rPr>
        <w:t>e</w:t>
      </w:r>
      <w:r>
        <w:rPr>
          <w:lang w:val="de-DE"/>
        </w:rPr>
        <w:t xml:space="preserve"> =100min     图D.0.3-34  </w:t>
      </w:r>
      <w:r>
        <w:rPr>
          <w:i/>
          <w:lang w:val="de-DE"/>
        </w:rPr>
        <w:t>b</w:t>
      </w:r>
      <w:r>
        <w:rPr>
          <w:lang w:val="de-DE"/>
        </w:rPr>
        <w:t xml:space="preserve"> =360mm  </w:t>
      </w:r>
      <w:r>
        <w:rPr>
          <w:i/>
          <w:lang w:val="de-DE"/>
        </w:rPr>
        <w:t>t</w:t>
      </w:r>
      <w:r>
        <w:rPr>
          <w:i/>
          <w:vertAlign w:val="subscript"/>
          <w:lang w:val="de-DE"/>
        </w:rPr>
        <w:t>e</w:t>
      </w:r>
      <w:r>
        <w:rPr>
          <w:lang w:val="de-DE"/>
        </w:rPr>
        <w:t xml:space="preserve"> =110min</w:t>
      </w:r>
    </w:p>
    <w:p>
      <w:pPr>
        <w:pStyle w:val="41"/>
        <w:rPr>
          <w:lang w:val="de-DE"/>
        </w:rPr>
      </w:pPr>
      <w:r>
        <w:rPr>
          <w:lang w:val="de-DE"/>
        </w:rPr>
        <w:object>
          <v:shape id="_x0000_i1072" o:spt="75" type="#_x0000_t75" style="height:182.4pt;width:145.8pt;" o:ole="t" filled="f" o:preferrelative="t" stroked="f" coordsize="21600,21600">
            <v:path/>
            <v:fill on="f" focussize="0,0"/>
            <v:stroke on="f" joinstyle="miter"/>
            <v:imagedata r:id="rId127" o:title=""/>
            <o:lock v:ext="edit" aspectratio="f"/>
            <w10:wrap type="none"/>
            <w10:anchorlock/>
          </v:shape>
          <o:OLEObject Type="Embed" ProgID="Origin50.Graph" ShapeID="_x0000_i1072" DrawAspect="Content" ObjectID="_1468075772" r:id="rId126">
            <o:LockedField>false</o:LockedField>
          </o:OLEObject>
        </w:object>
      </w:r>
    </w:p>
    <w:p>
      <w:pPr>
        <w:pStyle w:val="41"/>
        <w:rPr>
          <w:lang w:val="de-DE"/>
        </w:rPr>
      </w:pPr>
      <w:r>
        <w:rPr>
          <w:lang w:val="de-DE"/>
        </w:rPr>
        <w:t xml:space="preserve">图 D.0.3-35  </w:t>
      </w:r>
      <w:r>
        <w:rPr>
          <w:i/>
          <w:lang w:val="de-DE"/>
        </w:rPr>
        <w:t>b</w:t>
      </w:r>
      <w:r>
        <w:rPr>
          <w:lang w:val="de-DE"/>
        </w:rPr>
        <w:t xml:space="preserve">=360mm  </w:t>
      </w:r>
      <w:r>
        <w:rPr>
          <w:i/>
          <w:lang w:val="de-DE"/>
        </w:rPr>
        <w:t>t</w:t>
      </w:r>
      <w:r>
        <w:rPr>
          <w:i/>
          <w:vertAlign w:val="subscript"/>
          <w:lang w:val="de-DE"/>
        </w:rPr>
        <w:t>e</w:t>
      </w:r>
      <w:r>
        <w:rPr>
          <w:lang w:val="de-DE"/>
        </w:rPr>
        <w:t xml:space="preserve"> =120min</w:t>
      </w:r>
    </w:p>
    <w:p>
      <w:pPr>
        <w:pStyle w:val="41"/>
        <w:jc w:val="left"/>
      </w:pPr>
      <w:r>
        <w:t>6</w:t>
      </w:r>
      <w:r>
        <w:rPr>
          <w:lang w:val="de-DE"/>
        </w:rPr>
        <w:t xml:space="preserve">  b=</w:t>
      </w:r>
      <w:r>
        <w:t>400</w:t>
      </w:r>
      <w:r>
        <w:rPr>
          <w:lang w:val="de-DE"/>
        </w:rPr>
        <w:t xml:space="preserve">mm </w:t>
      </w:r>
      <w:r>
        <w:t>矩形截面:</w:t>
      </w:r>
    </w:p>
    <w:p>
      <w:pPr>
        <w:pStyle w:val="41"/>
      </w:pPr>
    </w:p>
    <w:p>
      <w:pPr>
        <w:pStyle w:val="41"/>
      </w:pPr>
      <w:r>
        <w:object>
          <v:shape id="_x0000_i1073" o:spt="75" type="#_x0000_t75" style="height:162.6pt;width:151.8pt;" o:ole="t" filled="f" o:preferrelative="t" stroked="f" coordsize="21600,21600">
            <v:path/>
            <v:fill on="f" focussize="0,0"/>
            <v:stroke on="f" joinstyle="miter"/>
            <v:imagedata r:id="rId129" o:title=""/>
            <o:lock v:ext="edit" aspectratio="f"/>
            <w10:wrap type="none"/>
            <w10:anchorlock/>
          </v:shape>
          <o:OLEObject Type="Embed" ProgID="Origin50.Graph" ShapeID="_x0000_i1073" DrawAspect="Content" ObjectID="_1468075773" r:id="rId128">
            <o:LockedField>false</o:LockedField>
          </o:OLEObject>
        </w:object>
      </w:r>
      <w:r>
        <w:object>
          <v:shape id="_x0000_i1074" o:spt="75" type="#_x0000_t75" style="height:162.6pt;width:151.8pt;" o:ole="t" filled="f" o:preferrelative="t" stroked="f" coordsize="21600,21600">
            <v:path/>
            <v:fill on="f" focussize="0,0"/>
            <v:stroke on="f" joinstyle="miter"/>
            <v:imagedata r:id="rId131" o:title=""/>
            <o:lock v:ext="edit" aspectratio="f"/>
            <w10:wrap type="none"/>
            <w10:anchorlock/>
          </v:shape>
          <o:OLEObject Type="Embed" ProgID="Origin50.Graph" ShapeID="_x0000_i1074" DrawAspect="Content" ObjectID="_1468075774" r:id="rId130">
            <o:LockedField>false</o:LockedField>
          </o:OLEObject>
        </w:object>
      </w:r>
    </w:p>
    <w:p>
      <w:pPr>
        <w:pStyle w:val="41"/>
      </w:pPr>
      <w:r>
        <w:t xml:space="preserve">图 D.0.3-36  </w:t>
      </w:r>
      <w:r>
        <w:rPr>
          <w:i/>
        </w:rPr>
        <w:t>b</w:t>
      </w:r>
      <w:r>
        <w:t xml:space="preserve"> =400mm  </w:t>
      </w:r>
      <w:r>
        <w:rPr>
          <w:i/>
        </w:rPr>
        <w:t>t</w:t>
      </w:r>
      <w:r>
        <w:rPr>
          <w:i/>
          <w:vertAlign w:val="subscript"/>
        </w:rPr>
        <w:t>e</w:t>
      </w:r>
      <w:r>
        <w:t xml:space="preserve">=60min 图 D.0.3-37  </w:t>
      </w:r>
      <w:r>
        <w:rPr>
          <w:i/>
        </w:rPr>
        <w:t>b</w:t>
      </w:r>
      <w:r>
        <w:t xml:space="preserve"> =400mm  </w:t>
      </w:r>
      <w:r>
        <w:rPr>
          <w:i/>
        </w:rPr>
        <w:t xml:space="preserve"> t</w:t>
      </w:r>
      <w:r>
        <w:rPr>
          <w:i/>
          <w:vertAlign w:val="subscript"/>
        </w:rPr>
        <w:t>e</w:t>
      </w:r>
      <w:r>
        <w:t xml:space="preserve"> =70min</w:t>
      </w:r>
    </w:p>
    <w:p>
      <w:pPr>
        <w:pStyle w:val="41"/>
      </w:pPr>
      <w:r>
        <w:object>
          <v:shape id="_x0000_i1075" o:spt="75" type="#_x0000_t75" style="height:162.6pt;width:151.8pt;" o:ole="t" filled="f" o:preferrelative="t" stroked="f" coordsize="21600,21600">
            <v:path/>
            <v:fill on="f" focussize="0,0"/>
            <v:stroke on="f" joinstyle="miter"/>
            <v:imagedata r:id="rId133" o:title=""/>
            <o:lock v:ext="edit" aspectratio="f"/>
            <w10:wrap type="none"/>
            <w10:anchorlock/>
          </v:shape>
          <o:OLEObject Type="Embed" ProgID="Origin50.Graph" ShapeID="_x0000_i1075" DrawAspect="Content" ObjectID="_1468075775" r:id="rId132">
            <o:LockedField>false</o:LockedField>
          </o:OLEObject>
        </w:object>
      </w:r>
      <w:r>
        <w:object>
          <v:shape id="_x0000_i1076" o:spt="75" type="#_x0000_t75" style="height:162.6pt;width:151.8pt;" o:ole="t" filled="f" o:preferrelative="t" stroked="f" coordsize="21600,21600">
            <v:path/>
            <v:fill on="f" focussize="0,0"/>
            <v:stroke on="f" joinstyle="miter"/>
            <v:imagedata r:id="rId135" o:title=""/>
            <o:lock v:ext="edit" aspectratio="f"/>
            <w10:wrap type="none"/>
            <w10:anchorlock/>
          </v:shape>
          <o:OLEObject Type="Embed" ProgID="Origin50.Graph" ShapeID="_x0000_i1076" DrawAspect="Content" ObjectID="_1468075776" r:id="rId134">
            <o:LockedField>false</o:LockedField>
          </o:OLEObject>
        </w:object>
      </w:r>
    </w:p>
    <w:p>
      <w:pPr>
        <w:pStyle w:val="41"/>
      </w:pPr>
      <w:r>
        <w:t>图 D.0.3-38</w:t>
      </w:r>
      <w:r>
        <w:rPr>
          <w:i/>
        </w:rPr>
        <w:t>b</w:t>
      </w:r>
      <w:r>
        <w:t xml:space="preserve"> =400mm  </w:t>
      </w:r>
      <w:r>
        <w:rPr>
          <w:i/>
        </w:rPr>
        <w:t>t</w:t>
      </w:r>
      <w:r>
        <w:rPr>
          <w:i/>
          <w:vertAlign w:val="subscript"/>
        </w:rPr>
        <w:t>e</w:t>
      </w:r>
      <w:r>
        <w:t>=80min 图 D.0.3-39</w:t>
      </w:r>
      <w:r>
        <w:rPr>
          <w:i/>
        </w:rPr>
        <w:t>b</w:t>
      </w:r>
      <w:r>
        <w:t xml:space="preserve"> =400mm  </w:t>
      </w:r>
      <w:r>
        <w:rPr>
          <w:i/>
        </w:rPr>
        <w:t>t</w:t>
      </w:r>
      <w:r>
        <w:rPr>
          <w:i/>
          <w:vertAlign w:val="subscript"/>
        </w:rPr>
        <w:t>e</w:t>
      </w:r>
      <w:r>
        <w:t xml:space="preserve"> =90min</w:t>
      </w:r>
    </w:p>
    <w:p>
      <w:pPr>
        <w:pStyle w:val="41"/>
      </w:pPr>
      <w:r>
        <w:object>
          <v:shape id="_x0000_i1077" o:spt="75" type="#_x0000_t75" style="height:162.6pt;width:151.8pt;" o:ole="t" filled="f" o:preferrelative="t" stroked="f" coordsize="21600,21600">
            <v:path/>
            <v:fill on="f" focussize="0,0"/>
            <v:stroke on="f" joinstyle="miter"/>
            <v:imagedata r:id="rId137" o:title=""/>
            <o:lock v:ext="edit" aspectratio="f"/>
            <w10:wrap type="none"/>
            <w10:anchorlock/>
          </v:shape>
          <o:OLEObject Type="Embed" ProgID="Origin50.Graph" ShapeID="_x0000_i1077" DrawAspect="Content" ObjectID="_1468075777" r:id="rId136">
            <o:LockedField>false</o:LockedField>
          </o:OLEObject>
        </w:object>
      </w:r>
      <w:r>
        <w:object>
          <v:shape id="_x0000_i1078" o:spt="75" type="#_x0000_t75" style="height:162.6pt;width:151.8pt;" o:ole="t" filled="f" o:preferrelative="t" stroked="f" coordsize="21600,21600">
            <v:path/>
            <v:fill on="f" focussize="0,0"/>
            <v:stroke on="f" joinstyle="miter"/>
            <v:imagedata r:id="rId139" o:title=""/>
            <o:lock v:ext="edit" aspectratio="f"/>
            <w10:wrap type="none"/>
            <w10:anchorlock/>
          </v:shape>
          <o:OLEObject Type="Embed" ProgID="Origin50.Graph" ShapeID="_x0000_i1078" DrawAspect="Content" ObjectID="_1468075778" r:id="rId138">
            <o:LockedField>false</o:LockedField>
          </o:OLEObject>
        </w:object>
      </w:r>
    </w:p>
    <w:p>
      <w:pPr>
        <w:pStyle w:val="41"/>
      </w:pPr>
      <w:r>
        <w:t>图 D.0.3-40</w:t>
      </w:r>
      <w:r>
        <w:rPr>
          <w:i/>
        </w:rPr>
        <w:t>b</w:t>
      </w:r>
      <w:r>
        <w:t xml:space="preserve"> =400mm  </w:t>
      </w:r>
      <w:r>
        <w:rPr>
          <w:i/>
        </w:rPr>
        <w:t>t</w:t>
      </w:r>
      <w:r>
        <w:rPr>
          <w:i/>
          <w:vertAlign w:val="subscript"/>
        </w:rPr>
        <w:t>e</w:t>
      </w:r>
      <w:r>
        <w:t>=100min 图 D.0.3-41</w:t>
      </w:r>
      <w:r>
        <w:rPr>
          <w:i/>
        </w:rPr>
        <w:t>b</w:t>
      </w:r>
      <w:r>
        <w:t xml:space="preserve"> =400mm  </w:t>
      </w:r>
      <w:r>
        <w:rPr>
          <w:i/>
        </w:rPr>
        <w:t>t</w:t>
      </w:r>
      <w:r>
        <w:rPr>
          <w:i/>
          <w:vertAlign w:val="subscript"/>
        </w:rPr>
        <w:t>e</w:t>
      </w:r>
      <w:r>
        <w:t xml:space="preserve"> =110min</w:t>
      </w:r>
    </w:p>
    <w:p>
      <w:pPr>
        <w:pStyle w:val="41"/>
      </w:pPr>
    </w:p>
    <w:p>
      <w:pPr>
        <w:pStyle w:val="41"/>
      </w:pPr>
      <w:r>
        <w:object>
          <v:shape id="_x0000_i1079" o:spt="75" type="#_x0000_t75" style="height:162.6pt;width:151.8pt;" o:ole="t" filled="f" o:preferrelative="t" stroked="f" coordsize="21600,21600">
            <v:path/>
            <v:fill on="f" focussize="0,0"/>
            <v:stroke on="f" joinstyle="miter"/>
            <v:imagedata r:id="rId141" o:title=""/>
            <o:lock v:ext="edit" aspectratio="f"/>
            <w10:wrap type="none"/>
            <w10:anchorlock/>
          </v:shape>
          <o:OLEObject Type="Embed" ProgID="Origin50.Graph" ShapeID="_x0000_i1079" DrawAspect="Content" ObjectID="_1468075779" r:id="rId140">
            <o:LockedField>false</o:LockedField>
          </o:OLEObject>
        </w:object>
      </w:r>
    </w:p>
    <w:p>
      <w:pPr>
        <w:pStyle w:val="41"/>
      </w:pPr>
      <w:r>
        <w:t>图 D.0.3-42</w:t>
      </w:r>
      <w:r>
        <w:rPr>
          <w:i/>
        </w:rPr>
        <w:t>b</w:t>
      </w:r>
      <w:r>
        <w:t xml:space="preserve"> =400mm  </w:t>
      </w:r>
      <w:r>
        <w:rPr>
          <w:i/>
        </w:rPr>
        <w:t>t</w:t>
      </w:r>
      <w:r>
        <w:rPr>
          <w:i/>
          <w:vertAlign w:val="subscript"/>
        </w:rPr>
        <w:t>e</w:t>
      </w:r>
      <w:r>
        <w:t>=120min</w:t>
      </w:r>
    </w:p>
    <w:p>
      <w:pPr>
        <w:ind w:firstLine="420" w:firstLineChars="200"/>
        <w:jc w:val="left"/>
        <w:rPr>
          <w:rFonts w:ascii="楷体" w:hAnsi="楷体" w:eastAsia="楷体"/>
          <w:szCs w:val="21"/>
        </w:rPr>
      </w:pPr>
    </w:p>
    <w:p>
      <w:pPr>
        <w:ind w:firstLine="420" w:firstLineChars="200"/>
        <w:jc w:val="left"/>
        <w:rPr>
          <w:rFonts w:ascii="楷体" w:hAnsi="楷体" w:eastAsia="楷体"/>
          <w:szCs w:val="21"/>
        </w:rPr>
      </w:pPr>
    </w:p>
    <w:p>
      <w:pPr>
        <w:ind w:firstLine="420" w:firstLineChars="200"/>
        <w:jc w:val="left"/>
        <w:rPr>
          <w:rFonts w:ascii="楷体" w:hAnsi="楷体" w:eastAsia="楷体"/>
          <w:szCs w:val="21"/>
        </w:rPr>
      </w:pPr>
    </w:p>
    <w:p>
      <w:pPr>
        <w:ind w:firstLine="420" w:firstLineChars="200"/>
        <w:jc w:val="left"/>
        <w:rPr>
          <w:rFonts w:cs="Times New Roman"/>
        </w:rPr>
        <w:sectPr>
          <w:pgSz w:w="11906" w:h="16838"/>
          <w:pgMar w:top="1440" w:right="1080" w:bottom="1440" w:left="1080" w:header="851" w:footer="992" w:gutter="0"/>
          <w:cols w:space="425" w:num="1"/>
          <w:docGrid w:type="lines" w:linePitch="312" w:charSpace="0"/>
        </w:sectPr>
      </w:pPr>
    </w:p>
    <w:p>
      <w:pPr>
        <w:pStyle w:val="2"/>
        <w:rPr>
          <w:rFonts w:cs="Times New Roman"/>
          <w:i/>
        </w:rPr>
      </w:pPr>
      <w:bookmarkStart w:id="75" w:name="_Toc505085902"/>
      <w:bookmarkStart w:id="76" w:name="_Toc501474089"/>
      <w:r>
        <w:rPr>
          <w:rFonts w:cs="Times New Roman"/>
        </w:rPr>
        <w:t xml:space="preserve">附录E </w:t>
      </w:r>
      <w:r>
        <w:rPr>
          <w:rFonts w:hint="eastAsia" w:cs="Times New Roman"/>
        </w:rPr>
        <w:t>常见</w:t>
      </w:r>
      <w:r>
        <w:rPr>
          <w:rFonts w:cs="Times New Roman"/>
        </w:rPr>
        <w:t>可燃物轰燃大火当量升温时间的确定</w:t>
      </w:r>
      <w:bookmarkEnd w:id="75"/>
      <w:bookmarkEnd w:id="76"/>
    </w:p>
    <w:p>
      <w:pPr>
        <w:rPr>
          <w:rFonts w:cs="Times New Roman"/>
          <w:b/>
        </w:rPr>
      </w:pPr>
      <w:r>
        <w:rPr>
          <w:rFonts w:cs="Times New Roman"/>
          <w:b/>
        </w:rPr>
        <w:t xml:space="preserve">E.0.1 </w:t>
      </w:r>
      <w:r>
        <w:rPr>
          <w:rFonts w:hint="eastAsia" w:cs="Times New Roman"/>
        </w:rPr>
        <w:t>常见</w:t>
      </w:r>
      <w:r>
        <w:rPr>
          <w:rFonts w:cs="Times New Roman"/>
        </w:rPr>
        <w:t>可燃物轰燃大火当量升温时间可按下列步骤确定：</w:t>
      </w:r>
    </w:p>
    <w:p>
      <w:pPr>
        <w:ind w:firstLine="420" w:firstLineChars="200"/>
        <w:rPr>
          <w:rFonts w:cs="Times New Roman"/>
        </w:rPr>
      </w:pPr>
      <w:r>
        <w:rPr>
          <w:rFonts w:hint="eastAsia" w:cs="Times New Roman"/>
        </w:rPr>
        <w:t xml:space="preserve">1 </w:t>
      </w:r>
      <w:r>
        <w:rPr>
          <w:rFonts w:cs="Times New Roman"/>
        </w:rPr>
        <w:t>调查确定在火灾中房间烧掉的可燃物的种类和数量；</w:t>
      </w:r>
    </w:p>
    <w:p>
      <w:pPr>
        <w:ind w:firstLine="420" w:firstLineChars="200"/>
        <w:rPr>
          <w:rFonts w:cs="Times New Roman"/>
        </w:rPr>
      </w:pPr>
      <w:r>
        <w:rPr>
          <w:rFonts w:hint="eastAsia" w:cs="Times New Roman"/>
        </w:rPr>
        <w:t xml:space="preserve">2 </w:t>
      </w:r>
      <w:r>
        <w:rPr>
          <w:rFonts w:cs="Times New Roman"/>
        </w:rPr>
        <w:t>按式（E.0.1）计算室内实耗可燃物总热值Q：</w:t>
      </w:r>
    </w:p>
    <w:p>
      <w:pPr>
        <w:jc w:val="center"/>
        <w:rPr>
          <w:rFonts w:cs="Times New Roman"/>
        </w:rPr>
      </w:pPr>
      <w:r>
        <w:rPr>
          <w:rFonts w:cs="Times New Roman"/>
          <w:position w:val="-14"/>
        </w:rPr>
        <w:object>
          <v:shape id="_x0000_i1080" o:spt="75" type="#_x0000_t75" style="height:21pt;width:58.8pt;" o:ole="t" fillcolor="#000005 [-4142]" filled="f" o:preferrelative="t" stroked="f" coordsize="21600,21600">
            <v:path/>
            <v:fill on="f" focussize="0,0"/>
            <v:stroke on="f" joinstyle="miter"/>
            <v:imagedata r:id="rId143" o:title=""/>
            <o:lock v:ext="edit" aspectratio="t"/>
            <w10:wrap type="none"/>
            <w10:anchorlock/>
          </v:shape>
          <o:OLEObject Type="Embed" ProgID="Equation.3" ShapeID="_x0000_i1080" DrawAspect="Content" ObjectID="_1468075780" r:id="rId142">
            <o:LockedField>false</o:LockedField>
          </o:OLEObject>
        </w:object>
      </w:r>
      <w:r>
        <w:rPr>
          <w:rFonts w:cs="Times New Roman"/>
        </w:rPr>
        <w:t>(MJ)                   (E.0.1)</w:t>
      </w:r>
    </w:p>
    <w:p>
      <w:pPr>
        <w:rPr>
          <w:rFonts w:cs="Times New Roman"/>
        </w:rPr>
      </w:pPr>
      <w:r>
        <w:rPr>
          <w:rFonts w:cs="Times New Roman"/>
        </w:rPr>
        <w:t>式中</w:t>
      </w:r>
      <w:r>
        <w:rPr>
          <w:rFonts w:cs="Times New Roman"/>
          <w:i/>
        </w:rPr>
        <w:t>m</w:t>
      </w:r>
      <w:r>
        <w:rPr>
          <w:rFonts w:cs="Times New Roman"/>
          <w:i/>
          <w:vertAlign w:val="subscript"/>
        </w:rPr>
        <w:t>i</w:t>
      </w:r>
      <w:r>
        <w:rPr>
          <w:rFonts w:cs="Times New Roman"/>
        </w:rPr>
        <w:t>——实际烧掉的第i种可燃物质量，kg；</w:t>
      </w:r>
    </w:p>
    <w:p>
      <w:pPr>
        <w:ind w:firstLine="420" w:firstLineChars="200"/>
        <w:rPr>
          <w:rFonts w:cs="Times New Roman"/>
        </w:rPr>
      </w:pPr>
      <w:r>
        <w:rPr>
          <w:rFonts w:cs="Times New Roman"/>
          <w:i/>
        </w:rPr>
        <w:t>h</w:t>
      </w:r>
      <w:r>
        <w:rPr>
          <w:rFonts w:cs="Times New Roman"/>
          <w:i/>
          <w:vertAlign w:val="subscript"/>
        </w:rPr>
        <w:t>i</w:t>
      </w:r>
      <w:r>
        <w:rPr>
          <w:rFonts w:cs="Times New Roman"/>
        </w:rPr>
        <w:t>——第i种可燃物的发热量，MJ/kg，按附表E.0.1-1取值</w:t>
      </w:r>
    </w:p>
    <w:p>
      <w:pPr>
        <w:pStyle w:val="41"/>
      </w:pPr>
      <w:r>
        <w:t>表E.0.1-1  可燃材料单位发热量h</w:t>
      </w:r>
    </w:p>
    <w:tbl>
      <w:tblPr>
        <w:tblStyle w:val="24"/>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2"/>
        <w:gridCol w:w="1435"/>
        <w:gridCol w:w="2054"/>
        <w:gridCol w:w="1711"/>
        <w:gridCol w:w="1401"/>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2" w:type="dxa"/>
            <w:vAlign w:val="center"/>
          </w:tcPr>
          <w:p>
            <w:pPr>
              <w:pStyle w:val="42"/>
              <w:jc w:val="center"/>
            </w:pPr>
            <w:r>
              <w:t>名称</w:t>
            </w:r>
          </w:p>
        </w:tc>
        <w:tc>
          <w:tcPr>
            <w:tcW w:w="1435" w:type="dxa"/>
            <w:tcBorders>
              <w:right w:val="double" w:color="auto" w:sz="4" w:space="0"/>
            </w:tcBorders>
            <w:vAlign w:val="center"/>
          </w:tcPr>
          <w:p>
            <w:pPr>
              <w:pStyle w:val="42"/>
              <w:jc w:val="center"/>
            </w:pPr>
            <w:r>
              <w:rPr>
                <w:i/>
              </w:rPr>
              <w:t>h</w:t>
            </w:r>
            <w:r>
              <w:t>（MJ/kg）</w:t>
            </w:r>
          </w:p>
        </w:tc>
        <w:tc>
          <w:tcPr>
            <w:tcW w:w="2054" w:type="dxa"/>
            <w:tcBorders>
              <w:left w:val="double" w:color="auto" w:sz="4" w:space="0"/>
            </w:tcBorders>
            <w:vAlign w:val="center"/>
          </w:tcPr>
          <w:p>
            <w:pPr>
              <w:pStyle w:val="42"/>
              <w:jc w:val="center"/>
            </w:pPr>
            <w:r>
              <w:t>名称</w:t>
            </w:r>
          </w:p>
        </w:tc>
        <w:tc>
          <w:tcPr>
            <w:tcW w:w="1711" w:type="dxa"/>
            <w:tcBorders>
              <w:right w:val="double" w:color="auto" w:sz="4" w:space="0"/>
            </w:tcBorders>
            <w:vAlign w:val="center"/>
          </w:tcPr>
          <w:p>
            <w:pPr>
              <w:pStyle w:val="42"/>
              <w:jc w:val="center"/>
            </w:pPr>
            <w:r>
              <w:rPr>
                <w:i/>
              </w:rPr>
              <w:t>h</w:t>
            </w:r>
            <w:r>
              <w:t>（MJ/kg）</w:t>
            </w:r>
          </w:p>
        </w:tc>
        <w:tc>
          <w:tcPr>
            <w:tcW w:w="1401" w:type="dxa"/>
            <w:tcBorders>
              <w:left w:val="double" w:color="auto" w:sz="4" w:space="0"/>
            </w:tcBorders>
            <w:vAlign w:val="center"/>
          </w:tcPr>
          <w:p>
            <w:pPr>
              <w:pStyle w:val="42"/>
              <w:jc w:val="center"/>
            </w:pPr>
            <w:r>
              <w:t>名称</w:t>
            </w:r>
          </w:p>
        </w:tc>
        <w:tc>
          <w:tcPr>
            <w:tcW w:w="1399" w:type="dxa"/>
            <w:vAlign w:val="center"/>
          </w:tcPr>
          <w:p>
            <w:pPr>
              <w:pStyle w:val="42"/>
              <w:jc w:val="center"/>
            </w:pPr>
            <w:r>
              <w:rPr>
                <w:i/>
              </w:rPr>
              <w:t>h</w:t>
            </w:r>
            <w:r>
              <w:t>MJ/kg）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2" w:type="dxa"/>
            <w:vAlign w:val="center"/>
          </w:tcPr>
          <w:p>
            <w:pPr>
              <w:pStyle w:val="42"/>
              <w:jc w:val="center"/>
            </w:pPr>
            <w:r>
              <w:t>无烟煤</w:t>
            </w:r>
          </w:p>
        </w:tc>
        <w:tc>
          <w:tcPr>
            <w:tcW w:w="1435" w:type="dxa"/>
            <w:tcBorders>
              <w:right w:val="double" w:color="auto" w:sz="4" w:space="0"/>
            </w:tcBorders>
            <w:vAlign w:val="center"/>
          </w:tcPr>
          <w:p>
            <w:pPr>
              <w:pStyle w:val="42"/>
              <w:jc w:val="center"/>
            </w:pPr>
            <w:r>
              <w:t>34</w:t>
            </w:r>
          </w:p>
        </w:tc>
        <w:tc>
          <w:tcPr>
            <w:tcW w:w="2054" w:type="dxa"/>
            <w:tcBorders>
              <w:left w:val="double" w:color="auto" w:sz="4" w:space="0"/>
            </w:tcBorders>
            <w:vAlign w:val="center"/>
          </w:tcPr>
          <w:p>
            <w:pPr>
              <w:pStyle w:val="42"/>
              <w:jc w:val="center"/>
            </w:pPr>
            <w:r>
              <w:t>橡胶轮胎</w:t>
            </w:r>
          </w:p>
        </w:tc>
        <w:tc>
          <w:tcPr>
            <w:tcW w:w="1711" w:type="dxa"/>
            <w:tcBorders>
              <w:right w:val="double" w:color="auto" w:sz="4" w:space="0"/>
            </w:tcBorders>
            <w:vAlign w:val="center"/>
          </w:tcPr>
          <w:p>
            <w:pPr>
              <w:pStyle w:val="42"/>
              <w:jc w:val="center"/>
            </w:pPr>
            <w:r>
              <w:t>32</w:t>
            </w:r>
          </w:p>
        </w:tc>
        <w:tc>
          <w:tcPr>
            <w:tcW w:w="1401" w:type="dxa"/>
            <w:tcBorders>
              <w:left w:val="double" w:color="auto" w:sz="4" w:space="0"/>
            </w:tcBorders>
            <w:vAlign w:val="center"/>
          </w:tcPr>
          <w:p>
            <w:pPr>
              <w:pStyle w:val="42"/>
              <w:jc w:val="center"/>
            </w:pPr>
            <w:r>
              <w:t>聚苯乙烯</w:t>
            </w:r>
          </w:p>
        </w:tc>
        <w:tc>
          <w:tcPr>
            <w:tcW w:w="1399" w:type="dxa"/>
            <w:vAlign w:val="center"/>
          </w:tcPr>
          <w:p>
            <w:pPr>
              <w:pStyle w:val="42"/>
              <w:jc w:val="center"/>
            </w:pPr>
            <w: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2" w:type="dxa"/>
            <w:vAlign w:val="center"/>
          </w:tcPr>
          <w:p>
            <w:pPr>
              <w:pStyle w:val="42"/>
              <w:jc w:val="center"/>
            </w:pPr>
            <w:r>
              <w:t>石油沥青</w:t>
            </w:r>
          </w:p>
        </w:tc>
        <w:tc>
          <w:tcPr>
            <w:tcW w:w="1435" w:type="dxa"/>
            <w:tcBorders>
              <w:right w:val="double" w:color="auto" w:sz="4" w:space="0"/>
            </w:tcBorders>
            <w:vAlign w:val="center"/>
          </w:tcPr>
          <w:p>
            <w:pPr>
              <w:pStyle w:val="42"/>
              <w:jc w:val="center"/>
            </w:pPr>
            <w:r>
              <w:t>41</w:t>
            </w:r>
          </w:p>
        </w:tc>
        <w:tc>
          <w:tcPr>
            <w:tcW w:w="2054" w:type="dxa"/>
            <w:tcBorders>
              <w:left w:val="double" w:color="auto" w:sz="4" w:space="0"/>
            </w:tcBorders>
            <w:vAlign w:val="center"/>
          </w:tcPr>
          <w:p>
            <w:pPr>
              <w:pStyle w:val="42"/>
              <w:jc w:val="center"/>
            </w:pPr>
            <w:r>
              <w:t>丝绸</w:t>
            </w:r>
          </w:p>
        </w:tc>
        <w:tc>
          <w:tcPr>
            <w:tcW w:w="1711" w:type="dxa"/>
            <w:tcBorders>
              <w:right w:val="double" w:color="auto" w:sz="4" w:space="0"/>
            </w:tcBorders>
            <w:vAlign w:val="center"/>
          </w:tcPr>
          <w:p>
            <w:pPr>
              <w:pStyle w:val="42"/>
              <w:jc w:val="center"/>
            </w:pPr>
            <w:r>
              <w:t>19</w:t>
            </w:r>
          </w:p>
        </w:tc>
        <w:tc>
          <w:tcPr>
            <w:tcW w:w="1401" w:type="dxa"/>
            <w:tcBorders>
              <w:left w:val="double" w:color="auto" w:sz="4" w:space="0"/>
            </w:tcBorders>
            <w:vAlign w:val="center"/>
          </w:tcPr>
          <w:p>
            <w:pPr>
              <w:pStyle w:val="42"/>
              <w:jc w:val="center"/>
            </w:pPr>
            <w:r>
              <w:t>石油</w:t>
            </w:r>
          </w:p>
        </w:tc>
        <w:tc>
          <w:tcPr>
            <w:tcW w:w="1399" w:type="dxa"/>
            <w:vAlign w:val="center"/>
          </w:tcPr>
          <w:p>
            <w:pPr>
              <w:pStyle w:val="42"/>
              <w:jc w:val="center"/>
            </w:pPr>
            <w: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2" w:type="dxa"/>
            <w:vAlign w:val="center"/>
          </w:tcPr>
          <w:p>
            <w:pPr>
              <w:pStyle w:val="42"/>
              <w:jc w:val="center"/>
            </w:pPr>
            <w:r>
              <w:t>纸及制品</w:t>
            </w:r>
          </w:p>
        </w:tc>
        <w:tc>
          <w:tcPr>
            <w:tcW w:w="1435" w:type="dxa"/>
            <w:tcBorders>
              <w:right w:val="double" w:color="auto" w:sz="4" w:space="0"/>
            </w:tcBorders>
            <w:vAlign w:val="center"/>
          </w:tcPr>
          <w:p>
            <w:pPr>
              <w:pStyle w:val="42"/>
              <w:jc w:val="center"/>
            </w:pPr>
            <w:r>
              <w:t>17</w:t>
            </w:r>
          </w:p>
        </w:tc>
        <w:tc>
          <w:tcPr>
            <w:tcW w:w="2054" w:type="dxa"/>
            <w:tcBorders>
              <w:left w:val="double" w:color="auto" w:sz="4" w:space="0"/>
            </w:tcBorders>
            <w:vAlign w:val="center"/>
          </w:tcPr>
          <w:p>
            <w:pPr>
              <w:pStyle w:val="42"/>
              <w:jc w:val="center"/>
            </w:pPr>
            <w:r>
              <w:t>稻草</w:t>
            </w:r>
          </w:p>
        </w:tc>
        <w:tc>
          <w:tcPr>
            <w:tcW w:w="1711" w:type="dxa"/>
            <w:tcBorders>
              <w:right w:val="double" w:color="auto" w:sz="4" w:space="0"/>
            </w:tcBorders>
            <w:vAlign w:val="center"/>
          </w:tcPr>
          <w:p>
            <w:pPr>
              <w:pStyle w:val="42"/>
              <w:jc w:val="center"/>
            </w:pPr>
            <w:r>
              <w:t>16</w:t>
            </w:r>
          </w:p>
        </w:tc>
        <w:tc>
          <w:tcPr>
            <w:tcW w:w="1401" w:type="dxa"/>
            <w:tcBorders>
              <w:left w:val="double" w:color="auto" w:sz="4" w:space="0"/>
            </w:tcBorders>
            <w:vAlign w:val="center"/>
          </w:tcPr>
          <w:p>
            <w:pPr>
              <w:pStyle w:val="42"/>
              <w:jc w:val="center"/>
            </w:pPr>
            <w:r>
              <w:t>泡沫塑料</w:t>
            </w:r>
          </w:p>
        </w:tc>
        <w:tc>
          <w:tcPr>
            <w:tcW w:w="1399" w:type="dxa"/>
            <w:vAlign w:val="center"/>
          </w:tcPr>
          <w:p>
            <w:pPr>
              <w:pStyle w:val="42"/>
              <w:jc w:val="center"/>
            </w:pPr>
            <w: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2" w:type="dxa"/>
            <w:vAlign w:val="center"/>
          </w:tcPr>
          <w:p>
            <w:pPr>
              <w:pStyle w:val="42"/>
              <w:jc w:val="center"/>
            </w:pPr>
            <w:r>
              <w:t>炭</w:t>
            </w:r>
          </w:p>
        </w:tc>
        <w:tc>
          <w:tcPr>
            <w:tcW w:w="1435" w:type="dxa"/>
            <w:tcBorders>
              <w:right w:val="double" w:color="auto" w:sz="4" w:space="0"/>
            </w:tcBorders>
            <w:vAlign w:val="center"/>
          </w:tcPr>
          <w:p>
            <w:pPr>
              <w:pStyle w:val="42"/>
              <w:jc w:val="center"/>
            </w:pPr>
            <w:r>
              <w:t>35</w:t>
            </w:r>
          </w:p>
        </w:tc>
        <w:tc>
          <w:tcPr>
            <w:tcW w:w="2054" w:type="dxa"/>
            <w:tcBorders>
              <w:left w:val="double" w:color="auto" w:sz="4" w:space="0"/>
            </w:tcBorders>
            <w:vAlign w:val="center"/>
          </w:tcPr>
          <w:p>
            <w:pPr>
              <w:pStyle w:val="42"/>
              <w:jc w:val="center"/>
            </w:pPr>
            <w:r>
              <w:t>木材</w:t>
            </w:r>
          </w:p>
        </w:tc>
        <w:tc>
          <w:tcPr>
            <w:tcW w:w="1711" w:type="dxa"/>
            <w:tcBorders>
              <w:right w:val="double" w:color="auto" w:sz="4" w:space="0"/>
            </w:tcBorders>
            <w:vAlign w:val="center"/>
          </w:tcPr>
          <w:p>
            <w:pPr>
              <w:pStyle w:val="42"/>
              <w:jc w:val="center"/>
            </w:pPr>
            <w:r>
              <w:t>19</w:t>
            </w:r>
          </w:p>
        </w:tc>
        <w:tc>
          <w:tcPr>
            <w:tcW w:w="1401" w:type="dxa"/>
            <w:tcBorders>
              <w:left w:val="double" w:color="auto" w:sz="4" w:space="0"/>
            </w:tcBorders>
            <w:vAlign w:val="center"/>
          </w:tcPr>
          <w:p>
            <w:pPr>
              <w:pStyle w:val="42"/>
              <w:jc w:val="center"/>
            </w:pPr>
            <w:r>
              <w:t>聚碳酸酯</w:t>
            </w:r>
          </w:p>
        </w:tc>
        <w:tc>
          <w:tcPr>
            <w:tcW w:w="1399" w:type="dxa"/>
            <w:vAlign w:val="center"/>
          </w:tcPr>
          <w:p>
            <w:pPr>
              <w:pStyle w:val="42"/>
              <w:jc w:val="center"/>
            </w:pPr>
            <w: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2" w:type="dxa"/>
            <w:vAlign w:val="center"/>
          </w:tcPr>
          <w:p>
            <w:pPr>
              <w:pStyle w:val="42"/>
              <w:jc w:val="center"/>
            </w:pPr>
            <w:r>
              <w:t>衣服</w:t>
            </w:r>
          </w:p>
        </w:tc>
        <w:tc>
          <w:tcPr>
            <w:tcW w:w="1435" w:type="dxa"/>
            <w:tcBorders>
              <w:right w:val="double" w:color="auto" w:sz="4" w:space="0"/>
            </w:tcBorders>
            <w:vAlign w:val="center"/>
          </w:tcPr>
          <w:p>
            <w:pPr>
              <w:pStyle w:val="42"/>
              <w:jc w:val="center"/>
            </w:pPr>
            <w:r>
              <w:t>19</w:t>
            </w:r>
          </w:p>
        </w:tc>
        <w:tc>
          <w:tcPr>
            <w:tcW w:w="2054" w:type="dxa"/>
            <w:tcBorders>
              <w:left w:val="double" w:color="auto" w:sz="4" w:space="0"/>
            </w:tcBorders>
            <w:vAlign w:val="center"/>
          </w:tcPr>
          <w:p>
            <w:pPr>
              <w:pStyle w:val="42"/>
              <w:jc w:val="center"/>
            </w:pPr>
            <w:r>
              <w:t>羊毛</w:t>
            </w:r>
          </w:p>
        </w:tc>
        <w:tc>
          <w:tcPr>
            <w:tcW w:w="1711" w:type="dxa"/>
            <w:tcBorders>
              <w:right w:val="double" w:color="auto" w:sz="4" w:space="0"/>
            </w:tcBorders>
            <w:vAlign w:val="center"/>
          </w:tcPr>
          <w:p>
            <w:pPr>
              <w:pStyle w:val="42"/>
              <w:jc w:val="center"/>
            </w:pPr>
            <w:r>
              <w:t>23</w:t>
            </w:r>
          </w:p>
        </w:tc>
        <w:tc>
          <w:tcPr>
            <w:tcW w:w="1401" w:type="dxa"/>
            <w:tcBorders>
              <w:left w:val="double" w:color="auto" w:sz="4" w:space="0"/>
            </w:tcBorders>
            <w:vAlign w:val="center"/>
          </w:tcPr>
          <w:p>
            <w:pPr>
              <w:pStyle w:val="42"/>
              <w:jc w:val="center"/>
            </w:pPr>
            <w:r>
              <w:t>聚丙烯</w:t>
            </w:r>
          </w:p>
        </w:tc>
        <w:tc>
          <w:tcPr>
            <w:tcW w:w="1399" w:type="dxa"/>
            <w:vAlign w:val="center"/>
          </w:tcPr>
          <w:p>
            <w:pPr>
              <w:pStyle w:val="42"/>
              <w:jc w:val="center"/>
            </w:pPr>
            <w: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2" w:type="dxa"/>
            <w:vAlign w:val="center"/>
          </w:tcPr>
          <w:p>
            <w:pPr>
              <w:pStyle w:val="42"/>
              <w:jc w:val="center"/>
            </w:pPr>
            <w:r>
              <w:t>煤、焦炭</w:t>
            </w:r>
          </w:p>
        </w:tc>
        <w:tc>
          <w:tcPr>
            <w:tcW w:w="1435" w:type="dxa"/>
            <w:tcBorders>
              <w:right w:val="double" w:color="auto" w:sz="4" w:space="0"/>
            </w:tcBorders>
            <w:vAlign w:val="center"/>
          </w:tcPr>
          <w:p>
            <w:pPr>
              <w:pStyle w:val="42"/>
              <w:jc w:val="center"/>
            </w:pPr>
            <w:r>
              <w:t>31</w:t>
            </w:r>
          </w:p>
        </w:tc>
        <w:tc>
          <w:tcPr>
            <w:tcW w:w="2054" w:type="dxa"/>
            <w:tcBorders>
              <w:left w:val="double" w:color="auto" w:sz="4" w:space="0"/>
            </w:tcBorders>
            <w:vAlign w:val="center"/>
          </w:tcPr>
          <w:p>
            <w:pPr>
              <w:pStyle w:val="42"/>
              <w:jc w:val="center"/>
            </w:pPr>
            <w:r>
              <w:t>合成板</w:t>
            </w:r>
          </w:p>
        </w:tc>
        <w:tc>
          <w:tcPr>
            <w:tcW w:w="1711" w:type="dxa"/>
            <w:tcBorders>
              <w:right w:val="double" w:color="auto" w:sz="4" w:space="0"/>
            </w:tcBorders>
            <w:vAlign w:val="center"/>
          </w:tcPr>
          <w:p>
            <w:pPr>
              <w:pStyle w:val="42"/>
              <w:jc w:val="center"/>
            </w:pPr>
            <w:r>
              <w:t>18</w:t>
            </w:r>
          </w:p>
        </w:tc>
        <w:tc>
          <w:tcPr>
            <w:tcW w:w="1401" w:type="dxa"/>
            <w:tcBorders>
              <w:left w:val="double" w:color="auto" w:sz="4" w:space="0"/>
            </w:tcBorders>
            <w:vAlign w:val="center"/>
          </w:tcPr>
          <w:p>
            <w:pPr>
              <w:pStyle w:val="42"/>
              <w:jc w:val="center"/>
            </w:pPr>
            <w:r>
              <w:t>聚氨酯</w:t>
            </w:r>
          </w:p>
        </w:tc>
        <w:tc>
          <w:tcPr>
            <w:tcW w:w="1399" w:type="dxa"/>
            <w:vAlign w:val="center"/>
          </w:tcPr>
          <w:p>
            <w:pPr>
              <w:pStyle w:val="42"/>
              <w:jc w:val="center"/>
            </w:pPr>
            <w: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2" w:type="dxa"/>
            <w:vAlign w:val="center"/>
          </w:tcPr>
          <w:p>
            <w:pPr>
              <w:pStyle w:val="42"/>
              <w:jc w:val="center"/>
            </w:pPr>
            <w:r>
              <w:t>软木</w:t>
            </w:r>
          </w:p>
        </w:tc>
        <w:tc>
          <w:tcPr>
            <w:tcW w:w="1435" w:type="dxa"/>
            <w:tcBorders>
              <w:right w:val="double" w:color="auto" w:sz="4" w:space="0"/>
            </w:tcBorders>
            <w:vAlign w:val="center"/>
          </w:tcPr>
          <w:p>
            <w:pPr>
              <w:pStyle w:val="42"/>
              <w:jc w:val="center"/>
            </w:pPr>
            <w:r>
              <w:t>29</w:t>
            </w:r>
          </w:p>
        </w:tc>
        <w:tc>
          <w:tcPr>
            <w:tcW w:w="2054" w:type="dxa"/>
            <w:tcBorders>
              <w:left w:val="double" w:color="auto" w:sz="4" w:space="0"/>
            </w:tcBorders>
            <w:vAlign w:val="center"/>
          </w:tcPr>
          <w:p>
            <w:pPr>
              <w:pStyle w:val="42"/>
              <w:jc w:val="center"/>
            </w:pPr>
            <w:r>
              <w:t>ABS</w:t>
            </w:r>
          </w:p>
        </w:tc>
        <w:tc>
          <w:tcPr>
            <w:tcW w:w="1711" w:type="dxa"/>
            <w:tcBorders>
              <w:right w:val="double" w:color="auto" w:sz="4" w:space="0"/>
            </w:tcBorders>
            <w:vAlign w:val="center"/>
          </w:tcPr>
          <w:p>
            <w:pPr>
              <w:pStyle w:val="42"/>
              <w:jc w:val="center"/>
            </w:pPr>
            <w:r>
              <w:t>36</w:t>
            </w:r>
          </w:p>
        </w:tc>
        <w:tc>
          <w:tcPr>
            <w:tcW w:w="1401" w:type="dxa"/>
            <w:tcBorders>
              <w:left w:val="double" w:color="auto" w:sz="4" w:space="0"/>
            </w:tcBorders>
            <w:vAlign w:val="center"/>
          </w:tcPr>
          <w:p>
            <w:pPr>
              <w:pStyle w:val="42"/>
              <w:jc w:val="center"/>
            </w:pPr>
            <w:r>
              <w:t>聚氯乙烯</w:t>
            </w:r>
          </w:p>
        </w:tc>
        <w:tc>
          <w:tcPr>
            <w:tcW w:w="1399" w:type="dxa"/>
            <w:vAlign w:val="center"/>
          </w:tcPr>
          <w:p>
            <w:pPr>
              <w:pStyle w:val="42"/>
              <w:jc w:val="center"/>
            </w:pPr>
            <w: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2" w:type="dxa"/>
            <w:vAlign w:val="center"/>
          </w:tcPr>
          <w:p>
            <w:pPr>
              <w:pStyle w:val="42"/>
              <w:jc w:val="center"/>
            </w:pPr>
            <w:r>
              <w:t>棉花</w:t>
            </w:r>
          </w:p>
        </w:tc>
        <w:tc>
          <w:tcPr>
            <w:tcW w:w="1435" w:type="dxa"/>
            <w:tcBorders>
              <w:right w:val="double" w:color="auto" w:sz="4" w:space="0"/>
            </w:tcBorders>
            <w:vAlign w:val="center"/>
          </w:tcPr>
          <w:p>
            <w:pPr>
              <w:pStyle w:val="42"/>
              <w:jc w:val="center"/>
            </w:pPr>
            <w:r>
              <w:t>18</w:t>
            </w:r>
          </w:p>
        </w:tc>
        <w:tc>
          <w:tcPr>
            <w:tcW w:w="2054" w:type="dxa"/>
            <w:tcBorders>
              <w:left w:val="double" w:color="auto" w:sz="4" w:space="0"/>
            </w:tcBorders>
            <w:vAlign w:val="center"/>
          </w:tcPr>
          <w:p>
            <w:pPr>
              <w:pStyle w:val="42"/>
              <w:jc w:val="center"/>
            </w:pPr>
            <w:r>
              <w:t>聚丙烯</w:t>
            </w:r>
          </w:p>
        </w:tc>
        <w:tc>
          <w:tcPr>
            <w:tcW w:w="1711" w:type="dxa"/>
            <w:tcBorders>
              <w:right w:val="double" w:color="auto" w:sz="4" w:space="0"/>
            </w:tcBorders>
            <w:vAlign w:val="center"/>
          </w:tcPr>
          <w:p>
            <w:pPr>
              <w:pStyle w:val="42"/>
              <w:jc w:val="center"/>
            </w:pPr>
            <w:r>
              <w:t>28</w:t>
            </w:r>
          </w:p>
        </w:tc>
        <w:tc>
          <w:tcPr>
            <w:tcW w:w="1401" w:type="dxa"/>
            <w:tcBorders>
              <w:left w:val="double" w:color="auto" w:sz="4" w:space="0"/>
            </w:tcBorders>
            <w:vAlign w:val="center"/>
          </w:tcPr>
          <w:p>
            <w:pPr>
              <w:pStyle w:val="42"/>
              <w:jc w:val="center"/>
            </w:pPr>
            <w:r>
              <w:t>甲醛树脂</w:t>
            </w:r>
          </w:p>
        </w:tc>
        <w:tc>
          <w:tcPr>
            <w:tcW w:w="1399" w:type="dxa"/>
            <w:vAlign w:val="center"/>
          </w:tcPr>
          <w:p>
            <w:pPr>
              <w:pStyle w:val="42"/>
              <w:jc w:val="center"/>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962" w:type="dxa"/>
            <w:vAlign w:val="center"/>
          </w:tcPr>
          <w:p>
            <w:pPr>
              <w:pStyle w:val="42"/>
              <w:jc w:val="center"/>
            </w:pPr>
            <w:r>
              <w:t>谷物</w:t>
            </w:r>
          </w:p>
        </w:tc>
        <w:tc>
          <w:tcPr>
            <w:tcW w:w="1435" w:type="dxa"/>
            <w:tcBorders>
              <w:right w:val="double" w:color="auto" w:sz="4" w:space="0"/>
            </w:tcBorders>
            <w:vAlign w:val="center"/>
          </w:tcPr>
          <w:p>
            <w:pPr>
              <w:pStyle w:val="42"/>
              <w:jc w:val="center"/>
            </w:pPr>
            <w:r>
              <w:t>17</w:t>
            </w:r>
          </w:p>
        </w:tc>
        <w:tc>
          <w:tcPr>
            <w:tcW w:w="2054" w:type="dxa"/>
            <w:tcBorders>
              <w:left w:val="double" w:color="auto" w:sz="4" w:space="0"/>
            </w:tcBorders>
            <w:vAlign w:val="center"/>
          </w:tcPr>
          <w:p>
            <w:pPr>
              <w:pStyle w:val="42"/>
              <w:jc w:val="center"/>
            </w:pPr>
            <w:r>
              <w:t>赛璐珞</w:t>
            </w:r>
          </w:p>
        </w:tc>
        <w:tc>
          <w:tcPr>
            <w:tcW w:w="1711" w:type="dxa"/>
            <w:tcBorders>
              <w:right w:val="double" w:color="auto" w:sz="4" w:space="0"/>
            </w:tcBorders>
            <w:vAlign w:val="center"/>
          </w:tcPr>
          <w:p>
            <w:pPr>
              <w:pStyle w:val="42"/>
              <w:jc w:val="center"/>
            </w:pPr>
            <w:r>
              <w:t>19</w:t>
            </w:r>
          </w:p>
        </w:tc>
        <w:tc>
          <w:tcPr>
            <w:tcW w:w="1401" w:type="dxa"/>
            <w:tcBorders>
              <w:left w:val="double" w:color="auto" w:sz="4" w:space="0"/>
            </w:tcBorders>
            <w:vAlign w:val="center"/>
          </w:tcPr>
          <w:p>
            <w:pPr>
              <w:pStyle w:val="42"/>
              <w:jc w:val="center"/>
            </w:pPr>
            <w:r>
              <w:t>汽油</w:t>
            </w:r>
          </w:p>
        </w:tc>
        <w:tc>
          <w:tcPr>
            <w:tcW w:w="1399" w:type="dxa"/>
            <w:vAlign w:val="center"/>
          </w:tcPr>
          <w:p>
            <w:pPr>
              <w:pStyle w:val="42"/>
              <w:jc w:val="center"/>
            </w:pPr>
            <w: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962" w:type="dxa"/>
            <w:vAlign w:val="center"/>
          </w:tcPr>
          <w:p>
            <w:pPr>
              <w:pStyle w:val="42"/>
              <w:jc w:val="center"/>
            </w:pPr>
            <w:r>
              <w:t>油脂</w:t>
            </w:r>
          </w:p>
        </w:tc>
        <w:tc>
          <w:tcPr>
            <w:tcW w:w="1435" w:type="dxa"/>
            <w:tcBorders>
              <w:right w:val="double" w:color="auto" w:sz="4" w:space="0"/>
            </w:tcBorders>
            <w:vAlign w:val="center"/>
          </w:tcPr>
          <w:p>
            <w:pPr>
              <w:pStyle w:val="42"/>
              <w:jc w:val="center"/>
            </w:pPr>
            <w:r>
              <w:t>41</w:t>
            </w:r>
          </w:p>
        </w:tc>
        <w:tc>
          <w:tcPr>
            <w:tcW w:w="2054" w:type="dxa"/>
            <w:tcBorders>
              <w:left w:val="double" w:color="auto" w:sz="4" w:space="0"/>
            </w:tcBorders>
            <w:vAlign w:val="center"/>
          </w:tcPr>
          <w:p>
            <w:pPr>
              <w:pStyle w:val="42"/>
              <w:jc w:val="center"/>
            </w:pPr>
            <w:r>
              <w:t>环氧树脂</w:t>
            </w:r>
          </w:p>
        </w:tc>
        <w:tc>
          <w:tcPr>
            <w:tcW w:w="1711" w:type="dxa"/>
            <w:tcBorders>
              <w:right w:val="double" w:color="auto" w:sz="4" w:space="0"/>
            </w:tcBorders>
            <w:vAlign w:val="center"/>
          </w:tcPr>
          <w:p>
            <w:pPr>
              <w:pStyle w:val="42"/>
              <w:jc w:val="center"/>
            </w:pPr>
            <w:r>
              <w:t>34</w:t>
            </w:r>
          </w:p>
        </w:tc>
        <w:tc>
          <w:tcPr>
            <w:tcW w:w="1401" w:type="dxa"/>
            <w:tcBorders>
              <w:left w:val="double" w:color="auto" w:sz="4" w:space="0"/>
            </w:tcBorders>
            <w:vAlign w:val="center"/>
          </w:tcPr>
          <w:p>
            <w:pPr>
              <w:pStyle w:val="42"/>
              <w:jc w:val="center"/>
            </w:pPr>
            <w:r>
              <w:t>柴油</w:t>
            </w:r>
          </w:p>
        </w:tc>
        <w:tc>
          <w:tcPr>
            <w:tcW w:w="1399" w:type="dxa"/>
            <w:vAlign w:val="center"/>
          </w:tcPr>
          <w:p>
            <w:pPr>
              <w:pStyle w:val="42"/>
              <w:jc w:val="center"/>
            </w:pPr>
            <w: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1962" w:type="dxa"/>
            <w:vAlign w:val="center"/>
          </w:tcPr>
          <w:p>
            <w:pPr>
              <w:pStyle w:val="42"/>
              <w:jc w:val="center"/>
            </w:pPr>
            <w:r>
              <w:t>厨房废料</w:t>
            </w:r>
          </w:p>
        </w:tc>
        <w:tc>
          <w:tcPr>
            <w:tcW w:w="1435" w:type="dxa"/>
            <w:tcBorders>
              <w:right w:val="double" w:color="auto" w:sz="4" w:space="0"/>
            </w:tcBorders>
            <w:vAlign w:val="center"/>
          </w:tcPr>
          <w:p>
            <w:pPr>
              <w:pStyle w:val="42"/>
              <w:jc w:val="center"/>
            </w:pPr>
            <w:r>
              <w:t>18</w:t>
            </w:r>
          </w:p>
        </w:tc>
        <w:tc>
          <w:tcPr>
            <w:tcW w:w="2054" w:type="dxa"/>
            <w:tcBorders>
              <w:left w:val="double" w:color="auto" w:sz="4" w:space="0"/>
            </w:tcBorders>
            <w:vAlign w:val="center"/>
          </w:tcPr>
          <w:p>
            <w:pPr>
              <w:pStyle w:val="42"/>
              <w:jc w:val="center"/>
            </w:pPr>
            <w:r>
              <w:t>三聚氰胺树脂</w:t>
            </w:r>
          </w:p>
        </w:tc>
        <w:tc>
          <w:tcPr>
            <w:tcW w:w="1711" w:type="dxa"/>
            <w:tcBorders>
              <w:right w:val="double" w:color="auto" w:sz="4" w:space="0"/>
            </w:tcBorders>
            <w:vAlign w:val="center"/>
          </w:tcPr>
          <w:p>
            <w:pPr>
              <w:pStyle w:val="42"/>
              <w:jc w:val="center"/>
            </w:pPr>
            <w:r>
              <w:t>18</w:t>
            </w:r>
          </w:p>
        </w:tc>
        <w:tc>
          <w:tcPr>
            <w:tcW w:w="1401" w:type="dxa"/>
            <w:tcBorders>
              <w:left w:val="double" w:color="auto" w:sz="4" w:space="0"/>
            </w:tcBorders>
            <w:vAlign w:val="center"/>
          </w:tcPr>
          <w:p>
            <w:pPr>
              <w:pStyle w:val="42"/>
              <w:jc w:val="center"/>
            </w:pPr>
            <w:r>
              <w:t>亚麻籽油</w:t>
            </w:r>
          </w:p>
        </w:tc>
        <w:tc>
          <w:tcPr>
            <w:tcW w:w="1399" w:type="dxa"/>
            <w:vAlign w:val="center"/>
          </w:tcPr>
          <w:p>
            <w:pPr>
              <w:pStyle w:val="42"/>
              <w:jc w:val="center"/>
            </w:pPr>
            <w: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962" w:type="dxa"/>
            <w:vAlign w:val="center"/>
          </w:tcPr>
          <w:p>
            <w:pPr>
              <w:pStyle w:val="42"/>
              <w:jc w:val="center"/>
            </w:pPr>
            <w:r>
              <w:t>皮革</w:t>
            </w:r>
          </w:p>
        </w:tc>
        <w:tc>
          <w:tcPr>
            <w:tcW w:w="1435" w:type="dxa"/>
            <w:tcBorders>
              <w:right w:val="double" w:color="auto" w:sz="4" w:space="0"/>
            </w:tcBorders>
            <w:vAlign w:val="center"/>
          </w:tcPr>
          <w:p>
            <w:pPr>
              <w:pStyle w:val="42"/>
              <w:jc w:val="center"/>
            </w:pPr>
            <w:r>
              <w:t>19</w:t>
            </w:r>
          </w:p>
        </w:tc>
        <w:tc>
          <w:tcPr>
            <w:tcW w:w="2054" w:type="dxa"/>
            <w:tcBorders>
              <w:left w:val="double" w:color="auto" w:sz="4" w:space="0"/>
            </w:tcBorders>
            <w:vAlign w:val="center"/>
          </w:tcPr>
          <w:p>
            <w:pPr>
              <w:pStyle w:val="42"/>
              <w:jc w:val="center"/>
            </w:pPr>
            <w:r>
              <w:t>苯酚甲醛</w:t>
            </w:r>
          </w:p>
        </w:tc>
        <w:tc>
          <w:tcPr>
            <w:tcW w:w="1711" w:type="dxa"/>
            <w:tcBorders>
              <w:right w:val="double" w:color="auto" w:sz="4" w:space="0"/>
            </w:tcBorders>
            <w:vAlign w:val="center"/>
          </w:tcPr>
          <w:p>
            <w:pPr>
              <w:pStyle w:val="42"/>
              <w:jc w:val="center"/>
            </w:pPr>
            <w:r>
              <w:t>29</w:t>
            </w:r>
          </w:p>
        </w:tc>
        <w:tc>
          <w:tcPr>
            <w:tcW w:w="1401" w:type="dxa"/>
            <w:tcBorders>
              <w:left w:val="double" w:color="auto" w:sz="4" w:space="0"/>
            </w:tcBorders>
            <w:vAlign w:val="center"/>
          </w:tcPr>
          <w:p>
            <w:pPr>
              <w:pStyle w:val="42"/>
              <w:jc w:val="center"/>
            </w:pPr>
            <w:r>
              <w:t>煤油</w:t>
            </w:r>
          </w:p>
        </w:tc>
        <w:tc>
          <w:tcPr>
            <w:tcW w:w="1399" w:type="dxa"/>
            <w:vAlign w:val="center"/>
          </w:tcPr>
          <w:p>
            <w:pPr>
              <w:pStyle w:val="42"/>
              <w:jc w:val="center"/>
            </w:pPr>
            <w: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962" w:type="dxa"/>
            <w:vAlign w:val="center"/>
          </w:tcPr>
          <w:p>
            <w:pPr>
              <w:pStyle w:val="42"/>
              <w:jc w:val="center"/>
            </w:pPr>
            <w:r>
              <w:t>油毡</w:t>
            </w:r>
          </w:p>
        </w:tc>
        <w:tc>
          <w:tcPr>
            <w:tcW w:w="1435" w:type="dxa"/>
            <w:tcBorders>
              <w:right w:val="double" w:color="auto" w:sz="4" w:space="0"/>
            </w:tcBorders>
            <w:vAlign w:val="center"/>
          </w:tcPr>
          <w:p>
            <w:pPr>
              <w:pStyle w:val="42"/>
              <w:jc w:val="center"/>
            </w:pPr>
            <w:r>
              <w:t>20</w:t>
            </w:r>
          </w:p>
        </w:tc>
        <w:tc>
          <w:tcPr>
            <w:tcW w:w="2054" w:type="dxa"/>
            <w:tcBorders>
              <w:left w:val="double" w:color="auto" w:sz="4" w:space="0"/>
            </w:tcBorders>
            <w:vAlign w:val="center"/>
          </w:tcPr>
          <w:p>
            <w:pPr>
              <w:pStyle w:val="42"/>
              <w:jc w:val="center"/>
            </w:pPr>
            <w:r>
              <w:t>聚酯</w:t>
            </w:r>
          </w:p>
        </w:tc>
        <w:tc>
          <w:tcPr>
            <w:tcW w:w="1711" w:type="dxa"/>
            <w:tcBorders>
              <w:right w:val="double" w:color="auto" w:sz="4" w:space="0"/>
            </w:tcBorders>
            <w:vAlign w:val="center"/>
          </w:tcPr>
          <w:p>
            <w:pPr>
              <w:pStyle w:val="42"/>
              <w:jc w:val="center"/>
            </w:pPr>
            <w:r>
              <w:t>31</w:t>
            </w:r>
          </w:p>
        </w:tc>
        <w:tc>
          <w:tcPr>
            <w:tcW w:w="1401" w:type="dxa"/>
            <w:tcBorders>
              <w:left w:val="double" w:color="auto" w:sz="4" w:space="0"/>
            </w:tcBorders>
            <w:vAlign w:val="center"/>
          </w:tcPr>
          <w:p>
            <w:pPr>
              <w:pStyle w:val="42"/>
              <w:jc w:val="center"/>
            </w:pPr>
            <w:r>
              <w:t>焦油</w:t>
            </w:r>
          </w:p>
        </w:tc>
        <w:tc>
          <w:tcPr>
            <w:tcW w:w="1399" w:type="dxa"/>
            <w:vAlign w:val="center"/>
          </w:tcPr>
          <w:p>
            <w:pPr>
              <w:pStyle w:val="42"/>
              <w:jc w:val="center"/>
            </w:pPr>
            <w: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962" w:type="dxa"/>
            <w:vAlign w:val="center"/>
          </w:tcPr>
          <w:p>
            <w:pPr>
              <w:pStyle w:val="42"/>
              <w:jc w:val="center"/>
            </w:pPr>
            <w:r>
              <w:t>泡沫橡胶</w:t>
            </w:r>
          </w:p>
        </w:tc>
        <w:tc>
          <w:tcPr>
            <w:tcW w:w="1435" w:type="dxa"/>
            <w:tcBorders>
              <w:right w:val="double" w:color="auto" w:sz="4" w:space="0"/>
            </w:tcBorders>
            <w:vAlign w:val="center"/>
          </w:tcPr>
          <w:p>
            <w:pPr>
              <w:pStyle w:val="42"/>
              <w:jc w:val="center"/>
            </w:pPr>
            <w:r>
              <w:t>37</w:t>
            </w:r>
          </w:p>
        </w:tc>
        <w:tc>
          <w:tcPr>
            <w:tcW w:w="2054" w:type="dxa"/>
            <w:tcBorders>
              <w:left w:val="double" w:color="auto" w:sz="4" w:space="0"/>
            </w:tcBorders>
            <w:vAlign w:val="center"/>
          </w:tcPr>
          <w:p>
            <w:pPr>
              <w:pStyle w:val="42"/>
              <w:jc w:val="center"/>
            </w:pPr>
            <w:r>
              <w:t>聚酯纤维</w:t>
            </w:r>
          </w:p>
        </w:tc>
        <w:tc>
          <w:tcPr>
            <w:tcW w:w="1711" w:type="dxa"/>
            <w:tcBorders>
              <w:right w:val="double" w:color="auto" w:sz="4" w:space="0"/>
            </w:tcBorders>
            <w:vAlign w:val="center"/>
          </w:tcPr>
          <w:p>
            <w:pPr>
              <w:pStyle w:val="42"/>
              <w:jc w:val="center"/>
            </w:pPr>
            <w:r>
              <w:t>21</w:t>
            </w:r>
          </w:p>
        </w:tc>
        <w:tc>
          <w:tcPr>
            <w:tcW w:w="1401" w:type="dxa"/>
            <w:tcBorders>
              <w:left w:val="double" w:color="auto" w:sz="4" w:space="0"/>
            </w:tcBorders>
            <w:vAlign w:val="center"/>
          </w:tcPr>
          <w:p>
            <w:pPr>
              <w:pStyle w:val="42"/>
              <w:jc w:val="center"/>
            </w:pPr>
            <w:r>
              <w:t>苯</w:t>
            </w:r>
          </w:p>
        </w:tc>
        <w:tc>
          <w:tcPr>
            <w:tcW w:w="1399" w:type="dxa"/>
            <w:vAlign w:val="center"/>
          </w:tcPr>
          <w:p>
            <w:pPr>
              <w:pStyle w:val="42"/>
              <w:jc w:val="center"/>
            </w:pPr>
            <w: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962" w:type="dxa"/>
            <w:vAlign w:val="center"/>
          </w:tcPr>
          <w:p>
            <w:pPr>
              <w:pStyle w:val="42"/>
              <w:jc w:val="center"/>
            </w:pPr>
            <w:r>
              <w:t>异戊二烯橡胶</w:t>
            </w:r>
          </w:p>
        </w:tc>
        <w:tc>
          <w:tcPr>
            <w:tcW w:w="1435" w:type="dxa"/>
            <w:tcBorders>
              <w:right w:val="double" w:color="auto" w:sz="4" w:space="0"/>
            </w:tcBorders>
            <w:vAlign w:val="center"/>
          </w:tcPr>
          <w:p>
            <w:pPr>
              <w:pStyle w:val="42"/>
              <w:jc w:val="center"/>
            </w:pPr>
            <w:r>
              <w:t>45</w:t>
            </w:r>
          </w:p>
        </w:tc>
        <w:tc>
          <w:tcPr>
            <w:tcW w:w="2054" w:type="dxa"/>
            <w:tcBorders>
              <w:left w:val="double" w:color="auto" w:sz="4" w:space="0"/>
            </w:tcBorders>
            <w:vAlign w:val="center"/>
          </w:tcPr>
          <w:p>
            <w:pPr>
              <w:pStyle w:val="42"/>
              <w:jc w:val="center"/>
            </w:pPr>
            <w:r>
              <w:t>聚乙烯</w:t>
            </w:r>
          </w:p>
        </w:tc>
        <w:tc>
          <w:tcPr>
            <w:tcW w:w="1711" w:type="dxa"/>
            <w:tcBorders>
              <w:right w:val="double" w:color="auto" w:sz="4" w:space="0"/>
            </w:tcBorders>
            <w:vAlign w:val="center"/>
          </w:tcPr>
          <w:p>
            <w:pPr>
              <w:pStyle w:val="42"/>
              <w:jc w:val="center"/>
            </w:pPr>
            <w:r>
              <w:t>44</w:t>
            </w:r>
          </w:p>
        </w:tc>
        <w:tc>
          <w:tcPr>
            <w:tcW w:w="1401" w:type="dxa"/>
            <w:tcBorders>
              <w:left w:val="double" w:color="auto" w:sz="4" w:space="0"/>
            </w:tcBorders>
            <w:vAlign w:val="center"/>
          </w:tcPr>
          <w:p>
            <w:pPr>
              <w:pStyle w:val="42"/>
              <w:jc w:val="center"/>
            </w:pPr>
            <w:r>
              <w:t>甲醇</w:t>
            </w:r>
          </w:p>
        </w:tc>
        <w:tc>
          <w:tcPr>
            <w:tcW w:w="1399" w:type="dxa"/>
            <w:vAlign w:val="center"/>
          </w:tcPr>
          <w:p>
            <w:pPr>
              <w:pStyle w:val="42"/>
              <w:jc w:val="center"/>
            </w:pPr>
            <w: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962" w:type="dxa"/>
            <w:vAlign w:val="center"/>
          </w:tcPr>
          <w:p>
            <w:pPr>
              <w:pStyle w:val="42"/>
              <w:jc w:val="center"/>
            </w:pPr>
            <w:r>
              <w:t>石蜡</w:t>
            </w:r>
          </w:p>
        </w:tc>
        <w:tc>
          <w:tcPr>
            <w:tcW w:w="1435" w:type="dxa"/>
            <w:tcBorders>
              <w:right w:val="double" w:color="auto" w:sz="4" w:space="0"/>
            </w:tcBorders>
            <w:vAlign w:val="center"/>
          </w:tcPr>
          <w:p>
            <w:pPr>
              <w:pStyle w:val="42"/>
              <w:jc w:val="center"/>
            </w:pPr>
            <w:r>
              <w:t>47</w:t>
            </w:r>
          </w:p>
        </w:tc>
        <w:tc>
          <w:tcPr>
            <w:tcW w:w="2054" w:type="dxa"/>
            <w:tcBorders>
              <w:left w:val="double" w:color="auto" w:sz="4" w:space="0"/>
            </w:tcBorders>
            <w:vAlign w:val="center"/>
          </w:tcPr>
          <w:p>
            <w:pPr>
              <w:pStyle w:val="42"/>
              <w:jc w:val="center"/>
            </w:pPr>
            <w:r>
              <w:t>甲醛泡沫塑料</w:t>
            </w:r>
          </w:p>
        </w:tc>
        <w:tc>
          <w:tcPr>
            <w:tcW w:w="1711" w:type="dxa"/>
            <w:tcBorders>
              <w:right w:val="double" w:color="auto" w:sz="4" w:space="0"/>
            </w:tcBorders>
            <w:vAlign w:val="center"/>
          </w:tcPr>
          <w:p>
            <w:pPr>
              <w:pStyle w:val="42"/>
              <w:jc w:val="center"/>
            </w:pPr>
            <w:r>
              <w:t>14</w:t>
            </w:r>
          </w:p>
        </w:tc>
        <w:tc>
          <w:tcPr>
            <w:tcW w:w="1401" w:type="dxa"/>
            <w:tcBorders>
              <w:left w:val="double" w:color="auto" w:sz="4" w:space="0"/>
            </w:tcBorders>
            <w:vAlign w:val="center"/>
          </w:tcPr>
          <w:p>
            <w:pPr>
              <w:pStyle w:val="42"/>
              <w:jc w:val="center"/>
            </w:pPr>
            <w:r>
              <w:t>乙醇</w:t>
            </w:r>
          </w:p>
        </w:tc>
        <w:tc>
          <w:tcPr>
            <w:tcW w:w="1399" w:type="dxa"/>
            <w:vAlign w:val="center"/>
          </w:tcPr>
          <w:p>
            <w:pPr>
              <w:pStyle w:val="42"/>
              <w:jc w:val="center"/>
            </w:pPr>
            <w:r>
              <w:t>27</w:t>
            </w:r>
          </w:p>
        </w:tc>
      </w:tr>
    </w:tbl>
    <w:p>
      <w:pPr>
        <w:ind w:firstLine="420" w:firstLineChars="200"/>
        <w:rPr>
          <w:rFonts w:cs="Times New Roman"/>
        </w:rPr>
      </w:pPr>
      <w:r>
        <w:rPr>
          <w:rFonts w:hint="eastAsia" w:cs="Times New Roman"/>
        </w:rPr>
        <w:t xml:space="preserve">3 </w:t>
      </w:r>
      <w:r>
        <w:rPr>
          <w:rFonts w:cs="Times New Roman"/>
        </w:rPr>
        <w:t>按式（E.0.1-2）计算房间火灾荷载密度：</w:t>
      </w:r>
    </w:p>
    <w:p>
      <w:pPr>
        <w:jc w:val="center"/>
        <w:rPr>
          <w:rFonts w:cs="Times New Roman"/>
        </w:rPr>
      </w:pPr>
      <w:r>
        <w:rPr>
          <w:rFonts w:cs="Times New Roman"/>
          <w:position w:val="-30"/>
        </w:rPr>
        <w:object>
          <v:shape id="_x0000_i1081" o:spt="75" type="#_x0000_t75" style="height:36pt;width:43.8pt;" o:ole="t" fillcolor="#000005 [-4142]" filled="f" o:preferrelative="t" stroked="f" coordsize="21600,21600">
            <v:path/>
            <v:fill on="f" focussize="0,0"/>
            <v:stroke on="f" joinstyle="miter"/>
            <v:imagedata r:id="rId145" o:title=""/>
            <o:lock v:ext="edit" aspectratio="t"/>
            <w10:wrap type="none"/>
            <w10:anchorlock/>
          </v:shape>
          <o:OLEObject Type="Embed" ProgID="Equation.3" ShapeID="_x0000_i1081" DrawAspect="Content" ObjectID="_1468075781" r:id="rId144">
            <o:LockedField>false</o:LockedField>
          </o:OLEObject>
        </w:object>
      </w:r>
      <w:r>
        <w:rPr>
          <w:rFonts w:cs="Times New Roman"/>
        </w:rPr>
        <w:t xml:space="preserve">                          (E.0.1-2)</w:t>
      </w:r>
    </w:p>
    <w:p>
      <w:pPr>
        <w:rPr>
          <w:rFonts w:cs="Times New Roman"/>
        </w:rPr>
      </w:pPr>
      <w:r>
        <w:rPr>
          <w:rFonts w:cs="Times New Roman"/>
        </w:rPr>
        <w:t>式中：</w:t>
      </w:r>
      <w:r>
        <w:rPr>
          <w:rFonts w:cs="Times New Roman"/>
          <w:i/>
        </w:rPr>
        <w:t>q</w:t>
      </w:r>
      <w:r>
        <w:rPr>
          <w:rFonts w:cs="Times New Roman"/>
          <w:i/>
          <w:vertAlign w:val="subscript"/>
        </w:rPr>
        <w:t>T</w:t>
      </w:r>
      <w:r>
        <w:rPr>
          <w:rFonts w:cs="Times New Roman"/>
        </w:rPr>
        <w:t>——房间火灾荷载密度，MJ/m</w:t>
      </w:r>
      <w:r>
        <w:rPr>
          <w:rFonts w:cs="Times New Roman"/>
          <w:vertAlign w:val="superscript"/>
        </w:rPr>
        <w:t>2</w:t>
      </w:r>
      <w:r>
        <w:rPr>
          <w:rFonts w:cs="Times New Roman"/>
        </w:rPr>
        <w:t>；</w:t>
      </w:r>
    </w:p>
    <w:p>
      <w:pPr>
        <w:ind w:firstLine="420" w:firstLineChars="200"/>
        <w:rPr>
          <w:rFonts w:cs="Times New Roman"/>
        </w:rPr>
      </w:pPr>
      <w:r>
        <w:rPr>
          <w:rFonts w:cs="Times New Roman"/>
          <w:i/>
        </w:rPr>
        <w:t>A</w:t>
      </w:r>
      <w:r>
        <w:rPr>
          <w:rFonts w:cs="Times New Roman"/>
          <w:vertAlign w:val="subscript"/>
        </w:rPr>
        <w:t>T</w:t>
      </w:r>
      <w:r>
        <w:rPr>
          <w:rFonts w:cs="Times New Roman"/>
        </w:rPr>
        <w:t>——房间六壁表面面积（包括窗），m</w:t>
      </w:r>
      <w:r>
        <w:rPr>
          <w:rFonts w:cs="Times New Roman"/>
          <w:vertAlign w:val="superscript"/>
        </w:rPr>
        <w:t>2</w:t>
      </w:r>
      <w:r>
        <w:rPr>
          <w:rFonts w:cs="Times New Roman"/>
        </w:rPr>
        <w:t>。</w:t>
      </w:r>
    </w:p>
    <w:p>
      <w:pPr>
        <w:ind w:firstLine="420" w:firstLineChars="200"/>
        <w:rPr>
          <w:rFonts w:cs="Times New Roman"/>
        </w:rPr>
      </w:pPr>
      <w:r>
        <w:rPr>
          <w:rFonts w:hint="eastAsia" w:cs="Times New Roman"/>
        </w:rPr>
        <w:t xml:space="preserve">4 </w:t>
      </w:r>
      <w:r>
        <w:rPr>
          <w:rFonts w:cs="Times New Roman"/>
        </w:rPr>
        <w:t>按式（E.0.1-3）计算房间的通风系数：</w:t>
      </w:r>
    </w:p>
    <w:p>
      <w:pPr>
        <w:jc w:val="center"/>
        <w:rPr>
          <w:rFonts w:cs="Times New Roman"/>
        </w:rPr>
      </w:pPr>
      <w:r>
        <w:rPr>
          <w:rFonts w:cs="Times New Roman"/>
          <w:position w:val="-30"/>
        </w:rPr>
        <w:object>
          <v:shape id="_x0000_i1082" o:spt="75" type="#_x0000_t75" style="height:36pt;width:95.4pt;" o:ole="t" fillcolor="#000005 [-4142]" filled="f" o:preferrelative="t" stroked="f" coordsize="21600,21600">
            <v:path/>
            <v:fill on="f" focussize="0,0"/>
            <v:stroke on="f" joinstyle="miter"/>
            <v:imagedata r:id="rId147" o:title=""/>
            <o:lock v:ext="edit" aspectratio="t"/>
            <w10:wrap type="none"/>
            <w10:anchorlock/>
          </v:shape>
          <o:OLEObject Type="Embed" ProgID="Equation.3" ShapeID="_x0000_i1082" DrawAspect="Content" ObjectID="_1468075782" r:id="rId146">
            <o:LockedField>false</o:LockedField>
          </o:OLEObject>
        </w:object>
      </w:r>
      <w:r>
        <w:rPr>
          <w:rFonts w:cs="Times New Roman"/>
        </w:rPr>
        <w:t xml:space="preserve">                    (E.0.1-3)</w:t>
      </w:r>
    </w:p>
    <w:p>
      <w:pPr>
        <w:rPr>
          <w:rFonts w:cs="Times New Roman"/>
        </w:rPr>
      </w:pPr>
      <w:r>
        <w:rPr>
          <w:rFonts w:cs="Times New Roman"/>
        </w:rPr>
        <w:t>式中  F ——计算房间的通风系数，m</w:t>
      </w:r>
      <w:r>
        <w:rPr>
          <w:rFonts w:cs="Times New Roman"/>
          <w:vertAlign w:val="superscript"/>
        </w:rPr>
        <w:t xml:space="preserve">1/2 </w:t>
      </w:r>
      <w:r>
        <w:rPr>
          <w:rFonts w:cs="Times New Roman"/>
        </w:rPr>
        <w:t>；</w:t>
      </w:r>
    </w:p>
    <w:p>
      <w:pPr>
        <w:rPr>
          <w:rFonts w:cs="Times New Roman"/>
        </w:rPr>
      </w:pPr>
      <w:r>
        <w:rPr>
          <w:rFonts w:cs="Times New Roman"/>
        </w:rPr>
        <w:t xml:space="preserve">      A</w:t>
      </w:r>
      <w:r>
        <w:rPr>
          <w:rFonts w:cs="Times New Roman"/>
          <w:vertAlign w:val="subscript"/>
        </w:rPr>
        <w:t xml:space="preserve">w </w:t>
      </w:r>
      <w:r>
        <w:rPr>
          <w:rFonts w:cs="Times New Roman"/>
        </w:rPr>
        <w:t>——房间窗户窗洞面积，m</w:t>
      </w:r>
      <w:r>
        <w:rPr>
          <w:rFonts w:cs="Times New Roman"/>
          <w:vertAlign w:val="superscript"/>
        </w:rPr>
        <w:t>2</w:t>
      </w:r>
      <w:r>
        <w:rPr>
          <w:rFonts w:cs="Times New Roman"/>
        </w:rPr>
        <w:t>；</w:t>
      </w:r>
    </w:p>
    <w:p>
      <w:pPr>
        <w:rPr>
          <w:rFonts w:cs="Times New Roman"/>
        </w:rPr>
      </w:pPr>
      <w:r>
        <w:rPr>
          <w:rFonts w:cs="Times New Roman"/>
        </w:rPr>
        <w:t xml:space="preserve">      H ——窗户窗洞高度，m。</w:t>
      </w:r>
    </w:p>
    <w:p>
      <w:pPr>
        <w:ind w:firstLine="420" w:firstLineChars="200"/>
        <w:rPr>
          <w:rFonts w:cs="Times New Roman"/>
        </w:rPr>
      </w:pPr>
      <w:r>
        <w:rPr>
          <w:rFonts w:hint="eastAsia" w:cs="Times New Roman"/>
        </w:rPr>
        <w:t xml:space="preserve">5 </w:t>
      </w:r>
      <w:r>
        <w:rPr>
          <w:rFonts w:cs="Times New Roman"/>
        </w:rPr>
        <w:t>查附表E.0.1-2确定当量升温时间。</w:t>
      </w:r>
    </w:p>
    <w:p>
      <w:pPr>
        <w:pStyle w:val="41"/>
      </w:pPr>
      <w:r>
        <w:t>表E.0.1-2  当量升温时间t</w:t>
      </w:r>
      <w:r>
        <w:rPr>
          <w:vertAlign w:val="subscript"/>
        </w:rPr>
        <w:t>e</w:t>
      </w:r>
      <w:r>
        <w:t xml:space="preserve"> /min</w:t>
      </w:r>
    </w:p>
    <w:tbl>
      <w:tblPr>
        <w:tblStyle w:val="24"/>
        <w:tblW w:w="996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41"/>
        <w:gridCol w:w="855"/>
        <w:gridCol w:w="845"/>
        <w:gridCol w:w="831"/>
        <w:gridCol w:w="763"/>
        <w:gridCol w:w="753"/>
        <w:gridCol w:w="753"/>
        <w:gridCol w:w="739"/>
        <w:gridCol w:w="753"/>
        <w:gridCol w:w="867"/>
        <w:gridCol w:w="743"/>
        <w:gridCol w:w="8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63" w:hRule="atLeast"/>
        </w:trPr>
        <w:tc>
          <w:tcPr>
            <w:tcW w:w="1241" w:type="dxa"/>
            <w:tcBorders>
              <w:top w:val="single" w:color="auto" w:sz="4" w:space="0"/>
              <w:left w:val="single" w:color="auto" w:sz="4" w:space="0"/>
              <w:bottom w:val="single" w:color="auto" w:sz="4" w:space="0"/>
              <w:right w:val="single" w:color="auto" w:sz="4" w:space="0"/>
              <w:tl2br w:val="single" w:color="auto" w:sz="4" w:space="0"/>
            </w:tcBorders>
            <w:vAlign w:val="center"/>
          </w:tcPr>
          <w:p>
            <w:pPr>
              <w:pStyle w:val="42"/>
              <w:jc w:val="center"/>
            </w:pPr>
            <w:r>
              <w:t xml:space="preserve">   F(m</w:t>
            </w:r>
            <w:r>
              <w:rPr>
                <w:vertAlign w:val="superscript"/>
              </w:rPr>
              <w:t>1/2</w:t>
            </w:r>
            <w:r>
              <w:t>)</w:t>
            </w:r>
          </w:p>
          <w:p>
            <w:pPr>
              <w:pStyle w:val="42"/>
              <w:jc w:val="center"/>
            </w:pPr>
            <w:r>
              <w:t>q(MJ/m</w:t>
            </w:r>
            <w:r>
              <w:rPr>
                <w:vertAlign w:val="superscript"/>
              </w:rPr>
              <w:t>2</w:t>
            </w:r>
            <w:r>
              <w:t>)</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0.02</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0.03</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0.04</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0.05</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0.06</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0.07</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0.08</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0.09</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0.10</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0.11</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0.12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50</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21</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20</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19</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17</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15</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14</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13</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12</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12</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10</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75</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32</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27</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25</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23</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21</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21</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19</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18</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17</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16</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100</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40</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36</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32</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29</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27</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25</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23</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22</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21</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20</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125</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51</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43</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39</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35</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33</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31</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29</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26</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24</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23</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22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150</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60</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53</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46</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41</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38</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36</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34</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32</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29</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28</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175</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70</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60</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54</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48</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44</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40</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37</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35</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34</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32</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200</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79</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67</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59</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54</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49</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45</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41</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38</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36</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35</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225</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88</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75</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66</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59</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53</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50</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47</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43</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41</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39</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250</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99</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81</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72</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64</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58</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54</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51</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47</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44</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42</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275</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108</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89</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78</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69</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64</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58</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54</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51</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49</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45</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300</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116</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97</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83</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75</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68</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64</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58</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54</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51</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50</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325</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124</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103</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89</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81</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73</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67</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62</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58</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55</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52</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350</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132</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110</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96</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85</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78</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72</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67</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63</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58</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54</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375</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142</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117</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102</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90</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82</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76</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71</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65</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61</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58</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400</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150</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124</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108</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96</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86</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79</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74</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69</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66</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61</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425</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158</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130</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112</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100</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91</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83</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77</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73</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68</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64</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61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450</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r>
              <w:t>166</w:t>
            </w: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r>
              <w:t>136</w:t>
            </w: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119</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105</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96</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87</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82</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76</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72</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68</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475</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124</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109</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100</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91</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85</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79</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74</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71</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500</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128</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115</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103</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96</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88</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82</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78</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74</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525</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134</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120</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108</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100</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92</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86</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81</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77</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241" w:type="dxa"/>
            <w:tcBorders>
              <w:top w:val="single" w:color="auto" w:sz="4" w:space="0"/>
              <w:left w:val="single" w:color="auto" w:sz="4" w:space="0"/>
              <w:bottom w:val="single" w:color="auto" w:sz="4" w:space="0"/>
              <w:right w:val="single" w:color="auto" w:sz="4" w:space="0"/>
            </w:tcBorders>
            <w:vAlign w:val="center"/>
          </w:tcPr>
          <w:p>
            <w:pPr>
              <w:pStyle w:val="42"/>
              <w:jc w:val="center"/>
            </w:pPr>
            <w:r>
              <w:t>550</w:t>
            </w:r>
          </w:p>
        </w:tc>
        <w:tc>
          <w:tcPr>
            <w:tcW w:w="855" w:type="dxa"/>
            <w:tcBorders>
              <w:top w:val="single" w:color="auto" w:sz="4" w:space="0"/>
              <w:left w:val="single" w:color="auto" w:sz="4" w:space="0"/>
              <w:bottom w:val="single" w:color="auto" w:sz="4" w:space="0"/>
              <w:right w:val="single" w:color="auto" w:sz="4" w:space="0"/>
            </w:tcBorders>
            <w:vAlign w:val="center"/>
          </w:tcPr>
          <w:p>
            <w:pPr>
              <w:pStyle w:val="42"/>
              <w:jc w:val="center"/>
            </w:pPr>
          </w:p>
        </w:tc>
        <w:tc>
          <w:tcPr>
            <w:tcW w:w="845" w:type="dxa"/>
            <w:tcBorders>
              <w:top w:val="single" w:color="auto" w:sz="4" w:space="0"/>
              <w:left w:val="single" w:color="auto" w:sz="4" w:space="0"/>
              <w:bottom w:val="single" w:color="auto" w:sz="4" w:space="0"/>
              <w:right w:val="single" w:color="auto" w:sz="4" w:space="0"/>
            </w:tcBorders>
            <w:vAlign w:val="center"/>
          </w:tcPr>
          <w:p>
            <w:pPr>
              <w:pStyle w:val="42"/>
              <w:jc w:val="center"/>
            </w:pPr>
          </w:p>
        </w:tc>
        <w:tc>
          <w:tcPr>
            <w:tcW w:w="831" w:type="dxa"/>
            <w:tcBorders>
              <w:top w:val="single" w:color="auto" w:sz="4" w:space="0"/>
              <w:left w:val="single" w:color="auto" w:sz="4" w:space="0"/>
              <w:bottom w:val="single" w:color="auto" w:sz="4" w:space="0"/>
              <w:right w:val="single" w:color="auto" w:sz="4" w:space="0"/>
            </w:tcBorders>
            <w:vAlign w:val="center"/>
          </w:tcPr>
          <w:p>
            <w:pPr>
              <w:pStyle w:val="42"/>
              <w:jc w:val="center"/>
            </w:pPr>
            <w:r>
              <w:t>139</w:t>
            </w:r>
          </w:p>
        </w:tc>
        <w:tc>
          <w:tcPr>
            <w:tcW w:w="763" w:type="dxa"/>
            <w:tcBorders>
              <w:top w:val="single" w:color="auto" w:sz="4" w:space="0"/>
              <w:left w:val="single" w:color="auto" w:sz="4" w:space="0"/>
              <w:bottom w:val="single" w:color="auto" w:sz="4" w:space="0"/>
              <w:right w:val="single" w:color="auto" w:sz="4" w:space="0"/>
            </w:tcBorders>
            <w:vAlign w:val="center"/>
          </w:tcPr>
          <w:p>
            <w:pPr>
              <w:pStyle w:val="42"/>
              <w:jc w:val="center"/>
            </w:pPr>
            <w:r>
              <w:t>124</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111</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103</w:t>
            </w:r>
          </w:p>
        </w:tc>
        <w:tc>
          <w:tcPr>
            <w:tcW w:w="739" w:type="dxa"/>
            <w:tcBorders>
              <w:top w:val="single" w:color="auto" w:sz="4" w:space="0"/>
              <w:left w:val="single" w:color="auto" w:sz="4" w:space="0"/>
              <w:bottom w:val="single" w:color="auto" w:sz="4" w:space="0"/>
              <w:right w:val="single" w:color="auto" w:sz="4" w:space="0"/>
            </w:tcBorders>
            <w:vAlign w:val="center"/>
          </w:tcPr>
          <w:p>
            <w:pPr>
              <w:pStyle w:val="42"/>
              <w:jc w:val="center"/>
            </w:pPr>
            <w:r>
              <w:t>96</w:t>
            </w:r>
          </w:p>
        </w:tc>
        <w:tc>
          <w:tcPr>
            <w:tcW w:w="753" w:type="dxa"/>
            <w:tcBorders>
              <w:top w:val="single" w:color="auto" w:sz="4" w:space="0"/>
              <w:left w:val="single" w:color="auto" w:sz="4" w:space="0"/>
              <w:bottom w:val="single" w:color="auto" w:sz="4" w:space="0"/>
              <w:right w:val="single" w:color="auto" w:sz="4" w:space="0"/>
            </w:tcBorders>
            <w:vAlign w:val="center"/>
          </w:tcPr>
          <w:p>
            <w:pPr>
              <w:pStyle w:val="42"/>
              <w:jc w:val="center"/>
            </w:pPr>
            <w:r>
              <w:t>90</w:t>
            </w:r>
          </w:p>
        </w:tc>
        <w:tc>
          <w:tcPr>
            <w:tcW w:w="867" w:type="dxa"/>
            <w:tcBorders>
              <w:top w:val="single" w:color="auto" w:sz="4" w:space="0"/>
              <w:left w:val="single" w:color="auto" w:sz="4" w:space="0"/>
              <w:bottom w:val="single" w:color="auto" w:sz="4" w:space="0"/>
              <w:right w:val="single" w:color="auto" w:sz="4" w:space="0"/>
            </w:tcBorders>
            <w:vAlign w:val="center"/>
          </w:tcPr>
          <w:p>
            <w:pPr>
              <w:pStyle w:val="42"/>
              <w:jc w:val="center"/>
            </w:pPr>
            <w:r>
              <w:t>83</w:t>
            </w:r>
          </w:p>
        </w:tc>
        <w:tc>
          <w:tcPr>
            <w:tcW w:w="743" w:type="dxa"/>
            <w:tcBorders>
              <w:top w:val="single" w:color="auto" w:sz="4" w:space="0"/>
              <w:left w:val="single" w:color="auto" w:sz="4" w:space="0"/>
              <w:bottom w:val="single" w:color="auto" w:sz="4" w:space="0"/>
              <w:right w:val="single" w:color="auto" w:sz="4" w:space="0"/>
            </w:tcBorders>
            <w:vAlign w:val="center"/>
          </w:tcPr>
          <w:p>
            <w:pPr>
              <w:pStyle w:val="42"/>
              <w:jc w:val="center"/>
            </w:pPr>
            <w:r>
              <w:t>79</w:t>
            </w:r>
          </w:p>
        </w:tc>
        <w:tc>
          <w:tcPr>
            <w:tcW w:w="819" w:type="dxa"/>
            <w:tcBorders>
              <w:top w:val="single" w:color="auto" w:sz="4" w:space="0"/>
              <w:left w:val="single" w:color="auto" w:sz="4" w:space="0"/>
              <w:bottom w:val="single" w:color="auto" w:sz="4" w:space="0"/>
              <w:right w:val="single" w:color="auto" w:sz="4" w:space="0"/>
            </w:tcBorders>
            <w:vAlign w:val="center"/>
          </w:tcPr>
          <w:p>
            <w:pPr>
              <w:pStyle w:val="42"/>
              <w:jc w:val="center"/>
            </w:pPr>
            <w: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241" w:type="dxa"/>
            <w:tcBorders>
              <w:top w:val="single" w:color="auto" w:sz="4" w:space="0"/>
            </w:tcBorders>
            <w:vAlign w:val="center"/>
          </w:tcPr>
          <w:p>
            <w:pPr>
              <w:pStyle w:val="42"/>
              <w:jc w:val="center"/>
            </w:pPr>
            <w:r>
              <w:t>575</w:t>
            </w:r>
          </w:p>
        </w:tc>
        <w:tc>
          <w:tcPr>
            <w:tcW w:w="855" w:type="dxa"/>
            <w:tcBorders>
              <w:top w:val="single" w:color="auto" w:sz="4" w:space="0"/>
            </w:tcBorders>
            <w:vAlign w:val="center"/>
          </w:tcPr>
          <w:p>
            <w:pPr>
              <w:pStyle w:val="42"/>
              <w:jc w:val="center"/>
            </w:pPr>
          </w:p>
        </w:tc>
        <w:tc>
          <w:tcPr>
            <w:tcW w:w="845" w:type="dxa"/>
            <w:tcBorders>
              <w:top w:val="single" w:color="auto" w:sz="4" w:space="0"/>
            </w:tcBorders>
            <w:vAlign w:val="center"/>
          </w:tcPr>
          <w:p>
            <w:pPr>
              <w:pStyle w:val="42"/>
              <w:jc w:val="center"/>
            </w:pPr>
          </w:p>
        </w:tc>
        <w:tc>
          <w:tcPr>
            <w:tcW w:w="831" w:type="dxa"/>
            <w:tcBorders>
              <w:top w:val="single" w:color="auto" w:sz="4" w:space="0"/>
            </w:tcBorders>
            <w:vAlign w:val="center"/>
          </w:tcPr>
          <w:p>
            <w:pPr>
              <w:pStyle w:val="42"/>
              <w:jc w:val="center"/>
            </w:pPr>
            <w:r>
              <w:t>144</w:t>
            </w:r>
          </w:p>
        </w:tc>
        <w:tc>
          <w:tcPr>
            <w:tcW w:w="763" w:type="dxa"/>
            <w:tcBorders>
              <w:top w:val="single" w:color="auto" w:sz="4" w:space="0"/>
            </w:tcBorders>
            <w:vAlign w:val="center"/>
          </w:tcPr>
          <w:p>
            <w:pPr>
              <w:pStyle w:val="42"/>
              <w:jc w:val="center"/>
            </w:pPr>
            <w:r>
              <w:t>128</w:t>
            </w:r>
          </w:p>
        </w:tc>
        <w:tc>
          <w:tcPr>
            <w:tcW w:w="753" w:type="dxa"/>
            <w:tcBorders>
              <w:top w:val="single" w:color="auto" w:sz="4" w:space="0"/>
            </w:tcBorders>
            <w:vAlign w:val="center"/>
          </w:tcPr>
          <w:p>
            <w:pPr>
              <w:pStyle w:val="42"/>
              <w:jc w:val="center"/>
            </w:pPr>
            <w:r>
              <w:t>116</w:t>
            </w:r>
          </w:p>
        </w:tc>
        <w:tc>
          <w:tcPr>
            <w:tcW w:w="753" w:type="dxa"/>
            <w:tcBorders>
              <w:top w:val="single" w:color="auto" w:sz="4" w:space="0"/>
            </w:tcBorders>
            <w:vAlign w:val="center"/>
          </w:tcPr>
          <w:p>
            <w:pPr>
              <w:pStyle w:val="42"/>
              <w:jc w:val="center"/>
            </w:pPr>
            <w:r>
              <w:t>107</w:t>
            </w:r>
          </w:p>
        </w:tc>
        <w:tc>
          <w:tcPr>
            <w:tcW w:w="739" w:type="dxa"/>
            <w:tcBorders>
              <w:top w:val="single" w:color="auto" w:sz="4" w:space="0"/>
            </w:tcBorders>
            <w:vAlign w:val="center"/>
          </w:tcPr>
          <w:p>
            <w:pPr>
              <w:pStyle w:val="42"/>
              <w:jc w:val="center"/>
            </w:pPr>
            <w:r>
              <w:t>100</w:t>
            </w:r>
          </w:p>
        </w:tc>
        <w:tc>
          <w:tcPr>
            <w:tcW w:w="753" w:type="dxa"/>
            <w:tcBorders>
              <w:top w:val="single" w:color="auto" w:sz="4" w:space="0"/>
            </w:tcBorders>
            <w:vAlign w:val="center"/>
          </w:tcPr>
          <w:p>
            <w:pPr>
              <w:pStyle w:val="42"/>
              <w:jc w:val="center"/>
            </w:pPr>
            <w:r>
              <w:t>92</w:t>
            </w:r>
          </w:p>
        </w:tc>
        <w:tc>
          <w:tcPr>
            <w:tcW w:w="867" w:type="dxa"/>
            <w:tcBorders>
              <w:top w:val="single" w:color="auto" w:sz="4" w:space="0"/>
            </w:tcBorders>
            <w:vAlign w:val="center"/>
          </w:tcPr>
          <w:p>
            <w:pPr>
              <w:pStyle w:val="42"/>
              <w:jc w:val="center"/>
            </w:pPr>
            <w:r>
              <w:t>87</w:t>
            </w:r>
          </w:p>
        </w:tc>
        <w:tc>
          <w:tcPr>
            <w:tcW w:w="743" w:type="dxa"/>
            <w:tcBorders>
              <w:top w:val="single" w:color="auto" w:sz="4" w:space="0"/>
            </w:tcBorders>
            <w:vAlign w:val="center"/>
          </w:tcPr>
          <w:p>
            <w:pPr>
              <w:pStyle w:val="42"/>
              <w:jc w:val="center"/>
            </w:pPr>
            <w:r>
              <w:t>81</w:t>
            </w:r>
          </w:p>
        </w:tc>
        <w:tc>
          <w:tcPr>
            <w:tcW w:w="819" w:type="dxa"/>
            <w:tcBorders>
              <w:top w:val="single" w:color="auto" w:sz="4" w:space="0"/>
            </w:tcBorders>
            <w:vAlign w:val="center"/>
          </w:tcPr>
          <w:p>
            <w:pPr>
              <w:pStyle w:val="42"/>
              <w:jc w:val="center"/>
            </w:pPr>
            <w: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trPr>
        <w:tc>
          <w:tcPr>
            <w:tcW w:w="1241" w:type="dxa"/>
            <w:tcBorders>
              <w:top w:val="single" w:color="auto" w:sz="4" w:space="0"/>
            </w:tcBorders>
            <w:vAlign w:val="center"/>
          </w:tcPr>
          <w:p>
            <w:pPr>
              <w:pStyle w:val="42"/>
              <w:jc w:val="center"/>
            </w:pPr>
            <w:r>
              <w:t>600</w:t>
            </w:r>
          </w:p>
        </w:tc>
        <w:tc>
          <w:tcPr>
            <w:tcW w:w="855" w:type="dxa"/>
            <w:tcBorders>
              <w:top w:val="single" w:color="auto" w:sz="4" w:space="0"/>
            </w:tcBorders>
            <w:vAlign w:val="center"/>
          </w:tcPr>
          <w:p>
            <w:pPr>
              <w:pStyle w:val="42"/>
              <w:jc w:val="center"/>
            </w:pPr>
          </w:p>
        </w:tc>
        <w:tc>
          <w:tcPr>
            <w:tcW w:w="845" w:type="dxa"/>
            <w:tcBorders>
              <w:top w:val="single" w:color="auto" w:sz="4" w:space="0"/>
            </w:tcBorders>
            <w:vAlign w:val="center"/>
          </w:tcPr>
          <w:p>
            <w:pPr>
              <w:pStyle w:val="42"/>
              <w:jc w:val="center"/>
            </w:pPr>
          </w:p>
        </w:tc>
        <w:tc>
          <w:tcPr>
            <w:tcW w:w="831" w:type="dxa"/>
            <w:tcBorders>
              <w:top w:val="single" w:color="auto" w:sz="4" w:space="0"/>
            </w:tcBorders>
            <w:vAlign w:val="center"/>
          </w:tcPr>
          <w:p>
            <w:pPr>
              <w:pStyle w:val="42"/>
              <w:jc w:val="center"/>
            </w:pPr>
            <w:r>
              <w:t>150</w:t>
            </w:r>
          </w:p>
        </w:tc>
        <w:tc>
          <w:tcPr>
            <w:tcW w:w="763" w:type="dxa"/>
            <w:tcBorders>
              <w:top w:val="single" w:color="auto" w:sz="4" w:space="0"/>
            </w:tcBorders>
            <w:vAlign w:val="center"/>
          </w:tcPr>
          <w:p>
            <w:pPr>
              <w:pStyle w:val="42"/>
              <w:jc w:val="center"/>
            </w:pPr>
            <w:r>
              <w:t>133</w:t>
            </w:r>
          </w:p>
        </w:tc>
        <w:tc>
          <w:tcPr>
            <w:tcW w:w="753" w:type="dxa"/>
            <w:tcBorders>
              <w:top w:val="single" w:color="auto" w:sz="4" w:space="0"/>
            </w:tcBorders>
            <w:vAlign w:val="center"/>
          </w:tcPr>
          <w:p>
            <w:pPr>
              <w:pStyle w:val="42"/>
              <w:jc w:val="center"/>
            </w:pPr>
            <w:r>
              <w:t>121</w:t>
            </w:r>
          </w:p>
        </w:tc>
        <w:tc>
          <w:tcPr>
            <w:tcW w:w="753" w:type="dxa"/>
            <w:tcBorders>
              <w:top w:val="single" w:color="auto" w:sz="4" w:space="0"/>
            </w:tcBorders>
            <w:vAlign w:val="center"/>
          </w:tcPr>
          <w:p>
            <w:pPr>
              <w:pStyle w:val="42"/>
              <w:jc w:val="center"/>
            </w:pPr>
            <w:r>
              <w:t>110</w:t>
            </w:r>
          </w:p>
        </w:tc>
        <w:tc>
          <w:tcPr>
            <w:tcW w:w="739" w:type="dxa"/>
            <w:tcBorders>
              <w:top w:val="single" w:color="auto" w:sz="4" w:space="0"/>
            </w:tcBorders>
            <w:vAlign w:val="center"/>
          </w:tcPr>
          <w:p>
            <w:pPr>
              <w:pStyle w:val="42"/>
              <w:jc w:val="center"/>
            </w:pPr>
            <w:r>
              <w:t>102</w:t>
            </w:r>
          </w:p>
        </w:tc>
        <w:tc>
          <w:tcPr>
            <w:tcW w:w="753" w:type="dxa"/>
            <w:tcBorders>
              <w:top w:val="single" w:color="auto" w:sz="4" w:space="0"/>
            </w:tcBorders>
            <w:vAlign w:val="center"/>
          </w:tcPr>
          <w:p>
            <w:pPr>
              <w:pStyle w:val="42"/>
              <w:jc w:val="center"/>
            </w:pPr>
            <w:r>
              <w:t>96</w:t>
            </w:r>
          </w:p>
        </w:tc>
        <w:tc>
          <w:tcPr>
            <w:tcW w:w="867" w:type="dxa"/>
            <w:tcBorders>
              <w:top w:val="single" w:color="auto" w:sz="4" w:space="0"/>
            </w:tcBorders>
            <w:vAlign w:val="center"/>
          </w:tcPr>
          <w:p>
            <w:pPr>
              <w:pStyle w:val="42"/>
              <w:jc w:val="center"/>
            </w:pPr>
            <w:r>
              <w:t>90</w:t>
            </w:r>
          </w:p>
        </w:tc>
        <w:tc>
          <w:tcPr>
            <w:tcW w:w="743" w:type="dxa"/>
            <w:tcBorders>
              <w:top w:val="single" w:color="auto" w:sz="4" w:space="0"/>
            </w:tcBorders>
            <w:vAlign w:val="center"/>
          </w:tcPr>
          <w:p>
            <w:pPr>
              <w:pStyle w:val="42"/>
              <w:jc w:val="center"/>
            </w:pPr>
            <w:r>
              <w:t>84</w:t>
            </w:r>
          </w:p>
        </w:tc>
        <w:tc>
          <w:tcPr>
            <w:tcW w:w="819" w:type="dxa"/>
            <w:tcBorders>
              <w:top w:val="single" w:color="auto" w:sz="4" w:space="0"/>
            </w:tcBorders>
            <w:vAlign w:val="center"/>
          </w:tcPr>
          <w:p>
            <w:pPr>
              <w:pStyle w:val="42"/>
              <w:jc w:val="center"/>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trPr>
        <w:tc>
          <w:tcPr>
            <w:tcW w:w="1241" w:type="dxa"/>
            <w:tcBorders>
              <w:top w:val="single" w:color="auto" w:sz="4" w:space="0"/>
            </w:tcBorders>
            <w:vAlign w:val="center"/>
          </w:tcPr>
          <w:p>
            <w:pPr>
              <w:pStyle w:val="42"/>
              <w:jc w:val="center"/>
            </w:pPr>
            <w:r>
              <w:t>625</w:t>
            </w:r>
          </w:p>
        </w:tc>
        <w:tc>
          <w:tcPr>
            <w:tcW w:w="855" w:type="dxa"/>
            <w:tcBorders>
              <w:top w:val="single" w:color="auto" w:sz="4" w:space="0"/>
            </w:tcBorders>
            <w:vAlign w:val="center"/>
          </w:tcPr>
          <w:p>
            <w:pPr>
              <w:pStyle w:val="42"/>
              <w:jc w:val="center"/>
            </w:pPr>
          </w:p>
        </w:tc>
        <w:tc>
          <w:tcPr>
            <w:tcW w:w="845" w:type="dxa"/>
            <w:tcBorders>
              <w:top w:val="single" w:color="auto" w:sz="4" w:space="0"/>
            </w:tcBorders>
            <w:vAlign w:val="center"/>
          </w:tcPr>
          <w:p>
            <w:pPr>
              <w:pStyle w:val="42"/>
              <w:jc w:val="center"/>
            </w:pPr>
          </w:p>
        </w:tc>
        <w:tc>
          <w:tcPr>
            <w:tcW w:w="831" w:type="dxa"/>
            <w:tcBorders>
              <w:top w:val="single" w:color="auto" w:sz="4" w:space="0"/>
            </w:tcBorders>
            <w:vAlign w:val="center"/>
          </w:tcPr>
          <w:p>
            <w:pPr>
              <w:pStyle w:val="42"/>
              <w:jc w:val="center"/>
            </w:pPr>
            <w:r>
              <w:t>155</w:t>
            </w:r>
          </w:p>
        </w:tc>
        <w:tc>
          <w:tcPr>
            <w:tcW w:w="763" w:type="dxa"/>
            <w:tcBorders>
              <w:top w:val="single" w:color="auto" w:sz="4" w:space="0"/>
            </w:tcBorders>
            <w:vAlign w:val="center"/>
          </w:tcPr>
          <w:p>
            <w:pPr>
              <w:pStyle w:val="42"/>
              <w:jc w:val="center"/>
            </w:pPr>
            <w:r>
              <w:t>138</w:t>
            </w:r>
          </w:p>
        </w:tc>
        <w:tc>
          <w:tcPr>
            <w:tcW w:w="753" w:type="dxa"/>
            <w:tcBorders>
              <w:top w:val="single" w:color="auto" w:sz="4" w:space="0"/>
            </w:tcBorders>
            <w:vAlign w:val="center"/>
          </w:tcPr>
          <w:p>
            <w:pPr>
              <w:pStyle w:val="42"/>
              <w:jc w:val="center"/>
            </w:pPr>
            <w:r>
              <w:t>125</w:t>
            </w:r>
          </w:p>
        </w:tc>
        <w:tc>
          <w:tcPr>
            <w:tcW w:w="753" w:type="dxa"/>
            <w:tcBorders>
              <w:top w:val="single" w:color="auto" w:sz="4" w:space="0"/>
            </w:tcBorders>
            <w:vAlign w:val="center"/>
          </w:tcPr>
          <w:p>
            <w:pPr>
              <w:pStyle w:val="42"/>
              <w:jc w:val="center"/>
            </w:pPr>
            <w:r>
              <w:t>115</w:t>
            </w:r>
          </w:p>
        </w:tc>
        <w:tc>
          <w:tcPr>
            <w:tcW w:w="739" w:type="dxa"/>
            <w:tcBorders>
              <w:top w:val="single" w:color="auto" w:sz="4" w:space="0"/>
            </w:tcBorders>
            <w:vAlign w:val="center"/>
          </w:tcPr>
          <w:p>
            <w:pPr>
              <w:pStyle w:val="42"/>
              <w:jc w:val="center"/>
            </w:pPr>
            <w:r>
              <w:t>106</w:t>
            </w:r>
          </w:p>
        </w:tc>
        <w:tc>
          <w:tcPr>
            <w:tcW w:w="753" w:type="dxa"/>
            <w:tcBorders>
              <w:top w:val="single" w:color="auto" w:sz="4" w:space="0"/>
            </w:tcBorders>
            <w:vAlign w:val="center"/>
          </w:tcPr>
          <w:p>
            <w:pPr>
              <w:pStyle w:val="42"/>
              <w:jc w:val="center"/>
            </w:pPr>
            <w:r>
              <w:t>99</w:t>
            </w:r>
          </w:p>
        </w:tc>
        <w:tc>
          <w:tcPr>
            <w:tcW w:w="867" w:type="dxa"/>
            <w:tcBorders>
              <w:top w:val="single" w:color="auto" w:sz="4" w:space="0"/>
            </w:tcBorders>
            <w:vAlign w:val="center"/>
          </w:tcPr>
          <w:p>
            <w:pPr>
              <w:pStyle w:val="42"/>
              <w:jc w:val="center"/>
            </w:pPr>
            <w:r>
              <w:t>93</w:t>
            </w:r>
          </w:p>
        </w:tc>
        <w:tc>
          <w:tcPr>
            <w:tcW w:w="743" w:type="dxa"/>
            <w:tcBorders>
              <w:top w:val="single" w:color="auto" w:sz="4" w:space="0"/>
            </w:tcBorders>
            <w:vAlign w:val="center"/>
          </w:tcPr>
          <w:p>
            <w:pPr>
              <w:pStyle w:val="42"/>
              <w:jc w:val="center"/>
            </w:pPr>
            <w:r>
              <w:t>88</w:t>
            </w:r>
          </w:p>
        </w:tc>
        <w:tc>
          <w:tcPr>
            <w:tcW w:w="819" w:type="dxa"/>
            <w:tcBorders>
              <w:top w:val="single" w:color="auto" w:sz="4" w:space="0"/>
            </w:tcBorders>
            <w:vAlign w:val="center"/>
          </w:tcPr>
          <w:p>
            <w:pPr>
              <w:pStyle w:val="42"/>
              <w:jc w:val="center"/>
            </w:pPr>
            <w: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1" w:type="dxa"/>
            <w:vAlign w:val="center"/>
          </w:tcPr>
          <w:p>
            <w:pPr>
              <w:pStyle w:val="42"/>
              <w:jc w:val="center"/>
            </w:pPr>
            <w:r>
              <w:t>650</w:t>
            </w:r>
          </w:p>
        </w:tc>
        <w:tc>
          <w:tcPr>
            <w:tcW w:w="855" w:type="dxa"/>
            <w:vAlign w:val="center"/>
          </w:tcPr>
          <w:p>
            <w:pPr>
              <w:pStyle w:val="42"/>
              <w:jc w:val="center"/>
            </w:pPr>
          </w:p>
        </w:tc>
        <w:tc>
          <w:tcPr>
            <w:tcW w:w="845" w:type="dxa"/>
            <w:vAlign w:val="center"/>
          </w:tcPr>
          <w:p>
            <w:pPr>
              <w:pStyle w:val="42"/>
              <w:jc w:val="center"/>
            </w:pPr>
          </w:p>
        </w:tc>
        <w:tc>
          <w:tcPr>
            <w:tcW w:w="831" w:type="dxa"/>
            <w:vAlign w:val="center"/>
          </w:tcPr>
          <w:p>
            <w:pPr>
              <w:pStyle w:val="42"/>
              <w:jc w:val="center"/>
            </w:pPr>
            <w:r>
              <w:t>160</w:t>
            </w:r>
          </w:p>
        </w:tc>
        <w:tc>
          <w:tcPr>
            <w:tcW w:w="763" w:type="dxa"/>
            <w:vAlign w:val="center"/>
          </w:tcPr>
          <w:p>
            <w:pPr>
              <w:pStyle w:val="42"/>
              <w:jc w:val="center"/>
            </w:pPr>
            <w:r>
              <w:t>143</w:t>
            </w:r>
          </w:p>
        </w:tc>
        <w:tc>
          <w:tcPr>
            <w:tcW w:w="753" w:type="dxa"/>
            <w:vAlign w:val="center"/>
          </w:tcPr>
          <w:p>
            <w:pPr>
              <w:pStyle w:val="42"/>
              <w:jc w:val="center"/>
            </w:pPr>
            <w:r>
              <w:t>129</w:t>
            </w:r>
          </w:p>
        </w:tc>
        <w:tc>
          <w:tcPr>
            <w:tcW w:w="753" w:type="dxa"/>
            <w:vAlign w:val="center"/>
          </w:tcPr>
          <w:p>
            <w:pPr>
              <w:pStyle w:val="42"/>
              <w:jc w:val="center"/>
            </w:pPr>
            <w:r>
              <w:t>118</w:t>
            </w:r>
          </w:p>
        </w:tc>
        <w:tc>
          <w:tcPr>
            <w:tcW w:w="739" w:type="dxa"/>
            <w:vAlign w:val="center"/>
          </w:tcPr>
          <w:p>
            <w:pPr>
              <w:pStyle w:val="42"/>
              <w:jc w:val="center"/>
            </w:pPr>
            <w:r>
              <w:t>109</w:t>
            </w:r>
          </w:p>
        </w:tc>
        <w:tc>
          <w:tcPr>
            <w:tcW w:w="753" w:type="dxa"/>
            <w:vAlign w:val="center"/>
          </w:tcPr>
          <w:p>
            <w:pPr>
              <w:pStyle w:val="42"/>
              <w:jc w:val="center"/>
            </w:pPr>
            <w:r>
              <w:t>102</w:t>
            </w:r>
          </w:p>
        </w:tc>
        <w:tc>
          <w:tcPr>
            <w:tcW w:w="867" w:type="dxa"/>
            <w:vAlign w:val="center"/>
          </w:tcPr>
          <w:p>
            <w:pPr>
              <w:pStyle w:val="42"/>
              <w:jc w:val="center"/>
            </w:pPr>
            <w:r>
              <w:t>97</w:t>
            </w:r>
          </w:p>
        </w:tc>
        <w:tc>
          <w:tcPr>
            <w:tcW w:w="743" w:type="dxa"/>
            <w:vAlign w:val="center"/>
          </w:tcPr>
          <w:p>
            <w:pPr>
              <w:pStyle w:val="42"/>
              <w:jc w:val="center"/>
            </w:pPr>
            <w:r>
              <w:t>90</w:t>
            </w:r>
          </w:p>
        </w:tc>
        <w:tc>
          <w:tcPr>
            <w:tcW w:w="819" w:type="dxa"/>
            <w:vAlign w:val="center"/>
          </w:tcPr>
          <w:p>
            <w:pPr>
              <w:pStyle w:val="42"/>
              <w:jc w:val="center"/>
            </w:pPr>
            <w: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1" w:type="dxa"/>
            <w:vAlign w:val="center"/>
          </w:tcPr>
          <w:p>
            <w:pPr>
              <w:pStyle w:val="42"/>
              <w:jc w:val="center"/>
            </w:pPr>
            <w:r>
              <w:t>675</w:t>
            </w:r>
          </w:p>
        </w:tc>
        <w:tc>
          <w:tcPr>
            <w:tcW w:w="855" w:type="dxa"/>
            <w:vAlign w:val="center"/>
          </w:tcPr>
          <w:p>
            <w:pPr>
              <w:pStyle w:val="42"/>
              <w:jc w:val="center"/>
            </w:pPr>
          </w:p>
        </w:tc>
        <w:tc>
          <w:tcPr>
            <w:tcW w:w="845" w:type="dxa"/>
            <w:vAlign w:val="center"/>
          </w:tcPr>
          <w:p>
            <w:pPr>
              <w:pStyle w:val="42"/>
              <w:jc w:val="center"/>
            </w:pPr>
          </w:p>
        </w:tc>
        <w:tc>
          <w:tcPr>
            <w:tcW w:w="831" w:type="dxa"/>
            <w:vAlign w:val="center"/>
          </w:tcPr>
          <w:p>
            <w:pPr>
              <w:pStyle w:val="42"/>
              <w:jc w:val="center"/>
            </w:pPr>
          </w:p>
        </w:tc>
        <w:tc>
          <w:tcPr>
            <w:tcW w:w="763" w:type="dxa"/>
            <w:vAlign w:val="center"/>
          </w:tcPr>
          <w:p>
            <w:pPr>
              <w:pStyle w:val="42"/>
              <w:jc w:val="center"/>
            </w:pPr>
            <w:r>
              <w:t>147</w:t>
            </w:r>
          </w:p>
        </w:tc>
        <w:tc>
          <w:tcPr>
            <w:tcW w:w="753" w:type="dxa"/>
            <w:vAlign w:val="center"/>
          </w:tcPr>
          <w:p>
            <w:pPr>
              <w:pStyle w:val="42"/>
              <w:jc w:val="center"/>
            </w:pPr>
            <w:r>
              <w:t>133</w:t>
            </w:r>
          </w:p>
        </w:tc>
        <w:tc>
          <w:tcPr>
            <w:tcW w:w="753" w:type="dxa"/>
            <w:vAlign w:val="center"/>
          </w:tcPr>
          <w:p>
            <w:pPr>
              <w:pStyle w:val="42"/>
              <w:jc w:val="center"/>
            </w:pPr>
            <w:r>
              <w:t>122</w:t>
            </w:r>
          </w:p>
        </w:tc>
        <w:tc>
          <w:tcPr>
            <w:tcW w:w="739" w:type="dxa"/>
            <w:vAlign w:val="center"/>
          </w:tcPr>
          <w:p>
            <w:pPr>
              <w:pStyle w:val="42"/>
              <w:jc w:val="center"/>
            </w:pPr>
            <w:r>
              <w:t>113</w:t>
            </w:r>
          </w:p>
        </w:tc>
        <w:tc>
          <w:tcPr>
            <w:tcW w:w="753" w:type="dxa"/>
            <w:vAlign w:val="center"/>
          </w:tcPr>
          <w:p>
            <w:pPr>
              <w:pStyle w:val="42"/>
              <w:jc w:val="center"/>
            </w:pPr>
            <w:r>
              <w:t>106</w:t>
            </w:r>
          </w:p>
        </w:tc>
        <w:tc>
          <w:tcPr>
            <w:tcW w:w="867" w:type="dxa"/>
            <w:vAlign w:val="center"/>
          </w:tcPr>
          <w:p>
            <w:pPr>
              <w:pStyle w:val="42"/>
              <w:jc w:val="center"/>
            </w:pPr>
            <w:r>
              <w:t>99</w:t>
            </w:r>
          </w:p>
        </w:tc>
        <w:tc>
          <w:tcPr>
            <w:tcW w:w="743" w:type="dxa"/>
            <w:vAlign w:val="center"/>
          </w:tcPr>
          <w:p>
            <w:pPr>
              <w:pStyle w:val="42"/>
              <w:jc w:val="center"/>
            </w:pPr>
            <w:r>
              <w:t>94</w:t>
            </w:r>
          </w:p>
        </w:tc>
        <w:tc>
          <w:tcPr>
            <w:tcW w:w="819" w:type="dxa"/>
            <w:vAlign w:val="center"/>
          </w:tcPr>
          <w:p>
            <w:pPr>
              <w:pStyle w:val="42"/>
              <w:jc w:val="center"/>
            </w:pPr>
            <w: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1" w:type="dxa"/>
            <w:vAlign w:val="center"/>
          </w:tcPr>
          <w:p>
            <w:pPr>
              <w:pStyle w:val="42"/>
              <w:jc w:val="center"/>
            </w:pPr>
            <w:r>
              <w:t>700</w:t>
            </w:r>
          </w:p>
        </w:tc>
        <w:tc>
          <w:tcPr>
            <w:tcW w:w="855" w:type="dxa"/>
            <w:vAlign w:val="center"/>
          </w:tcPr>
          <w:p>
            <w:pPr>
              <w:pStyle w:val="42"/>
              <w:jc w:val="center"/>
            </w:pPr>
          </w:p>
        </w:tc>
        <w:tc>
          <w:tcPr>
            <w:tcW w:w="845" w:type="dxa"/>
            <w:vAlign w:val="center"/>
          </w:tcPr>
          <w:p>
            <w:pPr>
              <w:pStyle w:val="42"/>
              <w:jc w:val="center"/>
            </w:pPr>
          </w:p>
        </w:tc>
        <w:tc>
          <w:tcPr>
            <w:tcW w:w="831" w:type="dxa"/>
            <w:vAlign w:val="center"/>
          </w:tcPr>
          <w:p>
            <w:pPr>
              <w:pStyle w:val="42"/>
              <w:jc w:val="center"/>
            </w:pPr>
          </w:p>
        </w:tc>
        <w:tc>
          <w:tcPr>
            <w:tcW w:w="763" w:type="dxa"/>
            <w:vAlign w:val="center"/>
          </w:tcPr>
          <w:p>
            <w:pPr>
              <w:pStyle w:val="42"/>
              <w:jc w:val="center"/>
            </w:pPr>
            <w:r>
              <w:t>151</w:t>
            </w:r>
          </w:p>
        </w:tc>
        <w:tc>
          <w:tcPr>
            <w:tcW w:w="753" w:type="dxa"/>
            <w:vAlign w:val="center"/>
          </w:tcPr>
          <w:p>
            <w:pPr>
              <w:pStyle w:val="42"/>
              <w:jc w:val="center"/>
            </w:pPr>
            <w:r>
              <w:t>138</w:t>
            </w:r>
          </w:p>
        </w:tc>
        <w:tc>
          <w:tcPr>
            <w:tcW w:w="753" w:type="dxa"/>
            <w:vAlign w:val="center"/>
          </w:tcPr>
          <w:p>
            <w:pPr>
              <w:pStyle w:val="42"/>
              <w:jc w:val="center"/>
            </w:pPr>
            <w:r>
              <w:t>126</w:t>
            </w:r>
          </w:p>
        </w:tc>
        <w:tc>
          <w:tcPr>
            <w:tcW w:w="739" w:type="dxa"/>
            <w:vAlign w:val="center"/>
          </w:tcPr>
          <w:p>
            <w:pPr>
              <w:pStyle w:val="42"/>
              <w:jc w:val="center"/>
            </w:pPr>
            <w:r>
              <w:t>117</w:t>
            </w:r>
          </w:p>
        </w:tc>
        <w:tc>
          <w:tcPr>
            <w:tcW w:w="753" w:type="dxa"/>
            <w:vAlign w:val="center"/>
          </w:tcPr>
          <w:p>
            <w:pPr>
              <w:pStyle w:val="42"/>
              <w:jc w:val="center"/>
            </w:pPr>
            <w:r>
              <w:t>109</w:t>
            </w:r>
          </w:p>
        </w:tc>
        <w:tc>
          <w:tcPr>
            <w:tcW w:w="867" w:type="dxa"/>
            <w:vAlign w:val="center"/>
          </w:tcPr>
          <w:p>
            <w:pPr>
              <w:pStyle w:val="42"/>
              <w:jc w:val="center"/>
            </w:pPr>
            <w:r>
              <w:t>102</w:t>
            </w:r>
          </w:p>
        </w:tc>
        <w:tc>
          <w:tcPr>
            <w:tcW w:w="743" w:type="dxa"/>
            <w:vAlign w:val="center"/>
          </w:tcPr>
          <w:p>
            <w:pPr>
              <w:pStyle w:val="42"/>
              <w:jc w:val="center"/>
            </w:pPr>
            <w:r>
              <w:t>97</w:t>
            </w:r>
          </w:p>
        </w:tc>
        <w:tc>
          <w:tcPr>
            <w:tcW w:w="819" w:type="dxa"/>
            <w:vAlign w:val="center"/>
          </w:tcPr>
          <w:p>
            <w:pPr>
              <w:pStyle w:val="42"/>
              <w:jc w:val="center"/>
            </w:pPr>
            <w: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1" w:type="dxa"/>
            <w:vAlign w:val="center"/>
          </w:tcPr>
          <w:p>
            <w:pPr>
              <w:pStyle w:val="42"/>
              <w:jc w:val="center"/>
            </w:pPr>
            <w:r>
              <w:t>725</w:t>
            </w:r>
          </w:p>
        </w:tc>
        <w:tc>
          <w:tcPr>
            <w:tcW w:w="855" w:type="dxa"/>
            <w:vAlign w:val="center"/>
          </w:tcPr>
          <w:p>
            <w:pPr>
              <w:pStyle w:val="42"/>
              <w:jc w:val="center"/>
            </w:pPr>
          </w:p>
        </w:tc>
        <w:tc>
          <w:tcPr>
            <w:tcW w:w="845" w:type="dxa"/>
            <w:vAlign w:val="center"/>
          </w:tcPr>
          <w:p>
            <w:pPr>
              <w:pStyle w:val="42"/>
              <w:jc w:val="center"/>
            </w:pPr>
          </w:p>
        </w:tc>
        <w:tc>
          <w:tcPr>
            <w:tcW w:w="831" w:type="dxa"/>
            <w:vAlign w:val="center"/>
          </w:tcPr>
          <w:p>
            <w:pPr>
              <w:pStyle w:val="42"/>
              <w:jc w:val="center"/>
            </w:pPr>
          </w:p>
        </w:tc>
        <w:tc>
          <w:tcPr>
            <w:tcW w:w="763" w:type="dxa"/>
            <w:vAlign w:val="center"/>
          </w:tcPr>
          <w:p>
            <w:pPr>
              <w:pStyle w:val="42"/>
              <w:jc w:val="center"/>
            </w:pPr>
            <w:r>
              <w:t>155</w:t>
            </w:r>
          </w:p>
        </w:tc>
        <w:tc>
          <w:tcPr>
            <w:tcW w:w="753" w:type="dxa"/>
            <w:vAlign w:val="center"/>
          </w:tcPr>
          <w:p>
            <w:pPr>
              <w:pStyle w:val="42"/>
              <w:jc w:val="center"/>
            </w:pPr>
            <w:r>
              <w:t>141</w:t>
            </w:r>
          </w:p>
        </w:tc>
        <w:tc>
          <w:tcPr>
            <w:tcW w:w="753" w:type="dxa"/>
            <w:vAlign w:val="center"/>
          </w:tcPr>
          <w:p>
            <w:pPr>
              <w:pStyle w:val="42"/>
              <w:jc w:val="center"/>
            </w:pPr>
            <w:r>
              <w:t>129</w:t>
            </w:r>
          </w:p>
        </w:tc>
        <w:tc>
          <w:tcPr>
            <w:tcW w:w="739" w:type="dxa"/>
            <w:vAlign w:val="center"/>
          </w:tcPr>
          <w:p>
            <w:pPr>
              <w:pStyle w:val="42"/>
              <w:jc w:val="center"/>
            </w:pPr>
            <w:r>
              <w:t>120</w:t>
            </w:r>
          </w:p>
        </w:tc>
        <w:tc>
          <w:tcPr>
            <w:tcW w:w="753" w:type="dxa"/>
            <w:vAlign w:val="center"/>
          </w:tcPr>
          <w:p>
            <w:pPr>
              <w:pStyle w:val="42"/>
              <w:jc w:val="center"/>
            </w:pPr>
            <w:r>
              <w:t>111</w:t>
            </w:r>
          </w:p>
        </w:tc>
        <w:tc>
          <w:tcPr>
            <w:tcW w:w="867" w:type="dxa"/>
            <w:vAlign w:val="center"/>
          </w:tcPr>
          <w:p>
            <w:pPr>
              <w:pStyle w:val="42"/>
              <w:jc w:val="center"/>
            </w:pPr>
            <w:r>
              <w:t>105</w:t>
            </w:r>
          </w:p>
        </w:tc>
        <w:tc>
          <w:tcPr>
            <w:tcW w:w="743" w:type="dxa"/>
            <w:vAlign w:val="center"/>
          </w:tcPr>
          <w:p>
            <w:pPr>
              <w:pStyle w:val="42"/>
              <w:jc w:val="center"/>
            </w:pPr>
            <w:r>
              <w:t>99</w:t>
            </w:r>
          </w:p>
        </w:tc>
        <w:tc>
          <w:tcPr>
            <w:tcW w:w="819" w:type="dxa"/>
            <w:vAlign w:val="center"/>
          </w:tcPr>
          <w:p>
            <w:pPr>
              <w:pStyle w:val="42"/>
              <w:jc w:val="center"/>
            </w:pPr>
            <w: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1" w:type="dxa"/>
            <w:vAlign w:val="center"/>
          </w:tcPr>
          <w:p>
            <w:pPr>
              <w:pStyle w:val="42"/>
              <w:jc w:val="center"/>
            </w:pPr>
            <w:r>
              <w:t>750</w:t>
            </w:r>
          </w:p>
        </w:tc>
        <w:tc>
          <w:tcPr>
            <w:tcW w:w="855" w:type="dxa"/>
            <w:vAlign w:val="center"/>
          </w:tcPr>
          <w:p>
            <w:pPr>
              <w:pStyle w:val="42"/>
              <w:jc w:val="center"/>
            </w:pPr>
          </w:p>
        </w:tc>
        <w:tc>
          <w:tcPr>
            <w:tcW w:w="845" w:type="dxa"/>
            <w:vAlign w:val="center"/>
          </w:tcPr>
          <w:p>
            <w:pPr>
              <w:pStyle w:val="42"/>
              <w:jc w:val="center"/>
            </w:pPr>
          </w:p>
        </w:tc>
        <w:tc>
          <w:tcPr>
            <w:tcW w:w="831" w:type="dxa"/>
            <w:vAlign w:val="center"/>
          </w:tcPr>
          <w:p>
            <w:pPr>
              <w:pStyle w:val="42"/>
              <w:jc w:val="center"/>
            </w:pPr>
          </w:p>
        </w:tc>
        <w:tc>
          <w:tcPr>
            <w:tcW w:w="763" w:type="dxa"/>
            <w:vAlign w:val="center"/>
          </w:tcPr>
          <w:p>
            <w:pPr>
              <w:pStyle w:val="42"/>
              <w:jc w:val="center"/>
            </w:pPr>
            <w:r>
              <w:t>160</w:t>
            </w:r>
          </w:p>
        </w:tc>
        <w:tc>
          <w:tcPr>
            <w:tcW w:w="753" w:type="dxa"/>
            <w:vAlign w:val="center"/>
          </w:tcPr>
          <w:p>
            <w:pPr>
              <w:pStyle w:val="42"/>
              <w:jc w:val="center"/>
            </w:pPr>
            <w:r>
              <w:t>144</w:t>
            </w:r>
          </w:p>
        </w:tc>
        <w:tc>
          <w:tcPr>
            <w:tcW w:w="753" w:type="dxa"/>
            <w:vAlign w:val="center"/>
          </w:tcPr>
          <w:p>
            <w:pPr>
              <w:pStyle w:val="42"/>
              <w:jc w:val="center"/>
            </w:pPr>
            <w:r>
              <w:t>132</w:t>
            </w:r>
          </w:p>
        </w:tc>
        <w:tc>
          <w:tcPr>
            <w:tcW w:w="739" w:type="dxa"/>
            <w:vAlign w:val="center"/>
          </w:tcPr>
          <w:p>
            <w:pPr>
              <w:pStyle w:val="42"/>
              <w:jc w:val="center"/>
            </w:pPr>
            <w:r>
              <w:t>123</w:t>
            </w:r>
          </w:p>
        </w:tc>
        <w:tc>
          <w:tcPr>
            <w:tcW w:w="753" w:type="dxa"/>
            <w:vAlign w:val="center"/>
          </w:tcPr>
          <w:p>
            <w:pPr>
              <w:pStyle w:val="42"/>
              <w:jc w:val="center"/>
            </w:pPr>
            <w:r>
              <w:t>114</w:t>
            </w:r>
          </w:p>
        </w:tc>
        <w:tc>
          <w:tcPr>
            <w:tcW w:w="867" w:type="dxa"/>
            <w:vAlign w:val="center"/>
          </w:tcPr>
          <w:p>
            <w:pPr>
              <w:pStyle w:val="42"/>
              <w:jc w:val="center"/>
            </w:pPr>
            <w:r>
              <w:t>108</w:t>
            </w:r>
          </w:p>
        </w:tc>
        <w:tc>
          <w:tcPr>
            <w:tcW w:w="743" w:type="dxa"/>
            <w:vAlign w:val="center"/>
          </w:tcPr>
          <w:p>
            <w:pPr>
              <w:pStyle w:val="42"/>
              <w:jc w:val="center"/>
            </w:pPr>
            <w:r>
              <w:t>102</w:t>
            </w:r>
          </w:p>
        </w:tc>
        <w:tc>
          <w:tcPr>
            <w:tcW w:w="819" w:type="dxa"/>
            <w:vAlign w:val="center"/>
          </w:tcPr>
          <w:p>
            <w:pPr>
              <w:pStyle w:val="42"/>
              <w:jc w:val="center"/>
            </w:pPr>
            <w: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1" w:type="dxa"/>
            <w:vAlign w:val="center"/>
          </w:tcPr>
          <w:p>
            <w:pPr>
              <w:pStyle w:val="42"/>
              <w:jc w:val="center"/>
            </w:pPr>
            <w:r>
              <w:t>775</w:t>
            </w:r>
          </w:p>
        </w:tc>
        <w:tc>
          <w:tcPr>
            <w:tcW w:w="855" w:type="dxa"/>
            <w:vAlign w:val="center"/>
          </w:tcPr>
          <w:p>
            <w:pPr>
              <w:pStyle w:val="42"/>
              <w:jc w:val="center"/>
            </w:pPr>
          </w:p>
        </w:tc>
        <w:tc>
          <w:tcPr>
            <w:tcW w:w="845" w:type="dxa"/>
            <w:vAlign w:val="center"/>
          </w:tcPr>
          <w:p>
            <w:pPr>
              <w:pStyle w:val="42"/>
              <w:jc w:val="center"/>
            </w:pPr>
          </w:p>
        </w:tc>
        <w:tc>
          <w:tcPr>
            <w:tcW w:w="831" w:type="dxa"/>
            <w:vAlign w:val="center"/>
          </w:tcPr>
          <w:p>
            <w:pPr>
              <w:pStyle w:val="42"/>
              <w:jc w:val="center"/>
            </w:pPr>
          </w:p>
        </w:tc>
        <w:tc>
          <w:tcPr>
            <w:tcW w:w="763" w:type="dxa"/>
            <w:vAlign w:val="center"/>
          </w:tcPr>
          <w:p>
            <w:pPr>
              <w:pStyle w:val="42"/>
              <w:jc w:val="center"/>
            </w:pPr>
            <w:r>
              <w:t>164</w:t>
            </w:r>
          </w:p>
        </w:tc>
        <w:tc>
          <w:tcPr>
            <w:tcW w:w="753" w:type="dxa"/>
            <w:vAlign w:val="center"/>
          </w:tcPr>
          <w:p>
            <w:pPr>
              <w:pStyle w:val="42"/>
              <w:jc w:val="center"/>
            </w:pPr>
            <w:r>
              <w:t>149</w:t>
            </w:r>
          </w:p>
        </w:tc>
        <w:tc>
          <w:tcPr>
            <w:tcW w:w="753" w:type="dxa"/>
            <w:vAlign w:val="center"/>
          </w:tcPr>
          <w:p>
            <w:pPr>
              <w:pStyle w:val="42"/>
              <w:jc w:val="center"/>
            </w:pPr>
            <w:r>
              <w:t>136</w:t>
            </w:r>
          </w:p>
        </w:tc>
        <w:tc>
          <w:tcPr>
            <w:tcW w:w="739" w:type="dxa"/>
            <w:vAlign w:val="center"/>
          </w:tcPr>
          <w:p>
            <w:pPr>
              <w:pStyle w:val="42"/>
              <w:jc w:val="center"/>
            </w:pPr>
            <w:r>
              <w:t>126</w:t>
            </w:r>
          </w:p>
        </w:tc>
        <w:tc>
          <w:tcPr>
            <w:tcW w:w="753" w:type="dxa"/>
            <w:vAlign w:val="center"/>
          </w:tcPr>
          <w:p>
            <w:pPr>
              <w:pStyle w:val="42"/>
              <w:jc w:val="center"/>
            </w:pPr>
            <w:r>
              <w:t>117</w:t>
            </w:r>
          </w:p>
        </w:tc>
        <w:tc>
          <w:tcPr>
            <w:tcW w:w="867" w:type="dxa"/>
            <w:vAlign w:val="center"/>
          </w:tcPr>
          <w:p>
            <w:pPr>
              <w:pStyle w:val="42"/>
              <w:jc w:val="center"/>
            </w:pPr>
            <w:r>
              <w:t>110</w:t>
            </w:r>
          </w:p>
        </w:tc>
        <w:tc>
          <w:tcPr>
            <w:tcW w:w="743" w:type="dxa"/>
            <w:vAlign w:val="center"/>
          </w:tcPr>
          <w:p>
            <w:pPr>
              <w:pStyle w:val="42"/>
              <w:jc w:val="center"/>
            </w:pPr>
            <w:r>
              <w:t>104</w:t>
            </w:r>
          </w:p>
        </w:tc>
        <w:tc>
          <w:tcPr>
            <w:tcW w:w="819" w:type="dxa"/>
            <w:vAlign w:val="center"/>
          </w:tcPr>
          <w:p>
            <w:pPr>
              <w:pStyle w:val="42"/>
              <w:jc w:val="center"/>
            </w:pPr>
            <w: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1" w:type="dxa"/>
            <w:vAlign w:val="center"/>
          </w:tcPr>
          <w:p>
            <w:pPr>
              <w:pStyle w:val="42"/>
              <w:jc w:val="center"/>
            </w:pPr>
            <w:r>
              <w:t>800</w:t>
            </w:r>
          </w:p>
        </w:tc>
        <w:tc>
          <w:tcPr>
            <w:tcW w:w="855" w:type="dxa"/>
            <w:vAlign w:val="center"/>
          </w:tcPr>
          <w:p>
            <w:pPr>
              <w:pStyle w:val="42"/>
              <w:jc w:val="center"/>
            </w:pPr>
          </w:p>
        </w:tc>
        <w:tc>
          <w:tcPr>
            <w:tcW w:w="845" w:type="dxa"/>
            <w:vAlign w:val="center"/>
          </w:tcPr>
          <w:p>
            <w:pPr>
              <w:pStyle w:val="42"/>
              <w:jc w:val="center"/>
            </w:pPr>
          </w:p>
        </w:tc>
        <w:tc>
          <w:tcPr>
            <w:tcW w:w="831" w:type="dxa"/>
            <w:vAlign w:val="center"/>
          </w:tcPr>
          <w:p>
            <w:pPr>
              <w:pStyle w:val="42"/>
              <w:jc w:val="center"/>
            </w:pPr>
          </w:p>
        </w:tc>
        <w:tc>
          <w:tcPr>
            <w:tcW w:w="763" w:type="dxa"/>
            <w:vAlign w:val="center"/>
          </w:tcPr>
          <w:p>
            <w:pPr>
              <w:pStyle w:val="42"/>
              <w:jc w:val="center"/>
            </w:pPr>
            <w:r>
              <w:t>169</w:t>
            </w:r>
          </w:p>
        </w:tc>
        <w:tc>
          <w:tcPr>
            <w:tcW w:w="753" w:type="dxa"/>
            <w:vAlign w:val="center"/>
          </w:tcPr>
          <w:p>
            <w:pPr>
              <w:pStyle w:val="42"/>
              <w:jc w:val="center"/>
            </w:pPr>
            <w:r>
              <w:t>153</w:t>
            </w:r>
          </w:p>
        </w:tc>
        <w:tc>
          <w:tcPr>
            <w:tcW w:w="753" w:type="dxa"/>
            <w:vAlign w:val="center"/>
          </w:tcPr>
          <w:p>
            <w:pPr>
              <w:pStyle w:val="42"/>
              <w:jc w:val="center"/>
            </w:pPr>
            <w:r>
              <w:t>139</w:t>
            </w:r>
          </w:p>
        </w:tc>
        <w:tc>
          <w:tcPr>
            <w:tcW w:w="739" w:type="dxa"/>
            <w:vAlign w:val="center"/>
          </w:tcPr>
          <w:p>
            <w:pPr>
              <w:pStyle w:val="42"/>
              <w:jc w:val="center"/>
            </w:pPr>
            <w:r>
              <w:t>129</w:t>
            </w:r>
          </w:p>
        </w:tc>
        <w:tc>
          <w:tcPr>
            <w:tcW w:w="753" w:type="dxa"/>
            <w:vAlign w:val="center"/>
          </w:tcPr>
          <w:p>
            <w:pPr>
              <w:pStyle w:val="42"/>
              <w:jc w:val="center"/>
            </w:pPr>
            <w:r>
              <w:t>121</w:t>
            </w:r>
          </w:p>
        </w:tc>
        <w:tc>
          <w:tcPr>
            <w:tcW w:w="867" w:type="dxa"/>
            <w:vAlign w:val="center"/>
          </w:tcPr>
          <w:p>
            <w:pPr>
              <w:pStyle w:val="42"/>
              <w:jc w:val="center"/>
            </w:pPr>
            <w:r>
              <w:t>113</w:t>
            </w:r>
          </w:p>
        </w:tc>
        <w:tc>
          <w:tcPr>
            <w:tcW w:w="743" w:type="dxa"/>
            <w:vAlign w:val="center"/>
          </w:tcPr>
          <w:p>
            <w:pPr>
              <w:pStyle w:val="42"/>
              <w:jc w:val="center"/>
            </w:pPr>
            <w:r>
              <w:t>107</w:t>
            </w:r>
          </w:p>
        </w:tc>
        <w:tc>
          <w:tcPr>
            <w:tcW w:w="819" w:type="dxa"/>
            <w:vAlign w:val="center"/>
          </w:tcPr>
          <w:p>
            <w:pPr>
              <w:pStyle w:val="42"/>
              <w:jc w:val="center"/>
            </w:pPr>
            <w: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1" w:type="dxa"/>
            <w:vAlign w:val="center"/>
          </w:tcPr>
          <w:p>
            <w:pPr>
              <w:pStyle w:val="42"/>
              <w:jc w:val="center"/>
            </w:pPr>
            <w:r>
              <w:t>825</w:t>
            </w:r>
          </w:p>
        </w:tc>
        <w:tc>
          <w:tcPr>
            <w:tcW w:w="855" w:type="dxa"/>
            <w:vAlign w:val="center"/>
          </w:tcPr>
          <w:p>
            <w:pPr>
              <w:pStyle w:val="42"/>
              <w:jc w:val="center"/>
            </w:pPr>
          </w:p>
        </w:tc>
        <w:tc>
          <w:tcPr>
            <w:tcW w:w="845" w:type="dxa"/>
            <w:vAlign w:val="center"/>
          </w:tcPr>
          <w:p>
            <w:pPr>
              <w:pStyle w:val="42"/>
              <w:jc w:val="center"/>
            </w:pPr>
          </w:p>
        </w:tc>
        <w:tc>
          <w:tcPr>
            <w:tcW w:w="831" w:type="dxa"/>
            <w:vAlign w:val="center"/>
          </w:tcPr>
          <w:p>
            <w:pPr>
              <w:pStyle w:val="42"/>
              <w:jc w:val="center"/>
            </w:pPr>
          </w:p>
        </w:tc>
        <w:tc>
          <w:tcPr>
            <w:tcW w:w="763" w:type="dxa"/>
            <w:vAlign w:val="center"/>
          </w:tcPr>
          <w:p>
            <w:pPr>
              <w:pStyle w:val="42"/>
              <w:jc w:val="center"/>
            </w:pPr>
            <w:r>
              <w:t>173</w:t>
            </w:r>
          </w:p>
        </w:tc>
        <w:tc>
          <w:tcPr>
            <w:tcW w:w="753" w:type="dxa"/>
            <w:vAlign w:val="center"/>
          </w:tcPr>
          <w:p>
            <w:pPr>
              <w:pStyle w:val="42"/>
              <w:jc w:val="center"/>
            </w:pPr>
            <w:r>
              <w:t>156</w:t>
            </w:r>
          </w:p>
        </w:tc>
        <w:tc>
          <w:tcPr>
            <w:tcW w:w="753" w:type="dxa"/>
            <w:vAlign w:val="center"/>
          </w:tcPr>
          <w:p>
            <w:pPr>
              <w:pStyle w:val="42"/>
              <w:jc w:val="center"/>
            </w:pPr>
            <w:r>
              <w:t>143</w:t>
            </w:r>
          </w:p>
        </w:tc>
        <w:tc>
          <w:tcPr>
            <w:tcW w:w="739" w:type="dxa"/>
            <w:vAlign w:val="center"/>
          </w:tcPr>
          <w:p>
            <w:pPr>
              <w:pStyle w:val="42"/>
              <w:jc w:val="center"/>
            </w:pPr>
            <w:r>
              <w:t>132</w:t>
            </w:r>
          </w:p>
        </w:tc>
        <w:tc>
          <w:tcPr>
            <w:tcW w:w="753" w:type="dxa"/>
            <w:vAlign w:val="center"/>
          </w:tcPr>
          <w:p>
            <w:pPr>
              <w:pStyle w:val="42"/>
              <w:jc w:val="center"/>
            </w:pPr>
            <w:r>
              <w:t>124</w:t>
            </w:r>
          </w:p>
        </w:tc>
        <w:tc>
          <w:tcPr>
            <w:tcW w:w="867" w:type="dxa"/>
            <w:vAlign w:val="center"/>
          </w:tcPr>
          <w:p>
            <w:pPr>
              <w:pStyle w:val="42"/>
              <w:jc w:val="center"/>
            </w:pPr>
            <w:r>
              <w:t>117</w:t>
            </w:r>
          </w:p>
        </w:tc>
        <w:tc>
          <w:tcPr>
            <w:tcW w:w="743" w:type="dxa"/>
            <w:vAlign w:val="center"/>
          </w:tcPr>
          <w:p>
            <w:pPr>
              <w:pStyle w:val="42"/>
              <w:jc w:val="center"/>
            </w:pPr>
            <w:r>
              <w:t>109</w:t>
            </w:r>
          </w:p>
        </w:tc>
        <w:tc>
          <w:tcPr>
            <w:tcW w:w="819" w:type="dxa"/>
            <w:vAlign w:val="center"/>
          </w:tcPr>
          <w:p>
            <w:pPr>
              <w:pStyle w:val="42"/>
              <w:jc w:val="center"/>
            </w:pPr>
            <w: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1" w:type="dxa"/>
            <w:vAlign w:val="center"/>
          </w:tcPr>
          <w:p>
            <w:pPr>
              <w:pStyle w:val="42"/>
              <w:jc w:val="center"/>
            </w:pPr>
            <w:r>
              <w:t>850</w:t>
            </w:r>
          </w:p>
        </w:tc>
        <w:tc>
          <w:tcPr>
            <w:tcW w:w="855" w:type="dxa"/>
            <w:vAlign w:val="center"/>
          </w:tcPr>
          <w:p>
            <w:pPr>
              <w:pStyle w:val="42"/>
              <w:jc w:val="center"/>
            </w:pPr>
          </w:p>
        </w:tc>
        <w:tc>
          <w:tcPr>
            <w:tcW w:w="845" w:type="dxa"/>
            <w:vAlign w:val="center"/>
          </w:tcPr>
          <w:p>
            <w:pPr>
              <w:pStyle w:val="42"/>
              <w:jc w:val="center"/>
            </w:pPr>
          </w:p>
        </w:tc>
        <w:tc>
          <w:tcPr>
            <w:tcW w:w="831" w:type="dxa"/>
            <w:vAlign w:val="center"/>
          </w:tcPr>
          <w:p>
            <w:pPr>
              <w:pStyle w:val="42"/>
              <w:jc w:val="center"/>
            </w:pPr>
          </w:p>
        </w:tc>
        <w:tc>
          <w:tcPr>
            <w:tcW w:w="763" w:type="dxa"/>
            <w:vAlign w:val="center"/>
          </w:tcPr>
          <w:p>
            <w:pPr>
              <w:pStyle w:val="42"/>
              <w:jc w:val="center"/>
            </w:pPr>
            <w:r>
              <w:t>176</w:t>
            </w:r>
          </w:p>
        </w:tc>
        <w:tc>
          <w:tcPr>
            <w:tcW w:w="753" w:type="dxa"/>
            <w:vAlign w:val="center"/>
          </w:tcPr>
          <w:p>
            <w:pPr>
              <w:pStyle w:val="42"/>
              <w:jc w:val="center"/>
            </w:pPr>
            <w:r>
              <w:t>160</w:t>
            </w:r>
          </w:p>
        </w:tc>
        <w:tc>
          <w:tcPr>
            <w:tcW w:w="753" w:type="dxa"/>
            <w:vAlign w:val="center"/>
          </w:tcPr>
          <w:p>
            <w:pPr>
              <w:pStyle w:val="42"/>
              <w:jc w:val="center"/>
            </w:pPr>
            <w:r>
              <w:t>147</w:t>
            </w:r>
          </w:p>
        </w:tc>
        <w:tc>
          <w:tcPr>
            <w:tcW w:w="739" w:type="dxa"/>
            <w:vAlign w:val="center"/>
          </w:tcPr>
          <w:p>
            <w:pPr>
              <w:pStyle w:val="42"/>
              <w:jc w:val="center"/>
            </w:pPr>
            <w:r>
              <w:t>136</w:t>
            </w:r>
          </w:p>
        </w:tc>
        <w:tc>
          <w:tcPr>
            <w:tcW w:w="753" w:type="dxa"/>
            <w:vAlign w:val="center"/>
          </w:tcPr>
          <w:p>
            <w:pPr>
              <w:pStyle w:val="42"/>
              <w:jc w:val="center"/>
            </w:pPr>
            <w:r>
              <w:t>127</w:t>
            </w:r>
          </w:p>
        </w:tc>
        <w:tc>
          <w:tcPr>
            <w:tcW w:w="867" w:type="dxa"/>
            <w:vAlign w:val="center"/>
          </w:tcPr>
          <w:p>
            <w:pPr>
              <w:pStyle w:val="42"/>
              <w:jc w:val="center"/>
            </w:pPr>
            <w:r>
              <w:t>119</w:t>
            </w:r>
          </w:p>
        </w:tc>
        <w:tc>
          <w:tcPr>
            <w:tcW w:w="743" w:type="dxa"/>
            <w:vAlign w:val="center"/>
          </w:tcPr>
          <w:p>
            <w:pPr>
              <w:pStyle w:val="42"/>
              <w:jc w:val="center"/>
            </w:pPr>
            <w:r>
              <w:t>112</w:t>
            </w:r>
          </w:p>
        </w:tc>
        <w:tc>
          <w:tcPr>
            <w:tcW w:w="819" w:type="dxa"/>
            <w:vAlign w:val="center"/>
          </w:tcPr>
          <w:p>
            <w:pPr>
              <w:pStyle w:val="42"/>
              <w:jc w:val="center"/>
            </w:pPr>
            <w:r>
              <w:t>107</w:t>
            </w:r>
          </w:p>
        </w:tc>
      </w:tr>
    </w:tbl>
    <w:p>
      <w:pPr>
        <w:pStyle w:val="42"/>
        <w:ind w:firstLine="210"/>
      </w:pPr>
      <w:r>
        <w:t>注：</w:t>
      </w:r>
      <w:r>
        <w:rPr>
          <w:rFonts w:hint="eastAsia"/>
        </w:rPr>
        <w:t>火灾曾发生轰燃是指：</w:t>
      </w:r>
      <w:r>
        <w:t>房间平均温度高于500℃或因温度作用使较多的玻璃窗破碎，从窗洞口大量冒出黑烟。</w:t>
      </w:r>
    </w:p>
    <w:p>
      <w:pPr>
        <w:ind w:firstLine="420" w:firstLineChars="200"/>
        <w:rPr>
          <w:rFonts w:ascii="楷体" w:hAnsi="楷体" w:eastAsia="楷体"/>
        </w:rPr>
      </w:pPr>
    </w:p>
    <w:p>
      <w:pPr>
        <w:ind w:firstLine="420" w:firstLineChars="200"/>
        <w:rPr>
          <w:rFonts w:ascii="楷体" w:hAnsi="楷体" w:eastAsia="楷体"/>
        </w:rPr>
      </w:pPr>
    </w:p>
    <w:p>
      <w:pPr>
        <w:ind w:firstLine="420" w:firstLineChars="200"/>
        <w:rPr>
          <w:rFonts w:ascii="楷体" w:hAnsi="楷体" w:eastAsia="楷体"/>
        </w:rPr>
      </w:pPr>
    </w:p>
    <w:p>
      <w:pPr>
        <w:ind w:firstLine="420" w:firstLineChars="200"/>
        <w:rPr>
          <w:rFonts w:cs="Times New Roman"/>
        </w:rPr>
        <w:sectPr>
          <w:pgSz w:w="11906" w:h="16838"/>
          <w:pgMar w:top="1440" w:right="1080" w:bottom="1440" w:left="1080" w:header="851" w:footer="992" w:gutter="0"/>
          <w:cols w:space="425" w:num="1"/>
          <w:docGrid w:type="lines" w:linePitch="312" w:charSpace="0"/>
        </w:sectPr>
      </w:pPr>
    </w:p>
    <w:p>
      <w:pPr>
        <w:pStyle w:val="2"/>
        <w:rPr>
          <w:rFonts w:cs="Times New Roman"/>
          <w:i/>
        </w:rPr>
      </w:pPr>
      <w:bookmarkStart w:id="77" w:name="_Toc505085903"/>
      <w:bookmarkStart w:id="78" w:name="_Toc501474090"/>
      <w:r>
        <w:rPr>
          <w:rFonts w:cs="Times New Roman"/>
        </w:rPr>
        <w:t>附录</w:t>
      </w:r>
      <w:r>
        <w:rPr>
          <w:rFonts w:hint="eastAsia" w:cs="Times New Roman"/>
        </w:rPr>
        <w:t>F</w:t>
      </w:r>
      <w:r>
        <w:rPr>
          <w:rFonts w:cs="Times New Roman"/>
        </w:rPr>
        <w:t xml:space="preserve">  火灾后混凝土构件材料微观分析</w:t>
      </w:r>
      <w:bookmarkEnd w:id="77"/>
      <w:bookmarkEnd w:id="78"/>
    </w:p>
    <w:p>
      <w:pPr>
        <w:rPr>
          <w:rFonts w:cs="Times New Roman"/>
        </w:rPr>
      </w:pPr>
      <w:r>
        <w:rPr>
          <w:rFonts w:cs="Times New Roman"/>
          <w:b/>
        </w:rPr>
        <w:t>F.0.1</w:t>
      </w:r>
      <w:r>
        <w:rPr>
          <w:rFonts w:cs="Times New Roman"/>
        </w:rPr>
        <w:t>在进行详细检查时对拟评定的混凝土构件，根据其烧损的不同程度分别采集各种混凝土小样，并进行X衍射分析或电子显微镜分析，观察混凝土样品显微结构特征，并对照表F.0.1-1和表F.0.1-2中的混凝土微观物相特征。对应其特征温度推定相应的火灾温度和混凝土灼着温度。</w:t>
      </w:r>
    </w:p>
    <w:p>
      <w:pPr>
        <w:pStyle w:val="41"/>
      </w:pPr>
      <w:r>
        <w:t>表F.0.1-1  X衍射分析</w:t>
      </w:r>
    </w:p>
    <w:tbl>
      <w:tblPr>
        <w:tblStyle w:val="24"/>
        <w:tblW w:w="9962" w:type="dxa"/>
        <w:jc w:val="righ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5"/>
        <w:gridCol w:w="2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7585" w:type="dxa"/>
          </w:tcPr>
          <w:p>
            <w:pPr>
              <w:pStyle w:val="42"/>
            </w:pPr>
            <w:r>
              <w:t>物相特征</w:t>
            </w:r>
          </w:p>
        </w:tc>
        <w:tc>
          <w:tcPr>
            <w:tcW w:w="2377" w:type="dxa"/>
          </w:tcPr>
          <w:p>
            <w:pPr>
              <w:pStyle w:val="42"/>
            </w:pPr>
            <w:r>
              <w:t>特征温度（</w:t>
            </w:r>
            <w:r>
              <w:rPr>
                <w:rFonts w:hint="eastAsia"/>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7585" w:type="dxa"/>
          </w:tcPr>
          <w:p>
            <w:pPr>
              <w:pStyle w:val="42"/>
            </w:pPr>
            <w:r>
              <w:t>水化物基本正常</w:t>
            </w:r>
          </w:p>
        </w:tc>
        <w:tc>
          <w:tcPr>
            <w:tcW w:w="2377" w:type="dxa"/>
          </w:tcPr>
          <w:p>
            <w:pPr>
              <w:pStyle w:val="42"/>
            </w:pPr>
            <w:r>
              <w:t>&lt;300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7585" w:type="dxa"/>
          </w:tcPr>
          <w:p>
            <w:pPr>
              <w:pStyle w:val="42"/>
            </w:pPr>
            <w:r>
              <w:t>水泥水化产物水化铝酸三钙脱水           C3A*aq→C</w:t>
            </w:r>
            <w:r>
              <w:rPr>
                <w:vertAlign w:val="subscript"/>
              </w:rPr>
              <w:t>3</w:t>
            </w:r>
            <w:r>
              <w:t>A+nH</w:t>
            </w:r>
            <w:r>
              <w:rPr>
                <w:vertAlign w:val="subscript"/>
              </w:rPr>
              <w:t>2</w:t>
            </w:r>
            <w:r>
              <w:t>O</w:t>
            </w:r>
          </w:p>
        </w:tc>
        <w:tc>
          <w:tcPr>
            <w:tcW w:w="2377" w:type="dxa"/>
          </w:tcPr>
          <w:p>
            <w:pPr>
              <w:pStyle w:val="42"/>
            </w:pPr>
            <w:r>
              <w:t>280~330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7585" w:type="dxa"/>
          </w:tcPr>
          <w:p>
            <w:pPr>
              <w:pStyle w:val="42"/>
            </w:pPr>
            <w:r>
              <w:t>水泥水化产物氢氧化钙脱水               Ca(OH)2→CaO+H2O</w:t>
            </w:r>
          </w:p>
          <w:p>
            <w:pPr>
              <w:pStyle w:val="42"/>
            </w:pPr>
            <w:r>
              <w:t>或砂石中α-石英发生变相                   α-SiO2→β-SiO2</w:t>
            </w:r>
          </w:p>
        </w:tc>
        <w:tc>
          <w:tcPr>
            <w:tcW w:w="2377" w:type="dxa"/>
          </w:tcPr>
          <w:p>
            <w:pPr>
              <w:pStyle w:val="42"/>
            </w:pPr>
            <w:r>
              <w:t>580</w:t>
            </w:r>
          </w:p>
          <w:p>
            <w:pPr>
              <w:pStyle w:val="42"/>
            </w:pPr>
            <w: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right"/>
        </w:trPr>
        <w:tc>
          <w:tcPr>
            <w:tcW w:w="7585" w:type="dxa"/>
          </w:tcPr>
          <w:p>
            <w:pPr>
              <w:pStyle w:val="42"/>
            </w:pPr>
            <w:r>
              <w:t>骨料中白云石分解          CaMg(CO2)2→CaCO3+MgO+CO2↑</w:t>
            </w:r>
          </w:p>
          <w:p>
            <w:pPr>
              <w:pStyle w:val="42"/>
            </w:pPr>
            <w:r>
              <w:t>骨料中方解石及水泥石碳化生成物分解     CaCO3→CaO+ CO2↑</w:t>
            </w:r>
          </w:p>
        </w:tc>
        <w:tc>
          <w:tcPr>
            <w:tcW w:w="2377" w:type="dxa"/>
          </w:tcPr>
          <w:p>
            <w:pPr>
              <w:pStyle w:val="42"/>
            </w:pPr>
            <w:r>
              <w:t>720~740</w:t>
            </w:r>
          </w:p>
          <w:p>
            <w:pPr>
              <w:pStyle w:val="42"/>
            </w:pPr>
            <w:r>
              <w:t>900</w:t>
            </w:r>
          </w:p>
        </w:tc>
      </w:tr>
    </w:tbl>
    <w:p>
      <w:pPr>
        <w:pStyle w:val="41"/>
      </w:pPr>
      <w:r>
        <w:t>表F.0.1-2   电镜分析</w:t>
      </w:r>
    </w:p>
    <w:tbl>
      <w:tblPr>
        <w:tblStyle w:val="24"/>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2"/>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2" w:type="dxa"/>
            <w:vAlign w:val="center"/>
          </w:tcPr>
          <w:p>
            <w:pPr>
              <w:pStyle w:val="42"/>
              <w:jc w:val="center"/>
            </w:pPr>
            <w:r>
              <w:t>物相特征</w:t>
            </w:r>
          </w:p>
        </w:tc>
        <w:tc>
          <w:tcPr>
            <w:tcW w:w="2150" w:type="dxa"/>
            <w:vAlign w:val="center"/>
          </w:tcPr>
          <w:p>
            <w:pPr>
              <w:pStyle w:val="42"/>
              <w:jc w:val="center"/>
            </w:pPr>
            <w:r>
              <w:t>特征温度（</w:t>
            </w:r>
            <w:r>
              <w:rPr>
                <w:rFonts w:hint="eastAsia"/>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2" w:type="dxa"/>
            <w:vAlign w:val="center"/>
          </w:tcPr>
          <w:p>
            <w:pPr>
              <w:pStyle w:val="42"/>
              <w:jc w:val="center"/>
            </w:pPr>
            <w:r>
              <w:t>Ⅱ物相基本正常</w:t>
            </w:r>
          </w:p>
        </w:tc>
        <w:tc>
          <w:tcPr>
            <w:tcW w:w="2150" w:type="dxa"/>
            <w:vAlign w:val="center"/>
          </w:tcPr>
          <w:p>
            <w:pPr>
              <w:pStyle w:val="42"/>
              <w:jc w:val="center"/>
            </w:pPr>
            <w:r>
              <w:t>&lt;300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2" w:type="dxa"/>
            <w:vAlign w:val="center"/>
          </w:tcPr>
          <w:p>
            <w:pPr>
              <w:pStyle w:val="42"/>
              <w:jc w:val="center"/>
            </w:pPr>
            <w:r>
              <w:t>方解石集料表面光滑、平整，水泥浆体密集，连续性好</w:t>
            </w:r>
          </w:p>
        </w:tc>
        <w:tc>
          <w:tcPr>
            <w:tcW w:w="2150" w:type="dxa"/>
            <w:vAlign w:val="center"/>
          </w:tcPr>
          <w:p>
            <w:pPr>
              <w:pStyle w:val="42"/>
              <w:jc w:val="center"/>
            </w:pPr>
            <w:r>
              <w:t>280~350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2" w:type="dxa"/>
            <w:vAlign w:val="center"/>
          </w:tcPr>
          <w:p>
            <w:pPr>
              <w:pStyle w:val="42"/>
              <w:jc w:val="center"/>
            </w:pPr>
            <w:r>
              <w:t>石英晶体完整，水泥浆体中水化产物氢氧化钙脱水，浆体开始发现酥松，</w:t>
            </w:r>
          </w:p>
          <w:p>
            <w:pPr>
              <w:pStyle w:val="42"/>
              <w:jc w:val="center"/>
            </w:pPr>
            <w:r>
              <w:t>但仍较紧密，连续性好，氢氧化钙晶型缺损、有裂纹</w:t>
            </w:r>
          </w:p>
        </w:tc>
        <w:tc>
          <w:tcPr>
            <w:tcW w:w="2150" w:type="dxa"/>
            <w:vAlign w:val="center"/>
          </w:tcPr>
          <w:p>
            <w:pPr>
              <w:pStyle w:val="42"/>
              <w:jc w:val="center"/>
            </w:pPr>
            <w:r>
              <w:t>550~650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2" w:type="dxa"/>
            <w:tcBorders>
              <w:top w:val="single" w:color="auto" w:sz="4" w:space="0"/>
              <w:left w:val="single" w:color="auto" w:sz="4" w:space="0"/>
              <w:bottom w:val="single" w:color="auto" w:sz="4" w:space="0"/>
              <w:right w:val="single" w:color="auto" w:sz="4" w:space="0"/>
            </w:tcBorders>
            <w:vAlign w:val="center"/>
          </w:tcPr>
          <w:p>
            <w:pPr>
              <w:pStyle w:val="42"/>
              <w:jc w:val="center"/>
            </w:pPr>
            <w:r>
              <w:t>水泥浆体已脱水，收缩成为酥松体，氢氧化钙脱水、分解、并有少量CaO生成，而吸收空气中水分产生膨胀</w:t>
            </w:r>
          </w:p>
        </w:tc>
        <w:tc>
          <w:tcPr>
            <w:tcW w:w="2150" w:type="dxa"/>
            <w:tcBorders>
              <w:top w:val="single" w:color="auto" w:sz="4" w:space="0"/>
              <w:left w:val="single" w:color="auto" w:sz="4" w:space="0"/>
              <w:bottom w:val="single" w:color="auto" w:sz="4" w:space="0"/>
              <w:right w:val="single" w:color="auto" w:sz="4" w:space="0"/>
            </w:tcBorders>
            <w:vAlign w:val="center"/>
          </w:tcPr>
          <w:p>
            <w:pPr>
              <w:pStyle w:val="42"/>
              <w:jc w:val="center"/>
            </w:pPr>
            <w:r>
              <w:t>650~700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2" w:type="dxa"/>
            <w:tcBorders>
              <w:top w:val="single" w:color="auto" w:sz="4" w:space="0"/>
              <w:left w:val="single" w:color="auto" w:sz="4" w:space="0"/>
              <w:bottom w:val="single" w:color="auto" w:sz="4" w:space="0"/>
              <w:right w:val="single" w:color="auto" w:sz="4" w:space="0"/>
            </w:tcBorders>
            <w:vAlign w:val="center"/>
          </w:tcPr>
          <w:p>
            <w:pPr>
              <w:pStyle w:val="42"/>
              <w:jc w:val="center"/>
            </w:pPr>
            <w:r>
              <w:t>水泥浆体脱水，收缩成团块板块状，并由CaO生成吸收空气中水分、内部互相破坏</w:t>
            </w:r>
          </w:p>
        </w:tc>
        <w:tc>
          <w:tcPr>
            <w:tcW w:w="2150" w:type="dxa"/>
            <w:tcBorders>
              <w:top w:val="single" w:color="auto" w:sz="4" w:space="0"/>
              <w:left w:val="single" w:color="auto" w:sz="4" w:space="0"/>
              <w:bottom w:val="single" w:color="auto" w:sz="4" w:space="0"/>
              <w:right w:val="single" w:color="auto" w:sz="4" w:space="0"/>
            </w:tcBorders>
            <w:vAlign w:val="center"/>
          </w:tcPr>
          <w:p>
            <w:pPr>
              <w:pStyle w:val="42"/>
              <w:jc w:val="center"/>
            </w:pPr>
            <w:r>
              <w:t>700~760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2" w:type="dxa"/>
            <w:tcBorders>
              <w:top w:val="single" w:color="auto" w:sz="4" w:space="0"/>
              <w:left w:val="single" w:color="auto" w:sz="4" w:space="0"/>
              <w:bottom w:val="single" w:color="auto" w:sz="4" w:space="0"/>
              <w:right w:val="single" w:color="auto" w:sz="4" w:space="0"/>
            </w:tcBorders>
            <w:vAlign w:val="center"/>
          </w:tcPr>
          <w:p>
            <w:pPr>
              <w:pStyle w:val="42"/>
              <w:jc w:val="center"/>
            </w:pPr>
            <w:r>
              <w:t>浆体脱水放出CaO成为团聚体，浆体酥松、孔隙大</w:t>
            </w:r>
          </w:p>
        </w:tc>
        <w:tc>
          <w:tcPr>
            <w:tcW w:w="2150" w:type="dxa"/>
            <w:tcBorders>
              <w:top w:val="single" w:color="auto" w:sz="4" w:space="0"/>
              <w:left w:val="single" w:color="auto" w:sz="4" w:space="0"/>
              <w:bottom w:val="single" w:color="auto" w:sz="4" w:space="0"/>
              <w:right w:val="single" w:color="auto" w:sz="4" w:space="0"/>
            </w:tcBorders>
            <w:vAlign w:val="center"/>
          </w:tcPr>
          <w:p>
            <w:pPr>
              <w:pStyle w:val="42"/>
              <w:jc w:val="center"/>
            </w:pPr>
            <w:r>
              <w:t>760~800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2" w:type="dxa"/>
            <w:tcBorders>
              <w:top w:val="single" w:color="auto" w:sz="4" w:space="0"/>
              <w:left w:val="single" w:color="auto" w:sz="4" w:space="0"/>
              <w:bottom w:val="single" w:color="auto" w:sz="4" w:space="0"/>
              <w:right w:val="single" w:color="auto" w:sz="4" w:space="0"/>
            </w:tcBorders>
            <w:vAlign w:val="center"/>
          </w:tcPr>
          <w:p>
            <w:pPr>
              <w:pStyle w:val="42"/>
              <w:jc w:val="center"/>
            </w:pPr>
            <w:r>
              <w:t>水泥浆体成为不连续团块，孔隙很大，CaO增加</w:t>
            </w:r>
          </w:p>
        </w:tc>
        <w:tc>
          <w:tcPr>
            <w:tcW w:w="2150" w:type="dxa"/>
            <w:tcBorders>
              <w:top w:val="single" w:color="auto" w:sz="4" w:space="0"/>
              <w:left w:val="single" w:color="auto" w:sz="4" w:space="0"/>
              <w:bottom w:val="single" w:color="auto" w:sz="4" w:space="0"/>
              <w:right w:val="single" w:color="auto" w:sz="4" w:space="0"/>
            </w:tcBorders>
            <w:vAlign w:val="center"/>
          </w:tcPr>
          <w:p>
            <w:pPr>
              <w:pStyle w:val="42"/>
              <w:jc w:val="center"/>
            </w:pPr>
            <w:r>
              <w:t>800~850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2" w:type="dxa"/>
            <w:vAlign w:val="center"/>
          </w:tcPr>
          <w:p>
            <w:pPr>
              <w:pStyle w:val="42"/>
              <w:jc w:val="center"/>
            </w:pPr>
            <w:r>
              <w:t>水泥浆体成为不连续的团块，孔隙很大，但石英晶体较完整</w:t>
            </w:r>
          </w:p>
        </w:tc>
        <w:tc>
          <w:tcPr>
            <w:tcW w:w="2150" w:type="dxa"/>
            <w:vAlign w:val="center"/>
          </w:tcPr>
          <w:p>
            <w:pPr>
              <w:pStyle w:val="42"/>
              <w:jc w:val="center"/>
            </w:pPr>
            <w:r>
              <w:t>850~880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2" w:type="dxa"/>
            <w:vAlign w:val="center"/>
          </w:tcPr>
          <w:p>
            <w:pPr>
              <w:pStyle w:val="42"/>
              <w:jc w:val="center"/>
            </w:pPr>
            <w:r>
              <w:t>方解石出现不规则小晶体，开始分解</w:t>
            </w:r>
          </w:p>
        </w:tc>
        <w:tc>
          <w:tcPr>
            <w:tcW w:w="2150" w:type="dxa"/>
            <w:vAlign w:val="center"/>
          </w:tcPr>
          <w:p>
            <w:pPr>
              <w:pStyle w:val="42"/>
              <w:jc w:val="center"/>
            </w:pPr>
            <w:r>
              <w:t>880~910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2" w:type="dxa"/>
            <w:vAlign w:val="center"/>
          </w:tcPr>
          <w:p>
            <w:pPr>
              <w:pStyle w:val="42"/>
              <w:jc w:val="center"/>
            </w:pPr>
            <w:r>
              <w:t>方解石分解成长方形柱状体浆体脱水、收缩后空隙很大</w:t>
            </w:r>
          </w:p>
        </w:tc>
        <w:tc>
          <w:tcPr>
            <w:tcW w:w="2150" w:type="dxa"/>
            <w:vAlign w:val="center"/>
          </w:tcPr>
          <w:p>
            <w:pPr>
              <w:pStyle w:val="42"/>
              <w:jc w:val="center"/>
            </w:pPr>
            <w:r>
              <w:t>910~940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2" w:type="dxa"/>
            <w:vAlign w:val="center"/>
          </w:tcPr>
          <w:p>
            <w:pPr>
              <w:pStyle w:val="42"/>
              <w:jc w:val="center"/>
            </w:pPr>
            <w:r>
              <w:t>方解石分解成柱体状，浆体脱水、收缩后空隙更大</w:t>
            </w:r>
          </w:p>
        </w:tc>
        <w:tc>
          <w:tcPr>
            <w:tcW w:w="2150" w:type="dxa"/>
            <w:vAlign w:val="center"/>
          </w:tcPr>
          <w:p>
            <w:pPr>
              <w:pStyle w:val="42"/>
              <w:jc w:val="center"/>
            </w:pPr>
            <w:r>
              <w:t>980</w:t>
            </w:r>
          </w:p>
        </w:tc>
      </w:tr>
    </w:tbl>
    <w:p>
      <w:pPr>
        <w:rPr>
          <w:rFonts w:cs="Times New Roman"/>
        </w:rPr>
        <w:sectPr>
          <w:pgSz w:w="11906" w:h="16838"/>
          <w:pgMar w:top="1440" w:right="1080" w:bottom="1440" w:left="1080" w:header="851" w:footer="992" w:gutter="0"/>
          <w:cols w:space="425" w:num="1"/>
          <w:docGrid w:type="lines" w:linePitch="312" w:charSpace="0"/>
        </w:sectPr>
      </w:pPr>
    </w:p>
    <w:p>
      <w:pPr>
        <w:pStyle w:val="2"/>
        <w:rPr>
          <w:rFonts w:cs="Times New Roman"/>
        </w:rPr>
        <w:sectPr>
          <w:footerReference r:id="rId13" w:type="first"/>
          <w:headerReference r:id="rId11" w:type="even"/>
          <w:footerReference r:id="rId12" w:type="even"/>
          <w:type w:val="continuous"/>
          <w:pgSz w:w="11906" w:h="16838"/>
          <w:pgMar w:top="1440" w:right="1080" w:bottom="1440" w:left="1080" w:header="851" w:footer="992" w:gutter="0"/>
          <w:cols w:space="425" w:num="1"/>
          <w:docGrid w:type="lines" w:linePitch="312" w:charSpace="0"/>
        </w:sectPr>
      </w:pPr>
    </w:p>
    <w:p>
      <w:pPr>
        <w:pStyle w:val="2"/>
      </w:pPr>
      <w:bookmarkStart w:id="79" w:name="_Toc505085904"/>
      <w:r>
        <w:t>附录G</w:t>
      </w:r>
      <w:r>
        <w:rPr>
          <w:rFonts w:hint="eastAsia"/>
        </w:rPr>
        <w:t xml:space="preserve"> </w:t>
      </w:r>
      <w:r>
        <w:t>火灾后钢筋混凝土力学性能</w:t>
      </w:r>
      <w:bookmarkEnd w:id="79"/>
    </w:p>
    <w:p>
      <w:pPr>
        <w:pStyle w:val="3"/>
      </w:pPr>
      <w:bookmarkStart w:id="80" w:name="_Toc505085905"/>
      <w:r>
        <w:t>G.1</w:t>
      </w:r>
      <w:r>
        <w:rPr>
          <w:rFonts w:hint="eastAsia"/>
        </w:rPr>
        <w:t xml:space="preserve"> 高温时和高温冷却后混凝土强度折减系数</w:t>
      </w:r>
      <w:bookmarkEnd w:id="80"/>
    </w:p>
    <w:p>
      <w:pPr>
        <w:spacing w:line="288" w:lineRule="auto"/>
        <w:ind w:right="266"/>
      </w:pPr>
      <w:r>
        <w:rPr>
          <w:b/>
          <w:szCs w:val="21"/>
        </w:rPr>
        <w:t>G.1.1</w:t>
      </w:r>
      <w:r>
        <w:rPr>
          <w:rFonts w:hint="eastAsia"/>
          <w:b/>
          <w:szCs w:val="21"/>
        </w:rPr>
        <w:t xml:space="preserve"> </w:t>
      </w:r>
      <w:r>
        <w:rPr>
          <w:rFonts w:hint="eastAsia"/>
        </w:rPr>
        <w:t>在进行初步调查后，根据火场温度确定的混凝土构件表面温度，可按表</w:t>
      </w:r>
      <w:r>
        <w:t>G.1</w:t>
      </w:r>
      <w:r>
        <w:rPr>
          <w:rFonts w:hint="eastAsia"/>
        </w:rPr>
        <w:t>.</w:t>
      </w:r>
      <w:r>
        <w:t>1</w:t>
      </w:r>
      <w:r>
        <w:rPr>
          <w:rFonts w:hint="eastAsia"/>
        </w:rPr>
        <w:t>-1~</w:t>
      </w:r>
      <w:r>
        <w:t>G.1</w:t>
      </w:r>
      <w:r>
        <w:rPr>
          <w:rFonts w:hint="eastAsia"/>
        </w:rPr>
        <w:t>.1-3的强度折减系数确定火灾后混凝土构件的实际强度。</w:t>
      </w:r>
    </w:p>
    <w:p>
      <w:pPr>
        <w:spacing w:line="288" w:lineRule="auto"/>
        <w:ind w:right="266"/>
        <w:rPr>
          <w:szCs w:val="21"/>
        </w:rPr>
      </w:pPr>
    </w:p>
    <w:p>
      <w:pPr>
        <w:spacing w:beforeLines="50" w:line="288" w:lineRule="auto"/>
        <w:ind w:right="266"/>
        <w:jc w:val="center"/>
        <w:rPr>
          <w:sz w:val="18"/>
          <w:szCs w:val="18"/>
        </w:rPr>
      </w:pPr>
      <w:r>
        <w:rPr>
          <w:rFonts w:eastAsia="黑体"/>
          <w:sz w:val="18"/>
          <w:szCs w:val="18"/>
        </w:rPr>
        <w:t>表G.1</w:t>
      </w:r>
      <w:r>
        <w:rPr>
          <w:rFonts w:hint="eastAsia" w:eastAsia="黑体"/>
          <w:sz w:val="18"/>
          <w:szCs w:val="18"/>
        </w:rPr>
        <w:t>.</w:t>
      </w:r>
      <w:r>
        <w:rPr>
          <w:rFonts w:eastAsia="黑体"/>
          <w:sz w:val="18"/>
          <w:szCs w:val="18"/>
        </w:rPr>
        <w:t>1</w:t>
      </w:r>
      <w:r>
        <w:rPr>
          <w:rFonts w:hint="eastAsia" w:eastAsia="黑体"/>
          <w:sz w:val="18"/>
          <w:szCs w:val="18"/>
        </w:rPr>
        <w:t>-1</w:t>
      </w:r>
      <w:r>
        <w:rPr>
          <w:rFonts w:eastAsia="黑体"/>
          <w:sz w:val="18"/>
          <w:szCs w:val="18"/>
        </w:rPr>
        <w:t>混凝土高温</w:t>
      </w:r>
      <w:r>
        <w:rPr>
          <w:rFonts w:hint="eastAsia" w:eastAsia="黑体"/>
          <w:sz w:val="18"/>
          <w:szCs w:val="18"/>
        </w:rPr>
        <w:t>时抗压强度</w:t>
      </w:r>
      <w:r>
        <w:rPr>
          <w:rFonts w:eastAsia="黑体"/>
          <w:sz w:val="18"/>
          <w:szCs w:val="18"/>
        </w:rPr>
        <w:t>折减系数</w:t>
      </w:r>
    </w:p>
    <w:tbl>
      <w:tblPr>
        <w:tblStyle w:val="24"/>
        <w:tblW w:w="79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704"/>
        <w:gridCol w:w="704"/>
        <w:gridCol w:w="705"/>
        <w:gridCol w:w="704"/>
        <w:gridCol w:w="704"/>
        <w:gridCol w:w="705"/>
        <w:gridCol w:w="704"/>
        <w:gridCol w:w="704"/>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8" w:type="dxa"/>
            <w:vAlign w:val="center"/>
          </w:tcPr>
          <w:p>
            <w:pPr>
              <w:pStyle w:val="42"/>
              <w:ind w:left="174" w:leftChars="83"/>
            </w:pPr>
            <w:r>
              <w:t>温度(</w:t>
            </w:r>
            <w:r>
              <w:rPr>
                <w:rFonts w:hint="eastAsia" w:ascii="宋体" w:hAnsi="宋体" w:cs="宋体"/>
              </w:rPr>
              <w:t>℃</w:t>
            </w:r>
            <w:r>
              <w:t>)</w:t>
            </w:r>
          </w:p>
        </w:tc>
        <w:tc>
          <w:tcPr>
            <w:tcW w:w="704" w:type="dxa"/>
            <w:vAlign w:val="center"/>
          </w:tcPr>
          <w:p>
            <w:pPr>
              <w:pStyle w:val="42"/>
            </w:pPr>
            <w:r>
              <w:t>室温</w:t>
            </w:r>
          </w:p>
        </w:tc>
        <w:tc>
          <w:tcPr>
            <w:tcW w:w="704" w:type="dxa"/>
            <w:vAlign w:val="center"/>
          </w:tcPr>
          <w:p>
            <w:pPr>
              <w:pStyle w:val="42"/>
            </w:pPr>
            <w:r>
              <w:rPr>
                <w:rFonts w:hint="eastAsia"/>
              </w:rPr>
              <w:t>100</w:t>
            </w:r>
          </w:p>
        </w:tc>
        <w:tc>
          <w:tcPr>
            <w:tcW w:w="705" w:type="dxa"/>
            <w:vAlign w:val="center"/>
          </w:tcPr>
          <w:p>
            <w:pPr>
              <w:pStyle w:val="42"/>
            </w:pPr>
            <w:r>
              <w:rPr>
                <w:rFonts w:hint="eastAsia"/>
              </w:rPr>
              <w:t>200</w:t>
            </w:r>
          </w:p>
        </w:tc>
        <w:tc>
          <w:tcPr>
            <w:tcW w:w="704" w:type="dxa"/>
            <w:vAlign w:val="center"/>
          </w:tcPr>
          <w:p>
            <w:pPr>
              <w:pStyle w:val="42"/>
            </w:pPr>
            <w:r>
              <w:t>300</w:t>
            </w:r>
          </w:p>
        </w:tc>
        <w:tc>
          <w:tcPr>
            <w:tcW w:w="704" w:type="dxa"/>
            <w:vAlign w:val="center"/>
          </w:tcPr>
          <w:p>
            <w:pPr>
              <w:pStyle w:val="42"/>
            </w:pPr>
            <w:r>
              <w:t>400</w:t>
            </w:r>
          </w:p>
        </w:tc>
        <w:tc>
          <w:tcPr>
            <w:tcW w:w="705" w:type="dxa"/>
            <w:vAlign w:val="center"/>
          </w:tcPr>
          <w:p>
            <w:pPr>
              <w:pStyle w:val="42"/>
            </w:pPr>
            <w:r>
              <w:t>500</w:t>
            </w:r>
          </w:p>
        </w:tc>
        <w:tc>
          <w:tcPr>
            <w:tcW w:w="704" w:type="dxa"/>
            <w:vAlign w:val="center"/>
          </w:tcPr>
          <w:p>
            <w:pPr>
              <w:pStyle w:val="42"/>
            </w:pPr>
            <w:r>
              <w:t>600</w:t>
            </w:r>
          </w:p>
        </w:tc>
        <w:tc>
          <w:tcPr>
            <w:tcW w:w="704" w:type="dxa"/>
            <w:vAlign w:val="center"/>
          </w:tcPr>
          <w:p>
            <w:pPr>
              <w:pStyle w:val="42"/>
            </w:pPr>
            <w:r>
              <w:t>700</w:t>
            </w:r>
          </w:p>
        </w:tc>
        <w:tc>
          <w:tcPr>
            <w:tcW w:w="705" w:type="dxa"/>
            <w:vAlign w:val="center"/>
          </w:tcPr>
          <w:p>
            <w:pPr>
              <w:pStyle w:val="42"/>
            </w:pPr>
            <w: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8" w:type="dxa"/>
            <w:vAlign w:val="center"/>
          </w:tcPr>
          <w:p>
            <w:pPr>
              <w:pStyle w:val="42"/>
            </w:pPr>
            <w:r>
              <w:rPr>
                <w:rFonts w:hint="eastAsia"/>
              </w:rPr>
              <w:t>普通</w:t>
            </w:r>
            <w:r>
              <w:t>混凝土</w:t>
            </w:r>
          </w:p>
        </w:tc>
        <w:tc>
          <w:tcPr>
            <w:tcW w:w="704" w:type="dxa"/>
            <w:vAlign w:val="center"/>
          </w:tcPr>
          <w:p>
            <w:pPr>
              <w:pStyle w:val="42"/>
            </w:pPr>
            <w:r>
              <w:t>1.00</w:t>
            </w:r>
          </w:p>
        </w:tc>
        <w:tc>
          <w:tcPr>
            <w:tcW w:w="704" w:type="dxa"/>
            <w:vAlign w:val="center"/>
          </w:tcPr>
          <w:p>
            <w:pPr>
              <w:pStyle w:val="42"/>
            </w:pPr>
            <w:r>
              <w:t>1.00</w:t>
            </w:r>
          </w:p>
        </w:tc>
        <w:tc>
          <w:tcPr>
            <w:tcW w:w="705" w:type="dxa"/>
            <w:vAlign w:val="center"/>
          </w:tcPr>
          <w:p>
            <w:pPr>
              <w:pStyle w:val="42"/>
            </w:pPr>
            <w:r>
              <w:t>1.00</w:t>
            </w:r>
          </w:p>
        </w:tc>
        <w:tc>
          <w:tcPr>
            <w:tcW w:w="704" w:type="dxa"/>
            <w:vAlign w:val="center"/>
          </w:tcPr>
          <w:p>
            <w:pPr>
              <w:pStyle w:val="42"/>
            </w:pPr>
            <w:r>
              <w:t>1.00</w:t>
            </w:r>
          </w:p>
        </w:tc>
        <w:tc>
          <w:tcPr>
            <w:tcW w:w="704" w:type="dxa"/>
            <w:vAlign w:val="center"/>
          </w:tcPr>
          <w:p>
            <w:pPr>
              <w:pStyle w:val="42"/>
            </w:pPr>
            <w:r>
              <w:t>0.</w:t>
            </w:r>
            <w:r>
              <w:rPr>
                <w:rFonts w:hint="eastAsia"/>
              </w:rPr>
              <w:t>80</w:t>
            </w:r>
          </w:p>
        </w:tc>
        <w:tc>
          <w:tcPr>
            <w:tcW w:w="705" w:type="dxa"/>
            <w:vAlign w:val="center"/>
          </w:tcPr>
          <w:p>
            <w:pPr>
              <w:pStyle w:val="42"/>
            </w:pPr>
            <w:r>
              <w:t>0.</w:t>
            </w:r>
            <w:r>
              <w:rPr>
                <w:rFonts w:hint="eastAsia"/>
              </w:rPr>
              <w:t>70</w:t>
            </w:r>
          </w:p>
        </w:tc>
        <w:tc>
          <w:tcPr>
            <w:tcW w:w="704" w:type="dxa"/>
            <w:vAlign w:val="center"/>
          </w:tcPr>
          <w:p>
            <w:pPr>
              <w:pStyle w:val="42"/>
            </w:pPr>
            <w:r>
              <w:t>0.</w:t>
            </w:r>
            <w:r>
              <w:rPr>
                <w:rFonts w:hint="eastAsia"/>
              </w:rPr>
              <w:t>60</w:t>
            </w:r>
          </w:p>
        </w:tc>
        <w:tc>
          <w:tcPr>
            <w:tcW w:w="704" w:type="dxa"/>
            <w:vAlign w:val="center"/>
          </w:tcPr>
          <w:p>
            <w:pPr>
              <w:pStyle w:val="42"/>
            </w:pPr>
            <w:r>
              <w:t>0.</w:t>
            </w:r>
            <w:r>
              <w:rPr>
                <w:rFonts w:hint="eastAsia"/>
              </w:rPr>
              <w:t>40</w:t>
            </w:r>
          </w:p>
        </w:tc>
        <w:tc>
          <w:tcPr>
            <w:tcW w:w="705" w:type="dxa"/>
            <w:vAlign w:val="center"/>
          </w:tcPr>
          <w:p>
            <w:pPr>
              <w:pStyle w:val="42"/>
            </w:pPr>
            <w:r>
              <w:t>0.</w:t>
            </w:r>
            <w:r>
              <w:rPr>
                <w:rFonts w:hint="eastAsia"/>
              </w:rPr>
              <w:t>20</w:t>
            </w:r>
          </w:p>
        </w:tc>
      </w:tr>
    </w:tbl>
    <w:p>
      <w:pPr>
        <w:spacing w:line="288" w:lineRule="auto"/>
        <w:ind w:right="266"/>
        <w:rPr>
          <w:szCs w:val="21"/>
        </w:rPr>
      </w:pPr>
    </w:p>
    <w:p>
      <w:pPr>
        <w:spacing w:beforeLines="50" w:line="288" w:lineRule="auto"/>
        <w:ind w:right="266"/>
        <w:jc w:val="center"/>
        <w:rPr>
          <w:rFonts w:eastAsia="黑体"/>
          <w:sz w:val="18"/>
          <w:szCs w:val="18"/>
        </w:rPr>
      </w:pPr>
      <w:r>
        <w:rPr>
          <w:rFonts w:eastAsia="黑体"/>
          <w:sz w:val="18"/>
          <w:szCs w:val="18"/>
        </w:rPr>
        <w:t>表G.1</w:t>
      </w:r>
      <w:r>
        <w:rPr>
          <w:rFonts w:hint="eastAsia" w:eastAsia="黑体"/>
          <w:sz w:val="18"/>
          <w:szCs w:val="18"/>
        </w:rPr>
        <w:t>.</w:t>
      </w:r>
      <w:r>
        <w:rPr>
          <w:rFonts w:eastAsia="黑体"/>
          <w:sz w:val="18"/>
          <w:szCs w:val="18"/>
        </w:rPr>
        <w:t>1</w:t>
      </w:r>
      <w:r>
        <w:rPr>
          <w:rFonts w:hint="eastAsia" w:eastAsia="黑体"/>
          <w:sz w:val="18"/>
          <w:szCs w:val="18"/>
        </w:rPr>
        <w:t>-2</w:t>
      </w:r>
      <w:r>
        <w:rPr>
          <w:rFonts w:eastAsia="黑体"/>
          <w:sz w:val="18"/>
          <w:szCs w:val="18"/>
        </w:rPr>
        <w:t>高温混凝土自然冷却后</w:t>
      </w:r>
      <w:r>
        <w:rPr>
          <w:rFonts w:hint="eastAsia" w:eastAsia="黑体"/>
          <w:sz w:val="18"/>
          <w:szCs w:val="18"/>
        </w:rPr>
        <w:t>抗压强度</w:t>
      </w:r>
      <w:r>
        <w:rPr>
          <w:rFonts w:eastAsia="黑体"/>
          <w:sz w:val="18"/>
          <w:szCs w:val="18"/>
        </w:rPr>
        <w:t>折减系数</w:t>
      </w:r>
    </w:p>
    <w:tbl>
      <w:tblPr>
        <w:tblStyle w:val="24"/>
        <w:tblW w:w="76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704"/>
        <w:gridCol w:w="704"/>
        <w:gridCol w:w="705"/>
        <w:gridCol w:w="704"/>
        <w:gridCol w:w="704"/>
        <w:gridCol w:w="705"/>
        <w:gridCol w:w="704"/>
        <w:gridCol w:w="704"/>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Align w:val="center"/>
          </w:tcPr>
          <w:p>
            <w:pPr>
              <w:pStyle w:val="42"/>
            </w:pPr>
            <w:r>
              <w:t>温度(</w:t>
            </w:r>
            <w:r>
              <w:rPr>
                <w:rFonts w:hint="eastAsia" w:ascii="宋体" w:hAnsi="宋体" w:cs="宋体"/>
              </w:rPr>
              <w:t>℃</w:t>
            </w:r>
            <w:r>
              <w:t>)</w:t>
            </w:r>
          </w:p>
        </w:tc>
        <w:tc>
          <w:tcPr>
            <w:tcW w:w="704" w:type="dxa"/>
            <w:vAlign w:val="center"/>
          </w:tcPr>
          <w:p>
            <w:pPr>
              <w:pStyle w:val="42"/>
            </w:pPr>
            <w:r>
              <w:t>室温</w:t>
            </w:r>
          </w:p>
        </w:tc>
        <w:tc>
          <w:tcPr>
            <w:tcW w:w="704" w:type="dxa"/>
            <w:vAlign w:val="center"/>
          </w:tcPr>
          <w:p>
            <w:pPr>
              <w:pStyle w:val="42"/>
            </w:pPr>
            <w:r>
              <w:rPr>
                <w:rFonts w:hint="eastAsia"/>
              </w:rPr>
              <w:t>100</w:t>
            </w:r>
          </w:p>
        </w:tc>
        <w:tc>
          <w:tcPr>
            <w:tcW w:w="705" w:type="dxa"/>
            <w:vAlign w:val="center"/>
          </w:tcPr>
          <w:p>
            <w:pPr>
              <w:pStyle w:val="42"/>
            </w:pPr>
            <w:r>
              <w:rPr>
                <w:rFonts w:hint="eastAsia"/>
              </w:rPr>
              <w:t>200</w:t>
            </w:r>
          </w:p>
        </w:tc>
        <w:tc>
          <w:tcPr>
            <w:tcW w:w="704" w:type="dxa"/>
            <w:vAlign w:val="center"/>
          </w:tcPr>
          <w:p>
            <w:pPr>
              <w:pStyle w:val="42"/>
            </w:pPr>
            <w:r>
              <w:t>300</w:t>
            </w:r>
          </w:p>
        </w:tc>
        <w:tc>
          <w:tcPr>
            <w:tcW w:w="704" w:type="dxa"/>
            <w:vAlign w:val="center"/>
          </w:tcPr>
          <w:p>
            <w:pPr>
              <w:pStyle w:val="42"/>
            </w:pPr>
            <w:r>
              <w:t>400</w:t>
            </w:r>
          </w:p>
        </w:tc>
        <w:tc>
          <w:tcPr>
            <w:tcW w:w="705" w:type="dxa"/>
            <w:vAlign w:val="center"/>
          </w:tcPr>
          <w:p>
            <w:pPr>
              <w:pStyle w:val="42"/>
            </w:pPr>
            <w:r>
              <w:t>500</w:t>
            </w:r>
          </w:p>
        </w:tc>
        <w:tc>
          <w:tcPr>
            <w:tcW w:w="704" w:type="dxa"/>
            <w:vAlign w:val="center"/>
          </w:tcPr>
          <w:p>
            <w:pPr>
              <w:pStyle w:val="42"/>
            </w:pPr>
            <w:r>
              <w:t>600</w:t>
            </w:r>
          </w:p>
        </w:tc>
        <w:tc>
          <w:tcPr>
            <w:tcW w:w="704" w:type="dxa"/>
            <w:vAlign w:val="center"/>
          </w:tcPr>
          <w:p>
            <w:pPr>
              <w:pStyle w:val="42"/>
            </w:pPr>
            <w:r>
              <w:t>700</w:t>
            </w:r>
          </w:p>
        </w:tc>
        <w:tc>
          <w:tcPr>
            <w:tcW w:w="705" w:type="dxa"/>
            <w:vAlign w:val="center"/>
          </w:tcPr>
          <w:p>
            <w:pPr>
              <w:pStyle w:val="42"/>
            </w:pPr>
            <w: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Align w:val="center"/>
          </w:tcPr>
          <w:p>
            <w:pPr>
              <w:pStyle w:val="42"/>
            </w:pPr>
            <w:r>
              <w:rPr>
                <w:rFonts w:hint="eastAsia"/>
              </w:rPr>
              <w:t>普通</w:t>
            </w:r>
            <w:r>
              <w:t>混凝土</w:t>
            </w:r>
          </w:p>
        </w:tc>
        <w:tc>
          <w:tcPr>
            <w:tcW w:w="704" w:type="dxa"/>
            <w:vAlign w:val="center"/>
          </w:tcPr>
          <w:p>
            <w:pPr>
              <w:pStyle w:val="42"/>
            </w:pPr>
            <w:r>
              <w:t>1.00</w:t>
            </w:r>
          </w:p>
        </w:tc>
        <w:tc>
          <w:tcPr>
            <w:tcW w:w="704" w:type="dxa"/>
            <w:vAlign w:val="center"/>
          </w:tcPr>
          <w:p>
            <w:pPr>
              <w:pStyle w:val="42"/>
              <w:rPr>
                <w:b/>
              </w:rPr>
            </w:pPr>
            <w:r>
              <w:rPr>
                <w:rFonts w:hint="eastAsia"/>
                <w:b/>
              </w:rPr>
              <w:t>0.90</w:t>
            </w:r>
          </w:p>
        </w:tc>
        <w:tc>
          <w:tcPr>
            <w:tcW w:w="705" w:type="dxa"/>
            <w:vAlign w:val="center"/>
          </w:tcPr>
          <w:p>
            <w:pPr>
              <w:pStyle w:val="42"/>
              <w:rPr>
                <w:b/>
              </w:rPr>
            </w:pPr>
            <w:r>
              <w:rPr>
                <w:rFonts w:hint="eastAsia"/>
                <w:b/>
              </w:rPr>
              <w:t>0.85</w:t>
            </w:r>
          </w:p>
        </w:tc>
        <w:tc>
          <w:tcPr>
            <w:tcW w:w="704" w:type="dxa"/>
            <w:vAlign w:val="center"/>
          </w:tcPr>
          <w:p>
            <w:pPr>
              <w:pStyle w:val="42"/>
            </w:pPr>
            <w:r>
              <w:t>0.</w:t>
            </w:r>
            <w:r>
              <w:rPr>
                <w:rFonts w:hint="eastAsia"/>
              </w:rPr>
              <w:t>80</w:t>
            </w:r>
          </w:p>
        </w:tc>
        <w:tc>
          <w:tcPr>
            <w:tcW w:w="704" w:type="dxa"/>
            <w:vAlign w:val="center"/>
          </w:tcPr>
          <w:p>
            <w:pPr>
              <w:pStyle w:val="42"/>
            </w:pPr>
            <w:r>
              <w:t>0.</w:t>
            </w:r>
            <w:r>
              <w:rPr>
                <w:rFonts w:hint="eastAsia"/>
              </w:rPr>
              <w:t>70</w:t>
            </w:r>
          </w:p>
        </w:tc>
        <w:tc>
          <w:tcPr>
            <w:tcW w:w="705" w:type="dxa"/>
            <w:vAlign w:val="center"/>
          </w:tcPr>
          <w:p>
            <w:pPr>
              <w:pStyle w:val="42"/>
            </w:pPr>
            <w:r>
              <w:t>0.</w:t>
            </w:r>
            <w:r>
              <w:rPr>
                <w:rFonts w:hint="eastAsia"/>
              </w:rPr>
              <w:t>60</w:t>
            </w:r>
          </w:p>
        </w:tc>
        <w:tc>
          <w:tcPr>
            <w:tcW w:w="704" w:type="dxa"/>
            <w:vAlign w:val="center"/>
          </w:tcPr>
          <w:p>
            <w:pPr>
              <w:pStyle w:val="42"/>
              <w:rPr>
                <w:b/>
              </w:rPr>
            </w:pPr>
            <w:r>
              <w:rPr>
                <w:b/>
              </w:rPr>
              <w:t>0.</w:t>
            </w:r>
            <w:r>
              <w:rPr>
                <w:rFonts w:hint="eastAsia"/>
                <w:b/>
              </w:rPr>
              <w:t>40</w:t>
            </w:r>
          </w:p>
        </w:tc>
        <w:tc>
          <w:tcPr>
            <w:tcW w:w="704" w:type="dxa"/>
            <w:vAlign w:val="center"/>
          </w:tcPr>
          <w:p>
            <w:pPr>
              <w:pStyle w:val="42"/>
              <w:rPr>
                <w:b/>
              </w:rPr>
            </w:pPr>
            <w:r>
              <w:rPr>
                <w:b/>
              </w:rPr>
              <w:t>0.</w:t>
            </w:r>
            <w:r>
              <w:rPr>
                <w:rFonts w:hint="eastAsia"/>
                <w:b/>
              </w:rPr>
              <w:t>30</w:t>
            </w:r>
          </w:p>
        </w:tc>
        <w:tc>
          <w:tcPr>
            <w:tcW w:w="705" w:type="dxa"/>
            <w:vAlign w:val="center"/>
          </w:tcPr>
          <w:p>
            <w:pPr>
              <w:pStyle w:val="42"/>
              <w:rPr>
                <w:b/>
              </w:rPr>
            </w:pPr>
            <w:r>
              <w:rPr>
                <w:b/>
              </w:rPr>
              <w:t>0.</w:t>
            </w:r>
            <w:r>
              <w:rPr>
                <w:rFonts w:hint="eastAsia"/>
                <w:b/>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Align w:val="center"/>
          </w:tcPr>
          <w:p>
            <w:pPr>
              <w:pStyle w:val="42"/>
            </w:pPr>
            <w:r>
              <w:rPr>
                <w:rFonts w:hint="eastAsia"/>
              </w:rPr>
              <w:t>高强</w:t>
            </w:r>
            <w:r>
              <w:t>混凝土</w:t>
            </w:r>
          </w:p>
        </w:tc>
        <w:tc>
          <w:tcPr>
            <w:tcW w:w="704" w:type="dxa"/>
            <w:vAlign w:val="center"/>
          </w:tcPr>
          <w:p>
            <w:pPr>
              <w:pStyle w:val="42"/>
            </w:pPr>
            <w:r>
              <w:rPr>
                <w:rFonts w:hint="eastAsia"/>
              </w:rPr>
              <w:t>1.00</w:t>
            </w:r>
          </w:p>
        </w:tc>
        <w:tc>
          <w:tcPr>
            <w:tcW w:w="704" w:type="dxa"/>
            <w:vAlign w:val="center"/>
          </w:tcPr>
          <w:p>
            <w:pPr>
              <w:pStyle w:val="42"/>
              <w:rPr>
                <w:b/>
              </w:rPr>
            </w:pPr>
            <w:r>
              <w:rPr>
                <w:rFonts w:hint="eastAsia"/>
                <w:b/>
              </w:rPr>
              <w:t>0.85</w:t>
            </w:r>
          </w:p>
        </w:tc>
        <w:tc>
          <w:tcPr>
            <w:tcW w:w="705" w:type="dxa"/>
            <w:vAlign w:val="center"/>
          </w:tcPr>
          <w:p>
            <w:pPr>
              <w:pStyle w:val="42"/>
              <w:rPr>
                <w:b/>
              </w:rPr>
            </w:pPr>
            <w:r>
              <w:rPr>
                <w:rFonts w:hint="eastAsia"/>
                <w:b/>
              </w:rPr>
              <w:t>0.75</w:t>
            </w:r>
          </w:p>
        </w:tc>
        <w:tc>
          <w:tcPr>
            <w:tcW w:w="704" w:type="dxa"/>
            <w:vAlign w:val="center"/>
          </w:tcPr>
          <w:p>
            <w:pPr>
              <w:pStyle w:val="42"/>
              <w:rPr>
                <w:b/>
              </w:rPr>
            </w:pPr>
            <w:r>
              <w:rPr>
                <w:rFonts w:hint="eastAsia"/>
                <w:b/>
              </w:rPr>
              <w:t>0.70</w:t>
            </w:r>
          </w:p>
        </w:tc>
        <w:tc>
          <w:tcPr>
            <w:tcW w:w="704" w:type="dxa"/>
            <w:vAlign w:val="center"/>
          </w:tcPr>
          <w:p>
            <w:pPr>
              <w:pStyle w:val="42"/>
              <w:rPr>
                <w:b/>
              </w:rPr>
            </w:pPr>
            <w:r>
              <w:rPr>
                <w:rFonts w:hint="eastAsia"/>
                <w:b/>
              </w:rPr>
              <w:t>0.60</w:t>
            </w:r>
          </w:p>
        </w:tc>
        <w:tc>
          <w:tcPr>
            <w:tcW w:w="705" w:type="dxa"/>
            <w:vAlign w:val="center"/>
          </w:tcPr>
          <w:p>
            <w:pPr>
              <w:pStyle w:val="42"/>
              <w:rPr>
                <w:b/>
              </w:rPr>
            </w:pPr>
            <w:r>
              <w:rPr>
                <w:rFonts w:hint="eastAsia"/>
                <w:b/>
              </w:rPr>
              <w:t>0.50</w:t>
            </w:r>
          </w:p>
        </w:tc>
        <w:tc>
          <w:tcPr>
            <w:tcW w:w="704" w:type="dxa"/>
            <w:vAlign w:val="center"/>
          </w:tcPr>
          <w:p>
            <w:pPr>
              <w:pStyle w:val="42"/>
              <w:rPr>
                <w:b/>
              </w:rPr>
            </w:pPr>
            <w:r>
              <w:rPr>
                <w:rFonts w:hint="eastAsia"/>
                <w:b/>
              </w:rPr>
              <w:t>0.35</w:t>
            </w:r>
          </w:p>
        </w:tc>
        <w:tc>
          <w:tcPr>
            <w:tcW w:w="704" w:type="dxa"/>
            <w:vAlign w:val="center"/>
          </w:tcPr>
          <w:p>
            <w:pPr>
              <w:pStyle w:val="42"/>
              <w:rPr>
                <w:b/>
              </w:rPr>
            </w:pPr>
            <w:r>
              <w:rPr>
                <w:rFonts w:hint="eastAsia"/>
                <w:b/>
              </w:rPr>
              <w:t>0.25</w:t>
            </w:r>
          </w:p>
        </w:tc>
        <w:tc>
          <w:tcPr>
            <w:tcW w:w="705" w:type="dxa"/>
            <w:vAlign w:val="center"/>
          </w:tcPr>
          <w:p>
            <w:pPr>
              <w:pStyle w:val="42"/>
              <w:rPr>
                <w:b/>
              </w:rPr>
            </w:pPr>
            <w:r>
              <w:rPr>
                <w:rFonts w:hint="eastAsia"/>
                <w:b/>
              </w:rPr>
              <w:t>0.15</w:t>
            </w:r>
          </w:p>
        </w:tc>
      </w:tr>
    </w:tbl>
    <w:p>
      <w:pPr>
        <w:spacing w:beforeLines="50" w:line="288" w:lineRule="auto"/>
        <w:ind w:right="266"/>
        <w:jc w:val="center"/>
        <w:rPr>
          <w:rFonts w:eastAsia="黑体"/>
          <w:sz w:val="18"/>
          <w:szCs w:val="18"/>
        </w:rPr>
      </w:pPr>
      <w:r>
        <w:rPr>
          <w:rFonts w:eastAsia="黑体"/>
          <w:sz w:val="18"/>
          <w:szCs w:val="18"/>
        </w:rPr>
        <w:t>表</w:t>
      </w:r>
      <w:r>
        <w:rPr>
          <w:rFonts w:hint="eastAsia" w:eastAsia="黑体"/>
          <w:sz w:val="18"/>
          <w:szCs w:val="18"/>
        </w:rPr>
        <w:t>G</w:t>
      </w:r>
      <w:r>
        <w:rPr>
          <w:rFonts w:eastAsia="黑体"/>
          <w:sz w:val="18"/>
          <w:szCs w:val="18"/>
        </w:rPr>
        <w:t>.1</w:t>
      </w:r>
      <w:r>
        <w:rPr>
          <w:rFonts w:hint="eastAsia" w:eastAsia="黑体"/>
          <w:sz w:val="18"/>
          <w:szCs w:val="18"/>
        </w:rPr>
        <w:t>.</w:t>
      </w:r>
      <w:r>
        <w:rPr>
          <w:rFonts w:eastAsia="黑体"/>
          <w:sz w:val="18"/>
          <w:szCs w:val="18"/>
        </w:rPr>
        <w:t>1</w:t>
      </w:r>
      <w:r>
        <w:rPr>
          <w:rFonts w:hint="eastAsia" w:eastAsia="黑体"/>
          <w:sz w:val="18"/>
          <w:szCs w:val="18"/>
        </w:rPr>
        <w:t>-3</w:t>
      </w:r>
      <w:r>
        <w:rPr>
          <w:rFonts w:eastAsia="黑体"/>
          <w:sz w:val="18"/>
          <w:szCs w:val="18"/>
        </w:rPr>
        <w:t>高温混凝土</w:t>
      </w:r>
      <w:r>
        <w:rPr>
          <w:rFonts w:hint="eastAsia" w:eastAsia="黑体"/>
          <w:sz w:val="18"/>
          <w:szCs w:val="18"/>
        </w:rPr>
        <w:t>水</w:t>
      </w:r>
      <w:r>
        <w:rPr>
          <w:rFonts w:eastAsia="黑体"/>
          <w:sz w:val="18"/>
          <w:szCs w:val="18"/>
        </w:rPr>
        <w:t>冷却后</w:t>
      </w:r>
      <w:r>
        <w:rPr>
          <w:rFonts w:hint="eastAsia" w:eastAsia="黑体"/>
          <w:sz w:val="18"/>
          <w:szCs w:val="18"/>
        </w:rPr>
        <w:t>抗压强度</w:t>
      </w:r>
      <w:r>
        <w:rPr>
          <w:rFonts w:eastAsia="黑体"/>
          <w:sz w:val="18"/>
          <w:szCs w:val="18"/>
        </w:rPr>
        <w:t>折减系数</w:t>
      </w:r>
    </w:p>
    <w:tbl>
      <w:tblPr>
        <w:tblStyle w:val="24"/>
        <w:tblW w:w="76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704"/>
        <w:gridCol w:w="704"/>
        <w:gridCol w:w="705"/>
        <w:gridCol w:w="704"/>
        <w:gridCol w:w="704"/>
        <w:gridCol w:w="705"/>
        <w:gridCol w:w="704"/>
        <w:gridCol w:w="704"/>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Align w:val="center"/>
          </w:tcPr>
          <w:p>
            <w:pPr>
              <w:pStyle w:val="42"/>
            </w:pPr>
            <w:r>
              <w:t>温度(</w:t>
            </w:r>
            <w:r>
              <w:rPr>
                <w:rFonts w:hint="eastAsia" w:ascii="宋体" w:hAnsi="宋体" w:cs="宋体"/>
              </w:rPr>
              <w:t>℃</w:t>
            </w:r>
            <w:r>
              <w:t>)</w:t>
            </w:r>
          </w:p>
        </w:tc>
        <w:tc>
          <w:tcPr>
            <w:tcW w:w="704" w:type="dxa"/>
            <w:vAlign w:val="center"/>
          </w:tcPr>
          <w:p>
            <w:pPr>
              <w:pStyle w:val="42"/>
            </w:pPr>
            <w:r>
              <w:t>室温</w:t>
            </w:r>
          </w:p>
        </w:tc>
        <w:tc>
          <w:tcPr>
            <w:tcW w:w="704" w:type="dxa"/>
            <w:vAlign w:val="center"/>
          </w:tcPr>
          <w:p>
            <w:pPr>
              <w:pStyle w:val="42"/>
            </w:pPr>
            <w:r>
              <w:rPr>
                <w:rFonts w:hint="eastAsia"/>
              </w:rPr>
              <w:t>100</w:t>
            </w:r>
          </w:p>
        </w:tc>
        <w:tc>
          <w:tcPr>
            <w:tcW w:w="705" w:type="dxa"/>
            <w:vAlign w:val="center"/>
          </w:tcPr>
          <w:p>
            <w:pPr>
              <w:pStyle w:val="42"/>
            </w:pPr>
            <w:r>
              <w:rPr>
                <w:rFonts w:hint="eastAsia"/>
              </w:rPr>
              <w:t>200</w:t>
            </w:r>
          </w:p>
        </w:tc>
        <w:tc>
          <w:tcPr>
            <w:tcW w:w="704" w:type="dxa"/>
            <w:vAlign w:val="center"/>
          </w:tcPr>
          <w:p>
            <w:pPr>
              <w:pStyle w:val="42"/>
            </w:pPr>
            <w:r>
              <w:t>300</w:t>
            </w:r>
          </w:p>
        </w:tc>
        <w:tc>
          <w:tcPr>
            <w:tcW w:w="704" w:type="dxa"/>
            <w:vAlign w:val="center"/>
          </w:tcPr>
          <w:p>
            <w:pPr>
              <w:pStyle w:val="42"/>
            </w:pPr>
            <w:r>
              <w:t>400</w:t>
            </w:r>
          </w:p>
        </w:tc>
        <w:tc>
          <w:tcPr>
            <w:tcW w:w="705" w:type="dxa"/>
            <w:vAlign w:val="center"/>
          </w:tcPr>
          <w:p>
            <w:pPr>
              <w:pStyle w:val="42"/>
            </w:pPr>
            <w:r>
              <w:t>500</w:t>
            </w:r>
          </w:p>
        </w:tc>
        <w:tc>
          <w:tcPr>
            <w:tcW w:w="704" w:type="dxa"/>
            <w:vAlign w:val="center"/>
          </w:tcPr>
          <w:p>
            <w:pPr>
              <w:pStyle w:val="42"/>
            </w:pPr>
            <w:r>
              <w:t>600</w:t>
            </w:r>
          </w:p>
        </w:tc>
        <w:tc>
          <w:tcPr>
            <w:tcW w:w="704" w:type="dxa"/>
            <w:vAlign w:val="center"/>
          </w:tcPr>
          <w:p>
            <w:pPr>
              <w:pStyle w:val="42"/>
            </w:pPr>
            <w:r>
              <w:t>700</w:t>
            </w:r>
          </w:p>
        </w:tc>
        <w:tc>
          <w:tcPr>
            <w:tcW w:w="705" w:type="dxa"/>
            <w:vAlign w:val="center"/>
          </w:tcPr>
          <w:p>
            <w:pPr>
              <w:pStyle w:val="42"/>
            </w:pPr>
            <w: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94" w:type="dxa"/>
            <w:vAlign w:val="center"/>
          </w:tcPr>
          <w:p>
            <w:pPr>
              <w:pStyle w:val="42"/>
            </w:pPr>
            <w:r>
              <w:rPr>
                <w:rFonts w:hint="eastAsia"/>
              </w:rPr>
              <w:t>普通</w:t>
            </w:r>
            <w:r>
              <w:t>混凝土</w:t>
            </w:r>
          </w:p>
        </w:tc>
        <w:tc>
          <w:tcPr>
            <w:tcW w:w="704" w:type="dxa"/>
            <w:vAlign w:val="center"/>
          </w:tcPr>
          <w:p>
            <w:pPr>
              <w:pStyle w:val="42"/>
            </w:pPr>
            <w:r>
              <w:t>1.00</w:t>
            </w:r>
          </w:p>
        </w:tc>
        <w:tc>
          <w:tcPr>
            <w:tcW w:w="704" w:type="dxa"/>
            <w:vAlign w:val="center"/>
          </w:tcPr>
          <w:p>
            <w:pPr>
              <w:pStyle w:val="42"/>
              <w:rPr>
                <w:b/>
              </w:rPr>
            </w:pPr>
            <w:r>
              <w:rPr>
                <w:rFonts w:hint="eastAsia"/>
                <w:b/>
              </w:rPr>
              <w:t>0.90</w:t>
            </w:r>
          </w:p>
        </w:tc>
        <w:tc>
          <w:tcPr>
            <w:tcW w:w="705" w:type="dxa"/>
            <w:vAlign w:val="center"/>
          </w:tcPr>
          <w:p>
            <w:pPr>
              <w:pStyle w:val="42"/>
              <w:rPr>
                <w:b/>
              </w:rPr>
            </w:pPr>
            <w:r>
              <w:rPr>
                <w:rFonts w:hint="eastAsia"/>
                <w:b/>
              </w:rPr>
              <w:t>0.80</w:t>
            </w:r>
          </w:p>
        </w:tc>
        <w:tc>
          <w:tcPr>
            <w:tcW w:w="704" w:type="dxa"/>
            <w:vAlign w:val="center"/>
          </w:tcPr>
          <w:p>
            <w:pPr>
              <w:pStyle w:val="42"/>
            </w:pPr>
            <w:r>
              <w:t>0.</w:t>
            </w:r>
            <w:r>
              <w:rPr>
                <w:rFonts w:hint="eastAsia"/>
              </w:rPr>
              <w:t>70</w:t>
            </w:r>
          </w:p>
        </w:tc>
        <w:tc>
          <w:tcPr>
            <w:tcW w:w="704" w:type="dxa"/>
            <w:vAlign w:val="center"/>
          </w:tcPr>
          <w:p>
            <w:pPr>
              <w:pStyle w:val="42"/>
            </w:pPr>
            <w:r>
              <w:t>0.</w:t>
            </w:r>
            <w:r>
              <w:rPr>
                <w:rFonts w:hint="eastAsia"/>
              </w:rPr>
              <w:t>60</w:t>
            </w:r>
          </w:p>
        </w:tc>
        <w:tc>
          <w:tcPr>
            <w:tcW w:w="705" w:type="dxa"/>
            <w:vAlign w:val="center"/>
          </w:tcPr>
          <w:p>
            <w:pPr>
              <w:pStyle w:val="42"/>
            </w:pPr>
            <w:r>
              <w:t>0.</w:t>
            </w:r>
            <w:r>
              <w:rPr>
                <w:rFonts w:hint="eastAsia"/>
              </w:rPr>
              <w:t>50</w:t>
            </w:r>
          </w:p>
        </w:tc>
        <w:tc>
          <w:tcPr>
            <w:tcW w:w="704" w:type="dxa"/>
            <w:vAlign w:val="center"/>
          </w:tcPr>
          <w:p>
            <w:pPr>
              <w:pStyle w:val="42"/>
              <w:rPr>
                <w:b/>
              </w:rPr>
            </w:pPr>
            <w:r>
              <w:rPr>
                <w:b/>
              </w:rPr>
              <w:t>0.</w:t>
            </w:r>
            <w:r>
              <w:rPr>
                <w:rFonts w:hint="eastAsia"/>
                <w:b/>
              </w:rPr>
              <w:t>35</w:t>
            </w:r>
          </w:p>
        </w:tc>
        <w:tc>
          <w:tcPr>
            <w:tcW w:w="704" w:type="dxa"/>
            <w:vAlign w:val="center"/>
          </w:tcPr>
          <w:p>
            <w:pPr>
              <w:pStyle w:val="42"/>
              <w:rPr>
                <w:b/>
              </w:rPr>
            </w:pPr>
            <w:r>
              <w:rPr>
                <w:b/>
              </w:rPr>
              <w:t>0.</w:t>
            </w:r>
            <w:r>
              <w:rPr>
                <w:rFonts w:hint="eastAsia"/>
                <w:b/>
              </w:rPr>
              <w:t>20</w:t>
            </w:r>
          </w:p>
        </w:tc>
        <w:tc>
          <w:tcPr>
            <w:tcW w:w="705" w:type="dxa"/>
            <w:vAlign w:val="center"/>
          </w:tcPr>
          <w:p>
            <w:pPr>
              <w:pStyle w:val="42"/>
            </w:pPr>
            <w:r>
              <w:t>0.</w:t>
            </w:r>
            <w:r>
              <w:rPr>
                <w:rFonts w:hint="eastAsia"/>
              </w:rPr>
              <w:t>10</w:t>
            </w:r>
          </w:p>
        </w:tc>
      </w:tr>
    </w:tbl>
    <w:p>
      <w:pPr>
        <w:ind w:firstLine="900" w:firstLineChars="500"/>
        <w:jc w:val="left"/>
        <w:rPr>
          <w:sz w:val="18"/>
          <w:szCs w:val="18"/>
        </w:rPr>
      </w:pPr>
      <w:r>
        <w:rPr>
          <w:rFonts w:hint="eastAsia"/>
          <w:sz w:val="18"/>
          <w:szCs w:val="18"/>
        </w:rPr>
        <w:t>注：当温度在两者之间时，采用线性插入法进行内插。</w:t>
      </w:r>
    </w:p>
    <w:p>
      <w:pPr>
        <w:pStyle w:val="3"/>
      </w:pPr>
      <w:bookmarkStart w:id="81" w:name="_Toc505085906"/>
      <w:r>
        <w:t xml:space="preserve">G.2 </w:t>
      </w:r>
      <w:r>
        <w:rPr>
          <w:rFonts w:hint="eastAsia"/>
        </w:rPr>
        <w:t>高温时和高温冷却后钢筋（普通及高强）强度折减系数</w:t>
      </w:r>
      <w:bookmarkEnd w:id="81"/>
    </w:p>
    <w:p>
      <w:pPr>
        <w:spacing w:line="288" w:lineRule="auto"/>
        <w:ind w:right="-51"/>
        <w:rPr>
          <w:szCs w:val="21"/>
        </w:rPr>
      </w:pPr>
      <w:r>
        <w:rPr>
          <w:rFonts w:hint="eastAsia"/>
          <w:b/>
          <w:szCs w:val="21"/>
        </w:rPr>
        <w:t>G</w:t>
      </w:r>
      <w:r>
        <w:rPr>
          <w:b/>
          <w:szCs w:val="21"/>
        </w:rPr>
        <w:t xml:space="preserve">.2.1 </w:t>
      </w:r>
      <w:r>
        <w:rPr>
          <w:szCs w:val="21"/>
        </w:rPr>
        <w:t>H</w:t>
      </w:r>
      <w:r>
        <w:rPr>
          <w:rFonts w:hint="eastAsia"/>
          <w:szCs w:val="21"/>
        </w:rPr>
        <w:t>P</w:t>
      </w:r>
      <w:r>
        <w:rPr>
          <w:szCs w:val="21"/>
        </w:rPr>
        <w:t>B</w:t>
      </w:r>
      <w:r>
        <w:rPr>
          <w:rFonts w:hint="eastAsia"/>
          <w:szCs w:val="21"/>
        </w:rPr>
        <w:t>2</w:t>
      </w:r>
      <w:r>
        <w:rPr>
          <w:szCs w:val="21"/>
        </w:rPr>
        <w:t>35钢筋</w:t>
      </w:r>
      <w:r>
        <w:rPr>
          <w:rFonts w:hint="eastAsia"/>
          <w:szCs w:val="21"/>
        </w:rPr>
        <w:t>、</w:t>
      </w:r>
      <w:r>
        <w:rPr>
          <w:szCs w:val="21"/>
        </w:rPr>
        <w:t>HRB335钢筋</w:t>
      </w:r>
      <w:r>
        <w:rPr>
          <w:rFonts w:hint="eastAsia"/>
          <w:szCs w:val="21"/>
        </w:rPr>
        <w:t>和</w:t>
      </w:r>
      <w:r>
        <w:rPr>
          <w:szCs w:val="21"/>
        </w:rPr>
        <w:t>HRB</w:t>
      </w:r>
      <w:r>
        <w:rPr>
          <w:rFonts w:hint="eastAsia"/>
          <w:szCs w:val="21"/>
        </w:rPr>
        <w:t>400</w:t>
      </w:r>
      <w:r>
        <w:rPr>
          <w:szCs w:val="21"/>
        </w:rPr>
        <w:t>钢筋</w:t>
      </w:r>
      <w:r>
        <w:rPr>
          <w:rFonts w:hint="eastAsia"/>
          <w:szCs w:val="21"/>
        </w:rPr>
        <w:t>高温时及高温冷却后的屈服强度折减系数按表G</w:t>
      </w:r>
      <w:r>
        <w:rPr>
          <w:szCs w:val="21"/>
        </w:rPr>
        <w:t>.2</w:t>
      </w:r>
      <w:r>
        <w:rPr>
          <w:rFonts w:hint="eastAsia"/>
          <w:szCs w:val="21"/>
        </w:rPr>
        <w:t>.</w:t>
      </w:r>
      <w:r>
        <w:rPr>
          <w:szCs w:val="21"/>
        </w:rPr>
        <w:t>1</w:t>
      </w:r>
      <w:r>
        <w:rPr>
          <w:rFonts w:hint="eastAsia"/>
          <w:szCs w:val="21"/>
        </w:rPr>
        <w:t>-1和</w:t>
      </w:r>
      <w:r>
        <w:rPr>
          <w:szCs w:val="21"/>
        </w:rPr>
        <w:t>表</w:t>
      </w:r>
      <w:r>
        <w:rPr>
          <w:rFonts w:hint="eastAsia"/>
          <w:szCs w:val="21"/>
        </w:rPr>
        <w:t>G</w:t>
      </w:r>
      <w:r>
        <w:rPr>
          <w:szCs w:val="21"/>
        </w:rPr>
        <w:t>.2</w:t>
      </w:r>
      <w:r>
        <w:rPr>
          <w:rFonts w:hint="eastAsia"/>
          <w:szCs w:val="21"/>
        </w:rPr>
        <w:t>.1-2确定。</w:t>
      </w:r>
    </w:p>
    <w:p>
      <w:pPr>
        <w:spacing w:beforeLines="50" w:line="288" w:lineRule="auto"/>
        <w:ind w:right="266"/>
        <w:jc w:val="center"/>
        <w:rPr>
          <w:rFonts w:eastAsia="黑体"/>
          <w:sz w:val="18"/>
          <w:szCs w:val="18"/>
        </w:rPr>
      </w:pPr>
      <w:r>
        <w:rPr>
          <w:rFonts w:eastAsia="黑体"/>
          <w:sz w:val="18"/>
          <w:szCs w:val="18"/>
        </w:rPr>
        <w:t>表</w:t>
      </w:r>
      <w:r>
        <w:rPr>
          <w:rFonts w:hint="eastAsia" w:eastAsia="黑体"/>
          <w:sz w:val="18"/>
          <w:szCs w:val="18"/>
        </w:rPr>
        <w:t>G</w:t>
      </w:r>
      <w:r>
        <w:rPr>
          <w:rFonts w:eastAsia="黑体"/>
          <w:sz w:val="18"/>
          <w:szCs w:val="18"/>
        </w:rPr>
        <w:t>.2</w:t>
      </w:r>
      <w:r>
        <w:rPr>
          <w:rFonts w:hint="eastAsia" w:eastAsia="黑体"/>
          <w:sz w:val="18"/>
          <w:szCs w:val="18"/>
        </w:rPr>
        <w:t>.</w:t>
      </w:r>
      <w:r>
        <w:rPr>
          <w:rFonts w:eastAsia="黑体"/>
          <w:sz w:val="18"/>
          <w:szCs w:val="18"/>
        </w:rPr>
        <w:t>1</w:t>
      </w:r>
      <w:r>
        <w:rPr>
          <w:rFonts w:hint="eastAsia" w:eastAsia="黑体"/>
          <w:sz w:val="18"/>
          <w:szCs w:val="18"/>
        </w:rPr>
        <w:t>-1</w:t>
      </w:r>
      <w:r>
        <w:rPr>
          <w:rFonts w:eastAsia="黑体"/>
          <w:sz w:val="18"/>
          <w:szCs w:val="18"/>
        </w:rPr>
        <w:t>高</w:t>
      </w:r>
      <w:r>
        <w:rPr>
          <w:rFonts w:hint="eastAsia" w:eastAsia="黑体"/>
          <w:sz w:val="18"/>
          <w:szCs w:val="18"/>
        </w:rPr>
        <w:t>温时</w:t>
      </w:r>
      <w:r>
        <w:rPr>
          <w:rFonts w:eastAsia="黑体"/>
          <w:sz w:val="18"/>
          <w:szCs w:val="18"/>
        </w:rPr>
        <w:t>钢筋</w:t>
      </w:r>
      <w:r>
        <w:rPr>
          <w:rFonts w:hint="eastAsia" w:eastAsia="黑体"/>
          <w:sz w:val="18"/>
          <w:szCs w:val="18"/>
        </w:rPr>
        <w:t>屈服</w:t>
      </w:r>
      <w:r>
        <w:rPr>
          <w:rFonts w:eastAsia="黑体"/>
          <w:sz w:val="18"/>
          <w:szCs w:val="18"/>
        </w:rPr>
        <w:t>强度</w:t>
      </w:r>
      <w:r>
        <w:rPr>
          <w:rFonts w:hint="eastAsia" w:eastAsia="黑体"/>
          <w:sz w:val="18"/>
          <w:szCs w:val="18"/>
        </w:rPr>
        <w:t>折减系数</w:t>
      </w:r>
    </w:p>
    <w:tbl>
      <w:tblPr>
        <w:tblStyle w:val="24"/>
        <w:tblW w:w="94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886"/>
        <w:gridCol w:w="887"/>
        <w:gridCol w:w="887"/>
        <w:gridCol w:w="887"/>
        <w:gridCol w:w="887"/>
        <w:gridCol w:w="887"/>
        <w:gridCol w:w="887"/>
        <w:gridCol w:w="887"/>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0" w:type="dxa"/>
            <w:tcBorders>
              <w:tl2br w:val="single" w:color="auto" w:sz="4" w:space="0"/>
            </w:tcBorders>
          </w:tcPr>
          <w:p>
            <w:pPr>
              <w:pStyle w:val="42"/>
              <w:spacing w:line="240" w:lineRule="auto"/>
              <w:jc w:val="right"/>
            </w:pPr>
            <w:r>
              <w:t>温度(</w:t>
            </w:r>
            <w:r>
              <w:rPr>
                <w:rFonts w:hint="eastAsia" w:ascii="宋体" w:hAnsi="宋体" w:cs="宋体"/>
              </w:rPr>
              <w:t>℃</w:t>
            </w:r>
            <w:r>
              <w:t>)</w:t>
            </w:r>
          </w:p>
          <w:p>
            <w:pPr>
              <w:pStyle w:val="42"/>
              <w:spacing w:line="240" w:lineRule="auto"/>
            </w:pPr>
            <w:r>
              <w:t>钢筋种类</w:t>
            </w:r>
          </w:p>
        </w:tc>
        <w:tc>
          <w:tcPr>
            <w:tcW w:w="886" w:type="dxa"/>
            <w:vAlign w:val="center"/>
          </w:tcPr>
          <w:p>
            <w:pPr>
              <w:pStyle w:val="42"/>
              <w:spacing w:line="240" w:lineRule="auto"/>
            </w:pPr>
            <w:r>
              <w:t>常温</w:t>
            </w:r>
          </w:p>
        </w:tc>
        <w:tc>
          <w:tcPr>
            <w:tcW w:w="887" w:type="dxa"/>
            <w:vAlign w:val="center"/>
          </w:tcPr>
          <w:p>
            <w:pPr>
              <w:pStyle w:val="42"/>
              <w:spacing w:line="240" w:lineRule="auto"/>
            </w:pPr>
            <w:r>
              <w:rPr>
                <w:rFonts w:hint="eastAsia"/>
              </w:rPr>
              <w:t>100</w:t>
            </w:r>
          </w:p>
        </w:tc>
        <w:tc>
          <w:tcPr>
            <w:tcW w:w="887" w:type="dxa"/>
            <w:vAlign w:val="center"/>
          </w:tcPr>
          <w:p>
            <w:pPr>
              <w:pStyle w:val="42"/>
              <w:spacing w:line="240" w:lineRule="auto"/>
            </w:pPr>
            <w:r>
              <w:rPr>
                <w:rFonts w:hint="eastAsia"/>
              </w:rPr>
              <w:t>200</w:t>
            </w:r>
          </w:p>
        </w:tc>
        <w:tc>
          <w:tcPr>
            <w:tcW w:w="887" w:type="dxa"/>
            <w:vAlign w:val="center"/>
          </w:tcPr>
          <w:p>
            <w:pPr>
              <w:pStyle w:val="42"/>
              <w:spacing w:line="240" w:lineRule="auto"/>
            </w:pPr>
            <w:r>
              <w:t>300</w:t>
            </w:r>
          </w:p>
        </w:tc>
        <w:tc>
          <w:tcPr>
            <w:tcW w:w="887" w:type="dxa"/>
            <w:vAlign w:val="center"/>
          </w:tcPr>
          <w:p>
            <w:pPr>
              <w:pStyle w:val="42"/>
              <w:spacing w:line="240" w:lineRule="auto"/>
            </w:pPr>
            <w:r>
              <w:t>400</w:t>
            </w:r>
          </w:p>
        </w:tc>
        <w:tc>
          <w:tcPr>
            <w:tcW w:w="887" w:type="dxa"/>
            <w:vAlign w:val="center"/>
          </w:tcPr>
          <w:p>
            <w:pPr>
              <w:pStyle w:val="42"/>
              <w:spacing w:line="240" w:lineRule="auto"/>
            </w:pPr>
            <w:r>
              <w:t>500</w:t>
            </w:r>
          </w:p>
        </w:tc>
        <w:tc>
          <w:tcPr>
            <w:tcW w:w="887" w:type="dxa"/>
            <w:vAlign w:val="center"/>
          </w:tcPr>
          <w:p>
            <w:pPr>
              <w:pStyle w:val="42"/>
              <w:spacing w:line="240" w:lineRule="auto"/>
            </w:pPr>
            <w:r>
              <w:t>600</w:t>
            </w:r>
          </w:p>
        </w:tc>
        <w:tc>
          <w:tcPr>
            <w:tcW w:w="887" w:type="dxa"/>
            <w:vAlign w:val="center"/>
          </w:tcPr>
          <w:p>
            <w:pPr>
              <w:pStyle w:val="42"/>
              <w:spacing w:line="240" w:lineRule="auto"/>
            </w:pPr>
            <w:r>
              <w:t>700</w:t>
            </w:r>
          </w:p>
        </w:tc>
        <w:tc>
          <w:tcPr>
            <w:tcW w:w="887" w:type="dxa"/>
            <w:vAlign w:val="center"/>
          </w:tcPr>
          <w:p>
            <w:pPr>
              <w:pStyle w:val="42"/>
              <w:spacing w:line="240" w:lineRule="auto"/>
            </w:pPr>
            <w:r>
              <w:rPr>
                <w:rFonts w:hint="eastAsia"/>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0" w:type="dxa"/>
          </w:tcPr>
          <w:p>
            <w:pPr>
              <w:pStyle w:val="42"/>
              <w:spacing w:line="240" w:lineRule="auto"/>
            </w:pPr>
            <w:r>
              <w:t>H</w:t>
            </w:r>
            <w:r>
              <w:rPr>
                <w:rFonts w:hint="eastAsia"/>
              </w:rPr>
              <w:t>P</w:t>
            </w:r>
            <w:r>
              <w:t>B</w:t>
            </w:r>
            <w:r>
              <w:rPr>
                <w:rFonts w:hint="eastAsia"/>
              </w:rPr>
              <w:t>2</w:t>
            </w:r>
            <w:r>
              <w:t>35钢筋</w:t>
            </w:r>
          </w:p>
        </w:tc>
        <w:tc>
          <w:tcPr>
            <w:tcW w:w="886" w:type="dxa"/>
            <w:vAlign w:val="center"/>
          </w:tcPr>
          <w:p>
            <w:pPr>
              <w:pStyle w:val="42"/>
              <w:spacing w:line="240" w:lineRule="auto"/>
            </w:pPr>
            <w:r>
              <w:t>1.00</w:t>
            </w:r>
          </w:p>
        </w:tc>
        <w:tc>
          <w:tcPr>
            <w:tcW w:w="887" w:type="dxa"/>
            <w:vAlign w:val="center"/>
          </w:tcPr>
          <w:p>
            <w:pPr>
              <w:pStyle w:val="42"/>
              <w:spacing w:line="240" w:lineRule="auto"/>
              <w:rPr>
                <w:b/>
              </w:rPr>
            </w:pPr>
            <w:r>
              <w:rPr>
                <w:rFonts w:hint="eastAsia"/>
                <w:b/>
              </w:rPr>
              <w:t>0.95</w:t>
            </w:r>
          </w:p>
        </w:tc>
        <w:tc>
          <w:tcPr>
            <w:tcW w:w="887" w:type="dxa"/>
            <w:vAlign w:val="center"/>
          </w:tcPr>
          <w:p>
            <w:pPr>
              <w:pStyle w:val="42"/>
              <w:spacing w:line="240" w:lineRule="auto"/>
              <w:rPr>
                <w:b/>
              </w:rPr>
            </w:pPr>
            <w:r>
              <w:rPr>
                <w:rFonts w:hint="eastAsia"/>
                <w:b/>
              </w:rPr>
              <w:t>0.85</w:t>
            </w:r>
          </w:p>
        </w:tc>
        <w:tc>
          <w:tcPr>
            <w:tcW w:w="887" w:type="dxa"/>
            <w:vAlign w:val="center"/>
          </w:tcPr>
          <w:p>
            <w:pPr>
              <w:pStyle w:val="42"/>
              <w:spacing w:line="240" w:lineRule="auto"/>
              <w:rPr>
                <w:b/>
              </w:rPr>
            </w:pPr>
            <w:r>
              <w:rPr>
                <w:rFonts w:hint="eastAsia"/>
                <w:b/>
              </w:rPr>
              <w:t>0.70</w:t>
            </w:r>
          </w:p>
        </w:tc>
        <w:tc>
          <w:tcPr>
            <w:tcW w:w="887" w:type="dxa"/>
            <w:vAlign w:val="center"/>
          </w:tcPr>
          <w:p>
            <w:pPr>
              <w:pStyle w:val="42"/>
              <w:spacing w:line="240" w:lineRule="auto"/>
            </w:pPr>
            <w:r>
              <w:rPr>
                <w:rFonts w:hint="eastAsia"/>
              </w:rPr>
              <w:t>0.60</w:t>
            </w:r>
          </w:p>
        </w:tc>
        <w:tc>
          <w:tcPr>
            <w:tcW w:w="887" w:type="dxa"/>
            <w:vAlign w:val="center"/>
          </w:tcPr>
          <w:p>
            <w:pPr>
              <w:pStyle w:val="42"/>
              <w:spacing w:line="240" w:lineRule="auto"/>
            </w:pPr>
            <w:r>
              <w:rPr>
                <w:rFonts w:hint="eastAsia"/>
              </w:rPr>
              <w:t>0.50</w:t>
            </w:r>
          </w:p>
        </w:tc>
        <w:tc>
          <w:tcPr>
            <w:tcW w:w="887" w:type="dxa"/>
            <w:vAlign w:val="center"/>
          </w:tcPr>
          <w:p>
            <w:pPr>
              <w:pStyle w:val="42"/>
              <w:spacing w:line="240" w:lineRule="auto"/>
            </w:pPr>
            <w:r>
              <w:rPr>
                <w:rFonts w:hint="eastAsia"/>
              </w:rPr>
              <w:t>0.30</w:t>
            </w:r>
          </w:p>
        </w:tc>
        <w:tc>
          <w:tcPr>
            <w:tcW w:w="887" w:type="dxa"/>
            <w:vAlign w:val="center"/>
          </w:tcPr>
          <w:p>
            <w:pPr>
              <w:pStyle w:val="42"/>
              <w:spacing w:line="240" w:lineRule="auto"/>
            </w:pPr>
            <w:r>
              <w:rPr>
                <w:rFonts w:hint="eastAsia"/>
              </w:rPr>
              <w:t>0.10</w:t>
            </w:r>
          </w:p>
        </w:tc>
        <w:tc>
          <w:tcPr>
            <w:tcW w:w="887" w:type="dxa"/>
            <w:vAlign w:val="center"/>
          </w:tcPr>
          <w:p>
            <w:pPr>
              <w:pStyle w:val="42"/>
              <w:spacing w:line="240" w:lineRule="auto"/>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0" w:type="dxa"/>
          </w:tcPr>
          <w:p>
            <w:pPr>
              <w:pStyle w:val="42"/>
              <w:spacing w:line="240" w:lineRule="auto"/>
            </w:pPr>
            <w:r>
              <w:t>HRB335钢筋</w:t>
            </w:r>
          </w:p>
        </w:tc>
        <w:tc>
          <w:tcPr>
            <w:tcW w:w="886" w:type="dxa"/>
            <w:vAlign w:val="center"/>
          </w:tcPr>
          <w:p>
            <w:pPr>
              <w:pStyle w:val="42"/>
              <w:spacing w:line="240" w:lineRule="auto"/>
            </w:pPr>
            <w:r>
              <w:t>1.00</w:t>
            </w:r>
          </w:p>
        </w:tc>
        <w:tc>
          <w:tcPr>
            <w:tcW w:w="887" w:type="dxa"/>
            <w:vAlign w:val="center"/>
          </w:tcPr>
          <w:p>
            <w:pPr>
              <w:pStyle w:val="42"/>
              <w:spacing w:line="240" w:lineRule="auto"/>
            </w:pPr>
            <w:r>
              <w:t>1.00</w:t>
            </w:r>
          </w:p>
        </w:tc>
        <w:tc>
          <w:tcPr>
            <w:tcW w:w="887" w:type="dxa"/>
            <w:vAlign w:val="center"/>
          </w:tcPr>
          <w:p>
            <w:pPr>
              <w:pStyle w:val="42"/>
              <w:spacing w:line="240" w:lineRule="auto"/>
            </w:pPr>
            <w:r>
              <w:t>1.00</w:t>
            </w:r>
          </w:p>
        </w:tc>
        <w:tc>
          <w:tcPr>
            <w:tcW w:w="887" w:type="dxa"/>
            <w:vAlign w:val="center"/>
          </w:tcPr>
          <w:p>
            <w:pPr>
              <w:pStyle w:val="42"/>
              <w:spacing w:line="240" w:lineRule="auto"/>
            </w:pPr>
            <w:r>
              <w:rPr>
                <w:rFonts w:hint="eastAsia"/>
              </w:rPr>
              <w:t>0.80</w:t>
            </w:r>
          </w:p>
        </w:tc>
        <w:tc>
          <w:tcPr>
            <w:tcW w:w="887" w:type="dxa"/>
            <w:vAlign w:val="center"/>
          </w:tcPr>
          <w:p>
            <w:pPr>
              <w:pStyle w:val="42"/>
              <w:spacing w:line="240" w:lineRule="auto"/>
            </w:pPr>
            <w:r>
              <w:rPr>
                <w:rFonts w:hint="eastAsia"/>
              </w:rPr>
              <w:t>0.70</w:t>
            </w:r>
          </w:p>
        </w:tc>
        <w:tc>
          <w:tcPr>
            <w:tcW w:w="887" w:type="dxa"/>
            <w:vAlign w:val="center"/>
          </w:tcPr>
          <w:p>
            <w:pPr>
              <w:pStyle w:val="42"/>
              <w:spacing w:line="240" w:lineRule="auto"/>
            </w:pPr>
            <w:r>
              <w:rPr>
                <w:rFonts w:hint="eastAsia"/>
              </w:rPr>
              <w:t>0.60</w:t>
            </w:r>
          </w:p>
        </w:tc>
        <w:tc>
          <w:tcPr>
            <w:tcW w:w="887" w:type="dxa"/>
            <w:vAlign w:val="center"/>
          </w:tcPr>
          <w:p>
            <w:pPr>
              <w:pStyle w:val="42"/>
              <w:spacing w:line="240" w:lineRule="auto"/>
            </w:pPr>
            <w:r>
              <w:rPr>
                <w:rFonts w:hint="eastAsia"/>
              </w:rPr>
              <w:t>0.40</w:t>
            </w:r>
          </w:p>
        </w:tc>
        <w:tc>
          <w:tcPr>
            <w:tcW w:w="887" w:type="dxa"/>
            <w:vAlign w:val="center"/>
          </w:tcPr>
          <w:p>
            <w:pPr>
              <w:pStyle w:val="42"/>
              <w:spacing w:line="240" w:lineRule="auto"/>
            </w:pPr>
            <w:r>
              <w:rPr>
                <w:rFonts w:hint="eastAsia"/>
              </w:rPr>
              <w:t>0.25</w:t>
            </w:r>
          </w:p>
        </w:tc>
        <w:tc>
          <w:tcPr>
            <w:tcW w:w="887" w:type="dxa"/>
            <w:vAlign w:val="center"/>
          </w:tcPr>
          <w:p>
            <w:pPr>
              <w:pStyle w:val="42"/>
              <w:spacing w:line="240" w:lineRule="auto"/>
            </w:pPr>
            <w:r>
              <w:rPr>
                <w:rFonts w:hint="eastAsia"/>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0" w:type="dxa"/>
          </w:tcPr>
          <w:p>
            <w:pPr>
              <w:pStyle w:val="42"/>
              <w:spacing w:line="240" w:lineRule="auto"/>
            </w:pPr>
            <w:r>
              <w:t>HRB</w:t>
            </w:r>
            <w:r>
              <w:rPr>
                <w:rFonts w:hint="eastAsia"/>
              </w:rPr>
              <w:t>400</w:t>
            </w:r>
            <w:r>
              <w:t>钢筋</w:t>
            </w:r>
          </w:p>
        </w:tc>
        <w:tc>
          <w:tcPr>
            <w:tcW w:w="886" w:type="dxa"/>
            <w:vAlign w:val="center"/>
          </w:tcPr>
          <w:p>
            <w:pPr>
              <w:pStyle w:val="42"/>
              <w:spacing w:line="240" w:lineRule="auto"/>
            </w:pPr>
            <w:r>
              <w:t>1.00</w:t>
            </w:r>
          </w:p>
        </w:tc>
        <w:tc>
          <w:tcPr>
            <w:tcW w:w="887" w:type="dxa"/>
            <w:vAlign w:val="center"/>
          </w:tcPr>
          <w:p>
            <w:pPr>
              <w:pStyle w:val="42"/>
              <w:spacing w:line="240" w:lineRule="auto"/>
              <w:rPr>
                <w:b/>
              </w:rPr>
            </w:pPr>
            <w:r>
              <w:rPr>
                <w:rFonts w:hint="eastAsia"/>
                <w:b/>
              </w:rPr>
              <w:t>0.95</w:t>
            </w:r>
          </w:p>
        </w:tc>
        <w:tc>
          <w:tcPr>
            <w:tcW w:w="887" w:type="dxa"/>
            <w:vAlign w:val="center"/>
          </w:tcPr>
          <w:p>
            <w:pPr>
              <w:pStyle w:val="42"/>
              <w:spacing w:line="240" w:lineRule="auto"/>
              <w:rPr>
                <w:b/>
              </w:rPr>
            </w:pPr>
            <w:r>
              <w:rPr>
                <w:rFonts w:hint="eastAsia"/>
                <w:b/>
              </w:rPr>
              <w:t>0.90</w:t>
            </w:r>
          </w:p>
        </w:tc>
        <w:tc>
          <w:tcPr>
            <w:tcW w:w="887" w:type="dxa"/>
            <w:vAlign w:val="center"/>
          </w:tcPr>
          <w:p>
            <w:pPr>
              <w:pStyle w:val="42"/>
              <w:spacing w:line="240" w:lineRule="auto"/>
              <w:rPr>
                <w:b/>
              </w:rPr>
            </w:pPr>
            <w:r>
              <w:rPr>
                <w:rFonts w:hint="eastAsia"/>
                <w:b/>
              </w:rPr>
              <w:t>0.85</w:t>
            </w:r>
          </w:p>
        </w:tc>
        <w:tc>
          <w:tcPr>
            <w:tcW w:w="887" w:type="dxa"/>
            <w:vAlign w:val="center"/>
          </w:tcPr>
          <w:p>
            <w:pPr>
              <w:pStyle w:val="42"/>
              <w:spacing w:line="240" w:lineRule="auto"/>
              <w:rPr>
                <w:b/>
              </w:rPr>
            </w:pPr>
            <w:r>
              <w:rPr>
                <w:rFonts w:hint="eastAsia"/>
                <w:b/>
              </w:rPr>
              <w:t>0.70</w:t>
            </w:r>
          </w:p>
        </w:tc>
        <w:tc>
          <w:tcPr>
            <w:tcW w:w="887" w:type="dxa"/>
            <w:vAlign w:val="center"/>
          </w:tcPr>
          <w:p>
            <w:pPr>
              <w:pStyle w:val="42"/>
              <w:spacing w:line="240" w:lineRule="auto"/>
              <w:rPr>
                <w:b/>
              </w:rPr>
            </w:pPr>
            <w:r>
              <w:rPr>
                <w:rFonts w:hint="eastAsia"/>
                <w:b/>
              </w:rPr>
              <w:t>0.50</w:t>
            </w:r>
          </w:p>
        </w:tc>
        <w:tc>
          <w:tcPr>
            <w:tcW w:w="887" w:type="dxa"/>
            <w:vAlign w:val="center"/>
          </w:tcPr>
          <w:p>
            <w:pPr>
              <w:pStyle w:val="42"/>
              <w:spacing w:line="240" w:lineRule="auto"/>
              <w:rPr>
                <w:b/>
              </w:rPr>
            </w:pPr>
            <w:r>
              <w:rPr>
                <w:rFonts w:hint="eastAsia"/>
                <w:b/>
              </w:rPr>
              <w:t>0.35</w:t>
            </w:r>
          </w:p>
        </w:tc>
        <w:tc>
          <w:tcPr>
            <w:tcW w:w="887" w:type="dxa"/>
            <w:vAlign w:val="center"/>
          </w:tcPr>
          <w:p>
            <w:pPr>
              <w:pStyle w:val="42"/>
              <w:spacing w:line="240" w:lineRule="auto"/>
              <w:rPr>
                <w:b/>
              </w:rPr>
            </w:pPr>
            <w:r>
              <w:rPr>
                <w:rFonts w:hint="eastAsia"/>
                <w:b/>
              </w:rPr>
              <w:t>0.20</w:t>
            </w:r>
          </w:p>
        </w:tc>
        <w:tc>
          <w:tcPr>
            <w:tcW w:w="887" w:type="dxa"/>
            <w:vAlign w:val="center"/>
          </w:tcPr>
          <w:p>
            <w:pPr>
              <w:pStyle w:val="42"/>
              <w:spacing w:line="240" w:lineRule="auto"/>
              <w:rPr>
                <w:b/>
              </w:rPr>
            </w:pPr>
            <w:r>
              <w:rPr>
                <w:rFonts w:hint="eastAsia"/>
                <w:b/>
              </w:rPr>
              <w:t>-</w:t>
            </w:r>
          </w:p>
        </w:tc>
      </w:tr>
    </w:tbl>
    <w:p>
      <w:pPr>
        <w:jc w:val="center"/>
        <w:rPr>
          <w:rFonts w:eastAsia="黑体"/>
          <w:sz w:val="18"/>
          <w:szCs w:val="18"/>
        </w:rPr>
      </w:pPr>
      <w:r>
        <w:rPr>
          <w:rFonts w:hint="eastAsia"/>
        </w:rPr>
        <w:t xml:space="preserve">  </w:t>
      </w:r>
      <w:r>
        <w:rPr>
          <w:rFonts w:eastAsia="黑体"/>
          <w:sz w:val="18"/>
          <w:szCs w:val="18"/>
        </w:rPr>
        <w:t>表</w:t>
      </w:r>
      <w:r>
        <w:rPr>
          <w:rFonts w:hint="eastAsia" w:eastAsia="黑体"/>
          <w:sz w:val="18"/>
          <w:szCs w:val="18"/>
        </w:rPr>
        <w:t>G</w:t>
      </w:r>
      <w:r>
        <w:rPr>
          <w:rFonts w:eastAsia="黑体"/>
          <w:sz w:val="18"/>
          <w:szCs w:val="18"/>
        </w:rPr>
        <w:t>.2</w:t>
      </w:r>
      <w:r>
        <w:rPr>
          <w:rFonts w:hint="eastAsia" w:eastAsia="黑体"/>
          <w:sz w:val="18"/>
          <w:szCs w:val="18"/>
        </w:rPr>
        <w:t>.</w:t>
      </w:r>
      <w:r>
        <w:rPr>
          <w:rFonts w:eastAsia="黑体"/>
          <w:sz w:val="18"/>
          <w:szCs w:val="18"/>
        </w:rPr>
        <w:t>1</w:t>
      </w:r>
      <w:r>
        <w:rPr>
          <w:rFonts w:hint="eastAsia" w:eastAsia="黑体"/>
          <w:sz w:val="18"/>
          <w:szCs w:val="18"/>
        </w:rPr>
        <w:t>-2</w:t>
      </w:r>
      <w:r>
        <w:rPr>
          <w:rFonts w:eastAsia="黑体"/>
          <w:sz w:val="18"/>
          <w:szCs w:val="18"/>
        </w:rPr>
        <w:t>高</w:t>
      </w:r>
      <w:r>
        <w:rPr>
          <w:rFonts w:hint="eastAsia" w:eastAsia="黑体"/>
          <w:sz w:val="18"/>
          <w:szCs w:val="18"/>
        </w:rPr>
        <w:t>温冷却后</w:t>
      </w:r>
      <w:r>
        <w:rPr>
          <w:rFonts w:eastAsia="黑体"/>
          <w:sz w:val="18"/>
          <w:szCs w:val="18"/>
        </w:rPr>
        <w:t>钢筋</w:t>
      </w:r>
      <w:r>
        <w:rPr>
          <w:rFonts w:hint="eastAsia" w:eastAsia="黑体"/>
          <w:sz w:val="18"/>
          <w:szCs w:val="18"/>
        </w:rPr>
        <w:t>屈服</w:t>
      </w:r>
      <w:r>
        <w:rPr>
          <w:rFonts w:eastAsia="黑体"/>
          <w:sz w:val="18"/>
          <w:szCs w:val="18"/>
        </w:rPr>
        <w:t>强度</w:t>
      </w:r>
      <w:r>
        <w:rPr>
          <w:rFonts w:hint="eastAsia" w:eastAsia="黑体"/>
          <w:sz w:val="18"/>
          <w:szCs w:val="18"/>
        </w:rPr>
        <w:t>折减系数</w:t>
      </w:r>
    </w:p>
    <w:tbl>
      <w:tblPr>
        <w:tblStyle w:val="24"/>
        <w:tblW w:w="100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684"/>
        <w:gridCol w:w="684"/>
        <w:gridCol w:w="684"/>
        <w:gridCol w:w="685"/>
        <w:gridCol w:w="684"/>
        <w:gridCol w:w="684"/>
        <w:gridCol w:w="684"/>
        <w:gridCol w:w="685"/>
        <w:gridCol w:w="684"/>
        <w:gridCol w:w="684"/>
        <w:gridCol w:w="684"/>
        <w:gridCol w:w="685"/>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1" w:type="dxa"/>
            <w:tcBorders>
              <w:tl2br w:val="single" w:color="auto" w:sz="4" w:space="0"/>
            </w:tcBorders>
          </w:tcPr>
          <w:p>
            <w:pPr>
              <w:pStyle w:val="42"/>
              <w:spacing w:line="240" w:lineRule="auto"/>
              <w:jc w:val="right"/>
            </w:pPr>
            <w:r>
              <w:t>温度(</w:t>
            </w:r>
            <w:r>
              <w:rPr>
                <w:rFonts w:hint="eastAsia" w:ascii="宋体" w:hAnsi="宋体" w:cs="宋体"/>
              </w:rPr>
              <w:t>℃</w:t>
            </w:r>
            <w:r>
              <w:t>)</w:t>
            </w:r>
          </w:p>
          <w:p>
            <w:pPr>
              <w:pStyle w:val="42"/>
              <w:spacing w:line="240" w:lineRule="auto"/>
              <w:jc w:val="right"/>
            </w:pPr>
          </w:p>
          <w:p>
            <w:pPr>
              <w:pStyle w:val="42"/>
              <w:spacing w:line="240" w:lineRule="auto"/>
            </w:pPr>
            <w:r>
              <w:t>钢筋种类</w:t>
            </w:r>
          </w:p>
        </w:tc>
        <w:tc>
          <w:tcPr>
            <w:tcW w:w="684" w:type="dxa"/>
            <w:vAlign w:val="center"/>
          </w:tcPr>
          <w:p>
            <w:pPr>
              <w:pStyle w:val="42"/>
              <w:spacing w:line="240" w:lineRule="auto"/>
            </w:pPr>
            <w:r>
              <w:t>常温</w:t>
            </w:r>
          </w:p>
        </w:tc>
        <w:tc>
          <w:tcPr>
            <w:tcW w:w="684" w:type="dxa"/>
            <w:vAlign w:val="center"/>
          </w:tcPr>
          <w:p>
            <w:pPr>
              <w:pStyle w:val="42"/>
              <w:spacing w:line="240" w:lineRule="auto"/>
            </w:pPr>
            <w:r>
              <w:rPr>
                <w:rFonts w:hint="eastAsia"/>
              </w:rPr>
              <w:t>100</w:t>
            </w:r>
          </w:p>
        </w:tc>
        <w:tc>
          <w:tcPr>
            <w:tcW w:w="684" w:type="dxa"/>
            <w:vAlign w:val="center"/>
          </w:tcPr>
          <w:p>
            <w:pPr>
              <w:pStyle w:val="42"/>
              <w:spacing w:line="240" w:lineRule="auto"/>
            </w:pPr>
            <w:r>
              <w:rPr>
                <w:rFonts w:hint="eastAsia"/>
              </w:rPr>
              <w:t>200</w:t>
            </w:r>
          </w:p>
        </w:tc>
        <w:tc>
          <w:tcPr>
            <w:tcW w:w="685" w:type="dxa"/>
            <w:vAlign w:val="center"/>
          </w:tcPr>
          <w:p>
            <w:pPr>
              <w:pStyle w:val="42"/>
              <w:spacing w:line="240" w:lineRule="auto"/>
            </w:pPr>
            <w:r>
              <w:rPr>
                <w:rFonts w:hint="eastAsia"/>
              </w:rPr>
              <w:t>250</w:t>
            </w:r>
          </w:p>
        </w:tc>
        <w:tc>
          <w:tcPr>
            <w:tcW w:w="684" w:type="dxa"/>
            <w:vAlign w:val="center"/>
          </w:tcPr>
          <w:p>
            <w:pPr>
              <w:pStyle w:val="42"/>
              <w:spacing w:line="240" w:lineRule="auto"/>
            </w:pPr>
            <w:r>
              <w:t>300</w:t>
            </w:r>
          </w:p>
        </w:tc>
        <w:tc>
          <w:tcPr>
            <w:tcW w:w="684" w:type="dxa"/>
            <w:vAlign w:val="center"/>
          </w:tcPr>
          <w:p>
            <w:pPr>
              <w:pStyle w:val="42"/>
              <w:spacing w:line="240" w:lineRule="auto"/>
            </w:pPr>
            <w:r>
              <w:rPr>
                <w:rFonts w:hint="eastAsia"/>
              </w:rPr>
              <w:t>350</w:t>
            </w:r>
          </w:p>
        </w:tc>
        <w:tc>
          <w:tcPr>
            <w:tcW w:w="684" w:type="dxa"/>
            <w:vAlign w:val="center"/>
          </w:tcPr>
          <w:p>
            <w:pPr>
              <w:pStyle w:val="42"/>
              <w:spacing w:line="240" w:lineRule="auto"/>
            </w:pPr>
            <w:r>
              <w:t>400</w:t>
            </w:r>
          </w:p>
        </w:tc>
        <w:tc>
          <w:tcPr>
            <w:tcW w:w="685" w:type="dxa"/>
            <w:vAlign w:val="center"/>
          </w:tcPr>
          <w:p>
            <w:pPr>
              <w:pStyle w:val="42"/>
              <w:spacing w:line="240" w:lineRule="auto"/>
            </w:pPr>
            <w:r>
              <w:rPr>
                <w:rFonts w:hint="eastAsia"/>
              </w:rPr>
              <w:t>450</w:t>
            </w:r>
          </w:p>
        </w:tc>
        <w:tc>
          <w:tcPr>
            <w:tcW w:w="684" w:type="dxa"/>
            <w:vAlign w:val="center"/>
          </w:tcPr>
          <w:p>
            <w:pPr>
              <w:pStyle w:val="42"/>
              <w:spacing w:line="240" w:lineRule="auto"/>
            </w:pPr>
            <w:r>
              <w:t>500</w:t>
            </w:r>
          </w:p>
        </w:tc>
        <w:tc>
          <w:tcPr>
            <w:tcW w:w="684" w:type="dxa"/>
            <w:vAlign w:val="center"/>
          </w:tcPr>
          <w:p>
            <w:pPr>
              <w:pStyle w:val="42"/>
              <w:spacing w:line="240" w:lineRule="auto"/>
            </w:pPr>
            <w:r>
              <w:t>600</w:t>
            </w:r>
          </w:p>
        </w:tc>
        <w:tc>
          <w:tcPr>
            <w:tcW w:w="684" w:type="dxa"/>
            <w:vAlign w:val="center"/>
          </w:tcPr>
          <w:p>
            <w:pPr>
              <w:pStyle w:val="42"/>
              <w:spacing w:line="240" w:lineRule="auto"/>
            </w:pPr>
            <w:r>
              <w:t>700</w:t>
            </w:r>
          </w:p>
        </w:tc>
        <w:tc>
          <w:tcPr>
            <w:tcW w:w="685" w:type="dxa"/>
            <w:vAlign w:val="center"/>
          </w:tcPr>
          <w:p>
            <w:pPr>
              <w:pStyle w:val="42"/>
              <w:spacing w:line="240" w:lineRule="auto"/>
            </w:pPr>
            <w:r>
              <w:rPr>
                <w:rFonts w:hint="eastAsia"/>
              </w:rPr>
              <w:t>8</w:t>
            </w:r>
            <w:r>
              <w:t>00</w:t>
            </w:r>
          </w:p>
        </w:tc>
        <w:tc>
          <w:tcPr>
            <w:tcW w:w="685" w:type="dxa"/>
            <w:vAlign w:val="center"/>
          </w:tcPr>
          <w:p>
            <w:pPr>
              <w:pStyle w:val="42"/>
              <w:spacing w:line="240" w:lineRule="auto"/>
            </w:pPr>
            <w:r>
              <w:rPr>
                <w:rFonts w:hint="eastAsia"/>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1" w:type="dxa"/>
          </w:tcPr>
          <w:p>
            <w:pPr>
              <w:pStyle w:val="42"/>
              <w:spacing w:line="240" w:lineRule="auto"/>
            </w:pPr>
            <w:r>
              <w:t>H</w:t>
            </w:r>
            <w:r>
              <w:rPr>
                <w:rFonts w:hint="eastAsia"/>
              </w:rPr>
              <w:t>P</w:t>
            </w:r>
            <w:r>
              <w:t>B</w:t>
            </w:r>
            <w:r>
              <w:rPr>
                <w:rFonts w:hint="eastAsia"/>
              </w:rPr>
              <w:t>2</w:t>
            </w:r>
            <w:r>
              <w:t>35钢筋</w:t>
            </w:r>
          </w:p>
        </w:tc>
        <w:tc>
          <w:tcPr>
            <w:tcW w:w="684" w:type="dxa"/>
            <w:vAlign w:val="center"/>
          </w:tcPr>
          <w:p>
            <w:pPr>
              <w:pStyle w:val="42"/>
              <w:spacing w:line="240" w:lineRule="auto"/>
            </w:pPr>
            <w:r>
              <w:t>1.00</w:t>
            </w:r>
          </w:p>
        </w:tc>
        <w:tc>
          <w:tcPr>
            <w:tcW w:w="684" w:type="dxa"/>
            <w:vAlign w:val="center"/>
          </w:tcPr>
          <w:p>
            <w:pPr>
              <w:pStyle w:val="42"/>
              <w:spacing w:line="240" w:lineRule="auto"/>
              <w:rPr>
                <w:b/>
              </w:rPr>
            </w:pPr>
            <w:r>
              <w:rPr>
                <w:b/>
              </w:rPr>
              <w:t>1.00</w:t>
            </w:r>
          </w:p>
        </w:tc>
        <w:tc>
          <w:tcPr>
            <w:tcW w:w="684" w:type="dxa"/>
            <w:vAlign w:val="center"/>
          </w:tcPr>
          <w:p>
            <w:pPr>
              <w:pStyle w:val="42"/>
              <w:spacing w:line="240" w:lineRule="auto"/>
              <w:rPr>
                <w:b/>
              </w:rPr>
            </w:pPr>
            <w:r>
              <w:rPr>
                <w:b/>
              </w:rPr>
              <w:t>1.00</w:t>
            </w:r>
          </w:p>
        </w:tc>
        <w:tc>
          <w:tcPr>
            <w:tcW w:w="685" w:type="dxa"/>
            <w:vAlign w:val="center"/>
          </w:tcPr>
          <w:p>
            <w:pPr>
              <w:pStyle w:val="42"/>
              <w:spacing w:line="240" w:lineRule="auto"/>
              <w:rPr>
                <w:b/>
              </w:rPr>
            </w:pPr>
            <w:r>
              <w:rPr>
                <w:rFonts w:hint="eastAsia"/>
                <w:b/>
              </w:rPr>
              <w:t>0.95</w:t>
            </w:r>
          </w:p>
        </w:tc>
        <w:tc>
          <w:tcPr>
            <w:tcW w:w="684" w:type="dxa"/>
            <w:vAlign w:val="center"/>
          </w:tcPr>
          <w:p>
            <w:pPr>
              <w:pStyle w:val="42"/>
              <w:spacing w:line="240" w:lineRule="auto"/>
              <w:rPr>
                <w:b/>
              </w:rPr>
            </w:pPr>
            <w:r>
              <w:rPr>
                <w:rFonts w:hint="eastAsia"/>
                <w:b/>
              </w:rPr>
              <w:t>0.95</w:t>
            </w:r>
          </w:p>
        </w:tc>
        <w:tc>
          <w:tcPr>
            <w:tcW w:w="684" w:type="dxa"/>
            <w:vAlign w:val="center"/>
          </w:tcPr>
          <w:p>
            <w:pPr>
              <w:pStyle w:val="42"/>
              <w:spacing w:line="240" w:lineRule="auto"/>
              <w:rPr>
                <w:b/>
              </w:rPr>
            </w:pPr>
            <w:r>
              <w:rPr>
                <w:rFonts w:hint="eastAsia"/>
                <w:b/>
              </w:rPr>
              <w:t>0.95</w:t>
            </w:r>
          </w:p>
        </w:tc>
        <w:tc>
          <w:tcPr>
            <w:tcW w:w="684" w:type="dxa"/>
            <w:vAlign w:val="center"/>
          </w:tcPr>
          <w:p>
            <w:pPr>
              <w:pStyle w:val="42"/>
              <w:spacing w:line="240" w:lineRule="auto"/>
              <w:rPr>
                <w:b/>
              </w:rPr>
            </w:pPr>
            <w:r>
              <w:rPr>
                <w:rFonts w:hint="eastAsia"/>
                <w:b/>
              </w:rPr>
              <w:t>0.95</w:t>
            </w:r>
          </w:p>
        </w:tc>
        <w:tc>
          <w:tcPr>
            <w:tcW w:w="685" w:type="dxa"/>
            <w:vAlign w:val="center"/>
          </w:tcPr>
          <w:p>
            <w:pPr>
              <w:pStyle w:val="42"/>
              <w:spacing w:line="240" w:lineRule="auto"/>
              <w:rPr>
                <w:b/>
              </w:rPr>
            </w:pPr>
            <w:r>
              <w:rPr>
                <w:rFonts w:hint="eastAsia"/>
                <w:b/>
              </w:rPr>
              <w:t>0.90</w:t>
            </w:r>
          </w:p>
        </w:tc>
        <w:tc>
          <w:tcPr>
            <w:tcW w:w="684" w:type="dxa"/>
            <w:vAlign w:val="center"/>
          </w:tcPr>
          <w:p>
            <w:pPr>
              <w:pStyle w:val="42"/>
              <w:spacing w:line="240" w:lineRule="auto"/>
              <w:rPr>
                <w:b/>
              </w:rPr>
            </w:pPr>
            <w:r>
              <w:rPr>
                <w:rFonts w:hint="eastAsia"/>
                <w:b/>
              </w:rPr>
              <w:t>0.90</w:t>
            </w:r>
          </w:p>
        </w:tc>
        <w:tc>
          <w:tcPr>
            <w:tcW w:w="684" w:type="dxa"/>
            <w:vAlign w:val="center"/>
          </w:tcPr>
          <w:p>
            <w:pPr>
              <w:pStyle w:val="42"/>
              <w:spacing w:line="240" w:lineRule="auto"/>
              <w:rPr>
                <w:b/>
              </w:rPr>
            </w:pPr>
            <w:r>
              <w:rPr>
                <w:rFonts w:hint="eastAsia"/>
                <w:b/>
              </w:rPr>
              <w:t>0.90</w:t>
            </w:r>
          </w:p>
        </w:tc>
        <w:tc>
          <w:tcPr>
            <w:tcW w:w="684" w:type="dxa"/>
            <w:vAlign w:val="center"/>
          </w:tcPr>
          <w:p>
            <w:pPr>
              <w:pStyle w:val="42"/>
              <w:spacing w:line="240" w:lineRule="auto"/>
              <w:rPr>
                <w:b/>
              </w:rPr>
            </w:pPr>
            <w:r>
              <w:rPr>
                <w:rFonts w:hint="eastAsia"/>
                <w:b/>
              </w:rPr>
              <w:t>0.85</w:t>
            </w:r>
          </w:p>
        </w:tc>
        <w:tc>
          <w:tcPr>
            <w:tcW w:w="685" w:type="dxa"/>
            <w:vAlign w:val="center"/>
          </w:tcPr>
          <w:p>
            <w:pPr>
              <w:pStyle w:val="42"/>
              <w:spacing w:line="240" w:lineRule="auto"/>
              <w:rPr>
                <w:b/>
              </w:rPr>
            </w:pPr>
            <w:r>
              <w:rPr>
                <w:rFonts w:hint="eastAsia"/>
                <w:b/>
              </w:rPr>
              <w:t>0.80</w:t>
            </w:r>
          </w:p>
        </w:tc>
        <w:tc>
          <w:tcPr>
            <w:tcW w:w="685" w:type="dxa"/>
            <w:vAlign w:val="center"/>
          </w:tcPr>
          <w:p>
            <w:pPr>
              <w:pStyle w:val="42"/>
              <w:spacing w:line="240" w:lineRule="auto"/>
              <w:rPr>
                <w:b/>
              </w:rPr>
            </w:pPr>
            <w:r>
              <w:rPr>
                <w:rFonts w:hint="eastAsia"/>
                <w:b/>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1" w:type="dxa"/>
          </w:tcPr>
          <w:p>
            <w:pPr>
              <w:pStyle w:val="42"/>
              <w:spacing w:line="240" w:lineRule="auto"/>
            </w:pPr>
            <w:r>
              <w:t>HRB335钢筋</w:t>
            </w:r>
          </w:p>
        </w:tc>
        <w:tc>
          <w:tcPr>
            <w:tcW w:w="684" w:type="dxa"/>
            <w:vAlign w:val="center"/>
          </w:tcPr>
          <w:p>
            <w:pPr>
              <w:pStyle w:val="42"/>
              <w:spacing w:line="240" w:lineRule="auto"/>
            </w:pPr>
            <w:r>
              <w:t>1.00</w:t>
            </w:r>
          </w:p>
        </w:tc>
        <w:tc>
          <w:tcPr>
            <w:tcW w:w="684" w:type="dxa"/>
            <w:vAlign w:val="center"/>
          </w:tcPr>
          <w:p>
            <w:pPr>
              <w:pStyle w:val="42"/>
              <w:spacing w:line="240" w:lineRule="auto"/>
            </w:pPr>
            <w:r>
              <w:rPr>
                <w:rFonts w:hint="eastAsia"/>
              </w:rPr>
              <w:t>0.95</w:t>
            </w:r>
          </w:p>
        </w:tc>
        <w:tc>
          <w:tcPr>
            <w:tcW w:w="684" w:type="dxa"/>
            <w:vAlign w:val="center"/>
          </w:tcPr>
          <w:p>
            <w:pPr>
              <w:pStyle w:val="42"/>
              <w:spacing w:line="240" w:lineRule="auto"/>
            </w:pPr>
            <w:r>
              <w:rPr>
                <w:rFonts w:hint="eastAsia"/>
              </w:rPr>
              <w:t>0.95</w:t>
            </w:r>
          </w:p>
        </w:tc>
        <w:tc>
          <w:tcPr>
            <w:tcW w:w="685" w:type="dxa"/>
            <w:vAlign w:val="center"/>
          </w:tcPr>
          <w:p>
            <w:pPr>
              <w:pStyle w:val="42"/>
              <w:spacing w:line="240" w:lineRule="auto"/>
            </w:pPr>
            <w:r>
              <w:rPr>
                <w:rFonts w:hint="eastAsia"/>
              </w:rPr>
              <w:t>0.95</w:t>
            </w:r>
          </w:p>
        </w:tc>
        <w:tc>
          <w:tcPr>
            <w:tcW w:w="684" w:type="dxa"/>
            <w:vAlign w:val="center"/>
          </w:tcPr>
          <w:p>
            <w:pPr>
              <w:pStyle w:val="42"/>
              <w:spacing w:line="240" w:lineRule="auto"/>
            </w:pPr>
            <w:r>
              <w:rPr>
                <w:rFonts w:hint="eastAsia"/>
              </w:rPr>
              <w:t>0.95</w:t>
            </w:r>
          </w:p>
        </w:tc>
        <w:tc>
          <w:tcPr>
            <w:tcW w:w="684" w:type="dxa"/>
            <w:vAlign w:val="center"/>
          </w:tcPr>
          <w:p>
            <w:pPr>
              <w:pStyle w:val="42"/>
              <w:spacing w:line="240" w:lineRule="auto"/>
            </w:pPr>
            <w:r>
              <w:rPr>
                <w:rFonts w:hint="eastAsia"/>
              </w:rPr>
              <w:t>0.95</w:t>
            </w:r>
          </w:p>
        </w:tc>
        <w:tc>
          <w:tcPr>
            <w:tcW w:w="684" w:type="dxa"/>
            <w:vAlign w:val="center"/>
          </w:tcPr>
          <w:p>
            <w:pPr>
              <w:pStyle w:val="42"/>
              <w:spacing w:line="240" w:lineRule="auto"/>
            </w:pPr>
            <w:r>
              <w:rPr>
                <w:rFonts w:hint="eastAsia"/>
              </w:rPr>
              <w:t>0.95</w:t>
            </w:r>
          </w:p>
        </w:tc>
        <w:tc>
          <w:tcPr>
            <w:tcW w:w="685" w:type="dxa"/>
            <w:vAlign w:val="center"/>
          </w:tcPr>
          <w:p>
            <w:pPr>
              <w:pStyle w:val="42"/>
              <w:spacing w:line="240" w:lineRule="auto"/>
            </w:pPr>
            <w:r>
              <w:rPr>
                <w:rFonts w:hint="eastAsia"/>
              </w:rPr>
              <w:t>0.90</w:t>
            </w:r>
          </w:p>
        </w:tc>
        <w:tc>
          <w:tcPr>
            <w:tcW w:w="684" w:type="dxa"/>
            <w:vAlign w:val="center"/>
          </w:tcPr>
          <w:p>
            <w:pPr>
              <w:pStyle w:val="42"/>
              <w:spacing w:line="240" w:lineRule="auto"/>
            </w:pPr>
            <w:r>
              <w:rPr>
                <w:rFonts w:hint="eastAsia"/>
              </w:rPr>
              <w:t>0.90</w:t>
            </w:r>
          </w:p>
        </w:tc>
        <w:tc>
          <w:tcPr>
            <w:tcW w:w="684" w:type="dxa"/>
            <w:vAlign w:val="center"/>
          </w:tcPr>
          <w:p>
            <w:pPr>
              <w:pStyle w:val="42"/>
              <w:spacing w:line="240" w:lineRule="auto"/>
            </w:pPr>
            <w:r>
              <w:rPr>
                <w:rFonts w:hint="eastAsia"/>
              </w:rPr>
              <w:t>0.90</w:t>
            </w:r>
          </w:p>
        </w:tc>
        <w:tc>
          <w:tcPr>
            <w:tcW w:w="684" w:type="dxa"/>
            <w:vAlign w:val="center"/>
          </w:tcPr>
          <w:p>
            <w:pPr>
              <w:pStyle w:val="42"/>
              <w:spacing w:line="240" w:lineRule="auto"/>
            </w:pPr>
            <w:r>
              <w:rPr>
                <w:rFonts w:hint="eastAsia"/>
              </w:rPr>
              <w:t>0.85</w:t>
            </w:r>
          </w:p>
        </w:tc>
        <w:tc>
          <w:tcPr>
            <w:tcW w:w="685" w:type="dxa"/>
            <w:vAlign w:val="center"/>
          </w:tcPr>
          <w:p>
            <w:pPr>
              <w:pStyle w:val="42"/>
              <w:spacing w:line="240" w:lineRule="auto"/>
            </w:pPr>
            <w:r>
              <w:rPr>
                <w:rFonts w:hint="eastAsia"/>
              </w:rPr>
              <w:t>0.85</w:t>
            </w:r>
          </w:p>
        </w:tc>
        <w:tc>
          <w:tcPr>
            <w:tcW w:w="685" w:type="dxa"/>
            <w:vAlign w:val="center"/>
          </w:tcPr>
          <w:p>
            <w:pPr>
              <w:pStyle w:val="42"/>
              <w:spacing w:line="240" w:lineRule="auto"/>
            </w:pPr>
            <w:r>
              <w:rPr>
                <w:rFonts w:hint="eastAsia"/>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1" w:type="dxa"/>
          </w:tcPr>
          <w:p>
            <w:pPr>
              <w:pStyle w:val="42"/>
              <w:spacing w:line="240" w:lineRule="auto"/>
            </w:pPr>
            <w:r>
              <w:t>HRB</w:t>
            </w:r>
            <w:r>
              <w:rPr>
                <w:rFonts w:hint="eastAsia"/>
              </w:rPr>
              <w:t>400</w:t>
            </w:r>
            <w:r>
              <w:t>钢筋</w:t>
            </w:r>
          </w:p>
        </w:tc>
        <w:tc>
          <w:tcPr>
            <w:tcW w:w="684" w:type="dxa"/>
            <w:vAlign w:val="center"/>
          </w:tcPr>
          <w:p>
            <w:pPr>
              <w:pStyle w:val="42"/>
              <w:spacing w:line="240" w:lineRule="auto"/>
            </w:pPr>
            <w:r>
              <w:t>1.00</w:t>
            </w:r>
          </w:p>
        </w:tc>
        <w:tc>
          <w:tcPr>
            <w:tcW w:w="684" w:type="dxa"/>
            <w:vAlign w:val="center"/>
          </w:tcPr>
          <w:p>
            <w:pPr>
              <w:pStyle w:val="42"/>
              <w:spacing w:line="240" w:lineRule="auto"/>
              <w:rPr>
                <w:b/>
              </w:rPr>
            </w:pPr>
            <w:r>
              <w:rPr>
                <w:rFonts w:hint="eastAsia"/>
                <w:b/>
              </w:rPr>
              <w:t>0.95</w:t>
            </w:r>
          </w:p>
        </w:tc>
        <w:tc>
          <w:tcPr>
            <w:tcW w:w="684" w:type="dxa"/>
            <w:vAlign w:val="center"/>
          </w:tcPr>
          <w:p>
            <w:pPr>
              <w:pStyle w:val="42"/>
              <w:spacing w:line="240" w:lineRule="auto"/>
              <w:rPr>
                <w:b/>
              </w:rPr>
            </w:pPr>
            <w:r>
              <w:rPr>
                <w:rFonts w:hint="eastAsia"/>
                <w:b/>
              </w:rPr>
              <w:t>0.95</w:t>
            </w:r>
          </w:p>
        </w:tc>
        <w:tc>
          <w:tcPr>
            <w:tcW w:w="685" w:type="dxa"/>
            <w:vAlign w:val="center"/>
          </w:tcPr>
          <w:p>
            <w:pPr>
              <w:pStyle w:val="42"/>
              <w:spacing w:line="240" w:lineRule="auto"/>
              <w:rPr>
                <w:b/>
              </w:rPr>
            </w:pPr>
            <w:r>
              <w:rPr>
                <w:rFonts w:hint="eastAsia"/>
                <w:b/>
              </w:rPr>
              <w:t>0.95</w:t>
            </w:r>
          </w:p>
        </w:tc>
        <w:tc>
          <w:tcPr>
            <w:tcW w:w="684" w:type="dxa"/>
            <w:vAlign w:val="center"/>
          </w:tcPr>
          <w:p>
            <w:pPr>
              <w:pStyle w:val="42"/>
              <w:spacing w:line="240" w:lineRule="auto"/>
              <w:rPr>
                <w:b/>
              </w:rPr>
            </w:pPr>
            <w:r>
              <w:rPr>
                <w:rFonts w:hint="eastAsia"/>
                <w:b/>
              </w:rPr>
              <w:t>0.95</w:t>
            </w:r>
          </w:p>
        </w:tc>
        <w:tc>
          <w:tcPr>
            <w:tcW w:w="684" w:type="dxa"/>
            <w:vAlign w:val="center"/>
          </w:tcPr>
          <w:p>
            <w:pPr>
              <w:pStyle w:val="42"/>
              <w:spacing w:line="240" w:lineRule="auto"/>
              <w:rPr>
                <w:b/>
              </w:rPr>
            </w:pPr>
            <w:r>
              <w:rPr>
                <w:rFonts w:hint="eastAsia"/>
                <w:b/>
              </w:rPr>
              <w:t>0.95</w:t>
            </w:r>
          </w:p>
        </w:tc>
        <w:tc>
          <w:tcPr>
            <w:tcW w:w="684" w:type="dxa"/>
            <w:vAlign w:val="center"/>
          </w:tcPr>
          <w:p>
            <w:pPr>
              <w:pStyle w:val="42"/>
              <w:spacing w:line="240" w:lineRule="auto"/>
              <w:rPr>
                <w:b/>
              </w:rPr>
            </w:pPr>
            <w:r>
              <w:rPr>
                <w:rFonts w:hint="eastAsia"/>
                <w:b/>
              </w:rPr>
              <w:t>0.95</w:t>
            </w:r>
          </w:p>
        </w:tc>
        <w:tc>
          <w:tcPr>
            <w:tcW w:w="685" w:type="dxa"/>
            <w:vAlign w:val="center"/>
          </w:tcPr>
          <w:p>
            <w:pPr>
              <w:pStyle w:val="42"/>
              <w:spacing w:line="240" w:lineRule="auto"/>
              <w:rPr>
                <w:b/>
              </w:rPr>
            </w:pPr>
            <w:r>
              <w:rPr>
                <w:rFonts w:hint="eastAsia"/>
                <w:b/>
              </w:rPr>
              <w:t>0.95</w:t>
            </w:r>
          </w:p>
        </w:tc>
        <w:tc>
          <w:tcPr>
            <w:tcW w:w="684" w:type="dxa"/>
            <w:vAlign w:val="center"/>
          </w:tcPr>
          <w:p>
            <w:pPr>
              <w:pStyle w:val="42"/>
              <w:spacing w:line="240" w:lineRule="auto"/>
              <w:rPr>
                <w:b/>
              </w:rPr>
            </w:pPr>
            <w:r>
              <w:rPr>
                <w:rFonts w:hint="eastAsia"/>
                <w:b/>
              </w:rPr>
              <w:t>0.95</w:t>
            </w:r>
          </w:p>
        </w:tc>
        <w:tc>
          <w:tcPr>
            <w:tcW w:w="684" w:type="dxa"/>
            <w:vAlign w:val="center"/>
          </w:tcPr>
          <w:p>
            <w:pPr>
              <w:pStyle w:val="42"/>
              <w:spacing w:line="240" w:lineRule="auto"/>
              <w:rPr>
                <w:b/>
              </w:rPr>
            </w:pPr>
            <w:r>
              <w:rPr>
                <w:rFonts w:hint="eastAsia"/>
                <w:b/>
              </w:rPr>
              <w:t>0.95</w:t>
            </w:r>
          </w:p>
        </w:tc>
        <w:tc>
          <w:tcPr>
            <w:tcW w:w="684" w:type="dxa"/>
            <w:vAlign w:val="center"/>
          </w:tcPr>
          <w:p>
            <w:pPr>
              <w:pStyle w:val="42"/>
              <w:spacing w:line="240" w:lineRule="auto"/>
              <w:rPr>
                <w:b/>
              </w:rPr>
            </w:pPr>
            <w:r>
              <w:rPr>
                <w:rFonts w:hint="eastAsia"/>
                <w:b/>
              </w:rPr>
              <w:t>0.85</w:t>
            </w:r>
          </w:p>
        </w:tc>
        <w:tc>
          <w:tcPr>
            <w:tcW w:w="685" w:type="dxa"/>
            <w:vAlign w:val="center"/>
          </w:tcPr>
          <w:p>
            <w:pPr>
              <w:pStyle w:val="42"/>
              <w:spacing w:line="240" w:lineRule="auto"/>
              <w:rPr>
                <w:b/>
              </w:rPr>
            </w:pPr>
            <w:r>
              <w:rPr>
                <w:rFonts w:hint="eastAsia"/>
                <w:b/>
              </w:rPr>
              <w:t>0.80</w:t>
            </w:r>
          </w:p>
        </w:tc>
        <w:tc>
          <w:tcPr>
            <w:tcW w:w="685" w:type="dxa"/>
            <w:vAlign w:val="center"/>
          </w:tcPr>
          <w:p>
            <w:pPr>
              <w:pStyle w:val="42"/>
              <w:spacing w:line="240" w:lineRule="auto"/>
              <w:rPr>
                <w:b/>
              </w:rPr>
            </w:pPr>
            <w:r>
              <w:rPr>
                <w:rFonts w:hint="eastAsia"/>
                <w:b/>
              </w:rPr>
              <w:t>0.80</w:t>
            </w:r>
          </w:p>
        </w:tc>
      </w:tr>
    </w:tbl>
    <w:p>
      <w:r>
        <w:rPr>
          <w:rFonts w:hint="eastAsia"/>
        </w:rPr>
        <w:t>注：当温度在两者之间时，采用线性插入法进行内插。</w:t>
      </w:r>
    </w:p>
    <w:p>
      <w:pPr>
        <w:pStyle w:val="3"/>
        <w:rPr>
          <w:i/>
        </w:rPr>
      </w:pPr>
      <w:bookmarkStart w:id="82" w:name="_Toc505085907"/>
      <w:r>
        <w:rPr>
          <w:rFonts w:hint="eastAsia"/>
        </w:rPr>
        <w:t xml:space="preserve">G.3 </w:t>
      </w:r>
      <w:r>
        <w:t>高温自然冷却后混凝土弹性模量、钢筋与混凝土粘结强度折减系数</w:t>
      </w:r>
      <w:bookmarkEnd w:id="82"/>
    </w:p>
    <w:p>
      <w:pPr>
        <w:rPr>
          <w:rFonts w:cs="Times New Roman"/>
        </w:rPr>
      </w:pPr>
      <w:r>
        <w:rPr>
          <w:rFonts w:cs="Times New Roman"/>
          <w:b/>
        </w:rPr>
        <w:t>G.3.1</w:t>
      </w:r>
      <w:r>
        <w:rPr>
          <w:rFonts w:cs="Times New Roman"/>
        </w:rPr>
        <w:t>高温自然冷却后混凝土弹性模量、钢筋与混凝土粘结强度折减系数分别按表G.3.1-1和表G.3.1-2确定。</w:t>
      </w:r>
    </w:p>
    <w:p>
      <w:pPr>
        <w:pStyle w:val="41"/>
      </w:pPr>
      <w:r>
        <w:t>表G.3.1-1高温自然冷却后混凝土弹性模量折减系数</w:t>
      </w:r>
    </w:p>
    <w:tbl>
      <w:tblPr>
        <w:tblStyle w:val="24"/>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1140"/>
        <w:gridCol w:w="1140"/>
        <w:gridCol w:w="1142"/>
        <w:gridCol w:w="1140"/>
        <w:gridCol w:w="1142"/>
        <w:gridCol w:w="1140"/>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6" w:type="dxa"/>
            <w:vAlign w:val="center"/>
          </w:tcPr>
          <w:p>
            <w:pPr>
              <w:pStyle w:val="43"/>
              <w:spacing w:line="240" w:lineRule="auto"/>
              <w:rPr>
                <w:rFonts w:cs="Times New Roman"/>
              </w:rPr>
            </w:pPr>
            <w:r>
              <w:rPr>
                <w:rFonts w:cs="Times New Roman"/>
              </w:rPr>
              <w:t>温度(℃)</w:t>
            </w:r>
          </w:p>
        </w:tc>
        <w:tc>
          <w:tcPr>
            <w:tcW w:w="1140" w:type="dxa"/>
            <w:vAlign w:val="center"/>
          </w:tcPr>
          <w:p>
            <w:pPr>
              <w:pStyle w:val="43"/>
              <w:spacing w:line="240" w:lineRule="auto"/>
              <w:rPr>
                <w:rFonts w:cs="Times New Roman"/>
              </w:rPr>
            </w:pPr>
            <w:r>
              <w:rPr>
                <w:rFonts w:cs="Times New Roman"/>
              </w:rPr>
              <w:t>室温</w:t>
            </w:r>
          </w:p>
        </w:tc>
        <w:tc>
          <w:tcPr>
            <w:tcW w:w="1140" w:type="dxa"/>
            <w:vAlign w:val="center"/>
          </w:tcPr>
          <w:p>
            <w:pPr>
              <w:pStyle w:val="43"/>
              <w:spacing w:line="240" w:lineRule="auto"/>
              <w:rPr>
                <w:rFonts w:cs="Times New Roman"/>
              </w:rPr>
            </w:pPr>
            <w:r>
              <w:rPr>
                <w:rFonts w:cs="Times New Roman"/>
              </w:rPr>
              <w:t>300</w:t>
            </w:r>
          </w:p>
        </w:tc>
        <w:tc>
          <w:tcPr>
            <w:tcW w:w="1142" w:type="dxa"/>
            <w:vAlign w:val="center"/>
          </w:tcPr>
          <w:p>
            <w:pPr>
              <w:pStyle w:val="43"/>
              <w:spacing w:line="240" w:lineRule="auto"/>
              <w:rPr>
                <w:rFonts w:cs="Times New Roman"/>
              </w:rPr>
            </w:pPr>
            <w:r>
              <w:rPr>
                <w:rFonts w:cs="Times New Roman"/>
              </w:rPr>
              <w:t>400</w:t>
            </w:r>
          </w:p>
        </w:tc>
        <w:tc>
          <w:tcPr>
            <w:tcW w:w="1140" w:type="dxa"/>
            <w:vAlign w:val="center"/>
          </w:tcPr>
          <w:p>
            <w:pPr>
              <w:pStyle w:val="43"/>
              <w:spacing w:line="240" w:lineRule="auto"/>
              <w:rPr>
                <w:rFonts w:cs="Times New Roman"/>
              </w:rPr>
            </w:pPr>
            <w:r>
              <w:rPr>
                <w:rFonts w:cs="Times New Roman"/>
              </w:rPr>
              <w:t>500</w:t>
            </w:r>
          </w:p>
        </w:tc>
        <w:tc>
          <w:tcPr>
            <w:tcW w:w="1142" w:type="dxa"/>
            <w:vAlign w:val="center"/>
          </w:tcPr>
          <w:p>
            <w:pPr>
              <w:pStyle w:val="43"/>
              <w:spacing w:line="240" w:lineRule="auto"/>
              <w:rPr>
                <w:rFonts w:cs="Times New Roman"/>
              </w:rPr>
            </w:pPr>
            <w:r>
              <w:rPr>
                <w:rFonts w:cs="Times New Roman"/>
              </w:rPr>
              <w:t>600</w:t>
            </w:r>
          </w:p>
        </w:tc>
        <w:tc>
          <w:tcPr>
            <w:tcW w:w="1140" w:type="dxa"/>
            <w:vAlign w:val="center"/>
          </w:tcPr>
          <w:p>
            <w:pPr>
              <w:pStyle w:val="43"/>
              <w:spacing w:line="240" w:lineRule="auto"/>
              <w:rPr>
                <w:rFonts w:cs="Times New Roman"/>
              </w:rPr>
            </w:pPr>
            <w:r>
              <w:rPr>
                <w:rFonts w:cs="Times New Roman"/>
              </w:rPr>
              <w:t>700</w:t>
            </w:r>
          </w:p>
        </w:tc>
        <w:tc>
          <w:tcPr>
            <w:tcW w:w="1142" w:type="dxa"/>
            <w:vAlign w:val="center"/>
          </w:tcPr>
          <w:p>
            <w:pPr>
              <w:pStyle w:val="43"/>
              <w:spacing w:line="240" w:lineRule="auto"/>
              <w:rPr>
                <w:rFonts w:cs="Times New Roman"/>
              </w:rPr>
            </w:pPr>
            <w:r>
              <w:rPr>
                <w:rFonts w:cs="Times New Roma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6" w:type="dxa"/>
            <w:vAlign w:val="center"/>
          </w:tcPr>
          <w:p>
            <w:pPr>
              <w:pStyle w:val="43"/>
              <w:spacing w:line="240" w:lineRule="auto"/>
              <w:rPr>
                <w:rFonts w:cs="Times New Roman"/>
              </w:rPr>
            </w:pPr>
            <w:r>
              <w:rPr>
                <w:rFonts w:cs="Times New Roman"/>
              </w:rPr>
              <w:t>普通混凝土</w:t>
            </w:r>
          </w:p>
        </w:tc>
        <w:tc>
          <w:tcPr>
            <w:tcW w:w="1140" w:type="dxa"/>
            <w:vAlign w:val="center"/>
          </w:tcPr>
          <w:p>
            <w:pPr>
              <w:pStyle w:val="43"/>
              <w:spacing w:line="240" w:lineRule="auto"/>
              <w:rPr>
                <w:rFonts w:cs="Times New Roman"/>
              </w:rPr>
            </w:pPr>
            <w:r>
              <w:rPr>
                <w:rFonts w:cs="Times New Roman"/>
              </w:rPr>
              <w:t>1.00</w:t>
            </w:r>
          </w:p>
        </w:tc>
        <w:tc>
          <w:tcPr>
            <w:tcW w:w="1140" w:type="dxa"/>
            <w:vAlign w:val="center"/>
          </w:tcPr>
          <w:p>
            <w:pPr>
              <w:pStyle w:val="43"/>
              <w:spacing w:line="240" w:lineRule="auto"/>
              <w:rPr>
                <w:rFonts w:cs="Times New Roman"/>
              </w:rPr>
            </w:pPr>
            <w:r>
              <w:rPr>
                <w:rFonts w:cs="Times New Roman"/>
              </w:rPr>
              <w:t>0.75</w:t>
            </w:r>
          </w:p>
        </w:tc>
        <w:tc>
          <w:tcPr>
            <w:tcW w:w="1142" w:type="dxa"/>
            <w:vAlign w:val="center"/>
          </w:tcPr>
          <w:p>
            <w:pPr>
              <w:pStyle w:val="43"/>
              <w:spacing w:line="240" w:lineRule="auto"/>
              <w:rPr>
                <w:rFonts w:cs="Times New Roman"/>
              </w:rPr>
            </w:pPr>
            <w:r>
              <w:rPr>
                <w:rFonts w:cs="Times New Roman"/>
              </w:rPr>
              <w:t>0.46</w:t>
            </w:r>
          </w:p>
        </w:tc>
        <w:tc>
          <w:tcPr>
            <w:tcW w:w="1140" w:type="dxa"/>
            <w:vAlign w:val="center"/>
          </w:tcPr>
          <w:p>
            <w:pPr>
              <w:pStyle w:val="43"/>
              <w:spacing w:line="240" w:lineRule="auto"/>
              <w:rPr>
                <w:rFonts w:cs="Times New Roman"/>
              </w:rPr>
            </w:pPr>
            <w:r>
              <w:rPr>
                <w:rFonts w:cs="Times New Roman"/>
              </w:rPr>
              <w:t>0.39</w:t>
            </w:r>
          </w:p>
        </w:tc>
        <w:tc>
          <w:tcPr>
            <w:tcW w:w="1142" w:type="dxa"/>
            <w:vAlign w:val="center"/>
          </w:tcPr>
          <w:p>
            <w:pPr>
              <w:pStyle w:val="43"/>
              <w:spacing w:line="240" w:lineRule="auto"/>
              <w:rPr>
                <w:rFonts w:cs="Times New Roman"/>
              </w:rPr>
            </w:pPr>
            <w:r>
              <w:rPr>
                <w:rFonts w:cs="Times New Roman"/>
              </w:rPr>
              <w:t>0.11</w:t>
            </w:r>
          </w:p>
        </w:tc>
        <w:tc>
          <w:tcPr>
            <w:tcW w:w="1140" w:type="dxa"/>
            <w:vAlign w:val="center"/>
          </w:tcPr>
          <w:p>
            <w:pPr>
              <w:pStyle w:val="43"/>
              <w:spacing w:line="240" w:lineRule="auto"/>
              <w:rPr>
                <w:rFonts w:cs="Times New Roman"/>
              </w:rPr>
            </w:pPr>
            <w:r>
              <w:rPr>
                <w:rFonts w:cs="Times New Roman"/>
              </w:rPr>
              <w:t>0.05</w:t>
            </w:r>
          </w:p>
        </w:tc>
        <w:tc>
          <w:tcPr>
            <w:tcW w:w="1142" w:type="dxa"/>
            <w:vAlign w:val="center"/>
          </w:tcPr>
          <w:p>
            <w:pPr>
              <w:pStyle w:val="43"/>
              <w:spacing w:line="240" w:lineRule="auto"/>
              <w:rPr>
                <w:rFonts w:cs="Times New Roman"/>
              </w:rPr>
            </w:pPr>
            <w:r>
              <w:rPr>
                <w:rFonts w:cs="Times New Roma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76" w:type="dxa"/>
            <w:vAlign w:val="center"/>
          </w:tcPr>
          <w:p>
            <w:pPr>
              <w:pStyle w:val="43"/>
              <w:spacing w:line="240" w:lineRule="auto"/>
              <w:rPr>
                <w:rFonts w:cs="Times New Roman"/>
              </w:rPr>
            </w:pPr>
            <w:r>
              <w:rPr>
                <w:rFonts w:cs="Times New Roman"/>
              </w:rPr>
              <w:t>高强混凝土</w:t>
            </w:r>
          </w:p>
        </w:tc>
        <w:tc>
          <w:tcPr>
            <w:tcW w:w="1140" w:type="dxa"/>
            <w:vAlign w:val="center"/>
          </w:tcPr>
          <w:p>
            <w:pPr>
              <w:pStyle w:val="43"/>
              <w:spacing w:line="240" w:lineRule="auto"/>
              <w:rPr>
                <w:rFonts w:cs="Times New Roman"/>
              </w:rPr>
            </w:pPr>
            <w:r>
              <w:rPr>
                <w:rFonts w:cs="Times New Roman"/>
              </w:rPr>
              <w:t>1.00</w:t>
            </w:r>
          </w:p>
        </w:tc>
        <w:tc>
          <w:tcPr>
            <w:tcW w:w="1140" w:type="dxa"/>
            <w:vAlign w:val="center"/>
          </w:tcPr>
          <w:p>
            <w:pPr>
              <w:pStyle w:val="43"/>
              <w:spacing w:line="240" w:lineRule="auto"/>
              <w:rPr>
                <w:rFonts w:cs="Times New Roman"/>
              </w:rPr>
            </w:pPr>
            <w:r>
              <w:rPr>
                <w:rFonts w:cs="Times New Roman"/>
              </w:rPr>
              <w:t>0.79</w:t>
            </w:r>
          </w:p>
        </w:tc>
        <w:tc>
          <w:tcPr>
            <w:tcW w:w="1142" w:type="dxa"/>
            <w:vAlign w:val="center"/>
          </w:tcPr>
          <w:p>
            <w:pPr>
              <w:pStyle w:val="43"/>
              <w:spacing w:line="240" w:lineRule="auto"/>
              <w:rPr>
                <w:rFonts w:cs="Times New Roman"/>
              </w:rPr>
            </w:pPr>
            <w:r>
              <w:rPr>
                <w:rFonts w:cs="Times New Roman"/>
              </w:rPr>
              <w:t>0.61</w:t>
            </w:r>
          </w:p>
        </w:tc>
        <w:tc>
          <w:tcPr>
            <w:tcW w:w="1140" w:type="dxa"/>
            <w:vAlign w:val="center"/>
          </w:tcPr>
          <w:p>
            <w:pPr>
              <w:pStyle w:val="43"/>
              <w:spacing w:line="240" w:lineRule="auto"/>
              <w:rPr>
                <w:rFonts w:cs="Times New Roman"/>
              </w:rPr>
            </w:pPr>
            <w:r>
              <w:rPr>
                <w:rFonts w:cs="Times New Roman"/>
              </w:rPr>
              <w:t>0.37</w:t>
            </w:r>
          </w:p>
        </w:tc>
        <w:tc>
          <w:tcPr>
            <w:tcW w:w="1142" w:type="dxa"/>
            <w:vAlign w:val="center"/>
          </w:tcPr>
          <w:p>
            <w:pPr>
              <w:pStyle w:val="43"/>
              <w:spacing w:line="240" w:lineRule="auto"/>
              <w:rPr>
                <w:rFonts w:cs="Times New Roman"/>
              </w:rPr>
            </w:pPr>
            <w:r>
              <w:rPr>
                <w:rFonts w:cs="Times New Roman"/>
              </w:rPr>
              <w:t>0.18</w:t>
            </w:r>
          </w:p>
        </w:tc>
        <w:tc>
          <w:tcPr>
            <w:tcW w:w="1140" w:type="dxa"/>
            <w:vAlign w:val="center"/>
          </w:tcPr>
          <w:p>
            <w:pPr>
              <w:pStyle w:val="43"/>
              <w:spacing w:line="240" w:lineRule="auto"/>
              <w:rPr>
                <w:rFonts w:cs="Times New Roman"/>
              </w:rPr>
            </w:pPr>
            <w:r>
              <w:rPr>
                <w:rFonts w:cs="Times New Roman"/>
              </w:rPr>
              <w:t>0.03</w:t>
            </w:r>
          </w:p>
        </w:tc>
        <w:tc>
          <w:tcPr>
            <w:tcW w:w="1142" w:type="dxa"/>
            <w:vAlign w:val="center"/>
          </w:tcPr>
          <w:p>
            <w:pPr>
              <w:pStyle w:val="43"/>
              <w:spacing w:line="240" w:lineRule="auto"/>
              <w:rPr>
                <w:rFonts w:cs="Times New Roman"/>
              </w:rPr>
            </w:pPr>
            <w:r>
              <w:rPr>
                <w:rFonts w:cs="Times New Roman"/>
              </w:rPr>
              <w:t>0.01</w:t>
            </w:r>
          </w:p>
        </w:tc>
      </w:tr>
    </w:tbl>
    <w:p>
      <w:pPr>
        <w:pStyle w:val="41"/>
      </w:pPr>
      <w:r>
        <w:t>表G.3.1-2   高温自然冷却后混凝土与钢筋粘结强度折减系数</w:t>
      </w:r>
    </w:p>
    <w:tbl>
      <w:tblPr>
        <w:tblStyle w:val="24"/>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1146"/>
        <w:gridCol w:w="1144"/>
        <w:gridCol w:w="1144"/>
        <w:gridCol w:w="1144"/>
        <w:gridCol w:w="1144"/>
        <w:gridCol w:w="1144"/>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84" w:type="dxa"/>
            <w:tcBorders>
              <w:tl2br w:val="single" w:color="auto" w:sz="4" w:space="0"/>
            </w:tcBorders>
          </w:tcPr>
          <w:p>
            <w:pPr>
              <w:pStyle w:val="43"/>
              <w:spacing w:line="240" w:lineRule="auto"/>
              <w:rPr>
                <w:rFonts w:cs="Times New Roman"/>
              </w:rPr>
            </w:pPr>
            <w:r>
              <w:rPr>
                <w:rFonts w:hint="eastAsia" w:cs="Times New Roman"/>
              </w:rPr>
              <w:t xml:space="preserve"> </w:t>
            </w:r>
            <w:r>
              <w:rPr>
                <w:rFonts w:cs="Times New Roman"/>
              </w:rPr>
              <w:t xml:space="preserve">     温度(℃)</w:t>
            </w:r>
          </w:p>
          <w:p>
            <w:pPr>
              <w:pStyle w:val="43"/>
              <w:spacing w:line="240" w:lineRule="auto"/>
              <w:rPr>
                <w:rFonts w:cs="Times New Roman"/>
              </w:rPr>
            </w:pPr>
            <w:r>
              <w:rPr>
                <w:rFonts w:cs="Times New Roman"/>
              </w:rPr>
              <w:t>钢筋种类</w:t>
            </w:r>
          </w:p>
        </w:tc>
        <w:tc>
          <w:tcPr>
            <w:tcW w:w="1146" w:type="dxa"/>
            <w:vAlign w:val="center"/>
          </w:tcPr>
          <w:p>
            <w:pPr>
              <w:pStyle w:val="43"/>
              <w:spacing w:line="240" w:lineRule="auto"/>
              <w:rPr>
                <w:rFonts w:cs="Times New Roman"/>
              </w:rPr>
            </w:pPr>
            <w:r>
              <w:rPr>
                <w:rFonts w:cs="Times New Roman"/>
              </w:rPr>
              <w:t>常温</w:t>
            </w:r>
          </w:p>
        </w:tc>
        <w:tc>
          <w:tcPr>
            <w:tcW w:w="1144" w:type="dxa"/>
            <w:vAlign w:val="center"/>
          </w:tcPr>
          <w:p>
            <w:pPr>
              <w:pStyle w:val="43"/>
              <w:spacing w:line="240" w:lineRule="auto"/>
              <w:rPr>
                <w:rFonts w:cs="Times New Roman"/>
              </w:rPr>
            </w:pPr>
            <w:r>
              <w:rPr>
                <w:rFonts w:cs="Times New Roman"/>
              </w:rPr>
              <w:t>300</w:t>
            </w:r>
          </w:p>
        </w:tc>
        <w:tc>
          <w:tcPr>
            <w:tcW w:w="1144" w:type="dxa"/>
            <w:vAlign w:val="center"/>
          </w:tcPr>
          <w:p>
            <w:pPr>
              <w:pStyle w:val="43"/>
              <w:spacing w:line="240" w:lineRule="auto"/>
              <w:rPr>
                <w:rFonts w:cs="Times New Roman"/>
              </w:rPr>
            </w:pPr>
            <w:r>
              <w:rPr>
                <w:rFonts w:cs="Times New Roman"/>
              </w:rPr>
              <w:t>400</w:t>
            </w:r>
          </w:p>
        </w:tc>
        <w:tc>
          <w:tcPr>
            <w:tcW w:w="1144" w:type="dxa"/>
            <w:vAlign w:val="center"/>
          </w:tcPr>
          <w:p>
            <w:pPr>
              <w:pStyle w:val="43"/>
              <w:spacing w:line="240" w:lineRule="auto"/>
              <w:rPr>
                <w:rFonts w:cs="Times New Roman"/>
              </w:rPr>
            </w:pPr>
            <w:r>
              <w:rPr>
                <w:rFonts w:cs="Times New Roman"/>
              </w:rPr>
              <w:t>500</w:t>
            </w:r>
          </w:p>
        </w:tc>
        <w:tc>
          <w:tcPr>
            <w:tcW w:w="1144" w:type="dxa"/>
            <w:vAlign w:val="center"/>
          </w:tcPr>
          <w:p>
            <w:pPr>
              <w:pStyle w:val="43"/>
              <w:spacing w:line="240" w:lineRule="auto"/>
              <w:rPr>
                <w:rFonts w:cs="Times New Roman"/>
              </w:rPr>
            </w:pPr>
            <w:r>
              <w:rPr>
                <w:rFonts w:cs="Times New Roman"/>
              </w:rPr>
              <w:t>600</w:t>
            </w:r>
          </w:p>
        </w:tc>
        <w:tc>
          <w:tcPr>
            <w:tcW w:w="1144" w:type="dxa"/>
            <w:vAlign w:val="center"/>
          </w:tcPr>
          <w:p>
            <w:pPr>
              <w:pStyle w:val="43"/>
              <w:spacing w:line="240" w:lineRule="auto"/>
              <w:rPr>
                <w:rFonts w:cs="Times New Roman"/>
              </w:rPr>
            </w:pPr>
            <w:r>
              <w:rPr>
                <w:rFonts w:cs="Times New Roman"/>
              </w:rPr>
              <w:t>700</w:t>
            </w:r>
          </w:p>
        </w:tc>
        <w:tc>
          <w:tcPr>
            <w:tcW w:w="1012" w:type="dxa"/>
            <w:vAlign w:val="center"/>
          </w:tcPr>
          <w:p>
            <w:pPr>
              <w:pStyle w:val="43"/>
              <w:spacing w:line="240" w:lineRule="auto"/>
              <w:rPr>
                <w:rFonts w:cs="Times New Roman"/>
              </w:rPr>
            </w:pPr>
            <w:r>
              <w:rPr>
                <w:rFonts w:cs="Times New Roma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84" w:type="dxa"/>
          </w:tcPr>
          <w:p>
            <w:pPr>
              <w:pStyle w:val="43"/>
              <w:spacing w:line="240" w:lineRule="auto"/>
              <w:rPr>
                <w:rFonts w:cs="Times New Roman"/>
              </w:rPr>
            </w:pPr>
            <w:r>
              <w:rPr>
                <w:rFonts w:cs="Times New Roman"/>
              </w:rPr>
              <w:t>光圆钢筋</w:t>
            </w:r>
          </w:p>
        </w:tc>
        <w:tc>
          <w:tcPr>
            <w:tcW w:w="1146" w:type="dxa"/>
          </w:tcPr>
          <w:p>
            <w:pPr>
              <w:pStyle w:val="43"/>
              <w:spacing w:line="240" w:lineRule="auto"/>
              <w:rPr>
                <w:rFonts w:cs="Times New Roman"/>
              </w:rPr>
            </w:pPr>
            <w:r>
              <w:rPr>
                <w:rFonts w:cs="Times New Roman"/>
              </w:rPr>
              <w:t>1.00</w:t>
            </w:r>
          </w:p>
        </w:tc>
        <w:tc>
          <w:tcPr>
            <w:tcW w:w="1144" w:type="dxa"/>
          </w:tcPr>
          <w:p>
            <w:pPr>
              <w:pStyle w:val="43"/>
              <w:spacing w:line="240" w:lineRule="auto"/>
              <w:rPr>
                <w:rFonts w:cs="Times New Roman"/>
              </w:rPr>
            </w:pPr>
            <w:r>
              <w:rPr>
                <w:rFonts w:cs="Times New Roman"/>
              </w:rPr>
              <w:t>0.90</w:t>
            </w:r>
          </w:p>
        </w:tc>
        <w:tc>
          <w:tcPr>
            <w:tcW w:w="1144" w:type="dxa"/>
          </w:tcPr>
          <w:p>
            <w:pPr>
              <w:pStyle w:val="43"/>
              <w:spacing w:line="240" w:lineRule="auto"/>
              <w:rPr>
                <w:rFonts w:cs="Times New Roman"/>
              </w:rPr>
            </w:pPr>
            <w:r>
              <w:rPr>
                <w:rFonts w:cs="Times New Roman"/>
              </w:rPr>
              <w:t>0.70</w:t>
            </w:r>
          </w:p>
        </w:tc>
        <w:tc>
          <w:tcPr>
            <w:tcW w:w="1144" w:type="dxa"/>
          </w:tcPr>
          <w:p>
            <w:pPr>
              <w:pStyle w:val="43"/>
              <w:spacing w:line="240" w:lineRule="auto"/>
              <w:rPr>
                <w:rFonts w:cs="Times New Roman"/>
              </w:rPr>
            </w:pPr>
            <w:r>
              <w:rPr>
                <w:rFonts w:cs="Times New Roman"/>
              </w:rPr>
              <w:t>0.40</w:t>
            </w:r>
          </w:p>
        </w:tc>
        <w:tc>
          <w:tcPr>
            <w:tcW w:w="1144" w:type="dxa"/>
          </w:tcPr>
          <w:p>
            <w:pPr>
              <w:pStyle w:val="43"/>
              <w:spacing w:line="240" w:lineRule="auto"/>
              <w:rPr>
                <w:rFonts w:cs="Times New Roman"/>
              </w:rPr>
            </w:pPr>
            <w:r>
              <w:rPr>
                <w:rFonts w:cs="Times New Roman"/>
              </w:rPr>
              <w:t>0.20</w:t>
            </w:r>
          </w:p>
        </w:tc>
        <w:tc>
          <w:tcPr>
            <w:tcW w:w="1144" w:type="dxa"/>
          </w:tcPr>
          <w:p>
            <w:pPr>
              <w:pStyle w:val="43"/>
              <w:spacing w:line="240" w:lineRule="auto"/>
              <w:rPr>
                <w:rFonts w:cs="Times New Roman"/>
              </w:rPr>
            </w:pPr>
            <w:r>
              <w:rPr>
                <w:rFonts w:cs="Times New Roman"/>
              </w:rPr>
              <w:t>0.10</w:t>
            </w:r>
          </w:p>
        </w:tc>
        <w:tc>
          <w:tcPr>
            <w:tcW w:w="1012" w:type="dxa"/>
          </w:tcPr>
          <w:p>
            <w:pPr>
              <w:pStyle w:val="43"/>
              <w:spacing w:line="240" w:lineRule="auto"/>
              <w:rPr>
                <w:rFonts w:cs="Times New Roman"/>
              </w:rPr>
            </w:pPr>
            <w:r>
              <w:rPr>
                <w:rFonts w:cs="Times New Roma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84" w:type="dxa"/>
          </w:tcPr>
          <w:p>
            <w:pPr>
              <w:pStyle w:val="43"/>
              <w:spacing w:line="240" w:lineRule="auto"/>
              <w:rPr>
                <w:rFonts w:cs="Times New Roman"/>
              </w:rPr>
            </w:pPr>
            <w:r>
              <w:rPr>
                <w:rFonts w:cs="Times New Roman"/>
              </w:rPr>
              <w:t>HRB335钢筋</w:t>
            </w:r>
          </w:p>
        </w:tc>
        <w:tc>
          <w:tcPr>
            <w:tcW w:w="1146" w:type="dxa"/>
          </w:tcPr>
          <w:p>
            <w:pPr>
              <w:pStyle w:val="43"/>
              <w:spacing w:line="240" w:lineRule="auto"/>
              <w:rPr>
                <w:rFonts w:cs="Times New Roman"/>
              </w:rPr>
            </w:pPr>
            <w:r>
              <w:rPr>
                <w:rFonts w:cs="Times New Roman"/>
              </w:rPr>
              <w:t>1.00</w:t>
            </w:r>
          </w:p>
        </w:tc>
        <w:tc>
          <w:tcPr>
            <w:tcW w:w="1144" w:type="dxa"/>
          </w:tcPr>
          <w:p>
            <w:pPr>
              <w:pStyle w:val="43"/>
              <w:spacing w:line="240" w:lineRule="auto"/>
              <w:rPr>
                <w:rFonts w:cs="Times New Roman"/>
              </w:rPr>
            </w:pPr>
            <w:r>
              <w:rPr>
                <w:rFonts w:cs="Times New Roman"/>
              </w:rPr>
              <w:t>0.90</w:t>
            </w:r>
          </w:p>
        </w:tc>
        <w:tc>
          <w:tcPr>
            <w:tcW w:w="1144" w:type="dxa"/>
          </w:tcPr>
          <w:p>
            <w:pPr>
              <w:pStyle w:val="43"/>
              <w:spacing w:line="240" w:lineRule="auto"/>
              <w:rPr>
                <w:rFonts w:cs="Times New Roman"/>
              </w:rPr>
            </w:pPr>
            <w:r>
              <w:rPr>
                <w:rFonts w:cs="Times New Roman"/>
              </w:rPr>
              <w:t>0.90</w:t>
            </w:r>
          </w:p>
        </w:tc>
        <w:tc>
          <w:tcPr>
            <w:tcW w:w="1144" w:type="dxa"/>
          </w:tcPr>
          <w:p>
            <w:pPr>
              <w:pStyle w:val="43"/>
              <w:spacing w:line="240" w:lineRule="auto"/>
              <w:rPr>
                <w:rFonts w:cs="Times New Roman"/>
              </w:rPr>
            </w:pPr>
            <w:r>
              <w:rPr>
                <w:rFonts w:cs="Times New Roman"/>
              </w:rPr>
              <w:t>0.80</w:t>
            </w:r>
          </w:p>
        </w:tc>
        <w:tc>
          <w:tcPr>
            <w:tcW w:w="1144" w:type="dxa"/>
          </w:tcPr>
          <w:p>
            <w:pPr>
              <w:pStyle w:val="43"/>
              <w:spacing w:line="240" w:lineRule="auto"/>
              <w:rPr>
                <w:rFonts w:cs="Times New Roman"/>
              </w:rPr>
            </w:pPr>
            <w:r>
              <w:rPr>
                <w:rFonts w:cs="Times New Roman"/>
              </w:rPr>
              <w:t>0.60</w:t>
            </w:r>
          </w:p>
        </w:tc>
        <w:tc>
          <w:tcPr>
            <w:tcW w:w="1144" w:type="dxa"/>
          </w:tcPr>
          <w:p>
            <w:pPr>
              <w:pStyle w:val="43"/>
              <w:spacing w:line="240" w:lineRule="auto"/>
              <w:rPr>
                <w:rFonts w:cs="Times New Roman"/>
              </w:rPr>
            </w:pPr>
            <w:r>
              <w:rPr>
                <w:rFonts w:cs="Times New Roman"/>
              </w:rPr>
              <w:t>0.50</w:t>
            </w:r>
          </w:p>
        </w:tc>
        <w:tc>
          <w:tcPr>
            <w:tcW w:w="1012" w:type="dxa"/>
          </w:tcPr>
          <w:p>
            <w:pPr>
              <w:pStyle w:val="43"/>
              <w:spacing w:line="240" w:lineRule="auto"/>
              <w:rPr>
                <w:rFonts w:cs="Times New Roman"/>
              </w:rPr>
            </w:pPr>
            <w:r>
              <w:rPr>
                <w:rFonts w:cs="Times New Roma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84" w:type="dxa"/>
          </w:tcPr>
          <w:p>
            <w:pPr>
              <w:pStyle w:val="43"/>
              <w:spacing w:line="240" w:lineRule="auto"/>
              <w:rPr>
                <w:rFonts w:cs="Times New Roman"/>
              </w:rPr>
            </w:pPr>
            <w:r>
              <w:rPr>
                <w:rFonts w:cs="Times New Roman"/>
              </w:rPr>
              <w:t>HRB400钢筋、HRB500钢筋</w:t>
            </w:r>
          </w:p>
        </w:tc>
        <w:tc>
          <w:tcPr>
            <w:tcW w:w="1146" w:type="dxa"/>
            <w:vAlign w:val="center"/>
          </w:tcPr>
          <w:p>
            <w:pPr>
              <w:pStyle w:val="43"/>
              <w:spacing w:line="240" w:lineRule="auto"/>
              <w:rPr>
                <w:rFonts w:cs="Times New Roman"/>
              </w:rPr>
            </w:pPr>
            <w:r>
              <w:rPr>
                <w:rFonts w:cs="Times New Roman"/>
              </w:rPr>
              <w:t>1.00</w:t>
            </w:r>
          </w:p>
        </w:tc>
        <w:tc>
          <w:tcPr>
            <w:tcW w:w="1144" w:type="dxa"/>
            <w:vAlign w:val="center"/>
          </w:tcPr>
          <w:p>
            <w:pPr>
              <w:pStyle w:val="43"/>
              <w:spacing w:line="240" w:lineRule="auto"/>
              <w:rPr>
                <w:rFonts w:cs="Times New Roman"/>
              </w:rPr>
            </w:pPr>
            <w:r>
              <w:rPr>
                <w:rFonts w:cs="Times New Roman"/>
              </w:rPr>
              <w:t>0.91</w:t>
            </w:r>
          </w:p>
        </w:tc>
        <w:tc>
          <w:tcPr>
            <w:tcW w:w="1144" w:type="dxa"/>
            <w:vAlign w:val="center"/>
          </w:tcPr>
          <w:p>
            <w:pPr>
              <w:pStyle w:val="43"/>
              <w:spacing w:line="240" w:lineRule="auto"/>
              <w:rPr>
                <w:rFonts w:cs="Times New Roman"/>
              </w:rPr>
            </w:pPr>
            <w:r>
              <w:rPr>
                <w:rFonts w:cs="Times New Roman"/>
              </w:rPr>
              <w:t>0.72</w:t>
            </w:r>
          </w:p>
        </w:tc>
        <w:tc>
          <w:tcPr>
            <w:tcW w:w="1144" w:type="dxa"/>
            <w:vAlign w:val="center"/>
          </w:tcPr>
          <w:p>
            <w:pPr>
              <w:pStyle w:val="43"/>
              <w:spacing w:line="240" w:lineRule="auto"/>
              <w:rPr>
                <w:rFonts w:cs="Times New Roman"/>
              </w:rPr>
            </w:pPr>
            <w:r>
              <w:rPr>
                <w:rFonts w:cs="Times New Roman"/>
              </w:rPr>
              <w:t>0.51</w:t>
            </w:r>
          </w:p>
        </w:tc>
        <w:tc>
          <w:tcPr>
            <w:tcW w:w="1144" w:type="dxa"/>
            <w:vAlign w:val="center"/>
          </w:tcPr>
          <w:p>
            <w:pPr>
              <w:pStyle w:val="43"/>
              <w:spacing w:line="240" w:lineRule="auto"/>
              <w:rPr>
                <w:rFonts w:cs="Times New Roman"/>
              </w:rPr>
            </w:pPr>
            <w:r>
              <w:rPr>
                <w:rFonts w:cs="Times New Roman"/>
              </w:rPr>
              <w:t>0.31</w:t>
            </w:r>
          </w:p>
        </w:tc>
        <w:tc>
          <w:tcPr>
            <w:tcW w:w="1144" w:type="dxa"/>
            <w:vAlign w:val="center"/>
          </w:tcPr>
          <w:p>
            <w:pPr>
              <w:pStyle w:val="43"/>
              <w:spacing w:line="240" w:lineRule="auto"/>
              <w:rPr>
                <w:rFonts w:cs="Times New Roman"/>
              </w:rPr>
            </w:pPr>
            <w:r>
              <w:rPr>
                <w:rFonts w:cs="Times New Roman"/>
              </w:rPr>
              <w:t>0.18</w:t>
            </w:r>
          </w:p>
        </w:tc>
        <w:tc>
          <w:tcPr>
            <w:tcW w:w="1012" w:type="dxa"/>
            <w:vAlign w:val="center"/>
          </w:tcPr>
          <w:p>
            <w:pPr>
              <w:pStyle w:val="43"/>
              <w:spacing w:line="240" w:lineRule="auto"/>
              <w:rPr>
                <w:rFonts w:cs="Times New Roman"/>
              </w:rPr>
            </w:pPr>
            <w:r>
              <w:rPr>
                <w:rFonts w:cs="Times New Roman"/>
              </w:rPr>
              <w:t>0.14</w:t>
            </w:r>
          </w:p>
        </w:tc>
      </w:tr>
    </w:tbl>
    <w:p>
      <w:pPr>
        <w:pStyle w:val="3"/>
      </w:pPr>
      <w:bookmarkStart w:id="83" w:name="_Toc505085908"/>
      <w:r>
        <w:rPr>
          <w:rFonts w:hint="eastAsia"/>
        </w:rPr>
        <w:t>G.4无粘结预应力钢绞线剩余应力测试方法</w:t>
      </w:r>
      <w:bookmarkEnd w:id="83"/>
    </w:p>
    <w:p>
      <w:pPr>
        <w:rPr>
          <w:rFonts w:cs="Times New Roman"/>
        </w:rPr>
      </w:pPr>
      <w:r>
        <w:rPr>
          <w:rFonts w:cs="Times New Roman"/>
          <w:b/>
        </w:rPr>
        <w:t xml:space="preserve">G.4.1 </w:t>
      </w:r>
      <w:r>
        <w:rPr>
          <w:rFonts w:cs="Times New Roman"/>
        </w:rPr>
        <w:t>火灾后</w:t>
      </w:r>
      <w:r>
        <w:rPr>
          <w:rFonts w:hint="eastAsia" w:cs="Times New Roman"/>
        </w:rPr>
        <w:t>无粘结</w:t>
      </w:r>
      <w:r>
        <w:rPr>
          <w:rFonts w:cs="Times New Roman"/>
        </w:rPr>
        <w:t>预应力钢绞线剩余应力</w:t>
      </w:r>
      <w:r>
        <w:rPr>
          <w:rFonts w:cs="Times New Roman"/>
          <w:position w:val="-14"/>
        </w:rPr>
        <w:object>
          <v:shape id="_x0000_i1083" o:spt="75" type="#_x0000_t75" style="height:19.8pt;width:17.4pt;" o:ole="t" filled="f" o:preferrelative="t" stroked="f" coordsize="21600,21600">
            <v:path/>
            <v:fill on="f" focussize="0,0"/>
            <v:stroke on="f" joinstyle="miter"/>
            <v:imagedata r:id="rId149" o:title=""/>
            <o:lock v:ext="edit" aspectratio="t"/>
            <w10:wrap type="none"/>
            <w10:anchorlock/>
          </v:shape>
          <o:OLEObject Type="Embed" ProgID="Equation.DSMT4" ShapeID="_x0000_i1083" DrawAspect="Content" ObjectID="_1468075783" r:id="rId148">
            <o:LockedField>false</o:LockedField>
          </o:OLEObject>
        </w:object>
      </w:r>
      <w:r>
        <w:rPr>
          <w:rFonts w:cs="Times New Roman"/>
        </w:rPr>
        <w:t>可采用钢绞线偏轴应变放松法测量。对火灾后预应力钢绞线，剔除钢绞线周边混凝土，暴露出1根钢绞线，将应变片</w:t>
      </w:r>
      <w:r>
        <w:rPr>
          <w:rFonts w:hint="eastAsia" w:cs="Times New Roman"/>
        </w:rPr>
        <w:t>沿</w:t>
      </w:r>
      <w:r>
        <w:rPr>
          <w:rFonts w:cs="Times New Roman"/>
        </w:rPr>
        <w:t>外表面钢丝方向粘贴。</w:t>
      </w:r>
      <w:r>
        <w:rPr>
          <w:rFonts w:hint="eastAsia" w:cs="Times New Roman"/>
        </w:rPr>
        <w:t>切断粘贴应变片的钢绞线，钢绞线释放应力，测量其偏轴应变绝对值</w:t>
      </w:r>
      <w:r>
        <w:rPr>
          <w:rFonts w:cs="Times New Roman"/>
        </w:rPr>
        <w:object>
          <v:shape id="_x0000_i1084" o:spt="75" type="#_x0000_t75" style="height:13.2pt;width:13.8pt;" o:ole="t" filled="f" o:preferrelative="t" stroked="f" coordsize="21600,21600">
            <v:path/>
            <v:fill on="f" focussize="0,0"/>
            <v:stroke on="f" joinstyle="miter"/>
            <v:imagedata r:id="rId151" o:title=""/>
            <o:lock v:ext="edit" aspectratio="t"/>
            <w10:wrap type="none"/>
            <w10:anchorlock/>
          </v:shape>
          <o:OLEObject Type="Embed" ProgID="Equation.DSMT4" ShapeID="_x0000_i1084" DrawAspect="Content" ObjectID="_1468075784" r:id="rId150">
            <o:LockedField>false</o:LockedField>
          </o:OLEObject>
        </w:object>
      </w:r>
      <w:r>
        <w:rPr>
          <w:rFonts w:hint="eastAsia" w:cs="Times New Roman"/>
        </w:rPr>
        <w:t>，</w:t>
      </w:r>
      <w:r>
        <w:rPr>
          <w:rFonts w:cs="Times New Roman"/>
        </w:rPr>
        <w:object>
          <v:shape id="_x0000_i1085" o:spt="75" type="#_x0000_t75" style="height:13.2pt;width:13.8pt;" o:ole="t" filled="f" o:preferrelative="t" stroked="f" coordsize="21600,21600">
            <v:path/>
            <v:fill on="f" focussize="0,0"/>
            <v:stroke on="f" joinstyle="miter"/>
            <v:imagedata r:id="rId151" o:title=""/>
            <o:lock v:ext="edit" aspectratio="t"/>
            <w10:wrap type="none"/>
            <w10:anchorlock/>
          </v:shape>
          <o:OLEObject Type="Embed" ProgID="Equation.DSMT4" ShapeID="_x0000_i1085" DrawAspect="Content" ObjectID="_1468075785" r:id="rId152">
            <o:LockedField>false</o:LockedField>
          </o:OLEObject>
        </w:object>
      </w:r>
      <w:r>
        <w:rPr>
          <w:rFonts w:hint="eastAsia" w:cs="Times New Roman"/>
        </w:rPr>
        <w:t>乘以</w:t>
      </w:r>
      <w:r>
        <w:rPr>
          <w:rFonts w:cs="Times New Roman"/>
        </w:rPr>
        <w:t>1.1</w:t>
      </w:r>
      <w:r>
        <w:rPr>
          <w:rFonts w:hint="eastAsia" w:cs="Times New Roman"/>
        </w:rPr>
        <w:t>，转化为轴向应变绝对值</w:t>
      </w:r>
      <w:r>
        <w:rPr>
          <w:rFonts w:cs="Times New Roman"/>
        </w:rPr>
        <w:object>
          <v:shape id="_x0000_i1086" o:spt="75" type="#_x0000_t75" style="height:11.4pt;width:9pt;" o:ole="t" filled="f" o:preferrelative="t" stroked="f" coordsize="21600,21600">
            <v:path/>
            <v:fill on="f" focussize="0,0"/>
            <v:stroke on="f" joinstyle="miter"/>
            <v:imagedata r:id="rId154" o:title=""/>
            <o:lock v:ext="edit" aspectratio="t"/>
            <w10:wrap type="none"/>
            <w10:anchorlock/>
          </v:shape>
          <o:OLEObject Type="Embed" ProgID="Equation.DSMT4" ShapeID="_x0000_i1086" DrawAspect="Content" ObjectID="_1468075786" r:id="rId153">
            <o:LockedField>false</o:LockedField>
          </o:OLEObject>
        </w:object>
      </w:r>
      <w:r>
        <w:rPr>
          <w:rFonts w:hint="eastAsia" w:cs="Times New Roman"/>
        </w:rPr>
        <w:t>。火灾后预应力钢丝、钢绞线弹性模量</w:t>
      </w:r>
      <w:r>
        <w:rPr>
          <w:rFonts w:cs="Times New Roman"/>
          <w:position w:val="-14"/>
        </w:rPr>
        <w:object>
          <v:shape id="_x0000_i1087" o:spt="75" type="#_x0000_t75" style="height:17.4pt;width:16.8pt;" o:ole="t" filled="f" o:preferrelative="t" stroked="f" coordsize="21600,21600">
            <v:path/>
            <v:fill on="f" focussize="0,0"/>
            <v:stroke on="f" joinstyle="miter"/>
            <v:imagedata r:id="rId156" o:title=""/>
            <o:lock v:ext="edit" aspectratio="t"/>
            <w10:wrap type="none"/>
            <w10:anchorlock/>
          </v:shape>
          <o:OLEObject Type="Embed" ProgID="Equation.DSMT4" ShapeID="_x0000_i1087" DrawAspect="Content" ObjectID="_1468075787" r:id="rId155">
            <o:LockedField>false</o:LockedField>
          </o:OLEObject>
        </w:object>
      </w:r>
      <w:r>
        <w:rPr>
          <w:rFonts w:hint="eastAsia" w:cs="Times New Roman"/>
        </w:rPr>
        <w:t>与常温相同，则</w:t>
      </w:r>
      <w:r>
        <w:rPr>
          <w:rFonts w:cs="Times New Roman"/>
          <w:position w:val="-14"/>
        </w:rPr>
        <w:object>
          <v:shape id="_x0000_i1088" o:spt="75" type="#_x0000_t75" style="height:19.8pt;width:17.4pt;" o:ole="t" filled="f" o:preferrelative="t" stroked="f" coordsize="21600,21600">
            <v:path/>
            <v:fill on="f" focussize="0,0"/>
            <v:stroke on="f" joinstyle="miter"/>
            <v:imagedata r:id="rId149" o:title=""/>
            <o:lock v:ext="edit" aspectratio="t"/>
            <w10:wrap type="none"/>
            <w10:anchorlock/>
          </v:shape>
          <o:OLEObject Type="Embed" ProgID="Equation.DSMT4" ShapeID="_x0000_i1088" DrawAspect="Content" ObjectID="_1468075788" r:id="rId157">
            <o:LockedField>false</o:LockedField>
          </o:OLEObject>
        </w:object>
      </w:r>
      <w:r>
        <w:rPr>
          <w:rFonts w:hint="eastAsia" w:cs="Times New Roman"/>
        </w:rPr>
        <w:t>可按下式计算：</w:t>
      </w:r>
    </w:p>
    <w:p>
      <w:pPr>
        <w:jc w:val="center"/>
        <w:rPr>
          <w:rFonts w:cs="Times New Roman"/>
        </w:rPr>
      </w:pPr>
      <w:r>
        <w:rPr>
          <w:rFonts w:cs="Times New Roman"/>
        </w:rPr>
        <w:object>
          <v:shape id="_x0000_i1089" o:spt="75" type="#_x0000_t75" style="height:19.8pt;width:91.2pt;" o:ole="t" filled="f" o:preferrelative="t" stroked="f" coordsize="21600,21600">
            <v:path/>
            <v:fill on="f" focussize="0,0"/>
            <v:stroke on="f" joinstyle="miter"/>
            <v:imagedata r:id="rId159" o:title=""/>
            <o:lock v:ext="edit" aspectratio="t"/>
            <w10:wrap type="none"/>
            <w10:anchorlock/>
          </v:shape>
          <o:OLEObject Type="Embed" ProgID="Equation.DSMT4" ShapeID="_x0000_i1089" DrawAspect="Content" ObjectID="_1468075789" r:id="rId158">
            <o:LockedField>false</o:LockedField>
          </o:OLEObject>
        </w:object>
      </w:r>
      <w:r>
        <w:rPr>
          <w:rFonts w:hint="eastAsia" w:cs="Times New Roman"/>
        </w:rPr>
        <w:t xml:space="preserve">         </w:t>
      </w:r>
      <w:r>
        <w:rPr>
          <w:rFonts w:cs="Times New Roman"/>
        </w:rPr>
        <w:t>(G.4.1-1)</w:t>
      </w:r>
    </w:p>
    <w:p>
      <w:pPr>
        <w:rPr>
          <w:rFonts w:cs="Times New Roman"/>
        </w:rPr>
      </w:pPr>
      <w:r>
        <w:rPr>
          <w:rFonts w:cs="Times New Roman"/>
        </w:rPr>
        <w:t>式中，</w:t>
      </w:r>
      <w:r>
        <w:rPr>
          <w:rFonts w:cs="Times New Roman"/>
        </w:rPr>
        <w:object>
          <v:shape id="_x0000_i1090" o:spt="75" type="#_x0000_t75" style="height:19.8pt;width:17.4pt;" o:ole="t" filled="f" o:preferrelative="t" stroked="f" coordsize="21600,21600">
            <v:path/>
            <v:fill on="f" focussize="0,0"/>
            <v:stroke on="f" joinstyle="miter"/>
            <v:imagedata r:id="rId149" o:title=""/>
            <o:lock v:ext="edit" aspectratio="t"/>
            <w10:wrap type="none"/>
            <w10:anchorlock/>
          </v:shape>
          <o:OLEObject Type="Embed" ProgID="Equation.DSMT4" ShapeID="_x0000_i1090" DrawAspect="Content" ObjectID="_1468075790" r:id="rId160">
            <o:LockedField>false</o:LockedField>
          </o:OLEObject>
        </w:object>
      </w:r>
      <w:r>
        <w:rPr>
          <w:rFonts w:cs="Times New Roman"/>
        </w:rPr>
        <w:t>—火灾后预应力钢绞线剩余应力；</w:t>
      </w:r>
    </w:p>
    <w:p>
      <w:pPr>
        <w:ind w:firstLine="630" w:firstLineChars="300"/>
        <w:rPr>
          <w:rFonts w:cs="Times New Roman"/>
        </w:rPr>
      </w:pPr>
      <w:r>
        <w:rPr>
          <w:rFonts w:cs="Times New Roman"/>
        </w:rPr>
        <w:object>
          <v:shape id="_x0000_i1091" o:spt="75" type="#_x0000_t75" style="height:13.2pt;width:13.8pt;" o:ole="t" filled="f" o:preferrelative="t" stroked="f" coordsize="21600,21600">
            <v:path/>
            <v:fill on="f" focussize="0,0"/>
            <v:stroke on="f" joinstyle="miter"/>
            <v:imagedata r:id="rId151" o:title=""/>
            <o:lock v:ext="edit" aspectratio="t"/>
            <w10:wrap type="none"/>
            <w10:anchorlock/>
          </v:shape>
          <o:OLEObject Type="Embed" ProgID="Equation.DSMT4" ShapeID="_x0000_i1091" DrawAspect="Content" ObjectID="_1468075791" r:id="rId161">
            <o:LockedField>false</o:LockedField>
          </o:OLEObject>
        </w:object>
      </w:r>
      <w:r>
        <w:rPr>
          <w:rFonts w:cs="Times New Roman"/>
        </w:rPr>
        <w:t>—钢绞线偏轴应变绝对值；</w:t>
      </w:r>
    </w:p>
    <w:p>
      <w:pPr>
        <w:ind w:firstLine="630" w:firstLineChars="300"/>
        <w:rPr>
          <w:rFonts w:cs="Times New Roman"/>
        </w:rPr>
      </w:pPr>
      <w:r>
        <w:rPr>
          <w:rFonts w:cs="Times New Roman"/>
        </w:rPr>
        <w:object>
          <v:shape id="_x0000_i1092" o:spt="75" type="#_x0000_t75" style="height:11.4pt;width:9pt;" o:ole="t" filled="f" o:preferrelative="t" stroked="f" coordsize="21600,21600">
            <v:path/>
            <v:fill on="f" focussize="0,0"/>
            <v:stroke on="f" joinstyle="miter"/>
            <v:imagedata r:id="rId163" o:title=""/>
            <o:lock v:ext="edit" aspectratio="t"/>
            <w10:wrap type="none"/>
            <w10:anchorlock/>
          </v:shape>
          <o:OLEObject Type="Embed" ProgID="Equation.DSMT4" ShapeID="_x0000_i1092" DrawAspect="Content" ObjectID="_1468075792" r:id="rId162">
            <o:LockedField>false</o:LockedField>
          </o:OLEObject>
        </w:object>
      </w:r>
      <w:r>
        <w:rPr>
          <w:rFonts w:cs="Times New Roman"/>
        </w:rPr>
        <w:t>—轴向应变绝对值。</w:t>
      </w:r>
    </w:p>
    <w:p>
      <w:pPr>
        <w:ind w:firstLine="630" w:firstLineChars="300"/>
        <w:rPr>
          <w:rFonts w:cs="Times New Roman"/>
        </w:rPr>
      </w:pPr>
      <w:r>
        <w:rPr>
          <w:rFonts w:cs="Times New Roman"/>
          <w:position w:val="-14"/>
        </w:rPr>
        <w:object>
          <v:shape id="_x0000_i1093" o:spt="75" type="#_x0000_t75" style="height:17.4pt;width:16.8pt;" o:ole="t" filled="f" o:preferrelative="t" stroked="f" coordsize="21600,21600">
            <v:path/>
            <v:fill on="f" focussize="0,0"/>
            <v:stroke on="f" joinstyle="miter"/>
            <v:imagedata r:id="rId156" o:title=""/>
            <o:lock v:ext="edit" aspectratio="t"/>
            <w10:wrap type="none"/>
            <w10:anchorlock/>
          </v:shape>
          <o:OLEObject Type="Embed" ProgID="Equation.DSMT4" ShapeID="_x0000_i1093" DrawAspect="Content" ObjectID="_1468075793" r:id="rId164">
            <o:LockedField>false</o:LockedField>
          </o:OLEObject>
        </w:object>
      </w:r>
      <w:r>
        <w:rPr>
          <w:rFonts w:cs="Times New Roman"/>
        </w:rPr>
        <w:t>—常温下预应力钢丝、钢绞线弹性模量，按现行国家标准《混凝土结构设计规范》（GB50010）相关规定取值。</w:t>
      </w:r>
    </w:p>
    <w:p>
      <w:pPr>
        <w:pStyle w:val="3"/>
      </w:pPr>
      <w:bookmarkStart w:id="84" w:name="_Toc505085909"/>
      <w:r>
        <w:rPr>
          <w:rFonts w:hint="eastAsia"/>
        </w:rPr>
        <w:t>G</w:t>
      </w:r>
      <w:r>
        <w:t xml:space="preserve">.5 </w:t>
      </w:r>
      <w:r>
        <w:rPr>
          <w:rFonts w:hint="eastAsia"/>
        </w:rPr>
        <w:t>预应力钢丝、钢绞线高温时和高温后强度折减系数</w:t>
      </w:r>
      <w:bookmarkEnd w:id="84"/>
    </w:p>
    <w:p>
      <w:pPr>
        <w:rPr>
          <w:rFonts w:cs="Times New Roman"/>
          <w:b/>
        </w:rPr>
      </w:pPr>
      <w:r>
        <w:rPr>
          <w:rFonts w:cs="Times New Roman"/>
          <w:b/>
        </w:rPr>
        <w:t>G.5.</w:t>
      </w:r>
      <w:r>
        <w:rPr>
          <w:rFonts w:hint="eastAsia" w:cs="Times New Roman"/>
          <w:b/>
        </w:rPr>
        <w:t xml:space="preserve">1  </w:t>
      </w:r>
      <w:r>
        <w:rPr>
          <w:rFonts w:cs="Times New Roman"/>
        </w:rPr>
        <w:t>1570、1720、1860、1920级预应力钢丝、钢绞线高温时</w:t>
      </w:r>
      <w:r>
        <w:rPr>
          <w:rFonts w:hint="eastAsia" w:cs="Times New Roman"/>
        </w:rPr>
        <w:t>和</w:t>
      </w:r>
      <w:r>
        <w:rPr>
          <w:rFonts w:cs="Times New Roman"/>
        </w:rPr>
        <w:t>高温后的强度折减系数按表G.5.</w:t>
      </w:r>
      <w:r>
        <w:rPr>
          <w:rFonts w:hint="eastAsia" w:cs="Times New Roman"/>
        </w:rPr>
        <w:t>1</w:t>
      </w:r>
      <w:r>
        <w:rPr>
          <w:rFonts w:cs="Times New Roman"/>
        </w:rPr>
        <w:t>-1、G.5.</w:t>
      </w:r>
      <w:r>
        <w:rPr>
          <w:rFonts w:hint="eastAsia" w:cs="Times New Roman"/>
        </w:rPr>
        <w:t>1</w:t>
      </w:r>
      <w:r>
        <w:rPr>
          <w:rFonts w:cs="Times New Roman"/>
        </w:rPr>
        <w:t>-2确定。</w:t>
      </w:r>
    </w:p>
    <w:p>
      <w:pPr>
        <w:pStyle w:val="41"/>
      </w:pPr>
      <w:r>
        <w:t>表G.5.</w:t>
      </w:r>
      <w:r>
        <w:rPr>
          <w:rFonts w:hint="eastAsia"/>
        </w:rPr>
        <w:t>1</w:t>
      </w:r>
      <w:r>
        <w:t>-1高温时预应力钢丝、钢绞线强度折减系数</w:t>
      </w:r>
    </w:p>
    <w:tbl>
      <w:tblPr>
        <w:tblStyle w:val="25"/>
        <w:tblW w:w="66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0"/>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3320" w:type="dxa"/>
            <w:vAlign w:val="center"/>
          </w:tcPr>
          <w:p>
            <w:pPr>
              <w:pStyle w:val="43"/>
              <w:ind w:firstLine="420"/>
              <w:rPr>
                <w:rFonts w:cs="Times New Roman"/>
                <w:kern w:val="0"/>
                <w:sz w:val="20"/>
              </w:rPr>
            </w:pPr>
            <w:r>
              <w:rPr>
                <w:rFonts w:cs="Times New Roman"/>
                <w:kern w:val="0"/>
                <w:sz w:val="20"/>
              </w:rPr>
              <w:t>温度(℃)</w:t>
            </w:r>
          </w:p>
        </w:tc>
        <w:tc>
          <w:tcPr>
            <w:tcW w:w="3321" w:type="dxa"/>
            <w:vAlign w:val="center"/>
          </w:tcPr>
          <w:p>
            <w:pPr>
              <w:pStyle w:val="43"/>
              <w:ind w:firstLine="420"/>
              <w:rPr>
                <w:rFonts w:cstheme="minorBidi"/>
                <w:kern w:val="2"/>
                <w:sz w:val="21"/>
              </w:rPr>
            </w:pPr>
            <w:r>
              <w:rPr>
                <w:rFonts w:cs="Times New Roman"/>
                <w:kern w:val="0"/>
                <w:sz w:val="20"/>
              </w:rPr>
              <w:t>强度折减系数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室温</w:t>
            </w:r>
          </w:p>
        </w:tc>
        <w:tc>
          <w:tcPr>
            <w:tcW w:w="3321" w:type="dxa"/>
            <w:vAlign w:val="center"/>
          </w:tcPr>
          <w:p>
            <w:pPr>
              <w:pStyle w:val="43"/>
              <w:ind w:firstLine="420"/>
              <w:rPr>
                <w:rFonts w:cs="Times New Roman"/>
                <w:kern w:val="0"/>
                <w:sz w:val="20"/>
              </w:rPr>
            </w:pPr>
            <w:r>
              <w:rPr>
                <w:rFonts w:cs="Times New Roman"/>
                <w:kern w:val="0"/>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100</w:t>
            </w:r>
          </w:p>
        </w:tc>
        <w:tc>
          <w:tcPr>
            <w:tcW w:w="3321" w:type="dxa"/>
            <w:vAlign w:val="center"/>
          </w:tcPr>
          <w:p>
            <w:pPr>
              <w:pStyle w:val="43"/>
              <w:ind w:firstLine="420"/>
              <w:rPr>
                <w:rFonts w:cs="Times New Roman"/>
                <w:kern w:val="0"/>
                <w:sz w:val="20"/>
              </w:rPr>
            </w:pPr>
            <w:r>
              <w:rPr>
                <w:rFonts w:cs="Times New Roman"/>
                <w:kern w:val="0"/>
                <w:sz w:val="20"/>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200</w:t>
            </w:r>
          </w:p>
        </w:tc>
        <w:tc>
          <w:tcPr>
            <w:tcW w:w="3321" w:type="dxa"/>
            <w:vAlign w:val="center"/>
          </w:tcPr>
          <w:p>
            <w:pPr>
              <w:pStyle w:val="43"/>
              <w:ind w:firstLine="420"/>
              <w:rPr>
                <w:rFonts w:cs="Times New Roman"/>
                <w:kern w:val="0"/>
                <w:sz w:val="20"/>
              </w:rPr>
            </w:pPr>
            <w:r>
              <w:rPr>
                <w:rFonts w:cs="Times New Roman"/>
                <w:kern w:val="0"/>
                <w:sz w:val="20"/>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300</w:t>
            </w:r>
          </w:p>
        </w:tc>
        <w:tc>
          <w:tcPr>
            <w:tcW w:w="3321" w:type="dxa"/>
            <w:vAlign w:val="center"/>
          </w:tcPr>
          <w:p>
            <w:pPr>
              <w:pStyle w:val="43"/>
              <w:ind w:firstLine="420"/>
              <w:rPr>
                <w:rFonts w:cs="Times New Roman"/>
                <w:kern w:val="0"/>
                <w:sz w:val="20"/>
              </w:rPr>
            </w:pPr>
            <w:r>
              <w:rPr>
                <w:rFonts w:cs="Times New Roman"/>
                <w:kern w:val="0"/>
                <w:sz w:val="20"/>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400</w:t>
            </w:r>
          </w:p>
        </w:tc>
        <w:tc>
          <w:tcPr>
            <w:tcW w:w="3321" w:type="dxa"/>
            <w:vAlign w:val="center"/>
          </w:tcPr>
          <w:p>
            <w:pPr>
              <w:pStyle w:val="43"/>
              <w:ind w:firstLine="420"/>
              <w:rPr>
                <w:rFonts w:cs="Times New Roman"/>
                <w:kern w:val="0"/>
                <w:sz w:val="20"/>
              </w:rPr>
            </w:pPr>
            <w:r>
              <w:rPr>
                <w:rFonts w:cs="Times New Roman"/>
                <w:kern w:val="0"/>
                <w:sz w:val="20"/>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500</w:t>
            </w:r>
          </w:p>
        </w:tc>
        <w:tc>
          <w:tcPr>
            <w:tcW w:w="3321" w:type="dxa"/>
            <w:vAlign w:val="center"/>
          </w:tcPr>
          <w:p>
            <w:pPr>
              <w:pStyle w:val="43"/>
              <w:ind w:firstLine="420"/>
              <w:rPr>
                <w:rFonts w:cs="Times New Roman"/>
                <w:kern w:val="0"/>
                <w:sz w:val="20"/>
              </w:rPr>
            </w:pPr>
            <w:r>
              <w:rPr>
                <w:rFonts w:cs="Times New Roman"/>
                <w:kern w:val="0"/>
                <w:sz w:val="20"/>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600</w:t>
            </w:r>
          </w:p>
        </w:tc>
        <w:tc>
          <w:tcPr>
            <w:tcW w:w="3321" w:type="dxa"/>
            <w:vAlign w:val="center"/>
          </w:tcPr>
          <w:p>
            <w:pPr>
              <w:pStyle w:val="43"/>
              <w:ind w:firstLine="420"/>
              <w:rPr>
                <w:rFonts w:cs="Times New Roman"/>
                <w:kern w:val="0"/>
                <w:sz w:val="20"/>
              </w:rPr>
            </w:pPr>
            <w:r>
              <w:rPr>
                <w:rFonts w:cs="Times New Roman"/>
                <w:kern w:val="0"/>
                <w:sz w:val="20"/>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700</w:t>
            </w:r>
          </w:p>
        </w:tc>
        <w:tc>
          <w:tcPr>
            <w:tcW w:w="3321" w:type="dxa"/>
            <w:vAlign w:val="center"/>
          </w:tcPr>
          <w:p>
            <w:pPr>
              <w:pStyle w:val="43"/>
              <w:ind w:firstLine="420"/>
              <w:rPr>
                <w:rFonts w:cs="Times New Roman"/>
                <w:kern w:val="0"/>
                <w:sz w:val="20"/>
              </w:rPr>
            </w:pPr>
            <w:r>
              <w:rPr>
                <w:rFonts w:cs="Times New Roman"/>
                <w:kern w:val="0"/>
                <w:sz w:val="20"/>
              </w:rPr>
              <w:t>0.03</w:t>
            </w:r>
          </w:p>
        </w:tc>
      </w:tr>
    </w:tbl>
    <w:p>
      <w:pPr>
        <w:pStyle w:val="41"/>
      </w:pPr>
      <w:r>
        <w:rPr>
          <w:rFonts w:hint="eastAsia"/>
        </w:rPr>
        <w:t>表</w:t>
      </w:r>
      <w:r>
        <w:t>G.5.</w:t>
      </w:r>
      <w:r>
        <w:rPr>
          <w:rFonts w:hint="eastAsia"/>
        </w:rPr>
        <w:t>1</w:t>
      </w:r>
      <w:r>
        <w:t>-2</w:t>
      </w:r>
      <w:r>
        <w:rPr>
          <w:rFonts w:hint="eastAsia"/>
        </w:rPr>
        <w:t>高温后预应力钢丝、钢绞线强度折减系数</w:t>
      </w:r>
    </w:p>
    <w:tbl>
      <w:tblPr>
        <w:tblStyle w:val="25"/>
        <w:tblW w:w="66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0"/>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温度(℃)</w:t>
            </w:r>
          </w:p>
        </w:tc>
        <w:tc>
          <w:tcPr>
            <w:tcW w:w="3321" w:type="dxa"/>
            <w:vAlign w:val="center"/>
          </w:tcPr>
          <w:p>
            <w:pPr>
              <w:pStyle w:val="43"/>
              <w:ind w:firstLine="420"/>
              <w:rPr>
                <w:rFonts w:cs="Times New Roman"/>
                <w:kern w:val="0"/>
                <w:sz w:val="20"/>
              </w:rPr>
            </w:pPr>
            <w:r>
              <w:rPr>
                <w:rFonts w:hint="eastAsia" w:cs="Times New Roman"/>
                <w:kern w:val="0"/>
                <w:sz w:val="20"/>
              </w:rPr>
              <w:t>强度折减系数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室温</w:t>
            </w:r>
          </w:p>
        </w:tc>
        <w:tc>
          <w:tcPr>
            <w:tcW w:w="3321" w:type="dxa"/>
            <w:vAlign w:val="center"/>
          </w:tcPr>
          <w:p>
            <w:pPr>
              <w:pStyle w:val="43"/>
              <w:ind w:firstLine="420"/>
              <w:rPr>
                <w:rFonts w:cs="Times New Roman"/>
                <w:kern w:val="0"/>
                <w:sz w:val="20"/>
              </w:rPr>
            </w:pPr>
            <w:r>
              <w:rPr>
                <w:rFonts w:cs="Times New Roman"/>
                <w:kern w:val="0"/>
                <w:sz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100</w:t>
            </w:r>
          </w:p>
        </w:tc>
        <w:tc>
          <w:tcPr>
            <w:tcW w:w="3321" w:type="dxa"/>
            <w:vAlign w:val="center"/>
          </w:tcPr>
          <w:p>
            <w:pPr>
              <w:pStyle w:val="43"/>
              <w:ind w:firstLine="420"/>
              <w:rPr>
                <w:rFonts w:cs="Times New Roman"/>
                <w:kern w:val="0"/>
                <w:sz w:val="20"/>
              </w:rPr>
            </w:pPr>
            <w:r>
              <w:rPr>
                <w:rFonts w:cs="Times New Roman"/>
                <w:kern w:val="0"/>
                <w:sz w:val="20"/>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200</w:t>
            </w:r>
          </w:p>
        </w:tc>
        <w:tc>
          <w:tcPr>
            <w:tcW w:w="3321" w:type="dxa"/>
            <w:vAlign w:val="center"/>
          </w:tcPr>
          <w:p>
            <w:pPr>
              <w:pStyle w:val="43"/>
              <w:ind w:firstLine="420"/>
              <w:rPr>
                <w:rFonts w:cs="Times New Roman"/>
                <w:kern w:val="0"/>
                <w:sz w:val="20"/>
              </w:rPr>
            </w:pPr>
            <w:r>
              <w:rPr>
                <w:rFonts w:cs="Times New Roman"/>
                <w:kern w:val="0"/>
                <w:sz w:val="20"/>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300</w:t>
            </w:r>
          </w:p>
        </w:tc>
        <w:tc>
          <w:tcPr>
            <w:tcW w:w="3321" w:type="dxa"/>
            <w:vAlign w:val="center"/>
          </w:tcPr>
          <w:p>
            <w:pPr>
              <w:pStyle w:val="43"/>
              <w:ind w:firstLine="420"/>
              <w:rPr>
                <w:rFonts w:cs="Times New Roman"/>
                <w:kern w:val="0"/>
                <w:sz w:val="20"/>
              </w:rPr>
            </w:pPr>
            <w:r>
              <w:rPr>
                <w:rFonts w:cs="Times New Roman"/>
                <w:kern w:val="0"/>
                <w:sz w:val="20"/>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400</w:t>
            </w:r>
          </w:p>
        </w:tc>
        <w:tc>
          <w:tcPr>
            <w:tcW w:w="3321" w:type="dxa"/>
            <w:vAlign w:val="center"/>
          </w:tcPr>
          <w:p>
            <w:pPr>
              <w:pStyle w:val="43"/>
              <w:ind w:firstLine="420"/>
              <w:rPr>
                <w:rFonts w:cs="Times New Roman"/>
                <w:kern w:val="0"/>
                <w:sz w:val="20"/>
              </w:rPr>
            </w:pPr>
            <w:r>
              <w:rPr>
                <w:rFonts w:cs="Times New Roman"/>
                <w:kern w:val="0"/>
                <w:sz w:val="20"/>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500</w:t>
            </w:r>
          </w:p>
        </w:tc>
        <w:tc>
          <w:tcPr>
            <w:tcW w:w="3321" w:type="dxa"/>
            <w:vAlign w:val="center"/>
          </w:tcPr>
          <w:p>
            <w:pPr>
              <w:pStyle w:val="43"/>
              <w:ind w:firstLine="420"/>
              <w:rPr>
                <w:rFonts w:cs="Times New Roman"/>
                <w:kern w:val="0"/>
                <w:sz w:val="20"/>
              </w:rPr>
            </w:pPr>
            <w:r>
              <w:rPr>
                <w:rFonts w:cs="Times New Roman"/>
                <w:kern w:val="0"/>
                <w:sz w:val="20"/>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600</w:t>
            </w:r>
          </w:p>
        </w:tc>
        <w:tc>
          <w:tcPr>
            <w:tcW w:w="3321" w:type="dxa"/>
            <w:vAlign w:val="center"/>
          </w:tcPr>
          <w:p>
            <w:pPr>
              <w:pStyle w:val="43"/>
              <w:ind w:firstLine="420"/>
              <w:rPr>
                <w:rFonts w:cs="Times New Roman"/>
                <w:kern w:val="0"/>
                <w:sz w:val="20"/>
              </w:rPr>
            </w:pPr>
            <w:r>
              <w:rPr>
                <w:rFonts w:cs="Times New Roman"/>
                <w:kern w:val="0"/>
                <w:sz w:val="20"/>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vAlign w:val="center"/>
          </w:tcPr>
          <w:p>
            <w:pPr>
              <w:pStyle w:val="43"/>
              <w:ind w:firstLine="420"/>
              <w:rPr>
                <w:rFonts w:cs="Times New Roman"/>
                <w:kern w:val="0"/>
                <w:sz w:val="20"/>
              </w:rPr>
            </w:pPr>
            <w:r>
              <w:rPr>
                <w:rFonts w:cs="Times New Roman"/>
                <w:kern w:val="0"/>
                <w:sz w:val="20"/>
              </w:rPr>
              <w:t>700</w:t>
            </w:r>
          </w:p>
        </w:tc>
        <w:tc>
          <w:tcPr>
            <w:tcW w:w="3321" w:type="dxa"/>
            <w:vAlign w:val="center"/>
          </w:tcPr>
          <w:p>
            <w:pPr>
              <w:pStyle w:val="43"/>
              <w:ind w:firstLine="420"/>
              <w:rPr>
                <w:rFonts w:cs="Times New Roman"/>
                <w:kern w:val="0"/>
                <w:sz w:val="20"/>
              </w:rPr>
            </w:pPr>
            <w:r>
              <w:rPr>
                <w:rFonts w:cs="Times New Roman"/>
                <w:kern w:val="0"/>
                <w:sz w:val="20"/>
              </w:rPr>
              <w:t>0.38</w:t>
            </w:r>
          </w:p>
        </w:tc>
      </w:tr>
    </w:tbl>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cs="Times New Roman"/>
        </w:rPr>
        <w:sectPr>
          <w:pgSz w:w="11906" w:h="16838"/>
          <w:pgMar w:top="1440" w:right="1080" w:bottom="1440" w:left="1080" w:header="851" w:footer="992" w:gutter="0"/>
          <w:cols w:space="425" w:num="1"/>
          <w:docGrid w:type="lines" w:linePitch="312" w:charSpace="0"/>
        </w:sectPr>
      </w:pPr>
    </w:p>
    <w:p>
      <w:pPr>
        <w:pStyle w:val="2"/>
        <w:rPr>
          <w:rFonts w:cs="Times New Roman"/>
        </w:rPr>
      </w:pPr>
      <w:bookmarkStart w:id="85" w:name="_Toc505085910"/>
      <w:bookmarkStart w:id="86" w:name="_Toc500168117"/>
      <w:bookmarkStart w:id="87" w:name="_Toc501474095"/>
      <w:r>
        <w:rPr>
          <w:rFonts w:cs="Times New Roman"/>
        </w:rPr>
        <w:t>附录</w:t>
      </w:r>
      <w:r>
        <w:rPr>
          <w:rFonts w:hint="eastAsia" w:cs="Times New Roman"/>
        </w:rPr>
        <w:t>H</w:t>
      </w:r>
      <w:r>
        <w:rPr>
          <w:rFonts w:cs="Times New Roman"/>
        </w:rPr>
        <w:t xml:space="preserve"> 高温过火后钢结构力学性能</w:t>
      </w:r>
      <w:bookmarkEnd w:id="85"/>
    </w:p>
    <w:p>
      <w:pPr>
        <w:pStyle w:val="3"/>
        <w:rPr>
          <w:i/>
        </w:rPr>
      </w:pPr>
      <w:bookmarkStart w:id="88" w:name="_Toc505085911"/>
      <w:r>
        <w:t>H.1高温过火后结构钢、高强度螺栓、焊缝的屈服强度折减系数</w:t>
      </w:r>
      <w:bookmarkEnd w:id="86"/>
      <w:bookmarkEnd w:id="87"/>
      <w:bookmarkEnd w:id="88"/>
    </w:p>
    <w:p>
      <w:pPr>
        <w:rPr>
          <w:rFonts w:cs="Times New Roman"/>
        </w:rPr>
      </w:pPr>
      <w:r>
        <w:rPr>
          <w:rFonts w:cs="Times New Roman"/>
          <w:b/>
        </w:rPr>
        <w:t xml:space="preserve">H.1.1 </w:t>
      </w:r>
      <w:r>
        <w:rPr>
          <w:rFonts w:cs="Times New Roman"/>
        </w:rPr>
        <w:t xml:space="preserve"> 结构钢高温过火冷却后的屈服强度折减系数可按表H.1.1确定。</w:t>
      </w:r>
    </w:p>
    <w:p>
      <w:pPr>
        <w:pStyle w:val="41"/>
      </w:pPr>
      <w:r>
        <w:t>表H.1.1  结构钢高温过火冷却后的屈服强度折减系数</w:t>
      </w:r>
    </w:p>
    <w:tbl>
      <w:tblPr>
        <w:tblStyle w:val="24"/>
        <w:tblW w:w="9802" w:type="dxa"/>
        <w:jc w:val="center"/>
        <w:tblInd w:w="0" w:type="dxa"/>
        <w:tblLayout w:type="fixed"/>
        <w:tblCellMar>
          <w:top w:w="57" w:type="dxa"/>
          <w:left w:w="28" w:type="dxa"/>
          <w:bottom w:w="57" w:type="dxa"/>
          <w:right w:w="28" w:type="dxa"/>
        </w:tblCellMar>
      </w:tblPr>
      <w:tblGrid>
        <w:gridCol w:w="1390"/>
        <w:gridCol w:w="2060"/>
        <w:gridCol w:w="1588"/>
        <w:gridCol w:w="1588"/>
        <w:gridCol w:w="1588"/>
        <w:gridCol w:w="1588"/>
      </w:tblGrid>
      <w:tr>
        <w:tblPrEx>
          <w:tblLayout w:type="fixed"/>
          <w:tblCellMar>
            <w:top w:w="57" w:type="dxa"/>
            <w:left w:w="28" w:type="dxa"/>
            <w:bottom w:w="57" w:type="dxa"/>
            <w:right w:w="28" w:type="dxa"/>
          </w:tblCellMar>
        </w:tblPrEx>
        <w:trPr>
          <w:trHeight w:val="300" w:hRule="atLeast"/>
          <w:jc w:val="center"/>
        </w:trPr>
        <w:tc>
          <w:tcPr>
            <w:tcW w:w="1390" w:type="dxa"/>
            <w:tcBorders>
              <w:top w:val="single" w:color="auto" w:sz="4" w:space="0"/>
              <w:left w:val="single" w:color="auto" w:sz="4" w:space="0"/>
              <w:right w:val="single" w:color="auto" w:sz="4" w:space="0"/>
            </w:tcBorders>
            <w:vAlign w:val="center"/>
          </w:tcPr>
          <w:p>
            <w:pPr>
              <w:pStyle w:val="43"/>
              <w:spacing w:line="240" w:lineRule="auto"/>
              <w:rPr>
                <w:rFonts w:cs="Times New Roman"/>
              </w:rPr>
            </w:pPr>
            <w:r>
              <w:rPr>
                <w:rFonts w:cs="Times New Roman"/>
              </w:rPr>
              <w:t>温度（℃）</w:t>
            </w:r>
          </w:p>
        </w:tc>
        <w:tc>
          <w:tcPr>
            <w:tcW w:w="2060" w:type="dxa"/>
            <w:tcBorders>
              <w:top w:val="single" w:color="auto" w:sz="4" w:space="0"/>
              <w:left w:val="single" w:color="auto" w:sz="4" w:space="0"/>
              <w:right w:val="single" w:color="auto" w:sz="4" w:space="0"/>
            </w:tcBorders>
            <w:vAlign w:val="bottom"/>
          </w:tcPr>
          <w:p>
            <w:pPr>
              <w:pStyle w:val="43"/>
              <w:spacing w:line="240" w:lineRule="auto"/>
              <w:rPr>
                <w:rFonts w:cs="Times New Roman"/>
              </w:rPr>
            </w:pPr>
            <w:r>
              <w:rPr>
                <w:rFonts w:cs="Times New Roman"/>
              </w:rPr>
              <w:t>Q235、Q345钢</w:t>
            </w:r>
          </w:p>
        </w:tc>
        <w:tc>
          <w:tcPr>
            <w:tcW w:w="1588" w:type="dxa"/>
            <w:tcBorders>
              <w:top w:val="single" w:color="auto" w:sz="4" w:space="0"/>
              <w:left w:val="single" w:color="auto" w:sz="4" w:space="0"/>
              <w:right w:val="single" w:color="auto" w:sz="4" w:space="0"/>
            </w:tcBorders>
            <w:vAlign w:val="bottom"/>
          </w:tcPr>
          <w:p>
            <w:pPr>
              <w:pStyle w:val="43"/>
              <w:spacing w:line="240" w:lineRule="auto"/>
              <w:rPr>
                <w:rFonts w:cs="Times New Roman"/>
              </w:rPr>
            </w:pPr>
            <w:r>
              <w:rPr>
                <w:rFonts w:cs="Times New Roman"/>
              </w:rPr>
              <w:t>Q460钢</w:t>
            </w:r>
          </w:p>
        </w:tc>
        <w:tc>
          <w:tcPr>
            <w:tcW w:w="1588" w:type="dxa"/>
            <w:tcBorders>
              <w:top w:val="single" w:color="auto" w:sz="4" w:space="0"/>
              <w:left w:val="single" w:color="auto" w:sz="4" w:space="0"/>
              <w:right w:val="single" w:color="auto" w:sz="4" w:space="0"/>
            </w:tcBorders>
            <w:vAlign w:val="bottom"/>
          </w:tcPr>
          <w:p>
            <w:pPr>
              <w:pStyle w:val="43"/>
              <w:spacing w:line="240" w:lineRule="auto"/>
              <w:rPr>
                <w:rFonts w:cs="Times New Roman"/>
              </w:rPr>
            </w:pPr>
            <w:r>
              <w:rPr>
                <w:rFonts w:cs="Times New Roman"/>
              </w:rPr>
              <w:t>Q550钢</w:t>
            </w:r>
          </w:p>
        </w:tc>
        <w:tc>
          <w:tcPr>
            <w:tcW w:w="1588" w:type="dxa"/>
            <w:tcBorders>
              <w:top w:val="single" w:color="auto" w:sz="4" w:space="0"/>
              <w:left w:val="single" w:color="auto" w:sz="4" w:space="0"/>
              <w:right w:val="single" w:color="auto" w:sz="4" w:space="0"/>
            </w:tcBorders>
            <w:vAlign w:val="bottom"/>
          </w:tcPr>
          <w:p>
            <w:pPr>
              <w:pStyle w:val="43"/>
              <w:spacing w:line="240" w:lineRule="auto"/>
              <w:rPr>
                <w:rFonts w:cs="Times New Roman"/>
              </w:rPr>
            </w:pPr>
            <w:r>
              <w:rPr>
                <w:rFonts w:cs="Times New Roman"/>
              </w:rPr>
              <w:t>Q690钢</w:t>
            </w:r>
          </w:p>
        </w:tc>
        <w:tc>
          <w:tcPr>
            <w:tcW w:w="1588" w:type="dxa"/>
            <w:tcBorders>
              <w:top w:val="single" w:color="auto" w:sz="4" w:space="0"/>
              <w:left w:val="single" w:color="auto" w:sz="4" w:space="0"/>
              <w:right w:val="single" w:color="auto" w:sz="4" w:space="0"/>
            </w:tcBorders>
            <w:vAlign w:val="bottom"/>
          </w:tcPr>
          <w:p>
            <w:pPr>
              <w:pStyle w:val="43"/>
              <w:spacing w:line="240" w:lineRule="auto"/>
              <w:rPr>
                <w:rFonts w:cs="Times New Roman"/>
              </w:rPr>
            </w:pPr>
            <w:r>
              <w:rPr>
                <w:rFonts w:cs="Times New Roman"/>
              </w:rPr>
              <w:t>Q890钢</w:t>
            </w:r>
          </w:p>
        </w:tc>
      </w:tr>
      <w:tr>
        <w:tblPrEx>
          <w:tblLayout w:type="fixed"/>
          <w:tblCellMar>
            <w:top w:w="57" w:type="dxa"/>
            <w:left w:w="28" w:type="dxa"/>
            <w:bottom w:w="57" w:type="dxa"/>
            <w:right w:w="28" w:type="dxa"/>
          </w:tblCellMar>
        </w:tblPrEx>
        <w:trPr>
          <w:trHeight w:val="300" w:hRule="atLeast"/>
          <w:jc w:val="center"/>
        </w:trPr>
        <w:tc>
          <w:tcPr>
            <w:tcW w:w="1390" w:type="dxa"/>
            <w:tcBorders>
              <w:top w:val="single" w:color="auto" w:sz="4" w:space="0"/>
              <w:left w:val="single" w:color="auto" w:sz="4" w:space="0"/>
              <w:right w:val="single" w:color="auto" w:sz="4" w:space="0"/>
            </w:tcBorders>
            <w:vAlign w:val="center"/>
          </w:tcPr>
          <w:p>
            <w:pPr>
              <w:pStyle w:val="43"/>
              <w:spacing w:line="240" w:lineRule="auto"/>
              <w:rPr>
                <w:rFonts w:cs="Times New Roman"/>
              </w:rPr>
            </w:pPr>
            <w:r>
              <w:rPr>
                <w:rFonts w:cs="Times New Roman"/>
              </w:rPr>
              <w:t>20</w:t>
            </w:r>
          </w:p>
        </w:tc>
        <w:tc>
          <w:tcPr>
            <w:tcW w:w="2060" w:type="dxa"/>
            <w:tcBorders>
              <w:top w:val="single" w:color="auto" w:sz="4" w:space="0"/>
              <w:left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1588" w:type="dxa"/>
            <w:tcBorders>
              <w:top w:val="single" w:color="auto" w:sz="4" w:space="0"/>
              <w:left w:val="single" w:color="auto" w:sz="4" w:space="0"/>
              <w:right w:val="single" w:color="auto" w:sz="4" w:space="0"/>
            </w:tcBorders>
          </w:tcPr>
          <w:p>
            <w:pPr>
              <w:pStyle w:val="43"/>
              <w:spacing w:line="240" w:lineRule="auto"/>
              <w:rPr>
                <w:rFonts w:cs="Times New Roman"/>
              </w:rPr>
            </w:pPr>
            <w:r>
              <w:rPr>
                <w:rFonts w:cs="Times New Roman"/>
              </w:rPr>
              <w:t>1.00</w:t>
            </w:r>
          </w:p>
        </w:tc>
        <w:tc>
          <w:tcPr>
            <w:tcW w:w="1588" w:type="dxa"/>
            <w:tcBorders>
              <w:top w:val="single" w:color="auto" w:sz="4" w:space="0"/>
              <w:left w:val="single" w:color="auto" w:sz="4" w:space="0"/>
              <w:right w:val="single" w:color="auto" w:sz="4" w:space="0"/>
            </w:tcBorders>
          </w:tcPr>
          <w:p>
            <w:pPr>
              <w:pStyle w:val="43"/>
              <w:spacing w:line="240" w:lineRule="auto"/>
              <w:rPr>
                <w:rFonts w:cs="Times New Roman"/>
              </w:rPr>
            </w:pPr>
            <w:r>
              <w:rPr>
                <w:rFonts w:cs="Times New Roman"/>
              </w:rPr>
              <w:t xml:space="preserve">1.00 </w:t>
            </w:r>
          </w:p>
        </w:tc>
        <w:tc>
          <w:tcPr>
            <w:tcW w:w="1588" w:type="dxa"/>
            <w:tcBorders>
              <w:top w:val="single" w:color="auto" w:sz="4" w:space="0"/>
              <w:left w:val="single" w:color="auto" w:sz="4" w:space="0"/>
              <w:right w:val="single" w:color="auto" w:sz="4" w:space="0"/>
            </w:tcBorders>
          </w:tcPr>
          <w:p>
            <w:pPr>
              <w:pStyle w:val="43"/>
              <w:spacing w:line="240" w:lineRule="auto"/>
              <w:rPr>
                <w:rFonts w:cs="Times New Roman"/>
              </w:rPr>
            </w:pPr>
            <w:r>
              <w:rPr>
                <w:rFonts w:cs="Times New Roman"/>
              </w:rPr>
              <w:t xml:space="preserve">1.00 </w:t>
            </w:r>
          </w:p>
        </w:tc>
        <w:tc>
          <w:tcPr>
            <w:tcW w:w="1588" w:type="dxa"/>
            <w:tcBorders>
              <w:top w:val="single" w:color="auto" w:sz="4" w:space="0"/>
              <w:left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139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200</w:t>
            </w:r>
          </w:p>
        </w:tc>
        <w:tc>
          <w:tcPr>
            <w:tcW w:w="206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1.00</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 xml:space="preserve">1.00 </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1.00</w:t>
            </w:r>
          </w:p>
        </w:tc>
        <w:tc>
          <w:tcPr>
            <w:tcW w:w="1588"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139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300</w:t>
            </w:r>
          </w:p>
        </w:tc>
        <w:tc>
          <w:tcPr>
            <w:tcW w:w="206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1.00</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1.00</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 xml:space="preserve">1.00 </w:t>
            </w:r>
          </w:p>
        </w:tc>
        <w:tc>
          <w:tcPr>
            <w:tcW w:w="1588"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139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400</w:t>
            </w:r>
          </w:p>
        </w:tc>
        <w:tc>
          <w:tcPr>
            <w:tcW w:w="206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0.96</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1.00</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 xml:space="preserve">1.00 </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 xml:space="preserve">1.00 </w:t>
            </w:r>
          </w:p>
        </w:tc>
        <w:tc>
          <w:tcPr>
            <w:tcW w:w="1588"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139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500</w:t>
            </w:r>
          </w:p>
        </w:tc>
        <w:tc>
          <w:tcPr>
            <w:tcW w:w="206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0.94</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1.00</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 xml:space="preserve">1.00 </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 xml:space="preserve">0.97 </w:t>
            </w:r>
          </w:p>
        </w:tc>
        <w:tc>
          <w:tcPr>
            <w:tcW w:w="1588"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139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600</w:t>
            </w:r>
          </w:p>
        </w:tc>
        <w:tc>
          <w:tcPr>
            <w:tcW w:w="206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0.93</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1.00</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 xml:space="preserve">1.00 </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 xml:space="preserve">0.82 </w:t>
            </w:r>
          </w:p>
        </w:tc>
        <w:tc>
          <w:tcPr>
            <w:tcW w:w="1588"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139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700</w:t>
            </w:r>
          </w:p>
        </w:tc>
        <w:tc>
          <w:tcPr>
            <w:tcW w:w="206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0.90</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1.00</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 xml:space="preserve">0.78 </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 xml:space="preserve">0.64 </w:t>
            </w:r>
          </w:p>
        </w:tc>
        <w:tc>
          <w:tcPr>
            <w:tcW w:w="1588"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0.78</w:t>
            </w:r>
          </w:p>
        </w:tc>
      </w:tr>
      <w:tr>
        <w:tblPrEx>
          <w:tblLayout w:type="fixed"/>
          <w:tblCellMar>
            <w:top w:w="57" w:type="dxa"/>
            <w:left w:w="28" w:type="dxa"/>
            <w:bottom w:w="57" w:type="dxa"/>
            <w:right w:w="28" w:type="dxa"/>
          </w:tblCellMar>
        </w:tblPrEx>
        <w:trPr>
          <w:trHeight w:val="20" w:hRule="atLeast"/>
          <w:jc w:val="center"/>
        </w:trPr>
        <w:tc>
          <w:tcPr>
            <w:tcW w:w="139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800</w:t>
            </w:r>
          </w:p>
        </w:tc>
        <w:tc>
          <w:tcPr>
            <w:tcW w:w="206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0.85</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0.70</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 xml:space="preserve">0.61 </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 xml:space="preserve">0.59 </w:t>
            </w:r>
          </w:p>
        </w:tc>
        <w:tc>
          <w:tcPr>
            <w:tcW w:w="1588"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0.84</w:t>
            </w:r>
          </w:p>
        </w:tc>
      </w:tr>
      <w:tr>
        <w:tblPrEx>
          <w:tblLayout w:type="fixed"/>
          <w:tblCellMar>
            <w:top w:w="57" w:type="dxa"/>
            <w:left w:w="28" w:type="dxa"/>
            <w:bottom w:w="57" w:type="dxa"/>
            <w:right w:w="28" w:type="dxa"/>
          </w:tblCellMar>
        </w:tblPrEx>
        <w:trPr>
          <w:trHeight w:val="209" w:hRule="atLeast"/>
          <w:jc w:val="center"/>
        </w:trPr>
        <w:tc>
          <w:tcPr>
            <w:tcW w:w="139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900</w:t>
            </w:r>
          </w:p>
        </w:tc>
        <w:tc>
          <w:tcPr>
            <w:tcW w:w="206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0.82</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0.72</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 xml:space="preserve">0.48 </w:t>
            </w:r>
          </w:p>
        </w:tc>
        <w:tc>
          <w:tcPr>
            <w:tcW w:w="1588" w:type="dxa"/>
            <w:tcBorders>
              <w:top w:val="single" w:color="auto" w:sz="4" w:space="0"/>
              <w:left w:val="single" w:color="auto" w:sz="4" w:space="0"/>
              <w:bottom w:val="single" w:color="auto" w:sz="4" w:space="0"/>
              <w:right w:val="single" w:color="auto" w:sz="4" w:space="0"/>
            </w:tcBorders>
          </w:tcPr>
          <w:p>
            <w:pPr>
              <w:pStyle w:val="43"/>
              <w:spacing w:line="240" w:lineRule="auto"/>
              <w:rPr>
                <w:rFonts w:cs="Times New Roman"/>
              </w:rPr>
            </w:pPr>
            <w:r>
              <w:rPr>
                <w:rFonts w:cs="Times New Roman"/>
              </w:rPr>
              <w:t xml:space="preserve">0.46 </w:t>
            </w:r>
          </w:p>
        </w:tc>
        <w:tc>
          <w:tcPr>
            <w:tcW w:w="1588"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0.90</w:t>
            </w:r>
          </w:p>
        </w:tc>
      </w:tr>
    </w:tbl>
    <w:p>
      <w:pPr>
        <w:rPr>
          <w:rFonts w:cs="Times New Roman"/>
        </w:rPr>
      </w:pPr>
      <w:r>
        <w:rPr>
          <w:rFonts w:cs="Times New Roman"/>
          <w:b/>
        </w:rPr>
        <w:t xml:space="preserve">H.1.2 </w:t>
      </w:r>
      <w:r>
        <w:rPr>
          <w:rFonts w:cs="Times New Roman"/>
        </w:rPr>
        <w:t xml:space="preserve"> 高强度螺栓高温过火冷却后的屈服强度折减系数可按表H.1.2确定。</w:t>
      </w:r>
    </w:p>
    <w:p>
      <w:pPr>
        <w:pStyle w:val="41"/>
      </w:pPr>
      <w:r>
        <w:t>表H.1.2高强度螺栓高温过火冷却后的屈服强度折减系数</w:t>
      </w:r>
    </w:p>
    <w:tbl>
      <w:tblPr>
        <w:tblStyle w:val="24"/>
        <w:tblW w:w="9802" w:type="dxa"/>
        <w:jc w:val="center"/>
        <w:tblInd w:w="0" w:type="dxa"/>
        <w:tblLayout w:type="fixed"/>
        <w:tblCellMar>
          <w:top w:w="57" w:type="dxa"/>
          <w:left w:w="28" w:type="dxa"/>
          <w:bottom w:w="57" w:type="dxa"/>
          <w:right w:w="28" w:type="dxa"/>
        </w:tblCellMar>
      </w:tblPr>
      <w:tblGrid>
        <w:gridCol w:w="3183"/>
        <w:gridCol w:w="3184"/>
        <w:gridCol w:w="3435"/>
      </w:tblGrid>
      <w:tr>
        <w:tblPrEx>
          <w:tblLayout w:type="fixed"/>
          <w:tblCellMar>
            <w:top w:w="57" w:type="dxa"/>
            <w:left w:w="28" w:type="dxa"/>
            <w:bottom w:w="57" w:type="dxa"/>
            <w:right w:w="28" w:type="dxa"/>
          </w:tblCellMar>
        </w:tblPrEx>
        <w:trPr>
          <w:trHeight w:val="20" w:hRule="atLeast"/>
          <w:jc w:val="center"/>
        </w:trPr>
        <w:tc>
          <w:tcPr>
            <w:tcW w:w="3183"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温度（℃）</w:t>
            </w:r>
          </w:p>
        </w:tc>
        <w:tc>
          <w:tcPr>
            <w:tcW w:w="3184"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8.8s级螺栓</w:t>
            </w:r>
          </w:p>
        </w:tc>
        <w:tc>
          <w:tcPr>
            <w:tcW w:w="3435"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10.9s级螺栓</w:t>
            </w:r>
          </w:p>
        </w:tc>
      </w:tr>
      <w:tr>
        <w:tblPrEx>
          <w:tblLayout w:type="fixed"/>
          <w:tblCellMar>
            <w:top w:w="57" w:type="dxa"/>
            <w:left w:w="28" w:type="dxa"/>
            <w:bottom w:w="57" w:type="dxa"/>
            <w:right w:w="28" w:type="dxa"/>
          </w:tblCellMar>
        </w:tblPrEx>
        <w:trPr>
          <w:trHeight w:val="152" w:hRule="atLeast"/>
          <w:jc w:val="center"/>
        </w:trPr>
        <w:tc>
          <w:tcPr>
            <w:tcW w:w="3183"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20</w:t>
            </w:r>
          </w:p>
        </w:tc>
        <w:tc>
          <w:tcPr>
            <w:tcW w:w="3184"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3435"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3183"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3184"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3435"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3183"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200</w:t>
            </w:r>
          </w:p>
        </w:tc>
        <w:tc>
          <w:tcPr>
            <w:tcW w:w="3184"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3435"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3183"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300</w:t>
            </w:r>
          </w:p>
        </w:tc>
        <w:tc>
          <w:tcPr>
            <w:tcW w:w="3184"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3435"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3183"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350</w:t>
            </w:r>
          </w:p>
        </w:tc>
        <w:tc>
          <w:tcPr>
            <w:tcW w:w="3184"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3435"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3183"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400</w:t>
            </w:r>
          </w:p>
        </w:tc>
        <w:tc>
          <w:tcPr>
            <w:tcW w:w="3184"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3435"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3183"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450</w:t>
            </w:r>
          </w:p>
        </w:tc>
        <w:tc>
          <w:tcPr>
            <w:tcW w:w="3184"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3435"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3183"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500</w:t>
            </w:r>
          </w:p>
        </w:tc>
        <w:tc>
          <w:tcPr>
            <w:tcW w:w="3184"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0.98</w:t>
            </w:r>
          </w:p>
        </w:tc>
        <w:tc>
          <w:tcPr>
            <w:tcW w:w="3435"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0.85</w:t>
            </w:r>
          </w:p>
        </w:tc>
      </w:tr>
      <w:tr>
        <w:tblPrEx>
          <w:tblLayout w:type="fixed"/>
          <w:tblCellMar>
            <w:top w:w="57" w:type="dxa"/>
            <w:left w:w="28" w:type="dxa"/>
            <w:bottom w:w="57" w:type="dxa"/>
            <w:right w:w="28" w:type="dxa"/>
          </w:tblCellMar>
        </w:tblPrEx>
        <w:trPr>
          <w:trHeight w:val="172" w:hRule="atLeast"/>
          <w:jc w:val="center"/>
        </w:trPr>
        <w:tc>
          <w:tcPr>
            <w:tcW w:w="3183"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550</w:t>
            </w:r>
          </w:p>
        </w:tc>
        <w:tc>
          <w:tcPr>
            <w:tcW w:w="3184"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0.94</w:t>
            </w:r>
          </w:p>
        </w:tc>
        <w:tc>
          <w:tcPr>
            <w:tcW w:w="3435"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0.79</w:t>
            </w:r>
          </w:p>
        </w:tc>
      </w:tr>
      <w:tr>
        <w:tblPrEx>
          <w:tblLayout w:type="fixed"/>
          <w:tblCellMar>
            <w:top w:w="57" w:type="dxa"/>
            <w:left w:w="28" w:type="dxa"/>
            <w:bottom w:w="57" w:type="dxa"/>
            <w:right w:w="28" w:type="dxa"/>
          </w:tblCellMar>
        </w:tblPrEx>
        <w:trPr>
          <w:trHeight w:val="195" w:hRule="atLeast"/>
          <w:jc w:val="center"/>
        </w:trPr>
        <w:tc>
          <w:tcPr>
            <w:tcW w:w="3183"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600</w:t>
            </w:r>
          </w:p>
        </w:tc>
        <w:tc>
          <w:tcPr>
            <w:tcW w:w="3184"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0.87</w:t>
            </w:r>
          </w:p>
        </w:tc>
        <w:tc>
          <w:tcPr>
            <w:tcW w:w="3435"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0.72</w:t>
            </w:r>
          </w:p>
        </w:tc>
      </w:tr>
      <w:tr>
        <w:tblPrEx>
          <w:tblLayout w:type="fixed"/>
          <w:tblCellMar>
            <w:top w:w="57" w:type="dxa"/>
            <w:left w:w="28" w:type="dxa"/>
            <w:bottom w:w="57" w:type="dxa"/>
            <w:right w:w="28" w:type="dxa"/>
          </w:tblCellMar>
        </w:tblPrEx>
        <w:trPr>
          <w:trHeight w:val="203" w:hRule="atLeast"/>
          <w:jc w:val="center"/>
        </w:trPr>
        <w:tc>
          <w:tcPr>
            <w:tcW w:w="3183"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700</w:t>
            </w:r>
          </w:p>
        </w:tc>
        <w:tc>
          <w:tcPr>
            <w:tcW w:w="3184"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0.63</w:t>
            </w:r>
          </w:p>
        </w:tc>
        <w:tc>
          <w:tcPr>
            <w:tcW w:w="3435"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0.58</w:t>
            </w:r>
          </w:p>
        </w:tc>
      </w:tr>
      <w:tr>
        <w:tblPrEx>
          <w:tblLayout w:type="fixed"/>
          <w:tblCellMar>
            <w:top w:w="57" w:type="dxa"/>
            <w:left w:w="28" w:type="dxa"/>
            <w:bottom w:w="57" w:type="dxa"/>
            <w:right w:w="28" w:type="dxa"/>
          </w:tblCellMar>
        </w:tblPrEx>
        <w:trPr>
          <w:trHeight w:val="203" w:hRule="atLeast"/>
          <w:jc w:val="center"/>
        </w:trPr>
        <w:tc>
          <w:tcPr>
            <w:tcW w:w="3183"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800</w:t>
            </w:r>
          </w:p>
        </w:tc>
        <w:tc>
          <w:tcPr>
            <w:tcW w:w="3184"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0.31</w:t>
            </w:r>
          </w:p>
        </w:tc>
        <w:tc>
          <w:tcPr>
            <w:tcW w:w="3435"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0.50</w:t>
            </w:r>
          </w:p>
        </w:tc>
      </w:tr>
    </w:tbl>
    <w:p>
      <w:pPr>
        <w:rPr>
          <w:rFonts w:cs="Times New Roman"/>
        </w:rPr>
      </w:pPr>
      <w:r>
        <w:rPr>
          <w:rFonts w:cs="Times New Roman"/>
          <w:b/>
        </w:rPr>
        <w:t>H.1.3</w:t>
      </w:r>
      <w:r>
        <w:rPr>
          <w:rFonts w:cs="Times New Roman"/>
        </w:rPr>
        <w:t xml:space="preserve"> 对接焊缝、正面角焊缝、侧面角焊缝高温过火冷却后的强度折减系数可按表H.1.3确定。</w:t>
      </w:r>
    </w:p>
    <w:p>
      <w:pPr>
        <w:pStyle w:val="41"/>
      </w:pPr>
      <w:r>
        <w:t>表H.1.3焊缝高温过火冷却后的强度折减系数</w:t>
      </w:r>
    </w:p>
    <w:tbl>
      <w:tblPr>
        <w:tblStyle w:val="24"/>
        <w:tblW w:w="9802" w:type="dxa"/>
        <w:jc w:val="center"/>
        <w:tblInd w:w="0" w:type="dxa"/>
        <w:tblLayout w:type="fixed"/>
        <w:tblCellMar>
          <w:top w:w="57" w:type="dxa"/>
          <w:left w:w="28" w:type="dxa"/>
          <w:bottom w:w="57" w:type="dxa"/>
          <w:right w:w="28" w:type="dxa"/>
        </w:tblCellMar>
      </w:tblPr>
      <w:tblGrid>
        <w:gridCol w:w="2251"/>
        <w:gridCol w:w="2517"/>
        <w:gridCol w:w="2517"/>
        <w:gridCol w:w="2517"/>
      </w:tblGrid>
      <w:tr>
        <w:tblPrEx>
          <w:tblLayout w:type="fixed"/>
          <w:tblCellMar>
            <w:top w:w="57" w:type="dxa"/>
            <w:left w:w="28" w:type="dxa"/>
            <w:bottom w:w="57" w:type="dxa"/>
            <w:right w:w="28" w:type="dxa"/>
          </w:tblCellMar>
        </w:tblPrEx>
        <w:trPr>
          <w:trHeight w:val="300" w:hRule="atLeast"/>
          <w:jc w:val="center"/>
        </w:trPr>
        <w:tc>
          <w:tcPr>
            <w:tcW w:w="2251" w:type="dxa"/>
            <w:tcBorders>
              <w:top w:val="single" w:color="auto" w:sz="4" w:space="0"/>
              <w:left w:val="single" w:color="auto" w:sz="4" w:space="0"/>
              <w:right w:val="single" w:color="auto" w:sz="4" w:space="0"/>
            </w:tcBorders>
            <w:vAlign w:val="center"/>
          </w:tcPr>
          <w:p>
            <w:pPr>
              <w:pStyle w:val="43"/>
              <w:spacing w:line="240" w:lineRule="auto"/>
              <w:rPr>
                <w:rFonts w:cs="Times New Roman"/>
              </w:rPr>
            </w:pPr>
            <w:r>
              <w:rPr>
                <w:rFonts w:cs="Times New Roman"/>
              </w:rPr>
              <w:t>温度（℃）</w:t>
            </w:r>
          </w:p>
        </w:tc>
        <w:tc>
          <w:tcPr>
            <w:tcW w:w="2517" w:type="dxa"/>
            <w:tcBorders>
              <w:top w:val="single" w:color="auto" w:sz="4" w:space="0"/>
              <w:left w:val="single" w:color="auto" w:sz="4" w:space="0"/>
              <w:right w:val="single" w:color="auto" w:sz="4" w:space="0"/>
            </w:tcBorders>
            <w:vAlign w:val="center"/>
          </w:tcPr>
          <w:p>
            <w:pPr>
              <w:pStyle w:val="43"/>
              <w:spacing w:line="240" w:lineRule="auto"/>
              <w:rPr>
                <w:rFonts w:cs="Times New Roman"/>
              </w:rPr>
            </w:pPr>
            <w:r>
              <w:rPr>
                <w:rFonts w:cs="Times New Roman"/>
              </w:rPr>
              <w:t>对接焊缝抗拉强度</w:t>
            </w:r>
          </w:p>
        </w:tc>
        <w:tc>
          <w:tcPr>
            <w:tcW w:w="2517" w:type="dxa"/>
            <w:tcBorders>
              <w:top w:val="single" w:color="auto" w:sz="4" w:space="0"/>
              <w:left w:val="single" w:color="auto" w:sz="4" w:space="0"/>
              <w:right w:val="single" w:color="auto" w:sz="4" w:space="0"/>
            </w:tcBorders>
            <w:vAlign w:val="center"/>
          </w:tcPr>
          <w:p>
            <w:pPr>
              <w:pStyle w:val="43"/>
              <w:spacing w:line="240" w:lineRule="auto"/>
              <w:rPr>
                <w:rFonts w:cs="Times New Roman"/>
              </w:rPr>
            </w:pPr>
            <w:r>
              <w:rPr>
                <w:rFonts w:cs="Times New Roman"/>
              </w:rPr>
              <w:t>正面角焊缝抗剪强度</w:t>
            </w:r>
          </w:p>
        </w:tc>
        <w:tc>
          <w:tcPr>
            <w:tcW w:w="2517" w:type="dxa"/>
            <w:tcBorders>
              <w:top w:val="single" w:color="auto" w:sz="4" w:space="0"/>
              <w:left w:val="single" w:color="auto" w:sz="4" w:space="0"/>
              <w:right w:val="single" w:color="auto" w:sz="4" w:space="0"/>
            </w:tcBorders>
            <w:vAlign w:val="center"/>
          </w:tcPr>
          <w:p>
            <w:pPr>
              <w:pStyle w:val="43"/>
              <w:spacing w:line="240" w:lineRule="auto"/>
              <w:rPr>
                <w:rFonts w:cs="Times New Roman"/>
              </w:rPr>
            </w:pPr>
            <w:r>
              <w:rPr>
                <w:rFonts w:cs="Times New Roman"/>
              </w:rPr>
              <w:t>侧面角焊缝抗剪强度</w:t>
            </w:r>
          </w:p>
        </w:tc>
      </w:tr>
      <w:tr>
        <w:tblPrEx>
          <w:tblLayout w:type="fixed"/>
          <w:tblCellMar>
            <w:top w:w="57" w:type="dxa"/>
            <w:left w:w="28" w:type="dxa"/>
            <w:bottom w:w="57" w:type="dxa"/>
            <w:right w:w="28" w:type="dxa"/>
          </w:tblCellMar>
        </w:tblPrEx>
        <w:trPr>
          <w:trHeight w:val="20" w:hRule="atLeast"/>
          <w:jc w:val="center"/>
        </w:trPr>
        <w:tc>
          <w:tcPr>
            <w:tcW w:w="2251"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20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2251"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2251"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200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2251"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300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2251"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350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2251"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400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2251"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450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0.97</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0.95</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0.96</w:t>
            </w:r>
          </w:p>
        </w:tc>
      </w:tr>
      <w:tr>
        <w:tblPrEx>
          <w:tblLayout w:type="fixed"/>
          <w:tblCellMar>
            <w:top w:w="57" w:type="dxa"/>
            <w:left w:w="28" w:type="dxa"/>
            <w:bottom w:w="57" w:type="dxa"/>
            <w:right w:w="28" w:type="dxa"/>
          </w:tblCellMar>
        </w:tblPrEx>
        <w:trPr>
          <w:trHeight w:val="20" w:hRule="atLeast"/>
          <w:jc w:val="center"/>
        </w:trPr>
        <w:tc>
          <w:tcPr>
            <w:tcW w:w="2251"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500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0.93</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0.90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0.92</w:t>
            </w:r>
          </w:p>
        </w:tc>
      </w:tr>
      <w:tr>
        <w:tblPrEx>
          <w:tblLayout w:type="fixed"/>
          <w:tblCellMar>
            <w:top w:w="57" w:type="dxa"/>
            <w:left w:w="28" w:type="dxa"/>
            <w:bottom w:w="57" w:type="dxa"/>
            <w:right w:w="28" w:type="dxa"/>
          </w:tblCellMar>
        </w:tblPrEx>
        <w:trPr>
          <w:trHeight w:val="20" w:hRule="atLeast"/>
          <w:jc w:val="center"/>
        </w:trPr>
        <w:tc>
          <w:tcPr>
            <w:tcW w:w="2251"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600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0.87</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0.80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0.83</w:t>
            </w:r>
          </w:p>
        </w:tc>
      </w:tr>
      <w:tr>
        <w:tblPrEx>
          <w:tblLayout w:type="fixed"/>
          <w:tblCellMar>
            <w:top w:w="57" w:type="dxa"/>
            <w:left w:w="28" w:type="dxa"/>
            <w:bottom w:w="57" w:type="dxa"/>
            <w:right w:w="28" w:type="dxa"/>
          </w:tblCellMar>
        </w:tblPrEx>
        <w:trPr>
          <w:trHeight w:val="20" w:hRule="atLeast"/>
          <w:jc w:val="center"/>
        </w:trPr>
        <w:tc>
          <w:tcPr>
            <w:tcW w:w="2251"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700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0.80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0.70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0.75</w:t>
            </w:r>
          </w:p>
        </w:tc>
      </w:tr>
      <w:tr>
        <w:tblPrEx>
          <w:tblLayout w:type="fixed"/>
          <w:tblCellMar>
            <w:top w:w="57" w:type="dxa"/>
            <w:left w:w="28" w:type="dxa"/>
            <w:bottom w:w="57" w:type="dxa"/>
            <w:right w:w="28" w:type="dxa"/>
          </w:tblCellMar>
        </w:tblPrEx>
        <w:trPr>
          <w:trHeight w:val="20" w:hRule="atLeast"/>
          <w:jc w:val="center"/>
        </w:trPr>
        <w:tc>
          <w:tcPr>
            <w:tcW w:w="2251"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800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0.80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0.70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0.75</w:t>
            </w:r>
          </w:p>
        </w:tc>
      </w:tr>
      <w:tr>
        <w:tblPrEx>
          <w:tblLayout w:type="fixed"/>
          <w:tblCellMar>
            <w:top w:w="57" w:type="dxa"/>
            <w:left w:w="28" w:type="dxa"/>
            <w:bottom w:w="57" w:type="dxa"/>
            <w:right w:w="28" w:type="dxa"/>
          </w:tblCellMar>
        </w:tblPrEx>
        <w:trPr>
          <w:trHeight w:val="20" w:hRule="atLeast"/>
          <w:jc w:val="center"/>
        </w:trPr>
        <w:tc>
          <w:tcPr>
            <w:tcW w:w="2251"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900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0.80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0.70</w:t>
            </w:r>
          </w:p>
        </w:tc>
        <w:tc>
          <w:tcPr>
            <w:tcW w:w="251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0.75</w:t>
            </w:r>
          </w:p>
        </w:tc>
      </w:tr>
    </w:tbl>
    <w:p>
      <w:pPr>
        <w:pStyle w:val="3"/>
        <w:rPr>
          <w:i/>
        </w:rPr>
      </w:pPr>
      <w:bookmarkStart w:id="89" w:name="_Toc501474097"/>
      <w:bookmarkStart w:id="90" w:name="_Toc500168119"/>
      <w:bookmarkStart w:id="91" w:name="_Toc505085912"/>
      <w:r>
        <w:rPr>
          <w:rFonts w:hint="eastAsia"/>
        </w:rPr>
        <w:t>H</w:t>
      </w:r>
      <w:r>
        <w:t>.2 火灾后高强螺栓预拉力及连接接触面抗滑移系数</w:t>
      </w:r>
      <w:bookmarkEnd w:id="89"/>
      <w:bookmarkEnd w:id="90"/>
      <w:bookmarkEnd w:id="91"/>
    </w:p>
    <w:p>
      <w:pPr>
        <w:rPr>
          <w:rFonts w:cs="Times New Roman"/>
        </w:rPr>
      </w:pPr>
      <w:r>
        <w:rPr>
          <w:rFonts w:cs="Times New Roman"/>
          <w:b/>
        </w:rPr>
        <w:t>H.2.1</w:t>
      </w:r>
      <w:r>
        <w:rPr>
          <w:rFonts w:cs="Times New Roman"/>
        </w:rPr>
        <w:t xml:space="preserve">  高温过火冷却后高强度螺栓的预拉力可按下式计算：</w:t>
      </w:r>
    </w:p>
    <w:p>
      <w:pPr>
        <w:pStyle w:val="17"/>
        <w:jc w:val="center"/>
        <w:rPr>
          <w:rFonts w:cs="Times New Roman"/>
        </w:rPr>
      </w:pPr>
      <w:r>
        <w:rPr>
          <w:rFonts w:cs="Times New Roman"/>
        </w:rPr>
        <w:object>
          <v:shape id="_x0000_i1094" o:spt="75" type="#_x0000_t75" style="height:16.2pt;width:43.8pt;" o:ole="t" filled="f" o:preferrelative="t" stroked="f" coordsize="21600,21600">
            <v:path/>
            <v:fill on="f" focussize="0,0"/>
            <v:stroke on="f" joinstyle="miter"/>
            <v:imagedata r:id="rId166" o:title=""/>
            <o:lock v:ext="edit" aspectratio="t"/>
            <w10:wrap type="none"/>
            <w10:anchorlock/>
          </v:shape>
          <o:OLEObject Type="Embed" ProgID="Equation.3" ShapeID="_x0000_i1094" DrawAspect="Content" ObjectID="_1468075794" r:id="rId165">
            <o:LockedField>false</o:LockedField>
          </o:OLEObject>
        </w:object>
      </w:r>
      <w:r>
        <w:rPr>
          <w:rFonts w:cs="Times New Roman"/>
        </w:rPr>
        <w:tab/>
      </w:r>
      <w:r>
        <w:rPr>
          <w:rFonts w:cs="Times New Roman"/>
        </w:rPr>
        <w:tab/>
      </w:r>
      <w:r>
        <w:rPr>
          <w:rFonts w:cs="Times New Roman"/>
        </w:rPr>
        <w:t>( H.2.1 )</w:t>
      </w:r>
    </w:p>
    <w:p>
      <w:pPr>
        <w:rPr>
          <w:rFonts w:cs="Times New Roman"/>
          <w:strike/>
          <w:kern w:val="0"/>
          <w:bdr w:val="single" w:color="auto" w:sz="4" w:space="0"/>
        </w:rPr>
      </w:pPr>
      <w:r>
        <w:rPr>
          <w:rFonts w:cs="Times New Roman"/>
        </w:rPr>
        <w:t>式中：</w:t>
      </w:r>
      <w:r>
        <w:rPr>
          <w:rFonts w:cs="Times New Roman"/>
          <w:i/>
          <w:position w:val="-10"/>
        </w:rPr>
        <w:object>
          <v:shape id="_x0000_i1095" o:spt="75" type="#_x0000_t75" style="height:16.2pt;width:13.8pt;" o:ole="t" filled="f" o:preferrelative="t" stroked="f" coordsize="21600,21600">
            <v:path/>
            <v:fill on="f" focussize="0,0"/>
            <v:stroke on="f" joinstyle="miter"/>
            <v:imagedata r:id="rId168" o:title=""/>
            <o:lock v:ext="edit" aspectratio="t"/>
            <w10:wrap type="none"/>
            <w10:anchorlock/>
          </v:shape>
          <o:OLEObject Type="Embed" ProgID="Equation.3" ShapeID="_x0000_i1095" DrawAspect="Content" ObjectID="_1468075795" r:id="rId167">
            <o:LockedField>false</o:LockedField>
          </o:OLEObject>
        </w:object>
      </w:r>
      <w:r>
        <w:rPr>
          <w:rFonts w:cs="Times New Roman"/>
        </w:rPr>
        <w:t>——高温过火冷却后高强度螺栓的预拉力；</w:t>
      </w:r>
    </w:p>
    <w:p>
      <w:pPr>
        <w:ind w:firstLine="630" w:firstLineChars="300"/>
        <w:rPr>
          <w:rFonts w:cs="Times New Roman"/>
        </w:rPr>
      </w:pPr>
      <w:r>
        <w:rPr>
          <w:rFonts w:cs="Times New Roman"/>
          <w:i/>
          <w:position w:val="-10"/>
        </w:rPr>
        <w:object>
          <v:shape id="_x0000_i1096" o:spt="75" type="#_x0000_t75" style="height:16.2pt;width:13.2pt;" o:ole="t" filled="f" o:preferrelative="t" stroked="f" coordsize="21600,21600">
            <v:path/>
            <v:fill on="f" focussize="0,0"/>
            <v:stroke on="f" joinstyle="miter"/>
            <v:imagedata r:id="rId170" o:title=""/>
            <o:lock v:ext="edit" aspectratio="t"/>
            <w10:wrap type="none"/>
            <w10:anchorlock/>
          </v:shape>
          <o:OLEObject Type="Embed" ProgID="Equation.3" ShapeID="_x0000_i1096" DrawAspect="Content" ObjectID="_1468075796" r:id="rId169">
            <o:LockedField>false</o:LockedField>
          </o:OLEObject>
        </w:object>
      </w:r>
      <w:r>
        <w:rPr>
          <w:rFonts w:cs="Times New Roman"/>
          <w:kern w:val="0"/>
        </w:rPr>
        <w:t>——常温下</w:t>
      </w:r>
      <w:r>
        <w:rPr>
          <w:rFonts w:cs="Times New Roman"/>
        </w:rPr>
        <w:t>高强度螺栓的预拉力，按现行国家标准《钢结构设计规范》GB 50017取值</w:t>
      </w:r>
      <w:r>
        <w:rPr>
          <w:rFonts w:cs="Times New Roman"/>
          <w:kern w:val="0"/>
        </w:rPr>
        <w:t>；</w:t>
      </w:r>
    </w:p>
    <w:p>
      <w:pPr>
        <w:ind w:firstLine="630" w:firstLineChars="300"/>
        <w:rPr>
          <w:rFonts w:cs="Times New Roman"/>
          <w:kern w:val="0"/>
        </w:rPr>
      </w:pPr>
      <w:r>
        <w:rPr>
          <w:rFonts w:cs="Times New Roman"/>
        </w:rPr>
        <w:object>
          <v:shape id="_x0000_i1097" o:spt="75" type="#_x0000_t75" style="height:16.2pt;width:13.2pt;" o:ole="t" filled="f" o:preferrelative="t" stroked="f" coordsize="21600,21600">
            <v:path/>
            <v:fill on="f" focussize="0,0"/>
            <v:stroke on="f" joinstyle="miter"/>
            <v:imagedata r:id="rId172" o:title=""/>
            <o:lock v:ext="edit" aspectratio="t"/>
            <w10:wrap type="none"/>
            <w10:anchorlock/>
          </v:shape>
          <o:OLEObject Type="Embed" ProgID="Equation.3" ShapeID="_x0000_i1097" DrawAspect="Content" ObjectID="_1468075797" r:id="rId171">
            <o:LockedField>false</o:LockedField>
          </o:OLEObject>
        </w:object>
      </w:r>
      <w:r>
        <w:rPr>
          <w:rFonts w:cs="Times New Roman"/>
          <w:kern w:val="0"/>
        </w:rPr>
        <w:t>——调整系数，可按表H.2.1确定。</w:t>
      </w:r>
    </w:p>
    <w:p>
      <w:pPr>
        <w:pStyle w:val="41"/>
      </w:pPr>
      <w:r>
        <w:t>表H.2.1高温过火冷却后高强度螺栓预拉力的调整系数</w:t>
      </w:r>
    </w:p>
    <w:tbl>
      <w:tblPr>
        <w:tblStyle w:val="24"/>
        <w:tblW w:w="9802" w:type="dxa"/>
        <w:jc w:val="center"/>
        <w:tblInd w:w="0" w:type="dxa"/>
        <w:tblLayout w:type="fixed"/>
        <w:tblCellMar>
          <w:top w:w="57" w:type="dxa"/>
          <w:left w:w="28" w:type="dxa"/>
          <w:bottom w:w="57" w:type="dxa"/>
          <w:right w:w="28" w:type="dxa"/>
        </w:tblCellMar>
      </w:tblPr>
      <w:tblGrid>
        <w:gridCol w:w="1534"/>
        <w:gridCol w:w="920"/>
        <w:gridCol w:w="920"/>
        <w:gridCol w:w="919"/>
        <w:gridCol w:w="919"/>
        <w:gridCol w:w="919"/>
        <w:gridCol w:w="919"/>
        <w:gridCol w:w="919"/>
        <w:gridCol w:w="919"/>
        <w:gridCol w:w="914"/>
      </w:tblGrid>
      <w:tr>
        <w:tblPrEx>
          <w:tblLayout w:type="fixed"/>
          <w:tblCellMar>
            <w:top w:w="57" w:type="dxa"/>
            <w:left w:w="28" w:type="dxa"/>
            <w:bottom w:w="57" w:type="dxa"/>
            <w:right w:w="28" w:type="dxa"/>
          </w:tblCellMar>
        </w:tblPrEx>
        <w:trPr>
          <w:trHeight w:val="20" w:hRule="atLeast"/>
          <w:jc w:val="center"/>
        </w:trPr>
        <w:tc>
          <w:tcPr>
            <w:tcW w:w="1534"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温度（℃）</w:t>
            </w:r>
          </w:p>
        </w:tc>
        <w:tc>
          <w:tcPr>
            <w:tcW w:w="920"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20</w:t>
            </w:r>
          </w:p>
        </w:tc>
        <w:tc>
          <w:tcPr>
            <w:tcW w:w="920"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200</w:t>
            </w:r>
          </w:p>
        </w:tc>
        <w:tc>
          <w:tcPr>
            <w:tcW w:w="919"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300</w:t>
            </w:r>
          </w:p>
        </w:tc>
        <w:tc>
          <w:tcPr>
            <w:tcW w:w="919"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350</w:t>
            </w:r>
          </w:p>
        </w:tc>
        <w:tc>
          <w:tcPr>
            <w:tcW w:w="919"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400</w:t>
            </w:r>
          </w:p>
        </w:tc>
        <w:tc>
          <w:tcPr>
            <w:tcW w:w="919"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450</w:t>
            </w:r>
          </w:p>
        </w:tc>
        <w:tc>
          <w:tcPr>
            <w:tcW w:w="919"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500</w:t>
            </w:r>
          </w:p>
        </w:tc>
        <w:tc>
          <w:tcPr>
            <w:tcW w:w="919"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600</w:t>
            </w:r>
          </w:p>
        </w:tc>
        <w:tc>
          <w:tcPr>
            <w:tcW w:w="914"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700</w:t>
            </w:r>
          </w:p>
        </w:tc>
      </w:tr>
      <w:tr>
        <w:tblPrEx>
          <w:tblLayout w:type="fixed"/>
          <w:tblCellMar>
            <w:top w:w="57" w:type="dxa"/>
            <w:left w:w="28" w:type="dxa"/>
            <w:bottom w:w="57" w:type="dxa"/>
            <w:right w:w="28" w:type="dxa"/>
          </w:tblCellMar>
        </w:tblPrEx>
        <w:trPr>
          <w:trHeight w:val="20" w:hRule="atLeast"/>
          <w:jc w:val="center"/>
        </w:trPr>
        <w:tc>
          <w:tcPr>
            <w:tcW w:w="1534"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调整系数</w:t>
            </w:r>
          </w:p>
        </w:tc>
        <w:tc>
          <w:tcPr>
            <w:tcW w:w="920"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1.00</w:t>
            </w:r>
          </w:p>
        </w:tc>
        <w:tc>
          <w:tcPr>
            <w:tcW w:w="920"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1.00</w:t>
            </w:r>
          </w:p>
        </w:tc>
        <w:tc>
          <w:tcPr>
            <w:tcW w:w="919"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1.00</w:t>
            </w:r>
          </w:p>
        </w:tc>
        <w:tc>
          <w:tcPr>
            <w:tcW w:w="919"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0.80</w:t>
            </w:r>
          </w:p>
        </w:tc>
        <w:tc>
          <w:tcPr>
            <w:tcW w:w="919"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0.60</w:t>
            </w:r>
          </w:p>
        </w:tc>
        <w:tc>
          <w:tcPr>
            <w:tcW w:w="919"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0.40</w:t>
            </w:r>
          </w:p>
        </w:tc>
        <w:tc>
          <w:tcPr>
            <w:tcW w:w="919"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0.20</w:t>
            </w:r>
          </w:p>
        </w:tc>
        <w:tc>
          <w:tcPr>
            <w:tcW w:w="919"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0.15</w:t>
            </w:r>
          </w:p>
        </w:tc>
        <w:tc>
          <w:tcPr>
            <w:tcW w:w="914" w:type="dxa"/>
            <w:tcBorders>
              <w:top w:val="single" w:color="auto" w:sz="4" w:space="0"/>
              <w:left w:val="single" w:color="auto" w:sz="4" w:space="0"/>
              <w:bottom w:val="single" w:color="auto" w:sz="4" w:space="0"/>
              <w:right w:val="single" w:color="auto" w:sz="4" w:space="0"/>
            </w:tcBorders>
            <w:vAlign w:val="center"/>
          </w:tcPr>
          <w:p>
            <w:pPr>
              <w:pStyle w:val="43"/>
              <w:rPr>
                <w:rFonts w:cs="Times New Roman"/>
              </w:rPr>
            </w:pPr>
            <w:r>
              <w:rPr>
                <w:rFonts w:cs="Times New Roman"/>
              </w:rPr>
              <w:t>0.10</w:t>
            </w:r>
          </w:p>
        </w:tc>
      </w:tr>
    </w:tbl>
    <w:p>
      <w:pPr>
        <w:rPr>
          <w:rFonts w:cs="Times New Roman"/>
        </w:rPr>
      </w:pPr>
      <w:r>
        <w:rPr>
          <w:rFonts w:cs="Times New Roman"/>
          <w:b/>
        </w:rPr>
        <w:t>H.2.2</w:t>
      </w:r>
      <w:r>
        <w:rPr>
          <w:rFonts w:cs="Times New Roman"/>
        </w:rPr>
        <w:t>高温过火冷却后高强度螺栓接触面抗滑移系数可按下式计算：</w:t>
      </w:r>
    </w:p>
    <w:p>
      <w:pPr>
        <w:pStyle w:val="17"/>
        <w:jc w:val="center"/>
        <w:rPr>
          <w:rFonts w:cs="Times New Roman"/>
        </w:rPr>
      </w:pPr>
      <w:r>
        <w:rPr>
          <w:rFonts w:cs="Times New Roman"/>
        </w:rPr>
        <w:object>
          <v:shape id="_x0000_i1098" o:spt="75" type="#_x0000_t75" style="height:18.6pt;width:43.8pt;" o:ole="t" filled="f" o:preferrelative="t" stroked="f" coordsize="21600,21600">
            <v:path/>
            <v:fill on="f" focussize="0,0"/>
            <v:stroke on="f" joinstyle="miter"/>
            <v:imagedata r:id="rId174" o:title=""/>
            <o:lock v:ext="edit" aspectratio="t"/>
            <w10:wrap type="none"/>
            <w10:anchorlock/>
          </v:shape>
          <o:OLEObject Type="Embed" ProgID="Equation.3" ShapeID="_x0000_i1098" DrawAspect="Content" ObjectID="_1468075798" r:id="rId173">
            <o:LockedField>false</o:LockedField>
          </o:OLEObject>
        </w:objec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 H.2.2 )</w:t>
      </w:r>
    </w:p>
    <w:p>
      <w:pPr>
        <w:rPr>
          <w:rFonts w:cs="Times New Roman"/>
          <w:strike/>
          <w:kern w:val="0"/>
          <w:bdr w:val="single" w:color="auto" w:sz="4" w:space="0"/>
        </w:rPr>
      </w:pPr>
      <w:r>
        <w:rPr>
          <w:rFonts w:cs="Times New Roman"/>
        </w:rPr>
        <w:t>式中：</w:t>
      </w:r>
      <w:r>
        <w:rPr>
          <w:rFonts w:cs="Times New Roman"/>
          <w:i/>
          <w:position w:val="-10"/>
        </w:rPr>
        <w:object>
          <v:shape id="_x0000_i1099" o:spt="75" type="#_x0000_t75" style="height:16.2pt;width:15pt;" o:ole="t" filled="f" o:preferrelative="t" stroked="f" coordsize="21600,21600">
            <v:path/>
            <v:fill on="f" focussize="0,0"/>
            <v:stroke on="f" joinstyle="miter"/>
            <v:imagedata r:id="rId176" o:title=""/>
            <o:lock v:ext="edit" aspectratio="t"/>
            <w10:wrap type="none"/>
            <w10:anchorlock/>
          </v:shape>
          <o:OLEObject Type="Embed" ProgID="Equation.3" ShapeID="_x0000_i1099" DrawAspect="Content" ObjectID="_1468075799" r:id="rId175">
            <o:LockedField>false</o:LockedField>
          </o:OLEObject>
        </w:object>
      </w:r>
      <w:r>
        <w:rPr>
          <w:rFonts w:cs="Times New Roman"/>
        </w:rPr>
        <w:t>——高温过火冷却后高强度螺栓接触面抗滑移系数；</w:t>
      </w:r>
    </w:p>
    <w:p>
      <w:pPr>
        <w:ind w:firstLine="630" w:firstLineChars="300"/>
        <w:rPr>
          <w:rFonts w:cs="Times New Roman"/>
        </w:rPr>
      </w:pPr>
      <w:r>
        <w:rPr>
          <w:rFonts w:cs="Times New Roman"/>
          <w:i/>
          <w:position w:val="-10"/>
        </w:rPr>
        <w:object>
          <v:shape id="_x0000_i1100" o:spt="75" type="#_x0000_t75" style="height:13.8pt;width:11.4pt;" o:ole="t" filled="f" o:preferrelative="t" stroked="f" coordsize="21600,21600">
            <v:path/>
            <v:fill on="f" focussize="0,0"/>
            <v:stroke on="f" joinstyle="miter"/>
            <v:imagedata r:id="rId178" o:title=""/>
            <o:lock v:ext="edit" aspectratio="t"/>
            <w10:wrap type="none"/>
            <w10:anchorlock/>
          </v:shape>
          <o:OLEObject Type="Embed" ProgID="Equation.3" ShapeID="_x0000_i1100" DrawAspect="Content" ObjectID="_1468075800" r:id="rId177">
            <o:LockedField>false</o:LockedField>
          </o:OLEObject>
        </w:object>
      </w:r>
      <w:r>
        <w:rPr>
          <w:rFonts w:cs="Times New Roman"/>
          <w:kern w:val="0"/>
        </w:rPr>
        <w:t>——常温下</w:t>
      </w:r>
      <w:r>
        <w:rPr>
          <w:rFonts w:cs="Times New Roman"/>
        </w:rPr>
        <w:t>高强度螺栓接触面抗滑移系数，按现行国家标准《钢结构设计规范》GB 50017取值</w:t>
      </w:r>
      <w:r>
        <w:rPr>
          <w:rFonts w:cs="Times New Roman"/>
          <w:kern w:val="0"/>
        </w:rPr>
        <w:t>；</w:t>
      </w:r>
    </w:p>
    <w:p>
      <w:pPr>
        <w:ind w:firstLine="630" w:firstLineChars="300"/>
        <w:rPr>
          <w:rFonts w:cs="Times New Roman"/>
        </w:rPr>
      </w:pPr>
      <w:r>
        <w:rPr>
          <w:rFonts w:cs="Times New Roman"/>
        </w:rPr>
        <w:object>
          <v:shape id="_x0000_i1101" o:spt="75" type="#_x0000_t75" style="height:18.6pt;width:13.2pt;" o:ole="t" filled="f" o:preferrelative="t" stroked="f" coordsize="21600,21600">
            <v:path/>
            <v:fill on="f" focussize="0,0"/>
            <v:stroke on="f" joinstyle="miter"/>
            <v:imagedata r:id="rId180" o:title=""/>
            <o:lock v:ext="edit" aspectratio="t"/>
            <w10:wrap type="none"/>
            <w10:anchorlock/>
          </v:shape>
          <o:OLEObject Type="Embed" ProgID="Equation.3" ShapeID="_x0000_i1101" DrawAspect="Content" ObjectID="_1468075801" r:id="rId179">
            <o:LockedField>false</o:LockedField>
          </o:OLEObject>
        </w:object>
      </w:r>
      <w:r>
        <w:rPr>
          <w:rFonts w:cs="Times New Roman"/>
          <w:kern w:val="0"/>
        </w:rPr>
        <w:t>——调整系数，可按表H.2.2确定。</w:t>
      </w:r>
    </w:p>
    <w:p>
      <w:pPr>
        <w:pStyle w:val="41"/>
      </w:pPr>
      <w:r>
        <w:t>表H.2.2高温过火冷却后高强度螺栓连接接触面抗滑移系数的调整系数</w:t>
      </w:r>
    </w:p>
    <w:tbl>
      <w:tblPr>
        <w:tblStyle w:val="24"/>
        <w:tblW w:w="9802" w:type="dxa"/>
        <w:jc w:val="center"/>
        <w:tblInd w:w="0" w:type="dxa"/>
        <w:tblLayout w:type="fixed"/>
        <w:tblCellMar>
          <w:top w:w="57" w:type="dxa"/>
          <w:left w:w="28" w:type="dxa"/>
          <w:bottom w:w="57" w:type="dxa"/>
          <w:right w:w="28" w:type="dxa"/>
        </w:tblCellMar>
      </w:tblPr>
      <w:tblGrid>
        <w:gridCol w:w="2772"/>
        <w:gridCol w:w="3137"/>
        <w:gridCol w:w="3893"/>
      </w:tblGrid>
      <w:tr>
        <w:tblPrEx>
          <w:tblLayout w:type="fixed"/>
          <w:tblCellMar>
            <w:top w:w="57" w:type="dxa"/>
            <w:left w:w="28" w:type="dxa"/>
            <w:bottom w:w="57" w:type="dxa"/>
            <w:right w:w="28" w:type="dxa"/>
          </w:tblCellMar>
        </w:tblPrEx>
        <w:trPr>
          <w:cantSplit/>
          <w:trHeight w:val="20" w:hRule="atLeast"/>
          <w:jc w:val="center"/>
        </w:trPr>
        <w:tc>
          <w:tcPr>
            <w:tcW w:w="2772" w:type="dxa"/>
            <w:vMerge w:val="restart"/>
            <w:tcBorders>
              <w:top w:val="single" w:color="auto" w:sz="8" w:space="0"/>
              <w:left w:val="single" w:color="auto" w:sz="4" w:space="0"/>
              <w:right w:val="single" w:color="auto" w:sz="4" w:space="0"/>
            </w:tcBorders>
            <w:vAlign w:val="center"/>
          </w:tcPr>
          <w:p>
            <w:pPr>
              <w:pStyle w:val="43"/>
              <w:spacing w:line="240" w:lineRule="auto"/>
              <w:rPr>
                <w:rFonts w:cs="Times New Roman"/>
              </w:rPr>
            </w:pPr>
            <w:r>
              <w:rPr>
                <w:rFonts w:cs="Times New Roman"/>
              </w:rPr>
              <w:t>温度（℃）</w:t>
            </w:r>
          </w:p>
        </w:tc>
        <w:tc>
          <w:tcPr>
            <w:tcW w:w="7030" w:type="dxa"/>
            <w:gridSpan w:val="2"/>
            <w:tcBorders>
              <w:top w:val="single" w:color="auto" w:sz="8"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接触面处理方法</w:t>
            </w:r>
          </w:p>
        </w:tc>
      </w:tr>
      <w:tr>
        <w:tblPrEx>
          <w:tblLayout w:type="fixed"/>
          <w:tblCellMar>
            <w:top w:w="57" w:type="dxa"/>
            <w:left w:w="28" w:type="dxa"/>
            <w:bottom w:w="57" w:type="dxa"/>
            <w:right w:w="28" w:type="dxa"/>
          </w:tblCellMar>
        </w:tblPrEx>
        <w:trPr>
          <w:cantSplit/>
          <w:trHeight w:val="20" w:hRule="atLeast"/>
          <w:jc w:val="center"/>
        </w:trPr>
        <w:tc>
          <w:tcPr>
            <w:tcW w:w="2772" w:type="dxa"/>
            <w:vMerge w:val="continue"/>
            <w:tcBorders>
              <w:left w:val="single" w:color="auto" w:sz="4" w:space="0"/>
              <w:right w:val="single" w:color="auto" w:sz="4" w:space="0"/>
            </w:tcBorders>
            <w:vAlign w:val="center"/>
          </w:tcPr>
          <w:p>
            <w:pPr>
              <w:pStyle w:val="43"/>
              <w:spacing w:line="240" w:lineRule="auto"/>
              <w:rPr>
                <w:rFonts w:cs="Times New Roman"/>
              </w:rPr>
            </w:pPr>
          </w:p>
        </w:tc>
        <w:tc>
          <w:tcPr>
            <w:tcW w:w="3137" w:type="dxa"/>
            <w:tcBorders>
              <w:top w:val="single" w:color="auto" w:sz="4" w:space="0"/>
              <w:left w:val="single" w:color="auto" w:sz="4" w:space="0"/>
              <w:right w:val="single" w:color="auto" w:sz="4" w:space="0"/>
            </w:tcBorders>
            <w:vAlign w:val="center"/>
          </w:tcPr>
          <w:p>
            <w:pPr>
              <w:pStyle w:val="43"/>
              <w:spacing w:line="240" w:lineRule="auto"/>
              <w:rPr>
                <w:rFonts w:cs="Times New Roman"/>
              </w:rPr>
            </w:pPr>
            <w:r>
              <w:rPr>
                <w:rFonts w:cs="Times New Roman"/>
              </w:rPr>
              <w:t>喷砂（丸）</w:t>
            </w:r>
          </w:p>
        </w:tc>
        <w:tc>
          <w:tcPr>
            <w:tcW w:w="3893" w:type="dxa"/>
            <w:tcBorders>
              <w:top w:val="single" w:color="auto" w:sz="4" w:space="0"/>
              <w:left w:val="single" w:color="auto" w:sz="4" w:space="0"/>
              <w:right w:val="single" w:color="auto" w:sz="4" w:space="0"/>
            </w:tcBorders>
            <w:vAlign w:val="bottom"/>
          </w:tcPr>
          <w:p>
            <w:pPr>
              <w:pStyle w:val="43"/>
              <w:spacing w:line="240" w:lineRule="auto"/>
              <w:rPr>
                <w:rFonts w:cs="Times New Roman"/>
              </w:rPr>
            </w:pPr>
            <w:r>
              <w:rPr>
                <w:rFonts w:cs="Times New Roman"/>
              </w:rPr>
              <w:t>喷砂（丸）后涂无机富锌漆</w:t>
            </w:r>
          </w:p>
        </w:tc>
      </w:tr>
      <w:tr>
        <w:tblPrEx>
          <w:tblLayout w:type="fixed"/>
          <w:tblCellMar>
            <w:top w:w="57" w:type="dxa"/>
            <w:left w:w="28" w:type="dxa"/>
            <w:bottom w:w="57" w:type="dxa"/>
            <w:right w:w="28" w:type="dxa"/>
          </w:tblCellMar>
        </w:tblPrEx>
        <w:trPr>
          <w:trHeight w:val="20" w:hRule="atLeast"/>
          <w:jc w:val="center"/>
        </w:trPr>
        <w:tc>
          <w:tcPr>
            <w:tcW w:w="2772"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20</w:t>
            </w:r>
          </w:p>
        </w:tc>
        <w:tc>
          <w:tcPr>
            <w:tcW w:w="313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3893" w:type="dxa"/>
            <w:tcBorders>
              <w:top w:val="single" w:color="auto" w:sz="4" w:space="0"/>
              <w:left w:val="single" w:color="auto" w:sz="4" w:space="0"/>
              <w:bottom w:val="single" w:color="auto" w:sz="4" w:space="0"/>
              <w:right w:val="single" w:color="auto" w:sz="4" w:space="0"/>
            </w:tcBorders>
            <w:vAlign w:val="bottom"/>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2772"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200</w:t>
            </w:r>
          </w:p>
        </w:tc>
        <w:tc>
          <w:tcPr>
            <w:tcW w:w="313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1.00</w:t>
            </w:r>
          </w:p>
        </w:tc>
        <w:tc>
          <w:tcPr>
            <w:tcW w:w="3893" w:type="dxa"/>
            <w:tcBorders>
              <w:top w:val="single" w:color="auto" w:sz="4" w:space="0"/>
              <w:left w:val="single" w:color="auto" w:sz="4" w:space="0"/>
              <w:bottom w:val="single" w:color="auto" w:sz="4" w:space="0"/>
              <w:right w:val="single" w:color="auto" w:sz="4" w:space="0"/>
            </w:tcBorders>
            <w:vAlign w:val="bottom"/>
          </w:tcPr>
          <w:p>
            <w:pPr>
              <w:pStyle w:val="43"/>
              <w:spacing w:line="240" w:lineRule="auto"/>
              <w:rPr>
                <w:rFonts w:cs="Times New Roman"/>
              </w:rPr>
            </w:pPr>
            <w:r>
              <w:rPr>
                <w:rFonts w:cs="Times New Roman"/>
              </w:rPr>
              <w:t>1.00</w:t>
            </w:r>
          </w:p>
        </w:tc>
      </w:tr>
      <w:tr>
        <w:tblPrEx>
          <w:tblLayout w:type="fixed"/>
          <w:tblCellMar>
            <w:top w:w="57" w:type="dxa"/>
            <w:left w:w="28" w:type="dxa"/>
            <w:bottom w:w="57" w:type="dxa"/>
            <w:right w:w="28" w:type="dxa"/>
          </w:tblCellMar>
        </w:tblPrEx>
        <w:trPr>
          <w:trHeight w:val="20" w:hRule="atLeast"/>
          <w:jc w:val="center"/>
        </w:trPr>
        <w:tc>
          <w:tcPr>
            <w:tcW w:w="2772"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300</w:t>
            </w:r>
          </w:p>
        </w:tc>
        <w:tc>
          <w:tcPr>
            <w:tcW w:w="313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1.18</w:t>
            </w:r>
          </w:p>
        </w:tc>
        <w:tc>
          <w:tcPr>
            <w:tcW w:w="3893" w:type="dxa"/>
            <w:tcBorders>
              <w:top w:val="single" w:color="auto" w:sz="4" w:space="0"/>
              <w:left w:val="single" w:color="auto" w:sz="4" w:space="0"/>
              <w:bottom w:val="single" w:color="auto" w:sz="4" w:space="0"/>
              <w:right w:val="single" w:color="auto" w:sz="4" w:space="0"/>
            </w:tcBorders>
            <w:vAlign w:val="bottom"/>
          </w:tcPr>
          <w:p>
            <w:pPr>
              <w:pStyle w:val="43"/>
              <w:spacing w:line="240" w:lineRule="auto"/>
              <w:rPr>
                <w:rFonts w:cs="Times New Roman"/>
              </w:rPr>
            </w:pPr>
            <w:r>
              <w:rPr>
                <w:rFonts w:cs="Times New Roman"/>
              </w:rPr>
              <w:t>1.06</w:t>
            </w:r>
          </w:p>
        </w:tc>
      </w:tr>
      <w:tr>
        <w:tblPrEx>
          <w:tblLayout w:type="fixed"/>
          <w:tblCellMar>
            <w:top w:w="57" w:type="dxa"/>
            <w:left w:w="28" w:type="dxa"/>
            <w:bottom w:w="57" w:type="dxa"/>
            <w:right w:w="28" w:type="dxa"/>
          </w:tblCellMar>
        </w:tblPrEx>
        <w:trPr>
          <w:trHeight w:val="20" w:hRule="atLeast"/>
          <w:jc w:val="center"/>
        </w:trPr>
        <w:tc>
          <w:tcPr>
            <w:tcW w:w="2772"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350</w:t>
            </w:r>
          </w:p>
        </w:tc>
        <w:tc>
          <w:tcPr>
            <w:tcW w:w="313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1.26</w:t>
            </w:r>
          </w:p>
        </w:tc>
        <w:tc>
          <w:tcPr>
            <w:tcW w:w="3893" w:type="dxa"/>
            <w:tcBorders>
              <w:top w:val="single" w:color="auto" w:sz="4" w:space="0"/>
              <w:left w:val="single" w:color="auto" w:sz="4" w:space="0"/>
              <w:bottom w:val="single" w:color="auto" w:sz="4" w:space="0"/>
              <w:right w:val="single" w:color="auto" w:sz="4" w:space="0"/>
            </w:tcBorders>
            <w:vAlign w:val="bottom"/>
          </w:tcPr>
          <w:p>
            <w:pPr>
              <w:pStyle w:val="43"/>
              <w:spacing w:line="240" w:lineRule="auto"/>
              <w:rPr>
                <w:rFonts w:cs="Times New Roman"/>
              </w:rPr>
            </w:pPr>
            <w:r>
              <w:rPr>
                <w:rFonts w:cs="Times New Roman"/>
              </w:rPr>
              <w:t>1.09</w:t>
            </w:r>
          </w:p>
        </w:tc>
      </w:tr>
      <w:tr>
        <w:tblPrEx>
          <w:tblLayout w:type="fixed"/>
          <w:tblCellMar>
            <w:top w:w="57" w:type="dxa"/>
            <w:left w:w="28" w:type="dxa"/>
            <w:bottom w:w="57" w:type="dxa"/>
            <w:right w:w="28" w:type="dxa"/>
          </w:tblCellMar>
        </w:tblPrEx>
        <w:trPr>
          <w:trHeight w:val="20" w:hRule="atLeast"/>
          <w:jc w:val="center"/>
        </w:trPr>
        <w:tc>
          <w:tcPr>
            <w:tcW w:w="2772"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400</w:t>
            </w:r>
          </w:p>
        </w:tc>
        <w:tc>
          <w:tcPr>
            <w:tcW w:w="313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1.35</w:t>
            </w:r>
          </w:p>
        </w:tc>
        <w:tc>
          <w:tcPr>
            <w:tcW w:w="3893" w:type="dxa"/>
            <w:tcBorders>
              <w:top w:val="single" w:color="auto" w:sz="4" w:space="0"/>
              <w:left w:val="single" w:color="auto" w:sz="4" w:space="0"/>
              <w:bottom w:val="single" w:color="auto" w:sz="4" w:space="0"/>
              <w:right w:val="single" w:color="auto" w:sz="4" w:space="0"/>
            </w:tcBorders>
            <w:vAlign w:val="bottom"/>
          </w:tcPr>
          <w:p>
            <w:pPr>
              <w:pStyle w:val="43"/>
              <w:spacing w:line="240" w:lineRule="auto"/>
              <w:rPr>
                <w:rFonts w:cs="Times New Roman"/>
              </w:rPr>
            </w:pPr>
            <w:r>
              <w:rPr>
                <w:rFonts w:cs="Times New Roman"/>
              </w:rPr>
              <w:t>1.13</w:t>
            </w:r>
          </w:p>
        </w:tc>
      </w:tr>
      <w:tr>
        <w:tblPrEx>
          <w:tblLayout w:type="fixed"/>
          <w:tblCellMar>
            <w:top w:w="57" w:type="dxa"/>
            <w:left w:w="28" w:type="dxa"/>
            <w:bottom w:w="57" w:type="dxa"/>
            <w:right w:w="28" w:type="dxa"/>
          </w:tblCellMar>
        </w:tblPrEx>
        <w:trPr>
          <w:trHeight w:val="20" w:hRule="atLeast"/>
          <w:jc w:val="center"/>
        </w:trPr>
        <w:tc>
          <w:tcPr>
            <w:tcW w:w="2772"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450</w:t>
            </w:r>
          </w:p>
        </w:tc>
        <w:tc>
          <w:tcPr>
            <w:tcW w:w="313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1.44</w:t>
            </w:r>
          </w:p>
        </w:tc>
        <w:tc>
          <w:tcPr>
            <w:tcW w:w="3893" w:type="dxa"/>
            <w:tcBorders>
              <w:top w:val="single" w:color="auto" w:sz="4" w:space="0"/>
              <w:left w:val="single" w:color="auto" w:sz="4" w:space="0"/>
              <w:bottom w:val="single" w:color="auto" w:sz="4" w:space="0"/>
              <w:right w:val="single" w:color="auto" w:sz="4" w:space="0"/>
            </w:tcBorders>
            <w:vAlign w:val="bottom"/>
          </w:tcPr>
          <w:p>
            <w:pPr>
              <w:pStyle w:val="43"/>
              <w:spacing w:line="240" w:lineRule="auto"/>
              <w:rPr>
                <w:rFonts w:cs="Times New Roman"/>
              </w:rPr>
            </w:pPr>
            <w:r>
              <w:rPr>
                <w:rFonts w:cs="Times New Roman"/>
              </w:rPr>
              <w:t>1.16</w:t>
            </w:r>
          </w:p>
        </w:tc>
      </w:tr>
      <w:tr>
        <w:tblPrEx>
          <w:tblLayout w:type="fixed"/>
          <w:tblCellMar>
            <w:top w:w="57" w:type="dxa"/>
            <w:left w:w="28" w:type="dxa"/>
            <w:bottom w:w="57" w:type="dxa"/>
            <w:right w:w="28" w:type="dxa"/>
          </w:tblCellMar>
        </w:tblPrEx>
        <w:trPr>
          <w:trHeight w:val="20" w:hRule="atLeast"/>
          <w:jc w:val="center"/>
        </w:trPr>
        <w:tc>
          <w:tcPr>
            <w:tcW w:w="2772"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500</w:t>
            </w:r>
          </w:p>
        </w:tc>
        <w:tc>
          <w:tcPr>
            <w:tcW w:w="313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1.53</w:t>
            </w:r>
          </w:p>
        </w:tc>
        <w:tc>
          <w:tcPr>
            <w:tcW w:w="3893" w:type="dxa"/>
            <w:tcBorders>
              <w:top w:val="single" w:color="auto" w:sz="4" w:space="0"/>
              <w:left w:val="single" w:color="auto" w:sz="4" w:space="0"/>
              <w:bottom w:val="single" w:color="auto" w:sz="4" w:space="0"/>
              <w:right w:val="single" w:color="auto" w:sz="4" w:space="0"/>
            </w:tcBorders>
            <w:vAlign w:val="bottom"/>
          </w:tcPr>
          <w:p>
            <w:pPr>
              <w:pStyle w:val="43"/>
              <w:spacing w:line="240" w:lineRule="auto"/>
              <w:rPr>
                <w:rFonts w:cs="Times New Roman"/>
              </w:rPr>
            </w:pPr>
            <w:r>
              <w:rPr>
                <w:rFonts w:cs="Times New Roman"/>
              </w:rPr>
              <w:t>1.19</w:t>
            </w:r>
          </w:p>
        </w:tc>
      </w:tr>
      <w:tr>
        <w:tblPrEx>
          <w:tblLayout w:type="fixed"/>
          <w:tblCellMar>
            <w:top w:w="57" w:type="dxa"/>
            <w:left w:w="28" w:type="dxa"/>
            <w:bottom w:w="57" w:type="dxa"/>
            <w:right w:w="28" w:type="dxa"/>
          </w:tblCellMar>
        </w:tblPrEx>
        <w:trPr>
          <w:trHeight w:val="20" w:hRule="atLeast"/>
          <w:jc w:val="center"/>
        </w:trPr>
        <w:tc>
          <w:tcPr>
            <w:tcW w:w="2772"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550</w:t>
            </w:r>
          </w:p>
        </w:tc>
        <w:tc>
          <w:tcPr>
            <w:tcW w:w="313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1.61</w:t>
            </w:r>
          </w:p>
        </w:tc>
        <w:tc>
          <w:tcPr>
            <w:tcW w:w="3893" w:type="dxa"/>
            <w:tcBorders>
              <w:top w:val="single" w:color="auto" w:sz="4" w:space="0"/>
              <w:left w:val="single" w:color="auto" w:sz="4" w:space="0"/>
              <w:bottom w:val="single" w:color="auto" w:sz="4" w:space="0"/>
              <w:right w:val="single" w:color="auto" w:sz="4" w:space="0"/>
            </w:tcBorders>
            <w:vAlign w:val="bottom"/>
          </w:tcPr>
          <w:p>
            <w:pPr>
              <w:pStyle w:val="43"/>
              <w:spacing w:line="240" w:lineRule="auto"/>
              <w:rPr>
                <w:rFonts w:cs="Times New Roman"/>
              </w:rPr>
            </w:pPr>
            <w:r>
              <w:rPr>
                <w:rFonts w:cs="Times New Roman"/>
              </w:rPr>
              <w:t>1.22</w:t>
            </w:r>
          </w:p>
        </w:tc>
      </w:tr>
      <w:tr>
        <w:tblPrEx>
          <w:tblLayout w:type="fixed"/>
          <w:tblCellMar>
            <w:top w:w="57" w:type="dxa"/>
            <w:left w:w="28" w:type="dxa"/>
            <w:bottom w:w="57" w:type="dxa"/>
            <w:right w:w="28" w:type="dxa"/>
          </w:tblCellMar>
        </w:tblPrEx>
        <w:trPr>
          <w:trHeight w:val="20" w:hRule="atLeast"/>
          <w:jc w:val="center"/>
        </w:trPr>
        <w:tc>
          <w:tcPr>
            <w:tcW w:w="2772"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600</w:t>
            </w:r>
          </w:p>
        </w:tc>
        <w:tc>
          <w:tcPr>
            <w:tcW w:w="313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1.70</w:t>
            </w:r>
          </w:p>
        </w:tc>
        <w:tc>
          <w:tcPr>
            <w:tcW w:w="3893" w:type="dxa"/>
            <w:tcBorders>
              <w:top w:val="single" w:color="auto" w:sz="4" w:space="0"/>
              <w:left w:val="single" w:color="auto" w:sz="4" w:space="0"/>
              <w:bottom w:val="single" w:color="auto" w:sz="4" w:space="0"/>
              <w:right w:val="single" w:color="auto" w:sz="4" w:space="0"/>
            </w:tcBorders>
            <w:vAlign w:val="bottom"/>
          </w:tcPr>
          <w:p>
            <w:pPr>
              <w:pStyle w:val="43"/>
              <w:spacing w:line="240" w:lineRule="auto"/>
              <w:rPr>
                <w:rFonts w:cs="Times New Roman"/>
              </w:rPr>
            </w:pPr>
            <w:r>
              <w:rPr>
                <w:rFonts w:cs="Times New Roman"/>
              </w:rPr>
              <w:t>1.25</w:t>
            </w:r>
          </w:p>
        </w:tc>
      </w:tr>
      <w:tr>
        <w:tblPrEx>
          <w:tblLayout w:type="fixed"/>
          <w:tblCellMar>
            <w:top w:w="57" w:type="dxa"/>
            <w:left w:w="28" w:type="dxa"/>
            <w:bottom w:w="57" w:type="dxa"/>
            <w:right w:w="28" w:type="dxa"/>
          </w:tblCellMar>
        </w:tblPrEx>
        <w:trPr>
          <w:trHeight w:val="20" w:hRule="atLeast"/>
          <w:jc w:val="center"/>
        </w:trPr>
        <w:tc>
          <w:tcPr>
            <w:tcW w:w="2772"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700</w:t>
            </w:r>
          </w:p>
        </w:tc>
        <w:tc>
          <w:tcPr>
            <w:tcW w:w="313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rPr>
                <w:rFonts w:cs="Times New Roman"/>
              </w:rPr>
            </w:pPr>
            <w:r>
              <w:rPr>
                <w:rFonts w:cs="Times New Roman"/>
              </w:rPr>
              <w:t>1.70</w:t>
            </w:r>
          </w:p>
        </w:tc>
        <w:tc>
          <w:tcPr>
            <w:tcW w:w="3893" w:type="dxa"/>
            <w:tcBorders>
              <w:top w:val="single" w:color="auto" w:sz="4" w:space="0"/>
              <w:left w:val="single" w:color="auto" w:sz="4" w:space="0"/>
              <w:bottom w:val="single" w:color="auto" w:sz="4" w:space="0"/>
              <w:right w:val="single" w:color="auto" w:sz="4" w:space="0"/>
            </w:tcBorders>
            <w:vAlign w:val="bottom"/>
          </w:tcPr>
          <w:p>
            <w:pPr>
              <w:pStyle w:val="43"/>
              <w:spacing w:line="240" w:lineRule="auto"/>
              <w:rPr>
                <w:rFonts w:cs="Times New Roman"/>
              </w:rPr>
            </w:pPr>
            <w:r>
              <w:rPr>
                <w:rFonts w:cs="Times New Roman"/>
              </w:rPr>
              <w:t>1.25</w:t>
            </w:r>
          </w:p>
        </w:tc>
      </w:tr>
    </w:tbl>
    <w:p>
      <w:pPr>
        <w:rPr>
          <w:rFonts w:cs="Times New Roman"/>
        </w:rPr>
      </w:pPr>
    </w:p>
    <w:p>
      <w:pPr>
        <w:rPr>
          <w:rFonts w:cs="Times New Roman"/>
        </w:rPr>
        <w:sectPr>
          <w:pgSz w:w="11906" w:h="16838"/>
          <w:pgMar w:top="1440" w:right="1080" w:bottom="1440" w:left="1080" w:header="851" w:footer="992" w:gutter="0"/>
          <w:cols w:space="425" w:num="1"/>
          <w:docGrid w:type="lines" w:linePitch="312" w:charSpace="0"/>
        </w:sectPr>
      </w:pPr>
    </w:p>
    <w:p>
      <w:pPr>
        <w:pStyle w:val="2"/>
      </w:pPr>
      <w:bookmarkStart w:id="92" w:name="_Toc505085913"/>
      <w:r>
        <w:rPr>
          <w:rFonts w:hint="eastAsia"/>
        </w:rPr>
        <w:t>附录J 火灾后砌体强度及承载能力计算方法</w:t>
      </w:r>
      <w:bookmarkEnd w:id="92"/>
    </w:p>
    <w:p>
      <w:pPr>
        <w:ind w:firstLine="420"/>
        <w:rPr>
          <w:rFonts w:cs="Times New Roman"/>
        </w:rPr>
      </w:pPr>
      <w:r>
        <w:rPr>
          <w:rFonts w:hint="eastAsia"/>
        </w:rPr>
        <w:t>砌体强度包括抗压、抗拉、抗弯和抗剪强度。火灾后砌体强度平均值根据砂浆和块材的强度按照</w:t>
      </w:r>
      <w:r>
        <w:rPr>
          <w:rFonts w:hint="eastAsia" w:cs="Times New Roman"/>
        </w:rPr>
        <w:t>《砌体结构设计规范》（</w:t>
      </w:r>
      <w:r>
        <w:rPr>
          <w:rFonts w:cs="Times New Roman"/>
        </w:rPr>
        <w:t>GB50003</w:t>
      </w:r>
      <w:r>
        <w:rPr>
          <w:rFonts w:hint="eastAsia" w:cs="Times New Roman"/>
        </w:rPr>
        <w:t>）的相关方法推算。火灾后砂浆强度和块材强度可采用现场检测的方法检测，也可以根据表</w:t>
      </w:r>
      <w:r>
        <w:rPr>
          <w:rFonts w:cs="Times New Roman"/>
        </w:rPr>
        <w:t>J.0.1</w:t>
      </w:r>
      <w:r>
        <w:rPr>
          <w:rFonts w:hint="eastAsia" w:cs="Times New Roman"/>
        </w:rPr>
        <w:t>和表</w:t>
      </w:r>
      <w:r>
        <w:rPr>
          <w:rFonts w:cs="Times New Roman"/>
        </w:rPr>
        <w:t>J.0.</w:t>
      </w:r>
      <w:r>
        <w:rPr>
          <w:rFonts w:hint="eastAsia" w:cs="Times New Roman"/>
        </w:rPr>
        <w:t>2推算，</w:t>
      </w:r>
      <w:r>
        <w:rPr>
          <w:rFonts w:cs="Times New Roman"/>
        </w:rPr>
        <w:t>还可以根据</w:t>
      </w:r>
      <w:r>
        <w:rPr>
          <w:rFonts w:hint="eastAsia" w:cs="Times New Roman"/>
        </w:rPr>
        <w:t>火场</w:t>
      </w:r>
      <w:r>
        <w:rPr>
          <w:rFonts w:cs="Times New Roman"/>
        </w:rPr>
        <w:t>温度及构件截面温度场分析结果进行推定</w:t>
      </w:r>
      <w:r>
        <w:rPr>
          <w:rFonts w:hint="eastAsia" w:cs="Times New Roman"/>
        </w:rPr>
        <w:t>。</w:t>
      </w:r>
    </w:p>
    <w:p>
      <w:pPr>
        <w:ind w:firstLine="420"/>
        <w:rPr>
          <w:rFonts w:cs="Times New Roman"/>
        </w:rPr>
      </w:pPr>
      <w:r>
        <w:rPr>
          <w:rFonts w:cs="Times New Roman"/>
        </w:rPr>
        <w:t>火灾后240mm粘土砖、砂浆与受火温度对应的</w:t>
      </w:r>
      <w:r>
        <w:rPr>
          <w:rFonts w:hint="eastAsia" w:cs="Times New Roman"/>
        </w:rPr>
        <w:t>抗压</w:t>
      </w:r>
      <w:r>
        <w:rPr>
          <w:rFonts w:cs="Times New Roman"/>
        </w:rPr>
        <w:t>强度折减系数按表J.0.1确定</w:t>
      </w:r>
      <w:r>
        <w:rPr>
          <w:rFonts w:hint="eastAsia" w:cs="Times New Roman"/>
        </w:rPr>
        <w:t>。</w:t>
      </w:r>
    </w:p>
    <w:p>
      <w:pPr>
        <w:ind w:firstLine="420"/>
        <w:rPr>
          <w:rFonts w:cs="Times New Roman"/>
        </w:rPr>
      </w:pPr>
      <w:r>
        <w:rPr>
          <w:rFonts w:hint="eastAsia" w:cs="Times New Roman"/>
        </w:rPr>
        <w:t>根据砂浆试块受高温作用试验得到的受</w:t>
      </w:r>
      <w:r>
        <w:rPr>
          <w:rFonts w:cs="Times New Roman"/>
        </w:rPr>
        <w:t>火</w:t>
      </w:r>
      <w:r>
        <w:rPr>
          <w:rFonts w:hint="eastAsia" w:cs="Times New Roman"/>
        </w:rPr>
        <w:t>作用</w:t>
      </w:r>
      <w:r>
        <w:rPr>
          <w:rFonts w:cs="Times New Roman"/>
        </w:rPr>
        <w:t>后砂浆的强度折减</w:t>
      </w:r>
      <w:r>
        <w:rPr>
          <w:rFonts w:hint="eastAsia" w:cs="Times New Roman"/>
        </w:rPr>
        <w:t>系数</w:t>
      </w:r>
      <w:r>
        <w:rPr>
          <w:rFonts w:cs="Times New Roman"/>
        </w:rPr>
        <w:t>见表J.0.2</w:t>
      </w:r>
      <w:r>
        <w:rPr>
          <w:rFonts w:hint="eastAsia" w:cs="Times New Roman"/>
        </w:rPr>
        <w:t>；</w:t>
      </w:r>
      <w:r>
        <w:rPr>
          <w:rFonts w:cs="Times New Roman"/>
        </w:rPr>
        <w:t>粘土砖受火温度小于900</w:t>
      </w:r>
      <w:r>
        <w:rPr>
          <w:rFonts w:hint="eastAsia" w:ascii="宋体" w:hAnsi="宋体" w:cs="Times New Roman"/>
        </w:rPr>
        <w:t>℃</w:t>
      </w:r>
      <w:r>
        <w:rPr>
          <w:rFonts w:hint="eastAsia" w:cs="Times New Roman"/>
        </w:rPr>
        <w:t>时</w:t>
      </w:r>
      <w:r>
        <w:rPr>
          <w:rFonts w:cs="Times New Roman"/>
        </w:rPr>
        <w:t>强度不</w:t>
      </w:r>
      <w:r>
        <w:rPr>
          <w:rFonts w:hint="eastAsia" w:cs="Times New Roman"/>
        </w:rPr>
        <w:t>折减</w:t>
      </w:r>
      <w:r>
        <w:rPr>
          <w:rFonts w:cs="Times New Roman"/>
        </w:rPr>
        <w:t>，受火温度大于900</w:t>
      </w:r>
      <w:r>
        <w:rPr>
          <w:rFonts w:hint="eastAsia" w:ascii="宋体" w:hAnsi="宋体" w:cs="Times New Roman"/>
        </w:rPr>
        <w:t>℃可</w:t>
      </w:r>
      <w:r>
        <w:rPr>
          <w:rFonts w:ascii="宋体" w:hAnsi="宋体" w:cs="Times New Roman"/>
        </w:rPr>
        <w:t>考虑</w:t>
      </w:r>
      <w:r>
        <w:rPr>
          <w:rFonts w:hint="eastAsia" w:ascii="宋体" w:hAnsi="宋体" w:cs="Times New Roman"/>
        </w:rPr>
        <w:t>0.75的折减</w:t>
      </w:r>
      <w:r>
        <w:rPr>
          <w:rFonts w:ascii="宋体" w:hAnsi="宋体" w:cs="Times New Roman"/>
        </w:rPr>
        <w:t>。</w:t>
      </w:r>
    </w:p>
    <w:p>
      <w:pPr>
        <w:pStyle w:val="41"/>
      </w:pPr>
      <w:r>
        <w:t>表J.0.1 火灾后240mm砖砌体中水泥砂浆和粘土砖抗压强度折减系数</w:t>
      </w:r>
    </w:p>
    <w:tbl>
      <w:tblPr>
        <w:tblStyle w:val="24"/>
        <w:tblW w:w="776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1420"/>
        <w:gridCol w:w="1577"/>
        <w:gridCol w:w="1577"/>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0" w:type="dxa"/>
            <w:vMerge w:val="restart"/>
            <w:shd w:val="clear" w:color="auto" w:fill="auto"/>
          </w:tcPr>
          <w:p>
            <w:pPr>
              <w:pStyle w:val="43"/>
              <w:rPr>
                <w:rFonts w:cs="Times New Roman"/>
              </w:rPr>
            </w:pPr>
            <w:r>
              <w:rPr>
                <w:rFonts w:cs="Times New Roman"/>
              </w:rPr>
              <w:t>火灾温度（</w:t>
            </w:r>
            <w:r>
              <w:rPr>
                <w:rFonts w:hint="eastAsia" w:ascii="宋体" w:hAnsi="宋体" w:cs="Times New Roman"/>
              </w:rPr>
              <w:t>℃</w:t>
            </w:r>
            <w:r>
              <w:rPr>
                <w:rFonts w:cs="Times New Roman"/>
              </w:rPr>
              <w:t>）</w:t>
            </w:r>
          </w:p>
        </w:tc>
        <w:tc>
          <w:tcPr>
            <w:tcW w:w="2997" w:type="dxa"/>
            <w:gridSpan w:val="2"/>
            <w:shd w:val="clear" w:color="auto" w:fill="auto"/>
            <w:vAlign w:val="center"/>
          </w:tcPr>
          <w:p>
            <w:pPr>
              <w:pStyle w:val="43"/>
              <w:rPr>
                <w:rFonts w:cs="Times New Roman"/>
              </w:rPr>
            </w:pPr>
            <w:r>
              <w:rPr>
                <w:rFonts w:cs="Times New Roman"/>
              </w:rPr>
              <w:t>水泥砂浆折减系数</w:t>
            </w:r>
          </w:p>
        </w:tc>
        <w:tc>
          <w:tcPr>
            <w:tcW w:w="3273" w:type="dxa"/>
            <w:gridSpan w:val="2"/>
            <w:shd w:val="clear" w:color="auto" w:fill="auto"/>
            <w:vAlign w:val="center"/>
          </w:tcPr>
          <w:p>
            <w:pPr>
              <w:pStyle w:val="43"/>
              <w:rPr>
                <w:rFonts w:cs="Times New Roman"/>
              </w:rPr>
            </w:pPr>
            <w:r>
              <w:rPr>
                <w:rFonts w:cs="Times New Roman"/>
              </w:rPr>
              <w:t>粘土砖折减系数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0" w:type="dxa"/>
            <w:vMerge w:val="continue"/>
            <w:shd w:val="clear" w:color="auto" w:fill="auto"/>
          </w:tcPr>
          <w:p>
            <w:pPr>
              <w:pStyle w:val="43"/>
              <w:rPr>
                <w:rFonts w:cs="Times New Roman"/>
              </w:rPr>
            </w:pPr>
          </w:p>
        </w:tc>
        <w:tc>
          <w:tcPr>
            <w:tcW w:w="1420" w:type="dxa"/>
            <w:shd w:val="clear" w:color="auto" w:fill="auto"/>
          </w:tcPr>
          <w:p>
            <w:pPr>
              <w:pStyle w:val="43"/>
              <w:rPr>
                <w:rFonts w:cs="Times New Roman"/>
              </w:rPr>
            </w:pPr>
            <w:r>
              <w:rPr>
                <w:rFonts w:cs="Times New Roman"/>
              </w:rPr>
              <w:t>一面受火</w:t>
            </w:r>
          </w:p>
        </w:tc>
        <w:tc>
          <w:tcPr>
            <w:tcW w:w="1577" w:type="dxa"/>
            <w:shd w:val="clear" w:color="auto" w:fill="auto"/>
          </w:tcPr>
          <w:p>
            <w:pPr>
              <w:pStyle w:val="43"/>
              <w:rPr>
                <w:rFonts w:cs="Times New Roman"/>
              </w:rPr>
            </w:pPr>
            <w:r>
              <w:rPr>
                <w:rFonts w:cs="Times New Roman"/>
              </w:rPr>
              <w:t>两面受火</w:t>
            </w:r>
          </w:p>
        </w:tc>
        <w:tc>
          <w:tcPr>
            <w:tcW w:w="1577" w:type="dxa"/>
            <w:shd w:val="clear" w:color="auto" w:fill="auto"/>
          </w:tcPr>
          <w:p>
            <w:pPr>
              <w:pStyle w:val="43"/>
              <w:rPr>
                <w:rFonts w:cs="Times New Roman"/>
              </w:rPr>
            </w:pPr>
            <w:r>
              <w:rPr>
                <w:rFonts w:cs="Times New Roman"/>
              </w:rPr>
              <w:t>一面受火</w:t>
            </w:r>
          </w:p>
        </w:tc>
        <w:tc>
          <w:tcPr>
            <w:tcW w:w="1696" w:type="dxa"/>
            <w:shd w:val="clear" w:color="auto" w:fill="auto"/>
          </w:tcPr>
          <w:p>
            <w:pPr>
              <w:pStyle w:val="43"/>
              <w:rPr>
                <w:rFonts w:cs="Times New Roman"/>
              </w:rPr>
            </w:pPr>
            <w:r>
              <w:rPr>
                <w:rFonts w:cs="Times New Roman"/>
              </w:rPr>
              <w:t>两面受火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0" w:type="dxa"/>
            <w:shd w:val="clear" w:color="auto" w:fill="auto"/>
          </w:tcPr>
          <w:p>
            <w:pPr>
              <w:pStyle w:val="43"/>
              <w:rPr>
                <w:rFonts w:cs="Times New Roman"/>
              </w:rPr>
            </w:pPr>
            <w:r>
              <w:rPr>
                <w:rFonts w:hint="eastAsia" w:cs="Times New Roman"/>
              </w:rPr>
              <w:t>&lt;</w:t>
            </w:r>
            <w:r>
              <w:rPr>
                <w:rFonts w:cs="Times New Roman"/>
              </w:rPr>
              <w:t>700</w:t>
            </w:r>
          </w:p>
        </w:tc>
        <w:tc>
          <w:tcPr>
            <w:tcW w:w="1420" w:type="dxa"/>
            <w:shd w:val="clear" w:color="auto" w:fill="auto"/>
          </w:tcPr>
          <w:p>
            <w:pPr>
              <w:pStyle w:val="43"/>
              <w:rPr>
                <w:rFonts w:cs="Times New Roman"/>
              </w:rPr>
            </w:pPr>
            <w:r>
              <w:rPr>
                <w:rFonts w:cs="Times New Roman"/>
              </w:rPr>
              <w:t>1.0</w:t>
            </w:r>
          </w:p>
        </w:tc>
        <w:tc>
          <w:tcPr>
            <w:tcW w:w="1577" w:type="dxa"/>
            <w:shd w:val="clear" w:color="auto" w:fill="auto"/>
          </w:tcPr>
          <w:p>
            <w:pPr>
              <w:pStyle w:val="43"/>
              <w:rPr>
                <w:rFonts w:cs="Times New Roman"/>
              </w:rPr>
            </w:pPr>
            <w:r>
              <w:rPr>
                <w:rFonts w:cs="Times New Roman"/>
              </w:rPr>
              <w:t>1.0</w:t>
            </w:r>
          </w:p>
        </w:tc>
        <w:tc>
          <w:tcPr>
            <w:tcW w:w="1577" w:type="dxa"/>
            <w:shd w:val="clear" w:color="auto" w:fill="auto"/>
          </w:tcPr>
          <w:p>
            <w:pPr>
              <w:pStyle w:val="43"/>
              <w:rPr>
                <w:rFonts w:cs="Times New Roman"/>
              </w:rPr>
            </w:pPr>
            <w:r>
              <w:rPr>
                <w:rFonts w:cs="Times New Roman"/>
              </w:rPr>
              <w:t>1.0</w:t>
            </w:r>
          </w:p>
        </w:tc>
        <w:tc>
          <w:tcPr>
            <w:tcW w:w="1696" w:type="dxa"/>
            <w:shd w:val="clear" w:color="auto" w:fill="auto"/>
          </w:tcPr>
          <w:p>
            <w:pPr>
              <w:pStyle w:val="43"/>
              <w:rPr>
                <w:rFonts w:cs="Times New Roman"/>
              </w:rPr>
            </w:pPr>
            <w:r>
              <w:rPr>
                <w:rFonts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0" w:type="dxa"/>
            <w:shd w:val="clear" w:color="auto" w:fill="auto"/>
          </w:tcPr>
          <w:p>
            <w:pPr>
              <w:pStyle w:val="43"/>
              <w:rPr>
                <w:rFonts w:cs="Times New Roman"/>
              </w:rPr>
            </w:pPr>
            <w:r>
              <w:rPr>
                <w:rFonts w:cs="Times New Roman"/>
              </w:rPr>
              <w:t>700-850</w:t>
            </w:r>
          </w:p>
        </w:tc>
        <w:tc>
          <w:tcPr>
            <w:tcW w:w="1420" w:type="dxa"/>
            <w:shd w:val="clear" w:color="auto" w:fill="auto"/>
          </w:tcPr>
          <w:p>
            <w:pPr>
              <w:pStyle w:val="43"/>
              <w:rPr>
                <w:rFonts w:cs="Times New Roman"/>
              </w:rPr>
            </w:pPr>
            <w:r>
              <w:rPr>
                <w:rFonts w:cs="Times New Roman"/>
              </w:rPr>
              <w:t>1.0</w:t>
            </w:r>
          </w:p>
        </w:tc>
        <w:tc>
          <w:tcPr>
            <w:tcW w:w="1577" w:type="dxa"/>
            <w:shd w:val="clear" w:color="auto" w:fill="auto"/>
          </w:tcPr>
          <w:p>
            <w:pPr>
              <w:pStyle w:val="43"/>
              <w:rPr>
                <w:rFonts w:cs="Times New Roman"/>
              </w:rPr>
            </w:pPr>
            <w:r>
              <w:rPr>
                <w:rFonts w:cs="Times New Roman"/>
              </w:rPr>
              <w:t>0.95</w:t>
            </w:r>
          </w:p>
        </w:tc>
        <w:tc>
          <w:tcPr>
            <w:tcW w:w="1577" w:type="dxa"/>
            <w:shd w:val="clear" w:color="auto" w:fill="auto"/>
          </w:tcPr>
          <w:p>
            <w:pPr>
              <w:pStyle w:val="43"/>
              <w:rPr>
                <w:rFonts w:cs="Times New Roman"/>
              </w:rPr>
            </w:pPr>
            <w:r>
              <w:rPr>
                <w:rFonts w:cs="Times New Roman"/>
              </w:rPr>
              <w:t>1.0</w:t>
            </w:r>
          </w:p>
        </w:tc>
        <w:tc>
          <w:tcPr>
            <w:tcW w:w="1696" w:type="dxa"/>
            <w:shd w:val="clear" w:color="auto" w:fill="auto"/>
          </w:tcPr>
          <w:p>
            <w:pPr>
              <w:pStyle w:val="43"/>
              <w:rPr>
                <w:rFonts w:cs="Times New Roman"/>
              </w:rPr>
            </w:pPr>
            <w:r>
              <w:rPr>
                <w:rFonts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0" w:type="dxa"/>
            <w:shd w:val="clear" w:color="auto" w:fill="auto"/>
          </w:tcPr>
          <w:p>
            <w:pPr>
              <w:pStyle w:val="43"/>
              <w:rPr>
                <w:rFonts w:cs="Times New Roman"/>
              </w:rPr>
            </w:pPr>
            <w:r>
              <w:rPr>
                <w:rFonts w:cs="Times New Roman"/>
              </w:rPr>
              <w:t>870-900</w:t>
            </w:r>
          </w:p>
        </w:tc>
        <w:tc>
          <w:tcPr>
            <w:tcW w:w="1420" w:type="dxa"/>
            <w:shd w:val="clear" w:color="auto" w:fill="auto"/>
          </w:tcPr>
          <w:p>
            <w:pPr>
              <w:pStyle w:val="43"/>
              <w:rPr>
                <w:rFonts w:cs="Times New Roman"/>
              </w:rPr>
            </w:pPr>
            <w:r>
              <w:rPr>
                <w:rFonts w:cs="Times New Roman"/>
              </w:rPr>
              <w:t>0.94</w:t>
            </w:r>
          </w:p>
        </w:tc>
        <w:tc>
          <w:tcPr>
            <w:tcW w:w="1577" w:type="dxa"/>
            <w:shd w:val="clear" w:color="auto" w:fill="auto"/>
          </w:tcPr>
          <w:p>
            <w:pPr>
              <w:pStyle w:val="43"/>
              <w:rPr>
                <w:rFonts w:cs="Times New Roman"/>
              </w:rPr>
            </w:pPr>
            <w:r>
              <w:rPr>
                <w:rFonts w:cs="Times New Roman"/>
              </w:rPr>
              <w:t>0.88</w:t>
            </w:r>
          </w:p>
        </w:tc>
        <w:tc>
          <w:tcPr>
            <w:tcW w:w="1577" w:type="dxa"/>
            <w:shd w:val="clear" w:color="auto" w:fill="auto"/>
          </w:tcPr>
          <w:p>
            <w:pPr>
              <w:pStyle w:val="43"/>
              <w:rPr>
                <w:rFonts w:cs="Times New Roman"/>
              </w:rPr>
            </w:pPr>
            <w:r>
              <w:rPr>
                <w:rFonts w:cs="Times New Roman"/>
              </w:rPr>
              <w:t>0.97</w:t>
            </w:r>
          </w:p>
        </w:tc>
        <w:tc>
          <w:tcPr>
            <w:tcW w:w="1696" w:type="dxa"/>
            <w:shd w:val="clear" w:color="auto" w:fill="auto"/>
          </w:tcPr>
          <w:p>
            <w:pPr>
              <w:pStyle w:val="43"/>
              <w:rPr>
                <w:rFonts w:cs="Times New Roman"/>
              </w:rPr>
            </w:pPr>
            <w:r>
              <w:rPr>
                <w:rFonts w:cs="Times New Roman"/>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0" w:type="dxa"/>
            <w:shd w:val="clear" w:color="auto" w:fill="auto"/>
          </w:tcPr>
          <w:p>
            <w:pPr>
              <w:pStyle w:val="43"/>
              <w:rPr>
                <w:rFonts w:cs="Times New Roman"/>
              </w:rPr>
            </w:pPr>
            <w:r>
              <w:rPr>
                <w:rFonts w:cs="Times New Roman"/>
              </w:rPr>
              <w:t>925-1000</w:t>
            </w:r>
          </w:p>
        </w:tc>
        <w:tc>
          <w:tcPr>
            <w:tcW w:w="1420" w:type="dxa"/>
            <w:shd w:val="clear" w:color="auto" w:fill="auto"/>
          </w:tcPr>
          <w:p>
            <w:pPr>
              <w:pStyle w:val="43"/>
              <w:rPr>
                <w:rFonts w:cs="Times New Roman"/>
              </w:rPr>
            </w:pPr>
            <w:r>
              <w:rPr>
                <w:rFonts w:cs="Times New Roman"/>
              </w:rPr>
              <w:t>0.93</w:t>
            </w:r>
          </w:p>
        </w:tc>
        <w:tc>
          <w:tcPr>
            <w:tcW w:w="1577" w:type="dxa"/>
            <w:shd w:val="clear" w:color="auto" w:fill="auto"/>
          </w:tcPr>
          <w:p>
            <w:pPr>
              <w:pStyle w:val="43"/>
              <w:rPr>
                <w:rFonts w:cs="Times New Roman"/>
              </w:rPr>
            </w:pPr>
            <w:r>
              <w:rPr>
                <w:rFonts w:cs="Times New Roman"/>
              </w:rPr>
              <w:t>0.86</w:t>
            </w:r>
          </w:p>
        </w:tc>
        <w:tc>
          <w:tcPr>
            <w:tcW w:w="1577" w:type="dxa"/>
            <w:shd w:val="clear" w:color="auto" w:fill="auto"/>
          </w:tcPr>
          <w:p>
            <w:pPr>
              <w:pStyle w:val="43"/>
              <w:rPr>
                <w:rFonts w:cs="Times New Roman"/>
              </w:rPr>
            </w:pPr>
            <w:r>
              <w:rPr>
                <w:rFonts w:cs="Times New Roman"/>
              </w:rPr>
              <w:t>0.92</w:t>
            </w:r>
          </w:p>
        </w:tc>
        <w:tc>
          <w:tcPr>
            <w:tcW w:w="1696" w:type="dxa"/>
            <w:shd w:val="clear" w:color="auto" w:fill="auto"/>
          </w:tcPr>
          <w:p>
            <w:pPr>
              <w:pStyle w:val="43"/>
              <w:rPr>
                <w:rFonts w:cs="Times New Roman"/>
              </w:rPr>
            </w:pPr>
            <w:r>
              <w:rPr>
                <w:rFonts w:cs="Times New Roman"/>
              </w:rPr>
              <w:t>0.84</w:t>
            </w:r>
          </w:p>
        </w:tc>
      </w:tr>
    </w:tbl>
    <w:p>
      <w:pPr>
        <w:pStyle w:val="41"/>
      </w:pPr>
      <w:r>
        <w:rPr>
          <w:rFonts w:hint="eastAsia"/>
        </w:rPr>
        <w:t>表</w:t>
      </w:r>
      <w:r>
        <w:t xml:space="preserve">J.0.2 </w:t>
      </w:r>
      <w:r>
        <w:rPr>
          <w:rFonts w:hint="eastAsia"/>
        </w:rPr>
        <w:t>砂浆</w:t>
      </w:r>
      <w:r>
        <w:t>受</w:t>
      </w:r>
      <w:r>
        <w:rPr>
          <w:rFonts w:hint="eastAsia"/>
        </w:rPr>
        <w:t>火</w:t>
      </w:r>
      <w:r>
        <w:t>作用后的强</w:t>
      </w:r>
      <w:r>
        <w:rPr>
          <w:rFonts w:hint="eastAsia"/>
        </w:rPr>
        <w:t>度折减系数</w:t>
      </w:r>
    </w:p>
    <w:tbl>
      <w:tblPr>
        <w:tblStyle w:val="2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74"/>
        <w:gridCol w:w="774"/>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4" w:type="dxa"/>
          </w:tcPr>
          <w:p>
            <w:pPr>
              <w:ind w:left="-105" w:leftChars="-50" w:right="-105" w:rightChars="-50"/>
              <w:rPr>
                <w:rFonts w:ascii="楷体" w:hAnsi="楷体" w:eastAsia="楷体" w:cs="Times New Roman"/>
                <w:kern w:val="0"/>
                <w:sz w:val="20"/>
              </w:rPr>
            </w:pPr>
            <w:r>
              <w:rPr>
                <w:rFonts w:hint="eastAsia" w:ascii="楷体" w:hAnsi="楷体" w:eastAsia="楷体" w:cs="Times New Roman"/>
                <w:kern w:val="0"/>
                <w:sz w:val="20"/>
              </w:rPr>
              <w:t>温度/</w:t>
            </w:r>
            <w:r>
              <w:rPr>
                <w:rFonts w:hint="eastAsia" w:ascii="华文楷体" w:hAnsi="华文楷体" w:eastAsia="华文楷体" w:cs="Times New Roman"/>
                <w:kern w:val="0"/>
                <w:sz w:val="20"/>
              </w:rPr>
              <w:t>℃</w:t>
            </w:r>
          </w:p>
        </w:tc>
        <w:tc>
          <w:tcPr>
            <w:tcW w:w="774" w:type="dxa"/>
          </w:tcPr>
          <w:p>
            <w:pPr>
              <w:rPr>
                <w:rFonts w:ascii="楷体" w:hAnsi="楷体" w:eastAsia="楷体" w:cs="Times New Roman"/>
                <w:kern w:val="0"/>
                <w:sz w:val="20"/>
              </w:rPr>
            </w:pPr>
            <w:r>
              <w:rPr>
                <w:rFonts w:hint="eastAsia" w:ascii="楷体" w:hAnsi="楷体" w:eastAsia="楷体" w:cs="Times New Roman"/>
                <w:kern w:val="0"/>
                <w:sz w:val="20"/>
              </w:rPr>
              <w:t>≤464</w:t>
            </w:r>
          </w:p>
        </w:tc>
        <w:tc>
          <w:tcPr>
            <w:tcW w:w="774" w:type="dxa"/>
          </w:tcPr>
          <w:p>
            <w:pPr>
              <w:rPr>
                <w:rFonts w:ascii="楷体" w:hAnsi="楷体" w:eastAsia="楷体" w:cs="Times New Roman"/>
                <w:kern w:val="0"/>
                <w:sz w:val="20"/>
              </w:rPr>
            </w:pPr>
            <w:r>
              <w:rPr>
                <w:rFonts w:hint="eastAsia" w:ascii="楷体" w:hAnsi="楷体" w:eastAsia="楷体" w:cs="Times New Roman"/>
                <w:kern w:val="0"/>
                <w:sz w:val="20"/>
              </w:rPr>
              <w:t>536</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688</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700</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783</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822</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857</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875</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898</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4" w:type="dxa"/>
          </w:tcPr>
          <w:p>
            <w:pPr>
              <w:rPr>
                <w:rFonts w:ascii="楷体" w:hAnsi="楷体" w:eastAsia="楷体" w:cs="Times New Roman"/>
                <w:kern w:val="0"/>
                <w:sz w:val="20"/>
              </w:rPr>
            </w:pPr>
            <w:r>
              <w:rPr>
                <w:rFonts w:hint="eastAsia" w:ascii="楷体" w:hAnsi="楷体" w:eastAsia="楷体" w:cs="Times New Roman"/>
                <w:kern w:val="0"/>
                <w:sz w:val="20"/>
              </w:rPr>
              <w:t>M2.5</w:t>
            </w:r>
          </w:p>
        </w:tc>
        <w:tc>
          <w:tcPr>
            <w:tcW w:w="774" w:type="dxa"/>
          </w:tcPr>
          <w:p>
            <w:pPr>
              <w:rPr>
                <w:rFonts w:ascii="楷体" w:hAnsi="楷体" w:eastAsia="楷体" w:cs="Times New Roman"/>
                <w:kern w:val="0"/>
                <w:sz w:val="20"/>
              </w:rPr>
            </w:pPr>
            <w:r>
              <w:rPr>
                <w:rFonts w:hint="eastAsia" w:ascii="楷体" w:hAnsi="楷体" w:eastAsia="楷体" w:cs="Times New Roman"/>
                <w:kern w:val="0"/>
                <w:sz w:val="20"/>
              </w:rPr>
              <w:t>1.0</w:t>
            </w:r>
          </w:p>
        </w:tc>
        <w:tc>
          <w:tcPr>
            <w:tcW w:w="774" w:type="dxa"/>
          </w:tcPr>
          <w:p>
            <w:pPr>
              <w:rPr>
                <w:rFonts w:ascii="楷体" w:hAnsi="楷体" w:eastAsia="楷体" w:cs="Times New Roman"/>
                <w:kern w:val="0"/>
                <w:sz w:val="20"/>
              </w:rPr>
            </w:pPr>
            <w:r>
              <w:rPr>
                <w:rFonts w:hint="eastAsia" w:ascii="楷体" w:hAnsi="楷体" w:eastAsia="楷体" w:cs="Times New Roman"/>
                <w:kern w:val="0"/>
                <w:sz w:val="20"/>
              </w:rPr>
              <w:t>1.0</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0.88</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0.67</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0.57</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0.27</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4" w:type="dxa"/>
          </w:tcPr>
          <w:p>
            <w:pPr>
              <w:rPr>
                <w:rFonts w:ascii="楷体" w:hAnsi="楷体" w:eastAsia="楷体" w:cs="Times New Roman"/>
                <w:kern w:val="0"/>
                <w:sz w:val="20"/>
              </w:rPr>
            </w:pPr>
            <w:r>
              <w:rPr>
                <w:rFonts w:hint="eastAsia" w:ascii="楷体" w:hAnsi="楷体" w:eastAsia="楷体" w:cs="Times New Roman"/>
                <w:kern w:val="0"/>
                <w:sz w:val="20"/>
              </w:rPr>
              <w:t>M5.0</w:t>
            </w:r>
          </w:p>
        </w:tc>
        <w:tc>
          <w:tcPr>
            <w:tcW w:w="774" w:type="dxa"/>
          </w:tcPr>
          <w:p>
            <w:pPr>
              <w:rPr>
                <w:rFonts w:ascii="楷体" w:hAnsi="楷体" w:eastAsia="楷体" w:cs="Times New Roman"/>
                <w:kern w:val="0"/>
                <w:sz w:val="20"/>
              </w:rPr>
            </w:pPr>
            <w:r>
              <w:rPr>
                <w:rFonts w:hint="eastAsia" w:ascii="楷体" w:hAnsi="楷体" w:eastAsia="楷体" w:cs="Times New Roman"/>
                <w:kern w:val="0"/>
                <w:sz w:val="20"/>
              </w:rPr>
              <w:t>1.0</w:t>
            </w:r>
          </w:p>
        </w:tc>
        <w:tc>
          <w:tcPr>
            <w:tcW w:w="774" w:type="dxa"/>
          </w:tcPr>
          <w:p>
            <w:pPr>
              <w:rPr>
                <w:rFonts w:ascii="楷体" w:hAnsi="楷体" w:eastAsia="楷体" w:cs="Times New Roman"/>
                <w:kern w:val="0"/>
                <w:sz w:val="20"/>
              </w:rPr>
            </w:pPr>
            <w:r>
              <w:rPr>
                <w:rFonts w:hint="eastAsia" w:ascii="楷体" w:hAnsi="楷体" w:eastAsia="楷体" w:cs="Times New Roman"/>
                <w:kern w:val="0"/>
                <w:sz w:val="20"/>
              </w:rPr>
              <w:t>0.82</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0.77</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0.75</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0.66</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0.55</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0.46</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0.43</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w:t>
            </w:r>
            <w:r>
              <w:rPr>
                <w:rFonts w:ascii="楷体" w:hAnsi="楷体" w:eastAsia="楷体" w:cs="Times New Roman"/>
                <w:kern w:val="0"/>
                <w:sz w:val="20"/>
              </w:rPr>
              <w:t>3</w:t>
            </w:r>
            <w:r>
              <w:rPr>
                <w:rFonts w:hint="eastAsia" w:ascii="楷体" w:hAnsi="楷体" w:eastAsia="楷体" w:cs="Times New Roman"/>
                <w:kern w:val="0"/>
                <w:sz w:val="20"/>
              </w:rPr>
              <w:t>8</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4" w:type="dxa"/>
          </w:tcPr>
          <w:p>
            <w:pPr>
              <w:rPr>
                <w:rFonts w:ascii="楷体" w:hAnsi="楷体" w:eastAsia="楷体" w:cs="Times New Roman"/>
                <w:kern w:val="0"/>
                <w:sz w:val="20"/>
              </w:rPr>
            </w:pPr>
            <w:r>
              <w:rPr>
                <w:rFonts w:hint="eastAsia" w:ascii="楷体" w:hAnsi="楷体" w:eastAsia="楷体" w:cs="Times New Roman"/>
                <w:kern w:val="0"/>
                <w:sz w:val="20"/>
              </w:rPr>
              <w:t>M7.5</w:t>
            </w:r>
          </w:p>
        </w:tc>
        <w:tc>
          <w:tcPr>
            <w:tcW w:w="774" w:type="dxa"/>
          </w:tcPr>
          <w:p>
            <w:pPr>
              <w:rPr>
                <w:rFonts w:ascii="楷体" w:hAnsi="楷体" w:eastAsia="楷体" w:cs="Times New Roman"/>
                <w:kern w:val="0"/>
                <w:sz w:val="20"/>
              </w:rPr>
            </w:pPr>
            <w:r>
              <w:rPr>
                <w:rFonts w:hint="eastAsia" w:ascii="楷体" w:hAnsi="楷体" w:eastAsia="楷体" w:cs="Times New Roman"/>
                <w:kern w:val="0"/>
                <w:sz w:val="20"/>
              </w:rPr>
              <w:t>1.0</w:t>
            </w:r>
          </w:p>
        </w:tc>
        <w:tc>
          <w:tcPr>
            <w:tcW w:w="774" w:type="dxa"/>
          </w:tcPr>
          <w:p>
            <w:pPr>
              <w:rPr>
                <w:rFonts w:ascii="楷体" w:hAnsi="楷体" w:eastAsia="楷体" w:cs="Times New Roman"/>
                <w:kern w:val="0"/>
                <w:sz w:val="20"/>
              </w:rPr>
            </w:pPr>
            <w:r>
              <w:rPr>
                <w:rFonts w:hint="eastAsia" w:ascii="楷体" w:hAnsi="楷体" w:eastAsia="楷体" w:cs="Times New Roman"/>
                <w:kern w:val="0"/>
                <w:sz w:val="20"/>
              </w:rPr>
              <w:t>0.87</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0.83</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0.78</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0.74</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0.67</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0.63</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0.61</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0.59</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74" w:type="dxa"/>
          </w:tcPr>
          <w:p>
            <w:pPr>
              <w:rPr>
                <w:rFonts w:ascii="楷体" w:hAnsi="楷体" w:eastAsia="楷体" w:cs="Times New Roman"/>
                <w:kern w:val="0"/>
                <w:sz w:val="20"/>
              </w:rPr>
            </w:pPr>
            <w:r>
              <w:rPr>
                <w:rFonts w:hint="eastAsia" w:ascii="楷体" w:hAnsi="楷体" w:eastAsia="楷体" w:cs="Times New Roman"/>
                <w:kern w:val="0"/>
                <w:sz w:val="20"/>
              </w:rPr>
              <w:t>M</w:t>
            </w:r>
            <w:r>
              <w:rPr>
                <w:rFonts w:ascii="楷体" w:hAnsi="楷体" w:eastAsia="楷体" w:cs="Times New Roman"/>
                <w:kern w:val="0"/>
                <w:sz w:val="20"/>
              </w:rPr>
              <w:t>10</w:t>
            </w:r>
          </w:p>
        </w:tc>
        <w:tc>
          <w:tcPr>
            <w:tcW w:w="774" w:type="dxa"/>
          </w:tcPr>
          <w:p>
            <w:pPr>
              <w:rPr>
                <w:rFonts w:ascii="楷体" w:hAnsi="楷体" w:eastAsia="楷体" w:cs="Times New Roman"/>
                <w:kern w:val="0"/>
                <w:sz w:val="20"/>
              </w:rPr>
            </w:pPr>
            <w:r>
              <w:rPr>
                <w:rFonts w:hint="eastAsia" w:ascii="楷体" w:hAnsi="楷体" w:eastAsia="楷体" w:cs="Times New Roman"/>
                <w:kern w:val="0"/>
                <w:sz w:val="20"/>
              </w:rPr>
              <w:t>1.0</w:t>
            </w:r>
          </w:p>
        </w:tc>
        <w:tc>
          <w:tcPr>
            <w:tcW w:w="774" w:type="dxa"/>
          </w:tcPr>
          <w:p>
            <w:pPr>
              <w:rPr>
                <w:rFonts w:ascii="楷体" w:hAnsi="楷体" w:eastAsia="楷体" w:cs="Times New Roman"/>
                <w:kern w:val="0"/>
                <w:sz w:val="20"/>
              </w:rPr>
            </w:pPr>
            <w:r>
              <w:rPr>
                <w:rFonts w:hint="eastAsia" w:ascii="楷体" w:hAnsi="楷体" w:eastAsia="楷体" w:cs="Times New Roman"/>
                <w:kern w:val="0"/>
                <w:sz w:val="20"/>
              </w:rPr>
              <w:t>0.85</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0.82</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0.78</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0.71</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0.68</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0.66</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0.65</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0.63</w:t>
            </w:r>
          </w:p>
        </w:tc>
        <w:tc>
          <w:tcPr>
            <w:tcW w:w="775" w:type="dxa"/>
          </w:tcPr>
          <w:p>
            <w:pPr>
              <w:rPr>
                <w:rFonts w:ascii="楷体" w:hAnsi="楷体" w:eastAsia="楷体" w:cs="Times New Roman"/>
                <w:kern w:val="0"/>
                <w:sz w:val="20"/>
              </w:rPr>
            </w:pPr>
            <w:r>
              <w:rPr>
                <w:rFonts w:hint="eastAsia" w:ascii="楷体" w:hAnsi="楷体" w:eastAsia="楷体" w:cs="Times New Roman"/>
                <w:kern w:val="0"/>
                <w:sz w:val="20"/>
              </w:rPr>
              <w:t>0</w:t>
            </w:r>
          </w:p>
        </w:tc>
      </w:tr>
    </w:tbl>
    <w:p>
      <w:pPr>
        <w:rPr>
          <w:rFonts w:ascii="楷体" w:hAnsi="楷体" w:eastAsia="楷体"/>
        </w:rPr>
      </w:pPr>
      <w:r>
        <w:rPr>
          <w:rFonts w:hint="eastAsia" w:ascii="楷体" w:hAnsi="楷体" w:eastAsia="楷体"/>
        </w:rPr>
        <w:t>注</w:t>
      </w:r>
      <w:r>
        <w:rPr>
          <w:rFonts w:ascii="楷体" w:hAnsi="楷体" w:eastAsia="楷体"/>
        </w:rPr>
        <w:t>：中间可以插值；</w:t>
      </w:r>
      <w:r>
        <w:rPr>
          <w:rFonts w:hint="eastAsia" w:ascii="楷体" w:hAnsi="楷体" w:eastAsia="楷体"/>
        </w:rPr>
        <w:t>浇</w:t>
      </w:r>
      <w:r>
        <w:rPr>
          <w:rFonts w:ascii="楷体" w:hAnsi="楷体" w:eastAsia="楷体"/>
        </w:rPr>
        <w:t>水冷却表中系数还应</w:t>
      </w:r>
      <w:r>
        <w:rPr>
          <w:rFonts w:hint="eastAsia" w:ascii="楷体" w:hAnsi="楷体" w:eastAsia="楷体"/>
        </w:rPr>
        <w:t>乘0.83的</w:t>
      </w:r>
      <w:r>
        <w:rPr>
          <w:rFonts w:ascii="楷体" w:hAnsi="楷体" w:eastAsia="楷体"/>
        </w:rPr>
        <w:t>折减系数。</w:t>
      </w:r>
    </w:p>
    <w:p>
      <w:pPr>
        <w:spacing w:beforeLines="50" w:afterLines="50"/>
        <w:rPr>
          <w:rFonts w:cs="Times New Roman"/>
          <w:b/>
        </w:rPr>
      </w:pPr>
      <w:r>
        <w:rPr>
          <w:rFonts w:cs="Times New Roman"/>
          <w:b/>
        </w:rPr>
        <w:t>J.0.1火灾后砖砌体抗压强度平均值</w:t>
      </w:r>
    </w:p>
    <w:p>
      <w:pPr>
        <w:ind w:firstLine="420" w:firstLineChars="200"/>
        <w:rPr>
          <w:rFonts w:cs="Times New Roman"/>
        </w:rPr>
      </w:pPr>
      <w:r>
        <w:rPr>
          <w:rFonts w:cs="Times New Roman"/>
        </w:rPr>
        <w:t>火灾后砖砌体抗压强度平均值按下式计算:</w:t>
      </w:r>
    </w:p>
    <w:p>
      <w:pPr>
        <w:jc w:val="center"/>
        <w:rPr>
          <w:rFonts w:cs="Times New Roman"/>
        </w:rPr>
      </w:pPr>
      <w:r>
        <w:rPr>
          <w:rFonts w:hint="eastAsia" w:cs="Times New Roman"/>
        </w:rPr>
        <w:t xml:space="preserve">              </w:t>
      </w:r>
      <w:r>
        <w:rPr>
          <w:rFonts w:cs="Times New Roman"/>
        </w:rPr>
        <w:object>
          <v:shape id="_x0000_i1102" o:spt="75" type="#_x0000_t75" style="height:21pt;width:161.4pt;" o:ole="t" filled="f" o:preferrelative="t" stroked="f" coordsize="21600,21600">
            <v:path/>
            <v:fill on="f" focussize="0,0"/>
            <v:stroke on="f" joinstyle="miter"/>
            <v:imagedata r:id="rId182" o:title=""/>
            <o:lock v:ext="edit" aspectratio="t"/>
            <w10:wrap type="none"/>
            <w10:anchorlock/>
          </v:shape>
          <o:OLEObject Type="Embed" ProgID="Equation.3" ShapeID="_x0000_i1102" DrawAspect="Content" ObjectID="_1468075802" r:id="rId181">
            <o:LockedField>false</o:LockedField>
          </o:OLEObject>
        </w:object>
      </w:r>
      <w:r>
        <w:rPr>
          <w:rFonts w:hint="eastAsia" w:cs="Times New Roman"/>
        </w:rPr>
        <w:t xml:space="preserve">                </w:t>
      </w:r>
      <w:r>
        <w:rPr>
          <w:rFonts w:cs="Times New Roman"/>
        </w:rPr>
        <w:t>（J.0.1）</w:t>
      </w:r>
    </w:p>
    <w:p>
      <w:pPr>
        <w:rPr>
          <w:rFonts w:cs="Times New Roman"/>
        </w:rPr>
      </w:pPr>
      <w:r>
        <w:rPr>
          <w:rFonts w:cs="Times New Roman"/>
        </w:rPr>
        <w:t>式中，</w:t>
      </w:r>
    </w:p>
    <w:p>
      <w:pPr>
        <w:ind w:firstLine="630" w:firstLineChars="300"/>
        <w:rPr>
          <w:rFonts w:cs="Times New Roman"/>
        </w:rPr>
      </w:pPr>
      <w:r>
        <w:rPr>
          <w:rFonts w:cs="Times New Roman"/>
          <w:position w:val="-10"/>
        </w:rPr>
        <w:object>
          <v:shape id="_x0000_i1103" o:spt="75" type="#_x0000_t75" style="height:19.2pt;width:30pt;" o:ole="t" filled="f" o:preferrelative="t" stroked="f" coordsize="21600,21600">
            <v:path/>
            <v:fill on="f" focussize="0,0"/>
            <v:stroke on="f" joinstyle="miter"/>
            <v:imagedata r:id="rId184" o:title=""/>
            <o:lock v:ext="edit" aspectratio="t"/>
            <w10:wrap type="none"/>
            <w10:anchorlock/>
          </v:shape>
          <o:OLEObject Type="Embed" ProgID="Equation.3" ShapeID="_x0000_i1103" DrawAspect="Content" ObjectID="_1468075803" r:id="rId183">
            <o:LockedField>false</o:LockedField>
          </o:OLEObject>
        </w:object>
      </w:r>
      <w:r>
        <w:rPr>
          <w:rFonts w:cs="Times New Roman"/>
        </w:rPr>
        <w:t>火灾后无筋砖砌体抗压强度</w:t>
      </w:r>
      <w:r>
        <w:rPr>
          <w:rFonts w:hint="eastAsia" w:cs="Times New Roman"/>
        </w:rPr>
        <w:t>平均值</w:t>
      </w:r>
      <w:r>
        <w:rPr>
          <w:rFonts w:cs="Times New Roman"/>
        </w:rPr>
        <w:t>；</w:t>
      </w:r>
    </w:p>
    <w:p>
      <w:pPr>
        <w:ind w:firstLine="630" w:firstLineChars="300"/>
        <w:rPr>
          <w:rFonts w:cs="Times New Roman"/>
        </w:rPr>
      </w:pPr>
      <w:r>
        <w:rPr>
          <w:rFonts w:cs="Times New Roman"/>
          <w:position w:val="-10"/>
        </w:rPr>
        <w:object>
          <v:shape id="_x0000_i1104" o:spt="75" type="#_x0000_t75" style="height:19.2pt;width:12pt;" o:ole="t" filled="f" o:preferrelative="t" stroked="f" coordsize="21600,21600">
            <v:path/>
            <v:fill on="f" focussize="0,0"/>
            <v:stroke on="f" joinstyle="miter"/>
            <v:imagedata r:id="rId186" o:title=""/>
            <o:lock v:ext="edit" aspectratio="t"/>
            <w10:wrap type="none"/>
            <w10:anchorlock/>
          </v:shape>
          <o:OLEObject Type="Embed" ProgID="Equation.3" ShapeID="_x0000_i1104" DrawAspect="Content" ObjectID="_1468075804" r:id="rId185">
            <o:LockedField>false</o:LockedField>
          </o:OLEObject>
        </w:object>
      </w:r>
      <w:r>
        <w:rPr>
          <w:rFonts w:cs="Times New Roman"/>
        </w:rPr>
        <w:t>-常温下砖抗压强度平均值；</w:t>
      </w:r>
    </w:p>
    <w:p>
      <w:pPr>
        <w:ind w:firstLine="630" w:firstLineChars="300"/>
        <w:rPr>
          <w:rFonts w:cs="Times New Roman"/>
        </w:rPr>
      </w:pPr>
      <w:r>
        <w:rPr>
          <w:rFonts w:cs="Times New Roman"/>
          <w:position w:val="-10"/>
        </w:rPr>
        <w:object>
          <v:shape id="_x0000_i1105" o:spt="75" type="#_x0000_t75" style="height:19.2pt;width:24pt;" o:ole="t" filled="f" o:preferrelative="t" stroked="f" coordsize="21600,21600">
            <v:path/>
            <v:fill on="f" focussize="0,0"/>
            <v:stroke on="f" joinstyle="miter"/>
            <v:imagedata r:id="rId188" o:title=""/>
            <o:lock v:ext="edit" aspectratio="t"/>
            <w10:wrap type="none"/>
            <w10:anchorlock/>
          </v:shape>
          <o:OLEObject Type="Embed" ProgID="Equation.3" ShapeID="_x0000_i1105" DrawAspect="Content" ObjectID="_1468075805" r:id="rId187">
            <o:LockedField>false</o:LockedField>
          </o:OLEObject>
        </w:object>
      </w:r>
      <w:r>
        <w:rPr>
          <w:rFonts w:cs="Times New Roman"/>
        </w:rPr>
        <w:t>常温下砂浆抗压强度平均值；</w:t>
      </w:r>
    </w:p>
    <w:p>
      <w:pPr>
        <w:ind w:firstLine="630" w:firstLineChars="300"/>
        <w:rPr>
          <w:rFonts w:cs="Times New Roman"/>
        </w:rPr>
      </w:pPr>
      <w:r>
        <w:rPr>
          <w:rFonts w:cs="Times New Roman"/>
          <w:position w:val="-4"/>
        </w:rPr>
        <w:object>
          <v:shape id="_x0000_i1106" o:spt="75" type="#_x0000_t75" style="height:9pt;width:21pt;" o:ole="t" filled="f" o:preferrelative="t" stroked="f" coordsize="21600,21600">
            <v:path/>
            <v:fill on="f" focussize="0,0"/>
            <v:stroke on="f" joinstyle="miter"/>
            <v:imagedata r:id="rId190" o:title=""/>
            <o:lock v:ext="edit" aspectratio="t"/>
            <w10:wrap type="none"/>
            <w10:anchorlock/>
          </v:shape>
          <o:OLEObject Type="Embed" ProgID="Equation.3" ShapeID="_x0000_i1106" DrawAspect="Content" ObjectID="_1468075806" r:id="rId189">
            <o:LockedField>false</o:LockedField>
          </o:OLEObject>
        </w:object>
      </w:r>
      <w:r>
        <w:rPr>
          <w:rFonts w:cs="Times New Roman"/>
        </w:rPr>
        <w:t>参数；</w:t>
      </w:r>
    </w:p>
    <w:p>
      <w:pPr>
        <w:ind w:firstLine="630" w:firstLineChars="300"/>
        <w:rPr>
          <w:rFonts w:cs="Times New Roman"/>
        </w:rPr>
      </w:pPr>
      <w:r>
        <w:rPr>
          <w:rFonts w:cs="Times New Roman"/>
          <w:position w:val="-10"/>
        </w:rPr>
        <w:object>
          <v:shape id="_x0000_i1107" o:spt="75" type="#_x0000_t75" style="height:19.2pt;width:13.2pt;" o:ole="t" filled="f" o:preferrelative="t" stroked="f" coordsize="21600,21600">
            <v:path/>
            <v:fill on="f" focussize="0,0"/>
            <v:stroke on="f" joinstyle="miter"/>
            <v:imagedata r:id="rId192" o:title=""/>
            <o:lock v:ext="edit" aspectratio="t"/>
            <w10:wrap type="none"/>
            <w10:anchorlock/>
          </v:shape>
          <o:OLEObject Type="Embed" ProgID="Equation.3" ShapeID="_x0000_i1107" DrawAspect="Content" ObjectID="_1468075807" r:id="rId191">
            <o:LockedField>false</o:LockedField>
          </o:OLEObject>
        </w:object>
      </w:r>
      <w:r>
        <w:rPr>
          <w:rFonts w:cs="Times New Roman"/>
        </w:rPr>
        <w:t>-不同类型砌体的块体形状、尺寸、砌筑方法等因素的影响系数；</w:t>
      </w:r>
    </w:p>
    <w:p>
      <w:pPr>
        <w:ind w:firstLine="630" w:firstLineChars="300"/>
        <w:rPr>
          <w:rFonts w:cs="Times New Roman"/>
        </w:rPr>
      </w:pPr>
      <w:r>
        <w:rPr>
          <w:rFonts w:cs="Times New Roman"/>
          <w:position w:val="-10"/>
        </w:rPr>
        <w:object>
          <v:shape id="_x0000_i1108" o:spt="75" type="#_x0000_t75" style="height:19.2pt;width:27pt;" o:ole="t" filled="f" o:preferrelative="t" stroked="f" coordsize="21600,21600">
            <v:path/>
            <v:fill on="f" focussize="0,0"/>
            <v:stroke on="f" joinstyle="miter"/>
            <v:imagedata r:id="rId194" o:title=""/>
            <o:lock v:ext="edit" aspectratio="t"/>
            <w10:wrap type="none"/>
            <w10:anchorlock/>
          </v:shape>
          <o:OLEObject Type="Embed" ProgID="Equation.3" ShapeID="_x0000_i1108" DrawAspect="Content" ObjectID="_1468075808" r:id="rId193">
            <o:LockedField>false</o:LockedField>
          </o:OLEObject>
        </w:object>
      </w:r>
      <w:r>
        <w:rPr>
          <w:rFonts w:cs="Times New Roman"/>
        </w:rPr>
        <w:t>砂浆强度不同对砌体抗压强度的影响系数。</w:t>
      </w:r>
    </w:p>
    <w:p>
      <w:pPr>
        <w:ind w:firstLine="420" w:firstLineChars="200"/>
        <w:rPr>
          <w:rFonts w:cs="Times New Roman"/>
        </w:rPr>
      </w:pPr>
      <w:r>
        <w:rPr>
          <w:rFonts w:cs="Times New Roman"/>
        </w:rPr>
        <w:t>对于烧结普通砖、烧结多孔砖、蒸压灰砂砖、蒸压粉煤灰砖，</w:t>
      </w:r>
      <w:r>
        <w:rPr>
          <w:rFonts w:cs="Times New Roman"/>
          <w:position w:val="-4"/>
        </w:rPr>
        <w:object>
          <v:shape id="_x0000_i1109" o:spt="75" type="#_x0000_t75" style="height:13.2pt;width:47.4pt;" o:ole="t" filled="f" o:preferrelative="t" stroked="f" coordsize="21600,21600">
            <v:path/>
            <v:fill on="f" focussize="0,0"/>
            <v:stroke on="f" joinstyle="miter"/>
            <v:imagedata r:id="rId196" o:title=""/>
            <o:lock v:ext="edit" aspectratio="t"/>
            <w10:wrap type="none"/>
            <w10:anchorlock/>
          </v:shape>
          <o:OLEObject Type="Embed" ProgID="Equation.3" ShapeID="_x0000_i1109" DrawAspect="Content" ObjectID="_1468075809" r:id="rId195">
            <o:LockedField>false</o:LockedField>
          </o:OLEObject>
        </w:object>
      </w:r>
      <w:r>
        <w:rPr>
          <w:rFonts w:cs="Times New Roman"/>
        </w:rPr>
        <w:t>，</w:t>
      </w:r>
      <w:r>
        <w:rPr>
          <w:rFonts w:cs="Times New Roman"/>
          <w:position w:val="-12"/>
        </w:rPr>
        <w:object>
          <v:shape id="_x0000_i1110" o:spt="75" type="#_x0000_t75" style="height:16.2pt;width:58.8pt;" o:ole="t" filled="f" o:preferrelative="t" stroked="f" coordsize="21600,21600">
            <v:path/>
            <v:fill on="f" focussize="0,0"/>
            <v:stroke on="f" joinstyle="miter"/>
            <v:imagedata r:id="rId198" o:title=""/>
            <o:lock v:ext="edit" aspectratio="t"/>
            <w10:wrap type="none"/>
            <w10:anchorlock/>
          </v:shape>
          <o:OLEObject Type="Embed" ProgID="Equation.3" ShapeID="_x0000_i1110" DrawAspect="Content" ObjectID="_1468075810" r:id="rId197">
            <o:LockedField>false</o:LockedField>
          </o:OLEObject>
        </w:object>
      </w:r>
      <w:r>
        <w:rPr>
          <w:rFonts w:cs="Times New Roman"/>
        </w:rPr>
        <w:t>，当</w:t>
      </w:r>
      <w:r>
        <w:rPr>
          <w:rFonts w:cs="Times New Roman"/>
          <w:position w:val="-10"/>
        </w:rPr>
        <w:object>
          <v:shape id="_x0000_i1111" o:spt="75" type="#_x0000_t75" style="height:19.2pt;width:36pt;" o:ole="t" filled="f" o:preferrelative="t" stroked="f" coordsize="21600,21600">
            <v:path/>
            <v:fill on="f" focussize="0,0"/>
            <v:stroke on="f" joinstyle="miter"/>
            <v:imagedata r:id="rId200" o:title=""/>
            <o:lock v:ext="edit" aspectratio="t"/>
            <w10:wrap type="none"/>
            <w10:anchorlock/>
          </v:shape>
          <o:OLEObject Type="Embed" ProgID="Equation.3" ShapeID="_x0000_i1111" DrawAspect="Content" ObjectID="_1468075811" r:id="rId199">
            <o:LockedField>false</o:LockedField>
          </o:OLEObject>
        </w:object>
      </w:r>
      <w:r>
        <w:rPr>
          <w:rFonts w:cs="Times New Roman"/>
        </w:rPr>
        <w:t>MPa时，</w:t>
      </w:r>
      <w:r>
        <w:rPr>
          <w:rFonts w:cs="Times New Roman"/>
          <w:position w:val="-10"/>
        </w:rPr>
        <w:object>
          <v:shape id="_x0000_i1112" o:spt="75" type="#_x0000_t75" style="height:19.2pt;width:93pt;" o:ole="t" filled="f" o:preferrelative="t" stroked="f" coordsize="21600,21600">
            <v:path/>
            <v:fill on="f" focussize="0,0"/>
            <v:stroke on="f" joinstyle="miter"/>
            <v:imagedata r:id="rId202" o:title=""/>
            <o:lock v:ext="edit" aspectratio="t"/>
            <w10:wrap type="none"/>
            <w10:anchorlock/>
          </v:shape>
          <o:OLEObject Type="Embed" ProgID="Equation.3" ShapeID="_x0000_i1112" DrawAspect="Content" ObjectID="_1468075812" r:id="rId201">
            <o:LockedField>false</o:LockedField>
          </o:OLEObject>
        </w:object>
      </w:r>
      <w:r>
        <w:rPr>
          <w:rFonts w:cs="Times New Roman"/>
        </w:rPr>
        <w:t>，其它情况为1。其它类型的砌体，其参数取值见《砌体结构设计规范》（GB50003）。</w:t>
      </w:r>
    </w:p>
    <w:p>
      <w:pPr>
        <w:ind w:firstLine="525" w:firstLineChars="250"/>
        <w:rPr>
          <w:rFonts w:cs="Times New Roman"/>
        </w:rPr>
      </w:pPr>
      <w:r>
        <w:rPr>
          <w:rFonts w:cs="Times New Roman"/>
          <w:position w:val="-10"/>
        </w:rPr>
        <w:object>
          <v:shape id="_x0000_i1113" o:spt="75" type="#_x0000_t75" style="height:19.2pt;width:16.2pt;" o:ole="t" filled="f" o:preferrelative="t" stroked="f" coordsize="21600,21600">
            <v:path/>
            <v:fill on="f" focussize="0,0"/>
            <v:stroke on="f" joinstyle="miter"/>
            <v:imagedata r:id="rId204" o:title=""/>
            <o:lock v:ext="edit" aspectratio="t"/>
            <w10:wrap type="none"/>
            <w10:anchorlock/>
          </v:shape>
          <o:OLEObject Type="Embed" ProgID="Equation.3" ShapeID="_x0000_i1113" DrawAspect="Content" ObjectID="_1468075813" r:id="rId203">
            <o:LockedField>false</o:LockedField>
          </o:OLEObject>
        </w:object>
      </w:r>
      <w:r>
        <w:rPr>
          <w:rFonts w:cs="Times New Roman"/>
        </w:rPr>
        <w:t>-火灾后砖抗压强度折减系数，详见</w:t>
      </w:r>
      <w:r>
        <w:rPr>
          <w:rFonts w:hint="eastAsia" w:cs="Times New Roman"/>
        </w:rPr>
        <w:t>表</w:t>
      </w:r>
      <w:r>
        <w:rPr>
          <w:rFonts w:cs="Times New Roman"/>
        </w:rPr>
        <w:t>J.</w:t>
      </w:r>
      <w:r>
        <w:rPr>
          <w:rFonts w:hint="eastAsia" w:cs="Times New Roman"/>
        </w:rPr>
        <w:t>0.1</w:t>
      </w:r>
      <w:r>
        <w:rPr>
          <w:rFonts w:cs="Times New Roman"/>
        </w:rPr>
        <w:t>；</w:t>
      </w:r>
    </w:p>
    <w:p>
      <w:pPr>
        <w:ind w:firstLine="630" w:firstLineChars="300"/>
        <w:rPr>
          <w:rFonts w:cs="Times New Roman"/>
        </w:rPr>
      </w:pPr>
      <w:r>
        <w:rPr>
          <w:rFonts w:cs="Times New Roman"/>
          <w:position w:val="-10"/>
        </w:rPr>
        <w:object>
          <v:shape id="_x0000_i1114" o:spt="75" type="#_x0000_t75" style="height:19.2pt;width:19.2pt;" o:ole="t" filled="f" o:preferrelative="t" stroked="f" coordsize="21600,21600">
            <v:path/>
            <v:fill on="f" focussize="0,0"/>
            <v:stroke on="f" joinstyle="miter"/>
            <v:imagedata r:id="rId206" o:title=""/>
            <o:lock v:ext="edit" aspectratio="t"/>
            <w10:wrap type="none"/>
            <w10:anchorlock/>
          </v:shape>
          <o:OLEObject Type="Embed" ProgID="Equation.3" ShapeID="_x0000_i1114" DrawAspect="Content" ObjectID="_1468075814" r:id="rId205">
            <o:LockedField>false</o:LockedField>
          </o:OLEObject>
        </w:object>
      </w:r>
      <w:r>
        <w:rPr>
          <w:rFonts w:cs="Times New Roman"/>
        </w:rPr>
        <w:t>-火灾后砂浆抗压强度折减系数，详见</w:t>
      </w:r>
      <w:r>
        <w:rPr>
          <w:rFonts w:hint="eastAsia" w:cs="Times New Roman"/>
        </w:rPr>
        <w:t>表</w:t>
      </w:r>
      <w:r>
        <w:rPr>
          <w:rFonts w:cs="Times New Roman"/>
        </w:rPr>
        <w:t>J.</w:t>
      </w:r>
      <w:r>
        <w:rPr>
          <w:rFonts w:hint="eastAsia" w:cs="Times New Roman"/>
        </w:rPr>
        <w:t>0.2</w:t>
      </w:r>
      <w:r>
        <w:rPr>
          <w:rFonts w:cs="Times New Roman"/>
        </w:rPr>
        <w:t>。</w:t>
      </w:r>
    </w:p>
    <w:p>
      <w:pPr>
        <w:spacing w:beforeLines="50" w:afterLines="50"/>
        <w:rPr>
          <w:rFonts w:cs="Times New Roman"/>
          <w:b/>
        </w:rPr>
      </w:pPr>
      <w:r>
        <w:rPr>
          <w:rFonts w:hint="eastAsia" w:cs="Times New Roman"/>
          <w:b/>
        </w:rPr>
        <w:t>J.</w:t>
      </w:r>
      <w:r>
        <w:rPr>
          <w:rFonts w:cs="Times New Roman"/>
          <w:b/>
        </w:rPr>
        <w:t>0.2火灾后砖砌体结构抗压强度设计值</w:t>
      </w:r>
    </w:p>
    <w:p>
      <w:pPr>
        <w:ind w:firstLine="420" w:firstLineChars="200"/>
        <w:rPr>
          <w:rFonts w:cs="Times New Roman"/>
        </w:rPr>
      </w:pPr>
      <w:r>
        <w:rPr>
          <w:rFonts w:cs="Times New Roman"/>
        </w:rPr>
        <w:t>火灾后砖砌体结构抗压强度设计值按下式计算</w:t>
      </w:r>
    </w:p>
    <w:p>
      <w:pPr>
        <w:jc w:val="center"/>
        <w:rPr>
          <w:rFonts w:cs="Times New Roman"/>
        </w:rPr>
      </w:pPr>
      <w:r>
        <w:rPr>
          <w:rFonts w:hint="eastAsia" w:cs="Times New Roman"/>
          <w:position w:val="-10"/>
        </w:rPr>
        <w:t xml:space="preserve">                          </w:t>
      </w:r>
      <w:r>
        <w:rPr>
          <w:rFonts w:cs="Times New Roman"/>
          <w:position w:val="-10"/>
        </w:rPr>
        <w:object>
          <v:shape id="_x0000_i1115" o:spt="75" type="#_x0000_t75" style="height:19.2pt;width:66.6pt;" o:ole="t" filled="f" o:preferrelative="t" stroked="f" coordsize="21600,21600">
            <v:path/>
            <v:fill on="f" focussize="0,0"/>
            <v:stroke on="f" joinstyle="miter"/>
            <v:imagedata r:id="rId208" o:title=""/>
            <o:lock v:ext="edit" aspectratio="t"/>
            <w10:wrap type="none"/>
            <w10:anchorlock/>
          </v:shape>
          <o:OLEObject Type="Embed" ProgID="Equation.3" ShapeID="_x0000_i1115" DrawAspect="Content" ObjectID="_1468075815" r:id="rId207">
            <o:LockedField>false</o:LockedField>
          </o:OLEObject>
        </w:object>
      </w:r>
      <w:r>
        <w:rPr>
          <w:rFonts w:cs="Times New Roman"/>
        </w:rPr>
        <w:t xml:space="preserve">           </w:t>
      </w:r>
      <w:r>
        <w:rPr>
          <w:rFonts w:hint="eastAsia" w:cs="Times New Roman"/>
        </w:rPr>
        <w:t xml:space="preserve">      </w:t>
      </w:r>
      <w:r>
        <w:rPr>
          <w:rFonts w:cs="Times New Roman"/>
        </w:rPr>
        <w:t xml:space="preserve">              (</w:t>
      </w:r>
      <w:r>
        <w:rPr>
          <w:rFonts w:hint="eastAsia" w:cs="Times New Roman"/>
        </w:rPr>
        <w:t>J.</w:t>
      </w:r>
      <w:r>
        <w:rPr>
          <w:rFonts w:cs="Times New Roman"/>
        </w:rPr>
        <w:t>0.2)</w:t>
      </w:r>
    </w:p>
    <w:p>
      <w:pPr>
        <w:rPr>
          <w:rFonts w:cs="Times New Roman"/>
        </w:rPr>
      </w:pPr>
      <w:r>
        <w:rPr>
          <w:rFonts w:cs="Times New Roman"/>
        </w:rPr>
        <w:t>式中，</w:t>
      </w:r>
    </w:p>
    <w:p>
      <w:pPr>
        <w:ind w:firstLine="630" w:firstLineChars="300"/>
        <w:rPr>
          <w:rFonts w:cs="Times New Roman"/>
        </w:rPr>
      </w:pPr>
      <w:r>
        <w:rPr>
          <w:rFonts w:cs="Times New Roman"/>
          <w:position w:val="-10"/>
        </w:rPr>
        <w:object>
          <v:shape id="_x0000_i1116" o:spt="75" type="#_x0000_t75" style="height:19.2pt;width:12pt;" o:ole="t" filled="f" o:preferrelative="t" stroked="f" coordsize="21600,21600">
            <v:path/>
            <v:fill on="f" focussize="0,0"/>
            <v:stroke on="f" joinstyle="miter"/>
            <v:imagedata r:id="rId210" o:title=""/>
            <o:lock v:ext="edit" aspectratio="t"/>
            <w10:wrap type="none"/>
            <w10:anchorlock/>
          </v:shape>
          <o:OLEObject Type="Embed" ProgID="Equation.3" ShapeID="_x0000_i1116" DrawAspect="Content" ObjectID="_1468075816" r:id="rId209">
            <o:LockedField>false</o:LockedField>
          </o:OLEObject>
        </w:object>
      </w:r>
      <w:r>
        <w:rPr>
          <w:rFonts w:cs="Times New Roman"/>
        </w:rPr>
        <w:t>-火灾后砌体的抗压强度设计值。火灾后砌体的抗压强度设计值的调整系数</w:t>
      </w:r>
      <w:r>
        <w:rPr>
          <w:rFonts w:cs="Times New Roman"/>
          <w:position w:val="-12"/>
        </w:rPr>
        <w:object>
          <v:shape id="_x0000_i1117" o:spt="75" type="#_x0000_t75" style="height:19.2pt;width:13.8pt;" o:ole="t" filled="f" o:preferrelative="t" stroked="f" coordsize="21600,21600">
            <v:path/>
            <v:fill on="f" focussize="0,0"/>
            <v:stroke on="f" joinstyle="miter"/>
            <v:imagedata r:id="rId212" o:title=""/>
            <o:lock v:ext="edit" aspectratio="t"/>
            <w10:wrap type="none"/>
            <w10:anchorlock/>
          </v:shape>
          <o:OLEObject Type="Embed" ProgID="Equation.3" ShapeID="_x0000_i1117" DrawAspect="Content" ObjectID="_1468075817" r:id="rId211">
            <o:LockedField>false</o:LockedField>
          </o:OLEObject>
        </w:object>
      </w:r>
      <w:r>
        <w:rPr>
          <w:rFonts w:cs="Times New Roman"/>
        </w:rPr>
        <w:t>参见《砌体结构设计规范》（GB50003）。</w:t>
      </w:r>
    </w:p>
    <w:p>
      <w:pPr>
        <w:spacing w:beforeLines="50" w:afterLines="50"/>
        <w:rPr>
          <w:rFonts w:cs="Times New Roman"/>
          <w:b/>
        </w:rPr>
      </w:pPr>
      <w:r>
        <w:rPr>
          <w:rFonts w:hint="eastAsia" w:cs="Times New Roman"/>
          <w:b/>
        </w:rPr>
        <w:t>J.</w:t>
      </w:r>
      <w:r>
        <w:rPr>
          <w:rFonts w:cs="Times New Roman"/>
          <w:b/>
        </w:rPr>
        <w:t>0.3火灾后砌体的抗拉、抗弯、抗剪强度平均值</w:t>
      </w:r>
    </w:p>
    <w:p>
      <w:pPr>
        <w:ind w:firstLine="420" w:firstLineChars="200"/>
        <w:rPr>
          <w:rFonts w:cs="Times New Roman"/>
        </w:rPr>
      </w:pPr>
      <w:r>
        <w:rPr>
          <w:rFonts w:cs="Times New Roman"/>
        </w:rPr>
        <w:t>火灾后砌体的抗拉强度平均值</w:t>
      </w:r>
    </w:p>
    <w:p>
      <w:pPr>
        <w:jc w:val="center"/>
        <w:rPr>
          <w:rFonts w:cs="Times New Roman"/>
        </w:rPr>
      </w:pPr>
      <w:r>
        <w:rPr>
          <w:rFonts w:hint="eastAsia" w:cs="Times New Roman"/>
          <w:position w:val="-12"/>
        </w:rPr>
        <w:t xml:space="preserve">                        </w:t>
      </w:r>
      <w:r>
        <w:rPr>
          <w:rFonts w:cs="Times New Roman"/>
          <w:position w:val="-12"/>
        </w:rPr>
        <w:object>
          <v:shape id="_x0000_i1118" o:spt="75" type="#_x0000_t75" style="height:21pt;width:84pt;" o:ole="t" filled="f" o:preferrelative="t" stroked="f" coordsize="21600,21600">
            <v:path/>
            <v:fill on="f" focussize="0,0"/>
            <v:stroke on="f" joinstyle="miter"/>
            <v:imagedata r:id="rId214" o:title=""/>
            <o:lock v:ext="edit" aspectratio="t"/>
            <w10:wrap type="none"/>
            <w10:anchorlock/>
          </v:shape>
          <o:OLEObject Type="Embed" ProgID="Equation.3" ShapeID="_x0000_i1118" DrawAspect="Content" ObjectID="_1468075818" r:id="rId213">
            <o:LockedField>false</o:LockedField>
          </o:OLEObject>
        </w:object>
      </w:r>
      <w:r>
        <w:rPr>
          <w:rFonts w:cs="Times New Roman"/>
        </w:rPr>
        <w:t xml:space="preserve">                   </w:t>
      </w:r>
      <w:r>
        <w:rPr>
          <w:rFonts w:hint="eastAsia" w:cs="Times New Roman"/>
        </w:rPr>
        <w:t xml:space="preserve">   </w:t>
      </w:r>
      <w:r>
        <w:rPr>
          <w:rFonts w:cs="Times New Roman"/>
        </w:rPr>
        <w:t xml:space="preserve">     (</w:t>
      </w:r>
      <w:r>
        <w:rPr>
          <w:rFonts w:hint="eastAsia" w:cs="Times New Roman"/>
        </w:rPr>
        <w:t>J.</w:t>
      </w:r>
      <w:r>
        <w:rPr>
          <w:rFonts w:cs="Times New Roman"/>
        </w:rPr>
        <w:t>0.3-1)</w:t>
      </w:r>
    </w:p>
    <w:p>
      <w:pPr>
        <w:rPr>
          <w:rFonts w:cs="Times New Roman"/>
        </w:rPr>
      </w:pPr>
      <w:r>
        <w:rPr>
          <w:rFonts w:cs="Times New Roman"/>
        </w:rPr>
        <w:t>式中，</w:t>
      </w:r>
    </w:p>
    <w:p>
      <w:pPr>
        <w:ind w:firstLine="630" w:firstLineChars="300"/>
        <w:rPr>
          <w:rFonts w:cs="Times New Roman"/>
        </w:rPr>
      </w:pPr>
      <w:r>
        <w:rPr>
          <w:rFonts w:cs="Times New Roman"/>
          <w:position w:val="-12"/>
        </w:rPr>
        <w:object>
          <v:shape id="_x0000_i1119" o:spt="75" type="#_x0000_t75" style="height:19.8pt;width:19.8pt;" o:ole="t" filled="f" o:preferrelative="t" stroked="f" coordsize="21600,21600">
            <v:path/>
            <v:fill on="f" focussize="0,0"/>
            <v:stroke on="f" joinstyle="miter"/>
            <v:imagedata r:id="rId216" o:title=""/>
            <o:lock v:ext="edit" aspectratio="t"/>
            <w10:wrap type="none"/>
            <w10:anchorlock/>
          </v:shape>
          <o:OLEObject Type="Embed" ProgID="Equation.3" ShapeID="_x0000_i1119" DrawAspect="Content" ObjectID="_1468075819" r:id="rId215">
            <o:LockedField>false</o:LockedField>
          </o:OLEObject>
        </w:object>
      </w:r>
      <w:r>
        <w:rPr>
          <w:rFonts w:cs="Times New Roman"/>
        </w:rPr>
        <w:t>-火灾后砌体轴心抗拉强度平均值</w:t>
      </w:r>
    </w:p>
    <w:p>
      <w:pPr>
        <w:ind w:firstLine="630" w:firstLineChars="300"/>
        <w:rPr>
          <w:rFonts w:cs="Times New Roman"/>
        </w:rPr>
      </w:pPr>
      <w:r>
        <w:rPr>
          <w:rFonts w:cs="Times New Roman"/>
          <w:position w:val="-10"/>
        </w:rPr>
        <w:object>
          <v:shape id="_x0000_i1120" o:spt="75" type="#_x0000_t75" style="height:19.2pt;width:27pt;" o:ole="t" filled="f" o:preferrelative="t" stroked="f" coordsize="21600,21600">
            <v:path/>
            <v:fill on="f" focussize="0,0"/>
            <v:stroke on="f" joinstyle="miter"/>
            <v:imagedata r:id="rId218" o:title=""/>
            <o:lock v:ext="edit" aspectratio="t"/>
            <w10:wrap type="none"/>
            <w10:anchorlock/>
          </v:shape>
          <o:OLEObject Type="Embed" ProgID="Equation.3" ShapeID="_x0000_i1120" DrawAspect="Content" ObjectID="_1468075820" r:id="rId217">
            <o:LockedField>false</o:LockedField>
          </o:OLEObject>
        </w:object>
      </w:r>
      <w:r>
        <w:rPr>
          <w:rFonts w:cs="Times New Roman"/>
        </w:rPr>
        <w:t>系数，对于烧结普通砖、烧结多孔砖砌体，取0.141,其它情况见《砌体结构设计规范》（GB50003）。。</w:t>
      </w:r>
    </w:p>
    <w:p>
      <w:pPr>
        <w:ind w:firstLine="420" w:firstLineChars="200"/>
        <w:rPr>
          <w:rFonts w:cs="Times New Roman"/>
        </w:rPr>
      </w:pPr>
      <w:r>
        <w:rPr>
          <w:rFonts w:cs="Times New Roman"/>
        </w:rPr>
        <w:t>火灾后砌体弯曲抗拉强度平均值</w:t>
      </w:r>
    </w:p>
    <w:p>
      <w:pPr>
        <w:jc w:val="center"/>
        <w:rPr>
          <w:rFonts w:cs="Times New Roman"/>
        </w:rPr>
      </w:pPr>
      <w:r>
        <w:rPr>
          <w:rFonts w:hint="eastAsia" w:cs="Times New Roman"/>
          <w:position w:val="-12"/>
        </w:rPr>
        <w:t xml:space="preserve">                       </w:t>
      </w:r>
      <w:r>
        <w:rPr>
          <w:rFonts w:cs="Times New Roman"/>
          <w:position w:val="-12"/>
        </w:rPr>
        <w:object>
          <v:shape id="_x0000_i1121" o:spt="75" type="#_x0000_t75" style="height:21pt;width:85.8pt;" o:ole="t" filled="f" o:preferrelative="t" stroked="f" coordsize="21600,21600">
            <v:path/>
            <v:fill on="f" focussize="0,0"/>
            <v:stroke on="f" joinstyle="miter"/>
            <v:imagedata r:id="rId220" o:title=""/>
            <o:lock v:ext="edit" aspectratio="t"/>
            <w10:wrap type="none"/>
            <w10:anchorlock/>
          </v:shape>
          <o:OLEObject Type="Embed" ProgID="Equation.3" ShapeID="_x0000_i1121" DrawAspect="Content" ObjectID="_1468075821" r:id="rId219">
            <o:LockedField>false</o:LockedField>
          </o:OLEObject>
        </w:object>
      </w:r>
      <w:r>
        <w:rPr>
          <w:rFonts w:cs="Times New Roman"/>
        </w:rPr>
        <w:t xml:space="preserve">                     </w:t>
      </w:r>
      <w:r>
        <w:rPr>
          <w:rFonts w:hint="eastAsia" w:cs="Times New Roman"/>
        </w:rPr>
        <w:t xml:space="preserve">   </w:t>
      </w:r>
      <w:r>
        <w:rPr>
          <w:rFonts w:cs="Times New Roman"/>
        </w:rPr>
        <w:t xml:space="preserve">   (</w:t>
      </w:r>
      <w:r>
        <w:rPr>
          <w:rFonts w:hint="eastAsia" w:cs="Times New Roman"/>
        </w:rPr>
        <w:t>J.</w:t>
      </w:r>
      <w:r>
        <w:rPr>
          <w:rFonts w:cs="Times New Roman"/>
        </w:rPr>
        <w:t>0.3-2)</w:t>
      </w:r>
    </w:p>
    <w:p>
      <w:pPr>
        <w:rPr>
          <w:rFonts w:cs="Times New Roman"/>
        </w:rPr>
      </w:pPr>
      <w:r>
        <w:rPr>
          <w:rFonts w:cs="Times New Roman"/>
        </w:rPr>
        <w:t>式中，</w:t>
      </w:r>
    </w:p>
    <w:p>
      <w:pPr>
        <w:ind w:firstLine="420" w:firstLineChars="200"/>
        <w:rPr>
          <w:rFonts w:cs="Times New Roman"/>
        </w:rPr>
      </w:pPr>
      <w:r>
        <w:rPr>
          <w:rFonts w:cs="Times New Roman"/>
          <w:position w:val="-10"/>
        </w:rPr>
        <w:object>
          <v:shape id="_x0000_i1122" o:spt="75" type="#_x0000_t75" style="height:19.2pt;width:13.8pt;" o:ole="t" filled="f" o:preferrelative="t" stroked="f" coordsize="21600,21600">
            <v:path/>
            <v:fill on="f" focussize="0,0"/>
            <v:stroke on="f" joinstyle="miter"/>
            <v:imagedata r:id="rId222" o:title=""/>
            <o:lock v:ext="edit" aspectratio="t"/>
            <w10:wrap type="none"/>
            <w10:anchorlock/>
          </v:shape>
          <o:OLEObject Type="Embed" ProgID="Equation.3" ShapeID="_x0000_i1122" DrawAspect="Content" ObjectID="_1468075822" r:id="rId221">
            <o:LockedField>false</o:LockedField>
          </o:OLEObject>
        </w:object>
      </w:r>
      <w:r>
        <w:rPr>
          <w:rFonts w:cs="Times New Roman"/>
        </w:rPr>
        <w:t>-系数，对于烧结普通砖、烧结多孔砖砌体，取0.250（沿齿缝），0.125（沿通缝）,其它情况见《砌体结构设计规范》（GB50003-2011）。</w:t>
      </w:r>
    </w:p>
    <w:p>
      <w:pPr>
        <w:rPr>
          <w:rFonts w:cs="Times New Roman"/>
        </w:rPr>
      </w:pPr>
      <w:r>
        <w:rPr>
          <w:rFonts w:cs="Times New Roman"/>
        </w:rPr>
        <w:t>火灾后砌体抗剪强度平均值</w:t>
      </w:r>
    </w:p>
    <w:p>
      <w:pPr>
        <w:jc w:val="center"/>
        <w:rPr>
          <w:rFonts w:cs="Times New Roman"/>
        </w:rPr>
      </w:pPr>
      <w:r>
        <w:rPr>
          <w:rFonts w:hint="eastAsia" w:cs="Times New Roman"/>
          <w:position w:val="-14"/>
        </w:rPr>
        <w:t xml:space="preserve">                       </w:t>
      </w:r>
      <w:r>
        <w:rPr>
          <w:rFonts w:cs="Times New Roman"/>
          <w:position w:val="-14"/>
        </w:rPr>
        <w:object>
          <v:shape id="_x0000_i1123" o:spt="75" type="#_x0000_t75" style="height:21pt;width:79.8pt;" o:ole="t" filled="f" o:preferrelative="t" stroked="f" coordsize="21600,21600">
            <v:path/>
            <v:fill on="f" focussize="0,0"/>
            <v:stroke on="f" joinstyle="miter"/>
            <v:imagedata r:id="rId224" o:title=""/>
            <o:lock v:ext="edit" aspectratio="t"/>
            <w10:wrap type="none"/>
            <w10:anchorlock/>
          </v:shape>
          <o:OLEObject Type="Embed" ProgID="Equation.3" ShapeID="_x0000_i1123" DrawAspect="Content" ObjectID="_1468075823" r:id="rId223">
            <o:LockedField>false</o:LockedField>
          </o:OLEObject>
        </w:object>
      </w:r>
      <w:r>
        <w:rPr>
          <w:rFonts w:cs="Times New Roman"/>
        </w:rPr>
        <w:t xml:space="preserve">                 </w:t>
      </w:r>
      <w:r>
        <w:rPr>
          <w:rFonts w:hint="eastAsia" w:cs="Times New Roman"/>
        </w:rPr>
        <w:t xml:space="preserve">       </w:t>
      </w:r>
      <w:r>
        <w:rPr>
          <w:rFonts w:cs="Times New Roman"/>
        </w:rPr>
        <w:t xml:space="preserve">      (</w:t>
      </w:r>
      <w:r>
        <w:rPr>
          <w:rFonts w:hint="eastAsia" w:cs="Times New Roman"/>
        </w:rPr>
        <w:t>J.</w:t>
      </w:r>
      <w:r>
        <w:rPr>
          <w:rFonts w:cs="Times New Roman"/>
        </w:rPr>
        <w:t>0.3-3)</w:t>
      </w:r>
    </w:p>
    <w:p>
      <w:pPr>
        <w:ind w:firstLine="420" w:firstLineChars="200"/>
        <w:rPr>
          <w:rFonts w:cs="Times New Roman"/>
        </w:rPr>
      </w:pPr>
      <w:r>
        <w:rPr>
          <w:rFonts w:cs="Times New Roman"/>
          <w:position w:val="-12"/>
        </w:rPr>
        <w:object>
          <v:shape id="_x0000_i1124" o:spt="75" type="#_x0000_t75" style="height:19.2pt;width:13.2pt;" o:ole="t" filled="f" o:preferrelative="t" stroked="f" coordsize="21600,21600">
            <v:path/>
            <v:fill on="f" focussize="0,0"/>
            <v:stroke on="f" joinstyle="miter"/>
            <v:imagedata r:id="rId226" o:title=""/>
            <o:lock v:ext="edit" aspectratio="t"/>
            <w10:wrap type="none"/>
            <w10:anchorlock/>
          </v:shape>
          <o:OLEObject Type="Embed" ProgID="Equation.3" ShapeID="_x0000_i1124" DrawAspect="Content" ObjectID="_1468075824" r:id="rId225">
            <o:LockedField>false</o:LockedField>
          </o:OLEObject>
        </w:object>
      </w:r>
      <w:r>
        <w:rPr>
          <w:rFonts w:cs="Times New Roman"/>
        </w:rPr>
        <w:t>-系数，对于烧结普通砖、烧结多孔砖砌体，取0.125，其它情况见《砌体结构设计规范》（GB50003-2011）。</w:t>
      </w:r>
    </w:p>
    <w:p>
      <w:pPr>
        <w:ind w:firstLine="420" w:firstLineChars="200"/>
        <w:rPr>
          <w:rFonts w:cs="Times New Roman"/>
        </w:rPr>
      </w:pPr>
      <w:r>
        <w:rPr>
          <w:rFonts w:cs="Times New Roman"/>
        </w:rPr>
        <w:t>火灾后砌体的抗拉、抗弯、抗剪强度的设计值</w:t>
      </w:r>
    </w:p>
    <w:p>
      <w:pPr>
        <w:ind w:firstLine="420" w:firstLineChars="200"/>
        <w:rPr>
          <w:rFonts w:cs="Times New Roman"/>
        </w:rPr>
      </w:pPr>
      <w:r>
        <w:rPr>
          <w:rFonts w:cs="Times New Roman"/>
        </w:rPr>
        <w:t>抗拉强度设计值：</w:t>
      </w:r>
      <w:r>
        <w:rPr>
          <w:rFonts w:cs="Times New Roman"/>
          <w:position w:val="-12"/>
        </w:rPr>
        <w:object>
          <v:shape id="_x0000_i1125" o:spt="75" type="#_x0000_t75" style="height:19.8pt;width:74.4pt;" o:ole="t" filled="f" o:preferrelative="t" stroked="f" coordsize="21600,21600">
            <v:path/>
            <v:fill on="f" focussize="0,0"/>
            <v:stroke on="f" joinstyle="miter"/>
            <v:imagedata r:id="rId228" o:title=""/>
            <o:lock v:ext="edit" aspectratio="t"/>
            <w10:wrap type="none"/>
            <w10:anchorlock/>
          </v:shape>
          <o:OLEObject Type="Embed" ProgID="Equation.3" ShapeID="_x0000_i1125" DrawAspect="Content" ObjectID="_1468075825" r:id="rId227">
            <o:LockedField>false</o:LockedField>
          </o:OLEObject>
        </w:object>
      </w:r>
    </w:p>
    <w:p>
      <w:pPr>
        <w:ind w:firstLine="420" w:firstLineChars="200"/>
        <w:rPr>
          <w:rFonts w:cs="Times New Roman"/>
        </w:rPr>
      </w:pPr>
      <w:r>
        <w:rPr>
          <w:rFonts w:cs="Times New Roman"/>
        </w:rPr>
        <w:t>弯曲抗拉强度设计值：</w:t>
      </w:r>
      <w:r>
        <w:rPr>
          <w:rFonts w:cs="Times New Roman"/>
          <w:position w:val="-12"/>
        </w:rPr>
        <w:object>
          <v:shape id="_x0000_i1126" o:spt="75" type="#_x0000_t75" style="height:19.8pt;width:78pt;" o:ole="t" filled="f" o:preferrelative="t" stroked="f" coordsize="21600,21600">
            <v:path/>
            <v:fill on="f" focussize="0,0"/>
            <v:stroke on="f" joinstyle="miter"/>
            <v:imagedata r:id="rId230" o:title=""/>
            <o:lock v:ext="edit" aspectratio="t"/>
            <w10:wrap type="none"/>
            <w10:anchorlock/>
          </v:shape>
          <o:OLEObject Type="Embed" ProgID="Equation.3" ShapeID="_x0000_i1126" DrawAspect="Content" ObjectID="_1468075826" r:id="rId229">
            <o:LockedField>false</o:LockedField>
          </o:OLEObject>
        </w:object>
      </w:r>
    </w:p>
    <w:p>
      <w:pPr>
        <w:ind w:firstLine="420" w:firstLineChars="200"/>
        <w:rPr>
          <w:rFonts w:cs="Times New Roman"/>
        </w:rPr>
      </w:pPr>
      <w:r>
        <w:rPr>
          <w:rFonts w:cs="Times New Roman"/>
        </w:rPr>
        <w:t>抗剪强度设计值：</w:t>
      </w:r>
      <w:r>
        <w:rPr>
          <w:rFonts w:cs="Times New Roman"/>
          <w:position w:val="-12"/>
        </w:rPr>
        <w:object>
          <v:shape id="_x0000_i1127" o:spt="75" type="#_x0000_t75" style="height:19.8pt;width:74.4pt;" o:ole="t" filled="f" o:preferrelative="t" stroked="f" coordsize="21600,21600">
            <v:path/>
            <v:fill on="f" focussize="0,0"/>
            <v:stroke on="f" joinstyle="miter"/>
            <v:imagedata r:id="rId232" o:title=""/>
            <o:lock v:ext="edit" aspectratio="t"/>
            <w10:wrap type="none"/>
            <w10:anchorlock/>
          </v:shape>
          <o:OLEObject Type="Embed" ProgID="Equation.3" ShapeID="_x0000_i1127" DrawAspect="Content" ObjectID="_1468075827" r:id="rId231">
            <o:LockedField>false</o:LockedField>
          </o:OLEObject>
        </w:object>
      </w:r>
    </w:p>
    <w:p>
      <w:pPr>
        <w:spacing w:beforeLines="50" w:afterLines="50"/>
        <w:rPr>
          <w:rFonts w:cs="Times New Roman"/>
          <w:b/>
        </w:rPr>
      </w:pPr>
      <w:r>
        <w:rPr>
          <w:rFonts w:hint="eastAsia" w:cs="Times New Roman"/>
          <w:b/>
        </w:rPr>
        <w:t>J.</w:t>
      </w:r>
      <w:r>
        <w:rPr>
          <w:rFonts w:cs="Times New Roman"/>
          <w:b/>
        </w:rPr>
        <w:t>0.</w:t>
      </w:r>
      <w:r>
        <w:rPr>
          <w:rFonts w:hint="eastAsia" w:cs="Times New Roman"/>
          <w:b/>
        </w:rPr>
        <w:t>4</w:t>
      </w:r>
      <w:r>
        <w:rPr>
          <w:rFonts w:cs="Times New Roman"/>
          <w:b/>
        </w:rPr>
        <w:t xml:space="preserve"> 火灾后砌体结构构件受压承载能力计算公式</w:t>
      </w:r>
    </w:p>
    <w:p>
      <w:pPr>
        <w:jc w:val="center"/>
        <w:rPr>
          <w:rFonts w:cs="Times New Roman"/>
        </w:rPr>
      </w:pPr>
      <w:r>
        <w:rPr>
          <w:rFonts w:cs="Times New Roman"/>
          <w:position w:val="-10"/>
        </w:rPr>
        <w:object>
          <v:shape id="_x0000_i1128" o:spt="75" type="#_x0000_t75" style="height:16.2pt;width:60.6pt;" o:ole="t" filled="f" o:preferrelative="t" stroked="f" coordsize="21600,21600">
            <v:path/>
            <v:fill on="f" focussize="0,0"/>
            <v:stroke on="f" joinstyle="miter"/>
            <v:imagedata r:id="rId234" o:title=""/>
            <o:lock v:ext="edit" aspectratio="t"/>
            <w10:wrap type="none"/>
            <w10:anchorlock/>
          </v:shape>
          <o:OLEObject Type="Embed" ProgID="Equation.3" ShapeID="_x0000_i1128" DrawAspect="Content" ObjectID="_1468075828" r:id="rId233">
            <o:LockedField>false</o:LockedField>
          </o:OLEObject>
        </w:object>
      </w:r>
      <w:r>
        <w:rPr>
          <w:rFonts w:cs="Times New Roman"/>
        </w:rPr>
        <w:t xml:space="preserve">                       (</w:t>
      </w:r>
      <w:r>
        <w:rPr>
          <w:rFonts w:hint="eastAsia" w:cs="Times New Roman"/>
        </w:rPr>
        <w:t>J.</w:t>
      </w:r>
      <w:r>
        <w:rPr>
          <w:rFonts w:cs="Times New Roman"/>
        </w:rPr>
        <w:t>0.4-1)</w:t>
      </w:r>
    </w:p>
    <w:p>
      <w:pPr>
        <w:rPr>
          <w:rFonts w:cs="Times New Roman"/>
        </w:rPr>
      </w:pPr>
      <w:r>
        <w:rPr>
          <w:rFonts w:cs="Times New Roman"/>
        </w:rPr>
        <w:t>式中，</w:t>
      </w:r>
    </w:p>
    <w:p>
      <w:pPr>
        <w:ind w:firstLine="630" w:firstLineChars="300"/>
        <w:rPr>
          <w:rFonts w:cs="Times New Roman"/>
        </w:rPr>
      </w:pPr>
      <w:r>
        <w:rPr>
          <w:rFonts w:cs="Times New Roman"/>
          <w:position w:val="-10"/>
        </w:rPr>
        <w:object>
          <v:shape id="_x0000_i1129" o:spt="75" type="#_x0000_t75" style="height:19.2pt;width:15pt;" o:ole="t" filled="f" o:preferrelative="t" stroked="f" coordsize="21600,21600">
            <v:path/>
            <v:fill on="f" focussize="0,0"/>
            <v:stroke on="f" joinstyle="miter"/>
            <v:imagedata r:id="rId236" o:title=""/>
            <o:lock v:ext="edit" aspectratio="t"/>
            <w10:wrap type="none"/>
            <w10:anchorlock/>
          </v:shape>
          <o:OLEObject Type="Embed" ProgID="Equation.3" ShapeID="_x0000_i1129" DrawAspect="Content" ObjectID="_1468075829" r:id="rId235">
            <o:LockedField>false</o:LockedField>
          </o:OLEObject>
        </w:object>
      </w:r>
      <w:r>
        <w:rPr>
          <w:rFonts w:cs="Times New Roman"/>
        </w:rPr>
        <w:t>-火灾后砌体结构轴心受压构件的承载能力；</w:t>
      </w:r>
    </w:p>
    <w:p>
      <w:pPr>
        <w:ind w:firstLine="630" w:firstLineChars="300"/>
        <w:rPr>
          <w:rFonts w:cs="Times New Roman"/>
        </w:rPr>
      </w:pPr>
      <w:r>
        <w:rPr>
          <w:rFonts w:cs="Times New Roman"/>
          <w:position w:val="-10"/>
        </w:rPr>
        <w:object>
          <v:shape id="_x0000_i1130" o:spt="75" type="#_x0000_t75" style="height:19.2pt;width:13.8pt;" o:ole="t" filled="f" o:preferrelative="t" stroked="f" coordsize="21600,21600">
            <v:path/>
            <v:fill on="f" focussize="0,0"/>
            <v:stroke on="f" joinstyle="miter"/>
            <v:imagedata r:id="rId238" o:title=""/>
            <o:lock v:ext="edit" aspectratio="t"/>
            <w10:wrap type="none"/>
            <w10:anchorlock/>
          </v:shape>
          <o:OLEObject Type="Embed" ProgID="Equation.3" ShapeID="_x0000_i1130" DrawAspect="Content" ObjectID="_1468075830" r:id="rId237">
            <o:LockedField>false</o:LockedField>
          </o:OLEObject>
        </w:object>
      </w:r>
      <w:r>
        <w:rPr>
          <w:rFonts w:cs="Times New Roman"/>
        </w:rPr>
        <w:t>-火灾后砌体结构轴心受压构件的纵向弯曲系数；</w:t>
      </w:r>
    </w:p>
    <w:p>
      <w:pPr>
        <w:jc w:val="center"/>
        <w:rPr>
          <w:rFonts w:cs="Times New Roman"/>
        </w:rPr>
      </w:pPr>
      <w:r>
        <w:rPr>
          <w:rFonts w:cs="Times New Roman"/>
          <w:position w:val="-80"/>
        </w:rPr>
        <w:object>
          <v:shape id="_x0000_i1131" o:spt="75" type="#_x0000_t75" style="height:60pt;width:137.4pt;" o:ole="t" filled="f" o:preferrelative="t" stroked="f" coordsize="21600,21600">
            <v:path/>
            <v:fill on="f" focussize="0,0"/>
            <v:stroke on="f" joinstyle="miter"/>
            <v:imagedata r:id="rId240" o:title=""/>
            <o:lock v:ext="edit" aspectratio="t"/>
            <w10:wrap type="none"/>
            <w10:anchorlock/>
          </v:shape>
          <o:OLEObject Type="Embed" ProgID="Equation.3" ShapeID="_x0000_i1131" DrawAspect="Content" ObjectID="_1468075831" r:id="rId239">
            <o:LockedField>false</o:LockedField>
          </o:OLEObject>
        </w:object>
      </w:r>
      <w:r>
        <w:rPr>
          <w:rFonts w:cs="Times New Roman"/>
        </w:rPr>
        <w:t xml:space="preserve">                      (J.0.4-2)</w:t>
      </w:r>
    </w:p>
    <w:p>
      <w:pPr>
        <w:rPr>
          <w:rFonts w:cs="Times New Roman"/>
        </w:rPr>
      </w:pPr>
      <w:r>
        <w:rPr>
          <w:rFonts w:cs="Times New Roman"/>
        </w:rPr>
        <w:t>式中，</w:t>
      </w:r>
    </w:p>
    <w:p>
      <w:pPr>
        <w:ind w:firstLine="420" w:firstLineChars="200"/>
        <w:rPr>
          <w:rFonts w:cs="Times New Roman"/>
        </w:rPr>
      </w:pPr>
      <w:r>
        <w:rPr>
          <w:rFonts w:cs="Times New Roman"/>
        </w:rPr>
        <w:object>
          <v:shape id="_x0000_i1132" o:spt="75" type="#_x0000_t75" style="height:12pt;width:22.2pt;" o:ole="t" filled="f" o:preferrelative="t" stroked="f" coordsize="21600,21600">
            <v:path/>
            <v:fill on="f" focussize="0,0"/>
            <v:stroke on="f" joinstyle="miter"/>
            <v:imagedata r:id="rId242" o:title=""/>
            <o:lock v:ext="edit" aspectratio="t"/>
            <w10:wrap type="none"/>
            <w10:anchorlock/>
          </v:shape>
          <o:OLEObject Type="Embed" ProgID="Equation.3" ShapeID="_x0000_i1132" DrawAspect="Content" ObjectID="_1468075832" r:id="rId241">
            <o:LockedField>false</o:LockedField>
          </o:OLEObject>
        </w:object>
      </w:r>
      <w:r>
        <w:rPr>
          <w:rFonts w:cs="Times New Roman"/>
        </w:rPr>
        <w:t>与砂浆强度有关的系数，当砂浆强度等级大于M5，</w:t>
      </w:r>
      <w:r>
        <w:rPr>
          <w:rFonts w:cs="Times New Roman"/>
          <w:position w:val="-6"/>
        </w:rPr>
        <w:object>
          <v:shape id="_x0000_i1133" o:spt="75" type="#_x0000_t75" style="height:13.8pt;width:66pt;" o:ole="t" filled="f" o:preferrelative="t" stroked="f" coordsize="21600,21600">
            <v:path/>
            <v:fill on="f" focussize="0,0"/>
            <v:stroke on="f" joinstyle="miter"/>
            <v:imagedata r:id="rId244" o:title=""/>
            <o:lock v:ext="edit" aspectratio="t"/>
            <w10:wrap type="none"/>
            <w10:anchorlock/>
          </v:shape>
          <o:OLEObject Type="Embed" ProgID="Equation.3" ShapeID="_x0000_i1133" DrawAspect="Content" ObjectID="_1468075833" r:id="rId243">
            <o:LockedField>false</o:LockedField>
          </o:OLEObject>
        </w:object>
      </w:r>
      <w:r>
        <w:rPr>
          <w:rFonts w:cs="Times New Roman"/>
        </w:rPr>
        <w:t>；当砂浆强度等级为M2.5时，</w:t>
      </w:r>
      <w:r>
        <w:rPr>
          <w:rFonts w:cs="Times New Roman"/>
          <w:position w:val="-6"/>
        </w:rPr>
        <w:object>
          <v:shape id="_x0000_i1134" o:spt="75" type="#_x0000_t75" style="height:13.8pt;width:58.8pt;" o:ole="t" filled="f" o:preferrelative="t" stroked="f" coordsize="21600,21600">
            <v:path/>
            <v:fill on="f" focussize="0,0"/>
            <v:stroke on="f" joinstyle="miter"/>
            <v:imagedata r:id="rId246" o:title=""/>
            <o:lock v:ext="edit" aspectratio="t"/>
            <w10:wrap type="none"/>
            <w10:anchorlock/>
          </v:shape>
          <o:OLEObject Type="Embed" ProgID="Equation.3" ShapeID="_x0000_i1134" DrawAspect="Content" ObjectID="_1468075834" r:id="rId245">
            <o:LockedField>false</o:LockedField>
          </o:OLEObject>
        </w:object>
      </w:r>
      <w:r>
        <w:rPr>
          <w:rFonts w:cs="Times New Roman"/>
        </w:rPr>
        <w:t>；当砂浆强度为零时，</w:t>
      </w:r>
      <w:r>
        <w:rPr>
          <w:rFonts w:cs="Times New Roman"/>
          <w:position w:val="-6"/>
        </w:rPr>
        <w:object>
          <v:shape id="_x0000_i1135" o:spt="75" type="#_x0000_t75" style="height:13.8pt;width:60pt;" o:ole="t" filled="f" o:preferrelative="t" stroked="f" coordsize="21600,21600">
            <v:path/>
            <v:fill on="f" focussize="0,0"/>
            <v:stroke on="f" joinstyle="miter"/>
            <v:imagedata r:id="rId248" o:title=""/>
            <o:lock v:ext="edit" aspectratio="t"/>
            <w10:wrap type="none"/>
            <w10:anchorlock/>
          </v:shape>
          <o:OLEObject Type="Embed" ProgID="Equation.3" ShapeID="_x0000_i1135" DrawAspect="Content" ObjectID="_1468075835" r:id="rId247">
            <o:LockedField>false</o:LockedField>
          </o:OLEObject>
        </w:object>
      </w:r>
      <w:r>
        <w:rPr>
          <w:rFonts w:cs="Times New Roman"/>
        </w:rPr>
        <w:t>。火灾后砂浆的强度等级，根据实测强度确定，或根据火灾温度推定。</w:t>
      </w:r>
    </w:p>
    <w:p>
      <w:pPr>
        <w:ind w:firstLine="422" w:firstLineChars="200"/>
        <w:rPr>
          <w:rFonts w:cs="Times New Roman"/>
        </w:rPr>
      </w:pPr>
      <w:r>
        <w:rPr>
          <w:rFonts w:hint="eastAsia" w:cs="Times New Roman"/>
          <w:b/>
        </w:rPr>
        <w:t xml:space="preserve">J.0.5 </w:t>
      </w:r>
      <w:r>
        <w:rPr>
          <w:rFonts w:cs="Times New Roman"/>
        </w:rPr>
        <w:t>火灾后</w:t>
      </w:r>
      <w:r>
        <w:rPr>
          <w:rFonts w:hint="eastAsia" w:cs="Times New Roman"/>
        </w:rPr>
        <w:t>砌体结构构件</w:t>
      </w:r>
      <w:r>
        <w:rPr>
          <w:rFonts w:cs="Times New Roman"/>
        </w:rPr>
        <w:t>其他承载能力计算，按照推定的火灾后砌体强度和《砌体结构设计规范》（GB50003）相应的规定计算。</w:t>
      </w:r>
    </w:p>
    <w:p>
      <w:pPr>
        <w:ind w:firstLine="420"/>
        <w:rPr>
          <w:rFonts w:ascii="楷体" w:hAnsi="楷体" w:eastAsia="楷体"/>
          <w:szCs w:val="21"/>
        </w:rPr>
      </w:pPr>
    </w:p>
    <w:p>
      <w:pPr>
        <w:ind w:firstLine="420"/>
      </w:pPr>
      <w:r>
        <w:rPr>
          <w:rFonts w:hint="eastAsia" w:ascii="楷体" w:hAnsi="楷体" w:eastAsia="楷体"/>
          <w:szCs w:val="21"/>
        </w:rPr>
        <w:t xml:space="preserve">  </w:t>
      </w:r>
    </w:p>
    <w:p/>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adjustRightInd/>
        <w:snapToGrid/>
        <w:spacing w:line="240" w:lineRule="auto"/>
        <w:rPr>
          <w:rFonts w:cs="Times New Roman"/>
          <w:sz w:val="52"/>
        </w:rPr>
      </w:pPr>
      <w:r>
        <w:rPr>
          <w:rFonts w:hint="eastAsia" w:cs="Times New Roman"/>
          <w:sz w:val="52"/>
        </w:rPr>
        <w:t>CECS</w:t>
      </w:r>
    </w:p>
    <w:p>
      <w:pPr>
        <w:adjustRightInd/>
        <w:snapToGrid/>
        <w:spacing w:line="240" w:lineRule="auto"/>
        <w:jc w:val="right"/>
        <w:rPr>
          <w:rFonts w:cs="Times New Roman"/>
          <w:sz w:val="28"/>
          <w:szCs w:val="28"/>
        </w:rPr>
      </w:pPr>
      <w:r>
        <w:rPr>
          <w:rFonts w:cs="Times New Roman"/>
          <w:sz w:val="32"/>
          <w:szCs w:val="28"/>
        </w:rPr>
        <w:tab/>
      </w:r>
      <w:r>
        <w:rPr>
          <w:rFonts w:cs="Times New Roman"/>
          <w:sz w:val="32"/>
          <w:szCs w:val="28"/>
        </w:rPr>
        <w:tab/>
      </w:r>
      <w:r>
        <w:rPr>
          <w:rFonts w:cs="Times New Roman"/>
          <w:sz w:val="32"/>
          <w:szCs w:val="28"/>
        </w:rPr>
        <w:tab/>
      </w:r>
      <w:r>
        <w:rPr>
          <w:rFonts w:cs="Times New Roman"/>
          <w:sz w:val="32"/>
          <w:szCs w:val="28"/>
        </w:rPr>
        <w:tab/>
      </w:r>
      <w:r>
        <w:rPr>
          <w:rFonts w:cs="Times New Roman"/>
          <w:sz w:val="32"/>
          <w:szCs w:val="28"/>
        </w:rPr>
        <w:tab/>
      </w:r>
    </w:p>
    <w:p>
      <w:pPr>
        <w:pBdr>
          <w:bottom w:val="single" w:color="auto" w:sz="12" w:space="1"/>
        </w:pBdr>
        <w:adjustRightInd/>
        <w:snapToGrid/>
        <w:spacing w:line="360" w:lineRule="auto"/>
        <w:ind w:firstLine="200"/>
        <w:textAlignment w:val="center"/>
        <w:rPr>
          <w:rFonts w:eastAsia="楷体" w:cs="Times New Roman"/>
          <w:sz w:val="24"/>
        </w:rPr>
      </w:pP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eastAsia="楷体" w:cs="Times New Roman"/>
          <w:sz w:val="24"/>
        </w:rPr>
        <w:tab/>
      </w:r>
      <w:r>
        <w:rPr>
          <w:rFonts w:hint="eastAsia" w:eastAsia="楷体" w:cs="Times New Roman"/>
          <w:sz w:val="24"/>
        </w:rPr>
        <w:t>CECS  252</w:t>
      </w:r>
      <w:r>
        <w:rPr>
          <w:rFonts w:eastAsia="楷体" w:cs="Times New Roman"/>
          <w:sz w:val="24"/>
        </w:rPr>
        <w:t>—XXXX</w:t>
      </w:r>
    </w:p>
    <w:p>
      <w:pPr>
        <w:adjustRightInd/>
        <w:snapToGrid/>
        <w:spacing w:line="240" w:lineRule="auto"/>
        <w:rPr>
          <w:rFonts w:cs="Times New Roman"/>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b/>
          <w:sz w:val="32"/>
          <w:szCs w:val="28"/>
        </w:rPr>
      </w:pPr>
      <w:r>
        <w:rPr>
          <w:rFonts w:hint="eastAsia" w:cs="Times New Roman"/>
          <w:b/>
          <w:sz w:val="32"/>
          <w:szCs w:val="28"/>
        </w:rPr>
        <w:t>中国工程建设协会标准</w:t>
      </w:r>
    </w:p>
    <w:p>
      <w:pPr>
        <w:adjustRightInd/>
        <w:snapToGrid/>
        <w:spacing w:line="240" w:lineRule="auto"/>
        <w:jc w:val="center"/>
        <w:rPr>
          <w:rFonts w:cs="Times New Roman"/>
          <w:sz w:val="28"/>
          <w:szCs w:val="28"/>
        </w:rPr>
      </w:pPr>
    </w:p>
    <w:p>
      <w:pPr>
        <w:adjustRightInd/>
        <w:snapToGrid/>
        <w:spacing w:line="240" w:lineRule="auto"/>
        <w:jc w:val="center"/>
        <w:rPr>
          <w:rFonts w:cs="Times New Roman"/>
          <w:b/>
          <w:sz w:val="44"/>
          <w:szCs w:val="44"/>
        </w:rPr>
      </w:pPr>
      <w:r>
        <w:rPr>
          <w:rFonts w:hint="eastAsia" w:cs="Times New Roman"/>
          <w:b/>
          <w:sz w:val="44"/>
          <w:szCs w:val="44"/>
        </w:rPr>
        <w:t>火灾后工程结构鉴定标准</w:t>
      </w:r>
    </w:p>
    <w:p>
      <w:pPr>
        <w:adjustRightInd/>
        <w:snapToGrid/>
        <w:spacing w:line="240" w:lineRule="auto"/>
        <w:rPr>
          <w:rFonts w:cs="Times New Roman"/>
          <w:szCs w:val="21"/>
        </w:rPr>
      </w:pPr>
    </w:p>
    <w:p>
      <w:pPr>
        <w:adjustRightInd/>
        <w:snapToGrid/>
        <w:spacing w:line="240" w:lineRule="auto"/>
        <w:jc w:val="center"/>
        <w:rPr>
          <w:rFonts w:cs="Times New Roman"/>
          <w:sz w:val="32"/>
          <w:szCs w:val="28"/>
        </w:rPr>
      </w:pPr>
      <w:r>
        <w:rPr>
          <w:rFonts w:hint="eastAsia" w:cs="Times New Roman"/>
          <w:sz w:val="32"/>
          <w:szCs w:val="28"/>
        </w:rPr>
        <w:t>Standard for structural assessment after fire</w:t>
      </w:r>
    </w:p>
    <w:p>
      <w:pPr>
        <w:adjustRightInd/>
        <w:snapToGrid/>
        <w:spacing w:beforeLines="50" w:line="360" w:lineRule="auto"/>
        <w:jc w:val="center"/>
        <w:rPr>
          <w:rFonts w:cs="Times New Roman"/>
          <w:b/>
          <w:sz w:val="40"/>
          <w:szCs w:val="44"/>
        </w:rPr>
      </w:pPr>
      <w:r>
        <w:rPr>
          <w:rFonts w:hint="eastAsia" w:cs="Times New Roman"/>
          <w:b/>
          <w:sz w:val="40"/>
          <w:szCs w:val="44"/>
        </w:rPr>
        <w:t>(征求意见稿)</w:t>
      </w: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36"/>
          <w:szCs w:val="36"/>
        </w:rPr>
      </w:pPr>
      <w:r>
        <w:rPr>
          <w:rFonts w:hint="eastAsia" w:cs="Times New Roman"/>
          <w:sz w:val="36"/>
          <w:szCs w:val="36"/>
        </w:rPr>
        <w:t>条文说明</w:t>
      </w: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sz w:val="28"/>
          <w:szCs w:val="28"/>
        </w:rPr>
      </w:pPr>
    </w:p>
    <w:p>
      <w:pPr>
        <w:adjustRightInd/>
        <w:snapToGrid/>
        <w:spacing w:line="240" w:lineRule="auto"/>
        <w:jc w:val="center"/>
        <w:rPr>
          <w:rFonts w:cs="Times New Roman"/>
          <w:b/>
          <w:sz w:val="36"/>
          <w:szCs w:val="28"/>
        </w:rPr>
      </w:pPr>
      <w:r>
        <w:rPr>
          <w:rFonts w:hint="eastAsia" w:cs="Times New Roman"/>
          <w:b/>
          <w:sz w:val="36"/>
          <w:szCs w:val="28"/>
        </w:rPr>
        <w:t>《火灾后工程结构鉴定标准》修订组</w:t>
      </w:r>
    </w:p>
    <w:p>
      <w:pPr>
        <w:adjustRightInd/>
        <w:snapToGrid/>
        <w:spacing w:line="240" w:lineRule="auto"/>
        <w:jc w:val="center"/>
        <w:rPr>
          <w:rFonts w:cs="Times New Roman"/>
          <w:sz w:val="32"/>
        </w:rPr>
      </w:pPr>
      <w:r>
        <w:rPr>
          <w:rFonts w:hint="eastAsia" w:cs="Times New Roman"/>
          <w:sz w:val="32"/>
        </w:rPr>
        <w:t>201X年</w:t>
      </w:r>
      <w:r>
        <w:rPr>
          <w:rFonts w:cs="Times New Roman"/>
          <w:sz w:val="32"/>
        </w:rPr>
        <w:br w:type="page"/>
      </w:r>
    </w:p>
    <w:p>
      <w:pPr>
        <w:adjustRightInd/>
        <w:snapToGrid/>
        <w:spacing w:line="360" w:lineRule="auto"/>
        <w:ind w:firstLine="200"/>
        <w:textAlignment w:val="center"/>
        <w:rPr>
          <w:rFonts w:eastAsia="楷体" w:cs="Times New Roman"/>
          <w:sz w:val="24"/>
        </w:rPr>
        <w:sectPr>
          <w:headerReference r:id="rId14" w:type="default"/>
          <w:pgSz w:w="11906" w:h="16838"/>
          <w:pgMar w:top="1440" w:right="1800" w:bottom="1440" w:left="1800" w:header="851" w:footer="992" w:gutter="0"/>
          <w:cols w:space="425" w:num="1"/>
          <w:docGrid w:type="lines" w:linePitch="312" w:charSpace="0"/>
        </w:sectPr>
      </w:pPr>
    </w:p>
    <w:p>
      <w:pPr>
        <w:pStyle w:val="2"/>
        <w:rPr>
          <w:rFonts w:cs="Times New Roman"/>
        </w:rPr>
      </w:pPr>
      <w:bookmarkStart w:id="93" w:name="_Toc513449966"/>
      <w:r>
        <w:rPr>
          <w:rFonts w:cs="Times New Roman"/>
        </w:rPr>
        <w:t>1 总则</w:t>
      </w:r>
      <w:bookmarkEnd w:id="93"/>
    </w:p>
    <w:p>
      <w:pPr>
        <w:rPr>
          <w:rFonts w:eastAsia="楷体" w:cs="Times New Roman"/>
          <w:szCs w:val="22"/>
        </w:rPr>
      </w:pPr>
      <w:r>
        <w:rPr>
          <w:rFonts w:cs="Times New Roman"/>
          <w:b/>
        </w:rPr>
        <w:t>1.0.1</w:t>
      </w:r>
      <w:r>
        <w:rPr>
          <w:rFonts w:eastAsia="楷体" w:cs="Times New Roman"/>
          <w:szCs w:val="22"/>
        </w:rPr>
        <w:t>制定本标准的目的</w:t>
      </w:r>
      <w:r>
        <w:rPr>
          <w:rFonts w:hint="eastAsia" w:eastAsia="楷体" w:cs="Times New Roman"/>
          <w:szCs w:val="22"/>
        </w:rPr>
        <w:t>。</w:t>
      </w:r>
    </w:p>
    <w:p>
      <w:pPr>
        <w:rPr>
          <w:rFonts w:eastAsia="楷体" w:cs="Times New Roman"/>
          <w:szCs w:val="22"/>
        </w:rPr>
      </w:pPr>
      <w:r>
        <w:rPr>
          <w:rFonts w:cs="Times New Roman"/>
          <w:b/>
        </w:rPr>
        <w:t>1.0.2</w:t>
      </w:r>
      <w:r>
        <w:rPr>
          <w:rFonts w:eastAsia="楷体" w:cs="Times New Roman"/>
          <w:szCs w:val="22"/>
        </w:rPr>
        <w:t>本次修订扩大了本规范的应用范围</w:t>
      </w:r>
      <w:r>
        <w:rPr>
          <w:rFonts w:hint="eastAsia" w:eastAsia="楷体" w:cs="Times New Roman"/>
          <w:szCs w:val="22"/>
        </w:rPr>
        <w:t>，除原有的混凝土结构、钢结构、砌体结构外，增加了组合结构、木结构的工业与民用建构筑物和桥梁、隧道等。</w:t>
      </w:r>
    </w:p>
    <w:p>
      <w:pPr>
        <w:rPr>
          <w:rFonts w:eastAsia="楷体" w:cs="Times New Roman"/>
          <w:szCs w:val="22"/>
        </w:rPr>
      </w:pPr>
      <w:r>
        <w:rPr>
          <w:rFonts w:cs="Times New Roman"/>
          <w:b/>
        </w:rPr>
        <w:t>1.0.3</w:t>
      </w:r>
      <w:r>
        <w:rPr>
          <w:rFonts w:eastAsia="楷体" w:cs="Times New Roman"/>
          <w:szCs w:val="22"/>
        </w:rPr>
        <w:t>火灾后结构可靠性鉴定应符合现行国家标准《民用建筑可靠性鉴定标准》（GB50292）、《工业建筑可靠性鉴定标准》（GB50144）等规定。此外，尚应符合其他现行的有关标准的强制性条文规定</w:t>
      </w:r>
      <w:r>
        <w:rPr>
          <w:rFonts w:hint="eastAsia" w:eastAsia="楷体" w:cs="Times New Roman"/>
          <w:szCs w:val="22"/>
        </w:rPr>
        <w:t>，</w:t>
      </w:r>
      <w:r>
        <w:rPr>
          <w:rFonts w:eastAsia="楷体" w:cs="Times New Roman"/>
          <w:szCs w:val="22"/>
        </w:rPr>
        <w:t>并</w:t>
      </w:r>
      <w:r>
        <w:rPr>
          <w:rFonts w:hint="eastAsia" w:eastAsia="楷体" w:cs="Times New Roman"/>
          <w:szCs w:val="22"/>
        </w:rPr>
        <w:t>应区分由火灾及其他原因造成的结构安全性不足。</w:t>
      </w:r>
    </w:p>
    <w:p>
      <w:pPr>
        <w:rPr>
          <w:rFonts w:cs="Times New Roman"/>
        </w:rPr>
      </w:pPr>
      <w:r>
        <w:rPr>
          <w:rFonts w:cs="Times New Roman"/>
          <w:b/>
        </w:rPr>
        <w:t>1.0.4</w:t>
      </w:r>
      <w:r>
        <w:rPr>
          <w:rFonts w:eastAsia="楷体" w:cs="Times New Roman"/>
          <w:szCs w:val="22"/>
        </w:rPr>
        <w:t>为了保证检测鉴定结果的正确性、严肃性，必须由</w:t>
      </w:r>
      <w:r>
        <w:rPr>
          <w:rFonts w:hint="eastAsia" w:eastAsia="楷体" w:cs="Times New Roman"/>
          <w:szCs w:val="22"/>
        </w:rPr>
        <w:t>有结构安全性与可靠性鉴定能力，并具有火灾后结构鉴定业绩的独立检测鉴定机构和人员承担。</w:t>
      </w:r>
    </w:p>
    <w:p>
      <w:pPr>
        <w:pStyle w:val="2"/>
        <w:rPr>
          <w:rFonts w:cs="Times New Roman"/>
        </w:rPr>
        <w:sectPr>
          <w:headerReference r:id="rId15" w:type="default"/>
          <w:type w:val="continuous"/>
          <w:pgSz w:w="11906" w:h="16838"/>
          <w:pgMar w:top="1440" w:right="1080" w:bottom="1440" w:left="1080" w:header="851" w:footer="992" w:gutter="0"/>
          <w:cols w:space="425" w:num="1"/>
          <w:docGrid w:type="lines" w:linePitch="312" w:charSpace="0"/>
        </w:sectPr>
      </w:pPr>
    </w:p>
    <w:p>
      <w:pPr>
        <w:pStyle w:val="2"/>
        <w:rPr>
          <w:rFonts w:cs="Times New Roman"/>
        </w:rPr>
      </w:pPr>
      <w:bookmarkStart w:id="94" w:name="_Toc513449967"/>
      <w:r>
        <w:rPr>
          <w:rFonts w:cs="Times New Roman"/>
        </w:rPr>
        <w:t>2 术语和符号</w:t>
      </w:r>
      <w:bookmarkEnd w:id="94"/>
    </w:p>
    <w:p>
      <w:pPr>
        <w:rPr>
          <w:rFonts w:eastAsia="楷体" w:cs="Times New Roman"/>
          <w:szCs w:val="22"/>
        </w:rPr>
      </w:pPr>
      <w:r>
        <w:rPr>
          <w:rFonts w:eastAsia="楷体" w:cs="Times New Roman"/>
          <w:szCs w:val="22"/>
        </w:rPr>
        <w:t xml:space="preserve">2.1 </w:t>
      </w:r>
      <w:r>
        <w:rPr>
          <w:rFonts w:hint="eastAsia" w:eastAsia="楷体" w:cs="Times New Roman"/>
          <w:szCs w:val="22"/>
        </w:rPr>
        <w:t>术语主要是根据现行国家标准《工程结构设计基本术语和通用符号》（GBJ132）、《建筑结构设计术语和符号标准》（GB/T50083)、《建筑结构可靠度设计统一标准》（GB50068）、《建筑结构荷载规范》（GB50009）等给出的。</w:t>
      </w:r>
    </w:p>
    <w:p>
      <w:pPr>
        <w:rPr>
          <w:rFonts w:eastAsia="楷体" w:cs="Times New Roman"/>
          <w:szCs w:val="22"/>
        </w:rPr>
      </w:pPr>
      <w:r>
        <w:rPr>
          <w:rFonts w:eastAsia="楷体" w:cs="Times New Roman"/>
          <w:szCs w:val="22"/>
        </w:rPr>
        <w:t>2.2 符号主要是参照</w:t>
      </w:r>
      <w:r>
        <w:rPr>
          <w:rFonts w:hint="eastAsia" w:eastAsia="楷体" w:cs="Times New Roman"/>
          <w:szCs w:val="22"/>
        </w:rPr>
        <w:t>现行国家标准</w:t>
      </w:r>
      <w:r>
        <w:rPr>
          <w:rFonts w:eastAsia="楷体" w:cs="Times New Roman"/>
          <w:szCs w:val="22"/>
        </w:rPr>
        <w:t>工程结构设计基本术语和通用符号》（GBJ132）、《建筑结构设计术语和符号标准》（GB/T50083)、《建筑结构可靠度设计统一标准》（GB50068）、《建筑结构荷载规范》（GB50009）、《混凝土结构设计规范》（GB50010）、《钢结构设计规范》（GB50017）、《砌体结构设计规范》（GB50003）等</w:t>
      </w:r>
      <w:r>
        <w:rPr>
          <w:rFonts w:hint="eastAsia" w:eastAsia="楷体" w:cs="Times New Roman"/>
          <w:szCs w:val="22"/>
        </w:rPr>
        <w:t>，</w:t>
      </w:r>
      <w:r>
        <w:rPr>
          <w:rFonts w:eastAsia="楷体" w:cs="Times New Roman"/>
          <w:szCs w:val="22"/>
        </w:rPr>
        <w:t>根据</w:t>
      </w:r>
      <w:r>
        <w:rPr>
          <w:rFonts w:hint="eastAsia" w:eastAsia="楷体" w:cs="Times New Roman"/>
          <w:szCs w:val="22"/>
        </w:rPr>
        <w:t>本标准</w:t>
      </w:r>
      <w:r>
        <w:rPr>
          <w:rFonts w:eastAsia="楷体" w:cs="Times New Roman"/>
          <w:szCs w:val="22"/>
        </w:rPr>
        <w:t>的需要规定的。</w:t>
      </w:r>
      <w:r>
        <w:rPr>
          <w:rFonts w:eastAsia="楷体" w:cs="Times New Roman"/>
          <w:szCs w:val="22"/>
        </w:rPr>
        <w:br w:type="page"/>
      </w:r>
    </w:p>
    <w:p>
      <w:pPr>
        <w:rPr>
          <w:rFonts w:eastAsia="楷体" w:cs="Times New Roman"/>
          <w:szCs w:val="22"/>
        </w:rPr>
        <w:sectPr>
          <w:pgSz w:w="11906" w:h="16838"/>
          <w:pgMar w:top="1440" w:right="1080" w:bottom="1440" w:left="1080" w:header="851" w:footer="992" w:gutter="0"/>
          <w:cols w:space="425" w:num="1"/>
          <w:docGrid w:type="lines" w:linePitch="312" w:charSpace="0"/>
        </w:sectPr>
      </w:pPr>
    </w:p>
    <w:p>
      <w:pPr>
        <w:pStyle w:val="2"/>
        <w:rPr>
          <w:rFonts w:cs="Times New Roman"/>
        </w:rPr>
      </w:pPr>
      <w:bookmarkStart w:id="95" w:name="_Toc513449968"/>
      <w:r>
        <w:rPr>
          <w:rFonts w:cs="Times New Roman"/>
        </w:rPr>
        <w:t>3基本规定</w:t>
      </w:r>
      <w:bookmarkEnd w:id="95"/>
    </w:p>
    <w:p>
      <w:pPr>
        <w:pStyle w:val="3"/>
        <w:rPr>
          <w:rFonts w:ascii="Times New Roman" w:hAnsi="Times New Roman" w:cs="Times New Roman"/>
        </w:rPr>
      </w:pPr>
      <w:bookmarkStart w:id="96" w:name="_Toc513449969"/>
      <w:r>
        <w:rPr>
          <w:rFonts w:ascii="Times New Roman" w:hAnsi="Times New Roman" w:cs="Times New Roman"/>
        </w:rPr>
        <w:t>3.1一般规定</w:t>
      </w:r>
      <w:bookmarkEnd w:id="96"/>
    </w:p>
    <w:p>
      <w:pPr>
        <w:adjustRightInd/>
        <w:snapToGrid/>
        <w:rPr>
          <w:rFonts w:eastAsia="楷体" w:cs="Times New Roman"/>
          <w:szCs w:val="22"/>
        </w:rPr>
      </w:pPr>
      <w:r>
        <w:rPr>
          <w:rFonts w:hint="eastAsia" w:eastAsia="楷体" w:cs="Times New Roman"/>
          <w:b/>
          <w:szCs w:val="22"/>
        </w:rPr>
        <w:t>3.</w:t>
      </w:r>
      <w:r>
        <w:rPr>
          <w:rFonts w:eastAsia="楷体" w:cs="Times New Roman"/>
          <w:b/>
          <w:szCs w:val="22"/>
        </w:rPr>
        <w:t>1</w:t>
      </w:r>
      <w:r>
        <w:rPr>
          <w:rFonts w:hint="eastAsia" w:eastAsia="楷体" w:cs="Times New Roman"/>
          <w:b/>
          <w:szCs w:val="22"/>
        </w:rPr>
        <w:t>.1</w:t>
      </w:r>
      <w:r>
        <w:rPr>
          <w:rFonts w:hint="eastAsia" w:eastAsia="楷体" w:cs="Times New Roman"/>
          <w:szCs w:val="22"/>
        </w:rPr>
        <w:t>为掌握火灾信息（火场物品分布及损坏状况；物品的变形、可燃物或残渣数量、分布等），或现场不被破坏，以便全面准确推断火灾参数。有些结构表面火灾后会随时间变化的，例如混凝土火灾后200℃~500℃表面随时间发生变化，时间长了就看不清楚了，结构鉴定应在火灾后尽快进行。</w:t>
      </w:r>
    </w:p>
    <w:p>
      <w:pPr>
        <w:adjustRightInd/>
        <w:snapToGrid/>
        <w:rPr>
          <w:rFonts w:eastAsia="楷体" w:cs="Times New Roman"/>
          <w:szCs w:val="22"/>
        </w:rPr>
      </w:pPr>
      <w:r>
        <w:rPr>
          <w:rFonts w:eastAsia="楷体" w:cs="Times New Roman"/>
          <w:b/>
          <w:szCs w:val="22"/>
        </w:rPr>
        <w:t>3.1.2</w:t>
      </w:r>
      <w:r>
        <w:rPr>
          <w:rFonts w:hint="eastAsia" w:eastAsia="楷体" w:cs="Times New Roman"/>
          <w:szCs w:val="22"/>
        </w:rPr>
        <w:t>对于确认有塌落风险的建筑物，应采取设置警戒、及时拆除、支承加固等防护措施。进行结构现状鉴定检测、调查应在保障安全的前提下进行，必要时应采取专门的安全措施。</w:t>
      </w:r>
    </w:p>
    <w:p>
      <w:pPr>
        <w:adjustRightInd/>
        <w:snapToGrid/>
        <w:rPr>
          <w:rFonts w:eastAsia="楷体" w:cs="Times New Roman"/>
          <w:szCs w:val="22"/>
        </w:rPr>
      </w:pPr>
      <w:r>
        <w:rPr>
          <w:rFonts w:eastAsia="楷体" w:cs="Times New Roman"/>
          <w:b/>
          <w:szCs w:val="22"/>
        </w:rPr>
        <w:t xml:space="preserve">3.1.3 </w:t>
      </w:r>
      <w:r>
        <w:rPr>
          <w:rFonts w:hint="eastAsia" w:eastAsia="楷体" w:cs="Times New Roman"/>
          <w:szCs w:val="22"/>
        </w:rPr>
        <w:t>火灾后鉴定不应局限于过火部位，应把相对独立的工程结构单元作为鉴定对象。火灾作用对结构可能造成的损坏，有直接烧灼损坏和温度应力作用损坏两个主要方面，直接烧灼损坏一般局限于火场和高温烟气弥漫区域的结构，但温度应力作用可能遍及整个建筑物，因此，建筑结构火灾后鉴定对象应当是整个建筑物结构或相对独立的结构单元。但是，对于采用砌体或其他耐火墙体材料分割的小房间建筑，火灾可能仅在少数范围、短时间发生，火灾温度应力作用影响有限，经初步调查确认，允许仅仅将火灾影响区域范围内的结构或构件列为鉴定对象。</w:t>
      </w:r>
    </w:p>
    <w:p>
      <w:pPr>
        <w:pStyle w:val="3"/>
        <w:rPr>
          <w:rFonts w:ascii="Times New Roman" w:hAnsi="Times New Roman" w:cs="Times New Roman"/>
        </w:rPr>
      </w:pPr>
      <w:bookmarkStart w:id="97" w:name="_Toc513449970"/>
      <w:r>
        <w:rPr>
          <w:rFonts w:ascii="Times New Roman" w:hAnsi="Times New Roman" w:cs="Times New Roman"/>
        </w:rPr>
        <w:t>3.2鉴定程序和工作内容</w:t>
      </w:r>
      <w:bookmarkEnd w:id="97"/>
    </w:p>
    <w:p>
      <w:pPr>
        <w:adjustRightInd/>
        <w:snapToGrid/>
        <w:rPr>
          <w:rFonts w:eastAsia="楷体" w:cs="Times New Roman"/>
          <w:szCs w:val="22"/>
        </w:rPr>
      </w:pPr>
      <w:r>
        <w:rPr>
          <w:rFonts w:hint="eastAsia" w:eastAsia="楷体" w:cs="Times New Roman"/>
          <w:b/>
          <w:szCs w:val="22"/>
        </w:rPr>
        <w:t>3.2.1~3.2.</w:t>
      </w:r>
      <w:r>
        <w:rPr>
          <w:rFonts w:eastAsia="楷体" w:cs="Times New Roman"/>
          <w:b/>
          <w:szCs w:val="22"/>
        </w:rPr>
        <w:t xml:space="preserve">2 </w:t>
      </w:r>
      <w:r>
        <w:rPr>
          <w:rFonts w:hint="eastAsia" w:eastAsia="楷体" w:cs="Times New Roman"/>
          <w:szCs w:val="22"/>
        </w:rPr>
        <w:t>本鉴定工作程序框图根据国际标准《结构设计基础-既有结构的鉴定》（ISO13822）制订的，本次修订考虑到近10年来实际鉴定工作的经验，对框图流程进行了部分修改，并对初步鉴定和详细鉴定的工作内容进行了明确划分。</w:t>
      </w:r>
    </w:p>
    <w:p>
      <w:pPr>
        <w:rPr>
          <w:rFonts w:eastAsia="楷体" w:cs="Times New Roman"/>
          <w:szCs w:val="22"/>
        </w:rPr>
      </w:pPr>
      <w:r>
        <w:rPr>
          <w:b/>
        </w:rPr>
        <w:t>3.2.3</w:t>
      </w:r>
      <w:r>
        <w:rPr>
          <w:rFonts w:hint="eastAsia" w:eastAsia="楷体" w:cs="Times New Roman"/>
          <w:szCs w:val="22"/>
        </w:rPr>
        <w:t>本条</w:t>
      </w:r>
      <w:r>
        <w:rPr>
          <w:rFonts w:eastAsia="楷体" w:cs="Times New Roman"/>
          <w:szCs w:val="22"/>
        </w:rPr>
        <w:t>规定了火灾后初步调查的内容</w:t>
      </w:r>
      <w:r>
        <w:rPr>
          <w:rFonts w:hint="eastAsia" w:eastAsia="楷体" w:cs="Times New Roman"/>
          <w:szCs w:val="22"/>
        </w:rPr>
        <w:t>，</w:t>
      </w:r>
      <w:r>
        <w:rPr>
          <w:rFonts w:eastAsia="楷体" w:cs="Times New Roman"/>
          <w:szCs w:val="22"/>
        </w:rPr>
        <w:t>包括</w:t>
      </w:r>
      <w:r>
        <w:rPr>
          <w:rFonts w:hint="eastAsia" w:eastAsia="楷体" w:cs="Times New Roman"/>
          <w:szCs w:val="22"/>
        </w:rPr>
        <w:t>查阅工程结构图纸资料，调查使用历史和使用状况；查阅火灾报告，访问目击者，了解火灾过程；现场勘查，确定火灾影响区域，了解主要燃烧物及残留物状况；</w:t>
      </w:r>
      <w:r>
        <w:rPr>
          <w:rFonts w:eastAsia="楷体" w:cs="Times New Roman"/>
          <w:szCs w:val="22"/>
        </w:rPr>
        <w:t>判断结构危险</w:t>
      </w:r>
      <w:r>
        <w:rPr>
          <w:rFonts w:hint="eastAsia" w:eastAsia="楷体" w:cs="Times New Roman"/>
          <w:szCs w:val="22"/>
        </w:rPr>
        <w:t>；与委托方确定火灾后鉴定的范围、内容等。</w:t>
      </w:r>
    </w:p>
    <w:p>
      <w:pPr>
        <w:rPr>
          <w:rFonts w:eastAsia="楷体" w:cs="Times New Roman"/>
          <w:szCs w:val="22"/>
        </w:rPr>
      </w:pPr>
      <w:r>
        <w:rPr>
          <w:b/>
        </w:rPr>
        <w:t>3.2.5</w:t>
      </w:r>
      <w:r>
        <w:rPr>
          <w:rFonts w:eastAsia="楷体" w:cs="Times New Roman"/>
          <w:szCs w:val="22"/>
        </w:rPr>
        <w:t>大量火灾后</w:t>
      </w:r>
      <w:r>
        <w:rPr>
          <w:rFonts w:hint="eastAsia" w:eastAsia="楷体" w:cs="Times New Roman"/>
          <w:szCs w:val="22"/>
        </w:rPr>
        <w:t>工程</w:t>
      </w:r>
      <w:r>
        <w:rPr>
          <w:rFonts w:eastAsia="楷体" w:cs="Times New Roman"/>
          <w:szCs w:val="22"/>
        </w:rPr>
        <w:t>结构鉴定的工程实践经验表明，在下列情况下可以在初步鉴定完成后不必再作详细鉴定：</w:t>
      </w:r>
    </w:p>
    <w:p>
      <w:pPr>
        <w:adjustRightInd/>
        <w:snapToGrid/>
        <w:ind w:firstLine="420" w:firstLineChars="200"/>
        <w:rPr>
          <w:rFonts w:eastAsia="楷体" w:cs="Times New Roman"/>
          <w:szCs w:val="22"/>
        </w:rPr>
      </w:pPr>
      <w:r>
        <w:rPr>
          <w:rFonts w:eastAsia="楷体" w:cs="Times New Roman"/>
          <w:szCs w:val="22"/>
        </w:rPr>
        <w:t>1</w:t>
      </w:r>
      <w:r>
        <w:rPr>
          <w:rFonts w:hint="eastAsia" w:eastAsia="楷体" w:cs="Times New Roman"/>
          <w:szCs w:val="22"/>
        </w:rPr>
        <w:t>工程</w:t>
      </w:r>
      <w:r>
        <w:rPr>
          <w:rFonts w:eastAsia="楷体" w:cs="Times New Roman"/>
          <w:szCs w:val="22"/>
        </w:rPr>
        <w:t>结构全面烧损严重，应当拆除；</w:t>
      </w:r>
    </w:p>
    <w:p>
      <w:pPr>
        <w:adjustRightInd/>
        <w:snapToGrid/>
        <w:ind w:firstLine="420" w:firstLineChars="200"/>
        <w:rPr>
          <w:rFonts w:eastAsia="楷体" w:cs="Times New Roman"/>
          <w:szCs w:val="22"/>
        </w:rPr>
      </w:pPr>
      <w:r>
        <w:rPr>
          <w:rFonts w:eastAsia="楷体" w:cs="Times New Roman"/>
          <w:szCs w:val="22"/>
        </w:rPr>
        <w:t>2</w:t>
      </w:r>
      <w:r>
        <w:rPr>
          <w:rFonts w:hint="eastAsia" w:eastAsia="楷体" w:cs="Times New Roman"/>
          <w:szCs w:val="22"/>
        </w:rPr>
        <w:t>工程</w:t>
      </w:r>
      <w:r>
        <w:rPr>
          <w:rFonts w:eastAsia="楷体" w:cs="Times New Roman"/>
          <w:szCs w:val="22"/>
        </w:rPr>
        <w:t>结构过火烧损非常轻微，仅仅是表皮损伤的一般建筑结构；</w:t>
      </w:r>
    </w:p>
    <w:p>
      <w:pPr>
        <w:adjustRightInd/>
        <w:snapToGrid/>
        <w:ind w:firstLine="420" w:firstLineChars="200"/>
        <w:rPr>
          <w:rFonts w:eastAsia="楷体" w:cs="Times New Roman"/>
          <w:szCs w:val="22"/>
        </w:rPr>
      </w:pPr>
      <w:r>
        <w:rPr>
          <w:rFonts w:eastAsia="楷体" w:cs="Times New Roman"/>
          <w:szCs w:val="22"/>
        </w:rPr>
        <w:t>3</w:t>
      </w:r>
      <w:r>
        <w:rPr>
          <w:rFonts w:hint="eastAsia" w:eastAsia="楷体" w:cs="Times New Roman"/>
          <w:szCs w:val="22"/>
        </w:rPr>
        <w:t>工程</w:t>
      </w:r>
      <w:r>
        <w:rPr>
          <w:rFonts w:eastAsia="楷体" w:cs="Times New Roman"/>
          <w:szCs w:val="22"/>
        </w:rPr>
        <w:t>结构烧损比较严重，修复费用超过拆除重建费用等。</w:t>
      </w:r>
    </w:p>
    <w:p>
      <w:pPr>
        <w:rPr>
          <w:rFonts w:eastAsia="楷体" w:cs="Times New Roman"/>
          <w:szCs w:val="22"/>
        </w:rPr>
      </w:pPr>
      <w:r>
        <w:rPr>
          <w:b/>
        </w:rPr>
        <w:t>3.2.6</w:t>
      </w:r>
      <w:r>
        <w:rPr>
          <w:rFonts w:hint="eastAsia" w:eastAsia="楷体" w:cs="Times New Roman"/>
          <w:szCs w:val="22"/>
        </w:rPr>
        <w:t>火作用分析应根据火作用调查与检测结果，进行火灾温度过程及温度分布推定；推断火灾对结构的作用温度，持续时间及分布范围；提出用于详细检测鉴定的各区域火灾温度-时间曲线，判断构件受火温度。</w:t>
      </w:r>
    </w:p>
    <w:p>
      <w:pPr>
        <w:adjustRightInd/>
        <w:snapToGrid/>
        <w:ind w:firstLine="420" w:firstLineChars="200"/>
        <w:rPr>
          <w:rFonts w:eastAsia="楷体" w:cs="Times New Roman"/>
          <w:szCs w:val="22"/>
        </w:rPr>
      </w:pPr>
      <w:r>
        <w:rPr>
          <w:rFonts w:eastAsia="楷体" w:cs="Times New Roman"/>
          <w:szCs w:val="22"/>
        </w:rPr>
        <w:t>结构构件专项检测分析</w:t>
      </w:r>
      <w:r>
        <w:rPr>
          <w:rFonts w:hint="eastAsia" w:eastAsia="楷体" w:cs="Times New Roman"/>
          <w:szCs w:val="22"/>
        </w:rPr>
        <w:t>应根据详细鉴定的需要作受火与未受火结构的材质性能、结构变形、节点连接、结构构件承载能力等专项检测分析。</w:t>
      </w:r>
    </w:p>
    <w:p>
      <w:pPr>
        <w:adjustRightInd/>
        <w:snapToGrid/>
        <w:ind w:firstLine="420" w:firstLineChars="200"/>
        <w:rPr>
          <w:rFonts w:eastAsia="楷体" w:cs="Times New Roman"/>
          <w:szCs w:val="22"/>
        </w:rPr>
      </w:pPr>
      <w:r>
        <w:rPr>
          <w:rFonts w:hint="eastAsia" w:eastAsia="楷体" w:cs="Times New Roman"/>
          <w:szCs w:val="22"/>
        </w:rPr>
        <w:t>结构分析与构件校核应根据受火结构材质特性、几何参数、受力特征和调查与检测结果，进行结构分析计算和构件校核分析，确定结构的安全性和可靠性。</w:t>
      </w:r>
    </w:p>
    <w:p>
      <w:pPr>
        <w:adjustRightInd/>
        <w:snapToGrid/>
        <w:ind w:firstLine="420" w:firstLineChars="200"/>
        <w:rPr>
          <w:rFonts w:eastAsia="楷体" w:cs="Times New Roman"/>
          <w:szCs w:val="22"/>
        </w:rPr>
      </w:pPr>
      <w:r>
        <w:rPr>
          <w:rFonts w:hint="eastAsia" w:eastAsia="楷体" w:cs="Times New Roman"/>
          <w:szCs w:val="22"/>
        </w:rPr>
        <w:t>构件详细鉴定评级应根据结构分析计算和构件校核分析结果，进行结构构件的详细鉴定评级。</w:t>
      </w:r>
    </w:p>
    <w:p>
      <w:pPr>
        <w:adjustRightInd/>
        <w:snapToGrid/>
        <w:ind w:firstLine="420" w:firstLineChars="200"/>
        <w:rPr>
          <w:rFonts w:eastAsia="楷体" w:cs="Times New Roman"/>
          <w:szCs w:val="22"/>
        </w:rPr>
      </w:pPr>
      <w:r>
        <w:rPr>
          <w:rFonts w:eastAsia="楷体" w:cs="Times New Roman"/>
          <w:szCs w:val="22"/>
        </w:rPr>
        <w:t>对于混凝土结构和砌体结构，应详细检测构件的破坏、破损、裂缝、变形、颜色、混凝土碳化、敲击声音等，必要时应抽样检验混凝土、钢筋材料的力学性能、微观组织及化学成分变化。</w:t>
      </w:r>
    </w:p>
    <w:p>
      <w:pPr>
        <w:adjustRightInd/>
        <w:snapToGrid/>
        <w:ind w:firstLine="420" w:firstLineChars="200"/>
        <w:rPr>
          <w:rFonts w:eastAsia="楷体" w:cs="Times New Roman"/>
          <w:szCs w:val="22"/>
        </w:rPr>
      </w:pPr>
      <w:r>
        <w:rPr>
          <w:rFonts w:eastAsia="楷体" w:cs="Times New Roman"/>
          <w:szCs w:val="22"/>
        </w:rPr>
        <w:t>对于钢结构，应详细检测构件的防火保护层、油漆、表面颜色、结构偏差变形、节点连接损伤等。必要时应抽样检验钢材和连接材料的力学性能、微观组织及化学成分变化。</w:t>
      </w:r>
    </w:p>
    <w:p>
      <w:pPr>
        <w:adjustRightInd/>
        <w:snapToGrid/>
        <w:ind w:firstLine="420" w:firstLineChars="200"/>
        <w:rPr>
          <w:rFonts w:eastAsia="楷体" w:cs="Times New Roman"/>
          <w:szCs w:val="22"/>
        </w:rPr>
      </w:pPr>
      <w:r>
        <w:rPr>
          <w:rFonts w:eastAsia="楷体" w:cs="Times New Roman"/>
          <w:szCs w:val="22"/>
        </w:rPr>
        <w:t>对结构整体应进行结构变形及轮廓尺寸复核检测，包括：整体位移、侧移或挠曲变形，必要时还应进行结构构件几何（包括截面）尺寸的校核检验。</w:t>
      </w:r>
    </w:p>
    <w:p>
      <w:pPr>
        <w:adjustRightInd/>
        <w:snapToGrid/>
        <w:ind w:firstLine="420" w:firstLineChars="200"/>
        <w:rPr>
          <w:rFonts w:eastAsia="楷体" w:cs="Times New Roman"/>
          <w:szCs w:val="22"/>
        </w:rPr>
      </w:pPr>
      <w:r>
        <w:rPr>
          <w:rFonts w:eastAsia="楷体" w:cs="Times New Roman"/>
          <w:szCs w:val="22"/>
        </w:rPr>
        <w:t>检查检测结果记录应详细、完整，宜绘制描述损伤的图表，并应有照片或其他影像</w:t>
      </w:r>
      <w:r>
        <w:rPr>
          <w:rFonts w:hint="eastAsia" w:eastAsia="楷体" w:cs="Times New Roman"/>
          <w:szCs w:val="22"/>
        </w:rPr>
        <w:t>记</w:t>
      </w:r>
      <w:r>
        <w:rPr>
          <w:rFonts w:eastAsia="楷体" w:cs="Times New Roman"/>
          <w:szCs w:val="22"/>
        </w:rPr>
        <w:t>录资</w:t>
      </w:r>
      <w:r>
        <w:rPr>
          <w:rFonts w:hint="eastAsia" w:eastAsia="楷体" w:cs="Times New Roman"/>
          <w:szCs w:val="22"/>
        </w:rPr>
        <w:t>料。</w:t>
      </w:r>
    </w:p>
    <w:p>
      <w:pPr>
        <w:pStyle w:val="3"/>
        <w:rPr>
          <w:rFonts w:ascii="Times New Roman" w:hAnsi="Times New Roman" w:cs="Times New Roman"/>
        </w:rPr>
      </w:pPr>
      <w:bookmarkStart w:id="98" w:name="_Toc513449971"/>
      <w:r>
        <w:rPr>
          <w:rFonts w:ascii="Times New Roman" w:hAnsi="Times New Roman" w:cs="Times New Roman"/>
        </w:rPr>
        <w:t>3.3 鉴定评级标准</w:t>
      </w:r>
      <w:bookmarkEnd w:id="98"/>
    </w:p>
    <w:p>
      <w:pPr>
        <w:rPr>
          <w:rFonts w:eastAsia="楷体" w:cs="Times New Roman"/>
          <w:szCs w:val="22"/>
        </w:rPr>
      </w:pPr>
      <w:r>
        <w:rPr>
          <w:b/>
        </w:rPr>
        <w:t>3.3.1</w:t>
      </w:r>
      <w:r>
        <w:rPr>
          <w:rFonts w:hint="eastAsia" w:eastAsia="楷体" w:cs="Times New Roman"/>
          <w:szCs w:val="22"/>
        </w:rPr>
        <w:t>火灾后结构构件的鉴定评级分初步鉴定评级和详细鉴定评级二级进行，这是筛选法的具体应用。初步鉴定评级的内容具有直观性，易测，又容易掌握。如遇到火灾燃烧物少，热灼燃时间短的小火灾，初步鉴定评级评定火灾损伤状态为Ⅱa级者，则可不必进行第二级详细鉴定评级。</w:t>
      </w:r>
    </w:p>
    <w:p>
      <w:pPr>
        <w:adjustRightInd/>
        <w:snapToGrid/>
        <w:ind w:firstLine="420" w:firstLineChars="200"/>
        <w:rPr>
          <w:rFonts w:eastAsia="楷体" w:cs="Times New Roman"/>
          <w:szCs w:val="22"/>
        </w:rPr>
      </w:pPr>
      <w:r>
        <w:rPr>
          <w:rFonts w:hint="eastAsia" w:eastAsia="楷体" w:cs="Times New Roman"/>
          <w:szCs w:val="22"/>
        </w:rPr>
        <w:t>第二级详细鉴定评级是在第一级初步鉴定评级的基础上进行，在实际鉴定评级中，应该将二级鉴定评级要求紧密地结合起来，使火灾后结构宏观损伤与剩余承载力两组鉴定内容起到互为校核的作用。</w:t>
      </w:r>
    </w:p>
    <w:p>
      <w:pPr>
        <w:rPr>
          <w:rFonts w:eastAsia="楷体" w:cs="Times New Roman"/>
          <w:szCs w:val="22"/>
        </w:rPr>
      </w:pPr>
      <w:r>
        <w:rPr>
          <w:b/>
        </w:rPr>
        <w:t xml:space="preserve">3.3.2 </w:t>
      </w:r>
      <w:r>
        <w:rPr>
          <w:rFonts w:hint="eastAsia" w:eastAsia="楷体" w:cs="Times New Roman"/>
          <w:szCs w:val="22"/>
        </w:rPr>
        <w:t>火灾后结构构件的初步鉴定评级主要从构件外观和状态进行评级，这对构件火灾损伤的整体了解是非常重要的，也是概念鉴定与火灾后加固概念设计的首要条件。例如：对于混凝土构件，火灾后外观和状态的改变较为明显，且与内部细微观结构及剩余承载力的改变又有密切联系。因此，构件的初步鉴定在鉴定报告中，起着非常重要的作用。</w:t>
      </w:r>
    </w:p>
    <w:p>
      <w:pPr>
        <w:adjustRightInd/>
        <w:snapToGrid/>
        <w:ind w:firstLine="420" w:firstLineChars="200"/>
        <w:rPr>
          <w:rFonts w:eastAsia="楷体" w:cs="Times New Roman"/>
          <w:szCs w:val="22"/>
        </w:rPr>
      </w:pPr>
      <w:r>
        <w:rPr>
          <w:rFonts w:hint="eastAsia" w:eastAsia="楷体" w:cs="Times New Roman"/>
          <w:szCs w:val="22"/>
        </w:rPr>
        <w:t>火灾后结构构件初步鉴定评级主要根据构件外观损坏状态进行鉴定评级，但为慎重计，一般不评</w:t>
      </w:r>
      <w:r>
        <w:rPr>
          <w:rFonts w:hint="eastAsia" w:ascii="宋体" w:hAnsi="宋体" w:cs="Times New Roman"/>
          <w:szCs w:val="22"/>
        </w:rPr>
        <w:t>Ⅰ</w:t>
      </w:r>
      <w:r>
        <w:rPr>
          <w:rFonts w:hint="eastAsia" w:eastAsia="楷体" w:cs="Times New Roman"/>
          <w:szCs w:val="22"/>
        </w:rPr>
        <w:t>级。</w:t>
      </w:r>
    </w:p>
    <w:p>
      <w:pPr>
        <w:adjustRightInd/>
        <w:snapToGrid/>
        <w:ind w:firstLine="420" w:firstLineChars="200"/>
        <w:rPr>
          <w:rFonts w:eastAsia="楷体" w:cs="Times New Roman"/>
          <w:szCs w:val="22"/>
        </w:rPr>
      </w:pPr>
      <w:r>
        <w:rPr>
          <w:rFonts w:hint="eastAsia" w:eastAsia="楷体" w:cs="Times New Roman"/>
          <w:szCs w:val="22"/>
        </w:rPr>
        <w:t>火灾后结构构件初步鉴定状态评级分</w:t>
      </w:r>
      <w:r>
        <w:rPr>
          <w:rFonts w:hint="eastAsia" w:ascii="宋体" w:hAnsi="宋体" w:cs="Times New Roman"/>
          <w:szCs w:val="22"/>
        </w:rPr>
        <w:t>Ⅱ</w:t>
      </w:r>
      <w:r>
        <w:rPr>
          <w:rFonts w:hint="eastAsia" w:ascii="宋体" w:hAnsi="宋体" w:cs="Times New Roman"/>
          <w:sz w:val="30"/>
          <w:szCs w:val="30"/>
          <w:vertAlign w:val="subscript"/>
        </w:rPr>
        <w:t>a</w:t>
      </w:r>
      <w:r>
        <w:rPr>
          <w:rFonts w:hint="eastAsia" w:ascii="宋体" w:hAnsi="宋体" w:cs="Times New Roman"/>
          <w:szCs w:val="22"/>
        </w:rPr>
        <w:t>、Ⅱ</w:t>
      </w:r>
      <w:r>
        <w:rPr>
          <w:rFonts w:hint="eastAsia" w:ascii="宋体" w:hAnsi="宋体" w:cs="Times New Roman"/>
          <w:sz w:val="30"/>
          <w:szCs w:val="30"/>
          <w:vertAlign w:val="subscript"/>
        </w:rPr>
        <w:t>b</w:t>
      </w:r>
      <w:r>
        <w:rPr>
          <w:rFonts w:hint="eastAsia" w:ascii="宋体" w:hAnsi="宋体" w:cs="Times New Roman"/>
          <w:szCs w:val="22"/>
        </w:rPr>
        <w:t>、Ⅲ、Ⅳ</w:t>
      </w:r>
      <w:r>
        <w:rPr>
          <w:rFonts w:hint="eastAsia" w:eastAsia="楷体" w:cs="Times New Roman"/>
          <w:szCs w:val="22"/>
        </w:rPr>
        <w:t>级。其分级标准为：</w:t>
      </w:r>
    </w:p>
    <w:p>
      <w:pPr>
        <w:adjustRightInd/>
        <w:snapToGrid/>
        <w:ind w:firstLine="420" w:firstLineChars="200"/>
        <w:rPr>
          <w:rFonts w:eastAsia="楷体" w:cs="Times New Roman"/>
          <w:szCs w:val="22"/>
        </w:rPr>
      </w:pPr>
      <w:r>
        <w:rPr>
          <w:rFonts w:hint="eastAsia" w:eastAsia="楷体" w:cs="Times New Roman"/>
          <w:szCs w:val="22"/>
        </w:rPr>
        <w:t>状态</w:t>
      </w:r>
      <w:r>
        <w:rPr>
          <w:rFonts w:hint="eastAsia" w:ascii="宋体" w:hAnsi="宋体" w:cs="Times New Roman"/>
          <w:szCs w:val="22"/>
        </w:rPr>
        <w:t>Ⅱ</w:t>
      </w:r>
      <w:r>
        <w:rPr>
          <w:rFonts w:hint="eastAsia" w:ascii="宋体" w:hAnsi="宋体" w:cs="Times New Roman"/>
          <w:sz w:val="30"/>
          <w:szCs w:val="30"/>
          <w:vertAlign w:val="subscript"/>
        </w:rPr>
        <w:t>a</w:t>
      </w:r>
      <w:r>
        <w:rPr>
          <w:rFonts w:hint="eastAsia" w:eastAsia="楷体" w:cs="Times New Roman"/>
          <w:szCs w:val="22"/>
        </w:rPr>
        <w:t>—轻微或未直接遭受烧灼作用，没有降低构件的承载能力和耐久性的缺陷和损伤，但影响外观质量。</w:t>
      </w:r>
    </w:p>
    <w:p>
      <w:pPr>
        <w:adjustRightInd/>
        <w:snapToGrid/>
        <w:ind w:firstLine="420" w:firstLineChars="200"/>
        <w:rPr>
          <w:rFonts w:eastAsia="楷体" w:cs="Times New Roman"/>
          <w:szCs w:val="22"/>
        </w:rPr>
      </w:pPr>
      <w:r>
        <w:rPr>
          <w:rFonts w:hint="eastAsia" w:eastAsia="楷体" w:cs="Times New Roman"/>
          <w:szCs w:val="22"/>
        </w:rPr>
        <w:t>状态</w:t>
      </w:r>
      <w:r>
        <w:rPr>
          <w:rFonts w:hint="eastAsia" w:ascii="宋体" w:hAnsi="宋体" w:cs="Times New Roman"/>
          <w:szCs w:val="22"/>
        </w:rPr>
        <w:t>Ⅱ</w:t>
      </w:r>
      <w:r>
        <w:rPr>
          <w:rFonts w:hint="eastAsia" w:ascii="宋体" w:hAnsi="宋体" w:cs="Times New Roman"/>
          <w:sz w:val="30"/>
          <w:szCs w:val="30"/>
          <w:vertAlign w:val="subscript"/>
        </w:rPr>
        <w:t>b</w:t>
      </w:r>
      <w:r>
        <w:rPr>
          <w:rFonts w:hint="eastAsia" w:eastAsia="楷体" w:cs="Times New Roman"/>
          <w:szCs w:val="22"/>
        </w:rPr>
        <w:t>—轻度烧灼，没有明显降低构件承载能力的缺陷和损伤，但可能引起耐久性的降低。</w:t>
      </w:r>
    </w:p>
    <w:p>
      <w:pPr>
        <w:adjustRightInd/>
        <w:snapToGrid/>
        <w:ind w:firstLine="420" w:firstLineChars="200"/>
        <w:rPr>
          <w:rFonts w:eastAsia="楷体" w:cs="Times New Roman"/>
          <w:szCs w:val="22"/>
        </w:rPr>
      </w:pPr>
      <w:r>
        <w:rPr>
          <w:rFonts w:hint="eastAsia" w:eastAsia="楷体" w:cs="Times New Roman"/>
          <w:szCs w:val="22"/>
        </w:rPr>
        <w:t>状态</w:t>
      </w:r>
      <w:r>
        <w:rPr>
          <w:rFonts w:hint="eastAsia" w:ascii="宋体" w:hAnsi="宋体" w:cs="Times New Roman"/>
          <w:szCs w:val="22"/>
        </w:rPr>
        <w:t>Ⅲ</w:t>
      </w:r>
      <w:r>
        <w:rPr>
          <w:rFonts w:hint="eastAsia" w:eastAsia="楷体" w:cs="Times New Roman"/>
          <w:szCs w:val="22"/>
        </w:rPr>
        <w:t>—中度烧灼尚未破坏，已产生严重影响构件承载能力和耐久性的缺陷和损伤。评为状态Ⅲ的构件中，对于已严重破坏、且没有加固和保留价值的构件可列为应拆除构件，在初步鉴定报告中应予以明确。</w:t>
      </w:r>
    </w:p>
    <w:p>
      <w:pPr>
        <w:adjustRightInd/>
        <w:snapToGrid/>
        <w:ind w:firstLine="420" w:firstLineChars="200"/>
        <w:rPr>
          <w:rFonts w:eastAsia="楷体" w:cs="Times New Roman"/>
          <w:szCs w:val="22"/>
        </w:rPr>
      </w:pPr>
      <w:r>
        <w:rPr>
          <w:rFonts w:hint="eastAsia" w:eastAsia="楷体" w:cs="Times New Roman"/>
          <w:szCs w:val="22"/>
        </w:rPr>
        <w:t>状态</w:t>
      </w:r>
      <w:r>
        <w:rPr>
          <w:rFonts w:hint="eastAsia" w:ascii="宋体" w:hAnsi="宋体" w:cs="Times New Roman"/>
          <w:szCs w:val="22"/>
        </w:rPr>
        <w:t>Ⅳ</w:t>
      </w:r>
      <w:r>
        <w:rPr>
          <w:rFonts w:hint="eastAsia" w:eastAsia="楷体" w:cs="Times New Roman"/>
          <w:szCs w:val="22"/>
        </w:rPr>
        <w:t>—破坏或烧塌。</w:t>
      </w:r>
    </w:p>
    <w:p>
      <w:pPr>
        <w:adjustRightInd/>
        <w:snapToGrid/>
        <w:ind w:firstLine="420" w:firstLineChars="200"/>
        <w:rPr>
          <w:rFonts w:eastAsia="楷体" w:cs="Times New Roman"/>
          <w:szCs w:val="22"/>
        </w:rPr>
      </w:pPr>
      <w:r>
        <w:rPr>
          <w:rFonts w:eastAsia="楷体" w:cs="Times New Roman"/>
          <w:szCs w:val="22"/>
        </w:rPr>
        <w:t>本次修订</w:t>
      </w:r>
      <w:r>
        <w:rPr>
          <w:rFonts w:hint="eastAsia" w:ascii="宋体" w:hAnsi="宋体" w:cs="Times New Roman"/>
          <w:szCs w:val="22"/>
        </w:rPr>
        <w:t>Ⅱ</w:t>
      </w:r>
      <w:r>
        <w:rPr>
          <w:rFonts w:hint="eastAsia" w:ascii="宋体" w:hAnsi="宋体" w:cs="Times New Roman"/>
          <w:sz w:val="30"/>
          <w:szCs w:val="30"/>
          <w:vertAlign w:val="subscript"/>
        </w:rPr>
        <w:t>a</w:t>
      </w:r>
      <w:r>
        <w:rPr>
          <w:rFonts w:hint="eastAsia" w:ascii="宋体" w:hAnsi="宋体" w:cs="Times New Roman"/>
          <w:szCs w:val="22"/>
        </w:rPr>
        <w:t>、Ⅱ</w:t>
      </w:r>
      <w:r>
        <w:rPr>
          <w:rFonts w:hint="eastAsia" w:ascii="宋体" w:hAnsi="宋体" w:cs="Times New Roman"/>
          <w:sz w:val="30"/>
          <w:szCs w:val="30"/>
          <w:vertAlign w:val="subscript"/>
        </w:rPr>
        <w:t>b</w:t>
      </w:r>
      <w:r>
        <w:rPr>
          <w:rFonts w:hint="eastAsia" w:eastAsia="楷体" w:cs="Times New Roman"/>
          <w:szCs w:val="22"/>
        </w:rPr>
        <w:t>级评级标准中更加明确了对结构安全的影响程度要求。</w:t>
      </w:r>
    </w:p>
    <w:p>
      <w:pPr>
        <w:adjustRightInd/>
        <w:snapToGrid/>
        <w:ind w:firstLine="420" w:firstLineChars="200"/>
        <w:rPr>
          <w:rFonts w:eastAsia="楷体" w:cs="Times New Roman"/>
          <w:szCs w:val="22"/>
        </w:rPr>
      </w:pPr>
    </w:p>
    <w:p>
      <w:pPr>
        <w:pStyle w:val="19"/>
        <w:spacing w:before="0" w:beforeAutospacing="0" w:after="0" w:afterAutospacing="0"/>
        <w:rPr>
          <w:rFonts w:ascii="Times New Roman" w:hAnsi="Times New Roman" w:eastAsia="楷体" w:cs="Times New Roman"/>
          <w:sz w:val="21"/>
          <w:szCs w:val="22"/>
        </w:rPr>
      </w:pPr>
      <w:r>
        <w:rPr>
          <w:rFonts w:ascii="Times New Roman" w:hAnsi="Times New Roman" w:cstheme="minorBidi"/>
          <w:b/>
          <w:kern w:val="2"/>
          <w:sz w:val="21"/>
        </w:rPr>
        <w:t xml:space="preserve">3.3.3 </w:t>
      </w:r>
      <w:r>
        <w:rPr>
          <w:rFonts w:hint="eastAsia" w:ascii="Times New Roman" w:hAnsi="Times New Roman" w:eastAsia="楷体" w:cs="Times New Roman"/>
          <w:sz w:val="21"/>
          <w:szCs w:val="22"/>
        </w:rPr>
        <w:t>既有工程结构火灾后的构件详细鉴定不评a级。</w:t>
      </w:r>
    </w:p>
    <w:p>
      <w:pPr>
        <w:pStyle w:val="2"/>
        <w:rPr>
          <w:rFonts w:cs="Times New Roman"/>
        </w:rPr>
        <w:sectPr>
          <w:type w:val="continuous"/>
          <w:pgSz w:w="11906" w:h="16838"/>
          <w:pgMar w:top="1440" w:right="1080" w:bottom="1440" w:left="1080" w:header="851" w:footer="992" w:gutter="0"/>
          <w:cols w:space="425" w:num="1"/>
          <w:docGrid w:type="lines" w:linePitch="312" w:charSpace="0"/>
        </w:sectPr>
      </w:pPr>
    </w:p>
    <w:p>
      <w:pPr>
        <w:pStyle w:val="2"/>
        <w:rPr>
          <w:rFonts w:cs="Times New Roman"/>
        </w:rPr>
      </w:pPr>
      <w:bookmarkStart w:id="99" w:name="_Toc513449972"/>
      <w:r>
        <w:rPr>
          <w:rFonts w:cs="Times New Roman"/>
        </w:rPr>
        <w:t>4调查与检测</w:t>
      </w:r>
      <w:bookmarkEnd w:id="99"/>
    </w:p>
    <w:p>
      <w:pPr>
        <w:pStyle w:val="3"/>
        <w:rPr>
          <w:rFonts w:ascii="Times New Roman" w:hAnsi="Times New Roman" w:cs="Times New Roman"/>
        </w:rPr>
      </w:pPr>
      <w:bookmarkStart w:id="100" w:name="_Toc513449973"/>
      <w:r>
        <w:rPr>
          <w:rFonts w:ascii="Times New Roman" w:hAnsi="Times New Roman" w:cs="Times New Roman"/>
        </w:rPr>
        <w:t>4.1一般规定</w:t>
      </w:r>
      <w:bookmarkEnd w:id="100"/>
    </w:p>
    <w:p>
      <w:pPr>
        <w:rPr>
          <w:rFonts w:eastAsia="楷体" w:cs="Times New Roman"/>
          <w:szCs w:val="22"/>
        </w:rPr>
      </w:pPr>
      <w:r>
        <w:rPr>
          <w:rFonts w:cs="Times New Roman"/>
          <w:b/>
        </w:rPr>
        <w:t>4.1.1</w:t>
      </w:r>
      <w:r>
        <w:rPr>
          <w:rFonts w:hint="eastAsia" w:eastAsia="楷体" w:cs="Times New Roman"/>
          <w:szCs w:val="22"/>
        </w:rPr>
        <w:t>火灾作用对工程结构可能造成的损坏，有直接烧灼损坏和温度应力作用损坏两个主要方面，直接烧灼损坏一般局限于火场和高温烟气弥漫区域的结构，但温度应力作用可能遍及整个建筑物，故规定，建筑结构火灾后鉴定调查和检测的对象应当是整个建筑物结构，或者是结构系统相对独立的部分结构。但是，有些建筑物，特别是采用砌体或其他耐火墙体材料分割的小房间建筑，火灾可能仅在少数房间范围、短时间发生，火灾温度应力作用影响有限，此时，经初步调查确认，允许仅仅将火灾影响区域范围内的结构或构件列为检测对象，实际操作中，也取得了较好得效果。</w:t>
      </w:r>
    </w:p>
    <w:p>
      <w:pPr>
        <w:rPr>
          <w:rFonts w:eastAsia="楷体" w:cs="Times New Roman"/>
          <w:szCs w:val="22"/>
        </w:rPr>
      </w:pPr>
      <w:r>
        <w:rPr>
          <w:rFonts w:cs="Times New Roman"/>
          <w:b/>
        </w:rPr>
        <w:t>4.1.3</w:t>
      </w:r>
      <w:r>
        <w:rPr>
          <w:rFonts w:cs="Times New Roman"/>
        </w:rPr>
        <w:t xml:space="preserve"> </w:t>
      </w:r>
      <w:r>
        <w:rPr>
          <w:rFonts w:hint="eastAsia" w:eastAsia="楷体" w:cs="Times New Roman"/>
          <w:szCs w:val="22"/>
        </w:rPr>
        <w:t>受火灾影响区域构件外观损伤应全数检测。</w:t>
      </w:r>
    </w:p>
    <w:p>
      <w:pPr>
        <w:rPr>
          <w:rFonts w:cs="Times New Roman"/>
        </w:rPr>
      </w:pPr>
    </w:p>
    <w:p>
      <w:pPr>
        <w:pStyle w:val="3"/>
        <w:rPr>
          <w:rFonts w:ascii="Times New Roman" w:hAnsi="Times New Roman" w:cs="Times New Roman"/>
        </w:rPr>
      </w:pPr>
      <w:bookmarkStart w:id="101" w:name="_Toc513449974"/>
      <w:r>
        <w:rPr>
          <w:rFonts w:ascii="Times New Roman" w:hAnsi="Times New Roman" w:cs="Times New Roman"/>
        </w:rPr>
        <w:t>4.2  火作用调查与分析</w:t>
      </w:r>
      <w:bookmarkEnd w:id="101"/>
    </w:p>
    <w:p>
      <w:pPr>
        <w:rPr>
          <w:rFonts w:eastAsia="楷体" w:cs="Times New Roman"/>
          <w:szCs w:val="22"/>
        </w:rPr>
      </w:pPr>
      <w:r>
        <w:rPr>
          <w:rFonts w:cs="Times New Roman"/>
          <w:b/>
        </w:rPr>
        <w:t>4.2.1</w:t>
      </w:r>
      <w:r>
        <w:rPr>
          <w:rFonts w:eastAsia="楷体" w:cs="Times New Roman"/>
          <w:szCs w:val="22"/>
        </w:rPr>
        <w:t>本条文规定了建筑物火灾后</w:t>
      </w:r>
      <w:r>
        <w:rPr>
          <w:rFonts w:hint="eastAsia" w:eastAsia="楷体" w:cs="Times New Roman"/>
          <w:szCs w:val="22"/>
        </w:rPr>
        <w:t>火作用调查和分析的</w:t>
      </w:r>
      <w:r>
        <w:rPr>
          <w:rFonts w:eastAsia="楷体" w:cs="Times New Roman"/>
          <w:szCs w:val="22"/>
        </w:rPr>
        <w:t>主要内容，针对具体项目，可根据</w:t>
      </w:r>
      <w:r>
        <w:rPr>
          <w:rFonts w:hint="eastAsia" w:eastAsia="楷体" w:cs="Times New Roman"/>
          <w:szCs w:val="22"/>
        </w:rPr>
        <w:t>火场残留物、结构构件现状、</w:t>
      </w:r>
      <w:r>
        <w:rPr>
          <w:rFonts w:eastAsia="楷体" w:cs="Times New Roman"/>
          <w:szCs w:val="22"/>
        </w:rPr>
        <w:t>火灾规模、燃烧和灭火信息掌握情况等，在满足结构鉴定评估要求条件下，简化有关内容。</w:t>
      </w:r>
    </w:p>
    <w:p>
      <w:pPr>
        <w:adjustRightInd/>
        <w:snapToGrid/>
        <w:ind w:firstLine="420" w:firstLineChars="200"/>
        <w:rPr>
          <w:rFonts w:eastAsia="楷体" w:cs="Times New Roman"/>
          <w:szCs w:val="22"/>
        </w:rPr>
      </w:pPr>
      <w:r>
        <w:rPr>
          <w:rFonts w:eastAsia="楷体" w:cs="Times New Roman"/>
          <w:szCs w:val="22"/>
        </w:rPr>
        <w:t>所谓火场温度过程及温度分布，是指随着火灾引燃、蔓延、熄灭的过程所发生的温度升降变化过程和结构表面受热温度的宏观分布。</w:t>
      </w:r>
    </w:p>
    <w:p>
      <w:pPr>
        <w:rPr>
          <w:rFonts w:eastAsia="楷体" w:cs="Times New Roman"/>
          <w:szCs w:val="22"/>
        </w:rPr>
      </w:pPr>
      <w:r>
        <w:rPr>
          <w:rFonts w:cs="Times New Roman"/>
          <w:b/>
        </w:rPr>
        <w:t>4.2.2</w:t>
      </w:r>
      <w:r>
        <w:rPr>
          <w:rFonts w:hint="eastAsia" w:eastAsia="楷体" w:cs="Times New Roman"/>
          <w:szCs w:val="22"/>
        </w:rPr>
        <w:t>火灾荷载分布调查包括可燃物的高度、形状、摆放、平面位置等空间分布情况。</w:t>
      </w:r>
    </w:p>
    <w:p>
      <w:pPr>
        <w:adjustRightInd/>
        <w:snapToGrid/>
        <w:ind w:firstLine="420" w:firstLineChars="200"/>
        <w:rPr>
          <w:rFonts w:eastAsia="楷体" w:cs="Times New Roman"/>
          <w:szCs w:val="22"/>
        </w:rPr>
      </w:pPr>
      <w:r>
        <w:rPr>
          <w:rFonts w:eastAsia="楷体" w:cs="Times New Roman"/>
          <w:szCs w:val="22"/>
        </w:rPr>
        <w:t>所谓火灾影响区域，是指火场区域、高温烟气弥漫区域</w:t>
      </w:r>
      <w:r>
        <w:rPr>
          <w:rFonts w:hint="eastAsia" w:eastAsia="楷体" w:cs="Times New Roman"/>
          <w:szCs w:val="22"/>
        </w:rPr>
        <w:t>和</w:t>
      </w:r>
      <w:r>
        <w:rPr>
          <w:rFonts w:eastAsia="楷体" w:cs="Times New Roman"/>
          <w:szCs w:val="22"/>
        </w:rPr>
        <w:t>不可忽略的温度应力作用区域的总称。可能发生的火灾损坏（包括：高温灼烤所致的结构材料劣化损坏和温度应力所致的结构或构件变形开裂损坏）均应分布在火灾影响区域范围</w:t>
      </w:r>
      <w:r>
        <w:rPr>
          <w:rFonts w:hint="eastAsia" w:eastAsia="楷体" w:cs="Times New Roman"/>
          <w:szCs w:val="22"/>
        </w:rPr>
        <w:t>内</w:t>
      </w:r>
      <w:r>
        <w:rPr>
          <w:rFonts w:eastAsia="楷体" w:cs="Times New Roman"/>
          <w:szCs w:val="22"/>
        </w:rPr>
        <w:t>。</w:t>
      </w:r>
    </w:p>
    <w:p>
      <w:pPr>
        <w:rPr>
          <w:rFonts w:eastAsia="楷体" w:cs="Times New Roman"/>
          <w:szCs w:val="22"/>
        </w:rPr>
      </w:pPr>
      <w:r>
        <w:rPr>
          <w:rFonts w:hint="eastAsia" w:eastAsia="楷体" w:cs="Times New Roman"/>
          <w:b/>
        </w:rPr>
        <w:t>4.2.3、4.2.4</w:t>
      </w:r>
      <w:r>
        <w:rPr>
          <w:rFonts w:eastAsia="楷体" w:cs="Times New Roman"/>
          <w:szCs w:val="22"/>
        </w:rPr>
        <w:t>规定分析火场温度过程可采用的一般方法。具体计算分析方法和试验方法等，可参考相关文献选用。调查火场温度过程是为了分析结构温度应力或变形的传播规律和特点；调查温度分布是为了宏观上判定不同区域结构相对的烧灼损伤程度。</w:t>
      </w:r>
    </w:p>
    <w:p>
      <w:pPr>
        <w:rPr>
          <w:rFonts w:eastAsia="楷体" w:cs="Times New Roman"/>
          <w:szCs w:val="22"/>
        </w:rPr>
      </w:pPr>
      <w:r>
        <w:rPr>
          <w:rFonts w:cs="Times New Roman"/>
          <w:b/>
        </w:rPr>
        <w:t>4.2.5</w:t>
      </w:r>
      <w:r>
        <w:rPr>
          <w:rFonts w:eastAsia="楷体" w:cs="Times New Roman"/>
          <w:szCs w:val="22"/>
        </w:rPr>
        <w:t>规定分析构件受火过程可采用的一般方法。具体计算分析方法，可参考相关文献选用</w:t>
      </w:r>
      <w:r>
        <w:rPr>
          <w:rFonts w:hint="eastAsia" w:eastAsia="楷体" w:cs="Times New Roman"/>
          <w:szCs w:val="22"/>
        </w:rPr>
        <w:t>。</w:t>
      </w:r>
    </w:p>
    <w:p>
      <w:pPr>
        <w:rPr>
          <w:rFonts w:eastAsia="楷体" w:cs="Times New Roman"/>
          <w:szCs w:val="22"/>
        </w:rPr>
      </w:pPr>
      <w:r>
        <w:rPr>
          <w:rFonts w:cs="Times New Roman"/>
          <w:b/>
        </w:rPr>
        <w:t>4.2.6</w:t>
      </w:r>
      <w:r>
        <w:rPr>
          <w:rFonts w:eastAsia="楷体" w:cs="Times New Roman"/>
          <w:szCs w:val="22"/>
        </w:rPr>
        <w:t>判断混凝土结构构件表面受火温度的方法之一。应注意，由于混凝土原材料的不同、构件尺寸大小不同、受火后搁置时间的影响等，有关特征可能会存在差异，检测时应注意与未受灾的同类构件进行对比判断。</w:t>
      </w:r>
    </w:p>
    <w:p>
      <w:pPr>
        <w:rPr>
          <w:rFonts w:eastAsia="楷体" w:cs="Times New Roman"/>
          <w:szCs w:val="22"/>
        </w:rPr>
      </w:pPr>
      <w:r>
        <w:rPr>
          <w:rFonts w:cs="Times New Roman"/>
          <w:b/>
        </w:rPr>
        <w:t>4.2.7</w:t>
      </w:r>
      <w:r>
        <w:rPr>
          <w:rFonts w:hint="eastAsia" w:eastAsia="楷体" w:cs="Times New Roman"/>
          <w:szCs w:val="22"/>
        </w:rPr>
        <w:t>此条为新增内容，对于钢结构构件表面曾经达到的最高温度，可结合表面油漆的烧损程度按附录A表A3分析推断。</w:t>
      </w:r>
    </w:p>
    <w:p>
      <w:pPr>
        <w:rPr>
          <w:rFonts w:cs="Times New Roman"/>
        </w:rPr>
      </w:pPr>
      <w:r>
        <w:rPr>
          <w:rFonts w:cs="Times New Roman"/>
          <w:b/>
        </w:rPr>
        <w:t>4.2.8</w:t>
      </w:r>
      <w:r>
        <w:rPr>
          <w:rFonts w:hint="eastAsia" w:eastAsia="楷体" w:cs="Times New Roman"/>
          <w:szCs w:val="22"/>
        </w:rPr>
        <w:t>对于砌体结构构件的表面温度判断，国内的闵明保、李延和等人在上世纪90年代做过研究，得出了砖和水泥砂浆表面颜色、裂缝情况与温度的关系。</w:t>
      </w:r>
    </w:p>
    <w:p>
      <w:pPr>
        <w:rPr>
          <w:rFonts w:cs="Times New Roman"/>
        </w:rPr>
      </w:pPr>
      <w:r>
        <w:rPr>
          <w:rFonts w:cs="Times New Roman"/>
          <w:b/>
        </w:rPr>
        <w:t>4.2.9</w:t>
      </w:r>
      <w:r>
        <w:rPr>
          <w:rFonts w:hint="eastAsia" w:eastAsia="楷体" w:cs="Times New Roman"/>
          <w:szCs w:val="22"/>
        </w:rPr>
        <w:t>本条</w:t>
      </w:r>
      <w:r>
        <w:rPr>
          <w:rFonts w:eastAsia="楷体" w:cs="Times New Roman"/>
          <w:szCs w:val="22"/>
        </w:rPr>
        <w:t>规定了判断一般结构构件表面受火温度的方法</w:t>
      </w:r>
      <w:r>
        <w:rPr>
          <w:rFonts w:hint="eastAsia" w:eastAsia="楷体" w:cs="Times New Roman"/>
          <w:szCs w:val="22"/>
        </w:rPr>
        <w:t>，</w:t>
      </w:r>
      <w:r>
        <w:rPr>
          <w:rFonts w:eastAsia="楷体" w:cs="Times New Roman"/>
          <w:szCs w:val="22"/>
        </w:rPr>
        <w:t>根据受火构件表面残留判断构件表面曾经达到的温度，操作简单，判断直观。在实际操作中应注意火场残留物的发现位置不一定就是受火作用时的位置，应注意区分。</w:t>
      </w:r>
      <w:r>
        <w:rPr>
          <w:rFonts w:hint="eastAsia" w:eastAsia="楷体" w:cs="Times New Roman"/>
          <w:szCs w:val="22"/>
        </w:rPr>
        <w:t>一般钢结构构件表面与内部温度一致</w:t>
      </w:r>
    </w:p>
    <w:p>
      <w:pPr>
        <w:rPr>
          <w:rFonts w:eastAsia="楷体" w:cs="Times New Roman"/>
          <w:szCs w:val="22"/>
        </w:rPr>
      </w:pPr>
      <w:r>
        <w:rPr>
          <w:rFonts w:cs="Times New Roman"/>
          <w:b/>
        </w:rPr>
        <w:t>4.2.10</w:t>
      </w:r>
      <w:r>
        <w:rPr>
          <w:rFonts w:hint="eastAsia" w:eastAsia="楷体" w:cs="Times New Roman"/>
          <w:szCs w:val="22"/>
        </w:rPr>
        <w:t>本条给出的是</w:t>
      </w:r>
      <w:r>
        <w:rPr>
          <w:rFonts w:eastAsia="楷体" w:cs="Times New Roman"/>
          <w:szCs w:val="22"/>
        </w:rPr>
        <w:t>推断混凝土构件内部截面温度（场）的实用方法。</w:t>
      </w:r>
    </w:p>
    <w:p>
      <w:pPr>
        <w:adjustRightInd/>
        <w:snapToGrid/>
        <w:ind w:firstLine="420" w:firstLineChars="200"/>
        <w:rPr>
          <w:rFonts w:eastAsia="楷体" w:cs="Times New Roman"/>
          <w:szCs w:val="22"/>
        </w:rPr>
      </w:pPr>
      <w:r>
        <w:rPr>
          <w:rFonts w:hint="eastAsia" w:eastAsia="楷体" w:cs="Times New Roman"/>
          <w:szCs w:val="22"/>
        </w:rPr>
        <w:t>对</w:t>
      </w:r>
      <w:r>
        <w:rPr>
          <w:rFonts w:eastAsia="楷体" w:cs="Times New Roman"/>
          <w:szCs w:val="22"/>
        </w:rPr>
        <w:t>当量标准升温时间</w:t>
      </w:r>
      <w:r>
        <w:rPr>
          <w:rFonts w:hint="eastAsia" w:eastAsia="楷体" w:cs="Times New Roman"/>
          <w:i/>
          <w:szCs w:val="22"/>
        </w:rPr>
        <w:t>t</w:t>
      </w:r>
      <w:r>
        <w:rPr>
          <w:rFonts w:hint="eastAsia" w:eastAsia="楷体" w:cs="Times New Roman"/>
          <w:szCs w:val="22"/>
          <w:vertAlign w:val="subscript"/>
        </w:rPr>
        <w:t>e</w:t>
      </w:r>
      <w:r>
        <w:rPr>
          <w:rFonts w:eastAsia="楷体" w:cs="Times New Roman"/>
          <w:szCs w:val="22"/>
        </w:rPr>
        <w:t>的定义，</w:t>
      </w:r>
      <w:r>
        <w:rPr>
          <w:rFonts w:hint="eastAsia" w:eastAsia="楷体" w:cs="Times New Roman"/>
          <w:szCs w:val="22"/>
        </w:rPr>
        <w:t>可理解为：</w:t>
      </w:r>
      <w:r>
        <w:rPr>
          <w:rFonts w:eastAsia="楷体" w:cs="Times New Roman"/>
          <w:szCs w:val="22"/>
        </w:rPr>
        <w:t>若实际火灾对混凝土结构的热损伤作用与标准火灾的某一特定持续时间下对同一混凝土结构的热损伤作用相等，则</w:t>
      </w:r>
      <w:r>
        <w:rPr>
          <w:rFonts w:hint="eastAsia" w:eastAsia="楷体" w:cs="Times New Roman"/>
          <w:szCs w:val="22"/>
        </w:rPr>
        <w:t>可将</w:t>
      </w:r>
      <w:r>
        <w:rPr>
          <w:rFonts w:eastAsia="楷体" w:cs="Times New Roman"/>
          <w:szCs w:val="22"/>
        </w:rPr>
        <w:t>该标准火灾的这一特定持续时间定义为标准当量时间。</w:t>
      </w:r>
    </w:p>
    <w:p>
      <w:pPr>
        <w:adjustRightInd/>
        <w:snapToGrid/>
        <w:ind w:firstLine="420" w:firstLineChars="200"/>
        <w:rPr>
          <w:rFonts w:eastAsia="楷体" w:cs="Times New Roman"/>
          <w:szCs w:val="22"/>
        </w:rPr>
      </w:pPr>
      <w:r>
        <w:rPr>
          <w:rFonts w:eastAsia="楷体" w:cs="Times New Roman"/>
          <w:szCs w:val="22"/>
        </w:rPr>
        <w:t>不同的通风系数和火灾荷载，具有不同的温度-时间曲线。如果直接以燃烧理论计算曲线作为升温条件计算构件温度场，由于失火房间通风系数和火灾荷载的多变性，只能采用计算机数值解法而不便使用。使用当量时间</w:t>
      </w:r>
      <w:r>
        <w:rPr>
          <w:rFonts w:eastAsia="楷体" w:cs="Times New Roman"/>
          <w:i/>
          <w:szCs w:val="22"/>
        </w:rPr>
        <w:t>t</w:t>
      </w:r>
      <w:r>
        <w:rPr>
          <w:rFonts w:eastAsia="楷体" w:cs="Times New Roman"/>
          <w:szCs w:val="22"/>
          <w:vertAlign w:val="subscript"/>
        </w:rPr>
        <w:t>e</w:t>
      </w:r>
      <w:r>
        <w:rPr>
          <w:rFonts w:eastAsia="楷体" w:cs="Times New Roman"/>
          <w:szCs w:val="22"/>
        </w:rPr>
        <w:t>可把千变万化的火灾下构件温度场的计算统一</w:t>
      </w:r>
      <w:r>
        <w:rPr>
          <w:rFonts w:hint="eastAsia" w:eastAsia="楷体" w:cs="Times New Roman"/>
          <w:szCs w:val="22"/>
        </w:rPr>
        <w:t>为</w:t>
      </w:r>
      <w:r>
        <w:rPr>
          <w:rFonts w:eastAsia="楷体" w:cs="Times New Roman"/>
          <w:szCs w:val="22"/>
        </w:rPr>
        <w:t>标准升温条件下</w:t>
      </w:r>
      <w:r>
        <w:rPr>
          <w:rFonts w:hint="eastAsia" w:eastAsia="楷体" w:cs="Times New Roman"/>
          <w:szCs w:val="22"/>
        </w:rPr>
        <w:t>的</w:t>
      </w:r>
      <w:r>
        <w:rPr>
          <w:rFonts w:eastAsia="楷体" w:cs="Times New Roman"/>
          <w:szCs w:val="22"/>
        </w:rPr>
        <w:t>计算，同时</w:t>
      </w:r>
      <w:r>
        <w:rPr>
          <w:rFonts w:hint="eastAsia" w:eastAsia="楷体" w:cs="Times New Roman"/>
          <w:szCs w:val="22"/>
        </w:rPr>
        <w:t>还</w:t>
      </w:r>
      <w:r>
        <w:rPr>
          <w:rFonts w:eastAsia="楷体" w:cs="Times New Roman"/>
          <w:szCs w:val="22"/>
        </w:rPr>
        <w:t>考虑了火灾的实际情况</w:t>
      </w:r>
      <w:r>
        <w:rPr>
          <w:rFonts w:hint="eastAsia" w:eastAsia="楷体" w:cs="Times New Roman"/>
          <w:szCs w:val="22"/>
        </w:rPr>
        <w:t>，因而较有实用的价值</w:t>
      </w:r>
      <w:r>
        <w:rPr>
          <w:rFonts w:eastAsia="楷体" w:cs="Times New Roman"/>
          <w:szCs w:val="22"/>
        </w:rPr>
        <w:t>。</w:t>
      </w:r>
    </w:p>
    <w:p>
      <w:pPr>
        <w:adjustRightInd/>
        <w:snapToGrid/>
        <w:ind w:firstLine="420" w:firstLineChars="200"/>
        <w:rPr>
          <w:rFonts w:eastAsia="楷体" w:cs="Times New Roman"/>
          <w:szCs w:val="22"/>
        </w:rPr>
      </w:pPr>
      <w:r>
        <w:rPr>
          <w:rFonts w:eastAsia="楷体" w:cs="Times New Roman"/>
          <w:szCs w:val="22"/>
        </w:rPr>
        <w:t>第1款基于轴心受压（素）混凝土构件在遭受标准升温火作用和一般火灾火作用后承载能力相等的原则，将一般火灾作用时间t等效为</w:t>
      </w:r>
      <w:r>
        <w:rPr>
          <w:rFonts w:hint="eastAsia" w:eastAsia="楷体" w:cs="Times New Roman"/>
          <w:szCs w:val="22"/>
        </w:rPr>
        <w:t>当量</w:t>
      </w:r>
      <w:r>
        <w:rPr>
          <w:rFonts w:eastAsia="楷体" w:cs="Times New Roman"/>
          <w:szCs w:val="22"/>
        </w:rPr>
        <w:t>标准升温作用时间</w:t>
      </w:r>
      <w:r>
        <w:rPr>
          <w:rFonts w:eastAsia="楷体" w:cs="Times New Roman"/>
          <w:i/>
          <w:szCs w:val="22"/>
        </w:rPr>
        <w:t>t</w:t>
      </w:r>
      <w:r>
        <w:rPr>
          <w:rFonts w:eastAsia="楷体" w:cs="Times New Roman"/>
          <w:szCs w:val="22"/>
          <w:vertAlign w:val="subscript"/>
        </w:rPr>
        <w:t>e</w:t>
      </w:r>
      <w:r>
        <w:rPr>
          <w:rFonts w:hint="eastAsia" w:eastAsia="楷体" w:cs="Times New Roman"/>
          <w:szCs w:val="22"/>
        </w:rPr>
        <w:t>。</w:t>
      </w:r>
    </w:p>
    <w:p>
      <w:pPr>
        <w:adjustRightInd/>
        <w:snapToGrid/>
        <w:ind w:firstLine="420" w:firstLineChars="200"/>
        <w:rPr>
          <w:rFonts w:eastAsia="楷体" w:cs="Times New Roman"/>
          <w:szCs w:val="22"/>
        </w:rPr>
      </w:pPr>
      <w:r>
        <w:rPr>
          <w:rFonts w:eastAsia="楷体" w:cs="Times New Roman"/>
          <w:szCs w:val="22"/>
        </w:rPr>
        <w:t>第2款根据构件受火后的特征推定当量标准升温时间的一个方法。公式（4.2.10）依据标准耐火试验中钢筋混凝土板、墙实测的构件表面温度</w:t>
      </w:r>
      <w:r>
        <w:rPr>
          <w:rFonts w:hint="eastAsia" w:eastAsia="楷体" w:cs="Times New Roman"/>
          <w:szCs w:val="22"/>
        </w:rPr>
        <w:t>T</w:t>
      </w:r>
      <w:r>
        <w:rPr>
          <w:rFonts w:eastAsia="楷体" w:cs="Times New Roman"/>
          <w:szCs w:val="22"/>
        </w:rPr>
        <w:t>（℃）与升温时间</w:t>
      </w:r>
      <w:r>
        <w:rPr>
          <w:rFonts w:hint="eastAsia" w:eastAsia="楷体" w:cs="Times New Roman"/>
          <w:szCs w:val="22"/>
        </w:rPr>
        <w:t>t</w:t>
      </w:r>
      <w:r>
        <w:rPr>
          <w:rFonts w:eastAsia="楷体" w:cs="Times New Roman"/>
          <w:szCs w:val="22"/>
        </w:rPr>
        <w:t>（min）回归得到，上式的平均回归误差为2%。</w:t>
      </w:r>
    </w:p>
    <w:p>
      <w:pPr>
        <w:adjustRightInd/>
        <w:snapToGrid/>
        <w:ind w:firstLine="420" w:firstLineChars="200"/>
        <w:rPr>
          <w:rFonts w:eastAsia="楷体" w:cs="Times New Roman"/>
          <w:szCs w:val="22"/>
        </w:rPr>
      </w:pPr>
      <w:r>
        <w:rPr>
          <w:rFonts w:eastAsia="楷体" w:cs="Times New Roman"/>
          <w:szCs w:val="22"/>
        </w:rPr>
        <w:t>第3款根据构件受火后的特征推定楼板当量标准升温时间的一个方法</w:t>
      </w:r>
      <w:r>
        <w:rPr>
          <w:rFonts w:hint="eastAsia" w:eastAsia="楷体" w:cs="Times New Roman"/>
          <w:szCs w:val="22"/>
        </w:rPr>
        <w:t>。</w:t>
      </w:r>
    </w:p>
    <w:p>
      <w:pPr>
        <w:adjustRightInd/>
        <w:snapToGrid/>
        <w:ind w:firstLine="420" w:firstLineChars="200"/>
        <w:rPr>
          <w:rFonts w:eastAsia="楷体" w:cs="Times New Roman"/>
          <w:szCs w:val="22"/>
        </w:rPr>
      </w:pPr>
      <w:r>
        <w:rPr>
          <w:rFonts w:eastAsia="楷体" w:cs="Times New Roman"/>
          <w:szCs w:val="22"/>
        </w:rPr>
        <w:t>根据构件受火后的特征推定当量标准升温时间，当温度不是很高时（小于600℃），可能会出现较大误差。</w:t>
      </w:r>
    </w:p>
    <w:p>
      <w:pPr>
        <w:adjustRightInd/>
        <w:snapToGrid/>
        <w:ind w:firstLine="422" w:firstLineChars="200"/>
        <w:rPr>
          <w:rFonts w:eastAsia="楷体" w:cs="Times New Roman"/>
          <w:szCs w:val="22"/>
        </w:rPr>
      </w:pPr>
      <w:r>
        <w:rPr>
          <w:rFonts w:cs="Times New Roman"/>
          <w:b/>
        </w:rPr>
        <w:t>4.2.11</w:t>
      </w:r>
      <w:r>
        <w:rPr>
          <w:rFonts w:eastAsia="楷体" w:cs="Times New Roman"/>
          <w:szCs w:val="22"/>
        </w:rPr>
        <w:t>基于材料微观分析结果，</w:t>
      </w:r>
      <w:r>
        <w:rPr>
          <w:rFonts w:hint="eastAsia" w:eastAsia="楷体" w:cs="Times New Roman"/>
          <w:szCs w:val="22"/>
        </w:rPr>
        <w:t>是</w:t>
      </w:r>
      <w:r>
        <w:rPr>
          <w:rFonts w:eastAsia="楷体" w:cs="Times New Roman"/>
          <w:szCs w:val="22"/>
        </w:rPr>
        <w:t>推断混凝土构件内部截面温度（场）的实用方法之一。火灾中结构所受</w:t>
      </w:r>
      <w:r>
        <w:rPr>
          <w:rFonts w:hint="eastAsia" w:eastAsia="楷体" w:cs="Times New Roman"/>
          <w:szCs w:val="22"/>
        </w:rPr>
        <w:t>热</w:t>
      </w:r>
      <w:r>
        <w:rPr>
          <w:rFonts w:eastAsia="楷体" w:cs="Times New Roman"/>
          <w:szCs w:val="22"/>
        </w:rPr>
        <w:t>温度</w:t>
      </w:r>
      <w:r>
        <w:rPr>
          <w:rFonts w:hint="eastAsia" w:eastAsia="楷体" w:cs="Times New Roman"/>
          <w:szCs w:val="22"/>
        </w:rPr>
        <w:t>由于</w:t>
      </w:r>
      <w:r>
        <w:rPr>
          <w:rFonts w:eastAsia="楷体" w:cs="Times New Roman"/>
          <w:szCs w:val="22"/>
        </w:rPr>
        <w:t>受多种因素影响，任何一种推断方法都存在其局限性。为较准确地推断结构受热温度，应采用多种方法分析推断，互相补充印证。</w:t>
      </w:r>
      <w:r>
        <w:rPr>
          <w:rFonts w:hint="eastAsia" w:eastAsia="楷体" w:cs="Times New Roman"/>
          <w:szCs w:val="22"/>
        </w:rPr>
        <w:t>其中以</w:t>
      </w:r>
      <w:r>
        <w:rPr>
          <w:rFonts w:eastAsia="楷体" w:cs="Times New Roman"/>
          <w:szCs w:val="22"/>
        </w:rPr>
        <w:t>结构材料微观分析的方法判断结构受火温度较为直接、可靠。采用衍射分析、电镜分析等手段检验岩相组织等</w:t>
      </w:r>
      <w:r>
        <w:rPr>
          <w:rFonts w:hint="eastAsia" w:eastAsia="楷体" w:cs="Times New Roman"/>
          <w:szCs w:val="22"/>
        </w:rPr>
        <w:t>。</w:t>
      </w:r>
    </w:p>
    <w:p>
      <w:pPr>
        <w:rPr>
          <w:rFonts w:cs="Times New Roman"/>
        </w:rPr>
      </w:pPr>
    </w:p>
    <w:p>
      <w:pPr>
        <w:pStyle w:val="3"/>
        <w:rPr>
          <w:rFonts w:ascii="Times New Roman" w:hAnsi="Times New Roman" w:cs="Times New Roman"/>
        </w:rPr>
      </w:pPr>
      <w:bookmarkStart w:id="102" w:name="_Toc513449975"/>
      <w:r>
        <w:rPr>
          <w:rFonts w:ascii="Times New Roman" w:hAnsi="Times New Roman" w:cs="Times New Roman"/>
        </w:rPr>
        <w:t>4.3  结构</w:t>
      </w:r>
      <w:r>
        <w:rPr>
          <w:rFonts w:hint="eastAsia" w:ascii="Times New Roman" w:hAnsi="Times New Roman" w:cs="Times New Roman"/>
        </w:rPr>
        <w:t>构件</w:t>
      </w:r>
      <w:r>
        <w:rPr>
          <w:rFonts w:ascii="Times New Roman" w:hAnsi="Times New Roman" w:cs="Times New Roman"/>
        </w:rPr>
        <w:t>现状检测</w:t>
      </w:r>
      <w:bookmarkEnd w:id="102"/>
    </w:p>
    <w:p>
      <w:pPr>
        <w:rPr>
          <w:sz w:val="24"/>
          <w:szCs w:val="21"/>
        </w:rPr>
      </w:pPr>
      <w:r>
        <w:rPr>
          <w:rFonts w:cs="Times New Roman"/>
          <w:b/>
        </w:rPr>
        <w:t>4.3.1</w:t>
      </w:r>
      <w:r>
        <w:rPr>
          <w:rFonts w:hint="eastAsia" w:eastAsia="楷体" w:cs="Times New Roman"/>
          <w:szCs w:val="22"/>
        </w:rPr>
        <w:t>本条是对</w:t>
      </w:r>
      <w:r>
        <w:rPr>
          <w:rFonts w:eastAsia="楷体" w:cs="Times New Roman"/>
          <w:szCs w:val="22"/>
        </w:rPr>
        <w:t>结构现状检测内容的一般规定</w:t>
      </w:r>
    </w:p>
    <w:p>
      <w:pPr>
        <w:rPr>
          <w:rFonts w:eastAsia="楷体" w:cs="Times New Roman"/>
          <w:szCs w:val="22"/>
        </w:rPr>
      </w:pPr>
      <w:r>
        <w:rPr>
          <w:rFonts w:cs="Times New Roman"/>
          <w:b/>
        </w:rPr>
        <w:t>4.3.2</w:t>
      </w:r>
      <w:r>
        <w:rPr>
          <w:rFonts w:hint="eastAsia" w:eastAsia="楷体" w:cs="Times New Roman"/>
          <w:szCs w:val="22"/>
        </w:rPr>
        <w:t>本条是对</w:t>
      </w:r>
      <w:r>
        <w:rPr>
          <w:rFonts w:eastAsia="楷体" w:cs="Times New Roman"/>
          <w:szCs w:val="22"/>
        </w:rPr>
        <w:t>结构烧灼损环现状检测方法的一般规定。</w:t>
      </w:r>
    </w:p>
    <w:p>
      <w:pPr>
        <w:rPr>
          <w:rFonts w:cs="Times New Roman"/>
        </w:rPr>
      </w:pPr>
      <w:r>
        <w:rPr>
          <w:rFonts w:cs="Times New Roman"/>
          <w:b/>
        </w:rPr>
        <w:t>4.3.3</w:t>
      </w:r>
      <w:r>
        <w:rPr>
          <w:rFonts w:hint="eastAsia" w:eastAsia="楷体" w:cs="Times New Roman"/>
          <w:szCs w:val="22"/>
        </w:rPr>
        <w:t>本条是对</w:t>
      </w:r>
      <w:r>
        <w:rPr>
          <w:rFonts w:eastAsia="楷体" w:cs="Times New Roman"/>
          <w:szCs w:val="22"/>
        </w:rPr>
        <w:t>结构温度应力作用损环现状检测方法的一般规定。</w:t>
      </w:r>
    </w:p>
    <w:p>
      <w:pPr>
        <w:rPr>
          <w:rFonts w:eastAsia="楷体" w:cs="Times New Roman"/>
          <w:szCs w:val="22"/>
        </w:rPr>
      </w:pPr>
      <w:r>
        <w:rPr>
          <w:rFonts w:cs="Times New Roman"/>
          <w:b/>
        </w:rPr>
        <w:t>4.3.4</w:t>
      </w:r>
      <w:r>
        <w:rPr>
          <w:rFonts w:hint="eastAsia" w:eastAsia="楷体" w:cs="Times New Roman"/>
          <w:szCs w:val="22"/>
        </w:rPr>
        <w:t>本条是对</w:t>
      </w:r>
      <w:r>
        <w:rPr>
          <w:rFonts w:eastAsia="楷体" w:cs="Times New Roman"/>
          <w:szCs w:val="22"/>
        </w:rPr>
        <w:t>结构材料性能检验的一般规定。结构材料性能的取样检验，一般采取对比试验法，即分别在受损程度不同的部位和未受损部位取样，进行对比试验，以确定火作用的影响程度。</w:t>
      </w:r>
    </w:p>
    <w:p>
      <w:pPr>
        <w:adjustRightInd/>
        <w:snapToGrid/>
        <w:rPr>
          <w:rFonts w:eastAsia="楷体" w:cs="Times New Roman"/>
          <w:szCs w:val="22"/>
        </w:rPr>
      </w:pPr>
      <w:r>
        <w:rPr>
          <w:rFonts w:hint="eastAsia" w:eastAsia="楷体" w:cs="Times New Roman"/>
          <w:b/>
          <w:szCs w:val="22"/>
        </w:rPr>
        <w:t>4.3.</w:t>
      </w:r>
      <w:r>
        <w:rPr>
          <w:rFonts w:eastAsia="楷体" w:cs="Times New Roman"/>
          <w:b/>
          <w:szCs w:val="22"/>
        </w:rPr>
        <w:t>5</w:t>
      </w:r>
      <w:r>
        <w:rPr>
          <w:rFonts w:hint="eastAsia" w:eastAsia="楷体" w:cs="Times New Roman"/>
          <w:b/>
          <w:szCs w:val="22"/>
        </w:rPr>
        <w:t>～4.3.</w:t>
      </w:r>
      <w:r>
        <w:rPr>
          <w:rFonts w:eastAsia="楷体" w:cs="Times New Roman"/>
          <w:b/>
          <w:szCs w:val="22"/>
        </w:rPr>
        <w:t>9</w:t>
      </w:r>
      <w:r>
        <w:rPr>
          <w:rFonts w:hint="eastAsia" w:eastAsia="楷体" w:cs="Times New Roman"/>
          <w:szCs w:val="22"/>
        </w:rPr>
        <w:t xml:space="preserve"> 明确了火灾后混凝土结构、钢结构、砌体结构、木结构、钢-混组合结构的现状检测内容。</w:t>
      </w:r>
    </w:p>
    <w:p>
      <w:pPr>
        <w:rPr>
          <w:rFonts w:cs="Times New Roman"/>
        </w:rPr>
        <w:sectPr>
          <w:pgSz w:w="11906" w:h="16838"/>
          <w:pgMar w:top="1440" w:right="1080" w:bottom="1440" w:left="1080" w:header="851" w:footer="992" w:gutter="0"/>
          <w:cols w:space="425" w:num="1"/>
          <w:docGrid w:type="lines" w:linePitch="312" w:charSpace="0"/>
        </w:sectPr>
      </w:pPr>
    </w:p>
    <w:p>
      <w:pPr>
        <w:pStyle w:val="2"/>
      </w:pPr>
      <w:bookmarkStart w:id="103" w:name="_Toc513449976"/>
      <w:r>
        <w:t>5. 火灾后结构分析与构件校核</w:t>
      </w:r>
      <w:bookmarkEnd w:id="103"/>
    </w:p>
    <w:p>
      <w:pPr>
        <w:rPr>
          <w:rFonts w:eastAsia="楷体" w:cs="Times New Roman"/>
          <w:szCs w:val="22"/>
        </w:rPr>
      </w:pPr>
      <w:r>
        <w:rPr>
          <w:rFonts w:cs="Times New Roman"/>
          <w:b/>
        </w:rPr>
        <w:t>5.0.1</w:t>
      </w:r>
      <w:r>
        <w:rPr>
          <w:rFonts w:eastAsia="楷体" w:cs="Times New Roman"/>
          <w:szCs w:val="22"/>
        </w:rPr>
        <w:t>火灾后</w:t>
      </w:r>
      <w:r>
        <w:rPr>
          <w:rFonts w:hint="eastAsia" w:eastAsia="楷体" w:cs="Times New Roman"/>
          <w:szCs w:val="22"/>
        </w:rPr>
        <w:t>结构分析</w:t>
      </w:r>
      <w:r>
        <w:rPr>
          <w:rFonts w:eastAsia="楷体" w:cs="Times New Roman"/>
          <w:szCs w:val="22"/>
        </w:rPr>
        <w:t>目的是研究结构火灾后继续使用过程的受力。结构内力分析，应考虑火作用时结构上实际荷载的组合，注意掌握火灾中结构变化全过程（特别应分析最不利状态），火灾后结构的残余状态。</w:t>
      </w:r>
    </w:p>
    <w:p>
      <w:pPr>
        <w:adjustRightInd/>
        <w:snapToGrid/>
        <w:ind w:firstLine="420" w:firstLineChars="200"/>
        <w:rPr>
          <w:rFonts w:cs="Times New Roman"/>
        </w:rPr>
      </w:pPr>
      <w:r>
        <w:rPr>
          <w:rFonts w:eastAsia="楷体" w:cs="Times New Roman"/>
          <w:szCs w:val="22"/>
        </w:rPr>
        <w:t>本规范不</w:t>
      </w:r>
      <w:r>
        <w:rPr>
          <w:rFonts w:hint="eastAsia" w:eastAsia="楷体" w:cs="Times New Roman"/>
          <w:szCs w:val="22"/>
        </w:rPr>
        <w:t>再</w:t>
      </w:r>
      <w:r>
        <w:rPr>
          <w:rFonts w:eastAsia="楷体" w:cs="Times New Roman"/>
          <w:szCs w:val="22"/>
        </w:rPr>
        <w:t>对火灾过程中的结构分析进行</w:t>
      </w:r>
      <w:r>
        <w:rPr>
          <w:rFonts w:hint="eastAsia" w:eastAsia="楷体" w:cs="Times New Roman"/>
          <w:szCs w:val="22"/>
        </w:rPr>
        <w:t>规定。</w:t>
      </w:r>
    </w:p>
    <w:p>
      <w:pPr>
        <w:rPr>
          <w:rFonts w:eastAsia="楷体" w:cs="Times New Roman"/>
          <w:szCs w:val="22"/>
        </w:rPr>
      </w:pPr>
      <w:r>
        <w:rPr>
          <w:rFonts w:cs="Times New Roman"/>
          <w:b/>
        </w:rPr>
        <w:t>5.0.3</w:t>
      </w:r>
      <w:r>
        <w:rPr>
          <w:rFonts w:eastAsia="楷体" w:cs="Times New Roman"/>
          <w:szCs w:val="22"/>
        </w:rPr>
        <w:t>火灾后结构构件强度验算应根据构件材质、尺寸、实际荷载状态和设计状态并考虑火灾造成的残余变形、残余应力及材质性能衰减等因素进行验算。</w:t>
      </w:r>
    </w:p>
    <w:p>
      <w:pPr>
        <w:adjustRightInd/>
        <w:snapToGrid/>
        <w:ind w:firstLine="420" w:firstLineChars="200"/>
        <w:rPr>
          <w:rFonts w:eastAsia="楷体" w:cs="Times New Roman"/>
          <w:szCs w:val="22"/>
        </w:rPr>
      </w:pPr>
      <w:r>
        <w:rPr>
          <w:rFonts w:eastAsia="楷体" w:cs="Times New Roman"/>
          <w:szCs w:val="22"/>
        </w:rPr>
        <w:t>钢构件强度分析时应考虑由于火作用造成钢构件局部变化带来的影响，火灾作用造成连接螺栓带来连接强度的下降等。</w:t>
      </w:r>
    </w:p>
    <w:p>
      <w:pPr>
        <w:rPr>
          <w:rFonts w:cs="Times New Roman"/>
        </w:rPr>
      </w:pPr>
    </w:p>
    <w:p>
      <w:pPr>
        <w:pStyle w:val="2"/>
        <w:rPr>
          <w:rFonts w:cs="Times New Roman"/>
        </w:rPr>
        <w:sectPr>
          <w:headerReference r:id="rId16" w:type="default"/>
          <w:type w:val="continuous"/>
          <w:pgSz w:w="11906" w:h="16838"/>
          <w:pgMar w:top="1440" w:right="1080" w:bottom="1440" w:left="1080" w:header="851" w:footer="1134" w:gutter="0"/>
          <w:cols w:space="425" w:num="1"/>
          <w:docGrid w:type="lines" w:linePitch="312" w:charSpace="0"/>
        </w:sectPr>
      </w:pPr>
    </w:p>
    <w:p>
      <w:pPr>
        <w:pStyle w:val="2"/>
        <w:rPr>
          <w:rFonts w:cs="Times New Roman"/>
        </w:rPr>
      </w:pPr>
      <w:bookmarkStart w:id="104" w:name="_Toc513449977"/>
      <w:r>
        <w:rPr>
          <w:rFonts w:cs="Times New Roman"/>
        </w:rPr>
        <w:t>6  火灾后结构构件鉴定评级</w:t>
      </w:r>
      <w:bookmarkEnd w:id="104"/>
    </w:p>
    <w:p>
      <w:pPr>
        <w:pStyle w:val="3"/>
        <w:rPr>
          <w:rFonts w:ascii="Times New Roman" w:hAnsi="Times New Roman" w:cs="Times New Roman"/>
        </w:rPr>
      </w:pPr>
      <w:r>
        <w:rPr>
          <w:rFonts w:ascii="Times New Roman" w:hAnsi="Times New Roman" w:cs="Times New Roman"/>
        </w:rPr>
        <w:t>6.</w:t>
      </w:r>
      <w:r>
        <w:rPr>
          <w:rFonts w:hint="eastAsia" w:ascii="Times New Roman" w:hAnsi="Times New Roman" w:cs="Times New Roman"/>
        </w:rPr>
        <w:t>1</w:t>
      </w:r>
      <w:r>
        <w:rPr>
          <w:rFonts w:ascii="Times New Roman" w:hAnsi="Times New Roman" w:cs="Times New Roman"/>
        </w:rPr>
        <w:t xml:space="preserve">  </w:t>
      </w:r>
      <w:r>
        <w:rPr>
          <w:rFonts w:hint="eastAsia" w:ascii="Times New Roman" w:hAnsi="Times New Roman" w:cs="Times New Roman"/>
        </w:rPr>
        <w:t>一般规定</w:t>
      </w:r>
    </w:p>
    <w:p>
      <w:pPr>
        <w:adjustRightInd/>
        <w:snapToGrid/>
        <w:rPr>
          <w:rFonts w:eastAsia="楷体" w:cs="Times New Roman"/>
          <w:szCs w:val="22"/>
        </w:rPr>
      </w:pPr>
      <w:r>
        <w:rPr>
          <w:rFonts w:hint="eastAsia" w:eastAsia="楷体" w:cs="Times New Roman"/>
          <w:b/>
          <w:szCs w:val="22"/>
        </w:rPr>
        <w:t>6.1.1~</w:t>
      </w:r>
      <w:r>
        <w:rPr>
          <w:rFonts w:eastAsia="楷体" w:cs="Times New Roman"/>
          <w:b/>
          <w:szCs w:val="22"/>
        </w:rPr>
        <w:t xml:space="preserve">6.1.2 </w:t>
      </w:r>
      <w:r>
        <w:rPr>
          <w:rFonts w:hint="eastAsia" w:eastAsia="楷体" w:cs="Times New Roman"/>
          <w:szCs w:val="22"/>
        </w:rPr>
        <w:t>初步鉴定状态分级中的Ⅱa、Ⅱb、Ⅲ级的条文原则精神一定要掌握。火灾后结构构件的损伤状态不评Ⅰ级。有时火灾表面现象呈伪状态，例如混凝土表面被黑色覆盖，一般定为Ⅱa级状态，即基本正常，没有明显降低构件承载能力和耐久性。这里应指出的事，也许有人认为仍可评Ⅰ级，然而考虑到该构件多少已受到火的影响，若评为Ⅰ级，很难令人接受；因为至少要重新清理和修缮后方能使用。</w:t>
      </w:r>
    </w:p>
    <w:p>
      <w:pPr>
        <w:adjustRightInd/>
        <w:snapToGrid/>
        <w:ind w:firstLine="315" w:firstLineChars="150"/>
        <w:rPr>
          <w:rFonts w:eastAsia="楷体" w:cs="Times New Roman"/>
          <w:szCs w:val="22"/>
        </w:rPr>
      </w:pPr>
      <w:r>
        <w:rPr>
          <w:rFonts w:hint="eastAsia" w:eastAsia="楷体" w:cs="Times New Roman"/>
          <w:szCs w:val="22"/>
        </w:rPr>
        <w:t>另外，在严重火灾后，混凝土构件变形和裂缝非常严重，已严重影响构件承载能力和耐久性，然而其表面由于被碳粒子覆盖，呈黑色，因此，应当先刮去覆盖的碳粒子再检查，此时，构件表面混凝土呈灰白或土黄色。将这一情况与严重变形或裂缝综合考虑，容易确认该构件应定为状态Ⅲ，因此，在初步鉴定中，首先应掌握Ⅱa、Ⅱb、Ⅲ级状态的伪象与基本特征，再依据表6.2.1的内容进行混凝土构件火灾后的状态检查。</w:t>
      </w:r>
    </w:p>
    <w:p>
      <w:pPr>
        <w:adjustRightInd/>
        <w:snapToGrid/>
        <w:ind w:firstLine="420" w:firstLineChars="200"/>
        <w:rPr>
          <w:rFonts w:eastAsia="楷体" w:cs="Times New Roman"/>
          <w:szCs w:val="22"/>
        </w:rPr>
      </w:pPr>
      <w:r>
        <w:rPr>
          <w:rFonts w:hint="eastAsia" w:eastAsia="楷体" w:cs="Times New Roman"/>
          <w:szCs w:val="22"/>
        </w:rPr>
        <w:t>火灾后结构构件的详细鉴定评级是根据结构上的作用及实测的结构参数进行定量的剩余承载力计算分析，然后进行鉴定评级。详细鉴定评级应注意力学计算模型的合理性及火灾后结构物化、几何等各类参数选择的正确性，以便获得正确的计算结果。火灾后构件评级标准与工业与民用鉴定标准基本相同。</w:t>
      </w:r>
    </w:p>
    <w:p/>
    <w:p>
      <w:pPr>
        <w:pStyle w:val="3"/>
        <w:rPr>
          <w:rFonts w:ascii="Times New Roman" w:hAnsi="Times New Roman" w:cs="Times New Roman"/>
        </w:rPr>
      </w:pPr>
      <w:bookmarkStart w:id="105" w:name="_Toc513449978"/>
      <w:r>
        <w:rPr>
          <w:rFonts w:ascii="Times New Roman" w:hAnsi="Times New Roman" w:cs="Times New Roman"/>
        </w:rPr>
        <w:t>6.2  火灾后混凝土结构构件的鉴定评级</w:t>
      </w:r>
      <w:bookmarkEnd w:id="105"/>
    </w:p>
    <w:p>
      <w:pPr>
        <w:rPr>
          <w:rFonts w:eastAsia="楷体" w:cs="Times New Roman"/>
          <w:szCs w:val="22"/>
        </w:rPr>
      </w:pPr>
      <w:r>
        <w:rPr>
          <w:rFonts w:cs="Times New Roman"/>
          <w:b/>
        </w:rPr>
        <w:t>6.2.1</w:t>
      </w:r>
      <w:r>
        <w:rPr>
          <w:rFonts w:eastAsia="楷体" w:cs="Times New Roman"/>
          <w:szCs w:val="22"/>
        </w:rPr>
        <w:t>混凝土结构构件评级一般按板</w:t>
      </w:r>
      <w:r>
        <w:rPr>
          <w:rFonts w:hint="eastAsia" w:eastAsia="楷体" w:cs="Times New Roman"/>
          <w:szCs w:val="22"/>
        </w:rPr>
        <w:t>、</w:t>
      </w:r>
      <w:r>
        <w:rPr>
          <w:rFonts w:eastAsia="楷体" w:cs="Times New Roman"/>
          <w:szCs w:val="22"/>
        </w:rPr>
        <w:t>梁</w:t>
      </w:r>
      <w:r>
        <w:rPr>
          <w:rFonts w:hint="eastAsia" w:eastAsia="楷体" w:cs="Times New Roman"/>
          <w:szCs w:val="22"/>
        </w:rPr>
        <w:t>、</w:t>
      </w:r>
      <w:r>
        <w:rPr>
          <w:rFonts w:eastAsia="楷体" w:cs="Times New Roman"/>
          <w:szCs w:val="22"/>
        </w:rPr>
        <w:t>墙</w:t>
      </w:r>
      <w:r>
        <w:rPr>
          <w:rFonts w:hint="eastAsia" w:eastAsia="楷体" w:cs="Times New Roman"/>
          <w:szCs w:val="22"/>
        </w:rPr>
        <w:t>、</w:t>
      </w:r>
      <w:r>
        <w:rPr>
          <w:rFonts w:eastAsia="楷体" w:cs="Times New Roman"/>
          <w:szCs w:val="22"/>
        </w:rPr>
        <w:t>柱等构件来评定</w:t>
      </w:r>
      <w:r>
        <w:rPr>
          <w:rFonts w:hint="eastAsia" w:eastAsia="楷体" w:cs="Times New Roman"/>
          <w:szCs w:val="22"/>
        </w:rPr>
        <w:t>。</w:t>
      </w:r>
      <w:r>
        <w:rPr>
          <w:rFonts w:eastAsia="楷体" w:cs="Times New Roman"/>
          <w:szCs w:val="22"/>
        </w:rPr>
        <w:t>火灾后混凝土外观特征中</w:t>
      </w:r>
      <w:r>
        <w:rPr>
          <w:rFonts w:hint="eastAsia" w:eastAsia="楷体" w:cs="Times New Roman"/>
          <w:szCs w:val="22"/>
        </w:rPr>
        <w:t>油烟及烟灰应注意熏黑与碳化变黑的区别，此处指熏黑。</w:t>
      </w:r>
    </w:p>
    <w:p>
      <w:pPr>
        <w:adjustRightInd/>
        <w:snapToGrid/>
        <w:ind w:firstLine="420" w:firstLineChars="200"/>
        <w:rPr>
          <w:rFonts w:eastAsia="楷体" w:cs="Times New Roman"/>
          <w:szCs w:val="22"/>
        </w:rPr>
      </w:pPr>
      <w:r>
        <w:rPr>
          <w:rFonts w:hint="eastAsia" w:eastAsia="楷体" w:cs="Times New Roman"/>
          <w:szCs w:val="22"/>
        </w:rPr>
        <w:t>在对火灾后混凝土构件进行初步调查时，除了解混凝土构件设计施工情况和被调查构件周围各种材料的高温变态情况外，主要还应了解火灾后混凝土构件外观特征情况，作为判断火灾的火场温度及构件灼着温度的主要依据。</w:t>
      </w:r>
    </w:p>
    <w:p>
      <w:pPr>
        <w:adjustRightInd/>
        <w:snapToGrid/>
        <w:ind w:firstLine="420" w:firstLineChars="200"/>
        <w:rPr>
          <w:rFonts w:eastAsia="楷体" w:cs="Times New Roman"/>
          <w:szCs w:val="22"/>
        </w:rPr>
      </w:pPr>
      <w:r>
        <w:rPr>
          <w:rFonts w:hint="eastAsia" w:eastAsia="楷体" w:cs="Times New Roman"/>
          <w:szCs w:val="22"/>
        </w:rPr>
        <w:t>从试验结果和大量的调查中可以知道，混凝土构件的外观在受到火灾高温作用后会发生一系列的变化，比如温度不超过300℃时，混凝土表面仅看见黑烟；当温度在300℃～600℃时，混凝土表面会逐渐变色，由粉红色加深到铁锈红；当温度在600℃上升到700℃～800℃时，混凝土表面颜色逐渐泛黄，由浅黄色到土黄色；当温度超过800℃后混凝土表面颜色开始由土黄色变到灰白。又比如，混凝土受到高温作用后，其表面会生成许多网状裂缝，特别当混凝土达到临界温度580℃后，其表面会产生大量裂缝，并会发生爆裂和露筋现象，如果火灾后混凝土构件有爆裂和露筋现象，也说明该构件截面温度梯度变化很大，强度损失亦较大。</w:t>
      </w:r>
    </w:p>
    <w:p>
      <w:pPr>
        <w:adjustRightInd/>
        <w:snapToGrid/>
        <w:ind w:firstLine="420" w:firstLineChars="200"/>
        <w:rPr>
          <w:rFonts w:eastAsia="楷体" w:cs="Times New Roman"/>
          <w:szCs w:val="22"/>
        </w:rPr>
      </w:pPr>
      <w:r>
        <w:rPr>
          <w:rFonts w:hint="eastAsia" w:eastAsia="楷体" w:cs="Times New Roman"/>
          <w:szCs w:val="22"/>
        </w:rPr>
        <w:t>在进行混凝土构件外观调查时，还应注意由于构件设计的标准不同（如截面尺寸、配筋大小、强度等级），构件形状不同以及所处火灾区域不同，混凝土构件所受温度的作用和强度降低的程度都不尽相同。在同等温度作用下，构件截面设计愈大，因尺寸效应的缘故，构件灼着温度相对较低，构件强度降低也较小，构件的形状不同，如楼板厚度较薄，又直接受到火焰冲击，热量不易逸散，其灼着温度较高，强度降低较大，梁虽截面较大，但三面受火，其灼着温度及强度降低次之，柱因截面较大，且侧面受火，其灼着温度及强度降低相对较小。</w:t>
      </w:r>
    </w:p>
    <w:p>
      <w:pPr>
        <w:adjustRightInd/>
        <w:snapToGrid/>
        <w:ind w:firstLine="420" w:firstLineChars="200"/>
        <w:rPr>
          <w:rFonts w:eastAsia="楷体" w:cs="Times New Roman"/>
          <w:szCs w:val="22"/>
        </w:rPr>
      </w:pPr>
      <w:r>
        <w:rPr>
          <w:rFonts w:hint="eastAsia" w:eastAsia="楷体" w:cs="Times New Roman"/>
          <w:szCs w:val="22"/>
        </w:rPr>
        <w:t>表中</w:t>
      </w:r>
      <w:r>
        <w:rPr>
          <w:rFonts w:eastAsia="楷体" w:cs="Times New Roman"/>
          <w:szCs w:val="22"/>
        </w:rPr>
        <w:t>火灾后混凝土楼板、屋面板和梁初步评级中关于火灾裂缝和变形值的定量问题，考虑到混凝土结构火灾裂缝和变形等损伤参数离散性较大，且构件在结构不同部位的重要性不一样，因此正文条文中采取粗线条评判法，由检测鉴定人员在考虑构件火灾损伤程度及构件重要性等诸因素后，综合评定。也可参照下列值评定，即：</w:t>
      </w:r>
    </w:p>
    <w:p>
      <w:pPr>
        <w:adjustRightInd/>
        <w:snapToGrid/>
        <w:ind w:firstLine="420" w:firstLineChars="200"/>
        <w:rPr>
          <w:rFonts w:eastAsia="楷体" w:cs="Times New Roman"/>
          <w:szCs w:val="22"/>
        </w:rPr>
      </w:pPr>
      <w:r>
        <w:rPr>
          <w:rFonts w:eastAsia="楷体" w:cs="Times New Roman"/>
          <w:szCs w:val="22"/>
        </w:rPr>
        <w:t>裂缝宽度&lt;0.1mm为轻微火灾裂缝；</w:t>
      </w:r>
    </w:p>
    <w:p>
      <w:pPr>
        <w:adjustRightInd/>
        <w:snapToGrid/>
        <w:ind w:firstLine="420" w:firstLineChars="200"/>
        <w:rPr>
          <w:rFonts w:eastAsia="楷体" w:cs="Times New Roman"/>
          <w:szCs w:val="22"/>
        </w:rPr>
      </w:pPr>
      <w:r>
        <w:rPr>
          <w:rFonts w:eastAsia="楷体" w:cs="Times New Roman"/>
          <w:szCs w:val="22"/>
        </w:rPr>
        <w:t>裂缝宽度≤1.0mm为中等火灾裂缝；</w:t>
      </w:r>
    </w:p>
    <w:p>
      <w:pPr>
        <w:adjustRightInd/>
        <w:snapToGrid/>
        <w:ind w:firstLine="420" w:firstLineChars="200"/>
        <w:rPr>
          <w:rFonts w:eastAsia="楷体" w:cs="Times New Roman"/>
          <w:szCs w:val="22"/>
        </w:rPr>
      </w:pPr>
      <w:r>
        <w:rPr>
          <w:rFonts w:eastAsia="楷体" w:cs="Times New Roman"/>
          <w:szCs w:val="22"/>
        </w:rPr>
        <w:t>裂缝宽度&gt;1.0mm为火灾粗裂缝。</w:t>
      </w:r>
    </w:p>
    <w:p>
      <w:pPr>
        <w:adjustRightInd/>
        <w:snapToGrid/>
        <w:ind w:firstLine="420" w:firstLineChars="200"/>
        <w:rPr>
          <w:rFonts w:eastAsia="楷体" w:cs="Times New Roman"/>
          <w:szCs w:val="22"/>
        </w:rPr>
      </w:pPr>
      <w:r>
        <w:rPr>
          <w:rFonts w:eastAsia="楷体" w:cs="Times New Roman"/>
          <w:szCs w:val="22"/>
        </w:rPr>
        <w:t>表中变形主要指火灾引起板</w:t>
      </w:r>
      <w:r>
        <w:rPr>
          <w:rFonts w:hint="eastAsia" w:eastAsia="楷体" w:cs="Times New Roman"/>
          <w:szCs w:val="22"/>
        </w:rPr>
        <w:t>、梁构件</w:t>
      </w:r>
      <w:r>
        <w:rPr>
          <w:rFonts w:eastAsia="楷体" w:cs="Times New Roman"/>
          <w:szCs w:val="22"/>
        </w:rPr>
        <w:t>的挠度，可参照下列值作初步评定，即：</w:t>
      </w:r>
    </w:p>
    <w:p>
      <w:pPr>
        <w:adjustRightInd/>
        <w:snapToGrid/>
        <w:ind w:firstLine="420" w:firstLineChars="200"/>
        <w:rPr>
          <w:rFonts w:eastAsia="楷体" w:cs="Times New Roman"/>
          <w:szCs w:val="22"/>
        </w:rPr>
      </w:pPr>
      <w:r>
        <w:rPr>
          <w:rFonts w:eastAsia="楷体" w:cs="Times New Roman"/>
          <w:szCs w:val="22"/>
        </w:rPr>
        <w:sym w:font="Symbol" w:char="F064"/>
      </w:r>
      <w:r>
        <w:rPr>
          <w:rFonts w:eastAsia="楷体" w:cs="Times New Roman"/>
          <w:szCs w:val="22"/>
        </w:rPr>
        <w:t>≤[</w:t>
      </w:r>
      <w:r>
        <w:rPr>
          <w:rFonts w:eastAsia="楷体" w:cs="Times New Roman"/>
          <w:szCs w:val="22"/>
        </w:rPr>
        <w:sym w:font="Symbol" w:char="F064"/>
      </w:r>
      <w:r>
        <w:rPr>
          <w:rFonts w:eastAsia="楷体" w:cs="Times New Roman"/>
          <w:szCs w:val="22"/>
        </w:rPr>
        <w:t>]为</w:t>
      </w:r>
      <w:r>
        <w:rPr>
          <w:rFonts w:hint="eastAsia" w:eastAsia="楷体" w:cs="Times New Roman"/>
          <w:szCs w:val="22"/>
        </w:rPr>
        <w:t>Ⅱ</w:t>
      </w:r>
      <w:r>
        <w:rPr>
          <w:rFonts w:eastAsia="楷体" w:cs="Times New Roman"/>
          <w:szCs w:val="22"/>
          <w:vertAlign w:val="subscript"/>
        </w:rPr>
        <w:t>a</w:t>
      </w:r>
      <w:r>
        <w:rPr>
          <w:rFonts w:eastAsia="楷体" w:cs="Times New Roman"/>
          <w:szCs w:val="22"/>
        </w:rPr>
        <w:t>级，无明显变形；</w:t>
      </w:r>
    </w:p>
    <w:p>
      <w:pPr>
        <w:adjustRightInd/>
        <w:snapToGrid/>
        <w:ind w:firstLine="420" w:firstLineChars="200"/>
        <w:rPr>
          <w:rFonts w:eastAsia="楷体" w:cs="Times New Roman"/>
          <w:szCs w:val="22"/>
        </w:rPr>
      </w:pPr>
      <w:r>
        <w:rPr>
          <w:rFonts w:eastAsia="楷体" w:cs="Times New Roman"/>
          <w:szCs w:val="22"/>
        </w:rPr>
        <w:t>[</w:t>
      </w:r>
      <w:r>
        <w:rPr>
          <w:rFonts w:eastAsia="楷体" w:cs="Times New Roman"/>
          <w:szCs w:val="22"/>
        </w:rPr>
        <w:sym w:font="Symbol" w:char="F064"/>
      </w:r>
      <w:r>
        <w:rPr>
          <w:rFonts w:eastAsia="楷体" w:cs="Times New Roman"/>
          <w:szCs w:val="22"/>
        </w:rPr>
        <w:t>]</w:t>
      </w:r>
      <w:r>
        <w:rPr>
          <w:rFonts w:hint="eastAsia" w:eastAsia="楷体" w:cs="Times New Roman"/>
          <w:szCs w:val="22"/>
        </w:rPr>
        <w:t>＜δ</w:t>
      </w:r>
      <w:r>
        <w:rPr>
          <w:rFonts w:eastAsia="楷体" w:cs="Times New Roman"/>
          <w:szCs w:val="22"/>
        </w:rPr>
        <w:t>≤3[</w:t>
      </w:r>
      <w:r>
        <w:rPr>
          <w:rFonts w:eastAsia="楷体" w:cs="Times New Roman"/>
          <w:szCs w:val="22"/>
        </w:rPr>
        <w:sym w:font="Symbol" w:char="F064"/>
      </w:r>
      <w:r>
        <w:rPr>
          <w:rFonts w:eastAsia="楷体" w:cs="Times New Roman"/>
          <w:szCs w:val="22"/>
        </w:rPr>
        <w:t>]为</w:t>
      </w:r>
      <w:r>
        <w:rPr>
          <w:rFonts w:hint="eastAsia" w:eastAsia="楷体" w:cs="Times New Roman"/>
          <w:szCs w:val="22"/>
        </w:rPr>
        <w:t>Ⅱ</w:t>
      </w:r>
      <w:r>
        <w:rPr>
          <w:rFonts w:eastAsia="楷体" w:cs="Times New Roman"/>
          <w:szCs w:val="22"/>
          <w:vertAlign w:val="subscript"/>
        </w:rPr>
        <w:t>b</w:t>
      </w:r>
      <w:r>
        <w:rPr>
          <w:rFonts w:eastAsia="楷体" w:cs="Times New Roman"/>
          <w:szCs w:val="22"/>
        </w:rPr>
        <w:t>级，中等变形；</w:t>
      </w:r>
    </w:p>
    <w:p>
      <w:pPr>
        <w:adjustRightInd/>
        <w:snapToGrid/>
        <w:ind w:firstLine="420" w:firstLineChars="200"/>
        <w:rPr>
          <w:rFonts w:eastAsia="楷体" w:cs="Times New Roman"/>
          <w:szCs w:val="22"/>
        </w:rPr>
      </w:pPr>
      <w:r>
        <w:rPr>
          <w:rFonts w:eastAsia="楷体" w:cs="Times New Roman"/>
          <w:szCs w:val="22"/>
        </w:rPr>
        <w:sym w:font="Symbol" w:char="F064"/>
      </w:r>
      <w:r>
        <w:rPr>
          <w:rFonts w:eastAsia="楷体" w:cs="Times New Roman"/>
          <w:szCs w:val="22"/>
        </w:rPr>
        <w:t>＞3[</w:t>
      </w:r>
      <w:r>
        <w:rPr>
          <w:rFonts w:eastAsia="楷体" w:cs="Times New Roman"/>
          <w:szCs w:val="22"/>
        </w:rPr>
        <w:sym w:font="Symbol" w:char="F064"/>
      </w:r>
      <w:r>
        <w:rPr>
          <w:rFonts w:eastAsia="楷体" w:cs="Times New Roman"/>
          <w:szCs w:val="22"/>
        </w:rPr>
        <w:t>]为</w:t>
      </w:r>
      <w:r>
        <w:rPr>
          <w:rFonts w:hint="eastAsia" w:eastAsia="楷体" w:cs="Times New Roman"/>
          <w:szCs w:val="22"/>
        </w:rPr>
        <w:t>Ⅲ</w:t>
      </w:r>
      <w:r>
        <w:rPr>
          <w:rFonts w:eastAsia="楷体" w:cs="Times New Roman"/>
          <w:szCs w:val="22"/>
        </w:rPr>
        <w:t>级，较大变形。</w:t>
      </w:r>
    </w:p>
    <w:p>
      <w:pPr>
        <w:adjustRightInd/>
        <w:snapToGrid/>
        <w:ind w:firstLine="420" w:firstLineChars="200"/>
        <w:rPr>
          <w:rFonts w:eastAsia="楷体" w:cs="Times New Roman"/>
          <w:szCs w:val="22"/>
        </w:rPr>
      </w:pPr>
      <w:r>
        <w:rPr>
          <w:rFonts w:eastAsia="楷体" w:cs="Times New Roman"/>
          <w:szCs w:val="22"/>
        </w:rPr>
        <w:t>其中：</w:t>
      </w:r>
      <w:r>
        <w:rPr>
          <w:rFonts w:eastAsia="楷体" w:cs="Times New Roman"/>
          <w:szCs w:val="22"/>
        </w:rPr>
        <w:sym w:font="Symbol" w:char="F064"/>
      </w:r>
      <w:r>
        <w:rPr>
          <w:rFonts w:eastAsia="楷体" w:cs="Times New Roman"/>
          <w:szCs w:val="22"/>
        </w:rPr>
        <w:t>为火灾后受弯构件实际挠度；[</w:t>
      </w:r>
      <w:r>
        <w:rPr>
          <w:rFonts w:eastAsia="楷体" w:cs="Times New Roman"/>
          <w:szCs w:val="22"/>
        </w:rPr>
        <w:sym w:font="Symbol" w:char="F064"/>
      </w:r>
      <w:r>
        <w:rPr>
          <w:rFonts w:eastAsia="楷体" w:cs="Times New Roman"/>
          <w:szCs w:val="22"/>
        </w:rPr>
        <w:t>]为受弯构件的挠度限值，按《混凝土结构设计规范》（GB50010）的规定取值</w:t>
      </w:r>
      <w:r>
        <w:rPr>
          <w:rFonts w:hint="eastAsia" w:eastAsia="楷体" w:cs="Times New Roman"/>
          <w:szCs w:val="22"/>
        </w:rPr>
        <w:t>，其规定如下：</w:t>
      </w:r>
    </w:p>
    <w:p>
      <w:pPr>
        <w:adjustRightInd/>
        <w:snapToGrid/>
        <w:ind w:firstLine="420" w:firstLineChars="200"/>
        <w:jc w:val="center"/>
        <w:rPr>
          <w:rFonts w:eastAsia="楷体" w:cs="Times New Roman"/>
          <w:szCs w:val="22"/>
        </w:rPr>
      </w:pPr>
      <w:r>
        <w:rPr>
          <w:rFonts w:hint="eastAsia" w:eastAsia="楷体" w:cs="Times New Roman"/>
          <w:szCs w:val="22"/>
        </w:rPr>
        <w:t>表1 受弯构件的挠度限值</w:t>
      </w:r>
    </w:p>
    <w:tbl>
      <w:tblPr>
        <w:tblStyle w:val="25"/>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3828"/>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37" w:type="dxa"/>
            <w:gridSpan w:val="2"/>
          </w:tcPr>
          <w:p>
            <w:pPr>
              <w:adjustRightInd/>
              <w:snapToGrid/>
              <w:jc w:val="center"/>
              <w:rPr>
                <w:rFonts w:eastAsia="楷体" w:cs="Times New Roman"/>
                <w:kern w:val="0"/>
                <w:sz w:val="20"/>
                <w:szCs w:val="22"/>
              </w:rPr>
            </w:pPr>
            <w:r>
              <w:rPr>
                <w:rFonts w:eastAsia="楷体" w:cs="Times New Roman"/>
                <w:kern w:val="0"/>
                <w:sz w:val="20"/>
                <w:szCs w:val="22"/>
              </w:rPr>
              <w:t>构件类型</w:t>
            </w:r>
          </w:p>
        </w:tc>
        <w:tc>
          <w:tcPr>
            <w:tcW w:w="2835" w:type="dxa"/>
          </w:tcPr>
          <w:p>
            <w:pPr>
              <w:adjustRightInd/>
              <w:snapToGrid/>
              <w:jc w:val="center"/>
              <w:rPr>
                <w:rFonts w:eastAsia="楷体" w:cs="Times New Roman"/>
                <w:kern w:val="0"/>
                <w:sz w:val="20"/>
                <w:szCs w:val="22"/>
              </w:rPr>
            </w:pPr>
            <w:r>
              <w:rPr>
                <w:rFonts w:eastAsia="楷体" w:cs="Times New Roman"/>
                <w:kern w:val="0"/>
                <w:sz w:val="20"/>
                <w:szCs w:val="22"/>
              </w:rPr>
              <w:t>挠度限值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9" w:type="dxa"/>
            <w:vMerge w:val="restart"/>
          </w:tcPr>
          <w:p>
            <w:pPr>
              <w:adjustRightInd/>
              <w:snapToGrid/>
              <w:jc w:val="center"/>
              <w:rPr>
                <w:rFonts w:eastAsia="楷体" w:cs="Times New Roman"/>
                <w:kern w:val="0"/>
                <w:sz w:val="20"/>
                <w:szCs w:val="22"/>
              </w:rPr>
            </w:pPr>
            <w:r>
              <w:rPr>
                <w:rFonts w:eastAsia="楷体" w:cs="Times New Roman"/>
                <w:kern w:val="0"/>
                <w:sz w:val="20"/>
                <w:szCs w:val="22"/>
              </w:rPr>
              <w:t>吊车梁</w:t>
            </w:r>
          </w:p>
        </w:tc>
        <w:tc>
          <w:tcPr>
            <w:tcW w:w="3828" w:type="dxa"/>
          </w:tcPr>
          <w:p>
            <w:pPr>
              <w:adjustRightInd/>
              <w:snapToGrid/>
              <w:jc w:val="center"/>
              <w:rPr>
                <w:rFonts w:eastAsia="楷体" w:cs="Times New Roman"/>
                <w:kern w:val="0"/>
                <w:sz w:val="20"/>
                <w:szCs w:val="22"/>
              </w:rPr>
            </w:pPr>
            <w:r>
              <w:rPr>
                <w:rFonts w:eastAsia="楷体" w:cs="Times New Roman"/>
                <w:kern w:val="0"/>
                <w:sz w:val="20"/>
                <w:szCs w:val="22"/>
              </w:rPr>
              <w:t>手动吊车</w:t>
            </w:r>
          </w:p>
        </w:tc>
        <w:tc>
          <w:tcPr>
            <w:tcW w:w="2835" w:type="dxa"/>
          </w:tcPr>
          <w:p>
            <w:pPr>
              <w:adjustRightInd/>
              <w:snapToGrid/>
              <w:jc w:val="center"/>
              <w:rPr>
                <w:rFonts w:eastAsia="楷体" w:cs="Times New Roman"/>
                <w:kern w:val="0"/>
                <w:sz w:val="20"/>
                <w:szCs w:val="22"/>
              </w:rPr>
            </w:pPr>
            <w:r>
              <w:rPr>
                <w:rFonts w:eastAsia="楷体" w:cs="Times New Roman"/>
                <w:kern w:val="0"/>
                <w:sz w:val="20"/>
                <w:szCs w:val="22"/>
              </w:rPr>
              <w:t>l</w:t>
            </w:r>
            <w:r>
              <w:rPr>
                <w:rFonts w:eastAsia="楷体" w:cs="Times New Roman"/>
                <w:kern w:val="0"/>
                <w:sz w:val="20"/>
                <w:szCs w:val="22"/>
                <w:vertAlign w:val="subscript"/>
              </w:rPr>
              <w:t>0</w:t>
            </w:r>
            <w:r>
              <w:rPr>
                <w:rFonts w:eastAsia="楷体" w:cs="Times New Roman"/>
                <w:kern w:val="0"/>
                <w:sz w:val="20"/>
                <w:szCs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9" w:type="dxa"/>
            <w:vMerge w:val="continue"/>
          </w:tcPr>
          <w:p>
            <w:pPr>
              <w:adjustRightInd/>
              <w:snapToGrid/>
              <w:jc w:val="center"/>
              <w:rPr>
                <w:rFonts w:eastAsia="楷体" w:cs="Times New Roman"/>
                <w:kern w:val="0"/>
                <w:sz w:val="20"/>
                <w:szCs w:val="22"/>
              </w:rPr>
            </w:pPr>
          </w:p>
        </w:tc>
        <w:tc>
          <w:tcPr>
            <w:tcW w:w="3828" w:type="dxa"/>
          </w:tcPr>
          <w:p>
            <w:pPr>
              <w:adjustRightInd/>
              <w:snapToGrid/>
              <w:jc w:val="center"/>
              <w:rPr>
                <w:rFonts w:eastAsia="楷体" w:cs="Times New Roman"/>
                <w:kern w:val="0"/>
                <w:sz w:val="20"/>
                <w:szCs w:val="22"/>
              </w:rPr>
            </w:pPr>
            <w:r>
              <w:rPr>
                <w:rFonts w:eastAsia="楷体" w:cs="Times New Roman"/>
                <w:kern w:val="0"/>
                <w:sz w:val="20"/>
                <w:szCs w:val="22"/>
              </w:rPr>
              <w:t>电动吊车</w:t>
            </w:r>
          </w:p>
        </w:tc>
        <w:tc>
          <w:tcPr>
            <w:tcW w:w="2835" w:type="dxa"/>
          </w:tcPr>
          <w:p>
            <w:pPr>
              <w:adjustRightInd/>
              <w:snapToGrid/>
              <w:jc w:val="center"/>
              <w:rPr>
                <w:rFonts w:eastAsia="楷体" w:cs="Times New Roman"/>
                <w:kern w:val="0"/>
                <w:sz w:val="20"/>
                <w:szCs w:val="22"/>
              </w:rPr>
            </w:pPr>
            <w:r>
              <w:rPr>
                <w:rFonts w:eastAsia="楷体" w:cs="Times New Roman"/>
                <w:kern w:val="0"/>
                <w:sz w:val="20"/>
                <w:szCs w:val="22"/>
              </w:rPr>
              <w:t>l</w:t>
            </w:r>
            <w:r>
              <w:rPr>
                <w:rFonts w:eastAsia="楷体" w:cs="Times New Roman"/>
                <w:kern w:val="0"/>
                <w:sz w:val="20"/>
                <w:szCs w:val="22"/>
                <w:vertAlign w:val="subscript"/>
              </w:rPr>
              <w:t>0</w:t>
            </w:r>
            <w:r>
              <w:rPr>
                <w:rFonts w:eastAsia="楷体" w:cs="Times New Roman"/>
                <w:kern w:val="0"/>
                <w:sz w:val="20"/>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9" w:type="dxa"/>
            <w:vMerge w:val="restart"/>
          </w:tcPr>
          <w:p>
            <w:pPr>
              <w:adjustRightInd/>
              <w:snapToGrid/>
              <w:jc w:val="center"/>
              <w:rPr>
                <w:rFonts w:eastAsia="楷体" w:cs="Times New Roman"/>
                <w:kern w:val="0"/>
                <w:sz w:val="20"/>
                <w:szCs w:val="22"/>
              </w:rPr>
            </w:pPr>
            <w:r>
              <w:rPr>
                <w:rFonts w:eastAsia="楷体" w:cs="Times New Roman"/>
                <w:kern w:val="0"/>
                <w:sz w:val="20"/>
                <w:szCs w:val="22"/>
              </w:rPr>
              <w:t>屋盖、楼盖及楼梯构件</w:t>
            </w:r>
          </w:p>
        </w:tc>
        <w:tc>
          <w:tcPr>
            <w:tcW w:w="3828" w:type="dxa"/>
          </w:tcPr>
          <w:p>
            <w:pPr>
              <w:adjustRightInd/>
              <w:snapToGrid/>
              <w:jc w:val="center"/>
              <w:rPr>
                <w:rFonts w:eastAsia="楷体" w:cs="Times New Roman"/>
                <w:kern w:val="0"/>
                <w:sz w:val="20"/>
                <w:szCs w:val="22"/>
              </w:rPr>
            </w:pPr>
            <w:r>
              <w:rPr>
                <w:rFonts w:eastAsia="楷体" w:cs="Times New Roman"/>
                <w:kern w:val="0"/>
                <w:sz w:val="20"/>
                <w:szCs w:val="22"/>
              </w:rPr>
              <w:t>当l</w:t>
            </w:r>
            <w:r>
              <w:rPr>
                <w:rFonts w:eastAsia="楷体" w:cs="Times New Roman"/>
                <w:kern w:val="0"/>
                <w:sz w:val="20"/>
                <w:szCs w:val="22"/>
                <w:vertAlign w:val="subscript"/>
              </w:rPr>
              <w:t>0</w:t>
            </w:r>
            <w:r>
              <w:rPr>
                <w:rFonts w:hint="eastAsia" w:eastAsia="楷体" w:cs="Times New Roman"/>
                <w:kern w:val="0"/>
                <w:sz w:val="20"/>
                <w:szCs w:val="22"/>
              </w:rPr>
              <w:t>＜7m时</w:t>
            </w:r>
          </w:p>
        </w:tc>
        <w:tc>
          <w:tcPr>
            <w:tcW w:w="2835" w:type="dxa"/>
          </w:tcPr>
          <w:p>
            <w:pPr>
              <w:adjustRightInd/>
              <w:snapToGrid/>
              <w:jc w:val="center"/>
              <w:rPr>
                <w:rFonts w:eastAsia="楷体" w:cs="Times New Roman"/>
                <w:kern w:val="0"/>
                <w:sz w:val="20"/>
                <w:szCs w:val="22"/>
              </w:rPr>
            </w:pPr>
            <w:r>
              <w:rPr>
                <w:rFonts w:eastAsia="楷体" w:cs="Times New Roman"/>
                <w:kern w:val="0"/>
                <w:sz w:val="20"/>
                <w:szCs w:val="22"/>
              </w:rPr>
              <w:t>l</w:t>
            </w:r>
            <w:r>
              <w:rPr>
                <w:rFonts w:eastAsia="楷体" w:cs="Times New Roman"/>
                <w:kern w:val="0"/>
                <w:sz w:val="20"/>
                <w:szCs w:val="22"/>
                <w:vertAlign w:val="subscript"/>
              </w:rPr>
              <w:t>0</w:t>
            </w:r>
            <w:r>
              <w:rPr>
                <w:rFonts w:eastAsia="楷体" w:cs="Times New Roman"/>
                <w:kern w:val="0"/>
                <w:sz w:val="20"/>
                <w:szCs w:val="22"/>
              </w:rPr>
              <w:t>/</w:t>
            </w:r>
            <w:r>
              <w:rPr>
                <w:rFonts w:hint="eastAsia" w:eastAsia="楷体" w:cs="Times New Roman"/>
                <w:kern w:val="0"/>
                <w:sz w:val="20"/>
                <w:szCs w:val="22"/>
              </w:rPr>
              <w:t>2</w:t>
            </w:r>
            <w:r>
              <w:rPr>
                <w:rFonts w:eastAsia="楷体" w:cs="Times New Roman"/>
                <w:kern w:val="0"/>
                <w:sz w:val="20"/>
                <w:szCs w:val="22"/>
              </w:rPr>
              <w:t>00</w:t>
            </w:r>
            <w:r>
              <w:rPr>
                <w:rFonts w:hint="eastAsia" w:eastAsia="楷体" w:cs="Times New Roman"/>
                <w:kern w:val="0"/>
                <w:sz w:val="20"/>
                <w:szCs w:val="22"/>
              </w:rPr>
              <w:t>（</w:t>
            </w:r>
            <w:r>
              <w:rPr>
                <w:rFonts w:eastAsia="楷体" w:cs="Times New Roman"/>
                <w:kern w:val="0"/>
                <w:sz w:val="20"/>
                <w:szCs w:val="22"/>
              </w:rPr>
              <w:t>l</w:t>
            </w:r>
            <w:r>
              <w:rPr>
                <w:rFonts w:eastAsia="楷体" w:cs="Times New Roman"/>
                <w:kern w:val="0"/>
                <w:sz w:val="20"/>
                <w:szCs w:val="22"/>
                <w:vertAlign w:val="subscript"/>
              </w:rPr>
              <w:t>0</w:t>
            </w:r>
            <w:r>
              <w:rPr>
                <w:rFonts w:eastAsia="楷体" w:cs="Times New Roman"/>
                <w:kern w:val="0"/>
                <w:sz w:val="20"/>
                <w:szCs w:val="22"/>
              </w:rPr>
              <w:t>/</w:t>
            </w:r>
            <w:r>
              <w:rPr>
                <w:rFonts w:hint="eastAsia" w:eastAsia="楷体" w:cs="Times New Roman"/>
                <w:kern w:val="0"/>
                <w:sz w:val="20"/>
                <w:szCs w:val="22"/>
              </w:rPr>
              <w:t>25</w:t>
            </w:r>
            <w:r>
              <w:rPr>
                <w:rFonts w:eastAsia="楷体" w:cs="Times New Roman"/>
                <w:kern w:val="0"/>
                <w:sz w:val="20"/>
                <w:szCs w:val="22"/>
              </w:rPr>
              <w:t>0</w:t>
            </w:r>
            <w:r>
              <w:rPr>
                <w:rFonts w:hint="eastAsia" w:eastAsia="楷体" w:cs="Times New Roman"/>
                <w:kern w:val="0"/>
                <w:sz w:val="20"/>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9" w:type="dxa"/>
            <w:vMerge w:val="continue"/>
          </w:tcPr>
          <w:p>
            <w:pPr>
              <w:adjustRightInd/>
              <w:snapToGrid/>
              <w:jc w:val="center"/>
              <w:rPr>
                <w:rFonts w:eastAsia="楷体" w:cs="Times New Roman"/>
                <w:kern w:val="0"/>
                <w:sz w:val="20"/>
                <w:szCs w:val="22"/>
              </w:rPr>
            </w:pPr>
          </w:p>
        </w:tc>
        <w:tc>
          <w:tcPr>
            <w:tcW w:w="3828" w:type="dxa"/>
          </w:tcPr>
          <w:p>
            <w:pPr>
              <w:adjustRightInd/>
              <w:snapToGrid/>
              <w:jc w:val="center"/>
              <w:rPr>
                <w:rFonts w:eastAsia="楷体" w:cs="Times New Roman"/>
                <w:kern w:val="0"/>
                <w:sz w:val="20"/>
                <w:szCs w:val="22"/>
              </w:rPr>
            </w:pPr>
            <w:r>
              <w:rPr>
                <w:rFonts w:eastAsia="楷体" w:cs="Times New Roman"/>
                <w:kern w:val="0"/>
                <w:sz w:val="20"/>
                <w:szCs w:val="22"/>
              </w:rPr>
              <w:t>当</w:t>
            </w:r>
            <w:r>
              <w:rPr>
                <w:rFonts w:hint="eastAsia" w:eastAsia="楷体" w:cs="Times New Roman"/>
                <w:kern w:val="0"/>
                <w:sz w:val="20"/>
                <w:szCs w:val="22"/>
              </w:rPr>
              <w:t>7m≤</w:t>
            </w:r>
            <w:r>
              <w:rPr>
                <w:rFonts w:eastAsia="楷体" w:cs="Times New Roman"/>
                <w:kern w:val="0"/>
                <w:sz w:val="20"/>
                <w:szCs w:val="22"/>
              </w:rPr>
              <w:t>l</w:t>
            </w:r>
            <w:r>
              <w:rPr>
                <w:rFonts w:eastAsia="楷体" w:cs="Times New Roman"/>
                <w:kern w:val="0"/>
                <w:sz w:val="20"/>
                <w:szCs w:val="22"/>
                <w:vertAlign w:val="subscript"/>
              </w:rPr>
              <w:t>0</w:t>
            </w:r>
            <w:r>
              <w:rPr>
                <w:rFonts w:hint="eastAsia" w:eastAsia="楷体" w:cs="Times New Roman"/>
                <w:kern w:val="0"/>
                <w:sz w:val="20"/>
                <w:szCs w:val="22"/>
              </w:rPr>
              <w:t>≤9m时</w:t>
            </w:r>
          </w:p>
        </w:tc>
        <w:tc>
          <w:tcPr>
            <w:tcW w:w="2835" w:type="dxa"/>
          </w:tcPr>
          <w:p>
            <w:pPr>
              <w:adjustRightInd/>
              <w:snapToGrid/>
              <w:jc w:val="center"/>
              <w:rPr>
                <w:rFonts w:eastAsia="楷体" w:cs="Times New Roman"/>
                <w:kern w:val="0"/>
                <w:sz w:val="20"/>
                <w:szCs w:val="22"/>
              </w:rPr>
            </w:pPr>
            <w:r>
              <w:rPr>
                <w:rFonts w:eastAsia="楷体" w:cs="Times New Roman"/>
                <w:kern w:val="0"/>
                <w:sz w:val="20"/>
                <w:szCs w:val="22"/>
              </w:rPr>
              <w:t>l</w:t>
            </w:r>
            <w:r>
              <w:rPr>
                <w:rFonts w:eastAsia="楷体" w:cs="Times New Roman"/>
                <w:kern w:val="0"/>
                <w:sz w:val="20"/>
                <w:szCs w:val="22"/>
                <w:vertAlign w:val="subscript"/>
              </w:rPr>
              <w:t>0</w:t>
            </w:r>
            <w:r>
              <w:rPr>
                <w:rFonts w:eastAsia="楷体" w:cs="Times New Roman"/>
                <w:kern w:val="0"/>
                <w:sz w:val="20"/>
                <w:szCs w:val="22"/>
              </w:rPr>
              <w:t>/</w:t>
            </w:r>
            <w:r>
              <w:rPr>
                <w:rFonts w:hint="eastAsia" w:eastAsia="楷体" w:cs="Times New Roman"/>
                <w:kern w:val="0"/>
                <w:sz w:val="20"/>
                <w:szCs w:val="22"/>
              </w:rPr>
              <w:t>25</w:t>
            </w:r>
            <w:r>
              <w:rPr>
                <w:rFonts w:eastAsia="楷体" w:cs="Times New Roman"/>
                <w:kern w:val="0"/>
                <w:sz w:val="20"/>
                <w:szCs w:val="22"/>
              </w:rPr>
              <w:t>0</w:t>
            </w:r>
            <w:r>
              <w:rPr>
                <w:rFonts w:hint="eastAsia" w:eastAsia="楷体" w:cs="Times New Roman"/>
                <w:kern w:val="0"/>
                <w:sz w:val="20"/>
                <w:szCs w:val="22"/>
              </w:rPr>
              <w:t>（</w:t>
            </w:r>
            <w:r>
              <w:rPr>
                <w:rFonts w:eastAsia="楷体" w:cs="Times New Roman"/>
                <w:kern w:val="0"/>
                <w:sz w:val="20"/>
                <w:szCs w:val="22"/>
              </w:rPr>
              <w:t>l</w:t>
            </w:r>
            <w:r>
              <w:rPr>
                <w:rFonts w:eastAsia="楷体" w:cs="Times New Roman"/>
                <w:kern w:val="0"/>
                <w:sz w:val="20"/>
                <w:szCs w:val="22"/>
                <w:vertAlign w:val="subscript"/>
              </w:rPr>
              <w:t>0</w:t>
            </w:r>
            <w:r>
              <w:rPr>
                <w:rFonts w:eastAsia="楷体" w:cs="Times New Roman"/>
                <w:kern w:val="0"/>
                <w:sz w:val="20"/>
                <w:szCs w:val="22"/>
              </w:rPr>
              <w:t>/</w:t>
            </w:r>
            <w:r>
              <w:rPr>
                <w:rFonts w:hint="eastAsia" w:eastAsia="楷体" w:cs="Times New Roman"/>
                <w:kern w:val="0"/>
                <w:sz w:val="20"/>
                <w:szCs w:val="22"/>
              </w:rPr>
              <w:t>30</w:t>
            </w:r>
            <w:r>
              <w:rPr>
                <w:rFonts w:eastAsia="楷体" w:cs="Times New Roman"/>
                <w:kern w:val="0"/>
                <w:sz w:val="20"/>
                <w:szCs w:val="22"/>
              </w:rPr>
              <w:t>0</w:t>
            </w:r>
            <w:r>
              <w:rPr>
                <w:rFonts w:hint="eastAsia" w:eastAsia="楷体" w:cs="Times New Roman"/>
                <w:kern w:val="0"/>
                <w:sz w:val="20"/>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9" w:type="dxa"/>
            <w:vMerge w:val="continue"/>
          </w:tcPr>
          <w:p>
            <w:pPr>
              <w:adjustRightInd/>
              <w:snapToGrid/>
              <w:jc w:val="center"/>
              <w:rPr>
                <w:rFonts w:eastAsia="楷体" w:cs="Times New Roman"/>
                <w:kern w:val="0"/>
                <w:sz w:val="20"/>
                <w:szCs w:val="22"/>
              </w:rPr>
            </w:pPr>
          </w:p>
        </w:tc>
        <w:tc>
          <w:tcPr>
            <w:tcW w:w="3828" w:type="dxa"/>
          </w:tcPr>
          <w:p>
            <w:pPr>
              <w:adjustRightInd/>
              <w:snapToGrid/>
              <w:jc w:val="center"/>
              <w:rPr>
                <w:rFonts w:eastAsia="楷体" w:cs="Times New Roman"/>
                <w:kern w:val="0"/>
                <w:sz w:val="20"/>
                <w:szCs w:val="22"/>
              </w:rPr>
            </w:pPr>
            <w:r>
              <w:rPr>
                <w:rFonts w:eastAsia="楷体" w:cs="Times New Roman"/>
                <w:kern w:val="0"/>
                <w:sz w:val="20"/>
                <w:szCs w:val="22"/>
              </w:rPr>
              <w:t>当l</w:t>
            </w:r>
            <w:r>
              <w:rPr>
                <w:rFonts w:eastAsia="楷体" w:cs="Times New Roman"/>
                <w:kern w:val="0"/>
                <w:sz w:val="20"/>
                <w:szCs w:val="22"/>
                <w:vertAlign w:val="subscript"/>
              </w:rPr>
              <w:t>0</w:t>
            </w:r>
            <w:r>
              <w:rPr>
                <w:rFonts w:hint="eastAsia" w:eastAsia="楷体" w:cs="Times New Roman"/>
                <w:kern w:val="0"/>
                <w:sz w:val="20"/>
                <w:szCs w:val="22"/>
              </w:rPr>
              <w:t>＞9m时</w:t>
            </w:r>
          </w:p>
        </w:tc>
        <w:tc>
          <w:tcPr>
            <w:tcW w:w="2835" w:type="dxa"/>
          </w:tcPr>
          <w:p>
            <w:pPr>
              <w:adjustRightInd/>
              <w:snapToGrid/>
              <w:jc w:val="center"/>
              <w:rPr>
                <w:rFonts w:eastAsia="楷体" w:cs="Times New Roman"/>
                <w:kern w:val="0"/>
                <w:sz w:val="20"/>
                <w:szCs w:val="22"/>
              </w:rPr>
            </w:pPr>
            <w:r>
              <w:rPr>
                <w:rFonts w:eastAsia="楷体" w:cs="Times New Roman"/>
                <w:kern w:val="0"/>
                <w:sz w:val="20"/>
                <w:szCs w:val="22"/>
              </w:rPr>
              <w:t>l</w:t>
            </w:r>
            <w:r>
              <w:rPr>
                <w:rFonts w:eastAsia="楷体" w:cs="Times New Roman"/>
                <w:kern w:val="0"/>
                <w:sz w:val="20"/>
                <w:szCs w:val="22"/>
                <w:vertAlign w:val="subscript"/>
              </w:rPr>
              <w:t>0</w:t>
            </w:r>
            <w:r>
              <w:rPr>
                <w:rFonts w:eastAsia="楷体" w:cs="Times New Roman"/>
                <w:kern w:val="0"/>
                <w:sz w:val="20"/>
                <w:szCs w:val="22"/>
              </w:rPr>
              <w:t>/</w:t>
            </w:r>
            <w:r>
              <w:rPr>
                <w:rFonts w:hint="eastAsia" w:eastAsia="楷体" w:cs="Times New Roman"/>
                <w:kern w:val="0"/>
                <w:sz w:val="20"/>
                <w:szCs w:val="22"/>
              </w:rPr>
              <w:t>30</w:t>
            </w:r>
            <w:r>
              <w:rPr>
                <w:rFonts w:eastAsia="楷体" w:cs="Times New Roman"/>
                <w:kern w:val="0"/>
                <w:sz w:val="20"/>
                <w:szCs w:val="22"/>
              </w:rPr>
              <w:t>0</w:t>
            </w:r>
            <w:r>
              <w:rPr>
                <w:rFonts w:hint="eastAsia" w:eastAsia="楷体" w:cs="Times New Roman"/>
                <w:kern w:val="0"/>
                <w:sz w:val="20"/>
                <w:szCs w:val="22"/>
              </w:rPr>
              <w:t>（</w:t>
            </w:r>
            <w:r>
              <w:rPr>
                <w:rFonts w:eastAsia="楷体" w:cs="Times New Roman"/>
                <w:kern w:val="0"/>
                <w:sz w:val="20"/>
                <w:szCs w:val="22"/>
              </w:rPr>
              <w:t>l</w:t>
            </w:r>
            <w:r>
              <w:rPr>
                <w:rFonts w:eastAsia="楷体" w:cs="Times New Roman"/>
                <w:kern w:val="0"/>
                <w:sz w:val="20"/>
                <w:szCs w:val="22"/>
                <w:vertAlign w:val="subscript"/>
              </w:rPr>
              <w:t>0</w:t>
            </w:r>
            <w:r>
              <w:rPr>
                <w:rFonts w:eastAsia="楷体" w:cs="Times New Roman"/>
                <w:kern w:val="0"/>
                <w:sz w:val="20"/>
                <w:szCs w:val="22"/>
              </w:rPr>
              <w:t>/</w:t>
            </w:r>
            <w:r>
              <w:rPr>
                <w:rFonts w:hint="eastAsia" w:eastAsia="楷体" w:cs="Times New Roman"/>
                <w:kern w:val="0"/>
                <w:sz w:val="20"/>
                <w:szCs w:val="22"/>
              </w:rPr>
              <w:t>40</w:t>
            </w:r>
            <w:r>
              <w:rPr>
                <w:rFonts w:eastAsia="楷体" w:cs="Times New Roman"/>
                <w:kern w:val="0"/>
                <w:sz w:val="20"/>
                <w:szCs w:val="22"/>
              </w:rPr>
              <w:t>0</w:t>
            </w:r>
            <w:r>
              <w:rPr>
                <w:rFonts w:hint="eastAsia" w:eastAsia="楷体" w:cs="Times New Roman"/>
                <w:kern w:val="0"/>
                <w:sz w:val="20"/>
                <w:szCs w:val="22"/>
              </w:rPr>
              <w:t>）</w:t>
            </w:r>
          </w:p>
        </w:tc>
      </w:tr>
    </w:tbl>
    <w:p>
      <w:pPr>
        <w:adjustRightInd/>
        <w:snapToGrid/>
        <w:ind w:firstLine="420" w:firstLineChars="200"/>
        <w:rPr>
          <w:rFonts w:eastAsia="楷体" w:cs="Times New Roman"/>
          <w:szCs w:val="22"/>
        </w:rPr>
      </w:pPr>
      <w:r>
        <w:rPr>
          <w:rFonts w:hint="eastAsia" w:eastAsia="楷体" w:cs="Times New Roman"/>
          <w:szCs w:val="22"/>
        </w:rPr>
        <w:t>注：1、</w:t>
      </w:r>
      <w:r>
        <w:rPr>
          <w:rFonts w:eastAsia="楷体" w:cs="Times New Roman"/>
          <w:szCs w:val="22"/>
        </w:rPr>
        <w:t>lo为构件的计算跨度；计算悬臂构件的挠度限值时，其计算跨度lo按实际悬臂长度的2倍取用。</w:t>
      </w:r>
    </w:p>
    <w:p>
      <w:pPr>
        <w:adjustRightInd/>
        <w:snapToGrid/>
        <w:ind w:firstLine="735" w:firstLineChars="350"/>
        <w:rPr>
          <w:rFonts w:eastAsia="楷体" w:cs="Times New Roman"/>
          <w:szCs w:val="22"/>
        </w:rPr>
      </w:pPr>
      <w:r>
        <w:rPr>
          <w:rFonts w:hint="eastAsia" w:eastAsia="楷体" w:cs="Times New Roman"/>
          <w:szCs w:val="22"/>
        </w:rPr>
        <w:t>2、表中括号内的数值适用于使用上对挠度有较高要求的构件。</w:t>
      </w:r>
    </w:p>
    <w:p>
      <w:pPr>
        <w:adjustRightInd/>
        <w:snapToGrid/>
        <w:ind w:firstLine="420" w:firstLineChars="200"/>
        <w:rPr>
          <w:rFonts w:eastAsia="楷体" w:cs="Times New Roman"/>
          <w:szCs w:val="22"/>
        </w:rPr>
      </w:pPr>
      <w:r>
        <w:rPr>
          <w:rFonts w:hint="eastAsia" w:eastAsia="楷体" w:cs="Times New Roman"/>
          <w:szCs w:val="22"/>
        </w:rPr>
        <w:t>本次修编增加了预应力混凝土构件初步鉴定评级的内容，表6.2.1中关于预应力锚具的规定来源于</w:t>
      </w:r>
      <w:r>
        <w:rPr>
          <w:rFonts w:eastAsia="楷体" w:cs="Times New Roman"/>
          <w:szCs w:val="22"/>
        </w:rPr>
        <w:t>哈尔滨工业大学</w:t>
      </w:r>
      <w:r>
        <w:rPr>
          <w:rFonts w:hint="eastAsia" w:eastAsia="楷体" w:cs="Times New Roman"/>
          <w:szCs w:val="22"/>
        </w:rPr>
        <w:t>所</w:t>
      </w:r>
      <w:r>
        <w:rPr>
          <w:rFonts w:eastAsia="楷体" w:cs="Times New Roman"/>
          <w:szCs w:val="22"/>
        </w:rPr>
        <w:t>完成</w:t>
      </w:r>
      <w:r>
        <w:rPr>
          <w:rFonts w:hint="eastAsia" w:eastAsia="楷体" w:cs="Times New Roman"/>
          <w:szCs w:val="22"/>
        </w:rPr>
        <w:t>的</w:t>
      </w:r>
      <w:r>
        <w:rPr>
          <w:rFonts w:eastAsia="楷体" w:cs="Times New Roman"/>
          <w:szCs w:val="22"/>
        </w:rPr>
        <w:t>65组锚具-预应力PC钢棒组装件高温时、高温后锚固性能试验</w:t>
      </w:r>
      <w:r>
        <w:rPr>
          <w:rFonts w:hint="eastAsia" w:eastAsia="楷体" w:cs="Times New Roman"/>
          <w:szCs w:val="22"/>
        </w:rPr>
        <w:t>。</w:t>
      </w:r>
      <w:r>
        <w:rPr>
          <w:rFonts w:eastAsia="楷体" w:cs="Times New Roman"/>
          <w:szCs w:val="22"/>
        </w:rPr>
        <w:t>结果表明：火灾后锚具的锚固能力几乎完全损失，故建议火灾后</w:t>
      </w:r>
      <w:r>
        <w:rPr>
          <w:rFonts w:hint="eastAsia" w:eastAsia="楷体" w:cs="Times New Roman"/>
          <w:szCs w:val="22"/>
        </w:rPr>
        <w:t>历经最高温度超过200℃的</w:t>
      </w:r>
      <w:r>
        <w:rPr>
          <w:rFonts w:eastAsia="楷体" w:cs="Times New Roman"/>
          <w:szCs w:val="22"/>
        </w:rPr>
        <w:t>锚具不得重新使用。详见文献“侯晓萌,郑文忠,孙洪宇.火灾作用下锚具对预应力钢棒锚固性能退化规律研究[J]. 建筑结构学报, 2014,35(3):110-118”。</w:t>
      </w:r>
    </w:p>
    <w:p>
      <w:pPr>
        <w:rPr>
          <w:rFonts w:eastAsia="楷体" w:cs="Times New Roman"/>
          <w:szCs w:val="22"/>
        </w:rPr>
      </w:pPr>
      <w:r>
        <w:rPr>
          <w:rFonts w:cs="Times New Roman"/>
          <w:b/>
        </w:rPr>
        <w:t>6.2.2</w:t>
      </w:r>
      <w:r>
        <w:rPr>
          <w:rFonts w:eastAsia="楷体" w:cs="Times New Roman"/>
          <w:szCs w:val="22"/>
        </w:rPr>
        <w:t>当采用抽样试验</w:t>
      </w:r>
      <w:r>
        <w:rPr>
          <w:rFonts w:hint="eastAsia" w:eastAsia="楷体" w:cs="Times New Roman"/>
          <w:szCs w:val="22"/>
        </w:rPr>
        <w:t>确定</w:t>
      </w:r>
      <w:r>
        <w:rPr>
          <w:rFonts w:eastAsia="楷体" w:cs="Times New Roman"/>
          <w:szCs w:val="22"/>
        </w:rPr>
        <w:t>火灾后混凝土</w:t>
      </w:r>
      <w:r>
        <w:rPr>
          <w:rFonts w:hint="eastAsia" w:eastAsia="楷体" w:cs="Times New Roman"/>
          <w:szCs w:val="22"/>
        </w:rPr>
        <w:t>强度时</w:t>
      </w:r>
      <w:r>
        <w:rPr>
          <w:rFonts w:eastAsia="楷体" w:cs="Times New Roman"/>
          <w:szCs w:val="22"/>
        </w:rPr>
        <w:t>，混凝土校准芯样高温和常温宜各取6个，</w:t>
      </w:r>
      <w:r>
        <w:rPr>
          <w:rFonts w:hint="eastAsia" w:eastAsia="楷体" w:cs="Times New Roman"/>
          <w:szCs w:val="22"/>
        </w:rPr>
        <w:t>若受实际条件限制，至少也应各取</w:t>
      </w:r>
      <w:r>
        <w:rPr>
          <w:rFonts w:eastAsia="楷体" w:cs="Times New Roman"/>
          <w:szCs w:val="22"/>
        </w:rPr>
        <w:t>3个；必要时，进行钢筋取样试验。</w:t>
      </w:r>
    </w:p>
    <w:p>
      <w:pPr>
        <w:adjustRightInd/>
        <w:snapToGrid/>
        <w:ind w:firstLine="420" w:firstLineChars="200"/>
        <w:rPr>
          <w:rFonts w:eastAsia="楷体" w:cs="Times New Roman"/>
          <w:szCs w:val="22"/>
        </w:rPr>
      </w:pPr>
      <w:r>
        <w:rPr>
          <w:rFonts w:hint="eastAsia" w:eastAsia="楷体" w:cs="Times New Roman"/>
          <w:szCs w:val="22"/>
        </w:rPr>
        <w:t>《工业建筑可靠性鉴定标准》（GB50144）和《民用建筑可靠性鉴定标准》（GB50292）对未受火灾作用的构件，评定为a、b、c、d级，</w:t>
      </w:r>
      <w:bookmarkStart w:id="106" w:name="OLE_LINK6"/>
      <w:bookmarkStart w:id="107" w:name="OLE_LINK7"/>
      <w:bookmarkStart w:id="108" w:name="OLE_LINK8"/>
      <w:r>
        <w:rPr>
          <w:rFonts w:hint="eastAsia" w:eastAsia="楷体" w:cs="Times New Roman"/>
          <w:szCs w:val="22"/>
        </w:rPr>
        <w:t>当受到火灾影响的构件可参照《工业建筑可靠性鉴定标准》（GB50144）和《民用建筑可靠性鉴定标准》（GB50292）按照表2下列原则评定为b、</w:t>
      </w:r>
      <w:r>
        <w:rPr>
          <w:rFonts w:eastAsia="楷体" w:cs="Times New Roman"/>
          <w:szCs w:val="22"/>
        </w:rPr>
        <w:t>c</w:t>
      </w:r>
      <w:r>
        <w:rPr>
          <w:rFonts w:hint="eastAsia" w:eastAsia="楷体" w:cs="Times New Roman"/>
          <w:szCs w:val="22"/>
        </w:rPr>
        <w:t>、</w:t>
      </w:r>
      <w:r>
        <w:rPr>
          <w:rFonts w:eastAsia="楷体" w:cs="Times New Roman"/>
          <w:szCs w:val="22"/>
        </w:rPr>
        <w:t>d级</w:t>
      </w:r>
      <w:r>
        <w:rPr>
          <w:rFonts w:hint="eastAsia" w:eastAsia="楷体" w:cs="Times New Roman"/>
          <w:szCs w:val="22"/>
        </w:rPr>
        <w:t>。</w:t>
      </w:r>
    </w:p>
    <w:bookmarkEnd w:id="106"/>
    <w:bookmarkEnd w:id="107"/>
    <w:bookmarkEnd w:id="108"/>
    <w:p>
      <w:pPr>
        <w:spacing w:beforeLines="50" w:line="276" w:lineRule="auto"/>
        <w:jc w:val="center"/>
        <w:rPr>
          <w:rFonts w:ascii="楷体" w:hAnsi="楷体" w:eastAsia="楷体"/>
          <w:szCs w:val="21"/>
        </w:rPr>
      </w:pPr>
      <w:r>
        <w:rPr>
          <w:rFonts w:hint="eastAsia" w:ascii="楷体" w:hAnsi="楷体" w:eastAsia="楷体"/>
          <w:szCs w:val="21"/>
        </w:rPr>
        <w:t>表2  受火灾影响的混凝土构件承载能力评定等级</w:t>
      </w:r>
    </w:p>
    <w:tbl>
      <w:tblPr>
        <w:tblStyle w:val="25"/>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056"/>
        <w:gridCol w:w="2823"/>
        <w:gridCol w:w="2650"/>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2317" w:type="dxa"/>
            <w:gridSpan w:val="2"/>
            <w:vMerge w:val="restart"/>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构件种类</w:t>
            </w:r>
          </w:p>
        </w:tc>
        <w:tc>
          <w:tcPr>
            <w:tcW w:w="7645" w:type="dxa"/>
            <w:gridSpan w:val="3"/>
            <w:tcBorders>
              <w:bottom w:val="single" w:color="auto" w:sz="4" w:space="0"/>
            </w:tcBorders>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R/γ</w:t>
            </w:r>
            <w:r>
              <w:rPr>
                <w:rFonts w:hint="eastAsia" w:ascii="楷体" w:hAnsi="楷体" w:eastAsia="楷体" w:cs="Times New Roman"/>
                <w:kern w:val="0"/>
                <w:sz w:val="21"/>
                <w:szCs w:val="21"/>
                <w:vertAlign w:val="subscript"/>
              </w:rPr>
              <w:t>0</w:t>
            </w:r>
            <w:r>
              <w:rPr>
                <w:rFonts w:ascii="楷体" w:hAnsi="楷体" w:eastAsia="楷体" w:cs="Times New Roman"/>
                <w:kern w:val="0"/>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2317" w:type="dxa"/>
            <w:gridSpan w:val="2"/>
            <w:vMerge w:val="continue"/>
            <w:vAlign w:val="center"/>
          </w:tcPr>
          <w:p>
            <w:pPr>
              <w:spacing w:line="276" w:lineRule="auto"/>
              <w:jc w:val="center"/>
              <w:rPr>
                <w:rFonts w:ascii="楷体" w:hAnsi="楷体" w:eastAsia="楷体" w:cs="Times New Roman"/>
                <w:kern w:val="0"/>
                <w:sz w:val="21"/>
                <w:szCs w:val="21"/>
              </w:rPr>
            </w:pPr>
          </w:p>
        </w:tc>
        <w:tc>
          <w:tcPr>
            <w:tcW w:w="2823" w:type="dxa"/>
            <w:tcBorders>
              <w:top w:val="single" w:color="auto" w:sz="4" w:space="0"/>
            </w:tcBorders>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b</w:t>
            </w:r>
          </w:p>
        </w:tc>
        <w:tc>
          <w:tcPr>
            <w:tcW w:w="2650" w:type="dxa"/>
            <w:tcBorders>
              <w:top w:val="single" w:color="auto" w:sz="4" w:space="0"/>
            </w:tcBorders>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c</w:t>
            </w:r>
          </w:p>
        </w:tc>
        <w:tc>
          <w:tcPr>
            <w:tcW w:w="2172" w:type="dxa"/>
            <w:tcBorders>
              <w:top w:val="single" w:color="auto" w:sz="4" w:space="0"/>
            </w:tcBorders>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 w:hRule="atLeast"/>
        </w:trPr>
        <w:tc>
          <w:tcPr>
            <w:tcW w:w="1261" w:type="dxa"/>
            <w:vMerge w:val="restart"/>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重要构件</w:t>
            </w:r>
          </w:p>
        </w:tc>
        <w:tc>
          <w:tcPr>
            <w:tcW w:w="1056" w:type="dxa"/>
            <w:vAlign w:val="center"/>
          </w:tcPr>
          <w:p>
            <w:pPr>
              <w:spacing w:line="276" w:lineRule="auto"/>
              <w:jc w:val="center"/>
              <w:rPr>
                <w:rFonts w:ascii="楷体" w:hAnsi="楷体" w:eastAsia="楷体" w:cs="Times New Roman"/>
                <w:kern w:val="0"/>
                <w:sz w:val="20"/>
                <w:szCs w:val="21"/>
              </w:rPr>
            </w:pPr>
            <w:r>
              <w:rPr>
                <w:rFonts w:ascii="楷体" w:hAnsi="楷体" w:eastAsia="楷体" w:cs="Times New Roman"/>
                <w:kern w:val="0"/>
                <w:sz w:val="20"/>
                <w:szCs w:val="21"/>
              </w:rPr>
              <w:t>工业建筑</w:t>
            </w:r>
          </w:p>
        </w:tc>
        <w:tc>
          <w:tcPr>
            <w:tcW w:w="2823"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≥0.90</w:t>
            </w:r>
          </w:p>
        </w:tc>
        <w:tc>
          <w:tcPr>
            <w:tcW w:w="2650"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&lt;0.90且≥0.85</w:t>
            </w:r>
          </w:p>
        </w:tc>
        <w:tc>
          <w:tcPr>
            <w:tcW w:w="2172"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&lt;0</w:t>
            </w:r>
            <w:r>
              <w:rPr>
                <w:rFonts w:ascii="楷体" w:hAnsi="楷体" w:eastAsia="楷体" w:cs="Times New Roman"/>
                <w:kern w:val="0"/>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trPr>
        <w:tc>
          <w:tcPr>
            <w:tcW w:w="1261" w:type="dxa"/>
            <w:vMerge w:val="continue"/>
            <w:vAlign w:val="center"/>
          </w:tcPr>
          <w:p>
            <w:pPr>
              <w:spacing w:line="276" w:lineRule="auto"/>
              <w:jc w:val="center"/>
              <w:rPr>
                <w:rFonts w:ascii="楷体" w:hAnsi="楷体" w:eastAsia="楷体" w:cs="Times New Roman"/>
                <w:kern w:val="0"/>
                <w:sz w:val="20"/>
                <w:szCs w:val="21"/>
              </w:rPr>
            </w:pPr>
          </w:p>
        </w:tc>
        <w:tc>
          <w:tcPr>
            <w:tcW w:w="1056" w:type="dxa"/>
            <w:vAlign w:val="center"/>
          </w:tcPr>
          <w:p>
            <w:pPr>
              <w:spacing w:line="276" w:lineRule="auto"/>
              <w:jc w:val="center"/>
              <w:rPr>
                <w:rFonts w:ascii="楷体" w:hAnsi="楷体" w:eastAsia="楷体" w:cs="Times New Roman"/>
                <w:kern w:val="0"/>
                <w:sz w:val="20"/>
                <w:szCs w:val="21"/>
              </w:rPr>
            </w:pPr>
            <w:r>
              <w:rPr>
                <w:rFonts w:ascii="楷体" w:hAnsi="楷体" w:eastAsia="楷体" w:cs="Times New Roman"/>
                <w:kern w:val="0"/>
                <w:sz w:val="20"/>
                <w:szCs w:val="21"/>
              </w:rPr>
              <w:t>民用建筑</w:t>
            </w:r>
          </w:p>
        </w:tc>
        <w:tc>
          <w:tcPr>
            <w:tcW w:w="2823"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≥0.9</w:t>
            </w:r>
            <w:r>
              <w:rPr>
                <w:rFonts w:ascii="楷体" w:hAnsi="楷体" w:eastAsia="楷体" w:cs="Times New Roman"/>
                <w:kern w:val="0"/>
                <w:sz w:val="21"/>
                <w:szCs w:val="21"/>
              </w:rPr>
              <w:t>5</w:t>
            </w:r>
          </w:p>
        </w:tc>
        <w:tc>
          <w:tcPr>
            <w:tcW w:w="2650"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&lt;0.95且≥0.</w:t>
            </w:r>
            <w:r>
              <w:rPr>
                <w:rFonts w:ascii="楷体" w:hAnsi="楷体" w:eastAsia="楷体" w:cs="Times New Roman"/>
                <w:kern w:val="0"/>
                <w:sz w:val="21"/>
                <w:szCs w:val="21"/>
              </w:rPr>
              <w:t>90</w:t>
            </w:r>
          </w:p>
        </w:tc>
        <w:tc>
          <w:tcPr>
            <w:tcW w:w="2172"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&lt;0</w:t>
            </w:r>
            <w:r>
              <w:rPr>
                <w:rFonts w:ascii="楷体" w:hAnsi="楷体" w:eastAsia="楷体" w:cs="Times New Roman"/>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trPr>
        <w:tc>
          <w:tcPr>
            <w:tcW w:w="1261" w:type="dxa"/>
            <w:vMerge w:val="restart"/>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次要构件</w:t>
            </w:r>
          </w:p>
        </w:tc>
        <w:tc>
          <w:tcPr>
            <w:tcW w:w="1056" w:type="dxa"/>
            <w:vAlign w:val="center"/>
          </w:tcPr>
          <w:p>
            <w:pPr>
              <w:spacing w:line="276" w:lineRule="auto"/>
              <w:jc w:val="center"/>
              <w:rPr>
                <w:rFonts w:ascii="楷体" w:hAnsi="楷体" w:eastAsia="楷体" w:cs="Times New Roman"/>
                <w:kern w:val="0"/>
                <w:sz w:val="20"/>
                <w:szCs w:val="21"/>
              </w:rPr>
            </w:pPr>
            <w:r>
              <w:rPr>
                <w:rFonts w:ascii="楷体" w:hAnsi="楷体" w:eastAsia="楷体" w:cs="Times New Roman"/>
                <w:kern w:val="0"/>
                <w:sz w:val="20"/>
                <w:szCs w:val="21"/>
              </w:rPr>
              <w:t>工业建筑</w:t>
            </w:r>
          </w:p>
        </w:tc>
        <w:tc>
          <w:tcPr>
            <w:tcW w:w="2823"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≥0.</w:t>
            </w:r>
            <w:r>
              <w:rPr>
                <w:rFonts w:ascii="楷体" w:hAnsi="楷体" w:eastAsia="楷体" w:cs="Times New Roman"/>
                <w:kern w:val="0"/>
                <w:sz w:val="21"/>
                <w:szCs w:val="21"/>
              </w:rPr>
              <w:t>87</w:t>
            </w:r>
          </w:p>
        </w:tc>
        <w:tc>
          <w:tcPr>
            <w:tcW w:w="2650"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&lt;0.</w:t>
            </w:r>
            <w:r>
              <w:rPr>
                <w:rFonts w:ascii="楷体" w:hAnsi="楷体" w:eastAsia="楷体" w:cs="Times New Roman"/>
                <w:kern w:val="0"/>
                <w:sz w:val="21"/>
                <w:szCs w:val="21"/>
              </w:rPr>
              <w:t>87</w:t>
            </w:r>
            <w:r>
              <w:rPr>
                <w:rFonts w:hint="eastAsia" w:ascii="楷体" w:hAnsi="楷体" w:eastAsia="楷体" w:cs="Times New Roman"/>
                <w:kern w:val="0"/>
                <w:sz w:val="21"/>
                <w:szCs w:val="21"/>
              </w:rPr>
              <w:t>且≥0.8</w:t>
            </w:r>
            <w:r>
              <w:rPr>
                <w:rFonts w:ascii="楷体" w:hAnsi="楷体" w:eastAsia="楷体" w:cs="Times New Roman"/>
                <w:kern w:val="0"/>
                <w:sz w:val="21"/>
                <w:szCs w:val="21"/>
              </w:rPr>
              <w:t>2</w:t>
            </w:r>
          </w:p>
        </w:tc>
        <w:tc>
          <w:tcPr>
            <w:tcW w:w="2172"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&lt;0</w:t>
            </w:r>
            <w:r>
              <w:rPr>
                <w:rFonts w:ascii="楷体" w:hAnsi="楷体" w:eastAsia="楷体" w:cs="Times New Roman"/>
                <w:kern w:val="0"/>
                <w:sz w:val="21"/>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1261" w:type="dxa"/>
            <w:vMerge w:val="continue"/>
            <w:vAlign w:val="center"/>
          </w:tcPr>
          <w:p>
            <w:pPr>
              <w:spacing w:line="276" w:lineRule="auto"/>
              <w:jc w:val="center"/>
              <w:rPr>
                <w:rFonts w:ascii="楷体" w:hAnsi="楷体" w:eastAsia="楷体" w:cs="Times New Roman"/>
                <w:kern w:val="0"/>
                <w:sz w:val="20"/>
                <w:szCs w:val="21"/>
              </w:rPr>
            </w:pPr>
          </w:p>
        </w:tc>
        <w:tc>
          <w:tcPr>
            <w:tcW w:w="1056" w:type="dxa"/>
            <w:vAlign w:val="center"/>
          </w:tcPr>
          <w:p>
            <w:pPr>
              <w:spacing w:line="276" w:lineRule="auto"/>
              <w:jc w:val="center"/>
              <w:rPr>
                <w:rFonts w:ascii="楷体" w:hAnsi="楷体" w:eastAsia="楷体" w:cs="Times New Roman"/>
                <w:kern w:val="0"/>
                <w:sz w:val="20"/>
                <w:szCs w:val="21"/>
              </w:rPr>
            </w:pPr>
            <w:r>
              <w:rPr>
                <w:rFonts w:ascii="楷体" w:hAnsi="楷体" w:eastAsia="楷体" w:cs="Times New Roman"/>
                <w:kern w:val="0"/>
                <w:sz w:val="20"/>
                <w:szCs w:val="21"/>
              </w:rPr>
              <w:t>民用建筑</w:t>
            </w:r>
          </w:p>
        </w:tc>
        <w:tc>
          <w:tcPr>
            <w:tcW w:w="2823"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≥0.</w:t>
            </w:r>
            <w:r>
              <w:rPr>
                <w:rFonts w:ascii="楷体" w:hAnsi="楷体" w:eastAsia="楷体" w:cs="Times New Roman"/>
                <w:kern w:val="0"/>
                <w:sz w:val="21"/>
                <w:szCs w:val="21"/>
              </w:rPr>
              <w:t>90</w:t>
            </w:r>
          </w:p>
        </w:tc>
        <w:tc>
          <w:tcPr>
            <w:tcW w:w="2650"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&lt;0.</w:t>
            </w:r>
            <w:r>
              <w:rPr>
                <w:rFonts w:ascii="楷体" w:hAnsi="楷体" w:eastAsia="楷体" w:cs="Times New Roman"/>
                <w:kern w:val="0"/>
                <w:sz w:val="21"/>
                <w:szCs w:val="21"/>
              </w:rPr>
              <w:t>90</w:t>
            </w:r>
            <w:r>
              <w:rPr>
                <w:rFonts w:hint="eastAsia" w:ascii="楷体" w:hAnsi="楷体" w:eastAsia="楷体" w:cs="Times New Roman"/>
                <w:kern w:val="0"/>
                <w:sz w:val="21"/>
                <w:szCs w:val="21"/>
              </w:rPr>
              <w:t>且≥0.8</w:t>
            </w:r>
            <w:r>
              <w:rPr>
                <w:rFonts w:ascii="楷体" w:hAnsi="楷体" w:eastAsia="楷体" w:cs="Times New Roman"/>
                <w:kern w:val="0"/>
                <w:sz w:val="21"/>
                <w:szCs w:val="21"/>
              </w:rPr>
              <w:t>5</w:t>
            </w:r>
          </w:p>
        </w:tc>
        <w:tc>
          <w:tcPr>
            <w:tcW w:w="2172"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&lt;0</w:t>
            </w:r>
            <w:r>
              <w:rPr>
                <w:rFonts w:ascii="楷体" w:hAnsi="楷体" w:eastAsia="楷体" w:cs="Times New Roman"/>
                <w:kern w:val="0"/>
                <w:sz w:val="21"/>
                <w:szCs w:val="21"/>
              </w:rPr>
              <w:t>.85</w:t>
            </w:r>
          </w:p>
        </w:tc>
      </w:tr>
    </w:tbl>
    <w:p>
      <w:pPr>
        <w:spacing w:line="276" w:lineRule="auto"/>
        <w:rPr>
          <w:rFonts w:ascii="楷体" w:hAnsi="楷体" w:eastAsia="楷体"/>
          <w:szCs w:val="21"/>
        </w:rPr>
      </w:pPr>
    </w:p>
    <w:p>
      <w:pPr>
        <w:pStyle w:val="3"/>
        <w:rPr>
          <w:rFonts w:ascii="Times New Roman" w:hAnsi="Times New Roman" w:cs="Times New Roman"/>
        </w:rPr>
      </w:pPr>
      <w:bookmarkStart w:id="109" w:name="_Toc513449979"/>
      <w:r>
        <w:rPr>
          <w:rFonts w:ascii="Times New Roman" w:hAnsi="Times New Roman" w:cs="Times New Roman"/>
        </w:rPr>
        <w:t>6.3  火灾后钢结构构件的鉴定评级</w:t>
      </w:r>
      <w:bookmarkEnd w:id="109"/>
    </w:p>
    <w:p>
      <w:pPr>
        <w:rPr>
          <w:rFonts w:eastAsia="楷体" w:cs="Times New Roman"/>
          <w:szCs w:val="22"/>
        </w:rPr>
      </w:pPr>
      <w:r>
        <w:rPr>
          <w:rFonts w:cs="Times New Roman"/>
          <w:b/>
        </w:rPr>
        <w:t>6.3.1</w:t>
      </w:r>
      <w:r>
        <w:rPr>
          <w:rFonts w:eastAsia="楷体" w:cs="Times New Roman"/>
          <w:szCs w:val="22"/>
        </w:rPr>
        <w:t>火灾后钢结构构件的初步鉴定评级主要根据火灾后比较容易观测到的宏观现象，例如构件的防火保护受损情况、残余变形与撕裂、局部屈曲与扭曲、构件的整体变形等，初步判断出哪些构件明显损坏（IV级），哪些构件火灾损伤</w:t>
      </w:r>
      <w:r>
        <w:rPr>
          <w:rFonts w:hint="eastAsia" w:eastAsia="楷体" w:cs="Times New Roman"/>
          <w:szCs w:val="22"/>
        </w:rPr>
        <w:t>较</w:t>
      </w:r>
      <w:r>
        <w:rPr>
          <w:rFonts w:eastAsia="楷体" w:cs="Times New Roman"/>
          <w:szCs w:val="22"/>
        </w:rPr>
        <w:t>小（Ⅱ</w:t>
      </w:r>
      <w:r>
        <w:rPr>
          <w:rFonts w:hint="eastAsia" w:eastAsia="楷体" w:cs="Times New Roman"/>
          <w:szCs w:val="22"/>
        </w:rPr>
        <w:t>a</w:t>
      </w:r>
      <w:r>
        <w:rPr>
          <w:rFonts w:eastAsia="楷体" w:cs="Times New Roman"/>
          <w:szCs w:val="22"/>
        </w:rPr>
        <w:t>级），对Ⅳ</w:t>
      </w:r>
      <w:r>
        <w:rPr>
          <w:rFonts w:hint="eastAsia" w:eastAsia="楷体" w:cs="Times New Roman"/>
          <w:szCs w:val="22"/>
        </w:rPr>
        <w:t>级构件</w:t>
      </w:r>
      <w:r>
        <w:rPr>
          <w:rFonts w:eastAsia="楷体" w:cs="Times New Roman"/>
          <w:szCs w:val="22"/>
        </w:rPr>
        <w:t>一般情况下</w:t>
      </w:r>
      <w:r>
        <w:rPr>
          <w:rFonts w:hint="eastAsia" w:eastAsia="楷体" w:cs="Times New Roman"/>
          <w:szCs w:val="22"/>
        </w:rPr>
        <w:t>无</w:t>
      </w:r>
      <w:r>
        <w:rPr>
          <w:rFonts w:eastAsia="楷体" w:cs="Times New Roman"/>
          <w:szCs w:val="22"/>
        </w:rPr>
        <w:t>需</w:t>
      </w:r>
      <w:r>
        <w:rPr>
          <w:rFonts w:hint="eastAsia" w:eastAsia="楷体" w:cs="Times New Roman"/>
          <w:szCs w:val="22"/>
        </w:rPr>
        <w:t>再</w:t>
      </w:r>
      <w:r>
        <w:rPr>
          <w:rFonts w:eastAsia="楷体" w:cs="Times New Roman"/>
          <w:szCs w:val="22"/>
        </w:rPr>
        <w:t>进行进一步检测，从而可大大减少需要鉴定的构件数量。</w:t>
      </w:r>
    </w:p>
    <w:p>
      <w:pPr>
        <w:adjustRightInd/>
        <w:snapToGrid/>
        <w:ind w:firstLine="420" w:firstLineChars="200"/>
        <w:rPr>
          <w:rFonts w:eastAsia="楷体" w:cs="Times New Roman"/>
          <w:szCs w:val="22"/>
        </w:rPr>
      </w:pPr>
      <w:r>
        <w:rPr>
          <w:rFonts w:eastAsia="楷体" w:cs="Times New Roman"/>
          <w:szCs w:val="22"/>
        </w:rPr>
        <w:t>对于有防火保护的钢构件，火灾后防火保护完好</w:t>
      </w:r>
      <w:r>
        <w:rPr>
          <w:rFonts w:hint="eastAsia" w:eastAsia="楷体" w:cs="Times New Roman"/>
          <w:szCs w:val="22"/>
        </w:rPr>
        <w:t>基本</w:t>
      </w:r>
      <w:r>
        <w:rPr>
          <w:rFonts w:eastAsia="楷体" w:cs="Times New Roman"/>
          <w:szCs w:val="22"/>
        </w:rPr>
        <w:t>无损，则表示火灾中构件所经历的温度不高，构件的损坏很小，因此评为Ⅱ</w:t>
      </w:r>
      <w:r>
        <w:rPr>
          <w:rFonts w:hint="eastAsia" w:eastAsia="楷体" w:cs="Times New Roman"/>
          <w:szCs w:val="22"/>
        </w:rPr>
        <w:t>a</w:t>
      </w:r>
      <w:r>
        <w:rPr>
          <w:rFonts w:eastAsia="楷体" w:cs="Times New Roman"/>
          <w:szCs w:val="22"/>
        </w:rPr>
        <w:t>级。至于构件保护层脱落或出现明显裂缝，则表示构件可能在火灾中经历较高的温度，应根据构件的局部屈曲和变形等情况对其损伤作进一步检测。</w:t>
      </w:r>
    </w:p>
    <w:p>
      <w:pPr>
        <w:adjustRightInd/>
        <w:snapToGrid/>
        <w:ind w:firstLine="420" w:firstLineChars="200"/>
        <w:rPr>
          <w:rFonts w:eastAsia="楷体" w:cs="Times New Roman"/>
          <w:szCs w:val="22"/>
        </w:rPr>
      </w:pPr>
      <w:r>
        <w:rPr>
          <w:rFonts w:eastAsia="楷体" w:cs="Times New Roman"/>
          <w:szCs w:val="22"/>
        </w:rPr>
        <w:t>从火灾后的钢结构建筑案例现场调查来看，局部残余变形与局部屈曲是钢构件在火灾中常见的一种损伤，且构件有局部损伤时，并不一定出现很大的整体变形，因此钢结构的局部残余变形、局部屈曲是独立的火灾损伤现象，应单独评定。</w:t>
      </w:r>
    </w:p>
    <w:p>
      <w:pPr>
        <w:adjustRightInd/>
        <w:snapToGrid/>
        <w:ind w:firstLine="420" w:firstLineChars="200"/>
        <w:rPr>
          <w:rFonts w:eastAsia="楷体" w:cs="Times New Roman"/>
          <w:szCs w:val="22"/>
        </w:rPr>
      </w:pPr>
      <w:r>
        <w:rPr>
          <w:rFonts w:hint="eastAsia" w:eastAsia="楷体" w:cs="Times New Roman"/>
          <w:szCs w:val="22"/>
        </w:rPr>
        <w:t>表6.3.1-1中整体变形应参照表6.3.1-2进行判定。</w:t>
      </w:r>
      <w:r>
        <w:rPr>
          <w:rFonts w:eastAsia="楷体" w:cs="Times New Roman"/>
          <w:szCs w:val="22"/>
        </w:rPr>
        <w:t>在表6.3.1-2中，III级损伤变形界限值取为Ⅱ</w:t>
      </w:r>
      <w:r>
        <w:rPr>
          <w:rFonts w:hint="eastAsia" w:eastAsia="楷体" w:cs="Times New Roman"/>
          <w:szCs w:val="22"/>
        </w:rPr>
        <w:t>a</w:t>
      </w:r>
      <w:r>
        <w:rPr>
          <w:rFonts w:eastAsia="楷体" w:cs="Times New Roman"/>
          <w:szCs w:val="22"/>
        </w:rPr>
        <w:t>级损伤变形限值的2倍，当火灾后构件的残余变形超过该值，说明构件的变形很大，损伤已很严重，本条参照《钢结构工程施工质量验收规范》GB50205制</w:t>
      </w:r>
      <w:r>
        <w:rPr>
          <w:rFonts w:hint="eastAsia" w:eastAsia="楷体" w:cs="Times New Roman"/>
          <w:szCs w:val="22"/>
        </w:rPr>
        <w:t>定</w:t>
      </w:r>
    </w:p>
    <w:p>
      <w:pPr>
        <w:adjustRightInd/>
        <w:snapToGrid/>
        <w:ind w:firstLine="420" w:firstLineChars="200"/>
        <w:rPr>
          <w:rFonts w:eastAsia="楷体" w:cs="Times New Roman"/>
          <w:szCs w:val="22"/>
        </w:rPr>
      </w:pPr>
      <w:r>
        <w:rPr>
          <w:rFonts w:eastAsia="楷体" w:cs="Times New Roman"/>
          <w:szCs w:val="22"/>
        </w:rPr>
        <w:t>此外，还可借助高温过火冷却后钢材表面的颜色来大致判定构件曾经历的最高温度及损伤，表</w:t>
      </w:r>
      <w:r>
        <w:rPr>
          <w:rFonts w:hint="eastAsia" w:eastAsia="楷体" w:cs="Times New Roman"/>
          <w:szCs w:val="22"/>
        </w:rPr>
        <w:t>3</w:t>
      </w:r>
      <w:r>
        <w:rPr>
          <w:rFonts w:eastAsia="楷体" w:cs="Times New Roman"/>
          <w:szCs w:val="22"/>
        </w:rPr>
        <w:t>列出了结构钢高温过火冷却后的颜色变化情况（曹文衔，损伤累积条件下钢框架结构火灾反应的分析研究，同济大学博士学位论文，1998年3月）。大体上，钢材表面颜色随着钢材所经历的最高温度的升高而逐步加深。但是，由于高温过火冷却后钢材表面的颜色与钢材的种类、高温持续时间、冷却方式等因素有关，而实际构件表面在绝大多数情况下或有防腐涂料或有锈蚀，以此钢材的表观颜色只能作为参考。</w:t>
      </w:r>
    </w:p>
    <w:p>
      <w:pPr>
        <w:spacing w:beforeLines="50" w:line="276" w:lineRule="auto"/>
        <w:jc w:val="center"/>
        <w:rPr>
          <w:rFonts w:ascii="楷体" w:hAnsi="楷体" w:eastAsia="楷体"/>
          <w:szCs w:val="18"/>
        </w:rPr>
      </w:pPr>
      <w:r>
        <w:rPr>
          <w:rFonts w:ascii="楷体" w:hAnsi="楷体" w:eastAsia="楷体"/>
          <w:szCs w:val="18"/>
        </w:rPr>
        <w:t>表</w:t>
      </w:r>
      <w:r>
        <w:rPr>
          <w:rFonts w:hint="eastAsia" w:ascii="楷体" w:hAnsi="楷体" w:eastAsia="楷体"/>
          <w:szCs w:val="18"/>
        </w:rPr>
        <w:t xml:space="preserve">3 </w:t>
      </w:r>
      <w:r>
        <w:rPr>
          <w:rFonts w:ascii="楷体" w:hAnsi="楷体" w:eastAsia="楷体"/>
          <w:szCs w:val="18"/>
        </w:rPr>
        <w:t>高温过火冷却后钢材表面的颜色</w:t>
      </w:r>
    </w:p>
    <w:tbl>
      <w:tblPr>
        <w:tblStyle w:val="24"/>
        <w:tblW w:w="9802"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3612"/>
        <w:gridCol w:w="3095"/>
        <w:gridCol w:w="309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312" w:hRule="atLeast"/>
          <w:jc w:val="center"/>
        </w:trPr>
        <w:tc>
          <w:tcPr>
            <w:tcW w:w="3612" w:type="dxa"/>
            <w:vMerge w:val="restart"/>
            <w:vAlign w:val="center"/>
          </w:tcPr>
          <w:p>
            <w:pPr>
              <w:spacing w:line="276" w:lineRule="auto"/>
              <w:jc w:val="center"/>
              <w:rPr>
                <w:rFonts w:ascii="楷体" w:hAnsi="楷体" w:eastAsia="楷体"/>
                <w:sz w:val="18"/>
                <w:szCs w:val="15"/>
              </w:rPr>
            </w:pPr>
            <w:r>
              <w:rPr>
                <w:rFonts w:ascii="楷体" w:hAnsi="楷体" w:eastAsia="楷体"/>
                <w:sz w:val="18"/>
                <w:szCs w:val="15"/>
              </w:rPr>
              <w:t>试件经历的最高温度</w:t>
            </w:r>
          </w:p>
          <w:p>
            <w:pPr>
              <w:spacing w:line="276" w:lineRule="auto"/>
              <w:jc w:val="center"/>
              <w:rPr>
                <w:rFonts w:ascii="楷体" w:hAnsi="楷体" w:eastAsia="楷体"/>
                <w:sz w:val="18"/>
                <w:szCs w:val="15"/>
              </w:rPr>
            </w:pPr>
            <w:r>
              <w:rPr>
                <w:rFonts w:ascii="楷体" w:hAnsi="楷体" w:eastAsia="楷体"/>
                <w:sz w:val="18"/>
                <w:szCs w:val="15"/>
              </w:rPr>
              <w:t>（℃）</w:t>
            </w:r>
          </w:p>
        </w:tc>
        <w:tc>
          <w:tcPr>
            <w:tcW w:w="6190" w:type="dxa"/>
            <w:gridSpan w:val="2"/>
            <w:vAlign w:val="center"/>
          </w:tcPr>
          <w:p>
            <w:pPr>
              <w:spacing w:line="276" w:lineRule="auto"/>
              <w:jc w:val="center"/>
              <w:rPr>
                <w:rFonts w:ascii="楷体" w:hAnsi="楷体" w:eastAsia="楷体"/>
                <w:sz w:val="18"/>
                <w:szCs w:val="15"/>
              </w:rPr>
            </w:pPr>
            <w:r>
              <w:rPr>
                <w:rFonts w:ascii="楷体" w:hAnsi="楷体" w:eastAsia="楷体"/>
                <w:sz w:val="18"/>
                <w:szCs w:val="15"/>
              </w:rPr>
              <w:t>试件表面的颜色（Q235）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cantSplit/>
          <w:trHeight w:val="312" w:hRule="atLeast"/>
          <w:jc w:val="center"/>
        </w:trPr>
        <w:tc>
          <w:tcPr>
            <w:tcW w:w="3612" w:type="dxa"/>
            <w:vMerge w:val="continue"/>
            <w:vAlign w:val="center"/>
          </w:tcPr>
          <w:p>
            <w:pPr>
              <w:spacing w:line="276" w:lineRule="auto"/>
              <w:jc w:val="center"/>
              <w:rPr>
                <w:rFonts w:ascii="楷体" w:hAnsi="楷体" w:eastAsia="楷体"/>
                <w:sz w:val="18"/>
                <w:szCs w:val="15"/>
              </w:rPr>
            </w:pPr>
          </w:p>
        </w:tc>
        <w:tc>
          <w:tcPr>
            <w:tcW w:w="3095" w:type="dxa"/>
            <w:vAlign w:val="center"/>
          </w:tcPr>
          <w:p>
            <w:pPr>
              <w:spacing w:line="276" w:lineRule="auto"/>
              <w:jc w:val="center"/>
              <w:rPr>
                <w:rFonts w:ascii="楷体" w:hAnsi="楷体" w:eastAsia="楷体"/>
                <w:sz w:val="18"/>
                <w:szCs w:val="15"/>
              </w:rPr>
            </w:pPr>
            <w:r>
              <w:rPr>
                <w:rFonts w:ascii="楷体" w:hAnsi="楷体" w:eastAsia="楷体"/>
                <w:sz w:val="18"/>
                <w:szCs w:val="15"/>
              </w:rPr>
              <w:t>初步冷却</w:t>
            </w:r>
          </w:p>
        </w:tc>
        <w:tc>
          <w:tcPr>
            <w:tcW w:w="3095" w:type="dxa"/>
            <w:vAlign w:val="center"/>
          </w:tcPr>
          <w:p>
            <w:pPr>
              <w:spacing w:line="276" w:lineRule="auto"/>
              <w:jc w:val="center"/>
              <w:rPr>
                <w:rFonts w:ascii="楷体" w:hAnsi="楷体" w:eastAsia="楷体"/>
                <w:sz w:val="18"/>
                <w:szCs w:val="15"/>
              </w:rPr>
            </w:pPr>
            <w:r>
              <w:rPr>
                <w:rFonts w:ascii="楷体" w:hAnsi="楷体" w:eastAsia="楷体"/>
                <w:sz w:val="18"/>
                <w:szCs w:val="15"/>
              </w:rPr>
              <w:t>完全冷却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trHeight w:val="312" w:hRule="atLeast"/>
          <w:jc w:val="center"/>
        </w:trPr>
        <w:tc>
          <w:tcPr>
            <w:tcW w:w="3612" w:type="dxa"/>
            <w:vAlign w:val="center"/>
          </w:tcPr>
          <w:p>
            <w:pPr>
              <w:spacing w:line="276" w:lineRule="auto"/>
              <w:jc w:val="center"/>
              <w:rPr>
                <w:rFonts w:ascii="楷体" w:hAnsi="楷体" w:eastAsia="楷体"/>
                <w:sz w:val="18"/>
                <w:szCs w:val="15"/>
              </w:rPr>
            </w:pPr>
            <w:r>
              <w:rPr>
                <w:rFonts w:ascii="楷体" w:hAnsi="楷体" w:eastAsia="楷体"/>
                <w:sz w:val="18"/>
                <w:szCs w:val="15"/>
              </w:rPr>
              <w:t>240</w:t>
            </w:r>
          </w:p>
        </w:tc>
        <w:tc>
          <w:tcPr>
            <w:tcW w:w="3095" w:type="dxa"/>
            <w:vAlign w:val="center"/>
          </w:tcPr>
          <w:p>
            <w:pPr>
              <w:spacing w:line="276" w:lineRule="auto"/>
              <w:jc w:val="center"/>
              <w:rPr>
                <w:rFonts w:ascii="楷体" w:hAnsi="楷体" w:eastAsia="楷体"/>
                <w:sz w:val="18"/>
                <w:szCs w:val="15"/>
              </w:rPr>
            </w:pPr>
            <w:r>
              <w:rPr>
                <w:rFonts w:ascii="楷体" w:hAnsi="楷体" w:eastAsia="楷体"/>
                <w:sz w:val="18"/>
                <w:szCs w:val="15"/>
              </w:rPr>
              <w:t>与常温下基本相同</w:t>
            </w:r>
          </w:p>
        </w:tc>
        <w:tc>
          <w:tcPr>
            <w:tcW w:w="3095" w:type="dxa"/>
            <w:vAlign w:val="center"/>
          </w:tcPr>
          <w:p>
            <w:pPr>
              <w:spacing w:line="276" w:lineRule="auto"/>
              <w:jc w:val="center"/>
              <w:rPr>
                <w:rFonts w:ascii="楷体" w:hAnsi="楷体" w:eastAsia="楷体"/>
                <w:sz w:val="18"/>
                <w:szCs w:val="15"/>
              </w:rPr>
            </w:pPr>
            <w:r>
              <w:rPr>
                <w:rFonts w:ascii="楷体" w:hAnsi="楷体" w:eastAsia="楷体"/>
                <w:sz w:val="18"/>
                <w:szCs w:val="15"/>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trHeight w:val="312" w:hRule="atLeast"/>
          <w:jc w:val="center"/>
        </w:trPr>
        <w:tc>
          <w:tcPr>
            <w:tcW w:w="3612" w:type="dxa"/>
            <w:vAlign w:val="center"/>
          </w:tcPr>
          <w:p>
            <w:pPr>
              <w:spacing w:line="276" w:lineRule="auto"/>
              <w:jc w:val="center"/>
              <w:rPr>
                <w:rFonts w:ascii="楷体" w:hAnsi="楷体" w:eastAsia="楷体"/>
                <w:sz w:val="18"/>
                <w:szCs w:val="15"/>
              </w:rPr>
            </w:pPr>
            <w:r>
              <w:rPr>
                <w:rFonts w:ascii="楷体" w:hAnsi="楷体" w:eastAsia="楷体"/>
                <w:sz w:val="18"/>
                <w:szCs w:val="15"/>
              </w:rPr>
              <w:t>330</w:t>
            </w:r>
          </w:p>
        </w:tc>
        <w:tc>
          <w:tcPr>
            <w:tcW w:w="3095" w:type="dxa"/>
            <w:vAlign w:val="center"/>
          </w:tcPr>
          <w:p>
            <w:pPr>
              <w:spacing w:line="276" w:lineRule="auto"/>
              <w:ind w:firstLine="1170" w:firstLineChars="650"/>
              <w:rPr>
                <w:rFonts w:ascii="楷体" w:hAnsi="楷体" w:eastAsia="楷体"/>
                <w:sz w:val="18"/>
                <w:szCs w:val="15"/>
              </w:rPr>
            </w:pPr>
            <w:r>
              <w:rPr>
                <w:rFonts w:ascii="楷体" w:hAnsi="楷体" w:eastAsia="楷体"/>
                <w:sz w:val="18"/>
                <w:szCs w:val="15"/>
              </w:rPr>
              <w:t>浅蓝色</w:t>
            </w:r>
          </w:p>
        </w:tc>
        <w:tc>
          <w:tcPr>
            <w:tcW w:w="3095" w:type="dxa"/>
            <w:vAlign w:val="center"/>
          </w:tcPr>
          <w:p>
            <w:pPr>
              <w:spacing w:line="276" w:lineRule="auto"/>
              <w:ind w:firstLine="1080" w:firstLineChars="600"/>
              <w:rPr>
                <w:rFonts w:ascii="楷体" w:hAnsi="楷体" w:eastAsia="楷体"/>
                <w:sz w:val="18"/>
                <w:szCs w:val="15"/>
              </w:rPr>
            </w:pPr>
            <w:r>
              <w:rPr>
                <w:rFonts w:ascii="楷体" w:hAnsi="楷体" w:eastAsia="楷体"/>
                <w:sz w:val="18"/>
                <w:szCs w:val="15"/>
              </w:rPr>
              <w:t>浅蓝黑色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trHeight w:val="312" w:hRule="atLeast"/>
          <w:jc w:val="center"/>
        </w:trPr>
        <w:tc>
          <w:tcPr>
            <w:tcW w:w="3612" w:type="dxa"/>
            <w:vAlign w:val="center"/>
          </w:tcPr>
          <w:p>
            <w:pPr>
              <w:spacing w:line="276" w:lineRule="auto"/>
              <w:jc w:val="center"/>
              <w:rPr>
                <w:rFonts w:ascii="楷体" w:hAnsi="楷体" w:eastAsia="楷体"/>
                <w:sz w:val="18"/>
                <w:szCs w:val="15"/>
              </w:rPr>
            </w:pPr>
            <w:r>
              <w:rPr>
                <w:rFonts w:ascii="楷体" w:hAnsi="楷体" w:eastAsia="楷体"/>
                <w:sz w:val="18"/>
                <w:szCs w:val="15"/>
              </w:rPr>
              <w:t>420</w:t>
            </w:r>
          </w:p>
        </w:tc>
        <w:tc>
          <w:tcPr>
            <w:tcW w:w="3095" w:type="dxa"/>
            <w:vAlign w:val="center"/>
          </w:tcPr>
          <w:p>
            <w:pPr>
              <w:spacing w:line="276" w:lineRule="auto"/>
              <w:ind w:firstLine="1170" w:firstLineChars="650"/>
              <w:rPr>
                <w:rFonts w:ascii="楷体" w:hAnsi="楷体" w:eastAsia="楷体"/>
                <w:sz w:val="18"/>
                <w:szCs w:val="15"/>
              </w:rPr>
            </w:pPr>
            <w:r>
              <w:rPr>
                <w:rFonts w:ascii="楷体" w:hAnsi="楷体" w:eastAsia="楷体"/>
                <w:sz w:val="18"/>
                <w:szCs w:val="15"/>
              </w:rPr>
              <w:t>蓝色</w:t>
            </w:r>
          </w:p>
        </w:tc>
        <w:tc>
          <w:tcPr>
            <w:tcW w:w="3095" w:type="dxa"/>
            <w:vAlign w:val="center"/>
          </w:tcPr>
          <w:p>
            <w:pPr>
              <w:spacing w:line="276" w:lineRule="auto"/>
              <w:ind w:firstLine="1080" w:firstLineChars="600"/>
              <w:rPr>
                <w:rFonts w:ascii="楷体" w:hAnsi="楷体" w:eastAsia="楷体"/>
                <w:sz w:val="18"/>
                <w:szCs w:val="15"/>
              </w:rPr>
            </w:pPr>
            <w:r>
              <w:rPr>
                <w:rFonts w:ascii="楷体" w:hAnsi="楷体" w:eastAsia="楷体"/>
                <w:sz w:val="18"/>
                <w:szCs w:val="15"/>
              </w:rPr>
              <w:t>深蓝黑色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trHeight w:val="312" w:hRule="atLeast"/>
          <w:jc w:val="center"/>
        </w:trPr>
        <w:tc>
          <w:tcPr>
            <w:tcW w:w="3612" w:type="dxa"/>
            <w:vAlign w:val="center"/>
          </w:tcPr>
          <w:p>
            <w:pPr>
              <w:spacing w:line="276" w:lineRule="auto"/>
              <w:jc w:val="center"/>
              <w:rPr>
                <w:rFonts w:ascii="楷体" w:hAnsi="楷体" w:eastAsia="楷体"/>
                <w:sz w:val="18"/>
                <w:szCs w:val="15"/>
              </w:rPr>
            </w:pPr>
            <w:r>
              <w:rPr>
                <w:rFonts w:ascii="楷体" w:hAnsi="楷体" w:eastAsia="楷体"/>
                <w:sz w:val="18"/>
                <w:szCs w:val="15"/>
              </w:rPr>
              <w:t>510</w:t>
            </w:r>
          </w:p>
        </w:tc>
        <w:tc>
          <w:tcPr>
            <w:tcW w:w="3095" w:type="dxa"/>
            <w:vAlign w:val="center"/>
          </w:tcPr>
          <w:p>
            <w:pPr>
              <w:spacing w:line="276" w:lineRule="auto"/>
              <w:ind w:firstLine="1170" w:firstLineChars="650"/>
              <w:rPr>
                <w:rFonts w:ascii="楷体" w:hAnsi="楷体" w:eastAsia="楷体"/>
                <w:sz w:val="18"/>
                <w:szCs w:val="15"/>
              </w:rPr>
            </w:pPr>
            <w:r>
              <w:rPr>
                <w:rFonts w:ascii="楷体" w:hAnsi="楷体" w:eastAsia="楷体"/>
                <w:sz w:val="18"/>
                <w:szCs w:val="15"/>
              </w:rPr>
              <w:t>灰黑色</w:t>
            </w:r>
          </w:p>
        </w:tc>
        <w:tc>
          <w:tcPr>
            <w:tcW w:w="3095" w:type="dxa"/>
            <w:vAlign w:val="center"/>
          </w:tcPr>
          <w:p>
            <w:pPr>
              <w:spacing w:line="276" w:lineRule="auto"/>
              <w:ind w:firstLine="1080" w:firstLineChars="600"/>
              <w:rPr>
                <w:rFonts w:ascii="楷体" w:hAnsi="楷体" w:eastAsia="楷体"/>
                <w:sz w:val="18"/>
                <w:szCs w:val="15"/>
              </w:rPr>
            </w:pPr>
            <w:r>
              <w:rPr>
                <w:rFonts w:ascii="楷体" w:hAnsi="楷体" w:eastAsia="楷体"/>
                <w:sz w:val="18"/>
                <w:szCs w:val="15"/>
              </w:rPr>
              <w:t>浅灰黑色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Ex>
        <w:trPr>
          <w:trHeight w:val="312" w:hRule="atLeast"/>
          <w:jc w:val="center"/>
        </w:trPr>
        <w:tc>
          <w:tcPr>
            <w:tcW w:w="3612" w:type="dxa"/>
            <w:vAlign w:val="center"/>
          </w:tcPr>
          <w:p>
            <w:pPr>
              <w:spacing w:line="276" w:lineRule="auto"/>
              <w:jc w:val="center"/>
              <w:rPr>
                <w:rFonts w:ascii="楷体" w:hAnsi="楷体" w:eastAsia="楷体"/>
                <w:sz w:val="18"/>
                <w:szCs w:val="15"/>
              </w:rPr>
            </w:pPr>
            <w:r>
              <w:rPr>
                <w:rFonts w:ascii="楷体" w:hAnsi="楷体" w:eastAsia="楷体"/>
                <w:sz w:val="18"/>
                <w:szCs w:val="15"/>
              </w:rPr>
              <w:t>600</w:t>
            </w:r>
          </w:p>
        </w:tc>
        <w:tc>
          <w:tcPr>
            <w:tcW w:w="3095" w:type="dxa"/>
            <w:vAlign w:val="center"/>
          </w:tcPr>
          <w:p>
            <w:pPr>
              <w:spacing w:line="276" w:lineRule="auto"/>
              <w:ind w:firstLine="1170" w:firstLineChars="650"/>
              <w:rPr>
                <w:rFonts w:ascii="楷体" w:hAnsi="楷体" w:eastAsia="楷体"/>
                <w:sz w:val="18"/>
                <w:szCs w:val="15"/>
              </w:rPr>
            </w:pPr>
            <w:r>
              <w:rPr>
                <w:rFonts w:ascii="楷体" w:hAnsi="楷体" w:eastAsia="楷体"/>
                <w:sz w:val="18"/>
                <w:szCs w:val="15"/>
              </w:rPr>
              <w:t>黑色</w:t>
            </w:r>
          </w:p>
        </w:tc>
        <w:tc>
          <w:tcPr>
            <w:tcW w:w="3095" w:type="dxa"/>
            <w:vAlign w:val="center"/>
          </w:tcPr>
          <w:p>
            <w:pPr>
              <w:spacing w:line="276" w:lineRule="auto"/>
              <w:ind w:firstLine="1080" w:firstLineChars="600"/>
              <w:rPr>
                <w:rFonts w:ascii="楷体" w:hAnsi="楷体" w:eastAsia="楷体"/>
                <w:sz w:val="18"/>
                <w:szCs w:val="15"/>
              </w:rPr>
            </w:pPr>
            <w:r>
              <w:rPr>
                <w:rFonts w:ascii="楷体" w:hAnsi="楷体" w:eastAsia="楷体"/>
                <w:sz w:val="18"/>
                <w:szCs w:val="15"/>
              </w:rPr>
              <w:t>黑色</w:t>
            </w:r>
          </w:p>
        </w:tc>
      </w:tr>
    </w:tbl>
    <w:p>
      <w:pPr>
        <w:adjustRightInd/>
        <w:snapToGrid/>
        <w:ind w:firstLine="420" w:firstLineChars="200"/>
        <w:rPr>
          <w:rFonts w:eastAsia="楷体" w:cs="Times New Roman"/>
          <w:szCs w:val="22"/>
        </w:rPr>
      </w:pPr>
      <w:r>
        <w:rPr>
          <w:rFonts w:eastAsia="楷体" w:cs="Times New Roman"/>
          <w:szCs w:val="22"/>
        </w:rPr>
        <w:t>火灾后，钢结构应特别加强对连接节点的检测。连接节点处往往局部应力集中，现场焊接施工质量不易保证，因此在火灾下钢结构连接也时有出现损坏的。对于高强度螺栓连接，只要螺栓出现松动的，就应予以更换。</w:t>
      </w:r>
    </w:p>
    <w:p>
      <w:pPr>
        <w:rPr>
          <w:rFonts w:eastAsia="楷体" w:cs="Times New Roman"/>
          <w:szCs w:val="22"/>
        </w:rPr>
      </w:pPr>
      <w:r>
        <w:rPr>
          <w:rFonts w:cs="Times New Roman"/>
          <w:b/>
        </w:rPr>
        <w:t>6.3.2</w:t>
      </w:r>
      <w:r>
        <w:rPr>
          <w:rFonts w:eastAsia="楷体" w:cs="Times New Roman"/>
          <w:szCs w:val="22"/>
        </w:rPr>
        <w:t>受火构件的材料特性可能发生较大的变化，故详细鉴定时应对受火构件的材</w:t>
      </w:r>
      <w:r>
        <w:rPr>
          <w:rFonts w:hint="eastAsia" w:eastAsia="楷体" w:cs="Times New Roman"/>
          <w:szCs w:val="22"/>
        </w:rPr>
        <w:t>料特</w:t>
      </w:r>
      <w:r>
        <w:rPr>
          <w:rFonts w:eastAsia="楷体" w:cs="Times New Roman"/>
          <w:szCs w:val="22"/>
        </w:rPr>
        <w:t>性进行调查，并作为承载力与冲击韧性评定的依据。</w:t>
      </w:r>
      <w:r>
        <w:rPr>
          <w:rFonts w:hint="eastAsia" w:eastAsia="楷体" w:cs="Times New Roman"/>
          <w:szCs w:val="22"/>
        </w:rPr>
        <w:t>本次修编结合国内近年来相关研究成果，增加了通过火灾作用温度判定高强螺栓、焊缝屈服强度以及高强螺栓预拉力和</w:t>
      </w:r>
      <w:r>
        <w:rPr>
          <w:rFonts w:eastAsia="楷体" w:cs="Times New Roman"/>
          <w:szCs w:val="22"/>
        </w:rPr>
        <w:t>连接接触面抗滑移系数</w:t>
      </w:r>
      <w:r>
        <w:rPr>
          <w:rFonts w:hint="eastAsia" w:eastAsia="楷体" w:cs="Times New Roman"/>
          <w:szCs w:val="22"/>
        </w:rPr>
        <w:t>的内容，以方便检测评级。</w:t>
      </w:r>
    </w:p>
    <w:p>
      <w:pPr>
        <w:ind w:firstLine="420" w:firstLineChars="200"/>
        <w:rPr>
          <w:rFonts w:eastAsia="楷体" w:cs="Times New Roman"/>
          <w:szCs w:val="22"/>
        </w:rPr>
      </w:pPr>
      <w:r>
        <w:rPr>
          <w:rFonts w:hint="eastAsia" w:eastAsia="楷体" w:cs="Times New Roman"/>
          <w:szCs w:val="22"/>
        </w:rPr>
        <w:t>受</w:t>
      </w:r>
      <w:r>
        <w:rPr>
          <w:rFonts w:eastAsia="楷体" w:cs="Times New Roman"/>
          <w:szCs w:val="22"/>
        </w:rPr>
        <w:t>火钢构件的材料特性一般包括</w:t>
      </w:r>
      <w:r>
        <w:rPr>
          <w:rFonts w:hint="eastAsia" w:eastAsia="楷体" w:cs="Times New Roman"/>
          <w:szCs w:val="22"/>
        </w:rPr>
        <w:t>：(1) 屈服强度与极限强度；(2) 延伸率；(3) 冲击韧性；(4) 弹性模量。</w:t>
      </w:r>
    </w:p>
    <w:p>
      <w:pPr>
        <w:ind w:firstLine="420" w:firstLineChars="200"/>
        <w:rPr>
          <w:rFonts w:eastAsia="楷体" w:cs="Times New Roman"/>
          <w:szCs w:val="22"/>
        </w:rPr>
      </w:pPr>
      <w:r>
        <w:rPr>
          <w:rFonts w:hint="eastAsia" w:eastAsia="楷体" w:cs="Times New Roman"/>
          <w:szCs w:val="22"/>
        </w:rPr>
        <w:t>受火钢构件的承载力包括：(1) 截面抗弯承载力；(2) 截面抗剪承载力；(3) 构件和结构整体稳定承载力；(4) 连接强度。</w:t>
      </w:r>
    </w:p>
    <w:p>
      <w:pPr>
        <w:adjustRightInd/>
        <w:snapToGrid/>
        <w:ind w:firstLine="420" w:firstLineChars="200"/>
        <w:rPr>
          <w:rFonts w:eastAsia="楷体" w:cs="Times New Roman"/>
          <w:szCs w:val="22"/>
        </w:rPr>
      </w:pPr>
      <w:r>
        <w:rPr>
          <w:rFonts w:eastAsia="楷体" w:cs="Times New Roman"/>
          <w:szCs w:val="22"/>
        </w:rPr>
        <w:t>一般地，受火构件的材料特性</w:t>
      </w:r>
      <w:r>
        <w:rPr>
          <w:rFonts w:hint="eastAsia" w:eastAsia="楷体" w:cs="Times New Roman"/>
          <w:szCs w:val="22"/>
        </w:rPr>
        <w:t>宜</w:t>
      </w:r>
      <w:r>
        <w:rPr>
          <w:rFonts w:eastAsia="楷体" w:cs="Times New Roman"/>
          <w:szCs w:val="22"/>
        </w:rPr>
        <w:t>采用现场取样试验测定。在现场不易取样，</w:t>
      </w:r>
      <w:r>
        <w:rPr>
          <w:rFonts w:hint="eastAsia" w:eastAsia="楷体" w:cs="Times New Roman"/>
          <w:szCs w:val="22"/>
        </w:rPr>
        <w:t>但若</w:t>
      </w:r>
      <w:r>
        <w:rPr>
          <w:rFonts w:eastAsia="楷体" w:cs="Times New Roman"/>
          <w:szCs w:val="22"/>
        </w:rPr>
        <w:t>现场取样对构件有较大的损害时，可采用同种钢材加温冷却试验确定。采用同种钢材加温冷却试验来确定受力构件的材料强度与冲击韧性时，钢材的最高温度应与构件在火灾中所经历的最高温度相同，并且冷却方式应能反映实际火灾中的情况（泼水冷却或是空气冷却）。</w:t>
      </w:r>
    </w:p>
    <w:p>
      <w:pPr>
        <w:adjustRightInd/>
        <w:snapToGrid/>
        <w:ind w:firstLine="420" w:firstLineChars="200"/>
        <w:rPr>
          <w:rFonts w:eastAsia="楷体" w:cs="Times New Roman"/>
          <w:szCs w:val="22"/>
        </w:rPr>
      </w:pPr>
      <w:r>
        <w:rPr>
          <w:rFonts w:hint="eastAsia" w:eastAsia="楷体" w:cs="Times New Roman"/>
          <w:szCs w:val="22"/>
        </w:rPr>
        <w:t>当受到火灾影响的钢构件承载力评定，可参照《工业建筑可靠性鉴定标准》（GB50144）和《民用建筑可靠性鉴定标准》（GB50292）按照表4下列原则评定为b、</w:t>
      </w:r>
      <w:r>
        <w:rPr>
          <w:rFonts w:eastAsia="楷体" w:cs="Times New Roman"/>
          <w:szCs w:val="22"/>
        </w:rPr>
        <w:t>c</w:t>
      </w:r>
      <w:r>
        <w:rPr>
          <w:rFonts w:hint="eastAsia" w:eastAsia="楷体" w:cs="Times New Roman"/>
          <w:szCs w:val="22"/>
        </w:rPr>
        <w:t>、</w:t>
      </w:r>
      <w:r>
        <w:rPr>
          <w:rFonts w:eastAsia="楷体" w:cs="Times New Roman"/>
          <w:szCs w:val="22"/>
        </w:rPr>
        <w:t>d级</w:t>
      </w:r>
      <w:r>
        <w:rPr>
          <w:rFonts w:hint="eastAsia" w:eastAsia="楷体" w:cs="Times New Roman"/>
          <w:szCs w:val="22"/>
        </w:rPr>
        <w:t>。</w:t>
      </w:r>
    </w:p>
    <w:p>
      <w:pPr>
        <w:spacing w:line="276" w:lineRule="auto"/>
        <w:jc w:val="center"/>
        <w:rPr>
          <w:rFonts w:ascii="楷体" w:hAnsi="楷体" w:eastAsia="楷体"/>
        </w:rPr>
      </w:pPr>
      <w:r>
        <w:rPr>
          <w:rFonts w:hint="eastAsia" w:ascii="楷体" w:hAnsi="楷体" w:eastAsia="楷体"/>
        </w:rPr>
        <w:t xml:space="preserve">表4  </w:t>
      </w:r>
      <w:r>
        <w:rPr>
          <w:rFonts w:hint="eastAsia" w:ascii="楷体" w:hAnsi="楷体" w:eastAsia="楷体"/>
          <w:szCs w:val="21"/>
        </w:rPr>
        <w:t>受火灾影响的</w:t>
      </w:r>
      <w:r>
        <w:rPr>
          <w:rFonts w:hint="eastAsia" w:ascii="楷体" w:hAnsi="楷体" w:eastAsia="楷体"/>
        </w:rPr>
        <w:t>钢构件承载能力评定等级</w:t>
      </w:r>
    </w:p>
    <w:tbl>
      <w:tblPr>
        <w:tblStyle w:val="25"/>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195"/>
        <w:gridCol w:w="2580"/>
        <w:gridCol w:w="2465"/>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2492" w:type="dxa"/>
            <w:gridSpan w:val="2"/>
            <w:vMerge w:val="restart"/>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构件种类</w:t>
            </w:r>
          </w:p>
        </w:tc>
        <w:tc>
          <w:tcPr>
            <w:tcW w:w="7470" w:type="dxa"/>
            <w:gridSpan w:val="3"/>
            <w:tcBorders>
              <w:bottom w:val="single" w:color="auto" w:sz="4" w:space="0"/>
            </w:tcBorders>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R/γ</w:t>
            </w:r>
            <w:r>
              <w:rPr>
                <w:rFonts w:hint="eastAsia" w:ascii="楷体" w:hAnsi="楷体" w:eastAsia="楷体" w:cs="Times New Roman"/>
                <w:kern w:val="0"/>
                <w:sz w:val="20"/>
                <w:vertAlign w:val="subscript"/>
              </w:rPr>
              <w:t>0</w:t>
            </w:r>
            <w:r>
              <w:rPr>
                <w:rFonts w:ascii="楷体" w:hAnsi="楷体" w:eastAsia="楷体" w:cs="Times New Roman"/>
                <w:kern w:val="0"/>
                <w:sz w:val="20"/>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2492" w:type="dxa"/>
            <w:gridSpan w:val="2"/>
            <w:vMerge w:val="continue"/>
            <w:vAlign w:val="center"/>
          </w:tcPr>
          <w:p>
            <w:pPr>
              <w:spacing w:line="276" w:lineRule="auto"/>
              <w:jc w:val="center"/>
              <w:rPr>
                <w:rFonts w:ascii="楷体" w:hAnsi="楷体" w:eastAsia="楷体" w:cs="Times New Roman"/>
                <w:kern w:val="0"/>
                <w:sz w:val="20"/>
              </w:rPr>
            </w:pPr>
          </w:p>
        </w:tc>
        <w:tc>
          <w:tcPr>
            <w:tcW w:w="2580" w:type="dxa"/>
            <w:tcBorders>
              <w:top w:val="single" w:color="auto" w:sz="4" w:space="0"/>
            </w:tcBorders>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b</w:t>
            </w:r>
          </w:p>
        </w:tc>
        <w:tc>
          <w:tcPr>
            <w:tcW w:w="2465" w:type="dxa"/>
            <w:tcBorders>
              <w:top w:val="single" w:color="auto" w:sz="4" w:space="0"/>
            </w:tcBorders>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c</w:t>
            </w:r>
          </w:p>
        </w:tc>
        <w:tc>
          <w:tcPr>
            <w:tcW w:w="2425" w:type="dxa"/>
            <w:tcBorders>
              <w:top w:val="single" w:color="auto" w:sz="4" w:space="0"/>
            </w:tcBorders>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297" w:type="dxa"/>
            <w:vMerge w:val="restart"/>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重要构件、连接</w:t>
            </w:r>
          </w:p>
        </w:tc>
        <w:tc>
          <w:tcPr>
            <w:tcW w:w="1195" w:type="dxa"/>
            <w:vAlign w:val="center"/>
          </w:tcPr>
          <w:p>
            <w:pPr>
              <w:spacing w:line="276" w:lineRule="auto"/>
              <w:jc w:val="center"/>
              <w:rPr>
                <w:rFonts w:ascii="楷体" w:hAnsi="楷体" w:eastAsia="楷体" w:cs="Times New Roman"/>
                <w:kern w:val="0"/>
                <w:sz w:val="20"/>
              </w:rPr>
            </w:pPr>
            <w:r>
              <w:rPr>
                <w:rFonts w:ascii="楷体" w:hAnsi="楷体" w:eastAsia="楷体" w:cs="Times New Roman"/>
                <w:kern w:val="0"/>
                <w:sz w:val="20"/>
              </w:rPr>
              <w:t>工业建筑</w:t>
            </w:r>
          </w:p>
        </w:tc>
        <w:tc>
          <w:tcPr>
            <w:tcW w:w="2580"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≥0.9</w:t>
            </w:r>
            <w:r>
              <w:rPr>
                <w:rFonts w:ascii="楷体" w:hAnsi="楷体" w:eastAsia="楷体" w:cs="Times New Roman"/>
                <w:kern w:val="0"/>
                <w:sz w:val="20"/>
              </w:rPr>
              <w:t>5</w:t>
            </w:r>
          </w:p>
        </w:tc>
        <w:tc>
          <w:tcPr>
            <w:tcW w:w="2465"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&lt;0.9</w:t>
            </w:r>
            <w:r>
              <w:rPr>
                <w:rFonts w:ascii="楷体" w:hAnsi="楷体" w:eastAsia="楷体" w:cs="Times New Roman"/>
                <w:kern w:val="0"/>
                <w:sz w:val="20"/>
              </w:rPr>
              <w:t>5</w:t>
            </w:r>
            <w:r>
              <w:rPr>
                <w:rFonts w:hint="eastAsia" w:ascii="楷体" w:hAnsi="楷体" w:eastAsia="楷体" w:cs="Times New Roman"/>
                <w:kern w:val="0"/>
                <w:sz w:val="20"/>
              </w:rPr>
              <w:t>且≥0.90</w:t>
            </w:r>
          </w:p>
        </w:tc>
        <w:tc>
          <w:tcPr>
            <w:tcW w:w="2425"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&lt;0</w:t>
            </w:r>
            <w:r>
              <w:rPr>
                <w:rFonts w:ascii="楷体" w:hAnsi="楷体" w:eastAsia="楷体" w:cs="Times New Roman"/>
                <w:kern w:val="0"/>
                <w:sz w:val="2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1297" w:type="dxa"/>
            <w:vMerge w:val="continue"/>
            <w:vAlign w:val="center"/>
          </w:tcPr>
          <w:p>
            <w:pPr>
              <w:spacing w:line="276" w:lineRule="auto"/>
              <w:jc w:val="center"/>
              <w:rPr>
                <w:rFonts w:ascii="楷体" w:hAnsi="楷体" w:eastAsia="楷体" w:cs="Times New Roman"/>
                <w:kern w:val="0"/>
                <w:sz w:val="20"/>
              </w:rPr>
            </w:pPr>
          </w:p>
        </w:tc>
        <w:tc>
          <w:tcPr>
            <w:tcW w:w="1195" w:type="dxa"/>
            <w:vAlign w:val="center"/>
          </w:tcPr>
          <w:p>
            <w:pPr>
              <w:spacing w:line="276" w:lineRule="auto"/>
              <w:jc w:val="center"/>
              <w:rPr>
                <w:rFonts w:ascii="楷体" w:hAnsi="楷体" w:eastAsia="楷体" w:cs="Times New Roman"/>
                <w:kern w:val="0"/>
                <w:sz w:val="20"/>
              </w:rPr>
            </w:pPr>
            <w:r>
              <w:rPr>
                <w:rFonts w:ascii="楷体" w:hAnsi="楷体" w:eastAsia="楷体" w:cs="Times New Roman"/>
                <w:kern w:val="0"/>
                <w:sz w:val="20"/>
              </w:rPr>
              <w:t>民用建筑</w:t>
            </w:r>
          </w:p>
        </w:tc>
        <w:tc>
          <w:tcPr>
            <w:tcW w:w="2580"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≥0.9</w:t>
            </w:r>
            <w:r>
              <w:rPr>
                <w:rFonts w:ascii="楷体" w:hAnsi="楷体" w:eastAsia="楷体" w:cs="Times New Roman"/>
                <w:kern w:val="0"/>
                <w:sz w:val="20"/>
              </w:rPr>
              <w:t>5</w:t>
            </w:r>
          </w:p>
        </w:tc>
        <w:tc>
          <w:tcPr>
            <w:tcW w:w="2465"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&lt;0.95且≥0.</w:t>
            </w:r>
            <w:r>
              <w:rPr>
                <w:rFonts w:ascii="楷体" w:hAnsi="楷体" w:eastAsia="楷体" w:cs="Times New Roman"/>
                <w:kern w:val="0"/>
                <w:sz w:val="20"/>
              </w:rPr>
              <w:t>90</w:t>
            </w:r>
          </w:p>
        </w:tc>
        <w:tc>
          <w:tcPr>
            <w:tcW w:w="2425"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&lt;0</w:t>
            </w:r>
            <w:r>
              <w:rPr>
                <w:rFonts w:ascii="楷体" w:hAnsi="楷体" w:eastAsia="楷体" w:cs="Times New Roman"/>
                <w:kern w:val="0"/>
                <w:sz w:val="2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1297" w:type="dxa"/>
            <w:vMerge w:val="restart"/>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次要构件</w:t>
            </w:r>
          </w:p>
        </w:tc>
        <w:tc>
          <w:tcPr>
            <w:tcW w:w="1195" w:type="dxa"/>
            <w:vAlign w:val="center"/>
          </w:tcPr>
          <w:p>
            <w:pPr>
              <w:spacing w:line="276" w:lineRule="auto"/>
              <w:jc w:val="center"/>
              <w:rPr>
                <w:rFonts w:ascii="楷体" w:hAnsi="楷体" w:eastAsia="楷体" w:cs="Times New Roman"/>
                <w:kern w:val="0"/>
                <w:sz w:val="20"/>
              </w:rPr>
            </w:pPr>
            <w:r>
              <w:rPr>
                <w:rFonts w:ascii="楷体" w:hAnsi="楷体" w:eastAsia="楷体" w:cs="Times New Roman"/>
                <w:kern w:val="0"/>
                <w:sz w:val="20"/>
              </w:rPr>
              <w:t>工业建筑</w:t>
            </w:r>
          </w:p>
        </w:tc>
        <w:tc>
          <w:tcPr>
            <w:tcW w:w="2580"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≥0.</w:t>
            </w:r>
            <w:r>
              <w:rPr>
                <w:rFonts w:ascii="楷体" w:hAnsi="楷体" w:eastAsia="楷体" w:cs="Times New Roman"/>
                <w:kern w:val="0"/>
                <w:sz w:val="20"/>
              </w:rPr>
              <w:t>92</w:t>
            </w:r>
          </w:p>
        </w:tc>
        <w:tc>
          <w:tcPr>
            <w:tcW w:w="2465"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&lt;0.</w:t>
            </w:r>
            <w:r>
              <w:rPr>
                <w:rFonts w:ascii="楷体" w:hAnsi="楷体" w:eastAsia="楷体" w:cs="Times New Roman"/>
                <w:kern w:val="0"/>
                <w:sz w:val="20"/>
              </w:rPr>
              <w:t>92</w:t>
            </w:r>
            <w:r>
              <w:rPr>
                <w:rFonts w:hint="eastAsia" w:ascii="楷体" w:hAnsi="楷体" w:eastAsia="楷体" w:cs="Times New Roman"/>
                <w:kern w:val="0"/>
                <w:sz w:val="20"/>
              </w:rPr>
              <w:t>且≥0.8</w:t>
            </w:r>
            <w:r>
              <w:rPr>
                <w:rFonts w:ascii="楷体" w:hAnsi="楷体" w:eastAsia="楷体" w:cs="Times New Roman"/>
                <w:kern w:val="0"/>
                <w:sz w:val="20"/>
              </w:rPr>
              <w:t>7</w:t>
            </w:r>
          </w:p>
        </w:tc>
        <w:tc>
          <w:tcPr>
            <w:tcW w:w="2425"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&lt;0</w:t>
            </w:r>
            <w:r>
              <w:rPr>
                <w:rFonts w:ascii="楷体" w:hAnsi="楷体" w:eastAsia="楷体" w:cs="Times New Roman"/>
                <w:kern w:val="0"/>
                <w:sz w:val="20"/>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trPr>
        <w:tc>
          <w:tcPr>
            <w:tcW w:w="1297" w:type="dxa"/>
            <w:vMerge w:val="continue"/>
            <w:vAlign w:val="center"/>
          </w:tcPr>
          <w:p>
            <w:pPr>
              <w:spacing w:line="276" w:lineRule="auto"/>
              <w:jc w:val="center"/>
              <w:rPr>
                <w:rFonts w:ascii="楷体" w:hAnsi="楷体" w:eastAsia="楷体" w:cs="Times New Roman"/>
                <w:kern w:val="0"/>
                <w:sz w:val="20"/>
              </w:rPr>
            </w:pPr>
          </w:p>
        </w:tc>
        <w:tc>
          <w:tcPr>
            <w:tcW w:w="1195" w:type="dxa"/>
            <w:vAlign w:val="center"/>
          </w:tcPr>
          <w:p>
            <w:pPr>
              <w:spacing w:line="276" w:lineRule="auto"/>
              <w:jc w:val="center"/>
              <w:rPr>
                <w:rFonts w:ascii="楷体" w:hAnsi="楷体" w:eastAsia="楷体" w:cs="Times New Roman"/>
                <w:kern w:val="0"/>
                <w:sz w:val="20"/>
              </w:rPr>
            </w:pPr>
            <w:r>
              <w:rPr>
                <w:rFonts w:ascii="楷体" w:hAnsi="楷体" w:eastAsia="楷体" w:cs="Times New Roman"/>
                <w:kern w:val="0"/>
                <w:sz w:val="20"/>
              </w:rPr>
              <w:t>民用建筑</w:t>
            </w:r>
          </w:p>
        </w:tc>
        <w:tc>
          <w:tcPr>
            <w:tcW w:w="2580"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≥0.</w:t>
            </w:r>
            <w:r>
              <w:rPr>
                <w:rFonts w:ascii="楷体" w:hAnsi="楷体" w:eastAsia="楷体" w:cs="Times New Roman"/>
                <w:kern w:val="0"/>
                <w:sz w:val="20"/>
              </w:rPr>
              <w:t>90</w:t>
            </w:r>
          </w:p>
        </w:tc>
        <w:tc>
          <w:tcPr>
            <w:tcW w:w="2465"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&lt;0.</w:t>
            </w:r>
            <w:r>
              <w:rPr>
                <w:rFonts w:ascii="楷体" w:hAnsi="楷体" w:eastAsia="楷体" w:cs="Times New Roman"/>
                <w:kern w:val="0"/>
                <w:sz w:val="20"/>
              </w:rPr>
              <w:t>90</w:t>
            </w:r>
            <w:r>
              <w:rPr>
                <w:rFonts w:hint="eastAsia" w:ascii="楷体" w:hAnsi="楷体" w:eastAsia="楷体" w:cs="Times New Roman"/>
                <w:kern w:val="0"/>
                <w:sz w:val="20"/>
              </w:rPr>
              <w:t>且≥0.8</w:t>
            </w:r>
            <w:r>
              <w:rPr>
                <w:rFonts w:ascii="楷体" w:hAnsi="楷体" w:eastAsia="楷体" w:cs="Times New Roman"/>
                <w:kern w:val="0"/>
                <w:sz w:val="20"/>
              </w:rPr>
              <w:t>5</w:t>
            </w:r>
          </w:p>
        </w:tc>
        <w:tc>
          <w:tcPr>
            <w:tcW w:w="2425"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&lt;0</w:t>
            </w:r>
            <w:r>
              <w:rPr>
                <w:rFonts w:ascii="楷体" w:hAnsi="楷体" w:eastAsia="楷体" w:cs="Times New Roman"/>
                <w:kern w:val="0"/>
                <w:sz w:val="20"/>
              </w:rPr>
              <w:t>.85</w:t>
            </w:r>
          </w:p>
        </w:tc>
      </w:tr>
    </w:tbl>
    <w:p>
      <w:pPr>
        <w:pStyle w:val="3"/>
        <w:rPr>
          <w:rFonts w:ascii="Times New Roman" w:hAnsi="Times New Roman" w:cs="Times New Roman"/>
        </w:rPr>
      </w:pPr>
      <w:bookmarkStart w:id="110" w:name="_Toc513449980"/>
      <w:r>
        <w:rPr>
          <w:rFonts w:ascii="Times New Roman" w:hAnsi="Times New Roman" w:cs="Times New Roman"/>
        </w:rPr>
        <w:t>6.4 火灾后砌体结构构件的鉴定评级</w:t>
      </w:r>
      <w:bookmarkEnd w:id="110"/>
    </w:p>
    <w:p>
      <w:pPr>
        <w:rPr>
          <w:rFonts w:ascii="楷体" w:hAnsi="楷体" w:eastAsia="楷体" w:cs="Times New Roman"/>
        </w:rPr>
      </w:pPr>
      <w:r>
        <w:rPr>
          <w:rFonts w:cs="Times New Roman"/>
          <w:b/>
        </w:rPr>
        <w:t>6.4.1</w:t>
      </w:r>
      <w:r>
        <w:rPr>
          <w:rFonts w:hint="eastAsia" w:ascii="楷体" w:hAnsi="楷体" w:eastAsia="楷体" w:cs="Times New Roman"/>
        </w:rPr>
        <w:t>砌体结构构件初步鉴定评级中，结构构件变形主要指侧移变形，表6.4.1中变形的判定可参照表5和表6。表5和表6中的值与《民用建筑可靠性鉴定标准》（GB50144）和《工业建筑可靠性鉴定标准》（GB50292）保持一致。</w:t>
      </w:r>
    </w:p>
    <w:p>
      <w:pPr>
        <w:pStyle w:val="41"/>
        <w:rPr>
          <w:rFonts w:ascii="楷体" w:hAnsi="楷体" w:eastAsia="楷体"/>
          <w:b w:val="0"/>
        </w:rPr>
      </w:pPr>
      <w:r>
        <w:rPr>
          <w:rFonts w:hint="eastAsia" w:ascii="楷体" w:hAnsi="楷体" w:eastAsia="楷体"/>
          <w:b w:val="0"/>
        </w:rPr>
        <w:t>表5</w:t>
      </w:r>
      <w:r>
        <w:rPr>
          <w:rFonts w:ascii="楷体" w:hAnsi="楷体" w:eastAsia="楷体"/>
          <w:b w:val="0"/>
        </w:rPr>
        <w:t xml:space="preserve"> </w:t>
      </w:r>
      <w:r>
        <w:rPr>
          <w:rFonts w:hint="eastAsia" w:ascii="楷体" w:hAnsi="楷体" w:eastAsia="楷体"/>
          <w:b w:val="0"/>
        </w:rPr>
        <w:t>火灾后民用建筑砌体结构侧向（水平）位移变形的初步鉴定评级标准</w:t>
      </w:r>
    </w:p>
    <w:tbl>
      <w:tblPr>
        <w:tblStyle w:val="24"/>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1660"/>
        <w:gridCol w:w="3321"/>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20" w:type="dxa"/>
            <w:gridSpan w:val="2"/>
            <w:shd w:val="clear" w:color="auto" w:fill="auto"/>
            <w:vAlign w:val="center"/>
          </w:tcPr>
          <w:p>
            <w:pPr>
              <w:pStyle w:val="42"/>
              <w:jc w:val="center"/>
              <w:rPr>
                <w:rFonts w:ascii="楷体" w:hAnsi="楷体" w:eastAsia="楷体"/>
              </w:rPr>
            </w:pPr>
            <w:r>
              <w:rPr>
                <w:rFonts w:hint="eastAsia" w:ascii="楷体" w:hAnsi="楷体" w:eastAsia="楷体"/>
              </w:rPr>
              <w:t>等级评定要素</w:t>
            </w:r>
          </w:p>
        </w:tc>
        <w:tc>
          <w:tcPr>
            <w:tcW w:w="3321" w:type="dxa"/>
            <w:shd w:val="clear" w:color="auto" w:fill="auto"/>
            <w:vAlign w:val="center"/>
          </w:tcPr>
          <w:p>
            <w:pPr>
              <w:pStyle w:val="42"/>
              <w:jc w:val="center"/>
              <w:rPr>
                <w:rFonts w:ascii="楷体" w:hAnsi="楷体" w:eastAsia="楷体"/>
              </w:rPr>
            </w:pPr>
            <w:r>
              <w:rPr>
                <w:rFonts w:eastAsia="楷体"/>
              </w:rPr>
              <w:t>II</w:t>
            </w:r>
            <w:r>
              <w:rPr>
                <w:rFonts w:eastAsia="楷体"/>
                <w:vertAlign w:val="subscript"/>
              </w:rPr>
              <w:t>a</w:t>
            </w:r>
            <w:r>
              <w:rPr>
                <w:rFonts w:hint="eastAsia" w:ascii="楷体" w:hAnsi="楷体" w:eastAsia="楷体"/>
              </w:rPr>
              <w:t>或</w:t>
            </w:r>
            <w:r>
              <w:rPr>
                <w:rFonts w:eastAsia="楷体"/>
              </w:rPr>
              <w:t>II</w:t>
            </w:r>
            <w:r>
              <w:rPr>
                <w:rFonts w:eastAsia="楷体"/>
                <w:vertAlign w:val="subscript"/>
              </w:rPr>
              <w:t>b</w:t>
            </w:r>
            <w:r>
              <w:rPr>
                <w:rFonts w:hint="eastAsia" w:ascii="楷体" w:hAnsi="楷体" w:eastAsia="楷体"/>
              </w:rPr>
              <w:t>级</w:t>
            </w:r>
          </w:p>
        </w:tc>
        <w:tc>
          <w:tcPr>
            <w:tcW w:w="3321" w:type="dxa"/>
            <w:shd w:val="clear" w:color="auto" w:fill="auto"/>
            <w:vAlign w:val="center"/>
          </w:tcPr>
          <w:p>
            <w:pPr>
              <w:pStyle w:val="42"/>
              <w:jc w:val="center"/>
              <w:rPr>
                <w:rFonts w:eastAsia="楷体"/>
              </w:rPr>
            </w:pPr>
            <w:r>
              <w:rPr>
                <w:rFonts w:eastAsia="楷体"/>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0" w:type="dxa"/>
            <w:vMerge w:val="restart"/>
            <w:shd w:val="clear" w:color="auto" w:fill="auto"/>
            <w:vAlign w:val="center"/>
          </w:tcPr>
          <w:p>
            <w:pPr>
              <w:pStyle w:val="42"/>
              <w:jc w:val="center"/>
              <w:rPr>
                <w:rFonts w:ascii="楷体" w:hAnsi="楷体" w:eastAsia="楷体"/>
              </w:rPr>
            </w:pPr>
            <w:r>
              <w:rPr>
                <w:rFonts w:hint="eastAsia" w:ascii="楷体" w:hAnsi="楷体" w:eastAsia="楷体"/>
              </w:rPr>
              <w:t>多层房屋</w:t>
            </w:r>
            <w:r>
              <w:rPr>
                <w:rFonts w:ascii="楷体" w:hAnsi="楷体" w:eastAsia="楷体"/>
              </w:rPr>
              <w:br w:type="textWrapping"/>
            </w:r>
            <w:r>
              <w:rPr>
                <w:rFonts w:hint="eastAsia" w:ascii="楷体" w:hAnsi="楷体" w:eastAsia="楷体"/>
              </w:rPr>
              <w:t>（墙承重）</w:t>
            </w:r>
          </w:p>
        </w:tc>
        <w:tc>
          <w:tcPr>
            <w:tcW w:w="1660" w:type="dxa"/>
            <w:shd w:val="clear" w:color="auto" w:fill="auto"/>
            <w:vAlign w:val="center"/>
          </w:tcPr>
          <w:p>
            <w:pPr>
              <w:pStyle w:val="42"/>
              <w:jc w:val="center"/>
              <w:rPr>
                <w:rFonts w:ascii="楷体" w:hAnsi="楷体" w:eastAsia="楷体"/>
              </w:rPr>
            </w:pPr>
            <w:r>
              <w:rPr>
                <w:rFonts w:hint="eastAsia" w:ascii="楷体" w:hAnsi="楷体" w:eastAsia="楷体"/>
              </w:rPr>
              <w:t>层间</w:t>
            </w:r>
          </w:p>
        </w:tc>
        <w:tc>
          <w:tcPr>
            <w:tcW w:w="3321" w:type="dxa"/>
            <w:shd w:val="clear" w:color="auto" w:fill="auto"/>
            <w:vAlign w:val="center"/>
          </w:tcPr>
          <w:p>
            <w:pPr>
              <w:pStyle w:val="42"/>
              <w:jc w:val="center"/>
              <w:rPr>
                <w:rFonts w:ascii="楷体" w:hAnsi="楷体" w:eastAsia="楷体"/>
              </w:rPr>
            </w:pPr>
            <w:r>
              <w:rPr>
                <w:rFonts w:ascii="楷体" w:hAnsi="楷体" w:eastAsia="楷体"/>
              </w:rPr>
              <w:t>&gt;</w:t>
            </w:r>
            <w:r>
              <w:rPr>
                <w:rFonts w:ascii="楷体" w:hAnsi="楷体" w:eastAsia="楷体"/>
                <w:i/>
              </w:rPr>
              <w:t>H</w:t>
            </w:r>
            <w:r>
              <w:rPr>
                <w:rFonts w:ascii="楷体" w:hAnsi="楷体" w:eastAsia="楷体"/>
                <w:vertAlign w:val="subscript"/>
              </w:rPr>
              <w:t>i</w:t>
            </w:r>
            <w:r>
              <w:rPr>
                <w:rFonts w:ascii="楷体" w:hAnsi="楷体" w:eastAsia="楷体"/>
              </w:rPr>
              <w:t>/550,</w:t>
            </w:r>
            <w:r>
              <w:rPr>
                <w:rFonts w:hint="eastAsia" w:ascii="楷体" w:hAnsi="楷体" w:eastAsia="楷体"/>
              </w:rPr>
              <w:t>≤</w:t>
            </w:r>
            <w:r>
              <w:rPr>
                <w:rFonts w:ascii="楷体" w:hAnsi="楷体" w:eastAsia="楷体"/>
                <w:i/>
              </w:rPr>
              <w:t>H</w:t>
            </w:r>
            <w:r>
              <w:rPr>
                <w:rFonts w:ascii="楷体" w:hAnsi="楷体" w:eastAsia="楷体"/>
                <w:vertAlign w:val="subscript"/>
              </w:rPr>
              <w:t>i</w:t>
            </w:r>
            <w:r>
              <w:rPr>
                <w:rFonts w:ascii="楷体" w:hAnsi="楷体" w:eastAsia="楷体"/>
              </w:rPr>
              <w:t>/450</w:t>
            </w:r>
          </w:p>
        </w:tc>
        <w:tc>
          <w:tcPr>
            <w:tcW w:w="3321" w:type="dxa"/>
            <w:shd w:val="clear" w:color="auto" w:fill="auto"/>
            <w:vAlign w:val="center"/>
          </w:tcPr>
          <w:p>
            <w:pPr>
              <w:pStyle w:val="42"/>
              <w:jc w:val="center"/>
              <w:rPr>
                <w:rFonts w:ascii="楷体" w:hAnsi="楷体" w:eastAsia="楷体"/>
              </w:rPr>
            </w:pPr>
            <w:r>
              <w:rPr>
                <w:rFonts w:ascii="楷体" w:hAnsi="楷体" w:eastAsia="楷体"/>
              </w:rPr>
              <w:t>&gt;</w:t>
            </w:r>
            <w:r>
              <w:rPr>
                <w:rFonts w:ascii="楷体" w:hAnsi="楷体" w:eastAsia="楷体"/>
                <w:i/>
              </w:rPr>
              <w:t>H</w:t>
            </w:r>
            <w:r>
              <w:rPr>
                <w:rFonts w:ascii="楷体" w:hAnsi="楷体" w:eastAsia="楷体"/>
                <w:vertAlign w:val="subscript"/>
              </w:rPr>
              <w:t>i</w:t>
            </w:r>
            <w:r>
              <w:rPr>
                <w:rFonts w:ascii="楷体" w:hAnsi="楷体" w:eastAsia="楷体"/>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0" w:type="dxa"/>
            <w:vMerge w:val="continue"/>
            <w:shd w:val="clear" w:color="auto" w:fill="auto"/>
            <w:vAlign w:val="center"/>
          </w:tcPr>
          <w:p>
            <w:pPr>
              <w:pStyle w:val="42"/>
              <w:jc w:val="center"/>
              <w:rPr>
                <w:rFonts w:ascii="楷体" w:hAnsi="楷体" w:eastAsia="楷体"/>
              </w:rPr>
            </w:pPr>
          </w:p>
        </w:tc>
        <w:tc>
          <w:tcPr>
            <w:tcW w:w="1660" w:type="dxa"/>
            <w:shd w:val="clear" w:color="auto" w:fill="auto"/>
            <w:vAlign w:val="center"/>
          </w:tcPr>
          <w:p>
            <w:pPr>
              <w:pStyle w:val="42"/>
              <w:jc w:val="center"/>
              <w:rPr>
                <w:rFonts w:ascii="楷体" w:hAnsi="楷体" w:eastAsia="楷体"/>
              </w:rPr>
            </w:pPr>
            <w:r>
              <w:rPr>
                <w:rFonts w:hint="eastAsia" w:ascii="楷体" w:hAnsi="楷体" w:eastAsia="楷体"/>
              </w:rPr>
              <w:t>结构顶点</w:t>
            </w:r>
          </w:p>
        </w:tc>
        <w:tc>
          <w:tcPr>
            <w:tcW w:w="3321" w:type="dxa"/>
            <w:shd w:val="clear" w:color="auto" w:fill="auto"/>
            <w:vAlign w:val="center"/>
          </w:tcPr>
          <w:p>
            <w:pPr>
              <w:pStyle w:val="42"/>
              <w:jc w:val="center"/>
              <w:rPr>
                <w:rFonts w:ascii="楷体" w:hAnsi="楷体" w:eastAsia="楷体"/>
              </w:rPr>
            </w:pPr>
            <w:r>
              <w:rPr>
                <w:rFonts w:ascii="楷体" w:hAnsi="楷体" w:eastAsia="楷体"/>
              </w:rPr>
              <w:t>&gt;</w:t>
            </w:r>
            <w:r>
              <w:rPr>
                <w:rFonts w:ascii="楷体" w:hAnsi="楷体" w:eastAsia="楷体"/>
                <w:i/>
              </w:rPr>
              <w:t>H</w:t>
            </w:r>
            <w:r>
              <w:rPr>
                <w:rFonts w:ascii="楷体" w:hAnsi="楷体" w:eastAsia="楷体"/>
              </w:rPr>
              <w:t>/650,</w:t>
            </w:r>
            <w:r>
              <w:rPr>
                <w:rFonts w:hint="eastAsia" w:ascii="楷体" w:hAnsi="楷体" w:eastAsia="楷体"/>
              </w:rPr>
              <w:t>≤</w:t>
            </w:r>
            <w:r>
              <w:rPr>
                <w:rFonts w:ascii="楷体" w:hAnsi="楷体" w:eastAsia="楷体"/>
                <w:i/>
              </w:rPr>
              <w:t>H</w:t>
            </w:r>
            <w:r>
              <w:rPr>
                <w:rFonts w:ascii="楷体" w:hAnsi="楷体" w:eastAsia="楷体"/>
              </w:rPr>
              <w:t>/550</w:t>
            </w:r>
          </w:p>
        </w:tc>
        <w:tc>
          <w:tcPr>
            <w:tcW w:w="3321" w:type="dxa"/>
            <w:shd w:val="clear" w:color="auto" w:fill="auto"/>
            <w:vAlign w:val="center"/>
          </w:tcPr>
          <w:p>
            <w:pPr>
              <w:pStyle w:val="42"/>
              <w:jc w:val="center"/>
              <w:rPr>
                <w:rFonts w:ascii="楷体" w:hAnsi="楷体" w:eastAsia="楷体"/>
              </w:rPr>
            </w:pPr>
            <w:r>
              <w:rPr>
                <w:rFonts w:ascii="楷体" w:hAnsi="楷体" w:eastAsia="楷体"/>
              </w:rPr>
              <w:t>&gt;</w:t>
            </w:r>
            <w:r>
              <w:rPr>
                <w:rFonts w:ascii="楷体" w:hAnsi="楷体" w:eastAsia="楷体"/>
                <w:i/>
              </w:rPr>
              <w:t>H</w:t>
            </w:r>
            <w:r>
              <w:rPr>
                <w:rFonts w:ascii="楷体" w:hAnsi="楷体" w:eastAsia="楷体"/>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0" w:type="dxa"/>
            <w:vMerge w:val="restart"/>
            <w:shd w:val="clear" w:color="auto" w:fill="auto"/>
            <w:vAlign w:val="center"/>
          </w:tcPr>
          <w:p>
            <w:pPr>
              <w:pStyle w:val="42"/>
              <w:jc w:val="center"/>
              <w:rPr>
                <w:rFonts w:ascii="楷体" w:hAnsi="楷体" w:eastAsia="楷体"/>
              </w:rPr>
            </w:pPr>
            <w:r>
              <w:rPr>
                <w:rFonts w:hint="eastAsia" w:ascii="楷体" w:hAnsi="楷体" w:eastAsia="楷体"/>
              </w:rPr>
              <w:t>多层房屋</w:t>
            </w:r>
          </w:p>
          <w:p>
            <w:pPr>
              <w:pStyle w:val="42"/>
              <w:jc w:val="center"/>
              <w:rPr>
                <w:rFonts w:ascii="楷体" w:hAnsi="楷体" w:eastAsia="楷体"/>
              </w:rPr>
            </w:pPr>
            <w:r>
              <w:rPr>
                <w:rFonts w:hint="eastAsia" w:ascii="楷体" w:hAnsi="楷体" w:eastAsia="楷体"/>
              </w:rPr>
              <w:t>（柱承重）</w:t>
            </w:r>
          </w:p>
        </w:tc>
        <w:tc>
          <w:tcPr>
            <w:tcW w:w="1660" w:type="dxa"/>
            <w:shd w:val="clear" w:color="auto" w:fill="auto"/>
            <w:vAlign w:val="center"/>
          </w:tcPr>
          <w:p>
            <w:pPr>
              <w:pStyle w:val="42"/>
              <w:jc w:val="center"/>
              <w:rPr>
                <w:rFonts w:ascii="楷体" w:hAnsi="楷体" w:eastAsia="楷体"/>
              </w:rPr>
            </w:pPr>
            <w:r>
              <w:rPr>
                <w:rFonts w:hint="eastAsia" w:ascii="楷体" w:hAnsi="楷体" w:eastAsia="楷体"/>
              </w:rPr>
              <w:t>层间</w:t>
            </w:r>
          </w:p>
        </w:tc>
        <w:tc>
          <w:tcPr>
            <w:tcW w:w="3321" w:type="dxa"/>
            <w:shd w:val="clear" w:color="auto" w:fill="auto"/>
            <w:vAlign w:val="center"/>
          </w:tcPr>
          <w:p>
            <w:pPr>
              <w:pStyle w:val="42"/>
              <w:jc w:val="center"/>
              <w:rPr>
                <w:rFonts w:ascii="楷体" w:hAnsi="楷体" w:eastAsia="楷体"/>
              </w:rPr>
            </w:pPr>
            <w:r>
              <w:rPr>
                <w:rFonts w:ascii="楷体" w:hAnsi="楷体" w:eastAsia="楷体"/>
              </w:rPr>
              <w:t>&gt;</w:t>
            </w:r>
            <w:r>
              <w:rPr>
                <w:rFonts w:ascii="楷体" w:hAnsi="楷体" w:eastAsia="楷体"/>
                <w:i/>
              </w:rPr>
              <w:t>H</w:t>
            </w:r>
            <w:r>
              <w:rPr>
                <w:rFonts w:ascii="楷体" w:hAnsi="楷体" w:eastAsia="楷体"/>
                <w:vertAlign w:val="subscript"/>
              </w:rPr>
              <w:t>i</w:t>
            </w:r>
            <w:r>
              <w:rPr>
                <w:rFonts w:ascii="楷体" w:hAnsi="楷体" w:eastAsia="楷体"/>
              </w:rPr>
              <w:t>/600,</w:t>
            </w:r>
            <w:r>
              <w:rPr>
                <w:rFonts w:hint="eastAsia" w:ascii="楷体" w:hAnsi="楷体" w:eastAsia="楷体"/>
              </w:rPr>
              <w:t>≤</w:t>
            </w:r>
            <w:r>
              <w:rPr>
                <w:rFonts w:ascii="楷体" w:hAnsi="楷体" w:eastAsia="楷体"/>
                <w:i/>
              </w:rPr>
              <w:t>H</w:t>
            </w:r>
            <w:r>
              <w:rPr>
                <w:rFonts w:ascii="楷体" w:hAnsi="楷体" w:eastAsia="楷体"/>
                <w:vertAlign w:val="subscript"/>
              </w:rPr>
              <w:t>i</w:t>
            </w:r>
            <w:r>
              <w:rPr>
                <w:rFonts w:ascii="楷体" w:hAnsi="楷体" w:eastAsia="楷体"/>
              </w:rPr>
              <w:t>/500</w:t>
            </w:r>
          </w:p>
        </w:tc>
        <w:tc>
          <w:tcPr>
            <w:tcW w:w="3321" w:type="dxa"/>
            <w:shd w:val="clear" w:color="auto" w:fill="auto"/>
            <w:vAlign w:val="center"/>
          </w:tcPr>
          <w:p>
            <w:pPr>
              <w:pStyle w:val="42"/>
              <w:jc w:val="center"/>
              <w:rPr>
                <w:rFonts w:ascii="楷体" w:hAnsi="楷体" w:eastAsia="楷体"/>
              </w:rPr>
            </w:pPr>
            <w:r>
              <w:rPr>
                <w:rFonts w:ascii="楷体" w:hAnsi="楷体" w:eastAsia="楷体"/>
              </w:rPr>
              <w:t>&gt;</w:t>
            </w:r>
            <w:r>
              <w:rPr>
                <w:rFonts w:ascii="楷体" w:hAnsi="楷体" w:eastAsia="楷体"/>
                <w:i/>
              </w:rPr>
              <w:t>H</w:t>
            </w:r>
            <w:r>
              <w:rPr>
                <w:rFonts w:ascii="楷体" w:hAnsi="楷体" w:eastAsia="楷体"/>
                <w:vertAlign w:val="subscript"/>
              </w:rPr>
              <w:t>i</w:t>
            </w:r>
            <w:r>
              <w:rPr>
                <w:rFonts w:ascii="楷体" w:hAnsi="楷体" w:eastAsia="楷体"/>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60" w:type="dxa"/>
            <w:vMerge w:val="continue"/>
            <w:shd w:val="clear" w:color="auto" w:fill="auto"/>
            <w:vAlign w:val="center"/>
          </w:tcPr>
          <w:p>
            <w:pPr>
              <w:pStyle w:val="42"/>
              <w:jc w:val="center"/>
              <w:rPr>
                <w:rFonts w:ascii="楷体" w:hAnsi="楷体" w:eastAsia="楷体"/>
              </w:rPr>
            </w:pPr>
          </w:p>
        </w:tc>
        <w:tc>
          <w:tcPr>
            <w:tcW w:w="1660" w:type="dxa"/>
            <w:shd w:val="clear" w:color="auto" w:fill="auto"/>
            <w:vAlign w:val="center"/>
          </w:tcPr>
          <w:p>
            <w:pPr>
              <w:pStyle w:val="42"/>
              <w:jc w:val="center"/>
              <w:rPr>
                <w:rFonts w:ascii="楷体" w:hAnsi="楷体" w:eastAsia="楷体"/>
              </w:rPr>
            </w:pPr>
            <w:r>
              <w:rPr>
                <w:rFonts w:hint="eastAsia" w:ascii="楷体" w:hAnsi="楷体" w:eastAsia="楷体"/>
              </w:rPr>
              <w:t>结构顶点</w:t>
            </w:r>
          </w:p>
        </w:tc>
        <w:tc>
          <w:tcPr>
            <w:tcW w:w="3321" w:type="dxa"/>
            <w:shd w:val="clear" w:color="auto" w:fill="auto"/>
            <w:vAlign w:val="center"/>
          </w:tcPr>
          <w:p>
            <w:pPr>
              <w:pStyle w:val="42"/>
              <w:jc w:val="center"/>
              <w:rPr>
                <w:rFonts w:ascii="楷体" w:hAnsi="楷体" w:eastAsia="楷体"/>
              </w:rPr>
            </w:pPr>
            <w:r>
              <w:rPr>
                <w:rFonts w:ascii="楷体" w:hAnsi="楷体" w:eastAsia="楷体"/>
              </w:rPr>
              <w:t>&gt;</w:t>
            </w:r>
            <w:r>
              <w:rPr>
                <w:rFonts w:ascii="楷体" w:hAnsi="楷体" w:eastAsia="楷体"/>
                <w:i/>
              </w:rPr>
              <w:t>H</w:t>
            </w:r>
            <w:r>
              <w:rPr>
                <w:rFonts w:ascii="楷体" w:hAnsi="楷体" w:eastAsia="楷体"/>
              </w:rPr>
              <w:t>/700,</w:t>
            </w:r>
            <w:r>
              <w:rPr>
                <w:rFonts w:hint="eastAsia" w:ascii="楷体" w:hAnsi="楷体" w:eastAsia="楷体"/>
              </w:rPr>
              <w:t>≤</w:t>
            </w:r>
            <w:r>
              <w:rPr>
                <w:rFonts w:ascii="楷体" w:hAnsi="楷体" w:eastAsia="楷体"/>
                <w:i/>
              </w:rPr>
              <w:t>H</w:t>
            </w:r>
            <w:r>
              <w:rPr>
                <w:rFonts w:ascii="楷体" w:hAnsi="楷体" w:eastAsia="楷体"/>
              </w:rPr>
              <w:t>/600</w:t>
            </w:r>
          </w:p>
        </w:tc>
        <w:tc>
          <w:tcPr>
            <w:tcW w:w="3321" w:type="dxa"/>
            <w:shd w:val="clear" w:color="auto" w:fill="auto"/>
            <w:vAlign w:val="center"/>
          </w:tcPr>
          <w:p>
            <w:pPr>
              <w:pStyle w:val="42"/>
              <w:jc w:val="center"/>
              <w:rPr>
                <w:rFonts w:ascii="楷体" w:hAnsi="楷体" w:eastAsia="楷体"/>
              </w:rPr>
            </w:pPr>
            <w:r>
              <w:rPr>
                <w:rFonts w:ascii="楷体" w:hAnsi="楷体" w:eastAsia="楷体"/>
              </w:rPr>
              <w:t>&gt;</w:t>
            </w:r>
            <w:r>
              <w:rPr>
                <w:rFonts w:ascii="楷体" w:hAnsi="楷体" w:eastAsia="楷体"/>
                <w:i/>
              </w:rPr>
              <w:t>H</w:t>
            </w:r>
            <w:r>
              <w:rPr>
                <w:rFonts w:ascii="楷体" w:hAnsi="楷体" w:eastAsia="楷体"/>
              </w:rPr>
              <w:t>/600</w:t>
            </w:r>
          </w:p>
        </w:tc>
      </w:tr>
    </w:tbl>
    <w:p>
      <w:pPr>
        <w:pStyle w:val="42"/>
        <w:spacing w:line="240" w:lineRule="auto"/>
        <w:ind w:firstLine="360"/>
        <w:rPr>
          <w:rFonts w:ascii="楷体" w:hAnsi="楷体" w:eastAsia="楷体"/>
          <w:sz w:val="18"/>
          <w:szCs w:val="18"/>
        </w:rPr>
      </w:pPr>
      <w:r>
        <w:rPr>
          <w:rFonts w:hint="eastAsia" w:ascii="楷体" w:hAnsi="楷体" w:eastAsia="楷体"/>
          <w:sz w:val="18"/>
          <w:szCs w:val="18"/>
        </w:rPr>
        <w:t>注：</w:t>
      </w:r>
      <w:r>
        <w:rPr>
          <w:rFonts w:ascii="楷体" w:hAnsi="楷体" w:eastAsia="楷体"/>
          <w:sz w:val="18"/>
          <w:szCs w:val="18"/>
        </w:rPr>
        <w:t xml:space="preserve">1 </w:t>
      </w:r>
      <w:r>
        <w:rPr>
          <w:rFonts w:hint="eastAsia" w:ascii="楷体" w:hAnsi="楷体" w:eastAsia="楷体"/>
          <w:sz w:val="18"/>
          <w:szCs w:val="18"/>
        </w:rPr>
        <w:t>表中限值系对一般装修标准而言，若为高级装修应事先协商确定；</w:t>
      </w:r>
    </w:p>
    <w:p>
      <w:pPr>
        <w:pStyle w:val="42"/>
        <w:spacing w:line="240" w:lineRule="auto"/>
        <w:ind w:firstLine="360"/>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 xml:space="preserve"> </w:t>
      </w:r>
      <w:r>
        <w:rPr>
          <w:rFonts w:ascii="楷体" w:hAnsi="楷体" w:eastAsia="楷体"/>
          <w:sz w:val="18"/>
          <w:szCs w:val="18"/>
        </w:rPr>
        <w:t xml:space="preserve">2 </w:t>
      </w:r>
      <w:r>
        <w:rPr>
          <w:rFonts w:hint="eastAsia" w:ascii="楷体" w:hAnsi="楷体" w:eastAsia="楷体"/>
          <w:sz w:val="18"/>
          <w:szCs w:val="18"/>
        </w:rPr>
        <w:t>表中</w:t>
      </w:r>
      <w:r>
        <w:rPr>
          <w:rFonts w:ascii="楷体" w:hAnsi="楷体" w:eastAsia="楷体"/>
          <w:i/>
          <w:sz w:val="18"/>
          <w:szCs w:val="18"/>
        </w:rPr>
        <w:t>H</w:t>
      </w:r>
      <w:r>
        <w:rPr>
          <w:rFonts w:hint="eastAsia" w:ascii="楷体" w:hAnsi="楷体" w:eastAsia="楷体"/>
          <w:sz w:val="18"/>
          <w:szCs w:val="18"/>
        </w:rPr>
        <w:t>为结构顶点高度；</w:t>
      </w:r>
      <w:r>
        <w:rPr>
          <w:rFonts w:ascii="楷体" w:hAnsi="楷体" w:eastAsia="楷体"/>
          <w:i/>
          <w:sz w:val="18"/>
          <w:szCs w:val="18"/>
        </w:rPr>
        <w:t>H</w:t>
      </w:r>
      <w:r>
        <w:rPr>
          <w:rFonts w:ascii="楷体" w:hAnsi="楷体" w:eastAsia="楷体"/>
          <w:sz w:val="18"/>
          <w:szCs w:val="18"/>
          <w:vertAlign w:val="subscript"/>
        </w:rPr>
        <w:t>i</w:t>
      </w:r>
      <w:r>
        <w:rPr>
          <w:rFonts w:hint="eastAsia" w:ascii="楷体" w:hAnsi="楷体" w:eastAsia="楷体"/>
          <w:sz w:val="18"/>
          <w:szCs w:val="18"/>
        </w:rPr>
        <w:t>为第</w:t>
      </w:r>
      <w:r>
        <w:rPr>
          <w:rFonts w:ascii="楷体" w:hAnsi="楷体" w:eastAsia="楷体"/>
          <w:i/>
          <w:sz w:val="18"/>
          <w:szCs w:val="18"/>
        </w:rPr>
        <w:t>i</w:t>
      </w:r>
      <w:r>
        <w:rPr>
          <w:rFonts w:hint="eastAsia" w:ascii="楷体" w:hAnsi="楷体" w:eastAsia="楷体"/>
          <w:sz w:val="18"/>
          <w:szCs w:val="18"/>
        </w:rPr>
        <w:t>层的层间高度。</w:t>
      </w:r>
    </w:p>
    <w:p>
      <w:pPr>
        <w:pStyle w:val="41"/>
        <w:rPr>
          <w:rFonts w:ascii="楷体" w:hAnsi="楷体" w:eastAsia="楷体"/>
          <w:b w:val="0"/>
        </w:rPr>
      </w:pPr>
      <w:r>
        <w:rPr>
          <w:rFonts w:hint="eastAsia" w:ascii="楷体" w:hAnsi="楷体" w:eastAsia="楷体"/>
          <w:b w:val="0"/>
        </w:rPr>
        <w:t>表6 火灾后工业建筑砌体结构侧向</w:t>
      </w:r>
      <w:r>
        <w:rPr>
          <w:rFonts w:ascii="楷体" w:hAnsi="楷体" w:eastAsia="楷体"/>
          <w:b w:val="0"/>
        </w:rPr>
        <w:t>(</w:t>
      </w:r>
      <w:r>
        <w:rPr>
          <w:rFonts w:hint="eastAsia" w:ascii="楷体" w:hAnsi="楷体" w:eastAsia="楷体"/>
          <w:b w:val="0"/>
        </w:rPr>
        <w:t>水平</w:t>
      </w:r>
      <w:r>
        <w:rPr>
          <w:rFonts w:ascii="楷体" w:hAnsi="楷体" w:eastAsia="楷体"/>
          <w:b w:val="0"/>
        </w:rPr>
        <w:t>)</w:t>
      </w:r>
      <w:r>
        <w:rPr>
          <w:rFonts w:hint="eastAsia" w:ascii="楷体" w:hAnsi="楷体" w:eastAsia="楷体"/>
          <w:b w:val="0"/>
        </w:rPr>
        <w:t>位移变形的初步鉴定评级标准</w:t>
      </w:r>
      <w:r>
        <w:rPr>
          <w:rFonts w:ascii="楷体" w:hAnsi="楷体" w:eastAsia="楷体"/>
          <w:b w:val="0"/>
        </w:rPr>
        <w:t xml:space="preserve"> </w:t>
      </w:r>
    </w:p>
    <w:tbl>
      <w:tblPr>
        <w:tblStyle w:val="24"/>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00"/>
        <w:gridCol w:w="1333"/>
        <w:gridCol w:w="2668"/>
        <w:gridCol w:w="3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93" w:type="dxa"/>
            <w:gridSpan w:val="3"/>
            <w:vAlign w:val="center"/>
          </w:tcPr>
          <w:p>
            <w:pPr>
              <w:pStyle w:val="42"/>
              <w:jc w:val="center"/>
              <w:rPr>
                <w:rFonts w:ascii="楷体" w:hAnsi="楷体" w:eastAsia="楷体"/>
              </w:rPr>
            </w:pPr>
            <w:r>
              <w:rPr>
                <w:rFonts w:hint="eastAsia" w:ascii="楷体" w:hAnsi="楷体" w:eastAsia="楷体"/>
              </w:rPr>
              <w:t>等级评定要素</w:t>
            </w:r>
          </w:p>
        </w:tc>
        <w:tc>
          <w:tcPr>
            <w:tcW w:w="2668" w:type="dxa"/>
            <w:vAlign w:val="center"/>
          </w:tcPr>
          <w:p>
            <w:pPr>
              <w:pStyle w:val="42"/>
              <w:jc w:val="center"/>
              <w:rPr>
                <w:rFonts w:ascii="楷体" w:hAnsi="楷体" w:eastAsia="楷体"/>
              </w:rPr>
            </w:pPr>
            <w:r>
              <w:rPr>
                <w:rFonts w:hint="eastAsia" w:ascii="宋体" w:hAnsi="宋体" w:cs="宋体"/>
              </w:rPr>
              <w:t>Ⅱ</w:t>
            </w:r>
            <w:r>
              <w:rPr>
                <w:rFonts w:eastAsia="楷体"/>
                <w:vertAlign w:val="subscript"/>
              </w:rPr>
              <w:t>a</w:t>
            </w:r>
            <w:r>
              <w:rPr>
                <w:rFonts w:hint="eastAsia" w:ascii="楷体" w:hAnsi="楷体" w:eastAsia="楷体"/>
              </w:rPr>
              <w:t>级或</w:t>
            </w:r>
            <w:r>
              <w:rPr>
                <w:rFonts w:hint="eastAsia" w:ascii="宋体" w:hAnsi="宋体" w:cs="宋体"/>
              </w:rPr>
              <w:t>Ⅱ</w:t>
            </w:r>
            <w:r>
              <w:rPr>
                <w:rFonts w:eastAsia="楷体"/>
                <w:vertAlign w:val="subscript"/>
              </w:rPr>
              <w:t>b</w:t>
            </w:r>
            <w:r>
              <w:rPr>
                <w:rFonts w:hint="eastAsia" w:ascii="楷体" w:hAnsi="楷体" w:eastAsia="楷体"/>
              </w:rPr>
              <w:t>级</w:t>
            </w:r>
          </w:p>
        </w:tc>
        <w:tc>
          <w:tcPr>
            <w:tcW w:w="3001" w:type="dxa"/>
            <w:vAlign w:val="center"/>
          </w:tcPr>
          <w:p>
            <w:pPr>
              <w:pStyle w:val="42"/>
              <w:jc w:val="center"/>
              <w:rPr>
                <w:rFonts w:ascii="楷体" w:hAnsi="楷体" w:eastAsia="楷体"/>
              </w:rPr>
            </w:pPr>
            <w:r>
              <w:rPr>
                <w:rFonts w:hint="eastAsia" w:ascii="宋体" w:hAnsi="宋体" w:cs="宋体"/>
              </w:rPr>
              <w:t>Ⅲ</w:t>
            </w:r>
            <w:r>
              <w:rPr>
                <w:rFonts w:hint="eastAsia" w:ascii="楷体" w:hAnsi="楷体" w:eastAsia="楷体"/>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1460" w:type="dxa"/>
            <w:vMerge w:val="restart"/>
            <w:vAlign w:val="center"/>
          </w:tcPr>
          <w:p>
            <w:pPr>
              <w:pStyle w:val="42"/>
              <w:jc w:val="center"/>
              <w:rPr>
                <w:rFonts w:ascii="楷体" w:hAnsi="楷体" w:eastAsia="楷体"/>
              </w:rPr>
            </w:pPr>
            <w:r>
              <w:rPr>
                <w:rFonts w:hint="eastAsia" w:ascii="楷体" w:hAnsi="楷体" w:eastAsia="楷体"/>
              </w:rPr>
              <w:t>多层房屋</w:t>
            </w:r>
            <w:r>
              <w:rPr>
                <w:rFonts w:ascii="楷体" w:hAnsi="楷体" w:eastAsia="楷体"/>
              </w:rPr>
              <w:t>(</w:t>
            </w:r>
            <w:r>
              <w:rPr>
                <w:rFonts w:hint="eastAsia" w:ascii="楷体" w:hAnsi="楷体" w:eastAsia="楷体"/>
              </w:rPr>
              <w:t>包括多层厂房</w:t>
            </w:r>
            <w:r>
              <w:rPr>
                <w:rFonts w:ascii="楷体" w:hAnsi="楷体" w:eastAsia="楷体"/>
              </w:rPr>
              <w:t>)</w:t>
            </w:r>
          </w:p>
        </w:tc>
        <w:tc>
          <w:tcPr>
            <w:tcW w:w="2833" w:type="dxa"/>
            <w:gridSpan w:val="2"/>
            <w:vAlign w:val="center"/>
          </w:tcPr>
          <w:p>
            <w:pPr>
              <w:pStyle w:val="42"/>
              <w:jc w:val="center"/>
              <w:rPr>
                <w:rFonts w:ascii="楷体" w:hAnsi="楷体" w:eastAsia="楷体"/>
              </w:rPr>
            </w:pPr>
            <w:r>
              <w:rPr>
                <w:rFonts w:hint="eastAsia" w:ascii="楷体" w:hAnsi="楷体" w:eastAsia="楷体"/>
              </w:rPr>
              <w:t>层间位移或倾斜</w:t>
            </w:r>
          </w:p>
        </w:tc>
        <w:tc>
          <w:tcPr>
            <w:tcW w:w="2668" w:type="dxa"/>
            <w:vAlign w:val="center"/>
          </w:tcPr>
          <w:p>
            <w:pPr>
              <w:pStyle w:val="42"/>
              <w:jc w:val="center"/>
              <w:rPr>
                <w:rFonts w:ascii="楷体" w:hAnsi="楷体" w:eastAsia="楷体"/>
              </w:rPr>
            </w:pPr>
            <w:r>
              <w:rPr>
                <w:rFonts w:ascii="楷体" w:hAnsi="楷体" w:eastAsia="楷体"/>
              </w:rPr>
              <w:t>&gt;5,</w:t>
            </w:r>
            <w:r>
              <w:rPr>
                <w:rFonts w:hint="eastAsia" w:ascii="楷体" w:hAnsi="楷体" w:eastAsia="楷体"/>
              </w:rPr>
              <w:t>≤</w:t>
            </w:r>
            <w:r>
              <w:rPr>
                <w:rFonts w:ascii="楷体" w:hAnsi="楷体" w:eastAsia="楷体"/>
              </w:rPr>
              <w:t>20</w:t>
            </w:r>
          </w:p>
        </w:tc>
        <w:tc>
          <w:tcPr>
            <w:tcW w:w="3001" w:type="dxa"/>
            <w:vAlign w:val="center"/>
          </w:tcPr>
          <w:p>
            <w:pPr>
              <w:pStyle w:val="42"/>
              <w:jc w:val="center"/>
              <w:rPr>
                <w:rFonts w:ascii="楷体" w:hAnsi="楷体" w:eastAsia="楷体"/>
              </w:rPr>
            </w:pPr>
            <w:r>
              <w:rPr>
                <w:rFonts w:ascii="楷体" w:hAnsi="楷体" w:eastAsia="楷体"/>
              </w:rPr>
              <w:t>&gt;20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460" w:type="dxa"/>
            <w:vMerge w:val="continue"/>
            <w:vAlign w:val="center"/>
          </w:tcPr>
          <w:p>
            <w:pPr>
              <w:pStyle w:val="42"/>
              <w:jc w:val="center"/>
              <w:rPr>
                <w:rFonts w:ascii="楷体" w:hAnsi="楷体" w:eastAsia="楷体"/>
              </w:rPr>
            </w:pPr>
          </w:p>
        </w:tc>
        <w:tc>
          <w:tcPr>
            <w:tcW w:w="2833" w:type="dxa"/>
            <w:gridSpan w:val="2"/>
            <w:vAlign w:val="center"/>
          </w:tcPr>
          <w:p>
            <w:pPr>
              <w:pStyle w:val="42"/>
              <w:jc w:val="center"/>
              <w:rPr>
                <w:rFonts w:ascii="楷体" w:hAnsi="楷体" w:eastAsia="楷体"/>
              </w:rPr>
            </w:pPr>
            <w:r>
              <w:rPr>
                <w:rFonts w:hint="eastAsia" w:ascii="楷体" w:hAnsi="楷体" w:eastAsia="楷体"/>
              </w:rPr>
              <w:t>顶点位移或倾斜</w:t>
            </w:r>
          </w:p>
        </w:tc>
        <w:tc>
          <w:tcPr>
            <w:tcW w:w="2668" w:type="dxa"/>
            <w:vAlign w:val="center"/>
          </w:tcPr>
          <w:p>
            <w:pPr>
              <w:pStyle w:val="42"/>
              <w:jc w:val="center"/>
              <w:rPr>
                <w:rFonts w:ascii="楷体" w:hAnsi="楷体" w:eastAsia="楷体"/>
              </w:rPr>
            </w:pPr>
            <w:r>
              <w:rPr>
                <w:rFonts w:ascii="楷体" w:hAnsi="楷体" w:eastAsia="楷体"/>
              </w:rPr>
              <w:t>&gt;15,</w:t>
            </w:r>
            <w:r>
              <w:rPr>
                <w:rFonts w:hint="eastAsia" w:ascii="楷体" w:hAnsi="楷体" w:eastAsia="楷体"/>
              </w:rPr>
              <w:t>≤</w:t>
            </w:r>
            <w:r>
              <w:rPr>
                <w:rFonts w:ascii="楷体" w:hAnsi="楷体" w:eastAsia="楷体"/>
              </w:rPr>
              <w:t>30</w:t>
            </w:r>
            <w:r>
              <w:rPr>
                <w:rFonts w:hint="eastAsia" w:ascii="楷体" w:hAnsi="楷体" w:eastAsia="楷体"/>
              </w:rPr>
              <w:t>和</w:t>
            </w:r>
            <w:r>
              <w:rPr>
                <w:rFonts w:ascii="楷体" w:hAnsi="楷体" w:eastAsia="楷体"/>
              </w:rPr>
              <w:t>3</w:t>
            </w:r>
            <w:r>
              <w:rPr>
                <w:rFonts w:ascii="楷体" w:hAnsi="楷体" w:eastAsia="楷体"/>
                <w:i/>
              </w:rPr>
              <w:t>H</w:t>
            </w:r>
            <w:r>
              <w:rPr>
                <w:rFonts w:ascii="楷体" w:hAnsi="楷体" w:eastAsia="楷体"/>
              </w:rPr>
              <w:t>/1000</w:t>
            </w:r>
            <w:r>
              <w:rPr>
                <w:rFonts w:hint="eastAsia" w:ascii="楷体" w:hAnsi="楷体" w:eastAsia="楷体"/>
              </w:rPr>
              <w:t>中的较大者</w:t>
            </w:r>
          </w:p>
        </w:tc>
        <w:tc>
          <w:tcPr>
            <w:tcW w:w="3001" w:type="dxa"/>
            <w:vAlign w:val="center"/>
          </w:tcPr>
          <w:p>
            <w:pPr>
              <w:pStyle w:val="42"/>
              <w:jc w:val="center"/>
              <w:rPr>
                <w:rFonts w:ascii="楷体" w:hAnsi="楷体" w:eastAsia="楷体"/>
              </w:rPr>
            </w:pPr>
            <w:r>
              <w:rPr>
                <w:rFonts w:ascii="楷体" w:hAnsi="楷体" w:eastAsia="楷体"/>
              </w:rPr>
              <w:t>&gt;30</w:t>
            </w:r>
            <w:r>
              <w:rPr>
                <w:rFonts w:hint="eastAsia" w:ascii="楷体" w:hAnsi="楷体" w:eastAsia="楷体"/>
              </w:rPr>
              <w:t>和</w:t>
            </w:r>
            <w:r>
              <w:rPr>
                <w:rFonts w:ascii="楷体" w:hAnsi="楷体" w:eastAsia="楷体"/>
              </w:rPr>
              <w:t>3</w:t>
            </w:r>
            <w:r>
              <w:rPr>
                <w:rFonts w:ascii="楷体" w:hAnsi="楷体" w:eastAsia="楷体"/>
                <w:i/>
              </w:rPr>
              <w:t>H</w:t>
            </w:r>
            <w:r>
              <w:rPr>
                <w:rFonts w:ascii="楷体" w:hAnsi="楷体" w:eastAsia="楷体"/>
              </w:rPr>
              <w:t>/1000</w:t>
            </w:r>
            <w:r>
              <w:rPr>
                <w:rFonts w:hint="eastAsia" w:ascii="楷体" w:hAnsi="楷体" w:eastAsia="楷体"/>
              </w:rPr>
              <w:t>中的较大值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1460" w:type="dxa"/>
            <w:vMerge w:val="restart"/>
            <w:vAlign w:val="center"/>
          </w:tcPr>
          <w:p>
            <w:pPr>
              <w:pStyle w:val="42"/>
              <w:jc w:val="center"/>
              <w:rPr>
                <w:rFonts w:ascii="楷体" w:hAnsi="楷体" w:eastAsia="楷体"/>
              </w:rPr>
            </w:pPr>
            <w:r>
              <w:rPr>
                <w:rFonts w:hint="eastAsia" w:ascii="楷体" w:hAnsi="楷体" w:eastAsia="楷体"/>
              </w:rPr>
              <w:t>单层房屋（包括单层厂房）</w:t>
            </w:r>
          </w:p>
        </w:tc>
        <w:tc>
          <w:tcPr>
            <w:tcW w:w="2833" w:type="dxa"/>
            <w:gridSpan w:val="2"/>
            <w:vAlign w:val="center"/>
          </w:tcPr>
          <w:p>
            <w:pPr>
              <w:pStyle w:val="42"/>
              <w:jc w:val="center"/>
              <w:rPr>
                <w:rFonts w:ascii="楷体" w:hAnsi="楷体" w:eastAsia="楷体"/>
              </w:rPr>
            </w:pPr>
            <w:r>
              <w:rPr>
                <w:rFonts w:hint="eastAsia" w:ascii="楷体" w:hAnsi="楷体" w:eastAsia="楷体"/>
              </w:rPr>
              <w:t>有吊车厂房墙、柱</w:t>
            </w:r>
          </w:p>
          <w:p>
            <w:pPr>
              <w:pStyle w:val="42"/>
              <w:jc w:val="center"/>
              <w:rPr>
                <w:rFonts w:ascii="楷体" w:hAnsi="楷体" w:eastAsia="楷体"/>
              </w:rPr>
            </w:pPr>
            <w:r>
              <w:rPr>
                <w:rFonts w:hint="eastAsia" w:ascii="楷体" w:hAnsi="楷体" w:eastAsia="楷体"/>
              </w:rPr>
              <w:t>位移</w:t>
            </w:r>
          </w:p>
        </w:tc>
        <w:tc>
          <w:tcPr>
            <w:tcW w:w="2668" w:type="dxa"/>
            <w:vAlign w:val="center"/>
          </w:tcPr>
          <w:p>
            <w:pPr>
              <w:pStyle w:val="42"/>
              <w:jc w:val="center"/>
              <w:rPr>
                <w:rFonts w:ascii="楷体" w:hAnsi="楷体" w:eastAsia="楷体"/>
              </w:rPr>
            </w:pPr>
            <w:r>
              <w:rPr>
                <w:rFonts w:ascii="楷体" w:hAnsi="楷体" w:eastAsia="楷体"/>
              </w:rPr>
              <w:t>&gt;</w:t>
            </w:r>
            <w:r>
              <w:rPr>
                <w:rFonts w:ascii="楷体" w:hAnsi="楷体" w:eastAsia="楷体"/>
                <w:i/>
              </w:rPr>
              <w:t>H</w:t>
            </w:r>
            <w:r>
              <w:rPr>
                <w:rFonts w:ascii="楷体" w:hAnsi="楷体" w:eastAsia="楷体"/>
                <w:i/>
                <w:vertAlign w:val="subscript"/>
              </w:rPr>
              <w:t>T</w:t>
            </w:r>
            <w:r>
              <w:rPr>
                <w:rFonts w:ascii="楷体" w:hAnsi="楷体" w:eastAsia="楷体"/>
              </w:rPr>
              <w:t>/1250</w:t>
            </w:r>
            <w:r>
              <w:rPr>
                <w:rFonts w:hint="eastAsia" w:ascii="楷体" w:hAnsi="楷体" w:eastAsia="楷体"/>
              </w:rPr>
              <w:t>限值，但不影响吊车运行</w:t>
            </w:r>
          </w:p>
        </w:tc>
        <w:tc>
          <w:tcPr>
            <w:tcW w:w="3001" w:type="dxa"/>
            <w:vAlign w:val="center"/>
          </w:tcPr>
          <w:p>
            <w:pPr>
              <w:pStyle w:val="42"/>
              <w:jc w:val="center"/>
              <w:rPr>
                <w:rFonts w:ascii="楷体" w:hAnsi="楷体" w:eastAsia="楷体"/>
              </w:rPr>
            </w:pPr>
            <w:r>
              <w:rPr>
                <w:rFonts w:ascii="楷体" w:hAnsi="楷体" w:eastAsia="楷体"/>
              </w:rPr>
              <w:t>&gt;</w:t>
            </w:r>
            <w:r>
              <w:rPr>
                <w:rFonts w:ascii="楷体" w:hAnsi="楷体" w:eastAsia="楷体"/>
                <w:i/>
              </w:rPr>
              <w:t>H</w:t>
            </w:r>
            <w:r>
              <w:rPr>
                <w:rFonts w:ascii="楷体" w:hAnsi="楷体" w:eastAsia="楷体"/>
                <w:i/>
                <w:vertAlign w:val="subscript"/>
              </w:rPr>
              <w:t>T</w:t>
            </w:r>
            <w:r>
              <w:rPr>
                <w:rFonts w:ascii="楷体" w:hAnsi="楷体" w:eastAsia="楷体"/>
              </w:rPr>
              <w:t>/1250</w:t>
            </w:r>
            <w:r>
              <w:rPr>
                <w:rFonts w:hint="eastAsia" w:ascii="楷体" w:hAnsi="楷体" w:eastAsia="楷体"/>
              </w:rPr>
              <w:t>限值，影响吊车运行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 w:hRule="atLeast"/>
          <w:jc w:val="center"/>
        </w:trPr>
        <w:tc>
          <w:tcPr>
            <w:tcW w:w="1460" w:type="dxa"/>
            <w:vMerge w:val="continue"/>
            <w:vAlign w:val="center"/>
          </w:tcPr>
          <w:p>
            <w:pPr>
              <w:pStyle w:val="42"/>
              <w:jc w:val="center"/>
              <w:rPr>
                <w:rFonts w:ascii="楷体" w:hAnsi="楷体" w:eastAsia="楷体"/>
              </w:rPr>
            </w:pPr>
          </w:p>
        </w:tc>
        <w:tc>
          <w:tcPr>
            <w:tcW w:w="1500" w:type="dxa"/>
            <w:vMerge w:val="restart"/>
            <w:vAlign w:val="center"/>
          </w:tcPr>
          <w:p>
            <w:pPr>
              <w:pStyle w:val="42"/>
              <w:jc w:val="center"/>
              <w:rPr>
                <w:rFonts w:ascii="楷体" w:hAnsi="楷体" w:eastAsia="楷体"/>
              </w:rPr>
            </w:pPr>
            <w:r>
              <w:rPr>
                <w:rFonts w:hint="eastAsia" w:ascii="楷体" w:hAnsi="楷体" w:eastAsia="楷体"/>
              </w:rPr>
              <w:t>无吊车厂房位移或倾斜</w:t>
            </w:r>
          </w:p>
        </w:tc>
        <w:tc>
          <w:tcPr>
            <w:tcW w:w="1333" w:type="dxa"/>
            <w:vAlign w:val="center"/>
          </w:tcPr>
          <w:p>
            <w:pPr>
              <w:pStyle w:val="42"/>
              <w:jc w:val="center"/>
              <w:rPr>
                <w:rFonts w:ascii="楷体" w:hAnsi="楷体" w:eastAsia="楷体"/>
              </w:rPr>
            </w:pPr>
            <w:r>
              <w:rPr>
                <w:rFonts w:hint="eastAsia" w:ascii="楷体" w:hAnsi="楷体" w:eastAsia="楷体"/>
              </w:rPr>
              <w:t>独立柱</w:t>
            </w:r>
          </w:p>
        </w:tc>
        <w:tc>
          <w:tcPr>
            <w:tcW w:w="2668" w:type="dxa"/>
            <w:vAlign w:val="center"/>
          </w:tcPr>
          <w:p>
            <w:pPr>
              <w:pStyle w:val="42"/>
              <w:jc w:val="center"/>
              <w:rPr>
                <w:rFonts w:ascii="楷体" w:hAnsi="楷体" w:eastAsia="楷体"/>
              </w:rPr>
            </w:pPr>
            <w:r>
              <w:rPr>
                <w:rFonts w:ascii="楷体" w:hAnsi="楷体" w:eastAsia="楷体"/>
              </w:rPr>
              <w:t>&gt;10,</w:t>
            </w:r>
            <w:r>
              <w:rPr>
                <w:rFonts w:hint="eastAsia" w:ascii="楷体" w:hAnsi="楷体" w:eastAsia="楷体"/>
              </w:rPr>
              <w:t>≤</w:t>
            </w:r>
            <w:r>
              <w:rPr>
                <w:rFonts w:ascii="楷体" w:hAnsi="楷体" w:eastAsia="楷体"/>
              </w:rPr>
              <w:t>15</w:t>
            </w:r>
            <w:r>
              <w:rPr>
                <w:rFonts w:hint="eastAsia" w:ascii="楷体" w:hAnsi="楷体" w:eastAsia="楷体"/>
              </w:rPr>
              <w:t>和</w:t>
            </w:r>
            <w:r>
              <w:rPr>
                <w:rFonts w:ascii="楷体" w:hAnsi="楷体" w:eastAsia="楷体"/>
              </w:rPr>
              <w:t>1.5</w:t>
            </w:r>
            <w:r>
              <w:rPr>
                <w:rFonts w:ascii="楷体" w:hAnsi="楷体" w:eastAsia="楷体"/>
                <w:i/>
              </w:rPr>
              <w:t>H</w:t>
            </w:r>
            <w:r>
              <w:rPr>
                <w:rFonts w:ascii="楷体" w:hAnsi="楷体" w:eastAsia="楷体"/>
              </w:rPr>
              <w:t>/1000</w:t>
            </w:r>
            <w:r>
              <w:rPr>
                <w:rFonts w:hint="eastAsia" w:ascii="楷体" w:hAnsi="楷体" w:eastAsia="楷体"/>
              </w:rPr>
              <w:t>中的较大者</w:t>
            </w:r>
          </w:p>
        </w:tc>
        <w:tc>
          <w:tcPr>
            <w:tcW w:w="3001" w:type="dxa"/>
            <w:vAlign w:val="center"/>
          </w:tcPr>
          <w:p>
            <w:pPr>
              <w:pStyle w:val="42"/>
              <w:jc w:val="center"/>
              <w:rPr>
                <w:rFonts w:ascii="楷体" w:hAnsi="楷体" w:eastAsia="楷体"/>
              </w:rPr>
            </w:pPr>
            <w:r>
              <w:rPr>
                <w:rFonts w:ascii="楷体" w:hAnsi="楷体" w:eastAsia="楷体"/>
              </w:rPr>
              <w:t>&gt;15</w:t>
            </w:r>
            <w:r>
              <w:rPr>
                <w:rFonts w:hint="eastAsia" w:ascii="楷体" w:hAnsi="楷体" w:eastAsia="楷体"/>
              </w:rPr>
              <w:t>和</w:t>
            </w:r>
            <w:r>
              <w:rPr>
                <w:rFonts w:ascii="楷体" w:hAnsi="楷体" w:eastAsia="楷体"/>
              </w:rPr>
              <w:t>1.5</w:t>
            </w:r>
            <w:r>
              <w:rPr>
                <w:rFonts w:ascii="楷体" w:hAnsi="楷体" w:eastAsia="楷体"/>
                <w:i/>
              </w:rPr>
              <w:t>H</w:t>
            </w:r>
            <w:r>
              <w:rPr>
                <w:rFonts w:ascii="楷体" w:hAnsi="楷体" w:eastAsia="楷体"/>
              </w:rPr>
              <w:t>/1000</w:t>
            </w:r>
            <w:r>
              <w:rPr>
                <w:rFonts w:hint="eastAsia" w:ascii="楷体" w:hAnsi="楷体" w:eastAsia="楷体"/>
              </w:rPr>
              <w:t>中的较大值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1460" w:type="dxa"/>
            <w:vMerge w:val="continue"/>
            <w:vAlign w:val="center"/>
          </w:tcPr>
          <w:p>
            <w:pPr>
              <w:pStyle w:val="42"/>
              <w:jc w:val="center"/>
              <w:rPr>
                <w:rFonts w:ascii="楷体" w:hAnsi="楷体" w:eastAsia="楷体"/>
              </w:rPr>
            </w:pPr>
          </w:p>
        </w:tc>
        <w:tc>
          <w:tcPr>
            <w:tcW w:w="1500" w:type="dxa"/>
            <w:vMerge w:val="continue"/>
            <w:vAlign w:val="center"/>
          </w:tcPr>
          <w:p>
            <w:pPr>
              <w:pStyle w:val="42"/>
              <w:jc w:val="center"/>
              <w:rPr>
                <w:rFonts w:ascii="楷体" w:hAnsi="楷体" w:eastAsia="楷体"/>
              </w:rPr>
            </w:pPr>
          </w:p>
        </w:tc>
        <w:tc>
          <w:tcPr>
            <w:tcW w:w="1333" w:type="dxa"/>
            <w:vAlign w:val="center"/>
          </w:tcPr>
          <w:p>
            <w:pPr>
              <w:pStyle w:val="42"/>
              <w:jc w:val="center"/>
              <w:rPr>
                <w:rFonts w:ascii="楷体" w:hAnsi="楷体" w:eastAsia="楷体"/>
              </w:rPr>
            </w:pPr>
            <w:r>
              <w:rPr>
                <w:rFonts w:hint="eastAsia" w:ascii="楷体" w:hAnsi="楷体" w:eastAsia="楷体"/>
              </w:rPr>
              <w:t>墙</w:t>
            </w:r>
          </w:p>
        </w:tc>
        <w:tc>
          <w:tcPr>
            <w:tcW w:w="2668" w:type="dxa"/>
            <w:vAlign w:val="center"/>
          </w:tcPr>
          <w:p>
            <w:pPr>
              <w:pStyle w:val="42"/>
              <w:jc w:val="center"/>
              <w:rPr>
                <w:rFonts w:ascii="楷体" w:hAnsi="楷体" w:eastAsia="楷体"/>
              </w:rPr>
            </w:pPr>
            <w:r>
              <w:rPr>
                <w:rFonts w:ascii="楷体" w:hAnsi="楷体" w:eastAsia="楷体"/>
              </w:rPr>
              <w:t>&gt;10</w:t>
            </w:r>
            <w:r>
              <w:rPr>
                <w:rFonts w:hint="eastAsia" w:ascii="楷体" w:hAnsi="楷体" w:eastAsia="楷体"/>
              </w:rPr>
              <w:t>，≤</w:t>
            </w:r>
            <w:r>
              <w:rPr>
                <w:rFonts w:ascii="楷体" w:hAnsi="楷体" w:eastAsia="楷体"/>
              </w:rPr>
              <w:t>30</w:t>
            </w:r>
            <w:r>
              <w:rPr>
                <w:rFonts w:hint="eastAsia" w:ascii="楷体" w:hAnsi="楷体" w:eastAsia="楷体"/>
              </w:rPr>
              <w:t>和</w:t>
            </w:r>
            <w:r>
              <w:rPr>
                <w:rFonts w:ascii="楷体" w:hAnsi="楷体" w:eastAsia="楷体"/>
              </w:rPr>
              <w:t>3</w:t>
            </w:r>
            <w:r>
              <w:rPr>
                <w:rFonts w:ascii="楷体" w:hAnsi="楷体" w:eastAsia="楷体"/>
                <w:i/>
              </w:rPr>
              <w:t>H</w:t>
            </w:r>
            <w:r>
              <w:rPr>
                <w:rFonts w:ascii="楷体" w:hAnsi="楷体" w:eastAsia="楷体"/>
              </w:rPr>
              <w:t>/1000</w:t>
            </w:r>
            <w:r>
              <w:rPr>
                <w:rFonts w:hint="eastAsia" w:ascii="楷体" w:hAnsi="楷体" w:eastAsia="楷体"/>
              </w:rPr>
              <w:t>中的较大值</w:t>
            </w:r>
          </w:p>
        </w:tc>
        <w:tc>
          <w:tcPr>
            <w:tcW w:w="3001" w:type="dxa"/>
            <w:vAlign w:val="center"/>
          </w:tcPr>
          <w:p>
            <w:pPr>
              <w:pStyle w:val="42"/>
              <w:jc w:val="center"/>
              <w:rPr>
                <w:rFonts w:ascii="楷体" w:hAnsi="楷体" w:eastAsia="楷体"/>
              </w:rPr>
            </w:pPr>
            <w:r>
              <w:rPr>
                <w:rFonts w:ascii="楷体" w:hAnsi="楷体" w:eastAsia="楷体"/>
              </w:rPr>
              <w:t>&gt;30</w:t>
            </w:r>
            <w:r>
              <w:rPr>
                <w:rFonts w:hint="eastAsia" w:ascii="楷体" w:hAnsi="楷体" w:eastAsia="楷体"/>
              </w:rPr>
              <w:t>和</w:t>
            </w:r>
            <w:r>
              <w:rPr>
                <w:rFonts w:ascii="楷体" w:hAnsi="楷体" w:eastAsia="楷体"/>
              </w:rPr>
              <w:t>3</w:t>
            </w:r>
            <w:r>
              <w:rPr>
                <w:rFonts w:ascii="楷体" w:hAnsi="楷体" w:eastAsia="楷体"/>
                <w:i/>
              </w:rPr>
              <w:t>H</w:t>
            </w:r>
            <w:r>
              <w:rPr>
                <w:rFonts w:ascii="楷体" w:hAnsi="楷体" w:eastAsia="楷体"/>
              </w:rPr>
              <w:t>/1000</w:t>
            </w:r>
            <w:r>
              <w:rPr>
                <w:rFonts w:hint="eastAsia" w:ascii="楷体" w:hAnsi="楷体" w:eastAsia="楷体"/>
              </w:rPr>
              <w:t>中的较大值</w:t>
            </w:r>
          </w:p>
        </w:tc>
      </w:tr>
    </w:tbl>
    <w:p>
      <w:pPr>
        <w:pStyle w:val="42"/>
        <w:spacing w:line="240" w:lineRule="auto"/>
        <w:ind w:firstLine="360"/>
        <w:rPr>
          <w:rFonts w:ascii="楷体" w:hAnsi="楷体" w:eastAsia="楷体"/>
          <w:sz w:val="18"/>
          <w:szCs w:val="18"/>
        </w:rPr>
      </w:pPr>
      <w:r>
        <w:rPr>
          <w:rFonts w:hint="eastAsia" w:ascii="楷体" w:hAnsi="楷体" w:eastAsia="楷体"/>
          <w:sz w:val="18"/>
          <w:szCs w:val="18"/>
        </w:rPr>
        <w:t>注：</w:t>
      </w:r>
      <w:r>
        <w:rPr>
          <w:rFonts w:ascii="楷体" w:hAnsi="楷体" w:eastAsia="楷体"/>
          <w:sz w:val="18"/>
          <w:szCs w:val="18"/>
        </w:rPr>
        <w:t xml:space="preserve">1 </w:t>
      </w:r>
      <w:r>
        <w:rPr>
          <w:rFonts w:hint="eastAsia" w:ascii="楷体" w:hAnsi="楷体" w:eastAsia="楷体"/>
          <w:sz w:val="18"/>
          <w:szCs w:val="18"/>
        </w:rPr>
        <w:t>表中</w:t>
      </w:r>
      <w:r>
        <w:rPr>
          <w:rFonts w:ascii="楷体" w:hAnsi="楷体" w:eastAsia="楷体"/>
          <w:i/>
          <w:sz w:val="18"/>
          <w:szCs w:val="18"/>
        </w:rPr>
        <w:t>H</w:t>
      </w:r>
      <w:r>
        <w:rPr>
          <w:rFonts w:hint="eastAsia" w:ascii="楷体" w:hAnsi="楷体" w:eastAsia="楷体"/>
          <w:sz w:val="18"/>
          <w:szCs w:val="18"/>
        </w:rPr>
        <w:t>为自基础顶面至柱顶总高度：</w:t>
      </w:r>
      <w:r>
        <w:rPr>
          <w:rFonts w:ascii="楷体" w:hAnsi="楷体" w:eastAsia="楷体"/>
          <w:i/>
          <w:sz w:val="18"/>
          <w:szCs w:val="18"/>
        </w:rPr>
        <w:t>h</w:t>
      </w:r>
      <w:r>
        <w:rPr>
          <w:rFonts w:hint="eastAsia" w:ascii="楷体" w:hAnsi="楷体" w:eastAsia="楷体"/>
          <w:sz w:val="18"/>
          <w:szCs w:val="18"/>
        </w:rPr>
        <w:t>为层高；</w:t>
      </w:r>
      <w:r>
        <w:rPr>
          <w:rFonts w:ascii="楷体" w:hAnsi="楷体" w:eastAsia="楷体"/>
          <w:i/>
          <w:sz w:val="18"/>
          <w:szCs w:val="18"/>
        </w:rPr>
        <w:t>H</w:t>
      </w:r>
      <w:r>
        <w:rPr>
          <w:rFonts w:ascii="楷体" w:hAnsi="楷体" w:eastAsia="楷体"/>
          <w:i/>
          <w:sz w:val="18"/>
          <w:szCs w:val="18"/>
          <w:vertAlign w:val="subscript"/>
        </w:rPr>
        <w:t>T</w:t>
      </w:r>
      <w:r>
        <w:rPr>
          <w:rFonts w:hint="eastAsia" w:ascii="楷体" w:hAnsi="楷体" w:eastAsia="楷体"/>
          <w:sz w:val="18"/>
          <w:szCs w:val="18"/>
        </w:rPr>
        <w:t>为基础顶面至吊车梁顶面的高度；</w:t>
      </w:r>
    </w:p>
    <w:p>
      <w:pPr>
        <w:pStyle w:val="42"/>
        <w:spacing w:line="240" w:lineRule="auto"/>
        <w:ind w:firstLine="360" w:firstLineChars="200"/>
        <w:rPr>
          <w:rFonts w:ascii="楷体" w:hAnsi="楷体" w:eastAsia="楷体"/>
          <w:sz w:val="18"/>
          <w:szCs w:val="18"/>
        </w:rPr>
      </w:pPr>
      <w:r>
        <w:rPr>
          <w:rFonts w:ascii="楷体" w:hAnsi="楷体" w:eastAsia="楷体"/>
          <w:sz w:val="18"/>
          <w:szCs w:val="18"/>
        </w:rPr>
        <w:t xml:space="preserve">2 </w:t>
      </w:r>
      <w:r>
        <w:rPr>
          <w:rFonts w:hint="eastAsia" w:ascii="楷体" w:hAnsi="楷体" w:eastAsia="楷体"/>
          <w:sz w:val="18"/>
          <w:szCs w:val="18"/>
        </w:rPr>
        <w:t>表中吊车房屋柱的水平位移限值，是在吊车水平荷载作用下按平面结构图形计算的厂房柱的横向位移；</w:t>
      </w:r>
    </w:p>
    <w:p>
      <w:pPr>
        <w:pStyle w:val="42"/>
        <w:spacing w:line="240" w:lineRule="auto"/>
        <w:ind w:firstLine="360" w:firstLineChars="200"/>
        <w:rPr>
          <w:rFonts w:ascii="楷体" w:hAnsi="楷体" w:eastAsia="楷体"/>
          <w:sz w:val="18"/>
          <w:szCs w:val="18"/>
        </w:rPr>
      </w:pPr>
      <w:r>
        <w:rPr>
          <w:rFonts w:ascii="楷体" w:hAnsi="楷体" w:eastAsia="楷体"/>
          <w:sz w:val="18"/>
          <w:szCs w:val="18"/>
        </w:rPr>
        <w:t xml:space="preserve">3 </w:t>
      </w:r>
      <w:r>
        <w:rPr>
          <w:rFonts w:hint="eastAsia" w:ascii="楷体" w:hAnsi="楷体" w:eastAsia="楷体"/>
          <w:sz w:val="18"/>
          <w:szCs w:val="18"/>
        </w:rPr>
        <w:t>在砌体结构中，墙包括带壁柱墙。</w:t>
      </w:r>
    </w:p>
    <w:p>
      <w:pPr>
        <w:pStyle w:val="42"/>
        <w:spacing w:line="240" w:lineRule="auto"/>
        <w:ind w:firstLine="360" w:firstLineChars="200"/>
        <w:rPr>
          <w:rFonts w:ascii="楷体" w:hAnsi="楷体" w:eastAsia="楷体"/>
          <w:sz w:val="18"/>
          <w:szCs w:val="18"/>
        </w:rPr>
      </w:pPr>
      <w:r>
        <w:rPr>
          <w:rFonts w:ascii="楷体" w:hAnsi="楷体" w:eastAsia="楷体"/>
          <w:sz w:val="18"/>
          <w:szCs w:val="18"/>
        </w:rPr>
        <w:t xml:space="preserve">4 </w:t>
      </w:r>
      <w:r>
        <w:rPr>
          <w:rFonts w:hint="eastAsia" w:ascii="楷体" w:hAnsi="楷体" w:eastAsia="楷体"/>
          <w:sz w:val="18"/>
          <w:szCs w:val="18"/>
        </w:rPr>
        <w:t>多层房屋中，可取层间位移和结构顶点总位移中的较低等级作为结构侧移项目的评定等级；</w:t>
      </w:r>
    </w:p>
    <w:p>
      <w:pPr>
        <w:spacing w:line="240" w:lineRule="auto"/>
        <w:ind w:firstLine="360" w:firstLineChars="200"/>
        <w:rPr>
          <w:rFonts w:ascii="楷体" w:hAnsi="楷体" w:eastAsia="楷体"/>
          <w:sz w:val="18"/>
          <w:szCs w:val="18"/>
        </w:rPr>
      </w:pPr>
      <w:r>
        <w:rPr>
          <w:rFonts w:ascii="楷体" w:hAnsi="楷体" w:eastAsia="楷体"/>
          <w:sz w:val="18"/>
          <w:szCs w:val="18"/>
        </w:rPr>
        <w:t xml:space="preserve">5 </w:t>
      </w:r>
      <w:r>
        <w:rPr>
          <w:rFonts w:hint="eastAsia" w:ascii="楷体" w:hAnsi="楷体" w:eastAsia="楷体"/>
          <w:sz w:val="18"/>
          <w:szCs w:val="18"/>
        </w:rPr>
        <w:t>当结构安全性无问题，倾斜超过表中Ⅱ级的规定值但不影响使用功能时，仍可评为Ⅱ</w:t>
      </w:r>
      <w:r>
        <w:rPr>
          <w:rFonts w:ascii="楷体" w:hAnsi="楷体" w:eastAsia="楷体"/>
          <w:sz w:val="18"/>
          <w:szCs w:val="18"/>
          <w:vertAlign w:val="subscript"/>
        </w:rPr>
        <w:t>b</w:t>
      </w:r>
      <w:r>
        <w:rPr>
          <w:rFonts w:hint="eastAsia" w:ascii="楷体" w:hAnsi="楷体" w:eastAsia="楷体"/>
          <w:sz w:val="18"/>
          <w:szCs w:val="18"/>
        </w:rPr>
        <w:t>级。</w:t>
      </w:r>
    </w:p>
    <w:p>
      <w:pPr>
        <w:rPr>
          <w:rFonts w:ascii="楷体" w:hAnsi="楷体" w:eastAsia="楷体"/>
        </w:rPr>
      </w:pPr>
      <w:r>
        <w:rPr>
          <w:rFonts w:cs="Times New Roman"/>
          <w:b/>
        </w:rPr>
        <w:t xml:space="preserve">6.4.2 </w:t>
      </w:r>
      <w:r>
        <w:rPr>
          <w:rFonts w:hint="eastAsia" w:ascii="楷体" w:hAnsi="楷体" w:eastAsia="楷体"/>
        </w:rPr>
        <w:t>1.砌体结构构件火灾后截面温度场取决于火灾过程、火灾影响区域及持续时间、构件表面最高温度、截面形式、材料的热工性能等。</w:t>
      </w:r>
    </w:p>
    <w:p>
      <w:pPr>
        <w:ind w:firstLine="420" w:firstLineChars="200"/>
        <w:rPr>
          <w:rFonts w:ascii="楷体" w:hAnsi="楷体" w:eastAsia="楷体"/>
        </w:rPr>
      </w:pPr>
      <w:r>
        <w:rPr>
          <w:rFonts w:hint="eastAsia" w:ascii="楷体" w:hAnsi="楷体" w:eastAsia="楷体"/>
        </w:rPr>
        <w:t>火灾后砌体结构构件检测的规定，是</w:t>
      </w:r>
      <w:r>
        <w:rPr>
          <w:rFonts w:ascii="楷体" w:hAnsi="楷体" w:eastAsia="楷体"/>
        </w:rPr>
        <w:t>根据火灾后建筑结构检测鉴定经验，并参照《建筑物火灾后诊断与处理》、《房屋结构灾害检测与加固》等文献制订的。</w:t>
      </w:r>
      <w:r>
        <w:rPr>
          <w:rFonts w:hint="eastAsia" w:ascii="楷体" w:hAnsi="楷体" w:eastAsia="楷体"/>
        </w:rPr>
        <w:t>火灾</w:t>
      </w:r>
      <w:r>
        <w:rPr>
          <w:rFonts w:ascii="楷体" w:hAnsi="楷体" w:eastAsia="楷体"/>
        </w:rPr>
        <w:t>后</w:t>
      </w:r>
      <w:r>
        <w:rPr>
          <w:rFonts w:hint="eastAsia" w:ascii="楷体" w:hAnsi="楷体" w:eastAsia="楷体"/>
        </w:rPr>
        <w:t>砂浆</w:t>
      </w:r>
      <w:r>
        <w:rPr>
          <w:rFonts w:ascii="楷体" w:hAnsi="楷体" w:eastAsia="楷体"/>
        </w:rPr>
        <w:t>和块材</w:t>
      </w:r>
      <w:r>
        <w:rPr>
          <w:rFonts w:hint="eastAsia" w:ascii="楷体" w:hAnsi="楷体" w:eastAsia="楷体"/>
        </w:rPr>
        <w:t>强度的</w:t>
      </w:r>
      <w:r>
        <w:rPr>
          <w:rFonts w:ascii="楷体" w:hAnsi="楷体" w:eastAsia="楷体"/>
        </w:rPr>
        <w:t>分析判定有三种方法，分</w:t>
      </w:r>
      <w:r>
        <w:rPr>
          <w:rFonts w:hint="eastAsia" w:ascii="楷体" w:hAnsi="楷体" w:eastAsia="楷体"/>
        </w:rPr>
        <w:t>别</w:t>
      </w:r>
      <w:r>
        <w:rPr>
          <w:rFonts w:ascii="楷体" w:hAnsi="楷体" w:eastAsia="楷体"/>
        </w:rPr>
        <w:t>是现场原</w:t>
      </w:r>
      <w:r>
        <w:rPr>
          <w:rFonts w:hint="eastAsia" w:ascii="楷体" w:hAnsi="楷体" w:eastAsia="楷体"/>
        </w:rPr>
        <w:t>位</w:t>
      </w:r>
      <w:r>
        <w:rPr>
          <w:rFonts w:ascii="楷体" w:hAnsi="楷体" w:eastAsia="楷体"/>
        </w:rPr>
        <w:t>检测</w:t>
      </w:r>
      <w:r>
        <w:rPr>
          <w:rFonts w:hint="eastAsia" w:ascii="楷体" w:hAnsi="楷体" w:eastAsia="楷体"/>
        </w:rPr>
        <w:t>、</w:t>
      </w:r>
      <w:r>
        <w:rPr>
          <w:rFonts w:ascii="楷体" w:hAnsi="楷体" w:eastAsia="楷体"/>
        </w:rPr>
        <w:t>抽</w:t>
      </w:r>
      <w:r>
        <w:rPr>
          <w:rFonts w:hint="eastAsia" w:ascii="楷体" w:hAnsi="楷体" w:eastAsia="楷体"/>
        </w:rPr>
        <w:t>样</w:t>
      </w:r>
      <w:r>
        <w:rPr>
          <w:rFonts w:ascii="楷体" w:hAnsi="楷体" w:eastAsia="楷体"/>
        </w:rPr>
        <w:t>实验</w:t>
      </w:r>
      <w:r>
        <w:rPr>
          <w:rFonts w:hint="eastAsia" w:ascii="楷体" w:hAnsi="楷体" w:eastAsia="楷体"/>
        </w:rPr>
        <w:t>室</w:t>
      </w:r>
      <w:r>
        <w:rPr>
          <w:rFonts w:ascii="楷体" w:hAnsi="楷体" w:eastAsia="楷体"/>
        </w:rPr>
        <w:t>检测</w:t>
      </w:r>
      <w:r>
        <w:rPr>
          <w:rFonts w:hint="eastAsia" w:ascii="楷体" w:hAnsi="楷体" w:eastAsia="楷体"/>
        </w:rPr>
        <w:t>和</w:t>
      </w:r>
      <w:r>
        <w:rPr>
          <w:rFonts w:ascii="楷体" w:hAnsi="楷体" w:eastAsia="楷体"/>
        </w:rPr>
        <w:t>根据</w:t>
      </w:r>
      <w:r>
        <w:rPr>
          <w:rFonts w:hint="eastAsia" w:ascii="楷体" w:hAnsi="楷体" w:eastAsia="楷体"/>
        </w:rPr>
        <w:t>构件</w:t>
      </w:r>
      <w:r>
        <w:rPr>
          <w:rFonts w:ascii="楷体" w:hAnsi="楷体" w:eastAsia="楷体"/>
        </w:rPr>
        <w:t>截面温度场判定。附录</w:t>
      </w:r>
      <w:r>
        <w:rPr>
          <w:rFonts w:hint="eastAsia" w:ascii="楷体" w:hAnsi="楷体" w:eastAsia="楷体"/>
        </w:rPr>
        <w:t>J给</w:t>
      </w:r>
      <w:r>
        <w:rPr>
          <w:rFonts w:ascii="楷体" w:hAnsi="楷体" w:eastAsia="楷体"/>
        </w:rPr>
        <w:t>出了砂浆和</w:t>
      </w:r>
      <w:r>
        <w:rPr>
          <w:rFonts w:hint="eastAsia" w:ascii="楷体" w:hAnsi="楷体" w:eastAsia="楷体"/>
        </w:rPr>
        <w:t>粘土</w:t>
      </w:r>
      <w:r>
        <w:rPr>
          <w:rFonts w:ascii="楷体" w:hAnsi="楷体" w:eastAsia="楷体"/>
        </w:rPr>
        <w:t>砖块</w:t>
      </w:r>
      <w:r>
        <w:rPr>
          <w:rFonts w:hint="eastAsia" w:ascii="楷体" w:hAnsi="楷体" w:eastAsia="楷体"/>
        </w:rPr>
        <w:t>材</w:t>
      </w:r>
      <w:r>
        <w:rPr>
          <w:rFonts w:ascii="楷体" w:hAnsi="楷体" w:eastAsia="楷体"/>
        </w:rPr>
        <w:t>火灾后的强度折减系数。</w:t>
      </w:r>
    </w:p>
    <w:p>
      <w:pPr>
        <w:ind w:firstLine="420" w:firstLineChars="200"/>
        <w:rPr>
          <w:rFonts w:ascii="楷体" w:hAnsi="楷体" w:eastAsia="楷体"/>
        </w:rPr>
      </w:pPr>
      <w:r>
        <w:rPr>
          <w:rFonts w:hint="eastAsia" w:ascii="楷体" w:hAnsi="楷体" w:eastAsia="楷体"/>
        </w:rPr>
        <w:t>火灾后砌体结构构件表面温度可根据构件所处区域的火场温度推定，见公式（6.4.2-1）；截面内部温度可以根据表面温度推定，见公式（6.4.2-2）。</w:t>
      </w:r>
    </w:p>
    <w:p>
      <w:pPr>
        <w:ind w:firstLine="1995" w:firstLineChars="950"/>
        <w:rPr>
          <w:rFonts w:ascii="楷体" w:hAnsi="楷体" w:eastAsia="楷体"/>
        </w:rPr>
      </w:pPr>
      <w:r>
        <w:rPr>
          <w:position w:val="-10"/>
        </w:rPr>
        <w:object>
          <v:shape id="_x0000_i1136" o:spt="75" type="#_x0000_t75" style="height:16.8pt;width:100.8pt;" o:ole="t" filled="f" o:preferrelative="t" stroked="f" coordsize="21600,21600">
            <v:path/>
            <v:fill on="f" focussize="0,0"/>
            <v:stroke on="f" joinstyle="miter"/>
            <v:imagedata r:id="rId250" o:title=""/>
            <o:lock v:ext="edit" aspectratio="t"/>
            <w10:wrap type="none"/>
            <w10:anchorlock/>
          </v:shape>
          <o:OLEObject Type="Embed" ProgID="Equation.3" ShapeID="_x0000_i1136" DrawAspect="Content" ObjectID="_1468075836" r:id="rId249">
            <o:LockedField>false</o:LockedField>
          </o:OLEObject>
        </w:object>
      </w:r>
      <w:r>
        <w:rPr>
          <w:rFonts w:ascii="楷体" w:hAnsi="楷体" w:eastAsia="楷体"/>
        </w:rPr>
        <w:t xml:space="preserve">    （</w:t>
      </w:r>
      <w:r>
        <w:rPr>
          <w:position w:val="-10"/>
        </w:rPr>
        <w:object>
          <v:shape id="_x0000_i1137" o:spt="75" type="#_x0000_t75" style="height:16.8pt;width:43.8pt;" o:ole="t" filled="f" o:preferrelative="t" stroked="f" coordsize="21600,21600">
            <v:path/>
            <v:fill on="f" focussize="0,0"/>
            <v:stroke on="f" joinstyle="miter"/>
            <v:imagedata r:id="rId252" o:title=""/>
            <o:lock v:ext="edit" aspectratio="t"/>
            <w10:wrap type="none"/>
            <w10:anchorlock/>
          </v:shape>
          <o:OLEObject Type="Embed" ProgID="Equation.3" ShapeID="_x0000_i1137" DrawAspect="Content" ObjectID="_1468075837" r:id="rId251">
            <o:LockedField>false</o:LockedField>
          </o:OLEObject>
        </w:object>
      </w:r>
      <w:r>
        <w:rPr>
          <w:rFonts w:ascii="楷体" w:hAnsi="楷体" w:eastAsia="楷体"/>
        </w:rPr>
        <w:t>℃）</w:t>
      </w:r>
      <w:r>
        <w:rPr>
          <w:rFonts w:hint="eastAsia" w:ascii="楷体" w:hAnsi="楷体" w:eastAsia="楷体"/>
        </w:rPr>
        <w:t xml:space="preserve">          （6.4.2-1）</w:t>
      </w:r>
    </w:p>
    <w:p>
      <w:pPr>
        <w:rPr>
          <w:rFonts w:ascii="楷体" w:hAnsi="楷体" w:eastAsia="楷体"/>
        </w:rPr>
      </w:pPr>
      <w:r>
        <w:rPr>
          <w:rFonts w:hint="eastAsia" w:ascii="楷体" w:hAnsi="楷体" w:eastAsia="楷体"/>
        </w:rPr>
        <w:t>式中 ，</w:t>
      </w:r>
    </w:p>
    <w:p>
      <w:pPr>
        <w:ind w:firstLine="420" w:firstLineChars="200"/>
        <w:rPr>
          <w:rFonts w:ascii="楷体" w:hAnsi="楷体" w:eastAsia="楷体"/>
        </w:rPr>
      </w:pPr>
      <w:r>
        <w:rPr>
          <w:position w:val="-4"/>
        </w:rPr>
        <w:object>
          <v:shape id="_x0000_i1138" o:spt="75" type="#_x0000_t75" style="height:13.2pt;width:11.4pt;" o:ole="t" filled="f" o:preferrelative="t" stroked="f" coordsize="21600,21600">
            <v:path/>
            <v:fill on="f" focussize="0,0"/>
            <v:stroke on="f" joinstyle="miter"/>
            <v:imagedata r:id="rId254" o:title=""/>
            <o:lock v:ext="edit" aspectratio="t"/>
            <w10:wrap type="none"/>
            <w10:anchorlock/>
          </v:shape>
          <o:OLEObject Type="Embed" ProgID="Equation.3" ShapeID="_x0000_i1138" DrawAspect="Content" ObjectID="_1468075838" r:id="rId253">
            <o:LockedField>false</o:LockedField>
          </o:OLEObject>
        </w:object>
      </w:r>
      <w:r>
        <w:rPr>
          <w:rFonts w:ascii="楷体" w:hAnsi="楷体" w:eastAsia="楷体"/>
        </w:rPr>
        <w:t>-火场温度℃，</w:t>
      </w:r>
      <w:r>
        <w:rPr>
          <w:position w:val="-10"/>
        </w:rPr>
        <w:object>
          <v:shape id="_x0000_i1139" o:spt="75" type="#_x0000_t75" style="height:16.8pt;width:13.8pt;" o:ole="t" filled="f" o:preferrelative="t" stroked="f" coordsize="21600,21600">
            <v:path/>
            <v:fill on="f" focussize="0,0"/>
            <v:stroke on="f" joinstyle="miter"/>
            <v:imagedata r:id="rId256" o:title=""/>
            <o:lock v:ext="edit" aspectratio="t"/>
            <w10:wrap type="none"/>
            <w10:anchorlock/>
          </v:shape>
          <o:OLEObject Type="Embed" ProgID="Equation.3" ShapeID="_x0000_i1139" DrawAspect="Content" ObjectID="_1468075839" r:id="rId255">
            <o:LockedField>false</o:LockedField>
          </o:OLEObject>
        </w:object>
      </w:r>
      <w:r>
        <w:rPr>
          <w:rFonts w:ascii="楷体" w:hAnsi="楷体" w:eastAsia="楷体"/>
        </w:rPr>
        <w:t>-</w:t>
      </w:r>
      <w:r>
        <w:rPr>
          <w:rFonts w:hint="eastAsia" w:ascii="楷体" w:hAnsi="楷体" w:eastAsia="楷体"/>
        </w:rPr>
        <w:t>砌体结构构件</w:t>
      </w:r>
      <w:r>
        <w:rPr>
          <w:rFonts w:ascii="楷体" w:hAnsi="楷体" w:eastAsia="楷体"/>
        </w:rPr>
        <w:t>表面温度℃；</w:t>
      </w:r>
    </w:p>
    <w:p>
      <w:pPr>
        <w:pStyle w:val="28"/>
        <w:ind w:left="779" w:leftChars="371" w:firstLine="1260" w:firstLineChars="600"/>
        <w:rPr>
          <w:rFonts w:ascii="楷体" w:hAnsi="楷体" w:eastAsia="楷体"/>
        </w:rPr>
      </w:pPr>
      <w:r>
        <w:rPr>
          <w:position w:val="-10"/>
        </w:rPr>
        <w:object>
          <v:shape id="_x0000_i1140" o:spt="75" type="#_x0000_t75" style="height:16.8pt;width:88.2pt;" o:ole="t" filled="f" o:preferrelative="t" stroked="f" coordsize="21600,21600">
            <v:path/>
            <v:fill on="f" focussize="0,0"/>
            <v:stroke on="f" joinstyle="miter"/>
            <v:imagedata r:id="rId258" o:title=""/>
            <o:lock v:ext="edit" aspectratio="t"/>
            <w10:wrap type="none"/>
            <w10:anchorlock/>
          </v:shape>
          <o:OLEObject Type="Embed" ProgID="Equation.3" ShapeID="_x0000_i1140" DrawAspect="Content" ObjectID="_1468075840" r:id="rId257">
            <o:LockedField>false</o:LockedField>
          </o:OLEObject>
        </w:object>
      </w:r>
      <w:r>
        <w:rPr>
          <w:rFonts w:hint="eastAsia" w:ascii="楷体" w:hAnsi="楷体" w:eastAsia="楷体"/>
          <w:position w:val="-12"/>
        </w:rPr>
        <w:t xml:space="preserve">                              （6.4.2-2）</w:t>
      </w:r>
    </w:p>
    <w:p>
      <w:pPr>
        <w:rPr>
          <w:rFonts w:ascii="楷体" w:hAnsi="楷体" w:eastAsia="楷体"/>
        </w:rPr>
      </w:pPr>
      <w:r>
        <w:rPr>
          <w:rFonts w:hint="eastAsia" w:ascii="楷体" w:hAnsi="楷体" w:eastAsia="楷体"/>
        </w:rPr>
        <w:t xml:space="preserve">式中： </w:t>
      </w:r>
      <w:r>
        <w:rPr>
          <w:position w:val="-12"/>
        </w:rPr>
        <w:object>
          <v:shape id="_x0000_i1141" o:spt="75" type="#_x0000_t75" style="height:16.8pt;width:24.6pt;" o:ole="t" filled="f" o:preferrelative="t" stroked="f" coordsize="21600,21600">
            <v:path/>
            <v:fill on="f" focussize="0,0"/>
            <v:stroke on="f" joinstyle="miter"/>
            <v:imagedata r:id="rId260" o:title=""/>
            <o:lock v:ext="edit" aspectratio="t"/>
            <w10:wrap type="none"/>
            <w10:anchorlock/>
          </v:shape>
          <o:OLEObject Type="Embed" ProgID="Equation.3" ShapeID="_x0000_i1141" DrawAspect="Content" ObjectID="_1468075841" r:id="rId259">
            <o:LockedField>false</o:LockedField>
          </o:OLEObject>
        </w:object>
      </w:r>
      <w:r>
        <w:rPr>
          <w:rFonts w:hint="eastAsia" w:ascii="楷体" w:hAnsi="楷体" w:eastAsia="楷体"/>
        </w:rPr>
        <w:t>砌体结构构件</w:t>
      </w:r>
      <w:r>
        <w:rPr>
          <w:rFonts w:ascii="楷体" w:hAnsi="楷体" w:eastAsia="楷体"/>
        </w:rPr>
        <w:t xml:space="preserve">距迎火面d </w:t>
      </w:r>
      <w:r>
        <w:rPr>
          <w:rFonts w:hint="eastAsia" w:ascii="楷体" w:hAnsi="楷体" w:eastAsia="楷体"/>
        </w:rPr>
        <w:t>(</w:t>
      </w:r>
      <w:r>
        <w:rPr>
          <w:rFonts w:ascii="楷体" w:hAnsi="楷体" w:eastAsia="楷体"/>
        </w:rPr>
        <w:t>mm</w:t>
      </w:r>
      <w:r>
        <w:rPr>
          <w:rFonts w:hint="eastAsia" w:ascii="楷体" w:hAnsi="楷体" w:eastAsia="楷体"/>
        </w:rPr>
        <w:t>)</w:t>
      </w:r>
      <w:r>
        <w:rPr>
          <w:rFonts w:ascii="楷体" w:hAnsi="楷体" w:eastAsia="楷体"/>
        </w:rPr>
        <w:t>处的温度。</w:t>
      </w:r>
    </w:p>
    <w:p>
      <w:pPr>
        <w:ind w:firstLine="420"/>
        <w:rPr>
          <w:rFonts w:ascii="楷体" w:hAnsi="楷体" w:eastAsia="楷体"/>
        </w:rPr>
      </w:pPr>
      <w:r>
        <w:rPr>
          <w:rFonts w:hint="eastAsia" w:ascii="楷体" w:hAnsi="楷体" w:eastAsia="楷体"/>
        </w:rPr>
        <w:t>公式（6.4.2-1）和公式（6.4.2-2）适用于粘土砖砌体结构构件，其他砌块形式的砌体结构构件尚缺少相应的试验和调查数据支撑。</w:t>
      </w:r>
    </w:p>
    <w:p>
      <w:pPr>
        <w:ind w:firstLine="420" w:firstLineChars="200"/>
        <w:rPr>
          <w:rFonts w:ascii="楷体" w:hAnsi="楷体" w:eastAsia="楷体"/>
        </w:rPr>
      </w:pPr>
      <w:r>
        <w:rPr>
          <w:rFonts w:hint="eastAsia" w:ascii="楷体" w:hAnsi="楷体" w:eastAsia="楷体"/>
        </w:rPr>
        <w:t>2.本次</w:t>
      </w:r>
      <w:r>
        <w:rPr>
          <w:rFonts w:ascii="楷体" w:hAnsi="楷体" w:eastAsia="楷体"/>
        </w:rPr>
        <w:t>修订</w:t>
      </w:r>
      <w:r>
        <w:rPr>
          <w:rFonts w:hint="eastAsia" w:ascii="楷体" w:hAnsi="楷体" w:eastAsia="楷体"/>
        </w:rPr>
        <w:t>增加</w:t>
      </w:r>
      <w:r>
        <w:rPr>
          <w:rFonts w:ascii="楷体" w:hAnsi="楷体" w:eastAsia="楷体"/>
        </w:rPr>
        <w:t>了砌体抗压、抗拉、抗弯及抗</w:t>
      </w:r>
      <w:r>
        <w:rPr>
          <w:rFonts w:hint="eastAsia" w:ascii="楷体" w:hAnsi="楷体" w:eastAsia="楷体"/>
        </w:rPr>
        <w:t>剪</w:t>
      </w:r>
      <w:r>
        <w:rPr>
          <w:rFonts w:ascii="楷体" w:hAnsi="楷体" w:eastAsia="楷体"/>
        </w:rPr>
        <w:t>强度设计值</w:t>
      </w:r>
      <w:r>
        <w:rPr>
          <w:rFonts w:hint="eastAsia" w:ascii="楷体" w:hAnsi="楷体" w:eastAsia="楷体"/>
        </w:rPr>
        <w:t>的</w:t>
      </w:r>
      <w:r>
        <w:rPr>
          <w:rFonts w:ascii="楷体" w:hAnsi="楷体" w:eastAsia="楷体"/>
        </w:rPr>
        <w:t>推定方法，</w:t>
      </w:r>
      <w:r>
        <w:rPr>
          <w:rFonts w:hint="eastAsia" w:ascii="楷体" w:hAnsi="楷体" w:eastAsia="楷体"/>
        </w:rPr>
        <w:t>同时</w:t>
      </w:r>
      <w:r>
        <w:rPr>
          <w:rFonts w:ascii="楷体" w:hAnsi="楷体" w:eastAsia="楷体"/>
        </w:rPr>
        <w:t>也给出了</w:t>
      </w:r>
      <w:r>
        <w:rPr>
          <w:rFonts w:hint="eastAsia" w:ascii="楷体" w:hAnsi="楷体" w:eastAsia="楷体"/>
        </w:rPr>
        <w:t>火灾</w:t>
      </w:r>
      <w:r>
        <w:rPr>
          <w:rFonts w:ascii="楷体" w:hAnsi="楷体" w:eastAsia="楷体"/>
        </w:rPr>
        <w:t>后砌体抗压承载能力计算方法及其相关系数的取值方法。</w:t>
      </w:r>
      <w:r>
        <w:rPr>
          <w:rFonts w:hint="eastAsia" w:ascii="楷体" w:hAnsi="楷体" w:eastAsia="楷体"/>
        </w:rPr>
        <w:t>砌体强度</w:t>
      </w:r>
      <w:r>
        <w:rPr>
          <w:rFonts w:ascii="楷体" w:hAnsi="楷体" w:eastAsia="楷体"/>
        </w:rPr>
        <w:t>设计值取值、抗压</w:t>
      </w:r>
      <w:r>
        <w:rPr>
          <w:rFonts w:hint="eastAsia" w:ascii="楷体" w:hAnsi="楷体" w:eastAsia="楷体"/>
        </w:rPr>
        <w:t>承载</w:t>
      </w:r>
      <w:r>
        <w:rPr>
          <w:rFonts w:ascii="楷体" w:hAnsi="楷体" w:eastAsia="楷体"/>
        </w:rPr>
        <w:t>能力计算及其参数取值的原则与</w:t>
      </w:r>
      <w:r>
        <w:rPr>
          <w:rFonts w:hint="eastAsia" w:ascii="楷体" w:hAnsi="楷体" w:eastAsia="楷体"/>
        </w:rPr>
        <w:t>《砌体结构设计规范》（</w:t>
      </w:r>
      <w:r>
        <w:rPr>
          <w:rFonts w:ascii="楷体" w:hAnsi="楷体" w:eastAsia="楷体"/>
        </w:rPr>
        <w:t>GB50003</w:t>
      </w:r>
      <w:r>
        <w:rPr>
          <w:rFonts w:hint="eastAsia" w:ascii="楷体" w:hAnsi="楷体" w:eastAsia="楷体"/>
        </w:rPr>
        <w:t>）一致</w:t>
      </w:r>
      <w:r>
        <w:rPr>
          <w:rFonts w:ascii="楷体" w:hAnsi="楷体" w:eastAsia="楷体"/>
        </w:rPr>
        <w:t>。</w:t>
      </w:r>
    </w:p>
    <w:p>
      <w:pPr>
        <w:ind w:firstLine="420" w:firstLineChars="200"/>
        <w:rPr>
          <w:rFonts w:ascii="楷体" w:hAnsi="楷体" w:eastAsia="楷体"/>
        </w:rPr>
      </w:pPr>
      <w:r>
        <w:rPr>
          <w:rFonts w:hint="eastAsia" w:ascii="楷体" w:hAnsi="楷体" w:eastAsia="楷体"/>
        </w:rPr>
        <w:t>3.本次</w:t>
      </w:r>
      <w:r>
        <w:rPr>
          <w:rFonts w:ascii="楷体" w:hAnsi="楷体" w:eastAsia="楷体"/>
        </w:rPr>
        <w:t>修订增加了</w:t>
      </w:r>
      <w:r>
        <w:rPr>
          <w:rFonts w:hint="eastAsia" w:ascii="楷体" w:hAnsi="楷体" w:eastAsia="楷体"/>
        </w:rPr>
        <w:t>火灾</w:t>
      </w:r>
      <w:r>
        <w:rPr>
          <w:rFonts w:ascii="楷体" w:hAnsi="楷体" w:eastAsia="楷体"/>
        </w:rPr>
        <w:t>后砌体结构构件高厚比</w:t>
      </w:r>
      <w:r>
        <w:rPr>
          <w:rFonts w:hint="eastAsia" w:ascii="楷体" w:hAnsi="楷体" w:eastAsia="楷体"/>
        </w:rPr>
        <w:t>验算的条文</w:t>
      </w:r>
      <w:r>
        <w:rPr>
          <w:rFonts w:ascii="楷体" w:hAnsi="楷体" w:eastAsia="楷体"/>
        </w:rPr>
        <w:t>。</w:t>
      </w:r>
    </w:p>
    <w:p>
      <w:pPr>
        <w:ind w:firstLine="420"/>
        <w:rPr>
          <w:rFonts w:ascii="楷体" w:hAnsi="楷体" w:eastAsia="楷体"/>
        </w:rPr>
      </w:pPr>
      <w:r>
        <w:rPr>
          <w:rFonts w:hint="eastAsia" w:ascii="楷体" w:hAnsi="楷体" w:eastAsia="楷体"/>
        </w:rPr>
        <w:t>4.火灾后砌体结构构件的详细鉴定评级，应根据表7的规定进行承载能力分析，参照《工业建筑可靠性鉴定标准》（GB50144）和《民用建筑可靠性鉴定标准》（GB50292）按照表7下列原则评定为b、c、d级。</w:t>
      </w:r>
      <w:r>
        <w:rPr>
          <w:rFonts w:ascii="楷体" w:hAnsi="楷体" w:eastAsia="楷体"/>
        </w:rPr>
        <w:t>。</w:t>
      </w:r>
    </w:p>
    <w:p>
      <w:pPr>
        <w:spacing w:beforeLines="50" w:line="276" w:lineRule="auto"/>
        <w:jc w:val="center"/>
        <w:rPr>
          <w:rFonts w:ascii="楷体" w:hAnsi="楷体" w:eastAsia="楷体"/>
          <w:szCs w:val="21"/>
        </w:rPr>
      </w:pPr>
      <w:r>
        <w:rPr>
          <w:rFonts w:hint="eastAsia" w:ascii="楷体" w:hAnsi="楷体" w:eastAsia="楷体"/>
          <w:szCs w:val="21"/>
        </w:rPr>
        <w:t>表7 受火影响的砌体构件承载能力评定等级</w:t>
      </w:r>
    </w:p>
    <w:tbl>
      <w:tblPr>
        <w:tblStyle w:val="25"/>
        <w:tblW w:w="93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188"/>
        <w:gridCol w:w="2446"/>
        <w:gridCol w:w="2263"/>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jc w:val="center"/>
        </w:trPr>
        <w:tc>
          <w:tcPr>
            <w:tcW w:w="2346" w:type="dxa"/>
            <w:gridSpan w:val="2"/>
            <w:vMerge w:val="restart"/>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构件种类</w:t>
            </w:r>
          </w:p>
        </w:tc>
        <w:tc>
          <w:tcPr>
            <w:tcW w:w="6976" w:type="dxa"/>
            <w:gridSpan w:val="3"/>
            <w:tcBorders>
              <w:bottom w:val="single" w:color="auto" w:sz="4" w:space="0"/>
            </w:tcBorders>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R/γ</w:t>
            </w:r>
            <w:r>
              <w:rPr>
                <w:rFonts w:hint="eastAsia" w:ascii="楷体" w:hAnsi="楷体" w:eastAsia="楷体" w:cs="Times New Roman"/>
                <w:kern w:val="0"/>
                <w:sz w:val="21"/>
                <w:szCs w:val="21"/>
                <w:vertAlign w:val="subscript"/>
              </w:rPr>
              <w:t>0</w:t>
            </w:r>
            <w:r>
              <w:rPr>
                <w:rFonts w:ascii="楷体" w:hAnsi="楷体" w:eastAsia="楷体" w:cs="Times New Roman"/>
                <w:kern w:val="0"/>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2346" w:type="dxa"/>
            <w:gridSpan w:val="2"/>
            <w:vMerge w:val="continue"/>
            <w:vAlign w:val="center"/>
          </w:tcPr>
          <w:p>
            <w:pPr>
              <w:spacing w:line="276" w:lineRule="auto"/>
              <w:jc w:val="center"/>
              <w:rPr>
                <w:rFonts w:ascii="楷体" w:hAnsi="楷体" w:eastAsia="楷体" w:cs="Times New Roman"/>
                <w:kern w:val="0"/>
                <w:sz w:val="21"/>
                <w:szCs w:val="21"/>
              </w:rPr>
            </w:pPr>
          </w:p>
        </w:tc>
        <w:tc>
          <w:tcPr>
            <w:tcW w:w="2446" w:type="dxa"/>
            <w:tcBorders>
              <w:top w:val="single" w:color="auto" w:sz="4" w:space="0"/>
            </w:tcBorders>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b</w:t>
            </w:r>
          </w:p>
        </w:tc>
        <w:tc>
          <w:tcPr>
            <w:tcW w:w="2263" w:type="dxa"/>
            <w:tcBorders>
              <w:top w:val="single" w:color="auto" w:sz="4" w:space="0"/>
            </w:tcBorders>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c</w:t>
            </w:r>
          </w:p>
        </w:tc>
        <w:tc>
          <w:tcPr>
            <w:tcW w:w="2267" w:type="dxa"/>
            <w:tcBorders>
              <w:top w:val="single" w:color="auto" w:sz="4" w:space="0"/>
            </w:tcBorders>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restart"/>
            <w:vAlign w:val="center"/>
          </w:tcPr>
          <w:p>
            <w:pPr>
              <w:spacing w:line="276" w:lineRule="auto"/>
              <w:jc w:val="center"/>
              <w:rPr>
                <w:rFonts w:ascii="楷体" w:hAnsi="楷体" w:eastAsia="楷体" w:cs="Times New Roman"/>
                <w:kern w:val="0"/>
                <w:sz w:val="21"/>
                <w:szCs w:val="21"/>
              </w:rPr>
            </w:pPr>
            <w:bookmarkStart w:id="111" w:name="_Hlk512673443"/>
            <w:r>
              <w:rPr>
                <w:rFonts w:hint="eastAsia" w:ascii="楷体" w:hAnsi="楷体" w:eastAsia="楷体" w:cs="Times New Roman"/>
                <w:kern w:val="0"/>
                <w:sz w:val="21"/>
                <w:szCs w:val="21"/>
              </w:rPr>
              <w:t>重要构件</w:t>
            </w:r>
          </w:p>
        </w:tc>
        <w:tc>
          <w:tcPr>
            <w:tcW w:w="1188" w:type="dxa"/>
            <w:vAlign w:val="center"/>
          </w:tcPr>
          <w:p>
            <w:pPr>
              <w:spacing w:line="276" w:lineRule="auto"/>
              <w:jc w:val="center"/>
              <w:rPr>
                <w:rFonts w:ascii="楷体" w:hAnsi="楷体" w:eastAsia="楷体" w:cs="Times New Roman"/>
                <w:kern w:val="0"/>
                <w:sz w:val="20"/>
                <w:szCs w:val="21"/>
              </w:rPr>
            </w:pPr>
            <w:r>
              <w:rPr>
                <w:rFonts w:ascii="楷体" w:hAnsi="楷体" w:eastAsia="楷体" w:cs="Times New Roman"/>
                <w:kern w:val="0"/>
                <w:sz w:val="20"/>
                <w:szCs w:val="21"/>
              </w:rPr>
              <w:t>工业建筑</w:t>
            </w:r>
          </w:p>
        </w:tc>
        <w:tc>
          <w:tcPr>
            <w:tcW w:w="2446"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≥0.90</w:t>
            </w:r>
          </w:p>
        </w:tc>
        <w:tc>
          <w:tcPr>
            <w:tcW w:w="2263"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&lt;0.90且≥0.85</w:t>
            </w:r>
          </w:p>
        </w:tc>
        <w:tc>
          <w:tcPr>
            <w:tcW w:w="2267"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&lt;0</w:t>
            </w:r>
            <w:r>
              <w:rPr>
                <w:rFonts w:ascii="楷体" w:hAnsi="楷体" w:eastAsia="楷体" w:cs="Times New Roman"/>
                <w:kern w:val="0"/>
                <w:sz w:val="21"/>
                <w:szCs w:val="21"/>
              </w:rPr>
              <w:t>.85</w:t>
            </w:r>
          </w:p>
        </w:tc>
      </w:tr>
      <w:bookmarkEnd w:id="1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continue"/>
            <w:vAlign w:val="center"/>
          </w:tcPr>
          <w:p>
            <w:pPr>
              <w:spacing w:line="276" w:lineRule="auto"/>
              <w:jc w:val="center"/>
              <w:rPr>
                <w:rFonts w:ascii="楷体" w:hAnsi="楷体" w:eastAsia="楷体" w:cs="Times New Roman"/>
                <w:kern w:val="0"/>
                <w:sz w:val="20"/>
                <w:szCs w:val="21"/>
              </w:rPr>
            </w:pPr>
          </w:p>
        </w:tc>
        <w:tc>
          <w:tcPr>
            <w:tcW w:w="1188" w:type="dxa"/>
            <w:vAlign w:val="center"/>
          </w:tcPr>
          <w:p>
            <w:pPr>
              <w:spacing w:line="276" w:lineRule="auto"/>
              <w:jc w:val="center"/>
              <w:rPr>
                <w:rFonts w:ascii="楷体" w:hAnsi="楷体" w:eastAsia="楷体" w:cs="Times New Roman"/>
                <w:kern w:val="0"/>
                <w:sz w:val="20"/>
                <w:szCs w:val="21"/>
              </w:rPr>
            </w:pPr>
            <w:r>
              <w:rPr>
                <w:rFonts w:hint="eastAsia" w:ascii="楷体" w:hAnsi="楷体" w:eastAsia="楷体" w:cs="Times New Roman"/>
                <w:kern w:val="0"/>
                <w:sz w:val="20"/>
                <w:szCs w:val="21"/>
              </w:rPr>
              <w:t>民用建筑</w:t>
            </w:r>
          </w:p>
        </w:tc>
        <w:tc>
          <w:tcPr>
            <w:tcW w:w="2446"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≥0.9</w:t>
            </w:r>
            <w:r>
              <w:rPr>
                <w:rFonts w:ascii="楷体" w:hAnsi="楷体" w:eastAsia="楷体" w:cs="Times New Roman"/>
                <w:kern w:val="0"/>
                <w:sz w:val="21"/>
                <w:szCs w:val="21"/>
              </w:rPr>
              <w:t>5</w:t>
            </w:r>
          </w:p>
        </w:tc>
        <w:tc>
          <w:tcPr>
            <w:tcW w:w="2263"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&lt;0.95且≥0.</w:t>
            </w:r>
            <w:r>
              <w:rPr>
                <w:rFonts w:ascii="楷体" w:hAnsi="楷体" w:eastAsia="楷体" w:cs="Times New Roman"/>
                <w:kern w:val="0"/>
                <w:sz w:val="21"/>
                <w:szCs w:val="21"/>
              </w:rPr>
              <w:t>90</w:t>
            </w:r>
          </w:p>
        </w:tc>
        <w:tc>
          <w:tcPr>
            <w:tcW w:w="2267"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&lt;0</w:t>
            </w:r>
            <w:r>
              <w:rPr>
                <w:rFonts w:ascii="楷体" w:hAnsi="楷体" w:eastAsia="楷体" w:cs="Times New Roman"/>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restart"/>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次要构件</w:t>
            </w:r>
          </w:p>
        </w:tc>
        <w:tc>
          <w:tcPr>
            <w:tcW w:w="1188" w:type="dxa"/>
            <w:vAlign w:val="center"/>
          </w:tcPr>
          <w:p>
            <w:pPr>
              <w:spacing w:line="276" w:lineRule="auto"/>
              <w:jc w:val="center"/>
              <w:rPr>
                <w:rFonts w:ascii="楷体" w:hAnsi="楷体" w:eastAsia="楷体" w:cs="Times New Roman"/>
                <w:kern w:val="0"/>
                <w:sz w:val="20"/>
                <w:szCs w:val="21"/>
              </w:rPr>
            </w:pPr>
            <w:r>
              <w:rPr>
                <w:rFonts w:ascii="楷体" w:hAnsi="楷体" w:eastAsia="楷体" w:cs="Times New Roman"/>
                <w:kern w:val="0"/>
                <w:sz w:val="20"/>
                <w:szCs w:val="21"/>
              </w:rPr>
              <w:t>工业建筑</w:t>
            </w:r>
          </w:p>
        </w:tc>
        <w:tc>
          <w:tcPr>
            <w:tcW w:w="2446"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≥0.</w:t>
            </w:r>
            <w:r>
              <w:rPr>
                <w:rFonts w:ascii="楷体" w:hAnsi="楷体" w:eastAsia="楷体" w:cs="Times New Roman"/>
                <w:kern w:val="0"/>
                <w:sz w:val="21"/>
                <w:szCs w:val="21"/>
              </w:rPr>
              <w:t>87</w:t>
            </w:r>
          </w:p>
        </w:tc>
        <w:tc>
          <w:tcPr>
            <w:tcW w:w="2263"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&lt;0.</w:t>
            </w:r>
            <w:r>
              <w:rPr>
                <w:rFonts w:ascii="楷体" w:hAnsi="楷体" w:eastAsia="楷体" w:cs="Times New Roman"/>
                <w:kern w:val="0"/>
                <w:sz w:val="21"/>
                <w:szCs w:val="21"/>
              </w:rPr>
              <w:t>87</w:t>
            </w:r>
            <w:r>
              <w:rPr>
                <w:rFonts w:hint="eastAsia" w:ascii="楷体" w:hAnsi="楷体" w:eastAsia="楷体" w:cs="Times New Roman"/>
                <w:kern w:val="0"/>
                <w:sz w:val="21"/>
                <w:szCs w:val="21"/>
              </w:rPr>
              <w:t>且≥0.8</w:t>
            </w:r>
            <w:r>
              <w:rPr>
                <w:rFonts w:ascii="楷体" w:hAnsi="楷体" w:eastAsia="楷体" w:cs="Times New Roman"/>
                <w:kern w:val="0"/>
                <w:sz w:val="21"/>
                <w:szCs w:val="21"/>
              </w:rPr>
              <w:t>2</w:t>
            </w:r>
          </w:p>
        </w:tc>
        <w:tc>
          <w:tcPr>
            <w:tcW w:w="2267"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&lt;0</w:t>
            </w:r>
            <w:r>
              <w:rPr>
                <w:rFonts w:ascii="楷体" w:hAnsi="楷体" w:eastAsia="楷体" w:cs="Times New Roman"/>
                <w:kern w:val="0"/>
                <w:sz w:val="21"/>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continue"/>
            <w:vAlign w:val="center"/>
          </w:tcPr>
          <w:p>
            <w:pPr>
              <w:spacing w:line="276" w:lineRule="auto"/>
              <w:jc w:val="center"/>
              <w:rPr>
                <w:rFonts w:ascii="楷体" w:hAnsi="楷体" w:eastAsia="楷体" w:cs="Times New Roman"/>
                <w:kern w:val="0"/>
                <w:sz w:val="20"/>
                <w:szCs w:val="21"/>
              </w:rPr>
            </w:pPr>
          </w:p>
        </w:tc>
        <w:tc>
          <w:tcPr>
            <w:tcW w:w="1188" w:type="dxa"/>
            <w:vAlign w:val="center"/>
          </w:tcPr>
          <w:p>
            <w:pPr>
              <w:spacing w:line="276" w:lineRule="auto"/>
              <w:jc w:val="center"/>
              <w:rPr>
                <w:rFonts w:ascii="楷体" w:hAnsi="楷体" w:eastAsia="楷体" w:cs="Times New Roman"/>
                <w:kern w:val="0"/>
                <w:sz w:val="20"/>
                <w:szCs w:val="21"/>
              </w:rPr>
            </w:pPr>
            <w:r>
              <w:rPr>
                <w:rFonts w:hint="eastAsia" w:ascii="楷体" w:hAnsi="楷体" w:eastAsia="楷体" w:cs="Times New Roman"/>
                <w:kern w:val="0"/>
                <w:sz w:val="20"/>
                <w:szCs w:val="21"/>
              </w:rPr>
              <w:t>民用建筑</w:t>
            </w:r>
          </w:p>
        </w:tc>
        <w:tc>
          <w:tcPr>
            <w:tcW w:w="2446"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≥0.</w:t>
            </w:r>
            <w:r>
              <w:rPr>
                <w:rFonts w:ascii="楷体" w:hAnsi="楷体" w:eastAsia="楷体" w:cs="Times New Roman"/>
                <w:kern w:val="0"/>
                <w:sz w:val="21"/>
                <w:szCs w:val="21"/>
              </w:rPr>
              <w:t>90</w:t>
            </w:r>
          </w:p>
        </w:tc>
        <w:tc>
          <w:tcPr>
            <w:tcW w:w="2263"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&lt;0.</w:t>
            </w:r>
            <w:r>
              <w:rPr>
                <w:rFonts w:ascii="楷体" w:hAnsi="楷体" w:eastAsia="楷体" w:cs="Times New Roman"/>
                <w:kern w:val="0"/>
                <w:sz w:val="21"/>
                <w:szCs w:val="21"/>
              </w:rPr>
              <w:t>90</w:t>
            </w:r>
            <w:r>
              <w:rPr>
                <w:rFonts w:hint="eastAsia" w:ascii="楷体" w:hAnsi="楷体" w:eastAsia="楷体" w:cs="Times New Roman"/>
                <w:kern w:val="0"/>
                <w:sz w:val="21"/>
                <w:szCs w:val="21"/>
              </w:rPr>
              <w:t>且≥0.8</w:t>
            </w:r>
            <w:r>
              <w:rPr>
                <w:rFonts w:ascii="楷体" w:hAnsi="楷体" w:eastAsia="楷体" w:cs="Times New Roman"/>
                <w:kern w:val="0"/>
                <w:sz w:val="21"/>
                <w:szCs w:val="21"/>
              </w:rPr>
              <w:t>5</w:t>
            </w:r>
          </w:p>
        </w:tc>
        <w:tc>
          <w:tcPr>
            <w:tcW w:w="2267" w:type="dxa"/>
            <w:vAlign w:val="center"/>
          </w:tcPr>
          <w:p>
            <w:pPr>
              <w:spacing w:line="276" w:lineRule="auto"/>
              <w:jc w:val="center"/>
              <w:rPr>
                <w:rFonts w:ascii="楷体" w:hAnsi="楷体" w:eastAsia="楷体" w:cs="Times New Roman"/>
                <w:kern w:val="0"/>
                <w:sz w:val="21"/>
                <w:szCs w:val="21"/>
              </w:rPr>
            </w:pPr>
            <w:r>
              <w:rPr>
                <w:rFonts w:hint="eastAsia" w:ascii="楷体" w:hAnsi="楷体" w:eastAsia="楷体" w:cs="Times New Roman"/>
                <w:kern w:val="0"/>
                <w:sz w:val="21"/>
                <w:szCs w:val="21"/>
              </w:rPr>
              <w:t>&lt;0</w:t>
            </w:r>
            <w:r>
              <w:rPr>
                <w:rFonts w:ascii="楷体" w:hAnsi="楷体" w:eastAsia="楷体" w:cs="Times New Roman"/>
                <w:kern w:val="0"/>
                <w:sz w:val="21"/>
                <w:szCs w:val="21"/>
              </w:rPr>
              <w:t>.85</w:t>
            </w:r>
          </w:p>
        </w:tc>
      </w:tr>
    </w:tbl>
    <w:p>
      <w:pPr>
        <w:pStyle w:val="3"/>
        <w:rPr>
          <w:rFonts w:ascii="Times New Roman" w:hAnsi="Times New Roman" w:cs="Times New Roman"/>
        </w:rPr>
      </w:pPr>
      <w:bookmarkStart w:id="112" w:name="_Toc513449981"/>
      <w:r>
        <w:rPr>
          <w:rFonts w:ascii="Times New Roman" w:hAnsi="Times New Roman" w:cs="Times New Roman"/>
        </w:rPr>
        <w:t>6.5 火灾后木结构构件的鉴定评级</w:t>
      </w:r>
      <w:bookmarkEnd w:id="112"/>
    </w:p>
    <w:p>
      <w:pPr>
        <w:rPr>
          <w:rFonts w:ascii="楷体" w:hAnsi="楷体" w:eastAsia="楷体"/>
        </w:rPr>
      </w:pPr>
      <w:r>
        <w:rPr>
          <w:rFonts w:cs="Times New Roman"/>
          <w:b/>
        </w:rPr>
        <w:t>6.5.1</w:t>
      </w:r>
      <w:r>
        <w:rPr>
          <w:rFonts w:hint="eastAsia" w:ascii="楷体" w:hAnsi="楷体" w:eastAsia="楷体"/>
        </w:rPr>
        <w:t>本条参照《木结构</w:t>
      </w:r>
      <w:r>
        <w:rPr>
          <w:rFonts w:ascii="楷体" w:hAnsi="楷体" w:eastAsia="楷体"/>
        </w:rPr>
        <w:t>设计规范</w:t>
      </w:r>
      <w:r>
        <w:rPr>
          <w:rFonts w:hint="eastAsia" w:ascii="楷体" w:hAnsi="楷体" w:eastAsia="楷体"/>
        </w:rPr>
        <w:t>》</w:t>
      </w:r>
      <w:r>
        <w:rPr>
          <w:rFonts w:ascii="楷体" w:hAnsi="楷体" w:eastAsia="楷体"/>
        </w:rPr>
        <w:t>GB 50005</w:t>
      </w:r>
      <w:r>
        <w:rPr>
          <w:rFonts w:hint="eastAsia" w:ascii="楷体" w:hAnsi="楷体" w:eastAsia="楷体"/>
        </w:rPr>
        <w:t>和</w:t>
      </w:r>
      <w:r>
        <w:rPr>
          <w:rFonts w:ascii="楷体" w:hAnsi="楷体" w:eastAsia="楷体"/>
        </w:rPr>
        <w:t>《</w:t>
      </w:r>
      <w:r>
        <w:rPr>
          <w:rFonts w:hint="eastAsia" w:ascii="楷体" w:hAnsi="楷体" w:eastAsia="楷体"/>
        </w:rPr>
        <w:t>民用</w:t>
      </w:r>
      <w:r>
        <w:rPr>
          <w:rFonts w:ascii="楷体" w:hAnsi="楷体" w:eastAsia="楷体"/>
        </w:rPr>
        <w:t>建筑可靠性鉴定标准》</w:t>
      </w:r>
      <w:r>
        <w:rPr>
          <w:rFonts w:hint="eastAsia" w:ascii="楷体" w:hAnsi="楷体" w:eastAsia="楷体"/>
        </w:rPr>
        <w:t>GB</w:t>
      </w:r>
      <w:r>
        <w:rPr>
          <w:rFonts w:ascii="楷体" w:hAnsi="楷体" w:eastAsia="楷体"/>
        </w:rPr>
        <w:t xml:space="preserve"> 50292</w:t>
      </w:r>
      <w:r>
        <w:rPr>
          <w:rFonts w:hint="eastAsia" w:ascii="楷体" w:hAnsi="楷体" w:eastAsia="楷体"/>
        </w:rPr>
        <w:t>制定，为本次修编新增加内容。</w:t>
      </w:r>
    </w:p>
    <w:p>
      <w:pPr>
        <w:ind w:firstLine="420" w:firstLineChars="200"/>
        <w:rPr>
          <w:rFonts w:ascii="楷体" w:hAnsi="楷体" w:eastAsia="楷体"/>
        </w:rPr>
      </w:pPr>
      <w:r>
        <w:rPr>
          <w:rFonts w:ascii="楷体" w:hAnsi="楷体" w:eastAsia="楷体"/>
        </w:rPr>
        <w:t>考虑到初步</w:t>
      </w:r>
      <w:r>
        <w:rPr>
          <w:rFonts w:hint="eastAsia" w:ascii="楷体" w:hAnsi="楷体" w:eastAsia="楷体"/>
        </w:rPr>
        <w:t>鉴定评级</w:t>
      </w:r>
      <w:r>
        <w:rPr>
          <w:rFonts w:ascii="楷体" w:hAnsi="楷体" w:eastAsia="楷体"/>
        </w:rPr>
        <w:t>时</w:t>
      </w:r>
      <w:r>
        <w:rPr>
          <w:rFonts w:hint="eastAsia" w:ascii="楷体" w:hAnsi="楷体" w:eastAsia="楷体"/>
        </w:rPr>
        <w:t>，木构件</w:t>
      </w:r>
      <w:r>
        <w:rPr>
          <w:rFonts w:ascii="楷体" w:hAnsi="楷体" w:eastAsia="楷体"/>
        </w:rPr>
        <w:t>变形的测量较粗略</w:t>
      </w:r>
      <w:r>
        <w:rPr>
          <w:rFonts w:hint="eastAsia" w:ascii="楷体" w:hAnsi="楷体" w:eastAsia="楷体"/>
        </w:rPr>
        <w:t>，</w:t>
      </w:r>
      <w:r>
        <w:rPr>
          <w:rFonts w:ascii="楷体" w:hAnsi="楷体" w:eastAsia="楷体"/>
        </w:rPr>
        <w:t>因此正文条文中采取粗线条评判法，由检测鉴定人员在考虑构件火灾损伤程度及构件重要性等诸因素后，综合评定</w:t>
      </w:r>
      <w:r>
        <w:rPr>
          <w:rFonts w:hint="eastAsia" w:ascii="楷体" w:hAnsi="楷体" w:eastAsia="楷体"/>
        </w:rPr>
        <w:t>，</w:t>
      </w:r>
      <w:r>
        <w:rPr>
          <w:rFonts w:ascii="楷体" w:hAnsi="楷体" w:eastAsia="楷体"/>
        </w:rPr>
        <w:t>若无经验</w:t>
      </w:r>
      <w:r>
        <w:rPr>
          <w:rFonts w:hint="eastAsia" w:ascii="楷体" w:hAnsi="楷体" w:eastAsia="楷体"/>
        </w:rPr>
        <w:t>，</w:t>
      </w:r>
      <w:r>
        <w:rPr>
          <w:rFonts w:ascii="楷体" w:hAnsi="楷体" w:eastAsia="楷体"/>
        </w:rPr>
        <w:t>可参照下</w:t>
      </w:r>
      <w:r>
        <w:rPr>
          <w:rFonts w:hint="eastAsia" w:ascii="楷体" w:hAnsi="楷体" w:eastAsia="楷体"/>
        </w:rPr>
        <w:t>表8</w:t>
      </w:r>
      <w:r>
        <w:rPr>
          <w:rFonts w:ascii="楷体" w:hAnsi="楷体" w:eastAsia="楷体"/>
        </w:rPr>
        <w:t>评定</w:t>
      </w:r>
      <w:r>
        <w:rPr>
          <w:rFonts w:hint="eastAsia" w:ascii="楷体" w:hAnsi="楷体" w:eastAsia="楷体"/>
        </w:rPr>
        <w:t>。</w:t>
      </w:r>
      <w:r>
        <w:rPr>
          <w:rFonts w:ascii="楷体" w:hAnsi="楷体" w:eastAsia="楷体"/>
        </w:rPr>
        <w:t xml:space="preserve">  </w:t>
      </w:r>
    </w:p>
    <w:p>
      <w:pPr>
        <w:spacing w:beforeLines="50" w:line="276" w:lineRule="auto"/>
        <w:jc w:val="center"/>
        <w:rPr>
          <w:rFonts w:ascii="楷体" w:hAnsi="楷体" w:eastAsia="楷体"/>
          <w:szCs w:val="21"/>
        </w:rPr>
      </w:pPr>
      <w:r>
        <w:rPr>
          <w:rFonts w:hint="eastAsia" w:ascii="楷体" w:hAnsi="楷体" w:eastAsia="楷体"/>
          <w:szCs w:val="21"/>
        </w:rPr>
        <w:t>表8  火灾后木构件基于整体变形的初步鉴定评级标准</w:t>
      </w:r>
    </w:p>
    <w:tbl>
      <w:tblPr>
        <w:tblStyle w:val="24"/>
        <w:tblW w:w="91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
      <w:tblGrid>
        <w:gridCol w:w="2119"/>
        <w:gridCol w:w="2833"/>
        <w:gridCol w:w="2124"/>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20" w:hRule="atLeast"/>
          <w:jc w:val="center"/>
        </w:trPr>
        <w:tc>
          <w:tcPr>
            <w:tcW w:w="2119" w:type="dxa"/>
            <w:vMerge w:val="restart"/>
            <w:vAlign w:val="center"/>
          </w:tcPr>
          <w:p>
            <w:pPr>
              <w:pStyle w:val="42"/>
              <w:spacing w:line="360" w:lineRule="atLeast"/>
              <w:jc w:val="center"/>
            </w:pPr>
            <w:r>
              <w:rPr>
                <w:rFonts w:hint="eastAsia"/>
              </w:rPr>
              <w:t>等级评定要素</w:t>
            </w:r>
          </w:p>
        </w:tc>
        <w:tc>
          <w:tcPr>
            <w:tcW w:w="2833" w:type="dxa"/>
            <w:vMerge w:val="restart"/>
            <w:vAlign w:val="center"/>
          </w:tcPr>
          <w:p>
            <w:pPr>
              <w:pStyle w:val="42"/>
              <w:spacing w:line="360" w:lineRule="atLeast"/>
              <w:jc w:val="center"/>
            </w:pPr>
            <w:r>
              <w:rPr>
                <w:rFonts w:hint="eastAsia"/>
              </w:rPr>
              <w:t>构件类别</w:t>
            </w:r>
          </w:p>
        </w:tc>
        <w:tc>
          <w:tcPr>
            <w:tcW w:w="4204" w:type="dxa"/>
            <w:gridSpan w:val="2"/>
            <w:vAlign w:val="center"/>
          </w:tcPr>
          <w:p>
            <w:pPr>
              <w:pStyle w:val="42"/>
              <w:spacing w:line="360" w:lineRule="atLeast"/>
              <w:jc w:val="center"/>
            </w:pPr>
            <w:r>
              <w:rPr>
                <w:rFonts w:hint="eastAsia"/>
              </w:rPr>
              <w:t>各级变形损伤等级状态特征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20" w:hRule="atLeast"/>
          <w:jc w:val="center"/>
        </w:trPr>
        <w:tc>
          <w:tcPr>
            <w:tcW w:w="2119" w:type="dxa"/>
            <w:vMerge w:val="continue"/>
            <w:vAlign w:val="center"/>
          </w:tcPr>
          <w:p>
            <w:pPr>
              <w:pStyle w:val="42"/>
              <w:spacing w:line="360" w:lineRule="atLeast"/>
              <w:jc w:val="center"/>
            </w:pPr>
          </w:p>
        </w:tc>
        <w:tc>
          <w:tcPr>
            <w:tcW w:w="2833" w:type="dxa"/>
            <w:vMerge w:val="continue"/>
            <w:vAlign w:val="center"/>
          </w:tcPr>
          <w:p>
            <w:pPr>
              <w:pStyle w:val="42"/>
              <w:spacing w:line="360" w:lineRule="atLeast"/>
              <w:jc w:val="center"/>
            </w:pPr>
          </w:p>
        </w:tc>
        <w:tc>
          <w:tcPr>
            <w:tcW w:w="2124" w:type="dxa"/>
            <w:vAlign w:val="center"/>
          </w:tcPr>
          <w:p>
            <w:pPr>
              <w:pStyle w:val="42"/>
              <w:spacing w:line="360" w:lineRule="atLeast"/>
              <w:jc w:val="center"/>
            </w:pPr>
            <w:r>
              <w:rPr>
                <w:rFonts w:hint="eastAsia"/>
              </w:rPr>
              <w:t>Ⅱ</w:t>
            </w:r>
            <w:r>
              <w:rPr>
                <w:vertAlign w:val="subscript"/>
              </w:rPr>
              <w:t>a</w:t>
            </w:r>
            <w:r>
              <w:rPr>
                <w:rFonts w:hint="eastAsia"/>
              </w:rPr>
              <w:t>级或Ⅱ</w:t>
            </w:r>
            <w:r>
              <w:rPr>
                <w:vertAlign w:val="subscript"/>
              </w:rPr>
              <w:t>b</w:t>
            </w:r>
            <w:r>
              <w:rPr>
                <w:rFonts w:hint="eastAsia"/>
              </w:rPr>
              <w:t>级</w:t>
            </w:r>
          </w:p>
        </w:tc>
        <w:tc>
          <w:tcPr>
            <w:tcW w:w="2080" w:type="dxa"/>
            <w:vAlign w:val="center"/>
          </w:tcPr>
          <w:p>
            <w:pPr>
              <w:pStyle w:val="42"/>
              <w:spacing w:line="360" w:lineRule="atLeast"/>
              <w:jc w:val="center"/>
            </w:pPr>
            <w:r>
              <w:rPr>
                <w:rFonts w:hint="eastAsia"/>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212" w:hRule="atLeast"/>
          <w:jc w:val="center"/>
        </w:trPr>
        <w:tc>
          <w:tcPr>
            <w:tcW w:w="2119" w:type="dxa"/>
            <w:vMerge w:val="restart"/>
            <w:vAlign w:val="center"/>
          </w:tcPr>
          <w:p>
            <w:pPr>
              <w:pStyle w:val="42"/>
              <w:spacing w:line="360" w:lineRule="atLeast"/>
              <w:jc w:val="center"/>
            </w:pPr>
            <w:r>
              <w:rPr>
                <w:rFonts w:hint="eastAsia"/>
              </w:rPr>
              <w:t>挠度</w:t>
            </w:r>
          </w:p>
        </w:tc>
        <w:tc>
          <w:tcPr>
            <w:tcW w:w="2833" w:type="dxa"/>
            <w:vAlign w:val="center"/>
          </w:tcPr>
          <w:p>
            <w:pPr>
              <w:pStyle w:val="42"/>
              <w:spacing w:line="360" w:lineRule="atLeast"/>
              <w:jc w:val="center"/>
            </w:pPr>
            <w:r>
              <w:rPr>
                <w:rFonts w:hint="eastAsia"/>
              </w:rPr>
              <w:t>桁架、屋架、托架</w:t>
            </w:r>
          </w:p>
        </w:tc>
        <w:tc>
          <w:tcPr>
            <w:tcW w:w="2124" w:type="dxa"/>
            <w:vAlign w:val="center"/>
          </w:tcPr>
          <w:p>
            <w:pPr>
              <w:pStyle w:val="42"/>
              <w:spacing w:line="360" w:lineRule="atLeast"/>
              <w:jc w:val="center"/>
            </w:pPr>
            <w:r>
              <w:t>&gt;</w:t>
            </w:r>
            <w:r>
              <w:rPr>
                <w:i/>
              </w:rPr>
              <w:t xml:space="preserve"> l</w:t>
            </w:r>
            <w:r>
              <w:rPr>
                <w:vertAlign w:val="subscript"/>
              </w:rPr>
              <w:t>0</w:t>
            </w:r>
            <w:r>
              <w:t>/400</w:t>
            </w:r>
          </w:p>
        </w:tc>
        <w:tc>
          <w:tcPr>
            <w:tcW w:w="2080" w:type="dxa"/>
            <w:vAlign w:val="center"/>
          </w:tcPr>
          <w:p>
            <w:pPr>
              <w:pStyle w:val="42"/>
              <w:spacing w:line="360" w:lineRule="atLeast"/>
              <w:jc w:val="center"/>
            </w:pPr>
            <w:r>
              <w:t>&gt;</w:t>
            </w:r>
            <w:r>
              <w:rPr>
                <w:i/>
              </w:rPr>
              <w:t>l</w:t>
            </w:r>
            <w:r>
              <w:rPr>
                <w:vertAlign w:val="subscript"/>
              </w:rPr>
              <w:t>0</w:t>
            </w: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160" w:hRule="atLeast"/>
          <w:jc w:val="center"/>
        </w:trPr>
        <w:tc>
          <w:tcPr>
            <w:tcW w:w="2119" w:type="dxa"/>
            <w:vMerge w:val="continue"/>
            <w:vAlign w:val="center"/>
          </w:tcPr>
          <w:p>
            <w:pPr>
              <w:pStyle w:val="42"/>
              <w:spacing w:line="360" w:lineRule="atLeast"/>
              <w:jc w:val="center"/>
            </w:pPr>
          </w:p>
        </w:tc>
        <w:tc>
          <w:tcPr>
            <w:tcW w:w="2833" w:type="dxa"/>
            <w:vAlign w:val="center"/>
          </w:tcPr>
          <w:p>
            <w:pPr>
              <w:pStyle w:val="42"/>
              <w:spacing w:line="360" w:lineRule="atLeast"/>
              <w:jc w:val="center"/>
            </w:pPr>
            <w:r>
              <w:rPr>
                <w:rFonts w:hint="eastAsia"/>
              </w:rPr>
              <w:t>主梁</w:t>
            </w:r>
          </w:p>
        </w:tc>
        <w:tc>
          <w:tcPr>
            <w:tcW w:w="2124" w:type="dxa"/>
            <w:vAlign w:val="center"/>
          </w:tcPr>
          <w:p>
            <w:pPr>
              <w:pStyle w:val="42"/>
              <w:spacing w:line="360" w:lineRule="atLeast"/>
              <w:jc w:val="center"/>
            </w:pPr>
            <w:r>
              <w:t>&gt;</w:t>
            </w:r>
            <w:r>
              <w:rPr>
                <w:i/>
              </w:rPr>
              <w:t>l</w:t>
            </w:r>
            <w:r>
              <w:rPr>
                <w:vertAlign w:val="subscript"/>
              </w:rPr>
              <w:t>0</w:t>
            </w:r>
            <w:r>
              <w:rPr>
                <w:i/>
              </w:rPr>
              <w:t>/</w:t>
            </w:r>
            <w:r>
              <w:t>250</w:t>
            </w:r>
          </w:p>
        </w:tc>
        <w:tc>
          <w:tcPr>
            <w:tcW w:w="2080" w:type="dxa"/>
            <w:vAlign w:val="center"/>
          </w:tcPr>
          <w:p>
            <w:pPr>
              <w:pStyle w:val="42"/>
              <w:spacing w:line="360" w:lineRule="atLeast"/>
              <w:jc w:val="center"/>
            </w:pPr>
            <w:r>
              <w:t>&gt;</w:t>
            </w:r>
            <w:r>
              <w:rPr>
                <w:i/>
              </w:rPr>
              <w:t xml:space="preserve"> l</w:t>
            </w:r>
            <w:r>
              <w:rPr>
                <w:vertAlign w:val="subscript"/>
              </w:rPr>
              <w:t>0</w:t>
            </w:r>
            <w: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240" w:hRule="atLeast"/>
          <w:jc w:val="center"/>
        </w:trPr>
        <w:tc>
          <w:tcPr>
            <w:tcW w:w="2119" w:type="dxa"/>
            <w:vMerge w:val="continue"/>
            <w:vAlign w:val="center"/>
          </w:tcPr>
          <w:p>
            <w:pPr>
              <w:pStyle w:val="42"/>
              <w:spacing w:line="360" w:lineRule="atLeast"/>
              <w:jc w:val="center"/>
            </w:pPr>
          </w:p>
        </w:tc>
        <w:tc>
          <w:tcPr>
            <w:tcW w:w="2833" w:type="dxa"/>
            <w:vAlign w:val="center"/>
          </w:tcPr>
          <w:p>
            <w:pPr>
              <w:pStyle w:val="42"/>
              <w:spacing w:line="360" w:lineRule="atLeast"/>
              <w:jc w:val="center"/>
            </w:pPr>
            <w:r>
              <w:rPr>
                <w:rFonts w:hint="eastAsia"/>
              </w:rPr>
              <w:t>搁栅、檩条</w:t>
            </w:r>
          </w:p>
        </w:tc>
        <w:tc>
          <w:tcPr>
            <w:tcW w:w="2124" w:type="dxa"/>
            <w:tcBorders>
              <w:left w:val="single" w:color="auto" w:sz="4" w:space="0"/>
            </w:tcBorders>
            <w:vAlign w:val="center"/>
          </w:tcPr>
          <w:p>
            <w:pPr>
              <w:pStyle w:val="42"/>
              <w:spacing w:line="360" w:lineRule="atLeast"/>
              <w:jc w:val="center"/>
            </w:pPr>
            <w:r>
              <w:t>&gt;</w:t>
            </w:r>
            <w:r>
              <w:rPr>
                <w:i/>
              </w:rPr>
              <w:t xml:space="preserve"> l</w:t>
            </w:r>
            <w:r>
              <w:rPr>
                <w:vertAlign w:val="subscript"/>
              </w:rPr>
              <w:t>0</w:t>
            </w:r>
            <w:r>
              <w:t>/250</w:t>
            </w:r>
          </w:p>
        </w:tc>
        <w:tc>
          <w:tcPr>
            <w:tcW w:w="2080" w:type="dxa"/>
            <w:vAlign w:val="center"/>
          </w:tcPr>
          <w:p>
            <w:pPr>
              <w:pStyle w:val="42"/>
              <w:spacing w:line="360" w:lineRule="atLeast"/>
              <w:jc w:val="center"/>
            </w:pPr>
            <w:r>
              <w:t>&gt;</w:t>
            </w:r>
            <w:r>
              <w:rPr>
                <w:i/>
              </w:rPr>
              <w:t>l</w:t>
            </w:r>
            <w:r>
              <w:rPr>
                <w:i/>
                <w:vertAlign w:val="subscript"/>
              </w:rPr>
              <w:t>0</w:t>
            </w:r>
            <w: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226" w:hRule="atLeast"/>
          <w:jc w:val="center"/>
        </w:trPr>
        <w:tc>
          <w:tcPr>
            <w:tcW w:w="2119" w:type="dxa"/>
            <w:vMerge w:val="continue"/>
            <w:vAlign w:val="center"/>
          </w:tcPr>
          <w:p>
            <w:pPr>
              <w:pStyle w:val="42"/>
              <w:spacing w:line="360" w:lineRule="atLeast"/>
              <w:jc w:val="center"/>
            </w:pPr>
          </w:p>
        </w:tc>
        <w:tc>
          <w:tcPr>
            <w:tcW w:w="2833" w:type="dxa"/>
            <w:vAlign w:val="center"/>
          </w:tcPr>
          <w:p>
            <w:pPr>
              <w:pStyle w:val="42"/>
              <w:spacing w:line="360" w:lineRule="atLeast"/>
              <w:jc w:val="center"/>
            </w:pPr>
            <w:r>
              <w:rPr>
                <w:rFonts w:hint="eastAsia"/>
              </w:rPr>
              <w:t>椽条</w:t>
            </w:r>
          </w:p>
        </w:tc>
        <w:tc>
          <w:tcPr>
            <w:tcW w:w="2124" w:type="dxa"/>
            <w:tcBorders>
              <w:left w:val="single" w:color="auto" w:sz="4" w:space="0"/>
            </w:tcBorders>
            <w:vAlign w:val="center"/>
          </w:tcPr>
          <w:p>
            <w:pPr>
              <w:pStyle w:val="42"/>
              <w:spacing w:line="360" w:lineRule="atLeast"/>
              <w:jc w:val="center"/>
            </w:pPr>
            <w:r>
              <w:t>&gt;</w:t>
            </w:r>
            <w:r>
              <w:rPr>
                <w:i/>
              </w:rPr>
              <w:t xml:space="preserve"> l</w:t>
            </w:r>
            <w:r>
              <w:rPr>
                <w:vertAlign w:val="subscript"/>
              </w:rPr>
              <w:t>0</w:t>
            </w:r>
            <w:r>
              <w:t>/150</w:t>
            </w:r>
          </w:p>
        </w:tc>
        <w:tc>
          <w:tcPr>
            <w:tcW w:w="2080" w:type="dxa"/>
            <w:vAlign w:val="center"/>
          </w:tcPr>
          <w:p>
            <w:pPr>
              <w:pStyle w:val="42"/>
              <w:spacing w:line="360" w:lineRule="atLeast"/>
              <w:jc w:val="center"/>
            </w:pPr>
            <w:r>
              <w:t>&gt;</w:t>
            </w:r>
            <w:r>
              <w:rPr>
                <w:i/>
              </w:rPr>
              <w:t>l</w:t>
            </w:r>
            <w:r>
              <w:rPr>
                <w:vertAlign w:val="subscript"/>
              </w:rPr>
              <w:t>0</w:t>
            </w: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244" w:hRule="atLeast"/>
          <w:jc w:val="center"/>
        </w:trPr>
        <w:tc>
          <w:tcPr>
            <w:tcW w:w="2119" w:type="dxa"/>
            <w:vMerge w:val="restart"/>
            <w:vAlign w:val="center"/>
          </w:tcPr>
          <w:p>
            <w:pPr>
              <w:pStyle w:val="42"/>
              <w:spacing w:line="360" w:lineRule="atLeast"/>
              <w:jc w:val="center"/>
            </w:pPr>
            <w:r>
              <w:rPr>
                <w:rFonts w:hint="eastAsia"/>
              </w:rPr>
              <w:t>侧向弯曲的矢高</w:t>
            </w:r>
          </w:p>
        </w:tc>
        <w:tc>
          <w:tcPr>
            <w:tcW w:w="2833" w:type="dxa"/>
            <w:vAlign w:val="center"/>
          </w:tcPr>
          <w:p>
            <w:pPr>
              <w:pStyle w:val="42"/>
              <w:spacing w:line="360" w:lineRule="atLeast"/>
              <w:jc w:val="center"/>
            </w:pPr>
            <w:r>
              <w:rPr>
                <w:rFonts w:hint="eastAsia"/>
              </w:rPr>
              <w:t>柱或其他受压构件</w:t>
            </w:r>
          </w:p>
        </w:tc>
        <w:tc>
          <w:tcPr>
            <w:tcW w:w="2124" w:type="dxa"/>
            <w:vAlign w:val="center"/>
          </w:tcPr>
          <w:p>
            <w:pPr>
              <w:pStyle w:val="42"/>
              <w:spacing w:line="360" w:lineRule="atLeast"/>
              <w:jc w:val="center"/>
            </w:pPr>
            <w:r>
              <w:t>&gt;</w:t>
            </w:r>
            <w:r>
              <w:rPr>
                <w:i/>
              </w:rPr>
              <w:t>l</w:t>
            </w:r>
            <w:r>
              <w:rPr>
                <w:vertAlign w:val="subscript"/>
              </w:rPr>
              <w:t>c</w:t>
            </w:r>
            <w:r>
              <w:t>/400</w:t>
            </w:r>
          </w:p>
        </w:tc>
        <w:tc>
          <w:tcPr>
            <w:tcW w:w="2080" w:type="dxa"/>
            <w:vAlign w:val="center"/>
          </w:tcPr>
          <w:p>
            <w:pPr>
              <w:pStyle w:val="42"/>
              <w:spacing w:line="360" w:lineRule="atLeast"/>
              <w:jc w:val="center"/>
            </w:pPr>
            <w:r>
              <w:t>&gt;</w:t>
            </w:r>
            <w:r>
              <w:rPr>
                <w:i/>
              </w:rPr>
              <w:t xml:space="preserve"> l</w:t>
            </w:r>
            <w:r>
              <w:rPr>
                <w:vertAlign w:val="subscript"/>
              </w:rPr>
              <w:t>c</w:t>
            </w:r>
            <w:r>
              <w:rPr>
                <w:i/>
              </w:rPr>
              <w:t>/</w:t>
            </w: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0" w:type="dxa"/>
            <w:right w:w="85" w:type="dxa"/>
          </w:tblCellMar>
        </w:tblPrEx>
        <w:trPr>
          <w:cantSplit/>
          <w:trHeight w:val="320" w:hRule="atLeast"/>
          <w:jc w:val="center"/>
        </w:trPr>
        <w:tc>
          <w:tcPr>
            <w:tcW w:w="2119" w:type="dxa"/>
            <w:vMerge w:val="continue"/>
            <w:vAlign w:val="center"/>
          </w:tcPr>
          <w:p>
            <w:pPr>
              <w:pStyle w:val="42"/>
              <w:spacing w:line="360" w:lineRule="atLeast"/>
              <w:jc w:val="center"/>
            </w:pPr>
          </w:p>
        </w:tc>
        <w:tc>
          <w:tcPr>
            <w:tcW w:w="2833" w:type="dxa"/>
            <w:vAlign w:val="center"/>
          </w:tcPr>
          <w:p>
            <w:pPr>
              <w:pStyle w:val="42"/>
              <w:spacing w:line="360" w:lineRule="atLeast"/>
              <w:jc w:val="center"/>
            </w:pPr>
            <w:r>
              <w:rPr>
                <w:rFonts w:hint="eastAsia"/>
              </w:rPr>
              <w:t>矩形截面梁</w:t>
            </w:r>
          </w:p>
        </w:tc>
        <w:tc>
          <w:tcPr>
            <w:tcW w:w="2124" w:type="dxa"/>
            <w:vAlign w:val="center"/>
          </w:tcPr>
          <w:p>
            <w:pPr>
              <w:pStyle w:val="42"/>
              <w:spacing w:line="360" w:lineRule="atLeast"/>
              <w:jc w:val="center"/>
            </w:pPr>
            <w:r>
              <w:t>&gt;</w:t>
            </w:r>
            <w:r>
              <w:rPr>
                <w:i/>
              </w:rPr>
              <w:t xml:space="preserve"> l</w:t>
            </w:r>
            <w:r>
              <w:rPr>
                <w:vertAlign w:val="subscript"/>
              </w:rPr>
              <w:t>0</w:t>
            </w:r>
            <w:r>
              <w:t>/300</w:t>
            </w:r>
          </w:p>
        </w:tc>
        <w:tc>
          <w:tcPr>
            <w:tcW w:w="2080" w:type="dxa"/>
            <w:vAlign w:val="center"/>
          </w:tcPr>
          <w:p>
            <w:pPr>
              <w:pStyle w:val="42"/>
              <w:spacing w:line="360" w:lineRule="atLeast"/>
              <w:jc w:val="center"/>
            </w:pPr>
            <w:r>
              <w:t>&gt;</w:t>
            </w:r>
            <w:r>
              <w:rPr>
                <w:i/>
              </w:rPr>
              <w:t xml:space="preserve"> l</w:t>
            </w:r>
            <w:r>
              <w:rPr>
                <w:vertAlign w:val="subscript"/>
              </w:rPr>
              <w:t>0</w:t>
            </w:r>
            <w:r>
              <w:t>/150</w:t>
            </w:r>
          </w:p>
        </w:tc>
      </w:tr>
    </w:tbl>
    <w:p>
      <w:pPr>
        <w:pStyle w:val="42"/>
        <w:ind w:firstLine="210"/>
      </w:pPr>
      <w:r>
        <w:rPr>
          <w:rFonts w:hint="eastAsia"/>
        </w:rPr>
        <w:t>注：</w:t>
      </w:r>
      <w:r>
        <w:t xml:space="preserve"> 1 </w:t>
      </w:r>
      <w:r>
        <w:rPr>
          <w:rFonts w:hint="eastAsia"/>
        </w:rPr>
        <w:t>表中</w:t>
      </w:r>
      <w:r>
        <w:rPr>
          <w:i/>
        </w:rPr>
        <w:t>l</w:t>
      </w:r>
      <w:r>
        <w:rPr>
          <w:vertAlign w:val="subscript"/>
        </w:rPr>
        <w:t>0</w:t>
      </w:r>
      <w:r>
        <w:rPr>
          <w:rFonts w:hint="eastAsia"/>
        </w:rPr>
        <w:t>为计算跨度；</w:t>
      </w:r>
      <w:r>
        <w:rPr>
          <w:i/>
        </w:rPr>
        <w:t>l</w:t>
      </w:r>
      <w:r>
        <w:rPr>
          <w:vertAlign w:val="subscript"/>
        </w:rPr>
        <w:t>c</w:t>
      </w:r>
      <w:r>
        <w:rPr>
          <w:rFonts w:hint="eastAsia"/>
        </w:rPr>
        <w:t>为柱的无支长度；</w:t>
      </w:r>
    </w:p>
    <w:p>
      <w:pPr>
        <w:pStyle w:val="42"/>
        <w:ind w:firstLine="735" w:firstLineChars="350"/>
      </w:pPr>
      <w:r>
        <w:t xml:space="preserve">2 </w:t>
      </w:r>
      <w:r>
        <w:rPr>
          <w:rFonts w:hint="eastAsia"/>
        </w:rPr>
        <w:t>表中的侧向弯曲，主要是由木材生长原因或干燥、施工不当所引起的。</w:t>
      </w:r>
    </w:p>
    <w:p>
      <w:pPr>
        <w:rPr>
          <w:rFonts w:ascii="楷体" w:hAnsi="楷体" w:eastAsia="楷体"/>
        </w:rPr>
      </w:pPr>
      <w:r>
        <w:rPr>
          <w:rFonts w:cs="Times New Roman"/>
          <w:b/>
        </w:rPr>
        <w:t>6.5.2</w:t>
      </w:r>
      <w:r>
        <w:rPr>
          <w:rFonts w:hint="eastAsia" w:ascii="楷体" w:hAnsi="楷体" w:eastAsia="楷体"/>
        </w:rPr>
        <w:t>木结构构件</w:t>
      </w:r>
      <w:r>
        <w:rPr>
          <w:rFonts w:ascii="楷体" w:hAnsi="楷体" w:eastAsia="楷体"/>
        </w:rPr>
        <w:t>火灾后</w:t>
      </w:r>
      <w:r>
        <w:rPr>
          <w:rFonts w:hint="eastAsia" w:ascii="楷体" w:hAnsi="楷体" w:eastAsia="楷体"/>
        </w:rPr>
        <w:t>承载力</w:t>
      </w:r>
      <w:r>
        <w:rPr>
          <w:rFonts w:ascii="楷体" w:hAnsi="楷体" w:eastAsia="楷体"/>
        </w:rPr>
        <w:t>参考</w:t>
      </w:r>
      <w:r>
        <w:rPr>
          <w:rFonts w:hint="eastAsia" w:ascii="楷体" w:hAnsi="楷体" w:eastAsia="楷体"/>
        </w:rPr>
        <w:t>《胶合木</w:t>
      </w:r>
      <w:r>
        <w:rPr>
          <w:rFonts w:ascii="楷体" w:hAnsi="楷体" w:eastAsia="楷体"/>
        </w:rPr>
        <w:t>结构技术规范</w:t>
      </w:r>
      <w:r>
        <w:rPr>
          <w:rFonts w:hint="eastAsia" w:ascii="楷体" w:hAnsi="楷体" w:eastAsia="楷体"/>
        </w:rPr>
        <w:t>》GB</w:t>
      </w:r>
      <w:r>
        <w:rPr>
          <w:rFonts w:ascii="楷体" w:hAnsi="楷体" w:eastAsia="楷体"/>
        </w:rPr>
        <w:t>/T 50708</w:t>
      </w:r>
      <w:r>
        <w:rPr>
          <w:rFonts w:hint="eastAsia" w:ascii="楷体" w:hAnsi="楷体" w:eastAsia="楷体"/>
        </w:rPr>
        <w:t>进行</w:t>
      </w:r>
      <w:r>
        <w:rPr>
          <w:rFonts w:ascii="楷体" w:hAnsi="楷体" w:eastAsia="楷体"/>
        </w:rPr>
        <w:t>计算</w:t>
      </w:r>
      <w:r>
        <w:rPr>
          <w:rFonts w:hint="eastAsia" w:ascii="楷体" w:hAnsi="楷体" w:eastAsia="楷体"/>
        </w:rPr>
        <w:t>，</w:t>
      </w:r>
      <w:r>
        <w:rPr>
          <w:rFonts w:ascii="楷体" w:hAnsi="楷体" w:eastAsia="楷体"/>
        </w:rPr>
        <w:t>评级指标取自《</w:t>
      </w:r>
      <w:r>
        <w:rPr>
          <w:rFonts w:hint="eastAsia" w:ascii="楷体" w:hAnsi="楷体" w:eastAsia="楷体"/>
        </w:rPr>
        <w:t>民用</w:t>
      </w:r>
      <w:r>
        <w:rPr>
          <w:rFonts w:ascii="楷体" w:hAnsi="楷体" w:eastAsia="楷体"/>
        </w:rPr>
        <w:t>建筑可靠性鉴定标准》</w:t>
      </w:r>
      <w:r>
        <w:rPr>
          <w:rFonts w:hint="eastAsia" w:ascii="楷体" w:hAnsi="楷体" w:eastAsia="楷体"/>
        </w:rPr>
        <w:t>GB</w:t>
      </w:r>
      <w:r>
        <w:rPr>
          <w:rFonts w:ascii="楷体" w:hAnsi="楷体" w:eastAsia="楷体"/>
        </w:rPr>
        <w:t xml:space="preserve"> 50292</w:t>
      </w:r>
      <w:r>
        <w:rPr>
          <w:rFonts w:hint="eastAsia" w:ascii="楷体" w:hAnsi="楷体" w:eastAsia="楷体"/>
        </w:rPr>
        <w:t>，并按照表9下列原则评定为b、c、d级。</w:t>
      </w:r>
    </w:p>
    <w:p>
      <w:pPr>
        <w:spacing w:beforeLines="50" w:line="276" w:lineRule="auto"/>
        <w:jc w:val="center"/>
        <w:rPr>
          <w:rFonts w:ascii="楷体" w:hAnsi="楷体" w:eastAsia="楷体"/>
        </w:rPr>
      </w:pPr>
      <w:r>
        <w:rPr>
          <w:rFonts w:hint="eastAsia" w:ascii="楷体" w:hAnsi="楷体" w:eastAsia="楷体"/>
        </w:rPr>
        <w:t>表9 受火影响的木构件承载能力评定等级</w:t>
      </w:r>
    </w:p>
    <w:tbl>
      <w:tblPr>
        <w:tblStyle w:val="25"/>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2933"/>
        <w:gridCol w:w="3042"/>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rPr>
        <w:tc>
          <w:tcPr>
            <w:tcW w:w="1993" w:type="dxa"/>
            <w:vMerge w:val="restart"/>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构件种类</w:t>
            </w:r>
          </w:p>
        </w:tc>
        <w:tc>
          <w:tcPr>
            <w:tcW w:w="7969" w:type="dxa"/>
            <w:gridSpan w:val="3"/>
            <w:tcBorders>
              <w:bottom w:val="single" w:color="auto" w:sz="4" w:space="0"/>
            </w:tcBorders>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R/γ</w:t>
            </w:r>
            <w:r>
              <w:rPr>
                <w:rFonts w:hint="eastAsia" w:ascii="楷体" w:hAnsi="楷体" w:eastAsia="楷体" w:cs="Times New Roman"/>
                <w:kern w:val="0"/>
                <w:sz w:val="20"/>
                <w:vertAlign w:val="subscript"/>
              </w:rPr>
              <w:t>0</w:t>
            </w:r>
            <w:r>
              <w:rPr>
                <w:rFonts w:ascii="楷体" w:hAnsi="楷体" w:eastAsia="楷体" w:cs="Times New Roman"/>
                <w:kern w:val="0"/>
                <w:sz w:val="20"/>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993" w:type="dxa"/>
            <w:vMerge w:val="continue"/>
            <w:vAlign w:val="center"/>
          </w:tcPr>
          <w:p>
            <w:pPr>
              <w:spacing w:line="276" w:lineRule="auto"/>
              <w:jc w:val="center"/>
              <w:rPr>
                <w:rFonts w:ascii="楷体" w:hAnsi="楷体" w:eastAsia="楷体" w:cs="Times New Roman"/>
                <w:kern w:val="0"/>
                <w:sz w:val="20"/>
              </w:rPr>
            </w:pPr>
          </w:p>
        </w:tc>
        <w:tc>
          <w:tcPr>
            <w:tcW w:w="2933" w:type="dxa"/>
            <w:tcBorders>
              <w:top w:val="single" w:color="auto" w:sz="4" w:space="0"/>
            </w:tcBorders>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b</w:t>
            </w:r>
          </w:p>
        </w:tc>
        <w:tc>
          <w:tcPr>
            <w:tcW w:w="3042" w:type="dxa"/>
            <w:tcBorders>
              <w:top w:val="single" w:color="auto" w:sz="4" w:space="0"/>
            </w:tcBorders>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c</w:t>
            </w:r>
          </w:p>
        </w:tc>
        <w:tc>
          <w:tcPr>
            <w:tcW w:w="1994" w:type="dxa"/>
            <w:tcBorders>
              <w:top w:val="single" w:color="auto" w:sz="4" w:space="0"/>
            </w:tcBorders>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主要构件及连接</w:t>
            </w:r>
          </w:p>
        </w:tc>
        <w:tc>
          <w:tcPr>
            <w:tcW w:w="2933"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≥0.9</w:t>
            </w:r>
            <w:r>
              <w:rPr>
                <w:rFonts w:ascii="楷体" w:hAnsi="楷体" w:eastAsia="楷体" w:cs="Times New Roman"/>
                <w:kern w:val="0"/>
                <w:sz w:val="20"/>
              </w:rPr>
              <w:t>5</w:t>
            </w:r>
          </w:p>
        </w:tc>
        <w:tc>
          <w:tcPr>
            <w:tcW w:w="3042"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&lt;0.95且≥0.</w:t>
            </w:r>
            <w:r>
              <w:rPr>
                <w:rFonts w:ascii="楷体" w:hAnsi="楷体" w:eastAsia="楷体" w:cs="Times New Roman"/>
                <w:kern w:val="0"/>
                <w:sz w:val="20"/>
              </w:rPr>
              <w:t>90</w:t>
            </w:r>
          </w:p>
        </w:tc>
        <w:tc>
          <w:tcPr>
            <w:tcW w:w="1994"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&lt;0</w:t>
            </w:r>
            <w:r>
              <w:rPr>
                <w:rFonts w:ascii="楷体" w:hAnsi="楷体" w:eastAsia="楷体" w:cs="Times New Roman"/>
                <w:kern w:val="0"/>
                <w:sz w:val="2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93"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一般构件</w:t>
            </w:r>
          </w:p>
        </w:tc>
        <w:tc>
          <w:tcPr>
            <w:tcW w:w="2933"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≥0.</w:t>
            </w:r>
            <w:r>
              <w:rPr>
                <w:rFonts w:ascii="楷体" w:hAnsi="楷体" w:eastAsia="楷体" w:cs="Times New Roman"/>
                <w:kern w:val="0"/>
                <w:sz w:val="20"/>
              </w:rPr>
              <w:t>90</w:t>
            </w:r>
          </w:p>
        </w:tc>
        <w:tc>
          <w:tcPr>
            <w:tcW w:w="3042"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&lt;0.</w:t>
            </w:r>
            <w:r>
              <w:rPr>
                <w:rFonts w:ascii="楷体" w:hAnsi="楷体" w:eastAsia="楷体" w:cs="Times New Roman"/>
                <w:kern w:val="0"/>
                <w:sz w:val="20"/>
              </w:rPr>
              <w:t>90</w:t>
            </w:r>
            <w:r>
              <w:rPr>
                <w:rFonts w:hint="eastAsia" w:ascii="楷体" w:hAnsi="楷体" w:eastAsia="楷体" w:cs="Times New Roman"/>
                <w:kern w:val="0"/>
                <w:sz w:val="20"/>
              </w:rPr>
              <w:t>且≥0.8</w:t>
            </w:r>
            <w:r>
              <w:rPr>
                <w:rFonts w:ascii="楷体" w:hAnsi="楷体" w:eastAsia="楷体" w:cs="Times New Roman"/>
                <w:kern w:val="0"/>
                <w:sz w:val="20"/>
              </w:rPr>
              <w:t>5</w:t>
            </w:r>
          </w:p>
        </w:tc>
        <w:tc>
          <w:tcPr>
            <w:tcW w:w="1994" w:type="dxa"/>
            <w:vAlign w:val="center"/>
          </w:tcPr>
          <w:p>
            <w:pPr>
              <w:spacing w:line="276" w:lineRule="auto"/>
              <w:jc w:val="center"/>
              <w:rPr>
                <w:rFonts w:ascii="楷体" w:hAnsi="楷体" w:eastAsia="楷体" w:cs="Times New Roman"/>
                <w:kern w:val="0"/>
                <w:sz w:val="20"/>
              </w:rPr>
            </w:pPr>
            <w:r>
              <w:rPr>
                <w:rFonts w:hint="eastAsia" w:ascii="楷体" w:hAnsi="楷体" w:eastAsia="楷体" w:cs="Times New Roman"/>
                <w:kern w:val="0"/>
                <w:sz w:val="20"/>
              </w:rPr>
              <w:t>&lt;0</w:t>
            </w:r>
            <w:r>
              <w:rPr>
                <w:rFonts w:ascii="楷体" w:hAnsi="楷体" w:eastAsia="楷体" w:cs="Times New Roman"/>
                <w:kern w:val="0"/>
                <w:sz w:val="20"/>
              </w:rPr>
              <w:t>.85</w:t>
            </w:r>
          </w:p>
        </w:tc>
      </w:tr>
    </w:tbl>
    <w:p>
      <w:pPr>
        <w:pStyle w:val="3"/>
        <w:rPr>
          <w:rFonts w:ascii="Times New Roman" w:hAnsi="Times New Roman" w:cs="Times New Roman"/>
        </w:rPr>
      </w:pPr>
      <w:r>
        <w:rPr>
          <w:rFonts w:ascii="Times New Roman" w:hAnsi="Times New Roman" w:cs="Times New Roman"/>
        </w:rPr>
        <w:t>6.</w:t>
      </w:r>
      <w:r>
        <w:rPr>
          <w:rFonts w:hint="eastAsia" w:ascii="Times New Roman" w:hAnsi="Times New Roman" w:cs="Times New Roman"/>
        </w:rPr>
        <w:t>6火灾后钢</w:t>
      </w:r>
      <w:r>
        <w:rPr>
          <w:rFonts w:ascii="Times New Roman" w:hAnsi="Times New Roman" w:cs="Times New Roman"/>
        </w:rPr>
        <w:t>-</w:t>
      </w:r>
      <w:r>
        <w:rPr>
          <w:rFonts w:hint="eastAsia" w:ascii="Times New Roman" w:hAnsi="Times New Roman" w:cs="Times New Roman"/>
        </w:rPr>
        <w:t>混组合结构构件的鉴定评级</w:t>
      </w:r>
    </w:p>
    <w:p>
      <w:pPr>
        <w:rPr>
          <w:rFonts w:cs="Times New Roman"/>
          <w:b/>
        </w:rPr>
      </w:pPr>
      <w:r>
        <w:rPr>
          <w:rFonts w:cs="Times New Roman"/>
          <w:b/>
        </w:rPr>
        <w:t>6.</w:t>
      </w:r>
      <w:r>
        <w:rPr>
          <w:rFonts w:hint="eastAsia" w:cs="Times New Roman"/>
          <w:b/>
        </w:rPr>
        <w:t>6</w:t>
      </w:r>
      <w:r>
        <w:rPr>
          <w:rFonts w:cs="Times New Roman"/>
          <w:b/>
        </w:rPr>
        <w:t>.</w:t>
      </w:r>
      <w:r>
        <w:rPr>
          <w:rFonts w:hint="eastAsia" w:cs="Times New Roman"/>
          <w:b/>
        </w:rPr>
        <w:t xml:space="preserve">1-6.6.4 </w:t>
      </w:r>
      <w:r>
        <w:rPr>
          <w:rFonts w:hint="eastAsia" w:ascii="楷体" w:hAnsi="楷体" w:eastAsia="楷体"/>
        </w:rPr>
        <w:t>近些年，随着国内钢-混组合结构构件的快速发展，钢-混组合结构发生火灾的案例陆续出现，为了更准确的对此部分受火结构构件进行鉴定，本次修编汇总了国内多家科研院所的相关研究成果，增加了此部分内容。</w:t>
      </w:r>
    </w:p>
    <w:p>
      <w:pPr>
        <w:pStyle w:val="2"/>
        <w:rPr>
          <w:rFonts w:cs="Times New Roman"/>
        </w:rPr>
      </w:pPr>
      <w:bookmarkStart w:id="113" w:name="_Toc513449982"/>
      <w:r>
        <w:rPr>
          <w:rFonts w:cs="Times New Roman"/>
        </w:rPr>
        <w:t>7鉴定报告</w:t>
      </w:r>
      <w:bookmarkEnd w:id="113"/>
    </w:p>
    <w:p>
      <w:pPr>
        <w:rPr>
          <w:rFonts w:ascii="楷体" w:hAnsi="楷体" w:eastAsia="楷体"/>
        </w:rPr>
      </w:pPr>
      <w:r>
        <w:rPr>
          <w:rFonts w:cs="Times New Roman"/>
          <w:b/>
        </w:rPr>
        <w:t>7.0.</w:t>
      </w:r>
      <w:r>
        <w:rPr>
          <w:rFonts w:hint="eastAsia" w:cs="Times New Roman"/>
          <w:b/>
        </w:rPr>
        <w:t>1</w:t>
      </w:r>
      <w:r>
        <w:rPr>
          <w:rFonts w:cs="Times New Roman"/>
          <w:b/>
        </w:rPr>
        <w:t xml:space="preserve"> </w:t>
      </w:r>
      <w:r>
        <w:rPr>
          <w:rFonts w:hint="eastAsia" w:ascii="楷体" w:hAnsi="楷体" w:eastAsia="楷体"/>
        </w:rPr>
        <w:t>根据《民用建筑可靠性鉴定标准》（GB50292）和《工业建筑可靠性鉴定标准》（GB50144）的有关规定，鉴定报告除本条文规定的内容外，还应包含标题、日期、委托人、承担鉴定的单位、签章、摘要、目录、鉴定目的、范围、建筑结构火灾和火灾后的状况、检测项目、检测依据、取样原则、实验方法、实验分析结果、结构分析与校核、构件可靠性评级、结论、建议和附录（包括相关照片、材质检测报告、证据资料等）内容。火灾概况叙述的主要内容应包括：起火时间、主要可燃物、燃烧特点和持续时间、灭火方法和手段等。</w:t>
      </w:r>
    </w:p>
    <w:p>
      <w:pPr>
        <w:rPr>
          <w:rFonts w:ascii="楷体" w:hAnsi="楷体" w:eastAsia="楷体"/>
        </w:rPr>
      </w:pPr>
      <w:r>
        <w:rPr>
          <w:rFonts w:cs="Times New Roman"/>
          <w:b/>
        </w:rPr>
        <w:t>7.0.2</w:t>
      </w:r>
      <w:r>
        <w:rPr>
          <w:rFonts w:hint="eastAsia" w:cs="Times New Roman"/>
          <w:b/>
        </w:rPr>
        <w:t xml:space="preserve"> </w:t>
      </w:r>
      <w:r>
        <w:rPr>
          <w:rFonts w:hint="eastAsia" w:ascii="楷体" w:hAnsi="楷体" w:eastAsia="楷体"/>
        </w:rPr>
        <w:t>当结构构造复杂时，可绘制评定结果分布图。</w:t>
      </w:r>
    </w:p>
    <w:p>
      <w:pPr>
        <w:rPr>
          <w:rFonts w:ascii="Adobe 楷体 Std R" w:hAnsi="Adobe 楷体 Std R" w:eastAsia="Adobe 楷体 Std R" w:cs="Times New Roman"/>
        </w:rPr>
      </w:pPr>
    </w:p>
    <w:p>
      <w:pPr>
        <w:pStyle w:val="2"/>
        <w:rPr>
          <w:rFonts w:cs="Times New Roman"/>
        </w:rPr>
        <w:sectPr>
          <w:headerReference r:id="rId18" w:type="first"/>
          <w:footerReference r:id="rId21" w:type="first"/>
          <w:headerReference r:id="rId17" w:type="default"/>
          <w:footerReference r:id="rId19" w:type="default"/>
          <w:footerReference r:id="rId20" w:type="even"/>
          <w:pgSz w:w="11906" w:h="16838"/>
          <w:pgMar w:top="1440" w:right="1080" w:bottom="1440" w:left="1080" w:header="851" w:footer="992" w:gutter="0"/>
          <w:cols w:space="425" w:num="1"/>
          <w:docGrid w:type="lines" w:linePitch="312" w:charSpace="0"/>
        </w:sectPr>
      </w:pPr>
    </w:p>
    <w:p>
      <w:pPr>
        <w:pStyle w:val="2"/>
        <w:rPr>
          <w:rFonts w:cs="Times New Roman"/>
        </w:rPr>
      </w:pPr>
      <w:bookmarkStart w:id="114" w:name="_Toc513449983"/>
      <w:r>
        <w:rPr>
          <w:rFonts w:cs="Times New Roman"/>
        </w:rPr>
        <w:t>附录A  常见材料燃点、变态温度</w:t>
      </w:r>
      <w:bookmarkEnd w:id="114"/>
    </w:p>
    <w:p>
      <w:pPr>
        <w:ind w:firstLine="420" w:firstLineChars="200"/>
        <w:rPr>
          <w:sz w:val="24"/>
        </w:rPr>
      </w:pPr>
      <w:r>
        <w:rPr>
          <w:rFonts w:ascii="楷体" w:hAnsi="楷体" w:eastAsia="楷体"/>
        </w:rPr>
        <w:t>附录A资料引自段文玺论文</w:t>
      </w:r>
      <w:r>
        <w:rPr>
          <w:rFonts w:hint="eastAsia" w:ascii="楷体" w:hAnsi="楷体" w:eastAsia="楷体"/>
        </w:rPr>
        <w:t>《</w:t>
      </w:r>
      <w:r>
        <w:rPr>
          <w:rFonts w:ascii="楷体" w:hAnsi="楷体" w:eastAsia="楷体"/>
        </w:rPr>
        <w:t>建筑结构的火灾分析和处理</w:t>
      </w:r>
      <w:r>
        <w:rPr>
          <w:rFonts w:hint="eastAsia" w:ascii="楷体" w:hAnsi="楷体" w:eastAsia="楷体"/>
        </w:rPr>
        <w:t>》（</w:t>
      </w:r>
      <w:r>
        <w:rPr>
          <w:rFonts w:ascii="楷体" w:hAnsi="楷体" w:eastAsia="楷体"/>
        </w:rPr>
        <w:t>《工业建筑》，1985.5-7</w:t>
      </w:r>
      <w:r>
        <w:rPr>
          <w:rFonts w:hint="eastAsia" w:ascii="楷体" w:hAnsi="楷体" w:eastAsia="楷体"/>
        </w:rPr>
        <w:t>）</w:t>
      </w:r>
      <w:r>
        <w:rPr>
          <w:rFonts w:ascii="楷体" w:hAnsi="楷体" w:eastAsia="楷体"/>
        </w:rPr>
        <w:t>。</w:t>
      </w:r>
    </w:p>
    <w:p/>
    <w:p/>
    <w:p/>
    <w:p>
      <w:pPr>
        <w:sectPr>
          <w:pgSz w:w="11906" w:h="16838"/>
          <w:pgMar w:top="1440" w:right="1800" w:bottom="1440" w:left="1800" w:header="851" w:footer="992" w:gutter="0"/>
          <w:cols w:space="425" w:num="1"/>
          <w:docGrid w:type="lines" w:linePitch="312" w:charSpace="0"/>
        </w:sectPr>
      </w:pPr>
    </w:p>
    <w:p>
      <w:pPr>
        <w:pStyle w:val="2"/>
        <w:rPr>
          <w:rFonts w:cs="Times New Roman"/>
        </w:rPr>
      </w:pPr>
      <w:bookmarkStart w:id="115" w:name="_Toc513449984"/>
      <w:r>
        <w:rPr>
          <w:rFonts w:hint="eastAsia" w:cs="Times New Roman"/>
        </w:rPr>
        <w:t>附录B  混凝土表面颜色、裂损剥落、锤击反应、爆裂与温度关系</w:t>
      </w:r>
      <w:bookmarkEnd w:id="115"/>
    </w:p>
    <w:p>
      <w:pPr>
        <w:rPr>
          <w:rFonts w:ascii="楷体" w:hAnsi="楷体" w:eastAsia="楷体"/>
        </w:rPr>
      </w:pPr>
      <w:r>
        <w:rPr>
          <w:rFonts w:hint="eastAsia"/>
          <w:b/>
        </w:rPr>
        <w:t>B.</w:t>
      </w:r>
      <w:r>
        <w:rPr>
          <w:b/>
        </w:rPr>
        <w:t>0.1</w:t>
      </w:r>
      <w:r>
        <w:rPr>
          <w:rFonts w:ascii="楷体" w:hAnsi="楷体" w:eastAsia="楷体"/>
        </w:rPr>
        <w:t>本表主要是根据江苏省建筑科学研究院闵明保等《建筑物火灾后诊断与处理》的试验研究；综合前苏联НИИЖБ СССР《建筑物火灾后混凝土结构鉴定标准》（1987）；Н.А.ИЛЬИН《火灾损伤建筑物技术鉴定》；李引擎等《建筑防火设计与研究》等、试验资料和标准基础上制定的。</w:t>
      </w:r>
    </w:p>
    <w:p>
      <w:pPr>
        <w:rPr>
          <w:rFonts w:ascii="楷体" w:hAnsi="楷体" w:eastAsia="楷体"/>
        </w:rPr>
      </w:pPr>
      <w:r>
        <w:rPr>
          <w:rFonts w:hint="eastAsia"/>
          <w:b/>
        </w:rPr>
        <w:t>B.</w:t>
      </w:r>
      <w:r>
        <w:rPr>
          <w:b/>
        </w:rPr>
        <w:t>0.2</w:t>
      </w:r>
      <w:r>
        <w:rPr>
          <w:rFonts w:ascii="楷体" w:hAnsi="楷体" w:eastAsia="楷体"/>
        </w:rPr>
        <w:t>引自四川消防科学研究所试验结果，</w:t>
      </w:r>
      <w:r>
        <w:rPr>
          <w:rFonts w:hint="eastAsia" w:ascii="楷体" w:hAnsi="楷体" w:eastAsia="楷体"/>
        </w:rPr>
        <w:t>该试验是采用标准火灾——温度曲线进行试验。目前我国采用国际标准化组织ISO834的火灾标准时间——温度曲线，其表达式为：</w:t>
      </w:r>
    </w:p>
    <w:p>
      <w:pPr>
        <w:ind w:firstLine="420" w:firstLineChars="200"/>
        <w:jc w:val="center"/>
        <w:rPr>
          <w:rFonts w:ascii="楷体" w:hAnsi="楷体" w:eastAsia="楷体"/>
        </w:rPr>
      </w:pPr>
      <w:r>
        <w:rPr>
          <w:rFonts w:hint="eastAsia" w:ascii="楷体" w:hAnsi="楷体" w:eastAsia="楷体"/>
        </w:rPr>
        <w:t>Tf(t)=345log10(8t+1)+20</w:t>
      </w:r>
    </w:p>
    <w:p>
      <w:pPr>
        <w:ind w:firstLine="420" w:firstLineChars="200"/>
        <w:rPr>
          <w:rFonts w:ascii="楷体" w:hAnsi="楷体" w:eastAsia="楷体"/>
        </w:rPr>
      </w:pPr>
      <w:r>
        <w:rPr>
          <w:rFonts w:hint="eastAsia" w:ascii="楷体" w:hAnsi="楷体" w:eastAsia="楷体"/>
        </w:rPr>
        <w:t>式中：Tf(t)——t时刻的温度（oC）</w:t>
      </w:r>
    </w:p>
    <w:p>
      <w:pPr>
        <w:ind w:firstLine="420" w:firstLineChars="200"/>
        <w:rPr>
          <w:rFonts w:ascii="楷体" w:hAnsi="楷体" w:eastAsia="楷体"/>
        </w:rPr>
      </w:pPr>
      <w:r>
        <w:rPr>
          <w:rFonts w:hint="eastAsia" w:ascii="楷体" w:hAnsi="楷体" w:eastAsia="楷体"/>
        </w:rPr>
        <w:t>20——初始环境温度（oC）</w:t>
      </w:r>
    </w:p>
    <w:p>
      <w:pPr>
        <w:ind w:firstLine="420" w:firstLineChars="200"/>
        <w:rPr>
          <w:rFonts w:ascii="楷体" w:hAnsi="楷体" w:eastAsia="楷体"/>
        </w:rPr>
      </w:pPr>
      <w:r>
        <w:rPr>
          <w:rFonts w:hint="eastAsia" w:ascii="楷体" w:hAnsi="楷体" w:eastAsia="楷体"/>
        </w:rPr>
        <w:t xml:space="preserve"> t——升温时间（min）</w:t>
      </w:r>
    </w:p>
    <w:p>
      <w:pPr>
        <w:ind w:firstLine="420" w:firstLineChars="200"/>
        <w:rPr>
          <w:rFonts w:ascii="楷体" w:hAnsi="楷体" w:eastAsia="楷体"/>
        </w:rPr>
      </w:pPr>
      <w:r>
        <w:rPr>
          <w:rFonts w:hint="eastAsia" w:ascii="楷体" w:hAnsi="楷体" w:eastAsia="楷体"/>
        </w:rPr>
        <w:t>试验结果</w:t>
      </w:r>
      <w:r>
        <w:rPr>
          <w:rFonts w:ascii="楷体" w:hAnsi="楷体" w:eastAsia="楷体"/>
        </w:rPr>
        <w:t>可参阅公安部四川消防科学研究所研究报告：钢筋混凝土建筑火灾烧损程度鉴定技术的研究报告之三（1990</w:t>
      </w:r>
      <w:r>
        <w:rPr>
          <w:rFonts w:hint="eastAsia" w:ascii="楷体" w:hAnsi="楷体" w:eastAsia="楷体"/>
        </w:rPr>
        <w:t>.11</w:t>
      </w:r>
      <w:r>
        <w:rPr>
          <w:rFonts w:ascii="楷体" w:hAnsi="楷体" w:eastAsia="楷体"/>
        </w:rPr>
        <w:t>）。</w:t>
      </w:r>
    </w:p>
    <w:p>
      <w:pPr>
        <w:rPr>
          <w:rFonts w:ascii="楷体" w:hAnsi="楷体" w:eastAsia="楷体"/>
        </w:rPr>
      </w:pPr>
      <w:r>
        <w:rPr>
          <w:rFonts w:cs="Times New Roman"/>
          <w:b/>
        </w:rPr>
        <w:t>B.0.3</w:t>
      </w:r>
      <w:r>
        <w:rPr>
          <w:rFonts w:ascii="楷体" w:hAnsi="楷体" w:eastAsia="楷体"/>
          <w:szCs w:val="21"/>
        </w:rPr>
        <w:t>影响混凝土高温爆裂的因素较多，为便于工程应用，哈尔滨工业大学、华南理工大学搜集了国内外关于混凝土高温爆裂临界温度的30篇文献，基于82个爆裂临界温度与混凝土强度的试验数据，提出了相关计算公式。随混凝土强度提高，爆裂临界温度降低，这主要是随混凝土强度提高，其微观结构更致密，水蒸气逃逸更困难所致。表</w:t>
      </w:r>
      <w:r>
        <w:rPr>
          <w:rFonts w:hint="eastAsia" w:ascii="楷体" w:hAnsi="楷体" w:eastAsia="楷体"/>
          <w:szCs w:val="21"/>
        </w:rPr>
        <w:t>B</w:t>
      </w:r>
      <w:r>
        <w:rPr>
          <w:rFonts w:ascii="楷体" w:hAnsi="楷体" w:eastAsia="楷体"/>
          <w:szCs w:val="21"/>
        </w:rPr>
        <w:t>.0.3中数据来自文献“陈明阳,侯晓萌,郑文忠,吴波.混凝土高温爆裂临界温度和防爆裂纤维掺量研究综述与分析[J].建筑结构学报,2017,38(1):161-170.”</w:t>
      </w:r>
    </w:p>
    <w:p>
      <w:pPr>
        <w:ind w:firstLine="420" w:firstLineChars="200"/>
        <w:rPr>
          <w:rFonts w:ascii="楷体" w:hAnsi="楷体" w:eastAsia="楷体"/>
        </w:rPr>
      </w:pPr>
    </w:p>
    <w:p>
      <w:pPr>
        <w:ind w:firstLine="420" w:firstLineChars="200"/>
        <w:rPr>
          <w:rFonts w:ascii="楷体" w:hAnsi="楷体" w:eastAsia="楷体"/>
        </w:rPr>
      </w:pPr>
    </w:p>
    <w:p>
      <w:pPr>
        <w:ind w:firstLine="420" w:firstLineChars="200"/>
        <w:rPr>
          <w:rFonts w:ascii="楷体" w:hAnsi="楷体" w:eastAsia="楷体"/>
        </w:rPr>
        <w:sectPr>
          <w:pgSz w:w="11906" w:h="16838"/>
          <w:pgMar w:top="1440" w:right="1080" w:bottom="1440" w:left="1080" w:header="851" w:footer="992" w:gutter="0"/>
          <w:cols w:space="425" w:num="1"/>
          <w:docGrid w:type="lines" w:linePitch="312" w:charSpace="0"/>
        </w:sectPr>
      </w:pPr>
    </w:p>
    <w:p>
      <w:pPr>
        <w:pStyle w:val="2"/>
      </w:pPr>
      <w:bookmarkStart w:id="116" w:name="_Toc513449985"/>
      <w:r>
        <w:t>附录</w:t>
      </w:r>
      <w:r>
        <w:rPr>
          <w:rFonts w:hint="eastAsia"/>
        </w:rPr>
        <w:t>C  砖、水泥砂浆表面颜色和裂缝与温度的关系</w:t>
      </w:r>
      <w:bookmarkEnd w:id="116"/>
    </w:p>
    <w:p>
      <w:pPr>
        <w:rPr>
          <w:rFonts w:eastAsia="楷体" w:cs="Times New Roman"/>
          <w:szCs w:val="22"/>
        </w:rPr>
      </w:pPr>
      <w:r>
        <w:rPr>
          <w:rFonts w:hint="eastAsia" w:eastAsia="楷体" w:cs="Times New Roman"/>
          <w:szCs w:val="22"/>
        </w:rPr>
        <w:t>附录C资料引自：闵明保、李延和、高本立。《建筑结构火灾温度的判定方法》，建筑结构，1994年，第1期）。</w:t>
      </w:r>
    </w:p>
    <w:p>
      <w:pPr>
        <w:ind w:firstLine="420" w:firstLineChars="200"/>
        <w:rPr>
          <w:rFonts w:ascii="楷体" w:hAnsi="楷体" w:eastAsia="楷体"/>
        </w:rPr>
      </w:pPr>
    </w:p>
    <w:p>
      <w:pPr>
        <w:ind w:firstLine="420" w:firstLineChars="200"/>
        <w:rPr>
          <w:rFonts w:ascii="楷体" w:hAnsi="楷体" w:eastAsia="楷体"/>
        </w:rPr>
      </w:pPr>
    </w:p>
    <w:p>
      <w:pPr>
        <w:ind w:firstLine="420" w:firstLineChars="200"/>
        <w:rPr>
          <w:rFonts w:ascii="楷体" w:hAnsi="楷体" w:eastAsia="楷体"/>
        </w:rPr>
        <w:sectPr>
          <w:pgSz w:w="11906" w:h="16838"/>
          <w:pgMar w:top="1440" w:right="1080" w:bottom="1440" w:left="1080" w:header="851" w:footer="992" w:gutter="0"/>
          <w:cols w:space="425" w:num="1"/>
          <w:docGrid w:type="lines" w:linePitch="312" w:charSpace="0"/>
        </w:sectPr>
      </w:pPr>
    </w:p>
    <w:p>
      <w:pPr>
        <w:pStyle w:val="2"/>
        <w:rPr>
          <w:rFonts w:cs="Times New Roman"/>
          <w:i/>
        </w:rPr>
      </w:pPr>
      <w:bookmarkStart w:id="117" w:name="_Toc513449986"/>
      <w:r>
        <w:rPr>
          <w:rFonts w:cs="Times New Roman"/>
        </w:rPr>
        <w:t>附录</w:t>
      </w:r>
      <w:r>
        <w:rPr>
          <w:rFonts w:hint="eastAsia" w:cs="Times New Roman"/>
        </w:rPr>
        <w:t>D</w:t>
      </w:r>
      <w:r>
        <w:rPr>
          <w:rFonts w:cs="Times New Roman"/>
        </w:rPr>
        <w:t xml:space="preserve"> 混凝土构件在标准升温条件下温度场实用曲线图</w:t>
      </w:r>
      <w:bookmarkEnd w:id="117"/>
    </w:p>
    <w:p>
      <w:pPr>
        <w:rPr>
          <w:rFonts w:cs="Times New Roman"/>
        </w:rPr>
      </w:pPr>
      <w:r>
        <w:rPr>
          <w:rFonts w:cs="Times New Roman"/>
          <w:b/>
        </w:rPr>
        <w:t>D.0.1</w:t>
      </w:r>
      <w:r>
        <w:rPr>
          <w:rFonts w:cs="Times New Roman"/>
        </w:rPr>
        <w:t>实心板</w:t>
      </w:r>
    </w:p>
    <w:p>
      <w:pPr>
        <w:ind w:left="420" w:hanging="420" w:hangingChars="200"/>
        <w:rPr>
          <w:rFonts w:cs="Times New Roman"/>
        </w:rPr>
      </w:pPr>
      <w:r>
        <w:rPr>
          <w:rFonts w:cs="Times New Roman"/>
        </w:rPr>
        <w:t>说明：图中给出了板厚为80mm 、100mm 、120mm 、150mm 、200mm 5种规格。图中温度值是厚为1cm区间中点处的温度，以℃计。受火表面的距离（包括构件表面抹灰厚度），mm；图中时间</w:t>
      </w:r>
      <w:r>
        <w:rPr>
          <w:rFonts w:cs="Times New Roman"/>
          <w:i/>
        </w:rPr>
        <w:t>t</w:t>
      </w:r>
      <w:r>
        <w:rPr>
          <w:rFonts w:cs="Times New Roman"/>
          <w:i/>
          <w:vertAlign w:val="subscript"/>
        </w:rPr>
        <w:t>e</w:t>
      </w:r>
      <w:r>
        <w:rPr>
          <w:rFonts w:cs="Times New Roman"/>
        </w:rPr>
        <w:t>是指当量标准升温时间，min</w:t>
      </w:r>
    </w:p>
    <w:p>
      <w:pPr>
        <w:jc w:val="center"/>
        <w:rPr>
          <w:rFonts w:cs="Times New Roman"/>
        </w:rPr>
      </w:pPr>
      <w:r>
        <w:rPr>
          <w:rFonts w:cs="Times New Roman"/>
        </w:rPr>
        <w:object>
          <v:shape id="_x0000_i1142" o:spt="75" type="#_x0000_t75" style="height:192pt;width:225.6pt;" o:ole="t" filled="f" o:preferrelative="t" stroked="f" coordsize="21600,21600">
            <v:path/>
            <v:fill on="f" focussize="0,0"/>
            <v:stroke on="f" joinstyle="miter"/>
            <v:imagedata r:id="rId33" cropleft="3909f" croptop="4736f" cropright="7509f" cropbottom="3510f" o:title=""/>
            <o:lock v:ext="edit" aspectratio="t"/>
            <w10:wrap type="none"/>
            <w10:anchorlock/>
          </v:shape>
          <o:OLEObject Type="Embed" ProgID="Origin50.Graph" ShapeID="_x0000_i1142" DrawAspect="Content" ObjectID="_1468075842" r:id="rId261">
            <o:LockedField>false</o:LockedField>
          </o:OLEObject>
        </w:object>
      </w:r>
    </w:p>
    <w:p>
      <w:pPr>
        <w:pStyle w:val="41"/>
      </w:pPr>
      <w:r>
        <w:t>图D.0.1-1H=80mm</w:t>
      </w:r>
    </w:p>
    <w:p>
      <w:pPr>
        <w:jc w:val="center"/>
        <w:rPr>
          <w:rFonts w:cs="Times New Roman"/>
        </w:rPr>
      </w:pPr>
      <w:r>
        <w:rPr>
          <w:rFonts w:cs="Times New Roman"/>
        </w:rPr>
        <w:object>
          <v:shape id="_x0000_i1143" o:spt="75" type="#_x0000_t75" style="height:174.6pt;width:234.6pt;" o:ole="t" filled="f" o:preferrelative="t" stroked="f" coordsize="21600,21600">
            <v:path/>
            <v:fill on="f" focussize="0,0"/>
            <v:stroke on="f" joinstyle="miter"/>
            <v:imagedata r:id="rId35" cropleft="3556f" croptop="4194f" cropright="7259f" cropbottom="3314f" o:title=""/>
            <o:lock v:ext="edit" aspectratio="t"/>
            <w10:wrap type="none"/>
            <w10:anchorlock/>
          </v:shape>
          <o:OLEObject Type="Embed" ProgID="Origin50.Graph" ShapeID="_x0000_i1143" DrawAspect="Content" ObjectID="_1468075843" r:id="rId262">
            <o:LockedField>false</o:LockedField>
          </o:OLEObject>
        </w:object>
      </w:r>
    </w:p>
    <w:p>
      <w:pPr>
        <w:pStyle w:val="41"/>
      </w:pPr>
      <w:r>
        <w:t>图D.0.1-2  H=100mm</w:t>
      </w:r>
    </w:p>
    <w:p>
      <w:pPr>
        <w:jc w:val="center"/>
        <w:rPr>
          <w:rFonts w:cs="Times New Roman"/>
        </w:rPr>
      </w:pPr>
      <w:r>
        <w:rPr>
          <w:rFonts w:cs="Times New Roman"/>
        </w:rPr>
        <w:object>
          <v:shape id="_x0000_i1144" o:spt="75" type="#_x0000_t75" style="height:200.4pt;width:233.4pt;" o:ole="t" filled="f" o:preferrelative="t" stroked="f" coordsize="21600,21600">
            <v:path/>
            <v:fill on="f" focussize="0,0"/>
            <v:stroke on="f" joinstyle="miter"/>
            <v:imagedata r:id="rId37" cropleft="3458f" croptop="4672f" cropright="6914f" cropbottom="3638f" o:title=""/>
            <o:lock v:ext="edit" aspectratio="t"/>
            <w10:wrap type="none"/>
            <w10:anchorlock/>
          </v:shape>
          <o:OLEObject Type="Embed" ProgID="Origin50.Graph" ShapeID="_x0000_i1144" DrawAspect="Content" ObjectID="_1468075844" r:id="rId263">
            <o:LockedField>false</o:LockedField>
          </o:OLEObject>
        </w:object>
      </w:r>
    </w:p>
    <w:p>
      <w:pPr>
        <w:pStyle w:val="41"/>
      </w:pPr>
      <w:r>
        <w:t>图D.0.1-3  H=120mm</w:t>
      </w:r>
    </w:p>
    <w:p>
      <w:pPr>
        <w:pStyle w:val="41"/>
      </w:pPr>
      <w:r>
        <w:object>
          <v:shape id="_x0000_i1145" o:spt="75" type="#_x0000_t75" style="height:195pt;width:264.6pt;" o:ole="t" filled="f" o:preferrelative="t" stroked="f" coordsize="21600,21600">
            <v:path/>
            <v:fill on="f" focussize="0,0"/>
            <v:stroke on="f" joinstyle="miter"/>
            <v:imagedata r:id="rId39" cropleft="3819f" croptop="4155f" cropright="7102f" cropbottom="4155f" o:title=""/>
            <o:lock v:ext="edit" aspectratio="t"/>
            <w10:wrap type="none"/>
            <w10:anchorlock/>
          </v:shape>
          <o:OLEObject Type="Embed" ProgID="Origin50.Graph" ShapeID="_x0000_i1145" DrawAspect="Content" ObjectID="_1468075845" r:id="rId264">
            <o:LockedField>false</o:LockedField>
          </o:OLEObject>
        </w:object>
      </w:r>
    </w:p>
    <w:p>
      <w:pPr>
        <w:pStyle w:val="41"/>
      </w:pPr>
      <w:r>
        <w:t>图D.0.1-4  H=150mm</w:t>
      </w:r>
    </w:p>
    <w:p>
      <w:pPr>
        <w:pStyle w:val="41"/>
      </w:pPr>
      <w:r>
        <w:object>
          <v:shape id="_x0000_i1146" o:spt="75" type="#_x0000_t75" style="height:201pt;width:275.4pt;" o:ole="t" filled="f" o:preferrelative="t" stroked="f" coordsize="21600,21600">
            <v:path/>
            <v:fill on="f" focussize="0,0"/>
            <v:stroke on="f" joinstyle="miter"/>
            <v:imagedata r:id="rId41" cropleft="3645f" croptop="4423f" cropright="6726f" cropbottom="3638f" o:title=""/>
            <o:lock v:ext="edit" aspectratio="t"/>
            <w10:wrap type="none"/>
            <w10:anchorlock/>
          </v:shape>
          <o:OLEObject Type="Embed" ProgID="Origin50.Graph" ShapeID="_x0000_i1146" DrawAspect="Content" ObjectID="_1468075846" r:id="rId265">
            <o:LockedField>false</o:LockedField>
          </o:OLEObject>
        </w:object>
      </w:r>
    </w:p>
    <w:p>
      <w:pPr>
        <w:pStyle w:val="41"/>
      </w:pPr>
      <w:r>
        <w:t>图D.0.1-5  H=200mm</w:t>
      </w:r>
    </w:p>
    <w:p>
      <w:pPr>
        <w:rPr>
          <w:rFonts w:cs="Times New Roman"/>
          <w:b/>
        </w:rPr>
      </w:pPr>
      <w:r>
        <w:rPr>
          <w:rFonts w:cs="Times New Roman"/>
          <w:b/>
        </w:rPr>
        <w:t>D.0.2</w:t>
      </w:r>
      <w:r>
        <w:rPr>
          <w:rFonts w:cs="Times New Roman"/>
        </w:rPr>
        <w:t>圆形柱构件</w:t>
      </w:r>
    </w:p>
    <w:p>
      <w:pPr>
        <w:rPr>
          <w:rFonts w:cs="Times New Roman"/>
        </w:rPr>
      </w:pPr>
    </w:p>
    <w:p>
      <w:pPr>
        <w:ind w:left="420" w:hanging="420" w:hangingChars="200"/>
        <w:rPr>
          <w:rFonts w:cs="Times New Roman"/>
        </w:rPr>
      </w:pPr>
      <w:r>
        <w:rPr>
          <w:rFonts w:cs="Times New Roman"/>
        </w:rPr>
        <w:t>说明</w:t>
      </w:r>
      <w:r>
        <w:rPr>
          <w:rFonts w:cs="Times New Roman"/>
          <w:b/>
        </w:rPr>
        <w:t>：</w:t>
      </w:r>
      <w:r>
        <w:rPr>
          <w:rFonts w:cs="Times New Roman"/>
        </w:rPr>
        <w:t>柱截面半径为150mm 、170mm 、200mm 、220mm 、250mm、270 mm、300 mm、320 mm、350 mm共9种。温度值是厚为1cm的圆环中点处的温度，以℃计。迎火距离，即所求点到柱外表面的距离（包括构件表面抹灰厚度），mm；图中时间</w:t>
      </w:r>
      <w:r>
        <w:rPr>
          <w:rFonts w:cs="Times New Roman"/>
          <w:i/>
        </w:rPr>
        <w:t>t</w:t>
      </w:r>
      <w:r>
        <w:rPr>
          <w:rFonts w:cs="Times New Roman"/>
          <w:i/>
          <w:vertAlign w:val="subscript"/>
        </w:rPr>
        <w:t>e</w:t>
      </w:r>
      <w:r>
        <w:rPr>
          <w:rFonts w:cs="Times New Roman"/>
        </w:rPr>
        <w:t>为当量标准升温时间，min。</w:t>
      </w:r>
    </w:p>
    <w:p>
      <w:pPr>
        <w:pStyle w:val="41"/>
      </w:pPr>
      <w:r>
        <w:object>
          <v:shape id="_x0000_i1147" o:spt="75" type="#_x0000_t75" style="height:191.4pt;width:254.4pt;" o:ole="t" filled="f" o:preferrelative="t" stroked="f" coordsize="21600,21600">
            <v:path/>
            <v:fill on="f" focussize="0,0"/>
            <v:stroke on="f" joinstyle="miter"/>
            <v:imagedata r:id="rId43" cropleft="3626f" croptop="4216f" cropright="6983f" cropbottom="2491f" o:title=""/>
            <o:lock v:ext="edit" aspectratio="t"/>
            <w10:wrap type="none"/>
            <w10:anchorlock/>
          </v:shape>
          <o:OLEObject Type="Embed" ProgID="Origin50.Graph" ShapeID="_x0000_i1147" DrawAspect="Content" ObjectID="_1468075847" r:id="rId266">
            <o:LockedField>false</o:LockedField>
          </o:OLEObject>
        </w:object>
      </w:r>
    </w:p>
    <w:p>
      <w:pPr>
        <w:pStyle w:val="41"/>
      </w:pPr>
      <w:r>
        <w:t>图D.0.2-1</w:t>
      </w:r>
      <w:r>
        <w:rPr>
          <w:i/>
        </w:rPr>
        <w:t>R</w:t>
      </w:r>
      <w:r>
        <w:t>=150mm</w:t>
      </w:r>
    </w:p>
    <w:p>
      <w:pPr>
        <w:pStyle w:val="41"/>
      </w:pPr>
      <w:r>
        <w:object>
          <v:shape id="_x0000_i1148" o:spt="75" type="#_x0000_t75" style="height:192pt;width:257.4pt;" o:ole="t" filled="f" o:preferrelative="t" stroked="f" coordsize="21600,21600">
            <v:path/>
            <v:fill on="f" focussize="0,0"/>
            <v:stroke on="f" joinstyle="miter"/>
            <v:imagedata r:id="rId45" cropleft="4163f" croptop="4791f" cropright="7252f" cropbottom="3449f" o:title=""/>
            <o:lock v:ext="edit" aspectratio="t"/>
            <w10:wrap type="none"/>
            <w10:anchorlock/>
          </v:shape>
          <o:OLEObject Type="Embed" ProgID="Origin50.Graph" ShapeID="_x0000_i1148" DrawAspect="Content" ObjectID="_1468075848" r:id="rId267">
            <o:LockedField>false</o:LockedField>
          </o:OLEObject>
        </w:object>
      </w:r>
    </w:p>
    <w:p>
      <w:pPr>
        <w:pStyle w:val="41"/>
      </w:pPr>
      <w:r>
        <w:t xml:space="preserve">图D.0.2-2    </w:t>
      </w:r>
      <w:r>
        <w:rPr>
          <w:i/>
        </w:rPr>
        <w:t>R</w:t>
      </w:r>
      <w:r>
        <w:t>=170mm</w:t>
      </w:r>
    </w:p>
    <w:p>
      <w:pPr>
        <w:pStyle w:val="41"/>
      </w:pPr>
      <w:r>
        <w:object>
          <v:shape id="_x0000_i1149" o:spt="75" type="#_x0000_t75" style="height:197.4pt;width:265.8pt;" o:ole="t" filled="f" o:preferrelative="t" stroked="f" coordsize="21600,21600">
            <v:path/>
            <v:fill on="f" focussize="0,0"/>
            <v:stroke on="f" joinstyle="miter"/>
            <v:imagedata r:id="rId47" cropleft="3896f" croptop="4599f" cropright="6554f" cropbottom="2491f" o:title=""/>
            <o:lock v:ext="edit" aspectratio="t"/>
            <w10:wrap type="none"/>
            <w10:anchorlock/>
          </v:shape>
          <o:OLEObject Type="Embed" ProgID="Origin50.Graph" ShapeID="_x0000_i1149" DrawAspect="Content" ObjectID="_1468075849" r:id="rId268">
            <o:LockedField>false</o:LockedField>
          </o:OLEObject>
        </w:object>
      </w:r>
    </w:p>
    <w:p>
      <w:pPr>
        <w:pStyle w:val="41"/>
      </w:pPr>
      <w:r>
        <w:t>图D.0.2-3</w:t>
      </w:r>
      <w:r>
        <w:rPr>
          <w:i/>
        </w:rPr>
        <w:t>R</w:t>
      </w:r>
      <w:r>
        <w:t>=200mm</w:t>
      </w:r>
    </w:p>
    <w:p>
      <w:pPr>
        <w:pStyle w:val="41"/>
      </w:pPr>
      <w:r>
        <w:object>
          <v:shape id="_x0000_i1150" o:spt="75" type="#_x0000_t75" style="height:180pt;width:242.4pt;" o:ole="t" filled="f" o:preferrelative="t" stroked="f" coordsize="21600,21600">
            <v:path/>
            <v:fill on="f" focussize="0,0"/>
            <v:stroke on="f" joinstyle="miter"/>
            <v:imagedata r:id="rId49" cropleft="3933f" croptop="4993f" cropright="7222f" cropbottom="3788f" o:title=""/>
            <o:lock v:ext="edit" aspectratio="t"/>
            <w10:wrap type="none"/>
            <w10:anchorlock/>
          </v:shape>
          <o:OLEObject Type="Embed" ProgID="Origin50.Graph" ShapeID="_x0000_i1150" DrawAspect="Content" ObjectID="_1468075850" r:id="rId269">
            <o:LockedField>false</o:LockedField>
          </o:OLEObject>
        </w:object>
      </w:r>
    </w:p>
    <w:p>
      <w:pPr>
        <w:pStyle w:val="41"/>
      </w:pPr>
      <w:r>
        <w:t xml:space="preserve">图D.0.2-4 </w:t>
      </w:r>
      <w:r>
        <w:rPr>
          <w:i/>
        </w:rPr>
        <w:t>R</w:t>
      </w:r>
      <w:r>
        <w:t>=220mm</w:t>
      </w:r>
    </w:p>
    <w:p>
      <w:pPr>
        <w:pStyle w:val="41"/>
      </w:pPr>
      <w:r>
        <w:object>
          <v:shape id="_x0000_i1151" o:spt="75" type="#_x0000_t75" style="height:189.6pt;width:255.6pt;" o:ole="t" filled="f" o:preferrelative="t" stroked="f" coordsize="21600,21600">
            <v:path/>
            <v:fill on="f" focussize="0,0"/>
            <v:stroke on="f" joinstyle="miter"/>
            <v:imagedata r:id="rId51" cropleft="3645f" croptop="4423f" cropright="5829f" cropbottom="3121f" o:title=""/>
            <o:lock v:ext="edit" aspectratio="t"/>
            <w10:wrap type="none"/>
            <w10:anchorlock/>
          </v:shape>
          <o:OLEObject Type="Embed" ProgID="Origin50.Graph" ShapeID="_x0000_i1151" DrawAspect="Content" ObjectID="_1468075851" r:id="rId270">
            <o:LockedField>false</o:LockedField>
          </o:OLEObject>
        </w:object>
      </w:r>
    </w:p>
    <w:p>
      <w:pPr>
        <w:pStyle w:val="41"/>
      </w:pPr>
      <w:r>
        <w:t xml:space="preserve">图D.0.2-5     </w:t>
      </w:r>
      <w:r>
        <w:rPr>
          <w:i/>
        </w:rPr>
        <w:t xml:space="preserve"> R</w:t>
      </w:r>
      <w:r>
        <w:t>=250mm</w:t>
      </w:r>
    </w:p>
    <w:p>
      <w:pPr>
        <w:pStyle w:val="41"/>
      </w:pPr>
      <w:r>
        <w:object>
          <v:shape id="_x0000_i1152" o:spt="75" type="#_x0000_t75" style="height:192pt;width:257.4pt;" o:ole="t" filled="f" o:preferrelative="t" stroked="f" coordsize="21600,21600">
            <v:path/>
            <v:fill on="f" focussize="0,0"/>
            <v:stroke on="f" joinstyle="miter"/>
            <v:imagedata r:id="rId53" cropleft="3457f" croptop="4153f" cropright="7102f" cropbottom="3389f" o:title=""/>
            <o:lock v:ext="edit" aspectratio="t"/>
            <w10:wrap type="none"/>
            <w10:anchorlock/>
          </v:shape>
          <o:OLEObject Type="Embed" ProgID="Origin50.Graph" ShapeID="_x0000_i1152" DrawAspect="Content" ObjectID="_1468075852" r:id="rId271">
            <o:LockedField>false</o:LockedField>
          </o:OLEObject>
        </w:object>
      </w:r>
    </w:p>
    <w:p>
      <w:pPr>
        <w:pStyle w:val="41"/>
      </w:pPr>
      <w:r>
        <w:t xml:space="preserve">图D.0.2-6   </w:t>
      </w:r>
      <w:r>
        <w:rPr>
          <w:i/>
        </w:rPr>
        <w:t xml:space="preserve">  R</w:t>
      </w:r>
      <w:r>
        <w:t>=270mm</w:t>
      </w:r>
    </w:p>
    <w:p>
      <w:pPr>
        <w:pStyle w:val="41"/>
      </w:pPr>
      <w:r>
        <w:object>
          <v:shape id="_x0000_i1153" o:spt="75" type="#_x0000_t75" style="height:201.6pt;width:269.4pt;" o:ole="t" filled="f" o:preferrelative="t" stroked="f" coordsize="21600,21600">
            <v:path/>
            <v:fill on="f" focussize="0,0"/>
            <v:stroke on="f" joinstyle="miter"/>
            <v:imagedata r:id="rId55" cropleft="3717f" croptop="3985f" cropright="6951f" cropbottom="3084f" o:title=""/>
            <o:lock v:ext="edit" aspectratio="t"/>
            <w10:wrap type="none"/>
            <w10:anchorlock/>
          </v:shape>
          <o:OLEObject Type="Embed" ProgID="Origin50.Graph" ShapeID="_x0000_i1153" DrawAspect="Content" ObjectID="_1468075853" r:id="rId272">
            <o:LockedField>false</o:LockedField>
          </o:OLEObject>
        </w:object>
      </w:r>
    </w:p>
    <w:p>
      <w:pPr>
        <w:pStyle w:val="41"/>
      </w:pPr>
      <w:r>
        <w:t xml:space="preserve">图D 0.2-7     </w:t>
      </w:r>
      <w:r>
        <w:rPr>
          <w:i/>
        </w:rPr>
        <w:t>R</w:t>
      </w:r>
      <w:r>
        <w:t>=300mm</w:t>
      </w:r>
    </w:p>
    <w:p>
      <w:pPr>
        <w:pStyle w:val="41"/>
      </w:pPr>
      <w:r>
        <w:object>
          <v:shape id="_x0000_i1154" o:spt="75" type="#_x0000_t75" style="height:183.6pt;width:257.4pt;" o:ole="t" filled="f" o:preferrelative="t" stroked="f" coordsize="21600,21600">
            <v:path/>
            <v:fill on="f" focussize="0,0"/>
            <v:stroke on="f" joinstyle="miter"/>
            <v:imagedata r:id="rId57" cropleft="4415f" croptop="3870f" cropright="6406f" cropbottom="3658f" o:title=""/>
            <o:lock v:ext="edit" aspectratio="t"/>
            <w10:wrap type="none"/>
            <w10:anchorlock/>
          </v:shape>
          <o:OLEObject Type="Embed" ProgID="Origin50.Graph" ShapeID="_x0000_i1154" DrawAspect="Content" ObjectID="_1468075854" r:id="rId273">
            <o:LockedField>false</o:LockedField>
          </o:OLEObject>
        </w:object>
      </w:r>
    </w:p>
    <w:p>
      <w:pPr>
        <w:pStyle w:val="41"/>
      </w:pPr>
      <w:r>
        <w:t xml:space="preserve">图D.0.2-8  </w:t>
      </w:r>
      <w:r>
        <w:rPr>
          <w:i/>
        </w:rPr>
        <w:t>R</w:t>
      </w:r>
      <w:r>
        <w:t>=320mm</w:t>
      </w:r>
    </w:p>
    <w:p>
      <w:pPr>
        <w:pStyle w:val="41"/>
      </w:pPr>
      <w:r>
        <w:object>
          <v:shape id="_x0000_i1155" o:spt="75" type="#_x0000_t75" style="height:201.6pt;width:270pt;" o:ole="t" filled="f" o:preferrelative="t" stroked="f" coordsize="21600,21600">
            <v:path/>
            <v:fill on="f" focussize="0,0"/>
            <v:stroke on="f" joinstyle="miter"/>
            <v:imagedata r:id="rId59" cropleft="3632f" croptop="3638f" cropright="6914f" cropbottom="2853f" o:title=""/>
            <o:lock v:ext="edit" aspectratio="t"/>
            <w10:wrap type="none"/>
            <w10:anchorlock/>
          </v:shape>
          <o:OLEObject Type="Embed" ProgID="Origin50.Graph" ShapeID="_x0000_i1155" DrawAspect="Content" ObjectID="_1468075855" r:id="rId274">
            <o:LockedField>false</o:LockedField>
          </o:OLEObject>
        </w:object>
      </w:r>
    </w:p>
    <w:p>
      <w:pPr>
        <w:pStyle w:val="41"/>
      </w:pPr>
      <w:r>
        <w:t>图D.0.2-9</w:t>
      </w:r>
      <w:r>
        <w:rPr>
          <w:i/>
        </w:rPr>
        <w:t>R</w:t>
      </w:r>
      <w:r>
        <w:t>=350mm</w:t>
      </w:r>
    </w:p>
    <w:p>
      <w:pPr>
        <w:rPr>
          <w:rFonts w:ascii="楷体" w:hAnsi="楷体" w:eastAsia="楷体"/>
          <w:szCs w:val="21"/>
        </w:rPr>
      </w:pPr>
      <w:r>
        <w:rPr>
          <w:rFonts w:cs="Times New Roman"/>
          <w:b/>
        </w:rPr>
        <w:t>D.0.3</w:t>
      </w:r>
      <w:r>
        <w:rPr>
          <w:rFonts w:ascii="楷体" w:hAnsi="楷体" w:eastAsia="楷体"/>
          <w:szCs w:val="21"/>
        </w:rPr>
        <w:t>本附录曲线</w:t>
      </w:r>
      <w:r>
        <w:rPr>
          <w:rFonts w:hint="eastAsia" w:ascii="楷体" w:hAnsi="楷体" w:eastAsia="楷体"/>
          <w:szCs w:val="21"/>
        </w:rPr>
        <w:t>图</w:t>
      </w:r>
      <w:r>
        <w:rPr>
          <w:rFonts w:ascii="楷体" w:hAnsi="楷体" w:eastAsia="楷体"/>
          <w:szCs w:val="21"/>
        </w:rPr>
        <w:t>是按照钢筋混凝土构件的导热微分方程，在标准火灾条件下，按照数值计算结果编制。其中矩型截面温度场表格可用于3面受火梁和4面受火柱。详细内容可参阅路春森等所编著《建筑结构耐火设计》（建材工业出版社，1995）。</w:t>
      </w:r>
    </w:p>
    <w:p>
      <w:pPr>
        <w:ind w:firstLine="420" w:firstLineChars="200"/>
        <w:jc w:val="left"/>
        <w:rPr>
          <w:rFonts w:ascii="楷体" w:hAnsi="楷体" w:eastAsia="楷体"/>
          <w:szCs w:val="21"/>
        </w:rPr>
      </w:pPr>
      <w:r>
        <w:rPr>
          <w:rFonts w:ascii="楷体" w:hAnsi="楷体" w:eastAsia="楷体"/>
          <w:szCs w:val="21"/>
        </w:rPr>
        <w:t>本附录中有关板的部分计算结果与公安部天津消防科学研究所实测数据(参阅公安部天津消防科学研究所研究报告:Fire resistance of beam-slab specimens-experimental studies,1993)对比如下表</w:t>
      </w:r>
      <w:r>
        <w:rPr>
          <w:rFonts w:hint="eastAsia" w:ascii="楷体" w:hAnsi="楷体" w:eastAsia="楷体"/>
          <w:szCs w:val="21"/>
        </w:rPr>
        <w:t>2</w:t>
      </w:r>
      <w:r>
        <w:rPr>
          <w:rFonts w:ascii="楷体" w:hAnsi="楷体" w:eastAsia="楷体"/>
          <w:szCs w:val="21"/>
        </w:rPr>
        <w:t>。</w:t>
      </w:r>
    </w:p>
    <w:p>
      <w:pPr>
        <w:keepNext/>
        <w:ind w:firstLine="420" w:firstLineChars="200"/>
        <w:jc w:val="center"/>
        <w:rPr>
          <w:rFonts w:ascii="楷体" w:hAnsi="楷体" w:eastAsia="楷体"/>
          <w:szCs w:val="21"/>
        </w:rPr>
      </w:pPr>
      <w:r>
        <w:rPr>
          <w:rFonts w:ascii="楷体" w:hAnsi="楷体" w:eastAsia="楷体"/>
          <w:szCs w:val="21"/>
        </w:rPr>
        <w:t>表</w:t>
      </w:r>
      <w:r>
        <w:rPr>
          <w:rFonts w:hint="eastAsia" w:ascii="楷体" w:hAnsi="楷体" w:eastAsia="楷体"/>
          <w:szCs w:val="21"/>
        </w:rPr>
        <w:t>2</w:t>
      </w:r>
      <w:r>
        <w:rPr>
          <w:rFonts w:ascii="楷体" w:hAnsi="楷体" w:eastAsia="楷体"/>
          <w:szCs w:val="21"/>
        </w:rPr>
        <w:t xml:space="preserve"> 板厚80mm时计算与实验实测温度对比表</w:t>
      </w:r>
    </w:p>
    <w:tbl>
      <w:tblPr>
        <w:tblStyle w:val="24"/>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1186"/>
        <w:gridCol w:w="13"/>
        <w:gridCol w:w="956"/>
        <w:gridCol w:w="1185"/>
        <w:gridCol w:w="12"/>
        <w:gridCol w:w="956"/>
        <w:gridCol w:w="1185"/>
        <w:gridCol w:w="12"/>
        <w:gridCol w:w="861"/>
        <w:gridCol w:w="1185"/>
        <w:gridCol w:w="12"/>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5" w:hRule="atLeast"/>
          <w:tblHeader/>
        </w:trPr>
        <w:tc>
          <w:tcPr>
            <w:tcW w:w="1477" w:type="dxa"/>
          </w:tcPr>
          <w:p>
            <w:pPr>
              <w:jc w:val="left"/>
              <w:rPr>
                <w:rFonts w:ascii="楷体" w:hAnsi="楷体" w:eastAsia="楷体"/>
                <w:szCs w:val="21"/>
              </w:rPr>
            </w:pPr>
            <w:r>
              <w:rPr>
                <w:rFonts w:hint="eastAsia" w:ascii="楷体" w:hAnsi="楷体" w:eastAsia="楷体"/>
                <w:i/>
                <w:szCs w:val="21"/>
              </w:rPr>
              <w:t>t</w:t>
            </w:r>
            <w:r>
              <w:rPr>
                <w:rFonts w:hint="eastAsia" w:ascii="楷体" w:hAnsi="楷体" w:eastAsia="楷体"/>
                <w:szCs w:val="21"/>
              </w:rPr>
              <w:t>（</w:t>
            </w:r>
            <w:r>
              <w:rPr>
                <w:rFonts w:ascii="楷体" w:hAnsi="楷体" w:eastAsia="楷体"/>
                <w:szCs w:val="21"/>
              </w:rPr>
              <w:t>min</w:t>
            </w:r>
            <w:r>
              <w:rPr>
                <w:rFonts w:hint="eastAsia" w:ascii="楷体" w:hAnsi="楷体" w:eastAsia="楷体"/>
                <w:szCs w:val="21"/>
              </w:rPr>
              <w:t>）</w:t>
            </w:r>
          </w:p>
        </w:tc>
        <w:tc>
          <w:tcPr>
            <w:tcW w:w="2155" w:type="dxa"/>
            <w:gridSpan w:val="3"/>
          </w:tcPr>
          <w:p>
            <w:pPr>
              <w:jc w:val="left"/>
              <w:rPr>
                <w:rFonts w:ascii="楷体" w:hAnsi="楷体" w:eastAsia="楷体"/>
                <w:szCs w:val="21"/>
              </w:rPr>
            </w:pPr>
            <w:r>
              <w:rPr>
                <w:rFonts w:ascii="楷体" w:hAnsi="楷体" w:eastAsia="楷体"/>
                <w:szCs w:val="21"/>
              </w:rPr>
              <w:t>30</w:t>
            </w:r>
          </w:p>
        </w:tc>
        <w:tc>
          <w:tcPr>
            <w:tcW w:w="2153" w:type="dxa"/>
            <w:gridSpan w:val="3"/>
          </w:tcPr>
          <w:p>
            <w:pPr>
              <w:jc w:val="left"/>
              <w:rPr>
                <w:rFonts w:ascii="楷体" w:hAnsi="楷体" w:eastAsia="楷体"/>
                <w:szCs w:val="21"/>
              </w:rPr>
            </w:pPr>
            <w:r>
              <w:rPr>
                <w:rFonts w:ascii="楷体" w:hAnsi="楷体" w:eastAsia="楷体"/>
                <w:szCs w:val="21"/>
              </w:rPr>
              <w:t>40</w:t>
            </w:r>
          </w:p>
        </w:tc>
        <w:tc>
          <w:tcPr>
            <w:tcW w:w="2058" w:type="dxa"/>
            <w:gridSpan w:val="3"/>
          </w:tcPr>
          <w:p>
            <w:pPr>
              <w:jc w:val="left"/>
              <w:rPr>
                <w:rFonts w:ascii="楷体" w:hAnsi="楷体" w:eastAsia="楷体"/>
                <w:szCs w:val="21"/>
              </w:rPr>
            </w:pPr>
            <w:r>
              <w:rPr>
                <w:rFonts w:ascii="楷体" w:hAnsi="楷体" w:eastAsia="楷体"/>
                <w:szCs w:val="21"/>
              </w:rPr>
              <w:t>50</w:t>
            </w:r>
          </w:p>
        </w:tc>
        <w:tc>
          <w:tcPr>
            <w:tcW w:w="2119" w:type="dxa"/>
            <w:gridSpan w:val="3"/>
          </w:tcPr>
          <w:p>
            <w:pPr>
              <w:jc w:val="left"/>
              <w:rPr>
                <w:rFonts w:ascii="楷体" w:hAnsi="楷体" w:eastAsia="楷体"/>
                <w:szCs w:val="21"/>
              </w:rPr>
            </w:pPr>
            <w:r>
              <w:rPr>
                <w:rFonts w:ascii="楷体" w:hAnsi="楷体" w:eastAsia="楷体"/>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5" w:hRule="atLeast"/>
          <w:tblHeader/>
        </w:trPr>
        <w:tc>
          <w:tcPr>
            <w:tcW w:w="1477" w:type="dxa"/>
          </w:tcPr>
          <w:p>
            <w:pPr>
              <w:jc w:val="left"/>
              <w:rPr>
                <w:rFonts w:ascii="楷体" w:hAnsi="楷体" w:eastAsia="楷体"/>
                <w:szCs w:val="21"/>
              </w:rPr>
            </w:pPr>
            <w:r>
              <w:rPr>
                <w:rFonts w:ascii="楷体" w:hAnsi="楷体" w:eastAsia="楷体"/>
                <w:i/>
                <w:szCs w:val="21"/>
              </w:rPr>
              <w:t>S</w:t>
            </w:r>
            <w:r>
              <w:rPr>
                <w:rFonts w:hint="eastAsia" w:ascii="楷体" w:hAnsi="楷体" w:eastAsia="楷体"/>
                <w:szCs w:val="21"/>
              </w:rPr>
              <w:t>(</w:t>
            </w:r>
            <w:r>
              <w:rPr>
                <w:rFonts w:ascii="楷体" w:hAnsi="楷体" w:eastAsia="楷体"/>
                <w:szCs w:val="21"/>
              </w:rPr>
              <w:t>mm</w:t>
            </w:r>
            <w:r>
              <w:rPr>
                <w:rFonts w:hint="eastAsia" w:ascii="楷体" w:hAnsi="楷体" w:eastAsia="楷体"/>
                <w:szCs w:val="21"/>
              </w:rPr>
              <w:t>)</w:t>
            </w:r>
          </w:p>
        </w:tc>
        <w:tc>
          <w:tcPr>
            <w:tcW w:w="1186" w:type="dxa"/>
          </w:tcPr>
          <w:p>
            <w:pPr>
              <w:jc w:val="left"/>
              <w:rPr>
                <w:rFonts w:ascii="楷体" w:hAnsi="楷体" w:eastAsia="楷体"/>
                <w:szCs w:val="21"/>
              </w:rPr>
            </w:pPr>
            <w:r>
              <w:rPr>
                <w:rFonts w:ascii="楷体" w:hAnsi="楷体" w:eastAsia="楷体"/>
                <w:szCs w:val="21"/>
              </w:rPr>
              <w:t>实/计</w:t>
            </w:r>
          </w:p>
        </w:tc>
        <w:tc>
          <w:tcPr>
            <w:tcW w:w="969" w:type="dxa"/>
            <w:gridSpan w:val="2"/>
          </w:tcPr>
          <w:p>
            <w:pPr>
              <w:jc w:val="left"/>
              <w:rPr>
                <w:rFonts w:ascii="楷体" w:hAnsi="楷体" w:eastAsia="楷体"/>
                <w:szCs w:val="21"/>
              </w:rPr>
            </w:pPr>
            <w:r>
              <w:rPr>
                <w:rFonts w:ascii="楷体" w:hAnsi="楷体" w:eastAsia="楷体"/>
                <w:szCs w:val="21"/>
              </w:rPr>
              <w:t>误差%</w:t>
            </w:r>
          </w:p>
        </w:tc>
        <w:tc>
          <w:tcPr>
            <w:tcW w:w="1185" w:type="dxa"/>
          </w:tcPr>
          <w:p>
            <w:pPr>
              <w:jc w:val="left"/>
              <w:rPr>
                <w:rFonts w:ascii="楷体" w:hAnsi="楷体" w:eastAsia="楷体"/>
                <w:szCs w:val="21"/>
              </w:rPr>
            </w:pPr>
            <w:r>
              <w:rPr>
                <w:rFonts w:ascii="楷体" w:hAnsi="楷体" w:eastAsia="楷体"/>
                <w:szCs w:val="21"/>
              </w:rPr>
              <w:t>实/计</w:t>
            </w:r>
          </w:p>
        </w:tc>
        <w:tc>
          <w:tcPr>
            <w:tcW w:w="968" w:type="dxa"/>
            <w:gridSpan w:val="2"/>
          </w:tcPr>
          <w:p>
            <w:pPr>
              <w:jc w:val="left"/>
              <w:rPr>
                <w:rFonts w:ascii="楷体" w:hAnsi="楷体" w:eastAsia="楷体"/>
                <w:szCs w:val="21"/>
              </w:rPr>
            </w:pPr>
            <w:r>
              <w:rPr>
                <w:rFonts w:ascii="楷体" w:hAnsi="楷体" w:eastAsia="楷体"/>
                <w:szCs w:val="21"/>
              </w:rPr>
              <w:t>误差%</w:t>
            </w:r>
          </w:p>
        </w:tc>
        <w:tc>
          <w:tcPr>
            <w:tcW w:w="1185" w:type="dxa"/>
          </w:tcPr>
          <w:p>
            <w:pPr>
              <w:jc w:val="left"/>
              <w:rPr>
                <w:rFonts w:ascii="楷体" w:hAnsi="楷体" w:eastAsia="楷体"/>
                <w:szCs w:val="21"/>
              </w:rPr>
            </w:pPr>
            <w:r>
              <w:rPr>
                <w:rFonts w:ascii="楷体" w:hAnsi="楷体" w:eastAsia="楷体"/>
                <w:szCs w:val="21"/>
              </w:rPr>
              <w:t>实/计</w:t>
            </w:r>
          </w:p>
        </w:tc>
        <w:tc>
          <w:tcPr>
            <w:tcW w:w="873" w:type="dxa"/>
            <w:gridSpan w:val="2"/>
          </w:tcPr>
          <w:p>
            <w:pPr>
              <w:jc w:val="left"/>
              <w:rPr>
                <w:rFonts w:ascii="楷体" w:hAnsi="楷体" w:eastAsia="楷体"/>
                <w:szCs w:val="21"/>
              </w:rPr>
            </w:pPr>
            <w:r>
              <w:rPr>
                <w:rFonts w:ascii="楷体" w:hAnsi="楷体" w:eastAsia="楷体"/>
                <w:szCs w:val="21"/>
              </w:rPr>
              <w:t>误差%</w:t>
            </w:r>
          </w:p>
        </w:tc>
        <w:tc>
          <w:tcPr>
            <w:tcW w:w="1185" w:type="dxa"/>
          </w:tcPr>
          <w:p>
            <w:pPr>
              <w:jc w:val="left"/>
              <w:rPr>
                <w:rFonts w:ascii="楷体" w:hAnsi="楷体" w:eastAsia="楷体"/>
                <w:szCs w:val="21"/>
              </w:rPr>
            </w:pPr>
            <w:r>
              <w:rPr>
                <w:rFonts w:ascii="楷体" w:hAnsi="楷体" w:eastAsia="楷体"/>
                <w:szCs w:val="21"/>
              </w:rPr>
              <w:t>实/计</w:t>
            </w:r>
          </w:p>
        </w:tc>
        <w:tc>
          <w:tcPr>
            <w:tcW w:w="934" w:type="dxa"/>
            <w:gridSpan w:val="2"/>
          </w:tcPr>
          <w:p>
            <w:pPr>
              <w:jc w:val="left"/>
              <w:rPr>
                <w:rFonts w:ascii="楷体" w:hAnsi="楷体" w:eastAsia="楷体"/>
                <w:szCs w:val="21"/>
              </w:rPr>
            </w:pPr>
            <w:r>
              <w:rPr>
                <w:rFonts w:ascii="楷体" w:hAnsi="楷体" w:eastAsia="楷体"/>
                <w:szCs w:val="21"/>
              </w:rPr>
              <w:t>误差%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77" w:type="dxa"/>
          </w:tcPr>
          <w:p>
            <w:pPr>
              <w:jc w:val="left"/>
              <w:rPr>
                <w:rFonts w:ascii="楷体" w:hAnsi="楷体" w:eastAsia="楷体"/>
                <w:szCs w:val="21"/>
              </w:rPr>
            </w:pPr>
            <w:r>
              <w:rPr>
                <w:rFonts w:ascii="楷体" w:hAnsi="楷体" w:eastAsia="楷体"/>
                <w:szCs w:val="21"/>
              </w:rPr>
              <w:t>10</w:t>
            </w:r>
          </w:p>
        </w:tc>
        <w:tc>
          <w:tcPr>
            <w:tcW w:w="1199" w:type="dxa"/>
            <w:gridSpan w:val="2"/>
          </w:tcPr>
          <w:p>
            <w:pPr>
              <w:jc w:val="left"/>
              <w:rPr>
                <w:rFonts w:ascii="楷体" w:hAnsi="楷体" w:eastAsia="楷体"/>
                <w:szCs w:val="21"/>
              </w:rPr>
            </w:pPr>
            <w:r>
              <w:rPr>
                <w:rFonts w:ascii="楷体" w:hAnsi="楷体" w:eastAsia="楷体"/>
                <w:szCs w:val="21"/>
              </w:rPr>
              <w:t>524/547</w:t>
            </w:r>
          </w:p>
        </w:tc>
        <w:tc>
          <w:tcPr>
            <w:tcW w:w="956" w:type="dxa"/>
          </w:tcPr>
          <w:p>
            <w:pPr>
              <w:jc w:val="left"/>
              <w:rPr>
                <w:rFonts w:ascii="楷体" w:hAnsi="楷体" w:eastAsia="楷体"/>
                <w:szCs w:val="21"/>
              </w:rPr>
            </w:pPr>
            <w:r>
              <w:rPr>
                <w:rFonts w:ascii="楷体" w:hAnsi="楷体" w:eastAsia="楷体"/>
                <w:szCs w:val="21"/>
              </w:rPr>
              <w:t>+3.8</w:t>
            </w:r>
          </w:p>
        </w:tc>
        <w:tc>
          <w:tcPr>
            <w:tcW w:w="1197" w:type="dxa"/>
            <w:gridSpan w:val="2"/>
          </w:tcPr>
          <w:p>
            <w:pPr>
              <w:jc w:val="left"/>
              <w:rPr>
                <w:rFonts w:ascii="楷体" w:hAnsi="楷体" w:eastAsia="楷体"/>
                <w:szCs w:val="21"/>
              </w:rPr>
            </w:pPr>
            <w:r>
              <w:rPr>
                <w:rFonts w:ascii="楷体" w:hAnsi="楷体" w:eastAsia="楷体"/>
                <w:szCs w:val="21"/>
              </w:rPr>
              <w:t>592/627</w:t>
            </w:r>
          </w:p>
        </w:tc>
        <w:tc>
          <w:tcPr>
            <w:tcW w:w="956" w:type="dxa"/>
          </w:tcPr>
          <w:p>
            <w:pPr>
              <w:jc w:val="left"/>
              <w:rPr>
                <w:rFonts w:ascii="楷体" w:hAnsi="楷体" w:eastAsia="楷体"/>
                <w:szCs w:val="21"/>
              </w:rPr>
            </w:pPr>
            <w:r>
              <w:rPr>
                <w:rFonts w:ascii="楷体" w:hAnsi="楷体" w:eastAsia="楷体"/>
                <w:szCs w:val="21"/>
              </w:rPr>
              <w:t>+5.9</w:t>
            </w:r>
          </w:p>
        </w:tc>
        <w:tc>
          <w:tcPr>
            <w:tcW w:w="1197" w:type="dxa"/>
            <w:gridSpan w:val="2"/>
          </w:tcPr>
          <w:p>
            <w:pPr>
              <w:jc w:val="left"/>
              <w:rPr>
                <w:rFonts w:ascii="楷体" w:hAnsi="楷体" w:eastAsia="楷体"/>
                <w:szCs w:val="21"/>
              </w:rPr>
            </w:pPr>
            <w:r>
              <w:rPr>
                <w:rFonts w:ascii="楷体" w:hAnsi="楷体" w:eastAsia="楷体"/>
                <w:szCs w:val="21"/>
              </w:rPr>
              <w:t>651/668</w:t>
            </w:r>
          </w:p>
        </w:tc>
        <w:tc>
          <w:tcPr>
            <w:tcW w:w="861" w:type="dxa"/>
          </w:tcPr>
          <w:p>
            <w:pPr>
              <w:jc w:val="left"/>
              <w:rPr>
                <w:rFonts w:ascii="楷体" w:hAnsi="楷体" w:eastAsia="楷体"/>
                <w:szCs w:val="21"/>
              </w:rPr>
            </w:pPr>
            <w:r>
              <w:rPr>
                <w:rFonts w:ascii="楷体" w:hAnsi="楷体" w:eastAsia="楷体"/>
                <w:szCs w:val="21"/>
              </w:rPr>
              <w:t>+2.6</w:t>
            </w:r>
          </w:p>
        </w:tc>
        <w:tc>
          <w:tcPr>
            <w:tcW w:w="1197" w:type="dxa"/>
            <w:gridSpan w:val="2"/>
          </w:tcPr>
          <w:p>
            <w:pPr>
              <w:jc w:val="left"/>
              <w:rPr>
                <w:rFonts w:ascii="楷体" w:hAnsi="楷体" w:eastAsia="楷体"/>
                <w:szCs w:val="21"/>
              </w:rPr>
            </w:pPr>
            <w:r>
              <w:rPr>
                <w:rFonts w:ascii="楷体" w:hAnsi="楷体" w:eastAsia="楷体"/>
                <w:szCs w:val="21"/>
              </w:rPr>
              <w:t>688/700</w:t>
            </w:r>
          </w:p>
        </w:tc>
        <w:tc>
          <w:tcPr>
            <w:tcW w:w="922" w:type="dxa"/>
          </w:tcPr>
          <w:p>
            <w:pPr>
              <w:jc w:val="left"/>
              <w:rPr>
                <w:rFonts w:ascii="楷体" w:hAnsi="楷体" w:eastAsia="楷体"/>
                <w:szCs w:val="21"/>
              </w:rPr>
            </w:pPr>
            <w:r>
              <w:rPr>
                <w:rFonts w:ascii="楷体" w:hAnsi="楷体" w:eastAsia="楷体"/>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77" w:type="dxa"/>
          </w:tcPr>
          <w:p>
            <w:pPr>
              <w:jc w:val="left"/>
              <w:rPr>
                <w:rFonts w:ascii="楷体" w:hAnsi="楷体" w:eastAsia="楷体"/>
                <w:szCs w:val="21"/>
              </w:rPr>
            </w:pPr>
            <w:r>
              <w:rPr>
                <w:rFonts w:ascii="楷体" w:hAnsi="楷体" w:eastAsia="楷体"/>
                <w:szCs w:val="21"/>
              </w:rPr>
              <w:t>20</w:t>
            </w:r>
          </w:p>
        </w:tc>
        <w:tc>
          <w:tcPr>
            <w:tcW w:w="1199" w:type="dxa"/>
            <w:gridSpan w:val="2"/>
          </w:tcPr>
          <w:p>
            <w:pPr>
              <w:jc w:val="left"/>
              <w:rPr>
                <w:rFonts w:ascii="楷体" w:hAnsi="楷体" w:eastAsia="楷体"/>
                <w:szCs w:val="21"/>
              </w:rPr>
            </w:pPr>
            <w:r>
              <w:rPr>
                <w:rFonts w:ascii="楷体" w:hAnsi="楷体" w:eastAsia="楷体"/>
                <w:szCs w:val="21"/>
              </w:rPr>
              <w:t>352/388</w:t>
            </w:r>
          </w:p>
        </w:tc>
        <w:tc>
          <w:tcPr>
            <w:tcW w:w="956" w:type="dxa"/>
          </w:tcPr>
          <w:p>
            <w:pPr>
              <w:jc w:val="left"/>
              <w:rPr>
                <w:rFonts w:ascii="楷体" w:hAnsi="楷体" w:eastAsia="楷体"/>
                <w:szCs w:val="21"/>
              </w:rPr>
            </w:pPr>
            <w:r>
              <w:rPr>
                <w:rFonts w:ascii="楷体" w:hAnsi="楷体" w:eastAsia="楷体"/>
                <w:szCs w:val="21"/>
              </w:rPr>
              <w:t>+10.2</w:t>
            </w:r>
          </w:p>
        </w:tc>
        <w:tc>
          <w:tcPr>
            <w:tcW w:w="1197" w:type="dxa"/>
            <w:gridSpan w:val="2"/>
          </w:tcPr>
          <w:p>
            <w:pPr>
              <w:jc w:val="left"/>
              <w:rPr>
                <w:rFonts w:ascii="楷体" w:hAnsi="楷体" w:eastAsia="楷体"/>
                <w:szCs w:val="21"/>
              </w:rPr>
            </w:pPr>
            <w:r>
              <w:rPr>
                <w:rFonts w:ascii="楷体" w:hAnsi="楷体" w:eastAsia="楷体"/>
                <w:szCs w:val="21"/>
              </w:rPr>
              <w:t>428/473</w:t>
            </w:r>
          </w:p>
        </w:tc>
        <w:tc>
          <w:tcPr>
            <w:tcW w:w="956" w:type="dxa"/>
          </w:tcPr>
          <w:p>
            <w:pPr>
              <w:jc w:val="left"/>
              <w:rPr>
                <w:rFonts w:ascii="楷体" w:hAnsi="楷体" w:eastAsia="楷体"/>
                <w:szCs w:val="21"/>
              </w:rPr>
            </w:pPr>
            <w:r>
              <w:rPr>
                <w:rFonts w:ascii="楷体" w:hAnsi="楷体" w:eastAsia="楷体"/>
                <w:szCs w:val="21"/>
              </w:rPr>
              <w:t>+10.5</w:t>
            </w:r>
          </w:p>
        </w:tc>
        <w:tc>
          <w:tcPr>
            <w:tcW w:w="1197" w:type="dxa"/>
            <w:gridSpan w:val="2"/>
          </w:tcPr>
          <w:p>
            <w:pPr>
              <w:jc w:val="left"/>
              <w:rPr>
                <w:rFonts w:ascii="楷体" w:hAnsi="楷体" w:eastAsia="楷体"/>
                <w:szCs w:val="21"/>
              </w:rPr>
            </w:pPr>
            <w:r>
              <w:rPr>
                <w:rFonts w:ascii="楷体" w:hAnsi="楷体" w:eastAsia="楷体"/>
                <w:szCs w:val="21"/>
              </w:rPr>
              <w:t>488/524</w:t>
            </w:r>
          </w:p>
        </w:tc>
        <w:tc>
          <w:tcPr>
            <w:tcW w:w="861" w:type="dxa"/>
          </w:tcPr>
          <w:p>
            <w:pPr>
              <w:jc w:val="left"/>
              <w:rPr>
                <w:rFonts w:ascii="楷体" w:hAnsi="楷体" w:eastAsia="楷体"/>
                <w:szCs w:val="21"/>
              </w:rPr>
            </w:pPr>
            <w:r>
              <w:rPr>
                <w:rFonts w:ascii="楷体" w:hAnsi="楷体" w:eastAsia="楷体"/>
                <w:szCs w:val="21"/>
              </w:rPr>
              <w:t>+7.3</w:t>
            </w:r>
          </w:p>
        </w:tc>
        <w:tc>
          <w:tcPr>
            <w:tcW w:w="1197" w:type="dxa"/>
            <w:gridSpan w:val="2"/>
          </w:tcPr>
          <w:p>
            <w:pPr>
              <w:jc w:val="left"/>
              <w:rPr>
                <w:rFonts w:ascii="楷体" w:hAnsi="楷体" w:eastAsia="楷体"/>
                <w:szCs w:val="21"/>
              </w:rPr>
            </w:pPr>
            <w:r>
              <w:rPr>
                <w:rFonts w:ascii="楷体" w:hAnsi="楷体" w:eastAsia="楷体"/>
                <w:szCs w:val="21"/>
              </w:rPr>
              <w:t>537/562</w:t>
            </w:r>
          </w:p>
        </w:tc>
        <w:tc>
          <w:tcPr>
            <w:tcW w:w="922" w:type="dxa"/>
          </w:tcPr>
          <w:p>
            <w:pPr>
              <w:jc w:val="left"/>
              <w:rPr>
                <w:rFonts w:ascii="楷体" w:hAnsi="楷体" w:eastAsia="楷体"/>
                <w:szCs w:val="21"/>
              </w:rPr>
            </w:pPr>
            <w:r>
              <w:rPr>
                <w:rFonts w:ascii="楷体" w:hAnsi="楷体" w:eastAsia="楷体"/>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77" w:type="dxa"/>
          </w:tcPr>
          <w:p>
            <w:pPr>
              <w:jc w:val="left"/>
              <w:rPr>
                <w:rFonts w:ascii="楷体" w:hAnsi="楷体" w:eastAsia="楷体"/>
                <w:szCs w:val="21"/>
              </w:rPr>
            </w:pPr>
            <w:r>
              <w:rPr>
                <w:rFonts w:ascii="楷体" w:hAnsi="楷体" w:eastAsia="楷体"/>
                <w:szCs w:val="21"/>
              </w:rPr>
              <w:t>40</w:t>
            </w:r>
          </w:p>
        </w:tc>
        <w:tc>
          <w:tcPr>
            <w:tcW w:w="1199" w:type="dxa"/>
            <w:gridSpan w:val="2"/>
          </w:tcPr>
          <w:p>
            <w:pPr>
              <w:jc w:val="left"/>
              <w:rPr>
                <w:rFonts w:ascii="楷体" w:hAnsi="楷体" w:eastAsia="楷体"/>
                <w:szCs w:val="21"/>
              </w:rPr>
            </w:pPr>
            <w:r>
              <w:rPr>
                <w:rFonts w:ascii="楷体" w:hAnsi="楷体" w:eastAsia="楷体"/>
                <w:szCs w:val="21"/>
              </w:rPr>
              <w:t>209/177</w:t>
            </w:r>
          </w:p>
        </w:tc>
        <w:tc>
          <w:tcPr>
            <w:tcW w:w="956" w:type="dxa"/>
          </w:tcPr>
          <w:p>
            <w:pPr>
              <w:jc w:val="left"/>
              <w:rPr>
                <w:rFonts w:ascii="楷体" w:hAnsi="楷体" w:eastAsia="楷体"/>
                <w:szCs w:val="21"/>
              </w:rPr>
            </w:pPr>
            <w:r>
              <w:rPr>
                <w:rFonts w:ascii="楷体" w:hAnsi="楷体" w:eastAsia="楷体"/>
                <w:szCs w:val="21"/>
              </w:rPr>
              <w:t>-18</w:t>
            </w:r>
          </w:p>
        </w:tc>
        <w:tc>
          <w:tcPr>
            <w:tcW w:w="1197" w:type="dxa"/>
            <w:gridSpan w:val="2"/>
          </w:tcPr>
          <w:p>
            <w:pPr>
              <w:jc w:val="left"/>
              <w:rPr>
                <w:rFonts w:ascii="楷体" w:hAnsi="楷体" w:eastAsia="楷体"/>
                <w:szCs w:val="21"/>
              </w:rPr>
            </w:pPr>
            <w:r>
              <w:rPr>
                <w:rFonts w:ascii="楷体" w:hAnsi="楷体" w:eastAsia="楷体"/>
                <w:szCs w:val="21"/>
              </w:rPr>
              <w:t>274/253</w:t>
            </w:r>
          </w:p>
        </w:tc>
        <w:tc>
          <w:tcPr>
            <w:tcW w:w="956" w:type="dxa"/>
          </w:tcPr>
          <w:p>
            <w:pPr>
              <w:jc w:val="left"/>
              <w:rPr>
                <w:rFonts w:ascii="楷体" w:hAnsi="楷体" w:eastAsia="楷体"/>
                <w:szCs w:val="21"/>
              </w:rPr>
            </w:pPr>
            <w:r>
              <w:rPr>
                <w:rFonts w:ascii="楷体" w:hAnsi="楷体" w:eastAsia="楷体"/>
                <w:szCs w:val="21"/>
              </w:rPr>
              <w:t>-7.7</w:t>
            </w:r>
          </w:p>
        </w:tc>
        <w:tc>
          <w:tcPr>
            <w:tcW w:w="1197" w:type="dxa"/>
            <w:gridSpan w:val="2"/>
          </w:tcPr>
          <w:p>
            <w:pPr>
              <w:jc w:val="left"/>
              <w:rPr>
                <w:rFonts w:ascii="楷体" w:hAnsi="楷体" w:eastAsia="楷体"/>
                <w:szCs w:val="21"/>
              </w:rPr>
            </w:pPr>
            <w:r>
              <w:rPr>
                <w:rFonts w:ascii="楷体" w:hAnsi="楷体" w:eastAsia="楷体"/>
                <w:szCs w:val="21"/>
              </w:rPr>
              <w:t>330/317</w:t>
            </w:r>
          </w:p>
        </w:tc>
        <w:tc>
          <w:tcPr>
            <w:tcW w:w="861" w:type="dxa"/>
          </w:tcPr>
          <w:p>
            <w:pPr>
              <w:jc w:val="left"/>
              <w:rPr>
                <w:rFonts w:ascii="楷体" w:hAnsi="楷体" w:eastAsia="楷体"/>
                <w:szCs w:val="21"/>
              </w:rPr>
            </w:pPr>
            <w:r>
              <w:rPr>
                <w:rFonts w:ascii="楷体" w:hAnsi="楷体" w:eastAsia="楷体"/>
                <w:szCs w:val="21"/>
              </w:rPr>
              <w:t>-3.9</w:t>
            </w:r>
          </w:p>
        </w:tc>
        <w:tc>
          <w:tcPr>
            <w:tcW w:w="1197" w:type="dxa"/>
            <w:gridSpan w:val="2"/>
          </w:tcPr>
          <w:p>
            <w:pPr>
              <w:jc w:val="left"/>
              <w:rPr>
                <w:rFonts w:ascii="楷体" w:hAnsi="楷体" w:eastAsia="楷体"/>
                <w:szCs w:val="21"/>
              </w:rPr>
            </w:pPr>
            <w:r>
              <w:rPr>
                <w:rFonts w:ascii="楷体" w:hAnsi="楷体" w:eastAsia="楷体"/>
                <w:szCs w:val="21"/>
              </w:rPr>
              <w:t>379/371</w:t>
            </w:r>
          </w:p>
        </w:tc>
        <w:tc>
          <w:tcPr>
            <w:tcW w:w="922" w:type="dxa"/>
          </w:tcPr>
          <w:p>
            <w:pPr>
              <w:jc w:val="left"/>
              <w:rPr>
                <w:rFonts w:ascii="楷体" w:hAnsi="楷体" w:eastAsia="楷体"/>
                <w:szCs w:val="21"/>
              </w:rPr>
            </w:pPr>
            <w:r>
              <w:rPr>
                <w:rFonts w:ascii="楷体" w:hAnsi="楷体" w:eastAsia="楷体"/>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77" w:type="dxa"/>
          </w:tcPr>
          <w:p>
            <w:pPr>
              <w:jc w:val="left"/>
              <w:rPr>
                <w:rFonts w:ascii="楷体" w:hAnsi="楷体" w:eastAsia="楷体"/>
                <w:szCs w:val="21"/>
              </w:rPr>
            </w:pPr>
            <w:r>
              <w:rPr>
                <w:rFonts w:ascii="楷体" w:hAnsi="楷体" w:eastAsia="楷体"/>
                <w:szCs w:val="21"/>
              </w:rPr>
              <w:t>60</w:t>
            </w:r>
          </w:p>
        </w:tc>
        <w:tc>
          <w:tcPr>
            <w:tcW w:w="1199" w:type="dxa"/>
            <w:gridSpan w:val="2"/>
          </w:tcPr>
          <w:p>
            <w:pPr>
              <w:jc w:val="left"/>
              <w:rPr>
                <w:rFonts w:ascii="楷体" w:hAnsi="楷体" w:eastAsia="楷体"/>
                <w:szCs w:val="21"/>
              </w:rPr>
            </w:pPr>
            <w:r>
              <w:rPr>
                <w:rFonts w:ascii="楷体" w:hAnsi="楷体" w:eastAsia="楷体"/>
                <w:szCs w:val="21"/>
              </w:rPr>
              <w:t>136/81</w:t>
            </w:r>
          </w:p>
        </w:tc>
        <w:tc>
          <w:tcPr>
            <w:tcW w:w="956" w:type="dxa"/>
          </w:tcPr>
          <w:p>
            <w:pPr>
              <w:jc w:val="left"/>
              <w:rPr>
                <w:rFonts w:ascii="楷体" w:hAnsi="楷体" w:eastAsia="楷体"/>
                <w:szCs w:val="21"/>
              </w:rPr>
            </w:pPr>
            <w:r>
              <w:rPr>
                <w:rFonts w:ascii="楷体" w:hAnsi="楷体" w:eastAsia="楷体"/>
                <w:szCs w:val="21"/>
              </w:rPr>
              <w:t>-40</w:t>
            </w:r>
          </w:p>
        </w:tc>
        <w:tc>
          <w:tcPr>
            <w:tcW w:w="1197" w:type="dxa"/>
            <w:gridSpan w:val="2"/>
          </w:tcPr>
          <w:p>
            <w:pPr>
              <w:jc w:val="left"/>
              <w:rPr>
                <w:rFonts w:ascii="楷体" w:hAnsi="楷体" w:eastAsia="楷体"/>
                <w:szCs w:val="21"/>
              </w:rPr>
            </w:pPr>
            <w:r>
              <w:rPr>
                <w:rFonts w:ascii="楷体" w:hAnsi="楷体" w:eastAsia="楷体"/>
                <w:szCs w:val="21"/>
              </w:rPr>
              <w:t>180/131</w:t>
            </w:r>
          </w:p>
        </w:tc>
        <w:tc>
          <w:tcPr>
            <w:tcW w:w="956" w:type="dxa"/>
          </w:tcPr>
          <w:p>
            <w:pPr>
              <w:jc w:val="left"/>
              <w:rPr>
                <w:rFonts w:ascii="楷体" w:hAnsi="楷体" w:eastAsia="楷体"/>
                <w:szCs w:val="21"/>
              </w:rPr>
            </w:pPr>
            <w:r>
              <w:rPr>
                <w:rFonts w:ascii="楷体" w:hAnsi="楷体" w:eastAsia="楷体"/>
                <w:szCs w:val="21"/>
              </w:rPr>
              <w:t>-27.2</w:t>
            </w:r>
          </w:p>
        </w:tc>
        <w:tc>
          <w:tcPr>
            <w:tcW w:w="1197" w:type="dxa"/>
            <w:gridSpan w:val="2"/>
          </w:tcPr>
          <w:p>
            <w:pPr>
              <w:jc w:val="left"/>
              <w:rPr>
                <w:rFonts w:ascii="楷体" w:hAnsi="楷体" w:eastAsia="楷体"/>
                <w:szCs w:val="21"/>
              </w:rPr>
            </w:pPr>
            <w:r>
              <w:rPr>
                <w:rFonts w:ascii="楷体" w:hAnsi="楷体" w:eastAsia="楷体"/>
                <w:szCs w:val="21"/>
              </w:rPr>
              <w:t>231/187</w:t>
            </w:r>
          </w:p>
        </w:tc>
        <w:tc>
          <w:tcPr>
            <w:tcW w:w="861" w:type="dxa"/>
          </w:tcPr>
          <w:p>
            <w:pPr>
              <w:jc w:val="left"/>
              <w:rPr>
                <w:rFonts w:ascii="楷体" w:hAnsi="楷体" w:eastAsia="楷体"/>
                <w:szCs w:val="21"/>
              </w:rPr>
            </w:pPr>
            <w:r>
              <w:rPr>
                <w:rFonts w:ascii="楷体" w:hAnsi="楷体" w:eastAsia="楷体"/>
                <w:szCs w:val="21"/>
              </w:rPr>
              <w:t>-19</w:t>
            </w:r>
          </w:p>
        </w:tc>
        <w:tc>
          <w:tcPr>
            <w:tcW w:w="1197" w:type="dxa"/>
            <w:gridSpan w:val="2"/>
          </w:tcPr>
          <w:p>
            <w:pPr>
              <w:jc w:val="left"/>
              <w:rPr>
                <w:rFonts w:ascii="楷体" w:hAnsi="楷体" w:eastAsia="楷体"/>
                <w:szCs w:val="21"/>
              </w:rPr>
            </w:pPr>
            <w:r>
              <w:rPr>
                <w:rFonts w:ascii="楷体" w:hAnsi="楷体" w:eastAsia="楷体"/>
                <w:szCs w:val="21"/>
              </w:rPr>
              <w:t>279/250</w:t>
            </w:r>
          </w:p>
        </w:tc>
        <w:tc>
          <w:tcPr>
            <w:tcW w:w="922" w:type="dxa"/>
          </w:tcPr>
          <w:p>
            <w:pPr>
              <w:jc w:val="left"/>
              <w:rPr>
                <w:rFonts w:ascii="楷体" w:hAnsi="楷体" w:eastAsia="楷体"/>
                <w:szCs w:val="21"/>
              </w:rPr>
            </w:pPr>
            <w:r>
              <w:rPr>
                <w:rFonts w:ascii="楷体" w:hAnsi="楷体" w:eastAsia="楷体"/>
                <w:szCs w:val="21"/>
              </w:rPr>
              <w:t>-10.4</w:t>
            </w:r>
          </w:p>
        </w:tc>
      </w:tr>
    </w:tbl>
    <w:p>
      <w:pPr>
        <w:pStyle w:val="8"/>
        <w:spacing w:after="0"/>
        <w:ind w:left="0" w:leftChars="0" w:firstLine="420" w:firstLineChars="200"/>
        <w:jc w:val="left"/>
        <w:rPr>
          <w:rFonts w:ascii="楷体" w:hAnsi="楷体" w:eastAsia="楷体"/>
          <w:szCs w:val="21"/>
        </w:rPr>
      </w:pPr>
      <w:r>
        <w:rPr>
          <w:rFonts w:ascii="楷体" w:hAnsi="楷体" w:eastAsia="楷体"/>
          <w:szCs w:val="21"/>
        </w:rPr>
        <w:t>从表</w:t>
      </w:r>
      <w:r>
        <w:rPr>
          <w:rFonts w:hint="eastAsia" w:ascii="楷体" w:hAnsi="楷体" w:eastAsia="楷体"/>
          <w:szCs w:val="21"/>
        </w:rPr>
        <w:t>2</w:t>
      </w:r>
      <w:r>
        <w:rPr>
          <w:rFonts w:ascii="楷体" w:hAnsi="楷体" w:eastAsia="楷体"/>
          <w:szCs w:val="21"/>
        </w:rPr>
        <w:t>数值可见，在板内靠近受火面附近处，计算值比实测值大；在距受火面较远点，计算值比实测值小。</w:t>
      </w:r>
    </w:p>
    <w:p>
      <w:pPr>
        <w:ind w:firstLine="420" w:firstLineChars="200"/>
        <w:jc w:val="left"/>
        <w:rPr>
          <w:rFonts w:ascii="楷体" w:hAnsi="楷体" w:eastAsia="楷体"/>
          <w:szCs w:val="21"/>
        </w:rPr>
      </w:pPr>
      <w:r>
        <w:rPr>
          <w:rFonts w:ascii="楷体" w:hAnsi="楷体" w:eastAsia="楷体"/>
          <w:szCs w:val="21"/>
        </w:rPr>
        <w:t>由于混凝土构件截面内的温度分布与诸多因素有关,如混凝土的热参数取值,截面尺寸误差，试验炉升温曲线控制水平</w:t>
      </w:r>
      <w:r>
        <w:rPr>
          <w:rFonts w:hint="eastAsia" w:ascii="楷体" w:hAnsi="楷体" w:eastAsia="楷体"/>
          <w:szCs w:val="21"/>
        </w:rPr>
        <w:t>、</w:t>
      </w:r>
      <w:r>
        <w:rPr>
          <w:rFonts w:ascii="楷体" w:hAnsi="楷体" w:eastAsia="楷体"/>
          <w:szCs w:val="21"/>
        </w:rPr>
        <w:t>热电偶位置误差</w:t>
      </w:r>
      <w:r>
        <w:rPr>
          <w:rFonts w:hint="eastAsia" w:ascii="楷体" w:hAnsi="楷体" w:eastAsia="楷体"/>
          <w:szCs w:val="21"/>
        </w:rPr>
        <w:t>、</w:t>
      </w:r>
      <w:r>
        <w:rPr>
          <w:rFonts w:ascii="楷体" w:hAnsi="楷体" w:eastAsia="楷体"/>
          <w:szCs w:val="21"/>
        </w:rPr>
        <w:t>受热后构件内水分的迁移等，即使在同一构件中对称位置处(理论上应相等)所测得的温度也相差较大。表</w:t>
      </w:r>
      <w:r>
        <w:rPr>
          <w:rFonts w:hint="eastAsia" w:ascii="楷体" w:hAnsi="楷体" w:eastAsia="楷体"/>
          <w:szCs w:val="21"/>
        </w:rPr>
        <w:t>3</w:t>
      </w:r>
      <w:r>
        <w:rPr>
          <w:rFonts w:ascii="楷体" w:hAnsi="楷体" w:eastAsia="楷体"/>
          <w:szCs w:val="21"/>
        </w:rPr>
        <w:t>数据是由公安部天津消防科学研究所实测数据(参阅公安部天津消防科学研究所研究报告：Fire resistance of reinforced concrete columns-experimental studies,1993)。试件为4根305</w:t>
      </w:r>
      <w:r>
        <w:rPr>
          <w:rFonts w:hint="eastAsia" w:ascii="楷体" w:hAnsi="楷体" w:eastAsia="楷体"/>
          <w:szCs w:val="21"/>
        </w:rPr>
        <w:t>mm</w:t>
      </w:r>
      <w:r>
        <w:rPr>
          <w:rFonts w:ascii="楷体" w:hAnsi="楷体" w:eastAsia="楷体"/>
          <w:position w:val="-4"/>
          <w:szCs w:val="21"/>
        </w:rPr>
        <w:object>
          <v:shape id="_x0000_i1156" o:spt="75" type="#_x0000_t75" style="height:9pt;width:9pt;" o:ole="t" fillcolor="#000005 [-4142]" filled="f" o:preferrelative="t" stroked="f" coordsize="21600,21600">
            <v:path/>
            <v:fill on="f" focussize="0,0"/>
            <v:stroke on="f" joinstyle="miter"/>
            <v:imagedata r:id="rId276" o:title=""/>
            <o:lock v:ext="edit" aspectratio="t"/>
            <w10:wrap type="none"/>
            <w10:anchorlock/>
          </v:shape>
          <o:OLEObject Type="Embed" ProgID="Equation.3" ShapeID="_x0000_i1156" DrawAspect="Content" ObjectID="_1468075856" r:id="rId275">
            <o:LockedField>false</o:LockedField>
          </o:OLEObject>
        </w:object>
      </w:r>
      <w:r>
        <w:rPr>
          <w:rFonts w:ascii="楷体" w:hAnsi="楷体" w:eastAsia="楷体"/>
          <w:szCs w:val="21"/>
        </w:rPr>
        <w:t>305 mm ，在对称轴上共设置8个两两对称的热电偶，分别距受火表面为12、25、38、63min ，在各受火时刻，4根柱共8个热电偶所测温度的最大、最小和平均值列于表2。最大值与本附录计算值的误差列于表</w:t>
      </w:r>
      <w:r>
        <w:rPr>
          <w:rFonts w:hint="eastAsia" w:ascii="楷体" w:hAnsi="楷体" w:eastAsia="楷体"/>
          <w:szCs w:val="21"/>
        </w:rPr>
        <w:t>3</w:t>
      </w:r>
      <w:r>
        <w:rPr>
          <w:rFonts w:ascii="楷体" w:hAnsi="楷体" w:eastAsia="楷体"/>
          <w:szCs w:val="21"/>
        </w:rPr>
        <w:t>。</w:t>
      </w:r>
    </w:p>
    <w:p>
      <w:pPr>
        <w:ind w:firstLine="420" w:firstLineChars="200"/>
        <w:jc w:val="center"/>
        <w:rPr>
          <w:rFonts w:ascii="楷体" w:hAnsi="楷体" w:eastAsia="楷体"/>
          <w:szCs w:val="21"/>
        </w:rPr>
      </w:pPr>
      <w:r>
        <w:rPr>
          <w:rFonts w:ascii="楷体" w:hAnsi="楷体" w:eastAsia="楷体"/>
          <w:szCs w:val="21"/>
        </w:rPr>
        <w:t>表</w:t>
      </w:r>
      <w:r>
        <w:rPr>
          <w:rFonts w:hint="eastAsia" w:ascii="楷体" w:hAnsi="楷体" w:eastAsia="楷体"/>
          <w:szCs w:val="21"/>
        </w:rPr>
        <w:t>3</w:t>
      </w:r>
      <w:r>
        <w:rPr>
          <w:rFonts w:ascii="楷体" w:hAnsi="楷体" w:eastAsia="楷体"/>
          <w:szCs w:val="21"/>
        </w:rPr>
        <w:t xml:space="preserve">  温度实测值</w:t>
      </w:r>
      <w:r>
        <w:rPr>
          <w:rFonts w:hint="eastAsia" w:ascii="楷体" w:hAnsi="楷体" w:eastAsia="楷体"/>
          <w:szCs w:val="21"/>
        </w:rPr>
        <w:t>(</w:t>
      </w:r>
      <w:r>
        <w:rPr>
          <w:rFonts w:ascii="楷体" w:hAnsi="楷体" w:eastAsia="楷体"/>
          <w:szCs w:val="21"/>
        </w:rPr>
        <w:t>℃</w:t>
      </w:r>
      <w:r>
        <w:rPr>
          <w:rFonts w:hint="eastAsia" w:ascii="楷体" w:hAnsi="楷体" w:eastAsia="楷体"/>
          <w:szCs w:val="21"/>
        </w:rPr>
        <w:t>)</w:t>
      </w:r>
    </w:p>
    <w:tbl>
      <w:tblPr>
        <w:tblStyle w:val="24"/>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787"/>
        <w:gridCol w:w="787"/>
        <w:gridCol w:w="655"/>
        <w:gridCol w:w="787"/>
        <w:gridCol w:w="787"/>
        <w:gridCol w:w="655"/>
        <w:gridCol w:w="787"/>
        <w:gridCol w:w="787"/>
        <w:gridCol w:w="655"/>
        <w:gridCol w:w="787"/>
        <w:gridCol w:w="787"/>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047" w:type="dxa"/>
          </w:tcPr>
          <w:p>
            <w:pPr>
              <w:rPr>
                <w:rFonts w:ascii="楷体" w:hAnsi="楷体" w:eastAsia="楷体"/>
                <w:szCs w:val="21"/>
              </w:rPr>
            </w:pPr>
            <w:r>
              <w:rPr>
                <w:rFonts w:hint="eastAsia" w:ascii="楷体" w:hAnsi="楷体" w:eastAsia="楷体"/>
                <w:i/>
                <w:szCs w:val="21"/>
              </w:rPr>
              <w:t>s</w:t>
            </w:r>
            <w:r>
              <w:rPr>
                <w:rFonts w:hint="eastAsia" w:ascii="楷体" w:hAnsi="楷体" w:eastAsia="楷体"/>
                <w:szCs w:val="21"/>
              </w:rPr>
              <w:t>(</w:t>
            </w:r>
            <w:r>
              <w:rPr>
                <w:rFonts w:ascii="楷体" w:hAnsi="楷体" w:eastAsia="楷体"/>
                <w:szCs w:val="21"/>
              </w:rPr>
              <w:t>mm</w:t>
            </w:r>
            <w:r>
              <w:rPr>
                <w:rFonts w:hint="eastAsia" w:ascii="楷体" w:hAnsi="楷体" w:eastAsia="楷体"/>
                <w:szCs w:val="21"/>
              </w:rPr>
              <w:t>)</w:t>
            </w:r>
          </w:p>
        </w:tc>
        <w:tc>
          <w:tcPr>
            <w:tcW w:w="2229" w:type="dxa"/>
            <w:gridSpan w:val="3"/>
          </w:tcPr>
          <w:p>
            <w:pPr>
              <w:jc w:val="center"/>
              <w:rPr>
                <w:rFonts w:ascii="楷体" w:hAnsi="楷体" w:eastAsia="楷体"/>
                <w:szCs w:val="21"/>
              </w:rPr>
            </w:pPr>
            <w:r>
              <w:rPr>
                <w:rFonts w:ascii="楷体" w:hAnsi="楷体" w:eastAsia="楷体"/>
                <w:szCs w:val="21"/>
              </w:rPr>
              <w:t>12</w:t>
            </w:r>
          </w:p>
        </w:tc>
        <w:tc>
          <w:tcPr>
            <w:tcW w:w="2229" w:type="dxa"/>
            <w:gridSpan w:val="3"/>
          </w:tcPr>
          <w:p>
            <w:pPr>
              <w:tabs>
                <w:tab w:val="left" w:pos="480"/>
                <w:tab w:val="center" w:pos="867"/>
              </w:tabs>
              <w:jc w:val="left"/>
              <w:rPr>
                <w:rFonts w:ascii="楷体" w:hAnsi="楷体" w:eastAsia="楷体"/>
                <w:szCs w:val="21"/>
              </w:rPr>
            </w:pPr>
            <w:r>
              <w:rPr>
                <w:rFonts w:ascii="楷体" w:hAnsi="楷体" w:eastAsia="楷体"/>
                <w:szCs w:val="21"/>
              </w:rPr>
              <w:tab/>
            </w:r>
            <w:r>
              <w:rPr>
                <w:rFonts w:ascii="楷体" w:hAnsi="楷体" w:eastAsia="楷体"/>
                <w:szCs w:val="21"/>
              </w:rPr>
              <w:tab/>
            </w:r>
            <w:r>
              <w:rPr>
                <w:rFonts w:ascii="楷体" w:hAnsi="楷体" w:eastAsia="楷体"/>
                <w:szCs w:val="21"/>
              </w:rPr>
              <w:t>25</w:t>
            </w:r>
          </w:p>
        </w:tc>
        <w:tc>
          <w:tcPr>
            <w:tcW w:w="2229" w:type="dxa"/>
            <w:gridSpan w:val="3"/>
          </w:tcPr>
          <w:p>
            <w:pPr>
              <w:jc w:val="center"/>
              <w:rPr>
                <w:rFonts w:ascii="楷体" w:hAnsi="楷体" w:eastAsia="楷体"/>
                <w:szCs w:val="21"/>
              </w:rPr>
            </w:pPr>
            <w:r>
              <w:rPr>
                <w:rFonts w:ascii="楷体" w:hAnsi="楷体" w:eastAsia="楷体"/>
                <w:szCs w:val="21"/>
              </w:rPr>
              <w:t>38</w:t>
            </w:r>
          </w:p>
        </w:tc>
        <w:tc>
          <w:tcPr>
            <w:tcW w:w="2228" w:type="dxa"/>
            <w:gridSpan w:val="3"/>
          </w:tcPr>
          <w:p>
            <w:pPr>
              <w:jc w:val="center"/>
              <w:rPr>
                <w:rFonts w:ascii="楷体" w:hAnsi="楷体" w:eastAsia="楷体"/>
                <w:szCs w:val="21"/>
              </w:rPr>
            </w:pPr>
            <w:r>
              <w:rPr>
                <w:rFonts w:ascii="楷体" w:hAnsi="楷体" w:eastAsia="楷体"/>
                <w:szCs w:val="21"/>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rPr>
        <w:tc>
          <w:tcPr>
            <w:tcW w:w="1047" w:type="dxa"/>
          </w:tcPr>
          <w:p>
            <w:pPr>
              <w:jc w:val="center"/>
              <w:rPr>
                <w:rFonts w:ascii="楷体" w:hAnsi="楷体" w:eastAsia="楷体"/>
                <w:szCs w:val="21"/>
              </w:rPr>
            </w:pPr>
            <w:r>
              <w:rPr>
                <w:rFonts w:hint="eastAsia" w:ascii="楷体" w:hAnsi="楷体" w:eastAsia="楷体"/>
                <w:i/>
                <w:szCs w:val="21"/>
              </w:rPr>
              <w:t>t</w:t>
            </w:r>
            <w:r>
              <w:rPr>
                <w:rFonts w:hint="eastAsia" w:ascii="楷体" w:hAnsi="楷体" w:eastAsia="楷体"/>
                <w:szCs w:val="21"/>
              </w:rPr>
              <w:t>(</w:t>
            </w:r>
            <w:r>
              <w:rPr>
                <w:rFonts w:ascii="楷体" w:hAnsi="楷体" w:eastAsia="楷体"/>
                <w:szCs w:val="21"/>
              </w:rPr>
              <w:t>min</w:t>
            </w:r>
            <w:r>
              <w:rPr>
                <w:rFonts w:hint="eastAsia" w:ascii="楷体" w:hAnsi="楷体" w:eastAsia="楷体"/>
                <w:szCs w:val="21"/>
              </w:rPr>
              <w:t>)</w:t>
            </w:r>
          </w:p>
        </w:tc>
        <w:tc>
          <w:tcPr>
            <w:tcW w:w="787" w:type="dxa"/>
          </w:tcPr>
          <w:p>
            <w:pPr>
              <w:jc w:val="center"/>
              <w:rPr>
                <w:rFonts w:ascii="楷体" w:hAnsi="楷体" w:eastAsia="楷体"/>
                <w:szCs w:val="21"/>
              </w:rPr>
            </w:pPr>
            <w:r>
              <w:rPr>
                <w:rFonts w:ascii="楷体" w:hAnsi="楷体" w:eastAsia="楷体"/>
                <w:szCs w:val="21"/>
              </w:rPr>
              <w:t>Tmax</w:t>
            </w:r>
          </w:p>
        </w:tc>
        <w:tc>
          <w:tcPr>
            <w:tcW w:w="787" w:type="dxa"/>
          </w:tcPr>
          <w:p>
            <w:pPr>
              <w:jc w:val="center"/>
              <w:rPr>
                <w:rFonts w:ascii="楷体" w:hAnsi="楷体" w:eastAsia="楷体"/>
                <w:szCs w:val="21"/>
              </w:rPr>
            </w:pPr>
            <w:r>
              <w:rPr>
                <w:rFonts w:ascii="楷体" w:hAnsi="楷体" w:eastAsia="楷体"/>
                <w:szCs w:val="21"/>
              </w:rPr>
              <w:t>Tmin</w:t>
            </w:r>
          </w:p>
        </w:tc>
        <w:tc>
          <w:tcPr>
            <w:tcW w:w="655" w:type="dxa"/>
          </w:tcPr>
          <w:p>
            <w:pPr>
              <w:jc w:val="center"/>
              <w:rPr>
                <w:rFonts w:ascii="楷体" w:hAnsi="楷体" w:eastAsia="楷体"/>
                <w:szCs w:val="21"/>
              </w:rPr>
            </w:pPr>
            <w:r>
              <w:rPr>
                <w:rFonts w:ascii="楷体" w:hAnsi="楷体" w:eastAsia="楷体"/>
                <w:szCs w:val="21"/>
              </w:rPr>
              <w:t>T</w:t>
            </w:r>
          </w:p>
        </w:tc>
        <w:tc>
          <w:tcPr>
            <w:tcW w:w="787" w:type="dxa"/>
          </w:tcPr>
          <w:p>
            <w:pPr>
              <w:jc w:val="center"/>
              <w:rPr>
                <w:rFonts w:ascii="楷体" w:hAnsi="楷体" w:eastAsia="楷体"/>
                <w:szCs w:val="21"/>
              </w:rPr>
            </w:pPr>
            <w:r>
              <w:rPr>
                <w:rFonts w:ascii="楷体" w:hAnsi="楷体" w:eastAsia="楷体"/>
                <w:szCs w:val="21"/>
              </w:rPr>
              <w:t>Tmax</w:t>
            </w:r>
          </w:p>
        </w:tc>
        <w:tc>
          <w:tcPr>
            <w:tcW w:w="787" w:type="dxa"/>
          </w:tcPr>
          <w:p>
            <w:pPr>
              <w:jc w:val="center"/>
              <w:rPr>
                <w:rFonts w:ascii="楷体" w:hAnsi="楷体" w:eastAsia="楷体"/>
                <w:szCs w:val="21"/>
              </w:rPr>
            </w:pPr>
            <w:r>
              <w:rPr>
                <w:rFonts w:ascii="楷体" w:hAnsi="楷体" w:eastAsia="楷体"/>
                <w:szCs w:val="21"/>
              </w:rPr>
              <w:t>Tmin</w:t>
            </w:r>
          </w:p>
        </w:tc>
        <w:tc>
          <w:tcPr>
            <w:tcW w:w="655" w:type="dxa"/>
          </w:tcPr>
          <w:p>
            <w:pPr>
              <w:jc w:val="center"/>
              <w:rPr>
                <w:rFonts w:ascii="楷体" w:hAnsi="楷体" w:eastAsia="楷体"/>
                <w:szCs w:val="21"/>
              </w:rPr>
            </w:pPr>
            <w:r>
              <w:rPr>
                <w:rFonts w:ascii="楷体" w:hAnsi="楷体" w:eastAsia="楷体"/>
                <w:szCs w:val="21"/>
              </w:rPr>
              <w:t>T</w:t>
            </w:r>
          </w:p>
        </w:tc>
        <w:tc>
          <w:tcPr>
            <w:tcW w:w="787" w:type="dxa"/>
          </w:tcPr>
          <w:p>
            <w:pPr>
              <w:jc w:val="center"/>
              <w:rPr>
                <w:rFonts w:ascii="楷体" w:hAnsi="楷体" w:eastAsia="楷体"/>
                <w:szCs w:val="21"/>
              </w:rPr>
            </w:pPr>
            <w:r>
              <w:rPr>
                <w:rFonts w:ascii="楷体" w:hAnsi="楷体" w:eastAsia="楷体"/>
                <w:szCs w:val="21"/>
              </w:rPr>
              <w:t>Tmax</w:t>
            </w:r>
          </w:p>
        </w:tc>
        <w:tc>
          <w:tcPr>
            <w:tcW w:w="787" w:type="dxa"/>
          </w:tcPr>
          <w:p>
            <w:pPr>
              <w:jc w:val="center"/>
              <w:rPr>
                <w:rFonts w:ascii="楷体" w:hAnsi="楷体" w:eastAsia="楷体"/>
                <w:szCs w:val="21"/>
              </w:rPr>
            </w:pPr>
            <w:r>
              <w:rPr>
                <w:rFonts w:ascii="楷体" w:hAnsi="楷体" w:eastAsia="楷体"/>
                <w:szCs w:val="21"/>
              </w:rPr>
              <w:t>Tmin</w:t>
            </w:r>
          </w:p>
        </w:tc>
        <w:tc>
          <w:tcPr>
            <w:tcW w:w="655" w:type="dxa"/>
          </w:tcPr>
          <w:p>
            <w:pPr>
              <w:jc w:val="center"/>
              <w:rPr>
                <w:rFonts w:ascii="楷体" w:hAnsi="楷体" w:eastAsia="楷体"/>
                <w:szCs w:val="21"/>
              </w:rPr>
            </w:pPr>
            <w:r>
              <w:rPr>
                <w:rFonts w:ascii="楷体" w:hAnsi="楷体" w:eastAsia="楷体"/>
                <w:szCs w:val="21"/>
              </w:rPr>
              <w:t>T</w:t>
            </w:r>
          </w:p>
        </w:tc>
        <w:tc>
          <w:tcPr>
            <w:tcW w:w="787" w:type="dxa"/>
          </w:tcPr>
          <w:p>
            <w:pPr>
              <w:jc w:val="center"/>
              <w:rPr>
                <w:rFonts w:ascii="楷体" w:hAnsi="楷体" w:eastAsia="楷体"/>
                <w:szCs w:val="21"/>
              </w:rPr>
            </w:pPr>
            <w:r>
              <w:rPr>
                <w:rFonts w:ascii="楷体" w:hAnsi="楷体" w:eastAsia="楷体"/>
                <w:szCs w:val="21"/>
              </w:rPr>
              <w:t>Tmax</w:t>
            </w:r>
          </w:p>
        </w:tc>
        <w:tc>
          <w:tcPr>
            <w:tcW w:w="787" w:type="dxa"/>
          </w:tcPr>
          <w:p>
            <w:pPr>
              <w:jc w:val="center"/>
              <w:rPr>
                <w:rFonts w:ascii="楷体" w:hAnsi="楷体" w:eastAsia="楷体"/>
                <w:szCs w:val="21"/>
              </w:rPr>
            </w:pPr>
            <w:r>
              <w:rPr>
                <w:rFonts w:ascii="楷体" w:hAnsi="楷体" w:eastAsia="楷体"/>
                <w:szCs w:val="21"/>
              </w:rPr>
              <w:t>Tmin</w:t>
            </w:r>
          </w:p>
        </w:tc>
        <w:tc>
          <w:tcPr>
            <w:tcW w:w="654" w:type="dxa"/>
          </w:tcPr>
          <w:p>
            <w:pPr>
              <w:jc w:val="center"/>
              <w:rPr>
                <w:rFonts w:ascii="楷体" w:hAnsi="楷体" w:eastAsia="楷体"/>
                <w:szCs w:val="21"/>
              </w:rPr>
            </w:pPr>
            <w:r>
              <w:rPr>
                <w:rFonts w:ascii="楷体" w:hAnsi="楷体" w:eastAsia="楷体"/>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7" w:type="dxa"/>
          </w:tcPr>
          <w:p>
            <w:pPr>
              <w:jc w:val="center"/>
              <w:rPr>
                <w:rFonts w:ascii="楷体" w:hAnsi="楷体" w:eastAsia="楷体"/>
                <w:szCs w:val="21"/>
              </w:rPr>
            </w:pPr>
            <w:r>
              <w:rPr>
                <w:rFonts w:ascii="楷体" w:hAnsi="楷体" w:eastAsia="楷体"/>
                <w:szCs w:val="21"/>
              </w:rPr>
              <w:t>60</w:t>
            </w:r>
          </w:p>
        </w:tc>
        <w:tc>
          <w:tcPr>
            <w:tcW w:w="787" w:type="dxa"/>
          </w:tcPr>
          <w:p>
            <w:pPr>
              <w:jc w:val="center"/>
              <w:rPr>
                <w:rFonts w:ascii="楷体" w:hAnsi="楷体" w:eastAsia="楷体"/>
                <w:szCs w:val="21"/>
              </w:rPr>
            </w:pPr>
            <w:r>
              <w:rPr>
                <w:rFonts w:ascii="楷体" w:hAnsi="楷体" w:eastAsia="楷体"/>
                <w:szCs w:val="21"/>
              </w:rPr>
              <w:t>659</w:t>
            </w:r>
          </w:p>
        </w:tc>
        <w:tc>
          <w:tcPr>
            <w:tcW w:w="787" w:type="dxa"/>
          </w:tcPr>
          <w:p>
            <w:pPr>
              <w:jc w:val="center"/>
              <w:rPr>
                <w:rFonts w:ascii="楷体" w:hAnsi="楷体" w:eastAsia="楷体"/>
                <w:szCs w:val="21"/>
              </w:rPr>
            </w:pPr>
            <w:r>
              <w:rPr>
                <w:rFonts w:ascii="楷体" w:hAnsi="楷体" w:eastAsia="楷体"/>
                <w:szCs w:val="21"/>
              </w:rPr>
              <w:t>463</w:t>
            </w:r>
          </w:p>
        </w:tc>
        <w:tc>
          <w:tcPr>
            <w:tcW w:w="655" w:type="dxa"/>
          </w:tcPr>
          <w:p>
            <w:pPr>
              <w:jc w:val="center"/>
              <w:rPr>
                <w:rFonts w:ascii="楷体" w:hAnsi="楷体" w:eastAsia="楷体"/>
                <w:szCs w:val="21"/>
              </w:rPr>
            </w:pPr>
            <w:r>
              <w:rPr>
                <w:rFonts w:ascii="楷体" w:hAnsi="楷体" w:eastAsia="楷体"/>
                <w:szCs w:val="21"/>
              </w:rPr>
              <w:t>548</w:t>
            </w:r>
          </w:p>
        </w:tc>
        <w:tc>
          <w:tcPr>
            <w:tcW w:w="787" w:type="dxa"/>
          </w:tcPr>
          <w:p>
            <w:pPr>
              <w:jc w:val="center"/>
              <w:rPr>
                <w:rFonts w:ascii="楷体" w:hAnsi="楷体" w:eastAsia="楷体"/>
                <w:szCs w:val="21"/>
              </w:rPr>
            </w:pPr>
            <w:r>
              <w:rPr>
                <w:rFonts w:ascii="楷体" w:hAnsi="楷体" w:eastAsia="楷体"/>
                <w:szCs w:val="21"/>
              </w:rPr>
              <w:t>475</w:t>
            </w:r>
          </w:p>
        </w:tc>
        <w:tc>
          <w:tcPr>
            <w:tcW w:w="787" w:type="dxa"/>
          </w:tcPr>
          <w:p>
            <w:pPr>
              <w:jc w:val="center"/>
              <w:rPr>
                <w:rFonts w:ascii="楷体" w:hAnsi="楷体" w:eastAsia="楷体"/>
                <w:szCs w:val="21"/>
              </w:rPr>
            </w:pPr>
            <w:r>
              <w:rPr>
                <w:rFonts w:ascii="楷体" w:hAnsi="楷体" w:eastAsia="楷体"/>
                <w:szCs w:val="21"/>
              </w:rPr>
              <w:t>344</w:t>
            </w:r>
          </w:p>
        </w:tc>
        <w:tc>
          <w:tcPr>
            <w:tcW w:w="655" w:type="dxa"/>
          </w:tcPr>
          <w:p>
            <w:pPr>
              <w:jc w:val="center"/>
              <w:rPr>
                <w:rFonts w:ascii="楷体" w:hAnsi="楷体" w:eastAsia="楷体"/>
                <w:szCs w:val="21"/>
              </w:rPr>
            </w:pPr>
            <w:r>
              <w:rPr>
                <w:rFonts w:ascii="楷体" w:hAnsi="楷体" w:eastAsia="楷体"/>
                <w:szCs w:val="21"/>
              </w:rPr>
              <w:t>390</w:t>
            </w:r>
          </w:p>
        </w:tc>
        <w:tc>
          <w:tcPr>
            <w:tcW w:w="787" w:type="dxa"/>
          </w:tcPr>
          <w:p>
            <w:pPr>
              <w:jc w:val="center"/>
              <w:rPr>
                <w:rFonts w:ascii="楷体" w:hAnsi="楷体" w:eastAsia="楷体"/>
                <w:szCs w:val="21"/>
              </w:rPr>
            </w:pPr>
            <w:r>
              <w:rPr>
                <w:rFonts w:ascii="楷体" w:hAnsi="楷体" w:eastAsia="楷体"/>
                <w:szCs w:val="21"/>
              </w:rPr>
              <w:t>302</w:t>
            </w:r>
          </w:p>
        </w:tc>
        <w:tc>
          <w:tcPr>
            <w:tcW w:w="787" w:type="dxa"/>
          </w:tcPr>
          <w:p>
            <w:pPr>
              <w:jc w:val="center"/>
              <w:rPr>
                <w:rFonts w:ascii="楷体" w:hAnsi="楷体" w:eastAsia="楷体"/>
                <w:szCs w:val="21"/>
              </w:rPr>
            </w:pPr>
            <w:r>
              <w:rPr>
                <w:rFonts w:ascii="楷体" w:hAnsi="楷体" w:eastAsia="楷体"/>
                <w:szCs w:val="21"/>
              </w:rPr>
              <w:t>192</w:t>
            </w:r>
          </w:p>
        </w:tc>
        <w:tc>
          <w:tcPr>
            <w:tcW w:w="655" w:type="dxa"/>
          </w:tcPr>
          <w:p>
            <w:pPr>
              <w:jc w:val="center"/>
              <w:rPr>
                <w:rFonts w:ascii="楷体" w:hAnsi="楷体" w:eastAsia="楷体"/>
                <w:szCs w:val="21"/>
              </w:rPr>
            </w:pPr>
            <w:r>
              <w:rPr>
                <w:rFonts w:ascii="楷体" w:hAnsi="楷体" w:eastAsia="楷体"/>
                <w:szCs w:val="21"/>
              </w:rPr>
              <w:t>260</w:t>
            </w:r>
          </w:p>
        </w:tc>
        <w:tc>
          <w:tcPr>
            <w:tcW w:w="787" w:type="dxa"/>
          </w:tcPr>
          <w:p>
            <w:pPr>
              <w:jc w:val="center"/>
              <w:rPr>
                <w:rFonts w:ascii="楷体" w:hAnsi="楷体" w:eastAsia="楷体"/>
                <w:szCs w:val="21"/>
              </w:rPr>
            </w:pPr>
            <w:r>
              <w:rPr>
                <w:rFonts w:ascii="楷体" w:hAnsi="楷体" w:eastAsia="楷体"/>
                <w:szCs w:val="21"/>
              </w:rPr>
              <w:t>171</w:t>
            </w:r>
          </w:p>
        </w:tc>
        <w:tc>
          <w:tcPr>
            <w:tcW w:w="787" w:type="dxa"/>
          </w:tcPr>
          <w:p>
            <w:pPr>
              <w:jc w:val="center"/>
              <w:rPr>
                <w:rFonts w:ascii="楷体" w:hAnsi="楷体" w:eastAsia="楷体"/>
                <w:szCs w:val="21"/>
              </w:rPr>
            </w:pPr>
            <w:r>
              <w:rPr>
                <w:rFonts w:ascii="楷体" w:hAnsi="楷体" w:eastAsia="楷体"/>
                <w:szCs w:val="21"/>
              </w:rPr>
              <w:t>106</w:t>
            </w:r>
          </w:p>
        </w:tc>
        <w:tc>
          <w:tcPr>
            <w:tcW w:w="654" w:type="dxa"/>
          </w:tcPr>
          <w:p>
            <w:pPr>
              <w:jc w:val="center"/>
              <w:rPr>
                <w:rFonts w:ascii="楷体" w:hAnsi="楷体" w:eastAsia="楷体"/>
                <w:szCs w:val="21"/>
              </w:rPr>
            </w:pPr>
            <w:r>
              <w:rPr>
                <w:rFonts w:ascii="楷体" w:hAnsi="楷体" w:eastAsia="楷体"/>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1047" w:type="dxa"/>
          </w:tcPr>
          <w:p>
            <w:pPr>
              <w:jc w:val="center"/>
              <w:rPr>
                <w:rFonts w:ascii="楷体" w:hAnsi="楷体" w:eastAsia="楷体"/>
                <w:szCs w:val="21"/>
              </w:rPr>
            </w:pPr>
            <w:r>
              <w:rPr>
                <w:rFonts w:ascii="楷体" w:hAnsi="楷体" w:eastAsia="楷体"/>
                <w:szCs w:val="21"/>
              </w:rPr>
              <w:t>70</w:t>
            </w:r>
          </w:p>
        </w:tc>
        <w:tc>
          <w:tcPr>
            <w:tcW w:w="787" w:type="dxa"/>
          </w:tcPr>
          <w:p>
            <w:pPr>
              <w:jc w:val="center"/>
              <w:rPr>
                <w:rFonts w:ascii="楷体" w:hAnsi="楷体" w:eastAsia="楷体"/>
                <w:szCs w:val="21"/>
              </w:rPr>
            </w:pPr>
            <w:r>
              <w:rPr>
                <w:rFonts w:ascii="楷体" w:hAnsi="楷体" w:eastAsia="楷体"/>
                <w:szCs w:val="21"/>
              </w:rPr>
              <w:t>692</w:t>
            </w:r>
          </w:p>
        </w:tc>
        <w:tc>
          <w:tcPr>
            <w:tcW w:w="787" w:type="dxa"/>
          </w:tcPr>
          <w:p>
            <w:pPr>
              <w:jc w:val="center"/>
              <w:rPr>
                <w:rFonts w:ascii="楷体" w:hAnsi="楷体" w:eastAsia="楷体"/>
                <w:szCs w:val="21"/>
              </w:rPr>
            </w:pPr>
            <w:r>
              <w:rPr>
                <w:rFonts w:ascii="楷体" w:hAnsi="楷体" w:eastAsia="楷体"/>
                <w:szCs w:val="21"/>
              </w:rPr>
              <w:t>496</w:t>
            </w:r>
          </w:p>
        </w:tc>
        <w:tc>
          <w:tcPr>
            <w:tcW w:w="655" w:type="dxa"/>
          </w:tcPr>
          <w:p>
            <w:pPr>
              <w:jc w:val="center"/>
              <w:rPr>
                <w:rFonts w:ascii="楷体" w:hAnsi="楷体" w:eastAsia="楷体"/>
                <w:szCs w:val="21"/>
              </w:rPr>
            </w:pPr>
            <w:r>
              <w:rPr>
                <w:rFonts w:ascii="楷体" w:hAnsi="楷体" w:eastAsia="楷体"/>
                <w:szCs w:val="21"/>
              </w:rPr>
              <w:t>582</w:t>
            </w:r>
          </w:p>
        </w:tc>
        <w:tc>
          <w:tcPr>
            <w:tcW w:w="787" w:type="dxa"/>
          </w:tcPr>
          <w:p>
            <w:pPr>
              <w:jc w:val="center"/>
              <w:rPr>
                <w:rFonts w:ascii="楷体" w:hAnsi="楷体" w:eastAsia="楷体"/>
                <w:szCs w:val="21"/>
              </w:rPr>
            </w:pPr>
            <w:r>
              <w:rPr>
                <w:rFonts w:ascii="楷体" w:hAnsi="楷体" w:eastAsia="楷体"/>
                <w:szCs w:val="21"/>
              </w:rPr>
              <w:t>494</w:t>
            </w:r>
          </w:p>
        </w:tc>
        <w:tc>
          <w:tcPr>
            <w:tcW w:w="787" w:type="dxa"/>
          </w:tcPr>
          <w:p>
            <w:pPr>
              <w:jc w:val="center"/>
              <w:rPr>
                <w:rFonts w:ascii="楷体" w:hAnsi="楷体" w:eastAsia="楷体"/>
                <w:szCs w:val="21"/>
              </w:rPr>
            </w:pPr>
            <w:r>
              <w:rPr>
                <w:rFonts w:ascii="楷体" w:hAnsi="楷体" w:eastAsia="楷体"/>
                <w:szCs w:val="21"/>
              </w:rPr>
              <w:t>377</w:t>
            </w:r>
          </w:p>
        </w:tc>
        <w:tc>
          <w:tcPr>
            <w:tcW w:w="655" w:type="dxa"/>
          </w:tcPr>
          <w:p>
            <w:pPr>
              <w:jc w:val="center"/>
              <w:rPr>
                <w:rFonts w:ascii="楷体" w:hAnsi="楷体" w:eastAsia="楷体"/>
                <w:szCs w:val="21"/>
              </w:rPr>
            </w:pPr>
            <w:r>
              <w:rPr>
                <w:rFonts w:ascii="楷体" w:hAnsi="楷体" w:eastAsia="楷体"/>
                <w:szCs w:val="21"/>
              </w:rPr>
              <w:t>425</w:t>
            </w:r>
          </w:p>
        </w:tc>
        <w:tc>
          <w:tcPr>
            <w:tcW w:w="787" w:type="dxa"/>
          </w:tcPr>
          <w:p>
            <w:pPr>
              <w:jc w:val="center"/>
              <w:rPr>
                <w:rFonts w:ascii="楷体" w:hAnsi="楷体" w:eastAsia="楷体"/>
                <w:szCs w:val="21"/>
              </w:rPr>
            </w:pPr>
            <w:r>
              <w:rPr>
                <w:rFonts w:ascii="楷体" w:hAnsi="楷体" w:eastAsia="楷体"/>
                <w:szCs w:val="21"/>
              </w:rPr>
              <w:t>339</w:t>
            </w:r>
          </w:p>
        </w:tc>
        <w:tc>
          <w:tcPr>
            <w:tcW w:w="787" w:type="dxa"/>
          </w:tcPr>
          <w:p>
            <w:pPr>
              <w:jc w:val="center"/>
              <w:rPr>
                <w:rFonts w:ascii="楷体" w:hAnsi="楷体" w:eastAsia="楷体"/>
                <w:szCs w:val="21"/>
              </w:rPr>
            </w:pPr>
            <w:r>
              <w:rPr>
                <w:rFonts w:ascii="楷体" w:hAnsi="楷体" w:eastAsia="楷体"/>
                <w:szCs w:val="21"/>
              </w:rPr>
              <w:t>221</w:t>
            </w:r>
          </w:p>
        </w:tc>
        <w:tc>
          <w:tcPr>
            <w:tcW w:w="655" w:type="dxa"/>
          </w:tcPr>
          <w:p>
            <w:pPr>
              <w:jc w:val="center"/>
              <w:rPr>
                <w:rFonts w:ascii="楷体" w:hAnsi="楷体" w:eastAsia="楷体"/>
                <w:szCs w:val="21"/>
              </w:rPr>
            </w:pPr>
            <w:r>
              <w:rPr>
                <w:rFonts w:ascii="楷体" w:hAnsi="楷体" w:eastAsia="楷体"/>
                <w:szCs w:val="21"/>
              </w:rPr>
              <w:t>294</w:t>
            </w:r>
          </w:p>
        </w:tc>
        <w:tc>
          <w:tcPr>
            <w:tcW w:w="787" w:type="dxa"/>
          </w:tcPr>
          <w:p>
            <w:pPr>
              <w:jc w:val="center"/>
              <w:rPr>
                <w:rFonts w:ascii="楷体" w:hAnsi="楷体" w:eastAsia="楷体"/>
                <w:szCs w:val="21"/>
              </w:rPr>
            </w:pPr>
            <w:r>
              <w:rPr>
                <w:rFonts w:ascii="楷体" w:hAnsi="楷体" w:eastAsia="楷体"/>
                <w:szCs w:val="21"/>
              </w:rPr>
              <w:t>202</w:t>
            </w:r>
          </w:p>
        </w:tc>
        <w:tc>
          <w:tcPr>
            <w:tcW w:w="787" w:type="dxa"/>
          </w:tcPr>
          <w:p>
            <w:pPr>
              <w:jc w:val="center"/>
              <w:rPr>
                <w:rFonts w:ascii="楷体" w:hAnsi="楷体" w:eastAsia="楷体"/>
                <w:szCs w:val="21"/>
              </w:rPr>
            </w:pPr>
            <w:r>
              <w:rPr>
                <w:rFonts w:ascii="楷体" w:hAnsi="楷体" w:eastAsia="楷体"/>
                <w:szCs w:val="21"/>
              </w:rPr>
              <w:t>125</w:t>
            </w:r>
          </w:p>
        </w:tc>
        <w:tc>
          <w:tcPr>
            <w:tcW w:w="654" w:type="dxa"/>
          </w:tcPr>
          <w:p>
            <w:pPr>
              <w:jc w:val="center"/>
              <w:rPr>
                <w:rFonts w:ascii="楷体" w:hAnsi="楷体" w:eastAsia="楷体"/>
                <w:szCs w:val="21"/>
              </w:rPr>
            </w:pPr>
            <w:r>
              <w:rPr>
                <w:rFonts w:ascii="楷体" w:hAnsi="楷体" w:eastAsia="楷体"/>
                <w:szCs w:val="21"/>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7" w:type="dxa"/>
          </w:tcPr>
          <w:p>
            <w:pPr>
              <w:jc w:val="center"/>
              <w:rPr>
                <w:rFonts w:ascii="楷体" w:hAnsi="楷体" w:eastAsia="楷体"/>
                <w:szCs w:val="21"/>
              </w:rPr>
            </w:pPr>
            <w:r>
              <w:rPr>
                <w:rFonts w:ascii="楷体" w:hAnsi="楷体" w:eastAsia="楷体"/>
                <w:szCs w:val="21"/>
              </w:rPr>
              <w:t>80</w:t>
            </w:r>
          </w:p>
        </w:tc>
        <w:tc>
          <w:tcPr>
            <w:tcW w:w="787" w:type="dxa"/>
          </w:tcPr>
          <w:p>
            <w:pPr>
              <w:jc w:val="center"/>
              <w:rPr>
                <w:rFonts w:ascii="楷体" w:hAnsi="楷体" w:eastAsia="楷体"/>
                <w:szCs w:val="21"/>
              </w:rPr>
            </w:pPr>
            <w:r>
              <w:rPr>
                <w:rFonts w:ascii="楷体" w:hAnsi="楷体" w:eastAsia="楷体"/>
                <w:szCs w:val="21"/>
              </w:rPr>
              <w:t>723</w:t>
            </w:r>
          </w:p>
        </w:tc>
        <w:tc>
          <w:tcPr>
            <w:tcW w:w="787" w:type="dxa"/>
          </w:tcPr>
          <w:p>
            <w:pPr>
              <w:jc w:val="center"/>
              <w:rPr>
                <w:rFonts w:ascii="楷体" w:hAnsi="楷体" w:eastAsia="楷体"/>
                <w:szCs w:val="21"/>
              </w:rPr>
            </w:pPr>
            <w:r>
              <w:rPr>
                <w:rFonts w:ascii="楷体" w:hAnsi="楷体" w:eastAsia="楷体"/>
                <w:szCs w:val="21"/>
              </w:rPr>
              <w:t>526</w:t>
            </w:r>
          </w:p>
        </w:tc>
        <w:tc>
          <w:tcPr>
            <w:tcW w:w="655" w:type="dxa"/>
          </w:tcPr>
          <w:p>
            <w:pPr>
              <w:jc w:val="center"/>
              <w:rPr>
                <w:rFonts w:ascii="楷体" w:hAnsi="楷体" w:eastAsia="楷体"/>
                <w:szCs w:val="21"/>
              </w:rPr>
            </w:pPr>
            <w:r>
              <w:rPr>
                <w:rFonts w:ascii="楷体" w:hAnsi="楷体" w:eastAsia="楷体"/>
                <w:szCs w:val="21"/>
              </w:rPr>
              <w:t>614</w:t>
            </w:r>
          </w:p>
        </w:tc>
        <w:tc>
          <w:tcPr>
            <w:tcW w:w="787" w:type="dxa"/>
          </w:tcPr>
          <w:p>
            <w:pPr>
              <w:jc w:val="center"/>
              <w:rPr>
                <w:rFonts w:ascii="楷体" w:hAnsi="楷体" w:eastAsia="楷体"/>
                <w:szCs w:val="21"/>
              </w:rPr>
            </w:pPr>
            <w:r>
              <w:rPr>
                <w:rFonts w:ascii="楷体" w:hAnsi="楷体" w:eastAsia="楷体"/>
                <w:szCs w:val="21"/>
              </w:rPr>
              <w:t>528</w:t>
            </w:r>
          </w:p>
        </w:tc>
        <w:tc>
          <w:tcPr>
            <w:tcW w:w="787" w:type="dxa"/>
          </w:tcPr>
          <w:p>
            <w:pPr>
              <w:jc w:val="center"/>
              <w:rPr>
                <w:rFonts w:ascii="楷体" w:hAnsi="楷体" w:eastAsia="楷体"/>
                <w:szCs w:val="21"/>
              </w:rPr>
            </w:pPr>
            <w:r>
              <w:rPr>
                <w:rFonts w:ascii="楷体" w:hAnsi="楷体" w:eastAsia="楷体"/>
                <w:szCs w:val="21"/>
              </w:rPr>
              <w:t>404</w:t>
            </w:r>
          </w:p>
        </w:tc>
        <w:tc>
          <w:tcPr>
            <w:tcW w:w="655" w:type="dxa"/>
          </w:tcPr>
          <w:p>
            <w:pPr>
              <w:jc w:val="center"/>
              <w:rPr>
                <w:rFonts w:ascii="楷体" w:hAnsi="楷体" w:eastAsia="楷体"/>
                <w:szCs w:val="21"/>
              </w:rPr>
            </w:pPr>
            <w:r>
              <w:rPr>
                <w:rFonts w:ascii="楷体" w:hAnsi="楷体" w:eastAsia="楷体"/>
                <w:szCs w:val="21"/>
              </w:rPr>
              <w:t>459</w:t>
            </w:r>
          </w:p>
        </w:tc>
        <w:tc>
          <w:tcPr>
            <w:tcW w:w="787" w:type="dxa"/>
          </w:tcPr>
          <w:p>
            <w:pPr>
              <w:jc w:val="center"/>
              <w:rPr>
                <w:rFonts w:ascii="楷体" w:hAnsi="楷体" w:eastAsia="楷体"/>
                <w:szCs w:val="21"/>
              </w:rPr>
            </w:pPr>
            <w:r>
              <w:rPr>
                <w:rFonts w:ascii="楷体" w:hAnsi="楷体" w:eastAsia="楷体"/>
                <w:szCs w:val="21"/>
              </w:rPr>
              <w:t>373</w:t>
            </w:r>
          </w:p>
        </w:tc>
        <w:tc>
          <w:tcPr>
            <w:tcW w:w="787" w:type="dxa"/>
          </w:tcPr>
          <w:p>
            <w:pPr>
              <w:jc w:val="center"/>
              <w:rPr>
                <w:rFonts w:ascii="楷体" w:hAnsi="楷体" w:eastAsia="楷体"/>
                <w:szCs w:val="21"/>
              </w:rPr>
            </w:pPr>
            <w:r>
              <w:rPr>
                <w:rFonts w:ascii="楷体" w:hAnsi="楷体" w:eastAsia="楷体"/>
                <w:szCs w:val="21"/>
              </w:rPr>
              <w:t>252</w:t>
            </w:r>
          </w:p>
        </w:tc>
        <w:tc>
          <w:tcPr>
            <w:tcW w:w="655" w:type="dxa"/>
          </w:tcPr>
          <w:p>
            <w:pPr>
              <w:jc w:val="center"/>
              <w:rPr>
                <w:rFonts w:ascii="楷体" w:hAnsi="楷体" w:eastAsia="楷体"/>
                <w:szCs w:val="21"/>
              </w:rPr>
            </w:pPr>
            <w:r>
              <w:rPr>
                <w:rFonts w:ascii="楷体" w:hAnsi="楷体" w:eastAsia="楷体"/>
                <w:szCs w:val="21"/>
              </w:rPr>
              <w:t>328</w:t>
            </w:r>
          </w:p>
        </w:tc>
        <w:tc>
          <w:tcPr>
            <w:tcW w:w="787" w:type="dxa"/>
          </w:tcPr>
          <w:p>
            <w:pPr>
              <w:jc w:val="center"/>
              <w:rPr>
                <w:rFonts w:ascii="楷体" w:hAnsi="楷体" w:eastAsia="楷体"/>
                <w:szCs w:val="21"/>
              </w:rPr>
            </w:pPr>
            <w:r>
              <w:rPr>
                <w:rFonts w:ascii="楷体" w:hAnsi="楷体" w:eastAsia="楷体"/>
                <w:szCs w:val="21"/>
              </w:rPr>
              <w:t>231</w:t>
            </w:r>
          </w:p>
        </w:tc>
        <w:tc>
          <w:tcPr>
            <w:tcW w:w="787" w:type="dxa"/>
          </w:tcPr>
          <w:p>
            <w:pPr>
              <w:jc w:val="center"/>
              <w:rPr>
                <w:rFonts w:ascii="楷体" w:hAnsi="楷体" w:eastAsia="楷体"/>
                <w:szCs w:val="21"/>
              </w:rPr>
            </w:pPr>
            <w:r>
              <w:rPr>
                <w:rFonts w:ascii="楷体" w:hAnsi="楷体" w:eastAsia="楷体"/>
                <w:szCs w:val="21"/>
              </w:rPr>
              <w:t>150</w:t>
            </w:r>
          </w:p>
        </w:tc>
        <w:tc>
          <w:tcPr>
            <w:tcW w:w="654" w:type="dxa"/>
          </w:tcPr>
          <w:p>
            <w:pPr>
              <w:jc w:val="center"/>
              <w:rPr>
                <w:rFonts w:ascii="楷体" w:hAnsi="楷体" w:eastAsia="楷体"/>
                <w:szCs w:val="21"/>
              </w:rPr>
            </w:pPr>
            <w:r>
              <w:rPr>
                <w:rFonts w:ascii="楷体" w:hAnsi="楷体" w:eastAsia="楷体"/>
                <w:szCs w:val="21"/>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trPr>
        <w:tc>
          <w:tcPr>
            <w:tcW w:w="1047" w:type="dxa"/>
          </w:tcPr>
          <w:p>
            <w:pPr>
              <w:jc w:val="center"/>
              <w:rPr>
                <w:rFonts w:ascii="楷体" w:hAnsi="楷体" w:eastAsia="楷体"/>
                <w:szCs w:val="21"/>
              </w:rPr>
            </w:pPr>
            <w:r>
              <w:rPr>
                <w:rFonts w:ascii="楷体" w:hAnsi="楷体" w:eastAsia="楷体"/>
                <w:szCs w:val="21"/>
              </w:rPr>
              <w:t>90</w:t>
            </w:r>
          </w:p>
        </w:tc>
        <w:tc>
          <w:tcPr>
            <w:tcW w:w="787" w:type="dxa"/>
          </w:tcPr>
          <w:p>
            <w:pPr>
              <w:jc w:val="center"/>
              <w:rPr>
                <w:rFonts w:ascii="楷体" w:hAnsi="楷体" w:eastAsia="楷体"/>
                <w:szCs w:val="21"/>
              </w:rPr>
            </w:pPr>
            <w:r>
              <w:rPr>
                <w:rFonts w:ascii="楷体" w:hAnsi="楷体" w:eastAsia="楷体"/>
                <w:szCs w:val="21"/>
              </w:rPr>
              <w:t>749</w:t>
            </w:r>
          </w:p>
        </w:tc>
        <w:tc>
          <w:tcPr>
            <w:tcW w:w="787" w:type="dxa"/>
          </w:tcPr>
          <w:p>
            <w:pPr>
              <w:jc w:val="center"/>
              <w:rPr>
                <w:rFonts w:ascii="楷体" w:hAnsi="楷体" w:eastAsia="楷体"/>
                <w:szCs w:val="21"/>
              </w:rPr>
            </w:pPr>
            <w:r>
              <w:rPr>
                <w:rFonts w:ascii="楷体" w:hAnsi="楷体" w:eastAsia="楷体"/>
                <w:szCs w:val="21"/>
              </w:rPr>
              <w:t>553</w:t>
            </w:r>
          </w:p>
        </w:tc>
        <w:tc>
          <w:tcPr>
            <w:tcW w:w="655" w:type="dxa"/>
          </w:tcPr>
          <w:p>
            <w:pPr>
              <w:jc w:val="center"/>
              <w:rPr>
                <w:rFonts w:ascii="楷体" w:hAnsi="楷体" w:eastAsia="楷体"/>
                <w:szCs w:val="21"/>
              </w:rPr>
            </w:pPr>
            <w:r>
              <w:rPr>
                <w:rFonts w:ascii="楷体" w:hAnsi="楷体" w:eastAsia="楷体"/>
                <w:szCs w:val="21"/>
              </w:rPr>
              <w:t>649</w:t>
            </w:r>
          </w:p>
        </w:tc>
        <w:tc>
          <w:tcPr>
            <w:tcW w:w="787" w:type="dxa"/>
          </w:tcPr>
          <w:p>
            <w:pPr>
              <w:jc w:val="center"/>
              <w:rPr>
                <w:rFonts w:ascii="楷体" w:hAnsi="楷体" w:eastAsia="楷体"/>
                <w:szCs w:val="21"/>
              </w:rPr>
            </w:pPr>
            <w:r>
              <w:rPr>
                <w:rFonts w:ascii="楷体" w:hAnsi="楷体" w:eastAsia="楷体"/>
                <w:szCs w:val="21"/>
              </w:rPr>
              <w:t>559</w:t>
            </w:r>
          </w:p>
        </w:tc>
        <w:tc>
          <w:tcPr>
            <w:tcW w:w="787" w:type="dxa"/>
          </w:tcPr>
          <w:p>
            <w:pPr>
              <w:jc w:val="center"/>
              <w:rPr>
                <w:rFonts w:ascii="楷体" w:hAnsi="楷体" w:eastAsia="楷体"/>
                <w:szCs w:val="21"/>
              </w:rPr>
            </w:pPr>
            <w:r>
              <w:rPr>
                <w:rFonts w:ascii="楷体" w:hAnsi="楷体" w:eastAsia="楷体"/>
                <w:szCs w:val="21"/>
              </w:rPr>
              <w:t>433</w:t>
            </w:r>
          </w:p>
        </w:tc>
        <w:tc>
          <w:tcPr>
            <w:tcW w:w="655" w:type="dxa"/>
          </w:tcPr>
          <w:p>
            <w:pPr>
              <w:jc w:val="center"/>
              <w:rPr>
                <w:rFonts w:ascii="楷体" w:hAnsi="楷体" w:eastAsia="楷体"/>
                <w:szCs w:val="21"/>
              </w:rPr>
            </w:pPr>
            <w:r>
              <w:rPr>
                <w:rFonts w:ascii="楷体" w:hAnsi="楷体" w:eastAsia="楷体"/>
                <w:szCs w:val="21"/>
              </w:rPr>
              <w:t>496</w:t>
            </w:r>
          </w:p>
        </w:tc>
        <w:tc>
          <w:tcPr>
            <w:tcW w:w="787" w:type="dxa"/>
          </w:tcPr>
          <w:p>
            <w:pPr>
              <w:jc w:val="center"/>
              <w:rPr>
                <w:rFonts w:ascii="楷体" w:hAnsi="楷体" w:eastAsia="楷体"/>
                <w:szCs w:val="21"/>
              </w:rPr>
            </w:pPr>
            <w:r>
              <w:rPr>
                <w:rFonts w:ascii="楷体" w:hAnsi="楷体" w:eastAsia="楷体"/>
                <w:szCs w:val="21"/>
              </w:rPr>
              <w:t>404</w:t>
            </w:r>
          </w:p>
        </w:tc>
        <w:tc>
          <w:tcPr>
            <w:tcW w:w="787" w:type="dxa"/>
          </w:tcPr>
          <w:p>
            <w:pPr>
              <w:jc w:val="center"/>
              <w:rPr>
                <w:rFonts w:ascii="楷体" w:hAnsi="楷体" w:eastAsia="楷体"/>
                <w:szCs w:val="21"/>
              </w:rPr>
            </w:pPr>
            <w:r>
              <w:rPr>
                <w:rFonts w:ascii="楷体" w:hAnsi="楷体" w:eastAsia="楷体"/>
                <w:szCs w:val="21"/>
              </w:rPr>
              <w:t>282</w:t>
            </w:r>
          </w:p>
        </w:tc>
        <w:tc>
          <w:tcPr>
            <w:tcW w:w="655" w:type="dxa"/>
          </w:tcPr>
          <w:p>
            <w:pPr>
              <w:jc w:val="center"/>
              <w:rPr>
                <w:rFonts w:ascii="楷体" w:hAnsi="楷体" w:eastAsia="楷体"/>
                <w:szCs w:val="21"/>
              </w:rPr>
            </w:pPr>
            <w:r>
              <w:rPr>
                <w:rFonts w:ascii="楷体" w:hAnsi="楷体" w:eastAsia="楷体"/>
                <w:szCs w:val="21"/>
              </w:rPr>
              <w:t>362</w:t>
            </w:r>
          </w:p>
        </w:tc>
        <w:tc>
          <w:tcPr>
            <w:tcW w:w="787" w:type="dxa"/>
          </w:tcPr>
          <w:p>
            <w:pPr>
              <w:jc w:val="center"/>
              <w:rPr>
                <w:rFonts w:ascii="楷体" w:hAnsi="楷体" w:eastAsia="楷体"/>
                <w:szCs w:val="21"/>
              </w:rPr>
            </w:pPr>
            <w:r>
              <w:rPr>
                <w:rFonts w:ascii="楷体" w:hAnsi="楷体" w:eastAsia="楷体"/>
                <w:szCs w:val="21"/>
              </w:rPr>
              <w:t>260</w:t>
            </w:r>
          </w:p>
        </w:tc>
        <w:tc>
          <w:tcPr>
            <w:tcW w:w="787" w:type="dxa"/>
          </w:tcPr>
          <w:p>
            <w:pPr>
              <w:jc w:val="center"/>
              <w:rPr>
                <w:rFonts w:ascii="楷体" w:hAnsi="楷体" w:eastAsia="楷体"/>
                <w:szCs w:val="21"/>
              </w:rPr>
            </w:pPr>
            <w:r>
              <w:rPr>
                <w:rFonts w:ascii="楷体" w:hAnsi="楷体" w:eastAsia="楷体"/>
                <w:szCs w:val="21"/>
              </w:rPr>
              <w:t>180</w:t>
            </w:r>
          </w:p>
        </w:tc>
        <w:tc>
          <w:tcPr>
            <w:tcW w:w="654" w:type="dxa"/>
          </w:tcPr>
          <w:p>
            <w:pPr>
              <w:jc w:val="center"/>
              <w:rPr>
                <w:rFonts w:ascii="楷体" w:hAnsi="楷体" w:eastAsia="楷体"/>
                <w:szCs w:val="21"/>
              </w:rPr>
            </w:pPr>
            <w:r>
              <w:rPr>
                <w:rFonts w:ascii="楷体" w:hAnsi="楷体" w:eastAsia="楷体"/>
                <w:szCs w:val="21"/>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7" w:type="dxa"/>
          </w:tcPr>
          <w:p>
            <w:pPr>
              <w:jc w:val="center"/>
              <w:rPr>
                <w:rFonts w:ascii="楷体" w:hAnsi="楷体" w:eastAsia="楷体"/>
                <w:szCs w:val="21"/>
              </w:rPr>
            </w:pPr>
            <w:r>
              <w:rPr>
                <w:rFonts w:ascii="楷体" w:hAnsi="楷体" w:eastAsia="楷体"/>
                <w:szCs w:val="21"/>
              </w:rPr>
              <w:t>100</w:t>
            </w:r>
          </w:p>
        </w:tc>
        <w:tc>
          <w:tcPr>
            <w:tcW w:w="787" w:type="dxa"/>
          </w:tcPr>
          <w:p>
            <w:pPr>
              <w:jc w:val="center"/>
              <w:rPr>
                <w:rFonts w:ascii="楷体" w:hAnsi="楷体" w:eastAsia="楷体"/>
                <w:szCs w:val="21"/>
              </w:rPr>
            </w:pPr>
            <w:r>
              <w:rPr>
                <w:rFonts w:ascii="楷体" w:hAnsi="楷体" w:eastAsia="楷体"/>
                <w:szCs w:val="21"/>
              </w:rPr>
              <w:t>772</w:t>
            </w:r>
          </w:p>
        </w:tc>
        <w:tc>
          <w:tcPr>
            <w:tcW w:w="787" w:type="dxa"/>
          </w:tcPr>
          <w:p>
            <w:pPr>
              <w:jc w:val="center"/>
              <w:rPr>
                <w:rFonts w:ascii="楷体" w:hAnsi="楷体" w:eastAsia="楷体"/>
                <w:szCs w:val="21"/>
              </w:rPr>
            </w:pPr>
            <w:r>
              <w:rPr>
                <w:rFonts w:ascii="楷体" w:hAnsi="楷体" w:eastAsia="楷体"/>
                <w:szCs w:val="21"/>
              </w:rPr>
              <w:t>577</w:t>
            </w:r>
          </w:p>
        </w:tc>
        <w:tc>
          <w:tcPr>
            <w:tcW w:w="655" w:type="dxa"/>
          </w:tcPr>
          <w:p>
            <w:pPr>
              <w:jc w:val="center"/>
              <w:rPr>
                <w:rFonts w:ascii="楷体" w:hAnsi="楷体" w:eastAsia="楷体"/>
                <w:szCs w:val="21"/>
              </w:rPr>
            </w:pPr>
            <w:r>
              <w:rPr>
                <w:rFonts w:ascii="楷体" w:hAnsi="楷体" w:eastAsia="楷体"/>
                <w:szCs w:val="21"/>
              </w:rPr>
              <w:t>675</w:t>
            </w:r>
          </w:p>
        </w:tc>
        <w:tc>
          <w:tcPr>
            <w:tcW w:w="787" w:type="dxa"/>
          </w:tcPr>
          <w:p>
            <w:pPr>
              <w:jc w:val="center"/>
              <w:rPr>
                <w:rFonts w:ascii="楷体" w:hAnsi="楷体" w:eastAsia="楷体"/>
                <w:szCs w:val="21"/>
              </w:rPr>
            </w:pPr>
            <w:r>
              <w:rPr>
                <w:rFonts w:ascii="楷体" w:hAnsi="楷体" w:eastAsia="楷体"/>
                <w:szCs w:val="21"/>
              </w:rPr>
              <w:t>586</w:t>
            </w:r>
          </w:p>
        </w:tc>
        <w:tc>
          <w:tcPr>
            <w:tcW w:w="787" w:type="dxa"/>
          </w:tcPr>
          <w:p>
            <w:pPr>
              <w:jc w:val="center"/>
              <w:rPr>
                <w:rFonts w:ascii="楷体" w:hAnsi="楷体" w:eastAsia="楷体"/>
                <w:szCs w:val="21"/>
              </w:rPr>
            </w:pPr>
            <w:r>
              <w:rPr>
                <w:rFonts w:ascii="楷体" w:hAnsi="楷体" w:eastAsia="楷体"/>
                <w:szCs w:val="21"/>
              </w:rPr>
              <w:t>460</w:t>
            </w:r>
          </w:p>
        </w:tc>
        <w:tc>
          <w:tcPr>
            <w:tcW w:w="655" w:type="dxa"/>
          </w:tcPr>
          <w:p>
            <w:pPr>
              <w:jc w:val="center"/>
              <w:rPr>
                <w:rFonts w:ascii="楷体" w:hAnsi="楷体" w:eastAsia="楷体"/>
                <w:szCs w:val="21"/>
              </w:rPr>
            </w:pPr>
            <w:r>
              <w:rPr>
                <w:rFonts w:ascii="楷体" w:hAnsi="楷体" w:eastAsia="楷体"/>
                <w:szCs w:val="21"/>
              </w:rPr>
              <w:t>520</w:t>
            </w:r>
          </w:p>
        </w:tc>
        <w:tc>
          <w:tcPr>
            <w:tcW w:w="787" w:type="dxa"/>
          </w:tcPr>
          <w:p>
            <w:pPr>
              <w:jc w:val="center"/>
              <w:rPr>
                <w:rFonts w:ascii="楷体" w:hAnsi="楷体" w:eastAsia="楷体"/>
                <w:szCs w:val="21"/>
              </w:rPr>
            </w:pPr>
            <w:r>
              <w:rPr>
                <w:rFonts w:ascii="楷体" w:hAnsi="楷体" w:eastAsia="楷体"/>
                <w:szCs w:val="21"/>
              </w:rPr>
              <w:t>434</w:t>
            </w:r>
          </w:p>
        </w:tc>
        <w:tc>
          <w:tcPr>
            <w:tcW w:w="787" w:type="dxa"/>
          </w:tcPr>
          <w:p>
            <w:pPr>
              <w:jc w:val="center"/>
              <w:rPr>
                <w:rFonts w:ascii="楷体" w:hAnsi="楷体" w:eastAsia="楷体"/>
                <w:szCs w:val="21"/>
              </w:rPr>
            </w:pPr>
            <w:r>
              <w:rPr>
                <w:rFonts w:ascii="楷体" w:hAnsi="楷体" w:eastAsia="楷体"/>
                <w:szCs w:val="21"/>
              </w:rPr>
              <w:t>311</w:t>
            </w:r>
          </w:p>
        </w:tc>
        <w:tc>
          <w:tcPr>
            <w:tcW w:w="655" w:type="dxa"/>
          </w:tcPr>
          <w:p>
            <w:pPr>
              <w:jc w:val="center"/>
              <w:rPr>
                <w:rFonts w:ascii="楷体" w:hAnsi="楷体" w:eastAsia="楷体"/>
                <w:szCs w:val="21"/>
              </w:rPr>
            </w:pPr>
            <w:r>
              <w:rPr>
                <w:rFonts w:ascii="楷体" w:hAnsi="楷体" w:eastAsia="楷体"/>
                <w:szCs w:val="21"/>
              </w:rPr>
              <w:t>390</w:t>
            </w:r>
          </w:p>
        </w:tc>
        <w:tc>
          <w:tcPr>
            <w:tcW w:w="787" w:type="dxa"/>
          </w:tcPr>
          <w:p>
            <w:pPr>
              <w:jc w:val="center"/>
              <w:rPr>
                <w:rFonts w:ascii="楷体" w:hAnsi="楷体" w:eastAsia="楷体"/>
                <w:szCs w:val="21"/>
              </w:rPr>
            </w:pPr>
            <w:r>
              <w:rPr>
                <w:rFonts w:ascii="楷体" w:hAnsi="楷体" w:eastAsia="楷体"/>
                <w:szCs w:val="21"/>
              </w:rPr>
              <w:t>288</w:t>
            </w:r>
          </w:p>
        </w:tc>
        <w:tc>
          <w:tcPr>
            <w:tcW w:w="787" w:type="dxa"/>
          </w:tcPr>
          <w:p>
            <w:pPr>
              <w:jc w:val="center"/>
              <w:rPr>
                <w:rFonts w:ascii="楷体" w:hAnsi="楷体" w:eastAsia="楷体"/>
                <w:szCs w:val="21"/>
              </w:rPr>
            </w:pPr>
            <w:r>
              <w:rPr>
                <w:rFonts w:ascii="楷体" w:hAnsi="楷体" w:eastAsia="楷体"/>
                <w:szCs w:val="21"/>
              </w:rPr>
              <w:t>205</w:t>
            </w:r>
          </w:p>
        </w:tc>
        <w:tc>
          <w:tcPr>
            <w:tcW w:w="654" w:type="dxa"/>
          </w:tcPr>
          <w:p>
            <w:pPr>
              <w:jc w:val="center"/>
              <w:rPr>
                <w:rFonts w:ascii="楷体" w:hAnsi="楷体" w:eastAsia="楷体"/>
                <w:szCs w:val="21"/>
              </w:rPr>
            </w:pPr>
            <w:r>
              <w:rPr>
                <w:rFonts w:ascii="楷体" w:hAnsi="楷体" w:eastAsia="楷体"/>
                <w:szCs w:val="21"/>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7" w:type="dxa"/>
          </w:tcPr>
          <w:p>
            <w:pPr>
              <w:jc w:val="center"/>
              <w:rPr>
                <w:rFonts w:ascii="楷体" w:hAnsi="楷体" w:eastAsia="楷体"/>
                <w:szCs w:val="21"/>
              </w:rPr>
            </w:pPr>
            <w:r>
              <w:rPr>
                <w:rFonts w:ascii="楷体" w:hAnsi="楷体" w:eastAsia="楷体"/>
                <w:szCs w:val="21"/>
              </w:rPr>
              <w:t>110</w:t>
            </w:r>
          </w:p>
        </w:tc>
        <w:tc>
          <w:tcPr>
            <w:tcW w:w="787" w:type="dxa"/>
          </w:tcPr>
          <w:p>
            <w:pPr>
              <w:jc w:val="center"/>
              <w:rPr>
                <w:rFonts w:ascii="楷体" w:hAnsi="楷体" w:eastAsia="楷体"/>
                <w:szCs w:val="21"/>
              </w:rPr>
            </w:pPr>
            <w:r>
              <w:rPr>
                <w:rFonts w:ascii="楷体" w:hAnsi="楷体" w:eastAsia="楷体"/>
                <w:szCs w:val="21"/>
              </w:rPr>
              <w:t>792</w:t>
            </w:r>
          </w:p>
        </w:tc>
        <w:tc>
          <w:tcPr>
            <w:tcW w:w="787" w:type="dxa"/>
          </w:tcPr>
          <w:p>
            <w:pPr>
              <w:jc w:val="center"/>
              <w:rPr>
                <w:rFonts w:ascii="楷体" w:hAnsi="楷体" w:eastAsia="楷体"/>
                <w:szCs w:val="21"/>
              </w:rPr>
            </w:pPr>
            <w:r>
              <w:rPr>
                <w:rFonts w:ascii="楷体" w:hAnsi="楷体" w:eastAsia="楷体"/>
                <w:szCs w:val="21"/>
              </w:rPr>
              <w:t>598</w:t>
            </w:r>
          </w:p>
        </w:tc>
        <w:tc>
          <w:tcPr>
            <w:tcW w:w="655" w:type="dxa"/>
          </w:tcPr>
          <w:p>
            <w:pPr>
              <w:jc w:val="center"/>
              <w:rPr>
                <w:rFonts w:ascii="楷体" w:hAnsi="楷体" w:eastAsia="楷体"/>
                <w:szCs w:val="21"/>
              </w:rPr>
            </w:pPr>
            <w:r>
              <w:rPr>
                <w:rFonts w:ascii="楷体" w:hAnsi="楷体" w:eastAsia="楷体"/>
                <w:szCs w:val="21"/>
              </w:rPr>
              <w:t>686</w:t>
            </w:r>
          </w:p>
        </w:tc>
        <w:tc>
          <w:tcPr>
            <w:tcW w:w="787" w:type="dxa"/>
          </w:tcPr>
          <w:p>
            <w:pPr>
              <w:jc w:val="center"/>
              <w:rPr>
                <w:rFonts w:ascii="楷体" w:hAnsi="楷体" w:eastAsia="楷体"/>
                <w:szCs w:val="21"/>
              </w:rPr>
            </w:pPr>
            <w:r>
              <w:rPr>
                <w:rFonts w:ascii="楷体" w:hAnsi="楷体" w:eastAsia="楷体"/>
                <w:szCs w:val="21"/>
              </w:rPr>
              <w:t>610</w:t>
            </w:r>
          </w:p>
        </w:tc>
        <w:tc>
          <w:tcPr>
            <w:tcW w:w="787" w:type="dxa"/>
          </w:tcPr>
          <w:p>
            <w:pPr>
              <w:jc w:val="center"/>
              <w:rPr>
                <w:rFonts w:ascii="楷体" w:hAnsi="楷体" w:eastAsia="楷体"/>
                <w:szCs w:val="21"/>
              </w:rPr>
            </w:pPr>
            <w:r>
              <w:rPr>
                <w:rFonts w:ascii="楷体" w:hAnsi="楷体" w:eastAsia="楷体"/>
                <w:szCs w:val="21"/>
              </w:rPr>
              <w:t>485</w:t>
            </w:r>
          </w:p>
        </w:tc>
        <w:tc>
          <w:tcPr>
            <w:tcW w:w="655" w:type="dxa"/>
          </w:tcPr>
          <w:p>
            <w:pPr>
              <w:jc w:val="center"/>
              <w:rPr>
                <w:rFonts w:ascii="楷体" w:hAnsi="楷体" w:eastAsia="楷体"/>
                <w:szCs w:val="21"/>
              </w:rPr>
            </w:pPr>
            <w:r>
              <w:rPr>
                <w:rFonts w:ascii="楷体" w:hAnsi="楷体" w:eastAsia="楷体"/>
                <w:szCs w:val="21"/>
              </w:rPr>
              <w:t>543</w:t>
            </w:r>
          </w:p>
        </w:tc>
        <w:tc>
          <w:tcPr>
            <w:tcW w:w="787" w:type="dxa"/>
          </w:tcPr>
          <w:p>
            <w:pPr>
              <w:jc w:val="center"/>
              <w:rPr>
                <w:rFonts w:ascii="楷体" w:hAnsi="楷体" w:eastAsia="楷体"/>
                <w:szCs w:val="21"/>
              </w:rPr>
            </w:pPr>
            <w:r>
              <w:rPr>
                <w:rFonts w:ascii="楷体" w:hAnsi="楷体" w:eastAsia="楷体"/>
                <w:szCs w:val="21"/>
              </w:rPr>
              <w:t>461</w:t>
            </w:r>
          </w:p>
        </w:tc>
        <w:tc>
          <w:tcPr>
            <w:tcW w:w="787" w:type="dxa"/>
          </w:tcPr>
          <w:p>
            <w:pPr>
              <w:jc w:val="center"/>
              <w:rPr>
                <w:rFonts w:ascii="楷体" w:hAnsi="楷体" w:eastAsia="楷体"/>
                <w:szCs w:val="21"/>
              </w:rPr>
            </w:pPr>
            <w:r>
              <w:rPr>
                <w:rFonts w:ascii="楷体" w:hAnsi="楷体" w:eastAsia="楷体"/>
                <w:szCs w:val="21"/>
              </w:rPr>
              <w:t>338</w:t>
            </w:r>
          </w:p>
        </w:tc>
        <w:tc>
          <w:tcPr>
            <w:tcW w:w="655" w:type="dxa"/>
          </w:tcPr>
          <w:p>
            <w:pPr>
              <w:jc w:val="center"/>
              <w:rPr>
                <w:rFonts w:ascii="楷体" w:hAnsi="楷体" w:eastAsia="楷体"/>
                <w:szCs w:val="21"/>
              </w:rPr>
            </w:pPr>
            <w:r>
              <w:rPr>
                <w:rFonts w:ascii="楷体" w:hAnsi="楷体" w:eastAsia="楷体"/>
                <w:szCs w:val="21"/>
              </w:rPr>
              <w:t>414</w:t>
            </w:r>
          </w:p>
        </w:tc>
        <w:tc>
          <w:tcPr>
            <w:tcW w:w="787" w:type="dxa"/>
          </w:tcPr>
          <w:p>
            <w:pPr>
              <w:jc w:val="center"/>
              <w:rPr>
                <w:rFonts w:ascii="楷体" w:hAnsi="楷体" w:eastAsia="楷体"/>
                <w:szCs w:val="21"/>
              </w:rPr>
            </w:pPr>
            <w:r>
              <w:rPr>
                <w:rFonts w:ascii="楷体" w:hAnsi="楷体" w:eastAsia="楷体"/>
                <w:szCs w:val="21"/>
              </w:rPr>
              <w:t>316</w:t>
            </w:r>
          </w:p>
        </w:tc>
        <w:tc>
          <w:tcPr>
            <w:tcW w:w="787" w:type="dxa"/>
          </w:tcPr>
          <w:p>
            <w:pPr>
              <w:jc w:val="center"/>
              <w:rPr>
                <w:rFonts w:ascii="楷体" w:hAnsi="楷体" w:eastAsia="楷体"/>
                <w:szCs w:val="21"/>
              </w:rPr>
            </w:pPr>
            <w:r>
              <w:rPr>
                <w:rFonts w:ascii="楷体" w:hAnsi="楷体" w:eastAsia="楷体"/>
                <w:szCs w:val="21"/>
              </w:rPr>
              <w:t>231</w:t>
            </w:r>
          </w:p>
        </w:tc>
        <w:tc>
          <w:tcPr>
            <w:tcW w:w="654" w:type="dxa"/>
          </w:tcPr>
          <w:p>
            <w:pPr>
              <w:jc w:val="center"/>
              <w:rPr>
                <w:rFonts w:ascii="楷体" w:hAnsi="楷体" w:eastAsia="楷体"/>
                <w:szCs w:val="21"/>
              </w:rPr>
            </w:pPr>
            <w:r>
              <w:rPr>
                <w:rFonts w:ascii="楷体" w:hAnsi="楷体" w:eastAsia="楷体"/>
                <w:szCs w:val="21"/>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7" w:type="dxa"/>
          </w:tcPr>
          <w:p>
            <w:pPr>
              <w:jc w:val="center"/>
              <w:rPr>
                <w:rFonts w:ascii="楷体" w:hAnsi="楷体" w:eastAsia="楷体"/>
                <w:szCs w:val="21"/>
              </w:rPr>
            </w:pPr>
            <w:r>
              <w:rPr>
                <w:rFonts w:ascii="楷体" w:hAnsi="楷体" w:eastAsia="楷体"/>
                <w:szCs w:val="21"/>
              </w:rPr>
              <w:t>120</w:t>
            </w:r>
          </w:p>
        </w:tc>
        <w:tc>
          <w:tcPr>
            <w:tcW w:w="787" w:type="dxa"/>
          </w:tcPr>
          <w:p>
            <w:pPr>
              <w:jc w:val="center"/>
              <w:rPr>
                <w:rFonts w:ascii="楷体" w:hAnsi="楷体" w:eastAsia="楷体"/>
                <w:szCs w:val="21"/>
              </w:rPr>
            </w:pPr>
            <w:r>
              <w:rPr>
                <w:rFonts w:ascii="楷体" w:hAnsi="楷体" w:eastAsia="楷体"/>
                <w:szCs w:val="21"/>
              </w:rPr>
              <w:t>811</w:t>
            </w:r>
          </w:p>
        </w:tc>
        <w:tc>
          <w:tcPr>
            <w:tcW w:w="787" w:type="dxa"/>
          </w:tcPr>
          <w:p>
            <w:pPr>
              <w:jc w:val="center"/>
              <w:rPr>
                <w:rFonts w:ascii="楷体" w:hAnsi="楷体" w:eastAsia="楷体"/>
                <w:szCs w:val="21"/>
              </w:rPr>
            </w:pPr>
            <w:r>
              <w:rPr>
                <w:rFonts w:ascii="楷体" w:hAnsi="楷体" w:eastAsia="楷体"/>
                <w:szCs w:val="21"/>
              </w:rPr>
              <w:t>619</w:t>
            </w:r>
          </w:p>
        </w:tc>
        <w:tc>
          <w:tcPr>
            <w:tcW w:w="655" w:type="dxa"/>
          </w:tcPr>
          <w:p>
            <w:pPr>
              <w:jc w:val="center"/>
              <w:rPr>
                <w:rFonts w:ascii="楷体" w:hAnsi="楷体" w:eastAsia="楷体"/>
                <w:szCs w:val="21"/>
              </w:rPr>
            </w:pPr>
            <w:r>
              <w:rPr>
                <w:rFonts w:ascii="楷体" w:hAnsi="楷体" w:eastAsia="楷体"/>
                <w:szCs w:val="21"/>
              </w:rPr>
              <w:t>706</w:t>
            </w:r>
          </w:p>
        </w:tc>
        <w:tc>
          <w:tcPr>
            <w:tcW w:w="787" w:type="dxa"/>
          </w:tcPr>
          <w:p>
            <w:pPr>
              <w:jc w:val="center"/>
              <w:rPr>
                <w:rFonts w:ascii="楷体" w:hAnsi="楷体" w:eastAsia="楷体"/>
                <w:szCs w:val="21"/>
              </w:rPr>
            </w:pPr>
            <w:r>
              <w:rPr>
                <w:rFonts w:ascii="楷体" w:hAnsi="楷体" w:eastAsia="楷体"/>
                <w:szCs w:val="21"/>
              </w:rPr>
              <w:t>632</w:t>
            </w:r>
          </w:p>
        </w:tc>
        <w:tc>
          <w:tcPr>
            <w:tcW w:w="787" w:type="dxa"/>
          </w:tcPr>
          <w:p>
            <w:pPr>
              <w:jc w:val="center"/>
              <w:rPr>
                <w:rFonts w:ascii="楷体" w:hAnsi="楷体" w:eastAsia="楷体"/>
                <w:szCs w:val="21"/>
              </w:rPr>
            </w:pPr>
            <w:r>
              <w:rPr>
                <w:rFonts w:ascii="楷体" w:hAnsi="楷体" w:eastAsia="楷体"/>
                <w:szCs w:val="21"/>
              </w:rPr>
              <w:t>509</w:t>
            </w:r>
          </w:p>
        </w:tc>
        <w:tc>
          <w:tcPr>
            <w:tcW w:w="655" w:type="dxa"/>
          </w:tcPr>
          <w:p>
            <w:pPr>
              <w:jc w:val="center"/>
              <w:rPr>
                <w:rFonts w:ascii="楷体" w:hAnsi="楷体" w:eastAsia="楷体"/>
                <w:szCs w:val="21"/>
              </w:rPr>
            </w:pPr>
            <w:r>
              <w:rPr>
                <w:rFonts w:ascii="楷体" w:hAnsi="楷体" w:eastAsia="楷体"/>
                <w:szCs w:val="21"/>
              </w:rPr>
              <w:t>566</w:t>
            </w:r>
          </w:p>
        </w:tc>
        <w:tc>
          <w:tcPr>
            <w:tcW w:w="787" w:type="dxa"/>
          </w:tcPr>
          <w:p>
            <w:pPr>
              <w:jc w:val="center"/>
              <w:rPr>
                <w:rFonts w:ascii="楷体" w:hAnsi="楷体" w:eastAsia="楷体"/>
                <w:szCs w:val="21"/>
              </w:rPr>
            </w:pPr>
            <w:r>
              <w:rPr>
                <w:rFonts w:ascii="楷体" w:hAnsi="楷体" w:eastAsia="楷体"/>
                <w:szCs w:val="21"/>
              </w:rPr>
              <w:t>487</w:t>
            </w:r>
          </w:p>
        </w:tc>
        <w:tc>
          <w:tcPr>
            <w:tcW w:w="787" w:type="dxa"/>
          </w:tcPr>
          <w:p>
            <w:pPr>
              <w:jc w:val="center"/>
              <w:rPr>
                <w:rFonts w:ascii="楷体" w:hAnsi="楷体" w:eastAsia="楷体"/>
                <w:szCs w:val="21"/>
              </w:rPr>
            </w:pPr>
            <w:r>
              <w:rPr>
                <w:rFonts w:ascii="楷体" w:hAnsi="楷体" w:eastAsia="楷体"/>
                <w:szCs w:val="21"/>
              </w:rPr>
              <w:t>365</w:t>
            </w:r>
          </w:p>
        </w:tc>
        <w:tc>
          <w:tcPr>
            <w:tcW w:w="655" w:type="dxa"/>
          </w:tcPr>
          <w:p>
            <w:pPr>
              <w:jc w:val="center"/>
              <w:rPr>
                <w:rFonts w:ascii="楷体" w:hAnsi="楷体" w:eastAsia="楷体"/>
                <w:szCs w:val="21"/>
              </w:rPr>
            </w:pPr>
            <w:r>
              <w:rPr>
                <w:rFonts w:ascii="楷体" w:hAnsi="楷体" w:eastAsia="楷体"/>
                <w:szCs w:val="21"/>
              </w:rPr>
              <w:t>441</w:t>
            </w:r>
          </w:p>
        </w:tc>
        <w:tc>
          <w:tcPr>
            <w:tcW w:w="787" w:type="dxa"/>
          </w:tcPr>
          <w:p>
            <w:pPr>
              <w:jc w:val="center"/>
              <w:rPr>
                <w:rFonts w:ascii="楷体" w:hAnsi="楷体" w:eastAsia="楷体"/>
                <w:szCs w:val="21"/>
              </w:rPr>
            </w:pPr>
            <w:r>
              <w:rPr>
                <w:rFonts w:ascii="楷体" w:hAnsi="楷体" w:eastAsia="楷体"/>
                <w:szCs w:val="21"/>
              </w:rPr>
              <w:t>344</w:t>
            </w:r>
          </w:p>
        </w:tc>
        <w:tc>
          <w:tcPr>
            <w:tcW w:w="787" w:type="dxa"/>
          </w:tcPr>
          <w:p>
            <w:pPr>
              <w:jc w:val="center"/>
              <w:rPr>
                <w:rFonts w:ascii="楷体" w:hAnsi="楷体" w:eastAsia="楷体"/>
                <w:szCs w:val="21"/>
              </w:rPr>
            </w:pPr>
            <w:r>
              <w:rPr>
                <w:rFonts w:ascii="楷体" w:hAnsi="楷体" w:eastAsia="楷体"/>
                <w:szCs w:val="21"/>
              </w:rPr>
              <w:t>258</w:t>
            </w:r>
          </w:p>
        </w:tc>
        <w:tc>
          <w:tcPr>
            <w:tcW w:w="654" w:type="dxa"/>
          </w:tcPr>
          <w:p>
            <w:pPr>
              <w:jc w:val="center"/>
              <w:rPr>
                <w:rFonts w:ascii="楷体" w:hAnsi="楷体" w:eastAsia="楷体"/>
                <w:szCs w:val="21"/>
              </w:rPr>
            </w:pPr>
            <w:r>
              <w:rPr>
                <w:rFonts w:ascii="楷体" w:hAnsi="楷体" w:eastAsia="楷体"/>
                <w:szCs w:val="21"/>
              </w:rPr>
              <w:t>296</w:t>
            </w:r>
          </w:p>
        </w:tc>
      </w:tr>
    </w:tbl>
    <w:p>
      <w:pPr>
        <w:ind w:firstLine="420" w:firstLineChars="200"/>
        <w:jc w:val="center"/>
        <w:rPr>
          <w:rFonts w:ascii="楷体" w:hAnsi="楷体" w:eastAsia="楷体"/>
          <w:szCs w:val="21"/>
        </w:rPr>
      </w:pPr>
      <w:r>
        <w:rPr>
          <w:rFonts w:ascii="楷体" w:hAnsi="楷体" w:eastAsia="楷体"/>
          <w:szCs w:val="21"/>
        </w:rPr>
        <w:t>表4温度误差/%</w:t>
      </w:r>
    </w:p>
    <w:tbl>
      <w:tblPr>
        <w:tblStyle w:val="24"/>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2012"/>
        <w:gridCol w:w="2012"/>
        <w:gridCol w:w="2012"/>
        <w:gridCol w:w="2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1" w:hRule="atLeast"/>
          <w:jc w:val="center"/>
        </w:trPr>
        <w:tc>
          <w:tcPr>
            <w:tcW w:w="1914" w:type="dxa"/>
            <w:tcBorders>
              <w:bottom w:val="single" w:color="auto" w:sz="4" w:space="0"/>
              <w:tl2br w:val="single" w:color="auto" w:sz="4" w:space="0"/>
            </w:tcBorders>
          </w:tcPr>
          <w:p>
            <w:pPr>
              <w:jc w:val="center"/>
              <w:rPr>
                <w:rFonts w:ascii="楷体" w:hAnsi="楷体" w:eastAsia="楷体"/>
                <w:szCs w:val="21"/>
              </w:rPr>
            </w:pPr>
            <w:r>
              <w:rPr>
                <w:rFonts w:ascii="楷体" w:hAnsi="楷体" w:eastAsia="楷体"/>
                <w:szCs w:val="21"/>
              </w:rPr>
              <w:t>S/mm</w:t>
            </w:r>
          </w:p>
          <w:p>
            <w:pPr>
              <w:rPr>
                <w:rFonts w:ascii="楷体" w:hAnsi="楷体" w:eastAsia="楷体"/>
                <w:szCs w:val="21"/>
              </w:rPr>
            </w:pPr>
            <w:r>
              <w:rPr>
                <w:rFonts w:ascii="楷体" w:hAnsi="楷体" w:eastAsia="楷体"/>
                <w:szCs w:val="21"/>
              </w:rPr>
              <w:t>t/min</w:t>
            </w:r>
          </w:p>
        </w:tc>
        <w:tc>
          <w:tcPr>
            <w:tcW w:w="2012" w:type="dxa"/>
            <w:tcBorders>
              <w:bottom w:val="single" w:color="auto" w:sz="4" w:space="0"/>
            </w:tcBorders>
            <w:vAlign w:val="center"/>
          </w:tcPr>
          <w:p>
            <w:pPr>
              <w:jc w:val="center"/>
              <w:rPr>
                <w:rFonts w:ascii="楷体" w:hAnsi="楷体" w:eastAsia="楷体"/>
                <w:szCs w:val="21"/>
              </w:rPr>
            </w:pPr>
            <w:r>
              <w:rPr>
                <w:rFonts w:ascii="楷体" w:hAnsi="楷体" w:eastAsia="楷体"/>
                <w:szCs w:val="21"/>
              </w:rPr>
              <w:t>12</w:t>
            </w:r>
          </w:p>
        </w:tc>
        <w:tc>
          <w:tcPr>
            <w:tcW w:w="2012" w:type="dxa"/>
            <w:tcBorders>
              <w:bottom w:val="single" w:color="auto" w:sz="4" w:space="0"/>
            </w:tcBorders>
            <w:vAlign w:val="center"/>
          </w:tcPr>
          <w:p>
            <w:pPr>
              <w:tabs>
                <w:tab w:val="left" w:pos="480"/>
                <w:tab w:val="center" w:pos="867"/>
              </w:tabs>
              <w:jc w:val="center"/>
              <w:rPr>
                <w:rFonts w:ascii="楷体" w:hAnsi="楷体" w:eastAsia="楷体"/>
                <w:szCs w:val="21"/>
              </w:rPr>
            </w:pPr>
            <w:r>
              <w:rPr>
                <w:rFonts w:ascii="楷体" w:hAnsi="楷体" w:eastAsia="楷体"/>
                <w:szCs w:val="21"/>
              </w:rPr>
              <w:t>25</w:t>
            </w:r>
          </w:p>
        </w:tc>
        <w:tc>
          <w:tcPr>
            <w:tcW w:w="2012" w:type="dxa"/>
            <w:tcBorders>
              <w:bottom w:val="single" w:color="auto" w:sz="4" w:space="0"/>
            </w:tcBorders>
            <w:vAlign w:val="center"/>
          </w:tcPr>
          <w:p>
            <w:pPr>
              <w:jc w:val="center"/>
              <w:rPr>
                <w:rFonts w:ascii="楷体" w:hAnsi="楷体" w:eastAsia="楷体"/>
                <w:szCs w:val="21"/>
              </w:rPr>
            </w:pPr>
            <w:r>
              <w:rPr>
                <w:rFonts w:ascii="楷体" w:hAnsi="楷体" w:eastAsia="楷体"/>
                <w:szCs w:val="21"/>
              </w:rPr>
              <w:t>38</w:t>
            </w:r>
          </w:p>
        </w:tc>
        <w:tc>
          <w:tcPr>
            <w:tcW w:w="2012" w:type="dxa"/>
            <w:tcBorders>
              <w:bottom w:val="single" w:color="auto" w:sz="4" w:space="0"/>
            </w:tcBorders>
            <w:vAlign w:val="center"/>
          </w:tcPr>
          <w:p>
            <w:pPr>
              <w:jc w:val="center"/>
              <w:rPr>
                <w:rFonts w:ascii="楷体" w:hAnsi="楷体" w:eastAsia="楷体"/>
                <w:szCs w:val="21"/>
              </w:rPr>
            </w:pPr>
            <w:r>
              <w:rPr>
                <w:rFonts w:ascii="楷体" w:hAnsi="楷体" w:eastAsia="楷体"/>
                <w:szCs w:val="21"/>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14" w:type="dxa"/>
          </w:tcPr>
          <w:p>
            <w:pPr>
              <w:jc w:val="center"/>
              <w:rPr>
                <w:rFonts w:ascii="楷体" w:hAnsi="楷体" w:eastAsia="楷体"/>
                <w:szCs w:val="21"/>
              </w:rPr>
            </w:pPr>
            <w:r>
              <w:rPr>
                <w:rFonts w:ascii="楷体" w:hAnsi="楷体" w:eastAsia="楷体"/>
                <w:szCs w:val="21"/>
              </w:rPr>
              <w:t>60</w:t>
            </w:r>
          </w:p>
        </w:tc>
        <w:tc>
          <w:tcPr>
            <w:tcW w:w="2012" w:type="dxa"/>
            <w:vAlign w:val="center"/>
          </w:tcPr>
          <w:p>
            <w:pPr>
              <w:jc w:val="center"/>
              <w:rPr>
                <w:rFonts w:ascii="楷体" w:hAnsi="楷体" w:eastAsia="楷体"/>
                <w:szCs w:val="21"/>
              </w:rPr>
            </w:pPr>
            <w:r>
              <w:rPr>
                <w:rFonts w:ascii="楷体" w:hAnsi="楷体" w:eastAsia="楷体"/>
                <w:szCs w:val="21"/>
              </w:rPr>
              <w:t>+8.7</w:t>
            </w:r>
          </w:p>
        </w:tc>
        <w:tc>
          <w:tcPr>
            <w:tcW w:w="2012" w:type="dxa"/>
            <w:vAlign w:val="center"/>
          </w:tcPr>
          <w:p>
            <w:pPr>
              <w:jc w:val="center"/>
              <w:rPr>
                <w:rFonts w:ascii="楷体" w:hAnsi="楷体" w:eastAsia="楷体"/>
                <w:szCs w:val="21"/>
              </w:rPr>
            </w:pPr>
            <w:r>
              <w:rPr>
                <w:rFonts w:ascii="楷体" w:hAnsi="楷体" w:eastAsia="楷体"/>
                <w:szCs w:val="21"/>
              </w:rPr>
              <w:t>+14.7</w:t>
            </w:r>
          </w:p>
        </w:tc>
        <w:tc>
          <w:tcPr>
            <w:tcW w:w="2012" w:type="dxa"/>
            <w:vAlign w:val="center"/>
          </w:tcPr>
          <w:p>
            <w:pPr>
              <w:jc w:val="center"/>
              <w:rPr>
                <w:rFonts w:ascii="楷体" w:hAnsi="楷体" w:eastAsia="楷体"/>
                <w:szCs w:val="21"/>
              </w:rPr>
            </w:pPr>
            <w:r>
              <w:rPr>
                <w:rFonts w:ascii="楷体" w:hAnsi="楷体" w:eastAsia="楷体"/>
                <w:szCs w:val="21"/>
              </w:rPr>
              <w:t>+33.7</w:t>
            </w:r>
          </w:p>
        </w:tc>
        <w:tc>
          <w:tcPr>
            <w:tcW w:w="2012" w:type="dxa"/>
            <w:vAlign w:val="center"/>
          </w:tcPr>
          <w:p>
            <w:pPr>
              <w:jc w:val="center"/>
              <w:rPr>
                <w:rFonts w:ascii="楷体" w:hAnsi="楷体" w:eastAsia="楷体"/>
                <w:szCs w:val="21"/>
              </w:rPr>
            </w:pPr>
            <w:r>
              <w:rPr>
                <w:rFonts w:ascii="楷体" w:hAnsi="楷体" w:eastAsia="楷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14" w:type="dxa"/>
          </w:tcPr>
          <w:p>
            <w:pPr>
              <w:jc w:val="center"/>
              <w:rPr>
                <w:rFonts w:ascii="楷体" w:hAnsi="楷体" w:eastAsia="楷体"/>
                <w:szCs w:val="21"/>
              </w:rPr>
            </w:pPr>
            <w:r>
              <w:rPr>
                <w:rFonts w:ascii="楷体" w:hAnsi="楷体" w:eastAsia="楷体"/>
                <w:szCs w:val="21"/>
              </w:rPr>
              <w:t>70</w:t>
            </w:r>
          </w:p>
        </w:tc>
        <w:tc>
          <w:tcPr>
            <w:tcW w:w="2012" w:type="dxa"/>
            <w:vAlign w:val="center"/>
          </w:tcPr>
          <w:p>
            <w:pPr>
              <w:jc w:val="center"/>
              <w:rPr>
                <w:rFonts w:ascii="楷体" w:hAnsi="楷体" w:eastAsia="楷体"/>
                <w:szCs w:val="21"/>
              </w:rPr>
            </w:pPr>
            <w:r>
              <w:rPr>
                <w:rFonts w:ascii="楷体" w:hAnsi="楷体" w:eastAsia="楷体"/>
                <w:szCs w:val="21"/>
              </w:rPr>
              <w:t>+8</w:t>
            </w:r>
          </w:p>
        </w:tc>
        <w:tc>
          <w:tcPr>
            <w:tcW w:w="2012" w:type="dxa"/>
            <w:vAlign w:val="center"/>
          </w:tcPr>
          <w:p>
            <w:pPr>
              <w:jc w:val="center"/>
              <w:rPr>
                <w:rFonts w:ascii="楷体" w:hAnsi="楷体" w:eastAsia="楷体"/>
                <w:szCs w:val="21"/>
              </w:rPr>
            </w:pPr>
            <w:r>
              <w:rPr>
                <w:rFonts w:ascii="楷体" w:hAnsi="楷体" w:eastAsia="楷体"/>
                <w:szCs w:val="21"/>
              </w:rPr>
              <w:t>+17.8</w:t>
            </w:r>
          </w:p>
        </w:tc>
        <w:tc>
          <w:tcPr>
            <w:tcW w:w="2012" w:type="dxa"/>
            <w:vAlign w:val="center"/>
          </w:tcPr>
          <w:p>
            <w:pPr>
              <w:jc w:val="center"/>
              <w:rPr>
                <w:rFonts w:ascii="楷体" w:hAnsi="楷体" w:eastAsia="楷体"/>
                <w:szCs w:val="21"/>
              </w:rPr>
            </w:pPr>
            <w:r>
              <w:rPr>
                <w:rFonts w:ascii="楷体" w:hAnsi="楷体" w:eastAsia="楷体"/>
                <w:szCs w:val="21"/>
              </w:rPr>
              <w:t>+31</w:t>
            </w:r>
          </w:p>
        </w:tc>
        <w:tc>
          <w:tcPr>
            <w:tcW w:w="2012" w:type="dxa"/>
            <w:vAlign w:val="center"/>
          </w:tcPr>
          <w:p>
            <w:pPr>
              <w:jc w:val="center"/>
              <w:rPr>
                <w:rFonts w:ascii="楷体" w:hAnsi="楷体" w:eastAsia="楷体"/>
                <w:szCs w:val="21"/>
              </w:rPr>
            </w:pPr>
            <w:r>
              <w:rPr>
                <w:rFonts w:ascii="楷体" w:hAnsi="楷体" w:eastAsia="楷体"/>
                <w:szCs w:val="21"/>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14" w:type="dxa"/>
          </w:tcPr>
          <w:p>
            <w:pPr>
              <w:jc w:val="center"/>
              <w:rPr>
                <w:rFonts w:ascii="楷体" w:hAnsi="楷体" w:eastAsia="楷体"/>
                <w:szCs w:val="21"/>
              </w:rPr>
            </w:pPr>
            <w:r>
              <w:rPr>
                <w:rFonts w:ascii="楷体" w:hAnsi="楷体" w:eastAsia="楷体"/>
                <w:szCs w:val="21"/>
              </w:rPr>
              <w:t>80</w:t>
            </w:r>
          </w:p>
        </w:tc>
        <w:tc>
          <w:tcPr>
            <w:tcW w:w="2012" w:type="dxa"/>
            <w:vAlign w:val="center"/>
          </w:tcPr>
          <w:p>
            <w:pPr>
              <w:jc w:val="center"/>
              <w:rPr>
                <w:rFonts w:ascii="楷体" w:hAnsi="楷体" w:eastAsia="楷体"/>
                <w:szCs w:val="21"/>
              </w:rPr>
            </w:pPr>
            <w:r>
              <w:rPr>
                <w:rFonts w:ascii="楷体" w:hAnsi="楷体" w:eastAsia="楷体"/>
                <w:szCs w:val="21"/>
              </w:rPr>
              <w:t>+6.4</w:t>
            </w:r>
          </w:p>
        </w:tc>
        <w:tc>
          <w:tcPr>
            <w:tcW w:w="2012" w:type="dxa"/>
            <w:vAlign w:val="center"/>
          </w:tcPr>
          <w:p>
            <w:pPr>
              <w:jc w:val="center"/>
              <w:rPr>
                <w:rFonts w:ascii="楷体" w:hAnsi="楷体" w:eastAsia="楷体"/>
                <w:szCs w:val="21"/>
              </w:rPr>
            </w:pPr>
            <w:r>
              <w:rPr>
                <w:rFonts w:ascii="楷体" w:hAnsi="楷体" w:eastAsia="楷体"/>
                <w:szCs w:val="21"/>
              </w:rPr>
              <w:t>+15</w:t>
            </w:r>
          </w:p>
        </w:tc>
        <w:tc>
          <w:tcPr>
            <w:tcW w:w="2012" w:type="dxa"/>
            <w:vAlign w:val="center"/>
          </w:tcPr>
          <w:p>
            <w:pPr>
              <w:jc w:val="center"/>
              <w:rPr>
                <w:rFonts w:ascii="楷体" w:hAnsi="楷体" w:eastAsia="楷体"/>
                <w:szCs w:val="21"/>
              </w:rPr>
            </w:pPr>
            <w:r>
              <w:rPr>
                <w:rFonts w:ascii="楷体" w:hAnsi="楷体" w:eastAsia="楷体"/>
                <w:szCs w:val="21"/>
              </w:rPr>
              <w:t>+27.6</w:t>
            </w:r>
          </w:p>
        </w:tc>
        <w:tc>
          <w:tcPr>
            <w:tcW w:w="2012" w:type="dxa"/>
            <w:vAlign w:val="center"/>
          </w:tcPr>
          <w:p>
            <w:pPr>
              <w:jc w:val="center"/>
              <w:rPr>
                <w:rFonts w:ascii="楷体" w:hAnsi="楷体" w:eastAsia="楷体"/>
                <w:szCs w:val="21"/>
              </w:rPr>
            </w:pPr>
            <w:r>
              <w:rPr>
                <w:rFonts w:ascii="楷体" w:hAnsi="楷体" w:eastAsia="楷体"/>
                <w:szCs w:val="21"/>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14" w:type="dxa"/>
          </w:tcPr>
          <w:p>
            <w:pPr>
              <w:jc w:val="center"/>
              <w:rPr>
                <w:rFonts w:ascii="楷体" w:hAnsi="楷体" w:eastAsia="楷体"/>
                <w:szCs w:val="21"/>
              </w:rPr>
            </w:pPr>
            <w:r>
              <w:rPr>
                <w:rFonts w:ascii="楷体" w:hAnsi="楷体" w:eastAsia="楷体"/>
                <w:szCs w:val="21"/>
              </w:rPr>
              <w:t>90</w:t>
            </w:r>
          </w:p>
        </w:tc>
        <w:tc>
          <w:tcPr>
            <w:tcW w:w="2012" w:type="dxa"/>
            <w:vAlign w:val="center"/>
          </w:tcPr>
          <w:p>
            <w:pPr>
              <w:jc w:val="center"/>
              <w:rPr>
                <w:rFonts w:ascii="楷体" w:hAnsi="楷体" w:eastAsia="楷体"/>
                <w:szCs w:val="21"/>
              </w:rPr>
            </w:pPr>
            <w:r>
              <w:rPr>
                <w:rFonts w:ascii="楷体" w:hAnsi="楷体" w:eastAsia="楷体"/>
                <w:szCs w:val="21"/>
              </w:rPr>
              <w:t>+5</w:t>
            </w:r>
          </w:p>
        </w:tc>
        <w:tc>
          <w:tcPr>
            <w:tcW w:w="2012" w:type="dxa"/>
            <w:vAlign w:val="center"/>
          </w:tcPr>
          <w:p>
            <w:pPr>
              <w:jc w:val="center"/>
              <w:rPr>
                <w:rFonts w:ascii="楷体" w:hAnsi="楷体" w:eastAsia="楷体"/>
                <w:szCs w:val="21"/>
              </w:rPr>
            </w:pPr>
            <w:r>
              <w:rPr>
                <w:rFonts w:ascii="楷体" w:hAnsi="楷体" w:eastAsia="楷体"/>
                <w:szCs w:val="21"/>
              </w:rPr>
              <w:t>+12.2</w:t>
            </w:r>
          </w:p>
        </w:tc>
        <w:tc>
          <w:tcPr>
            <w:tcW w:w="2012" w:type="dxa"/>
            <w:vAlign w:val="center"/>
          </w:tcPr>
          <w:p>
            <w:pPr>
              <w:jc w:val="center"/>
              <w:rPr>
                <w:rFonts w:ascii="楷体" w:hAnsi="楷体" w:eastAsia="楷体"/>
                <w:szCs w:val="21"/>
              </w:rPr>
            </w:pPr>
            <w:r>
              <w:rPr>
                <w:rFonts w:ascii="楷体" w:hAnsi="楷体" w:eastAsia="楷体"/>
                <w:szCs w:val="21"/>
              </w:rPr>
              <w:t>+24</w:t>
            </w:r>
          </w:p>
        </w:tc>
        <w:tc>
          <w:tcPr>
            <w:tcW w:w="2012" w:type="dxa"/>
            <w:vAlign w:val="center"/>
          </w:tcPr>
          <w:p>
            <w:pPr>
              <w:jc w:val="center"/>
              <w:rPr>
                <w:rFonts w:ascii="楷体" w:hAnsi="楷体" w:eastAsia="楷体"/>
                <w:szCs w:val="21"/>
              </w:rPr>
            </w:pPr>
            <w:r>
              <w:rPr>
                <w:rFonts w:ascii="楷体" w:hAnsi="楷体" w:eastAsia="楷体"/>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14" w:type="dxa"/>
          </w:tcPr>
          <w:p>
            <w:pPr>
              <w:jc w:val="center"/>
              <w:rPr>
                <w:rFonts w:ascii="楷体" w:hAnsi="楷体" w:eastAsia="楷体"/>
                <w:szCs w:val="21"/>
              </w:rPr>
            </w:pPr>
            <w:r>
              <w:rPr>
                <w:rFonts w:ascii="楷体" w:hAnsi="楷体" w:eastAsia="楷体"/>
                <w:szCs w:val="21"/>
              </w:rPr>
              <w:t>100</w:t>
            </w:r>
          </w:p>
        </w:tc>
        <w:tc>
          <w:tcPr>
            <w:tcW w:w="2012" w:type="dxa"/>
            <w:vAlign w:val="center"/>
          </w:tcPr>
          <w:p>
            <w:pPr>
              <w:jc w:val="center"/>
              <w:rPr>
                <w:rFonts w:ascii="楷体" w:hAnsi="楷体" w:eastAsia="楷体"/>
                <w:szCs w:val="21"/>
              </w:rPr>
            </w:pPr>
            <w:r>
              <w:rPr>
                <w:rFonts w:ascii="楷体" w:hAnsi="楷体" w:eastAsia="楷体"/>
                <w:szCs w:val="21"/>
              </w:rPr>
              <w:t>+4</w:t>
            </w:r>
          </w:p>
        </w:tc>
        <w:tc>
          <w:tcPr>
            <w:tcW w:w="2012" w:type="dxa"/>
            <w:vAlign w:val="center"/>
          </w:tcPr>
          <w:p>
            <w:pPr>
              <w:jc w:val="center"/>
              <w:rPr>
                <w:rFonts w:ascii="楷体" w:hAnsi="楷体" w:eastAsia="楷体"/>
                <w:szCs w:val="21"/>
              </w:rPr>
            </w:pPr>
            <w:r>
              <w:rPr>
                <w:rFonts w:ascii="楷体" w:hAnsi="楷体" w:eastAsia="楷体"/>
                <w:szCs w:val="21"/>
              </w:rPr>
              <w:t>+10.2</w:t>
            </w:r>
          </w:p>
        </w:tc>
        <w:tc>
          <w:tcPr>
            <w:tcW w:w="2012" w:type="dxa"/>
            <w:vAlign w:val="center"/>
          </w:tcPr>
          <w:p>
            <w:pPr>
              <w:jc w:val="center"/>
              <w:rPr>
                <w:rFonts w:ascii="楷体" w:hAnsi="楷体" w:eastAsia="楷体"/>
                <w:szCs w:val="21"/>
              </w:rPr>
            </w:pPr>
            <w:r>
              <w:rPr>
                <w:rFonts w:ascii="楷体" w:hAnsi="楷体" w:eastAsia="楷体"/>
                <w:szCs w:val="21"/>
              </w:rPr>
              <w:t>+20.5</w:t>
            </w:r>
          </w:p>
        </w:tc>
        <w:tc>
          <w:tcPr>
            <w:tcW w:w="2012" w:type="dxa"/>
            <w:vAlign w:val="center"/>
          </w:tcPr>
          <w:p>
            <w:pPr>
              <w:jc w:val="center"/>
              <w:rPr>
                <w:rFonts w:ascii="楷体" w:hAnsi="楷体" w:eastAsia="楷体"/>
                <w:szCs w:val="21"/>
              </w:rPr>
            </w:pPr>
            <w:r>
              <w:rPr>
                <w:rFonts w:ascii="楷体" w:hAnsi="楷体" w:eastAsia="楷体"/>
                <w:szCs w:val="21"/>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14" w:type="dxa"/>
          </w:tcPr>
          <w:p>
            <w:pPr>
              <w:jc w:val="center"/>
              <w:rPr>
                <w:rFonts w:ascii="楷体" w:hAnsi="楷体" w:eastAsia="楷体"/>
                <w:szCs w:val="21"/>
              </w:rPr>
            </w:pPr>
            <w:r>
              <w:rPr>
                <w:rFonts w:ascii="楷体" w:hAnsi="楷体" w:eastAsia="楷体"/>
                <w:szCs w:val="21"/>
              </w:rPr>
              <w:t>110</w:t>
            </w:r>
          </w:p>
        </w:tc>
        <w:tc>
          <w:tcPr>
            <w:tcW w:w="2012" w:type="dxa"/>
            <w:vAlign w:val="center"/>
          </w:tcPr>
          <w:p>
            <w:pPr>
              <w:jc w:val="center"/>
              <w:rPr>
                <w:rFonts w:ascii="楷体" w:hAnsi="楷体" w:eastAsia="楷体"/>
                <w:szCs w:val="21"/>
              </w:rPr>
            </w:pPr>
            <w:r>
              <w:rPr>
                <w:rFonts w:ascii="楷体" w:hAnsi="楷体" w:eastAsia="楷体"/>
                <w:szCs w:val="21"/>
              </w:rPr>
              <w:t>+3.2</w:t>
            </w:r>
          </w:p>
        </w:tc>
        <w:tc>
          <w:tcPr>
            <w:tcW w:w="2012" w:type="dxa"/>
            <w:vAlign w:val="center"/>
          </w:tcPr>
          <w:p>
            <w:pPr>
              <w:jc w:val="center"/>
              <w:rPr>
                <w:rFonts w:ascii="楷体" w:hAnsi="楷体" w:eastAsia="楷体"/>
                <w:szCs w:val="21"/>
              </w:rPr>
            </w:pPr>
            <w:r>
              <w:rPr>
                <w:rFonts w:ascii="楷体" w:hAnsi="楷体" w:eastAsia="楷体"/>
                <w:szCs w:val="21"/>
              </w:rPr>
              <w:t>+8.4</w:t>
            </w:r>
          </w:p>
        </w:tc>
        <w:tc>
          <w:tcPr>
            <w:tcW w:w="2012" w:type="dxa"/>
            <w:vAlign w:val="center"/>
          </w:tcPr>
          <w:p>
            <w:pPr>
              <w:jc w:val="center"/>
              <w:rPr>
                <w:rFonts w:ascii="楷体" w:hAnsi="楷体" w:eastAsia="楷体"/>
                <w:szCs w:val="21"/>
              </w:rPr>
            </w:pPr>
            <w:r>
              <w:rPr>
                <w:rFonts w:ascii="楷体" w:hAnsi="楷体" w:eastAsia="楷体"/>
                <w:szCs w:val="21"/>
              </w:rPr>
              <w:t>+17.6</w:t>
            </w:r>
          </w:p>
        </w:tc>
        <w:tc>
          <w:tcPr>
            <w:tcW w:w="2012" w:type="dxa"/>
            <w:vAlign w:val="center"/>
          </w:tcPr>
          <w:p>
            <w:pPr>
              <w:jc w:val="center"/>
              <w:rPr>
                <w:rFonts w:ascii="楷体" w:hAnsi="楷体" w:eastAsia="楷体"/>
                <w:szCs w:val="21"/>
              </w:rPr>
            </w:pPr>
            <w:r>
              <w:rPr>
                <w:rFonts w:ascii="楷体" w:hAnsi="楷体" w:eastAsia="楷体"/>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14" w:type="dxa"/>
          </w:tcPr>
          <w:p>
            <w:pPr>
              <w:jc w:val="center"/>
              <w:rPr>
                <w:rFonts w:ascii="楷体" w:hAnsi="楷体" w:eastAsia="楷体"/>
                <w:szCs w:val="21"/>
              </w:rPr>
            </w:pPr>
            <w:r>
              <w:rPr>
                <w:rFonts w:ascii="楷体" w:hAnsi="楷体" w:eastAsia="楷体"/>
                <w:szCs w:val="21"/>
              </w:rPr>
              <w:t>120</w:t>
            </w:r>
          </w:p>
        </w:tc>
        <w:tc>
          <w:tcPr>
            <w:tcW w:w="2012" w:type="dxa"/>
            <w:vAlign w:val="center"/>
          </w:tcPr>
          <w:p>
            <w:pPr>
              <w:jc w:val="center"/>
              <w:rPr>
                <w:rFonts w:ascii="楷体" w:hAnsi="楷体" w:eastAsia="楷体"/>
                <w:szCs w:val="21"/>
              </w:rPr>
            </w:pPr>
            <w:r>
              <w:rPr>
                <w:rFonts w:ascii="楷体" w:hAnsi="楷体" w:eastAsia="楷体"/>
                <w:szCs w:val="21"/>
              </w:rPr>
              <w:t>+2.3</w:t>
            </w:r>
          </w:p>
        </w:tc>
        <w:tc>
          <w:tcPr>
            <w:tcW w:w="2012" w:type="dxa"/>
            <w:vAlign w:val="center"/>
          </w:tcPr>
          <w:p>
            <w:pPr>
              <w:jc w:val="center"/>
              <w:rPr>
                <w:rFonts w:ascii="楷体" w:hAnsi="楷体" w:eastAsia="楷体"/>
                <w:szCs w:val="21"/>
              </w:rPr>
            </w:pPr>
            <w:r>
              <w:rPr>
                <w:rFonts w:ascii="楷体" w:hAnsi="楷体" w:eastAsia="楷体"/>
                <w:szCs w:val="21"/>
              </w:rPr>
              <w:t>+7</w:t>
            </w:r>
          </w:p>
        </w:tc>
        <w:tc>
          <w:tcPr>
            <w:tcW w:w="2012" w:type="dxa"/>
            <w:vAlign w:val="center"/>
          </w:tcPr>
          <w:p>
            <w:pPr>
              <w:jc w:val="center"/>
              <w:rPr>
                <w:rFonts w:ascii="楷体" w:hAnsi="楷体" w:eastAsia="楷体"/>
                <w:szCs w:val="21"/>
              </w:rPr>
            </w:pPr>
            <w:r>
              <w:rPr>
                <w:rFonts w:ascii="楷体" w:hAnsi="楷体" w:eastAsia="楷体"/>
                <w:szCs w:val="21"/>
              </w:rPr>
              <w:t>+15.2</w:t>
            </w:r>
          </w:p>
        </w:tc>
        <w:tc>
          <w:tcPr>
            <w:tcW w:w="2012" w:type="dxa"/>
            <w:vAlign w:val="center"/>
          </w:tcPr>
          <w:p>
            <w:pPr>
              <w:jc w:val="center"/>
              <w:rPr>
                <w:rFonts w:ascii="楷体" w:hAnsi="楷体" w:eastAsia="楷体"/>
                <w:szCs w:val="21"/>
              </w:rPr>
            </w:pPr>
            <w:r>
              <w:rPr>
                <w:rFonts w:ascii="楷体" w:hAnsi="楷体" w:eastAsia="楷体"/>
                <w:szCs w:val="21"/>
              </w:rPr>
              <w:t>+16.6</w:t>
            </w:r>
          </w:p>
        </w:tc>
      </w:tr>
    </w:tbl>
    <w:p>
      <w:pPr>
        <w:ind w:firstLine="420" w:firstLineChars="200"/>
        <w:jc w:val="left"/>
        <w:rPr>
          <w:rFonts w:ascii="楷体" w:hAnsi="楷体" w:eastAsia="楷体"/>
          <w:szCs w:val="21"/>
        </w:rPr>
      </w:pPr>
      <w:r>
        <w:rPr>
          <w:rFonts w:ascii="楷体" w:hAnsi="楷体" w:eastAsia="楷体"/>
          <w:szCs w:val="21"/>
        </w:rPr>
        <w:t>从表</w:t>
      </w:r>
      <w:r>
        <w:rPr>
          <w:rFonts w:hint="eastAsia" w:ascii="楷体" w:hAnsi="楷体" w:eastAsia="楷体"/>
          <w:szCs w:val="21"/>
        </w:rPr>
        <w:t>4</w:t>
      </w:r>
      <w:r>
        <w:rPr>
          <w:rFonts w:ascii="楷体" w:hAnsi="楷体" w:eastAsia="楷体"/>
          <w:szCs w:val="21"/>
        </w:rPr>
        <w:t>中可见,计算值均比实测值大。其中原因之一是计算时混凝土的含水率采用平衡含水率（混凝土质量的2%</w:t>
      </w:r>
      <w:r>
        <w:rPr>
          <w:rFonts w:hint="eastAsia" w:ascii="楷体" w:hAnsi="楷体" w:eastAsia="楷体"/>
          <w:szCs w:val="21"/>
        </w:rPr>
        <w:t>-4%</w:t>
      </w:r>
      <w:r>
        <w:rPr>
          <w:rFonts w:ascii="楷体" w:hAnsi="楷体" w:eastAsia="楷体"/>
          <w:szCs w:val="21"/>
        </w:rPr>
        <w:t>），而试件试验时含水率较高，相对含水率达（63</w:t>
      </w:r>
      <w:r>
        <w:rPr>
          <w:rFonts w:hint="eastAsia" w:ascii="楷体" w:hAnsi="楷体" w:eastAsia="楷体"/>
          <w:szCs w:val="21"/>
        </w:rPr>
        <w:t>%</w:t>
      </w:r>
      <w:r>
        <w:rPr>
          <w:rFonts w:ascii="楷体" w:hAnsi="楷体" w:eastAsia="楷体"/>
          <w:szCs w:val="21"/>
        </w:rPr>
        <w:t>-98</w:t>
      </w:r>
      <w:r>
        <w:rPr>
          <w:rFonts w:hint="eastAsia" w:ascii="楷体" w:hAnsi="楷体" w:eastAsia="楷体"/>
          <w:szCs w:val="21"/>
        </w:rPr>
        <w:t>%</w:t>
      </w:r>
      <w:r>
        <w:rPr>
          <w:rFonts w:ascii="楷体" w:hAnsi="楷体" w:eastAsia="楷体"/>
          <w:szCs w:val="21"/>
        </w:rPr>
        <w:t>）。但是，本附录计算值要比法国混凝土结构耐火设计规范所给值偏小（参见李引擎等译：混凝土结构耐火设计强度实用计算法，中国建筑科学研究院印，1989）。</w:t>
      </w:r>
    </w:p>
    <w:p>
      <w:pPr>
        <w:ind w:firstLine="420" w:firstLineChars="200"/>
        <w:jc w:val="left"/>
        <w:rPr>
          <w:rFonts w:ascii="楷体" w:hAnsi="楷体" w:eastAsia="楷体"/>
          <w:szCs w:val="21"/>
        </w:rPr>
      </w:pPr>
    </w:p>
    <w:p>
      <w:pPr>
        <w:ind w:firstLine="420" w:firstLineChars="200"/>
        <w:jc w:val="left"/>
        <w:rPr>
          <w:rFonts w:ascii="楷体" w:hAnsi="楷体" w:eastAsia="楷体"/>
          <w:szCs w:val="21"/>
        </w:rPr>
      </w:pPr>
    </w:p>
    <w:p>
      <w:pPr>
        <w:ind w:firstLine="420" w:firstLineChars="200"/>
        <w:jc w:val="left"/>
        <w:rPr>
          <w:rFonts w:ascii="楷体" w:hAnsi="楷体" w:eastAsia="楷体"/>
          <w:szCs w:val="21"/>
        </w:rPr>
      </w:pPr>
    </w:p>
    <w:p>
      <w:pPr>
        <w:ind w:firstLine="420" w:firstLineChars="200"/>
        <w:jc w:val="left"/>
        <w:rPr>
          <w:rFonts w:cs="Times New Roman"/>
        </w:rPr>
        <w:sectPr>
          <w:pgSz w:w="11906" w:h="16838"/>
          <w:pgMar w:top="1440" w:right="1080" w:bottom="1440" w:left="1080" w:header="851" w:footer="992" w:gutter="0"/>
          <w:cols w:space="425" w:num="1"/>
          <w:docGrid w:type="lines" w:linePitch="312" w:charSpace="0"/>
        </w:sectPr>
      </w:pPr>
    </w:p>
    <w:p>
      <w:pPr>
        <w:pStyle w:val="2"/>
        <w:rPr>
          <w:rFonts w:cs="Times New Roman"/>
          <w:i/>
        </w:rPr>
      </w:pPr>
      <w:bookmarkStart w:id="118" w:name="_Toc513449987"/>
      <w:r>
        <w:rPr>
          <w:rFonts w:cs="Times New Roman"/>
        </w:rPr>
        <w:t xml:space="preserve">附录E </w:t>
      </w:r>
      <w:r>
        <w:rPr>
          <w:rFonts w:hint="eastAsia" w:cs="Times New Roman"/>
        </w:rPr>
        <w:t>常见</w:t>
      </w:r>
      <w:r>
        <w:rPr>
          <w:rFonts w:cs="Times New Roman"/>
        </w:rPr>
        <w:t>可燃物轰燃大火当量升温时间的确定</w:t>
      </w:r>
      <w:bookmarkEnd w:id="118"/>
    </w:p>
    <w:p>
      <w:pPr>
        <w:rPr>
          <w:rFonts w:ascii="楷体" w:hAnsi="楷体" w:eastAsia="楷体"/>
          <w:szCs w:val="21"/>
        </w:rPr>
      </w:pPr>
      <w:r>
        <w:rPr>
          <w:rFonts w:cs="Times New Roman"/>
          <w:b/>
        </w:rPr>
        <w:t xml:space="preserve">E.0.1 </w:t>
      </w:r>
      <w:r>
        <w:rPr>
          <w:rFonts w:ascii="楷体" w:hAnsi="楷体" w:eastAsia="楷体"/>
          <w:szCs w:val="21"/>
        </w:rPr>
        <w:t>本附录是基于轴心受压（素）混凝土构件在遭受标准升温火作用和一般火灾火作用后承载能力相等的原则，将一般火灾作用时间</w:t>
      </w:r>
      <w:r>
        <w:rPr>
          <w:rFonts w:ascii="楷体" w:hAnsi="楷体" w:eastAsia="楷体"/>
          <w:i/>
          <w:iCs/>
          <w:szCs w:val="21"/>
        </w:rPr>
        <w:t>t</w:t>
      </w:r>
      <w:r>
        <w:rPr>
          <w:rFonts w:ascii="楷体" w:hAnsi="楷体" w:eastAsia="楷体"/>
          <w:szCs w:val="21"/>
        </w:rPr>
        <w:t>等效为标准升温作用时间</w:t>
      </w:r>
      <w:r>
        <w:rPr>
          <w:rFonts w:ascii="楷体" w:hAnsi="楷体" w:eastAsia="楷体"/>
          <w:position w:val="-12"/>
          <w:szCs w:val="21"/>
        </w:rPr>
        <w:object>
          <v:shape id="_x0000_i1157" o:spt="75" type="#_x0000_t75" style="height:16.8pt;width:13.2pt;" o:ole="t" fillcolor="#000005 [-4142]" filled="f" o:preferrelative="t" stroked="f" coordsize="21600,21600">
            <v:path/>
            <v:fill on="f" focussize="0,0"/>
            <v:stroke on="f" joinstyle="miter"/>
            <v:imagedata r:id="rId278" o:title=""/>
            <o:lock v:ext="edit" aspectratio="t"/>
            <w10:wrap type="none"/>
            <w10:anchorlock/>
          </v:shape>
          <o:OLEObject Type="Embed" ProgID="Equation.3" ShapeID="_x0000_i1157" DrawAspect="Content" ObjectID="_1468075857" r:id="rId277">
            <o:LockedField>false</o:LockedField>
          </o:OLEObject>
        </w:object>
      </w:r>
      <w:r>
        <w:rPr>
          <w:rFonts w:ascii="楷体" w:hAnsi="楷体" w:eastAsia="楷体"/>
          <w:szCs w:val="21"/>
        </w:rPr>
        <w:t>，由此可以在实际工程中引用标准火灾试验的一些成果曲线。</w:t>
      </w:r>
    </w:p>
    <w:p>
      <w:pPr>
        <w:ind w:firstLine="420" w:firstLineChars="200"/>
        <w:jc w:val="left"/>
        <w:rPr>
          <w:rStyle w:val="23"/>
          <w:rFonts w:ascii="楷体" w:hAnsi="楷体" w:eastAsia="楷体"/>
          <w:szCs w:val="21"/>
        </w:rPr>
      </w:pPr>
      <w:r>
        <w:rPr>
          <w:rFonts w:ascii="楷体" w:hAnsi="楷体" w:eastAsia="楷体"/>
          <w:szCs w:val="21"/>
        </w:rPr>
        <w:t>之所以用作对比的混凝土构件采用轴心受压素混凝土柱，不考虑钢筋的作用，其原因是火灾后钢筋的强度恢复较大，混凝土的强度损伤较大且不能恢复。</w:t>
      </w:r>
    </w:p>
    <w:p>
      <w:pPr>
        <w:pStyle w:val="10"/>
        <w:ind w:left="0" w:leftChars="0" w:firstLine="420" w:firstLineChars="200"/>
        <w:jc w:val="left"/>
        <w:rPr>
          <w:rFonts w:ascii="楷体" w:hAnsi="楷体" w:eastAsia="楷体"/>
        </w:rPr>
      </w:pPr>
      <w:r>
        <w:rPr>
          <w:rFonts w:ascii="楷体" w:hAnsi="楷体" w:eastAsia="楷体"/>
        </w:rPr>
        <w:t>图</w:t>
      </w:r>
      <w:r>
        <w:rPr>
          <w:rFonts w:hint="eastAsia" w:ascii="楷体" w:hAnsi="楷体" w:eastAsia="楷体"/>
        </w:rPr>
        <w:t>1</w:t>
      </w:r>
      <w:r>
        <w:rPr>
          <w:rFonts w:ascii="楷体" w:hAnsi="楷体" w:eastAsia="楷体"/>
        </w:rPr>
        <w:t>示出以400</w:t>
      </w:r>
      <w:r>
        <w:rPr>
          <w:rFonts w:hint="eastAsia" w:ascii="楷体" w:hAnsi="楷体" w:eastAsia="楷体"/>
        </w:rPr>
        <w:t>mm</w:t>
      </w:r>
      <w:r>
        <w:rPr>
          <w:rFonts w:ascii="楷体" w:hAnsi="楷体" w:eastAsia="楷体"/>
          <w:position w:val="-4"/>
        </w:rPr>
        <w:object>
          <v:shape id="_x0000_i1158" o:spt="75" type="#_x0000_t75" style="height:9pt;width:9pt;" o:ole="t" fillcolor="#000005 [-4142]" filled="f" o:preferrelative="t" stroked="f" coordsize="21600,21600">
            <v:path/>
            <v:fill on="f" focussize="0,0"/>
            <v:stroke on="f" joinstyle="miter"/>
            <v:imagedata r:id="rId280" o:title=""/>
            <o:lock v:ext="edit" aspectratio="t"/>
            <w10:wrap type="none"/>
            <w10:anchorlock/>
          </v:shape>
          <o:OLEObject Type="Embed" ProgID="Equation.3" ShapeID="_x0000_i1158" DrawAspect="Content" ObjectID="_1468075858" r:id="rId279">
            <o:LockedField>false</o:LockedField>
          </o:OLEObject>
        </w:object>
      </w:r>
      <w:r>
        <w:rPr>
          <w:rFonts w:ascii="楷体" w:hAnsi="楷体" w:eastAsia="楷体"/>
        </w:rPr>
        <w:t>400 mm混凝土柱为对比对象的计算结果。图中以实际火灾条件下承载力曲线的最小值作水平线相交于标准火灾下柱承载力曲线，该交点所对应的时间即为标准当量时间</w:t>
      </w:r>
      <w:r>
        <w:rPr>
          <w:rFonts w:ascii="楷体" w:hAnsi="楷体" w:eastAsia="楷体"/>
          <w:position w:val="-12"/>
        </w:rPr>
        <w:object>
          <v:shape id="_x0000_i1159" o:spt="75" type="#_x0000_t75" style="height:16.8pt;width:13.2pt;" o:ole="t" fillcolor="#000005 [-4142]" filled="f" o:preferrelative="t" stroked="f" coordsize="21600,21600">
            <v:path/>
            <v:fill on="f" focussize="0,0"/>
            <v:stroke on="f" joinstyle="miter"/>
            <v:imagedata r:id="rId278" o:title=""/>
            <o:lock v:ext="edit" aspectratio="t"/>
            <w10:wrap type="none"/>
            <w10:anchorlock/>
          </v:shape>
          <o:OLEObject Type="Embed" ProgID="Equation.3" ShapeID="_x0000_i1159" DrawAspect="Content" ObjectID="_1468075859" r:id="rId281">
            <o:LockedField>false</o:LockedField>
          </o:OLEObject>
        </w:object>
      </w:r>
      <w:r>
        <w:rPr>
          <w:rFonts w:ascii="楷体" w:hAnsi="楷体" w:eastAsia="楷体"/>
        </w:rPr>
        <w:t>。如图中，</w:t>
      </w:r>
      <w:r>
        <w:rPr>
          <w:rFonts w:hint="eastAsia" w:ascii="楷体" w:hAnsi="楷体" w:eastAsia="楷体"/>
          <w:i/>
        </w:rPr>
        <w:t>F</w:t>
      </w:r>
      <w:r>
        <w:rPr>
          <w:rFonts w:hint="eastAsia" w:ascii="楷体" w:hAnsi="楷体" w:eastAsia="楷体"/>
        </w:rPr>
        <w:t>=0.06m</w:t>
      </w:r>
      <w:r>
        <w:rPr>
          <w:rFonts w:hint="eastAsia" w:ascii="楷体" w:hAnsi="楷体" w:eastAsia="楷体"/>
          <w:vertAlign w:val="superscript"/>
        </w:rPr>
        <w:t>1/2</w:t>
      </w:r>
      <w:r>
        <w:rPr>
          <w:rFonts w:hint="eastAsia" w:ascii="楷体" w:hAnsi="楷体" w:eastAsia="楷体"/>
        </w:rPr>
        <w:t>,</w:t>
      </w:r>
      <w:r>
        <w:rPr>
          <w:rFonts w:hint="eastAsia" w:ascii="楷体" w:hAnsi="楷体" w:eastAsia="楷体"/>
          <w:i/>
        </w:rPr>
        <w:t>q</w:t>
      </w:r>
      <w:r>
        <w:rPr>
          <w:rFonts w:hint="eastAsia" w:ascii="楷体" w:hAnsi="楷体" w:eastAsia="楷体"/>
          <w:i/>
          <w:vertAlign w:val="subscript"/>
        </w:rPr>
        <w:t>T</w:t>
      </w:r>
      <w:r>
        <w:rPr>
          <w:rFonts w:hint="eastAsia" w:ascii="楷体" w:hAnsi="楷体" w:eastAsia="楷体"/>
        </w:rPr>
        <w:t>=300MJ/m</w:t>
      </w:r>
      <w:r>
        <w:rPr>
          <w:rFonts w:hint="eastAsia" w:ascii="楷体" w:hAnsi="楷体" w:eastAsia="楷体"/>
          <w:vertAlign w:val="superscript"/>
        </w:rPr>
        <w:t>2</w:t>
      </w:r>
      <w:r>
        <w:rPr>
          <w:rFonts w:ascii="楷体" w:hAnsi="楷体" w:eastAsia="楷体"/>
        </w:rPr>
        <w:t>时，标准当量时间约为68min</w:t>
      </w:r>
    </w:p>
    <w:p>
      <w:pPr>
        <w:ind w:firstLine="200"/>
        <w:jc w:val="center"/>
        <w:rPr>
          <w:rFonts w:ascii="楷体" w:hAnsi="楷体" w:eastAsia="楷体"/>
          <w:bCs/>
          <w:szCs w:val="21"/>
        </w:rPr>
      </w:pPr>
      <w:r>
        <w:rPr>
          <w:rFonts w:ascii="楷体" w:hAnsi="楷体" w:eastAsia="楷体"/>
        </w:rPr>
        <w:drawing>
          <wp:inline distT="0" distB="0" distL="0" distR="0">
            <wp:extent cx="2743200" cy="1752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a:xfrm>
                      <a:off x="0" y="0"/>
                      <a:ext cx="2743200" cy="1752600"/>
                    </a:xfrm>
                    <a:prstGeom prst="rect">
                      <a:avLst/>
                    </a:prstGeom>
                    <a:noFill/>
                    <a:ln>
                      <a:noFill/>
                    </a:ln>
                  </pic:spPr>
                </pic:pic>
              </a:graphicData>
            </a:graphic>
          </wp:inline>
        </w:drawing>
      </w:r>
    </w:p>
    <w:p>
      <w:pPr>
        <w:ind w:firstLine="200"/>
        <w:jc w:val="center"/>
        <w:rPr>
          <w:rFonts w:ascii="楷体" w:hAnsi="楷体" w:eastAsia="楷体"/>
          <w:bCs/>
          <w:szCs w:val="21"/>
        </w:rPr>
      </w:pPr>
      <w:r>
        <w:rPr>
          <w:rFonts w:hint="eastAsia" w:ascii="楷体" w:hAnsi="楷体" w:eastAsia="楷体"/>
          <w:bCs/>
          <w:szCs w:val="21"/>
        </w:rPr>
        <w:t>图1实际火灾和标准火灾条件下混凝土祝的承载力曲线</w:t>
      </w:r>
    </w:p>
    <w:p>
      <w:pPr>
        <w:ind w:firstLine="200"/>
        <w:rPr>
          <w:rFonts w:ascii="楷体" w:hAnsi="楷体" w:eastAsia="楷体"/>
        </w:rPr>
      </w:pPr>
      <w:r>
        <w:rPr>
          <w:rFonts w:ascii="楷体" w:hAnsi="楷体" w:eastAsia="楷体"/>
          <w:bCs/>
        </w:rPr>
        <w:t>实际火灾和标准火灾（bzhz）条件下混凝土柱的承载力曲线</w:t>
      </w:r>
      <w:r>
        <w:rPr>
          <w:rFonts w:ascii="楷体" w:hAnsi="楷体" w:eastAsia="楷体"/>
        </w:rPr>
        <w:t>计算结果表明，所选柱截面由400</w:t>
      </w:r>
      <w:r>
        <w:rPr>
          <w:rFonts w:hint="eastAsia" w:ascii="楷体" w:hAnsi="楷体" w:eastAsia="楷体"/>
        </w:rPr>
        <w:t>mm</w:t>
      </w:r>
      <w:r>
        <w:rPr>
          <w:rFonts w:ascii="楷体" w:hAnsi="楷体" w:eastAsia="楷体"/>
          <w:position w:val="-4"/>
        </w:rPr>
        <w:object>
          <v:shape id="_x0000_i1160" o:spt="75" type="#_x0000_t75" style="height:9pt;width:9pt;" o:ole="t" fillcolor="#000005 [-4142]" filled="f" o:preferrelative="t" stroked="f" coordsize="21600,21600">
            <v:path/>
            <v:fill on="f" focussize="0,0"/>
            <v:stroke on="f" joinstyle="miter"/>
            <v:imagedata r:id="rId280" o:title=""/>
            <o:lock v:ext="edit" aspectratio="t"/>
            <w10:wrap type="none"/>
            <w10:anchorlock/>
          </v:shape>
          <o:OLEObject Type="Embed" ProgID="Equation.3" ShapeID="_x0000_i1160" DrawAspect="Content" ObjectID="_1468075860" r:id="rId283">
            <o:LockedField>false</o:LockedField>
          </o:OLEObject>
        </w:object>
      </w:r>
      <w:r>
        <w:rPr>
          <w:rFonts w:ascii="楷体" w:hAnsi="楷体" w:eastAsia="楷体"/>
        </w:rPr>
        <w:t>400 mm改变为300</w:t>
      </w:r>
      <w:r>
        <w:rPr>
          <w:rFonts w:hint="eastAsia" w:ascii="楷体" w:hAnsi="楷体" w:eastAsia="楷体"/>
        </w:rPr>
        <w:t>mm</w:t>
      </w:r>
      <w:r>
        <w:rPr>
          <w:rFonts w:ascii="楷体" w:hAnsi="楷体" w:eastAsia="楷体"/>
          <w:position w:val="-4"/>
        </w:rPr>
        <w:object>
          <v:shape id="_x0000_i1161" o:spt="75" type="#_x0000_t75" style="height:9pt;width:9pt;" o:ole="t" fillcolor="#000005 [-4142]" filled="f" o:preferrelative="t" stroked="f" coordsize="21600,21600">
            <v:path/>
            <v:fill on="f" focussize="0,0"/>
            <v:stroke on="f" joinstyle="miter"/>
            <v:imagedata r:id="rId280" o:title=""/>
            <o:lock v:ext="edit" aspectratio="t"/>
            <w10:wrap type="none"/>
            <w10:anchorlock/>
          </v:shape>
          <o:OLEObject Type="Embed" ProgID="Equation.3" ShapeID="_x0000_i1161" DrawAspect="Content" ObjectID="_1468075861" r:id="rId284">
            <o:LockedField>false</o:LockedField>
          </o:OLEObject>
        </w:object>
      </w:r>
      <w:r>
        <w:rPr>
          <w:rFonts w:ascii="楷体" w:hAnsi="楷体" w:eastAsia="楷体"/>
        </w:rPr>
        <w:t>300 mm时，标准当量时间</w:t>
      </w:r>
      <w:r>
        <w:rPr>
          <w:rFonts w:ascii="楷体" w:hAnsi="楷体" w:eastAsia="楷体"/>
          <w:position w:val="-12"/>
        </w:rPr>
        <w:object>
          <v:shape id="_x0000_i1162" o:spt="75" type="#_x0000_t75" style="height:16.8pt;width:13.2pt;" o:ole="t" fillcolor="#000005 [-4142]" filled="f" o:preferrelative="t" stroked="f" coordsize="21600,21600">
            <v:path/>
            <v:fill on="f" focussize="0,0"/>
            <v:stroke on="f" joinstyle="miter"/>
            <v:imagedata r:id="rId278" o:title=""/>
            <o:lock v:ext="edit" aspectratio="t"/>
            <w10:wrap type="none"/>
            <w10:anchorlock/>
          </v:shape>
          <o:OLEObject Type="Embed" ProgID="Equation.3" ShapeID="_x0000_i1162" DrawAspect="Content" ObjectID="_1468075862" r:id="rId285">
            <o:LockedField>false</o:LockedField>
          </o:OLEObject>
        </w:object>
      </w:r>
      <w:r>
        <w:rPr>
          <w:rFonts w:ascii="楷体" w:hAnsi="楷体" w:eastAsia="楷体"/>
        </w:rPr>
        <w:t>基本无变化。</w:t>
      </w:r>
    </w:p>
    <w:p>
      <w:pPr>
        <w:ind w:firstLine="420" w:firstLineChars="200"/>
        <w:rPr>
          <w:rFonts w:ascii="楷体" w:hAnsi="楷体" w:eastAsia="楷体"/>
        </w:rPr>
      </w:pPr>
      <w:r>
        <w:rPr>
          <w:rFonts w:ascii="楷体" w:hAnsi="楷体" w:eastAsia="楷体"/>
        </w:rPr>
        <w:t>使用附表E</w:t>
      </w:r>
      <w:r>
        <w:rPr>
          <w:rFonts w:hint="eastAsia" w:ascii="楷体" w:hAnsi="楷体" w:eastAsia="楷体"/>
        </w:rPr>
        <w:t>.0.1</w:t>
      </w:r>
      <w:r>
        <w:rPr>
          <w:rFonts w:ascii="楷体" w:hAnsi="楷体" w:eastAsia="楷体"/>
        </w:rPr>
        <w:t>-2数据，必需是发生</w:t>
      </w:r>
      <w:r>
        <w:rPr>
          <w:rFonts w:hint="eastAsia" w:ascii="楷体" w:hAnsi="楷体" w:eastAsia="楷体"/>
        </w:rPr>
        <w:t>轰燃的</w:t>
      </w:r>
      <w:r>
        <w:rPr>
          <w:rFonts w:ascii="楷体" w:hAnsi="楷体" w:eastAsia="楷体"/>
        </w:rPr>
        <w:t>大火。</w:t>
      </w:r>
    </w:p>
    <w:p>
      <w:pPr>
        <w:ind w:firstLine="420" w:firstLineChars="200"/>
        <w:rPr>
          <w:rFonts w:cs="Times New Roman"/>
        </w:rPr>
        <w:sectPr>
          <w:pgSz w:w="11906" w:h="16838"/>
          <w:pgMar w:top="1440" w:right="1080" w:bottom="1440" w:left="1080" w:header="851" w:footer="992" w:gutter="0"/>
          <w:cols w:space="425" w:num="1"/>
          <w:docGrid w:type="lines" w:linePitch="312" w:charSpace="0"/>
        </w:sectPr>
      </w:pPr>
    </w:p>
    <w:p>
      <w:pPr>
        <w:pStyle w:val="2"/>
        <w:rPr>
          <w:rFonts w:cs="Times New Roman"/>
          <w:color w:val="FF0000"/>
          <w:highlight w:val="yellow"/>
        </w:rPr>
        <w:sectPr>
          <w:footerReference r:id="rId24" w:type="first"/>
          <w:headerReference r:id="rId22" w:type="even"/>
          <w:footerReference r:id="rId23" w:type="even"/>
          <w:type w:val="continuous"/>
          <w:pgSz w:w="11906" w:h="16838"/>
          <w:pgMar w:top="1440" w:right="1080" w:bottom="1440" w:left="1080" w:header="851" w:footer="992" w:gutter="0"/>
          <w:cols w:space="425" w:num="1"/>
          <w:docGrid w:type="lines" w:linePitch="312" w:charSpace="0"/>
        </w:sectPr>
      </w:pPr>
    </w:p>
    <w:p>
      <w:pPr>
        <w:pStyle w:val="2"/>
        <w:rPr>
          <w:rFonts w:cs="Times New Roman"/>
          <w:i/>
        </w:rPr>
      </w:pPr>
      <w:bookmarkStart w:id="119" w:name="_Toc513449988"/>
      <w:r>
        <w:rPr>
          <w:rFonts w:cs="Times New Roman"/>
        </w:rPr>
        <w:t>附录</w:t>
      </w:r>
      <w:r>
        <w:rPr>
          <w:rFonts w:hint="eastAsia" w:cs="Times New Roman"/>
        </w:rPr>
        <w:t>F</w:t>
      </w:r>
      <w:r>
        <w:rPr>
          <w:rFonts w:cs="Times New Roman"/>
        </w:rPr>
        <w:t xml:space="preserve">  火灾后混凝土构件材料微观分析</w:t>
      </w:r>
      <w:bookmarkEnd w:id="119"/>
    </w:p>
    <w:p>
      <w:pPr>
        <w:rPr>
          <w:rFonts w:ascii="楷体" w:hAnsi="楷体" w:eastAsia="楷体"/>
        </w:rPr>
      </w:pPr>
      <w:r>
        <w:rPr>
          <w:rFonts w:cs="Times New Roman"/>
          <w:b/>
        </w:rPr>
        <w:t>F.0.1</w:t>
      </w:r>
      <w:r>
        <w:rPr>
          <w:rFonts w:ascii="楷体" w:hAnsi="楷体" w:eastAsia="楷体"/>
        </w:rPr>
        <w:t xml:space="preserve"> X衍射分析和电镜观测都是在微观领域中对火灾后混凝土构件进行分析。</w:t>
      </w:r>
    </w:p>
    <w:p>
      <w:pPr>
        <w:pStyle w:val="10"/>
        <w:ind w:left="0" w:leftChars="0" w:firstLine="420" w:firstLineChars="200"/>
        <w:jc w:val="left"/>
        <w:rPr>
          <w:rFonts w:ascii="楷体" w:hAnsi="楷体" w:eastAsia="楷体"/>
        </w:rPr>
      </w:pPr>
      <w:r>
        <w:rPr>
          <w:rFonts w:ascii="楷体" w:hAnsi="楷体" w:eastAsia="楷体"/>
        </w:rPr>
        <w:t>X射线衍射分析首先解决待测物的物相组成，并由此推知混凝土中各种成分的原始状况，经历过哪些变化。由特征峰的弥散或明锐程度（通常用峰的半高宽度），表示结晶的好坏。这些信息与混凝土构件受火损伤的程度相关，从而为评价混凝土构件的强度提供信息。条文中列出这些物相反应的特征温度可以帮助判定混凝土小样所在部位的灼着温度，而混凝土构件的灼着温度一</w:t>
      </w:r>
      <w:r>
        <w:rPr>
          <w:rFonts w:hint="eastAsia" w:ascii="楷体" w:hAnsi="楷体" w:eastAsia="楷体"/>
        </w:rPr>
        <w:t>经</w:t>
      </w:r>
      <w:r>
        <w:rPr>
          <w:rFonts w:ascii="楷体" w:hAnsi="楷体" w:eastAsia="楷体"/>
        </w:rPr>
        <w:t>确定，即可利用混凝土在高温下的折减系数（见附录</w:t>
      </w:r>
      <w:r>
        <w:rPr>
          <w:rFonts w:hint="eastAsia" w:ascii="楷体" w:hAnsi="楷体" w:eastAsia="楷体"/>
        </w:rPr>
        <w:t>F</w:t>
      </w:r>
      <w:r>
        <w:rPr>
          <w:rFonts w:ascii="楷体" w:hAnsi="楷体" w:eastAsia="楷体"/>
        </w:rPr>
        <w:t>）评定火灾混凝土的实际强度。事实上，混凝土中的各种原始材料以及水泥水化产物，碳化产物等都能在火灾中发生各种变化，其热致相变（脱水、分解、高温相反应等）常需要一定的温度，火灾后各种相变产物的检出都可以对混凝土的灼着温度提供依据。</w:t>
      </w:r>
    </w:p>
    <w:p>
      <w:pPr>
        <w:pStyle w:val="10"/>
        <w:ind w:left="0" w:leftChars="0" w:firstLine="420" w:firstLineChars="200"/>
        <w:jc w:val="left"/>
        <w:rPr>
          <w:rFonts w:ascii="楷体" w:hAnsi="楷体" w:eastAsia="楷体"/>
        </w:rPr>
      </w:pPr>
      <w:r>
        <w:rPr>
          <w:rFonts w:ascii="楷体" w:hAnsi="楷体" w:eastAsia="楷体"/>
        </w:rPr>
        <w:t>扫描电镜观测分析也是近几十年发展起来的现代化分析手段，它着眼于待测物的显微形貌，可放大到十万倍，比普通光学显微镜的分辨率高得多。混凝土材料微观晶格结构拍照得到立体感极强。当用于火灾后混凝土构件分析时，用电镜分析获得的各种物相显微形貌变化，如玻璃态化，CSH凝胶的干缩、产生微裂纹，各种水化产物的变化等与物相组成分析配合，可以从混凝土材质的微观结构变化中找出混凝土强度及混凝土破坏的实质。</w:t>
      </w:r>
    </w:p>
    <w:p>
      <w:pPr>
        <w:pStyle w:val="10"/>
        <w:ind w:left="0" w:leftChars="0" w:firstLine="420" w:firstLineChars="200"/>
        <w:jc w:val="left"/>
        <w:rPr>
          <w:rFonts w:ascii="楷体" w:hAnsi="楷体" w:eastAsia="楷体"/>
        </w:rPr>
      </w:pPr>
      <w:r>
        <w:rPr>
          <w:rFonts w:ascii="楷体" w:hAnsi="楷体" w:eastAsia="楷体"/>
        </w:rPr>
        <w:t>X射线衍射分析和电镜观测都采用分层切片办法试验。分层切片的厚度视构件火灾损伤状况而定，如果截面温度场或火灾伤梯度较大，切片厚度宜小，目前的切片厚度一般在5～10mm之间。</w:t>
      </w:r>
    </w:p>
    <w:p>
      <w:pPr>
        <w:pStyle w:val="2"/>
        <w:rPr>
          <w:rFonts w:cs="Times New Roman"/>
        </w:rPr>
        <w:sectPr>
          <w:pgSz w:w="11906" w:h="16838"/>
          <w:pgMar w:top="1440" w:right="1080" w:bottom="1440" w:left="1080" w:header="851" w:footer="992" w:gutter="0"/>
          <w:cols w:space="425" w:num="1"/>
          <w:docGrid w:type="lines" w:linePitch="312" w:charSpace="0"/>
        </w:sectPr>
      </w:pPr>
    </w:p>
    <w:p>
      <w:pPr>
        <w:pStyle w:val="2"/>
      </w:pPr>
      <w:bookmarkStart w:id="120" w:name="_Toc513449989"/>
      <w:r>
        <w:t>附录G</w:t>
      </w:r>
      <w:r>
        <w:rPr>
          <w:rFonts w:hint="eastAsia"/>
        </w:rPr>
        <w:t xml:space="preserve"> </w:t>
      </w:r>
      <w:r>
        <w:t>火灾后钢筋混凝土力学性能</w:t>
      </w:r>
      <w:bookmarkEnd w:id="120"/>
    </w:p>
    <w:p>
      <w:pPr>
        <w:pStyle w:val="3"/>
      </w:pPr>
      <w:bookmarkStart w:id="121" w:name="_Toc513449990"/>
      <w:r>
        <w:t>G.1</w:t>
      </w:r>
      <w:r>
        <w:rPr>
          <w:rFonts w:hint="eastAsia"/>
        </w:rPr>
        <w:t xml:space="preserve"> 高温时和高温冷却后混凝土强度折减系数</w:t>
      </w:r>
      <w:bookmarkEnd w:id="121"/>
    </w:p>
    <w:p>
      <w:pPr>
        <w:spacing w:line="288" w:lineRule="auto"/>
        <w:ind w:right="266"/>
        <w:rPr>
          <w:rFonts w:ascii="楷体" w:hAnsi="楷体" w:eastAsia="楷体"/>
          <w:szCs w:val="21"/>
        </w:rPr>
      </w:pPr>
      <w:r>
        <w:rPr>
          <w:b/>
          <w:szCs w:val="21"/>
        </w:rPr>
        <w:t>G.1.1</w:t>
      </w:r>
      <w:r>
        <w:rPr>
          <w:rFonts w:hint="eastAsia"/>
          <w:szCs w:val="21"/>
        </w:rPr>
        <w:t xml:space="preserve"> </w:t>
      </w:r>
      <w:r>
        <w:rPr>
          <w:rFonts w:hint="eastAsia" w:ascii="楷体" w:hAnsi="楷体" w:eastAsia="楷体"/>
          <w:szCs w:val="21"/>
        </w:rPr>
        <w:t>普通和高强混凝土自然冷却后抗压</w:t>
      </w:r>
      <w:r>
        <w:rPr>
          <w:rFonts w:ascii="楷体" w:hAnsi="楷体" w:eastAsia="楷体"/>
          <w:szCs w:val="21"/>
        </w:rPr>
        <w:t>强度</w:t>
      </w:r>
      <w:r>
        <w:rPr>
          <w:rFonts w:hint="eastAsia" w:ascii="楷体" w:hAnsi="楷体" w:eastAsia="楷体"/>
          <w:szCs w:val="21"/>
        </w:rPr>
        <w:t>折减系数分别由图1和图2确定，普通混凝土水冷却后抗压</w:t>
      </w:r>
      <w:r>
        <w:rPr>
          <w:rFonts w:ascii="楷体" w:hAnsi="楷体" w:eastAsia="楷体"/>
          <w:szCs w:val="21"/>
        </w:rPr>
        <w:t>强度</w:t>
      </w:r>
      <w:r>
        <w:rPr>
          <w:rFonts w:hint="eastAsia" w:ascii="楷体" w:hAnsi="楷体" w:eastAsia="楷体"/>
          <w:szCs w:val="21"/>
        </w:rPr>
        <w:t>折减系数分别由图3确定。</w:t>
      </w:r>
    </w:p>
    <w:p>
      <w:pPr>
        <w:spacing w:beforeLines="50"/>
        <w:ind w:firstLine="360" w:firstLineChars="200"/>
        <w:jc w:val="left"/>
        <w:rPr>
          <w:sz w:val="18"/>
          <w:szCs w:val="18"/>
        </w:rPr>
      </w:pPr>
    </w:p>
    <w:p>
      <w:pPr>
        <w:jc w:val="center"/>
      </w:pPr>
      <w:r>
        <w:rPr>
          <w:rFonts w:hint="eastAsia" w:eastAsia="黑体"/>
          <w:sz w:val="18"/>
          <w:szCs w:val="18"/>
        </w:rPr>
        <w:t xml:space="preserve"> </w:t>
      </w:r>
      <w:r>
        <w:rPr>
          <w:rFonts w:hint="eastAsia" w:eastAsia="黑体"/>
          <w:sz w:val="18"/>
          <w:szCs w:val="18"/>
        </w:rPr>
        <w:drawing>
          <wp:inline distT="0" distB="0" distL="0" distR="0">
            <wp:extent cx="2414270" cy="1898650"/>
            <wp:effectExtent l="19050" t="0" r="4505" b="0"/>
            <wp:docPr id="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0"/>
                    <pic:cNvPicPr>
                      <a:picLocks noChangeAspect="1" noChangeArrowheads="1"/>
                    </pic:cNvPicPr>
                  </pic:nvPicPr>
                  <pic:blipFill>
                    <a:blip r:embed="rId286" cstate="print"/>
                    <a:srcRect/>
                    <a:stretch>
                      <a:fillRect/>
                    </a:stretch>
                  </pic:blipFill>
                  <pic:spPr>
                    <a:xfrm>
                      <a:off x="0" y="0"/>
                      <a:ext cx="2414845" cy="1898650"/>
                    </a:xfrm>
                    <a:prstGeom prst="rect">
                      <a:avLst/>
                    </a:prstGeom>
                    <a:noFill/>
                    <a:ln w="9525">
                      <a:noFill/>
                      <a:miter lim="800000"/>
                      <a:headEnd/>
                      <a:tailEnd/>
                    </a:ln>
                  </pic:spPr>
                </pic:pic>
              </a:graphicData>
            </a:graphic>
          </wp:inline>
        </w:drawing>
      </w:r>
      <w:r>
        <w:rPr>
          <w:rFonts w:hint="eastAsia" w:eastAsia="黑体"/>
          <w:sz w:val="18"/>
          <w:szCs w:val="18"/>
        </w:rPr>
        <w:t xml:space="preserve"> </w:t>
      </w:r>
      <w:r>
        <w:rPr>
          <w:rFonts w:hint="eastAsia" w:eastAsia="黑体"/>
          <w:sz w:val="18"/>
          <w:szCs w:val="18"/>
        </w:rPr>
        <w:drawing>
          <wp:inline distT="0" distB="0" distL="0" distR="0">
            <wp:extent cx="2489200" cy="1967230"/>
            <wp:effectExtent l="19050" t="0" r="6350" b="0"/>
            <wp:docPr id="1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
                    <pic:cNvPicPr>
                      <a:picLocks noChangeAspect="1" noChangeArrowheads="1"/>
                    </pic:cNvPicPr>
                  </pic:nvPicPr>
                  <pic:blipFill>
                    <a:blip r:embed="rId287" cstate="print"/>
                    <a:srcRect/>
                    <a:stretch>
                      <a:fillRect/>
                    </a:stretch>
                  </pic:blipFill>
                  <pic:spPr>
                    <a:xfrm>
                      <a:off x="0" y="0"/>
                      <a:ext cx="2490635" cy="1968787"/>
                    </a:xfrm>
                    <a:prstGeom prst="rect">
                      <a:avLst/>
                    </a:prstGeom>
                    <a:noFill/>
                    <a:ln w="9525">
                      <a:noFill/>
                      <a:miter lim="800000"/>
                      <a:headEnd/>
                      <a:tailEnd/>
                    </a:ln>
                  </pic:spPr>
                </pic:pic>
              </a:graphicData>
            </a:graphic>
          </wp:inline>
        </w:drawing>
      </w:r>
    </w:p>
    <w:p>
      <w:pPr>
        <w:jc w:val="center"/>
      </w:pPr>
      <w:r>
        <w:rPr>
          <w:rFonts w:hint="eastAsia"/>
        </w:rPr>
        <w:t>图1                                 图</w:t>
      </w:r>
      <w:r>
        <w:t>2</w:t>
      </w:r>
    </w:p>
    <w:p>
      <w:pPr>
        <w:ind w:firstLine="420" w:firstLineChars="200"/>
        <w:jc w:val="left"/>
      </w:pPr>
      <w:r>
        <w:drawing>
          <wp:inline distT="0" distB="0" distL="0" distR="0">
            <wp:extent cx="2559685" cy="200025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88" cstate="print"/>
                    <a:srcRect/>
                    <a:stretch>
                      <a:fillRect/>
                    </a:stretch>
                  </pic:blipFill>
                  <pic:spPr>
                    <a:xfrm>
                      <a:off x="0" y="0"/>
                      <a:ext cx="2560581" cy="2000855"/>
                    </a:xfrm>
                    <a:prstGeom prst="rect">
                      <a:avLst/>
                    </a:prstGeom>
                    <a:noFill/>
                    <a:ln w="9525">
                      <a:noFill/>
                      <a:miter lim="800000"/>
                      <a:headEnd/>
                      <a:tailEnd/>
                    </a:ln>
                  </pic:spPr>
                </pic:pic>
              </a:graphicData>
            </a:graphic>
          </wp:inline>
        </w:drawing>
      </w:r>
    </w:p>
    <w:p>
      <w:pPr>
        <w:ind w:firstLine="2100" w:firstLineChars="1000"/>
        <w:jc w:val="left"/>
      </w:pPr>
      <w:r>
        <w:rPr>
          <w:rFonts w:hint="eastAsia"/>
        </w:rPr>
        <w:t>图</w:t>
      </w:r>
      <w:r>
        <w:t>3</w:t>
      </w:r>
      <w:r>
        <w:rPr>
          <w:rFonts w:hint="eastAsia"/>
        </w:rPr>
        <w:t xml:space="preserve">                                  </w:t>
      </w:r>
    </w:p>
    <w:p>
      <w:pPr>
        <w:pStyle w:val="3"/>
      </w:pPr>
      <w:bookmarkStart w:id="122" w:name="_Toc513449991"/>
      <w:r>
        <w:t xml:space="preserve">G.2 </w:t>
      </w:r>
      <w:r>
        <w:rPr>
          <w:rFonts w:hint="eastAsia"/>
        </w:rPr>
        <w:t>高温时和高温冷却后钢筋（普通及高强）强度折减系数</w:t>
      </w:r>
      <w:bookmarkEnd w:id="122"/>
    </w:p>
    <w:p>
      <w:pPr>
        <w:spacing w:line="288" w:lineRule="auto"/>
        <w:ind w:right="-51"/>
        <w:rPr>
          <w:rFonts w:ascii="楷体" w:hAnsi="楷体" w:eastAsia="楷体"/>
          <w:szCs w:val="21"/>
        </w:rPr>
      </w:pPr>
      <w:r>
        <w:rPr>
          <w:rFonts w:hint="eastAsia"/>
          <w:b/>
          <w:szCs w:val="21"/>
        </w:rPr>
        <w:t>G</w:t>
      </w:r>
      <w:r>
        <w:rPr>
          <w:b/>
          <w:szCs w:val="21"/>
        </w:rPr>
        <w:t xml:space="preserve">.2.1 </w:t>
      </w:r>
      <w:r>
        <w:rPr>
          <w:rFonts w:ascii="楷体" w:hAnsi="楷体" w:eastAsia="楷体"/>
          <w:szCs w:val="21"/>
        </w:rPr>
        <w:t>H</w:t>
      </w:r>
      <w:r>
        <w:rPr>
          <w:rFonts w:hint="eastAsia" w:ascii="楷体" w:hAnsi="楷体" w:eastAsia="楷体"/>
          <w:szCs w:val="21"/>
        </w:rPr>
        <w:t>P</w:t>
      </w:r>
      <w:r>
        <w:rPr>
          <w:rFonts w:ascii="楷体" w:hAnsi="楷体" w:eastAsia="楷体"/>
          <w:szCs w:val="21"/>
        </w:rPr>
        <w:t>B</w:t>
      </w:r>
      <w:r>
        <w:rPr>
          <w:rFonts w:hint="eastAsia" w:ascii="楷体" w:hAnsi="楷体" w:eastAsia="楷体"/>
          <w:szCs w:val="21"/>
        </w:rPr>
        <w:t>2</w:t>
      </w:r>
      <w:r>
        <w:rPr>
          <w:rFonts w:ascii="楷体" w:hAnsi="楷体" w:eastAsia="楷体"/>
          <w:szCs w:val="21"/>
        </w:rPr>
        <w:t>35钢筋</w:t>
      </w:r>
      <w:r>
        <w:rPr>
          <w:rFonts w:hint="eastAsia" w:ascii="楷体" w:hAnsi="楷体" w:eastAsia="楷体"/>
          <w:szCs w:val="21"/>
        </w:rPr>
        <w:t>和</w:t>
      </w:r>
      <w:r>
        <w:rPr>
          <w:rFonts w:ascii="楷体" w:hAnsi="楷体" w:eastAsia="楷体"/>
          <w:szCs w:val="21"/>
        </w:rPr>
        <w:t>HRB</w:t>
      </w:r>
      <w:r>
        <w:rPr>
          <w:rFonts w:hint="eastAsia" w:ascii="楷体" w:hAnsi="楷体" w:eastAsia="楷体"/>
          <w:szCs w:val="21"/>
        </w:rPr>
        <w:t>400</w:t>
      </w:r>
      <w:r>
        <w:rPr>
          <w:rFonts w:ascii="楷体" w:hAnsi="楷体" w:eastAsia="楷体"/>
          <w:szCs w:val="21"/>
        </w:rPr>
        <w:t>钢筋高</w:t>
      </w:r>
      <w:r>
        <w:rPr>
          <w:rFonts w:hint="eastAsia" w:ascii="楷体" w:hAnsi="楷体" w:eastAsia="楷体"/>
          <w:szCs w:val="21"/>
        </w:rPr>
        <w:t>温下的屈服</w:t>
      </w:r>
      <w:r>
        <w:rPr>
          <w:rFonts w:ascii="楷体" w:hAnsi="楷体" w:eastAsia="楷体"/>
          <w:szCs w:val="21"/>
        </w:rPr>
        <w:t>强度</w:t>
      </w:r>
      <w:r>
        <w:rPr>
          <w:rFonts w:hint="eastAsia" w:ascii="楷体" w:hAnsi="楷体" w:eastAsia="楷体"/>
          <w:szCs w:val="21"/>
        </w:rPr>
        <w:t>折减系数分别由图4和图5确定，</w:t>
      </w:r>
      <w:r>
        <w:rPr>
          <w:rFonts w:ascii="楷体" w:hAnsi="楷体" w:eastAsia="楷体"/>
          <w:szCs w:val="21"/>
        </w:rPr>
        <w:t>H</w:t>
      </w:r>
      <w:r>
        <w:rPr>
          <w:rFonts w:hint="eastAsia" w:ascii="楷体" w:hAnsi="楷体" w:eastAsia="楷体"/>
          <w:szCs w:val="21"/>
        </w:rPr>
        <w:t>P</w:t>
      </w:r>
      <w:r>
        <w:rPr>
          <w:rFonts w:ascii="楷体" w:hAnsi="楷体" w:eastAsia="楷体"/>
          <w:szCs w:val="21"/>
        </w:rPr>
        <w:t>B</w:t>
      </w:r>
      <w:r>
        <w:rPr>
          <w:rFonts w:hint="eastAsia" w:ascii="楷体" w:hAnsi="楷体" w:eastAsia="楷体"/>
          <w:szCs w:val="21"/>
        </w:rPr>
        <w:t>2</w:t>
      </w:r>
      <w:r>
        <w:rPr>
          <w:rFonts w:ascii="楷体" w:hAnsi="楷体" w:eastAsia="楷体"/>
          <w:szCs w:val="21"/>
        </w:rPr>
        <w:t>35钢筋</w:t>
      </w:r>
      <w:r>
        <w:rPr>
          <w:rFonts w:hint="eastAsia" w:ascii="楷体" w:hAnsi="楷体" w:eastAsia="楷体"/>
          <w:szCs w:val="21"/>
        </w:rPr>
        <w:t>和</w:t>
      </w:r>
      <w:r>
        <w:rPr>
          <w:rFonts w:ascii="楷体" w:hAnsi="楷体" w:eastAsia="楷体"/>
          <w:szCs w:val="21"/>
        </w:rPr>
        <w:t>HRB</w:t>
      </w:r>
      <w:r>
        <w:rPr>
          <w:rFonts w:hint="eastAsia" w:ascii="楷体" w:hAnsi="楷体" w:eastAsia="楷体"/>
          <w:szCs w:val="21"/>
        </w:rPr>
        <w:t>400</w:t>
      </w:r>
      <w:r>
        <w:rPr>
          <w:rFonts w:ascii="楷体" w:hAnsi="楷体" w:eastAsia="楷体"/>
          <w:szCs w:val="21"/>
        </w:rPr>
        <w:t>钢筋高</w:t>
      </w:r>
      <w:r>
        <w:rPr>
          <w:rFonts w:hint="eastAsia" w:ascii="楷体" w:hAnsi="楷体" w:eastAsia="楷体"/>
          <w:szCs w:val="21"/>
        </w:rPr>
        <w:t>温冷却后的屈服</w:t>
      </w:r>
      <w:r>
        <w:rPr>
          <w:rFonts w:ascii="楷体" w:hAnsi="楷体" w:eastAsia="楷体"/>
          <w:szCs w:val="21"/>
        </w:rPr>
        <w:t>强度</w:t>
      </w:r>
      <w:r>
        <w:rPr>
          <w:rFonts w:hint="eastAsia" w:ascii="楷体" w:hAnsi="楷体" w:eastAsia="楷体"/>
          <w:szCs w:val="21"/>
        </w:rPr>
        <w:t>折减系数分别由图6和图7确定。</w:t>
      </w:r>
    </w:p>
    <w:p>
      <w:pPr>
        <w:rPr>
          <w:sz w:val="15"/>
          <w:szCs w:val="15"/>
        </w:rPr>
      </w:pPr>
    </w:p>
    <w:p>
      <w:pPr>
        <w:jc w:val="center"/>
      </w:pPr>
      <w:r>
        <w:rPr>
          <w:rFonts w:hint="eastAsia"/>
        </w:rPr>
        <w:drawing>
          <wp:inline distT="0" distB="0" distL="0" distR="0">
            <wp:extent cx="2482850" cy="2048510"/>
            <wp:effectExtent l="19050" t="0" r="0" b="0"/>
            <wp:docPr id="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3"/>
                    <pic:cNvPicPr>
                      <a:picLocks noChangeAspect="1" noChangeArrowheads="1"/>
                    </pic:cNvPicPr>
                  </pic:nvPicPr>
                  <pic:blipFill>
                    <a:blip r:embed="rId289" cstate="print"/>
                    <a:srcRect/>
                    <a:stretch>
                      <a:fillRect/>
                    </a:stretch>
                  </pic:blipFill>
                  <pic:spPr>
                    <a:xfrm>
                      <a:off x="0" y="0"/>
                      <a:ext cx="2484371" cy="2049885"/>
                    </a:xfrm>
                    <a:prstGeom prst="rect">
                      <a:avLst/>
                    </a:prstGeom>
                    <a:noFill/>
                    <a:ln w="9525">
                      <a:noFill/>
                      <a:miter lim="800000"/>
                      <a:headEnd/>
                      <a:tailEnd/>
                    </a:ln>
                  </pic:spPr>
                </pic:pic>
              </a:graphicData>
            </a:graphic>
          </wp:inline>
        </w:drawing>
      </w:r>
      <w:r>
        <w:rPr>
          <w:rFonts w:hint="eastAsia"/>
        </w:rPr>
        <w:t xml:space="preserve"> </w:t>
      </w:r>
      <w:r>
        <w:rPr>
          <w:rFonts w:hint="eastAsia"/>
        </w:rPr>
        <w:drawing>
          <wp:inline distT="0" distB="0" distL="0" distR="0">
            <wp:extent cx="2527300" cy="2045335"/>
            <wp:effectExtent l="19050" t="0" r="6350" b="0"/>
            <wp:docPr id="1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6"/>
                    <pic:cNvPicPr>
                      <a:picLocks noChangeAspect="1" noChangeArrowheads="1"/>
                    </pic:cNvPicPr>
                  </pic:nvPicPr>
                  <pic:blipFill>
                    <a:blip r:embed="rId290" cstate="print"/>
                    <a:srcRect/>
                    <a:stretch>
                      <a:fillRect/>
                    </a:stretch>
                  </pic:blipFill>
                  <pic:spPr>
                    <a:xfrm>
                      <a:off x="0" y="0"/>
                      <a:ext cx="2528727" cy="2047065"/>
                    </a:xfrm>
                    <a:prstGeom prst="rect">
                      <a:avLst/>
                    </a:prstGeom>
                    <a:noFill/>
                    <a:ln w="9525">
                      <a:noFill/>
                      <a:miter lim="800000"/>
                      <a:headEnd/>
                      <a:tailEnd/>
                    </a:ln>
                  </pic:spPr>
                </pic:pic>
              </a:graphicData>
            </a:graphic>
          </wp:inline>
        </w:drawing>
      </w:r>
    </w:p>
    <w:p>
      <w:pPr>
        <w:jc w:val="center"/>
      </w:pPr>
      <w:r>
        <w:rPr>
          <w:rFonts w:hint="eastAsia"/>
        </w:rPr>
        <w:t>图4                                 图</w:t>
      </w:r>
      <w:r>
        <w:t>5</w:t>
      </w:r>
    </w:p>
    <w:p/>
    <w:p>
      <w:pPr>
        <w:jc w:val="center"/>
      </w:pPr>
      <w:r>
        <w:rPr>
          <w:rFonts w:hint="eastAsia"/>
        </w:rPr>
        <w:t xml:space="preserve">  </w:t>
      </w:r>
      <w:r>
        <w:rPr>
          <w:rFonts w:hint="eastAsia"/>
        </w:rPr>
        <w:drawing>
          <wp:inline distT="0" distB="0" distL="0" distR="0">
            <wp:extent cx="2582545" cy="2169795"/>
            <wp:effectExtent l="19050" t="0" r="8129" b="0"/>
            <wp:docPr id="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5"/>
                    <pic:cNvPicPr>
                      <a:picLocks noChangeAspect="1" noChangeArrowheads="1"/>
                    </pic:cNvPicPr>
                  </pic:nvPicPr>
                  <pic:blipFill>
                    <a:blip r:embed="rId291" cstate="print"/>
                    <a:srcRect/>
                    <a:stretch>
                      <a:fillRect/>
                    </a:stretch>
                  </pic:blipFill>
                  <pic:spPr>
                    <a:xfrm>
                      <a:off x="0" y="0"/>
                      <a:ext cx="2583976" cy="2171380"/>
                    </a:xfrm>
                    <a:prstGeom prst="rect">
                      <a:avLst/>
                    </a:prstGeom>
                    <a:noFill/>
                    <a:ln w="9525">
                      <a:noFill/>
                      <a:miter lim="800000"/>
                      <a:headEnd/>
                      <a:tailEnd/>
                    </a:ln>
                  </pic:spPr>
                </pic:pic>
              </a:graphicData>
            </a:graphic>
          </wp:inline>
        </w:drawing>
      </w:r>
      <w:r>
        <w:rPr>
          <w:rFonts w:hint="eastAsia"/>
        </w:rPr>
        <w:drawing>
          <wp:inline distT="0" distB="0" distL="0" distR="0">
            <wp:extent cx="2463800" cy="2132330"/>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292" cstate="print"/>
                    <a:srcRect/>
                    <a:stretch>
                      <a:fillRect/>
                    </a:stretch>
                  </pic:blipFill>
                  <pic:spPr>
                    <a:xfrm>
                      <a:off x="0" y="0"/>
                      <a:ext cx="2463800" cy="2132332"/>
                    </a:xfrm>
                    <a:prstGeom prst="rect">
                      <a:avLst/>
                    </a:prstGeom>
                    <a:noFill/>
                    <a:ln w="9525">
                      <a:noFill/>
                      <a:miter lim="800000"/>
                      <a:headEnd/>
                      <a:tailEnd/>
                    </a:ln>
                  </pic:spPr>
                </pic:pic>
              </a:graphicData>
            </a:graphic>
          </wp:inline>
        </w:drawing>
      </w:r>
      <w:r>
        <w:drawing>
          <wp:inline distT="0" distB="0" distL="0" distR="0">
            <wp:extent cx="19050" cy="1905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3" cstate="print"/>
                    <a:srcRect/>
                    <a:stretch>
                      <a:fillRect/>
                    </a:stretch>
                  </pic:blipFill>
                  <pic:spPr>
                    <a:xfrm>
                      <a:off x="0" y="0"/>
                      <a:ext cx="19050" cy="19050"/>
                    </a:xfrm>
                    <a:prstGeom prst="rect">
                      <a:avLst/>
                    </a:prstGeom>
                    <a:noFill/>
                    <a:ln w="9525">
                      <a:noFill/>
                      <a:miter lim="800000"/>
                      <a:headEnd/>
                      <a:tailEnd/>
                    </a:ln>
                  </pic:spPr>
                </pic:pic>
              </a:graphicData>
            </a:graphic>
          </wp:inline>
        </w:drawing>
      </w:r>
    </w:p>
    <w:p>
      <w:pPr>
        <w:jc w:val="center"/>
      </w:pPr>
      <w:r>
        <w:rPr>
          <w:rFonts w:hint="eastAsia"/>
        </w:rPr>
        <w:t>图</w:t>
      </w:r>
      <w:r>
        <w:t>6</w:t>
      </w:r>
      <w:r>
        <w:rPr>
          <w:rFonts w:hint="eastAsia"/>
        </w:rPr>
        <w:t xml:space="preserve">                                 图</w:t>
      </w:r>
      <w:r>
        <w:t>7</w:t>
      </w:r>
    </w:p>
    <w:p/>
    <w:p>
      <w:pPr>
        <w:pStyle w:val="3"/>
        <w:rPr>
          <w:i/>
        </w:rPr>
      </w:pPr>
      <w:bookmarkStart w:id="123" w:name="_Toc513449992"/>
      <w:r>
        <w:rPr>
          <w:rFonts w:hint="eastAsia"/>
        </w:rPr>
        <w:t xml:space="preserve">G.3 </w:t>
      </w:r>
      <w:r>
        <w:t>高温自然冷却后混凝土弹性模量、钢筋与混凝土粘结强度折减系数</w:t>
      </w:r>
      <w:bookmarkEnd w:id="123"/>
    </w:p>
    <w:p>
      <w:pPr>
        <w:rPr>
          <w:rFonts w:ascii="楷体" w:hAnsi="楷体" w:eastAsia="楷体"/>
          <w:szCs w:val="21"/>
        </w:rPr>
      </w:pPr>
      <w:r>
        <w:rPr>
          <w:rFonts w:cs="Times New Roman"/>
          <w:b/>
        </w:rPr>
        <w:t>G.3.1</w:t>
      </w:r>
      <w:r>
        <w:rPr>
          <w:rFonts w:hint="eastAsia" w:ascii="楷体" w:hAnsi="楷体" w:eastAsia="楷体"/>
          <w:szCs w:val="21"/>
        </w:rPr>
        <w:t>折减系数根据已有研究成果和文献资料，在考虑一定保证率的基础上确定。</w:t>
      </w:r>
    </w:p>
    <w:p>
      <w:pPr>
        <w:ind w:firstLine="420" w:firstLineChars="200"/>
        <w:rPr>
          <w:rFonts w:ascii="楷体" w:hAnsi="楷体" w:eastAsia="楷体"/>
          <w:szCs w:val="21"/>
        </w:rPr>
      </w:pPr>
      <w:r>
        <w:rPr>
          <w:rFonts w:hint="eastAsia" w:ascii="楷体" w:hAnsi="楷体" w:eastAsia="楷体"/>
          <w:szCs w:val="21"/>
        </w:rPr>
        <w:t>火灾后混凝土经高温作用后，其弹性模量及混凝土与钢筋间粘结强度随温度的升高而降低。当温度达到500℃以后，混凝土的弹性模量下降速度比混凝土抗压强度降低速率更为迅速，下降约60％左右。在此温度下，由于混凝土与钢筋间的变形差异增大，使得混凝土与钢筋间粘结强度也大为降低，由于光圆钢筋与带肋钢筋本身的摩阻力和咬合力的不同，因而在高温作用后的粘结强度下降程度也有所不同，光圆钢筋在500℃以后粘结强度下降约50％，而HRB335级钢筋下降则不到20％。当温度达到700℃～800℃以后，混凝土的弹性模量几乎为零，而此时的混凝土与钢筋间的粘结强度，光圆</w:t>
      </w:r>
      <w:r>
        <w:rPr>
          <w:rFonts w:ascii="楷体" w:hAnsi="楷体" w:eastAsia="楷体"/>
          <w:szCs w:val="21"/>
        </w:rPr>
        <w:t>钢筋已全部丧失，HRB335级钢筋也丧失了60％，可以看出火灾对光圆钢筋的粘结强度影响较大。</w:t>
      </w:r>
    </w:p>
    <w:p>
      <w:pPr>
        <w:ind w:firstLine="420" w:firstLineChars="200"/>
        <w:rPr>
          <w:rFonts w:ascii="楷体" w:hAnsi="楷体" w:eastAsia="楷体"/>
          <w:szCs w:val="21"/>
        </w:rPr>
      </w:pPr>
      <w:r>
        <w:rPr>
          <w:rFonts w:hint="eastAsia" w:ascii="楷体" w:hAnsi="楷体" w:eastAsia="楷体"/>
          <w:szCs w:val="21"/>
        </w:rPr>
        <w:t>当温度低于400℃时，普通混凝土弹性模量的降低速率大于高强混凝土，超过400℃后，高强混凝土的弹性模量下降速率比普通混凝土快。高强钢筋与混凝土之间的粘结强度随过火温度的退化关系与普通钢筋与混凝土之间的粘结强度随过火温度的退化关系接近。</w:t>
      </w:r>
    </w:p>
    <w:p>
      <w:pPr>
        <w:ind w:firstLine="420" w:firstLineChars="200"/>
        <w:rPr>
          <w:rFonts w:ascii="楷体" w:hAnsi="楷体" w:eastAsia="楷体"/>
          <w:szCs w:val="21"/>
        </w:rPr>
      </w:pPr>
    </w:p>
    <w:p>
      <w:pPr>
        <w:pStyle w:val="3"/>
      </w:pPr>
      <w:bookmarkStart w:id="124" w:name="_Toc513449993"/>
      <w:r>
        <w:rPr>
          <w:rFonts w:hint="eastAsia"/>
        </w:rPr>
        <w:t>G.4无粘结预应力钢绞线剩余应力测试方法</w:t>
      </w:r>
      <w:bookmarkEnd w:id="124"/>
    </w:p>
    <w:p>
      <w:pPr>
        <w:rPr>
          <w:rFonts w:ascii="楷体" w:hAnsi="楷体" w:eastAsia="楷体"/>
          <w:szCs w:val="21"/>
        </w:rPr>
      </w:pPr>
      <w:r>
        <w:rPr>
          <w:rFonts w:cs="Times New Roman"/>
          <w:b/>
        </w:rPr>
        <w:t>G.4.1</w:t>
      </w:r>
      <w:r>
        <w:rPr>
          <w:rFonts w:cs="Times New Roman"/>
        </w:rPr>
        <w:t xml:space="preserve"> </w:t>
      </w:r>
      <w:r>
        <w:rPr>
          <w:rFonts w:ascii="楷体" w:hAnsi="楷体" w:eastAsia="楷体"/>
          <w:szCs w:val="21"/>
        </w:rPr>
        <w:t>为测量火灾后</w:t>
      </w:r>
      <w:r>
        <w:rPr>
          <w:rFonts w:hint="eastAsia" w:ascii="楷体" w:hAnsi="楷体" w:eastAsia="楷体"/>
          <w:szCs w:val="21"/>
        </w:rPr>
        <w:t>无粘结</w:t>
      </w:r>
      <w:r>
        <w:rPr>
          <w:rFonts w:ascii="楷体" w:hAnsi="楷体" w:eastAsia="楷体"/>
          <w:szCs w:val="21"/>
        </w:rPr>
        <w:t>预应力钢绞线剩余应力，哈尔滨工业大学完成了30根应力水平</w:t>
      </w:r>
      <w:r>
        <w:rPr>
          <w:rFonts w:hint="eastAsia" w:ascii="楷体" w:hAnsi="楷体" w:eastAsia="楷体"/>
          <w:szCs w:val="21"/>
        </w:rPr>
        <w:t>（外荷载引起的拉应力与钢绞线抗拉强度标准值之比）</w:t>
      </w:r>
      <w:r>
        <w:rPr>
          <w:rFonts w:ascii="楷体" w:hAnsi="楷体" w:eastAsia="楷体"/>
          <w:szCs w:val="21"/>
        </w:rPr>
        <w:t>为0.3-0.7</w:t>
      </w:r>
      <w:r>
        <w:rPr>
          <w:rFonts w:hint="eastAsia" w:ascii="楷体" w:hAnsi="楷体" w:eastAsia="楷体"/>
          <w:szCs w:val="21"/>
        </w:rPr>
        <w:t>的</w:t>
      </w:r>
      <w:r>
        <w:rPr>
          <w:rFonts w:ascii="楷体" w:hAnsi="楷体" w:eastAsia="楷体"/>
          <w:szCs w:val="21"/>
        </w:rPr>
        <w:t>1770级钢绞线拉伸、卸载试验</w:t>
      </w:r>
      <w:r>
        <w:rPr>
          <w:rFonts w:hint="eastAsia" w:ascii="楷体" w:hAnsi="楷体" w:eastAsia="楷体"/>
          <w:szCs w:val="21"/>
        </w:rPr>
        <w:t>，其中，</w:t>
      </w:r>
      <w:r>
        <w:rPr>
          <w:rFonts w:ascii="楷体" w:hAnsi="楷体" w:eastAsia="楷体"/>
          <w:szCs w:val="21"/>
        </w:rPr>
        <w:t>偏轴应变测量方法（偏轴应变测量应变片贴方法如图G-4所示）和轴线应变测量方法各15根。结果表明</w:t>
      </w:r>
      <w:r>
        <w:rPr>
          <w:rFonts w:hint="eastAsia" w:ascii="楷体" w:hAnsi="楷体" w:eastAsia="楷体"/>
          <w:szCs w:val="21"/>
        </w:rPr>
        <w:t>：按轴向应变计算钢绞线应力误差较大，这主要是由于环氧树脂打磨很难完全平整，且在应变片的粘贴过程中无法保证应变片与钢绞线轴线平行，使得应变片测量过程中偏移其钢绞线轴线所致。</w:t>
      </w:r>
    </w:p>
    <w:p>
      <w:pPr>
        <w:ind w:firstLine="420" w:firstLineChars="200"/>
        <w:rPr>
          <w:rFonts w:ascii="楷体" w:hAnsi="楷体" w:eastAsia="楷体"/>
          <w:szCs w:val="21"/>
        </w:rPr>
      </w:pPr>
      <w:r>
        <w:rPr>
          <w:rFonts w:ascii="楷体" w:hAnsi="楷体" w:eastAsia="楷体"/>
          <w:szCs w:val="21"/>
        </w:rPr>
        <w:t>将偏轴应变绝对值</w:t>
      </w:r>
      <w:r>
        <w:rPr>
          <w:rFonts w:ascii="楷体" w:hAnsi="楷体" w:eastAsia="楷体"/>
          <w:szCs w:val="21"/>
        </w:rPr>
        <w:object>
          <v:shape id="_x0000_i1163" o:spt="75" type="#_x0000_t75" style="height:13.2pt;width:13.8pt;" o:ole="t" filled="f" o:preferrelative="t" stroked="f" coordsize="21600,21600">
            <v:path/>
            <v:fill on="f" focussize="0,0"/>
            <v:stroke on="f" joinstyle="miter"/>
            <v:imagedata r:id="rId151" o:title=""/>
            <o:lock v:ext="edit" aspectratio="t"/>
            <w10:wrap type="none"/>
            <w10:anchorlock/>
          </v:shape>
          <o:OLEObject Type="Embed" ProgID="Equation.DSMT4" ShapeID="_x0000_i1163" DrawAspect="Content" ObjectID="_1468075863" r:id="rId294">
            <o:LockedField>false</o:LockedField>
          </o:OLEObject>
        </w:object>
      </w:r>
      <w:r>
        <w:rPr>
          <w:rFonts w:ascii="楷体" w:hAnsi="楷体" w:eastAsia="楷体"/>
          <w:szCs w:val="21"/>
        </w:rPr>
        <w:t>乘以系数K,得到轴向应变绝对值</w:t>
      </w:r>
      <w:r>
        <w:rPr>
          <w:rFonts w:ascii="楷体" w:hAnsi="楷体" w:eastAsia="楷体"/>
          <w:szCs w:val="21"/>
        </w:rPr>
        <w:object>
          <v:shape id="_x0000_i1164" o:spt="75" type="#_x0000_t75" style="height:9.6pt;width:9pt;" o:ole="t" filled="f" o:preferrelative="t" stroked="f" coordsize="21600,21600">
            <v:path/>
            <v:fill on="f" focussize="0,0"/>
            <v:stroke on="f" joinstyle="miter"/>
            <v:imagedata r:id="rId163" o:title=""/>
            <o:lock v:ext="edit" aspectratio="t"/>
            <w10:wrap type="none"/>
            <w10:anchorlock/>
          </v:shape>
          <o:OLEObject Type="Embed" ProgID="Equation.DSMT4" ShapeID="_x0000_i1164" DrawAspect="Content" ObjectID="_1468075864" r:id="rId295">
            <o:LockedField>false</o:LockedField>
          </o:OLEObject>
        </w:object>
      </w:r>
      <w:r>
        <w:rPr>
          <w:rFonts w:ascii="楷体" w:hAnsi="楷体" w:eastAsia="楷体"/>
          <w:szCs w:val="21"/>
        </w:rPr>
        <w:t>，结合相关文献(易贤仁.钢绞线偏轴应变测量方法及实验研究[J]</w:t>
      </w:r>
      <w:r>
        <w:rPr>
          <w:rFonts w:hint="eastAsia" w:ascii="楷体" w:hAnsi="楷体" w:eastAsia="楷体"/>
          <w:szCs w:val="21"/>
        </w:rPr>
        <w:t>.</w:t>
      </w:r>
      <w:r>
        <w:rPr>
          <w:rFonts w:ascii="楷体" w:hAnsi="楷体" w:eastAsia="楷体"/>
          <w:szCs w:val="21"/>
        </w:rPr>
        <w:t>华中科技大学学报（城市科学版）,2008,25(3):211-213)</w:t>
      </w:r>
      <w:r>
        <w:rPr>
          <w:rFonts w:hint="eastAsia" w:ascii="楷体" w:hAnsi="楷体" w:eastAsia="楷体"/>
          <w:szCs w:val="21"/>
        </w:rPr>
        <w:t>的试验</w:t>
      </w:r>
      <w:r>
        <w:rPr>
          <w:rFonts w:ascii="楷体" w:hAnsi="楷体" w:eastAsia="楷体"/>
          <w:szCs w:val="21"/>
        </w:rPr>
        <w:t>结果，</w:t>
      </w:r>
      <w:r>
        <w:rPr>
          <w:rFonts w:hint="eastAsia" w:ascii="楷体" w:hAnsi="楷体" w:eastAsia="楷体"/>
          <w:szCs w:val="21"/>
        </w:rPr>
        <w:t>系数</w:t>
      </w:r>
      <w:r>
        <w:rPr>
          <w:rFonts w:ascii="楷体" w:hAnsi="楷体" w:eastAsia="楷体"/>
          <w:szCs w:val="21"/>
        </w:rPr>
        <w:t>K=1.1</w:t>
      </w:r>
      <w:r>
        <w:rPr>
          <w:rFonts w:hint="eastAsia" w:ascii="楷体" w:hAnsi="楷体" w:eastAsia="楷体"/>
          <w:szCs w:val="21"/>
        </w:rPr>
        <w:t>~1.25之间</w:t>
      </w:r>
      <w:r>
        <w:rPr>
          <w:rFonts w:ascii="楷体" w:hAnsi="楷体" w:eastAsia="楷体"/>
          <w:szCs w:val="21"/>
        </w:rPr>
        <w:t>，</w:t>
      </w:r>
      <w:r>
        <w:rPr>
          <w:rFonts w:hint="eastAsia" w:ascii="楷体" w:hAnsi="楷体" w:eastAsia="楷体"/>
          <w:szCs w:val="21"/>
        </w:rPr>
        <w:t>偏于保守取K=1.1，</w:t>
      </w:r>
      <w:r>
        <w:rPr>
          <w:rFonts w:ascii="楷体" w:hAnsi="楷体" w:eastAsia="楷体"/>
          <w:szCs w:val="21"/>
        </w:rPr>
        <w:t>按</w:t>
      </w:r>
      <w:r>
        <w:rPr>
          <w:rFonts w:hint="eastAsia" w:ascii="楷体" w:hAnsi="楷体" w:eastAsia="楷体"/>
          <w:szCs w:val="21"/>
        </w:rPr>
        <w:t>正文</w:t>
      </w:r>
      <w:r>
        <w:rPr>
          <w:rFonts w:ascii="楷体" w:hAnsi="楷体" w:eastAsia="楷体"/>
          <w:szCs w:val="21"/>
        </w:rPr>
        <w:t>式(G.4.1-1)计算钢绞线应力，计算值与实测值</w:t>
      </w:r>
      <w:r>
        <w:rPr>
          <w:rFonts w:hint="eastAsia" w:ascii="楷体" w:hAnsi="楷体" w:eastAsia="楷体"/>
          <w:szCs w:val="21"/>
        </w:rPr>
        <w:t>吻合较好。</w:t>
      </w:r>
    </w:p>
    <w:p>
      <w:pPr>
        <w:jc w:val="center"/>
        <w:rPr>
          <w:rFonts w:cs="Times New Roman"/>
        </w:rPr>
      </w:pPr>
      <w:r>
        <w:rPr>
          <w:rFonts w:cs="Times New Roman"/>
        </w:rPr>
        <w:drawing>
          <wp:inline distT="0" distB="0" distL="0" distR="0">
            <wp:extent cx="5274310" cy="15944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a:xfrm>
                      <a:off x="0" y="0"/>
                      <a:ext cx="5274310" cy="1594860"/>
                    </a:xfrm>
                    <a:prstGeom prst="rect">
                      <a:avLst/>
                    </a:prstGeom>
                    <a:noFill/>
                    <a:ln>
                      <a:noFill/>
                    </a:ln>
                  </pic:spPr>
                </pic:pic>
              </a:graphicData>
            </a:graphic>
          </wp:inline>
        </w:drawing>
      </w:r>
    </w:p>
    <w:p>
      <w:pPr>
        <w:pStyle w:val="41"/>
      </w:pPr>
      <w:r>
        <w:t>(a)轴线应变和偏轴应变</w:t>
      </w:r>
    </w:p>
    <w:p>
      <w:pPr>
        <w:jc w:val="center"/>
        <w:rPr>
          <w:rFonts w:cs="Times New Roman"/>
        </w:rPr>
      </w:pPr>
      <w:r>
        <w:rPr>
          <w:rFonts w:cs="Times New Roman"/>
        </w:rPr>
        <w:drawing>
          <wp:inline distT="0" distB="0" distL="0" distR="0">
            <wp:extent cx="2028825" cy="19583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7" cstate="print"/>
                    <a:stretch>
                      <a:fillRect/>
                    </a:stretch>
                  </pic:blipFill>
                  <pic:spPr>
                    <a:xfrm>
                      <a:off x="0" y="0"/>
                      <a:ext cx="2027895" cy="1957787"/>
                    </a:xfrm>
                    <a:prstGeom prst="rect">
                      <a:avLst/>
                    </a:prstGeom>
                  </pic:spPr>
                </pic:pic>
              </a:graphicData>
            </a:graphic>
          </wp:inline>
        </w:drawing>
      </w:r>
    </w:p>
    <w:p>
      <w:pPr>
        <w:pStyle w:val="41"/>
      </w:pPr>
      <w:r>
        <w:t>（b）测量偏轴应变</w:t>
      </w:r>
    </w:p>
    <w:p>
      <w:bookmarkStart w:id="125" w:name="_Toc513449994"/>
    </w:p>
    <w:p/>
    <w:p/>
    <w:p>
      <w:pPr>
        <w:pStyle w:val="3"/>
      </w:pPr>
      <w:r>
        <w:rPr>
          <w:rFonts w:hint="eastAsia"/>
        </w:rPr>
        <w:t>G</w:t>
      </w:r>
      <w:r>
        <w:t xml:space="preserve">.5 </w:t>
      </w:r>
      <w:r>
        <w:rPr>
          <w:rFonts w:hint="eastAsia"/>
        </w:rPr>
        <w:t>预应力钢丝、钢绞线高温时和高温后强度折减系数</w:t>
      </w:r>
      <w:bookmarkEnd w:id="125"/>
    </w:p>
    <w:p>
      <w:pPr>
        <w:rPr>
          <w:rFonts w:cs="Times New Roman"/>
        </w:rPr>
      </w:pPr>
    </w:p>
    <w:p>
      <w:pPr>
        <w:rPr>
          <w:rFonts w:ascii="楷体" w:hAnsi="楷体" w:eastAsia="楷体"/>
          <w:szCs w:val="21"/>
        </w:rPr>
      </w:pPr>
      <w:r>
        <w:rPr>
          <w:rFonts w:cs="Times New Roman"/>
          <w:b/>
        </w:rPr>
        <w:t>G.5.</w:t>
      </w:r>
      <w:r>
        <w:rPr>
          <w:rFonts w:hint="eastAsia" w:cs="Times New Roman"/>
          <w:b/>
        </w:rPr>
        <w:t>1</w:t>
      </w:r>
      <w:r>
        <w:rPr>
          <w:rFonts w:hint="eastAsia" w:cs="Times New Roman"/>
        </w:rPr>
        <w:t xml:space="preserve">  </w:t>
      </w:r>
      <w:r>
        <w:rPr>
          <w:rFonts w:ascii="楷体" w:hAnsi="楷体" w:eastAsia="楷体"/>
          <w:szCs w:val="21"/>
        </w:rPr>
        <w:t>哈尔滨工业大学对</w:t>
      </w:r>
      <w:r>
        <w:rPr>
          <w:rFonts w:hint="eastAsia" w:ascii="楷体" w:hAnsi="楷体" w:eastAsia="楷体"/>
          <w:szCs w:val="21"/>
        </w:rPr>
        <w:t>不同抗拉强度等级的</w:t>
      </w:r>
      <w:r>
        <w:rPr>
          <w:rFonts w:ascii="楷体" w:hAnsi="楷体" w:eastAsia="楷体"/>
          <w:szCs w:val="21"/>
        </w:rPr>
        <w:t>低松弛高强预应力钢丝、钢绞线进行了</w:t>
      </w:r>
      <w:r>
        <w:rPr>
          <w:rFonts w:hint="eastAsia" w:ascii="楷体" w:hAnsi="楷体" w:eastAsia="楷体"/>
          <w:szCs w:val="21"/>
        </w:rPr>
        <w:t>高温时、高温后</w:t>
      </w:r>
      <w:r>
        <w:rPr>
          <w:rFonts w:ascii="楷体" w:hAnsi="楷体" w:eastAsia="楷体"/>
          <w:szCs w:val="21"/>
        </w:rPr>
        <w:t>力学性能试验，量测了火灾下预应力钢丝、钢绞线的条件屈服强度、极限强度等。基于试验数据，确定了本规程高温时预应力钢丝、钢绞线强度折减系数。表G.5.</w:t>
      </w:r>
      <w:r>
        <w:rPr>
          <w:rFonts w:hint="eastAsia" w:ascii="楷体" w:hAnsi="楷体" w:eastAsia="楷体"/>
          <w:szCs w:val="21"/>
        </w:rPr>
        <w:t>1</w:t>
      </w:r>
      <w:r>
        <w:rPr>
          <w:rFonts w:ascii="楷体" w:hAnsi="楷体" w:eastAsia="楷体"/>
          <w:szCs w:val="21"/>
        </w:rPr>
        <w:t>-1</w:t>
      </w:r>
      <w:r>
        <w:rPr>
          <w:rFonts w:hint="eastAsia" w:ascii="楷体" w:hAnsi="楷体" w:eastAsia="楷体"/>
          <w:szCs w:val="21"/>
        </w:rPr>
        <w:t>、</w:t>
      </w:r>
      <w:r>
        <w:rPr>
          <w:rFonts w:ascii="楷体" w:hAnsi="楷体" w:eastAsia="楷体"/>
          <w:szCs w:val="21"/>
        </w:rPr>
        <w:t>G.5.</w:t>
      </w:r>
      <w:r>
        <w:rPr>
          <w:rFonts w:hint="eastAsia" w:ascii="楷体" w:hAnsi="楷体" w:eastAsia="楷体"/>
          <w:szCs w:val="21"/>
        </w:rPr>
        <w:t>1</w:t>
      </w:r>
      <w:r>
        <w:rPr>
          <w:rFonts w:ascii="楷体" w:hAnsi="楷体" w:eastAsia="楷体"/>
          <w:szCs w:val="21"/>
        </w:rPr>
        <w:t>-</w:t>
      </w:r>
      <w:r>
        <w:rPr>
          <w:rFonts w:hint="eastAsia" w:ascii="楷体" w:hAnsi="楷体" w:eastAsia="楷体"/>
          <w:szCs w:val="21"/>
        </w:rPr>
        <w:t>2</w:t>
      </w:r>
      <w:r>
        <w:rPr>
          <w:rFonts w:ascii="楷体" w:hAnsi="楷体" w:eastAsia="楷体"/>
          <w:szCs w:val="21"/>
        </w:rPr>
        <w:t>数值出自文献“</w:t>
      </w:r>
      <w:bookmarkStart w:id="126" w:name="_Ref211676942"/>
      <w:r>
        <w:rPr>
          <w:rFonts w:ascii="楷体" w:hAnsi="楷体" w:eastAsia="楷体"/>
          <w:szCs w:val="21"/>
        </w:rPr>
        <w:t xml:space="preserve">郑文忠, </w:t>
      </w:r>
      <w:r>
        <w:rPr>
          <w:rFonts w:hint="eastAsia" w:ascii="楷体" w:hAnsi="楷体" w:eastAsia="楷体"/>
          <w:szCs w:val="21"/>
        </w:rPr>
        <w:t>侯晓萌</w:t>
      </w:r>
      <w:r>
        <w:rPr>
          <w:rFonts w:ascii="楷体" w:hAnsi="楷体" w:eastAsia="楷体"/>
          <w:szCs w:val="21"/>
        </w:rPr>
        <w:t xml:space="preserve">, </w:t>
      </w:r>
      <w:r>
        <w:rPr>
          <w:rFonts w:hint="eastAsia" w:ascii="楷体" w:hAnsi="楷体" w:eastAsia="楷体"/>
          <w:szCs w:val="21"/>
        </w:rPr>
        <w:t>闫凯</w:t>
      </w:r>
      <w:r>
        <w:rPr>
          <w:rFonts w:ascii="楷体" w:hAnsi="楷体" w:eastAsia="楷体"/>
          <w:szCs w:val="21"/>
        </w:rPr>
        <w:t>．</w:t>
      </w:r>
      <w:r>
        <w:rPr>
          <w:rFonts w:hint="eastAsia" w:ascii="楷体" w:hAnsi="楷体" w:eastAsia="楷体"/>
          <w:szCs w:val="21"/>
        </w:rPr>
        <w:t>预应力混凝土高温性能及抗火设计</w:t>
      </w:r>
      <w:r>
        <w:rPr>
          <w:rFonts w:ascii="楷体" w:hAnsi="楷体" w:eastAsia="楷体"/>
          <w:szCs w:val="21"/>
        </w:rPr>
        <w:t>[</w:t>
      </w:r>
      <w:r>
        <w:rPr>
          <w:rFonts w:hint="eastAsia" w:ascii="楷体" w:hAnsi="楷体" w:eastAsia="楷体"/>
          <w:szCs w:val="21"/>
        </w:rPr>
        <w:t>M</w:t>
      </w:r>
      <w:r>
        <w:rPr>
          <w:rFonts w:ascii="楷体" w:hAnsi="楷体" w:eastAsia="楷体"/>
          <w:szCs w:val="21"/>
        </w:rPr>
        <w:t>]．</w:t>
      </w:r>
      <w:r>
        <w:rPr>
          <w:rFonts w:hint="eastAsia" w:ascii="楷体" w:hAnsi="楷体" w:eastAsia="楷体"/>
          <w:szCs w:val="21"/>
        </w:rPr>
        <w:t>哈尔滨工业大学出版社</w:t>
      </w:r>
      <w:r>
        <w:rPr>
          <w:rFonts w:ascii="楷体" w:hAnsi="楷体" w:eastAsia="楷体"/>
          <w:szCs w:val="21"/>
        </w:rPr>
        <w:t>, 20</w:t>
      </w:r>
      <w:r>
        <w:rPr>
          <w:rFonts w:hint="eastAsia" w:ascii="楷体" w:hAnsi="楷体" w:eastAsia="楷体"/>
          <w:szCs w:val="21"/>
        </w:rPr>
        <w:t>12：6-34</w:t>
      </w:r>
      <w:bookmarkEnd w:id="126"/>
      <w:r>
        <w:rPr>
          <w:rFonts w:hint="eastAsia" w:ascii="楷体" w:hAnsi="楷体" w:eastAsia="楷体"/>
          <w:szCs w:val="21"/>
        </w:rPr>
        <w:t>.</w:t>
      </w:r>
      <w:r>
        <w:rPr>
          <w:rFonts w:ascii="楷体" w:hAnsi="楷体" w:eastAsia="楷体"/>
          <w:szCs w:val="21"/>
        </w:rPr>
        <w:t>”。</w:t>
      </w:r>
    </w:p>
    <w:p>
      <w:pPr>
        <w:rPr>
          <w:rFonts w:cs="Times New Roman"/>
        </w:rPr>
      </w:pPr>
    </w:p>
    <w:p>
      <w:pPr>
        <w:rPr>
          <w:rFonts w:cs="Times New Roman"/>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cs="Times New Roman"/>
        </w:rPr>
        <w:sectPr>
          <w:pgSz w:w="11906" w:h="16838"/>
          <w:pgMar w:top="1440" w:right="1080" w:bottom="1440" w:left="1080" w:header="851" w:footer="992" w:gutter="0"/>
          <w:cols w:space="425" w:num="1"/>
          <w:docGrid w:type="lines" w:linePitch="312" w:charSpace="0"/>
        </w:sectPr>
      </w:pPr>
    </w:p>
    <w:p>
      <w:pPr>
        <w:pStyle w:val="2"/>
        <w:rPr>
          <w:rFonts w:cs="Times New Roman"/>
        </w:rPr>
      </w:pPr>
      <w:bookmarkStart w:id="127" w:name="_Toc513449995"/>
      <w:r>
        <w:rPr>
          <w:rFonts w:cs="Times New Roman"/>
        </w:rPr>
        <w:t>附录</w:t>
      </w:r>
      <w:r>
        <w:rPr>
          <w:rFonts w:hint="eastAsia" w:cs="Times New Roman"/>
        </w:rPr>
        <w:t>H</w:t>
      </w:r>
      <w:r>
        <w:rPr>
          <w:rFonts w:cs="Times New Roman"/>
        </w:rPr>
        <w:t xml:space="preserve"> 高温过火后钢结构力学性能</w:t>
      </w:r>
      <w:bookmarkEnd w:id="127"/>
    </w:p>
    <w:p>
      <w:pPr>
        <w:pStyle w:val="3"/>
        <w:rPr>
          <w:i/>
        </w:rPr>
      </w:pPr>
      <w:bookmarkStart w:id="128" w:name="_Toc513449996"/>
      <w:r>
        <w:t>H.1高温过火后结构钢、高强度螺栓、焊缝的屈服强度折减系数</w:t>
      </w:r>
      <w:bookmarkEnd w:id="128"/>
    </w:p>
    <w:p>
      <w:pPr>
        <w:rPr>
          <w:rFonts w:ascii="楷体" w:hAnsi="楷体" w:eastAsia="楷体"/>
          <w:szCs w:val="21"/>
        </w:rPr>
      </w:pPr>
      <w:r>
        <w:rPr>
          <w:rFonts w:cs="Times New Roman"/>
          <w:b/>
        </w:rPr>
        <w:t>H.1.1</w:t>
      </w:r>
      <w:r>
        <w:rPr>
          <w:rFonts w:hint="eastAsia" w:cs="Times New Roman"/>
          <w:b/>
        </w:rPr>
        <w:t>-</w:t>
      </w:r>
      <w:r>
        <w:rPr>
          <w:rFonts w:cs="Times New Roman"/>
          <w:b/>
        </w:rPr>
        <w:t xml:space="preserve"> H.1.</w:t>
      </w:r>
      <w:r>
        <w:rPr>
          <w:rFonts w:hint="eastAsia" w:cs="Times New Roman"/>
          <w:b/>
        </w:rPr>
        <w:t>3</w:t>
      </w:r>
      <w:r>
        <w:rPr>
          <w:rFonts w:cs="Times New Roman"/>
        </w:rPr>
        <w:t xml:space="preserve"> </w:t>
      </w:r>
      <w:r>
        <w:rPr>
          <w:rFonts w:hint="eastAsia" w:ascii="楷体" w:hAnsi="楷体" w:eastAsia="楷体"/>
          <w:szCs w:val="21"/>
        </w:rPr>
        <w:t>各种钢材由于化学组分及其所经受的一系列加工过程（包括生产轧制、热处理方式、冷加工工艺等）的不同，其常温下的性能、高温下的性能以及高温过火对钢材性能的影响均有较大的差别。</w:t>
      </w:r>
    </w:p>
    <w:p>
      <w:pPr>
        <w:ind w:firstLine="420" w:firstLineChars="200"/>
        <w:rPr>
          <w:rFonts w:ascii="楷体" w:hAnsi="楷体" w:eastAsia="楷体"/>
          <w:szCs w:val="21"/>
        </w:rPr>
      </w:pPr>
      <w:r>
        <w:rPr>
          <w:rFonts w:hint="eastAsia" w:ascii="楷体" w:hAnsi="楷体" w:eastAsia="楷体"/>
          <w:szCs w:val="21"/>
        </w:rPr>
        <w:t>一般地，普通热轧结构钢在高温过火冷却后的强度降低很小，而经过热处理、冷拔加工得到的高强度钢（如35号钢、45号钢）以及薄壁冷弯型钢在高温过火冷却后强度降低较多。</w:t>
      </w:r>
    </w:p>
    <w:p>
      <w:pPr>
        <w:ind w:firstLine="420" w:firstLineChars="200"/>
        <w:rPr>
          <w:rFonts w:ascii="楷体" w:hAnsi="楷体" w:eastAsia="楷体"/>
          <w:szCs w:val="21"/>
        </w:rPr>
      </w:pPr>
      <w:r>
        <w:rPr>
          <w:rFonts w:hint="eastAsia" w:ascii="楷体" w:hAnsi="楷体" w:eastAsia="楷体"/>
          <w:szCs w:val="21"/>
        </w:rPr>
        <w:t>本次修编删除了结构钢高温下屈服强度折减系数，将结构钢按强度等级分类并分别给出屈服强度折减系数；并增加了高强度螺栓和焊缝高温过火冷却后强度折减系数。</w:t>
      </w:r>
    </w:p>
    <w:p>
      <w:pPr>
        <w:ind w:firstLine="420" w:firstLineChars="200"/>
        <w:rPr>
          <w:rFonts w:ascii="楷体" w:hAnsi="楷体" w:eastAsia="楷体"/>
          <w:szCs w:val="21"/>
        </w:rPr>
      </w:pPr>
    </w:p>
    <w:p>
      <w:pPr>
        <w:pStyle w:val="3"/>
        <w:rPr>
          <w:i/>
        </w:rPr>
      </w:pPr>
      <w:r>
        <w:t>H.</w:t>
      </w:r>
      <w:r>
        <w:rPr>
          <w:rFonts w:hint="eastAsia"/>
        </w:rPr>
        <w:t>2</w:t>
      </w:r>
      <w:r>
        <w:t>火灾后高强螺栓预拉力及连接接触面抗滑移系数</w:t>
      </w:r>
    </w:p>
    <w:p>
      <w:pPr>
        <w:rPr>
          <w:rFonts w:cs="Times New Roman"/>
        </w:rPr>
      </w:pPr>
      <w:r>
        <w:rPr>
          <w:rFonts w:cs="Times New Roman"/>
          <w:b/>
        </w:rPr>
        <w:t>H.</w:t>
      </w:r>
      <w:r>
        <w:rPr>
          <w:rFonts w:hint="eastAsia" w:cs="Times New Roman"/>
          <w:b/>
        </w:rPr>
        <w:t>2</w:t>
      </w:r>
      <w:r>
        <w:rPr>
          <w:rFonts w:cs="Times New Roman"/>
          <w:b/>
        </w:rPr>
        <w:t>.1</w:t>
      </w:r>
      <w:r>
        <w:rPr>
          <w:rFonts w:hint="eastAsia" w:cs="Times New Roman"/>
          <w:b/>
        </w:rPr>
        <w:t>-</w:t>
      </w:r>
      <w:r>
        <w:rPr>
          <w:rFonts w:cs="Times New Roman"/>
          <w:b/>
        </w:rPr>
        <w:t xml:space="preserve"> H.</w:t>
      </w:r>
      <w:r>
        <w:rPr>
          <w:rFonts w:hint="eastAsia" w:cs="Times New Roman"/>
          <w:b/>
        </w:rPr>
        <w:t>2</w:t>
      </w:r>
      <w:r>
        <w:rPr>
          <w:rFonts w:cs="Times New Roman"/>
          <w:b/>
        </w:rPr>
        <w:t>.</w:t>
      </w:r>
      <w:r>
        <w:rPr>
          <w:rFonts w:hint="eastAsia" w:cs="Times New Roman"/>
          <w:b/>
        </w:rPr>
        <w:t>2</w:t>
      </w:r>
      <w:r>
        <w:rPr>
          <w:rFonts w:cs="Times New Roman"/>
        </w:rPr>
        <w:t xml:space="preserve"> </w:t>
      </w:r>
      <w:r>
        <w:rPr>
          <w:rFonts w:hint="eastAsia" w:ascii="楷体" w:hAnsi="楷体" w:eastAsia="楷体"/>
          <w:szCs w:val="21"/>
        </w:rPr>
        <w:t>高强度螺栓预拉力及连接接触面抗滑移系数决定了钢结构高强螺栓节点的连接强度，其连接节点</w:t>
      </w:r>
      <w:r>
        <w:rPr>
          <w:rFonts w:ascii="楷体" w:hAnsi="楷体" w:eastAsia="楷体"/>
          <w:szCs w:val="21"/>
        </w:rPr>
        <w:t>高温过火冷却后</w:t>
      </w:r>
      <w:r>
        <w:rPr>
          <w:rFonts w:hint="eastAsia" w:ascii="楷体" w:hAnsi="楷体" w:eastAsia="楷体"/>
          <w:szCs w:val="21"/>
        </w:rPr>
        <w:t>其参数降低较多。本次修编综合了国内中冶建筑研究总院有限公司、同济大学、哈尔滨工业大学等单位的科研成果，增加了此部分内容。</w:t>
      </w:r>
    </w:p>
    <w:p>
      <w:pPr>
        <w:rPr>
          <w:rFonts w:cs="Times New Roman"/>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ind w:firstLine="420" w:firstLineChars="200"/>
        <w:rPr>
          <w:rFonts w:ascii="楷体" w:hAnsi="楷体" w:eastAsia="楷体"/>
          <w:szCs w:val="21"/>
        </w:rPr>
      </w:pPr>
    </w:p>
    <w:p>
      <w:pPr>
        <w:pStyle w:val="2"/>
        <w:rPr>
          <w:rFonts w:cs="Times New Roman"/>
        </w:rPr>
      </w:pPr>
      <w:r>
        <w:rPr>
          <w:rFonts w:cs="Times New Roman"/>
        </w:rPr>
        <w:t>附录</w:t>
      </w:r>
      <w:r>
        <w:rPr>
          <w:rFonts w:hint="eastAsia" w:cs="Times New Roman"/>
        </w:rPr>
        <w:t>J</w:t>
      </w:r>
      <w:r>
        <w:rPr>
          <w:rFonts w:hint="eastAsia"/>
        </w:rPr>
        <w:t>火灾后砌体强度及承载能力计算方法</w:t>
      </w:r>
    </w:p>
    <w:p>
      <w:pPr>
        <w:ind w:firstLine="420"/>
        <w:rPr>
          <w:rFonts w:ascii="楷体" w:hAnsi="楷体" w:eastAsia="楷体"/>
          <w:szCs w:val="21"/>
        </w:rPr>
      </w:pPr>
      <w:r>
        <w:rPr>
          <w:rFonts w:hint="eastAsia" w:ascii="楷体" w:hAnsi="楷体" w:eastAsia="楷体"/>
          <w:szCs w:val="21"/>
        </w:rPr>
        <w:t>已有的研究文献表明：砂浆及砌块其强度随高温作用的变化规律有较大的离散性，还没有公认的公式。实际砌体结构中砂浆及砌体受火灾作用与实验室又有很大不同，原标准K.0.1的系数实际应用时参考意义不大。本次修订用火灾后240mm砖砌体中水泥砂浆和粘土砖抗压强度折减系数取代。这个表的折减系数是综合了实际火灾构件截面温度场对砂浆和粘土砖抗压强度的折减。</w:t>
      </w:r>
    </w:p>
    <w:p>
      <w:pPr>
        <w:ind w:firstLine="420"/>
        <w:rPr>
          <w:rFonts w:ascii="楷体" w:hAnsi="楷体" w:eastAsia="楷体"/>
          <w:szCs w:val="21"/>
        </w:rPr>
      </w:pPr>
      <w:r>
        <w:rPr>
          <w:rFonts w:hint="eastAsia" w:ascii="楷体" w:hAnsi="楷体" w:eastAsia="楷体"/>
          <w:szCs w:val="21"/>
        </w:rPr>
        <w:t>附录J增加了砌体抗压、抗拉、抗弯和抗剪强度设计值及纵向弯曲系数的推定方法。明确了火灾后砌体结构承载能力计算方法。</w:t>
      </w:r>
    </w:p>
    <w:p>
      <w:pPr>
        <w:ind w:firstLine="420"/>
        <w:rPr>
          <w:rFonts w:ascii="楷体" w:hAnsi="楷体" w:eastAsia="楷体"/>
          <w:szCs w:val="21"/>
        </w:rPr>
      </w:pPr>
      <w:r>
        <w:rPr>
          <w:rFonts w:hint="eastAsia" w:ascii="楷体" w:hAnsi="楷体" w:eastAsia="楷体"/>
          <w:szCs w:val="21"/>
        </w:rPr>
        <w:t>表J.0.1中的折减系数是对于240mm厚粘土砖墙体中砂浆及粘土砖块材的，是截面平均折减系数，可以根据火场温度直接得到砂浆及块材的强度折减，然后根据公式J.0.1-J.0.3计算各种强度平均值及相应的设计值。表J.0.2是砂浆受高温作用后强度折减系数。</w:t>
      </w:r>
    </w:p>
    <w:p>
      <w:pPr>
        <w:ind w:firstLine="420"/>
        <w:rPr>
          <w:rFonts w:ascii="楷体" w:hAnsi="楷体" w:eastAsia="楷体"/>
          <w:szCs w:val="21"/>
        </w:rPr>
      </w:pPr>
      <w:r>
        <w:rPr>
          <w:rFonts w:hint="eastAsia" w:ascii="楷体" w:hAnsi="楷体" w:eastAsia="楷体"/>
          <w:szCs w:val="21"/>
        </w:rPr>
        <w:t>实际应用时，可以根据6.4.2条文说明中公式</w:t>
      </w:r>
      <w:r>
        <w:rPr>
          <w:rFonts w:hint="eastAsia" w:ascii="楷体" w:hAnsi="楷体" w:eastAsia="楷体"/>
        </w:rPr>
        <w:t>6.4.2-1</w:t>
      </w:r>
      <w:r>
        <w:rPr>
          <w:rFonts w:hint="eastAsia" w:ascii="楷体" w:hAnsi="楷体" w:eastAsia="楷体"/>
          <w:szCs w:val="21"/>
        </w:rPr>
        <w:t>和公式6.4.2-2分析截面每一点的温度，然后推算每一点的强度折减，适用于采用数值分析构件承载能力的情况。</w:t>
      </w:r>
    </w:p>
    <w:p>
      <w:pPr>
        <w:ind w:firstLine="420" w:firstLineChars="200"/>
        <w:rPr>
          <w:rFonts w:cs="Times New Roman"/>
        </w:rPr>
      </w:pPr>
    </w:p>
    <w:p>
      <w:pPr>
        <w:ind w:firstLine="420" w:firstLineChars="200"/>
        <w:rPr>
          <w:rFonts w:ascii="楷体" w:hAnsi="楷体" w:eastAsia="楷体"/>
          <w:szCs w:val="21"/>
        </w:rPr>
      </w:pPr>
    </w:p>
    <w:p>
      <w:pPr>
        <w:rPr>
          <w:rFonts w:cs="Times New Roman"/>
        </w:rPr>
      </w:pPr>
    </w:p>
    <w:p>
      <w:pPr>
        <w:rPr>
          <w:rFonts w:cs="Times New Roman"/>
        </w:rPr>
      </w:pPr>
    </w:p>
    <w:sectPr>
      <w:footerReference r:id="rId27" w:type="first"/>
      <w:headerReference r:id="rId25" w:type="even"/>
      <w:footerReference r:id="rId26" w:type="even"/>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等线 Light">
    <w:altName w:val="微软雅黑"/>
    <w:panose1 w:val="00000000000000000000"/>
    <w:charset w:val="86"/>
    <w:family w:val="auto"/>
    <w:pitch w:val="default"/>
    <w:sig w:usb0="00000000" w:usb1="00000000" w:usb2="00000016" w:usb3="00000000" w:csb0="0004000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inherit">
    <w:altName w:val="Cambria"/>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A00002EF" w:usb1="420020EB" w:usb2="00000000" w:usb3="00000000" w:csb0="2000009F" w:csb1="00000000"/>
  </w:font>
  <w:font w:name="Adobe 楷体 Std R">
    <w:altName w:val="微软雅黑"/>
    <w:panose1 w:val="00000000000000000000"/>
    <w:charset w:val="86"/>
    <w:family w:val="roman"/>
    <w:pitch w:val="default"/>
    <w:sig w:usb0="00000000" w:usb1="00000000" w:usb2="00000016" w:usb3="00000000" w:csb0="00060007" w:csb1="00000000"/>
  </w:font>
  <w:font w:name="华文楷体">
    <w:altName w:val="微软雅黑"/>
    <w:panose1 w:val="00000000000000000000"/>
    <w:charset w:val="86"/>
    <w:family w:val="auto"/>
    <w:pitch w:val="default"/>
    <w:sig w:usb0="00000000" w:usb1="00000000" w:usb2="00000010" w:usb3="00000000" w:csb0="0004009F" w:csb1="00000000"/>
  </w:font>
  <w:font w:name="等线">
    <w:altName w:val="宋体"/>
    <w:panose1 w:val="00000000000000000000"/>
    <w:charset w:val="86"/>
    <w:family w:val="auto"/>
    <w:pitch w:val="default"/>
    <w:sig w:usb0="00000000" w:usb1="00000000" w:usb2="00000000" w:usb3="00000000" w:csb0="00000000" w:csb1="00000000"/>
  </w:font>
  <w:font w:name="等线">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Arial">
    <w:panose1 w:val="020B0604020202020204"/>
    <w:charset w:val="00"/>
    <w:family w:val="auto"/>
    <w:pitch w:val="default"/>
    <w:sig w:usb0="E0002AFF" w:usb1="C0007843" w:usb2="00000009" w:usb3="00000000" w:csb0="400001FF" w:csb1="FFFF0000"/>
  </w:font>
  <w:font w:name="等线 Light">
    <w:altName w:val="Courier New"/>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fldChar w:fldCharType="begin"/>
    </w:r>
    <w:r>
      <w:instrText xml:space="preserve"> PAGE   \* MERGEFORMAT </w:instrText>
    </w:r>
    <w:r>
      <w:fldChar w:fldCharType="separate"/>
    </w:r>
    <w:r>
      <w:rPr>
        <w:lang w:val="zh-CN"/>
      </w:rPr>
      <w:t>60</w:t>
    </w:r>
    <w:r>
      <w:rPr>
        <w:lang w:val="zh-CN"/>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vanish/>
        <w:highlight w:val="yellow"/>
      </w:rPr>
      <w:t>&lt;</w:t>
    </w:r>
    <w:r>
      <w:rPr>
        <w:lang w:val="zh-CN"/>
      </w:rPr>
      <w:t>[键入文字]</w:t>
    </w:r>
    <w:r>
      <w:rPr>
        <w:vanish/>
        <w:highlight w:val="yellow"/>
      </w:rPr>
      <w:t>&gt;</w:t>
    </w:r>
    <w:r>
      <w:tab/>
    </w:r>
    <w:r>
      <w:rPr>
        <w:vanish/>
        <w:highlight w:val="yellow"/>
      </w:rPr>
      <w:t>&lt;</w:t>
    </w:r>
    <w:r>
      <w:rPr>
        <w:lang w:val="zh-CN"/>
      </w:rPr>
      <w:t>[键入文字]</w:t>
    </w:r>
    <w:r>
      <w:rPr>
        <w:vanish/>
        <w:highlight w:val="yellow"/>
      </w:rPr>
      <w:t>&gt;&lt;&gt;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vanish/>
        <w:highlight w:val="yellow"/>
      </w:rPr>
      <w:t>&lt;</w:t>
    </w:r>
    <w:r>
      <w:rPr>
        <w:lang w:val="zh-CN"/>
      </w:rPr>
      <w:t>[键入文字]</w:t>
    </w:r>
    <w:r>
      <w:rPr>
        <w:vanish/>
        <w:highlight w:val="yellow"/>
      </w:rPr>
      <w:t>&gt;</w:t>
    </w:r>
    <w:r>
      <w:tab/>
    </w:r>
    <w:r>
      <w:rPr>
        <w:vanish/>
        <w:highlight w:val="yellow"/>
      </w:rPr>
      <w:t>&lt;</w:t>
    </w:r>
    <w:r>
      <w:rPr>
        <w:lang w:val="zh-CN"/>
      </w:rPr>
      <w:t>[键入文字]</w:t>
    </w:r>
    <w:r>
      <w:rPr>
        <w:vanish/>
        <w:highlight w:val="yellow"/>
      </w:rPr>
      <w:t>&gt;&lt;&gt;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fldChar w:fldCharType="begin"/>
    </w:r>
    <w:r>
      <w:instrText xml:space="preserve"> PAGE   \* MERGEFORMAT </w:instrText>
    </w:r>
    <w:r>
      <w:fldChar w:fldCharType="separate"/>
    </w:r>
    <w:r>
      <w:rPr>
        <w:lang w:val="zh-CN"/>
      </w:rPr>
      <w:t>2</w:t>
    </w:r>
    <w:r>
      <w:rPr>
        <w:lang w:val="zh-CN"/>
      </w:rP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tab/>
    </w:r>
    <w:r>
      <w:t xml:space="preserve">- </w:t>
    </w:r>
    <w:r>
      <w:fldChar w:fldCharType="begin"/>
    </w:r>
    <w:r>
      <w:instrText xml:space="preserve"> PAGE </w:instrText>
    </w:r>
    <w:r>
      <w:fldChar w:fldCharType="separate"/>
    </w:r>
    <w:r>
      <w:t>66</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vanish/>
        <w:highlight w:val="yellow"/>
      </w:rPr>
      <w:t>&lt;</w:t>
    </w:r>
    <w:r>
      <w:rPr>
        <w:lang w:val="zh-CN"/>
      </w:rPr>
      <w:t>[键入文字]</w:t>
    </w:r>
    <w:r>
      <w:rPr>
        <w:vanish/>
        <w:highlight w:val="yellow"/>
      </w:rPr>
      <w:t>&gt;</w:t>
    </w:r>
    <w:r>
      <w:tab/>
    </w:r>
    <w:r>
      <w:rPr>
        <w:vanish/>
        <w:highlight w:val="yellow"/>
      </w:rPr>
      <w:t>&lt;</w:t>
    </w:r>
    <w:r>
      <w:rPr>
        <w:lang w:val="zh-CN"/>
      </w:rPr>
      <w:t>[键入文字]</w:t>
    </w:r>
    <w:r>
      <w:rPr>
        <w:vanish/>
        <w:highlight w:val="yellow"/>
      </w:rPr>
      <w:t>&gt;&lt;&gt;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fldChar w:fldCharType="begin"/>
    </w:r>
    <w:r>
      <w:instrText xml:space="preserve"> PAGE   \* MERGEFORMAT </w:instrText>
    </w:r>
    <w:r>
      <w:fldChar w:fldCharType="separate"/>
    </w:r>
    <w:r>
      <w:rPr>
        <w:lang w:val="zh-CN"/>
      </w:rPr>
      <w:t>85</w:t>
    </w:r>
    <w:r>
      <w:rPr>
        <w:lang w:val="zh-C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fldChar w:fldCharType="begin"/>
    </w:r>
    <w:r>
      <w:instrText xml:space="preserve"> PAGE   \* MERGEFORMAT </w:instrText>
    </w:r>
    <w:r>
      <w:fldChar w:fldCharType="separate"/>
    </w:r>
    <w:r>
      <w:rPr>
        <w:lang w:val="zh-CN"/>
      </w:rPr>
      <w:t>2</w:t>
    </w:r>
    <w:r>
      <w:rPr>
        <w:lang w:val="zh-CN"/>
      </w:rPr>
      <w:fldChar w:fldCharType="end"/>
    </w:r>
  </w:p>
  <w:p>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tab/>
    </w:r>
    <w:r>
      <w:t xml:space="preserve">- </w:t>
    </w:r>
    <w:r>
      <w:fldChar w:fldCharType="begin"/>
    </w:r>
    <w:r>
      <w:instrText xml:space="preserve"> PAGE </w:instrText>
    </w:r>
    <w:r>
      <w:fldChar w:fldCharType="separate"/>
    </w:r>
    <w:r>
      <w:t>66</w:t>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441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441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6FC"/>
    <w:rsid w:val="00007622"/>
    <w:rsid w:val="00012710"/>
    <w:rsid w:val="000160B4"/>
    <w:rsid w:val="00020BC4"/>
    <w:rsid w:val="00022EBF"/>
    <w:rsid w:val="000243A9"/>
    <w:rsid w:val="000243CC"/>
    <w:rsid w:val="00025559"/>
    <w:rsid w:val="00030B3E"/>
    <w:rsid w:val="0003767A"/>
    <w:rsid w:val="000418C8"/>
    <w:rsid w:val="00054F12"/>
    <w:rsid w:val="00056EEC"/>
    <w:rsid w:val="00057899"/>
    <w:rsid w:val="00060BB1"/>
    <w:rsid w:val="00061C78"/>
    <w:rsid w:val="00063924"/>
    <w:rsid w:val="00063F39"/>
    <w:rsid w:val="00065755"/>
    <w:rsid w:val="00074093"/>
    <w:rsid w:val="00086AD9"/>
    <w:rsid w:val="0008768D"/>
    <w:rsid w:val="00087956"/>
    <w:rsid w:val="0009412E"/>
    <w:rsid w:val="00094CA3"/>
    <w:rsid w:val="000A5BF6"/>
    <w:rsid w:val="000A7B45"/>
    <w:rsid w:val="000B3DF4"/>
    <w:rsid w:val="000B5365"/>
    <w:rsid w:val="000B687D"/>
    <w:rsid w:val="000C1BFD"/>
    <w:rsid w:val="000D16FE"/>
    <w:rsid w:val="000D29BE"/>
    <w:rsid w:val="000D5805"/>
    <w:rsid w:val="000E02BC"/>
    <w:rsid w:val="000E0A5B"/>
    <w:rsid w:val="000E4332"/>
    <w:rsid w:val="000E553E"/>
    <w:rsid w:val="000F74C1"/>
    <w:rsid w:val="00100F09"/>
    <w:rsid w:val="001054AF"/>
    <w:rsid w:val="00113889"/>
    <w:rsid w:val="001211D8"/>
    <w:rsid w:val="00121CDE"/>
    <w:rsid w:val="001247B7"/>
    <w:rsid w:val="00142C5D"/>
    <w:rsid w:val="00144298"/>
    <w:rsid w:val="0015235D"/>
    <w:rsid w:val="0016146E"/>
    <w:rsid w:val="00162471"/>
    <w:rsid w:val="00170ABB"/>
    <w:rsid w:val="0017145E"/>
    <w:rsid w:val="00172967"/>
    <w:rsid w:val="001735CE"/>
    <w:rsid w:val="00176967"/>
    <w:rsid w:val="001808BE"/>
    <w:rsid w:val="00183987"/>
    <w:rsid w:val="001861A2"/>
    <w:rsid w:val="001908F7"/>
    <w:rsid w:val="0019601D"/>
    <w:rsid w:val="001A225F"/>
    <w:rsid w:val="001B10AE"/>
    <w:rsid w:val="001B2C79"/>
    <w:rsid w:val="001B5685"/>
    <w:rsid w:val="001B5D75"/>
    <w:rsid w:val="001C6981"/>
    <w:rsid w:val="001D3071"/>
    <w:rsid w:val="001D4F5B"/>
    <w:rsid w:val="001D5B89"/>
    <w:rsid w:val="001D5C30"/>
    <w:rsid w:val="001E451A"/>
    <w:rsid w:val="001E617D"/>
    <w:rsid w:val="001F18F4"/>
    <w:rsid w:val="00201E78"/>
    <w:rsid w:val="00206F51"/>
    <w:rsid w:val="002125A7"/>
    <w:rsid w:val="00216E8D"/>
    <w:rsid w:val="00220EA7"/>
    <w:rsid w:val="0022683E"/>
    <w:rsid w:val="00226E1B"/>
    <w:rsid w:val="002323E5"/>
    <w:rsid w:val="002333B7"/>
    <w:rsid w:val="00234CA3"/>
    <w:rsid w:val="00234E78"/>
    <w:rsid w:val="002409CC"/>
    <w:rsid w:val="00255975"/>
    <w:rsid w:val="00256F1A"/>
    <w:rsid w:val="00256FB1"/>
    <w:rsid w:val="00257E93"/>
    <w:rsid w:val="00272484"/>
    <w:rsid w:val="002728E0"/>
    <w:rsid w:val="00272EC5"/>
    <w:rsid w:val="0027346B"/>
    <w:rsid w:val="002756B7"/>
    <w:rsid w:val="00280E6B"/>
    <w:rsid w:val="002A6D18"/>
    <w:rsid w:val="002B0B4A"/>
    <w:rsid w:val="002B26B6"/>
    <w:rsid w:val="002B4429"/>
    <w:rsid w:val="002C7730"/>
    <w:rsid w:val="002C7AD0"/>
    <w:rsid w:val="002D37E9"/>
    <w:rsid w:val="002D3ABD"/>
    <w:rsid w:val="002E0E51"/>
    <w:rsid w:val="002E35C5"/>
    <w:rsid w:val="002E6D18"/>
    <w:rsid w:val="002F4825"/>
    <w:rsid w:val="00302E5F"/>
    <w:rsid w:val="00303C69"/>
    <w:rsid w:val="0030798E"/>
    <w:rsid w:val="003145A5"/>
    <w:rsid w:val="003165CE"/>
    <w:rsid w:val="00320352"/>
    <w:rsid w:val="003205B9"/>
    <w:rsid w:val="00324167"/>
    <w:rsid w:val="0033330E"/>
    <w:rsid w:val="00335E17"/>
    <w:rsid w:val="0033792E"/>
    <w:rsid w:val="003506C7"/>
    <w:rsid w:val="00356D4B"/>
    <w:rsid w:val="00357176"/>
    <w:rsid w:val="003720C8"/>
    <w:rsid w:val="00375145"/>
    <w:rsid w:val="003B0D20"/>
    <w:rsid w:val="003B2720"/>
    <w:rsid w:val="003B2ADD"/>
    <w:rsid w:val="003B39AD"/>
    <w:rsid w:val="003B5419"/>
    <w:rsid w:val="003B57ED"/>
    <w:rsid w:val="003D2672"/>
    <w:rsid w:val="00403FFD"/>
    <w:rsid w:val="00412B93"/>
    <w:rsid w:val="00420EC1"/>
    <w:rsid w:val="00421141"/>
    <w:rsid w:val="004216EF"/>
    <w:rsid w:val="00424DC7"/>
    <w:rsid w:val="00424FDA"/>
    <w:rsid w:val="00426E67"/>
    <w:rsid w:val="00431EB6"/>
    <w:rsid w:val="00433534"/>
    <w:rsid w:val="00442293"/>
    <w:rsid w:val="004437DC"/>
    <w:rsid w:val="00445116"/>
    <w:rsid w:val="004524AC"/>
    <w:rsid w:val="00456A54"/>
    <w:rsid w:val="004570B0"/>
    <w:rsid w:val="00465EDA"/>
    <w:rsid w:val="0047008C"/>
    <w:rsid w:val="00470E89"/>
    <w:rsid w:val="004710A4"/>
    <w:rsid w:val="004715D2"/>
    <w:rsid w:val="00472C78"/>
    <w:rsid w:val="00493DFC"/>
    <w:rsid w:val="004A2C30"/>
    <w:rsid w:val="004A529A"/>
    <w:rsid w:val="004B06FC"/>
    <w:rsid w:val="004B12A9"/>
    <w:rsid w:val="004B19F0"/>
    <w:rsid w:val="004C1FB1"/>
    <w:rsid w:val="004C7471"/>
    <w:rsid w:val="004E155F"/>
    <w:rsid w:val="004E1BEB"/>
    <w:rsid w:val="004E2C8E"/>
    <w:rsid w:val="004F04E5"/>
    <w:rsid w:val="0050574C"/>
    <w:rsid w:val="0051338C"/>
    <w:rsid w:val="0052586F"/>
    <w:rsid w:val="005346C8"/>
    <w:rsid w:val="00535AF6"/>
    <w:rsid w:val="00536E17"/>
    <w:rsid w:val="00540EAE"/>
    <w:rsid w:val="005431A9"/>
    <w:rsid w:val="00552BBE"/>
    <w:rsid w:val="00560CED"/>
    <w:rsid w:val="00562B3C"/>
    <w:rsid w:val="00564CF9"/>
    <w:rsid w:val="005678C8"/>
    <w:rsid w:val="0057147E"/>
    <w:rsid w:val="00573487"/>
    <w:rsid w:val="005A3C9E"/>
    <w:rsid w:val="005B2754"/>
    <w:rsid w:val="005B32F6"/>
    <w:rsid w:val="005C2470"/>
    <w:rsid w:val="005D407E"/>
    <w:rsid w:val="005E5B78"/>
    <w:rsid w:val="005F1D96"/>
    <w:rsid w:val="005F3C60"/>
    <w:rsid w:val="00601042"/>
    <w:rsid w:val="00605946"/>
    <w:rsid w:val="00605E3C"/>
    <w:rsid w:val="006106E8"/>
    <w:rsid w:val="006107E9"/>
    <w:rsid w:val="006168BC"/>
    <w:rsid w:val="006206AF"/>
    <w:rsid w:val="0063775A"/>
    <w:rsid w:val="00642CB7"/>
    <w:rsid w:val="006441B4"/>
    <w:rsid w:val="00652A9F"/>
    <w:rsid w:val="006576A3"/>
    <w:rsid w:val="00680C0A"/>
    <w:rsid w:val="00681AE6"/>
    <w:rsid w:val="006842F6"/>
    <w:rsid w:val="006876BD"/>
    <w:rsid w:val="00687EFF"/>
    <w:rsid w:val="00692704"/>
    <w:rsid w:val="00695694"/>
    <w:rsid w:val="00695BCA"/>
    <w:rsid w:val="00697501"/>
    <w:rsid w:val="006A5996"/>
    <w:rsid w:val="006A6729"/>
    <w:rsid w:val="006A72EF"/>
    <w:rsid w:val="006B34DC"/>
    <w:rsid w:val="006C0CDA"/>
    <w:rsid w:val="006C4494"/>
    <w:rsid w:val="006C5357"/>
    <w:rsid w:val="006C56C3"/>
    <w:rsid w:val="006C5878"/>
    <w:rsid w:val="006D70B4"/>
    <w:rsid w:val="006E3F02"/>
    <w:rsid w:val="006E600A"/>
    <w:rsid w:val="0070521D"/>
    <w:rsid w:val="00705B01"/>
    <w:rsid w:val="0071082B"/>
    <w:rsid w:val="00727D0B"/>
    <w:rsid w:val="00731782"/>
    <w:rsid w:val="007332DB"/>
    <w:rsid w:val="007424CB"/>
    <w:rsid w:val="00762A03"/>
    <w:rsid w:val="00766D2D"/>
    <w:rsid w:val="0076782C"/>
    <w:rsid w:val="00772403"/>
    <w:rsid w:val="00774739"/>
    <w:rsid w:val="00776C27"/>
    <w:rsid w:val="00784A5A"/>
    <w:rsid w:val="00786F32"/>
    <w:rsid w:val="007875DB"/>
    <w:rsid w:val="007901C0"/>
    <w:rsid w:val="00791D17"/>
    <w:rsid w:val="00797391"/>
    <w:rsid w:val="007A0005"/>
    <w:rsid w:val="007A1AB9"/>
    <w:rsid w:val="007A7C89"/>
    <w:rsid w:val="007B1A09"/>
    <w:rsid w:val="007B1CD9"/>
    <w:rsid w:val="007C7BB3"/>
    <w:rsid w:val="007D34A9"/>
    <w:rsid w:val="007D3F08"/>
    <w:rsid w:val="007D4D88"/>
    <w:rsid w:val="007D5997"/>
    <w:rsid w:val="007E0B10"/>
    <w:rsid w:val="007E7477"/>
    <w:rsid w:val="007F4771"/>
    <w:rsid w:val="008021E3"/>
    <w:rsid w:val="00803E96"/>
    <w:rsid w:val="00811E51"/>
    <w:rsid w:val="008145D7"/>
    <w:rsid w:val="00826357"/>
    <w:rsid w:val="008310A9"/>
    <w:rsid w:val="00834102"/>
    <w:rsid w:val="008452B3"/>
    <w:rsid w:val="008507DD"/>
    <w:rsid w:val="00853FD0"/>
    <w:rsid w:val="00861D56"/>
    <w:rsid w:val="00864513"/>
    <w:rsid w:val="00864946"/>
    <w:rsid w:val="00865779"/>
    <w:rsid w:val="00871682"/>
    <w:rsid w:val="00882837"/>
    <w:rsid w:val="00885F63"/>
    <w:rsid w:val="0089609D"/>
    <w:rsid w:val="008A27AF"/>
    <w:rsid w:val="008A325F"/>
    <w:rsid w:val="008A7B8E"/>
    <w:rsid w:val="008B3E18"/>
    <w:rsid w:val="008C15E7"/>
    <w:rsid w:val="008D1B1E"/>
    <w:rsid w:val="008D3D5C"/>
    <w:rsid w:val="008D487E"/>
    <w:rsid w:val="008D49F1"/>
    <w:rsid w:val="008D50A2"/>
    <w:rsid w:val="008D7B22"/>
    <w:rsid w:val="008E1C25"/>
    <w:rsid w:val="008E7D5D"/>
    <w:rsid w:val="008F7DF7"/>
    <w:rsid w:val="00901062"/>
    <w:rsid w:val="00906CD2"/>
    <w:rsid w:val="00912626"/>
    <w:rsid w:val="009137C5"/>
    <w:rsid w:val="00914049"/>
    <w:rsid w:val="009143BD"/>
    <w:rsid w:val="00914A17"/>
    <w:rsid w:val="0092470E"/>
    <w:rsid w:val="009264F3"/>
    <w:rsid w:val="00934AD3"/>
    <w:rsid w:val="0094444B"/>
    <w:rsid w:val="009549C8"/>
    <w:rsid w:val="009549F1"/>
    <w:rsid w:val="0096136E"/>
    <w:rsid w:val="00963A71"/>
    <w:rsid w:val="0097547C"/>
    <w:rsid w:val="00985659"/>
    <w:rsid w:val="009A109B"/>
    <w:rsid w:val="009A1FA6"/>
    <w:rsid w:val="009A70F8"/>
    <w:rsid w:val="009B3E26"/>
    <w:rsid w:val="009B5F1B"/>
    <w:rsid w:val="009B7ED0"/>
    <w:rsid w:val="009C2D1A"/>
    <w:rsid w:val="009C3B6B"/>
    <w:rsid w:val="009C4BFE"/>
    <w:rsid w:val="009C5EB8"/>
    <w:rsid w:val="009C7204"/>
    <w:rsid w:val="009D19FA"/>
    <w:rsid w:val="009D3493"/>
    <w:rsid w:val="009E17EB"/>
    <w:rsid w:val="009E30C8"/>
    <w:rsid w:val="009E53B2"/>
    <w:rsid w:val="009E6CF5"/>
    <w:rsid w:val="009F4CFC"/>
    <w:rsid w:val="009F6DF1"/>
    <w:rsid w:val="00A11A02"/>
    <w:rsid w:val="00A13991"/>
    <w:rsid w:val="00A141B0"/>
    <w:rsid w:val="00A14CA8"/>
    <w:rsid w:val="00A17066"/>
    <w:rsid w:val="00A25EE5"/>
    <w:rsid w:val="00A27DC7"/>
    <w:rsid w:val="00A3296F"/>
    <w:rsid w:val="00A44195"/>
    <w:rsid w:val="00A479F9"/>
    <w:rsid w:val="00A51DF4"/>
    <w:rsid w:val="00A5513D"/>
    <w:rsid w:val="00A575D4"/>
    <w:rsid w:val="00A6048B"/>
    <w:rsid w:val="00A6060F"/>
    <w:rsid w:val="00A60A08"/>
    <w:rsid w:val="00A64E8C"/>
    <w:rsid w:val="00A70623"/>
    <w:rsid w:val="00A73519"/>
    <w:rsid w:val="00A8368A"/>
    <w:rsid w:val="00A95AA9"/>
    <w:rsid w:val="00AB1E8D"/>
    <w:rsid w:val="00AB2C78"/>
    <w:rsid w:val="00AB3FCB"/>
    <w:rsid w:val="00AB427B"/>
    <w:rsid w:val="00AC1CB1"/>
    <w:rsid w:val="00AC2897"/>
    <w:rsid w:val="00AC6664"/>
    <w:rsid w:val="00AD13B9"/>
    <w:rsid w:val="00AD5244"/>
    <w:rsid w:val="00AD6475"/>
    <w:rsid w:val="00AD6C0F"/>
    <w:rsid w:val="00AE137B"/>
    <w:rsid w:val="00AE3EF3"/>
    <w:rsid w:val="00B039B9"/>
    <w:rsid w:val="00B049C6"/>
    <w:rsid w:val="00B0518B"/>
    <w:rsid w:val="00B06574"/>
    <w:rsid w:val="00B07872"/>
    <w:rsid w:val="00B1244D"/>
    <w:rsid w:val="00B154C4"/>
    <w:rsid w:val="00B1667F"/>
    <w:rsid w:val="00B21895"/>
    <w:rsid w:val="00B21E89"/>
    <w:rsid w:val="00B22678"/>
    <w:rsid w:val="00B2448D"/>
    <w:rsid w:val="00B247D7"/>
    <w:rsid w:val="00B26B0C"/>
    <w:rsid w:val="00B26D36"/>
    <w:rsid w:val="00B32304"/>
    <w:rsid w:val="00B419ED"/>
    <w:rsid w:val="00B45F2E"/>
    <w:rsid w:val="00B47906"/>
    <w:rsid w:val="00B54EFE"/>
    <w:rsid w:val="00B6737A"/>
    <w:rsid w:val="00B71F68"/>
    <w:rsid w:val="00B81ACA"/>
    <w:rsid w:val="00B847E2"/>
    <w:rsid w:val="00B928F8"/>
    <w:rsid w:val="00B92AFC"/>
    <w:rsid w:val="00B92D7F"/>
    <w:rsid w:val="00BA20CA"/>
    <w:rsid w:val="00BA57BC"/>
    <w:rsid w:val="00BA7D63"/>
    <w:rsid w:val="00BB1E2A"/>
    <w:rsid w:val="00BB7111"/>
    <w:rsid w:val="00BB7285"/>
    <w:rsid w:val="00BC1FF8"/>
    <w:rsid w:val="00BC401C"/>
    <w:rsid w:val="00BC5C22"/>
    <w:rsid w:val="00BE1489"/>
    <w:rsid w:val="00BE3250"/>
    <w:rsid w:val="00BE42FA"/>
    <w:rsid w:val="00BE47ED"/>
    <w:rsid w:val="00BF13D0"/>
    <w:rsid w:val="00BF19E3"/>
    <w:rsid w:val="00BF3317"/>
    <w:rsid w:val="00C02656"/>
    <w:rsid w:val="00C02851"/>
    <w:rsid w:val="00C06775"/>
    <w:rsid w:val="00C115C8"/>
    <w:rsid w:val="00C3449E"/>
    <w:rsid w:val="00C35775"/>
    <w:rsid w:val="00C46D07"/>
    <w:rsid w:val="00C50FF0"/>
    <w:rsid w:val="00C51530"/>
    <w:rsid w:val="00C60E83"/>
    <w:rsid w:val="00C712CC"/>
    <w:rsid w:val="00C72280"/>
    <w:rsid w:val="00C7242D"/>
    <w:rsid w:val="00C7554F"/>
    <w:rsid w:val="00C77A7C"/>
    <w:rsid w:val="00C80D6C"/>
    <w:rsid w:val="00C8240A"/>
    <w:rsid w:val="00C8430A"/>
    <w:rsid w:val="00C86FF1"/>
    <w:rsid w:val="00C94A69"/>
    <w:rsid w:val="00C97617"/>
    <w:rsid w:val="00CA4FE2"/>
    <w:rsid w:val="00CB0428"/>
    <w:rsid w:val="00CB2892"/>
    <w:rsid w:val="00CB37C7"/>
    <w:rsid w:val="00CC30E9"/>
    <w:rsid w:val="00CE1BBF"/>
    <w:rsid w:val="00CE2FE0"/>
    <w:rsid w:val="00CF700F"/>
    <w:rsid w:val="00CF7C1E"/>
    <w:rsid w:val="00D03592"/>
    <w:rsid w:val="00D063EB"/>
    <w:rsid w:val="00D13DE0"/>
    <w:rsid w:val="00D22DE4"/>
    <w:rsid w:val="00D23DE8"/>
    <w:rsid w:val="00D30D86"/>
    <w:rsid w:val="00D34213"/>
    <w:rsid w:val="00D458AE"/>
    <w:rsid w:val="00D54932"/>
    <w:rsid w:val="00D56235"/>
    <w:rsid w:val="00D62711"/>
    <w:rsid w:val="00D64876"/>
    <w:rsid w:val="00D65589"/>
    <w:rsid w:val="00D66EDE"/>
    <w:rsid w:val="00D70765"/>
    <w:rsid w:val="00D707C5"/>
    <w:rsid w:val="00D709B1"/>
    <w:rsid w:val="00D71F31"/>
    <w:rsid w:val="00D81887"/>
    <w:rsid w:val="00D84B16"/>
    <w:rsid w:val="00D93C56"/>
    <w:rsid w:val="00D95579"/>
    <w:rsid w:val="00D97EE5"/>
    <w:rsid w:val="00DA5740"/>
    <w:rsid w:val="00DC0816"/>
    <w:rsid w:val="00DC2121"/>
    <w:rsid w:val="00DC3582"/>
    <w:rsid w:val="00DD53C7"/>
    <w:rsid w:val="00DD777A"/>
    <w:rsid w:val="00DE1515"/>
    <w:rsid w:val="00DE41BB"/>
    <w:rsid w:val="00DF4927"/>
    <w:rsid w:val="00E01C19"/>
    <w:rsid w:val="00E053E4"/>
    <w:rsid w:val="00E1202D"/>
    <w:rsid w:val="00E123E6"/>
    <w:rsid w:val="00E216C4"/>
    <w:rsid w:val="00E268EC"/>
    <w:rsid w:val="00E27E64"/>
    <w:rsid w:val="00E313D0"/>
    <w:rsid w:val="00E36611"/>
    <w:rsid w:val="00E36A7A"/>
    <w:rsid w:val="00E37AD4"/>
    <w:rsid w:val="00E420DF"/>
    <w:rsid w:val="00E44716"/>
    <w:rsid w:val="00E448CF"/>
    <w:rsid w:val="00E46016"/>
    <w:rsid w:val="00E474CA"/>
    <w:rsid w:val="00E513CC"/>
    <w:rsid w:val="00E56C5C"/>
    <w:rsid w:val="00E67A29"/>
    <w:rsid w:val="00E7215B"/>
    <w:rsid w:val="00E73B92"/>
    <w:rsid w:val="00E81361"/>
    <w:rsid w:val="00E84C14"/>
    <w:rsid w:val="00E85B6E"/>
    <w:rsid w:val="00E944C8"/>
    <w:rsid w:val="00E96C02"/>
    <w:rsid w:val="00E979E3"/>
    <w:rsid w:val="00EA3D4B"/>
    <w:rsid w:val="00EB6E13"/>
    <w:rsid w:val="00EC02CC"/>
    <w:rsid w:val="00EC1755"/>
    <w:rsid w:val="00EC6B12"/>
    <w:rsid w:val="00EF4073"/>
    <w:rsid w:val="00F00B74"/>
    <w:rsid w:val="00F051EB"/>
    <w:rsid w:val="00F10514"/>
    <w:rsid w:val="00F13050"/>
    <w:rsid w:val="00F15055"/>
    <w:rsid w:val="00F1653D"/>
    <w:rsid w:val="00F16D0A"/>
    <w:rsid w:val="00F2526A"/>
    <w:rsid w:val="00F3121E"/>
    <w:rsid w:val="00F34A89"/>
    <w:rsid w:val="00F3704F"/>
    <w:rsid w:val="00F478E7"/>
    <w:rsid w:val="00F50D17"/>
    <w:rsid w:val="00F514A3"/>
    <w:rsid w:val="00F63D89"/>
    <w:rsid w:val="00F700DD"/>
    <w:rsid w:val="00F706E8"/>
    <w:rsid w:val="00F83C27"/>
    <w:rsid w:val="00F95F17"/>
    <w:rsid w:val="00FA2843"/>
    <w:rsid w:val="00FA5AEE"/>
    <w:rsid w:val="00FB10E8"/>
    <w:rsid w:val="00FB3FC0"/>
    <w:rsid w:val="00FC2502"/>
    <w:rsid w:val="00FC5698"/>
    <w:rsid w:val="00FC6373"/>
    <w:rsid w:val="00FD11F5"/>
    <w:rsid w:val="00FD1B65"/>
    <w:rsid w:val="00FE0D21"/>
    <w:rsid w:val="00FE7650"/>
    <w:rsid w:val="00FF79E0"/>
    <w:rsid w:val="2EEE4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iPriority="99" w:semiHidden="0"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440" w:lineRule="atLeast"/>
      <w:jc w:val="both"/>
    </w:pPr>
    <w:rPr>
      <w:rFonts w:ascii="Times New Roman" w:hAnsi="Times New Roman" w:eastAsia="宋体" w:cstheme="minorBidi"/>
      <w:kern w:val="2"/>
      <w:sz w:val="21"/>
      <w:szCs w:val="24"/>
      <w:lang w:val="en-US" w:eastAsia="zh-CN" w:bidi="ar-SA"/>
    </w:rPr>
  </w:style>
  <w:style w:type="paragraph" w:styleId="2">
    <w:name w:val="heading 1"/>
    <w:basedOn w:val="1"/>
    <w:next w:val="1"/>
    <w:link w:val="26"/>
    <w:qFormat/>
    <w:uiPriority w:val="9"/>
    <w:pPr>
      <w:keepNext/>
      <w:keepLines/>
      <w:spacing w:before="360" w:after="360"/>
      <w:jc w:val="center"/>
      <w:outlineLvl w:val="0"/>
    </w:pPr>
    <w:rPr>
      <w:b/>
      <w:bCs/>
      <w:kern w:val="44"/>
      <w:sz w:val="30"/>
    </w:rPr>
  </w:style>
  <w:style w:type="paragraph" w:styleId="3">
    <w:name w:val="heading 2"/>
    <w:basedOn w:val="1"/>
    <w:next w:val="1"/>
    <w:link w:val="27"/>
    <w:unhideWhenUsed/>
    <w:qFormat/>
    <w:uiPriority w:val="9"/>
    <w:pPr>
      <w:keepNext/>
      <w:keepLines/>
      <w:spacing w:before="120" w:after="120" w:line="360" w:lineRule="auto"/>
      <w:jc w:val="center"/>
      <w:outlineLvl w:val="1"/>
    </w:pPr>
    <w:rPr>
      <w:rFonts w:eastAsia="黑体" w:asciiTheme="majorHAnsi" w:hAnsiTheme="majorHAnsi" w:cstheme="majorBidi"/>
      <w:b/>
      <w:bCs/>
      <w:sz w:val="24"/>
      <w:szCs w:val="32"/>
    </w:rPr>
  </w:style>
  <w:style w:type="character" w:default="1" w:styleId="20">
    <w:name w:val="Default Paragraph Font"/>
    <w:unhideWhenUsed/>
    <w:qFormat/>
    <w:uiPriority w:val="1"/>
  </w:style>
  <w:style w:type="table" w:default="1" w:styleId="24">
    <w:name w:val="Normal Table"/>
    <w:unhideWhenUsed/>
    <w:qFormat/>
    <w:uiPriority w:val="99"/>
    <w:tblPr>
      <w:tblLayout w:type="fixed"/>
      <w:tblCellMar>
        <w:top w:w="0" w:type="dxa"/>
        <w:left w:w="108" w:type="dxa"/>
        <w:bottom w:w="0" w:type="dxa"/>
        <w:right w:w="108" w:type="dxa"/>
      </w:tblCellMar>
    </w:tblPr>
  </w:style>
  <w:style w:type="paragraph" w:styleId="4">
    <w:name w:val="Document Map"/>
    <w:basedOn w:val="1"/>
    <w:link w:val="39"/>
    <w:unhideWhenUsed/>
    <w:qFormat/>
    <w:uiPriority w:val="99"/>
    <w:rPr>
      <w:rFonts w:ascii="宋体" w:cs="Times New Roman"/>
      <w:sz w:val="18"/>
      <w:szCs w:val="18"/>
    </w:rPr>
  </w:style>
  <w:style w:type="paragraph" w:styleId="5">
    <w:name w:val="Body Text 3"/>
    <w:basedOn w:val="1"/>
    <w:link w:val="34"/>
    <w:qFormat/>
    <w:uiPriority w:val="0"/>
    <w:pPr>
      <w:spacing w:after="120"/>
    </w:pPr>
    <w:rPr>
      <w:rFonts w:cs="Times New Roman"/>
      <w:sz w:val="16"/>
      <w:szCs w:val="16"/>
    </w:rPr>
  </w:style>
  <w:style w:type="paragraph" w:styleId="6">
    <w:name w:val="Closing"/>
    <w:basedOn w:val="1"/>
    <w:link w:val="32"/>
    <w:qFormat/>
    <w:uiPriority w:val="0"/>
    <w:pPr>
      <w:ind w:left="100" w:leftChars="2100"/>
    </w:pPr>
    <w:rPr>
      <w:rFonts w:eastAsia="楷体_GB2312" w:cs="Times New Roman"/>
    </w:rPr>
  </w:style>
  <w:style w:type="paragraph" w:styleId="7">
    <w:name w:val="Body Text"/>
    <w:basedOn w:val="1"/>
    <w:link w:val="33"/>
    <w:qFormat/>
    <w:uiPriority w:val="0"/>
    <w:pPr>
      <w:spacing w:after="120"/>
    </w:pPr>
    <w:rPr>
      <w:rFonts w:cs="Times New Roman"/>
    </w:rPr>
  </w:style>
  <w:style w:type="paragraph" w:styleId="8">
    <w:name w:val="Body Text Indent"/>
    <w:basedOn w:val="1"/>
    <w:link w:val="31"/>
    <w:qFormat/>
    <w:uiPriority w:val="0"/>
    <w:pPr>
      <w:spacing w:after="120"/>
      <w:ind w:left="420" w:leftChars="200"/>
    </w:pPr>
    <w:rPr>
      <w:rFonts w:cs="Times New Roman"/>
    </w:rPr>
  </w:style>
  <w:style w:type="paragraph" w:styleId="9">
    <w:name w:val="toc 3"/>
    <w:basedOn w:val="1"/>
    <w:next w:val="1"/>
    <w:unhideWhenUsed/>
    <w:qFormat/>
    <w:uiPriority w:val="39"/>
    <w:pPr>
      <w:widowControl/>
      <w:adjustRightInd/>
      <w:snapToGrid/>
      <w:spacing w:after="100" w:line="276" w:lineRule="auto"/>
      <w:ind w:left="440"/>
      <w:jc w:val="left"/>
    </w:pPr>
    <w:rPr>
      <w:rFonts w:asciiTheme="minorHAnsi" w:hAnsiTheme="minorHAnsi" w:eastAsiaTheme="minorEastAsia"/>
      <w:kern w:val="0"/>
      <w:sz w:val="22"/>
      <w:szCs w:val="22"/>
    </w:rPr>
  </w:style>
  <w:style w:type="paragraph" w:styleId="10">
    <w:name w:val="Date"/>
    <w:basedOn w:val="1"/>
    <w:next w:val="1"/>
    <w:link w:val="36"/>
    <w:qFormat/>
    <w:uiPriority w:val="0"/>
    <w:pPr>
      <w:ind w:left="100" w:leftChars="2500"/>
    </w:pPr>
    <w:rPr>
      <w:rFonts w:cs="Times New Roman"/>
    </w:rPr>
  </w:style>
  <w:style w:type="paragraph" w:styleId="11">
    <w:name w:val="Body Text Indent 2"/>
    <w:basedOn w:val="1"/>
    <w:link w:val="35"/>
    <w:qFormat/>
    <w:uiPriority w:val="0"/>
    <w:pPr>
      <w:spacing w:after="120" w:line="480" w:lineRule="auto"/>
      <w:ind w:left="420" w:leftChars="200"/>
    </w:pPr>
    <w:rPr>
      <w:rFonts w:cs="Times New Roman"/>
    </w:rPr>
  </w:style>
  <w:style w:type="paragraph" w:styleId="12">
    <w:name w:val="Balloon Text"/>
    <w:basedOn w:val="1"/>
    <w:link w:val="38"/>
    <w:unhideWhenUsed/>
    <w:qFormat/>
    <w:uiPriority w:val="99"/>
    <w:rPr>
      <w:rFonts w:cs="Times New Roman"/>
      <w:sz w:val="18"/>
      <w:szCs w:val="18"/>
    </w:rPr>
  </w:style>
  <w:style w:type="paragraph" w:styleId="13">
    <w:name w:val="footer"/>
    <w:basedOn w:val="1"/>
    <w:link w:val="30"/>
    <w:unhideWhenUsed/>
    <w:qFormat/>
    <w:uiPriority w:val="99"/>
    <w:pPr>
      <w:tabs>
        <w:tab w:val="center" w:pos="4153"/>
        <w:tab w:val="right" w:pos="8306"/>
      </w:tabs>
      <w:jc w:val="left"/>
    </w:pPr>
    <w:rPr>
      <w:rFonts w:cs="Times New Roman"/>
      <w:sz w:val="18"/>
      <w:szCs w:val="18"/>
    </w:rPr>
  </w:style>
  <w:style w:type="paragraph" w:styleId="14">
    <w:name w:val="header"/>
    <w:basedOn w:val="1"/>
    <w:link w:val="29"/>
    <w:unhideWhenUsed/>
    <w:qFormat/>
    <w:uiPriority w:val="99"/>
    <w:pPr>
      <w:pBdr>
        <w:bottom w:val="single" w:color="auto" w:sz="6" w:space="1"/>
      </w:pBdr>
      <w:tabs>
        <w:tab w:val="center" w:pos="4153"/>
        <w:tab w:val="right" w:pos="8306"/>
      </w:tabs>
      <w:jc w:val="center"/>
    </w:pPr>
    <w:rPr>
      <w:rFonts w:cs="Times New Roman"/>
      <w:sz w:val="18"/>
      <w:szCs w:val="18"/>
    </w:rPr>
  </w:style>
  <w:style w:type="paragraph" w:styleId="15">
    <w:name w:val="toc 1"/>
    <w:basedOn w:val="1"/>
    <w:next w:val="1"/>
    <w:unhideWhenUsed/>
    <w:qFormat/>
    <w:uiPriority w:val="39"/>
  </w:style>
  <w:style w:type="paragraph" w:styleId="16">
    <w:name w:val="toc 2"/>
    <w:basedOn w:val="1"/>
    <w:next w:val="1"/>
    <w:unhideWhenUsed/>
    <w:qFormat/>
    <w:uiPriority w:val="39"/>
    <w:pPr>
      <w:ind w:left="420" w:leftChars="200"/>
    </w:pPr>
  </w:style>
  <w:style w:type="paragraph" w:styleId="17">
    <w:name w:val="Body Text 2"/>
    <w:basedOn w:val="1"/>
    <w:link w:val="40"/>
    <w:unhideWhenUsed/>
    <w:qFormat/>
    <w:uiPriority w:val="99"/>
    <w:pPr>
      <w:spacing w:after="120" w:line="480" w:lineRule="auto"/>
    </w:pPr>
  </w:style>
  <w:style w:type="paragraph" w:styleId="18">
    <w:name w:val="HTML Preformatted"/>
    <w:basedOn w:val="1"/>
    <w:link w:val="45"/>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ascii="宋体" w:hAnsi="宋体" w:cs="宋体"/>
      <w:kern w:val="0"/>
      <w:sz w:val="24"/>
    </w:rPr>
  </w:style>
  <w:style w:type="paragraph" w:styleId="19">
    <w:name w:val="Normal (Web)"/>
    <w:basedOn w:val="1"/>
    <w:unhideWhenUsed/>
    <w:qFormat/>
    <w:uiPriority w:val="99"/>
    <w:pPr>
      <w:widowControl/>
      <w:spacing w:before="100" w:beforeAutospacing="1" w:after="100" w:afterAutospacing="1" w:line="330" w:lineRule="atLeast"/>
      <w:jc w:val="left"/>
    </w:pPr>
    <w:rPr>
      <w:rFonts w:ascii="宋体" w:hAnsi="宋体" w:cs="宋体"/>
      <w:kern w:val="0"/>
      <w:sz w:val="22"/>
    </w:rPr>
  </w:style>
  <w:style w:type="character" w:styleId="21">
    <w:name w:val="page number"/>
    <w:basedOn w:val="20"/>
    <w:qFormat/>
    <w:uiPriority w:val="0"/>
  </w:style>
  <w:style w:type="character" w:styleId="22">
    <w:name w:val="Hyperlink"/>
    <w:qFormat/>
    <w:uiPriority w:val="99"/>
    <w:rPr>
      <w:color w:val="0000FF"/>
      <w:u w:val="single"/>
    </w:rPr>
  </w:style>
  <w:style w:type="character" w:styleId="23">
    <w:name w:val="annotation reference"/>
    <w:semiHidden/>
    <w:qFormat/>
    <w:uiPriority w:val="0"/>
    <w:rPr>
      <w:sz w:val="21"/>
    </w:rPr>
  </w:style>
  <w:style w:type="table" w:styleId="25">
    <w:name w:val="Table Grid"/>
    <w:basedOn w:val="24"/>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6">
    <w:name w:val="标题 1 Char"/>
    <w:basedOn w:val="20"/>
    <w:link w:val="2"/>
    <w:qFormat/>
    <w:uiPriority w:val="9"/>
    <w:rPr>
      <w:rFonts w:ascii="Times New Roman" w:hAnsi="Times New Roman" w:eastAsia="宋体"/>
      <w:b/>
      <w:bCs/>
      <w:kern w:val="44"/>
      <w:sz w:val="30"/>
      <w:szCs w:val="24"/>
    </w:rPr>
  </w:style>
  <w:style w:type="character" w:customStyle="1" w:styleId="27">
    <w:name w:val="标题 2 Char"/>
    <w:basedOn w:val="20"/>
    <w:link w:val="3"/>
    <w:qFormat/>
    <w:uiPriority w:val="9"/>
    <w:rPr>
      <w:rFonts w:eastAsia="黑体" w:asciiTheme="majorHAnsi" w:hAnsiTheme="majorHAnsi" w:cstheme="majorBidi"/>
      <w:b/>
      <w:bCs/>
      <w:sz w:val="24"/>
      <w:szCs w:val="32"/>
    </w:rPr>
  </w:style>
  <w:style w:type="paragraph" w:styleId="28">
    <w:name w:val="List Paragraph"/>
    <w:basedOn w:val="1"/>
    <w:qFormat/>
    <w:uiPriority w:val="34"/>
    <w:pPr>
      <w:ind w:firstLine="420" w:firstLineChars="200"/>
    </w:pPr>
    <w:rPr>
      <w:rFonts w:cs="Times New Roman"/>
    </w:rPr>
  </w:style>
  <w:style w:type="character" w:customStyle="1" w:styleId="29">
    <w:name w:val="页眉 Char"/>
    <w:basedOn w:val="20"/>
    <w:link w:val="14"/>
    <w:qFormat/>
    <w:uiPriority w:val="99"/>
    <w:rPr>
      <w:rFonts w:ascii="Times New Roman" w:hAnsi="Times New Roman" w:eastAsia="宋体" w:cs="Times New Roman"/>
      <w:sz w:val="18"/>
      <w:szCs w:val="18"/>
    </w:rPr>
  </w:style>
  <w:style w:type="character" w:customStyle="1" w:styleId="30">
    <w:name w:val="页脚 Char"/>
    <w:basedOn w:val="20"/>
    <w:link w:val="13"/>
    <w:qFormat/>
    <w:uiPriority w:val="99"/>
    <w:rPr>
      <w:rFonts w:ascii="Times New Roman" w:hAnsi="Times New Roman" w:eastAsia="宋体" w:cs="Times New Roman"/>
      <w:sz w:val="18"/>
      <w:szCs w:val="18"/>
    </w:rPr>
  </w:style>
  <w:style w:type="character" w:customStyle="1" w:styleId="31">
    <w:name w:val="正文文本缩进 Char"/>
    <w:basedOn w:val="20"/>
    <w:link w:val="8"/>
    <w:qFormat/>
    <w:uiPriority w:val="0"/>
    <w:rPr>
      <w:rFonts w:ascii="Times New Roman" w:hAnsi="Times New Roman" w:eastAsia="宋体" w:cs="Times New Roman"/>
      <w:szCs w:val="24"/>
    </w:rPr>
  </w:style>
  <w:style w:type="character" w:customStyle="1" w:styleId="32">
    <w:name w:val="结束语 Char"/>
    <w:basedOn w:val="20"/>
    <w:link w:val="6"/>
    <w:qFormat/>
    <w:uiPriority w:val="0"/>
    <w:rPr>
      <w:rFonts w:ascii="Times New Roman" w:hAnsi="Times New Roman" w:eastAsia="楷体_GB2312" w:cs="Times New Roman"/>
      <w:sz w:val="24"/>
      <w:szCs w:val="24"/>
    </w:rPr>
  </w:style>
  <w:style w:type="character" w:customStyle="1" w:styleId="33">
    <w:name w:val="正文文本 Char"/>
    <w:basedOn w:val="20"/>
    <w:link w:val="7"/>
    <w:qFormat/>
    <w:uiPriority w:val="0"/>
    <w:rPr>
      <w:rFonts w:ascii="Times New Roman" w:hAnsi="Times New Roman" w:eastAsia="宋体" w:cs="Times New Roman"/>
      <w:szCs w:val="24"/>
    </w:rPr>
  </w:style>
  <w:style w:type="character" w:customStyle="1" w:styleId="34">
    <w:name w:val="正文文本 3 Char"/>
    <w:basedOn w:val="20"/>
    <w:link w:val="5"/>
    <w:qFormat/>
    <w:uiPriority w:val="0"/>
    <w:rPr>
      <w:rFonts w:ascii="Times New Roman" w:hAnsi="Times New Roman" w:eastAsia="宋体" w:cs="Times New Roman"/>
      <w:sz w:val="16"/>
      <w:szCs w:val="16"/>
    </w:rPr>
  </w:style>
  <w:style w:type="character" w:customStyle="1" w:styleId="35">
    <w:name w:val="正文文本缩进 2 Char"/>
    <w:basedOn w:val="20"/>
    <w:link w:val="11"/>
    <w:qFormat/>
    <w:uiPriority w:val="0"/>
    <w:rPr>
      <w:rFonts w:ascii="Times New Roman" w:hAnsi="Times New Roman" w:eastAsia="宋体" w:cs="Times New Roman"/>
      <w:szCs w:val="24"/>
    </w:rPr>
  </w:style>
  <w:style w:type="character" w:customStyle="1" w:styleId="36">
    <w:name w:val="日期 Char"/>
    <w:basedOn w:val="20"/>
    <w:link w:val="10"/>
    <w:qFormat/>
    <w:uiPriority w:val="99"/>
    <w:rPr>
      <w:rFonts w:ascii="Times New Roman" w:hAnsi="Times New Roman" w:eastAsia="宋体" w:cs="Times New Roman"/>
      <w:szCs w:val="24"/>
    </w:rPr>
  </w:style>
  <w:style w:type="table" w:customStyle="1" w:styleId="37">
    <w:name w:val="浅色列表1"/>
    <w:basedOn w:val="24"/>
    <w:qFormat/>
    <w:uiPriority w:val="61"/>
    <w:rPr>
      <w:rFonts w:ascii="Calibri" w:hAnsi="Calibri" w:eastAsia="宋体" w:cs="Times New Roman"/>
      <w:kern w:val="0"/>
      <w:sz w:val="22"/>
    </w:rPr>
    <w:tblPr>
      <w:tblBorders>
        <w:top w:val="single" w:color="000000" w:sz="8" w:space="0"/>
        <w:left w:val="single" w:color="000000" w:sz="8" w:space="0"/>
        <w:bottom w:val="single" w:color="000000" w:sz="8" w:space="0"/>
        <w:right w:val="single" w:color="000000"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38">
    <w:name w:val="批注框文本 Char"/>
    <w:basedOn w:val="20"/>
    <w:link w:val="12"/>
    <w:semiHidden/>
    <w:qFormat/>
    <w:uiPriority w:val="99"/>
    <w:rPr>
      <w:rFonts w:ascii="Times New Roman" w:hAnsi="Times New Roman" w:eastAsia="宋体" w:cs="Times New Roman"/>
      <w:sz w:val="18"/>
      <w:szCs w:val="18"/>
    </w:rPr>
  </w:style>
  <w:style w:type="character" w:customStyle="1" w:styleId="39">
    <w:name w:val="文档结构图 Char"/>
    <w:basedOn w:val="20"/>
    <w:link w:val="4"/>
    <w:semiHidden/>
    <w:qFormat/>
    <w:uiPriority w:val="99"/>
    <w:rPr>
      <w:rFonts w:ascii="宋体" w:hAnsi="Times New Roman" w:eastAsia="宋体" w:cs="Times New Roman"/>
      <w:sz w:val="18"/>
      <w:szCs w:val="18"/>
    </w:rPr>
  </w:style>
  <w:style w:type="character" w:customStyle="1" w:styleId="40">
    <w:name w:val="正文文本 2 Char"/>
    <w:basedOn w:val="20"/>
    <w:link w:val="17"/>
    <w:qFormat/>
    <w:uiPriority w:val="99"/>
  </w:style>
  <w:style w:type="paragraph" w:customStyle="1" w:styleId="41">
    <w:name w:val="表头"/>
    <w:basedOn w:val="1"/>
    <w:qFormat/>
    <w:uiPriority w:val="0"/>
    <w:pPr>
      <w:jc w:val="center"/>
    </w:pPr>
    <w:rPr>
      <w:rFonts w:cs="Times New Roman"/>
      <w:b/>
    </w:rPr>
  </w:style>
  <w:style w:type="paragraph" w:customStyle="1" w:styleId="42">
    <w:name w:val="表格"/>
    <w:basedOn w:val="41"/>
    <w:qFormat/>
    <w:uiPriority w:val="0"/>
    <w:pPr>
      <w:jc w:val="left"/>
    </w:pPr>
    <w:rPr>
      <w:b w:val="0"/>
    </w:rPr>
  </w:style>
  <w:style w:type="paragraph" w:customStyle="1" w:styleId="43">
    <w:name w:val="表格附录-居中"/>
    <w:basedOn w:val="1"/>
    <w:qFormat/>
    <w:uiPriority w:val="0"/>
    <w:pPr>
      <w:jc w:val="center"/>
    </w:pPr>
  </w:style>
  <w:style w:type="paragraph" w:customStyle="1" w:styleId="44">
    <w:name w:val="TOC Heading"/>
    <w:basedOn w:val="2"/>
    <w:next w:val="1"/>
    <w:unhideWhenUsed/>
    <w:qFormat/>
    <w:uiPriority w:val="39"/>
    <w:pPr>
      <w:widowControl/>
      <w:adjustRightInd/>
      <w:snapToGrid/>
      <w:spacing w:before="480" w:after="0" w:line="276" w:lineRule="auto"/>
      <w:jc w:val="left"/>
      <w:outlineLvl w:val="9"/>
    </w:pPr>
    <w:rPr>
      <w:rFonts w:asciiTheme="majorHAnsi" w:hAnsiTheme="majorHAnsi" w:eastAsiaTheme="majorEastAsia" w:cstheme="majorBidi"/>
      <w:color w:val="2E75B5" w:themeColor="accent1" w:themeShade="BF"/>
      <w:kern w:val="0"/>
      <w:sz w:val="28"/>
      <w:szCs w:val="28"/>
    </w:rPr>
  </w:style>
  <w:style w:type="character" w:customStyle="1" w:styleId="45">
    <w:name w:val="HTML 预设格式 Char"/>
    <w:basedOn w:val="20"/>
    <w:link w:val="18"/>
    <w:uiPriority w:val="99"/>
    <w:rPr>
      <w:rFonts w:ascii="宋体" w:hAnsi="宋体" w:eastAsia="宋体" w:cs="宋体"/>
      <w:kern w:val="0"/>
      <w:sz w:val="24"/>
      <w:szCs w:val="24"/>
    </w:rPr>
  </w:style>
  <w:style w:type="character" w:styleId="46">
    <w:name w:val="Placeholder Text"/>
    <w:basedOn w:val="20"/>
    <w:semiHidden/>
    <w:uiPriority w:val="99"/>
    <w:rPr>
      <w:color w:val="808080"/>
    </w:rPr>
  </w:style>
</w:styles>
</file>

<file path=word/_rels/document.xml.rels><?xml version="1.0" encoding="UTF-8" standalone="yes"?>
<Relationships xmlns="http://schemas.openxmlformats.org/package/2006/relationships"><Relationship Id="rId99" Type="http://schemas.openxmlformats.org/officeDocument/2006/relationships/image" Target="media/image37.emf"/><Relationship Id="rId98" Type="http://schemas.openxmlformats.org/officeDocument/2006/relationships/oleObject" Target="embeddings/oleObject34.bin"/><Relationship Id="rId97" Type="http://schemas.openxmlformats.org/officeDocument/2006/relationships/image" Target="media/image36.emf"/><Relationship Id="rId96" Type="http://schemas.openxmlformats.org/officeDocument/2006/relationships/oleObject" Target="embeddings/oleObject33.bin"/><Relationship Id="rId95" Type="http://schemas.openxmlformats.org/officeDocument/2006/relationships/image" Target="media/image35.emf"/><Relationship Id="rId94" Type="http://schemas.openxmlformats.org/officeDocument/2006/relationships/oleObject" Target="embeddings/oleObject32.bin"/><Relationship Id="rId93" Type="http://schemas.openxmlformats.org/officeDocument/2006/relationships/image" Target="media/image34.emf"/><Relationship Id="rId92" Type="http://schemas.openxmlformats.org/officeDocument/2006/relationships/oleObject" Target="embeddings/oleObject31.bin"/><Relationship Id="rId91" Type="http://schemas.openxmlformats.org/officeDocument/2006/relationships/image" Target="media/image33.emf"/><Relationship Id="rId90" Type="http://schemas.openxmlformats.org/officeDocument/2006/relationships/oleObject" Target="embeddings/oleObject30.bin"/><Relationship Id="rId9" Type="http://schemas.openxmlformats.org/officeDocument/2006/relationships/footer" Target="footer2.xml"/><Relationship Id="rId89" Type="http://schemas.openxmlformats.org/officeDocument/2006/relationships/image" Target="media/image32.emf"/><Relationship Id="rId88" Type="http://schemas.openxmlformats.org/officeDocument/2006/relationships/oleObject" Target="embeddings/oleObject29.bin"/><Relationship Id="rId87" Type="http://schemas.openxmlformats.org/officeDocument/2006/relationships/image" Target="media/image31.emf"/><Relationship Id="rId86" Type="http://schemas.openxmlformats.org/officeDocument/2006/relationships/oleObject" Target="embeddings/oleObject28.bin"/><Relationship Id="rId85" Type="http://schemas.openxmlformats.org/officeDocument/2006/relationships/image" Target="media/image30.emf"/><Relationship Id="rId84" Type="http://schemas.openxmlformats.org/officeDocument/2006/relationships/oleObject" Target="embeddings/oleObject27.bin"/><Relationship Id="rId83" Type="http://schemas.openxmlformats.org/officeDocument/2006/relationships/image" Target="media/image29.emf"/><Relationship Id="rId82" Type="http://schemas.openxmlformats.org/officeDocument/2006/relationships/oleObject" Target="embeddings/oleObject26.bin"/><Relationship Id="rId81" Type="http://schemas.openxmlformats.org/officeDocument/2006/relationships/image" Target="media/image28.emf"/><Relationship Id="rId80" Type="http://schemas.openxmlformats.org/officeDocument/2006/relationships/oleObject" Target="embeddings/oleObject25.bin"/><Relationship Id="rId8" Type="http://schemas.openxmlformats.org/officeDocument/2006/relationships/footer" Target="footer1.xml"/><Relationship Id="rId79" Type="http://schemas.openxmlformats.org/officeDocument/2006/relationships/image" Target="media/image27.emf"/><Relationship Id="rId78" Type="http://schemas.openxmlformats.org/officeDocument/2006/relationships/oleObject" Target="embeddings/oleObject24.bin"/><Relationship Id="rId77" Type="http://schemas.openxmlformats.org/officeDocument/2006/relationships/image" Target="media/image26.emf"/><Relationship Id="rId76" Type="http://schemas.openxmlformats.org/officeDocument/2006/relationships/oleObject" Target="embeddings/oleObject23.bin"/><Relationship Id="rId75" Type="http://schemas.openxmlformats.org/officeDocument/2006/relationships/image" Target="media/image25.emf"/><Relationship Id="rId74" Type="http://schemas.openxmlformats.org/officeDocument/2006/relationships/oleObject" Target="embeddings/oleObject22.bin"/><Relationship Id="rId73" Type="http://schemas.openxmlformats.org/officeDocument/2006/relationships/image" Target="media/image24.emf"/><Relationship Id="rId72" Type="http://schemas.openxmlformats.org/officeDocument/2006/relationships/oleObject" Target="embeddings/oleObject21.bin"/><Relationship Id="rId71" Type="http://schemas.openxmlformats.org/officeDocument/2006/relationships/image" Target="media/image23.emf"/><Relationship Id="rId70" Type="http://schemas.openxmlformats.org/officeDocument/2006/relationships/image" Target="media/image22.emf"/><Relationship Id="rId7" Type="http://schemas.openxmlformats.org/officeDocument/2006/relationships/header" Target="header5.xml"/><Relationship Id="rId69" Type="http://schemas.openxmlformats.org/officeDocument/2006/relationships/image" Target="media/image21.emf"/><Relationship Id="rId68" Type="http://schemas.openxmlformats.org/officeDocument/2006/relationships/oleObject" Target="embeddings/oleObject20.bin"/><Relationship Id="rId67" Type="http://schemas.openxmlformats.org/officeDocument/2006/relationships/image" Target="media/image20.emf"/><Relationship Id="rId66" Type="http://schemas.openxmlformats.org/officeDocument/2006/relationships/oleObject" Target="embeddings/oleObject19.bin"/><Relationship Id="rId65" Type="http://schemas.openxmlformats.org/officeDocument/2006/relationships/image" Target="media/image19.emf"/><Relationship Id="rId64" Type="http://schemas.openxmlformats.org/officeDocument/2006/relationships/oleObject" Target="embeddings/oleObject18.bin"/><Relationship Id="rId63" Type="http://schemas.openxmlformats.org/officeDocument/2006/relationships/image" Target="media/image18.emf"/><Relationship Id="rId62" Type="http://schemas.openxmlformats.org/officeDocument/2006/relationships/oleObject" Target="embeddings/oleObject17.bin"/><Relationship Id="rId61" Type="http://schemas.openxmlformats.org/officeDocument/2006/relationships/image" Target="media/image17.emf"/><Relationship Id="rId60" Type="http://schemas.openxmlformats.org/officeDocument/2006/relationships/oleObject" Target="embeddings/oleObject16.bin"/><Relationship Id="rId6" Type="http://schemas.openxmlformats.org/officeDocument/2006/relationships/header" Target="header4.xml"/><Relationship Id="rId59" Type="http://schemas.openxmlformats.org/officeDocument/2006/relationships/image" Target="media/image16.emf"/><Relationship Id="rId58" Type="http://schemas.openxmlformats.org/officeDocument/2006/relationships/oleObject" Target="embeddings/oleObject15.bin"/><Relationship Id="rId57" Type="http://schemas.openxmlformats.org/officeDocument/2006/relationships/image" Target="media/image15.emf"/><Relationship Id="rId56" Type="http://schemas.openxmlformats.org/officeDocument/2006/relationships/oleObject" Target="embeddings/oleObject14.bin"/><Relationship Id="rId55" Type="http://schemas.openxmlformats.org/officeDocument/2006/relationships/image" Target="media/image14.emf"/><Relationship Id="rId54" Type="http://schemas.openxmlformats.org/officeDocument/2006/relationships/oleObject" Target="embeddings/oleObject13.bin"/><Relationship Id="rId53" Type="http://schemas.openxmlformats.org/officeDocument/2006/relationships/image" Target="media/image13.emf"/><Relationship Id="rId52" Type="http://schemas.openxmlformats.org/officeDocument/2006/relationships/oleObject" Target="embeddings/oleObject12.bin"/><Relationship Id="rId51" Type="http://schemas.openxmlformats.org/officeDocument/2006/relationships/image" Target="media/image12.emf"/><Relationship Id="rId50" Type="http://schemas.openxmlformats.org/officeDocument/2006/relationships/oleObject" Target="embeddings/oleObject11.bin"/><Relationship Id="rId5" Type="http://schemas.openxmlformats.org/officeDocument/2006/relationships/header" Target="header3.xml"/><Relationship Id="rId49" Type="http://schemas.openxmlformats.org/officeDocument/2006/relationships/image" Target="media/image11.emf"/><Relationship Id="rId48" Type="http://schemas.openxmlformats.org/officeDocument/2006/relationships/oleObject" Target="embeddings/oleObject10.bin"/><Relationship Id="rId47" Type="http://schemas.openxmlformats.org/officeDocument/2006/relationships/image" Target="media/image10.emf"/><Relationship Id="rId46" Type="http://schemas.openxmlformats.org/officeDocument/2006/relationships/oleObject" Target="embeddings/oleObject9.bin"/><Relationship Id="rId45" Type="http://schemas.openxmlformats.org/officeDocument/2006/relationships/image" Target="media/image9.emf"/><Relationship Id="rId44" Type="http://schemas.openxmlformats.org/officeDocument/2006/relationships/oleObject" Target="embeddings/oleObject8.bin"/><Relationship Id="rId43" Type="http://schemas.openxmlformats.org/officeDocument/2006/relationships/image" Target="media/image8.emf"/><Relationship Id="rId42" Type="http://schemas.openxmlformats.org/officeDocument/2006/relationships/oleObject" Target="embeddings/oleObject7.bin"/><Relationship Id="rId41" Type="http://schemas.openxmlformats.org/officeDocument/2006/relationships/image" Target="media/image7.emf"/><Relationship Id="rId40" Type="http://schemas.openxmlformats.org/officeDocument/2006/relationships/oleObject" Target="embeddings/oleObject6.bin"/><Relationship Id="rId4" Type="http://schemas.openxmlformats.org/officeDocument/2006/relationships/header" Target="header2.xml"/><Relationship Id="rId39" Type="http://schemas.openxmlformats.org/officeDocument/2006/relationships/image" Target="media/image6.emf"/><Relationship Id="rId38" Type="http://schemas.openxmlformats.org/officeDocument/2006/relationships/oleObject" Target="embeddings/oleObject5.bin"/><Relationship Id="rId37" Type="http://schemas.openxmlformats.org/officeDocument/2006/relationships/image" Target="media/image5.emf"/><Relationship Id="rId36" Type="http://schemas.openxmlformats.org/officeDocument/2006/relationships/oleObject" Target="embeddings/oleObject4.bin"/><Relationship Id="rId35" Type="http://schemas.openxmlformats.org/officeDocument/2006/relationships/image" Target="media/image4.emf"/><Relationship Id="rId34" Type="http://schemas.openxmlformats.org/officeDocument/2006/relationships/oleObject" Target="embeddings/oleObject3.bin"/><Relationship Id="rId33" Type="http://schemas.openxmlformats.org/officeDocument/2006/relationships/image" Target="media/image3.emf"/><Relationship Id="rId32" Type="http://schemas.openxmlformats.org/officeDocument/2006/relationships/oleObject" Target="embeddings/oleObject2.bin"/><Relationship Id="rId31" Type="http://schemas.openxmlformats.org/officeDocument/2006/relationships/image" Target="media/image2.png"/><Relationship Id="rId300" Type="http://schemas.openxmlformats.org/officeDocument/2006/relationships/fontTable" Target="fontTable.xml"/><Relationship Id="rId30" Type="http://schemas.openxmlformats.org/officeDocument/2006/relationships/image" Target="media/image1.wmf"/><Relationship Id="rId3" Type="http://schemas.openxmlformats.org/officeDocument/2006/relationships/header" Target="header1.xml"/><Relationship Id="rId299" Type="http://schemas.openxmlformats.org/officeDocument/2006/relationships/customXml" Target="../customXml/item2.xml"/><Relationship Id="rId298" Type="http://schemas.openxmlformats.org/officeDocument/2006/relationships/customXml" Target="../customXml/item1.xml"/><Relationship Id="rId297" Type="http://schemas.openxmlformats.org/officeDocument/2006/relationships/image" Target="media/image129.jpeg"/><Relationship Id="rId296" Type="http://schemas.openxmlformats.org/officeDocument/2006/relationships/image" Target="media/image128.emf"/><Relationship Id="rId295" Type="http://schemas.openxmlformats.org/officeDocument/2006/relationships/oleObject" Target="embeddings/oleObject140.bin"/><Relationship Id="rId294" Type="http://schemas.openxmlformats.org/officeDocument/2006/relationships/oleObject" Target="embeddings/oleObject139.bin"/><Relationship Id="rId293" Type="http://schemas.openxmlformats.org/officeDocument/2006/relationships/image" Target="media/image127.png"/><Relationship Id="rId292" Type="http://schemas.openxmlformats.org/officeDocument/2006/relationships/image" Target="media/image126.png"/><Relationship Id="rId291" Type="http://schemas.openxmlformats.org/officeDocument/2006/relationships/image" Target="media/image125.png"/><Relationship Id="rId290" Type="http://schemas.openxmlformats.org/officeDocument/2006/relationships/image" Target="media/image124.png"/><Relationship Id="rId29" Type="http://schemas.openxmlformats.org/officeDocument/2006/relationships/oleObject" Target="embeddings/oleObject1.bin"/><Relationship Id="rId289" Type="http://schemas.openxmlformats.org/officeDocument/2006/relationships/image" Target="media/image123.png"/><Relationship Id="rId288" Type="http://schemas.openxmlformats.org/officeDocument/2006/relationships/image" Target="media/image122.png"/><Relationship Id="rId287" Type="http://schemas.openxmlformats.org/officeDocument/2006/relationships/image" Target="media/image121.png"/><Relationship Id="rId286" Type="http://schemas.openxmlformats.org/officeDocument/2006/relationships/image" Target="media/image120.png"/><Relationship Id="rId285" Type="http://schemas.openxmlformats.org/officeDocument/2006/relationships/oleObject" Target="embeddings/oleObject138.bin"/><Relationship Id="rId284" Type="http://schemas.openxmlformats.org/officeDocument/2006/relationships/oleObject" Target="embeddings/oleObject137.bin"/><Relationship Id="rId283" Type="http://schemas.openxmlformats.org/officeDocument/2006/relationships/oleObject" Target="embeddings/oleObject136.bin"/><Relationship Id="rId282" Type="http://schemas.openxmlformats.org/officeDocument/2006/relationships/image" Target="media/image119.png"/><Relationship Id="rId281" Type="http://schemas.openxmlformats.org/officeDocument/2006/relationships/oleObject" Target="embeddings/oleObject135.bin"/><Relationship Id="rId280" Type="http://schemas.openxmlformats.org/officeDocument/2006/relationships/image" Target="media/image118.wmf"/><Relationship Id="rId28" Type="http://schemas.openxmlformats.org/officeDocument/2006/relationships/theme" Target="theme/theme1.xml"/><Relationship Id="rId279" Type="http://schemas.openxmlformats.org/officeDocument/2006/relationships/oleObject" Target="embeddings/oleObject134.bin"/><Relationship Id="rId278" Type="http://schemas.openxmlformats.org/officeDocument/2006/relationships/image" Target="media/image117.wmf"/><Relationship Id="rId277" Type="http://schemas.openxmlformats.org/officeDocument/2006/relationships/oleObject" Target="embeddings/oleObject133.bin"/><Relationship Id="rId276" Type="http://schemas.openxmlformats.org/officeDocument/2006/relationships/image" Target="media/image116.wmf"/><Relationship Id="rId275" Type="http://schemas.openxmlformats.org/officeDocument/2006/relationships/oleObject" Target="embeddings/oleObject132.bin"/><Relationship Id="rId274" Type="http://schemas.openxmlformats.org/officeDocument/2006/relationships/oleObject" Target="embeddings/oleObject131.bin"/><Relationship Id="rId273" Type="http://schemas.openxmlformats.org/officeDocument/2006/relationships/oleObject" Target="embeddings/oleObject130.bin"/><Relationship Id="rId272" Type="http://schemas.openxmlformats.org/officeDocument/2006/relationships/oleObject" Target="embeddings/oleObject129.bin"/><Relationship Id="rId271" Type="http://schemas.openxmlformats.org/officeDocument/2006/relationships/oleObject" Target="embeddings/oleObject128.bin"/><Relationship Id="rId270" Type="http://schemas.openxmlformats.org/officeDocument/2006/relationships/oleObject" Target="embeddings/oleObject127.bin"/><Relationship Id="rId27" Type="http://schemas.openxmlformats.org/officeDocument/2006/relationships/footer" Target="footer12.xml"/><Relationship Id="rId269" Type="http://schemas.openxmlformats.org/officeDocument/2006/relationships/oleObject" Target="embeddings/oleObject126.bin"/><Relationship Id="rId268" Type="http://schemas.openxmlformats.org/officeDocument/2006/relationships/oleObject" Target="embeddings/oleObject125.bin"/><Relationship Id="rId267" Type="http://schemas.openxmlformats.org/officeDocument/2006/relationships/oleObject" Target="embeddings/oleObject124.bin"/><Relationship Id="rId266" Type="http://schemas.openxmlformats.org/officeDocument/2006/relationships/oleObject" Target="embeddings/oleObject123.bin"/><Relationship Id="rId265" Type="http://schemas.openxmlformats.org/officeDocument/2006/relationships/oleObject" Target="embeddings/oleObject122.bin"/><Relationship Id="rId264" Type="http://schemas.openxmlformats.org/officeDocument/2006/relationships/oleObject" Target="embeddings/oleObject121.bin"/><Relationship Id="rId263" Type="http://schemas.openxmlformats.org/officeDocument/2006/relationships/oleObject" Target="embeddings/oleObject120.bin"/><Relationship Id="rId262" Type="http://schemas.openxmlformats.org/officeDocument/2006/relationships/oleObject" Target="embeddings/oleObject119.bin"/><Relationship Id="rId261" Type="http://schemas.openxmlformats.org/officeDocument/2006/relationships/oleObject" Target="embeddings/oleObject118.bin"/><Relationship Id="rId260" Type="http://schemas.openxmlformats.org/officeDocument/2006/relationships/image" Target="media/image115.wmf"/><Relationship Id="rId26" Type="http://schemas.openxmlformats.org/officeDocument/2006/relationships/footer" Target="footer11.xml"/><Relationship Id="rId259" Type="http://schemas.openxmlformats.org/officeDocument/2006/relationships/oleObject" Target="embeddings/oleObject117.bin"/><Relationship Id="rId258" Type="http://schemas.openxmlformats.org/officeDocument/2006/relationships/image" Target="media/image114.wmf"/><Relationship Id="rId257" Type="http://schemas.openxmlformats.org/officeDocument/2006/relationships/oleObject" Target="embeddings/oleObject116.bin"/><Relationship Id="rId256" Type="http://schemas.openxmlformats.org/officeDocument/2006/relationships/image" Target="media/image113.wmf"/><Relationship Id="rId255" Type="http://schemas.openxmlformats.org/officeDocument/2006/relationships/oleObject" Target="embeddings/oleObject115.bin"/><Relationship Id="rId254" Type="http://schemas.openxmlformats.org/officeDocument/2006/relationships/image" Target="media/image112.wmf"/><Relationship Id="rId253" Type="http://schemas.openxmlformats.org/officeDocument/2006/relationships/oleObject" Target="embeddings/oleObject114.bin"/><Relationship Id="rId252" Type="http://schemas.openxmlformats.org/officeDocument/2006/relationships/image" Target="media/image111.wmf"/><Relationship Id="rId251" Type="http://schemas.openxmlformats.org/officeDocument/2006/relationships/oleObject" Target="embeddings/oleObject113.bin"/><Relationship Id="rId250" Type="http://schemas.openxmlformats.org/officeDocument/2006/relationships/image" Target="media/image110.wmf"/><Relationship Id="rId25" Type="http://schemas.openxmlformats.org/officeDocument/2006/relationships/header" Target="header13.xml"/><Relationship Id="rId249" Type="http://schemas.openxmlformats.org/officeDocument/2006/relationships/oleObject" Target="embeddings/oleObject112.bin"/><Relationship Id="rId248" Type="http://schemas.openxmlformats.org/officeDocument/2006/relationships/image" Target="media/image109.wmf"/><Relationship Id="rId247" Type="http://schemas.openxmlformats.org/officeDocument/2006/relationships/oleObject" Target="embeddings/oleObject111.bin"/><Relationship Id="rId246" Type="http://schemas.openxmlformats.org/officeDocument/2006/relationships/image" Target="media/image108.wmf"/><Relationship Id="rId245" Type="http://schemas.openxmlformats.org/officeDocument/2006/relationships/oleObject" Target="embeddings/oleObject110.bin"/><Relationship Id="rId244" Type="http://schemas.openxmlformats.org/officeDocument/2006/relationships/image" Target="media/image107.wmf"/><Relationship Id="rId243" Type="http://schemas.openxmlformats.org/officeDocument/2006/relationships/oleObject" Target="embeddings/oleObject109.bin"/><Relationship Id="rId242" Type="http://schemas.openxmlformats.org/officeDocument/2006/relationships/image" Target="media/image106.wmf"/><Relationship Id="rId241" Type="http://schemas.openxmlformats.org/officeDocument/2006/relationships/oleObject" Target="embeddings/oleObject108.bin"/><Relationship Id="rId240" Type="http://schemas.openxmlformats.org/officeDocument/2006/relationships/image" Target="media/image105.wmf"/><Relationship Id="rId24" Type="http://schemas.openxmlformats.org/officeDocument/2006/relationships/footer" Target="footer10.xml"/><Relationship Id="rId239" Type="http://schemas.openxmlformats.org/officeDocument/2006/relationships/oleObject" Target="embeddings/oleObject107.bin"/><Relationship Id="rId238" Type="http://schemas.openxmlformats.org/officeDocument/2006/relationships/image" Target="media/image104.wmf"/><Relationship Id="rId237" Type="http://schemas.openxmlformats.org/officeDocument/2006/relationships/oleObject" Target="embeddings/oleObject106.bin"/><Relationship Id="rId236" Type="http://schemas.openxmlformats.org/officeDocument/2006/relationships/image" Target="media/image103.wmf"/><Relationship Id="rId235" Type="http://schemas.openxmlformats.org/officeDocument/2006/relationships/oleObject" Target="embeddings/oleObject105.bin"/><Relationship Id="rId234" Type="http://schemas.openxmlformats.org/officeDocument/2006/relationships/image" Target="media/image102.wmf"/><Relationship Id="rId233" Type="http://schemas.openxmlformats.org/officeDocument/2006/relationships/oleObject" Target="embeddings/oleObject104.bin"/><Relationship Id="rId232" Type="http://schemas.openxmlformats.org/officeDocument/2006/relationships/image" Target="media/image101.wmf"/><Relationship Id="rId231" Type="http://schemas.openxmlformats.org/officeDocument/2006/relationships/oleObject" Target="embeddings/oleObject103.bin"/><Relationship Id="rId230" Type="http://schemas.openxmlformats.org/officeDocument/2006/relationships/image" Target="media/image100.wmf"/><Relationship Id="rId23" Type="http://schemas.openxmlformats.org/officeDocument/2006/relationships/footer" Target="footer9.xml"/><Relationship Id="rId229" Type="http://schemas.openxmlformats.org/officeDocument/2006/relationships/oleObject" Target="embeddings/oleObject102.bin"/><Relationship Id="rId228" Type="http://schemas.openxmlformats.org/officeDocument/2006/relationships/image" Target="media/image99.wmf"/><Relationship Id="rId227" Type="http://schemas.openxmlformats.org/officeDocument/2006/relationships/oleObject" Target="embeddings/oleObject101.bin"/><Relationship Id="rId226" Type="http://schemas.openxmlformats.org/officeDocument/2006/relationships/image" Target="media/image98.wmf"/><Relationship Id="rId225" Type="http://schemas.openxmlformats.org/officeDocument/2006/relationships/oleObject" Target="embeddings/oleObject100.bin"/><Relationship Id="rId224" Type="http://schemas.openxmlformats.org/officeDocument/2006/relationships/image" Target="media/image97.wmf"/><Relationship Id="rId223" Type="http://schemas.openxmlformats.org/officeDocument/2006/relationships/oleObject" Target="embeddings/oleObject99.bin"/><Relationship Id="rId222" Type="http://schemas.openxmlformats.org/officeDocument/2006/relationships/image" Target="media/image96.wmf"/><Relationship Id="rId221" Type="http://schemas.openxmlformats.org/officeDocument/2006/relationships/oleObject" Target="embeddings/oleObject98.bin"/><Relationship Id="rId220" Type="http://schemas.openxmlformats.org/officeDocument/2006/relationships/image" Target="media/image95.wmf"/><Relationship Id="rId22" Type="http://schemas.openxmlformats.org/officeDocument/2006/relationships/header" Target="header12.xml"/><Relationship Id="rId219" Type="http://schemas.openxmlformats.org/officeDocument/2006/relationships/oleObject" Target="embeddings/oleObject97.bin"/><Relationship Id="rId218" Type="http://schemas.openxmlformats.org/officeDocument/2006/relationships/image" Target="media/image94.wmf"/><Relationship Id="rId217" Type="http://schemas.openxmlformats.org/officeDocument/2006/relationships/oleObject" Target="embeddings/oleObject96.bin"/><Relationship Id="rId216" Type="http://schemas.openxmlformats.org/officeDocument/2006/relationships/image" Target="media/image93.wmf"/><Relationship Id="rId215" Type="http://schemas.openxmlformats.org/officeDocument/2006/relationships/oleObject" Target="embeddings/oleObject95.bin"/><Relationship Id="rId214" Type="http://schemas.openxmlformats.org/officeDocument/2006/relationships/image" Target="media/image92.wmf"/><Relationship Id="rId213" Type="http://schemas.openxmlformats.org/officeDocument/2006/relationships/oleObject" Target="embeddings/oleObject94.bin"/><Relationship Id="rId212" Type="http://schemas.openxmlformats.org/officeDocument/2006/relationships/image" Target="media/image91.wmf"/><Relationship Id="rId211" Type="http://schemas.openxmlformats.org/officeDocument/2006/relationships/oleObject" Target="embeddings/oleObject93.bin"/><Relationship Id="rId210" Type="http://schemas.openxmlformats.org/officeDocument/2006/relationships/image" Target="media/image90.wmf"/><Relationship Id="rId21" Type="http://schemas.openxmlformats.org/officeDocument/2006/relationships/footer" Target="footer8.xml"/><Relationship Id="rId209" Type="http://schemas.openxmlformats.org/officeDocument/2006/relationships/oleObject" Target="embeddings/oleObject92.bin"/><Relationship Id="rId208" Type="http://schemas.openxmlformats.org/officeDocument/2006/relationships/image" Target="media/image89.wmf"/><Relationship Id="rId207" Type="http://schemas.openxmlformats.org/officeDocument/2006/relationships/oleObject" Target="embeddings/oleObject91.bin"/><Relationship Id="rId206" Type="http://schemas.openxmlformats.org/officeDocument/2006/relationships/image" Target="media/image88.wmf"/><Relationship Id="rId205" Type="http://schemas.openxmlformats.org/officeDocument/2006/relationships/oleObject" Target="embeddings/oleObject90.bin"/><Relationship Id="rId204" Type="http://schemas.openxmlformats.org/officeDocument/2006/relationships/image" Target="media/image87.wmf"/><Relationship Id="rId203" Type="http://schemas.openxmlformats.org/officeDocument/2006/relationships/oleObject" Target="embeddings/oleObject89.bin"/><Relationship Id="rId202" Type="http://schemas.openxmlformats.org/officeDocument/2006/relationships/image" Target="media/image86.wmf"/><Relationship Id="rId201" Type="http://schemas.openxmlformats.org/officeDocument/2006/relationships/oleObject" Target="embeddings/oleObject88.bin"/><Relationship Id="rId200" Type="http://schemas.openxmlformats.org/officeDocument/2006/relationships/image" Target="media/image85.wmf"/><Relationship Id="rId20" Type="http://schemas.openxmlformats.org/officeDocument/2006/relationships/footer" Target="footer7.xml"/><Relationship Id="rId2" Type="http://schemas.openxmlformats.org/officeDocument/2006/relationships/settings" Target="settings.xml"/><Relationship Id="rId199" Type="http://schemas.openxmlformats.org/officeDocument/2006/relationships/oleObject" Target="embeddings/oleObject87.bin"/><Relationship Id="rId198" Type="http://schemas.openxmlformats.org/officeDocument/2006/relationships/image" Target="media/image84.wmf"/><Relationship Id="rId197" Type="http://schemas.openxmlformats.org/officeDocument/2006/relationships/oleObject" Target="embeddings/oleObject86.bin"/><Relationship Id="rId196" Type="http://schemas.openxmlformats.org/officeDocument/2006/relationships/image" Target="media/image83.wmf"/><Relationship Id="rId195" Type="http://schemas.openxmlformats.org/officeDocument/2006/relationships/oleObject" Target="embeddings/oleObject85.bin"/><Relationship Id="rId194" Type="http://schemas.openxmlformats.org/officeDocument/2006/relationships/image" Target="media/image82.wmf"/><Relationship Id="rId193" Type="http://schemas.openxmlformats.org/officeDocument/2006/relationships/oleObject" Target="embeddings/oleObject84.bin"/><Relationship Id="rId192" Type="http://schemas.openxmlformats.org/officeDocument/2006/relationships/image" Target="media/image81.wmf"/><Relationship Id="rId191" Type="http://schemas.openxmlformats.org/officeDocument/2006/relationships/oleObject" Target="embeddings/oleObject83.bin"/><Relationship Id="rId190" Type="http://schemas.openxmlformats.org/officeDocument/2006/relationships/image" Target="media/image80.wmf"/><Relationship Id="rId19" Type="http://schemas.openxmlformats.org/officeDocument/2006/relationships/footer" Target="footer6.xml"/><Relationship Id="rId189" Type="http://schemas.openxmlformats.org/officeDocument/2006/relationships/oleObject" Target="embeddings/oleObject82.bin"/><Relationship Id="rId188" Type="http://schemas.openxmlformats.org/officeDocument/2006/relationships/image" Target="media/image79.wmf"/><Relationship Id="rId187" Type="http://schemas.openxmlformats.org/officeDocument/2006/relationships/oleObject" Target="embeddings/oleObject81.bin"/><Relationship Id="rId186" Type="http://schemas.openxmlformats.org/officeDocument/2006/relationships/image" Target="media/image78.wmf"/><Relationship Id="rId185" Type="http://schemas.openxmlformats.org/officeDocument/2006/relationships/oleObject" Target="embeddings/oleObject80.bin"/><Relationship Id="rId184" Type="http://schemas.openxmlformats.org/officeDocument/2006/relationships/image" Target="media/image77.wmf"/><Relationship Id="rId183" Type="http://schemas.openxmlformats.org/officeDocument/2006/relationships/oleObject" Target="embeddings/oleObject79.bin"/><Relationship Id="rId182" Type="http://schemas.openxmlformats.org/officeDocument/2006/relationships/image" Target="media/image76.wmf"/><Relationship Id="rId181" Type="http://schemas.openxmlformats.org/officeDocument/2006/relationships/oleObject" Target="embeddings/oleObject78.bin"/><Relationship Id="rId180" Type="http://schemas.openxmlformats.org/officeDocument/2006/relationships/image" Target="media/image75.wmf"/><Relationship Id="rId18" Type="http://schemas.openxmlformats.org/officeDocument/2006/relationships/header" Target="header11.xml"/><Relationship Id="rId179" Type="http://schemas.openxmlformats.org/officeDocument/2006/relationships/oleObject" Target="embeddings/oleObject77.bin"/><Relationship Id="rId178" Type="http://schemas.openxmlformats.org/officeDocument/2006/relationships/image" Target="media/image74.wmf"/><Relationship Id="rId177" Type="http://schemas.openxmlformats.org/officeDocument/2006/relationships/oleObject" Target="embeddings/oleObject76.bin"/><Relationship Id="rId176" Type="http://schemas.openxmlformats.org/officeDocument/2006/relationships/image" Target="media/image73.wmf"/><Relationship Id="rId175" Type="http://schemas.openxmlformats.org/officeDocument/2006/relationships/oleObject" Target="embeddings/oleObject75.bin"/><Relationship Id="rId174" Type="http://schemas.openxmlformats.org/officeDocument/2006/relationships/image" Target="media/image72.wmf"/><Relationship Id="rId173" Type="http://schemas.openxmlformats.org/officeDocument/2006/relationships/oleObject" Target="embeddings/oleObject74.bin"/><Relationship Id="rId172" Type="http://schemas.openxmlformats.org/officeDocument/2006/relationships/image" Target="media/image71.wmf"/><Relationship Id="rId171" Type="http://schemas.openxmlformats.org/officeDocument/2006/relationships/oleObject" Target="embeddings/oleObject73.bin"/><Relationship Id="rId170" Type="http://schemas.openxmlformats.org/officeDocument/2006/relationships/image" Target="media/image70.wmf"/><Relationship Id="rId17" Type="http://schemas.openxmlformats.org/officeDocument/2006/relationships/header" Target="header10.xml"/><Relationship Id="rId169" Type="http://schemas.openxmlformats.org/officeDocument/2006/relationships/oleObject" Target="embeddings/oleObject72.bin"/><Relationship Id="rId168" Type="http://schemas.openxmlformats.org/officeDocument/2006/relationships/image" Target="media/image69.wmf"/><Relationship Id="rId167" Type="http://schemas.openxmlformats.org/officeDocument/2006/relationships/oleObject" Target="embeddings/oleObject71.bin"/><Relationship Id="rId166" Type="http://schemas.openxmlformats.org/officeDocument/2006/relationships/image" Target="media/image68.wmf"/><Relationship Id="rId165" Type="http://schemas.openxmlformats.org/officeDocument/2006/relationships/oleObject" Target="embeddings/oleObject70.bin"/><Relationship Id="rId164" Type="http://schemas.openxmlformats.org/officeDocument/2006/relationships/oleObject" Target="embeddings/oleObject69.bin"/><Relationship Id="rId163" Type="http://schemas.openxmlformats.org/officeDocument/2006/relationships/image" Target="media/image67.wmf"/><Relationship Id="rId162" Type="http://schemas.openxmlformats.org/officeDocument/2006/relationships/oleObject" Target="embeddings/oleObject68.bin"/><Relationship Id="rId161" Type="http://schemas.openxmlformats.org/officeDocument/2006/relationships/oleObject" Target="embeddings/oleObject67.bin"/><Relationship Id="rId160" Type="http://schemas.openxmlformats.org/officeDocument/2006/relationships/oleObject" Target="embeddings/oleObject66.bin"/><Relationship Id="rId16" Type="http://schemas.openxmlformats.org/officeDocument/2006/relationships/header" Target="header9.xml"/><Relationship Id="rId159" Type="http://schemas.openxmlformats.org/officeDocument/2006/relationships/image" Target="media/image66.wmf"/><Relationship Id="rId158" Type="http://schemas.openxmlformats.org/officeDocument/2006/relationships/oleObject" Target="embeddings/oleObject65.bin"/><Relationship Id="rId157" Type="http://schemas.openxmlformats.org/officeDocument/2006/relationships/oleObject" Target="embeddings/oleObject64.bin"/><Relationship Id="rId156" Type="http://schemas.openxmlformats.org/officeDocument/2006/relationships/image" Target="media/image65.wmf"/><Relationship Id="rId155" Type="http://schemas.openxmlformats.org/officeDocument/2006/relationships/oleObject" Target="embeddings/oleObject63.bin"/><Relationship Id="rId154" Type="http://schemas.openxmlformats.org/officeDocument/2006/relationships/image" Target="media/image64.wmf"/><Relationship Id="rId153" Type="http://schemas.openxmlformats.org/officeDocument/2006/relationships/oleObject" Target="embeddings/oleObject62.bin"/><Relationship Id="rId152" Type="http://schemas.openxmlformats.org/officeDocument/2006/relationships/oleObject" Target="embeddings/oleObject61.bin"/><Relationship Id="rId151" Type="http://schemas.openxmlformats.org/officeDocument/2006/relationships/image" Target="media/image63.wmf"/><Relationship Id="rId150" Type="http://schemas.openxmlformats.org/officeDocument/2006/relationships/oleObject" Target="embeddings/oleObject60.bin"/><Relationship Id="rId15" Type="http://schemas.openxmlformats.org/officeDocument/2006/relationships/header" Target="header8.xml"/><Relationship Id="rId149" Type="http://schemas.openxmlformats.org/officeDocument/2006/relationships/image" Target="media/image62.wmf"/><Relationship Id="rId148" Type="http://schemas.openxmlformats.org/officeDocument/2006/relationships/oleObject" Target="embeddings/oleObject59.bin"/><Relationship Id="rId147" Type="http://schemas.openxmlformats.org/officeDocument/2006/relationships/image" Target="media/image61.wmf"/><Relationship Id="rId146" Type="http://schemas.openxmlformats.org/officeDocument/2006/relationships/oleObject" Target="embeddings/oleObject58.bin"/><Relationship Id="rId145" Type="http://schemas.openxmlformats.org/officeDocument/2006/relationships/image" Target="media/image60.wmf"/><Relationship Id="rId144" Type="http://schemas.openxmlformats.org/officeDocument/2006/relationships/oleObject" Target="embeddings/oleObject57.bin"/><Relationship Id="rId143" Type="http://schemas.openxmlformats.org/officeDocument/2006/relationships/image" Target="media/image59.wmf"/><Relationship Id="rId142" Type="http://schemas.openxmlformats.org/officeDocument/2006/relationships/oleObject" Target="embeddings/oleObject56.bin"/><Relationship Id="rId141" Type="http://schemas.openxmlformats.org/officeDocument/2006/relationships/image" Target="media/image58.emf"/><Relationship Id="rId140" Type="http://schemas.openxmlformats.org/officeDocument/2006/relationships/oleObject" Target="embeddings/oleObject55.bin"/><Relationship Id="rId14" Type="http://schemas.openxmlformats.org/officeDocument/2006/relationships/header" Target="header7.xml"/><Relationship Id="rId139" Type="http://schemas.openxmlformats.org/officeDocument/2006/relationships/image" Target="media/image57.emf"/><Relationship Id="rId138" Type="http://schemas.openxmlformats.org/officeDocument/2006/relationships/oleObject" Target="embeddings/oleObject54.bin"/><Relationship Id="rId137" Type="http://schemas.openxmlformats.org/officeDocument/2006/relationships/image" Target="media/image56.emf"/><Relationship Id="rId136" Type="http://schemas.openxmlformats.org/officeDocument/2006/relationships/oleObject" Target="embeddings/oleObject53.bin"/><Relationship Id="rId135" Type="http://schemas.openxmlformats.org/officeDocument/2006/relationships/image" Target="media/image55.emf"/><Relationship Id="rId134" Type="http://schemas.openxmlformats.org/officeDocument/2006/relationships/oleObject" Target="embeddings/oleObject52.bin"/><Relationship Id="rId133" Type="http://schemas.openxmlformats.org/officeDocument/2006/relationships/image" Target="media/image54.emf"/><Relationship Id="rId132" Type="http://schemas.openxmlformats.org/officeDocument/2006/relationships/oleObject" Target="embeddings/oleObject51.bin"/><Relationship Id="rId131" Type="http://schemas.openxmlformats.org/officeDocument/2006/relationships/image" Target="media/image53.emf"/><Relationship Id="rId130" Type="http://schemas.openxmlformats.org/officeDocument/2006/relationships/oleObject" Target="embeddings/oleObject50.bin"/><Relationship Id="rId13" Type="http://schemas.openxmlformats.org/officeDocument/2006/relationships/footer" Target="footer5.xml"/><Relationship Id="rId129" Type="http://schemas.openxmlformats.org/officeDocument/2006/relationships/image" Target="media/image52.emf"/><Relationship Id="rId128" Type="http://schemas.openxmlformats.org/officeDocument/2006/relationships/oleObject" Target="embeddings/oleObject49.bin"/><Relationship Id="rId127" Type="http://schemas.openxmlformats.org/officeDocument/2006/relationships/image" Target="media/image51.emf"/><Relationship Id="rId126" Type="http://schemas.openxmlformats.org/officeDocument/2006/relationships/oleObject" Target="embeddings/oleObject48.bin"/><Relationship Id="rId125" Type="http://schemas.openxmlformats.org/officeDocument/2006/relationships/image" Target="media/image50.emf"/><Relationship Id="rId124" Type="http://schemas.openxmlformats.org/officeDocument/2006/relationships/oleObject" Target="embeddings/oleObject47.bin"/><Relationship Id="rId123" Type="http://schemas.openxmlformats.org/officeDocument/2006/relationships/image" Target="media/image49.emf"/><Relationship Id="rId122" Type="http://schemas.openxmlformats.org/officeDocument/2006/relationships/oleObject" Target="embeddings/oleObject46.bin"/><Relationship Id="rId121" Type="http://schemas.openxmlformats.org/officeDocument/2006/relationships/image" Target="media/image48.emf"/><Relationship Id="rId120" Type="http://schemas.openxmlformats.org/officeDocument/2006/relationships/oleObject" Target="embeddings/oleObject45.bin"/><Relationship Id="rId12" Type="http://schemas.openxmlformats.org/officeDocument/2006/relationships/footer" Target="footer4.xml"/><Relationship Id="rId119" Type="http://schemas.openxmlformats.org/officeDocument/2006/relationships/image" Target="media/image47.emf"/><Relationship Id="rId118" Type="http://schemas.openxmlformats.org/officeDocument/2006/relationships/oleObject" Target="embeddings/oleObject44.bin"/><Relationship Id="rId117" Type="http://schemas.openxmlformats.org/officeDocument/2006/relationships/image" Target="media/image46.emf"/><Relationship Id="rId116" Type="http://schemas.openxmlformats.org/officeDocument/2006/relationships/oleObject" Target="embeddings/oleObject43.bin"/><Relationship Id="rId115" Type="http://schemas.openxmlformats.org/officeDocument/2006/relationships/image" Target="media/image45.emf"/><Relationship Id="rId114" Type="http://schemas.openxmlformats.org/officeDocument/2006/relationships/oleObject" Target="embeddings/oleObject42.bin"/><Relationship Id="rId113" Type="http://schemas.openxmlformats.org/officeDocument/2006/relationships/image" Target="media/image44.emf"/><Relationship Id="rId112" Type="http://schemas.openxmlformats.org/officeDocument/2006/relationships/oleObject" Target="embeddings/oleObject41.bin"/><Relationship Id="rId111" Type="http://schemas.openxmlformats.org/officeDocument/2006/relationships/image" Target="media/image43.emf"/><Relationship Id="rId110" Type="http://schemas.openxmlformats.org/officeDocument/2006/relationships/oleObject" Target="embeddings/oleObject40.bin"/><Relationship Id="rId11" Type="http://schemas.openxmlformats.org/officeDocument/2006/relationships/header" Target="header6.xml"/><Relationship Id="rId109" Type="http://schemas.openxmlformats.org/officeDocument/2006/relationships/image" Target="media/image42.emf"/><Relationship Id="rId108" Type="http://schemas.openxmlformats.org/officeDocument/2006/relationships/oleObject" Target="embeddings/oleObject39.bin"/><Relationship Id="rId107" Type="http://schemas.openxmlformats.org/officeDocument/2006/relationships/image" Target="media/image41.emf"/><Relationship Id="rId106" Type="http://schemas.openxmlformats.org/officeDocument/2006/relationships/oleObject" Target="embeddings/oleObject38.bin"/><Relationship Id="rId105" Type="http://schemas.openxmlformats.org/officeDocument/2006/relationships/image" Target="media/image40.emf"/><Relationship Id="rId104" Type="http://schemas.openxmlformats.org/officeDocument/2006/relationships/oleObject" Target="embeddings/oleObject37.bin"/><Relationship Id="rId103" Type="http://schemas.openxmlformats.org/officeDocument/2006/relationships/image" Target="media/image39.emf"/><Relationship Id="rId102" Type="http://schemas.openxmlformats.org/officeDocument/2006/relationships/oleObject" Target="embeddings/oleObject36.bin"/><Relationship Id="rId101" Type="http://schemas.openxmlformats.org/officeDocument/2006/relationships/image" Target="media/image38.emf"/><Relationship Id="rId100" Type="http://schemas.openxmlformats.org/officeDocument/2006/relationships/oleObject" Target="embeddings/oleObject35.bin"/><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91B0E4-E184-4906-B458-157521476D0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7890</Words>
  <Characters>44978</Characters>
  <Lines>374</Lines>
  <Paragraphs>105</Paragraphs>
  <TotalTime>0</TotalTime>
  <ScaleCrop>false</ScaleCrop>
  <LinksUpToDate>false</LinksUpToDate>
  <CharactersWithSpaces>52763</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2018-04-25T06:11:00Z</dcterms:created>
  <dc:creator>Administrator</dc:creator>
  <cp:lastModifiedBy>Administrator</cp:lastModifiedBy>
  <cp:lastPrinted>2018-01-30T06:14:00Z</cp:lastPrinted>
  <dcterms:modified xsi:type="dcterms:W3CDTF">2018-05-21T06:56:58Z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