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1702F5" w:rsidRPr="001702F5">
        <w:rPr>
          <w:rFonts w:ascii="宋体" w:hAnsi="宋体" w:hint="eastAsia"/>
          <w:b/>
          <w:sz w:val="28"/>
          <w:szCs w:val="32"/>
        </w:rPr>
        <w:t>恒温恒湿实验室工程技术规程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BC" w:rsidRDefault="003057BC" w:rsidP="00C57846">
      <w:r>
        <w:separator/>
      </w:r>
    </w:p>
  </w:endnote>
  <w:endnote w:type="continuationSeparator" w:id="0">
    <w:p w:rsidR="003057BC" w:rsidRDefault="003057BC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BC" w:rsidRDefault="003057BC" w:rsidP="00C57846">
      <w:r>
        <w:separator/>
      </w:r>
    </w:p>
  </w:footnote>
  <w:footnote w:type="continuationSeparator" w:id="0">
    <w:p w:rsidR="003057BC" w:rsidRDefault="003057BC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2F5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E77F2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 艺荣</cp:lastModifiedBy>
  <cp:revision>6</cp:revision>
  <dcterms:created xsi:type="dcterms:W3CDTF">2018-04-12T05:43:00Z</dcterms:created>
  <dcterms:modified xsi:type="dcterms:W3CDTF">2018-11-29T07:23:00Z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