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p>
    <w:p>
      <w:pPr>
        <w:jc w:val="center"/>
        <w:rPr>
          <w:rFonts w:eastAsiaTheme="minorEastAsia"/>
          <w:b/>
          <w:sz w:val="36"/>
          <w:szCs w:val="36"/>
        </w:rPr>
      </w:pPr>
      <w:r>
        <w:rPr>
          <w:rFonts w:eastAsiaTheme="minorEastAsia"/>
          <w:szCs w:val="22"/>
        </w:rPr>
        <w:drawing>
          <wp:inline distT="0" distB="0" distL="0" distR="0">
            <wp:extent cx="892175" cy="549910"/>
            <wp:effectExtent l="0" t="0" r="3175" b="2540"/>
            <wp:docPr id="1" name="图片 1" descr="http://www.tumuo.com/uploads/userup/1/1321244922-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tumuo.com/uploads/userup/1/1321244922-2b1.jpg"/>
                    <pic:cNvPicPr>
                      <a:picLocks noChangeAspect="1" noChangeArrowheads="1"/>
                    </pic:cNvPicPr>
                  </pic:nvPicPr>
                  <pic:blipFill>
                    <a:blip r:embed="rId5">
                      <a:extLst>
                        <a:ext uri="{28A0092B-C50C-407E-A947-70E740481C1C}">
                          <a14:useLocalDpi xmlns:a14="http://schemas.microsoft.com/office/drawing/2010/main" val="0"/>
                        </a:ext>
                      </a:extLst>
                    </a:blip>
                    <a:srcRect l="1849" t="2849" r="70432" b="71767"/>
                    <a:stretch>
                      <a:fillRect/>
                    </a:stretch>
                  </pic:blipFill>
                  <pic:spPr>
                    <a:xfrm>
                      <a:off x="0" y="0"/>
                      <a:ext cx="892175" cy="549910"/>
                    </a:xfrm>
                    <a:prstGeom prst="rect">
                      <a:avLst/>
                    </a:prstGeom>
                    <a:noFill/>
                    <a:ln>
                      <a:noFill/>
                    </a:ln>
                  </pic:spPr>
                </pic:pic>
              </a:graphicData>
            </a:graphic>
          </wp:inline>
        </w:drawing>
      </w:r>
      <w:r>
        <w:rPr>
          <w:rFonts w:hint="eastAsia" w:eastAsiaTheme="minorEastAsia"/>
          <w:b/>
          <w:sz w:val="32"/>
          <w:szCs w:val="32"/>
        </w:rPr>
        <w:t xml:space="preserve">                           </w:t>
      </w:r>
      <w:r>
        <w:rPr>
          <w:rFonts w:eastAsiaTheme="minorEastAsia"/>
          <w:b/>
          <w:sz w:val="32"/>
          <w:szCs w:val="32"/>
        </w:rPr>
        <w:t xml:space="preserve">CECS </w:t>
      </w:r>
      <w:r>
        <w:rPr>
          <w:rFonts w:eastAsiaTheme="minorEastAsia"/>
          <w:sz w:val="32"/>
          <w:szCs w:val="32"/>
        </w:rPr>
        <w:t>XXX</w:t>
      </w:r>
      <w:r>
        <w:rPr>
          <w:rFonts w:eastAsiaTheme="minorEastAsia"/>
          <w:b/>
          <w:sz w:val="32"/>
          <w:szCs w:val="32"/>
        </w:rPr>
        <w:t>：201X</w:t>
      </w:r>
    </w:p>
    <w:p>
      <w:pPr>
        <w:jc w:val="center"/>
        <w:rPr>
          <w:rFonts w:eastAsiaTheme="minorEastAsia"/>
          <w:b/>
          <w:sz w:val="36"/>
          <w:szCs w:val="36"/>
        </w:rPr>
      </w:pPr>
    </w:p>
    <w:p>
      <w:pPr>
        <w:jc w:val="center"/>
        <w:rPr>
          <w:rFonts w:eastAsiaTheme="minorEastAsia"/>
          <w:b/>
          <w:sz w:val="36"/>
          <w:szCs w:val="36"/>
        </w:rPr>
      </w:pPr>
    </w:p>
    <w:p>
      <w:pPr>
        <w:jc w:val="center"/>
        <w:rPr>
          <w:rFonts w:eastAsiaTheme="minorEastAsia"/>
          <w:b/>
          <w:sz w:val="30"/>
          <w:szCs w:val="30"/>
        </w:rPr>
      </w:pPr>
      <w:r>
        <w:rPr>
          <w:rFonts w:hint="eastAsia" w:eastAsiaTheme="minorEastAsia"/>
          <w:b/>
          <w:sz w:val="30"/>
          <w:szCs w:val="30"/>
        </w:rPr>
        <w:t>中国工程建设协会标准</w:t>
      </w:r>
    </w:p>
    <w:p>
      <w:pPr>
        <w:jc w:val="center"/>
        <w:rPr>
          <w:rFonts w:eastAsiaTheme="minorEastAsia"/>
          <w:b/>
          <w:sz w:val="36"/>
          <w:szCs w:val="36"/>
        </w:rPr>
      </w:pPr>
      <w:bookmarkStart w:id="0" w:name="OLE_LINK2"/>
      <w:bookmarkStart w:id="1" w:name="OLE_LINK1"/>
      <w:r>
        <w:rPr>
          <w:rFonts w:hint="eastAsia" w:eastAsiaTheme="minorEastAsia"/>
          <w:b/>
          <w:sz w:val="36"/>
          <w:szCs w:val="36"/>
        </w:rPr>
        <w:t>矩形顶管工程技术规程</w:t>
      </w:r>
    </w:p>
    <w:bookmarkEnd w:id="0"/>
    <w:bookmarkEnd w:id="1"/>
    <w:p>
      <w:pPr>
        <w:adjustRightInd w:val="0"/>
        <w:snapToGrid w:val="0"/>
        <w:jc w:val="center"/>
        <w:rPr>
          <w:rFonts w:eastAsiaTheme="minorEastAsia"/>
          <w:sz w:val="32"/>
          <w:szCs w:val="32"/>
        </w:rPr>
      </w:pPr>
    </w:p>
    <w:p>
      <w:pPr>
        <w:adjustRightInd w:val="0"/>
        <w:snapToGrid w:val="0"/>
        <w:jc w:val="center"/>
        <w:rPr>
          <w:rFonts w:eastAsiaTheme="minorEastAsia"/>
          <w:sz w:val="32"/>
          <w:szCs w:val="32"/>
        </w:rPr>
      </w:pPr>
      <w:r>
        <w:rPr>
          <w:rFonts w:eastAsiaTheme="minorEastAsia"/>
          <w:sz w:val="32"/>
          <w:szCs w:val="32"/>
        </w:rPr>
        <w:t xml:space="preserve">Technical specifications for pipe-jacking engineering with rectangular cross section </w:t>
      </w:r>
    </w:p>
    <w:p>
      <w:pPr>
        <w:adjustRightInd w:val="0"/>
        <w:snapToGrid w:val="0"/>
        <w:jc w:val="center"/>
        <w:rPr>
          <w:rFonts w:eastAsiaTheme="minorEastAsia"/>
          <w:sz w:val="28"/>
          <w:szCs w:val="28"/>
        </w:rPr>
      </w:pPr>
    </w:p>
    <w:p>
      <w:pPr>
        <w:adjustRightInd w:val="0"/>
        <w:snapToGrid w:val="0"/>
        <w:jc w:val="center"/>
        <w:rPr>
          <w:rFonts w:eastAsiaTheme="minorEastAsia"/>
          <w:b/>
          <w:bCs/>
          <w:sz w:val="32"/>
          <w:szCs w:val="32"/>
        </w:rPr>
      </w:pPr>
      <w:r>
        <w:rPr>
          <w:rFonts w:hint="eastAsia" w:eastAsiaTheme="minorEastAsia"/>
          <w:b/>
          <w:bCs/>
          <w:sz w:val="32"/>
          <w:szCs w:val="32"/>
        </w:rPr>
        <w:t>（征求意见稿）</w:t>
      </w: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仿宋_GB2312"/>
          <w:sz w:val="32"/>
          <w:szCs w:val="32"/>
        </w:rPr>
      </w:pPr>
      <w:r>
        <w:rPr>
          <w:rFonts w:hint="eastAsia" w:eastAsia="仿宋_GB2312"/>
          <w:sz w:val="32"/>
          <w:szCs w:val="32"/>
        </w:rPr>
        <w:t>中国计划出版社</w:t>
      </w:r>
    </w:p>
    <w:p>
      <w:pPr>
        <w:adjustRightInd w:val="0"/>
        <w:snapToGrid w:val="0"/>
        <w:jc w:val="center"/>
        <w:rPr>
          <w:rFonts w:eastAsiaTheme="minorEastAsia"/>
          <w:sz w:val="28"/>
          <w:szCs w:val="28"/>
        </w:rPr>
      </w:pPr>
      <w:r>
        <w:rPr>
          <w:rFonts w:eastAsiaTheme="minorEastAsia"/>
          <w:sz w:val="28"/>
          <w:szCs w:val="28"/>
        </w:rPr>
        <w:t>2019.</w:t>
      </w:r>
      <w:r>
        <w:rPr>
          <w:rFonts w:hint="eastAsia" w:eastAsiaTheme="minorEastAsia"/>
          <w:sz w:val="28"/>
          <w:szCs w:val="28"/>
        </w:rPr>
        <w:t>10</w:t>
      </w:r>
    </w:p>
    <w:p>
      <w:pPr>
        <w:rPr>
          <w:rFonts w:eastAsiaTheme="minorEastAsia"/>
          <w:szCs w:val="22"/>
        </w:rPr>
      </w:pPr>
    </w:p>
    <w:p>
      <w:pPr>
        <w:pStyle w:val="2"/>
      </w:pPr>
      <w:bookmarkStart w:id="2" w:name="_Toc17364142"/>
      <w:bookmarkStart w:id="3" w:name="_Toc22892"/>
      <w:bookmarkStart w:id="4" w:name="_Toc16270615"/>
      <w:bookmarkStart w:id="5" w:name="_Toc27100"/>
      <w:bookmarkStart w:id="6" w:name="_Toc3497"/>
      <w:bookmarkStart w:id="7" w:name="_Toc22402"/>
      <w:bookmarkStart w:id="8" w:name="_Toc14064"/>
      <w:bookmarkStart w:id="9" w:name="_Toc18057020"/>
      <w:bookmarkStart w:id="10" w:name="_Toc3835"/>
      <w:bookmarkStart w:id="11" w:name="_Toc455393069"/>
      <w:r>
        <w:rPr>
          <w:rFonts w:hint="eastAsia"/>
        </w:rPr>
        <w:t>前  言</w:t>
      </w:r>
      <w:bookmarkEnd w:id="2"/>
      <w:bookmarkEnd w:id="3"/>
      <w:bookmarkEnd w:id="4"/>
      <w:bookmarkEnd w:id="5"/>
      <w:bookmarkEnd w:id="6"/>
      <w:bookmarkEnd w:id="7"/>
      <w:bookmarkEnd w:id="8"/>
      <w:bookmarkEnd w:id="9"/>
      <w:bookmarkEnd w:id="10"/>
    </w:p>
    <w:p>
      <w:pPr>
        <w:ind w:firstLine="480"/>
      </w:pPr>
      <w:r>
        <w:rPr>
          <w:rFonts w:hint="eastAsia"/>
        </w:rPr>
        <w:t>根据中国工程建设标准化协会《关于印发〈2</w:t>
      </w:r>
      <w:r>
        <w:t>018</w:t>
      </w:r>
      <w:r>
        <w:rPr>
          <w:rFonts w:hint="eastAsia"/>
        </w:rPr>
        <w:t>年第二批协会标准制定、修订计划〉的</w:t>
      </w:r>
      <w:r>
        <w:rPr>
          <w:rFonts w:hint="eastAsia"/>
          <w:highlight w:val="none"/>
        </w:rPr>
        <w:t>通知》（建标</w:t>
      </w:r>
      <w:r>
        <w:rPr>
          <w:highlight w:val="none"/>
        </w:rPr>
        <w:t>协</w:t>
      </w:r>
      <w:r>
        <w:rPr>
          <w:rFonts w:hint="eastAsia"/>
          <w:highlight w:val="none"/>
        </w:rPr>
        <w:t>字〔201</w:t>
      </w:r>
      <w:r>
        <w:rPr>
          <w:highlight w:val="none"/>
        </w:rPr>
        <w:t>8</w:t>
      </w:r>
      <w:r>
        <w:rPr>
          <w:rFonts w:hint="eastAsia"/>
          <w:highlight w:val="none"/>
        </w:rPr>
        <w:t>〕0</w:t>
      </w:r>
      <w:r>
        <w:rPr>
          <w:highlight w:val="none"/>
        </w:rPr>
        <w:t>30</w:t>
      </w:r>
      <w:r>
        <w:rPr>
          <w:rFonts w:hint="eastAsia"/>
          <w:highlight w:val="none"/>
        </w:rPr>
        <w:t>号）的要求，规程</w:t>
      </w:r>
      <w:r>
        <w:rPr>
          <w:rFonts w:hint="eastAsia"/>
        </w:rPr>
        <w:t>编制组在广泛调查研究，认真总结实践经验，参考有关国内外标准，并在广泛征求意见的基础上，制定本规程。</w:t>
      </w:r>
    </w:p>
    <w:p>
      <w:pPr>
        <w:ind w:firstLine="480"/>
      </w:pPr>
      <w:r>
        <w:rPr>
          <w:rFonts w:hint="eastAsia"/>
        </w:rPr>
        <w:t>本规程共分10章，主要内容包括：1 总则；2 术语；</w:t>
      </w:r>
      <w:r>
        <w:t>3</w:t>
      </w:r>
      <w:r>
        <w:rPr>
          <w:rFonts w:hint="eastAsia"/>
        </w:rPr>
        <w:t xml:space="preserve"> 基本规定；</w:t>
      </w:r>
      <w:r>
        <w:t>4</w:t>
      </w:r>
      <w:r>
        <w:rPr>
          <w:rFonts w:hint="eastAsia"/>
        </w:rPr>
        <w:t xml:space="preserve"> 工程勘察；5 顶管设计；6 管节制作；7 工作井施工；8 顶管设备及安装；9</w:t>
      </w:r>
      <w:r>
        <w:t xml:space="preserve"> </w:t>
      </w:r>
      <w:r>
        <w:rPr>
          <w:rFonts w:hint="eastAsia"/>
        </w:rPr>
        <w:t>顶进施工；10</w:t>
      </w:r>
      <w:r>
        <w:t xml:space="preserve"> </w:t>
      </w:r>
      <w:r>
        <w:rPr>
          <w:rFonts w:hint="eastAsia"/>
        </w:rPr>
        <w:t>工程验收。</w:t>
      </w:r>
    </w:p>
    <w:p>
      <w:pPr>
        <w:ind w:firstLine="480"/>
      </w:pPr>
      <w:r>
        <w:rPr>
          <w:rFonts w:hint="eastAsia"/>
        </w:rPr>
        <w:t>本规程由中国工程建设标准化协会管道结构专业委员会归口管理，由广州市市政集团有限公司负责具体技术内容的解释。本规程在执行过程中，如有意见或建议，请寄送广州市市政集团有限公司（地址：广州市越秀区环市东路338号，邮政编码：</w:t>
      </w:r>
      <w:r>
        <w:t>510060</w:t>
      </w:r>
      <w:r>
        <w:rPr>
          <w:rFonts w:hint="eastAsia"/>
        </w:rPr>
        <w:t>；电子邮箱：</w:t>
      </w:r>
      <w:r>
        <w:t>1271535624@qq.com</w:t>
      </w:r>
      <w:r>
        <w:rPr>
          <w:rFonts w:hint="eastAsia"/>
        </w:rPr>
        <w:t>），以供今后修订时参考。</w:t>
      </w:r>
    </w:p>
    <w:p>
      <w:pPr>
        <w:ind w:firstLine="480"/>
      </w:pPr>
      <w:r>
        <w:rPr>
          <w:rFonts w:hint="eastAsia"/>
          <w:b/>
          <w:bCs/>
        </w:rPr>
        <w:t>主编单位：</w:t>
      </w:r>
      <w:r>
        <w:rPr>
          <w:rFonts w:hint="eastAsia"/>
        </w:rPr>
        <w:t>广州市市政集团有限公司</w:t>
      </w:r>
    </w:p>
    <w:p>
      <w:pPr>
        <w:ind w:firstLine="1680" w:firstLineChars="700"/>
      </w:pPr>
      <w:r>
        <w:rPr>
          <w:rFonts w:hint="eastAsia"/>
        </w:rPr>
        <w:t>广州市市政工程协会</w:t>
      </w:r>
    </w:p>
    <w:p>
      <w:pPr>
        <w:ind w:firstLine="480"/>
      </w:pPr>
      <w:r>
        <w:rPr>
          <w:rFonts w:hint="eastAsia"/>
          <w:b/>
          <w:bCs/>
        </w:rPr>
        <w:t>参编单位：</w:t>
      </w:r>
      <w:r>
        <w:rPr>
          <w:rFonts w:hint="eastAsia"/>
          <w:bCs/>
        </w:rPr>
        <w:t>广州市市政工程设计研究总院有限公司</w:t>
      </w:r>
    </w:p>
    <w:p>
      <w:pPr>
        <w:ind w:left="1200" w:leftChars="500" w:firstLine="480"/>
      </w:pPr>
      <w:r>
        <w:rPr>
          <w:rFonts w:hint="eastAsia"/>
          <w:bCs/>
        </w:rPr>
        <w:t>广州地铁设计研究院有限公司</w:t>
      </w:r>
    </w:p>
    <w:p>
      <w:pPr>
        <w:ind w:left="1200" w:leftChars="500" w:firstLine="480"/>
        <w:rPr>
          <w:bCs/>
        </w:rPr>
      </w:pPr>
      <w:r>
        <w:rPr>
          <w:rFonts w:hint="eastAsia"/>
          <w:bCs/>
        </w:rPr>
        <w:t>广州金土岩土工程技术有限公司</w:t>
      </w:r>
    </w:p>
    <w:p>
      <w:pPr>
        <w:ind w:left="1200" w:leftChars="500" w:firstLine="480"/>
        <w:rPr>
          <w:bCs/>
        </w:rPr>
      </w:pPr>
      <w:r>
        <w:rPr>
          <w:rFonts w:hint="eastAsia"/>
          <w:bCs/>
        </w:rPr>
        <w:t>中铁工程装备集团有限公司</w:t>
      </w:r>
    </w:p>
    <w:p>
      <w:pPr>
        <w:ind w:left="1200" w:leftChars="500" w:firstLine="480"/>
      </w:pPr>
      <w:r>
        <w:rPr>
          <w:rFonts w:hint="eastAsia"/>
        </w:rPr>
        <w:t>广州市第二市政工程有限公司</w:t>
      </w:r>
    </w:p>
    <w:p>
      <w:pPr>
        <w:ind w:left="1200" w:leftChars="500" w:firstLine="480"/>
      </w:pPr>
      <w:r>
        <w:rPr>
          <w:rFonts w:hint="eastAsia"/>
          <w:bCs/>
        </w:rPr>
        <w:t>广州市第三市政工程有限公司</w:t>
      </w:r>
    </w:p>
    <w:p>
      <w:pPr>
        <w:ind w:left="1200" w:leftChars="500" w:firstLine="480"/>
      </w:pPr>
      <w:r>
        <w:rPr>
          <w:rFonts w:hint="eastAsia"/>
          <w:bCs/>
        </w:rPr>
        <w:t>广东鑫隆管业有限公司</w:t>
      </w:r>
    </w:p>
    <w:p>
      <w:pPr>
        <w:ind w:left="1200" w:leftChars="500" w:firstLine="480"/>
        <w:rPr>
          <w:bCs/>
        </w:rPr>
      </w:pPr>
      <w:r>
        <w:rPr>
          <w:rFonts w:hint="eastAsia"/>
          <w:bCs/>
        </w:rPr>
        <w:t>中国地质大学（武汉）</w:t>
      </w:r>
    </w:p>
    <w:p>
      <w:pPr>
        <w:ind w:left="1200" w:leftChars="500" w:firstLine="480"/>
      </w:pPr>
      <w:r>
        <w:rPr>
          <w:rFonts w:hint="eastAsia"/>
        </w:rPr>
        <w:t>上海耀祖建设工程有限公司</w:t>
      </w:r>
    </w:p>
    <w:p>
      <w:pPr>
        <w:ind w:left="1200" w:leftChars="500" w:firstLine="480"/>
        <w:rPr>
          <w:bCs/>
          <w:highlight w:val="none"/>
        </w:rPr>
      </w:pPr>
      <w:r>
        <w:rPr>
          <w:rFonts w:hint="eastAsia"/>
          <w:bCs/>
        </w:rPr>
        <w:t>广</w:t>
      </w:r>
      <w:bookmarkStart w:id="302" w:name="_GoBack"/>
      <w:r>
        <w:rPr>
          <w:rFonts w:hint="eastAsia"/>
          <w:bCs/>
          <w:highlight w:val="none"/>
        </w:rPr>
        <w:t>州市市政集团设计院有限公司</w:t>
      </w:r>
    </w:p>
    <w:p>
      <w:pPr>
        <w:ind w:left="1200" w:leftChars="500" w:firstLine="480"/>
        <w:rPr>
          <w:bCs/>
          <w:highlight w:val="none"/>
        </w:rPr>
      </w:pPr>
      <w:r>
        <w:rPr>
          <w:bCs/>
          <w:highlight w:val="none"/>
        </w:rPr>
        <w:t>上海市政工程设计研究总院(集团)有限公司</w:t>
      </w:r>
    </w:p>
    <w:p>
      <w:pPr>
        <w:ind w:left="1200" w:leftChars="500" w:firstLine="480"/>
        <w:rPr>
          <w:bCs/>
          <w:highlight w:val="none"/>
        </w:rPr>
      </w:pPr>
      <w:r>
        <w:rPr>
          <w:rFonts w:hint="eastAsia"/>
          <w:bCs/>
          <w:highlight w:val="none"/>
        </w:rPr>
        <w:t>北京市政工程设计研究总院有限公司</w:t>
      </w:r>
    </w:p>
    <w:p>
      <w:pPr>
        <w:ind w:left="1200" w:leftChars="500" w:firstLine="480"/>
        <w:rPr>
          <w:highlight w:val="none"/>
        </w:rPr>
      </w:pPr>
      <w:r>
        <w:rPr>
          <w:rFonts w:hint="eastAsia"/>
          <w:highlight w:val="none"/>
        </w:rPr>
        <w:t>上海公路桥梁（集团）有限公司</w:t>
      </w:r>
    </w:p>
    <w:bookmarkEnd w:id="302"/>
    <w:p>
      <w:pPr>
        <w:ind w:left="1200" w:leftChars="500" w:firstLine="480"/>
      </w:pPr>
      <w:r>
        <w:rPr>
          <w:rFonts w:hint="eastAsia"/>
        </w:rPr>
        <w:t>建华建材（中国）有限公司</w:t>
      </w:r>
    </w:p>
    <w:p>
      <w:pPr>
        <w:ind w:firstLine="480"/>
      </w:pPr>
      <w:r>
        <w:rPr>
          <w:rFonts w:hint="eastAsia"/>
          <w:b/>
          <w:bCs/>
        </w:rPr>
        <w:t>主要起草人：</w:t>
      </w:r>
    </w:p>
    <w:p>
      <w:pPr>
        <w:ind w:firstLine="480"/>
        <w:rPr>
          <w:b/>
          <w:bCs/>
        </w:rPr>
      </w:pPr>
      <w:r>
        <w:rPr>
          <w:rFonts w:hint="eastAsia"/>
          <w:b/>
          <w:bCs/>
        </w:rPr>
        <w:t>主要审查人：</w:t>
      </w:r>
    </w:p>
    <w:p>
      <w:pPr>
        <w:ind w:firstLine="480"/>
        <w:rPr>
          <w:b/>
          <w:bCs/>
        </w:rPr>
      </w:pPr>
    </w:p>
    <w:p>
      <w:pPr>
        <w:ind w:firstLine="480"/>
        <w:rPr>
          <w:b/>
          <w:bCs/>
        </w:rPr>
      </w:pPr>
    </w:p>
    <w:p>
      <w:pPr>
        <w:ind w:firstLine="480"/>
      </w:pPr>
      <w:r>
        <w:br w:type="page"/>
      </w:r>
    </w:p>
    <w:p>
      <w:pPr>
        <w:jc w:val="center"/>
        <w:rPr>
          <w:b/>
          <w:bCs/>
          <w:szCs w:val="24"/>
        </w:rPr>
      </w:pPr>
      <w:r>
        <w:rPr>
          <w:b/>
          <w:bCs/>
          <w:szCs w:val="24"/>
        </w:rPr>
        <w:t>目  录</w:t>
      </w:r>
    </w:p>
    <w:p>
      <w:pPr>
        <w:pStyle w:val="26"/>
        <w:tabs>
          <w:tab w:val="right" w:leader="dot" w:pos="8306"/>
        </w:tabs>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"1-2" \h \z \u </w:instrText>
      </w:r>
      <w:r>
        <w:rPr>
          <w:rFonts w:ascii="Times New Roman" w:hAnsi="Times New Roman" w:cs="Times New Roman"/>
          <w:sz w:val="24"/>
          <w:szCs w:val="24"/>
        </w:rPr>
        <w:fldChar w:fldCharType="separate"/>
      </w:r>
      <w:r>
        <w:fldChar w:fldCharType="begin"/>
      </w:r>
      <w:r>
        <w:instrText xml:space="preserve"> HYPERLINK \l "_Toc3835" </w:instrText>
      </w:r>
      <w:r>
        <w:fldChar w:fldCharType="separate"/>
      </w:r>
      <w:r>
        <w:rPr>
          <w:rFonts w:ascii="Times New Roman" w:hAnsi="Times New Roman" w:cs="Times New Roman"/>
          <w:sz w:val="24"/>
          <w:szCs w:val="24"/>
        </w:rPr>
        <w:t>前  言</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_Toc3835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"_Toc2215" </w:instrText>
      </w:r>
      <w:r>
        <w:fldChar w:fldCharType="separate"/>
      </w:r>
      <w:r>
        <w:rPr>
          <w:rFonts w:ascii="Times New Roman" w:hAnsi="Times New Roman" w:cs="Times New Roman"/>
          <w:sz w:val="24"/>
          <w:szCs w:val="24"/>
        </w:rPr>
        <w:t>1  总则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_Toc2215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"_Toc29407" </w:instrText>
      </w:r>
      <w:r>
        <w:fldChar w:fldCharType="separate"/>
      </w:r>
      <w:r>
        <w:rPr>
          <w:rFonts w:ascii="Times New Roman" w:hAnsi="Times New Roman" w:eastAsia="Times New Roman" w:cs="Times New Roman"/>
          <w:kern w:val="44"/>
          <w:sz w:val="24"/>
          <w:szCs w:val="24"/>
        </w:rPr>
        <w:t xml:space="preserve">2  </w:t>
      </w:r>
      <w:r>
        <w:rPr>
          <w:rFonts w:ascii="Times New Roman" w:hAnsi="Times New Roman" w:cs="Times New Roman"/>
          <w:kern w:val="44"/>
          <w:sz w:val="24"/>
          <w:szCs w:val="24"/>
        </w:rPr>
        <w:t>术语和符号</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_Toc29407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"_Toc7797" </w:instrText>
      </w:r>
      <w:r>
        <w:fldChar w:fldCharType="separate"/>
      </w:r>
      <w:r>
        <w:rPr>
          <w:rFonts w:ascii="Times New Roman" w:hAnsi="Times New Roman" w:cs="Times New Roman"/>
          <w:sz w:val="24"/>
          <w:szCs w:val="24"/>
        </w:rPr>
        <w:t>2.1  术语</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_Toc7797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"_Toc19751" </w:instrText>
      </w:r>
      <w:r>
        <w:fldChar w:fldCharType="separate"/>
      </w:r>
      <w:r>
        <w:rPr>
          <w:rFonts w:ascii="Times New Roman" w:hAnsi="Times New Roman" w:cs="Times New Roman"/>
          <w:sz w:val="24"/>
          <w:szCs w:val="24"/>
        </w:rPr>
        <w:t>2.2  符 号</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_Toc19751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"_Toc7201" </w:instrText>
      </w:r>
      <w:r>
        <w:fldChar w:fldCharType="separate"/>
      </w:r>
      <w:r>
        <w:rPr>
          <w:rFonts w:ascii="Times New Roman" w:hAnsi="Times New Roman" w:cs="Times New Roman" w:eastAsiaTheme="minorEastAsia"/>
          <w:sz w:val="24"/>
          <w:szCs w:val="24"/>
        </w:rPr>
        <w:t xml:space="preserve">3  </w:t>
      </w:r>
      <w:r>
        <w:rPr>
          <w:rFonts w:ascii="Times New Roman" w:hAnsi="Times New Roman" w:cs="Times New Roman"/>
          <w:sz w:val="24"/>
          <w:szCs w:val="24"/>
        </w:rPr>
        <w:t>基本规定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_Toc7201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"_Toc4018" </w:instrText>
      </w:r>
      <w:r>
        <w:fldChar w:fldCharType="separate"/>
      </w:r>
      <w:r>
        <w:rPr>
          <w:rFonts w:ascii="Times New Roman" w:hAnsi="Times New Roman" w:cs="Times New Roman"/>
          <w:sz w:val="24"/>
          <w:szCs w:val="24"/>
        </w:rPr>
        <w:t>4  工程勘察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_Toc4018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"_Toc32373" </w:instrText>
      </w:r>
      <w:r>
        <w:fldChar w:fldCharType="separate"/>
      </w:r>
      <w:r>
        <w:rPr>
          <w:rFonts w:ascii="Times New Roman" w:hAnsi="Times New Roman" w:cs="Times New Roman"/>
          <w:sz w:val="24"/>
          <w:szCs w:val="24"/>
        </w:rPr>
        <w:t>4.1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_Toc32373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"_Toc21753" </w:instrText>
      </w:r>
      <w:r>
        <w:fldChar w:fldCharType="separate"/>
      </w:r>
      <w:r>
        <w:rPr>
          <w:rFonts w:ascii="Times New Roman" w:hAnsi="Times New Roman" w:cs="Times New Roman"/>
          <w:sz w:val="24"/>
          <w:szCs w:val="24"/>
        </w:rPr>
        <w:t>4.2  勘察布孔</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_Toc21753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"_Toc11123" </w:instrText>
      </w:r>
      <w:r>
        <w:fldChar w:fldCharType="separate"/>
      </w:r>
      <w:r>
        <w:rPr>
          <w:rFonts w:ascii="Times New Roman" w:hAnsi="Times New Roman" w:cs="Times New Roman"/>
          <w:sz w:val="24"/>
          <w:szCs w:val="24"/>
        </w:rPr>
        <w:t>4.3  地下水勘察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_Toc11123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"_Toc4770" </w:instrText>
      </w:r>
      <w:r>
        <w:fldChar w:fldCharType="separate"/>
      </w:r>
      <w:r>
        <w:rPr>
          <w:rFonts w:ascii="Times New Roman" w:hAnsi="Times New Roman" w:cs="Times New Roman"/>
          <w:sz w:val="24"/>
          <w:szCs w:val="24"/>
        </w:rPr>
        <w:t>4.4  地质勘察报告</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_Toc4770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"_Toc29489" </w:instrText>
      </w:r>
      <w:r>
        <w:fldChar w:fldCharType="separate"/>
      </w:r>
      <w:r>
        <w:rPr>
          <w:rFonts w:ascii="Times New Roman" w:hAnsi="Times New Roman" w:cs="Times New Roman"/>
          <w:sz w:val="24"/>
          <w:szCs w:val="24"/>
        </w:rPr>
        <w:t>4.5  地下管线和障碍物的探测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_Toc29489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"_Toc19814" </w:instrText>
      </w:r>
      <w:r>
        <w:fldChar w:fldCharType="separate"/>
      </w:r>
      <w:r>
        <w:rPr>
          <w:rFonts w:ascii="Times New Roman" w:hAnsi="Times New Roman" w:cs="Times New Roman" w:eastAsiaTheme="minorEastAsia"/>
          <w:sz w:val="24"/>
          <w:szCs w:val="24"/>
        </w:rPr>
        <w:t>5  顶管设计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_Toc19814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"_Toc20621" </w:instrText>
      </w:r>
      <w:r>
        <w:fldChar w:fldCharType="separate"/>
      </w:r>
      <w:r>
        <w:rPr>
          <w:rFonts w:ascii="Times New Roman" w:hAnsi="Times New Roman" w:cs="Times New Roman"/>
          <w:sz w:val="24"/>
          <w:szCs w:val="24"/>
        </w:rPr>
        <w:t>5.1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_Toc20621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"_Toc16751" </w:instrText>
      </w:r>
      <w:r>
        <w:fldChar w:fldCharType="separate"/>
      </w:r>
      <w:r>
        <w:rPr>
          <w:rFonts w:ascii="Times New Roman" w:hAnsi="Times New Roman" w:cs="Times New Roman"/>
          <w:sz w:val="24"/>
          <w:szCs w:val="24"/>
        </w:rPr>
        <w:t>5.2  顶管管位设计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_Toc16751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"_Toc12468" </w:instrText>
      </w:r>
      <w:r>
        <w:fldChar w:fldCharType="separate"/>
      </w:r>
      <w:r>
        <w:rPr>
          <w:rFonts w:ascii="Times New Roman" w:hAnsi="Times New Roman" w:cs="Times New Roman"/>
          <w:sz w:val="24"/>
          <w:szCs w:val="24"/>
        </w:rPr>
        <w:t>5.3  荷载与作用</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_Toc12468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"_Toc19032" </w:instrText>
      </w:r>
      <w:r>
        <w:fldChar w:fldCharType="separate"/>
      </w:r>
      <w:r>
        <w:rPr>
          <w:rFonts w:ascii="Times New Roman" w:hAnsi="Times New Roman" w:cs="Times New Roman"/>
          <w:sz w:val="24"/>
          <w:szCs w:val="24"/>
        </w:rPr>
        <w:t>5.4  管节结构设计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_Toc19032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"_Toc32642" </w:instrText>
      </w:r>
      <w:r>
        <w:fldChar w:fldCharType="separate"/>
      </w:r>
      <w:r>
        <w:rPr>
          <w:rFonts w:ascii="Times New Roman" w:hAnsi="Times New Roman" w:cs="Times New Roman"/>
          <w:sz w:val="24"/>
          <w:szCs w:val="24"/>
        </w:rPr>
        <w:t>5.5  管节构造设计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_Toc32642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"_Toc28785" </w:instrText>
      </w:r>
      <w:r>
        <w:fldChar w:fldCharType="separate"/>
      </w:r>
      <w:r>
        <w:rPr>
          <w:rFonts w:ascii="Times New Roman" w:hAnsi="Times New Roman" w:cs="Times New Roman"/>
          <w:sz w:val="24"/>
          <w:szCs w:val="24"/>
        </w:rPr>
        <w:t>5.6  中继间设计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_Toc28785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"_Toc26698" </w:instrText>
      </w:r>
      <w:r>
        <w:fldChar w:fldCharType="separate"/>
      </w:r>
      <w:r>
        <w:rPr>
          <w:rFonts w:ascii="Times New Roman" w:hAnsi="Times New Roman" w:cs="Times New Roman"/>
          <w:sz w:val="24"/>
          <w:szCs w:val="24"/>
        </w:rPr>
        <w:t>5.7  顶管总顶力计算</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_Toc26698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"_Toc27904" </w:instrText>
      </w:r>
      <w:r>
        <w:fldChar w:fldCharType="separate"/>
      </w:r>
      <w:r>
        <w:rPr>
          <w:rFonts w:ascii="Times New Roman" w:hAnsi="Times New Roman" w:cs="Times New Roman"/>
          <w:sz w:val="24"/>
          <w:szCs w:val="24"/>
        </w:rPr>
        <w:t>5.8  工作井设计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_Toc27904 </w:instrText>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"_Toc30092" </w:instrText>
      </w:r>
      <w:r>
        <w:fldChar w:fldCharType="separate"/>
      </w:r>
      <w:r>
        <w:rPr>
          <w:rFonts w:ascii="Times New Roman" w:hAnsi="Times New Roman" w:cs="Times New Roman"/>
          <w:sz w:val="24"/>
          <w:szCs w:val="24"/>
        </w:rPr>
        <w:t>5.9  反力墙设计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_Toc30092 </w:instrText>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"_Toc17802" </w:instrText>
      </w:r>
      <w:r>
        <w:fldChar w:fldCharType="separate"/>
      </w:r>
      <w:r>
        <w:rPr>
          <w:rFonts w:ascii="Times New Roman" w:hAnsi="Times New Roman" w:cs="Times New Roman"/>
          <w:sz w:val="24"/>
          <w:szCs w:val="24"/>
        </w:rPr>
        <w:t>5.10  洞口设计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_Toc17802 </w:instrText>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"_Toc20381" </w:instrText>
      </w:r>
      <w:r>
        <w:fldChar w:fldCharType="separate"/>
      </w:r>
      <w:r>
        <w:rPr>
          <w:rFonts w:ascii="Times New Roman" w:hAnsi="Times New Roman" w:cs="Times New Roman" w:eastAsiaTheme="minorEastAsia"/>
          <w:sz w:val="24"/>
          <w:szCs w:val="24"/>
        </w:rPr>
        <w:t>6  管节制作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_Toc20381 </w:instrText>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"_Toc24174" </w:instrText>
      </w:r>
      <w:r>
        <w:fldChar w:fldCharType="separate"/>
      </w:r>
      <w:r>
        <w:rPr>
          <w:rFonts w:ascii="Times New Roman" w:hAnsi="Times New Roman" w:cs="Times New Roman"/>
          <w:sz w:val="24"/>
          <w:szCs w:val="24"/>
        </w:rPr>
        <w:t>6.1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_Toc24174 </w:instrText>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"_Toc6480" </w:instrText>
      </w:r>
      <w:r>
        <w:fldChar w:fldCharType="separate"/>
      </w:r>
      <w:r>
        <w:rPr>
          <w:rFonts w:ascii="Times New Roman" w:hAnsi="Times New Roman" w:cs="Times New Roman"/>
          <w:sz w:val="24"/>
          <w:szCs w:val="24"/>
        </w:rPr>
        <w:t>6.2  接头构造</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_Toc6480 </w:instrText>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"_Toc10074" </w:instrText>
      </w:r>
      <w:r>
        <w:fldChar w:fldCharType="separate"/>
      </w:r>
      <w:r>
        <w:rPr>
          <w:rFonts w:ascii="Times New Roman" w:hAnsi="Times New Roman" w:cs="Times New Roman"/>
          <w:sz w:val="24"/>
          <w:szCs w:val="24"/>
        </w:rPr>
        <w:t>6.3  材料性能要求</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_Toc10074 </w:instrText>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"_Toc8990" </w:instrText>
      </w:r>
      <w:r>
        <w:fldChar w:fldCharType="separate"/>
      </w:r>
      <w:r>
        <w:rPr>
          <w:rFonts w:ascii="Times New Roman" w:hAnsi="Times New Roman" w:cs="Times New Roman"/>
          <w:sz w:val="24"/>
          <w:szCs w:val="24"/>
        </w:rPr>
        <w:t>6.4  管节防腐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_Toc8990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"_Toc22623" </w:instrText>
      </w:r>
      <w:r>
        <w:fldChar w:fldCharType="separate"/>
      </w:r>
      <w:r>
        <w:rPr>
          <w:rFonts w:ascii="Times New Roman" w:hAnsi="Times New Roman" w:cs="Times New Roman"/>
          <w:sz w:val="24"/>
          <w:szCs w:val="24"/>
        </w:rPr>
        <w:t>6.5  管节预制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_Toc22623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"_Toc12387" </w:instrText>
      </w:r>
      <w:r>
        <w:fldChar w:fldCharType="separate"/>
      </w:r>
      <w:r>
        <w:rPr>
          <w:rFonts w:ascii="Times New Roman" w:hAnsi="Times New Roman" w:cs="Times New Roman"/>
          <w:sz w:val="24"/>
          <w:szCs w:val="24"/>
        </w:rPr>
        <w:t>6.6  管节标识、堆放、吊装和运输</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_Toc12387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"_Toc11441" </w:instrText>
      </w:r>
      <w:r>
        <w:fldChar w:fldCharType="separate"/>
      </w:r>
      <w:r>
        <w:rPr>
          <w:rFonts w:ascii="Times New Roman" w:hAnsi="Times New Roman" w:cs="Times New Roman"/>
          <w:sz w:val="24"/>
          <w:szCs w:val="24"/>
        </w:rPr>
        <w:t>6.7  管节质量控制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_Toc11441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"_Toc10150" </w:instrText>
      </w:r>
      <w:r>
        <w:fldChar w:fldCharType="separate"/>
      </w:r>
      <w:r>
        <w:rPr>
          <w:rFonts w:ascii="Times New Roman" w:hAnsi="Times New Roman" w:cs="Times New Roman" w:eastAsiaTheme="minorEastAsia"/>
          <w:sz w:val="24"/>
          <w:szCs w:val="24"/>
        </w:rPr>
        <w:t>7  工作井施工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_Toc10150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"_Toc12374" </w:instrText>
      </w:r>
      <w:r>
        <w:fldChar w:fldCharType="separate"/>
      </w:r>
      <w:r>
        <w:rPr>
          <w:rFonts w:ascii="Times New Roman" w:hAnsi="Times New Roman" w:cs="Times New Roman"/>
          <w:sz w:val="24"/>
          <w:szCs w:val="24"/>
        </w:rPr>
        <w:t>7.1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_Toc12374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"_Toc3596" </w:instrText>
      </w:r>
      <w:r>
        <w:fldChar w:fldCharType="separate"/>
      </w:r>
      <w:r>
        <w:rPr>
          <w:rFonts w:ascii="Times New Roman" w:hAnsi="Times New Roman" w:cs="Times New Roman"/>
          <w:sz w:val="24"/>
          <w:szCs w:val="24"/>
        </w:rPr>
        <w:t>7.2  沉  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_Toc3596 </w:instrText>
      </w:r>
      <w:r>
        <w:rPr>
          <w:rFonts w:ascii="Times New Roman" w:hAnsi="Times New Roman" w:cs="Times New Roman"/>
          <w:sz w:val="24"/>
          <w:szCs w:val="24"/>
        </w:rPr>
        <w:fldChar w:fldCharType="separate"/>
      </w:r>
      <w:r>
        <w:rPr>
          <w:rFonts w:ascii="Times New Roman" w:hAnsi="Times New Roman" w:cs="Times New Roman"/>
          <w:sz w:val="24"/>
          <w:szCs w:val="24"/>
        </w:rPr>
        <w:t>64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"_Toc8266" </w:instrText>
      </w:r>
      <w:r>
        <w:fldChar w:fldCharType="separate"/>
      </w:r>
      <w:r>
        <w:rPr>
          <w:rFonts w:ascii="Times New Roman" w:hAnsi="Times New Roman" w:cs="Times New Roman"/>
          <w:sz w:val="24"/>
          <w:szCs w:val="24"/>
        </w:rPr>
        <w:t>7.3  灌注桩排桩</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_Toc8266 </w:instrText>
      </w:r>
      <w:r>
        <w:rPr>
          <w:rFonts w:ascii="Times New Roman" w:hAnsi="Times New Roman" w:cs="Times New Roman"/>
          <w:sz w:val="24"/>
          <w:szCs w:val="24"/>
        </w:rPr>
        <w:fldChar w:fldCharType="separate"/>
      </w:r>
      <w:r>
        <w:rPr>
          <w:rFonts w:ascii="Times New Roman" w:hAnsi="Times New Roman" w:cs="Times New Roman"/>
          <w:sz w:val="24"/>
          <w:szCs w:val="24"/>
        </w:rPr>
        <w:t>67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"_Toc28509" </w:instrText>
      </w:r>
      <w:r>
        <w:fldChar w:fldCharType="separate"/>
      </w:r>
      <w:r>
        <w:rPr>
          <w:rFonts w:ascii="Times New Roman" w:hAnsi="Times New Roman" w:cs="Times New Roman"/>
          <w:sz w:val="24"/>
          <w:szCs w:val="24"/>
        </w:rPr>
        <w:t>7.4  钢板桩围护</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_Toc28509 </w:instrText>
      </w:r>
      <w:r>
        <w:rPr>
          <w:rFonts w:ascii="Times New Roman" w:hAnsi="Times New Roman" w:cs="Times New Roman"/>
          <w:sz w:val="24"/>
          <w:szCs w:val="24"/>
        </w:rPr>
        <w:fldChar w:fldCharType="separate"/>
      </w:r>
      <w:r>
        <w:rPr>
          <w:rFonts w:ascii="Times New Roman" w:hAnsi="Times New Roman" w:cs="Times New Roman"/>
          <w:sz w:val="24"/>
          <w:szCs w:val="24"/>
        </w:rPr>
        <w:t>68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"_Toc6382" </w:instrText>
      </w:r>
      <w:r>
        <w:fldChar w:fldCharType="separate"/>
      </w:r>
      <w:r>
        <w:rPr>
          <w:rFonts w:ascii="Times New Roman" w:hAnsi="Times New Roman" w:cs="Times New Roman"/>
          <w:sz w:val="24"/>
          <w:szCs w:val="24"/>
        </w:rPr>
        <w:t>7.5  地下连续墙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_Toc6382 </w:instrText>
      </w:r>
      <w:r>
        <w:rPr>
          <w:rFonts w:ascii="Times New Roman" w:hAnsi="Times New Roman" w:cs="Times New Roman"/>
          <w:sz w:val="24"/>
          <w:szCs w:val="24"/>
        </w:rPr>
        <w:fldChar w:fldCharType="separate"/>
      </w:r>
      <w:r>
        <w:rPr>
          <w:rFonts w:ascii="Times New Roman" w:hAnsi="Times New Roman" w:cs="Times New Roman"/>
          <w:sz w:val="24"/>
          <w:szCs w:val="24"/>
        </w:rPr>
        <w:t>68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"_Toc8012" </w:instrText>
      </w:r>
      <w:r>
        <w:fldChar w:fldCharType="separate"/>
      </w:r>
      <w:r>
        <w:rPr>
          <w:rFonts w:ascii="Times New Roman" w:hAnsi="Times New Roman" w:cs="Times New Roman"/>
          <w:sz w:val="24"/>
          <w:szCs w:val="24"/>
        </w:rPr>
        <w:t>7.6  型钢水泥土搅拌墙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_Toc8012 </w:instrText>
      </w:r>
      <w:r>
        <w:rPr>
          <w:rFonts w:ascii="Times New Roman" w:hAnsi="Times New Roman" w:cs="Times New Roman"/>
          <w:sz w:val="24"/>
          <w:szCs w:val="24"/>
        </w:rPr>
        <w:fldChar w:fldCharType="separate"/>
      </w:r>
      <w:r>
        <w:rPr>
          <w:rFonts w:ascii="Times New Roman" w:hAnsi="Times New Roman" w:cs="Times New Roman"/>
          <w:sz w:val="24"/>
          <w:szCs w:val="24"/>
        </w:rPr>
        <w:t>70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"_Toc27830" </w:instrText>
      </w:r>
      <w:r>
        <w:fldChar w:fldCharType="separate"/>
      </w:r>
      <w:r>
        <w:rPr>
          <w:rFonts w:ascii="Times New Roman" w:hAnsi="Times New Roman" w:cs="Times New Roman"/>
          <w:sz w:val="24"/>
          <w:szCs w:val="24"/>
        </w:rPr>
        <w:t>7.7  土体加固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_Toc27830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"_Toc26076" </w:instrText>
      </w:r>
      <w:r>
        <w:fldChar w:fldCharType="separate"/>
      </w:r>
      <w:r>
        <w:rPr>
          <w:rFonts w:ascii="Times New Roman" w:hAnsi="Times New Roman" w:cs="Times New Roman"/>
          <w:sz w:val="24"/>
          <w:szCs w:val="24"/>
        </w:rPr>
        <w:t>7.8  工作井质量控制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_Toc26076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"_Toc3438" </w:instrText>
      </w:r>
      <w:r>
        <w:fldChar w:fldCharType="separate"/>
      </w:r>
      <w:r>
        <w:rPr>
          <w:rFonts w:ascii="Times New Roman" w:hAnsi="Times New Roman" w:cs="Times New Roman"/>
          <w:sz w:val="24"/>
          <w:szCs w:val="24"/>
        </w:rPr>
        <w:t>8  顶管设备及安装</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_Toc3438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"_Toc30747" </w:instrText>
      </w:r>
      <w:r>
        <w:fldChar w:fldCharType="separate"/>
      </w:r>
      <w:r>
        <w:rPr>
          <w:rFonts w:ascii="Times New Roman" w:hAnsi="Times New Roman" w:cs="Times New Roman"/>
          <w:sz w:val="24"/>
          <w:szCs w:val="24"/>
        </w:rPr>
        <w:t>8.1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_Toc30747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"_Toc1174" </w:instrText>
      </w:r>
      <w:r>
        <w:fldChar w:fldCharType="separate"/>
      </w:r>
      <w:r>
        <w:rPr>
          <w:rFonts w:ascii="Times New Roman" w:hAnsi="Times New Roman" w:cs="Times New Roman"/>
          <w:sz w:val="24"/>
          <w:szCs w:val="24"/>
        </w:rPr>
        <w:t>8.2  矩形顶管机设计与选型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_Toc1174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"_Toc26510" </w:instrText>
      </w:r>
      <w:r>
        <w:fldChar w:fldCharType="separate"/>
      </w:r>
      <w:r>
        <w:rPr>
          <w:rFonts w:ascii="Times New Roman" w:hAnsi="Times New Roman" w:cs="Times New Roman"/>
          <w:sz w:val="24"/>
          <w:szCs w:val="24"/>
        </w:rPr>
        <w:t>8.3  顶推系统及安装</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_Toc26510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"_Toc7070" </w:instrText>
      </w:r>
      <w:r>
        <w:fldChar w:fldCharType="separate"/>
      </w:r>
      <w:r>
        <w:rPr>
          <w:rFonts w:ascii="Times New Roman" w:hAnsi="Times New Roman" w:cs="Times New Roman"/>
          <w:sz w:val="24"/>
          <w:szCs w:val="24"/>
        </w:rPr>
        <w:t>8.4  导轨选择与安装</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_Toc7070 </w:instrText>
      </w:r>
      <w:r>
        <w:rPr>
          <w:rFonts w:ascii="Times New Roman" w:hAnsi="Times New Roman" w:cs="Times New Roman"/>
          <w:sz w:val="24"/>
          <w:szCs w:val="24"/>
        </w:rPr>
        <w:fldChar w:fldCharType="separate"/>
      </w:r>
      <w:r>
        <w:rPr>
          <w:rFonts w:ascii="Times New Roman" w:hAnsi="Times New Roman" w:cs="Times New Roman"/>
          <w:sz w:val="24"/>
          <w:szCs w:val="24"/>
        </w:rPr>
        <w:t>84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"_Toc17909" </w:instrText>
      </w:r>
      <w:r>
        <w:fldChar w:fldCharType="separate"/>
      </w:r>
      <w:r>
        <w:rPr>
          <w:rFonts w:ascii="Times New Roman" w:hAnsi="Times New Roman" w:cs="Times New Roman"/>
          <w:sz w:val="24"/>
          <w:szCs w:val="24"/>
        </w:rPr>
        <w:t>8.5  顶管机安装和调试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_Toc17909 </w:instrText>
      </w:r>
      <w:r>
        <w:rPr>
          <w:rFonts w:ascii="Times New Roman" w:hAnsi="Times New Roman" w:cs="Times New Roman"/>
          <w:sz w:val="24"/>
          <w:szCs w:val="24"/>
        </w:rPr>
        <w:fldChar w:fldCharType="separate"/>
      </w:r>
      <w:r>
        <w:rPr>
          <w:rFonts w:ascii="Times New Roman" w:hAnsi="Times New Roman" w:cs="Times New Roman"/>
          <w:sz w:val="24"/>
          <w:szCs w:val="24"/>
        </w:rPr>
        <w:t>85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"_Toc6925" </w:instrText>
      </w:r>
      <w:r>
        <w:fldChar w:fldCharType="separate"/>
      </w:r>
      <w:r>
        <w:rPr>
          <w:rFonts w:ascii="Times New Roman" w:hAnsi="Times New Roman" w:cs="Times New Roman"/>
          <w:sz w:val="24"/>
          <w:szCs w:val="24"/>
        </w:rPr>
        <w:t>8.6  泥水平衡出渣系统的安装</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_Toc6925 </w:instrText>
      </w:r>
      <w:r>
        <w:rPr>
          <w:rFonts w:ascii="Times New Roman" w:hAnsi="Times New Roman" w:cs="Times New Roman"/>
          <w:sz w:val="24"/>
          <w:szCs w:val="24"/>
        </w:rPr>
        <w:fldChar w:fldCharType="separate"/>
      </w:r>
      <w:r>
        <w:rPr>
          <w:rFonts w:ascii="Times New Roman" w:hAnsi="Times New Roman" w:cs="Times New Roman"/>
          <w:sz w:val="24"/>
          <w:szCs w:val="24"/>
        </w:rPr>
        <w:t>86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"_Toc26716" </w:instrText>
      </w:r>
      <w:r>
        <w:fldChar w:fldCharType="separate"/>
      </w:r>
      <w:r>
        <w:rPr>
          <w:rFonts w:ascii="Times New Roman" w:hAnsi="Times New Roman" w:cs="Times New Roman"/>
          <w:sz w:val="24"/>
          <w:szCs w:val="24"/>
        </w:rPr>
        <w:t>8.7  土压平衡出渣系统的安装</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_Toc26716 </w:instrText>
      </w:r>
      <w:r>
        <w:rPr>
          <w:rFonts w:ascii="Times New Roman" w:hAnsi="Times New Roman" w:cs="Times New Roman"/>
          <w:sz w:val="24"/>
          <w:szCs w:val="24"/>
        </w:rPr>
        <w:fldChar w:fldCharType="separate"/>
      </w:r>
      <w:r>
        <w:rPr>
          <w:rFonts w:ascii="Times New Roman" w:hAnsi="Times New Roman" w:cs="Times New Roman"/>
          <w:sz w:val="24"/>
          <w:szCs w:val="24"/>
        </w:rPr>
        <w:t>87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"_Toc32729" </w:instrText>
      </w:r>
      <w:r>
        <w:fldChar w:fldCharType="separate"/>
      </w:r>
      <w:r>
        <w:rPr>
          <w:rFonts w:ascii="Times New Roman" w:hAnsi="Times New Roman" w:cs="Times New Roman"/>
          <w:sz w:val="24"/>
          <w:szCs w:val="24"/>
        </w:rPr>
        <w:t>8.8  中继间安装</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_Toc32729 </w:instrText>
      </w:r>
      <w:r>
        <w:rPr>
          <w:rFonts w:ascii="Times New Roman" w:hAnsi="Times New Roman" w:cs="Times New Roman"/>
          <w:sz w:val="24"/>
          <w:szCs w:val="24"/>
        </w:rPr>
        <w:fldChar w:fldCharType="separate"/>
      </w:r>
      <w:r>
        <w:rPr>
          <w:rFonts w:ascii="Times New Roman" w:hAnsi="Times New Roman" w:cs="Times New Roman"/>
          <w:sz w:val="24"/>
          <w:szCs w:val="24"/>
        </w:rPr>
        <w:t>88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"_Toc19349" </w:instrText>
      </w:r>
      <w:r>
        <w:fldChar w:fldCharType="separate"/>
      </w:r>
      <w:r>
        <w:rPr>
          <w:rFonts w:ascii="Times New Roman" w:hAnsi="Times New Roman" w:cs="Times New Roman"/>
          <w:sz w:val="24"/>
          <w:szCs w:val="24"/>
        </w:rPr>
        <w:t>8.9  顶管辅助施工与设备</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_Toc19349 </w:instrText>
      </w:r>
      <w:r>
        <w:rPr>
          <w:rFonts w:ascii="Times New Roman" w:hAnsi="Times New Roman" w:cs="Times New Roman"/>
          <w:sz w:val="24"/>
          <w:szCs w:val="24"/>
        </w:rPr>
        <w:fldChar w:fldCharType="separate"/>
      </w:r>
      <w:r>
        <w:rPr>
          <w:rFonts w:ascii="Times New Roman" w:hAnsi="Times New Roman" w:cs="Times New Roman"/>
          <w:sz w:val="24"/>
          <w:szCs w:val="24"/>
        </w:rPr>
        <w:t>89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"_Toc16501" </w:instrText>
      </w:r>
      <w:r>
        <w:fldChar w:fldCharType="separate"/>
      </w:r>
      <w:r>
        <w:rPr>
          <w:rFonts w:ascii="Times New Roman" w:hAnsi="Times New Roman" w:cs="Times New Roman"/>
          <w:sz w:val="24"/>
          <w:szCs w:val="24"/>
        </w:rPr>
        <w:t>8.10  质量控制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_Toc16501 </w:instrText>
      </w:r>
      <w:r>
        <w:rPr>
          <w:rFonts w:ascii="Times New Roman" w:hAnsi="Times New Roman" w:cs="Times New Roman"/>
          <w:sz w:val="24"/>
          <w:szCs w:val="24"/>
        </w:rPr>
        <w:fldChar w:fldCharType="separate"/>
      </w:r>
      <w:r>
        <w:rPr>
          <w:rFonts w:ascii="Times New Roman" w:hAnsi="Times New Roman" w:cs="Times New Roman"/>
          <w:sz w:val="24"/>
          <w:szCs w:val="24"/>
        </w:rPr>
        <w:t>90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"_Toc28041" </w:instrText>
      </w:r>
      <w:r>
        <w:fldChar w:fldCharType="separate"/>
      </w:r>
      <w:r>
        <w:rPr>
          <w:rFonts w:ascii="Times New Roman" w:hAnsi="Times New Roman" w:cs="Times New Roman"/>
          <w:sz w:val="24"/>
          <w:szCs w:val="24"/>
        </w:rPr>
        <w:t>9  顶进施工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_Toc28041 </w:instrText>
      </w:r>
      <w:r>
        <w:rPr>
          <w:rFonts w:ascii="Times New Roman" w:hAnsi="Times New Roman" w:cs="Times New Roman"/>
          <w:sz w:val="24"/>
          <w:szCs w:val="24"/>
        </w:rPr>
        <w:fldChar w:fldCharType="separate"/>
      </w:r>
      <w:r>
        <w:rPr>
          <w:rFonts w:ascii="Times New Roman" w:hAnsi="Times New Roman" w:cs="Times New Roman"/>
          <w:sz w:val="24"/>
          <w:szCs w:val="24"/>
        </w:rPr>
        <w:t>92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"_Toc18276" </w:instrText>
      </w:r>
      <w:r>
        <w:fldChar w:fldCharType="separate"/>
      </w:r>
      <w:r>
        <w:rPr>
          <w:rFonts w:ascii="Times New Roman" w:hAnsi="Times New Roman" w:cs="Times New Roman"/>
          <w:sz w:val="24"/>
          <w:szCs w:val="24"/>
        </w:rPr>
        <w:t>9.1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_Toc18276 </w:instrText>
      </w:r>
      <w:r>
        <w:rPr>
          <w:rFonts w:ascii="Times New Roman" w:hAnsi="Times New Roman" w:cs="Times New Roman"/>
          <w:sz w:val="24"/>
          <w:szCs w:val="24"/>
        </w:rPr>
        <w:fldChar w:fldCharType="separate"/>
      </w:r>
      <w:r>
        <w:rPr>
          <w:rFonts w:ascii="Times New Roman" w:hAnsi="Times New Roman" w:cs="Times New Roman"/>
          <w:sz w:val="24"/>
          <w:szCs w:val="24"/>
        </w:rPr>
        <w:t>92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"_Toc18945" </w:instrText>
      </w:r>
      <w:r>
        <w:fldChar w:fldCharType="separate"/>
      </w:r>
      <w:r>
        <w:rPr>
          <w:rFonts w:ascii="Times New Roman" w:hAnsi="Times New Roman" w:cs="Times New Roman"/>
          <w:sz w:val="24"/>
          <w:szCs w:val="24"/>
        </w:rPr>
        <w:t>9.2  施工组织设计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_Toc18945 </w:instrText>
      </w:r>
      <w:r>
        <w:rPr>
          <w:rFonts w:ascii="Times New Roman" w:hAnsi="Times New Roman" w:cs="Times New Roman"/>
          <w:sz w:val="24"/>
          <w:szCs w:val="24"/>
        </w:rPr>
        <w:fldChar w:fldCharType="separate"/>
      </w:r>
      <w:r>
        <w:rPr>
          <w:rFonts w:ascii="Times New Roman" w:hAnsi="Times New Roman" w:cs="Times New Roman"/>
          <w:sz w:val="24"/>
          <w:szCs w:val="24"/>
        </w:rPr>
        <w:t>93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"_Toc14161" </w:instrText>
      </w:r>
      <w:r>
        <w:fldChar w:fldCharType="separate"/>
      </w:r>
      <w:r>
        <w:rPr>
          <w:rFonts w:ascii="Times New Roman" w:hAnsi="Times New Roman" w:cs="Times New Roman"/>
          <w:sz w:val="24"/>
          <w:szCs w:val="24"/>
        </w:rPr>
        <w:t>9.3  顶管始发与接收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_Toc14161 </w:instrText>
      </w:r>
      <w:r>
        <w:rPr>
          <w:rFonts w:ascii="Times New Roman" w:hAnsi="Times New Roman" w:cs="Times New Roman"/>
          <w:sz w:val="24"/>
          <w:szCs w:val="24"/>
        </w:rPr>
        <w:fldChar w:fldCharType="separate"/>
      </w:r>
      <w:r>
        <w:rPr>
          <w:rFonts w:ascii="Times New Roman" w:hAnsi="Times New Roman" w:cs="Times New Roman"/>
          <w:sz w:val="24"/>
          <w:szCs w:val="24"/>
        </w:rPr>
        <w:t>95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"_Toc24282" </w:instrText>
      </w:r>
      <w:r>
        <w:fldChar w:fldCharType="separate"/>
      </w:r>
      <w:r>
        <w:rPr>
          <w:rFonts w:ascii="Times New Roman" w:hAnsi="Times New Roman" w:cs="Times New Roman"/>
          <w:sz w:val="24"/>
          <w:szCs w:val="24"/>
        </w:rPr>
        <w:t>9.4  顶管掘进</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_Toc24282 </w:instrText>
      </w:r>
      <w:r>
        <w:rPr>
          <w:rFonts w:ascii="Times New Roman" w:hAnsi="Times New Roman" w:cs="Times New Roman"/>
          <w:sz w:val="24"/>
          <w:szCs w:val="24"/>
        </w:rPr>
        <w:fldChar w:fldCharType="separate"/>
      </w:r>
      <w:r>
        <w:rPr>
          <w:rFonts w:ascii="Times New Roman" w:hAnsi="Times New Roman" w:cs="Times New Roman"/>
          <w:sz w:val="24"/>
          <w:szCs w:val="24"/>
        </w:rPr>
        <w:t>98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"_Toc27902" </w:instrText>
      </w:r>
      <w:r>
        <w:fldChar w:fldCharType="separate"/>
      </w:r>
      <w:r>
        <w:rPr>
          <w:rFonts w:ascii="Times New Roman" w:hAnsi="Times New Roman" w:cs="Times New Roman"/>
          <w:sz w:val="24"/>
          <w:szCs w:val="24"/>
        </w:rPr>
        <w:t>9.5  注浆减阻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_Toc27902 </w:instrText>
      </w:r>
      <w:r>
        <w:rPr>
          <w:rFonts w:ascii="Times New Roman" w:hAnsi="Times New Roman" w:cs="Times New Roman"/>
          <w:sz w:val="24"/>
          <w:szCs w:val="24"/>
        </w:rPr>
        <w:fldChar w:fldCharType="separate"/>
      </w:r>
      <w:r>
        <w:rPr>
          <w:rFonts w:ascii="Times New Roman" w:hAnsi="Times New Roman" w:cs="Times New Roman"/>
          <w:sz w:val="24"/>
          <w:szCs w:val="24"/>
        </w:rPr>
        <w:t>102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"_Toc31430" </w:instrText>
      </w:r>
      <w:r>
        <w:fldChar w:fldCharType="separate"/>
      </w:r>
      <w:r>
        <w:rPr>
          <w:rFonts w:ascii="Times New Roman" w:hAnsi="Times New Roman" w:cs="Times New Roman"/>
          <w:sz w:val="24"/>
          <w:szCs w:val="24"/>
        </w:rPr>
        <w:t>9.6  土体改良</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_Toc31430 </w:instrText>
      </w:r>
      <w:r>
        <w:rPr>
          <w:rFonts w:ascii="Times New Roman" w:hAnsi="Times New Roman" w:cs="Times New Roman"/>
          <w:sz w:val="24"/>
          <w:szCs w:val="24"/>
        </w:rPr>
        <w:fldChar w:fldCharType="separate"/>
      </w:r>
      <w:r>
        <w:rPr>
          <w:rFonts w:ascii="Times New Roman" w:hAnsi="Times New Roman" w:cs="Times New Roman"/>
          <w:sz w:val="24"/>
          <w:szCs w:val="24"/>
        </w:rPr>
        <w:t>105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"_Toc5507" </w:instrText>
      </w:r>
      <w:r>
        <w:fldChar w:fldCharType="separate"/>
      </w:r>
      <w:r>
        <w:rPr>
          <w:rFonts w:ascii="Times New Roman" w:hAnsi="Times New Roman" w:cs="Times New Roman"/>
          <w:sz w:val="24"/>
          <w:szCs w:val="24"/>
        </w:rPr>
        <w:t>9.7  测量和姿态控制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_Toc5507 </w:instrText>
      </w:r>
      <w:r>
        <w:rPr>
          <w:rFonts w:ascii="Times New Roman" w:hAnsi="Times New Roman" w:cs="Times New Roman"/>
          <w:sz w:val="24"/>
          <w:szCs w:val="24"/>
        </w:rPr>
        <w:fldChar w:fldCharType="separate"/>
      </w:r>
      <w:r>
        <w:rPr>
          <w:rFonts w:ascii="Times New Roman" w:hAnsi="Times New Roman" w:cs="Times New Roman"/>
          <w:sz w:val="24"/>
          <w:szCs w:val="24"/>
        </w:rPr>
        <w:t>107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"_Toc29435" </w:instrText>
      </w:r>
      <w:r>
        <w:fldChar w:fldCharType="separate"/>
      </w:r>
      <w:r>
        <w:rPr>
          <w:rFonts w:ascii="Times New Roman" w:hAnsi="Times New Roman" w:cs="Times New Roman"/>
          <w:sz w:val="24"/>
          <w:szCs w:val="24"/>
        </w:rPr>
        <w:t>9.8  监测与变形控制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_Toc29435 </w:instrText>
      </w:r>
      <w:r>
        <w:rPr>
          <w:rFonts w:ascii="Times New Roman" w:hAnsi="Times New Roman" w:cs="Times New Roman"/>
          <w:sz w:val="24"/>
          <w:szCs w:val="24"/>
        </w:rPr>
        <w:fldChar w:fldCharType="separate"/>
      </w:r>
      <w:r>
        <w:rPr>
          <w:rFonts w:ascii="Times New Roman" w:hAnsi="Times New Roman" w:cs="Times New Roman"/>
          <w:sz w:val="24"/>
          <w:szCs w:val="24"/>
        </w:rPr>
        <w:t>110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"_Toc9144" </w:instrText>
      </w:r>
      <w:r>
        <w:fldChar w:fldCharType="separate"/>
      </w:r>
      <w:r>
        <w:rPr>
          <w:rFonts w:ascii="Times New Roman" w:hAnsi="Times New Roman" w:cs="Times New Roman"/>
          <w:sz w:val="24"/>
          <w:szCs w:val="24"/>
        </w:rPr>
        <w:t>9.9  顶管机拆解与吊出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_Toc9144 </w:instrText>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8306"/>
        </w:tabs>
        <w:rPr>
          <w:rFonts w:ascii="Times New Roman" w:hAnsi="Times New Roman" w:cs="Times New Roman"/>
          <w:sz w:val="24"/>
          <w:szCs w:val="24"/>
        </w:rPr>
      </w:pPr>
      <w:r>
        <w:fldChar w:fldCharType="begin"/>
      </w:r>
      <w:r>
        <w:instrText xml:space="preserve"> HYPERLINK \l "_Toc32645" </w:instrText>
      </w:r>
      <w:r>
        <w:fldChar w:fldCharType="separate"/>
      </w:r>
      <w:r>
        <w:rPr>
          <w:rFonts w:ascii="Times New Roman" w:hAnsi="Times New Roman" w:cs="Times New Roman"/>
          <w:sz w:val="24"/>
          <w:szCs w:val="24"/>
        </w:rPr>
        <w:t>9.10  质量控制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_Toc32645 </w:instrText>
      </w:r>
      <w:r>
        <w:rPr>
          <w:rFonts w:ascii="Times New Roman" w:hAnsi="Times New Roman" w:cs="Times New Roman"/>
          <w:sz w:val="24"/>
          <w:szCs w:val="24"/>
        </w:rPr>
        <w:fldChar w:fldCharType="separate"/>
      </w:r>
      <w:r>
        <w:rPr>
          <w:rFonts w:ascii="Times New Roman" w:hAnsi="Times New Roman" w:cs="Times New Roman"/>
          <w:sz w:val="24"/>
          <w:szCs w:val="24"/>
        </w:rPr>
        <w:t>114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"_Toc1472" </w:instrText>
      </w:r>
      <w:r>
        <w:fldChar w:fldCharType="separate"/>
      </w:r>
      <w:r>
        <w:rPr>
          <w:rFonts w:ascii="Times New Roman" w:hAnsi="Times New Roman" w:cs="Times New Roman"/>
          <w:sz w:val="24"/>
          <w:szCs w:val="24"/>
        </w:rPr>
        <w:t>10  工程验收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_Toc1472 </w:instrText>
      </w:r>
      <w:r>
        <w:rPr>
          <w:rFonts w:ascii="Times New Roman" w:hAnsi="Times New Roman" w:cs="Times New Roman"/>
          <w:sz w:val="24"/>
          <w:szCs w:val="24"/>
        </w:rPr>
        <w:fldChar w:fldCharType="separate"/>
      </w:r>
      <w:r>
        <w:rPr>
          <w:rFonts w:ascii="Times New Roman" w:hAnsi="Times New Roman" w:cs="Times New Roman"/>
          <w:sz w:val="24"/>
          <w:szCs w:val="24"/>
        </w:rPr>
        <w:t>116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"_Toc15134" </w:instrText>
      </w:r>
      <w:r>
        <w:fldChar w:fldCharType="separate"/>
      </w:r>
      <w:r>
        <w:rPr>
          <w:rFonts w:ascii="Times New Roman" w:hAnsi="Times New Roman" w:cs="Times New Roman"/>
          <w:kern w:val="44"/>
          <w:sz w:val="24"/>
          <w:szCs w:val="24"/>
        </w:rPr>
        <w:t>本规程用词说明</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_Toc15134 </w:instrText>
      </w:r>
      <w:r>
        <w:rPr>
          <w:rFonts w:ascii="Times New Roman" w:hAnsi="Times New Roman" w:cs="Times New Roman"/>
          <w:sz w:val="24"/>
          <w:szCs w:val="24"/>
        </w:rPr>
        <w:fldChar w:fldCharType="separate"/>
      </w:r>
      <w:r>
        <w:rPr>
          <w:rFonts w:ascii="Times New Roman" w:hAnsi="Times New Roman" w:cs="Times New Roman"/>
          <w:sz w:val="24"/>
          <w:szCs w:val="24"/>
        </w:rPr>
        <w:t>124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"_Toc17415" </w:instrText>
      </w:r>
      <w:r>
        <w:fldChar w:fldCharType="separate"/>
      </w:r>
      <w:r>
        <w:rPr>
          <w:rFonts w:ascii="Times New Roman" w:hAnsi="Times New Roman" w:cs="Times New Roman"/>
          <w:kern w:val="44"/>
          <w:sz w:val="24"/>
          <w:szCs w:val="24"/>
        </w:rPr>
        <w:t>引用标准名录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_Toc17415 </w:instrText>
      </w:r>
      <w:r>
        <w:rPr>
          <w:rFonts w:ascii="Times New Roman" w:hAnsi="Times New Roman" w:cs="Times New Roman"/>
          <w:sz w:val="24"/>
          <w:szCs w:val="24"/>
        </w:rPr>
        <w:fldChar w:fldCharType="separate"/>
      </w:r>
      <w:r>
        <w:rPr>
          <w:rFonts w:ascii="Times New Roman" w:hAnsi="Times New Roman" w:cs="Times New Roman"/>
          <w:sz w:val="24"/>
          <w:szCs w:val="24"/>
        </w:rPr>
        <w:t>125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8306"/>
        </w:tabs>
        <w:rPr>
          <w:rFonts w:ascii="Times New Roman" w:hAnsi="Times New Roman" w:cs="Times New Roman"/>
          <w:sz w:val="24"/>
          <w:szCs w:val="24"/>
        </w:rPr>
      </w:pPr>
      <w:r>
        <w:fldChar w:fldCharType="begin"/>
      </w:r>
      <w:r>
        <w:instrText xml:space="preserve"> HYPERLINK \l "_Toc27310" </w:instrText>
      </w:r>
      <w:r>
        <w:fldChar w:fldCharType="separate"/>
      </w:r>
      <w:r>
        <w:rPr>
          <w:rFonts w:ascii="Times New Roman" w:hAnsi="Times New Roman" w:cs="Times New Roman"/>
          <w:sz w:val="24"/>
          <w:szCs w:val="24"/>
        </w:rPr>
        <w:t>制 定 说 明</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_Toc27310 </w:instrText>
      </w:r>
      <w:r>
        <w:rPr>
          <w:rFonts w:ascii="Times New Roman" w:hAnsi="Times New Roman" w:cs="Times New Roman"/>
          <w:sz w:val="24"/>
          <w:szCs w:val="24"/>
        </w:rPr>
        <w:fldChar w:fldCharType="separate"/>
      </w:r>
      <w:r>
        <w:rPr>
          <w:rFonts w:ascii="Times New Roman" w:hAnsi="Times New Roman" w:cs="Times New Roman"/>
          <w:sz w:val="24"/>
          <w:szCs w:val="24"/>
        </w:rPr>
        <w:t>128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spacing w:line="240" w:lineRule="auto"/>
      </w:pPr>
      <w:r>
        <w:rPr>
          <w:szCs w:val="24"/>
        </w:rPr>
        <w:fldChar w:fldCharType="end"/>
      </w:r>
      <w:r>
        <w:br w:type="page"/>
      </w:r>
    </w:p>
    <w:p>
      <w:pPr>
        <w:pStyle w:val="2"/>
        <w:spacing w:before="0"/>
      </w:pPr>
      <w:bookmarkStart w:id="12" w:name="_Toc18057021"/>
      <w:bookmarkStart w:id="13" w:name="_Toc463446168"/>
      <w:bookmarkStart w:id="14" w:name="_Toc2215"/>
      <w:r>
        <w:t xml:space="preserve">1  </w:t>
      </w:r>
      <w:r>
        <w:rPr>
          <w:rFonts w:hint="eastAsia"/>
        </w:rPr>
        <w:t>总则</w:t>
      </w:r>
      <w:bookmarkEnd w:id="11"/>
      <w:bookmarkEnd w:id="12"/>
      <w:bookmarkEnd w:id="13"/>
      <w:bookmarkEnd w:id="14"/>
    </w:p>
    <w:p>
      <w:r>
        <w:rPr>
          <w:b/>
        </w:rPr>
        <w:t xml:space="preserve">1.0.1  </w:t>
      </w:r>
      <w:r>
        <w:rPr>
          <w:rFonts w:hint="eastAsia"/>
        </w:rPr>
        <w:t>为在矩形顶管工程做到安全适用、技术先进、经济合理、确保质量、保护环境，制订本规程。</w:t>
      </w:r>
    </w:p>
    <w:p>
      <w:r>
        <w:rPr>
          <w:b/>
        </w:rPr>
        <w:t xml:space="preserve">1.0.2  </w:t>
      </w:r>
      <w:r>
        <w:rPr>
          <w:rFonts w:hint="eastAsia"/>
        </w:rPr>
        <w:t>本规程适用于矩形断面顶管工程的设计、施工及验收，特别适用于横断面积大于20m</w:t>
      </w:r>
      <w:r>
        <w:rPr>
          <w:rFonts w:hint="eastAsia"/>
          <w:vertAlign w:val="superscript"/>
        </w:rPr>
        <w:t>2</w:t>
      </w:r>
      <w:r>
        <w:rPr>
          <w:rFonts w:hint="eastAsia"/>
        </w:rPr>
        <w:t>的矩形顶管。</w:t>
      </w:r>
    </w:p>
    <w:p>
      <w:pPr>
        <w:rPr>
          <w:rFonts w:eastAsia="仿宋"/>
        </w:rPr>
      </w:pPr>
      <w:r>
        <w:rPr>
          <w:rFonts w:eastAsia="仿宋"/>
          <w:b/>
          <w:bCs/>
        </w:rPr>
        <w:t>【条文说明】：1.0.2</w:t>
      </w:r>
      <w:r>
        <w:rPr>
          <w:rFonts w:eastAsia="仿宋"/>
        </w:rPr>
        <w:t xml:space="preserve">  矩形顶管技术是在圆形顶管技术的基础上发展而来，相比于圆形管道，矩形顶管的空间利用率更高，其有效使用面积较圆形增大20%以上，因此，在隧道、管廊、过街通道等工程中比传统施工技术有更大的优势。随着城市地下空间开发利用的不断加强，矩形顶管技术能较好应用于电力隧道、地下过街横通道、地铁进出站通道及近年来提出的综合管廊工程建设施工中，目前矩形顶管机主要包括土压平衡式顶管机与泥水平衡式顶管机。</w:t>
      </w:r>
    </w:p>
    <w:p>
      <w:r>
        <w:rPr>
          <w:b/>
        </w:rPr>
        <w:t xml:space="preserve">1.0.3  </w:t>
      </w:r>
      <w:r>
        <w:rPr>
          <w:rFonts w:hint="eastAsia"/>
        </w:rPr>
        <w:t>矩形顶管工程应综合考虑各地区的工程地质、水文地质和周边环境等条件，合理选择施工设备与工艺，精心施工，严格监控。</w:t>
      </w:r>
    </w:p>
    <w:p>
      <w:r>
        <w:rPr>
          <w:b/>
        </w:rPr>
        <w:t xml:space="preserve">1.0.4  </w:t>
      </w:r>
      <w:r>
        <w:rPr>
          <w:rFonts w:hint="eastAsia"/>
        </w:rPr>
        <w:t>矩形顶管工程除应符合本规程的规定外，尚应符合国家现行有关标准的规定。</w:t>
      </w:r>
    </w:p>
    <w:p>
      <w:pPr>
        <w:rPr>
          <w:rFonts w:eastAsiaTheme="minorEastAsia"/>
          <w:b/>
          <w:szCs w:val="22"/>
        </w:rPr>
        <w:sectPr>
          <w:pgSz w:w="11906" w:h="16838"/>
          <w:pgMar w:top="1440" w:right="1800" w:bottom="1440" w:left="1800" w:header="851" w:footer="992" w:gutter="0"/>
          <w:cols w:space="425" w:num="1"/>
          <w:docGrid w:type="lines" w:linePitch="312" w:charSpace="0"/>
        </w:sectPr>
      </w:pPr>
    </w:p>
    <w:p>
      <w:pPr>
        <w:keepNext/>
        <w:keepLines/>
        <w:spacing w:before="340" w:after="330"/>
        <w:jc w:val="center"/>
        <w:outlineLvl w:val="0"/>
        <w:rPr>
          <w:rFonts w:eastAsia="Times New Roman"/>
          <w:b/>
          <w:bCs/>
          <w:kern w:val="44"/>
          <w:sz w:val="32"/>
          <w:szCs w:val="44"/>
        </w:rPr>
      </w:pPr>
      <w:bookmarkStart w:id="15" w:name="_Toc463446169"/>
      <w:bookmarkStart w:id="16" w:name="_Toc455393070"/>
      <w:bookmarkStart w:id="17" w:name="_Toc18057022"/>
      <w:bookmarkStart w:id="18" w:name="_Toc29407"/>
      <w:r>
        <w:rPr>
          <w:rFonts w:eastAsia="Times New Roman"/>
          <w:b/>
          <w:bCs/>
          <w:kern w:val="44"/>
          <w:sz w:val="32"/>
          <w:szCs w:val="44"/>
        </w:rPr>
        <w:t xml:space="preserve">2  </w:t>
      </w:r>
      <w:r>
        <w:rPr>
          <w:rFonts w:hint="eastAsia"/>
          <w:b/>
          <w:bCs/>
          <w:kern w:val="44"/>
          <w:sz w:val="32"/>
          <w:szCs w:val="44"/>
        </w:rPr>
        <w:t>术语和符号</w:t>
      </w:r>
      <w:bookmarkEnd w:id="15"/>
      <w:bookmarkEnd w:id="16"/>
      <w:bookmarkEnd w:id="17"/>
      <w:bookmarkEnd w:id="18"/>
    </w:p>
    <w:p>
      <w:pPr>
        <w:pStyle w:val="3"/>
      </w:pPr>
      <w:bookmarkStart w:id="19" w:name="_Toc463446170"/>
      <w:bookmarkStart w:id="20" w:name="_Toc455393071"/>
      <w:bookmarkStart w:id="21" w:name="_Toc422210023"/>
      <w:bookmarkStart w:id="22" w:name="_Toc18057023"/>
      <w:bookmarkStart w:id="23" w:name="_Toc7797"/>
      <w:r>
        <w:t xml:space="preserve">2.1  </w:t>
      </w:r>
      <w:r>
        <w:rPr>
          <w:rFonts w:hint="eastAsia"/>
        </w:rPr>
        <w:t>术语</w:t>
      </w:r>
      <w:bookmarkEnd w:id="19"/>
      <w:bookmarkEnd w:id="20"/>
      <w:bookmarkEnd w:id="21"/>
      <w:bookmarkEnd w:id="22"/>
      <w:bookmarkEnd w:id="23"/>
    </w:p>
    <w:p>
      <w:pPr>
        <w:rPr>
          <w:b/>
          <w:bCs/>
        </w:rPr>
      </w:pPr>
      <w:r>
        <w:rPr>
          <w:b/>
          <w:bCs/>
        </w:rPr>
        <w:t xml:space="preserve">2.1.1  </w:t>
      </w:r>
      <w:r>
        <w:rPr>
          <w:rFonts w:hint="eastAsia"/>
          <w:b/>
          <w:bCs/>
        </w:rPr>
        <w:t>顶管</w:t>
      </w:r>
      <w:r>
        <w:rPr>
          <w:b/>
          <w:bCs/>
        </w:rPr>
        <w:t xml:space="preserve">    pipe jacking</w:t>
      </w:r>
    </w:p>
    <w:p>
      <w:pPr>
        <w:ind w:firstLine="480" w:firstLineChars="200"/>
      </w:pPr>
      <w:r>
        <w:rPr>
          <w:rFonts w:hint="eastAsia"/>
        </w:rPr>
        <w:t>地下管道（隧道）施工中，依靠顶管机和顶进装置，将管节在地下逐节顶进的施工工法。</w:t>
      </w:r>
    </w:p>
    <w:p>
      <w:pPr>
        <w:rPr>
          <w:b/>
          <w:bCs/>
          <w:sz w:val="32"/>
          <w:szCs w:val="32"/>
        </w:rPr>
      </w:pPr>
      <w:r>
        <w:rPr>
          <w:b/>
          <w:bCs/>
        </w:rPr>
        <w:t xml:space="preserve">2.1.2  </w:t>
      </w:r>
      <w:r>
        <w:rPr>
          <w:rFonts w:hint="eastAsia"/>
          <w:b/>
          <w:bCs/>
        </w:rPr>
        <w:t>矩形顶管机</w:t>
      </w:r>
      <w:r>
        <w:rPr>
          <w:b/>
          <w:bCs/>
        </w:rPr>
        <w:t xml:space="preserve">    jacking machine with rectangular cross section</w:t>
      </w:r>
      <w:r>
        <w:rPr>
          <w:b/>
          <w:bCs/>
          <w:sz w:val="32"/>
          <w:szCs w:val="32"/>
        </w:rPr>
        <w:t xml:space="preserve"> </w:t>
      </w:r>
    </w:p>
    <w:p>
      <w:pPr>
        <w:ind w:firstLine="480" w:firstLineChars="200"/>
        <w:rPr>
          <w:rFonts w:eastAsiaTheme="minorEastAsia"/>
          <w:szCs w:val="22"/>
        </w:rPr>
      </w:pPr>
      <w:r>
        <w:rPr>
          <w:rFonts w:hint="eastAsia" w:eastAsiaTheme="minorEastAsia"/>
          <w:szCs w:val="22"/>
        </w:rPr>
        <w:t>采用矩形横断面的顶管掘进成套设备。</w:t>
      </w:r>
    </w:p>
    <w:p>
      <w:pPr>
        <w:rPr>
          <w:b/>
          <w:bCs/>
        </w:rPr>
      </w:pPr>
      <w:r>
        <w:rPr>
          <w:b/>
          <w:bCs/>
        </w:rPr>
        <w:t xml:space="preserve">2.1.3  </w:t>
      </w:r>
      <w:r>
        <w:rPr>
          <w:rFonts w:hint="eastAsia"/>
          <w:b/>
          <w:bCs/>
        </w:rPr>
        <w:t>土压平衡矩形顶管机</w:t>
      </w:r>
      <w:r>
        <w:rPr>
          <w:b/>
          <w:bCs/>
        </w:rPr>
        <w:t xml:space="preserve">    earth pressure balanced pipe jacking machine</w:t>
      </w:r>
    </w:p>
    <w:p>
      <w:pPr>
        <w:ind w:firstLine="420"/>
        <w:rPr>
          <w:rFonts w:eastAsiaTheme="minorEastAsia"/>
          <w:szCs w:val="22"/>
        </w:rPr>
      </w:pPr>
      <w:r>
        <w:rPr>
          <w:rFonts w:hint="eastAsia" w:eastAsiaTheme="minorEastAsia"/>
          <w:szCs w:val="22"/>
        </w:rPr>
        <w:t>以渣土为主要介质平衡隧道开挖面地层压力，通过螺旋输送机出渣的矩形顶管机。</w:t>
      </w:r>
    </w:p>
    <w:p>
      <w:pPr>
        <w:rPr>
          <w:b/>
          <w:bCs/>
        </w:rPr>
      </w:pPr>
      <w:r>
        <w:rPr>
          <w:b/>
          <w:bCs/>
        </w:rPr>
        <w:t xml:space="preserve">2.1.4  </w:t>
      </w:r>
      <w:r>
        <w:rPr>
          <w:rFonts w:hint="eastAsia"/>
          <w:b/>
          <w:bCs/>
        </w:rPr>
        <w:t>泥水平衡矩形顶管机</w:t>
      </w:r>
      <w:r>
        <w:rPr>
          <w:b/>
          <w:bCs/>
        </w:rPr>
        <w:t xml:space="preserve">    slurry balanced pipe jacking machine</w:t>
      </w:r>
    </w:p>
    <w:p>
      <w:pPr>
        <w:ind w:firstLine="420"/>
        <w:rPr>
          <w:rFonts w:eastAsiaTheme="minorEastAsia"/>
          <w:szCs w:val="22"/>
        </w:rPr>
      </w:pPr>
      <w:r>
        <w:rPr>
          <w:rFonts w:hint="eastAsia" w:eastAsiaTheme="minorEastAsia"/>
          <w:szCs w:val="22"/>
        </w:rPr>
        <w:t>以泥浆为主要介质平衡隧道开挖面地层压力，通过泥浆输送系统出渣的矩形顶管机。</w:t>
      </w:r>
    </w:p>
    <w:p>
      <w:pPr>
        <w:rPr>
          <w:b/>
          <w:bCs/>
        </w:rPr>
      </w:pPr>
      <w:r>
        <w:rPr>
          <w:b/>
          <w:bCs/>
        </w:rPr>
        <w:t xml:space="preserve">2.1.5  </w:t>
      </w:r>
      <w:r>
        <w:rPr>
          <w:rFonts w:hint="eastAsia"/>
          <w:b/>
          <w:bCs/>
        </w:rPr>
        <w:t>人舱</w:t>
      </w:r>
      <w:r>
        <w:rPr>
          <w:b/>
          <w:bCs/>
        </w:rPr>
        <w:t xml:space="preserve">  </w:t>
      </w:r>
      <w:r>
        <w:rPr>
          <w:rFonts w:hint="eastAsia"/>
          <w:b/>
          <w:bCs/>
        </w:rPr>
        <w:t>h</w:t>
      </w:r>
      <w:r>
        <w:rPr>
          <w:b/>
          <w:bCs/>
        </w:rPr>
        <w:t>uman cabin</w:t>
      </w:r>
    </w:p>
    <w:p>
      <w:pPr>
        <w:ind w:firstLine="480" w:firstLineChars="200"/>
        <w:rPr>
          <w:rFonts w:eastAsiaTheme="minorEastAsia"/>
          <w:szCs w:val="22"/>
        </w:rPr>
      </w:pPr>
      <w:r>
        <w:rPr>
          <w:rFonts w:hint="eastAsia" w:eastAsiaTheme="minorEastAsia"/>
          <w:szCs w:val="22"/>
        </w:rPr>
        <w:t>供人员进、出土仓或泥水仓的气压过渡仓。舱室可以并联、串联或分开布置。</w:t>
      </w:r>
    </w:p>
    <w:p>
      <w:pPr>
        <w:rPr>
          <w:b/>
          <w:bCs/>
        </w:rPr>
      </w:pPr>
      <w:r>
        <w:rPr>
          <w:b/>
          <w:bCs/>
        </w:rPr>
        <w:t xml:space="preserve">2.1.6  </w:t>
      </w:r>
      <w:r>
        <w:rPr>
          <w:rFonts w:hint="eastAsia"/>
          <w:b/>
          <w:bCs/>
        </w:rPr>
        <w:t>工作井</w:t>
      </w:r>
      <w:r>
        <w:rPr>
          <w:b/>
          <w:bCs/>
        </w:rPr>
        <w:t xml:space="preserve">    working shaft</w:t>
      </w:r>
    </w:p>
    <w:p>
      <w:pPr>
        <w:ind w:firstLine="420"/>
        <w:rPr>
          <w:rFonts w:eastAsiaTheme="minorEastAsia"/>
          <w:szCs w:val="22"/>
        </w:rPr>
      </w:pPr>
      <w:r>
        <w:rPr>
          <w:rFonts w:hint="eastAsia" w:eastAsiaTheme="minorEastAsia"/>
          <w:szCs w:val="22"/>
        </w:rPr>
        <w:t>用于顶管设备安装调试、管节拼装及顶进施工的地下作业空间。</w:t>
      </w:r>
    </w:p>
    <w:p>
      <w:pPr>
        <w:rPr>
          <w:b/>
          <w:bCs/>
        </w:rPr>
      </w:pPr>
      <w:r>
        <w:rPr>
          <w:b/>
          <w:bCs/>
        </w:rPr>
        <w:t xml:space="preserve">2.1.7  </w:t>
      </w:r>
      <w:r>
        <w:rPr>
          <w:rFonts w:hint="eastAsia"/>
          <w:b/>
          <w:bCs/>
        </w:rPr>
        <w:t>大断面矩形顶管</w:t>
      </w:r>
      <w:r>
        <w:rPr>
          <w:b/>
          <w:bCs/>
        </w:rPr>
        <w:t xml:space="preserve">   pipe jacking engineering with  larger rectangular cross section</w:t>
      </w:r>
    </w:p>
    <w:p>
      <w:pPr>
        <w:ind w:firstLine="420"/>
        <w:rPr>
          <w:rFonts w:eastAsiaTheme="minorEastAsia"/>
          <w:szCs w:val="22"/>
        </w:rPr>
      </w:pPr>
      <w:r>
        <w:rPr>
          <w:rFonts w:hint="eastAsia" w:eastAsiaTheme="minorEastAsia"/>
          <w:szCs w:val="22"/>
        </w:rPr>
        <w:t>横断面积不小于4</w:t>
      </w:r>
      <w:r>
        <w:rPr>
          <w:rFonts w:eastAsiaTheme="minorEastAsia"/>
          <w:szCs w:val="22"/>
        </w:rPr>
        <w:t>0m</w:t>
      </w:r>
      <w:r>
        <w:rPr>
          <w:rFonts w:eastAsiaTheme="minorEastAsia"/>
          <w:szCs w:val="22"/>
          <w:vertAlign w:val="superscript"/>
        </w:rPr>
        <w:t>2</w:t>
      </w:r>
      <w:r>
        <w:rPr>
          <w:rFonts w:hint="eastAsia" w:eastAsiaTheme="minorEastAsia"/>
          <w:szCs w:val="22"/>
        </w:rPr>
        <w:t>的矩形顶管。</w:t>
      </w:r>
    </w:p>
    <w:p>
      <w:pPr>
        <w:rPr>
          <w:rFonts w:eastAsiaTheme="minorEastAsia"/>
          <w:szCs w:val="22"/>
        </w:rPr>
      </w:pPr>
      <w:r>
        <w:rPr>
          <w:rFonts w:eastAsiaTheme="minorEastAsia"/>
          <w:b/>
          <w:szCs w:val="22"/>
        </w:rPr>
        <w:t xml:space="preserve">2.1.8  </w:t>
      </w:r>
      <w:r>
        <w:rPr>
          <w:rFonts w:hint="eastAsia" w:eastAsiaTheme="minorEastAsia"/>
          <w:b/>
          <w:szCs w:val="22"/>
        </w:rPr>
        <w:t>长距离矩形顶管</w:t>
      </w:r>
      <w:r>
        <w:rPr>
          <w:rFonts w:eastAsiaTheme="minorEastAsia"/>
          <w:b/>
          <w:szCs w:val="22"/>
        </w:rPr>
        <w:t xml:space="preserve"> long distance pipe jacking with rectangular cross section</w:t>
      </w:r>
    </w:p>
    <w:p>
      <w:pPr>
        <w:ind w:firstLine="420"/>
        <w:rPr>
          <w:rFonts w:eastAsiaTheme="minorEastAsia"/>
          <w:szCs w:val="22"/>
        </w:rPr>
      </w:pPr>
      <w:r>
        <w:rPr>
          <w:rFonts w:hint="eastAsia" w:eastAsiaTheme="minorEastAsia"/>
          <w:szCs w:val="22"/>
        </w:rPr>
        <w:t>一次顶进长度不少于</w:t>
      </w:r>
      <w:r>
        <w:rPr>
          <w:rFonts w:eastAsiaTheme="minorEastAsia"/>
          <w:szCs w:val="22"/>
        </w:rPr>
        <w:t>300m</w:t>
      </w:r>
      <w:r>
        <w:rPr>
          <w:rFonts w:hint="eastAsia" w:eastAsiaTheme="minorEastAsia"/>
          <w:szCs w:val="22"/>
        </w:rPr>
        <w:t>的矩形顶管。</w:t>
      </w:r>
    </w:p>
    <w:p>
      <w:pPr>
        <w:rPr>
          <w:rFonts w:eastAsiaTheme="minorEastAsia"/>
          <w:b/>
          <w:szCs w:val="22"/>
        </w:rPr>
      </w:pPr>
      <w:r>
        <w:rPr>
          <w:rFonts w:eastAsiaTheme="minorEastAsia"/>
          <w:b/>
          <w:szCs w:val="22"/>
        </w:rPr>
        <w:t xml:space="preserve">2.1.9  </w:t>
      </w:r>
      <w:r>
        <w:rPr>
          <w:rFonts w:hint="eastAsia" w:eastAsiaTheme="minorEastAsia"/>
          <w:b/>
          <w:szCs w:val="22"/>
        </w:rPr>
        <w:t>导轨</w:t>
      </w:r>
      <w:r>
        <w:rPr>
          <w:rFonts w:eastAsiaTheme="minorEastAsia"/>
          <w:b/>
          <w:szCs w:val="22"/>
        </w:rPr>
        <w:t xml:space="preserve">    rail</w:t>
      </w:r>
    </w:p>
    <w:p>
      <w:pPr>
        <w:ind w:firstLine="420"/>
        <w:rPr>
          <w:rFonts w:eastAsiaTheme="minorEastAsia"/>
          <w:szCs w:val="22"/>
        </w:rPr>
      </w:pPr>
      <w:r>
        <w:rPr>
          <w:rFonts w:hint="eastAsia" w:eastAsiaTheme="minorEastAsia"/>
          <w:szCs w:val="22"/>
        </w:rPr>
        <w:t>铺设在工作井底部，用于顶管工程初始导向和管节拼接用的轨道。</w:t>
      </w:r>
    </w:p>
    <w:p>
      <w:pPr>
        <w:rPr>
          <w:rFonts w:eastAsiaTheme="minorEastAsia"/>
          <w:b/>
          <w:szCs w:val="22"/>
        </w:rPr>
      </w:pPr>
      <w:r>
        <w:rPr>
          <w:rFonts w:eastAsiaTheme="minorEastAsia"/>
          <w:b/>
          <w:szCs w:val="22"/>
        </w:rPr>
        <w:t>2.1.10</w:t>
      </w:r>
      <w:r>
        <w:rPr>
          <w:rFonts w:eastAsiaTheme="minorEastAsia"/>
          <w:szCs w:val="22"/>
        </w:rPr>
        <w:t xml:space="preserve">  </w:t>
      </w:r>
      <w:r>
        <w:rPr>
          <w:rFonts w:hint="eastAsia" w:eastAsiaTheme="minorEastAsia"/>
          <w:b/>
          <w:szCs w:val="22"/>
        </w:rPr>
        <w:t>穿墙洞</w:t>
      </w:r>
      <w:r>
        <w:rPr>
          <w:rFonts w:eastAsiaTheme="minorEastAsia"/>
          <w:b/>
          <w:szCs w:val="22"/>
        </w:rPr>
        <w:t xml:space="preserve">   </w:t>
      </w:r>
      <w:r>
        <w:rPr>
          <w:rFonts w:eastAsiaTheme="minorEastAsia"/>
          <w:szCs w:val="22"/>
        </w:rPr>
        <w:t xml:space="preserve"> </w:t>
      </w:r>
      <w:r>
        <w:rPr>
          <w:rFonts w:eastAsiaTheme="minorEastAsia"/>
          <w:b/>
          <w:szCs w:val="22"/>
        </w:rPr>
        <w:t>hole for penetrating wall</w:t>
      </w:r>
    </w:p>
    <w:p>
      <w:pPr>
        <w:ind w:firstLine="420"/>
        <w:rPr>
          <w:rFonts w:eastAsiaTheme="minorEastAsia"/>
          <w:szCs w:val="22"/>
        </w:rPr>
      </w:pPr>
      <w:r>
        <w:rPr>
          <w:rFonts w:hint="eastAsia" w:eastAsiaTheme="minorEastAsia"/>
          <w:szCs w:val="22"/>
        </w:rPr>
        <w:t>顶管机进出工作井、接收井的洞门。</w:t>
      </w:r>
    </w:p>
    <w:p>
      <w:pPr>
        <w:rPr>
          <w:rFonts w:eastAsiaTheme="minorEastAsia"/>
          <w:szCs w:val="22"/>
        </w:rPr>
      </w:pPr>
      <w:r>
        <w:rPr>
          <w:rFonts w:eastAsiaTheme="minorEastAsia"/>
          <w:b/>
          <w:szCs w:val="22"/>
        </w:rPr>
        <w:t xml:space="preserve">2.1.11  </w:t>
      </w:r>
      <w:r>
        <w:rPr>
          <w:rFonts w:hint="eastAsia" w:eastAsiaTheme="minorEastAsia"/>
          <w:b/>
          <w:szCs w:val="22"/>
        </w:rPr>
        <w:t>始发</w:t>
      </w:r>
      <w:r>
        <w:rPr>
          <w:rFonts w:eastAsiaTheme="minorEastAsia"/>
          <w:szCs w:val="22"/>
        </w:rPr>
        <w:t xml:space="preserve">    </w:t>
      </w:r>
      <w:r>
        <w:rPr>
          <w:rFonts w:eastAsiaTheme="minorEastAsia"/>
          <w:b/>
          <w:szCs w:val="22"/>
        </w:rPr>
        <w:t>originating</w:t>
      </w:r>
    </w:p>
    <w:p>
      <w:pPr>
        <w:ind w:firstLine="480" w:firstLineChars="200"/>
        <w:rPr>
          <w:rFonts w:eastAsiaTheme="minorEastAsia"/>
          <w:szCs w:val="22"/>
        </w:rPr>
      </w:pPr>
      <w:r>
        <w:rPr>
          <w:rFonts w:hint="eastAsia" w:eastAsiaTheme="minorEastAsia"/>
          <w:szCs w:val="22"/>
        </w:rPr>
        <w:t>顶管机由工作井进入地层开始顶进的过程。</w:t>
      </w:r>
    </w:p>
    <w:p>
      <w:pPr>
        <w:rPr>
          <w:rFonts w:eastAsiaTheme="minorEastAsia"/>
          <w:b/>
          <w:szCs w:val="22"/>
        </w:rPr>
      </w:pPr>
      <w:r>
        <w:rPr>
          <w:rFonts w:eastAsiaTheme="minorEastAsia"/>
          <w:b/>
          <w:szCs w:val="22"/>
        </w:rPr>
        <w:t xml:space="preserve">2.1.12  </w:t>
      </w:r>
      <w:r>
        <w:rPr>
          <w:rFonts w:hint="eastAsia" w:eastAsiaTheme="minorEastAsia"/>
          <w:b/>
          <w:szCs w:val="22"/>
        </w:rPr>
        <w:t>接收</w:t>
      </w:r>
      <w:r>
        <w:rPr>
          <w:rFonts w:eastAsiaTheme="minorEastAsia"/>
          <w:b/>
          <w:szCs w:val="22"/>
        </w:rPr>
        <w:t xml:space="preserve"> </w:t>
      </w:r>
      <w:r>
        <w:rPr>
          <w:rFonts w:eastAsiaTheme="minorEastAsia"/>
          <w:szCs w:val="22"/>
        </w:rPr>
        <w:t xml:space="preserve">   </w:t>
      </w:r>
      <w:r>
        <w:rPr>
          <w:rFonts w:eastAsiaTheme="minorEastAsia"/>
          <w:b/>
          <w:szCs w:val="22"/>
        </w:rPr>
        <w:t>receiving</w:t>
      </w:r>
    </w:p>
    <w:p>
      <w:pPr>
        <w:ind w:firstLine="480" w:firstLineChars="200"/>
        <w:rPr>
          <w:rFonts w:eastAsiaTheme="minorEastAsia"/>
          <w:szCs w:val="22"/>
        </w:rPr>
      </w:pPr>
      <w:r>
        <w:rPr>
          <w:rFonts w:hint="eastAsia" w:eastAsiaTheme="minorEastAsia"/>
          <w:szCs w:val="22"/>
        </w:rPr>
        <w:t>顶管机由地层进入接收井完成顶进的过程。</w:t>
      </w:r>
    </w:p>
    <w:p>
      <w:pPr>
        <w:tabs>
          <w:tab w:val="left" w:pos="720"/>
        </w:tabs>
        <w:autoSpaceDE w:val="0"/>
        <w:autoSpaceDN w:val="0"/>
        <w:adjustRightInd w:val="0"/>
        <w:ind w:right="18"/>
        <w:jc w:val="left"/>
        <w:rPr>
          <w:rFonts w:eastAsiaTheme="minorEastAsia"/>
          <w:szCs w:val="22"/>
        </w:rPr>
      </w:pPr>
      <w:r>
        <w:rPr>
          <w:rFonts w:eastAsiaTheme="minorEastAsia"/>
          <w:b/>
          <w:szCs w:val="22"/>
        </w:rPr>
        <w:t xml:space="preserve">2.1.13  </w:t>
      </w:r>
      <w:r>
        <w:rPr>
          <w:rFonts w:hint="eastAsia" w:eastAsiaTheme="minorEastAsia"/>
          <w:b/>
          <w:szCs w:val="22"/>
        </w:rPr>
        <w:t>反力墙</w:t>
      </w:r>
      <w:r>
        <w:rPr>
          <w:rFonts w:eastAsiaTheme="minorEastAsia"/>
          <w:b/>
          <w:szCs w:val="22"/>
        </w:rPr>
        <w:t xml:space="preserve">    reacting-force wall</w:t>
      </w:r>
    </w:p>
    <w:p>
      <w:pPr>
        <w:ind w:firstLine="480" w:firstLineChars="200"/>
        <w:rPr>
          <w:rFonts w:eastAsiaTheme="minorEastAsia"/>
          <w:szCs w:val="22"/>
        </w:rPr>
      </w:pPr>
      <w:r>
        <w:rPr>
          <w:rFonts w:hint="eastAsia" w:eastAsiaTheme="minorEastAsia"/>
          <w:szCs w:val="22"/>
        </w:rPr>
        <w:t>工作井内承受顶推反力的结构墙体。</w:t>
      </w:r>
    </w:p>
    <w:p>
      <w:pPr>
        <w:rPr>
          <w:rFonts w:eastAsiaTheme="minorEastAsia"/>
          <w:b/>
          <w:szCs w:val="22"/>
        </w:rPr>
      </w:pPr>
      <w:r>
        <w:rPr>
          <w:rFonts w:eastAsiaTheme="minorEastAsia"/>
          <w:b/>
          <w:szCs w:val="22"/>
        </w:rPr>
        <w:t xml:space="preserve">2.1.14  </w:t>
      </w:r>
      <w:r>
        <w:rPr>
          <w:rFonts w:hint="eastAsia" w:eastAsiaTheme="minorEastAsia"/>
          <w:b/>
          <w:szCs w:val="22"/>
        </w:rPr>
        <w:t>后靠</w:t>
      </w:r>
      <w:r>
        <w:rPr>
          <w:rFonts w:eastAsiaTheme="minorEastAsia"/>
          <w:b/>
          <w:szCs w:val="22"/>
        </w:rPr>
        <w:t xml:space="preserve">    jacking base</w:t>
      </w:r>
    </w:p>
    <w:p>
      <w:pPr>
        <w:ind w:firstLine="480" w:firstLineChars="200"/>
      </w:pPr>
      <w:r>
        <w:rPr>
          <w:rFonts w:hint="eastAsia"/>
        </w:rPr>
        <w:t>安装在</w:t>
      </w:r>
      <w:r>
        <w:t>顶推液压缸</w:t>
      </w:r>
      <w:r>
        <w:rPr>
          <w:rFonts w:hint="eastAsia"/>
        </w:rPr>
        <w:t>与反力墙之间，使反力均匀的施加在反力墙上的装置</w:t>
      </w:r>
      <w:r>
        <w:t>。</w:t>
      </w:r>
    </w:p>
    <w:p>
      <w:pPr>
        <w:rPr>
          <w:rFonts w:eastAsiaTheme="minorEastAsia"/>
          <w:b/>
          <w:szCs w:val="22"/>
        </w:rPr>
      </w:pPr>
      <w:r>
        <w:rPr>
          <w:rFonts w:eastAsiaTheme="minorEastAsia"/>
          <w:b/>
          <w:szCs w:val="22"/>
        </w:rPr>
        <w:t xml:space="preserve">2.1.15  </w:t>
      </w:r>
      <w:r>
        <w:rPr>
          <w:rFonts w:hint="eastAsia" w:eastAsiaTheme="minorEastAsia"/>
          <w:b/>
          <w:szCs w:val="22"/>
        </w:rPr>
        <w:t>中继间</w:t>
      </w:r>
      <w:r>
        <w:rPr>
          <w:rFonts w:eastAsiaTheme="minorEastAsia"/>
          <w:b/>
          <w:szCs w:val="22"/>
        </w:rPr>
        <w:t xml:space="preserve">    intermediate station</w:t>
      </w:r>
    </w:p>
    <w:p>
      <w:pPr>
        <w:ind w:firstLine="420"/>
        <w:rPr>
          <w:rFonts w:eastAsiaTheme="minorEastAsia"/>
          <w:szCs w:val="22"/>
        </w:rPr>
      </w:pPr>
      <w:r>
        <w:rPr>
          <w:rFonts w:hint="eastAsia" w:eastAsiaTheme="minorEastAsia"/>
          <w:szCs w:val="22"/>
        </w:rPr>
        <w:t>顶管机顶推系统能力不足时，随管节一同前进的接力顶进装置，主要由前后壳体、推进液压缸、阀组、泵站、行程测量装置等组成。</w:t>
      </w:r>
    </w:p>
    <w:p>
      <w:pPr>
        <w:rPr>
          <w:rFonts w:eastAsiaTheme="minorEastAsia"/>
          <w:b/>
          <w:szCs w:val="22"/>
        </w:rPr>
      </w:pPr>
      <w:r>
        <w:rPr>
          <w:rFonts w:eastAsiaTheme="minorEastAsia"/>
          <w:b/>
          <w:szCs w:val="22"/>
        </w:rPr>
        <w:t xml:space="preserve">2.1.16  </w:t>
      </w:r>
      <w:r>
        <w:rPr>
          <w:rFonts w:hint="eastAsia" w:eastAsiaTheme="minorEastAsia"/>
          <w:b/>
          <w:szCs w:val="22"/>
        </w:rPr>
        <w:t>触变泥浆</w:t>
      </w:r>
      <w:r>
        <w:rPr>
          <w:rFonts w:eastAsiaTheme="minorEastAsia"/>
          <w:b/>
          <w:szCs w:val="22"/>
        </w:rPr>
        <w:t xml:space="preserve">    thixotropic slurry</w:t>
      </w:r>
    </w:p>
    <w:p>
      <w:pPr>
        <w:ind w:firstLine="480" w:firstLineChars="200"/>
        <w:rPr>
          <w:rFonts w:eastAsiaTheme="minorEastAsia"/>
          <w:szCs w:val="22"/>
        </w:rPr>
      </w:pPr>
      <w:r>
        <w:rPr>
          <w:rFonts w:hint="eastAsia" w:eastAsiaTheme="minorEastAsia"/>
          <w:szCs w:val="22"/>
        </w:rPr>
        <w:t>用于填充管道外壁与土体之间的空隙并起到减阻作用的泥浆。</w:t>
      </w:r>
    </w:p>
    <w:p>
      <w:pPr>
        <w:rPr>
          <w:rFonts w:eastAsiaTheme="minorEastAsia"/>
          <w:b/>
          <w:szCs w:val="22"/>
        </w:rPr>
      </w:pPr>
      <w:r>
        <w:rPr>
          <w:rFonts w:eastAsiaTheme="minorEastAsia"/>
          <w:b/>
          <w:szCs w:val="22"/>
        </w:rPr>
        <w:t>2.1.17</w:t>
      </w:r>
      <w:r>
        <w:rPr>
          <w:rFonts w:eastAsiaTheme="minorEastAsia"/>
          <w:szCs w:val="22"/>
        </w:rPr>
        <w:t xml:space="preserve">  </w:t>
      </w:r>
      <w:r>
        <w:rPr>
          <w:rFonts w:hint="eastAsia" w:eastAsiaTheme="minorEastAsia"/>
          <w:b/>
          <w:szCs w:val="22"/>
        </w:rPr>
        <w:t xml:space="preserve">盘根止水 </w:t>
      </w:r>
      <w:r>
        <w:rPr>
          <w:rFonts w:eastAsiaTheme="minorEastAsia"/>
          <w:b/>
          <w:szCs w:val="22"/>
        </w:rPr>
        <w:t xml:space="preserve">   packing seal</w:t>
      </w:r>
    </w:p>
    <w:p>
      <w:pPr>
        <w:ind w:firstLine="480" w:firstLineChars="200"/>
        <w:rPr>
          <w:rFonts w:eastAsiaTheme="minorEastAsia"/>
          <w:szCs w:val="22"/>
        </w:rPr>
      </w:pPr>
      <w:r>
        <w:rPr>
          <w:rFonts w:hint="eastAsia" w:eastAsiaTheme="minorEastAsia"/>
          <w:szCs w:val="22"/>
        </w:rPr>
        <w:t>把棉、麻、石棉、石墨等材料浸入复合树脂或油浸物而制成的填塞顶管机与穿墙洞空隙的止水材料。</w:t>
      </w:r>
    </w:p>
    <w:p>
      <w:pPr>
        <w:ind w:firstLine="480" w:firstLineChars="200"/>
        <w:rPr>
          <w:rFonts w:eastAsiaTheme="minorEastAsia"/>
          <w:szCs w:val="22"/>
        </w:rPr>
      </w:pPr>
    </w:p>
    <w:p>
      <w:pPr>
        <w:pStyle w:val="3"/>
      </w:pPr>
      <w:bookmarkStart w:id="24" w:name="_Toc525220316"/>
      <w:bookmarkStart w:id="25" w:name="_Toc525219682"/>
      <w:bookmarkStart w:id="26" w:name="_Toc525221299"/>
      <w:bookmarkStart w:id="27" w:name="_Toc18057024"/>
      <w:bookmarkStart w:id="28" w:name="_Toc19751"/>
      <w:r>
        <w:t xml:space="preserve">2.2  </w:t>
      </w:r>
      <w:r>
        <w:rPr>
          <w:rFonts w:hint="eastAsia"/>
        </w:rPr>
        <w:t>符</w:t>
      </w:r>
      <w:r>
        <w:t xml:space="preserve"> </w:t>
      </w:r>
      <w:r>
        <w:rPr>
          <w:rFonts w:hint="eastAsia"/>
        </w:rPr>
        <w:t>号</w:t>
      </w:r>
      <w:bookmarkEnd w:id="24"/>
      <w:bookmarkEnd w:id="25"/>
      <w:bookmarkEnd w:id="26"/>
      <w:bookmarkEnd w:id="27"/>
      <w:bookmarkEnd w:id="28"/>
    </w:p>
    <w:p>
      <w:pPr>
        <w:rPr>
          <w:b/>
          <w:bCs/>
        </w:rPr>
      </w:pPr>
      <w:r>
        <w:rPr>
          <w:b/>
          <w:bCs/>
        </w:rPr>
        <w:t xml:space="preserve">2.2.1  </w:t>
      </w:r>
      <w:r>
        <w:rPr>
          <w:rFonts w:hint="eastAsia"/>
          <w:b/>
          <w:bCs/>
        </w:rPr>
        <w:t>作用和作用效应</w:t>
      </w:r>
    </w:p>
    <w:p>
      <w:pPr>
        <w:ind w:firstLine="960" w:firstLineChars="400"/>
        <w:rPr>
          <w:rFonts w:eastAsiaTheme="minorEastAsia" w:cstheme="minorBidi"/>
          <w:bCs/>
          <w:sz w:val="21"/>
          <w:szCs w:val="22"/>
        </w:rPr>
      </w:pPr>
      <w:r>
        <w:object>
          <v:shape id="_x0000_i1025" o:spt="75" type="#_x0000_t75" style="height:18.35pt;width:25.15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rPr>
        <w:t>——</w:t>
      </w:r>
      <w:r>
        <w:rPr>
          <w:rFonts w:hint="eastAsia" w:eastAsiaTheme="minorEastAsia" w:cstheme="minorBidi"/>
          <w:bCs/>
          <w:sz w:val="21"/>
          <w:szCs w:val="22"/>
        </w:rPr>
        <w:t>沉井前壁上主动土压力合力标准值；</w:t>
      </w:r>
    </w:p>
    <w:p>
      <w:pPr>
        <w:ind w:firstLine="840" w:firstLineChars="400"/>
        <w:rPr>
          <w:rFonts w:eastAsiaTheme="minorEastAsia" w:cstheme="minorBidi"/>
          <w:bCs/>
          <w:sz w:val="21"/>
          <w:szCs w:val="22"/>
        </w:rPr>
      </w:pPr>
      <w:r>
        <w:rPr>
          <w:rFonts w:eastAsiaTheme="minorEastAsia" w:cstheme="minorBidi"/>
          <w:bCs/>
          <w:position w:val="-16"/>
          <w:sz w:val="21"/>
          <w:szCs w:val="22"/>
        </w:rPr>
        <w:object>
          <v:shape id="_x0000_i1026" o:spt="75" type="#_x0000_t75" style="height:21.05pt;width:21.05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hint="eastAsia"/>
        </w:rPr>
        <w:t>——</w:t>
      </w:r>
      <w:r>
        <w:rPr>
          <w:rFonts w:hint="eastAsia" w:eastAsiaTheme="minorEastAsia" w:cstheme="minorBidi"/>
          <w:bCs/>
          <w:sz w:val="21"/>
          <w:szCs w:val="22"/>
        </w:rPr>
        <w:t>沉井后壁板上被动土压力合力标准值；</w:t>
      </w:r>
    </w:p>
    <w:p>
      <w:pPr>
        <w:ind w:firstLine="840" w:firstLineChars="350"/>
      </w:pPr>
      <w:r>
        <w:rPr>
          <w:position w:val="-10"/>
        </w:rPr>
        <w:object>
          <v:shape id="_x0000_i1027" o:spt="75" type="#_x0000_t75" style="height:15.6pt;width:11.5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lang w:bidi="ar"/>
        </w:rPr>
        <w:t>——</w:t>
      </w:r>
      <w:r>
        <w:rPr>
          <w:rFonts w:hint="eastAsia" w:ascii="宋体" w:hAnsi="宋体" w:cs="宋体"/>
          <w:kern w:val="24"/>
        </w:rPr>
        <w:t>管土接触面的</w:t>
      </w:r>
      <w:r>
        <w:rPr>
          <w:rFonts w:hint="eastAsia"/>
        </w:rPr>
        <w:t>摩阻力；</w:t>
      </w:r>
    </w:p>
    <w:p>
      <w:pPr>
        <w:ind w:firstLine="960" w:firstLineChars="400"/>
        <w:textAlignment w:val="center"/>
      </w:pPr>
      <w:r>
        <w:object>
          <v:shape id="_x0000_i1028" o:spt="75" type="#_x0000_t75" style="height:18.35pt;width:17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hint="eastAsia"/>
        </w:rPr>
        <w:t>——管节允许顶力设计值；</w:t>
      </w:r>
    </w:p>
    <w:p>
      <w:pPr>
        <w:ind w:left="420" w:firstLine="420"/>
        <w:textAlignment w:val="center"/>
        <w:rPr>
          <w:rFonts w:ascii="宋体" w:hAnsiTheme="minorHAnsi"/>
          <w:color w:val="000000"/>
        </w:rPr>
      </w:pPr>
      <w:r>
        <w:object>
          <v:shape id="_x0000_i1029" o:spt="75" type="#_x0000_t75" style="height:18.35pt;width:14.2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r>
        <w:t>——</w:t>
      </w:r>
      <w:r>
        <w:rPr>
          <w:rFonts w:hint="eastAsia" w:ascii="宋体" w:hAnsiTheme="minorHAnsi"/>
          <w:color w:val="000000"/>
        </w:rPr>
        <w:t>管顶竖向土压力标准值；</w:t>
      </w:r>
    </w:p>
    <w:p>
      <w:pPr>
        <w:ind w:firstLine="240" w:firstLineChars="100"/>
        <w:textAlignment w:val="center"/>
        <w:rPr>
          <w:rFonts w:ascii="宋体" w:hAnsiTheme="minorHAnsi"/>
          <w:color w:val="000000"/>
        </w:rPr>
      </w:pPr>
      <w:r>
        <w:object>
          <v:shape id="_x0000_i1030" o:spt="75" type="#_x0000_t75" style="height:18.35pt;width:15.6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r>
        <w:rPr>
          <w:rFonts w:hint="eastAsia" w:ascii="宋体" w:hAnsiTheme="minorHAnsi"/>
          <w:color w:val="000000"/>
        </w:rPr>
        <w:t>、</w:t>
      </w:r>
      <w:r>
        <w:object>
          <v:shape id="_x0000_i1031" o:spt="75" type="#_x0000_t75" style="height:18.35pt;width:15.6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r>
        <w:t>——</w:t>
      </w:r>
      <w:r>
        <w:rPr>
          <w:rFonts w:hint="eastAsia" w:ascii="宋体" w:hAnsiTheme="minorHAnsi"/>
          <w:color w:val="000000"/>
        </w:rPr>
        <w:t>矩形管节在点A、B处所受侧向土压力标准值；</w:t>
      </w:r>
    </w:p>
    <w:p>
      <w:pPr>
        <w:ind w:firstLine="720" w:firstLineChars="300"/>
        <w:jc w:val="left"/>
      </w:pPr>
      <w:r>
        <w:rPr>
          <w:position w:val="-14"/>
        </w:rPr>
        <w:object>
          <v:shape id="_x0000_i1032" o:spt="75" type="#_x0000_t75" style="height:18.35pt;width:15.6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r>
        <w:rPr>
          <w:lang w:bidi="ar"/>
        </w:rPr>
        <w:t>——</w:t>
      </w:r>
      <w:r>
        <w:rPr>
          <w:rFonts w:hint="eastAsia"/>
        </w:rPr>
        <w:t>矩形顶管总摩阻力</w:t>
      </w:r>
      <w:r>
        <w:rPr>
          <w:rFonts w:hint="eastAsia" w:ascii="宋体" w:hAnsi="宋体" w:cs="宋体"/>
          <w:kern w:val="24"/>
        </w:rPr>
        <w:t>。</w:t>
      </w:r>
    </w:p>
    <w:p>
      <w:pPr>
        <w:ind w:firstLine="720" w:firstLineChars="300"/>
        <w:textAlignment w:val="center"/>
        <w:rPr>
          <w:rFonts w:ascii="宋体" w:hAnsiTheme="minorHAnsi"/>
          <w:color w:val="000000"/>
        </w:rPr>
      </w:pPr>
      <w:r>
        <w:object>
          <v:shape id="_x0000_i1033" o:spt="75" type="#_x0000_t75" style="height:18.35pt;width:23.75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r>
        <w:t>——</w:t>
      </w:r>
      <w:r>
        <w:rPr>
          <w:rFonts w:hint="eastAsia" w:ascii="宋体" w:hAnsiTheme="minorHAnsi"/>
          <w:color w:val="000000"/>
        </w:rPr>
        <w:t>矩形管节平均侧向土压力标准值；</w:t>
      </w:r>
    </w:p>
    <w:p>
      <w:pPr>
        <w:ind w:left="420" w:firstLine="420"/>
        <w:textAlignment w:val="center"/>
      </w:pPr>
      <w:r>
        <w:object>
          <v:shape id="_x0000_i1034" o:spt="75" type="#_x0000_t75" style="height:18.35pt;width:17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4">
            <o:LockedField>false</o:LockedField>
          </o:OLEObject>
        </w:object>
      </w:r>
      <w:r>
        <w:rPr>
          <w:rFonts w:hint="eastAsia"/>
        </w:rPr>
        <w:t>——第i个永久作用的标准值；</w:t>
      </w:r>
    </w:p>
    <w:p>
      <w:pPr>
        <w:pStyle w:val="34"/>
        <w:shd w:val="clear" w:color="auto" w:fill="FFFFFF"/>
        <w:ind w:firstLine="720" w:firstLineChars="300"/>
        <w:rPr>
          <w:rFonts w:ascii="Times New Roman" w:hAnsi="Times New Roman"/>
          <w:szCs w:val="21"/>
        </w:rPr>
      </w:pPr>
      <w:r>
        <w:rPr>
          <w:rFonts w:ascii="Times New Roman" w:hAnsi="Times New Roman"/>
          <w:szCs w:val="21"/>
        </w:rPr>
        <w:object>
          <v:shape id="_x0000_i1035" o:spt="75" type="#_x0000_t75" style="height:18.35pt;width:15.6pt;" o:ole="t" filled="f" o:preferrelative="t" stroked="f" coordsize="21600,21600">
            <v:path/>
            <v:fill on="f" focussize="0,0"/>
            <v:stroke on="f" joinstyle="miter"/>
            <v:imagedata r:id="rId27" o:title=""/>
            <o:lock v:ext="edit" aspectratio="t"/>
            <w10:wrap type="none"/>
            <w10:anchorlock/>
          </v:shape>
          <o:OLEObject Type="Embed" ProgID="Equation.DSMT4" ShapeID="_x0000_i1035" DrawAspect="Content" ObjectID="_1468075735" r:id="rId26">
            <o:LockedField>false</o:LockedField>
          </o:OLEObject>
        </w:object>
      </w:r>
      <w:r>
        <w:rPr>
          <w:rFonts w:ascii="Times New Roman" w:hAnsi="Times New Roman"/>
          <w:szCs w:val="21"/>
        </w:rPr>
        <w:t>——</w:t>
      </w:r>
      <w:r>
        <w:rPr>
          <w:rFonts w:hint="eastAsia" w:ascii="Times New Roman" w:hAnsi="Times New Roman"/>
          <w:szCs w:val="21"/>
        </w:rPr>
        <w:t>矩形管道的自重标准值；</w:t>
      </w:r>
    </w:p>
    <w:p>
      <w:pPr>
        <w:ind w:firstLine="960" w:firstLineChars="400"/>
      </w:pPr>
      <w:r>
        <w:rPr>
          <w:position w:val="-4"/>
        </w:rPr>
        <w:object>
          <v:shape id="_x0000_i1036" o:spt="75" type="#_x0000_t75" style="height:12.9pt;width:12.9pt;" o:ole="t" filled="f" o:preferrelative="t" stroked="f" coordsize="21600,21600">
            <v:path/>
            <v:fill on="f" focussize="0,0"/>
            <v:stroke on="f" joinstyle="miter"/>
            <v:imagedata r:id="rId29" o:title=""/>
            <o:lock v:ext="edit" aspectratio="t"/>
            <w10:wrap type="none"/>
            <w10:anchorlock/>
          </v:shape>
          <o:OLEObject Type="Embed" ProgID="Equation.DSMT4" ShapeID="_x0000_i1036" DrawAspect="Content" ObjectID="_1468075736" r:id="rId28">
            <o:LockedField>false</o:LockedField>
          </o:OLEObject>
        </w:object>
      </w:r>
      <w:r>
        <w:t>——</w:t>
      </w:r>
      <w:r>
        <w:rPr>
          <w:rFonts w:hint="eastAsia"/>
        </w:rPr>
        <w:t>控制土压力；</w:t>
      </w:r>
    </w:p>
    <w:p>
      <w:pPr>
        <w:ind w:firstLine="960" w:firstLineChars="400"/>
      </w:pPr>
      <w:r>
        <w:rPr>
          <w:position w:val="-12"/>
        </w:rPr>
        <w:object>
          <v:shape id="_x0000_i1037" o:spt="75" type="#_x0000_t75" style="height:18.35pt;width:13.6pt;" o:ole="t" filled="f" o:preferrelative="t" stroked="f" coordsize="21600,21600">
            <v:path/>
            <v:fill on="f" focussize="0,0"/>
            <v:stroke on="f" joinstyle="miter"/>
            <v:imagedata r:id="rId31" o:title=""/>
            <o:lock v:ext="edit" aspectratio="t"/>
            <w10:wrap type="none"/>
            <w10:anchorlock/>
          </v:shape>
          <o:OLEObject Type="Embed" ProgID="Equation.DSMT4" ShapeID="_x0000_i1037" DrawAspect="Content" ObjectID="_1468075737" r:id="rId30">
            <o:LockedField>false</o:LockedField>
          </o:OLEObject>
        </w:object>
      </w:r>
      <w:r>
        <w:t>——</w:t>
      </w:r>
      <w:r>
        <w:rPr>
          <w:rFonts w:hint="eastAsia"/>
        </w:rPr>
        <w:t>静止土压力；</w:t>
      </w:r>
    </w:p>
    <w:p>
      <w:pPr>
        <w:ind w:firstLine="960" w:firstLineChars="400"/>
      </w:pPr>
      <w:r>
        <w:rPr>
          <w:position w:val="-12"/>
        </w:rPr>
        <w:object>
          <v:shape id="_x0000_i1038" o:spt="75" type="#_x0000_t75" style="height:18.35pt;width:13.6pt;" o:ole="t" filled="f" o:preferrelative="t" stroked="f" coordsize="21600,21600">
            <v:path/>
            <v:fill on="f" focussize="0,0"/>
            <v:stroke on="f" joinstyle="miter"/>
            <v:imagedata r:id="rId33" o:title=""/>
            <o:lock v:ext="edit" aspectratio="t"/>
            <w10:wrap type="none"/>
            <w10:anchorlock/>
          </v:shape>
          <o:OLEObject Type="Embed" ProgID="Equation.DSMT4" ShapeID="_x0000_i1038" DrawAspect="Content" ObjectID="_1468075738" r:id="rId32">
            <o:LockedField>false</o:LockedField>
          </o:OLEObject>
        </w:object>
      </w:r>
      <w:r>
        <w:t>——</w:t>
      </w:r>
      <w:r>
        <w:rPr>
          <w:rFonts w:hint="eastAsia"/>
        </w:rPr>
        <w:t>主动土压力；</w:t>
      </w:r>
    </w:p>
    <w:p>
      <w:pPr>
        <w:ind w:firstLine="960" w:firstLineChars="400"/>
        <w:textAlignment w:val="center"/>
      </w:pPr>
      <w:r>
        <w:rPr>
          <w:position w:val="-4"/>
        </w:rPr>
        <w:object>
          <v:shape id="_x0000_i1039" o:spt="75" type="#_x0000_t75" style="height:18.35pt;width:12.9pt;" o:ole="t" filled="f" o:preferrelative="t" stroked="f" coordsize="21600,21600">
            <v:path/>
            <v:fill on="f" focussize="0,0"/>
            <v:stroke on="f" joinstyle="miter"/>
            <v:imagedata r:id="rId35" o:title=""/>
            <o:lock v:ext="edit" aspectratio="t"/>
            <w10:wrap type="none"/>
            <w10:anchorlock/>
          </v:shape>
          <o:OLEObject Type="Embed" ProgID="Equation.DSMT4" ShapeID="_x0000_i1039" DrawAspect="Content" ObjectID="_1468075739" r:id="rId34">
            <o:LockedField>false</o:LockedField>
          </o:OLEObject>
        </w:object>
      </w:r>
      <w:r>
        <w:rPr>
          <w:rFonts w:hint="eastAsia"/>
        </w:rPr>
        <w:t>——控制顶力；</w:t>
      </w:r>
    </w:p>
    <w:p>
      <w:pPr>
        <w:ind w:firstLine="960" w:firstLineChars="400"/>
        <w:rPr>
          <w:rFonts w:eastAsiaTheme="minorEastAsia" w:cstheme="minorBidi"/>
          <w:bCs/>
          <w:sz w:val="21"/>
          <w:szCs w:val="22"/>
        </w:rPr>
      </w:pPr>
      <w:r>
        <w:object>
          <v:shape id="_x0000_i1040" o:spt="75" type="#_x0000_t75" style="height:18.35pt;width:23.75pt;" o:ole="t" filled="f" o:preferrelative="t" stroked="f" coordsize="21600,21600">
            <v:path/>
            <v:fill on="f" focussize="0,0"/>
            <v:stroke on="f" joinstyle="miter"/>
            <v:imagedata r:id="rId37" o:title=""/>
            <o:lock v:ext="edit" aspectratio="t"/>
            <w10:wrap type="none"/>
            <w10:anchorlock/>
          </v:shape>
          <o:OLEObject Type="Embed" ProgID="Equation.DSMT4" ShapeID="_x0000_i1040" DrawAspect="Content" ObjectID="_1468075740" r:id="rId36">
            <o:LockedField>false</o:LockedField>
          </o:OLEObject>
        </w:object>
      </w:r>
      <w:r>
        <w:rPr>
          <w:rFonts w:hint="eastAsia"/>
        </w:rPr>
        <w:t>——</w:t>
      </w:r>
      <w:r>
        <w:rPr>
          <w:rFonts w:hint="eastAsia" w:eastAsiaTheme="minorEastAsia" w:cstheme="minorBidi"/>
          <w:bCs/>
          <w:sz w:val="21"/>
          <w:szCs w:val="22"/>
        </w:rPr>
        <w:t>最大顶管总顶力；</w:t>
      </w:r>
    </w:p>
    <w:p>
      <w:pPr>
        <w:ind w:firstLine="960" w:firstLineChars="400"/>
      </w:pPr>
      <w:r>
        <w:rPr>
          <w:position w:val="-14"/>
        </w:rPr>
        <w:object>
          <v:shape id="_x0000_i1041" o:spt="75" type="#_x0000_t75" style="height:19.7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41" DrawAspect="Content" ObjectID="_1468075741" r:id="rId38">
            <o:LockedField>false</o:LockedField>
          </o:OLEObject>
        </w:object>
      </w:r>
      <w:r>
        <w:t>——</w:t>
      </w:r>
      <w:r>
        <w:rPr>
          <w:rFonts w:hint="eastAsia"/>
        </w:rPr>
        <w:t>被动土压力；</w:t>
      </w:r>
    </w:p>
    <w:p>
      <w:pPr>
        <w:autoSpaceDE w:val="0"/>
        <w:autoSpaceDN w:val="0"/>
        <w:ind w:firstLine="960" w:firstLineChars="400"/>
        <w:rPr>
          <w:rFonts w:ascii="宋体" w:hAnsi="宋体" w:cs="宋体"/>
          <w:kern w:val="24"/>
        </w:rPr>
      </w:pPr>
      <w:r>
        <w:rPr>
          <w:position w:val="-14"/>
        </w:rPr>
        <w:object>
          <v:shape id="_x0000_i1042" o:spt="75" type="#_x0000_t75" style="height:18.35pt;width:14.25pt;" o:ole="t" filled="f" o:preferrelative="t" stroked="f" coordsize="21600,21600">
            <v:path/>
            <v:fill on="f" focussize="0,0"/>
            <v:stroke on="f" joinstyle="miter"/>
            <v:imagedata r:id="rId41" o:title=""/>
            <o:lock v:ext="edit" aspectratio="t"/>
            <w10:wrap type="none"/>
            <w10:anchorlock/>
          </v:shape>
          <o:OLEObject Type="Embed" ProgID="Equation.DSMT4" ShapeID="_x0000_i1042" DrawAspect="Content" ObjectID="_1468075742" r:id="rId40">
            <o:LockedField>false</o:LockedField>
          </o:OLEObject>
        </w:object>
      </w:r>
      <w:r>
        <w:rPr>
          <w:lang w:bidi="ar"/>
        </w:rPr>
        <w:t>——</w:t>
      </w:r>
      <w:r>
        <w:rPr>
          <w:rFonts w:hint="eastAsia" w:ascii="宋体" w:hAnsi="宋体" w:cs="宋体"/>
          <w:kern w:val="24"/>
        </w:rPr>
        <w:t>顶管机的迎面阻力；</w:t>
      </w:r>
    </w:p>
    <w:p>
      <w:pPr>
        <w:ind w:firstLine="960" w:firstLineChars="400"/>
      </w:pPr>
      <w:r>
        <w:rPr>
          <w:position w:val="-12"/>
        </w:rPr>
        <w:object>
          <v:shape id="_x0000_i1043" o:spt="75" type="#_x0000_t75" style="height:18.35pt;width:14.95pt;" o:ole="t" filled="f" o:preferrelative="t" stroked="f" coordsize="21600,21600">
            <v:path/>
            <v:fill on="f" focussize="0,0"/>
            <v:stroke on="f" joinstyle="miter"/>
            <v:imagedata r:id="rId43" o:title=""/>
            <o:lock v:ext="edit" aspectratio="t"/>
            <w10:wrap type="none"/>
            <w10:anchorlock/>
          </v:shape>
          <o:OLEObject Type="Embed" ProgID="Equation.DSMT4" ShapeID="_x0000_i1043" DrawAspect="Content" ObjectID="_1468075743" r:id="rId42">
            <o:LockedField>false</o:LockedField>
          </o:OLEObject>
        </w:object>
      </w:r>
      <w:r>
        <w:t>——泥浆套顶部的水压力和主动土压力；</w:t>
      </w:r>
    </w:p>
    <w:p>
      <w:pPr>
        <w:ind w:left="420" w:firstLine="420"/>
        <w:textAlignment w:val="center"/>
      </w:pPr>
      <w:r>
        <w:object>
          <v:shape id="_x0000_i1044" o:spt="75" type="#_x0000_t75" style="height:18.35pt;width:18.35pt;" o:ole="t" filled="f" o:preferrelative="t" stroked="f" coordsize="21600,21600">
            <v:path/>
            <v:fill on="f" focussize="0,0"/>
            <v:stroke on="f" joinstyle="miter"/>
            <v:imagedata r:id="rId45" o:title=""/>
            <o:lock v:ext="edit" aspectratio="t"/>
            <w10:wrap type="none"/>
            <w10:anchorlock/>
          </v:shape>
          <o:OLEObject Type="Embed" ProgID="Equation.DSMT4" ShapeID="_x0000_i1044" DrawAspect="Content" ObjectID="_1468075744" r:id="rId44">
            <o:LockedField>false</o:LockedField>
          </o:OLEObject>
        </w:object>
      </w:r>
      <w:r>
        <w:rPr>
          <w:rFonts w:hint="eastAsia"/>
        </w:rPr>
        <w:t>、</w:t>
      </w:r>
      <w:r>
        <w:object>
          <v:shape id="_x0000_i1045" o:spt="75" type="#_x0000_t75" style="height:18.35pt;width:18.35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5" r:id="rId46">
            <o:LockedField>false</o:LockedField>
          </o:OLEObject>
        </w:object>
      </w:r>
      <w:r>
        <w:rPr>
          <w:rFonts w:hint="eastAsia"/>
        </w:rPr>
        <w:t>——第1个、第j个可变作用的标准值；</w:t>
      </w:r>
    </w:p>
    <w:p>
      <w:pPr>
        <w:ind w:left="420" w:firstLine="420"/>
        <w:textAlignment w:val="center"/>
      </w:pPr>
      <w:r>
        <w:object>
          <v:shape id="_x0000_i1046" o:spt="75" type="#_x0000_t75" style="height:18.35pt;width:15.6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6" r:id="rId48">
            <o:LockedField>false</o:LockedField>
          </o:OLEObject>
        </w:object>
      </w:r>
      <w:r>
        <w:rPr>
          <w:rFonts w:hint="eastAsia"/>
        </w:rPr>
        <w:t>——顶管机迎面阻力（kN）；</w:t>
      </w:r>
    </w:p>
    <w:p>
      <w:pPr>
        <w:textAlignment w:val="center"/>
      </w:pPr>
      <w:r>
        <w:rPr>
          <w:rFonts w:hint="eastAsia"/>
        </w:rPr>
        <w:tab/>
      </w:r>
      <w:r>
        <w:t xml:space="preserve">   </w:t>
      </w:r>
      <w:r>
        <w:object>
          <v:shape id="_x0000_i1047" o:spt="75" type="#_x0000_t75" style="height:19pt;width:25.15pt;" o:ole="t" filled="f" o:preferrelative="t" stroked="f" coordsize="21600,21600">
            <v:path/>
            <v:fill on="f" focussize="0,0"/>
            <v:stroke on="f" joinstyle="miter"/>
            <v:imagedata r:id="rId51" o:title=""/>
            <o:lock v:ext="edit" aspectratio="t"/>
            <w10:wrap type="none"/>
            <w10:anchorlock/>
          </v:shape>
          <o:OLEObject Type="Embed" ProgID="Equation.DSMT4" ShapeID="_x0000_i1047" DrawAspect="Content" ObjectID="_1468075747" r:id="rId50">
            <o:LockedField>false</o:LockedField>
          </o:OLEObject>
        </w:object>
      </w:r>
      <w:r>
        <w:rPr>
          <w:rFonts w:hint="eastAsia"/>
        </w:rPr>
        <w:t>——作用组合的效应函数；</w:t>
      </w:r>
    </w:p>
    <w:p>
      <w:pPr>
        <w:ind w:firstLine="960" w:firstLineChars="400"/>
      </w:pPr>
      <w:r>
        <w:t>S</w:t>
      </w:r>
      <w:r>
        <w:rPr>
          <w:rFonts w:hint="eastAsia"/>
        </w:rPr>
        <w:t>——作用效应组合的设计值</w:t>
      </w:r>
      <w:r>
        <w:t>；</w:t>
      </w:r>
    </w:p>
    <w:p>
      <w:pPr>
        <w:textAlignment w:val="center"/>
      </w:pPr>
      <w:r>
        <w:rPr>
          <w:rFonts w:hint="eastAsia"/>
        </w:rPr>
        <w:tab/>
      </w:r>
      <w:r>
        <w:t xml:space="preserve">    </w:t>
      </w:r>
      <w:r>
        <w:object>
          <v:shape id="_x0000_i1048" o:spt="75" type="#_x0000_t75" style="height:18.35pt;width:15.6pt;" o:ole="t" filled="f" o:preferrelative="t" stroked="f" coordsize="21600,21600">
            <v:path/>
            <v:fill on="f" focussize="0,0"/>
            <v:stroke on="f" joinstyle="miter"/>
            <v:imagedata r:id="rId53" o:title=""/>
            <o:lock v:ext="edit" aspectratio="t"/>
            <w10:wrap type="none"/>
            <w10:anchorlock/>
          </v:shape>
          <o:OLEObject Type="Embed" ProgID="Equation.DSMT4" ShapeID="_x0000_i1048" DrawAspect="Content" ObjectID="_1468075748" r:id="rId52">
            <o:LockedField>false</o:LockedField>
          </o:OLEObject>
        </w:object>
      </w:r>
      <w:r>
        <w:rPr>
          <w:rFonts w:hint="eastAsia"/>
        </w:rPr>
        <w:t>——按荷载准永久组合计算的钢筋混凝土构件纵向受拉普通钢筋应力；</w:t>
      </w:r>
    </w:p>
    <w:p>
      <w:pPr>
        <w:rPr>
          <w:b/>
        </w:rPr>
      </w:pPr>
      <w:r>
        <w:rPr>
          <w:b/>
        </w:rPr>
        <w:t xml:space="preserve">2.2.2  </w:t>
      </w:r>
      <w:r>
        <w:rPr>
          <w:rFonts w:hint="eastAsia"/>
          <w:b/>
        </w:rPr>
        <w:t>抗力和材料性能</w:t>
      </w:r>
    </w:p>
    <w:p>
      <w:pPr>
        <w:ind w:firstLine="960" w:firstLineChars="400"/>
      </w:pPr>
      <w:r>
        <w:rPr>
          <w:position w:val="-6"/>
        </w:rPr>
        <w:object>
          <v:shape id="_x0000_i1049" o:spt="75" type="#_x0000_t75" style="height:14.25pt;width:12.9pt;" o:ole="t" filled="f" o:preferrelative="t" stroked="f" coordsize="21600,21600">
            <v:path/>
            <v:fill on="f" focussize="0,0"/>
            <v:stroke on="f" joinstyle="miter"/>
            <v:imagedata r:id="rId55" o:title=""/>
            <o:lock v:ext="edit" aspectratio="t"/>
            <w10:wrap type="none"/>
            <w10:anchorlock/>
          </v:shape>
          <o:OLEObject Type="Embed" ProgID="Equation.DSMT4" ShapeID="_x0000_i1049" DrawAspect="Content" ObjectID="_1468075749" r:id="rId54">
            <o:LockedField>false</o:LockedField>
          </o:OLEObject>
        </w:object>
      </w:r>
      <w:r>
        <w:t>——</w:t>
      </w:r>
      <w:r>
        <w:rPr>
          <w:rFonts w:hint="eastAsia"/>
        </w:rPr>
        <w:t>土的内聚力；</w:t>
      </w:r>
    </w:p>
    <w:p>
      <w:pPr>
        <w:autoSpaceDE w:val="0"/>
        <w:autoSpaceDN w:val="0"/>
        <w:adjustRightInd w:val="0"/>
        <w:ind w:left="420" w:firstLine="420"/>
        <w:jc w:val="left"/>
        <w:textAlignment w:val="center"/>
      </w:pPr>
      <w:r>
        <w:object>
          <v:shape id="_x0000_i1050" o:spt="75" type="#_x0000_t75" style="height:18.35pt;width:15.6pt;" o:ole="t" filled="f" o:preferrelative="t" stroked="f" coordsize="21600,21600">
            <v:path/>
            <v:fill on="f" focussize="0,0"/>
            <v:stroke on="f" joinstyle="miter"/>
            <v:imagedata r:id="rId57" o:title=""/>
            <o:lock v:ext="edit" aspectratio="t"/>
            <w10:wrap type="none"/>
            <w10:anchorlock/>
          </v:shape>
          <o:OLEObject Type="Embed" ProgID="Equation.DSMT4" ShapeID="_x0000_i1050" DrawAspect="Content" ObjectID="_1468075750" r:id="rId56">
            <o:LockedField>false</o:LockedField>
          </o:OLEObject>
        </w:object>
      </w:r>
      <w:r>
        <w:rPr>
          <w:rFonts w:hint="eastAsia"/>
        </w:rPr>
        <w:t>——钢筋弹性模量；</w:t>
      </w:r>
    </w:p>
    <w:p>
      <w:pPr>
        <w:ind w:firstLine="960" w:firstLineChars="400"/>
      </w:pPr>
      <w:r>
        <w:t>R</w:t>
      </w:r>
      <w:r>
        <w:rPr>
          <w:rFonts w:hint="eastAsia"/>
        </w:rPr>
        <w:t>——管道结构的抗力强度设计值。</w:t>
      </w:r>
    </w:p>
    <w:p>
      <w:pPr>
        <w:ind w:firstLine="960" w:firstLineChars="400"/>
      </w:pPr>
      <w:r>
        <w:rPr>
          <w:i/>
        </w:rPr>
        <w:t>γ</w:t>
      </w:r>
      <w:r>
        <w:t>——</w:t>
      </w:r>
      <w:r>
        <w:rPr>
          <w:rFonts w:hint="eastAsia"/>
        </w:rPr>
        <w:t>土的重度；</w:t>
      </w:r>
    </w:p>
    <w:p>
      <w:pPr>
        <w:ind w:firstLine="960" w:firstLineChars="400"/>
      </w:pPr>
      <w:r>
        <w:rPr>
          <w:position w:val="-12"/>
        </w:rPr>
        <w:object>
          <v:shape id="_x0000_i1051" o:spt="75" type="#_x0000_t75" style="height:18.35pt;width:14.95pt;" o:ole="t" filled="f" o:preferrelative="t" stroked="f" coordsize="21600,21600">
            <v:path/>
            <v:fill on="f" focussize="0,0"/>
            <v:stroke on="f" joinstyle="miter"/>
            <v:imagedata r:id="rId59" o:title=""/>
            <o:lock v:ext="edit" aspectratio="t"/>
            <w10:wrap type="none"/>
            <w10:anchorlock/>
          </v:shape>
          <o:OLEObject Type="Embed" ProgID="Equation.DSMT4" ShapeID="_x0000_i1051" DrawAspect="Content" ObjectID="_1468075751" r:id="rId58">
            <o:LockedField>false</o:LockedField>
          </o:OLEObject>
        </w:object>
      </w:r>
      <w:r>
        <w:t>——水的重度；</w:t>
      </w:r>
    </w:p>
    <w:p>
      <w:pPr>
        <w:pStyle w:val="34"/>
        <w:shd w:val="clear" w:color="auto" w:fill="FFFFFF"/>
        <w:ind w:firstLine="960" w:firstLineChars="400"/>
        <w:rPr>
          <w:rFonts w:ascii="Times New Roman" w:hAnsi="Times New Roman"/>
          <w:szCs w:val="21"/>
        </w:rPr>
      </w:pPr>
      <w:r>
        <w:rPr>
          <w:position w:val="-12"/>
        </w:rPr>
        <w:object>
          <v:shape id="_x0000_i1052" o:spt="75" type="#_x0000_t75" style="height:18.35pt;width:12.9pt;" o:ole="t" filled="f" o:preferrelative="t" stroked="f" coordsize="21600,21600">
            <v:path/>
            <v:fill on="f" focussize="0,0"/>
            <v:stroke on="f" joinstyle="miter"/>
            <v:imagedata r:id="rId61" o:title=""/>
            <o:lock v:ext="edit" aspectratio="t"/>
            <w10:wrap type="none"/>
            <w10:anchorlock/>
          </v:shape>
          <o:OLEObject Type="Embed" ProgID="Equation.DSMT4" ShapeID="_x0000_i1052" DrawAspect="Content" ObjectID="_1468075752" r:id="rId60">
            <o:LockedField>false</o:LockedField>
          </o:OLEObject>
        </w:object>
      </w:r>
      <w:r>
        <w:rPr>
          <w:rFonts w:ascii="Times New Roman" w:hAnsi="Times New Roman"/>
          <w:szCs w:val="21"/>
        </w:rPr>
        <w:t>——</w:t>
      </w:r>
      <w:r>
        <w:rPr>
          <w:rFonts w:hint="eastAsia" w:ascii="Times New Roman" w:hAnsi="Times New Roman"/>
          <w:szCs w:val="21"/>
        </w:rPr>
        <w:t>钢筋混凝土管的重度；</w:t>
      </w:r>
    </w:p>
    <w:p>
      <w:pPr>
        <w:ind w:firstLine="960" w:firstLineChars="400"/>
      </w:pPr>
      <w:r>
        <w:rPr>
          <w:position w:val="-10"/>
        </w:rPr>
        <w:object>
          <v:shape id="_x0000_i1053" o:spt="75" type="#_x0000_t75" style="height:12.9pt;width:11.55pt;" o:ole="t" filled="f" o:preferrelative="t" stroked="f" coordsize="21600,21600">
            <v:path/>
            <v:fill on="f" focussize="0,0"/>
            <v:stroke on="f" joinstyle="miter"/>
            <v:imagedata r:id="rId63" o:title=""/>
            <o:lock v:ext="edit" aspectratio="t"/>
            <w10:wrap type="none"/>
            <w10:anchorlock/>
          </v:shape>
          <o:OLEObject Type="Embed" ProgID="Equation.DSMT4" ShapeID="_x0000_i1053" DrawAspect="Content" ObjectID="_1468075753" r:id="rId62">
            <o:LockedField>false</o:LockedField>
          </o:OLEObject>
        </w:object>
      </w:r>
      <w:r>
        <w:t>——</w:t>
      </w:r>
      <w:r>
        <w:rPr>
          <w:rFonts w:hint="eastAsia"/>
        </w:rPr>
        <w:t>顶管</w:t>
      </w:r>
      <w:r>
        <w:t>所处土层的内摩擦角</w:t>
      </w:r>
      <w:r>
        <w:rPr>
          <w:rFonts w:hint="eastAsia"/>
        </w:rPr>
        <w:t>；</w:t>
      </w:r>
    </w:p>
    <w:p>
      <w:pPr>
        <w:rPr>
          <w:b/>
        </w:rPr>
      </w:pPr>
      <w:r>
        <w:rPr>
          <w:b/>
        </w:rPr>
        <w:t xml:space="preserve">2.2.3  </w:t>
      </w:r>
      <w:r>
        <w:rPr>
          <w:rFonts w:hint="eastAsia"/>
          <w:b/>
        </w:rPr>
        <w:t>几何参数</w:t>
      </w:r>
    </w:p>
    <w:p>
      <w:pPr>
        <w:ind w:firstLine="720" w:firstLineChars="300"/>
        <w:rPr>
          <w:rFonts w:asciiTheme="minorHAnsi" w:hAnsiTheme="minorHAnsi" w:eastAsiaTheme="minorEastAsia" w:cstheme="minorBidi"/>
        </w:rPr>
      </w:pPr>
      <w:r>
        <w:rPr>
          <w:position w:val="-14"/>
        </w:rPr>
        <w:object>
          <v:shape id="_x0000_i1054" o:spt="75" type="#_x0000_t75" style="height:18.35pt;width:15.6pt;" o:ole="t" filled="f" o:preferrelative="t" stroked="f" coordsize="21600,21600">
            <v:path/>
            <v:fill on="f" focussize="0,0"/>
            <v:stroke on="f" joinstyle="miter"/>
            <v:imagedata r:id="rId65" o:title=""/>
            <o:lock v:ext="edit" aspectratio="t"/>
            <w10:wrap type="none"/>
            <w10:anchorlock/>
          </v:shape>
          <o:OLEObject Type="Embed" ProgID="Equation.DSMT4" ShapeID="_x0000_i1054" DrawAspect="Content" ObjectID="_1468075754" r:id="rId64">
            <o:LockedField>false</o:LockedField>
          </o:OLEObject>
        </w:object>
      </w:r>
      <w:r>
        <w:rPr>
          <w:lang w:bidi="ar"/>
        </w:rPr>
        <w:t>——</w:t>
      </w:r>
      <w:r>
        <w:rPr>
          <w:rFonts w:hint="eastAsia" w:asciiTheme="minorHAnsi" w:hAnsiTheme="minorHAnsi" w:eastAsiaTheme="minorEastAsia" w:cstheme="minorBidi"/>
        </w:rPr>
        <w:t>混凝土管节混凝土横断面积；</w:t>
      </w:r>
    </w:p>
    <w:p>
      <w:pPr>
        <w:autoSpaceDE w:val="0"/>
        <w:autoSpaceDN w:val="0"/>
        <w:adjustRightInd w:val="0"/>
        <w:ind w:firstLine="720" w:firstLineChars="300"/>
        <w:jc w:val="left"/>
        <w:textAlignment w:val="top"/>
      </w:pPr>
      <w:r>
        <w:object>
          <v:shape id="_x0000_i1055" o:spt="75" type="#_x0000_t75" style="height:18.35pt;width:14.25pt;" o:ole="t" filled="f" o:preferrelative="t" stroked="f" coordsize="21600,21600">
            <v:path/>
            <v:fill on="f" focussize="0,0"/>
            <v:stroke on="f" joinstyle="miter"/>
            <v:imagedata r:id="rId67" o:title=""/>
            <o:lock v:ext="edit" aspectratio="t"/>
            <w10:wrap type="none"/>
            <w10:anchorlock/>
          </v:shape>
          <o:OLEObject Type="Embed" ProgID="Equation.DSMT4" ShapeID="_x0000_i1055" DrawAspect="Content" ObjectID="_1468075755" r:id="rId66">
            <o:LockedField>false</o:LockedField>
          </o:OLEObject>
        </w:object>
      </w:r>
      <w:r>
        <w:rPr>
          <w:rFonts w:hint="eastAsia"/>
        </w:rPr>
        <w:t>——受拉区纵向钢筋截面面积；</w:t>
      </w:r>
    </w:p>
    <w:p>
      <w:pPr>
        <w:autoSpaceDE w:val="0"/>
        <w:autoSpaceDN w:val="0"/>
        <w:adjustRightInd w:val="0"/>
        <w:ind w:firstLine="720" w:firstLineChars="300"/>
        <w:jc w:val="left"/>
        <w:textAlignment w:val="center"/>
      </w:pPr>
      <w:r>
        <w:object>
          <v:shape id="_x0000_i1056" o:spt="75" type="#_x0000_t75" style="height:18.35pt;width:15.6pt;" o:ole="t" filled="f" o:preferrelative="t" stroked="f" coordsize="21600,21600">
            <v:path/>
            <v:fill on="f" focussize="0,0"/>
            <v:stroke on="f" joinstyle="miter"/>
            <v:imagedata r:id="rId69" o:title=""/>
            <o:lock v:ext="edit" aspectratio="t"/>
            <w10:wrap type="none"/>
            <w10:anchorlock/>
          </v:shape>
          <o:OLEObject Type="Embed" ProgID="Equation.DSMT4" ShapeID="_x0000_i1056" DrawAspect="Content" ObjectID="_1468075756" r:id="rId68">
            <o:LockedField>false</o:LockedField>
          </o:OLEObject>
        </w:object>
      </w:r>
      <w:r>
        <w:rPr>
          <w:rFonts w:hint="eastAsia"/>
        </w:rPr>
        <w:t>——有效受拉混凝土截面面积；</w:t>
      </w:r>
    </w:p>
    <w:p>
      <w:r>
        <w:t xml:space="preserve">      </w:t>
      </w:r>
      <w:r>
        <w:rPr>
          <w:i/>
        </w:rPr>
        <w:t>b</w:t>
      </w:r>
      <w:r>
        <w:rPr>
          <w:rFonts w:hint="eastAsia"/>
          <w:i/>
          <w:vertAlign w:val="subscript"/>
        </w:rPr>
        <w:t>2</w:t>
      </w:r>
      <w:r>
        <w:t>——施工操作空间</w:t>
      </w:r>
      <w:r>
        <w:rPr>
          <w:rFonts w:hint="eastAsia"/>
        </w:rPr>
        <w:t>；</w:t>
      </w:r>
    </w:p>
    <w:p>
      <w:pPr>
        <w:ind w:firstLine="720" w:firstLineChars="300"/>
      </w:pPr>
      <w:r>
        <w:rPr>
          <w:position w:val="-4"/>
        </w:rPr>
        <w:object>
          <v:shape id="_x0000_i1057" o:spt="75" type="#_x0000_t75" style="height:12.9pt;width:12.25pt;" o:ole="t" filled="f" o:preferrelative="t" stroked="f" coordsize="21600,21600">
            <v:path/>
            <v:fill on="f" focussize="0,0"/>
            <v:stroke on="f" joinstyle="miter"/>
            <v:imagedata r:id="rId71" o:title=""/>
            <o:lock v:ext="edit" aspectratio="t"/>
            <w10:wrap type="none"/>
            <w10:anchorlock/>
          </v:shape>
          <o:OLEObject Type="Embed" ProgID="Equation.DSMT4" ShapeID="_x0000_i1057" DrawAspect="Content" ObjectID="_1468075757" r:id="rId70">
            <o:LockedField>false</o:LockedField>
          </o:OLEObject>
        </w:object>
      </w:r>
      <w:r>
        <w:t>——</w:t>
      </w:r>
      <w:r>
        <w:rPr>
          <w:rFonts w:hint="eastAsia"/>
        </w:rPr>
        <w:t>始发</w:t>
      </w:r>
      <w:r>
        <w:t>井的最小净宽度；</w:t>
      </w:r>
    </w:p>
    <w:p>
      <w:pPr>
        <w:ind w:firstLine="720" w:firstLineChars="300"/>
      </w:pPr>
      <w:r>
        <w:rPr>
          <w:position w:val="-12"/>
        </w:rPr>
        <w:object>
          <v:shape id="_x0000_i1058" o:spt="75" type="#_x0000_t75" style="height:18.35pt;width:14.25pt;" o:ole="t" filled="f" o:preferrelative="t" stroked="f" coordsize="21600,21600">
            <v:path/>
            <v:fill on="f" focussize="0,0"/>
            <v:stroke on="f" joinstyle="miter"/>
            <v:imagedata r:id="rId73" o:title=""/>
            <o:lock v:ext="edit" aspectratio="t"/>
            <w10:wrap type="none"/>
            <w10:anchorlock/>
          </v:shape>
          <o:OLEObject Type="Embed" ProgID="Equation.DSMT4" ShapeID="_x0000_i1058" DrawAspect="Content" ObjectID="_1468075758" r:id="rId72">
            <o:LockedField>false</o:LockedField>
          </o:OLEObject>
        </w:object>
      </w:r>
      <w:r>
        <w:rPr>
          <w:lang w:bidi="ar"/>
        </w:rPr>
        <w:t>——</w:t>
      </w:r>
      <w:r>
        <w:rPr>
          <w:rFonts w:hint="eastAsia"/>
        </w:rPr>
        <w:t>管顶上部土层压力传递至管顶处的影响计算宽度，即卸荷拱跨度（m）。</w:t>
      </w:r>
    </w:p>
    <w:p>
      <w:pPr>
        <w:ind w:firstLine="720" w:firstLineChars="300"/>
        <w:rPr>
          <w:rFonts w:asciiTheme="minorHAnsi" w:hAnsiTheme="minorHAnsi" w:eastAsiaTheme="minorEastAsia" w:cstheme="minorBidi"/>
          <w:sz w:val="21"/>
        </w:rPr>
      </w:pPr>
      <w:r>
        <w:rPr>
          <w:position w:val="-12"/>
        </w:rPr>
        <w:object>
          <v:shape id="_x0000_i1059" o:spt="75" type="#_x0000_t75" style="height:18.35pt;width:11.55pt;" o:ole="t" filled="f" o:preferrelative="t" stroked="f" coordsize="21600,21600">
            <v:path/>
            <v:fill on="f" focussize="0,0"/>
            <v:stroke on="f" joinstyle="miter"/>
            <v:imagedata r:id="rId75" o:title=""/>
            <o:lock v:ext="edit" aspectratio="t"/>
            <w10:wrap type="none"/>
            <w10:anchorlock/>
          </v:shape>
          <o:OLEObject Type="Embed" ProgID="Equation.DSMT4" ShapeID="_x0000_i1059" DrawAspect="Content" ObjectID="_1468075759" r:id="rId74">
            <o:LockedField>false</o:LockedField>
          </o:OLEObject>
        </w:object>
      </w:r>
      <w:r>
        <w:rPr>
          <w:lang w:bidi="ar"/>
        </w:rPr>
        <w:t>——</w:t>
      </w:r>
      <w:r>
        <w:rPr>
          <w:rFonts w:hint="eastAsia"/>
        </w:rPr>
        <w:t>矩形管节外边宽；</w:t>
      </w:r>
    </w:p>
    <w:p>
      <w:pPr>
        <w:ind w:firstLine="720" w:firstLineChars="300"/>
      </w:pPr>
      <w:r>
        <w:rPr>
          <w:position w:val="-12"/>
        </w:rPr>
        <w:object>
          <v:shape id="_x0000_i1060" o:spt="75" type="#_x0000_t75" style="height:18.35pt;width:18.35pt;" o:ole="t" filled="f" o:preferrelative="t" stroked="f" coordsize="21600,21600">
            <v:path/>
            <v:fill on="f" focussize="0,0"/>
            <v:stroke on="f" joinstyle="miter"/>
            <v:imagedata r:id="rId77" o:title=""/>
            <o:lock v:ext="edit" aspectratio="t"/>
            <w10:wrap type="none"/>
            <w10:anchorlock/>
          </v:shape>
          <o:OLEObject Type="Embed" ProgID="Equation.DSMT4" ShapeID="_x0000_i1060" DrawAspect="Content" ObjectID="_1468075760" r:id="rId76">
            <o:LockedField>false</o:LockedField>
          </o:OLEObject>
        </w:object>
      </w:r>
      <w:r>
        <w:t>——</w:t>
      </w:r>
      <w:r>
        <w:rPr>
          <w:rFonts w:hint="eastAsia"/>
        </w:rPr>
        <w:t>工作</w:t>
      </w:r>
      <w:r>
        <w:t>井的穿墙</w:t>
      </w:r>
      <w:r>
        <w:rPr>
          <w:rFonts w:hint="eastAsia"/>
        </w:rPr>
        <w:t>洞宽度；</w:t>
      </w:r>
    </w:p>
    <w:p>
      <w:pPr>
        <w:ind w:firstLine="720" w:firstLineChars="300"/>
        <w:rPr>
          <w:rFonts w:eastAsiaTheme="minorEastAsia"/>
        </w:rPr>
      </w:pPr>
      <w:r>
        <w:rPr>
          <w:position w:val="-16"/>
        </w:rPr>
        <w:object>
          <v:shape id="_x0000_i1061" o:spt="75" type="#_x0000_t75" style="height:19.7pt;width:17pt;" o:ole="t" filled="f" o:preferrelative="t" stroked="f" coordsize="21600,21600">
            <v:path/>
            <v:fill on="f" focussize="0,0"/>
            <v:stroke on="f" joinstyle="miter"/>
            <v:imagedata r:id="rId79" o:title=""/>
            <o:lock v:ext="edit" aspectratio="t"/>
            <w10:wrap type="none"/>
            <w10:anchorlock/>
          </v:shape>
          <o:OLEObject Type="Embed" ProgID="Equation.DSMT4" ShapeID="_x0000_i1061" DrawAspect="Content" ObjectID="_1468075761" r:id="rId78">
            <o:LockedField>false</o:LockedField>
          </o:OLEObject>
        </w:object>
      </w:r>
      <w:r>
        <w:rPr>
          <w:rFonts w:eastAsiaTheme="minorEastAsia"/>
        </w:rPr>
        <w:t>——接收井的穿墙洞宽；</w:t>
      </w:r>
    </w:p>
    <w:p>
      <w:pPr>
        <w:autoSpaceDE w:val="0"/>
        <w:autoSpaceDN w:val="0"/>
        <w:adjustRightInd w:val="0"/>
        <w:ind w:firstLine="851"/>
        <w:jc w:val="left"/>
        <w:textAlignment w:val="center"/>
      </w:pPr>
      <w:r>
        <w:object>
          <v:shape id="_x0000_i1062" o:spt="75" type="#_x0000_t75" style="height:18.35pt;width:11.55pt;" o:ole="t" filled="f" o:preferrelative="t" stroked="f" coordsize="21600,21600">
            <v:path/>
            <v:fill on="f" focussize="0,0"/>
            <v:stroke on="f" joinstyle="miter"/>
            <v:imagedata r:id="rId81" o:title=""/>
            <o:lock v:ext="edit" aspectratio="t"/>
            <w10:wrap type="none"/>
            <w10:anchorlock/>
          </v:shape>
          <o:OLEObject Type="Embed" ProgID="Equation.DSMT4" ShapeID="_x0000_i1062" DrawAspect="Content" ObjectID="_1468075762" r:id="rId80">
            <o:LockedField>false</o:LockedField>
          </o:OLEObject>
        </w:object>
      </w:r>
      <w:r>
        <w:rPr>
          <w:rFonts w:hint="eastAsia"/>
        </w:rPr>
        <w:t>——最外层纵向受拉钢筋外边缘至受拉区底边的距离；</w:t>
      </w:r>
    </w:p>
    <w:p>
      <w:pPr>
        <w:autoSpaceDE w:val="0"/>
        <w:autoSpaceDN w:val="0"/>
        <w:adjustRightInd w:val="0"/>
        <w:ind w:firstLine="720" w:firstLineChars="300"/>
        <w:jc w:val="left"/>
        <w:textAlignment w:val="center"/>
      </w:pPr>
      <w:r>
        <w:object>
          <v:shape id="_x0000_i1063" o:spt="75" type="#_x0000_t75" style="height:18.35pt;width:17pt;" o:ole="t" filled="f" o:preferrelative="t" stroked="f" coordsize="21600,21600">
            <v:path/>
            <v:fill on="f" focussize="0,0"/>
            <v:stroke on="f" joinstyle="miter"/>
            <v:imagedata r:id="rId83" o:title=""/>
            <o:lock v:ext="edit" aspectratio="t"/>
            <w10:wrap type="none"/>
            <w10:anchorlock/>
          </v:shape>
          <o:OLEObject Type="Embed" ProgID="Equation.DSMT4" ShapeID="_x0000_i1063" DrawAspect="Content" ObjectID="_1468075763" r:id="rId82">
            <o:LockedField>false</o:LockedField>
          </o:OLEObject>
        </w:object>
      </w:r>
      <w:r>
        <w:rPr>
          <w:rFonts w:hint="eastAsia"/>
        </w:rPr>
        <w:t>——受拉区纵向钢筋的等效直径；</w:t>
      </w:r>
    </w:p>
    <w:p>
      <w:pPr>
        <w:autoSpaceDE w:val="0"/>
        <w:autoSpaceDN w:val="0"/>
        <w:adjustRightInd w:val="0"/>
        <w:ind w:firstLine="720" w:firstLineChars="300"/>
        <w:jc w:val="left"/>
        <w:textAlignment w:val="center"/>
      </w:pPr>
      <w:r>
        <w:object>
          <v:shape id="_x0000_i1064" o:spt="75" type="#_x0000_t75" style="height:18.35pt;width:11.55pt;" o:ole="t" filled="f" o:preferrelative="t" stroked="f" coordsize="21600,21600">
            <v:path/>
            <v:fill on="f" focussize="0,0"/>
            <v:stroke on="f" joinstyle="miter"/>
            <v:imagedata r:id="rId85" o:title=""/>
            <o:lock v:ext="edit" aspectratio="t"/>
            <w10:wrap type="none"/>
            <w10:anchorlock/>
          </v:shape>
          <o:OLEObject Type="Embed" ProgID="Equation.DSMT4" ShapeID="_x0000_i1064" DrawAspect="Content" ObjectID="_1468075764" r:id="rId84">
            <o:LockedField>false</o:LockedField>
          </o:OLEObject>
        </w:object>
      </w:r>
      <w:r>
        <w:rPr>
          <w:rFonts w:hint="eastAsia"/>
        </w:rPr>
        <w:t>——受拉区第i种纵向钢筋公称直径；</w:t>
      </w:r>
    </w:p>
    <w:p>
      <w:pPr>
        <w:ind w:firstLine="720" w:firstLineChars="300"/>
      </w:pPr>
      <w:r>
        <w:rPr>
          <w:position w:val="-12"/>
        </w:rPr>
        <w:object>
          <v:shape id="_x0000_i1065" o:spt="75" type="#_x0000_t75" style="height:18.35pt;width:12.9pt;" o:ole="t" filled="f" o:preferrelative="t" stroked="f" coordsize="21600,21600">
            <v:path/>
            <v:fill on="f" focussize="0,0"/>
            <v:stroke on="f" joinstyle="miter"/>
            <v:imagedata r:id="rId87" o:title=""/>
            <o:lock v:ext="edit" aspectratio="t"/>
            <w10:wrap type="none"/>
            <w10:anchorlock/>
          </v:shape>
          <o:OLEObject Type="Embed" ProgID="Equation.DSMT4" ShapeID="_x0000_i1065" DrawAspect="Content" ObjectID="_1468075765" r:id="rId86">
            <o:LockedField>false</o:LockedField>
          </o:OLEObject>
        </w:object>
      </w:r>
      <w:r>
        <w:t>——卸力拱的高度；</w:t>
      </w:r>
    </w:p>
    <w:p>
      <w:pPr>
        <w:ind w:firstLine="840" w:firstLineChars="400"/>
        <w:rPr>
          <w:rFonts w:eastAsiaTheme="minorEastAsia" w:cstheme="minorBidi"/>
          <w:bCs/>
          <w:sz w:val="21"/>
          <w:szCs w:val="22"/>
        </w:rPr>
      </w:pPr>
      <w:r>
        <w:rPr>
          <w:rFonts w:eastAsiaTheme="minorEastAsia" w:cstheme="minorBidi"/>
          <w:bCs/>
          <w:position w:val="-16"/>
          <w:sz w:val="21"/>
          <w:szCs w:val="22"/>
        </w:rPr>
        <w:object>
          <v:shape id="_x0000_i1066" o:spt="75" type="#_x0000_t75" style="height:21.05pt;width:14.25pt;" o:ole="t" filled="f" o:preferrelative="t" stroked="f" coordsize="21600,21600">
            <v:path/>
            <v:fill on="f" focussize="0,0"/>
            <v:stroke on="f" joinstyle="miter"/>
            <v:imagedata r:id="rId89" o:title=""/>
            <o:lock v:ext="edit" aspectratio="t"/>
            <w10:wrap type="none"/>
            <w10:anchorlock/>
          </v:shape>
          <o:OLEObject Type="Embed" ProgID="Equation.DSMT4" ShapeID="_x0000_i1066" DrawAspect="Content" ObjectID="_1468075766" r:id="rId88">
            <o:LockedField>false</o:LockedField>
          </o:OLEObject>
        </w:object>
      </w:r>
      <w:r>
        <w:rPr>
          <w:rFonts w:hint="eastAsia"/>
        </w:rPr>
        <w:t>——</w:t>
      </w:r>
      <w:r>
        <w:rPr>
          <w:rFonts w:hint="eastAsia" w:eastAsiaTheme="minorEastAsia" w:cstheme="minorBidi"/>
          <w:bCs/>
          <w:sz w:val="21"/>
          <w:szCs w:val="22"/>
        </w:rPr>
        <w:t>总顶力距刃脚底的距离；</w:t>
      </w:r>
    </w:p>
    <w:p>
      <w:pPr>
        <w:ind w:firstLine="720" w:firstLineChars="300"/>
        <w:rPr>
          <w:rFonts w:eastAsiaTheme="minorEastAsia" w:cstheme="minorBidi"/>
          <w:bCs/>
          <w:sz w:val="21"/>
          <w:szCs w:val="22"/>
        </w:rPr>
      </w:pPr>
      <w:r>
        <w:rPr>
          <w:position w:val="-14"/>
        </w:rPr>
        <w:object>
          <v:shape id="_x0000_i1067" o:spt="75" type="#_x0000_t75" style="height:18.35pt;width:14.25pt;" o:ole="t" filled="f" o:preferrelative="t" stroked="f" coordsize="21600,21600">
            <v:path/>
            <v:fill on="f" focussize="0,0"/>
            <v:stroke on="f" joinstyle="miter"/>
            <v:imagedata r:id="rId91" o:title=""/>
            <o:lock v:ext="edit" aspectratio="t"/>
            <w10:wrap type="none"/>
            <w10:anchorlock/>
          </v:shape>
          <o:OLEObject Type="Embed" ProgID="Equation.DSMT4" ShapeID="_x0000_i1067" DrawAspect="Content" ObjectID="_1468075767" r:id="rId90">
            <o:LockedField>false</o:LockedField>
          </o:OLEObject>
        </w:object>
      </w:r>
      <w:r>
        <w:rPr>
          <w:rFonts w:hint="eastAsia"/>
        </w:rPr>
        <w:t>——</w:t>
      </w:r>
      <w:r>
        <w:rPr>
          <w:rFonts w:hint="eastAsia" w:eastAsiaTheme="minorEastAsia" w:cstheme="minorBidi"/>
          <w:bCs/>
          <w:sz w:val="21"/>
          <w:szCs w:val="22"/>
        </w:rPr>
        <w:t>被动土压力距刃脚底的距离；</w:t>
      </w:r>
      <w:r>
        <w:rPr>
          <w:rFonts w:eastAsiaTheme="minorEastAsia" w:cstheme="minorBidi"/>
          <w:bCs/>
          <w:sz w:val="21"/>
          <w:szCs w:val="22"/>
        </w:rPr>
        <w:t xml:space="preserve"> </w:t>
      </w:r>
    </w:p>
    <w:p>
      <w:pPr>
        <w:ind w:firstLine="720" w:firstLineChars="300"/>
      </w:pPr>
      <w:r>
        <w:rPr>
          <w:position w:val="-4"/>
        </w:rPr>
        <w:object>
          <v:shape id="_x0000_i1068" o:spt="75" type="#_x0000_t75" style="height:10.2pt;width:12.25pt;" o:ole="t" filled="f" o:preferrelative="t" stroked="f" coordsize="21600,21600">
            <v:path/>
            <v:fill on="f" focussize="0,0"/>
            <v:stroke on="f" joinstyle="miter"/>
            <v:imagedata r:id="rId93" o:title=""/>
            <o:lock v:ext="edit" aspectratio="t"/>
            <w10:wrap type="none"/>
            <w10:anchorlock/>
          </v:shape>
          <o:OLEObject Type="Embed" ProgID="Equation.DSMT4" ShapeID="_x0000_i1068" DrawAspect="Content" ObjectID="_1468075768" r:id="rId92">
            <o:LockedField>false</o:LockedField>
          </o:OLEObject>
        </w:object>
      </w:r>
      <w:r>
        <w:t>——</w:t>
      </w:r>
      <w:r>
        <w:rPr>
          <w:rFonts w:hint="eastAsia"/>
        </w:rPr>
        <w:t>始发</w:t>
      </w:r>
      <w:r>
        <w:t>井最小深度；</w:t>
      </w:r>
    </w:p>
    <w:p>
      <w:pPr>
        <w:ind w:firstLine="720" w:firstLineChars="300"/>
        <w:rPr>
          <w:rFonts w:ascii="宋体" w:hAnsi="宋体" w:cs="宋体"/>
          <w:kern w:val="24"/>
        </w:rPr>
      </w:pPr>
      <w:r>
        <w:rPr>
          <w:position w:val="-12"/>
        </w:rPr>
        <w:object>
          <v:shape id="_x0000_i1069" o:spt="75" type="#_x0000_t75" style="height:15.6pt;width:15.6pt;" o:ole="t" filled="f" o:preferrelative="t" stroked="f" coordsize="21600,21600">
            <v:path/>
            <v:fill on="f" focussize="0,0"/>
            <v:stroke on="f" joinstyle="miter"/>
            <v:imagedata r:id="rId95" o:title=""/>
            <o:lock v:ext="edit" aspectratio="t"/>
            <w10:wrap type="none"/>
            <w10:anchorlock/>
          </v:shape>
          <o:OLEObject Type="Embed" ProgID="Equation.DSMT4" ShapeID="_x0000_i1069" DrawAspect="Content" ObjectID="_1468075769" r:id="rId94">
            <o:LockedField>false</o:LockedField>
          </o:OLEObject>
        </w:object>
      </w:r>
      <w:r>
        <w:rPr>
          <w:lang w:bidi="ar"/>
        </w:rPr>
        <w:t>——</w:t>
      </w:r>
      <w:r>
        <w:rPr>
          <w:rFonts w:hint="eastAsia"/>
        </w:rPr>
        <w:t>管顶至原状土地面覆土层厚度；</w:t>
      </w:r>
    </w:p>
    <w:p>
      <w:pPr>
        <w:ind w:firstLine="720" w:firstLineChars="300"/>
        <w:rPr>
          <w:rFonts w:asciiTheme="minorHAnsi" w:hAnsiTheme="minorHAnsi" w:eastAsiaTheme="minorEastAsia" w:cstheme="minorBidi"/>
          <w:sz w:val="21"/>
        </w:rPr>
      </w:pPr>
      <w:r>
        <w:rPr>
          <w:position w:val="-12"/>
        </w:rPr>
        <w:object>
          <v:shape id="_x0000_i1070" o:spt="75" type="#_x0000_t75" style="height:21.75pt;width:15.6pt;" o:ole="t" filled="f" o:preferrelative="t" stroked="f" coordsize="21600,21600">
            <v:path/>
            <v:fill on="f" focussize="0,0"/>
            <v:stroke on="f" joinstyle="miter"/>
            <v:imagedata r:id="rId97" o:title=""/>
            <o:lock v:ext="edit" aspectratio="t"/>
            <w10:wrap type="none"/>
            <w10:anchorlock/>
          </v:shape>
          <o:OLEObject Type="Embed" ProgID="Equation.DSMT4" ShapeID="_x0000_i1070" DrawAspect="Content" ObjectID="_1468075770" r:id="rId96">
            <o:LockedField>false</o:LockedField>
          </o:OLEObject>
        </w:object>
      </w:r>
      <w:r>
        <w:rPr>
          <w:lang w:bidi="ar"/>
        </w:rPr>
        <w:t>——</w:t>
      </w:r>
      <w:r>
        <w:rPr>
          <w:rFonts w:hint="eastAsia"/>
        </w:rPr>
        <w:t>矩形管节外边高；</w:t>
      </w:r>
    </w:p>
    <w:p>
      <w:pPr>
        <w:ind w:firstLine="720" w:firstLineChars="300"/>
      </w:pPr>
      <w:r>
        <w:rPr>
          <w:i/>
        </w:rPr>
        <w:t>h</w:t>
      </w:r>
      <w:r>
        <w:rPr>
          <w:rFonts w:hint="eastAsia"/>
          <w:i/>
          <w:vertAlign w:val="subscript"/>
        </w:rPr>
        <w:t>1</w:t>
      </w:r>
      <w:r>
        <w:t>——管</w:t>
      </w:r>
      <w:r>
        <w:rPr>
          <w:rFonts w:hint="eastAsia"/>
        </w:rPr>
        <w:t>节</w:t>
      </w:r>
      <w:r>
        <w:t>底下的操作空间</w:t>
      </w:r>
      <w:r>
        <w:rPr>
          <w:rFonts w:hint="eastAsia"/>
        </w:rPr>
        <w:t>；</w:t>
      </w:r>
    </w:p>
    <w:p>
      <w:pPr>
        <w:ind w:firstLine="720" w:firstLineChars="300"/>
      </w:pPr>
      <w:r>
        <w:rPr>
          <w:position w:val="-12"/>
        </w:rPr>
        <w:object>
          <v:shape id="_x0000_i1071" o:spt="75" type="#_x0000_t75" style="height:18.35pt;width:21.05pt;" o:ole="t" filled="f" o:preferrelative="t" stroked="f" coordsize="21600,21600">
            <v:path/>
            <v:fill on="f" focussize="0,0"/>
            <v:stroke on="f" joinstyle="miter"/>
            <v:imagedata r:id="rId99" o:title=""/>
            <o:lock v:ext="edit" aspectratio="t"/>
            <w10:wrap type="none"/>
            <w10:anchorlock/>
          </v:shape>
          <o:OLEObject Type="Embed" ProgID="Equation.DSMT4" ShapeID="_x0000_i1071" DrawAspect="Content" ObjectID="_1468075771" r:id="rId98">
            <o:LockedField>false</o:LockedField>
          </o:OLEObject>
        </w:object>
      </w:r>
      <w:r>
        <w:t>——</w:t>
      </w:r>
      <w:r>
        <w:rPr>
          <w:rFonts w:hint="eastAsia"/>
        </w:rPr>
        <w:t>工作</w:t>
      </w:r>
      <w:r>
        <w:t>井的穿墙</w:t>
      </w:r>
      <w:r>
        <w:rPr>
          <w:rFonts w:hint="eastAsia"/>
        </w:rPr>
        <w:t>洞高度</w:t>
      </w:r>
      <w:r>
        <w:t>；</w:t>
      </w:r>
    </w:p>
    <w:p>
      <w:pPr>
        <w:ind w:firstLine="720" w:firstLineChars="300"/>
        <w:rPr>
          <w:rFonts w:eastAsiaTheme="minorEastAsia"/>
        </w:rPr>
      </w:pPr>
      <w:r>
        <w:rPr>
          <w:position w:val="-16"/>
        </w:rPr>
        <w:object>
          <v:shape id="_x0000_i1072" o:spt="75" type="#_x0000_t75" style="height:19.7pt;width:19.7pt;" o:ole="t" filled="f" o:preferrelative="t" stroked="f" coordsize="21600,21600">
            <v:path/>
            <v:fill on="f" focussize="0,0"/>
            <v:stroke on="f" joinstyle="miter"/>
            <v:imagedata r:id="rId101" o:title=""/>
            <o:lock v:ext="edit" aspectratio="t"/>
            <w10:wrap type="none"/>
            <w10:anchorlock/>
          </v:shape>
          <o:OLEObject Type="Embed" ProgID="Equation.DSMT4" ShapeID="_x0000_i1072" DrawAspect="Content" ObjectID="_1468075772" r:id="rId100">
            <o:LockedField>false</o:LockedField>
          </o:OLEObject>
        </w:object>
      </w:r>
      <w:r>
        <w:rPr>
          <w:rFonts w:eastAsiaTheme="minorEastAsia"/>
        </w:rPr>
        <w:t>——接收井的穿墙洞高；</w:t>
      </w:r>
    </w:p>
    <w:p>
      <w:pPr>
        <w:ind w:firstLine="720" w:firstLineChars="300"/>
      </w:pPr>
      <w:r>
        <w:rPr>
          <w:position w:val="-12"/>
        </w:rPr>
        <w:object>
          <v:shape id="_x0000_i1073" o:spt="75" type="#_x0000_t75" style="height:18.35pt;width:19pt;" o:ole="t" filled="f" o:preferrelative="t" stroked="f" coordsize="21600,21600">
            <v:path/>
            <v:fill on="f" focussize="0,0"/>
            <v:stroke on="f" joinstyle="miter"/>
            <v:imagedata r:id="rId103" o:title=""/>
            <o:lock v:ext="edit" aspectratio="t"/>
            <w10:wrap type="none"/>
            <w10:anchorlock/>
          </v:shape>
          <o:OLEObject Type="Embed" ProgID="Equation.DSMT4" ShapeID="_x0000_i1073" DrawAspect="Content" ObjectID="_1468075773" r:id="rId102">
            <o:LockedField>false</o:LockedField>
          </o:OLEObject>
        </w:object>
      </w:r>
      <w:r>
        <w:t>——工作面或卸力拱以上的水柱高度；</w:t>
      </w:r>
    </w:p>
    <w:p>
      <w:pPr>
        <w:ind w:firstLine="720" w:firstLineChars="300"/>
      </w:pPr>
      <w:r>
        <w:rPr>
          <w:i/>
        </w:rPr>
        <w:t>L</w:t>
      </w:r>
      <w:r>
        <w:t>——</w:t>
      </w:r>
      <w:r>
        <w:rPr>
          <w:rFonts w:hint="eastAsia"/>
        </w:rPr>
        <w:t>始发</w:t>
      </w:r>
      <w:r>
        <w:t>井最小净长度；</w:t>
      </w:r>
    </w:p>
    <w:p>
      <w:r>
        <w:t xml:space="preserve">     </w:t>
      </w:r>
      <w:r>
        <w:rPr>
          <w:i/>
        </w:rPr>
        <w:t xml:space="preserve"> L</w:t>
      </w:r>
      <w:r>
        <w:rPr>
          <w:i/>
          <w:vertAlign w:val="subscript"/>
        </w:rPr>
        <w:t>1</w:t>
      </w:r>
      <w:r>
        <w:rPr>
          <w:i/>
        </w:rPr>
        <w:t>——</w:t>
      </w:r>
      <w:r>
        <w:t>顶管机长度</w:t>
      </w:r>
      <w:r>
        <w:rPr>
          <w:rFonts w:hint="eastAsia"/>
        </w:rPr>
        <w:t>；</w:t>
      </w:r>
    </w:p>
    <w:p>
      <w:pPr>
        <w:ind w:firstLine="720" w:firstLineChars="300"/>
      </w:pPr>
      <w:r>
        <w:rPr>
          <w:i/>
        </w:rPr>
        <w:t>L</w:t>
      </w:r>
      <w:r>
        <w:rPr>
          <w:vertAlign w:val="subscript"/>
        </w:rPr>
        <w:t>2</w:t>
      </w:r>
      <w:r>
        <w:t>——</w:t>
      </w:r>
      <w:r>
        <w:rPr>
          <w:rFonts w:hint="eastAsia"/>
        </w:rPr>
        <w:t>可取2</w:t>
      </w:r>
      <w:r>
        <w:t>.5</w:t>
      </w:r>
      <w:r>
        <w:rPr>
          <w:rFonts w:hint="eastAsia"/>
        </w:rPr>
        <w:t>倍</w:t>
      </w:r>
      <w:r>
        <w:t>管段长度；</w:t>
      </w:r>
    </w:p>
    <w:p>
      <w:r>
        <w:t xml:space="preserve">      </w:t>
      </w:r>
      <w:r>
        <w:rPr>
          <w:i/>
        </w:rPr>
        <w:t>L</w:t>
      </w:r>
      <w:r>
        <w:rPr>
          <w:vertAlign w:val="subscript"/>
        </w:rPr>
        <w:t>3</w:t>
      </w:r>
      <w:r>
        <w:t>——液压缸长度；</w:t>
      </w:r>
    </w:p>
    <w:p>
      <w:r>
        <w:t xml:space="preserve">      </w:t>
      </w:r>
      <w:r>
        <w:rPr>
          <w:i/>
        </w:rPr>
        <w:t>L</w:t>
      </w:r>
      <w:r>
        <w:rPr>
          <w:vertAlign w:val="subscript"/>
        </w:rPr>
        <w:t>4</w:t>
      </w:r>
      <w:r>
        <w:t>——后座及扩散段厚度；</w:t>
      </w:r>
    </w:p>
    <w:p>
      <w:pPr>
        <w:ind w:firstLine="720" w:firstLineChars="300"/>
        <w:rPr>
          <w:rFonts w:asciiTheme="minorHAnsi" w:hAnsiTheme="minorHAnsi" w:eastAsiaTheme="minorEastAsia" w:cstheme="minorBidi"/>
        </w:rPr>
      </w:pPr>
      <w:r>
        <w:rPr>
          <w:position w:val="-12"/>
        </w:rPr>
        <w:object>
          <v:shape id="_x0000_i1074" o:spt="75" type="#_x0000_t75" style="height:18.35pt;width:14.95pt;" o:ole="t" filled="f" o:preferrelative="t" stroked="f" coordsize="21600,21600">
            <v:path/>
            <v:fill on="f" focussize="0,0"/>
            <v:stroke on="f" joinstyle="miter"/>
            <v:imagedata r:id="rId105" o:title=""/>
            <o:lock v:ext="edit" aspectratio="t"/>
            <w10:wrap type="none"/>
            <w10:anchorlock/>
          </v:shape>
          <o:OLEObject Type="Embed" ProgID="Equation.DSMT4" ShapeID="_x0000_i1074" DrawAspect="Content" ObjectID="_1468075774" r:id="rId104">
            <o:LockedField>false</o:LockedField>
          </o:OLEObject>
        </w:object>
      </w:r>
      <w:r>
        <w:rPr>
          <w:lang w:bidi="ar"/>
        </w:rPr>
        <w:t>——</w:t>
      </w:r>
      <w:r>
        <w:rPr>
          <w:rFonts w:hint="eastAsia" w:asciiTheme="minorHAnsi" w:hAnsiTheme="minorHAnsi" w:eastAsiaTheme="minorEastAsia" w:cstheme="minorBidi"/>
        </w:rPr>
        <w:t>矩形顶管顶进长度</w:t>
      </w:r>
      <w:r>
        <w:rPr>
          <w:rFonts w:hint="eastAsia" w:ascii="宋体" w:hAnsi="宋体" w:cs="宋体"/>
          <w:kern w:val="24"/>
        </w:rPr>
        <w:t>；</w:t>
      </w:r>
    </w:p>
    <w:p>
      <w:pPr>
        <w:ind w:firstLine="720" w:firstLineChars="300"/>
      </w:pPr>
      <w:r>
        <w:rPr>
          <w:rFonts w:hint="eastAsia"/>
          <w:i/>
          <w:iCs/>
        </w:rPr>
        <w:t>L</w:t>
      </w:r>
      <w:r>
        <w:rPr>
          <w:rFonts w:hint="eastAsia"/>
          <w:i/>
          <w:iCs/>
          <w:vertAlign w:val="subscript"/>
        </w:rPr>
        <w:t>m</w:t>
      </w:r>
      <w:r>
        <w:t>——</w:t>
      </w:r>
      <w:r>
        <w:rPr>
          <w:rFonts w:hint="eastAsia"/>
        </w:rPr>
        <w:t>补浆孔间距；</w:t>
      </w:r>
    </w:p>
    <w:p>
      <w:pPr>
        <w:ind w:firstLine="720" w:firstLineChars="300"/>
        <w:textAlignment w:val="center"/>
      </w:pPr>
      <w:r>
        <w:object>
          <v:shape id="_x0000_i1075" o:spt="75" type="#_x0000_t75" style="height:10.85pt;width:10.85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06">
            <o:LockedField>false</o:LockedField>
          </o:OLEObject>
        </w:object>
      </w:r>
      <w:r>
        <w:rPr>
          <w:rFonts w:hint="eastAsia"/>
        </w:rPr>
        <w:t>——顶管外轮廓周长；</w:t>
      </w:r>
    </w:p>
    <w:p>
      <w:pPr>
        <w:ind w:firstLine="720" w:firstLineChars="300"/>
      </w:pPr>
      <w:r>
        <w:rPr>
          <w:rFonts w:hint="eastAsia"/>
        </w:rPr>
        <w:t>S——中继间间距；</w:t>
      </w:r>
    </w:p>
    <w:p>
      <w:pPr>
        <w:ind w:firstLine="720" w:firstLineChars="300"/>
      </w:pPr>
      <w:r>
        <w:rPr>
          <w:i/>
        </w:rPr>
        <w:t>S</w:t>
      </w:r>
      <w:r>
        <w:rPr>
          <w:vertAlign w:val="subscript"/>
        </w:rPr>
        <w:t>1</w:t>
      </w:r>
      <w:r>
        <w:t>——顶入管段留在导轨上的最小长度；</w:t>
      </w:r>
    </w:p>
    <w:p>
      <w:r>
        <w:t xml:space="preserve">      </w:t>
      </w:r>
      <w:r>
        <w:rPr>
          <w:i/>
        </w:rPr>
        <w:t>S</w:t>
      </w:r>
      <w:r>
        <w:rPr>
          <w:vertAlign w:val="subscript"/>
        </w:rPr>
        <w:t>2</w:t>
      </w:r>
      <w:r>
        <w:t>——顶铁厚度；</w:t>
      </w:r>
    </w:p>
    <w:p>
      <w:r>
        <w:t xml:space="preserve">      </w:t>
      </w:r>
      <w:r>
        <w:rPr>
          <w:i/>
        </w:rPr>
        <w:t>S</w:t>
      </w:r>
      <w:r>
        <w:rPr>
          <w:vertAlign w:val="subscript"/>
        </w:rPr>
        <w:t>3</w:t>
      </w:r>
      <w:r>
        <w:t>——考虑顶进管段回缩及便于安装管段所留附加间隙。</w:t>
      </w:r>
    </w:p>
    <w:p>
      <w:pPr>
        <w:rPr>
          <w:b/>
        </w:rPr>
      </w:pPr>
      <w:r>
        <w:rPr>
          <w:b/>
        </w:rPr>
        <w:t xml:space="preserve">2.2.4  </w:t>
      </w:r>
      <w:r>
        <w:rPr>
          <w:rFonts w:hint="eastAsia"/>
          <w:b/>
        </w:rPr>
        <w:t>计算参数及其他</w:t>
      </w:r>
    </w:p>
    <w:p>
      <w:pPr>
        <w:ind w:firstLine="720" w:firstLineChars="300"/>
      </w:pPr>
      <w:r>
        <w:rPr>
          <w:position w:val="-14"/>
        </w:rPr>
        <w:object>
          <v:shape id="_x0000_i1076" o:spt="75" type="#_x0000_t75" style="height:18.35pt;width:14.25pt;" o:ole="t" filled="f" o:preferrelative="t" stroked="f" coordsize="21600,21600">
            <v:path/>
            <v:fill on="f" focussize="0,0"/>
            <v:stroke on="f" joinstyle="miter"/>
            <v:imagedata r:id="rId109" o:title=""/>
            <o:lock v:ext="edit" aspectratio="t"/>
            <w10:wrap type="none"/>
            <w10:anchorlock/>
          </v:shape>
          <o:OLEObject Type="Embed" ProgID="Equation.DSMT4" ShapeID="_x0000_i1076" DrawAspect="Content" ObjectID="_1468075776" r:id="rId108">
            <o:LockedField>false</o:LockedField>
          </o:OLEObject>
        </w:object>
      </w:r>
      <w:r>
        <w:rPr>
          <w:lang w:bidi="ar"/>
        </w:rPr>
        <w:t>——</w:t>
      </w:r>
      <w:r>
        <w:rPr>
          <w:rFonts w:hint="eastAsia"/>
        </w:rPr>
        <w:t>管顶竖向土压力系数；</w:t>
      </w:r>
    </w:p>
    <w:p>
      <w:pPr>
        <w:autoSpaceDE w:val="0"/>
        <w:autoSpaceDN w:val="0"/>
        <w:adjustRightInd w:val="0"/>
        <w:ind w:firstLine="720" w:firstLineChars="300"/>
        <w:jc w:val="left"/>
        <w:textAlignment w:val="center"/>
      </w:pPr>
      <w:r>
        <w:object>
          <v:shape id="_x0000_i1077" o:spt="75" type="#_x0000_t75" style="height:18.35pt;width:11.55pt;" o:ole="t" filled="f" o:preferrelative="t" stroked="f" coordsize="21600,21600">
            <v:path/>
            <v:fill on="f" focussize="0,0"/>
            <v:stroke on="f" joinstyle="miter"/>
            <v:imagedata r:id="rId111" o:title=""/>
            <o:lock v:ext="edit" aspectratio="t"/>
            <w10:wrap type="none"/>
            <w10:anchorlock/>
          </v:shape>
          <o:OLEObject Type="Embed" ProgID="Equation.DSMT4" ShapeID="_x0000_i1077" DrawAspect="Content" ObjectID="_1468075777" r:id="rId110">
            <o:LockedField>false</o:LockedField>
          </o:OLEObject>
        </w:object>
      </w:r>
      <w:r>
        <w:rPr>
          <w:rFonts w:hint="eastAsia"/>
        </w:rPr>
        <w:t>——受拉区第i种纵向钢筋根数；</w:t>
      </w:r>
    </w:p>
    <w:p>
      <w:pPr>
        <w:ind w:firstLine="720" w:firstLineChars="300"/>
      </w:pPr>
      <w:r>
        <w:t>K</w:t>
      </w:r>
      <w:r>
        <w:rPr>
          <w:rFonts w:hint="eastAsia"/>
        </w:rPr>
        <w:t>——顶力系数；</w:t>
      </w:r>
    </w:p>
    <w:p>
      <w:pPr>
        <w:ind w:firstLine="720" w:firstLineChars="300"/>
      </w:pPr>
      <w:r>
        <w:rPr>
          <w:position w:val="-12"/>
        </w:rPr>
        <w:object>
          <v:shape id="_x0000_i1078" o:spt="75" type="#_x0000_t75" style="height:18.35pt;width:17pt;" o:ole="t" filled="f" o:preferrelative="t" stroked="f" coordsize="21600,21600">
            <v:path/>
            <v:fill on="f" focussize="0,0"/>
            <v:stroke on="f" joinstyle="miter"/>
            <v:imagedata r:id="rId113" o:title=""/>
            <o:lock v:ext="edit" aspectratio="t"/>
            <w10:wrap type="none"/>
            <w10:anchorlock/>
          </v:shape>
          <o:OLEObject Type="Embed" ProgID="Equation.DSMT4" ShapeID="_x0000_i1078" DrawAspect="Content" ObjectID="_1468075778" r:id="rId112">
            <o:LockedField>false</o:LockedField>
          </o:OLEObject>
        </w:object>
      </w:r>
      <w:r>
        <w:t>——</w:t>
      </w:r>
      <w:r>
        <w:rPr>
          <w:rFonts w:hint="eastAsia"/>
        </w:rPr>
        <w:t>静土压系数</w:t>
      </w:r>
    </w:p>
    <w:p>
      <w:pPr>
        <w:ind w:firstLine="720" w:firstLineChars="300"/>
        <w:textAlignment w:val="center"/>
        <w:rPr>
          <w:rFonts w:ascii="宋体" w:hAnsiTheme="minorHAnsi"/>
          <w:color w:val="000000"/>
        </w:rPr>
      </w:pPr>
      <w:r>
        <w:object>
          <v:shape id="_x0000_i1079" o:spt="75" type="#_x0000_t75" style="height:18.35pt;width:17pt;" o:ole="t" filled="f" o:preferrelative="t" stroked="f" coordsize="21600,21600">
            <v:path/>
            <v:fill on="f" focussize="0,0"/>
            <v:stroke on="f" joinstyle="miter"/>
            <v:imagedata r:id="rId115" o:title=""/>
            <o:lock v:ext="edit" aspectratio="t"/>
            <w10:wrap type="none"/>
            <w10:anchorlock/>
          </v:shape>
          <o:OLEObject Type="Embed" ProgID="Equation.DSMT4" ShapeID="_x0000_i1079" DrawAspect="Content" ObjectID="_1468075779" r:id="rId114">
            <o:LockedField>false</o:LockedField>
          </o:OLEObject>
        </w:object>
      </w:r>
      <w:r>
        <w:t>——</w:t>
      </w:r>
      <w:r>
        <w:rPr>
          <w:rFonts w:hint="eastAsia" w:ascii="宋体" w:hAnsiTheme="minorHAnsi"/>
          <w:color w:val="000000"/>
        </w:rPr>
        <w:t>主动土压力系数；</w:t>
      </w:r>
    </w:p>
    <w:p>
      <w:pPr>
        <w:ind w:firstLine="720" w:firstLineChars="300"/>
        <w:textAlignment w:val="center"/>
      </w:pPr>
      <w:r>
        <w:object>
          <v:shape id="_x0000_i1080" o:spt="75" type="#_x0000_t75" style="height:18.35pt;width:18.35pt;" o:ole="t" filled="f" o:preferrelative="t" stroked="f" coordsize="21600,21600">
            <v:path/>
            <v:fill on="f" focussize="0,0"/>
            <v:stroke on="f" joinstyle="miter"/>
            <v:imagedata r:id="rId117" o:title=""/>
            <o:lock v:ext="edit" aspectratio="t"/>
            <w10:wrap type="none"/>
            <w10:anchorlock/>
          </v:shape>
          <o:OLEObject Type="Embed" ProgID="Equation.DSMT4" ShapeID="_x0000_i1080" DrawAspect="Content" ObjectID="_1468075780" r:id="rId116">
            <o:LockedField>false</o:LockedField>
          </o:OLEObject>
        </w:object>
      </w:r>
      <w:r>
        <w:rPr>
          <w:rFonts w:hint="eastAsia"/>
        </w:rPr>
        <w:t>——安全系数；</w:t>
      </w:r>
    </w:p>
    <w:p>
      <w:pPr>
        <w:ind w:firstLine="720" w:firstLineChars="300"/>
      </w:pPr>
      <w:r>
        <w:rPr>
          <w:rFonts w:hint="eastAsia"/>
          <w:i/>
          <w:iCs/>
        </w:rPr>
        <w:t>T</w:t>
      </w:r>
      <w:r>
        <w:t>——</w:t>
      </w:r>
      <w:r>
        <w:rPr>
          <w:rFonts w:hint="eastAsia"/>
        </w:rPr>
        <w:t>减阻泥浆失效期（d）</w:t>
      </w:r>
      <w:r>
        <w:t>，</w:t>
      </w:r>
      <w:r>
        <w:rPr>
          <w:rFonts w:hint="eastAsia"/>
        </w:rPr>
        <w:t>可取</w:t>
      </w:r>
      <w:r>
        <w:rPr>
          <w:rFonts w:hint="eastAsia"/>
          <w:i/>
          <w:iCs/>
        </w:rPr>
        <w:t>T</w:t>
      </w:r>
      <w:r>
        <w:rPr>
          <w:rFonts w:hint="eastAsia"/>
        </w:rPr>
        <w:t xml:space="preserve"> = 6～10d</w:t>
      </w:r>
      <w:r>
        <w:t>；</w:t>
      </w:r>
    </w:p>
    <w:p>
      <w:pPr>
        <w:ind w:firstLine="720" w:firstLineChars="300"/>
      </w:pPr>
      <w:r>
        <w:rPr>
          <w:rFonts w:hint="eastAsia"/>
          <w:i/>
          <w:iCs/>
        </w:rPr>
        <w:t>V</w:t>
      </w:r>
      <w:r>
        <w:t>——</w:t>
      </w:r>
      <w:r>
        <w:rPr>
          <w:rFonts w:hint="eastAsia"/>
        </w:rPr>
        <w:t>每天平均掘进速度；</w:t>
      </w:r>
    </w:p>
    <w:p>
      <w:pPr>
        <w:ind w:firstLine="720" w:firstLineChars="300"/>
        <w:rPr>
          <w:b/>
        </w:rPr>
      </w:pPr>
      <w:r>
        <w:object>
          <v:shape id="_x0000_i1081" o:spt="75" type="#_x0000_t75" style="height:18.35pt;width:11.55pt;" o:ole="t" filled="f" o:preferrelative="t" stroked="f" coordsize="21600,21600">
            <v:path/>
            <v:fill on="f" focussize="0,0"/>
            <v:stroke on="f" joinstyle="miter"/>
            <v:imagedata r:id="rId119" o:title=""/>
            <o:lock v:ext="edit" aspectratio="t"/>
            <w10:wrap type="none"/>
            <w10:anchorlock/>
          </v:shape>
          <o:OLEObject Type="Embed" ProgID="Equation.DSMT4" ShapeID="_x0000_i1081" DrawAspect="Content" ObjectID="_1468075781" r:id="rId118">
            <o:LockedField>false</o:LockedField>
          </o:OLEObject>
        </w:object>
      </w:r>
      <w:r>
        <w:rPr>
          <w:rFonts w:hint="eastAsia"/>
        </w:rPr>
        <w:t>——受拉区第i种纵向钢筋相对粘结特性系数；</w:t>
      </w:r>
    </w:p>
    <w:p>
      <w:pPr>
        <w:ind w:firstLine="720" w:firstLineChars="300"/>
        <w:textAlignment w:val="center"/>
      </w:pPr>
      <w:r>
        <w:object>
          <v:shape id="_x0000_i1082" o:spt="75" type="#_x0000_t75" style="height:18.35pt;width:17pt;" o:ole="t" filled="f" o:preferrelative="t" stroked="f" coordsize="21600,21600">
            <v:path/>
            <v:fill on="f" focussize="0,0"/>
            <v:stroke on="f" joinstyle="miter"/>
            <v:imagedata r:id="rId121" o:title=""/>
            <o:lock v:ext="edit" aspectratio="t"/>
            <w10:wrap type="none"/>
            <w10:anchorlock/>
          </v:shape>
          <o:OLEObject Type="Embed" ProgID="Equation.DSMT4" ShapeID="_x0000_i1082" DrawAspect="Content" ObjectID="_1468075782" r:id="rId120">
            <o:LockedField>false</o:LockedField>
          </o:OLEObject>
        </w:object>
      </w:r>
      <w:r>
        <w:rPr>
          <w:rFonts w:hint="eastAsia"/>
        </w:rPr>
        <w:t>——构件受力特征系数；</w:t>
      </w:r>
    </w:p>
    <w:p>
      <w:pPr>
        <w:ind w:firstLine="720" w:firstLineChars="300"/>
        <w:textAlignment w:val="center"/>
      </w:pPr>
      <w:r>
        <w:object>
          <v:shape id="_x0000_i1083" o:spt="75" type="#_x0000_t75" style="height:18.35pt;width:10.85pt;" o:ole="t" filled="f" o:preferrelative="t" stroked="f" coordsize="21600,21600">
            <v:path/>
            <v:fill on="f" focussize="0,0"/>
            <v:stroke on="f" joinstyle="miter"/>
            <v:imagedata r:id="rId123" o:title=""/>
            <o:lock v:ext="edit" aspectratio="t"/>
            <w10:wrap type="none"/>
            <w10:anchorlock/>
          </v:shape>
          <o:OLEObject Type="Embed" ProgID="Equation.DSMT4" ShapeID="_x0000_i1083" DrawAspect="Content" ObjectID="_1468075783" r:id="rId122">
            <o:LockedField>false</o:LockedField>
          </o:OLEObject>
        </w:object>
      </w:r>
      <w:r>
        <w:rPr>
          <w:rFonts w:hint="eastAsia"/>
        </w:rPr>
        <w:t>——混凝土受压强度折减系数；</w:t>
      </w:r>
    </w:p>
    <w:p>
      <w:pPr>
        <w:ind w:firstLine="720" w:firstLineChars="300"/>
        <w:textAlignment w:val="center"/>
      </w:pPr>
      <w:r>
        <w:object>
          <v:shape id="_x0000_i1084" o:spt="75" type="#_x0000_t75" style="height:18.35pt;width:13.6pt;" o:ole="t" filled="f" o:preferrelative="t" stroked="f" coordsize="21600,21600">
            <v:path/>
            <v:fill on="f" focussize="0,0"/>
            <v:stroke on="f" joinstyle="miter"/>
            <v:imagedata r:id="rId125" o:title=""/>
            <o:lock v:ext="edit" aspectratio="t"/>
            <w10:wrap type="none"/>
            <w10:anchorlock/>
          </v:shape>
          <o:OLEObject Type="Embed" ProgID="Equation.DSMT4" ShapeID="_x0000_i1084" DrawAspect="Content" ObjectID="_1468075784" r:id="rId124">
            <o:LockedField>false</o:LockedField>
          </o:OLEObject>
        </w:object>
      </w:r>
      <w:r>
        <w:rPr>
          <w:rFonts w:hint="eastAsia"/>
        </w:rPr>
        <w:t>——偏心受压强度提高系数；</w:t>
      </w:r>
    </w:p>
    <w:p>
      <w:pPr>
        <w:ind w:firstLine="720" w:firstLineChars="300"/>
        <w:textAlignment w:val="center"/>
      </w:pPr>
      <w:r>
        <w:object>
          <v:shape id="_x0000_i1085" o:spt="75" type="#_x0000_t75" style="height:18.35pt;width:11.55pt;" o:ole="t" filled="f" o:preferrelative="t" stroked="f" coordsize="21600,21600">
            <v:path/>
            <v:fill on="f" focussize="0,0"/>
            <v:stroke on="f" joinstyle="miter"/>
            <v:imagedata r:id="rId127" o:title=""/>
            <o:lock v:ext="edit" aspectratio="t"/>
            <w10:wrap type="none"/>
            <w10:anchorlock/>
          </v:shape>
          <o:OLEObject Type="Embed" ProgID="Equation.DSMT4" ShapeID="_x0000_i1085" DrawAspect="Content" ObjectID="_1468075785" r:id="rId126">
            <o:LockedField>false</o:LockedField>
          </o:OLEObject>
        </w:object>
      </w:r>
      <w:r>
        <w:rPr>
          <w:rFonts w:hint="eastAsia"/>
        </w:rPr>
        <w:t>——材料脆性系数；</w:t>
      </w:r>
    </w:p>
    <w:p>
      <w:pPr>
        <w:ind w:firstLine="720" w:firstLineChars="300"/>
        <w:textAlignment w:val="center"/>
      </w:pPr>
      <w:r>
        <w:object>
          <v:shape id="_x0000_i1086" o:spt="75" type="#_x0000_t75" style="height:18.35pt;width:11.55pt;" o:ole="t" filled="f" o:preferrelative="t" stroked="f" coordsize="21600,21600">
            <v:path/>
            <v:fill on="f" focussize="0,0"/>
            <v:stroke on="f" joinstyle="miter"/>
            <v:imagedata r:id="rId129" o:title=""/>
            <o:lock v:ext="edit" aspectratio="t"/>
            <w10:wrap type="none"/>
            <w10:anchorlock/>
          </v:shape>
          <o:OLEObject Type="Embed" ProgID="Equation.DSMT4" ShapeID="_x0000_i1086" DrawAspect="Content" ObjectID="_1468075786" r:id="rId128">
            <o:LockedField>false</o:LockedField>
          </o:OLEObject>
        </w:object>
      </w:r>
      <w:r>
        <w:rPr>
          <w:rFonts w:hint="eastAsia"/>
        </w:rPr>
        <w:t>——混凝土强度标准调整系数；</w:t>
      </w:r>
    </w:p>
    <w:p>
      <w:pPr>
        <w:ind w:firstLine="480" w:firstLineChars="200"/>
        <w:textAlignment w:val="center"/>
      </w:pPr>
      <w:r>
        <w:rPr>
          <w:position w:val="-12"/>
        </w:rPr>
        <w:object>
          <v:shape id="_x0000_i1087" o:spt="75" type="#_x0000_t75" style="height:18.35pt;width:11.55pt;" o:ole="t" filled="f" o:preferrelative="t" stroked="f" coordsize="21600,21600">
            <v:path/>
            <v:fill on="f" focussize="0,0"/>
            <v:stroke on="f" joinstyle="miter"/>
            <v:imagedata r:id="rId131" o:title=""/>
            <o:lock v:ext="edit" aspectratio="t"/>
            <w10:wrap type="none"/>
            <w10:anchorlock/>
          </v:shape>
          <o:OLEObject Type="Embed" ProgID="Equation.DSMT4" ShapeID="_x0000_i1087" DrawAspect="Content" ObjectID="_1468075787" r:id="rId130">
            <o:LockedField>false</o:LockedField>
          </o:OLEObject>
        </w:object>
      </w:r>
      <w:r>
        <w:rPr>
          <w:rFonts w:hint="eastAsia"/>
        </w:rPr>
        <w:t>——管道的重要性系数；</w:t>
      </w:r>
    </w:p>
    <w:p>
      <w:pPr>
        <w:ind w:firstLine="480" w:firstLineChars="200"/>
        <w:textAlignment w:val="center"/>
      </w:pPr>
      <w:r>
        <w:object>
          <v:shape id="_x0000_i1088" o:spt="75" type="#_x0000_t75" style="height:18.35pt;width:17pt;" o:ole="t" filled="f" o:preferrelative="t" stroked="f" coordsize="21600,21600">
            <v:path/>
            <v:fill on="f" focussize="0,0"/>
            <v:stroke on="f" joinstyle="miter"/>
            <v:imagedata r:id="rId133" o:title=""/>
            <o:lock v:ext="edit" aspectratio="t"/>
            <w10:wrap type="none"/>
            <w10:anchorlock/>
          </v:shape>
          <o:OLEObject Type="Embed" ProgID="Equation.DSMT4" ShapeID="_x0000_i1088" DrawAspect="Content" ObjectID="_1468075788" r:id="rId132">
            <o:LockedField>false</o:LockedField>
          </o:OLEObject>
        </w:object>
      </w:r>
      <w:r>
        <w:rPr>
          <w:rFonts w:hint="eastAsia"/>
        </w:rPr>
        <w:t>——第i个永久作用分项系数；</w:t>
      </w:r>
    </w:p>
    <w:p>
      <w:pPr>
        <w:ind w:firstLine="480" w:firstLineChars="200"/>
        <w:textAlignment w:val="center"/>
      </w:pPr>
      <w:r>
        <w:object>
          <v:shape id="_x0000_i1089" o:spt="75" type="#_x0000_t75" style="height:18.35pt;width:18.35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34">
            <o:LockedField>false</o:LockedField>
          </o:OLEObject>
        </w:object>
      </w:r>
      <w:r>
        <w:rPr>
          <w:rFonts w:hint="eastAsia"/>
        </w:rPr>
        <w:t>、</w:t>
      </w:r>
      <w:r>
        <w:object>
          <v:shape id="_x0000_i1090" o:spt="75" type="#_x0000_t75" style="height:18.35pt;width:17pt;" o:ole="t" filled="f" o:preferrelative="t" stroked="f" coordsize="21600,21600">
            <v:path/>
            <v:fill on="f" focussize="0,0"/>
            <v:stroke on="f" joinstyle="miter"/>
            <v:imagedata r:id="rId137" o:title=""/>
            <o:lock v:ext="edit" aspectratio="t"/>
            <w10:wrap type="none"/>
            <w10:anchorlock/>
          </v:shape>
          <o:OLEObject Type="Embed" ProgID="Equation.DSMT4" ShapeID="_x0000_i1090" DrawAspect="Content" ObjectID="_1468075790" r:id="rId136">
            <o:LockedField>false</o:LockedField>
          </o:OLEObject>
        </w:object>
      </w:r>
      <w:r>
        <w:rPr>
          <w:rFonts w:hint="eastAsia"/>
        </w:rPr>
        <w:t>——第i个、第j个可变作用分项系数；</w:t>
      </w:r>
    </w:p>
    <w:p>
      <w:pPr>
        <w:ind w:firstLine="480" w:firstLineChars="200"/>
        <w:textAlignment w:val="center"/>
      </w:pPr>
      <w:r>
        <w:object>
          <v:shape id="_x0000_i1091" o:spt="75" type="#_x0000_t75" style="height:18.35pt;width:17pt;" o:ole="t" filled="f" o:preferrelative="t" stroked="f" coordsize="21600,21600">
            <v:path/>
            <v:fill on="f" focussize="0,0"/>
            <v:stroke on="f" joinstyle="miter"/>
            <v:imagedata r:id="rId139" o:title=""/>
            <o:lock v:ext="edit" aspectratio="t"/>
            <w10:wrap type="none"/>
            <w10:anchorlock/>
          </v:shape>
          <o:OLEObject Type="Embed" ProgID="Equation.DSMT4" ShapeID="_x0000_i1091" DrawAspect="Content" ObjectID="_1468075791" r:id="rId138">
            <o:LockedField>false</o:LockedField>
          </o:OLEObject>
        </w:object>
      </w:r>
      <w:r>
        <w:rPr>
          <w:rFonts w:hint="eastAsia"/>
        </w:rPr>
        <w:t>、</w:t>
      </w:r>
      <w:r>
        <w:object>
          <v:shape id="_x0000_i1092" o:spt="75" type="#_x0000_t75" style="height:18.35pt;width:15.6pt;" o:ole="t" filled="f" o:preferrelative="t" stroked="f" coordsize="21600,21600">
            <v:path/>
            <v:fill on="f" focussize="0,0"/>
            <v:stroke on="f" joinstyle="miter"/>
            <v:imagedata r:id="rId141" o:title=""/>
            <o:lock v:ext="edit" aspectratio="t"/>
            <w10:wrap type="none"/>
            <w10:anchorlock/>
          </v:shape>
          <o:OLEObject Type="Embed" ProgID="Equation.DSMT4" ShapeID="_x0000_i1092" DrawAspect="Content" ObjectID="_1468075792" r:id="rId140">
            <o:LockedField>false</o:LockedField>
          </o:OLEObject>
        </w:object>
      </w:r>
      <w:r>
        <w:rPr>
          <w:rFonts w:hint="eastAsia"/>
        </w:rPr>
        <w:t>——第i个、第j个使用年限调整系数；</w:t>
      </w:r>
    </w:p>
    <w:p>
      <w:pPr>
        <w:autoSpaceDE w:val="0"/>
        <w:autoSpaceDN w:val="0"/>
        <w:adjustRightInd w:val="0"/>
        <w:ind w:firstLine="480" w:firstLineChars="200"/>
        <w:jc w:val="left"/>
        <w:textAlignment w:val="center"/>
      </w:pPr>
      <w:r>
        <w:object>
          <v:shape id="_x0000_i1093" o:spt="75" type="#_x0000_t75" style="height:18.35pt;width:15.6pt;" o:ole="t" filled="f" o:preferrelative="t" stroked="f" coordsize="21600,21600">
            <v:path/>
            <v:fill on="f" focussize="0,0"/>
            <v:stroke on="f" joinstyle="miter"/>
            <v:imagedata r:id="rId143" o:title=""/>
            <o:lock v:ext="edit" aspectratio="t"/>
            <w10:wrap type="none"/>
            <w10:anchorlock/>
          </v:shape>
          <o:OLEObject Type="Embed" ProgID="Equation.DSMT4" ShapeID="_x0000_i1093" DrawAspect="Content" ObjectID="_1468075793" r:id="rId142">
            <o:LockedField>false</o:LockedField>
          </o:OLEObject>
        </w:object>
      </w:r>
      <w:r>
        <w:rPr>
          <w:rFonts w:hint="eastAsia"/>
        </w:rPr>
        <w:t>——按有效受拉混凝土截面面积计算的纵向受拉钢筋配筋率；</w:t>
      </w:r>
    </w:p>
    <w:p>
      <w:pPr>
        <w:ind w:firstLine="525" w:firstLineChars="250"/>
        <w:rPr>
          <w:rFonts w:eastAsiaTheme="minorEastAsia" w:cstheme="minorBidi"/>
          <w:bCs/>
          <w:sz w:val="21"/>
          <w:szCs w:val="22"/>
        </w:rPr>
      </w:pPr>
      <w:r>
        <w:rPr>
          <w:rFonts w:eastAsiaTheme="minorEastAsia" w:cstheme="minorBidi"/>
          <w:bCs/>
          <w:sz w:val="21"/>
          <w:szCs w:val="22"/>
        </w:rPr>
        <w:object>
          <v:shape id="_x0000_i1094" o:spt="75" type="#_x0000_t75" style="height:17.65pt;width:11.55pt;" o:ole="t" filled="f" o:preferrelative="t" stroked="f" coordsize="21600,21600">
            <v:path/>
            <v:fill on="f" focussize="0,0"/>
            <v:stroke on="f" joinstyle="miter"/>
            <v:imagedata r:id="rId145" o:title=""/>
            <o:lock v:ext="edit" aspectratio="t"/>
            <w10:wrap type="none"/>
            <w10:anchorlock/>
          </v:shape>
          <o:OLEObject Type="Embed" ProgID="Equation.DSMT4" ShapeID="_x0000_i1094" DrawAspect="Content" ObjectID="_1468075794" r:id="rId144">
            <o:LockedField>false</o:LockedField>
          </o:OLEObject>
        </w:object>
      </w:r>
      <w:r>
        <w:rPr>
          <w:rFonts w:hint="eastAsia"/>
        </w:rPr>
        <w:t>——</w:t>
      </w:r>
      <w:r>
        <w:rPr>
          <w:rFonts w:hint="eastAsia" w:eastAsiaTheme="minorEastAsia" w:cstheme="minorBidi"/>
          <w:bCs/>
          <w:sz w:val="21"/>
          <w:szCs w:val="22"/>
        </w:rPr>
        <w:t>考虑合力作用点可能不一致的折减系数；</w:t>
      </w:r>
    </w:p>
    <w:p>
      <w:pPr>
        <w:autoSpaceDE w:val="0"/>
        <w:autoSpaceDN w:val="0"/>
        <w:adjustRightInd w:val="0"/>
        <w:ind w:firstLine="480" w:firstLineChars="200"/>
        <w:jc w:val="left"/>
        <w:textAlignment w:val="center"/>
      </w:pPr>
      <w:r>
        <w:object>
          <v:shape id="_x0000_i1095" o:spt="75" type="#_x0000_t75" style="height:13.6pt;width:10.85pt;" o:ole="t" filled="f" o:preferrelative="t" stroked="f" coordsize="21600,21600">
            <v:path/>
            <v:fill on="f" focussize="0,0"/>
            <v:stroke on="f" joinstyle="miter"/>
            <v:imagedata r:id="rId147" o:title=""/>
            <o:lock v:ext="edit" aspectratio="t"/>
            <w10:wrap type="none"/>
            <w10:anchorlock/>
          </v:shape>
          <o:OLEObject Type="Embed" ProgID="Equation.DSMT4" ShapeID="_x0000_i1095" DrawAspect="Content" ObjectID="_1468075795" r:id="rId146">
            <o:LockedField>false</o:LockedField>
          </o:OLEObject>
        </w:object>
      </w:r>
      <w:r>
        <w:rPr>
          <w:rFonts w:hint="eastAsia"/>
        </w:rPr>
        <w:t>——裂缝间纵向受拉钢筋应变不均匀系数；</w:t>
      </w:r>
    </w:p>
    <w:p>
      <w:pPr>
        <w:ind w:firstLine="480" w:firstLineChars="200"/>
        <w:textAlignment w:val="center"/>
        <w:rPr>
          <w:rFonts w:asciiTheme="minorEastAsia" w:hAnsiTheme="minorEastAsia" w:eastAsiaTheme="minorEastAsia"/>
        </w:rPr>
      </w:pPr>
      <w:r>
        <w:object>
          <v:shape id="_x0000_i1096" o:spt="75" type="#_x0000_t75" style="height:18.35pt;width:17pt;" o:ole="t" filled="f" o:preferrelative="t" stroked="f" coordsize="21600,21600">
            <v:path/>
            <v:fill on="f" focussize="0,0"/>
            <v:stroke on="f" joinstyle="miter"/>
            <v:imagedata r:id="rId149" o:title=""/>
            <o:lock v:ext="edit" aspectratio="t"/>
            <w10:wrap type="none"/>
            <w10:anchorlock/>
          </v:shape>
          <o:OLEObject Type="Embed" ProgID="Equation.DSMT4" ShapeID="_x0000_i1096" DrawAspect="Content" ObjectID="_1468075796" r:id="rId148">
            <o:LockedField>false</o:LockedField>
          </o:OLEObject>
        </w:object>
      </w:r>
      <w:r>
        <w:rPr>
          <w:rFonts w:hint="eastAsia"/>
        </w:rPr>
        <w:t>——</w:t>
      </w:r>
      <w:r>
        <w:rPr>
          <w:rFonts w:hint="eastAsia" w:asciiTheme="minorEastAsia" w:hAnsiTheme="minorEastAsia" w:eastAsiaTheme="minorEastAsia"/>
        </w:rPr>
        <w:t>第j个可变作用的组合值系数。</w:t>
      </w: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ind w:firstLine="424" w:firstLineChars="177"/>
        <w:rPr>
          <w:i/>
        </w:rPr>
      </w:pPr>
    </w:p>
    <w:p>
      <w:pPr>
        <w:pStyle w:val="2"/>
      </w:pPr>
      <w:bookmarkStart w:id="29" w:name="_Toc455393073"/>
      <w:bookmarkStart w:id="30" w:name="_Toc463446172"/>
      <w:bookmarkStart w:id="31" w:name="_Toc18057025"/>
      <w:bookmarkStart w:id="32" w:name="_Toc7201"/>
      <w:r>
        <w:rPr>
          <w:rFonts w:eastAsiaTheme="minorEastAsia"/>
        </w:rPr>
        <w:t xml:space="preserve">3  </w:t>
      </w:r>
      <w:r>
        <w:rPr>
          <w:rFonts w:hint="eastAsia"/>
        </w:rPr>
        <w:t>基本规定</w:t>
      </w:r>
      <w:bookmarkEnd w:id="29"/>
      <w:bookmarkEnd w:id="30"/>
      <w:bookmarkEnd w:id="31"/>
      <w:bookmarkEnd w:id="32"/>
    </w:p>
    <w:p>
      <w:r>
        <w:rPr>
          <w:rFonts w:hint="eastAsia"/>
          <w:b/>
          <w:bCs/>
        </w:rPr>
        <w:t>3.0.1</w:t>
      </w:r>
      <w:r>
        <w:t xml:space="preserve">  </w:t>
      </w:r>
      <w:r>
        <w:rPr>
          <w:rFonts w:hint="eastAsia"/>
        </w:rPr>
        <w:t>顶管施工前应查明顶管沿线有关工程地质、水文地质、地上与地下管线、建（构）筑物、障碍物及其它设施等周边环境情况。</w:t>
      </w:r>
    </w:p>
    <w:p>
      <w:r>
        <w:rPr>
          <w:b/>
        </w:rPr>
        <w:t>3.0.</w:t>
      </w:r>
      <w:r>
        <w:rPr>
          <w:rFonts w:hint="eastAsia"/>
          <w:b/>
        </w:rPr>
        <w:t>2</w:t>
      </w:r>
      <w:r>
        <w:rPr>
          <w:b/>
        </w:rPr>
        <w:t xml:space="preserve">  </w:t>
      </w:r>
      <w:r>
        <w:rPr>
          <w:rFonts w:hint="eastAsia"/>
        </w:rPr>
        <w:t>顶管结构设计应满足在规定设计使用年限内结构的安全性、适用性及耐久性等基本功能性要求，并在此基础上做到经济合理。</w:t>
      </w:r>
    </w:p>
    <w:p>
      <w:r>
        <w:rPr>
          <w:rFonts w:hint="eastAsia"/>
          <w:b/>
          <w:bCs/>
        </w:rPr>
        <w:t>3.0.3</w:t>
      </w:r>
      <w:r>
        <w:t xml:space="preserve">  </w:t>
      </w:r>
      <w:r>
        <w:rPr>
          <w:rFonts w:hint="eastAsia"/>
        </w:rPr>
        <w:t>顶管结构设计应根据地质和周边环境条件，通过计算合理选择管材、管道埋深、井间距、工作井结构形式等。</w:t>
      </w:r>
    </w:p>
    <w:p>
      <w:r>
        <w:rPr>
          <w:b/>
        </w:rPr>
        <w:t>3.0.</w:t>
      </w:r>
      <w:r>
        <w:rPr>
          <w:rFonts w:hint="eastAsia"/>
          <w:b/>
        </w:rPr>
        <w:t>4</w:t>
      </w:r>
      <w:r>
        <w:rPr>
          <w:b/>
        </w:rPr>
        <w:t xml:space="preserve">  </w:t>
      </w:r>
      <w:r>
        <w:rPr>
          <w:rFonts w:hint="eastAsia"/>
        </w:rPr>
        <w:t>顶管工程所用的管材、构配件和主要原材料等产品进场应按照国家有关标准的规定进行验收。</w:t>
      </w:r>
    </w:p>
    <w:p>
      <w:r>
        <w:rPr>
          <w:b/>
          <w:bCs/>
        </w:rPr>
        <w:t>3.0.</w:t>
      </w:r>
      <w:r>
        <w:rPr>
          <w:rFonts w:hint="eastAsia"/>
          <w:b/>
          <w:bCs/>
        </w:rPr>
        <w:t>5</w:t>
      </w:r>
      <w:r>
        <w:rPr>
          <w:b/>
          <w:bCs/>
        </w:rPr>
        <w:t xml:space="preserve">  </w:t>
      </w:r>
      <w:r>
        <w:rPr>
          <w:rFonts w:hint="eastAsia"/>
        </w:rPr>
        <w:t>顶管施工前应熟悉施工图纸，掌握设计意图与要求，并应进行设计交底。</w:t>
      </w:r>
    </w:p>
    <w:p>
      <w:r>
        <w:rPr>
          <w:rFonts w:hint="eastAsia"/>
          <w:b/>
          <w:bCs/>
        </w:rPr>
        <w:t>3.0.6</w:t>
      </w:r>
      <w:r>
        <w:rPr>
          <w:rFonts w:hint="eastAsia"/>
        </w:rPr>
        <w:t xml:space="preserve"> </w:t>
      </w:r>
      <w:r>
        <w:t xml:space="preserve"> </w:t>
      </w:r>
      <w:r>
        <w:rPr>
          <w:rFonts w:hint="eastAsia"/>
        </w:rPr>
        <w:t>矩形顶管机类型和技术性能应满足工程地质和水文地质条件、线路条件、环境保护和隧道结构设计的要求。</w:t>
      </w:r>
    </w:p>
    <w:p>
      <w:pPr>
        <w:rPr>
          <w:rFonts w:eastAsia="仿宋"/>
        </w:rPr>
      </w:pPr>
      <w:r>
        <w:rPr>
          <w:rFonts w:eastAsia="仿宋"/>
          <w:b/>
          <w:bCs/>
        </w:rPr>
        <w:t xml:space="preserve">【条文说明】：3.0.6  </w:t>
      </w:r>
      <w:r>
        <w:rPr>
          <w:rFonts w:eastAsia="仿宋"/>
        </w:rPr>
        <w:t>矩形顶管机选型所考虑的工程地质和水文地质主要包括地层粒径、渗透系数、地下水压，并根据开挖尺寸、开挖面稳定性、埋深、成本、工期、场地大小、地层是否采取降水处理等工程具体情况综合考虑而定。矩形顶管机选型应针对工程特点，确保设备满足掌子面压力平衡控制要求、矩形掌子面开挖、土仓渣土顺利排出、管节顺利顶进完成同步衬砌、顶进姿态可控的总体目标。</w:t>
      </w:r>
    </w:p>
    <w:p>
      <w:r>
        <w:rPr>
          <w:b/>
          <w:bCs/>
        </w:rPr>
        <w:t>3.0.</w:t>
      </w:r>
      <w:r>
        <w:rPr>
          <w:rFonts w:hint="eastAsia"/>
          <w:b/>
          <w:bCs/>
        </w:rPr>
        <w:t>7</w:t>
      </w:r>
      <w:r>
        <w:t xml:space="preserve">  </w:t>
      </w:r>
      <w:r>
        <w:rPr>
          <w:rFonts w:hint="eastAsia"/>
        </w:rPr>
        <w:t>矩形顶管设备应按照国家有关标准的规定进行验收，验收合格并进行联动调试后方可使用。</w:t>
      </w:r>
    </w:p>
    <w:p>
      <w:pPr>
        <w:rPr>
          <w:b/>
        </w:rPr>
      </w:pPr>
      <w:r>
        <w:rPr>
          <w:b/>
        </w:rPr>
        <w:t>3.0.</w:t>
      </w:r>
      <w:r>
        <w:rPr>
          <w:rFonts w:hint="eastAsia"/>
          <w:b/>
        </w:rPr>
        <w:t>8</w:t>
      </w:r>
      <w:r>
        <w:rPr>
          <w:b/>
        </w:rPr>
        <w:t xml:space="preserve">  </w:t>
      </w:r>
      <w:r>
        <w:rPr>
          <w:rFonts w:hint="eastAsia"/>
        </w:rPr>
        <w:t>顶管施工前，应编制施工组织设计并应制定对周边建（构）筑物和地下管线的保护措施和监测方案。</w:t>
      </w:r>
    </w:p>
    <w:p>
      <w:r>
        <w:rPr>
          <w:b/>
        </w:rPr>
        <w:t>3.0.</w:t>
      </w:r>
      <w:r>
        <w:rPr>
          <w:rFonts w:hint="eastAsia"/>
          <w:b/>
        </w:rPr>
        <w:t>9</w:t>
      </w:r>
      <w:r>
        <w:rPr>
          <w:b/>
        </w:rPr>
        <w:t xml:space="preserve">  </w:t>
      </w:r>
      <w:r>
        <w:rPr>
          <w:rFonts w:hint="eastAsia"/>
        </w:rPr>
        <w:t>顶管施工应根据设计要求、工程特点及有关规定，对顶管沿线影响范围内的地表、邻近建（构）筑物及地下管线设置观测点进行监测。监测信息应及时反馈，发现问题应及时处理。</w:t>
      </w:r>
    </w:p>
    <w:p>
      <w:r>
        <w:rPr>
          <w:b/>
        </w:rPr>
        <w:t>3.0.</w:t>
      </w:r>
      <w:r>
        <w:rPr>
          <w:rFonts w:hint="eastAsia"/>
          <w:b/>
        </w:rPr>
        <w:t>10</w:t>
      </w:r>
      <w:r>
        <w:rPr>
          <w:b/>
        </w:rPr>
        <w:t xml:space="preserve">  </w:t>
      </w:r>
      <w:r>
        <w:rPr>
          <w:rFonts w:hint="eastAsia"/>
        </w:rPr>
        <w:t>顶管施工测量应建立地面与地下测量控制系统。</w:t>
      </w:r>
    </w:p>
    <w:p>
      <w:pPr>
        <w:rPr>
          <w:rFonts w:eastAsia="仿宋"/>
        </w:rPr>
      </w:pPr>
      <w:r>
        <w:rPr>
          <w:rFonts w:eastAsia="仿宋"/>
          <w:b/>
          <w:bCs/>
        </w:rPr>
        <w:t xml:space="preserve">【条文说明】：3.0.10  </w:t>
      </w:r>
      <w:r>
        <w:rPr>
          <w:rFonts w:eastAsia="仿宋"/>
        </w:rPr>
        <w:t>控制点应设在不易扰动、视线清楚、方便校核和易于保护的地方。地下测量系统应在工作井间从地面通视投测建立，不得使用铅锤放线。</w:t>
      </w:r>
    </w:p>
    <w:p>
      <w:pPr>
        <w:pStyle w:val="2"/>
      </w:pPr>
      <w:bookmarkStart w:id="33" w:name="_Toc18057026"/>
      <w:bookmarkStart w:id="34" w:name="_Toc4018"/>
      <w:r>
        <w:rPr>
          <w:rFonts w:hint="eastAsia"/>
        </w:rPr>
        <w:t>4</w:t>
      </w:r>
      <w:r>
        <w:t xml:space="preserve"> </w:t>
      </w:r>
      <w:bookmarkStart w:id="35" w:name="_Toc439103358"/>
      <w:bookmarkStart w:id="36" w:name="_Toc484503829"/>
      <w:r>
        <w:t xml:space="preserve"> 工程勘察</w:t>
      </w:r>
      <w:bookmarkEnd w:id="33"/>
      <w:bookmarkEnd w:id="34"/>
      <w:bookmarkEnd w:id="35"/>
      <w:bookmarkEnd w:id="36"/>
    </w:p>
    <w:p>
      <w:pPr>
        <w:pStyle w:val="3"/>
      </w:pPr>
      <w:bookmarkStart w:id="37" w:name="_Toc18057027"/>
      <w:bookmarkStart w:id="38" w:name="_Toc32373"/>
      <w:r>
        <w:rPr>
          <w:rFonts w:hint="eastAsia"/>
        </w:rPr>
        <w:t>4.1</w:t>
      </w:r>
      <w:r>
        <w:t xml:space="preserve">  </w:t>
      </w:r>
      <w:r>
        <w:rPr>
          <w:rFonts w:hint="eastAsia"/>
        </w:rPr>
        <w:t>一般规定</w:t>
      </w:r>
      <w:bookmarkEnd w:id="37"/>
      <w:bookmarkEnd w:id="38"/>
    </w:p>
    <w:p>
      <w:r>
        <w:rPr>
          <w:b/>
          <w:bCs/>
        </w:rPr>
        <w:t xml:space="preserve">4.1.1  </w:t>
      </w:r>
      <w:r>
        <w:rPr>
          <w:rFonts w:hint="eastAsia"/>
        </w:rPr>
        <w:t>工程</w:t>
      </w:r>
      <w:r>
        <w:t>勘察应查明</w:t>
      </w:r>
      <w:r>
        <w:rPr>
          <w:rFonts w:hint="eastAsia"/>
        </w:rPr>
        <w:t>顶管工程范围</w:t>
      </w:r>
      <w:r>
        <w:t>沿线各地段的</w:t>
      </w:r>
      <w:r>
        <w:rPr>
          <w:rFonts w:hint="eastAsia"/>
        </w:rPr>
        <w:t>工程地质、水文地质等</w:t>
      </w:r>
      <w:r>
        <w:t>特征</w:t>
      </w:r>
      <w:r>
        <w:rPr>
          <w:rFonts w:hint="eastAsia"/>
        </w:rPr>
        <w:t>，包括地形、地貌、岩土类型、分布范围、工程特性、分析和评价地基的稳定性、均匀性</w:t>
      </w:r>
      <w:r>
        <w:rPr>
          <w:rFonts w:hint="eastAsia" w:ascii="宋体"/>
          <w:color w:val="000000" w:themeColor="text1"/>
          <w:kern w:val="0"/>
          <w14:textFill>
            <w14:solidFill>
              <w14:schemeClr w14:val="tx1"/>
            </w14:solidFill>
          </w14:textFill>
        </w:rPr>
        <w:t>和承载力</w:t>
      </w:r>
      <w:r>
        <w:rPr>
          <w:rFonts w:hint="eastAsia"/>
        </w:rPr>
        <w:t>等。</w:t>
      </w:r>
    </w:p>
    <w:p>
      <w:r>
        <w:rPr>
          <w:b/>
          <w:bCs/>
        </w:rPr>
        <w:t>4.1.2</w:t>
      </w:r>
      <w:r>
        <w:rPr>
          <w:rFonts w:hint="eastAsia"/>
          <w:b/>
          <w:bCs/>
        </w:rPr>
        <w:t xml:space="preserve"> </w:t>
      </w:r>
      <w:r>
        <w:rPr>
          <w:b/>
          <w:bCs/>
        </w:rPr>
        <w:t xml:space="preserve"> </w:t>
      </w:r>
      <w:r>
        <w:rPr>
          <w:rFonts w:hint="eastAsia"/>
        </w:rPr>
        <w:t>工程勘察应根据工程重要性、场地复杂程度和地层复杂程度等条件划分岩土工程勘察等级。勘察宜分为初步勘察、详细勘察两阶段，对于线路长、沿线情况复杂的工程可增加选线勘察阶段，进行线路比选。</w:t>
      </w:r>
    </w:p>
    <w:p>
      <w:r>
        <w:rPr>
          <w:b/>
          <w:bCs/>
        </w:rPr>
        <w:t>4.1.</w:t>
      </w:r>
      <w:r>
        <w:rPr>
          <w:rFonts w:hint="eastAsia"/>
          <w:b/>
          <w:bCs/>
        </w:rPr>
        <w:t xml:space="preserve">3 </w:t>
      </w:r>
      <w:r>
        <w:rPr>
          <w:b/>
          <w:bCs/>
        </w:rPr>
        <w:t xml:space="preserve"> </w:t>
      </w:r>
      <w:r>
        <w:rPr>
          <w:rFonts w:hint="eastAsia"/>
        </w:rPr>
        <w:t>当顶管穿越铁路、公路、河谷地段时，应查明微地貌特征、穿越断面的地层结构、工程地质特性，并对穿越河流的洪水淹没范围、河床及岸坡的稳定性作出评价。</w:t>
      </w:r>
    </w:p>
    <w:p>
      <w:r>
        <w:rPr>
          <w:b/>
          <w:bCs/>
        </w:rPr>
        <w:t>4.1.</w:t>
      </w:r>
      <w:r>
        <w:rPr>
          <w:rFonts w:hint="eastAsia"/>
          <w:b/>
          <w:bCs/>
        </w:rPr>
        <w:t xml:space="preserve">4 </w:t>
      </w:r>
      <w:r>
        <w:rPr>
          <w:b/>
          <w:bCs/>
        </w:rPr>
        <w:t xml:space="preserve"> </w:t>
      </w:r>
      <w:r>
        <w:rPr>
          <w:rFonts w:hint="eastAsia"/>
        </w:rPr>
        <w:t>应查明顶管沿线地表及地下暗埋的河、湖、塘、沟、洞、坑、井的分布范围、赋存状态、埋置深度和特性，并提供覆盖层的工程地质特性。</w:t>
      </w:r>
    </w:p>
    <w:p>
      <w:r>
        <w:rPr>
          <w:b/>
          <w:bCs/>
        </w:rPr>
        <w:t>4.1.</w:t>
      </w:r>
      <w:r>
        <w:rPr>
          <w:rFonts w:hint="eastAsia"/>
          <w:b/>
          <w:bCs/>
        </w:rPr>
        <w:t>5</w:t>
      </w:r>
      <w:r>
        <w:rPr>
          <w:b/>
          <w:bCs/>
        </w:rPr>
        <w:t xml:space="preserve">  </w:t>
      </w:r>
      <w:r>
        <w:rPr>
          <w:rFonts w:hint="eastAsia"/>
        </w:rPr>
        <w:t>应查明顶管沿线的不良地质作用发育和地质灾害发生的可能性，包括岩溶、滑坡、危岩和崩塌、泥石流、采空区、地面沉降等。</w:t>
      </w:r>
    </w:p>
    <w:p>
      <w:r>
        <w:rPr>
          <w:b/>
          <w:bCs/>
        </w:rPr>
        <w:t>4.1.</w:t>
      </w:r>
      <w:r>
        <w:rPr>
          <w:rFonts w:hint="eastAsia"/>
          <w:b/>
          <w:bCs/>
        </w:rPr>
        <w:t>6</w:t>
      </w:r>
      <w:r>
        <w:rPr>
          <w:b/>
          <w:bCs/>
        </w:rPr>
        <w:t xml:space="preserve">  </w:t>
      </w:r>
      <w:r>
        <w:rPr>
          <w:rFonts w:hint="eastAsia"/>
        </w:rPr>
        <w:t>工程建设前应对顶管区域地下管线、建（构）筑物及其他障碍物进行工程探测，并满足工程建设的技术要求。</w:t>
      </w:r>
    </w:p>
    <w:p>
      <w:pPr>
        <w:rPr>
          <w:rFonts w:eastAsia="仿宋"/>
        </w:rPr>
      </w:pPr>
      <w:r>
        <w:rPr>
          <w:rFonts w:eastAsia="仿宋"/>
          <w:b/>
          <w:bCs/>
        </w:rPr>
        <w:t>【条文说明】：4.1.6</w:t>
      </w:r>
      <w:r>
        <w:rPr>
          <w:rFonts w:eastAsia="仿宋"/>
        </w:rPr>
        <w:t xml:space="preserve">  在顶管轴线范围内可能存在孤石或其他地下障碍物时，应采用工程物探等手段进一步探明孤石或地下障碍物范围，并在平面图和地质剖面图上标注。</w:t>
      </w:r>
    </w:p>
    <w:p>
      <w:r>
        <w:rPr>
          <w:b/>
          <w:bCs/>
        </w:rPr>
        <w:t>4.1.</w:t>
      </w:r>
      <w:r>
        <w:rPr>
          <w:rFonts w:hint="eastAsia"/>
          <w:b/>
          <w:bCs/>
        </w:rPr>
        <w:t>7</w:t>
      </w:r>
      <w:r>
        <w:rPr>
          <w:b/>
          <w:bCs/>
        </w:rPr>
        <w:t xml:space="preserve">  </w:t>
      </w:r>
      <w:r>
        <w:rPr>
          <w:rFonts w:hint="eastAsia"/>
        </w:rPr>
        <w:t>勘探孔工作完成后应进行有效封堵，封堵材料可采用水泥浆或水泥砂浆。</w:t>
      </w:r>
    </w:p>
    <w:p>
      <w:r>
        <w:rPr>
          <w:b/>
          <w:bCs/>
        </w:rPr>
        <w:t>4.1.</w:t>
      </w:r>
      <w:r>
        <w:rPr>
          <w:rFonts w:hint="eastAsia"/>
          <w:b/>
          <w:bCs/>
        </w:rPr>
        <w:t>8</w:t>
      </w:r>
      <w:r>
        <w:rPr>
          <w:b/>
          <w:bCs/>
        </w:rPr>
        <w:t xml:space="preserve">  </w:t>
      </w:r>
      <w:r>
        <w:rPr>
          <w:rFonts w:hint="eastAsia"/>
        </w:rPr>
        <w:t>在抗震设防烈度大于或等于6度的地段，应判定场地和地基的地震效应。</w:t>
      </w:r>
    </w:p>
    <w:p/>
    <w:p>
      <w:pPr>
        <w:pStyle w:val="3"/>
      </w:pPr>
      <w:bookmarkStart w:id="39" w:name="_Toc18057028"/>
      <w:bookmarkStart w:id="40" w:name="_Toc21753"/>
      <w:r>
        <w:rPr>
          <w:rFonts w:hint="eastAsia"/>
        </w:rPr>
        <w:t xml:space="preserve">4.2 </w:t>
      </w:r>
      <w:r>
        <w:t xml:space="preserve"> </w:t>
      </w:r>
      <w:r>
        <w:rPr>
          <w:rFonts w:hint="eastAsia"/>
        </w:rPr>
        <w:t>勘察布孔</w:t>
      </w:r>
      <w:bookmarkEnd w:id="39"/>
      <w:bookmarkEnd w:id="40"/>
    </w:p>
    <w:p>
      <w:r>
        <w:rPr>
          <w:b/>
          <w:bCs/>
        </w:rPr>
        <w:t>4.2.</w:t>
      </w:r>
      <w:r>
        <w:rPr>
          <w:rFonts w:hint="eastAsia"/>
          <w:b/>
          <w:bCs/>
        </w:rPr>
        <w:t>1</w:t>
      </w:r>
      <w:r>
        <w:rPr>
          <w:b/>
          <w:bCs/>
        </w:rPr>
        <w:t xml:space="preserve">  </w:t>
      </w:r>
      <w:r>
        <w:rPr>
          <w:rFonts w:hint="eastAsia"/>
        </w:rPr>
        <w:t>顶管勘探孔布置宜</w:t>
      </w:r>
      <w:r>
        <w:t>在</w:t>
      </w:r>
      <w:r>
        <w:rPr>
          <w:rFonts w:hint="eastAsia"/>
        </w:rPr>
        <w:t>顶管管节外壁</w:t>
      </w:r>
      <w:r>
        <w:t>两侧</w:t>
      </w:r>
      <w:r>
        <w:rPr>
          <w:rFonts w:hint="eastAsia"/>
        </w:rPr>
        <w:t>5</w:t>
      </w:r>
      <w:r>
        <w:t>m范围内，两</w:t>
      </w:r>
      <w:r>
        <w:rPr>
          <w:rFonts w:hint="eastAsia"/>
        </w:rPr>
        <w:t>侧</w:t>
      </w:r>
      <w:r>
        <w:t>勘探孔</w:t>
      </w:r>
      <w:r>
        <w:rPr>
          <w:rFonts w:hint="eastAsia"/>
        </w:rPr>
        <w:t>呈之字形</w:t>
      </w:r>
      <w:r>
        <w:t>交错布置</w:t>
      </w:r>
      <w:r>
        <w:rPr>
          <w:rFonts w:hint="eastAsia"/>
        </w:rPr>
        <w:t>，必要时，可在顶管轴线位置布孔。</w:t>
      </w:r>
    </w:p>
    <w:p>
      <w:r>
        <w:rPr>
          <w:b/>
          <w:bCs/>
        </w:rPr>
        <w:t>4.2.2</w:t>
      </w:r>
      <w:r>
        <w:rPr>
          <w:rFonts w:hint="eastAsia"/>
        </w:rPr>
        <w:t xml:space="preserve"> </w:t>
      </w:r>
      <w:r>
        <w:t xml:space="preserve"> </w:t>
      </w:r>
      <w:r>
        <w:rPr>
          <w:rFonts w:hint="eastAsia"/>
        </w:rPr>
        <w:t>勘探孔的间距应满足</w:t>
      </w:r>
      <w:r>
        <w:t>表4.2.</w:t>
      </w:r>
      <w:r>
        <w:rPr>
          <w:rFonts w:hint="eastAsia"/>
        </w:rPr>
        <w:t>2要求，并应符合现行</w:t>
      </w:r>
      <w:bookmarkStart w:id="41" w:name="_Hlk17378905"/>
      <w:r>
        <w:rPr>
          <w:rFonts w:hint="eastAsia"/>
        </w:rPr>
        <w:t>国家标准《岩土工程勘察设计规范》G</w:t>
      </w:r>
      <w:r>
        <w:t>B 50021</w:t>
      </w:r>
      <w:bookmarkEnd w:id="41"/>
      <w:r>
        <w:rPr>
          <w:rFonts w:hint="eastAsia"/>
        </w:rPr>
        <w:t>的规定。</w:t>
      </w:r>
    </w:p>
    <w:p/>
    <w:p/>
    <w:p>
      <w:pPr>
        <w:widowControl/>
        <w:adjustRightInd w:val="0"/>
        <w:snapToGrid w:val="0"/>
        <w:ind w:firstLine="316" w:firstLineChars="150"/>
        <w:jc w:val="center"/>
        <w:rPr>
          <w:b/>
          <w:sz w:val="21"/>
          <w:szCs w:val="18"/>
        </w:rPr>
      </w:pPr>
      <w:r>
        <w:rPr>
          <w:b/>
          <w:sz w:val="21"/>
          <w:szCs w:val="18"/>
        </w:rPr>
        <w:t>表4.2.</w:t>
      </w:r>
      <w:r>
        <w:rPr>
          <w:rFonts w:hint="eastAsia"/>
          <w:b/>
          <w:sz w:val="21"/>
          <w:szCs w:val="18"/>
        </w:rPr>
        <w:t>2</w:t>
      </w:r>
      <w:r>
        <w:rPr>
          <w:b/>
          <w:sz w:val="21"/>
          <w:szCs w:val="18"/>
        </w:rPr>
        <w:t xml:space="preserve">  勘探孔间距（m）</w:t>
      </w:r>
    </w:p>
    <w:tbl>
      <w:tblPr>
        <w:tblStyle w:val="36"/>
        <w:tblW w:w="770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843"/>
        <w:gridCol w:w="1843"/>
        <w:gridCol w:w="2126"/>
        <w:gridCol w:w="18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3" w:type="dxa"/>
            <w:vAlign w:val="center"/>
          </w:tcPr>
          <w:p>
            <w:pPr>
              <w:widowControl/>
              <w:adjustRightInd w:val="0"/>
              <w:snapToGrid w:val="0"/>
              <w:spacing w:line="276" w:lineRule="auto"/>
              <w:jc w:val="center"/>
              <w:rPr>
                <w:sz w:val="21"/>
              </w:rPr>
            </w:pPr>
            <w:r>
              <w:rPr>
                <w:sz w:val="21"/>
              </w:rPr>
              <w:t>场地类别</w:t>
            </w:r>
          </w:p>
        </w:tc>
        <w:tc>
          <w:tcPr>
            <w:tcW w:w="1843" w:type="dxa"/>
            <w:vAlign w:val="center"/>
          </w:tcPr>
          <w:p>
            <w:pPr>
              <w:widowControl/>
              <w:adjustRightInd w:val="0"/>
              <w:snapToGrid w:val="0"/>
              <w:spacing w:line="276" w:lineRule="auto"/>
              <w:jc w:val="center"/>
              <w:rPr>
                <w:sz w:val="21"/>
              </w:rPr>
            </w:pPr>
            <w:r>
              <w:rPr>
                <w:sz w:val="21"/>
              </w:rPr>
              <w:t>复杂场地</w:t>
            </w:r>
          </w:p>
        </w:tc>
        <w:tc>
          <w:tcPr>
            <w:tcW w:w="2126" w:type="dxa"/>
            <w:vAlign w:val="center"/>
          </w:tcPr>
          <w:p>
            <w:pPr>
              <w:widowControl/>
              <w:adjustRightInd w:val="0"/>
              <w:snapToGrid w:val="0"/>
              <w:spacing w:line="276" w:lineRule="auto"/>
              <w:jc w:val="center"/>
              <w:rPr>
                <w:sz w:val="21"/>
              </w:rPr>
            </w:pPr>
            <w:r>
              <w:rPr>
                <w:sz w:val="21"/>
              </w:rPr>
              <w:t>中等复杂场地</w:t>
            </w:r>
          </w:p>
        </w:tc>
        <w:tc>
          <w:tcPr>
            <w:tcW w:w="1893" w:type="dxa"/>
            <w:vAlign w:val="center"/>
          </w:tcPr>
          <w:p>
            <w:pPr>
              <w:widowControl/>
              <w:adjustRightInd w:val="0"/>
              <w:snapToGrid w:val="0"/>
              <w:spacing w:line="276" w:lineRule="auto"/>
              <w:jc w:val="center"/>
              <w:rPr>
                <w:sz w:val="21"/>
              </w:rPr>
            </w:pPr>
            <w:r>
              <w:rPr>
                <w:sz w:val="21"/>
              </w:rPr>
              <w:t>简单场地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3" w:type="dxa"/>
            <w:vAlign w:val="center"/>
          </w:tcPr>
          <w:p>
            <w:pPr>
              <w:widowControl/>
              <w:adjustRightInd w:val="0"/>
              <w:snapToGrid w:val="0"/>
              <w:spacing w:line="276" w:lineRule="auto"/>
              <w:jc w:val="center"/>
              <w:rPr>
                <w:sz w:val="21"/>
              </w:rPr>
            </w:pPr>
            <w:r>
              <w:rPr>
                <w:rFonts w:hint="eastAsia"/>
                <w:sz w:val="21"/>
              </w:rPr>
              <w:t>初步</w:t>
            </w:r>
            <w:r>
              <w:rPr>
                <w:sz w:val="21"/>
              </w:rPr>
              <w:t>勘察</w:t>
            </w:r>
          </w:p>
        </w:tc>
        <w:tc>
          <w:tcPr>
            <w:tcW w:w="1843" w:type="dxa"/>
            <w:vAlign w:val="center"/>
          </w:tcPr>
          <w:p>
            <w:pPr>
              <w:widowControl/>
              <w:adjustRightInd w:val="0"/>
              <w:snapToGrid w:val="0"/>
              <w:spacing w:line="276" w:lineRule="auto"/>
              <w:jc w:val="center"/>
              <w:rPr>
                <w:sz w:val="21"/>
              </w:rPr>
            </w:pPr>
            <w:r>
              <w:rPr>
                <w:sz w:val="21"/>
              </w:rPr>
              <w:t>30～60</w:t>
            </w:r>
          </w:p>
        </w:tc>
        <w:tc>
          <w:tcPr>
            <w:tcW w:w="2126" w:type="dxa"/>
            <w:vAlign w:val="center"/>
          </w:tcPr>
          <w:p>
            <w:pPr>
              <w:widowControl/>
              <w:adjustRightInd w:val="0"/>
              <w:snapToGrid w:val="0"/>
              <w:spacing w:line="276" w:lineRule="auto"/>
              <w:jc w:val="center"/>
              <w:rPr>
                <w:sz w:val="21"/>
              </w:rPr>
            </w:pPr>
            <w:r>
              <w:rPr>
                <w:sz w:val="21"/>
              </w:rPr>
              <w:t>60～100</w:t>
            </w:r>
          </w:p>
        </w:tc>
        <w:tc>
          <w:tcPr>
            <w:tcW w:w="1893" w:type="dxa"/>
            <w:vAlign w:val="center"/>
          </w:tcPr>
          <w:p>
            <w:pPr>
              <w:widowControl/>
              <w:adjustRightInd w:val="0"/>
              <w:snapToGrid w:val="0"/>
              <w:spacing w:line="276" w:lineRule="auto"/>
              <w:jc w:val="center"/>
              <w:rPr>
                <w:sz w:val="21"/>
              </w:rPr>
            </w:pPr>
            <w:r>
              <w:rPr>
                <w:sz w:val="21"/>
              </w:rPr>
              <w:t>100～</w:t>
            </w:r>
            <w:r>
              <w:rPr>
                <w:rFonts w:hint="eastAsia"/>
                <w:sz w:val="21"/>
              </w:rPr>
              <w:t>20</w:t>
            </w:r>
            <w:r>
              <w:rPr>
                <w:sz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3" w:type="dxa"/>
            <w:vAlign w:val="center"/>
          </w:tcPr>
          <w:p>
            <w:pPr>
              <w:widowControl/>
              <w:adjustRightInd w:val="0"/>
              <w:snapToGrid w:val="0"/>
              <w:spacing w:line="276" w:lineRule="auto"/>
              <w:jc w:val="center"/>
              <w:rPr>
                <w:sz w:val="21"/>
              </w:rPr>
            </w:pPr>
            <w:r>
              <w:rPr>
                <w:sz w:val="21"/>
              </w:rPr>
              <w:t>详细勘察</w:t>
            </w:r>
          </w:p>
        </w:tc>
        <w:tc>
          <w:tcPr>
            <w:tcW w:w="1843" w:type="dxa"/>
            <w:vAlign w:val="center"/>
          </w:tcPr>
          <w:p>
            <w:pPr>
              <w:widowControl/>
              <w:adjustRightInd w:val="0"/>
              <w:snapToGrid w:val="0"/>
              <w:spacing w:line="276" w:lineRule="auto"/>
              <w:jc w:val="center"/>
              <w:rPr>
                <w:sz w:val="21"/>
              </w:rPr>
            </w:pPr>
            <w:r>
              <w:rPr>
                <w:rFonts w:hint="eastAsia"/>
                <w:sz w:val="21"/>
              </w:rPr>
              <w:t>10</w:t>
            </w:r>
            <w:r>
              <w:rPr>
                <w:sz w:val="21"/>
              </w:rPr>
              <w:t>～30</w:t>
            </w:r>
          </w:p>
        </w:tc>
        <w:tc>
          <w:tcPr>
            <w:tcW w:w="2126" w:type="dxa"/>
            <w:vAlign w:val="center"/>
          </w:tcPr>
          <w:p>
            <w:pPr>
              <w:widowControl/>
              <w:adjustRightInd w:val="0"/>
              <w:snapToGrid w:val="0"/>
              <w:spacing w:line="276" w:lineRule="auto"/>
              <w:jc w:val="center"/>
              <w:rPr>
                <w:sz w:val="21"/>
              </w:rPr>
            </w:pPr>
            <w:r>
              <w:rPr>
                <w:sz w:val="21"/>
              </w:rPr>
              <w:t>30～50</w:t>
            </w:r>
          </w:p>
        </w:tc>
        <w:tc>
          <w:tcPr>
            <w:tcW w:w="1893" w:type="dxa"/>
            <w:vAlign w:val="center"/>
          </w:tcPr>
          <w:p>
            <w:pPr>
              <w:widowControl/>
              <w:adjustRightInd w:val="0"/>
              <w:snapToGrid w:val="0"/>
              <w:spacing w:line="276" w:lineRule="auto"/>
              <w:jc w:val="center"/>
              <w:rPr>
                <w:sz w:val="21"/>
              </w:rPr>
            </w:pPr>
            <w:r>
              <w:rPr>
                <w:sz w:val="21"/>
              </w:rPr>
              <w:t>50～100</w:t>
            </w:r>
          </w:p>
        </w:tc>
      </w:tr>
    </w:tbl>
    <w:p>
      <w:r>
        <w:rPr>
          <w:b/>
          <w:bCs/>
        </w:rPr>
        <w:t>4.2.3</w:t>
      </w:r>
      <w:r>
        <w:t xml:space="preserve">  </w:t>
      </w:r>
      <w:r>
        <w:rPr>
          <w:rFonts w:hint="eastAsia"/>
        </w:rPr>
        <w:t>勘探孔的布置应满足下列要求：</w:t>
      </w:r>
    </w:p>
    <w:p>
      <w:pPr>
        <w:ind w:firstLine="480" w:firstLineChars="200"/>
      </w:pPr>
      <w:r>
        <w:rPr>
          <w:rFonts w:hint="eastAsia"/>
        </w:rPr>
        <w:t>1</w:t>
      </w:r>
      <w:r>
        <w:t xml:space="preserve">  管道穿越铁道、公路地段时，勘探孔移位不宜偏离管线</w:t>
      </w:r>
      <w:r>
        <w:rPr>
          <w:rFonts w:hint="eastAsia"/>
        </w:rPr>
        <w:t>边线</w:t>
      </w:r>
      <w:r>
        <w:t>超过</w:t>
      </w:r>
      <w:r>
        <w:rPr>
          <w:rFonts w:hint="eastAsia"/>
        </w:rPr>
        <w:t>5</w:t>
      </w:r>
      <w:r>
        <w:t>m，勘探孔间距以能控制地层土质变化为原则，</w:t>
      </w:r>
      <w:r>
        <w:rPr>
          <w:rFonts w:hint="eastAsia"/>
        </w:rPr>
        <w:t>且</w:t>
      </w:r>
      <w:r>
        <w:t>不得少于2个勘探孔；</w:t>
      </w:r>
    </w:p>
    <w:p>
      <w:pPr>
        <w:ind w:firstLine="480" w:firstLineChars="200"/>
      </w:pPr>
      <w:r>
        <w:rPr>
          <w:rFonts w:hint="eastAsia"/>
        </w:rPr>
        <w:t>2</w:t>
      </w:r>
      <w:r>
        <w:t xml:space="preserve">  在每个地貌单元、地貌单元交界部位、管线转角处、穿越铁路或公路的地段等复杂条件下，应根据场地复杂程度适当增加勘探孔数量；</w:t>
      </w:r>
    </w:p>
    <w:p>
      <w:pPr>
        <w:ind w:firstLine="480" w:firstLineChars="200"/>
      </w:pPr>
      <w:r>
        <w:rPr>
          <w:rFonts w:hint="eastAsia"/>
        </w:rPr>
        <w:t>3</w:t>
      </w:r>
      <w:r>
        <w:t xml:space="preserve">  在穿越暗埋的河、湖、沟、坑、溶洞或可能产生流砂和液化等地质条件复杂的地段时，勘探孔数量应适当增加；</w:t>
      </w:r>
    </w:p>
    <w:p>
      <w:pPr>
        <w:ind w:firstLine="480" w:firstLineChars="200"/>
      </w:pPr>
      <w:r>
        <w:rPr>
          <w:rFonts w:hint="eastAsia"/>
        </w:rPr>
        <w:t>4</w:t>
      </w:r>
      <w:r>
        <w:t xml:space="preserve">  在穿越河谷时，河谷两岸及河床上应布置勘探孔，其数量不应小于3个；</w:t>
      </w:r>
    </w:p>
    <w:p>
      <w:pPr>
        <w:ind w:firstLine="480" w:firstLineChars="200"/>
      </w:pPr>
      <w:r>
        <w:rPr>
          <w:rFonts w:hint="eastAsia"/>
        </w:rPr>
        <w:t>5</w:t>
      </w:r>
      <w:r>
        <w:t xml:space="preserve">  每个工作井</w:t>
      </w:r>
      <w:r>
        <w:rPr>
          <w:rFonts w:hint="eastAsia"/>
        </w:rPr>
        <w:t>不得少于2个勘探孔，复杂地质条件下宜在矩形工作井的四角或圆形工作井的周边布置勘探孔并增加勘探孔数。</w:t>
      </w:r>
    </w:p>
    <w:p>
      <w:pPr>
        <w:rPr>
          <w:bCs/>
        </w:rPr>
      </w:pPr>
      <w:r>
        <w:rPr>
          <w:b/>
          <w:bCs/>
        </w:rPr>
        <w:t>4.2.</w:t>
      </w:r>
      <w:r>
        <w:rPr>
          <w:rFonts w:hint="eastAsia"/>
          <w:b/>
          <w:bCs/>
        </w:rPr>
        <w:t xml:space="preserve">4 </w:t>
      </w:r>
      <w:r>
        <w:rPr>
          <w:b/>
          <w:bCs/>
        </w:rPr>
        <w:t xml:space="preserve"> </w:t>
      </w:r>
      <w:r>
        <w:rPr>
          <w:rFonts w:hint="eastAsia"/>
          <w:bCs/>
        </w:rPr>
        <w:t>一般性</w:t>
      </w:r>
      <w:r>
        <w:t>勘探孔的深度应达到管底设计标高</w:t>
      </w:r>
      <w:r>
        <w:rPr>
          <w:rFonts w:hint="eastAsia"/>
        </w:rPr>
        <w:t>下列3</w:t>
      </w:r>
      <w:r>
        <w:t>m～</w:t>
      </w:r>
      <w:r>
        <w:rPr>
          <w:rFonts w:hint="eastAsia"/>
        </w:rPr>
        <w:t>5</w:t>
      </w:r>
      <w:r>
        <w:t>m，</w:t>
      </w:r>
      <w:r>
        <w:rPr>
          <w:rFonts w:hint="eastAsia"/>
        </w:rPr>
        <w:t>控制性</w:t>
      </w:r>
      <w:r>
        <w:t>勘探孔的深度</w:t>
      </w:r>
      <w:r>
        <w:rPr>
          <w:rFonts w:hint="eastAsia"/>
        </w:rPr>
        <w:t>宜</w:t>
      </w:r>
      <w:r>
        <w:t>达到管底设计标高</w:t>
      </w:r>
      <w:r>
        <w:rPr>
          <w:rFonts w:hint="eastAsia"/>
        </w:rPr>
        <w:t>下列5</w:t>
      </w:r>
      <w:r>
        <w:t>m～</w:t>
      </w:r>
      <w:r>
        <w:rPr>
          <w:rFonts w:hint="eastAsia"/>
        </w:rPr>
        <w:t>10</w:t>
      </w:r>
      <w:r>
        <w:t>m</w:t>
      </w:r>
      <w:r>
        <w:rPr>
          <w:rFonts w:hint="eastAsia"/>
        </w:rPr>
        <w:t>，</w:t>
      </w:r>
      <w:r>
        <w:t>如遇下列情况之一，</w:t>
      </w:r>
      <w:r>
        <w:rPr>
          <w:rFonts w:hint="eastAsia"/>
        </w:rPr>
        <w:t>尚应满足下列要求</w:t>
      </w:r>
      <w:r>
        <w:t>。</w:t>
      </w:r>
    </w:p>
    <w:p>
      <w:pPr>
        <w:ind w:firstLine="480" w:firstLineChars="200"/>
      </w:pPr>
      <w:r>
        <w:t>1  当管线穿越河谷时，勘探孔深度应达到河床最大冲刷深度</w:t>
      </w:r>
      <w:r>
        <w:rPr>
          <w:rFonts w:hint="eastAsia"/>
        </w:rPr>
        <w:t>下列5</w:t>
      </w:r>
      <w:r>
        <w:t>m～</w:t>
      </w:r>
      <w:r>
        <w:rPr>
          <w:rFonts w:hint="eastAsia"/>
        </w:rPr>
        <w:t>10</w:t>
      </w:r>
      <w:r>
        <w:t>m；</w:t>
      </w:r>
    </w:p>
    <w:p>
      <w:pPr>
        <w:ind w:firstLine="480" w:firstLineChars="200"/>
      </w:pPr>
      <w:r>
        <w:t>2  当管线基底下存在松软土层、湿陷性土及可能产生流砂、潜蚀或液化地层时，勘探孔深度应加深或钻穿该类地层；</w:t>
      </w:r>
    </w:p>
    <w:p>
      <w:pPr>
        <w:ind w:firstLine="480" w:firstLineChars="200"/>
      </w:pPr>
      <w:r>
        <w:t>3  采取降低地下水位来进行管线施工的地段，勘探孔孔深应在管</w:t>
      </w:r>
      <w:r>
        <w:rPr>
          <w:rFonts w:hint="eastAsia"/>
        </w:rPr>
        <w:t>底下列5</w:t>
      </w:r>
      <w:r>
        <w:t>m～</w:t>
      </w:r>
      <w:r>
        <w:rPr>
          <w:rFonts w:hint="eastAsia"/>
        </w:rPr>
        <w:t>10</w:t>
      </w:r>
      <w:r>
        <w:t>m</w:t>
      </w:r>
      <w:r>
        <w:rPr>
          <w:rFonts w:hint="eastAsia"/>
        </w:rPr>
        <w:t>，且应穿透主要含水层</w:t>
      </w:r>
      <w:r>
        <w:t>；</w:t>
      </w:r>
    </w:p>
    <w:p>
      <w:pPr>
        <w:ind w:firstLine="480" w:firstLineChars="200"/>
      </w:pPr>
      <w:r>
        <w:t>4  当管线下部有承压强透水层时，勘探孔应适当加深，或钻穿承压水层，并测量其水位；</w:t>
      </w:r>
    </w:p>
    <w:p>
      <w:pPr>
        <w:widowControl/>
        <w:adjustRightInd w:val="0"/>
        <w:snapToGrid w:val="0"/>
        <w:ind w:firstLine="480" w:firstLineChars="200"/>
      </w:pPr>
      <w:r>
        <w:t xml:space="preserve">5  </w:t>
      </w:r>
      <w:r>
        <w:rPr>
          <w:rFonts w:hint="eastAsia"/>
        </w:rPr>
        <w:t>工作井</w:t>
      </w:r>
      <w:r>
        <w:t>和接收井的勘探孔深度</w:t>
      </w:r>
      <w:r>
        <w:rPr>
          <w:rFonts w:hint="eastAsia"/>
        </w:rPr>
        <w:t>应不小于</w:t>
      </w:r>
      <w:r>
        <w:t>井底</w:t>
      </w:r>
      <w:r>
        <w:rPr>
          <w:rFonts w:hint="eastAsia"/>
        </w:rPr>
        <w:t>下列</w:t>
      </w:r>
      <w:r>
        <w:t>5m，</w:t>
      </w:r>
      <w:r>
        <w:rPr>
          <w:rFonts w:hint="eastAsia"/>
        </w:rPr>
        <w:t>在深厚软土、强透水层等</w:t>
      </w:r>
      <w:r>
        <w:t>特殊情况应适当加深</w:t>
      </w:r>
      <w:r>
        <w:rPr>
          <w:rFonts w:hint="eastAsia"/>
        </w:rPr>
        <w:t>，并穿透该层。</w:t>
      </w:r>
    </w:p>
    <w:p>
      <w:pPr>
        <w:widowControl/>
        <w:adjustRightInd w:val="0"/>
        <w:snapToGrid w:val="0"/>
        <w:ind w:firstLine="480" w:firstLineChars="200"/>
      </w:pPr>
    </w:p>
    <w:p>
      <w:pPr>
        <w:pStyle w:val="3"/>
      </w:pPr>
      <w:bookmarkStart w:id="42" w:name="_Toc18057029"/>
      <w:bookmarkStart w:id="43" w:name="_Toc11123"/>
      <w:r>
        <w:rPr>
          <w:rFonts w:hint="eastAsia"/>
        </w:rPr>
        <w:t>4.</w:t>
      </w:r>
      <w:bookmarkStart w:id="44" w:name="_Toc178586070"/>
      <w:r>
        <w:rPr>
          <w:rFonts w:hint="eastAsia"/>
        </w:rPr>
        <w:t>3</w:t>
      </w:r>
      <w:r>
        <w:t xml:space="preserve"> </w:t>
      </w:r>
      <w:r>
        <w:rPr>
          <w:rFonts w:hint="eastAsia"/>
        </w:rPr>
        <w:t xml:space="preserve"> 地下水勘察</w:t>
      </w:r>
      <w:bookmarkEnd w:id="42"/>
      <w:bookmarkEnd w:id="43"/>
    </w:p>
    <w:p>
      <w:r>
        <w:rPr>
          <w:b/>
          <w:bCs/>
        </w:rPr>
        <w:t>4.3.</w:t>
      </w:r>
      <w:r>
        <w:rPr>
          <w:rFonts w:hint="eastAsia"/>
          <w:b/>
          <w:bCs/>
        </w:rPr>
        <w:t>1</w:t>
      </w:r>
      <w:r>
        <w:t xml:space="preserve">  </w:t>
      </w:r>
      <w:r>
        <w:rPr>
          <w:rFonts w:hint="eastAsia"/>
        </w:rPr>
        <w:t>应调查地下水类型、含水层、地下水埋藏条件、补给与排泄条件、分布特征。</w:t>
      </w:r>
    </w:p>
    <w:p>
      <w:r>
        <w:rPr>
          <w:b/>
          <w:bCs/>
        </w:rPr>
        <w:t>4.3.</w:t>
      </w:r>
      <w:r>
        <w:rPr>
          <w:rFonts w:hint="eastAsia"/>
          <w:b/>
          <w:bCs/>
        </w:rPr>
        <w:t>2</w:t>
      </w:r>
      <w:r>
        <w:rPr>
          <w:b/>
          <w:bCs/>
        </w:rPr>
        <w:t xml:space="preserve">  </w:t>
      </w:r>
      <w:r>
        <w:rPr>
          <w:rFonts w:hint="eastAsia"/>
        </w:rPr>
        <w:t>应调查历史上地下水的最高水位、最低水位、水位变化幅度。</w:t>
      </w:r>
    </w:p>
    <w:p>
      <w:r>
        <w:rPr>
          <w:b/>
          <w:bCs/>
        </w:rPr>
        <w:t>4.3.</w:t>
      </w:r>
      <w:r>
        <w:rPr>
          <w:rFonts w:hint="eastAsia"/>
          <w:b/>
          <w:bCs/>
        </w:rPr>
        <w:t>3</w:t>
      </w:r>
      <w:r>
        <w:rPr>
          <w:b/>
          <w:bCs/>
        </w:rPr>
        <w:t xml:space="preserve">  </w:t>
      </w:r>
      <w:r>
        <w:rPr>
          <w:rFonts w:hint="eastAsia"/>
        </w:rPr>
        <w:t>应测定地下水的PH值，氯离子、钙离子和硫酸根离子等的含量，地下水对混凝土、钢、铸铁及橡胶的腐蚀程度。</w:t>
      </w:r>
    </w:p>
    <w:p>
      <w:r>
        <w:rPr>
          <w:b/>
          <w:bCs/>
        </w:rPr>
        <w:t>4.</w:t>
      </w:r>
      <w:r>
        <w:rPr>
          <w:rFonts w:hint="eastAsia"/>
          <w:b/>
          <w:bCs/>
        </w:rPr>
        <w:t>3</w:t>
      </w:r>
      <w:r>
        <w:rPr>
          <w:b/>
          <w:bCs/>
        </w:rPr>
        <w:t>.</w:t>
      </w:r>
      <w:r>
        <w:rPr>
          <w:rFonts w:hint="eastAsia"/>
          <w:b/>
          <w:bCs/>
        </w:rPr>
        <w:t>4</w:t>
      </w:r>
      <w:r>
        <w:rPr>
          <w:b/>
          <w:bCs/>
        </w:rPr>
        <w:t xml:space="preserve">  </w:t>
      </w:r>
      <w:r>
        <w:rPr>
          <w:rFonts w:hint="eastAsia"/>
        </w:rPr>
        <w:t>当地下有承压水分布时，应量测承压水的压力，评价对顶管工程施工的影响。</w:t>
      </w:r>
    </w:p>
    <w:p>
      <w:r>
        <w:rPr>
          <w:b/>
          <w:bCs/>
        </w:rPr>
        <w:t>4.</w:t>
      </w:r>
      <w:r>
        <w:rPr>
          <w:rFonts w:hint="eastAsia"/>
          <w:b/>
          <w:bCs/>
        </w:rPr>
        <w:t>3</w:t>
      </w:r>
      <w:r>
        <w:rPr>
          <w:b/>
          <w:bCs/>
        </w:rPr>
        <w:t>.</w:t>
      </w:r>
      <w:r>
        <w:rPr>
          <w:rFonts w:hint="eastAsia"/>
          <w:b/>
          <w:bCs/>
        </w:rPr>
        <w:t>5</w:t>
      </w:r>
      <w:r>
        <w:rPr>
          <w:b/>
          <w:bCs/>
        </w:rPr>
        <w:t xml:space="preserve">  </w:t>
      </w:r>
      <w:r>
        <w:rPr>
          <w:rFonts w:hint="eastAsia"/>
        </w:rPr>
        <w:t>当地下水位受潮汐水位影响时，应评价其对顶管工程施工的影响。</w:t>
      </w:r>
    </w:p>
    <w:p>
      <w:pPr>
        <w:rPr>
          <w:b/>
        </w:rPr>
      </w:pPr>
      <w:bookmarkStart w:id="45" w:name="_Toc484503830"/>
    </w:p>
    <w:bookmarkEnd w:id="44"/>
    <w:bookmarkEnd w:id="45"/>
    <w:p>
      <w:pPr>
        <w:pStyle w:val="3"/>
      </w:pPr>
      <w:bookmarkStart w:id="46" w:name="_Toc484503831"/>
      <w:bookmarkStart w:id="47" w:name="_Toc18057030"/>
      <w:bookmarkStart w:id="48" w:name="_Toc4770"/>
      <w:r>
        <w:t>4.</w:t>
      </w:r>
      <w:r>
        <w:rPr>
          <w:rFonts w:hint="eastAsia"/>
        </w:rPr>
        <w:t>4</w:t>
      </w:r>
      <w:r>
        <w:t xml:space="preserve">  地质勘察报告</w:t>
      </w:r>
      <w:bookmarkEnd w:id="46"/>
      <w:bookmarkEnd w:id="47"/>
      <w:bookmarkEnd w:id="48"/>
    </w:p>
    <w:p>
      <w:r>
        <w:rPr>
          <w:b/>
          <w:bCs/>
        </w:rPr>
        <w:t>4</w:t>
      </w:r>
      <w:r>
        <w:rPr>
          <w:rFonts w:hint="eastAsia"/>
          <w:b/>
          <w:bCs/>
        </w:rPr>
        <w:t>.4.1</w:t>
      </w:r>
      <w:r>
        <w:rPr>
          <w:b/>
          <w:bCs/>
        </w:rPr>
        <w:t xml:space="preserve">  </w:t>
      </w:r>
      <w:r>
        <w:t>勘察报告应阐述场地工程地质条件、评价场地稳定性和适应性，为合理确定顶管的平面布置、选择顶进标高、防治不良地质现象提供依据。</w:t>
      </w:r>
    </w:p>
    <w:p>
      <w:r>
        <w:rPr>
          <w:b/>
          <w:bCs/>
        </w:rPr>
        <w:t>4.</w:t>
      </w:r>
      <w:r>
        <w:rPr>
          <w:rFonts w:hint="eastAsia"/>
          <w:b/>
          <w:bCs/>
        </w:rPr>
        <w:t>4</w:t>
      </w:r>
      <w:r>
        <w:rPr>
          <w:b/>
          <w:bCs/>
        </w:rPr>
        <w:t xml:space="preserve">.2  </w:t>
      </w:r>
      <w:r>
        <w:t>勘察报告应提供顶管段</w:t>
      </w:r>
      <w:r>
        <w:rPr>
          <w:rFonts w:hint="eastAsia"/>
        </w:rPr>
        <w:t>、工作井</w:t>
      </w:r>
      <w:r>
        <w:t>设计和施工所需的各土层物理力学性质参数，以及地下水和环境资料，并做出针对性的分析评价、结论和建议。</w:t>
      </w:r>
    </w:p>
    <w:p>
      <w:r>
        <w:rPr>
          <w:b/>
          <w:bCs/>
        </w:rPr>
        <w:t>4.</w:t>
      </w:r>
      <w:r>
        <w:rPr>
          <w:rFonts w:hint="eastAsia"/>
          <w:b/>
          <w:bCs/>
        </w:rPr>
        <w:t>4.3</w:t>
      </w:r>
      <w:r>
        <w:rPr>
          <w:b/>
          <w:bCs/>
        </w:rPr>
        <w:t xml:space="preserve">  </w:t>
      </w:r>
      <w:r>
        <w:t>勘察报告应满足设计、施工的具体要求，提供相应的资料，并</w:t>
      </w:r>
      <w:r>
        <w:rPr>
          <w:rFonts w:hint="eastAsia"/>
        </w:rPr>
        <w:t>做出</w:t>
      </w:r>
      <w:r>
        <w:t>分析、结论和建议。</w:t>
      </w:r>
    </w:p>
    <w:p>
      <w:r>
        <w:rPr>
          <w:b/>
          <w:bCs/>
        </w:rPr>
        <w:t>4.</w:t>
      </w:r>
      <w:r>
        <w:rPr>
          <w:rFonts w:hint="eastAsia"/>
          <w:b/>
          <w:bCs/>
        </w:rPr>
        <w:t>4.4</w:t>
      </w:r>
      <w:r>
        <w:rPr>
          <w:b/>
          <w:bCs/>
        </w:rPr>
        <w:t xml:space="preserve">  </w:t>
      </w:r>
      <w:r>
        <w:t>不同阶段的勘察报告应分别满足工程规划、设计、施工阶段的技术要求。</w:t>
      </w:r>
    </w:p>
    <w:p>
      <w:r>
        <w:rPr>
          <w:b/>
          <w:bCs/>
        </w:rPr>
        <w:t>4.</w:t>
      </w:r>
      <w:r>
        <w:rPr>
          <w:rFonts w:hint="eastAsia"/>
          <w:b/>
          <w:bCs/>
        </w:rPr>
        <w:t>4.5</w:t>
      </w:r>
      <w:r>
        <w:rPr>
          <w:b/>
          <w:bCs/>
        </w:rPr>
        <w:t xml:space="preserve">  </w:t>
      </w:r>
      <w:r>
        <w:t>初步勘察报告，应阐述场地工程地质条件、评价场地稳定性和适应性，推荐管道最优线路方案，为合理确定平面布置、选择顶进标高，防治不良地质现象提供依据。</w:t>
      </w:r>
    </w:p>
    <w:p>
      <w:r>
        <w:rPr>
          <w:rFonts w:hint="eastAsia"/>
          <w:b/>
          <w:bCs/>
        </w:rPr>
        <w:t>4.4.6</w:t>
      </w:r>
      <w:r>
        <w:rPr>
          <w:b/>
          <w:bCs/>
        </w:rPr>
        <w:t xml:space="preserve">  </w:t>
      </w:r>
      <w:r>
        <w:t>详细勘察报告，应分段评价岩土工程条件，应提供顶管和工作</w:t>
      </w:r>
      <w:r>
        <w:rPr>
          <w:rFonts w:hint="eastAsia"/>
        </w:rPr>
        <w:t>井</w:t>
      </w:r>
      <w:r>
        <w:t>设计、施工所需的各土层物理力学性质指标，以及地下水资料，对工</w:t>
      </w:r>
      <w:r>
        <w:rPr>
          <w:rFonts w:hint="eastAsia"/>
        </w:rPr>
        <w:t>作井</w:t>
      </w:r>
      <w:r>
        <w:t>和顶管设计、施工方案提出建议，并</w:t>
      </w:r>
      <w:r>
        <w:rPr>
          <w:rFonts w:hint="eastAsia"/>
        </w:rPr>
        <w:t>做出</w:t>
      </w:r>
      <w:r>
        <w:t>针对性的分析评价。</w:t>
      </w:r>
    </w:p>
    <w:p>
      <w:r>
        <w:rPr>
          <w:rFonts w:hint="eastAsia"/>
          <w:b/>
          <w:bCs/>
        </w:rPr>
        <w:t>4.4.7</w:t>
      </w:r>
      <w:r>
        <w:t xml:space="preserve">  工程地质条件简单和勘察工程量小的工程，可适当简化勘察报告的内容。</w:t>
      </w:r>
    </w:p>
    <w:p>
      <w:r>
        <w:rPr>
          <w:rFonts w:hint="eastAsia"/>
          <w:b/>
          <w:bCs/>
        </w:rPr>
        <w:t>4.4</w:t>
      </w:r>
      <w:r>
        <w:rPr>
          <w:b/>
          <w:bCs/>
        </w:rPr>
        <w:t>.</w:t>
      </w:r>
      <w:r>
        <w:rPr>
          <w:rFonts w:hint="eastAsia"/>
          <w:b/>
          <w:bCs/>
        </w:rPr>
        <w:t>8</w:t>
      </w:r>
      <w:r>
        <w:rPr>
          <w:b/>
          <w:bCs/>
        </w:rPr>
        <w:t xml:space="preserve">  </w:t>
      </w:r>
      <w:r>
        <w:t>勘察报告主要由文字和图表构成。勘察报告文字部分应包含下列内容：</w:t>
      </w:r>
    </w:p>
    <w:p>
      <w:pPr>
        <w:ind w:firstLine="480" w:firstLineChars="200"/>
      </w:pPr>
      <w:r>
        <w:t>1  勘察目的和任务要求；</w:t>
      </w:r>
    </w:p>
    <w:p>
      <w:pPr>
        <w:ind w:firstLine="480" w:firstLineChars="200"/>
      </w:pPr>
      <w:r>
        <w:t>2  勘察方法和工作布置；</w:t>
      </w:r>
    </w:p>
    <w:p>
      <w:pPr>
        <w:ind w:firstLine="480" w:firstLineChars="200"/>
      </w:pPr>
      <w:r>
        <w:t>3  拟建顶管工程的基本特性；</w:t>
      </w:r>
    </w:p>
    <w:p>
      <w:pPr>
        <w:ind w:firstLine="480" w:firstLineChars="200"/>
      </w:pPr>
      <w:r>
        <w:t>4  场地地形、地质（地层、地质构造）、地貌、岩土性质、地下水及不良地质现象的阐述和评价；</w:t>
      </w:r>
    </w:p>
    <w:p>
      <w:pPr>
        <w:ind w:firstLine="480" w:firstLineChars="200"/>
      </w:pPr>
      <w:r>
        <w:t>5  地基稳定性评价及建议地基处理方案；</w:t>
      </w:r>
    </w:p>
    <w:p>
      <w:pPr>
        <w:ind w:firstLine="480" w:firstLineChars="200"/>
      </w:pPr>
      <w:r>
        <w:t>6  岩土参数的搜集、分析和选用；</w:t>
      </w:r>
    </w:p>
    <w:p>
      <w:pPr>
        <w:ind w:firstLine="480" w:firstLineChars="200"/>
      </w:pPr>
      <w:r>
        <w:t>7  工程施工期间可能发生的岩土工程问题的预测及监控、防治措施的建议；</w:t>
      </w:r>
    </w:p>
    <w:p>
      <w:pPr>
        <w:ind w:firstLine="480" w:firstLineChars="200"/>
      </w:pPr>
      <w:r>
        <w:t>8  顶管施工中</w:t>
      </w:r>
      <w:r>
        <w:rPr>
          <w:rFonts w:hint="eastAsia"/>
        </w:rPr>
        <w:t>有无易燃易爆和有毒气体</w:t>
      </w:r>
      <w:r>
        <w:t>评价</w:t>
      </w:r>
      <w:r>
        <w:rPr>
          <w:rFonts w:hint="eastAsia"/>
        </w:rPr>
        <w:t>；</w:t>
      </w:r>
    </w:p>
    <w:p>
      <w:pPr>
        <w:ind w:firstLine="480" w:firstLineChars="200"/>
      </w:pPr>
      <w:r>
        <w:t>9  顶管施工对周边环境影响的分析和评价；</w:t>
      </w:r>
    </w:p>
    <w:p>
      <w:pPr>
        <w:ind w:firstLine="480" w:firstLineChars="200"/>
      </w:pPr>
      <w:r>
        <w:t>10  有关顶管工程设计和施工措施的建议。</w:t>
      </w:r>
    </w:p>
    <w:p>
      <w:r>
        <w:rPr>
          <w:b/>
          <w:bCs/>
        </w:rPr>
        <w:t>4.</w:t>
      </w:r>
      <w:r>
        <w:rPr>
          <w:rFonts w:hint="eastAsia"/>
          <w:b/>
          <w:bCs/>
        </w:rPr>
        <w:t>4</w:t>
      </w:r>
      <w:r>
        <w:rPr>
          <w:b/>
          <w:bCs/>
        </w:rPr>
        <w:t>.</w:t>
      </w:r>
      <w:r>
        <w:rPr>
          <w:rFonts w:hint="eastAsia"/>
          <w:b/>
          <w:bCs/>
        </w:rPr>
        <w:t>9</w:t>
      </w:r>
      <w:r>
        <w:rPr>
          <w:b/>
          <w:bCs/>
        </w:rPr>
        <w:t xml:space="preserve">  </w:t>
      </w:r>
      <w:r>
        <w:t>勘察报告图表部分应包括下列内容：</w:t>
      </w:r>
    </w:p>
    <w:p>
      <w:pPr>
        <w:ind w:firstLine="480" w:firstLineChars="200"/>
      </w:pPr>
      <w:r>
        <w:t>1  勘探点平面布置图；</w:t>
      </w:r>
    </w:p>
    <w:p>
      <w:pPr>
        <w:ind w:firstLine="480" w:firstLineChars="200"/>
      </w:pPr>
      <w:r>
        <w:t>2  工程地质柱状图；</w:t>
      </w:r>
    </w:p>
    <w:p>
      <w:pPr>
        <w:ind w:firstLine="480" w:firstLineChars="200"/>
      </w:pPr>
      <w:r>
        <w:t>3  工程地质剖面图；</w:t>
      </w:r>
    </w:p>
    <w:p>
      <w:pPr>
        <w:ind w:firstLine="480" w:firstLineChars="200"/>
      </w:pPr>
      <w:r>
        <w:t>4  原位测试成果图表；</w:t>
      </w:r>
    </w:p>
    <w:p>
      <w:pPr>
        <w:ind w:firstLine="480" w:firstLineChars="200"/>
      </w:pPr>
      <w:r>
        <w:t>5  室内试验成果图表。</w:t>
      </w:r>
    </w:p>
    <w:p>
      <w:pPr>
        <w:widowControl/>
        <w:adjustRightInd w:val="0"/>
        <w:snapToGrid w:val="0"/>
        <w:spacing w:line="276" w:lineRule="auto"/>
        <w:ind w:firstLine="480" w:firstLineChars="200"/>
      </w:pPr>
    </w:p>
    <w:p>
      <w:pPr>
        <w:pStyle w:val="3"/>
      </w:pPr>
      <w:bookmarkStart w:id="49" w:name="_Toc484503832"/>
      <w:bookmarkStart w:id="50" w:name="_Toc18057031"/>
      <w:bookmarkStart w:id="51" w:name="_Toc29489"/>
      <w:r>
        <w:rPr>
          <w:rFonts w:hint="eastAsia"/>
        </w:rPr>
        <w:t>4.5</w:t>
      </w:r>
      <w:r>
        <w:t xml:space="preserve"> </w:t>
      </w:r>
      <w:r>
        <w:rPr>
          <w:rFonts w:hint="eastAsia"/>
        </w:rPr>
        <w:t xml:space="preserve"> 地下管线和障碍物的探测</w:t>
      </w:r>
      <w:bookmarkEnd w:id="49"/>
      <w:bookmarkEnd w:id="50"/>
      <w:bookmarkEnd w:id="51"/>
    </w:p>
    <w:p>
      <w:r>
        <w:rPr>
          <w:b/>
        </w:rPr>
        <w:t>4.5.</w:t>
      </w:r>
      <w:r>
        <w:rPr>
          <w:rFonts w:hint="eastAsia"/>
          <w:b/>
        </w:rPr>
        <w:t xml:space="preserve">1 </w:t>
      </w:r>
      <w:r>
        <w:rPr>
          <w:b/>
        </w:rPr>
        <w:t xml:space="preserve"> </w:t>
      </w:r>
      <w:r>
        <w:rPr>
          <w:rFonts w:hint="eastAsia"/>
        </w:rPr>
        <w:t>物探工作应遵循下列原则：</w:t>
      </w:r>
    </w:p>
    <w:p>
      <w:pPr>
        <w:ind w:firstLine="480" w:firstLineChars="200"/>
      </w:pPr>
      <w:r>
        <w:t xml:space="preserve">1  </w:t>
      </w:r>
      <w:r>
        <w:rPr>
          <w:rFonts w:hint="eastAsia"/>
        </w:rPr>
        <w:t>工作前应通过方法试验，选用有效的探测技术和数据采集参数；</w:t>
      </w:r>
    </w:p>
    <w:p>
      <w:pPr>
        <w:ind w:firstLine="480" w:firstLineChars="200"/>
      </w:pPr>
      <w:r>
        <w:t xml:space="preserve">2  </w:t>
      </w:r>
      <w:r>
        <w:rPr>
          <w:rFonts w:hint="eastAsia"/>
        </w:rPr>
        <w:t>工作时宜从已知到未知，从简单到复杂；单一方法多解时，宜采用多种方法进行综合探测；</w:t>
      </w:r>
    </w:p>
    <w:p>
      <w:pPr>
        <w:ind w:firstLine="480" w:firstLineChars="200"/>
      </w:pPr>
      <w:r>
        <w:t xml:space="preserve">3  </w:t>
      </w:r>
      <w:r>
        <w:rPr>
          <w:rFonts w:hint="eastAsia"/>
        </w:rPr>
        <w:t>工作时应充分收集和利用已有的地质、水文地质、地球物理、勘察、设计、施工及运营等资料。</w:t>
      </w:r>
    </w:p>
    <w:p>
      <w:pPr>
        <w:rPr>
          <w:rFonts w:eastAsia="仿宋"/>
        </w:rPr>
      </w:pPr>
      <w:r>
        <w:rPr>
          <w:rFonts w:eastAsia="仿宋"/>
          <w:b/>
          <w:bCs/>
        </w:rPr>
        <w:t xml:space="preserve">【条文说明】：4.5.1  </w:t>
      </w:r>
      <w:r>
        <w:rPr>
          <w:rFonts w:eastAsia="仿宋"/>
        </w:rPr>
        <w:t>物探工作应具备下列条件：</w:t>
      </w:r>
    </w:p>
    <w:p>
      <w:pPr>
        <w:ind w:firstLine="480" w:firstLineChars="200"/>
        <w:rPr>
          <w:rFonts w:eastAsia="仿宋"/>
        </w:rPr>
      </w:pPr>
      <w:r>
        <w:rPr>
          <w:rFonts w:eastAsia="仿宋"/>
        </w:rPr>
        <w:t>1  被探测对象与其周围介质间应存在足够的物性差异；</w:t>
      </w:r>
    </w:p>
    <w:p>
      <w:pPr>
        <w:ind w:firstLine="480" w:firstLineChars="200"/>
        <w:rPr>
          <w:rFonts w:eastAsia="仿宋"/>
        </w:rPr>
      </w:pPr>
      <w:r>
        <w:rPr>
          <w:rFonts w:eastAsia="仿宋"/>
        </w:rPr>
        <w:t>2  被探测对象应具有一定规模，能够产生可被观测的地球物理异常场；</w:t>
      </w:r>
    </w:p>
    <w:p>
      <w:pPr>
        <w:ind w:firstLine="480" w:firstLineChars="200"/>
        <w:rPr>
          <w:rFonts w:eastAsia="仿宋"/>
        </w:rPr>
      </w:pPr>
      <w:r>
        <w:rPr>
          <w:rFonts w:eastAsia="仿宋"/>
        </w:rPr>
        <w:t>3  干扰因素产生的干扰场应相对有效异常足够小，或能够被识别；</w:t>
      </w:r>
    </w:p>
    <w:p>
      <w:pPr>
        <w:ind w:firstLine="480" w:firstLineChars="200"/>
        <w:rPr>
          <w:rFonts w:eastAsia="仿宋"/>
        </w:rPr>
      </w:pPr>
      <w:r>
        <w:rPr>
          <w:rFonts w:eastAsia="仿宋"/>
        </w:rPr>
        <w:t>4  工作现场应具备足够空间，能够布置探测装置和开展现场探测工作。</w:t>
      </w:r>
    </w:p>
    <w:p>
      <w:r>
        <w:rPr>
          <w:b/>
        </w:rPr>
        <w:t>4.5.</w:t>
      </w:r>
      <w:r>
        <w:rPr>
          <w:rFonts w:hint="eastAsia"/>
          <w:b/>
        </w:rPr>
        <w:t xml:space="preserve">2 </w:t>
      </w:r>
      <w:r>
        <w:rPr>
          <w:b/>
        </w:rPr>
        <w:t xml:space="preserve"> </w:t>
      </w:r>
      <w:r>
        <w:rPr>
          <w:rFonts w:hint="eastAsia"/>
        </w:rPr>
        <w:t>物探成果资料应包括下列主要内容：</w:t>
      </w:r>
    </w:p>
    <w:p>
      <w:pPr>
        <w:ind w:firstLine="480" w:firstLineChars="200"/>
      </w:pPr>
      <w:r>
        <w:t xml:space="preserve">1  </w:t>
      </w:r>
      <w:r>
        <w:rPr>
          <w:rFonts w:hint="eastAsia"/>
        </w:rPr>
        <w:t>工作的目的、任务、范围、期限和测区位置等；</w:t>
      </w:r>
    </w:p>
    <w:p>
      <w:pPr>
        <w:ind w:firstLine="480" w:firstLineChars="200"/>
      </w:pPr>
      <w:r>
        <w:t xml:space="preserve">2  </w:t>
      </w:r>
      <w:r>
        <w:rPr>
          <w:rFonts w:hint="eastAsia"/>
        </w:rPr>
        <w:t>探测工作布置图；</w:t>
      </w:r>
    </w:p>
    <w:p>
      <w:pPr>
        <w:ind w:firstLine="480" w:firstLineChars="200"/>
      </w:pPr>
      <w:r>
        <w:t xml:space="preserve">3  </w:t>
      </w:r>
      <w:r>
        <w:rPr>
          <w:rFonts w:hint="eastAsia"/>
        </w:rPr>
        <w:t>成果依据、技术要求、工作方法有效性分析，现场工作的布置及工作量估算等；</w:t>
      </w:r>
    </w:p>
    <w:p>
      <w:pPr>
        <w:ind w:firstLine="480" w:firstLineChars="200"/>
      </w:pPr>
      <w:r>
        <w:t xml:space="preserve">4  </w:t>
      </w:r>
      <w:r>
        <w:rPr>
          <w:rFonts w:hint="eastAsia"/>
        </w:rPr>
        <w:t>与地质、测量、设计、施工、管理等其他专业的配合；</w:t>
      </w:r>
    </w:p>
    <w:p>
      <w:pPr>
        <w:ind w:firstLine="480" w:firstLineChars="200"/>
      </w:pPr>
      <w:r>
        <w:t xml:space="preserve">5  </w:t>
      </w:r>
      <w:r>
        <w:rPr>
          <w:rFonts w:hint="eastAsia"/>
        </w:rPr>
        <w:t>仪器、设备、材料、车辆等资源配置；</w:t>
      </w:r>
    </w:p>
    <w:p>
      <w:pPr>
        <w:ind w:firstLine="480" w:firstLineChars="200"/>
      </w:pPr>
      <w:r>
        <w:t xml:space="preserve">6  </w:t>
      </w:r>
      <w:r>
        <w:rPr>
          <w:rFonts w:hint="eastAsia"/>
        </w:rPr>
        <w:t>施工组织及工作进度计划；</w:t>
      </w:r>
    </w:p>
    <w:p>
      <w:pPr>
        <w:ind w:firstLine="480" w:firstLineChars="200"/>
      </w:pPr>
      <w:r>
        <w:t xml:space="preserve">7  </w:t>
      </w:r>
      <w:r>
        <w:rPr>
          <w:rFonts w:hint="eastAsia"/>
        </w:rPr>
        <w:t>作业质量、安全及环境保证措施；</w:t>
      </w:r>
    </w:p>
    <w:p>
      <w:pPr>
        <w:ind w:firstLine="480" w:firstLineChars="200"/>
      </w:pPr>
      <w:r>
        <w:t xml:space="preserve">8  </w:t>
      </w:r>
      <w:r>
        <w:rPr>
          <w:rFonts w:hint="eastAsia"/>
        </w:rPr>
        <w:t>拟提交的成果资料；</w:t>
      </w:r>
    </w:p>
    <w:p>
      <w:pPr>
        <w:ind w:firstLine="480" w:firstLineChars="200"/>
      </w:pPr>
      <w:r>
        <w:t xml:space="preserve">9  </w:t>
      </w:r>
      <w:r>
        <w:rPr>
          <w:rFonts w:hint="eastAsia"/>
        </w:rPr>
        <w:t>关键的问题与对策。</w:t>
      </w:r>
    </w:p>
    <w:p>
      <w:r>
        <w:rPr>
          <w:b/>
        </w:rPr>
        <w:t>4.5.</w:t>
      </w:r>
      <w:r>
        <w:rPr>
          <w:rFonts w:hint="eastAsia"/>
          <w:b/>
        </w:rPr>
        <w:t>3</w:t>
      </w:r>
      <w:r>
        <w:rPr>
          <w:b/>
        </w:rPr>
        <w:t xml:space="preserve">  </w:t>
      </w:r>
      <w:r>
        <w:rPr>
          <w:rFonts w:hint="eastAsia"/>
        </w:rPr>
        <w:t>物探工作的质量检查应符合下列规定：</w:t>
      </w:r>
    </w:p>
    <w:p>
      <w:pPr>
        <w:ind w:firstLine="480" w:firstLineChars="200"/>
      </w:pPr>
      <w:r>
        <w:t xml:space="preserve">1  </w:t>
      </w:r>
      <w:r>
        <w:rPr>
          <w:rFonts w:hint="eastAsia"/>
        </w:rPr>
        <w:t>质量检查应根据具体探测方法选择检查方式；</w:t>
      </w:r>
    </w:p>
    <w:p>
      <w:pPr>
        <w:ind w:firstLine="480" w:firstLineChars="200"/>
      </w:pPr>
      <w:r>
        <w:t xml:space="preserve">2  </w:t>
      </w:r>
      <w:r>
        <w:rPr>
          <w:rFonts w:hint="eastAsia"/>
        </w:rPr>
        <w:t>检查点应均衡分布、随机选取，异常和可疑地段应重点检查；</w:t>
      </w:r>
    </w:p>
    <w:p>
      <w:pPr>
        <w:ind w:firstLine="480" w:firstLineChars="200"/>
      </w:pPr>
      <w:r>
        <w:t xml:space="preserve">3  </w:t>
      </w:r>
      <w:r>
        <w:rPr>
          <w:rFonts w:hint="eastAsia"/>
        </w:rPr>
        <w:t>在资料审核时应提交质量检查资料。</w:t>
      </w:r>
    </w:p>
    <w:p>
      <w:r>
        <w:rPr>
          <w:b/>
        </w:rPr>
        <w:t>4.5.</w:t>
      </w:r>
      <w:r>
        <w:rPr>
          <w:rFonts w:hint="eastAsia"/>
          <w:b/>
        </w:rPr>
        <w:t>4</w:t>
      </w:r>
      <w:r>
        <w:t xml:space="preserve">  </w:t>
      </w:r>
      <w:r>
        <w:rPr>
          <w:rFonts w:hint="eastAsia"/>
        </w:rPr>
        <w:t>城市工程地球物理探测原始数据经质量检查不合格，应分析原因，制订措施，调整工作方案后再行探测。</w:t>
      </w:r>
    </w:p>
    <w:p>
      <w:r>
        <w:rPr>
          <w:b/>
        </w:rPr>
        <w:t>4.5.</w:t>
      </w:r>
      <w:r>
        <w:rPr>
          <w:rFonts w:hint="eastAsia"/>
          <w:b/>
        </w:rPr>
        <w:t xml:space="preserve">5 </w:t>
      </w:r>
      <w:r>
        <w:rPr>
          <w:b/>
        </w:rPr>
        <w:t xml:space="preserve"> </w:t>
      </w:r>
      <w:r>
        <w:rPr>
          <w:rFonts w:hint="eastAsia"/>
        </w:rPr>
        <w:t>物探工作资料处理不得使用未经检查或检查不合格的探测数据，应在分析各项物探资料的基础上，充分利用已知资料，按照从已知到未知、先易后难、点面结合、定性指导定量的原则进行。</w:t>
      </w:r>
    </w:p>
    <w:p>
      <w:r>
        <w:rPr>
          <w:b/>
        </w:rPr>
        <w:t>4.5.</w:t>
      </w:r>
      <w:r>
        <w:rPr>
          <w:rFonts w:hint="eastAsia"/>
          <w:b/>
        </w:rPr>
        <w:t xml:space="preserve">6 </w:t>
      </w:r>
      <w:r>
        <w:rPr>
          <w:b/>
        </w:rPr>
        <w:t xml:space="preserve"> </w:t>
      </w:r>
      <w:r>
        <w:rPr>
          <w:rFonts w:hint="eastAsia"/>
        </w:rPr>
        <w:t>地下管线探测应符合下列规定：</w:t>
      </w:r>
    </w:p>
    <w:p>
      <w:pPr>
        <w:ind w:firstLine="480" w:firstLineChars="200"/>
      </w:pPr>
      <w:r>
        <w:rPr>
          <w:rFonts w:hint="eastAsia"/>
        </w:rPr>
        <w:t>1</w:t>
      </w:r>
      <w:r>
        <w:t xml:space="preserve">  </w:t>
      </w:r>
      <w:r>
        <w:rPr>
          <w:rFonts w:hint="eastAsia"/>
        </w:rPr>
        <w:t>地下管线探测应在现有地下管线资料调绘工作的基础上，采用实地调查与仪器探测相结合的方法，实地查明各种地下管线的敷设状况，绘制探测草图，并在地面上设置管线点标志；</w:t>
      </w:r>
    </w:p>
    <w:p>
      <w:pPr>
        <w:ind w:firstLine="480" w:firstLineChars="200"/>
      </w:pPr>
      <w:r>
        <w:rPr>
          <w:rFonts w:hint="eastAsia"/>
        </w:rPr>
        <w:t>2</w:t>
      </w:r>
      <w:r>
        <w:t xml:space="preserve">  </w:t>
      </w:r>
      <w:r>
        <w:rPr>
          <w:rFonts w:hint="eastAsia"/>
        </w:rPr>
        <w:t>地下管线探测点包括地下管线特征点和附属设施(附属物)中心点，可分为明显管线点和隐蔽管线点。明显管线点应进行实地调查和直接量测，隐蔽管线点可采用物探方法；</w:t>
      </w:r>
    </w:p>
    <w:p>
      <w:pPr>
        <w:ind w:firstLine="480" w:firstLineChars="200"/>
      </w:pPr>
      <w:r>
        <w:rPr>
          <w:rFonts w:hint="eastAsia"/>
        </w:rPr>
        <w:t>3</w:t>
      </w:r>
      <w:r>
        <w:t xml:space="preserve">  </w:t>
      </w:r>
      <w:r>
        <w:rPr>
          <w:rFonts w:hint="eastAsia"/>
        </w:rPr>
        <w:t>探测方法可选用电磁感应法、地质雷达法、弹性波法、井中磁梯度法、高密度电阻率法、轨迹探测法等；</w:t>
      </w:r>
    </w:p>
    <w:p>
      <w:pPr>
        <w:ind w:firstLine="480" w:firstLineChars="200"/>
      </w:pPr>
      <w:r>
        <w:rPr>
          <w:rFonts w:hint="eastAsia"/>
        </w:rPr>
        <w:t>4</w:t>
      </w:r>
      <w:r>
        <w:t xml:space="preserve">  </w:t>
      </w:r>
      <w:r>
        <w:rPr>
          <w:rFonts w:hint="eastAsia"/>
        </w:rPr>
        <w:t>地下管线探测点点位应设置在管线特征点或附属设施中心点上，在无特征点的直线段上也应设置地下管线探测点，其在地形图上的间距应不大于0.15m；</w:t>
      </w:r>
    </w:p>
    <w:p>
      <w:pPr>
        <w:ind w:firstLine="480" w:firstLineChars="200"/>
      </w:pPr>
      <w:r>
        <w:rPr>
          <w:rFonts w:hint="eastAsia"/>
        </w:rPr>
        <w:t>5</w:t>
      </w:r>
      <w:r>
        <w:t xml:space="preserve">  </w:t>
      </w:r>
      <w:r>
        <w:rPr>
          <w:rFonts w:hint="eastAsia"/>
        </w:rPr>
        <w:t>当地下管线弯曲时，应在圆弧起讫点和中点设置地下管线探测点。当圆弧较大时，设置的地下管线探测点应能反映地下管线的弯曲特征；</w:t>
      </w:r>
    </w:p>
    <w:p>
      <w:pPr>
        <w:ind w:firstLine="480" w:firstLineChars="200"/>
      </w:pPr>
      <w:r>
        <w:rPr>
          <w:rFonts w:hint="eastAsia"/>
        </w:rPr>
        <w:t>6</w:t>
      </w:r>
      <w:r>
        <w:t xml:space="preserve">  </w:t>
      </w:r>
      <w:r>
        <w:rPr>
          <w:rFonts w:hint="eastAsia"/>
        </w:rPr>
        <w:t>当采用现有的探测技术手段不能查明地下管线的空间位置时，宜进行开挖或钎探探查。现场条件不允许开挖或钎探时，应将问题记录。</w:t>
      </w:r>
    </w:p>
    <w:p>
      <w:r>
        <w:rPr>
          <w:b/>
        </w:rPr>
        <w:t>4.5.</w:t>
      </w:r>
      <w:r>
        <w:rPr>
          <w:rFonts w:hint="eastAsia"/>
          <w:b/>
        </w:rPr>
        <w:t>7</w:t>
      </w:r>
      <w:r>
        <w:rPr>
          <w:b/>
        </w:rPr>
        <w:t xml:space="preserve">  </w:t>
      </w:r>
      <w:r>
        <w:rPr>
          <w:rFonts w:hint="eastAsia"/>
        </w:rPr>
        <w:t>基岩埋深探测应符合下列规定：</w:t>
      </w:r>
    </w:p>
    <w:p>
      <w:pPr>
        <w:ind w:firstLine="480" w:firstLineChars="200"/>
      </w:pPr>
      <w:r>
        <w:rPr>
          <w:rFonts w:hint="eastAsia"/>
        </w:rPr>
        <w:t>1</w:t>
      </w:r>
      <w:r>
        <w:t xml:space="preserve">  </w:t>
      </w:r>
      <w:r>
        <w:rPr>
          <w:rFonts w:hint="eastAsia"/>
        </w:rPr>
        <w:t>探测基岩埋深，划分松散沉积岩层和基岩风化带，可选用电法、电磁法、地震波法和声波法等；</w:t>
      </w:r>
    </w:p>
    <w:p>
      <w:pPr>
        <w:ind w:firstLine="480" w:firstLineChars="200"/>
      </w:pPr>
      <w:r>
        <w:rPr>
          <w:rFonts w:hint="eastAsia"/>
        </w:rPr>
        <w:t>2</w:t>
      </w:r>
      <w:r>
        <w:t xml:space="preserve">  </w:t>
      </w:r>
      <w:r>
        <w:rPr>
          <w:rFonts w:hint="eastAsia"/>
        </w:rPr>
        <w:t>采用电磁法探测基岩埋深时，可采用频率测深、电磁感应法、地质雷达法等；</w:t>
      </w:r>
    </w:p>
    <w:p>
      <w:pPr>
        <w:ind w:firstLine="480" w:firstLineChars="200"/>
      </w:pPr>
      <w:r>
        <w:rPr>
          <w:rFonts w:hint="eastAsia"/>
        </w:rPr>
        <w:t>3</w:t>
      </w:r>
      <w:r>
        <w:t xml:space="preserve">  </w:t>
      </w:r>
      <w:r>
        <w:rPr>
          <w:rFonts w:hint="eastAsia"/>
        </w:rPr>
        <w:t>采用地震波和声波法探测基岩埋深时，可采用折射波法、反射波法、瑞雷波法、声波法等。</w:t>
      </w:r>
    </w:p>
    <w:p>
      <w:r>
        <w:rPr>
          <w:b/>
        </w:rPr>
        <w:t>4.5.</w:t>
      </w:r>
      <w:r>
        <w:rPr>
          <w:rFonts w:hint="eastAsia"/>
          <w:b/>
        </w:rPr>
        <w:t>8</w:t>
      </w:r>
      <w:r>
        <w:rPr>
          <w:b/>
        </w:rPr>
        <w:t xml:space="preserve"> </w:t>
      </w:r>
      <w:r>
        <w:rPr>
          <w:rFonts w:hint="eastAsia"/>
          <w:b/>
        </w:rPr>
        <w:t xml:space="preserve"> </w:t>
      </w:r>
      <w:r>
        <w:rPr>
          <w:rFonts w:hint="eastAsia"/>
        </w:rPr>
        <w:t>孤石探测应符合下列规定：</w:t>
      </w:r>
    </w:p>
    <w:p>
      <w:pPr>
        <w:ind w:firstLine="480" w:firstLineChars="200"/>
      </w:pPr>
      <w:r>
        <w:rPr>
          <w:rFonts w:hint="eastAsia"/>
        </w:rPr>
        <w:t>1对于孤石性质与周边介质相差明显的情况，可以通过弹性波速度特征推断孤石的位置和大小。</w:t>
      </w:r>
    </w:p>
    <w:p>
      <w:pPr>
        <w:ind w:firstLine="480" w:firstLineChars="200"/>
      </w:pPr>
      <w:r>
        <w:rPr>
          <w:rFonts w:hint="eastAsia"/>
        </w:rPr>
        <w:t>2孤石与周边介质密度相差较大、粒径较大时，可通过重力探测判定。</w:t>
      </w:r>
    </w:p>
    <w:p>
      <w:pPr>
        <w:ind w:firstLine="480" w:firstLineChars="200"/>
      </w:pPr>
      <w:r>
        <w:rPr>
          <w:rFonts w:hint="eastAsia"/>
        </w:rPr>
        <w:t>3当孤石的电阻率与周边介质相差较大时，可采用电法探测。通常选择电阻率成像法和电阻率法。</w:t>
      </w:r>
    </w:p>
    <w:p>
      <w:pPr>
        <w:ind w:firstLine="480" w:firstLineChars="200"/>
      </w:pPr>
      <w:r>
        <w:rPr>
          <w:rFonts w:hint="eastAsia"/>
        </w:rPr>
        <w:t>4当孤石的电阻率与周边介质相差较大时，可采用电磁法探测。通常选择甚低频法和探地雷达法。</w:t>
      </w:r>
    </w:p>
    <w:p>
      <w:pPr>
        <w:ind w:firstLine="480" w:firstLineChars="200"/>
      </w:pPr>
      <w:r>
        <w:rPr>
          <w:rFonts w:hint="eastAsia"/>
        </w:rPr>
        <w:t>5当孤石的电阻率与周边介质相差较大时，可采用地震波法和声波法探测。</w:t>
      </w:r>
    </w:p>
    <w:p>
      <w:pPr>
        <w:rPr>
          <w:rFonts w:eastAsia="仿宋"/>
        </w:rPr>
      </w:pPr>
      <w:r>
        <w:rPr>
          <w:rFonts w:eastAsia="仿宋"/>
          <w:b/>
          <w:bCs/>
        </w:rPr>
        <w:t>【条文说明】：4.5.8</w:t>
      </w:r>
      <w:r>
        <w:rPr>
          <w:rFonts w:eastAsia="仿宋"/>
        </w:rPr>
        <w:t xml:space="preserve">  孤石探测应符合下列规定：</w:t>
      </w:r>
    </w:p>
    <w:p>
      <w:pPr>
        <w:ind w:firstLine="480" w:firstLineChars="200"/>
        <w:rPr>
          <w:rFonts w:eastAsia="仿宋"/>
        </w:rPr>
      </w:pPr>
      <w:r>
        <w:rPr>
          <w:rFonts w:eastAsia="仿宋"/>
        </w:rPr>
        <w:t>1  浅层地震反射波法适于水下孤石探测；</w:t>
      </w:r>
    </w:p>
    <w:p>
      <w:pPr>
        <w:ind w:firstLine="480" w:firstLineChars="200"/>
        <w:rPr>
          <w:rFonts w:eastAsia="仿宋"/>
        </w:rPr>
      </w:pPr>
      <w:r>
        <w:rPr>
          <w:rFonts w:eastAsia="仿宋"/>
        </w:rPr>
        <w:t>2  瑞雷波法可解决浅层孤石探测问题，但使用时应注意排除周边噪音影响；</w:t>
      </w:r>
    </w:p>
    <w:p>
      <w:pPr>
        <w:ind w:firstLine="480" w:firstLineChars="200"/>
      </w:pPr>
      <w:r>
        <w:rPr>
          <w:rFonts w:eastAsia="仿宋"/>
        </w:rPr>
        <w:t>3  对于需要采用精确探测的工程，可采用地震波CT法，但孔距不宜过大。</w:t>
      </w:r>
    </w:p>
    <w:p>
      <w:pPr>
        <w:rPr>
          <w:rFonts w:ascii="华文仿宋" w:hAnsi="华文仿宋" w:eastAsia="华文仿宋"/>
        </w:rPr>
      </w:pPr>
    </w:p>
    <w:p>
      <w:pPr>
        <w:sectPr>
          <w:pgSz w:w="11906" w:h="16838"/>
          <w:pgMar w:top="1440" w:right="1800" w:bottom="1440" w:left="1800" w:header="851" w:footer="992" w:gutter="0"/>
          <w:cols w:space="425" w:num="1"/>
          <w:docGrid w:type="lines" w:linePitch="312" w:charSpace="0"/>
        </w:sectPr>
      </w:pPr>
    </w:p>
    <w:p>
      <w:pPr>
        <w:pStyle w:val="2"/>
        <w:rPr>
          <w:rFonts w:eastAsiaTheme="minorEastAsia"/>
        </w:rPr>
      </w:pPr>
      <w:bookmarkStart w:id="52" w:name="_Toc19814"/>
      <w:r>
        <w:fldChar w:fldCharType="begin"/>
      </w:r>
      <w:r>
        <w:instrText xml:space="preserve"> HYPERLINK \l "_Toc31145" </w:instrText>
      </w:r>
      <w:r>
        <w:fldChar w:fldCharType="separate"/>
      </w:r>
      <w:bookmarkStart w:id="53" w:name="_Toc18057032"/>
      <w:r>
        <w:rPr>
          <w:rFonts w:hint="eastAsia" w:eastAsiaTheme="minorEastAsia"/>
        </w:rPr>
        <w:t>5</w:t>
      </w:r>
      <w:r>
        <w:rPr>
          <w:rFonts w:eastAsiaTheme="minorEastAsia"/>
        </w:rPr>
        <w:t xml:space="preserve">  </w:t>
      </w:r>
      <w:r>
        <w:rPr>
          <w:rFonts w:hint="eastAsia" w:eastAsiaTheme="minorEastAsia"/>
        </w:rPr>
        <w:t>顶管设</w:t>
      </w:r>
      <w:r>
        <w:rPr>
          <w:rFonts w:eastAsiaTheme="minorEastAsia"/>
        </w:rPr>
        <w:t>计</w:t>
      </w:r>
      <w:bookmarkEnd w:id="53"/>
      <w:r>
        <w:rPr>
          <w:rFonts w:eastAsiaTheme="minorEastAsia"/>
        </w:rPr>
        <w:fldChar w:fldCharType="end"/>
      </w:r>
      <w:bookmarkEnd w:id="52"/>
    </w:p>
    <w:p>
      <w:pPr>
        <w:pStyle w:val="3"/>
      </w:pPr>
      <w:bookmarkStart w:id="54" w:name="_Toc18057033"/>
      <w:bookmarkStart w:id="55" w:name="_Toc20621"/>
      <w:r>
        <w:t>5.1  一般规定</w:t>
      </w:r>
      <w:bookmarkEnd w:id="54"/>
      <w:bookmarkEnd w:id="55"/>
      <w:r>
        <w:t xml:space="preserve"> </w:t>
      </w:r>
    </w:p>
    <w:p>
      <w:pPr>
        <w:rPr>
          <w:b/>
        </w:rPr>
      </w:pPr>
      <w:r>
        <w:rPr>
          <w:rFonts w:hint="eastAsia"/>
          <w:b/>
        </w:rPr>
        <w:t>5.1.1</w:t>
      </w:r>
      <w:r>
        <w:rPr>
          <w:b/>
        </w:rPr>
        <w:t xml:space="preserve">  </w:t>
      </w:r>
      <w:r>
        <w:rPr>
          <w:rFonts w:hint="eastAsia"/>
        </w:rPr>
        <w:t>顶管设计应包括下列内容：</w:t>
      </w:r>
    </w:p>
    <w:p>
      <w:pPr>
        <w:ind w:left="480" w:leftChars="200"/>
      </w:pPr>
      <w:r>
        <w:rPr>
          <w:rFonts w:hint="eastAsia"/>
        </w:rPr>
        <w:t>1</w:t>
      </w:r>
      <w:r>
        <w:t xml:space="preserve">  </w:t>
      </w:r>
      <w:r>
        <w:rPr>
          <w:rFonts w:hint="eastAsia"/>
        </w:rPr>
        <w:t>顶管管位设计；</w:t>
      </w:r>
    </w:p>
    <w:p>
      <w:pPr>
        <w:ind w:left="480" w:leftChars="200"/>
      </w:pPr>
      <w:r>
        <w:rPr>
          <w:rFonts w:hint="eastAsia"/>
        </w:rPr>
        <w:t>2</w:t>
      </w:r>
      <w:r>
        <w:t xml:space="preserve">  </w:t>
      </w:r>
      <w:r>
        <w:rPr>
          <w:rFonts w:hint="eastAsia"/>
        </w:rPr>
        <w:t>荷载与作用；</w:t>
      </w:r>
    </w:p>
    <w:p>
      <w:pPr>
        <w:ind w:firstLine="480" w:firstLineChars="200"/>
      </w:pPr>
      <w:r>
        <w:rPr>
          <w:rFonts w:hint="eastAsia"/>
        </w:rPr>
        <w:t>3</w:t>
      </w:r>
      <w:r>
        <w:t xml:space="preserve">  </w:t>
      </w:r>
      <w:r>
        <w:rPr>
          <w:rFonts w:hint="eastAsia"/>
        </w:rPr>
        <w:t>管节结构设计；</w:t>
      </w:r>
    </w:p>
    <w:p>
      <w:pPr>
        <w:ind w:left="480" w:leftChars="200"/>
      </w:pPr>
      <w:r>
        <w:t xml:space="preserve">4  </w:t>
      </w:r>
      <w:r>
        <w:rPr>
          <w:rFonts w:hint="eastAsia"/>
        </w:rPr>
        <w:t>管节构造设计；</w:t>
      </w:r>
    </w:p>
    <w:p>
      <w:pPr>
        <w:ind w:left="480" w:leftChars="200"/>
      </w:pPr>
      <w:r>
        <w:t xml:space="preserve">5  </w:t>
      </w:r>
      <w:r>
        <w:rPr>
          <w:rFonts w:hint="eastAsia"/>
        </w:rPr>
        <w:t>中继间设计；</w:t>
      </w:r>
    </w:p>
    <w:p>
      <w:pPr>
        <w:ind w:left="480" w:leftChars="200"/>
      </w:pPr>
      <w:r>
        <w:rPr>
          <w:rFonts w:hint="eastAsia"/>
        </w:rPr>
        <w:t>6</w:t>
      </w:r>
      <w:r>
        <w:t xml:space="preserve">  </w:t>
      </w:r>
      <w:r>
        <w:rPr>
          <w:rFonts w:hint="eastAsia"/>
        </w:rPr>
        <w:t>顶管总顶力计算；</w:t>
      </w:r>
    </w:p>
    <w:p>
      <w:pPr>
        <w:ind w:left="480" w:leftChars="200"/>
      </w:pPr>
      <w:r>
        <w:rPr>
          <w:rFonts w:hint="eastAsia"/>
        </w:rPr>
        <w:t>7</w:t>
      </w:r>
      <w:r>
        <w:t xml:space="preserve">  </w:t>
      </w:r>
      <w:r>
        <w:rPr>
          <w:rFonts w:hint="eastAsia"/>
        </w:rPr>
        <w:t>工作井设计；</w:t>
      </w:r>
    </w:p>
    <w:p>
      <w:pPr>
        <w:ind w:left="480" w:leftChars="200"/>
        <w:rPr>
          <w:b/>
        </w:rPr>
      </w:pPr>
      <w:r>
        <w:rPr>
          <w:rFonts w:hint="eastAsia"/>
        </w:rPr>
        <w:t>8</w:t>
      </w:r>
      <w:r>
        <w:t xml:space="preserve">  </w:t>
      </w:r>
      <w:r>
        <w:rPr>
          <w:rFonts w:hint="eastAsia"/>
        </w:rPr>
        <w:t>反力墙及洞口设计。</w:t>
      </w:r>
    </w:p>
    <w:p>
      <w:pPr>
        <w:rPr>
          <w:b/>
        </w:rPr>
      </w:pPr>
      <w:r>
        <w:rPr>
          <w:rFonts w:hint="eastAsia"/>
          <w:b/>
        </w:rPr>
        <w:t>5.1.2</w:t>
      </w:r>
      <w:r>
        <w:rPr>
          <w:b/>
        </w:rPr>
        <w:t xml:space="preserve">  </w:t>
      </w:r>
      <w:r>
        <w:t>本</w:t>
      </w:r>
      <w:r>
        <w:rPr>
          <w:rFonts w:hint="eastAsia"/>
        </w:rPr>
        <w:t>规程</w:t>
      </w:r>
      <w:r>
        <w:t>采用以概率理论为基础的极限状态设计方法，以可靠指标度量结构构件的可靠度，采用分项系数的设计表达式进行设计。</w:t>
      </w:r>
    </w:p>
    <w:p>
      <w:r>
        <w:rPr>
          <w:rFonts w:hint="eastAsia"/>
          <w:b/>
        </w:rPr>
        <w:t>5.1.3</w:t>
      </w:r>
      <w:r>
        <w:rPr>
          <w:b/>
        </w:rPr>
        <w:t xml:space="preserve">  </w:t>
      </w:r>
      <w:r>
        <w:rPr>
          <w:rFonts w:hint="eastAsia"/>
        </w:rPr>
        <w:t>管道结构的极限状态设计应包括：</w:t>
      </w:r>
    </w:p>
    <w:p>
      <w:pPr>
        <w:ind w:firstLine="480" w:firstLineChars="200"/>
      </w:pPr>
      <w:r>
        <w:rPr>
          <w:rFonts w:hint="eastAsia"/>
        </w:rPr>
        <w:t>1</w:t>
      </w:r>
      <w:r>
        <w:t xml:space="preserve">  承载能力极限状态：对应于管道结构达到最大承载能力，管体或连接构件因材料强度被超过而破坏；管道结构因过</w:t>
      </w:r>
      <w:r>
        <w:rPr>
          <w:rFonts w:hint="eastAsia"/>
        </w:rPr>
        <w:t>量变</w:t>
      </w:r>
      <w:r>
        <w:t>形而不能继续承载或丧失稳定(如横截面压屈等)；管道结构作为刚体失去平衡(横向滑移、上浮等)</w:t>
      </w:r>
      <w:r>
        <w:rPr>
          <w:rFonts w:hint="eastAsia"/>
        </w:rPr>
        <w:t>；</w:t>
      </w:r>
    </w:p>
    <w:p>
      <w:pPr>
        <w:ind w:firstLine="480" w:firstLineChars="200"/>
      </w:pPr>
      <w:r>
        <w:rPr>
          <w:rFonts w:hint="eastAsia"/>
        </w:rPr>
        <w:t>2</w:t>
      </w:r>
      <w:r>
        <w:t xml:space="preserve">  正常使用极限状态</w:t>
      </w:r>
      <w:r>
        <w:rPr>
          <w:rFonts w:hint="eastAsia"/>
        </w:rPr>
        <w:t>：对应于管道结构</w:t>
      </w:r>
      <w:r>
        <w:t>达到正常使用的某项规定限值或耐久性能的某种规定状态</w:t>
      </w:r>
      <w:r>
        <w:rPr>
          <w:rFonts w:hint="eastAsia"/>
        </w:rPr>
        <w:t>，如变形量</w:t>
      </w:r>
      <w:r>
        <w:t>限值</w:t>
      </w:r>
      <w:r>
        <w:rPr>
          <w:rFonts w:hint="eastAsia"/>
        </w:rPr>
        <w:t>或控制开裂的裂缝宽度</w:t>
      </w:r>
      <w:r>
        <w:t>限值</w:t>
      </w:r>
      <w:r>
        <w:rPr>
          <w:rFonts w:hint="eastAsia"/>
        </w:rPr>
        <w:t>等</w:t>
      </w:r>
      <w:r>
        <w:t>。</w:t>
      </w:r>
    </w:p>
    <w:p>
      <w:r>
        <w:rPr>
          <w:rFonts w:hint="eastAsia"/>
          <w:b/>
        </w:rPr>
        <w:t>5.1.4</w:t>
      </w:r>
      <w:r>
        <w:rPr>
          <w:b/>
        </w:rPr>
        <w:t xml:space="preserve">  </w:t>
      </w:r>
      <w:r>
        <w:rPr>
          <w:rFonts w:hint="eastAsia"/>
        </w:rPr>
        <w:t>管道结构的安全等级和设计使用年限应符合现行</w:t>
      </w:r>
      <w:bookmarkStart w:id="56" w:name="_Hlk17379023"/>
      <w:r>
        <w:rPr>
          <w:rFonts w:hint="eastAsia"/>
        </w:rPr>
        <w:t>国家标准《工程结构可靠性设计统一标准》GB</w:t>
      </w:r>
      <w:r>
        <w:t xml:space="preserve"> </w:t>
      </w:r>
      <w:r>
        <w:rPr>
          <w:rFonts w:hint="eastAsia"/>
        </w:rPr>
        <w:t>50153</w:t>
      </w:r>
      <w:bookmarkEnd w:id="56"/>
      <w:r>
        <w:rPr>
          <w:rFonts w:hint="eastAsia"/>
        </w:rPr>
        <w:t>的规定。</w:t>
      </w:r>
    </w:p>
    <w:p>
      <w:r>
        <w:rPr>
          <w:rFonts w:hint="eastAsia"/>
          <w:b/>
        </w:rPr>
        <w:t>5.1.5</w:t>
      </w:r>
      <w:r>
        <w:rPr>
          <w:b/>
        </w:rPr>
        <w:t xml:space="preserve">  </w:t>
      </w:r>
      <w:r>
        <w:rPr>
          <w:rFonts w:hint="eastAsia"/>
        </w:rPr>
        <w:t>按照本规程设计时，有关构件截面计算和地基基础设计等，尚应满足现行国家标准的规定。对于建造在地震区、湿陷性黄土或膨胀土等地区的矩形顶管结构设计，尚应符合我国现行相关标准的规定。</w:t>
      </w:r>
    </w:p>
    <w:p/>
    <w:p>
      <w:pPr>
        <w:pStyle w:val="3"/>
        <w:rPr>
          <w:rFonts w:ascii="宋体" w:hAnsi="宋体"/>
        </w:rPr>
      </w:pPr>
      <w:bookmarkStart w:id="57" w:name="_Toc18057034"/>
      <w:bookmarkStart w:id="58" w:name="_Toc16751"/>
      <w:r>
        <w:t xml:space="preserve">5.2  </w:t>
      </w:r>
      <w:r>
        <w:rPr>
          <w:rFonts w:hint="eastAsia"/>
        </w:rPr>
        <w:t>顶管管位设</w:t>
      </w:r>
      <w:r>
        <w:t>计</w:t>
      </w:r>
      <w:bookmarkEnd w:id="57"/>
      <w:bookmarkEnd w:id="58"/>
    </w:p>
    <w:p>
      <w:r>
        <w:rPr>
          <w:b/>
        </w:rPr>
        <w:t xml:space="preserve">5.2.1  </w:t>
      </w:r>
      <w:r>
        <w:t>顶管方案确定前，应查明顶管沿线建(构)筑物、地下管线和地下障碍物等情况对采用顶管引起的地表变形和周围环境的影响，应事先做出充分的预测。当预计难以确保地面建(构)筑物、道路交通和地下管线的正常使用时，应制定有效的监测和保护措施。</w:t>
      </w:r>
    </w:p>
    <w:p>
      <w:r>
        <w:rPr>
          <w:b/>
        </w:rPr>
        <w:t xml:space="preserve">5.2.2  </w:t>
      </w:r>
      <w:r>
        <w:t>顶管场地的选择应符合下列规定</w:t>
      </w:r>
      <w:r>
        <w:rPr>
          <w:rFonts w:hint="eastAsia"/>
        </w:rPr>
        <w:t>：</w:t>
      </w:r>
    </w:p>
    <w:p>
      <w:pPr>
        <w:pStyle w:val="80"/>
        <w:ind w:left="420" w:firstLine="0" w:firstLineChars="0"/>
        <w:rPr>
          <w:szCs w:val="21"/>
        </w:rPr>
      </w:pPr>
      <w:r>
        <w:rPr>
          <w:rFonts w:hint="eastAsia"/>
          <w:szCs w:val="21"/>
        </w:rPr>
        <w:t>1</w:t>
      </w:r>
      <w:r>
        <w:rPr>
          <w:szCs w:val="21"/>
        </w:rPr>
        <w:t xml:space="preserve">  </w:t>
      </w:r>
      <w:r>
        <w:rPr>
          <w:rFonts w:hint="eastAsia"/>
          <w:szCs w:val="21"/>
        </w:rPr>
        <w:t>顶管布置应避开地下障碍物、离开地上及地下建(构)筑物</w:t>
      </w:r>
      <w:r>
        <w:rPr>
          <w:szCs w:val="21"/>
        </w:rPr>
        <w:t>；</w:t>
      </w:r>
    </w:p>
    <w:p>
      <w:pPr>
        <w:pStyle w:val="80"/>
        <w:ind w:left="420" w:firstLine="0" w:firstLineChars="0"/>
        <w:rPr>
          <w:szCs w:val="21"/>
        </w:rPr>
      </w:pPr>
      <w:r>
        <w:rPr>
          <w:szCs w:val="21"/>
        </w:rPr>
        <w:t xml:space="preserve">2  </w:t>
      </w:r>
      <w:r>
        <w:rPr>
          <w:rFonts w:hint="eastAsia"/>
          <w:szCs w:val="21"/>
        </w:rPr>
        <w:t>顶管不应布置在横穿活动性的断裂带上</w:t>
      </w:r>
      <w:r>
        <w:rPr>
          <w:szCs w:val="21"/>
        </w:rPr>
        <w:t>；</w:t>
      </w:r>
    </w:p>
    <w:p>
      <w:pPr>
        <w:pStyle w:val="80"/>
        <w:ind w:left="420" w:firstLine="0" w:firstLineChars="0"/>
        <w:rPr>
          <w:szCs w:val="21"/>
        </w:rPr>
      </w:pPr>
      <w:r>
        <w:rPr>
          <w:rFonts w:hint="eastAsia"/>
          <w:szCs w:val="21"/>
        </w:rPr>
        <w:t>3</w:t>
      </w:r>
      <w:r>
        <w:rPr>
          <w:szCs w:val="21"/>
        </w:rPr>
        <w:t xml:space="preserve">  </w:t>
      </w:r>
      <w:r>
        <w:rPr>
          <w:rFonts w:hint="eastAsia"/>
          <w:szCs w:val="21"/>
        </w:rPr>
        <w:t>顶管穿越河道时，管道应布置在河床冲刷深度以下；</w:t>
      </w:r>
    </w:p>
    <w:p>
      <w:pPr>
        <w:pStyle w:val="80"/>
        <w:ind w:left="420" w:firstLine="0" w:firstLineChars="0"/>
        <w:rPr>
          <w:szCs w:val="21"/>
        </w:rPr>
      </w:pPr>
      <w:r>
        <w:rPr>
          <w:rFonts w:hint="eastAsia"/>
          <w:szCs w:val="21"/>
        </w:rPr>
        <w:t>4</w:t>
      </w:r>
      <w:r>
        <w:rPr>
          <w:szCs w:val="21"/>
        </w:rPr>
        <w:t xml:space="preserve">  管线位置宜预留顶管施工发生故障或碰到障碍时必要的处置空间</w:t>
      </w:r>
      <w:r>
        <w:rPr>
          <w:rFonts w:hint="eastAsia"/>
          <w:szCs w:val="21"/>
        </w:rPr>
        <w:t>；</w:t>
      </w:r>
    </w:p>
    <w:p>
      <w:pPr>
        <w:pStyle w:val="80"/>
        <w:ind w:left="420" w:firstLine="0" w:firstLineChars="0"/>
        <w:rPr>
          <w:szCs w:val="21"/>
        </w:rPr>
      </w:pPr>
      <w:r>
        <w:rPr>
          <w:rFonts w:hint="eastAsia"/>
          <w:szCs w:val="21"/>
        </w:rPr>
        <w:t>5</w:t>
      </w:r>
      <w:r>
        <w:rPr>
          <w:szCs w:val="21"/>
        </w:rPr>
        <w:t xml:space="preserve">  </w:t>
      </w:r>
      <w:r>
        <w:rPr>
          <w:rFonts w:hint="eastAsia"/>
          <w:szCs w:val="21"/>
        </w:rPr>
        <w:t>穿越特殊地段，如大堤等，应通过专家论证并经相关政府管理部门批准。</w:t>
      </w:r>
    </w:p>
    <w:p>
      <w:r>
        <w:rPr>
          <w:b/>
        </w:rPr>
        <w:t xml:space="preserve">5.2.3  </w:t>
      </w:r>
      <w:r>
        <w:t>顶管在下列地层不宜采用</w:t>
      </w:r>
      <w:r>
        <w:rPr>
          <w:rFonts w:hint="eastAsia"/>
        </w:rPr>
        <w:t>：</w:t>
      </w:r>
    </w:p>
    <w:p>
      <w:pPr>
        <w:ind w:left="480" w:leftChars="200"/>
      </w:pPr>
      <w:r>
        <w:rPr>
          <w:rFonts w:hint="eastAsia"/>
        </w:rPr>
        <w:t>1</w:t>
      </w:r>
      <w:r>
        <w:t xml:space="preserve">  标贯击数小于2的软土层；</w:t>
      </w:r>
    </w:p>
    <w:p>
      <w:pPr>
        <w:ind w:left="480" w:leftChars="200"/>
      </w:pPr>
      <w:r>
        <w:rPr>
          <w:rFonts w:hint="eastAsia"/>
        </w:rPr>
        <w:t>2</w:t>
      </w:r>
      <w:r>
        <w:t xml:space="preserve">  </w:t>
      </w:r>
      <w:r>
        <w:rPr>
          <w:rFonts w:hint="eastAsia"/>
        </w:rPr>
        <w:t>单轴抗压强度大于5MPa的岩石地层；</w:t>
      </w:r>
    </w:p>
    <w:p>
      <w:pPr>
        <w:ind w:left="480" w:leftChars="200"/>
      </w:pPr>
      <w:r>
        <w:rPr>
          <w:rFonts w:hint="eastAsia"/>
        </w:rPr>
        <w:t>3</w:t>
      </w:r>
      <w:r>
        <w:t xml:space="preserve">  花岗岩球状风化强烈的土层；</w:t>
      </w:r>
    </w:p>
    <w:p>
      <w:pPr>
        <w:ind w:left="480" w:leftChars="200"/>
      </w:pPr>
      <w:r>
        <w:rPr>
          <w:rFonts w:hint="eastAsia"/>
        </w:rPr>
        <w:t>4</w:t>
      </w:r>
      <w:r>
        <w:t xml:space="preserve">  地下水位下列粒径大于</w:t>
      </w:r>
      <w:r>
        <w:rPr>
          <w:rFonts w:hint="eastAsia"/>
        </w:rPr>
        <w:t>200</w:t>
      </w:r>
      <w:r>
        <w:t>mm的卵砾石地层。</w:t>
      </w:r>
    </w:p>
    <w:p>
      <w:pPr>
        <w:rPr>
          <w:rFonts w:eastAsia="仿宋"/>
        </w:rPr>
      </w:pPr>
      <w:r>
        <w:rPr>
          <w:rFonts w:eastAsia="仿宋"/>
          <w:b/>
          <w:bCs/>
        </w:rPr>
        <w:t>【条文说明】：5.2.3</w:t>
      </w:r>
      <w:r>
        <w:rPr>
          <w:rFonts w:eastAsia="仿宋"/>
        </w:rPr>
        <w:t xml:space="preserve">  顶管管位无法选择时，对标贯击数小于2的软土层可采取加固措施。</w:t>
      </w:r>
    </w:p>
    <w:p>
      <w:r>
        <w:rPr>
          <w:rFonts w:hint="eastAsia"/>
          <w:b/>
        </w:rPr>
        <w:t>5.2.4</w:t>
      </w:r>
      <w:r>
        <w:rPr>
          <w:b/>
        </w:rPr>
        <w:t xml:space="preserve">  </w:t>
      </w:r>
      <w:r>
        <w:t>管顶最小覆盖土层厚度</w:t>
      </w:r>
      <w:r>
        <w:rPr>
          <w:rFonts w:hint="eastAsia"/>
        </w:rPr>
        <w:t>不宜小于</w:t>
      </w:r>
      <w:r>
        <w:t>1.1H</w:t>
      </w:r>
      <w:r>
        <w:rPr>
          <w:rFonts w:hint="eastAsia"/>
        </w:rPr>
        <w:t>（</w:t>
      </w:r>
      <w:r>
        <w:t>H</w:t>
      </w:r>
      <w:r>
        <w:rPr>
          <w:rFonts w:hint="eastAsia"/>
        </w:rPr>
        <w:t>为管节外包高度较大值），</w:t>
      </w:r>
      <w:r>
        <w:t>且不</w:t>
      </w:r>
      <w:r>
        <w:rPr>
          <w:rFonts w:hint="eastAsia"/>
        </w:rPr>
        <w:t>宜</w:t>
      </w:r>
      <w:r>
        <w:t>小于3m；当管道穿越河道时，覆土厚度</w:t>
      </w:r>
      <w:r>
        <w:rPr>
          <w:rFonts w:hint="eastAsia"/>
        </w:rPr>
        <w:t>（不计浮泥层厚度）</w:t>
      </w:r>
      <w:r>
        <w:t>应</w:t>
      </w:r>
      <w:r>
        <w:rPr>
          <w:rFonts w:hint="eastAsia"/>
        </w:rPr>
        <w:t>满足</w:t>
      </w:r>
      <w:r>
        <w:t>管道施工期间抗浮的要求。</w:t>
      </w:r>
    </w:p>
    <w:p>
      <w:r>
        <w:rPr>
          <w:b/>
        </w:rPr>
        <w:t xml:space="preserve">5.2.5  </w:t>
      </w:r>
      <w:r>
        <w:t>顶管管道与既有管道、周边建(构)筑物基础</w:t>
      </w:r>
      <w:r>
        <w:rPr>
          <w:rFonts w:hint="eastAsia"/>
        </w:rPr>
        <w:t>等临近时应进行评估并采取措施。</w:t>
      </w:r>
    </w:p>
    <w:p/>
    <w:p>
      <w:pPr>
        <w:pStyle w:val="3"/>
      </w:pPr>
      <w:bookmarkStart w:id="59" w:name="_Toc18057035"/>
      <w:bookmarkStart w:id="60" w:name="_Toc12468"/>
      <w:r>
        <w:t xml:space="preserve">5.3  </w:t>
      </w:r>
      <w:r>
        <w:rPr>
          <w:rFonts w:hint="eastAsia"/>
        </w:rPr>
        <w:t>荷载与作用</w:t>
      </w:r>
      <w:bookmarkEnd w:id="59"/>
      <w:bookmarkEnd w:id="60"/>
    </w:p>
    <w:p>
      <w:r>
        <w:rPr>
          <w:b/>
        </w:rPr>
        <w:t xml:space="preserve">5.3.1  </w:t>
      </w:r>
      <w:r>
        <w:rPr>
          <w:rFonts w:hint="eastAsia"/>
        </w:rPr>
        <w:t>顶管结构上的荷载，按其性质可分为永久荷载、可变荷载、偶然荷载及地震荷载:</w:t>
      </w:r>
    </w:p>
    <w:p>
      <w:pPr>
        <w:ind w:firstLine="480" w:firstLineChars="200"/>
      </w:pPr>
      <w:r>
        <w:rPr>
          <w:rFonts w:hint="eastAsia"/>
        </w:rPr>
        <w:t>1</w:t>
      </w:r>
      <w:r>
        <w:t xml:space="preserve">  </w:t>
      </w:r>
      <w:r>
        <w:rPr>
          <w:rFonts w:hint="eastAsia"/>
        </w:rPr>
        <w:t>永久荷载：包括结构自重、土压力（竖向和侧向）、预应力、地基的不均匀沉降</w:t>
      </w:r>
      <w:r>
        <w:t>；</w:t>
      </w:r>
    </w:p>
    <w:p>
      <w:pPr>
        <w:ind w:firstLine="480" w:firstLineChars="200"/>
      </w:pPr>
      <w:r>
        <w:t xml:space="preserve">2  </w:t>
      </w:r>
      <w:r>
        <w:rPr>
          <w:rFonts w:hint="eastAsia"/>
        </w:rPr>
        <w:t>可变荷载</w:t>
      </w:r>
      <w:r>
        <w:t>：包括地面人群荷载、地面堆积荷载、地面车辆荷载、温度变化、地表水或地下水的作用；</w:t>
      </w:r>
    </w:p>
    <w:p>
      <w:pPr>
        <w:ind w:firstLine="480" w:firstLineChars="200"/>
      </w:pPr>
      <w:r>
        <w:t xml:space="preserve">3  </w:t>
      </w:r>
      <w:r>
        <w:rPr>
          <w:rFonts w:hint="eastAsia"/>
        </w:rPr>
        <w:t>偶然荷载：包括爆炸力、撞击力等；</w:t>
      </w:r>
    </w:p>
    <w:p>
      <w:pPr>
        <w:ind w:firstLine="480" w:firstLineChars="200"/>
      </w:pPr>
      <w:r>
        <w:t xml:space="preserve">4  </w:t>
      </w:r>
      <w:r>
        <w:rPr>
          <w:rFonts w:hint="eastAsia"/>
        </w:rPr>
        <w:t>地震荷载：按</w:t>
      </w:r>
      <w:bookmarkStart w:id="61" w:name="_Hlk17379038"/>
      <w:r>
        <w:rPr>
          <w:rFonts w:hint="eastAsia"/>
        </w:rPr>
        <w:t>《地下结构抗震设计标准》GB/T</w:t>
      </w:r>
      <w:r>
        <w:t xml:space="preserve"> </w:t>
      </w:r>
      <w:r>
        <w:rPr>
          <w:rFonts w:hint="eastAsia"/>
        </w:rPr>
        <w:t>51336</w:t>
      </w:r>
      <w:bookmarkEnd w:id="61"/>
      <w:r>
        <w:rPr>
          <w:rFonts w:hint="eastAsia"/>
        </w:rPr>
        <w:t>规定采用。</w:t>
      </w:r>
    </w:p>
    <w:p>
      <w:r>
        <w:rPr>
          <w:rFonts w:hint="eastAsia"/>
          <w:b/>
        </w:rPr>
        <w:t>5.3.2</w:t>
      </w:r>
      <w:r>
        <w:rPr>
          <w:b/>
        </w:rPr>
        <w:t xml:space="preserve">  </w:t>
      </w:r>
      <w:r>
        <w:t>建筑结构设计时，应</w:t>
      </w:r>
      <w:r>
        <w:rPr>
          <w:rFonts w:hint="eastAsia"/>
        </w:rPr>
        <w:t>按</w:t>
      </w:r>
      <w:r>
        <w:t>下列规定对不同荷载采用不同的代表值</w:t>
      </w:r>
      <w:r>
        <w:rPr>
          <w:rFonts w:hint="eastAsia"/>
        </w:rPr>
        <w:t>：</w:t>
      </w:r>
    </w:p>
    <w:p>
      <w:pPr>
        <w:ind w:firstLine="480" w:firstLineChars="200"/>
      </w:pPr>
      <w:r>
        <w:rPr>
          <w:rFonts w:hint="eastAsia"/>
        </w:rPr>
        <w:t>1</w:t>
      </w:r>
      <w:r>
        <w:t xml:space="preserve">  对永久荷载应采用标准值作为代表值；</w:t>
      </w:r>
    </w:p>
    <w:p>
      <w:pPr>
        <w:ind w:firstLine="480" w:firstLineChars="200"/>
      </w:pPr>
      <w:r>
        <w:t>2  对可变荷载应根据设计要求采用标准值、组合值、频遇值或准永久值作为代表值；</w:t>
      </w:r>
    </w:p>
    <w:p>
      <w:pPr>
        <w:ind w:firstLine="480" w:firstLineChars="200"/>
      </w:pPr>
      <w:r>
        <w:t>3  对偶然荷载应按建筑结构使用的特点确定其代表值。</w:t>
      </w:r>
    </w:p>
    <w:p>
      <w:r>
        <w:rPr>
          <w:b/>
        </w:rPr>
        <w:t xml:space="preserve">5.3.3  </w:t>
      </w:r>
      <w:r>
        <w:t>确定可变荷载代表值时应采用50年设计基准期。</w:t>
      </w:r>
    </w:p>
    <w:p>
      <w:r>
        <w:rPr>
          <w:b/>
        </w:rPr>
        <w:t xml:space="preserve">5.3.4  </w:t>
      </w:r>
      <w:r>
        <w:t>承载能力极限状态设计或正常使用极限状态按标准组合设计时，对可变荷载应按规定的荷载组合采用荷载的组合值或标准值作为其荷载代表值。可变荷载的组合值，应为可变荷载的标准值乘以荷载组合值系数。</w:t>
      </w:r>
    </w:p>
    <w:p>
      <w:r>
        <w:rPr>
          <w:b/>
        </w:rPr>
        <w:t xml:space="preserve">5.3.5  </w:t>
      </w:r>
      <w:r>
        <w:t>正常使用极限状态按频遇组合设计时，应采用可变荷载的频遇值或准永久值作为其荷载代表值</w:t>
      </w:r>
      <w:r>
        <w:rPr>
          <w:rFonts w:hint="eastAsia"/>
        </w:rPr>
        <w:t>；</w:t>
      </w:r>
      <w:r>
        <w:t>按准永久组合设计时，应采用可变荷载的准永久值作为其荷载代表值。可变荷载的频遇值，应为可变荷载标准值乘以频遇值系数。可变荷载准永久值，应为可变荷载标准值乘以准永久值系数。</w:t>
      </w:r>
    </w:p>
    <w:p>
      <w:r>
        <w:rPr>
          <w:b/>
        </w:rPr>
        <w:t xml:space="preserve">5.3.6  </w:t>
      </w:r>
      <w:r>
        <w:t>结构自重</w:t>
      </w:r>
      <w:r>
        <w:rPr>
          <w:rFonts w:hint="eastAsia"/>
        </w:rPr>
        <w:t>计算应符合下列规定：</w:t>
      </w:r>
    </w:p>
    <w:p>
      <w:pPr>
        <w:ind w:firstLine="480" w:firstLineChars="200"/>
      </w:pPr>
      <w:r>
        <w:t>1  可按结构构件的设计尺寸与相应的材料单位体积的自重计算确定。</w:t>
      </w:r>
    </w:p>
    <w:p>
      <w:pPr>
        <w:ind w:firstLine="480" w:firstLineChars="200"/>
      </w:pPr>
      <w:r>
        <w:t>2  对常用材料及其制作件，其自重可按现行</w:t>
      </w:r>
      <w:bookmarkStart w:id="62" w:name="_Hlk17379052"/>
      <w:r>
        <w:t>国家标准</w:t>
      </w:r>
      <w:r>
        <w:rPr>
          <w:rFonts w:hint="eastAsia"/>
        </w:rPr>
        <w:t>《</w:t>
      </w:r>
      <w:r>
        <w:t xml:space="preserve">建筑结构荷载规范》 GB 50009 </w:t>
      </w:r>
      <w:bookmarkEnd w:id="62"/>
      <w:r>
        <w:t>的规定采用；</w:t>
      </w:r>
    </w:p>
    <w:p>
      <w:pPr>
        <w:pStyle w:val="34"/>
        <w:shd w:val="clear" w:color="auto" w:fill="FFFFFF"/>
        <w:ind w:firstLine="480" w:firstLineChars="200"/>
        <w:rPr>
          <w:rFonts w:ascii="Times New Roman" w:hAnsi="Times New Roman"/>
          <w:szCs w:val="21"/>
        </w:rPr>
      </w:pP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矩形管节(图</w:t>
      </w:r>
      <w:r>
        <w:rPr>
          <w:rFonts w:ascii="Times New Roman" w:hAnsi="Times New Roman"/>
          <w:szCs w:val="21"/>
        </w:rPr>
        <w:t>5.3.</w:t>
      </w:r>
      <w:r>
        <w:rPr>
          <w:rFonts w:hint="eastAsia" w:ascii="Times New Roman" w:hAnsi="Times New Roman"/>
          <w:szCs w:val="21"/>
        </w:rPr>
        <w:t>8)的自重标准值可以采用下列公式计算:</w:t>
      </w:r>
    </w:p>
    <w:p>
      <w:pPr>
        <w:pStyle w:val="34"/>
        <w:shd w:val="clear" w:color="auto" w:fill="FFFFFF"/>
        <w:spacing w:line="240" w:lineRule="auto"/>
        <w:ind w:firstLine="480" w:firstLineChars="200"/>
        <w:jc w:val="center"/>
        <w:rPr>
          <w:rFonts w:ascii="Times New Roman" w:hAnsi="Times New Roman"/>
          <w:szCs w:val="21"/>
        </w:rPr>
      </w:pPr>
      <w:r>
        <w:object>
          <v:shape id="_x0000_i1097" o:spt="75" type="#_x0000_t75" style="height:36.7pt;width:59.75pt;" o:ole="t" filled="f" o:preferrelative="t" stroked="f" coordsize="21600,21600">
            <v:path/>
            <v:fill on="f" focussize="0,0"/>
            <v:stroke on="f" joinstyle="miter"/>
            <v:imagedata r:id="rId151" o:title=""/>
            <o:lock v:ext="edit" aspectratio="t"/>
            <w10:wrap type="none"/>
            <w10:anchorlock/>
          </v:shape>
          <o:OLEObject Type="Embed" ProgID="Equation.DSMT4" ShapeID="_x0000_i1097" DrawAspect="Content" ObjectID="_1468075797" r:id="rId150">
            <o:LockedField>false</o:LockedField>
          </o:OLEObject>
        </w:objec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ab/>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(5.3.6-1)</w:t>
      </w:r>
    </w:p>
    <w:p>
      <w:pPr>
        <w:pStyle w:val="34"/>
        <w:shd w:val="clear" w:color="auto" w:fill="FFFFFF"/>
        <w:rPr>
          <w:rFonts w:ascii="Times New Roman" w:hAnsi="Times New Roman"/>
          <w:szCs w:val="21"/>
        </w:rPr>
      </w:pPr>
      <w:r>
        <w:rPr>
          <w:rFonts w:hint="eastAsia" w:ascii="Times New Roman" w:hAnsi="Times New Roman"/>
          <w:szCs w:val="21"/>
        </w:rPr>
        <w:t>式中：</w:t>
      </w:r>
      <w:r>
        <w:rPr>
          <w:rFonts w:ascii="Times New Roman" w:hAnsi="Times New Roman"/>
          <w:szCs w:val="21"/>
        </w:rPr>
        <w:object>
          <v:shape id="_x0000_i1098" o:spt="75" type="#_x0000_t75" style="height:18.35pt;width:15.6pt;" o:ole="t" filled="f" o:preferrelative="t" stroked="f" coordsize="21600,21600">
            <v:path/>
            <v:fill on="f" focussize="0,0"/>
            <v:stroke on="f" joinstyle="miter"/>
            <v:imagedata r:id="rId27" o:title=""/>
            <o:lock v:ext="edit" aspectratio="t"/>
            <w10:wrap type="none"/>
            <w10:anchorlock/>
          </v:shape>
          <o:OLEObject Type="Embed" ProgID="Equation.DSMT4" ShapeID="_x0000_i1098" DrawAspect="Content" ObjectID="_1468075798" r:id="rId152">
            <o:LockedField>false</o:LockedField>
          </o:OLEObject>
        </w:object>
      </w:r>
      <w:r>
        <w:rPr>
          <w:rFonts w:ascii="Times New Roman" w:hAnsi="Times New Roman"/>
          <w:szCs w:val="21"/>
        </w:rPr>
        <w:t>——</w:t>
      </w:r>
      <w:r>
        <w:rPr>
          <w:rFonts w:hint="eastAsia" w:ascii="Times New Roman" w:hAnsi="Times New Roman"/>
          <w:szCs w:val="21"/>
        </w:rPr>
        <w:t>矩形管道的自重标准值（kN/</w:t>
      </w:r>
      <w:r>
        <w:rPr>
          <w:rFonts w:ascii="Times New Roman" w:hAnsi="Times New Roman"/>
          <w:szCs w:val="21"/>
        </w:rPr>
        <w:t>m</w:t>
      </w:r>
      <w:r>
        <w:rPr>
          <w:rFonts w:hint="eastAsia" w:ascii="Times New Roman" w:hAnsi="Times New Roman"/>
          <w:szCs w:val="21"/>
          <w:vertAlign w:val="superscript"/>
        </w:rPr>
        <w:t>2</w:t>
      </w:r>
      <w:r>
        <w:rPr>
          <w:rFonts w:hint="eastAsia" w:ascii="Times New Roman" w:hAnsi="Times New Roman"/>
          <w:szCs w:val="21"/>
        </w:rPr>
        <w:t>）；</w:t>
      </w:r>
    </w:p>
    <w:p>
      <w:pPr>
        <w:ind w:firstLine="720" w:firstLineChars="300"/>
        <w:rPr>
          <w:rFonts w:asciiTheme="minorHAnsi" w:hAnsiTheme="minorHAnsi" w:eastAsiaTheme="minorEastAsia" w:cstheme="minorBidi"/>
        </w:rPr>
      </w:pPr>
      <w:r>
        <w:rPr>
          <w:position w:val="-14"/>
        </w:rPr>
        <w:object>
          <v:shape id="_x0000_i1099" o:spt="75" type="#_x0000_t75" style="height:18.35pt;width:15.6pt;" o:ole="t" filled="f" o:preferrelative="t" stroked="f" coordsize="21600,21600">
            <v:path/>
            <v:fill on="f" focussize="0,0"/>
            <v:stroke on="f" joinstyle="miter"/>
            <v:imagedata r:id="rId65" o:title=""/>
            <o:lock v:ext="edit" aspectratio="t"/>
            <w10:wrap type="none"/>
            <w10:anchorlock/>
          </v:shape>
          <o:OLEObject Type="Embed" ProgID="Equation.DSMT4" ShapeID="_x0000_i1099" DrawAspect="Content" ObjectID="_1468075799" r:id="rId153">
            <o:LockedField>false</o:LockedField>
          </o:OLEObject>
        </w:object>
      </w:r>
      <w:r>
        <w:rPr>
          <w:lang w:bidi="ar"/>
        </w:rPr>
        <w:t>——</w:t>
      </w:r>
      <w:r>
        <w:rPr>
          <w:rFonts w:hint="eastAsia" w:asciiTheme="minorHAnsi" w:hAnsiTheme="minorHAnsi" w:eastAsiaTheme="minorEastAsia" w:cstheme="minorBidi"/>
        </w:rPr>
        <w:t>混凝土管节混凝土横断面积（</w:t>
      </w:r>
      <w:r>
        <w:rPr>
          <w:rFonts w:eastAsiaTheme="minorEastAsia"/>
        </w:rPr>
        <w:t>m</w:t>
      </w:r>
      <w:r>
        <w:rPr>
          <w:rFonts w:eastAsiaTheme="minorEastAsia"/>
          <w:vertAlign w:val="superscript"/>
        </w:rPr>
        <w:t>2</w:t>
      </w:r>
      <w:r>
        <w:rPr>
          <w:rFonts w:hint="eastAsia" w:asciiTheme="minorHAnsi" w:hAnsiTheme="minorHAnsi" w:eastAsiaTheme="minorEastAsia" w:cstheme="minorBidi"/>
        </w:rPr>
        <w:t>）；</w:t>
      </w:r>
    </w:p>
    <w:p>
      <w:pPr>
        <w:pStyle w:val="34"/>
        <w:shd w:val="clear" w:color="auto" w:fill="FFFFFF"/>
        <w:ind w:firstLine="720" w:firstLineChars="300"/>
        <w:rPr>
          <w:rFonts w:ascii="Times New Roman" w:hAnsi="Times New Roman"/>
          <w:szCs w:val="21"/>
        </w:rPr>
      </w:pPr>
      <m:oMath>
        <m:sSub>
          <m:sSubPr>
            <m:ctrlPr>
              <w:rPr>
                <w:rFonts w:ascii="Cambria Math" w:hAnsi="Times New Roman"/>
                <w:szCs w:val="21"/>
              </w:rPr>
            </m:ctrlPr>
          </m:sSubPr>
          <m:e>
            <m:r>
              <w:rPr>
                <w:rFonts w:ascii="Cambria Math" w:hAnsi="Times New Roman"/>
                <w:szCs w:val="21"/>
              </w:rPr>
              <m:t>γ</m:t>
            </m:r>
            <m:ctrlPr>
              <w:rPr>
                <w:rFonts w:ascii="Cambria Math" w:hAnsi="Times New Roman"/>
                <w:szCs w:val="21"/>
              </w:rPr>
            </m:ctrlPr>
          </m:e>
          <m:sub>
            <m:r>
              <w:rPr>
                <w:rFonts w:hint="eastAsia" w:ascii="Cambria Math" w:hAnsi="Times New Roman"/>
                <w:szCs w:val="21"/>
              </w:rPr>
              <m:t>c</m:t>
            </m:r>
            <m:ctrlPr>
              <w:rPr>
                <w:rFonts w:ascii="Cambria Math" w:hAnsi="Times New Roman"/>
                <w:szCs w:val="21"/>
              </w:rPr>
            </m:ctrlPr>
          </m:sub>
        </m:sSub>
      </m:oMath>
      <w:r>
        <w:rPr>
          <w:rFonts w:ascii="Times New Roman" w:hAnsi="Times New Roman"/>
          <w:szCs w:val="21"/>
        </w:rPr>
        <w:t>——</w:t>
      </w:r>
      <w:r>
        <w:rPr>
          <w:rFonts w:hint="eastAsia" w:ascii="Times New Roman" w:hAnsi="Times New Roman"/>
          <w:szCs w:val="21"/>
        </w:rPr>
        <w:t>钢筋混凝土管的重度，宜取26kN/m</w:t>
      </w:r>
      <w:r>
        <w:rPr>
          <w:rFonts w:hint="eastAsia" w:ascii="Times New Roman" w:hAnsi="Times New Roman"/>
          <w:szCs w:val="21"/>
          <w:vertAlign w:val="superscript"/>
        </w:rPr>
        <w:t>3</w:t>
      </w:r>
      <w:r>
        <w:rPr>
          <w:rFonts w:hint="eastAsia" w:ascii="Times New Roman" w:hAnsi="Times New Roman"/>
          <w:szCs w:val="21"/>
        </w:rPr>
        <w:t>；</w:t>
      </w:r>
    </w:p>
    <w:p>
      <w:pPr>
        <w:pStyle w:val="34"/>
        <w:shd w:val="clear" w:color="auto" w:fill="FFFFFF"/>
        <w:ind w:left="782" w:firstLine="60" w:firstLineChars="25"/>
        <w:textAlignment w:val="center"/>
        <w:rPr>
          <w:rFonts w:ascii="Times New Roman" w:hAnsi="Times New Roman"/>
          <w:szCs w:val="21"/>
        </w:rPr>
      </w:pPr>
      <w:r>
        <w:object>
          <v:shape id="_x0000_i1100" o:spt="75" type="#_x0000_t75" style="height:18.35pt;width:13.6pt;" o:ole="t" filled="f" o:preferrelative="t" stroked="f" coordsize="21600,21600">
            <v:path/>
            <v:fill on="f" focussize="0,0"/>
            <v:stroke on="f" joinstyle="miter"/>
            <v:imagedata r:id="rId155" o:title=""/>
            <o:lock v:ext="edit" aspectratio="t"/>
            <w10:wrap type="none"/>
            <w10:anchorlock/>
          </v:shape>
          <o:OLEObject Type="Embed" ProgID="Equation.DSMT4" ShapeID="_x0000_i1100" DrawAspect="Content" ObjectID="_1468075800" r:id="rId154">
            <o:LockedField>false</o:LockedField>
          </o:OLEObject>
        </w:object>
      </w:r>
      <w:r>
        <w:rPr>
          <w:rFonts w:ascii="Times New Roman" w:hAnsi="Times New Roman"/>
          <w:szCs w:val="21"/>
        </w:rPr>
        <w:t>——</w:t>
      </w:r>
      <w:r>
        <w:rPr>
          <w:rFonts w:hint="eastAsia"/>
        </w:rPr>
        <w:t>矩形管节外边宽（m）</w:t>
      </w:r>
      <w:r>
        <w:rPr>
          <w:rFonts w:hint="eastAsia" w:ascii="Times New Roman" w:hAnsi="Times New Roman"/>
          <w:szCs w:val="21"/>
        </w:rPr>
        <w:t>。</w:t>
      </w:r>
    </w:p>
    <w:p>
      <w:pPr>
        <w:pStyle w:val="34"/>
        <w:shd w:val="clear" w:color="auto" w:fill="FFFFFF"/>
        <w:textAlignment w:val="center"/>
        <w:rPr>
          <w:rFonts w:ascii="Times New Roman" w:hAnsi="Times New Roman"/>
          <w:szCs w:val="21"/>
        </w:rPr>
      </w:pPr>
      <w:r>
        <w:rPr>
          <w:rFonts w:hint="eastAsia" w:ascii="Times New Roman" w:hAnsi="Times New Roman"/>
          <w:b/>
          <w:bCs/>
          <w:szCs w:val="21"/>
        </w:rPr>
        <w:t>5.3.7</w:t>
      </w:r>
      <w:r>
        <w:rPr>
          <w:rFonts w:ascii="Times New Roman" w:hAnsi="Times New Roman"/>
          <w:b/>
          <w:bCs/>
          <w:szCs w:val="21"/>
        </w:rPr>
        <w:t xml:space="preserve">  </w:t>
      </w:r>
      <w:r>
        <w:rPr>
          <w:rFonts w:hint="eastAsia" w:ascii="Times New Roman" w:hAnsi="Times New Roman"/>
          <w:szCs w:val="21"/>
        </w:rPr>
        <w:t>可变荷载标准值、准永久值系数的确定应符合下列规定：</w:t>
      </w:r>
    </w:p>
    <w:p>
      <w:pPr>
        <w:ind w:firstLine="480" w:firstLineChars="200"/>
      </w:pPr>
      <w:r>
        <w:rPr>
          <w:rFonts w:hint="eastAsia"/>
        </w:rPr>
        <w:t>1</w:t>
      </w:r>
      <w:r>
        <w:t xml:space="preserve">  地面人群荷载标准值可取4kN/m</w:t>
      </w:r>
      <w:r>
        <w:rPr>
          <w:vertAlign w:val="superscript"/>
        </w:rPr>
        <w:t>2</w:t>
      </w:r>
      <w:r>
        <w:t>计算；其准永久值系数可取0.3；</w:t>
      </w:r>
    </w:p>
    <w:p>
      <w:pPr>
        <w:ind w:firstLine="480" w:firstLineChars="200"/>
      </w:pPr>
      <w:r>
        <w:t>2  地面堆积荷载标准值可取l0kN/m</w:t>
      </w:r>
      <w:r>
        <w:rPr>
          <w:vertAlign w:val="superscript"/>
        </w:rPr>
        <w:t>2</w:t>
      </w:r>
      <w:r>
        <w:t>计算；其准永久值系数可取0.5；</w:t>
      </w:r>
    </w:p>
    <w:p>
      <w:pPr>
        <w:ind w:firstLine="480" w:firstLineChars="200"/>
      </w:pPr>
      <w:r>
        <w:t>3  地面车辆荷载对地下管道的影响作用，其标准值可按</w:t>
      </w:r>
      <w:r>
        <w:rPr>
          <w:rFonts w:hint="eastAsia"/>
        </w:rPr>
        <w:t>等效均布的原则</w:t>
      </w:r>
      <w:r>
        <w:t>确定，</w:t>
      </w:r>
      <w:r>
        <w:rPr>
          <w:rFonts w:hint="eastAsia"/>
        </w:rPr>
        <w:t>等效控制可按关键位置内力等值确定</w:t>
      </w:r>
      <w:r>
        <w:t>；其准永久值系数</w:t>
      </w:r>
      <w:r>
        <w:rPr>
          <w:rFonts w:hint="eastAsia"/>
        </w:rPr>
        <w:t>可</w:t>
      </w:r>
      <w:r>
        <w:t>取0.5</w:t>
      </w:r>
      <w:r>
        <w:rPr>
          <w:rFonts w:hint="eastAsia"/>
        </w:rPr>
        <w:t>；</w:t>
      </w:r>
    </w:p>
    <w:p>
      <w:pPr>
        <w:ind w:firstLine="480" w:firstLineChars="200"/>
      </w:pPr>
      <w:r>
        <w:rPr>
          <w:rFonts w:hint="eastAsia"/>
        </w:rPr>
        <w:t>4</w:t>
      </w:r>
      <w:r>
        <w:t xml:space="preserve">  管道上的静水压力(包括浮托力)，相应的设计水位应根据勘察部门和水文部门提供的数据采用。其标准值及准永久值系数的确定，应符合下列规定</w:t>
      </w:r>
      <w:r>
        <w:rPr>
          <w:rFonts w:hint="eastAsia"/>
        </w:rPr>
        <w:t>：</w:t>
      </w:r>
    </w:p>
    <w:p>
      <w:pPr>
        <w:ind w:firstLine="480" w:firstLineChars="200"/>
      </w:pPr>
      <w:r>
        <w:rPr>
          <w:rFonts w:hint="eastAsia"/>
        </w:rPr>
        <w:t>1）</w:t>
      </w:r>
      <w:r>
        <w:t>地下水的静水压力水位，应综合考虑近期内变化的统计数据及对设计基准期内发展趋势的变化综合分析，确定其可能出现的最高及最低水位。应根据对结构的作用效应，选用最高或最低水位。相应的准永久值系数，当采用最高水位时，可取平均水位与最高水位的比值；当采用最低水位时，应取1.0计算；</w:t>
      </w:r>
    </w:p>
    <w:p>
      <w:pPr>
        <w:ind w:firstLine="480" w:firstLineChars="200"/>
      </w:pPr>
      <w:r>
        <w:rPr>
          <w:rFonts w:hint="eastAsia"/>
        </w:rPr>
        <w:t>2）</w:t>
      </w:r>
      <w:r>
        <w:t>地表水或地下水的</w:t>
      </w:r>
      <w:r>
        <w:rPr>
          <w:rFonts w:hint="eastAsia"/>
        </w:rPr>
        <w:t>重</w:t>
      </w:r>
      <w:r>
        <w:t>度标准值，可取l0kN/m</w:t>
      </w:r>
      <w:r>
        <w:rPr>
          <w:vertAlign w:val="superscript"/>
        </w:rPr>
        <w:t>3</w:t>
      </w:r>
      <w:r>
        <w:t>计算。</w:t>
      </w:r>
    </w:p>
    <w:p>
      <w:r>
        <w:rPr>
          <w:b/>
        </w:rPr>
        <w:t>5.3.</w:t>
      </w:r>
      <w:r>
        <w:rPr>
          <w:rFonts w:hint="eastAsia"/>
          <w:b/>
        </w:rPr>
        <w:t>8</w:t>
      </w:r>
      <w:r>
        <w:rPr>
          <w:b/>
        </w:rPr>
        <w:t xml:space="preserve">  </w:t>
      </w:r>
      <w:r>
        <w:rPr>
          <w:rFonts w:hint="eastAsia"/>
        </w:rPr>
        <w:t>计算</w:t>
      </w:r>
      <w:r>
        <w:t>作用在地下管道上的侧向压力</w:t>
      </w:r>
      <w:r>
        <w:rPr>
          <w:rFonts w:hint="eastAsia"/>
        </w:rPr>
        <w:t>时</w:t>
      </w:r>
      <w:r>
        <w:t>，其标准值应按下列</w:t>
      </w:r>
      <w:r>
        <w:rPr>
          <w:rFonts w:hint="eastAsia"/>
        </w:rPr>
        <w:t>原则</w:t>
      </w:r>
      <w:r>
        <w:t>确定</w:t>
      </w:r>
      <w:r>
        <w:rPr>
          <w:rFonts w:hint="eastAsia"/>
        </w:rPr>
        <w:t>：</w:t>
      </w:r>
    </w:p>
    <w:p>
      <w:pPr>
        <w:ind w:firstLine="720" w:firstLineChars="300"/>
      </w:pPr>
      <w:r>
        <w:rPr>
          <w:rFonts w:hint="eastAsia"/>
        </w:rPr>
        <w:t>1</w:t>
      </w:r>
      <w:r>
        <w:t xml:space="preserve">  侧向土压力应按主动土压力计算；</w:t>
      </w:r>
    </w:p>
    <w:p>
      <w:pPr>
        <w:ind w:firstLine="720" w:firstLineChars="300"/>
      </w:pPr>
      <w:r>
        <w:t xml:space="preserve">2  </w:t>
      </w:r>
      <w:r>
        <w:rPr>
          <w:rFonts w:hint="eastAsia"/>
        </w:rPr>
        <w:t>对埋设在地下水位以上的管道，侧向土压力可按无水情况计算；</w:t>
      </w:r>
    </w:p>
    <w:p>
      <w:pPr>
        <w:ind w:firstLine="720" w:firstLineChars="300"/>
      </w:pPr>
      <w:r>
        <w:t xml:space="preserve">3  </w:t>
      </w:r>
      <w:r>
        <w:rPr>
          <w:rFonts w:hint="eastAsia"/>
        </w:rPr>
        <w:t>对埋设在地下水位下列的管道，粘性土层侧向土压力应按饱和重度和有效重度中不利情况计算，非粘性土层侧向土压力应按照有效重度计算。</w:t>
      </w:r>
    </w:p>
    <w:p>
      <w:pPr>
        <w:jc w:val="center"/>
      </w:pPr>
      <w:r>
        <w:drawing>
          <wp:inline distT="0" distB="0" distL="0" distR="0">
            <wp:extent cx="3124835" cy="21653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3124835" cy="2165350"/>
                    </a:xfrm>
                    <a:prstGeom prst="rect">
                      <a:avLst/>
                    </a:prstGeom>
                  </pic:spPr>
                </pic:pic>
              </a:graphicData>
            </a:graphic>
          </wp:inline>
        </w:drawing>
      </w:r>
    </w:p>
    <w:p>
      <w:pPr>
        <w:jc w:val="center"/>
        <w:rPr>
          <w:rFonts w:ascii="宋体" w:hAnsi="宋体" w:cs="宋体"/>
          <w:b/>
          <w:kern w:val="24"/>
          <w:position w:val="-12"/>
          <w:sz w:val="21"/>
          <w:szCs w:val="18"/>
        </w:rPr>
      </w:pPr>
      <w:r>
        <w:rPr>
          <w:rFonts w:hint="eastAsia"/>
          <w:b/>
          <w:sz w:val="21"/>
          <w:szCs w:val="18"/>
        </w:rPr>
        <w:t>图</w:t>
      </w:r>
      <w:r>
        <w:rPr>
          <w:b/>
          <w:sz w:val="21"/>
          <w:szCs w:val="18"/>
        </w:rPr>
        <w:t>5.3.</w:t>
      </w:r>
      <w:r>
        <w:rPr>
          <w:rFonts w:hint="eastAsia"/>
          <w:b/>
          <w:sz w:val="21"/>
          <w:szCs w:val="18"/>
        </w:rPr>
        <w:t>8</w:t>
      </w:r>
      <w:r>
        <w:rPr>
          <w:b/>
          <w:sz w:val="21"/>
          <w:szCs w:val="18"/>
        </w:rPr>
        <w:t xml:space="preserve"> </w:t>
      </w:r>
      <w:r>
        <w:rPr>
          <w:rFonts w:hint="eastAsia"/>
          <w:b/>
          <w:sz w:val="21"/>
          <w:szCs w:val="18"/>
        </w:rPr>
        <w:t>土压力计算</w:t>
      </w:r>
    </w:p>
    <w:p>
      <w:r>
        <w:rPr>
          <w:b/>
        </w:rPr>
        <w:t>5.3.</w:t>
      </w:r>
      <w:r>
        <w:rPr>
          <w:rFonts w:hint="eastAsia"/>
          <w:b/>
        </w:rPr>
        <w:t>9</w:t>
      </w:r>
      <w:r>
        <w:rPr>
          <w:b/>
        </w:rPr>
        <w:t xml:space="preserve">  </w:t>
      </w:r>
      <w:r>
        <w:t>作用在地下管道上的侧向压力</w:t>
      </w:r>
      <w:r>
        <w:rPr>
          <w:rFonts w:hint="eastAsia"/>
        </w:rPr>
        <w:t>计算应符合下列规定：</w:t>
      </w:r>
    </w:p>
    <w:p>
      <w:pPr>
        <w:ind w:firstLine="480" w:firstLineChars="200"/>
      </w:pPr>
      <w:r>
        <w:t xml:space="preserve">1  </w:t>
      </w:r>
      <w:r>
        <w:rPr>
          <w:rFonts w:hint="eastAsia"/>
        </w:rPr>
        <w:t>当管道处于地下水位以上且不考虑土的内聚力时，则侧向土压力标准值可按下式计算（图</w:t>
      </w:r>
      <w:r>
        <w:t>5.3.</w:t>
      </w:r>
      <w:r>
        <w:rPr>
          <w:rFonts w:hint="eastAsia"/>
        </w:rPr>
        <w:t>8）：</w:t>
      </w:r>
    </w:p>
    <w:p>
      <w:pPr>
        <w:ind w:firstLine="424" w:firstLineChars="177"/>
      </w:pPr>
      <w:r>
        <w:rPr>
          <w:rFonts w:hint="eastAsia"/>
        </w:rPr>
        <w:t>A点处侧向土压力值：</w:t>
      </w:r>
    </w:p>
    <w:p>
      <w:pPr>
        <w:tabs>
          <w:tab w:val="right" w:pos="8222"/>
        </w:tabs>
        <w:ind w:firstLine="708" w:firstLineChars="295"/>
        <w:textAlignment w:val="center"/>
        <w:rPr>
          <w:b/>
        </w:rPr>
      </w:pPr>
      <w:r>
        <w:object>
          <v:shape id="_x0000_i1101" o:spt="75" type="#_x0000_t75" style="height:18.35pt;width:58.4pt;" o:ole="t" filled="f" o:preferrelative="t" stroked="f" coordsize="21600,21600">
            <v:path/>
            <v:fill on="f" focussize="0,0"/>
            <v:stroke on="f" joinstyle="miter"/>
            <v:imagedata r:id="rId158" o:title=""/>
            <o:lock v:ext="edit" aspectratio="t"/>
            <w10:wrap type="none"/>
            <w10:anchorlock/>
          </v:shape>
          <o:OLEObject Type="Embed" ProgID="Equation.DSMT4" ShapeID="_x0000_i1101" DrawAspect="Content" ObjectID="_1468075801" r:id="rId157">
            <o:LockedField>false</o:LockedField>
          </o:OLEObject>
        </w:object>
      </w:r>
      <w:r>
        <w:rPr>
          <w:rFonts w:hint="eastAsia"/>
        </w:rPr>
        <w:tab/>
      </w:r>
      <w:r>
        <w:rPr>
          <w:rFonts w:hint="eastAsia" w:hAnsiTheme="minorHAnsi"/>
          <w:color w:val="000000"/>
        </w:rPr>
        <w:t>(5.3.9-</w:t>
      </w:r>
      <w:r>
        <w:rPr>
          <w:rFonts w:hAnsiTheme="minorHAnsi"/>
          <w:color w:val="000000"/>
        </w:rPr>
        <w:t>1</w:t>
      </w:r>
      <w:r>
        <w:rPr>
          <w:rFonts w:hint="eastAsia" w:hAnsiTheme="minorHAnsi"/>
          <w:color w:val="000000"/>
        </w:rPr>
        <w:t>)</w:t>
      </w:r>
    </w:p>
    <w:p>
      <w:pPr>
        <w:ind w:firstLine="424" w:firstLineChars="177"/>
      </w:pPr>
      <w:r>
        <w:rPr>
          <w:rFonts w:hint="eastAsia"/>
        </w:rPr>
        <w:t>B点处侧向土压力值:</w:t>
      </w:r>
    </w:p>
    <w:p>
      <w:pPr>
        <w:tabs>
          <w:tab w:val="right" w:pos="8222"/>
        </w:tabs>
        <w:ind w:firstLine="708" w:firstLineChars="295"/>
        <w:textAlignment w:val="center"/>
        <w:rPr>
          <w:b/>
        </w:rPr>
      </w:pPr>
      <w:r>
        <w:object>
          <v:shape id="_x0000_i1102" o:spt="75" type="#_x0000_t75" style="height:19pt;width:97.15pt;" o:ole="t" filled="f" o:preferrelative="t" stroked="f" coordsize="21600,21600">
            <v:path/>
            <v:fill on="f" focussize="0,0"/>
            <v:stroke on="f" joinstyle="miter"/>
            <v:imagedata r:id="rId160" o:title=""/>
            <o:lock v:ext="edit" aspectratio="t"/>
            <w10:wrap type="none"/>
            <w10:anchorlock/>
          </v:shape>
          <o:OLEObject Type="Embed" ProgID="Equation.DSMT4" ShapeID="_x0000_i1102" DrawAspect="Content" ObjectID="_1468075802" r:id="rId159">
            <o:LockedField>false</o:LockedField>
          </o:OLEObject>
        </w:object>
      </w:r>
      <w:r>
        <w:rPr>
          <w:rFonts w:hint="eastAsia"/>
        </w:rPr>
        <w:tab/>
      </w:r>
      <w:r>
        <w:rPr>
          <w:rFonts w:hint="eastAsia" w:hAnsiTheme="minorHAnsi"/>
          <w:color w:val="000000"/>
        </w:rPr>
        <w:t>(5.3.9-</w:t>
      </w:r>
      <w:r>
        <w:rPr>
          <w:rFonts w:hAnsiTheme="minorHAnsi"/>
          <w:color w:val="000000"/>
        </w:rPr>
        <w:t>2</w:t>
      </w:r>
      <w:r>
        <w:rPr>
          <w:rFonts w:hint="eastAsia" w:hAnsiTheme="minorHAnsi"/>
          <w:color w:val="000000"/>
        </w:rPr>
        <w:t>)</w:t>
      </w:r>
    </w:p>
    <w:p>
      <w:pPr>
        <w:ind w:firstLine="484" w:firstLineChars="202"/>
      </w:pPr>
      <w:r>
        <w:rPr>
          <w:rFonts w:hint="eastAsia"/>
        </w:rPr>
        <w:t>2</w:t>
      </w:r>
      <w:r>
        <w:t xml:space="preserve">  </w:t>
      </w:r>
      <w:r>
        <w:rPr>
          <w:rFonts w:hint="eastAsia"/>
        </w:rPr>
        <w:t>矩形管节的侧压力呈梯形分布，则侧面平均侧压力值大小为:</w:t>
      </w:r>
    </w:p>
    <w:p>
      <w:pPr>
        <w:tabs>
          <w:tab w:val="right" w:pos="8222"/>
        </w:tabs>
        <w:ind w:firstLine="708" w:firstLineChars="295"/>
        <w:textAlignment w:val="center"/>
        <w:rPr>
          <w:b/>
        </w:rPr>
      </w:pPr>
      <w:r>
        <w:object>
          <v:shape id="_x0000_i1103" o:spt="75" type="#_x0000_t75" style="height:33.95pt;width:110.7pt;" o:ole="t" filled="f" o:preferrelative="t" stroked="f" coordsize="21600,21600">
            <v:path/>
            <v:fill on="f" focussize="0,0"/>
            <v:stroke on="f" joinstyle="miter"/>
            <v:imagedata r:id="rId162" o:title=""/>
            <o:lock v:ext="edit" aspectratio="t"/>
            <w10:wrap type="none"/>
            <w10:anchorlock/>
          </v:shape>
          <o:OLEObject Type="Embed" ProgID="Equation.DSMT4" ShapeID="_x0000_i1103" DrawAspect="Content" ObjectID="_1468075803" r:id="rId161">
            <o:LockedField>false</o:LockedField>
          </o:OLEObject>
        </w:object>
      </w:r>
      <w:r>
        <w:rPr>
          <w:rFonts w:hint="eastAsia"/>
        </w:rPr>
        <w:tab/>
      </w:r>
      <w:r>
        <w:rPr>
          <w:rFonts w:hint="eastAsia" w:hAnsiTheme="minorHAnsi"/>
          <w:color w:val="000000"/>
        </w:rPr>
        <w:t>(5.3.9-</w:t>
      </w:r>
      <w:r>
        <w:rPr>
          <w:rFonts w:hAnsiTheme="minorHAnsi"/>
          <w:color w:val="000000"/>
        </w:rPr>
        <w:t>3</w:t>
      </w:r>
      <w:r>
        <w:rPr>
          <w:rFonts w:hint="eastAsia" w:hAnsiTheme="minorHAnsi"/>
          <w:color w:val="000000"/>
        </w:rPr>
        <w:t>)</w:t>
      </w:r>
    </w:p>
    <w:p>
      <w:pPr>
        <w:ind w:firstLine="484" w:firstLineChars="202"/>
      </w:pPr>
      <w:r>
        <w:t xml:space="preserve">3  </w:t>
      </w:r>
      <w:r>
        <w:rPr>
          <w:rFonts w:hint="eastAsia"/>
        </w:rPr>
        <w:t>当计入土的粘聚力，则矩形管侧面平均侧压力值大小为:</w:t>
      </w:r>
    </w:p>
    <w:p>
      <w:pPr>
        <w:tabs>
          <w:tab w:val="right" w:pos="8222"/>
        </w:tabs>
        <w:ind w:firstLine="708" w:firstLineChars="295"/>
        <w:jc w:val="center"/>
        <w:textAlignment w:val="center"/>
        <w:rPr>
          <w:b/>
        </w:rPr>
      </w:pPr>
      <w:r>
        <w:object>
          <v:shape id="_x0000_i1104" o:spt="75" type="#_x0000_t75" style="height:33.95pt;width:161.65pt;" o:ole="t" filled="f" o:preferrelative="t" stroked="f" coordsize="21600,21600">
            <v:path/>
            <v:fill on="f" focussize="0,0"/>
            <v:stroke on="f" joinstyle="miter"/>
            <v:imagedata r:id="rId164" o:title=""/>
            <o:lock v:ext="edit" aspectratio="t"/>
            <w10:wrap type="none"/>
            <w10:anchorlock/>
          </v:shape>
          <o:OLEObject Type="Embed" ProgID="Equation.DSMT4" ShapeID="_x0000_i1104" DrawAspect="Content" ObjectID="_1468075804" r:id="rId163">
            <o:LockedField>false</o:LockedField>
          </o:OLEObject>
        </w:object>
      </w:r>
      <w:r>
        <w:rPr>
          <w:rFonts w:hint="eastAsia"/>
          <w:position w:val="-24"/>
        </w:rPr>
        <w:tab/>
      </w:r>
      <w:r>
        <w:rPr>
          <w:rFonts w:hint="eastAsia" w:hAnsiTheme="minorHAnsi"/>
          <w:color w:val="000000"/>
        </w:rPr>
        <w:t>(5.3.9-</w:t>
      </w:r>
      <w:r>
        <w:rPr>
          <w:rFonts w:hAnsiTheme="minorHAnsi"/>
          <w:color w:val="000000"/>
        </w:rPr>
        <w:t>4</w:t>
      </w:r>
      <w:r>
        <w:rPr>
          <w:rFonts w:hint="eastAsia" w:hAnsiTheme="minorHAnsi"/>
          <w:color w:val="000000"/>
        </w:rPr>
        <w:t>)</w:t>
      </w:r>
    </w:p>
    <w:p>
      <w:pPr>
        <w:textAlignment w:val="center"/>
        <w:rPr>
          <w:rFonts w:ascii="宋体" w:hAnsiTheme="minorHAnsi"/>
          <w:color w:val="000000"/>
        </w:rPr>
      </w:pPr>
      <w:r>
        <w:rPr>
          <w:rFonts w:hint="eastAsia" w:ascii="宋体" w:hAnsiTheme="minorHAnsi"/>
          <w:color w:val="000000"/>
        </w:rPr>
        <w:t>式中:</w:t>
      </w:r>
      <w:r>
        <w:rPr>
          <w:rFonts w:hint="eastAsia" w:ascii="宋体" w:hAnsiTheme="minorHAnsi"/>
          <w:color w:val="000000"/>
        </w:rPr>
        <w:tab/>
      </w:r>
      <w:r>
        <w:object>
          <v:shape id="_x0000_i1105" o:spt="75" type="#_x0000_t75" style="height:18.35pt;width:15.6pt;" o:ole="t" filled="f" o:preferrelative="t" stroked="f" coordsize="21600,21600">
            <v:path/>
            <v:fill on="f" focussize="0,0"/>
            <v:stroke on="f" joinstyle="miter"/>
            <v:imagedata r:id="rId17" o:title=""/>
            <o:lock v:ext="edit" aspectratio="t"/>
            <w10:wrap type="none"/>
            <w10:anchorlock/>
          </v:shape>
          <o:OLEObject Type="Embed" ProgID="Equation.DSMT4" ShapeID="_x0000_i1105" DrawAspect="Content" ObjectID="_1468075805" r:id="rId165">
            <o:LockedField>false</o:LockedField>
          </o:OLEObject>
        </w:object>
      </w:r>
      <w:r>
        <w:rPr>
          <w:rFonts w:hint="eastAsia" w:ascii="宋体" w:hAnsiTheme="minorHAnsi"/>
          <w:color w:val="000000"/>
        </w:rPr>
        <w:t>、</w:t>
      </w:r>
      <w:r>
        <w:object>
          <v:shape id="_x0000_i1106" o:spt="75" type="#_x0000_t75" style="height:18.35pt;width:15.6pt;" o:ole="t" filled="f" o:preferrelative="t" stroked="f" coordsize="21600,21600">
            <v:path/>
            <v:fill on="f" focussize="0,0"/>
            <v:stroke on="f" joinstyle="miter"/>
            <v:imagedata r:id="rId19" o:title=""/>
            <o:lock v:ext="edit" aspectratio="t"/>
            <w10:wrap type="none"/>
            <w10:anchorlock/>
          </v:shape>
          <o:OLEObject Type="Embed" ProgID="Equation.DSMT4" ShapeID="_x0000_i1106" DrawAspect="Content" ObjectID="_1468075806" r:id="rId166">
            <o:LockedField>false</o:LockedField>
          </o:OLEObject>
        </w:object>
      </w:r>
      <w:r>
        <w:t>——</w:t>
      </w:r>
      <w:r>
        <w:rPr>
          <w:rFonts w:hint="eastAsia" w:ascii="宋体" w:hAnsiTheme="minorHAnsi"/>
          <w:color w:val="000000"/>
        </w:rPr>
        <w:t>矩形管节在点A、B处所受侧向土压力标准值（</w:t>
      </w:r>
      <w:r>
        <w:rPr>
          <w:color w:val="000000"/>
        </w:rPr>
        <w:t>kN/m</w:t>
      </w:r>
      <w:r>
        <w:rPr>
          <w:color w:val="000000"/>
          <w:vertAlign w:val="superscript"/>
        </w:rPr>
        <w:t>2</w:t>
      </w:r>
      <w:r>
        <w:rPr>
          <w:rFonts w:hint="eastAsia" w:ascii="宋体" w:hAnsiTheme="minorHAnsi"/>
          <w:color w:val="000000"/>
        </w:rPr>
        <w:t>）；</w:t>
      </w:r>
    </w:p>
    <w:p>
      <w:pPr>
        <w:ind w:left="420" w:firstLine="420"/>
        <w:textAlignment w:val="center"/>
        <w:rPr>
          <w:rFonts w:ascii="宋体" w:hAnsiTheme="minorHAnsi"/>
          <w:color w:val="000000"/>
        </w:rPr>
      </w:pPr>
      <w:r>
        <w:object>
          <v:shape id="_x0000_i1107" o:spt="75" type="#_x0000_t75" style="height:18.35pt;width:23.75pt;" o:ole="t" filled="f" o:preferrelative="t" stroked="f" coordsize="21600,21600">
            <v:path/>
            <v:fill on="f" focussize="0,0"/>
            <v:stroke on="f" joinstyle="miter"/>
            <v:imagedata r:id="rId23" o:title=""/>
            <o:lock v:ext="edit" aspectratio="t"/>
            <w10:wrap type="none"/>
            <w10:anchorlock/>
          </v:shape>
          <o:OLEObject Type="Embed" ProgID="Equation.DSMT4" ShapeID="_x0000_i1107" DrawAspect="Content" ObjectID="_1468075807" r:id="rId167">
            <o:LockedField>false</o:LockedField>
          </o:OLEObject>
        </w:object>
      </w:r>
      <w:r>
        <w:t>——</w:t>
      </w:r>
      <w:r>
        <w:rPr>
          <w:rFonts w:hint="eastAsia" w:ascii="宋体" w:hAnsiTheme="minorHAnsi"/>
          <w:color w:val="000000"/>
        </w:rPr>
        <w:t>矩形管节平均侧向土压力标准值（</w:t>
      </w:r>
      <w:r>
        <w:rPr>
          <w:rFonts w:hint="eastAsia"/>
          <w:color w:val="000000"/>
        </w:rPr>
        <w:t>kN/m</w:t>
      </w:r>
      <w:r>
        <w:rPr>
          <w:rFonts w:hint="eastAsia"/>
          <w:color w:val="000000"/>
          <w:vertAlign w:val="superscript"/>
        </w:rPr>
        <w:t>2</w:t>
      </w:r>
      <w:r>
        <w:rPr>
          <w:rFonts w:hint="eastAsia" w:ascii="宋体" w:hAnsiTheme="minorHAnsi"/>
          <w:color w:val="000000"/>
        </w:rPr>
        <w:t>）；</w:t>
      </w:r>
    </w:p>
    <w:p>
      <w:pPr>
        <w:ind w:left="420" w:firstLine="420"/>
        <w:textAlignment w:val="center"/>
        <w:rPr>
          <w:rFonts w:ascii="宋体" w:hAnsiTheme="minorHAnsi"/>
          <w:color w:val="000000"/>
        </w:rPr>
      </w:pPr>
      <w:r>
        <w:object>
          <v:shape id="_x0000_i1108" o:spt="75" type="#_x0000_t75" style="height:18.35pt;width:14.25pt;" o:ole="t" filled="f" o:preferrelative="t" stroked="f" coordsize="21600,21600">
            <v:path/>
            <v:fill on="f" focussize="0,0"/>
            <v:stroke on="f" joinstyle="miter"/>
            <v:imagedata r:id="rId15" o:title=""/>
            <o:lock v:ext="edit" aspectratio="t"/>
            <w10:wrap type="none"/>
            <w10:anchorlock/>
          </v:shape>
          <o:OLEObject Type="Embed" ProgID="Equation.DSMT4" ShapeID="_x0000_i1108" DrawAspect="Content" ObjectID="_1468075808" r:id="rId168">
            <o:LockedField>false</o:LockedField>
          </o:OLEObject>
        </w:object>
      </w:r>
      <w:r>
        <w:t>——</w:t>
      </w:r>
      <w:r>
        <w:rPr>
          <w:rFonts w:hint="eastAsia" w:ascii="宋体" w:hAnsiTheme="minorHAnsi"/>
          <w:color w:val="000000"/>
        </w:rPr>
        <w:t>管顶竖向土压力标准值（</w:t>
      </w:r>
      <w:r>
        <w:rPr>
          <w:rFonts w:hint="eastAsia"/>
          <w:color w:val="000000"/>
        </w:rPr>
        <w:t>kN/m</w:t>
      </w:r>
      <w:r>
        <w:rPr>
          <w:rFonts w:hint="eastAsia"/>
          <w:color w:val="000000"/>
          <w:vertAlign w:val="superscript"/>
        </w:rPr>
        <w:t>2</w:t>
      </w:r>
      <w:r>
        <w:rPr>
          <w:rFonts w:hint="eastAsia" w:ascii="宋体" w:hAnsiTheme="minorHAnsi"/>
          <w:color w:val="000000"/>
        </w:rPr>
        <w:t>）；</w:t>
      </w:r>
    </w:p>
    <w:p>
      <w:pPr>
        <w:ind w:left="420" w:firstLine="420"/>
        <w:textAlignment w:val="center"/>
        <w:rPr>
          <w:rFonts w:ascii="宋体" w:hAnsiTheme="minorHAnsi"/>
          <w:color w:val="000000"/>
        </w:rPr>
      </w:pPr>
      <w:r>
        <w:rPr>
          <w:position w:val="-4"/>
        </w:rPr>
        <w:object>
          <v:shape id="_x0000_i1109" o:spt="75" type="#_x0000_t75" style="height:12.9pt;width:10.2pt;" o:ole="t" filled="f" o:preferrelative="t" stroked="f" coordsize="21600,21600">
            <v:path/>
            <v:fill on="f" focussize="0,0"/>
            <v:stroke on="f" joinstyle="miter"/>
            <v:imagedata r:id="rId170" o:title=""/>
            <o:lock v:ext="edit" aspectratio="t"/>
            <w10:wrap type="none"/>
            <w10:anchorlock/>
          </v:shape>
          <o:OLEObject Type="Embed" ProgID="Equation.DSMT4" ShapeID="_x0000_i1109" DrawAspect="Content" ObjectID="_1468075809" r:id="rId169">
            <o:LockedField>false</o:LockedField>
          </o:OLEObject>
        </w:object>
      </w:r>
      <w:r>
        <w:t>——</w:t>
      </w:r>
      <w:r>
        <w:rPr>
          <w:rFonts w:hint="eastAsia" w:ascii="宋体" w:hAnsiTheme="minorHAnsi"/>
          <w:color w:val="000000"/>
        </w:rPr>
        <w:t>土的重度（</w:t>
      </w:r>
      <w:r>
        <w:rPr>
          <w:rFonts w:hint="eastAsia"/>
          <w:color w:val="000000"/>
        </w:rPr>
        <w:t>kN/m</w:t>
      </w:r>
      <w:r>
        <w:rPr>
          <w:color w:val="000000"/>
          <w:vertAlign w:val="superscript"/>
        </w:rPr>
        <w:t>3</w:t>
      </w:r>
      <w:r>
        <w:rPr>
          <w:rFonts w:hint="eastAsia"/>
          <w:color w:val="000000"/>
        </w:rPr>
        <w:t>）</w:t>
      </w:r>
      <w:r>
        <w:rPr>
          <w:rFonts w:hint="eastAsia" w:ascii="宋体" w:hAnsiTheme="minorHAnsi"/>
          <w:color w:val="000000"/>
        </w:rPr>
        <w:t>；</w:t>
      </w:r>
    </w:p>
    <w:p>
      <w:pPr>
        <w:ind w:left="420" w:firstLine="420"/>
        <w:textAlignment w:val="center"/>
        <w:rPr>
          <w:rFonts w:ascii="宋体" w:hAnsiTheme="minorHAnsi"/>
          <w:color w:val="000000"/>
        </w:rPr>
      </w:pPr>
      <w:r>
        <w:object>
          <v:shape id="_x0000_i1110" o:spt="75" type="#_x0000_t75" style="height:18.35pt;width:15.6pt;" o:ole="t" filled="f" o:preferrelative="t" stroked="f" coordsize="21600,21600">
            <v:path/>
            <v:fill on="f" focussize="0,0"/>
            <v:stroke on="f" joinstyle="miter"/>
            <v:imagedata r:id="rId172" o:title=""/>
            <o:lock v:ext="edit" aspectratio="t"/>
            <w10:wrap type="none"/>
            <w10:anchorlock/>
          </v:shape>
          <o:OLEObject Type="Embed" ProgID="Equation.DSMT4" ShapeID="_x0000_i1110" DrawAspect="Content" ObjectID="_1468075810" r:id="rId171">
            <o:LockedField>false</o:LockedField>
          </o:OLEObject>
        </w:object>
      </w:r>
      <w:r>
        <w:t>——</w:t>
      </w:r>
      <w:r>
        <w:rPr>
          <w:rFonts w:hint="eastAsia" w:ascii="宋体" w:hAnsiTheme="minorHAnsi"/>
          <w:color w:val="000000"/>
        </w:rPr>
        <w:t>矩形管节外边高（</w:t>
      </w:r>
      <w:r>
        <w:rPr>
          <w:rFonts w:hint="eastAsia"/>
          <w:color w:val="000000"/>
        </w:rPr>
        <w:t>m</w:t>
      </w:r>
      <w:r>
        <w:rPr>
          <w:color w:val="000000"/>
        </w:rPr>
        <w:t>）</w:t>
      </w:r>
      <w:r>
        <w:rPr>
          <w:rFonts w:hint="eastAsia" w:ascii="宋体" w:hAnsiTheme="minorHAnsi"/>
          <w:color w:val="000000"/>
        </w:rPr>
        <w:t>；</w:t>
      </w:r>
    </w:p>
    <w:p>
      <w:pPr>
        <w:ind w:left="420" w:firstLine="420"/>
        <w:textAlignment w:val="center"/>
        <w:rPr>
          <w:rFonts w:ascii="宋体" w:hAnsiTheme="minorHAnsi"/>
          <w:color w:val="000000"/>
        </w:rPr>
      </w:pPr>
      <w:r>
        <w:object>
          <v:shape id="_x0000_i1111" o:spt="75" type="#_x0000_t75" style="height:18.35pt;width:17pt;" o:ole="t" filled="f" o:preferrelative="t" stroked="f" coordsize="21600,21600">
            <v:path/>
            <v:fill on="f" focussize="0,0"/>
            <v:stroke on="f" joinstyle="miter"/>
            <v:imagedata r:id="rId115" o:title=""/>
            <o:lock v:ext="edit" aspectratio="t"/>
            <w10:wrap type="none"/>
            <w10:anchorlock/>
          </v:shape>
          <o:OLEObject Type="Embed" ProgID="Equation.DSMT4" ShapeID="_x0000_i1111" DrawAspect="Content" ObjectID="_1468075811" r:id="rId173">
            <o:LockedField>false</o:LockedField>
          </o:OLEObject>
        </w:object>
      </w:r>
      <w:r>
        <w:t>——</w:t>
      </w:r>
      <w:r>
        <w:rPr>
          <w:rFonts w:hint="eastAsia" w:ascii="宋体" w:hAnsiTheme="minorHAnsi"/>
          <w:color w:val="000000"/>
        </w:rPr>
        <w:t>主动土压力系数；</w:t>
      </w:r>
    </w:p>
    <w:p>
      <w:pPr>
        <w:ind w:left="420" w:firstLine="420"/>
        <w:textAlignment w:val="center"/>
        <w:rPr>
          <w:rFonts w:ascii="宋体" w:hAnsiTheme="minorHAnsi"/>
          <w:color w:val="000000"/>
        </w:rPr>
      </w:pPr>
      <w:r>
        <w:rPr>
          <w:position w:val="-6"/>
        </w:rPr>
        <w:object>
          <v:shape id="_x0000_i1112" o:spt="75" type="#_x0000_t75" style="height:14.25pt;width:12.9pt;" o:ole="t" filled="f" o:preferrelative="t" stroked="f" coordsize="21600,21600">
            <v:path/>
            <v:fill on="f" focussize="0,0"/>
            <v:stroke on="f" joinstyle="miter"/>
            <v:imagedata r:id="rId55" o:title=""/>
            <o:lock v:ext="edit" aspectratio="t"/>
            <w10:wrap type="none"/>
            <w10:anchorlock/>
          </v:shape>
          <o:OLEObject Type="Embed" ProgID="Equation.DSMT4" ShapeID="_x0000_i1112" DrawAspect="Content" ObjectID="_1468075812" r:id="rId174">
            <o:LockedField>false</o:LockedField>
          </o:OLEObject>
        </w:object>
      </w:r>
      <w:r>
        <w:t>——</w:t>
      </w:r>
      <w:r>
        <w:rPr>
          <w:rFonts w:hint="eastAsia" w:ascii="宋体" w:hAnsiTheme="minorHAnsi"/>
          <w:color w:val="000000"/>
        </w:rPr>
        <w:t>土的内聚力，砂性土宜取0，粘性土按土工试验确定（</w:t>
      </w:r>
      <w:r>
        <w:rPr>
          <w:rFonts w:hint="eastAsia"/>
          <w:color w:val="000000"/>
        </w:rPr>
        <w:t>kN/m</w:t>
      </w:r>
      <w:r>
        <w:rPr>
          <w:rFonts w:hint="eastAsia"/>
          <w:color w:val="000000"/>
          <w:vertAlign w:val="superscript"/>
        </w:rPr>
        <w:t>2</w:t>
      </w:r>
      <w:r>
        <w:rPr>
          <w:rFonts w:hint="eastAsia" w:ascii="宋体" w:hAnsiTheme="minorHAnsi"/>
          <w:color w:val="000000"/>
        </w:rPr>
        <w:t>）。</w:t>
      </w:r>
    </w:p>
    <w:p>
      <w:pPr>
        <w:ind w:firstLine="480" w:firstLineChars="200"/>
        <w:rPr>
          <w:rFonts w:ascii="宋体" w:hAnsi="宋体" w:cs="宋体"/>
          <w:kern w:val="24"/>
          <w:position w:val="-12"/>
        </w:rPr>
      </w:pPr>
      <w:r>
        <w:rPr>
          <w:kern w:val="24"/>
          <w:position w:val="-12"/>
        </w:rPr>
        <w:t>4</w:t>
      </w:r>
      <w:r>
        <w:rPr>
          <w:rFonts w:ascii="宋体" w:hAnsi="宋体" w:cs="宋体"/>
          <w:kern w:val="24"/>
          <w:position w:val="-12"/>
        </w:rPr>
        <w:t xml:space="preserve">  </w:t>
      </w:r>
      <w:r>
        <w:rPr>
          <w:rFonts w:hint="eastAsia" w:ascii="宋体" w:hAnsi="宋体" w:cs="宋体"/>
          <w:kern w:val="24"/>
          <w:position w:val="-12"/>
        </w:rPr>
        <w:t>当管道处于地下水位下列时，侧向水土压力标准值宜采用水土分算，土的侧向压力可按上式计算，重度采用有效重度；地下水压力按静水压力计算。</w:t>
      </w:r>
    </w:p>
    <w:p>
      <w:pPr>
        <w:rPr>
          <w:rFonts w:eastAsia="仿宋"/>
        </w:rPr>
      </w:pPr>
      <w:r>
        <w:rPr>
          <w:rFonts w:eastAsia="仿宋"/>
          <w:b/>
          <w:bCs/>
        </w:rPr>
        <w:t>【条文说明】：5.3.9</w:t>
      </w:r>
      <w:r>
        <w:rPr>
          <w:rFonts w:eastAsia="仿宋"/>
        </w:rPr>
        <w:t xml:space="preserve">  一般情况下，当顶管埋深较深，在土体卸荷拱效应下，地面堆载和地面车辆作用对管道影响不大。在计算过程中，地面堆载和地面车辆作用可以不同时考虑，可取其中最大值。</w:t>
      </w:r>
    </w:p>
    <w:p>
      <w:pPr>
        <w:ind w:firstLine="480" w:firstLineChars="200"/>
      </w:pPr>
    </w:p>
    <w:p>
      <w:pPr>
        <w:pStyle w:val="3"/>
      </w:pPr>
      <w:bookmarkStart w:id="63" w:name="_Toc18057036"/>
      <w:bookmarkStart w:id="64" w:name="_Toc19032"/>
      <w:r>
        <w:rPr>
          <w:rFonts w:hint="eastAsia"/>
        </w:rPr>
        <w:t>5.4</w:t>
      </w:r>
      <w:r>
        <w:t xml:space="preserve"> </w:t>
      </w:r>
      <w:r>
        <w:rPr>
          <w:rFonts w:hint="eastAsia"/>
        </w:rPr>
        <w:t xml:space="preserve"> 管节结构设计</w:t>
      </w:r>
      <w:bookmarkEnd w:id="63"/>
      <w:bookmarkEnd w:id="64"/>
    </w:p>
    <w:p>
      <w:r>
        <w:rPr>
          <w:rFonts w:hint="eastAsia"/>
          <w:b/>
          <w:bCs/>
        </w:rPr>
        <w:t>5.4.1</w:t>
      </w:r>
      <w:r>
        <w:rPr>
          <w:b/>
          <w:bCs/>
        </w:rPr>
        <w:t xml:space="preserve">  </w:t>
      </w:r>
      <w:r>
        <w:rPr>
          <w:rFonts w:hint="eastAsia"/>
        </w:rPr>
        <w:t>管道结构按承载能力极限状态进行强度计算时，应采用作用效应的基本组合。结构上的各项作用均应采用作用设计值。作用设计值，应为作用代表值与作用分项系数的乘积。</w:t>
      </w:r>
    </w:p>
    <w:p>
      <w:r>
        <w:rPr>
          <w:rFonts w:hint="eastAsia"/>
          <w:b/>
          <w:bCs/>
        </w:rPr>
        <w:t>5.4.2</w:t>
      </w:r>
      <w:r>
        <w:t xml:space="preserve">  </w:t>
      </w:r>
      <w:r>
        <w:rPr>
          <w:rFonts w:hint="eastAsia"/>
        </w:rPr>
        <w:t>管道结构的强度计算应采用下列极限状态计算表达式：</w:t>
      </w:r>
    </w:p>
    <w:p>
      <w:pPr>
        <w:tabs>
          <w:tab w:val="right" w:pos="8222"/>
        </w:tabs>
        <w:ind w:firstLine="2328" w:firstLineChars="970"/>
      </w:pPr>
      <w:r>
        <w:object>
          <v:shape id="_x0000_i1113" o:spt="75" type="#_x0000_t75" style="height:18.35pt;width:46.85pt;" o:ole="t" filled="f" o:preferrelative="t" stroked="f" coordsize="21600,21600">
            <v:path/>
            <v:fill on="f" focussize="0,0"/>
            <v:stroke on="f" joinstyle="miter"/>
            <v:imagedata r:id="rId176" o:title=""/>
            <o:lock v:ext="edit" aspectratio="t"/>
            <w10:wrap type="none"/>
            <w10:anchorlock/>
          </v:shape>
          <o:OLEObject Type="Embed" ProgID="Equation.DSMT4" ShapeID="_x0000_i1113" DrawAspect="Content" ObjectID="_1468075813" r:id="rId175">
            <o:LockedField>false</o:LockedField>
          </o:OLEObject>
        </w:object>
      </w:r>
      <w:r>
        <w:rPr>
          <w:rFonts w:ascii="宋体" w:hAnsi="宋体"/>
        </w:rPr>
        <w:t xml:space="preserve">                              </w:t>
      </w:r>
      <w:r>
        <w:rPr>
          <w:rFonts w:hint="eastAsia"/>
        </w:rPr>
        <w:t>（5.4.2）</w:t>
      </w:r>
    </w:p>
    <w:p>
      <w:pPr>
        <w:ind w:firstLine="480" w:firstLineChars="200"/>
      </w:pPr>
      <w:r>
        <w:rPr>
          <w:rFonts w:hint="eastAsia"/>
        </w:rPr>
        <w:t>式中：</w:t>
      </w:r>
      <w:r>
        <w:rPr>
          <w:position w:val="-12"/>
        </w:rPr>
        <w:object>
          <v:shape id="_x0000_i1114" o:spt="75" type="#_x0000_t75" style="height:18.35pt;width:12.9pt;" o:ole="t" filled="f" o:preferrelative="t" stroked="f" coordsize="21600,21600">
            <v:path/>
            <v:fill on="f" focussize="0,0"/>
            <v:stroke on="f" joinstyle="miter"/>
            <v:imagedata r:id="rId178" o:title=""/>
            <o:lock v:ext="edit" aspectratio="t"/>
            <w10:wrap type="none"/>
            <w10:anchorlock/>
          </v:shape>
          <o:OLEObject Type="Embed" ProgID="Equation.DSMT4" ShapeID="_x0000_i1114" DrawAspect="Content" ObjectID="_1468075814" r:id="rId177">
            <o:LockedField>false</o:LockedField>
          </o:OLEObject>
        </w:object>
      </w:r>
      <w:r>
        <w:rPr>
          <w:rFonts w:hint="eastAsia"/>
        </w:rPr>
        <w:t>——管道的重要性系数，按现行</w:t>
      </w:r>
      <w:bookmarkStart w:id="65" w:name="_Hlk17379097"/>
      <w:r>
        <w:rPr>
          <w:rFonts w:hint="eastAsia"/>
        </w:rPr>
        <w:t>国家标准《工程结构可靠性设计统一标准》GB50153</w:t>
      </w:r>
      <w:bookmarkEnd w:id="65"/>
      <w:r>
        <w:rPr>
          <w:rFonts w:hint="eastAsia"/>
        </w:rPr>
        <w:t>取值；</w:t>
      </w:r>
    </w:p>
    <w:p>
      <w:pPr>
        <w:ind w:firstLine="1200" w:firstLineChars="500"/>
      </w:pPr>
      <w:r>
        <w:t>S</w:t>
      </w:r>
      <w:r>
        <w:rPr>
          <w:rFonts w:hint="eastAsia"/>
        </w:rPr>
        <w:t>——作用效应组合的设计值</w:t>
      </w:r>
      <w:r>
        <w:t>；</w:t>
      </w:r>
    </w:p>
    <w:p>
      <w:pPr>
        <w:ind w:firstLine="1200" w:firstLineChars="500"/>
      </w:pPr>
      <w:r>
        <w:t>R</w:t>
      </w:r>
      <w:r>
        <w:rPr>
          <w:rFonts w:hint="eastAsia"/>
        </w:rPr>
        <w:t>——管道结构的抗力强度设计值。</w:t>
      </w:r>
    </w:p>
    <w:p>
      <w:r>
        <w:rPr>
          <w:rFonts w:hint="eastAsia"/>
          <w:b/>
          <w:bCs/>
        </w:rPr>
        <w:t>5.4.3</w:t>
      </w:r>
      <w:r>
        <w:rPr>
          <w:b/>
          <w:bCs/>
        </w:rPr>
        <w:t xml:space="preserve">  </w:t>
      </w:r>
      <w:r>
        <w:rPr>
          <w:rFonts w:hint="eastAsia"/>
        </w:rPr>
        <w:t>作用效应的组合设计值应按下式计算：</w:t>
      </w:r>
    </w:p>
    <w:p>
      <w:pPr>
        <w:tabs>
          <w:tab w:val="right" w:pos="8222"/>
        </w:tabs>
        <w:ind w:firstLine="648" w:firstLineChars="270"/>
      </w:pPr>
      <w:r>
        <w:object>
          <v:shape id="_x0000_i1115" o:spt="75" type="#_x0000_t75" style="height:40.75pt;width:224.85pt;" o:ole="t" filled="f" o:preferrelative="t" stroked="f" coordsize="21600,21600">
            <v:path/>
            <v:fill on="f" focussize="0,0"/>
            <v:stroke on="f" joinstyle="miter"/>
            <v:imagedata r:id="rId180" o:title=""/>
            <o:lock v:ext="edit" aspectratio="t"/>
            <w10:wrap type="none"/>
            <w10:anchorlock/>
          </v:shape>
          <o:OLEObject Type="Embed" ProgID="Equation.DSMT4" ShapeID="_x0000_i1115" DrawAspect="Content" ObjectID="_1468075815" r:id="rId179">
            <o:LockedField>false</o:LockedField>
          </o:OLEObject>
        </w:object>
      </w:r>
      <w:r>
        <w:t xml:space="preserve">              </w:t>
      </w:r>
      <w:r>
        <w:rPr>
          <w:rFonts w:hint="eastAsia"/>
        </w:rPr>
        <w:t>（5.4</w:t>
      </w:r>
      <w:r>
        <w:t>.</w:t>
      </w:r>
      <w:r>
        <w:rPr>
          <w:rFonts w:hint="eastAsia"/>
        </w:rPr>
        <w:t>3）</w:t>
      </w:r>
    </w:p>
    <w:p>
      <w:pPr>
        <w:textAlignment w:val="center"/>
      </w:pPr>
      <w:r>
        <w:rPr>
          <w:rFonts w:hint="eastAsia"/>
        </w:rPr>
        <w:t>式中：</w:t>
      </w:r>
      <w:r>
        <w:rPr>
          <w:rFonts w:hint="eastAsia"/>
        </w:rPr>
        <w:tab/>
      </w:r>
      <w:r>
        <w:object>
          <v:shape id="_x0000_i1116" o:spt="75" type="#_x0000_t75" style="height:19pt;width:25.15pt;" o:ole="t" filled="f" o:preferrelative="t" stroked="f" coordsize="21600,21600">
            <v:path/>
            <v:fill on="f" focussize="0,0"/>
            <v:stroke on="f" joinstyle="miter"/>
            <v:imagedata r:id="rId51" o:title=""/>
            <o:lock v:ext="edit" aspectratio="t"/>
            <w10:wrap type="none"/>
            <w10:anchorlock/>
          </v:shape>
          <o:OLEObject Type="Embed" ProgID="Equation.DSMT4" ShapeID="_x0000_i1116" DrawAspect="Content" ObjectID="_1468075816" r:id="rId181">
            <o:LockedField>false</o:LockedField>
          </o:OLEObject>
        </w:object>
      </w:r>
      <w:r>
        <w:rPr>
          <w:rFonts w:hint="eastAsia"/>
        </w:rPr>
        <w:t>——作用组合的效应函数；</w:t>
      </w:r>
    </w:p>
    <w:p>
      <w:pPr>
        <w:ind w:left="420" w:firstLine="420"/>
        <w:textAlignment w:val="center"/>
      </w:pPr>
      <w:r>
        <w:object>
          <v:shape id="_x0000_i1117" o:spt="75" type="#_x0000_t75" style="height:18.35pt;width:17pt;" o:ole="t" filled="f" o:preferrelative="t" stroked="f" coordsize="21600,21600">
            <v:path/>
            <v:fill on="f" focussize="0,0"/>
            <v:stroke on="f" joinstyle="miter"/>
            <v:imagedata r:id="rId25" o:title=""/>
            <o:lock v:ext="edit" aspectratio="t"/>
            <w10:wrap type="none"/>
            <w10:anchorlock/>
          </v:shape>
          <o:OLEObject Type="Embed" ProgID="Equation.DSMT4" ShapeID="_x0000_i1117" DrawAspect="Content" ObjectID="_1468075817" r:id="rId182">
            <o:LockedField>false</o:LockedField>
          </o:OLEObject>
        </w:object>
      </w:r>
      <w:r>
        <w:rPr>
          <w:rFonts w:hint="eastAsia"/>
        </w:rPr>
        <w:t>——第i个永久作用的标准值；</w:t>
      </w:r>
    </w:p>
    <w:p>
      <w:pPr>
        <w:ind w:left="420" w:firstLine="420"/>
        <w:textAlignment w:val="center"/>
      </w:pPr>
      <w:r>
        <w:object>
          <v:shape id="_x0000_i1118" o:spt="75" type="#_x0000_t75" style="height:18.35pt;width:18.35pt;" o:ole="t" filled="f" o:preferrelative="t" stroked="f" coordsize="21600,21600">
            <v:path/>
            <v:fill on="f" focussize="0,0"/>
            <v:stroke on="f" joinstyle="miter"/>
            <v:imagedata r:id="rId45" o:title=""/>
            <o:lock v:ext="edit" aspectratio="t"/>
            <w10:wrap type="none"/>
            <w10:anchorlock/>
          </v:shape>
          <o:OLEObject Type="Embed" ProgID="Equation.DSMT4" ShapeID="_x0000_i1118" DrawAspect="Content" ObjectID="_1468075818" r:id="rId183">
            <o:LockedField>false</o:LockedField>
          </o:OLEObject>
        </w:object>
      </w:r>
      <w:r>
        <w:rPr>
          <w:rFonts w:hint="eastAsia"/>
        </w:rPr>
        <w:t>、</w:t>
      </w:r>
      <w:r>
        <w:object>
          <v:shape id="_x0000_i1119" o:spt="75" type="#_x0000_t75" style="height:18.35pt;width:18.35pt;" o:ole="t" filled="f" o:preferrelative="t" stroked="f" coordsize="21600,21600">
            <v:path/>
            <v:fill on="f" focussize="0,0"/>
            <v:stroke on="f" joinstyle="miter"/>
            <v:imagedata r:id="rId47" o:title=""/>
            <o:lock v:ext="edit" aspectratio="t"/>
            <w10:wrap type="none"/>
            <w10:anchorlock/>
          </v:shape>
          <o:OLEObject Type="Embed" ProgID="Equation.DSMT4" ShapeID="_x0000_i1119" DrawAspect="Content" ObjectID="_1468075819" r:id="rId184">
            <o:LockedField>false</o:LockedField>
          </o:OLEObject>
        </w:object>
      </w:r>
      <w:r>
        <w:rPr>
          <w:rFonts w:hint="eastAsia"/>
        </w:rPr>
        <w:t>——第1个、第j个可变作用的标准值；</w:t>
      </w:r>
    </w:p>
    <w:p>
      <w:pPr>
        <w:ind w:left="420" w:firstLine="420"/>
        <w:textAlignment w:val="center"/>
      </w:pPr>
      <w:r>
        <w:object>
          <v:shape id="_x0000_i1120" o:spt="75" type="#_x0000_t75" style="height:18.35pt;width:17pt;" o:ole="t" filled="f" o:preferrelative="t" stroked="f" coordsize="21600,21600">
            <v:path/>
            <v:fill on="f" focussize="0,0"/>
            <v:stroke on="f" joinstyle="miter"/>
            <v:imagedata r:id="rId133" o:title=""/>
            <o:lock v:ext="edit" aspectratio="t"/>
            <w10:wrap type="none"/>
            <w10:anchorlock/>
          </v:shape>
          <o:OLEObject Type="Embed" ProgID="Equation.DSMT4" ShapeID="_x0000_i1120" DrawAspect="Content" ObjectID="_1468075820" r:id="rId185">
            <o:LockedField>false</o:LockedField>
          </o:OLEObject>
        </w:object>
      </w:r>
      <w:r>
        <w:rPr>
          <w:rFonts w:hint="eastAsia"/>
        </w:rPr>
        <w:t>——第i个永久作用分项系数；</w:t>
      </w:r>
    </w:p>
    <w:p>
      <w:pPr>
        <w:ind w:left="420" w:firstLine="420"/>
        <w:textAlignment w:val="center"/>
      </w:pPr>
      <w:r>
        <w:object>
          <v:shape id="_x0000_i1121" o:spt="75" type="#_x0000_t75" style="height:18.35pt;width:18.35pt;" o:ole="t" filled="f" o:preferrelative="t" stroked="f" coordsize="21600,21600">
            <v:path/>
            <v:fill on="f" focussize="0,0"/>
            <v:stroke on="f" joinstyle="miter"/>
            <v:imagedata r:id="rId135" o:title=""/>
            <o:lock v:ext="edit" aspectratio="t"/>
            <w10:wrap type="none"/>
            <w10:anchorlock/>
          </v:shape>
          <o:OLEObject Type="Embed" ProgID="Equation.DSMT4" ShapeID="_x0000_i1121" DrawAspect="Content" ObjectID="_1468075821" r:id="rId186">
            <o:LockedField>false</o:LockedField>
          </o:OLEObject>
        </w:object>
      </w:r>
      <w:r>
        <w:rPr>
          <w:rFonts w:hint="eastAsia"/>
        </w:rPr>
        <w:t>、</w:t>
      </w:r>
      <w:r>
        <w:object>
          <v:shape id="_x0000_i1122" o:spt="75" type="#_x0000_t75" style="height:18.35pt;width:17pt;" o:ole="t" filled="f" o:preferrelative="t" stroked="f" coordsize="21600,21600">
            <v:path/>
            <v:fill on="f" focussize="0,0"/>
            <v:stroke on="f" joinstyle="miter"/>
            <v:imagedata r:id="rId137" o:title=""/>
            <o:lock v:ext="edit" aspectratio="t"/>
            <w10:wrap type="none"/>
            <w10:anchorlock/>
          </v:shape>
          <o:OLEObject Type="Embed" ProgID="Equation.DSMT4" ShapeID="_x0000_i1122" DrawAspect="Content" ObjectID="_1468075822" r:id="rId187">
            <o:LockedField>false</o:LockedField>
          </o:OLEObject>
        </w:object>
      </w:r>
      <w:r>
        <w:rPr>
          <w:rFonts w:hint="eastAsia"/>
        </w:rPr>
        <w:t>——第i个、第j个可变作用分项系数；</w:t>
      </w:r>
    </w:p>
    <w:p>
      <w:pPr>
        <w:ind w:left="420" w:firstLine="420"/>
        <w:textAlignment w:val="center"/>
      </w:pPr>
      <w:r>
        <w:object>
          <v:shape id="_x0000_i1123" o:spt="75" type="#_x0000_t75" style="height:18.35pt;width:17pt;" o:ole="t" filled="f" o:preferrelative="t" stroked="f" coordsize="21600,21600">
            <v:path/>
            <v:fill on="f" focussize="0,0"/>
            <v:stroke on="f" joinstyle="miter"/>
            <v:imagedata r:id="rId139" o:title=""/>
            <o:lock v:ext="edit" aspectratio="t"/>
            <w10:wrap type="none"/>
            <w10:anchorlock/>
          </v:shape>
          <o:OLEObject Type="Embed" ProgID="Equation.DSMT4" ShapeID="_x0000_i1123" DrawAspect="Content" ObjectID="_1468075823" r:id="rId188">
            <o:LockedField>false</o:LockedField>
          </o:OLEObject>
        </w:object>
      </w:r>
      <w:r>
        <w:rPr>
          <w:rFonts w:hint="eastAsia"/>
        </w:rPr>
        <w:t>、</w:t>
      </w:r>
      <w:r>
        <w:object>
          <v:shape id="_x0000_i1124" o:spt="75" type="#_x0000_t75" style="height:18.35pt;width:15.6pt;" o:ole="t" filled="f" o:preferrelative="t" stroked="f" coordsize="21600,21600">
            <v:path/>
            <v:fill on="f" focussize="0,0"/>
            <v:stroke on="f" joinstyle="miter"/>
            <v:imagedata r:id="rId141" o:title=""/>
            <o:lock v:ext="edit" aspectratio="t"/>
            <w10:wrap type="none"/>
            <w10:anchorlock/>
          </v:shape>
          <o:OLEObject Type="Embed" ProgID="Equation.DSMT4" ShapeID="_x0000_i1124" DrawAspect="Content" ObjectID="_1468075824" r:id="rId189">
            <o:LockedField>false</o:LockedField>
          </o:OLEObject>
        </w:object>
      </w:r>
      <w:r>
        <w:rPr>
          <w:rFonts w:hint="eastAsia"/>
        </w:rPr>
        <w:t>——第i个、第j个使用年限调整系数；</w:t>
      </w:r>
    </w:p>
    <w:p>
      <w:pPr>
        <w:ind w:left="420" w:firstLine="420"/>
        <w:textAlignment w:val="center"/>
        <w:rPr>
          <w:rFonts w:asciiTheme="minorEastAsia" w:hAnsiTheme="minorEastAsia" w:eastAsiaTheme="minorEastAsia"/>
        </w:rPr>
      </w:pPr>
      <w:r>
        <w:object>
          <v:shape id="_x0000_i1125" o:spt="75" type="#_x0000_t75" style="height:18.35pt;width:17pt;" o:ole="t" filled="f" o:preferrelative="t" stroked="f" coordsize="21600,21600">
            <v:path/>
            <v:fill on="f" focussize="0,0"/>
            <v:stroke on="f" joinstyle="miter"/>
            <v:imagedata r:id="rId149" o:title=""/>
            <o:lock v:ext="edit" aspectratio="t"/>
            <w10:wrap type="none"/>
            <w10:anchorlock/>
          </v:shape>
          <o:OLEObject Type="Embed" ProgID="Equation.DSMT4" ShapeID="_x0000_i1125" DrawAspect="Content" ObjectID="_1468075825" r:id="rId190">
            <o:LockedField>false</o:LockedField>
          </o:OLEObject>
        </w:object>
      </w:r>
      <w:r>
        <w:rPr>
          <w:rFonts w:hint="eastAsia"/>
        </w:rPr>
        <w:t>——</w:t>
      </w:r>
      <w:r>
        <w:rPr>
          <w:rFonts w:hint="eastAsia" w:asciiTheme="minorEastAsia" w:hAnsiTheme="minorEastAsia" w:eastAsiaTheme="minorEastAsia"/>
        </w:rPr>
        <w:t>第j个可变作用的组合值系数。</w:t>
      </w:r>
    </w:p>
    <w:p>
      <w:r>
        <w:rPr>
          <w:rFonts w:hint="eastAsia"/>
          <w:b/>
          <w:bCs/>
        </w:rPr>
        <w:t>5.4.4</w:t>
      </w:r>
      <w:r>
        <w:t xml:space="preserve">  </w:t>
      </w:r>
      <w:r>
        <w:rPr>
          <w:rFonts w:hint="eastAsia"/>
        </w:rPr>
        <w:t>各种分项系数取值应符合下列规定：</w:t>
      </w:r>
    </w:p>
    <w:p>
      <w:pPr>
        <w:ind w:firstLine="480" w:firstLineChars="200"/>
        <w:textAlignment w:val="center"/>
      </w:pPr>
      <w:r>
        <w:rPr>
          <w:rFonts w:hint="eastAsia"/>
        </w:rPr>
        <w:t>1</w:t>
      </w:r>
      <w:r>
        <w:t xml:space="preserve">  </w:t>
      </w:r>
      <w:r>
        <w:rPr>
          <w:rFonts w:hint="eastAsia"/>
        </w:rPr>
        <w:t>永久荷载（</w:t>
      </w:r>
      <w:r>
        <w:object>
          <v:shape id="_x0000_i1126" o:spt="75" type="#_x0000_t75" style="height:18.35pt;width:17pt;" o:ole="t" filled="f" o:preferrelative="t" stroked="f" coordsize="21600,21600">
            <v:path/>
            <v:fill on="f" focussize="0,0"/>
            <v:stroke on="f" joinstyle="miter"/>
            <v:imagedata r:id="rId192" o:title=""/>
            <o:lock v:ext="edit" aspectratio="t"/>
            <w10:wrap type="none"/>
            <w10:anchorlock/>
          </v:shape>
          <o:OLEObject Type="Embed" ProgID="Equation.DSMT4" ShapeID="_x0000_i1126" DrawAspect="Content" ObjectID="_1468075826" r:id="rId191">
            <o:LockedField>false</o:LockedField>
          </o:OLEObject>
        </w:object>
      </w:r>
      <w:r>
        <w:rPr>
          <w:rFonts w:hint="eastAsia"/>
        </w:rPr>
        <w:t>）：当作用对承载力不利时取1.3，有利时≤1.0；</w:t>
      </w:r>
    </w:p>
    <w:p>
      <w:pPr>
        <w:ind w:firstLine="480" w:firstLineChars="200"/>
        <w:textAlignment w:val="center"/>
      </w:pPr>
      <w:r>
        <w:t xml:space="preserve">2  </w:t>
      </w:r>
      <w:r>
        <w:rPr>
          <w:rFonts w:hint="eastAsia"/>
        </w:rPr>
        <w:t>可变荷载（</w:t>
      </w:r>
      <w:r>
        <w:object>
          <v:shape id="_x0000_i1127" o:spt="75" type="#_x0000_t75" style="height:18.35pt;width:15.6pt;" o:ole="t" filled="f" o:preferrelative="t" stroked="f" coordsize="21600,21600">
            <v:path/>
            <v:fill on="f" focussize="0,0"/>
            <v:stroke on="f" joinstyle="miter"/>
            <v:imagedata r:id="rId194" o:title=""/>
            <o:lock v:ext="edit" aspectratio="t"/>
            <w10:wrap type="none"/>
            <w10:anchorlock/>
          </v:shape>
          <o:OLEObject Type="Embed" ProgID="Equation.DSMT4" ShapeID="_x0000_i1127" DrawAspect="Content" ObjectID="_1468075827" r:id="rId193">
            <o:LockedField>false</o:LockedField>
          </o:OLEObject>
        </w:object>
      </w:r>
      <w:r>
        <w:rPr>
          <w:rFonts w:hint="eastAsia"/>
        </w:rPr>
        <w:t>）：当作用对承载力不利时取1.5，有利时取0；</w:t>
      </w:r>
    </w:p>
    <w:p>
      <w:pPr>
        <w:ind w:firstLine="480" w:firstLineChars="200"/>
        <w:textAlignment w:val="center"/>
      </w:pPr>
      <w:r>
        <w:t xml:space="preserve">3  </w:t>
      </w:r>
      <w:r>
        <w:rPr>
          <w:rFonts w:hint="eastAsia"/>
        </w:rPr>
        <w:t>可变作用组合系数（</w:t>
      </w:r>
      <w:r>
        <w:object>
          <v:shape id="_x0000_i1128" o:spt="75" type="#_x0000_t75" style="height:18.35pt;width:17pt;" o:ole="t" filled="f" o:preferrelative="t" stroked="f" coordsize="21600,21600">
            <v:path/>
            <v:fill on="f" focussize="0,0"/>
            <v:stroke on="f" joinstyle="miter"/>
            <v:imagedata r:id="rId149" o:title=""/>
            <o:lock v:ext="edit" aspectratio="t"/>
            <w10:wrap type="none"/>
            <w10:anchorlock/>
          </v:shape>
          <o:OLEObject Type="Embed" ProgID="Equation.DSMT4" ShapeID="_x0000_i1128" DrawAspect="Content" ObjectID="_1468075828" r:id="rId195">
            <o:LockedField>false</o:LockedField>
          </o:OLEObject>
        </w:object>
      </w:r>
      <w:r>
        <w:rPr>
          <w:rFonts w:hint="eastAsia"/>
        </w:rPr>
        <w:t>）：不大于1.0，一般情况下取0.7，当可变荷载可能持续时间比较长时应适当加大；</w:t>
      </w:r>
    </w:p>
    <w:p>
      <w:pPr>
        <w:ind w:firstLine="480" w:firstLineChars="200"/>
        <w:textAlignment w:val="center"/>
      </w:pPr>
      <w:r>
        <w:t xml:space="preserve">4  </w:t>
      </w:r>
      <w:r>
        <w:rPr>
          <w:rFonts w:hint="eastAsia"/>
        </w:rPr>
        <w:t>荷载使用年限调整系数（</w:t>
      </w:r>
      <w:r>
        <w:object>
          <v:shape id="_x0000_i1129" o:spt="75" type="#_x0000_t75" style="height:18.35pt;width:14.25pt;" o:ole="t" filled="f" o:preferrelative="t" stroked="f" coordsize="21600,21600">
            <v:path/>
            <v:fill on="f" focussize="0,0"/>
            <v:stroke on="f" joinstyle="miter"/>
            <v:imagedata r:id="rId197" o:title=""/>
            <o:lock v:ext="edit" aspectratio="t"/>
            <w10:wrap type="none"/>
            <w10:anchorlock/>
          </v:shape>
          <o:OLEObject Type="Embed" ProgID="Equation.DSMT4" ShapeID="_x0000_i1129" DrawAspect="Content" ObjectID="_1468075829" r:id="rId196">
            <o:LockedField>false</o:LockedField>
          </o:OLEObject>
        </w:object>
      </w:r>
      <w:r>
        <w:rPr>
          <w:rFonts w:hint="eastAsia"/>
        </w:rPr>
        <w:t>）：使用年限为5年时，取0.9；使用年限为50年时，取1.0；使用年限为100年时，取1.1。</w:t>
      </w:r>
    </w:p>
    <w:p>
      <w:r>
        <w:rPr>
          <w:rFonts w:hint="eastAsia"/>
          <w:b/>
          <w:bCs/>
        </w:rPr>
        <w:t>5.4.5</w:t>
      </w:r>
      <w:r>
        <w:rPr>
          <w:b/>
          <w:bCs/>
        </w:rPr>
        <w:t xml:space="preserve">  </w:t>
      </w:r>
      <w:r>
        <w:rPr>
          <w:rFonts w:hint="eastAsia"/>
        </w:rPr>
        <w:t>管道结构的正常使用极限状态计算，包括变形、抗裂度和裂缝开展宽度，并应控制其计算值不超过相应的限定值。</w:t>
      </w:r>
    </w:p>
    <w:p>
      <w:r>
        <w:rPr>
          <w:rFonts w:hint="eastAsia"/>
          <w:b/>
          <w:bCs/>
        </w:rPr>
        <w:t>5.4.6</w:t>
      </w:r>
      <w:r>
        <w:rPr>
          <w:b/>
          <w:bCs/>
        </w:rPr>
        <w:t xml:space="preserve">  </w:t>
      </w:r>
      <w:r>
        <w:rPr>
          <w:rFonts w:hint="eastAsia"/>
        </w:rPr>
        <w:t>顶管结构正常使用极限状态设计，应符合下式规定：</w:t>
      </w:r>
    </w:p>
    <w:p>
      <w:pPr>
        <w:tabs>
          <w:tab w:val="right" w:pos="8222"/>
        </w:tabs>
        <w:ind w:firstLine="1848" w:firstLineChars="770"/>
      </w:pPr>
      <w:r>
        <w:object>
          <v:shape id="_x0000_i1130" o:spt="75" type="#_x0000_t75" style="height:18.35pt;width:36.7pt;" o:ole="t" filled="f" o:preferrelative="t" stroked="f" coordsize="21600,21600">
            <v:path/>
            <v:fill on="f" focussize="0,0"/>
            <v:stroke on="f" joinstyle="miter"/>
            <v:imagedata r:id="rId199" o:title=""/>
            <o:lock v:ext="edit" aspectratio="t"/>
            <w10:wrap type="none"/>
            <w10:anchorlock/>
          </v:shape>
          <o:OLEObject Type="Embed" ProgID="Equation.DSMT4" ShapeID="_x0000_i1130" DrawAspect="Content" ObjectID="_1468075830" r:id="rId198">
            <o:LockedField>false</o:LockedField>
          </o:OLEObject>
        </w:object>
      </w:r>
      <w:r>
        <w:rPr>
          <w:rFonts w:hint="eastAsia"/>
        </w:rPr>
        <w:tab/>
      </w:r>
      <w:r>
        <w:rPr>
          <w:rFonts w:hint="eastAsia"/>
        </w:rPr>
        <w:t>（5.4</w:t>
      </w:r>
      <w:r>
        <w:t>.</w:t>
      </w:r>
      <w:r>
        <w:rPr>
          <w:rFonts w:hint="eastAsia"/>
        </w:rPr>
        <w:t>6）</w:t>
      </w:r>
    </w:p>
    <w:p>
      <w:pPr>
        <w:textAlignment w:val="center"/>
      </w:pPr>
      <w:r>
        <w:rPr>
          <w:rFonts w:hint="eastAsia"/>
        </w:rPr>
        <w:t>式中：</w:t>
      </w:r>
      <w:r>
        <w:rPr>
          <w:rFonts w:hint="eastAsia"/>
        </w:rPr>
        <w:tab/>
      </w:r>
      <w:r>
        <w:object>
          <v:shape id="_x0000_i1131" o:spt="75" type="#_x0000_t75" style="height:18.35pt;width:15.6pt;" o:ole="t" filled="f" o:preferrelative="t" stroked="f" coordsize="21600,21600">
            <v:path/>
            <v:fill on="f" focussize="0,0"/>
            <v:stroke on="f" joinstyle="miter"/>
            <v:imagedata r:id="rId201" o:title=""/>
            <o:lock v:ext="edit" aspectratio="t"/>
            <w10:wrap type="none"/>
            <w10:anchorlock/>
          </v:shape>
          <o:OLEObject Type="Embed" ProgID="Equation.DSMT4" ShapeID="_x0000_i1131" DrawAspect="Content" ObjectID="_1468075831" r:id="rId200">
            <o:LockedField>false</o:LockedField>
          </o:OLEObject>
        </w:object>
      </w:r>
      <w:r>
        <w:rPr>
          <w:rFonts w:hint="eastAsia"/>
        </w:rPr>
        <w:t>——作用组合的效应设计值；</w:t>
      </w:r>
    </w:p>
    <w:p>
      <w:pPr>
        <w:ind w:left="420" w:firstLine="420"/>
        <w:textAlignment w:val="center"/>
      </w:pPr>
      <w:r>
        <w:object>
          <v:shape id="_x0000_i1132" o:spt="75" type="#_x0000_t75" style="height:14.25pt;width:11.55pt;" o:ole="t" filled="f" o:preferrelative="t" stroked="f" coordsize="21600,21600">
            <v:path/>
            <v:fill on="f" focussize="0,0"/>
            <v:stroke on="f" joinstyle="miter"/>
            <v:imagedata r:id="rId203" o:title=""/>
            <o:lock v:ext="edit" aspectratio="t"/>
            <w10:wrap type="none"/>
            <w10:anchorlock/>
          </v:shape>
          <o:OLEObject Type="Embed" ProgID="Equation.DSMT4" ShapeID="_x0000_i1132" DrawAspect="Content" ObjectID="_1468075832" r:id="rId202">
            <o:LockedField>false</o:LockedField>
          </o:OLEObject>
        </w:object>
      </w:r>
      <w:r>
        <w:rPr>
          <w:rFonts w:hint="eastAsia"/>
        </w:rPr>
        <w:t>——设计对变形、裂缝等规定的相应限值，应按有关的结构设计标准的规定采用。</w:t>
      </w:r>
    </w:p>
    <w:p>
      <w:pPr>
        <w:textAlignment w:val="center"/>
      </w:pPr>
      <w:r>
        <w:rPr>
          <w:rFonts w:hint="eastAsia"/>
          <w:b/>
          <w:bCs/>
        </w:rPr>
        <w:t>5.4.7</w:t>
      </w:r>
      <w:r>
        <w:rPr>
          <w:b/>
          <w:bCs/>
        </w:rPr>
        <w:t xml:space="preserve"> </w:t>
      </w:r>
      <w:r>
        <w:t xml:space="preserve"> 结构构件按正常使用极限状态验算时，应采用作用效应的</w:t>
      </w:r>
      <w:r>
        <w:rPr>
          <w:rFonts w:hint="eastAsia"/>
        </w:rPr>
        <w:t>标准</w:t>
      </w:r>
      <w:r>
        <w:t>组合</w:t>
      </w:r>
      <w:r>
        <w:rPr>
          <w:rFonts w:hint="eastAsia"/>
        </w:rPr>
        <w:t>、</w:t>
      </w:r>
      <w:r>
        <w:t>频遇组合或准永久组合</w:t>
      </w:r>
      <w:r>
        <w:rPr>
          <w:rFonts w:hint="eastAsia"/>
        </w:rPr>
        <w:t>，</w:t>
      </w:r>
      <w:r>
        <w:t>其中</w:t>
      </w:r>
      <w:r>
        <w:object>
          <v:shape id="_x0000_i1133" o:spt="75" type="#_x0000_t75" style="height:18.35pt;width:15.6pt;" o:ole="t" filled="f" o:preferrelative="t" stroked="f" coordsize="21600,21600">
            <v:path/>
            <v:fill on="f" focussize="0,0"/>
            <v:stroke on="f" joinstyle="miter"/>
            <v:imagedata r:id="rId201" o:title=""/>
            <o:lock v:ext="edit" aspectratio="t"/>
            <w10:wrap type="none"/>
            <w10:anchorlock/>
          </v:shape>
          <o:OLEObject Type="Embed" ProgID="Equation.DSMT4" ShapeID="_x0000_i1133" DrawAspect="Content" ObjectID="_1468075833" r:id="rId204">
            <o:LockedField>false</o:LockedField>
          </o:OLEObject>
        </w:object>
      </w:r>
      <w:r>
        <w:t>应</w:t>
      </w:r>
      <w:r>
        <w:rPr>
          <w:rFonts w:hint="eastAsia"/>
        </w:rPr>
        <w:t>按下列公式计算：</w:t>
      </w:r>
    </w:p>
    <w:p>
      <w:pPr>
        <w:tabs>
          <w:tab w:val="right" w:pos="8222"/>
        </w:tabs>
        <w:ind w:left="960" w:leftChars="270" w:hanging="312" w:hangingChars="130"/>
        <w:textAlignment w:val="center"/>
      </w:pPr>
      <w:r>
        <w:rPr>
          <w:rFonts w:hint="eastAsia"/>
        </w:rPr>
        <w:t>标准组合：</w:t>
      </w:r>
      <w:r>
        <w:object>
          <v:shape id="_x0000_i1134" o:spt="75" type="#_x0000_t75" style="height:40.75pt;width:157.6pt;" o:ole="t" filled="f" o:preferrelative="t" stroked="f" coordsize="21600,21600">
            <v:path/>
            <v:fill on="f" focussize="0,0"/>
            <v:stroke on="f" joinstyle="miter"/>
            <v:imagedata r:id="rId206" o:title=""/>
            <o:lock v:ext="edit" aspectratio="t"/>
            <w10:wrap type="none"/>
            <w10:anchorlock/>
          </v:shape>
          <o:OLEObject Type="Embed" ProgID="Equation.DSMT4" ShapeID="_x0000_i1134" DrawAspect="Content" ObjectID="_1468075834" r:id="rId205">
            <o:LockedField>false</o:LockedField>
          </o:OLEObject>
        </w:object>
      </w:r>
      <w:r>
        <w:rPr>
          <w:rFonts w:hint="eastAsia"/>
        </w:rPr>
        <w:tab/>
      </w:r>
      <w:r>
        <w:rPr>
          <w:rFonts w:hint="eastAsia"/>
        </w:rPr>
        <w:t>（5.4</w:t>
      </w:r>
      <w:r>
        <w:t>.</w:t>
      </w:r>
      <w:r>
        <w:rPr>
          <w:rFonts w:hint="eastAsia"/>
        </w:rPr>
        <w:t>7</w:t>
      </w:r>
      <w:r>
        <w:t>-1</w:t>
      </w:r>
      <w:r>
        <w:rPr>
          <w:rFonts w:hint="eastAsia"/>
        </w:rPr>
        <w:t>）</w:t>
      </w:r>
    </w:p>
    <w:p>
      <w:pPr>
        <w:tabs>
          <w:tab w:val="right" w:pos="8222"/>
        </w:tabs>
        <w:ind w:left="960" w:leftChars="270" w:hanging="312" w:hangingChars="130"/>
        <w:textAlignment w:val="center"/>
      </w:pPr>
      <w:r>
        <w:rPr>
          <w:rFonts w:hint="eastAsia"/>
        </w:rPr>
        <w:t>频遇组合：</w:t>
      </w:r>
      <w:r>
        <w:object>
          <v:shape id="_x0000_i1135" o:spt="75" type="#_x0000_t75" style="height:40.75pt;width:173.2pt;" o:ole="t" filled="f" o:preferrelative="t" stroked="f" coordsize="21600,21600">
            <v:path/>
            <v:fill on="f" focussize="0,0"/>
            <v:stroke on="f" joinstyle="miter"/>
            <v:imagedata r:id="rId208" o:title=""/>
            <o:lock v:ext="edit" aspectratio="t"/>
            <w10:wrap type="none"/>
            <w10:anchorlock/>
          </v:shape>
          <o:OLEObject Type="Embed" ProgID="Equation.DSMT4" ShapeID="_x0000_i1135" DrawAspect="Content" ObjectID="_1468075835" r:id="rId207">
            <o:LockedField>false</o:LockedField>
          </o:OLEObject>
        </w:object>
      </w:r>
      <w:r>
        <w:rPr>
          <w:rFonts w:hint="eastAsia"/>
        </w:rPr>
        <w:tab/>
      </w:r>
      <w:r>
        <w:rPr>
          <w:rFonts w:hint="eastAsia"/>
        </w:rPr>
        <w:t>（5.4</w:t>
      </w:r>
      <w:r>
        <w:t>.</w:t>
      </w:r>
      <w:r>
        <w:rPr>
          <w:rFonts w:hint="eastAsia"/>
        </w:rPr>
        <w:t>7</w:t>
      </w:r>
      <w:r>
        <w:t>-2</w:t>
      </w:r>
      <w:r>
        <w:rPr>
          <w:rFonts w:hint="eastAsia"/>
        </w:rPr>
        <w:t>）</w:t>
      </w:r>
    </w:p>
    <w:p>
      <w:pPr>
        <w:tabs>
          <w:tab w:val="right" w:pos="8222"/>
        </w:tabs>
        <w:ind w:left="960" w:leftChars="270" w:hanging="312" w:hangingChars="130"/>
        <w:textAlignment w:val="center"/>
      </w:pPr>
      <w:r>
        <w:rPr>
          <w:rFonts w:hint="eastAsia"/>
        </w:rPr>
        <w:t>准永久组合：</w:t>
      </w:r>
      <w:r>
        <w:object>
          <v:shape id="_x0000_i1136" o:spt="75" type="#_x0000_t75" style="height:40.75pt;width:131.1pt;" o:ole="t" filled="f" o:preferrelative="t" stroked="f" coordsize="21600,21600">
            <v:path/>
            <v:fill on="f" focussize="0,0"/>
            <v:stroke on="f" joinstyle="miter"/>
            <v:imagedata r:id="rId210" o:title=""/>
            <o:lock v:ext="edit" aspectratio="t"/>
            <w10:wrap type="none"/>
            <w10:anchorlock/>
          </v:shape>
          <o:OLEObject Type="Embed" ProgID="Equation.DSMT4" ShapeID="_x0000_i1136" DrawAspect="Content" ObjectID="_1468075836" r:id="rId209">
            <o:LockedField>false</o:LockedField>
          </o:OLEObject>
        </w:object>
      </w:r>
      <w:r>
        <w:rPr>
          <w:rFonts w:hint="eastAsia"/>
        </w:rPr>
        <w:tab/>
      </w:r>
      <w:r>
        <w:rPr>
          <w:rFonts w:hint="eastAsia"/>
        </w:rPr>
        <w:t>（5.4</w:t>
      </w:r>
      <w:r>
        <w:t>.</w:t>
      </w:r>
      <w:r>
        <w:rPr>
          <w:rFonts w:hint="eastAsia"/>
        </w:rPr>
        <w:t>7</w:t>
      </w:r>
      <w:r>
        <w:t>-3</w:t>
      </w:r>
      <w:r>
        <w:rPr>
          <w:rFonts w:hint="eastAsia"/>
        </w:rPr>
        <w:t>）</w:t>
      </w:r>
    </w:p>
    <w:p>
      <w:r>
        <w:rPr>
          <w:rFonts w:hint="eastAsia"/>
          <w:b/>
          <w:bCs/>
        </w:rPr>
        <w:t>5.4.8</w:t>
      </w:r>
      <w:r>
        <w:rPr>
          <w:b/>
          <w:bCs/>
        </w:rPr>
        <w:t xml:space="preserve"> </w:t>
      </w:r>
      <w:r>
        <w:t xml:space="preserve"> </w:t>
      </w:r>
      <w:r>
        <w:rPr>
          <w:rFonts w:hint="eastAsia"/>
        </w:rPr>
        <w:t>判断是否开裂，应按照作用效应的标准组合设计。计算裂缝宽度和变形，应按照作用效果的准永久组合。</w:t>
      </w:r>
    </w:p>
    <w:p>
      <w:r>
        <w:rPr>
          <w:rFonts w:hint="eastAsia"/>
          <w:b/>
          <w:bCs/>
        </w:rPr>
        <w:t>5.4.9</w:t>
      </w:r>
      <w:r>
        <w:rPr>
          <w:b/>
          <w:bCs/>
        </w:rPr>
        <w:t xml:space="preserve">  </w:t>
      </w:r>
      <w:r>
        <w:rPr>
          <w:rFonts w:hint="eastAsia"/>
        </w:rPr>
        <w:t>裂缝宽度计算可按照下列公式计算：</w:t>
      </w:r>
    </w:p>
    <w:p>
      <w:pPr>
        <w:tabs>
          <w:tab w:val="right" w:pos="8222"/>
        </w:tabs>
        <w:ind w:firstLine="648" w:firstLineChars="270"/>
        <w:textAlignment w:val="center"/>
      </w:pPr>
      <w:r>
        <w:object>
          <v:shape id="_x0000_i1137" o:spt="75" type="#_x0000_t75" style="height:38.05pt;width:161.65pt;" o:ole="t" filled="f" o:preferrelative="t" stroked="f" coordsize="21600,21600">
            <v:path/>
            <v:fill on="f" focussize="0,0"/>
            <v:stroke on="f" joinstyle="miter"/>
            <v:imagedata r:id="rId212" o:title=""/>
            <o:lock v:ext="edit" aspectratio="t"/>
            <w10:wrap type="none"/>
            <w10:anchorlock/>
          </v:shape>
          <o:OLEObject Type="Embed" ProgID="Equation.DSMT4" ShapeID="_x0000_i1137" DrawAspect="Content" ObjectID="_1468075837" r:id="rId211">
            <o:LockedField>false</o:LockedField>
          </o:OLEObject>
        </w:object>
      </w:r>
      <w:r>
        <w:t xml:space="preserve">     </w:t>
      </w:r>
      <w:r>
        <w:rPr>
          <w:rFonts w:hint="eastAsia"/>
        </w:rPr>
        <w:tab/>
      </w:r>
      <w:r>
        <w:rPr>
          <w:rFonts w:hint="eastAsia"/>
        </w:rPr>
        <w:t>（5.4.9-1）</w:t>
      </w:r>
    </w:p>
    <w:p>
      <w:pPr>
        <w:tabs>
          <w:tab w:val="right" w:pos="8222"/>
        </w:tabs>
        <w:ind w:firstLine="648" w:firstLineChars="270"/>
        <w:textAlignment w:val="center"/>
      </w:pPr>
      <w:r>
        <w:object>
          <v:shape id="_x0000_i1138" o:spt="75" type="#_x0000_t75" style="height:33.95pt;width:101.9pt;" o:ole="t" filled="f" o:preferrelative="t" stroked="f" coordsize="21600,21600">
            <v:path/>
            <v:fill on="f" focussize="0,0"/>
            <v:stroke on="f" joinstyle="miter"/>
            <v:imagedata r:id="rId214" o:title=""/>
            <o:lock v:ext="edit" aspectratio="t"/>
            <w10:wrap type="none"/>
            <w10:anchorlock/>
          </v:shape>
          <o:OLEObject Type="Embed" ProgID="Equation.DSMT4" ShapeID="_x0000_i1138" DrawAspect="Content" ObjectID="_1468075838" r:id="rId213">
            <o:LockedField>false</o:LockedField>
          </o:OLEObject>
        </w:object>
      </w:r>
      <w:r>
        <w:t xml:space="preserve">            </w:t>
      </w:r>
      <w:r>
        <w:rPr>
          <w:rFonts w:hint="eastAsia"/>
        </w:rPr>
        <w:tab/>
      </w:r>
      <w:r>
        <w:rPr>
          <w:rFonts w:hint="eastAsia"/>
        </w:rPr>
        <w:t>（5.4.9-2）</w:t>
      </w:r>
    </w:p>
    <w:p>
      <w:pPr>
        <w:tabs>
          <w:tab w:val="right" w:pos="8222"/>
        </w:tabs>
        <w:ind w:firstLine="648" w:firstLineChars="270"/>
        <w:textAlignment w:val="center"/>
      </w:pPr>
      <w:r>
        <w:object>
          <v:shape id="_x0000_i1139" o:spt="75" type="#_x0000_t75" style="height:36.7pt;width:69.95pt;" o:ole="t" filled="f" o:preferrelative="t" stroked="f" coordsize="21600,21600">
            <v:path/>
            <v:fill on="f" focussize="0,0"/>
            <v:stroke on="f" joinstyle="miter"/>
            <v:imagedata r:id="rId216" o:title=""/>
            <o:lock v:ext="edit" aspectratio="t"/>
            <w10:wrap type="none"/>
            <w10:anchorlock/>
          </v:shape>
          <o:OLEObject Type="Embed" ProgID="Equation.DSMT4" ShapeID="_x0000_i1139" DrawAspect="Content" ObjectID="_1468075839" r:id="rId215">
            <o:LockedField>false</o:LockedField>
          </o:OLEObject>
        </w:object>
      </w:r>
      <w:r>
        <w:t xml:space="preserve">                 </w:t>
      </w:r>
      <w:r>
        <w:rPr>
          <w:rFonts w:hint="eastAsia"/>
        </w:rPr>
        <w:tab/>
      </w:r>
      <w:r>
        <w:t xml:space="preserve">  </w:t>
      </w:r>
      <w:r>
        <w:rPr>
          <w:rFonts w:hint="eastAsia"/>
        </w:rPr>
        <w:t>（5.4.9-3）</w:t>
      </w:r>
    </w:p>
    <w:p>
      <w:pPr>
        <w:tabs>
          <w:tab w:val="right" w:pos="8222"/>
        </w:tabs>
        <w:ind w:firstLine="648" w:firstLineChars="270"/>
        <w:textAlignment w:val="center"/>
      </w:pPr>
      <w:r>
        <w:object>
          <v:shape id="_x0000_i1140" o:spt="75" type="#_x0000_t75" style="height:33.95pt;width:42.8pt;" o:ole="t" filled="f" o:preferrelative="t" stroked="f" coordsize="21600,21600">
            <v:path/>
            <v:fill on="f" focussize="0,0"/>
            <v:stroke on="f" joinstyle="miter"/>
            <v:imagedata r:id="rId218" o:title=""/>
            <o:lock v:ext="edit" aspectratio="t"/>
            <w10:wrap type="none"/>
            <w10:anchorlock/>
          </v:shape>
          <o:OLEObject Type="Embed" ProgID="Equation.DSMT4" ShapeID="_x0000_i1140" DrawAspect="Content" ObjectID="_1468075840" r:id="rId217">
            <o:LockedField>false</o:LockedField>
          </o:OLEObject>
        </w:object>
      </w:r>
      <w:r>
        <w:t xml:space="preserve">                      </w:t>
      </w:r>
      <w:r>
        <w:rPr>
          <w:rFonts w:hint="eastAsia"/>
        </w:rPr>
        <w:tab/>
      </w:r>
      <w:r>
        <w:rPr>
          <w:rFonts w:hint="eastAsia"/>
        </w:rPr>
        <w:t>（5.4.9-4）</w:t>
      </w:r>
    </w:p>
    <w:p>
      <w:pPr>
        <w:textAlignment w:val="center"/>
      </w:pPr>
      <w:r>
        <w:rPr>
          <w:rFonts w:hint="eastAsia"/>
        </w:rPr>
        <w:t>式中：</w:t>
      </w:r>
      <w:r>
        <w:rPr>
          <w:rFonts w:hint="eastAsia"/>
        </w:rPr>
        <w:tab/>
      </w:r>
      <w:r>
        <w:object>
          <v:shape id="_x0000_i1141" o:spt="75" type="#_x0000_t75" style="height:18.35pt;width:17pt;" o:ole="t" filled="f" o:preferrelative="t" stroked="f" coordsize="21600,21600">
            <v:path/>
            <v:fill on="f" focussize="0,0"/>
            <v:stroke on="f" joinstyle="miter"/>
            <v:imagedata r:id="rId121" o:title=""/>
            <o:lock v:ext="edit" aspectratio="t"/>
            <w10:wrap type="none"/>
            <w10:anchorlock/>
          </v:shape>
          <o:OLEObject Type="Embed" ProgID="Equation.DSMT4" ShapeID="_x0000_i1141" DrawAspect="Content" ObjectID="_1468075841" r:id="rId219">
            <o:LockedField>false</o:LockedField>
          </o:OLEObject>
        </w:object>
      </w:r>
      <w:r>
        <w:rPr>
          <w:rFonts w:hint="eastAsia"/>
        </w:rPr>
        <w:t>——构件受力特征系数，其取值见表5.4.9-1；</w:t>
      </w:r>
    </w:p>
    <w:p>
      <w:pPr>
        <w:autoSpaceDE w:val="0"/>
        <w:autoSpaceDN w:val="0"/>
        <w:adjustRightInd w:val="0"/>
        <w:ind w:firstLine="851"/>
        <w:jc w:val="left"/>
        <w:textAlignment w:val="center"/>
      </w:pPr>
      <w:r>
        <w:object>
          <v:shape id="_x0000_i1142" o:spt="75" type="#_x0000_t75" style="height:13.6pt;width:10.85pt;" o:ole="t" filled="f" o:preferrelative="t" stroked="f" coordsize="21600,21600">
            <v:path/>
            <v:fill on="f" focussize="0,0"/>
            <v:stroke on="f" joinstyle="miter"/>
            <v:imagedata r:id="rId147" o:title=""/>
            <o:lock v:ext="edit" aspectratio="t"/>
            <w10:wrap type="none"/>
            <w10:anchorlock/>
          </v:shape>
          <o:OLEObject Type="Embed" ProgID="Equation.DSMT4" ShapeID="_x0000_i1142" DrawAspect="Content" ObjectID="_1468075842" r:id="rId220">
            <o:LockedField>false</o:LockedField>
          </o:OLEObject>
        </w:object>
      </w:r>
      <w:r>
        <w:rPr>
          <w:rFonts w:hint="eastAsia"/>
        </w:rPr>
        <w:t>——裂缝间纵向受拉钢筋应变不均匀系数：当</w:t>
      </w:r>
      <w:r>
        <w:object>
          <v:shape id="_x0000_i1143" o:spt="75" type="#_x0000_t75" style="height:13.6pt;width:10.85pt;" o:ole="t" filled="f" o:preferrelative="t" stroked="f" coordsize="21600,21600">
            <v:path/>
            <v:fill on="f" focussize="0,0"/>
            <v:stroke on="f" joinstyle="miter"/>
            <v:imagedata r:id="rId222" o:title=""/>
            <o:lock v:ext="edit" aspectratio="t"/>
            <w10:wrap type="none"/>
            <w10:anchorlock/>
          </v:shape>
          <o:OLEObject Type="Embed" ProgID="Equation.DSMT4" ShapeID="_x0000_i1143" DrawAspect="Content" ObjectID="_1468075843" r:id="rId221">
            <o:LockedField>false</o:LockedField>
          </o:OLEObject>
        </w:object>
      </w:r>
      <w:r>
        <w:t>&lt;0.2</w:t>
      </w:r>
      <w:r>
        <w:rPr>
          <w:rFonts w:hint="eastAsia"/>
        </w:rPr>
        <w:t>时，取</w:t>
      </w:r>
      <w:r>
        <w:t>0.2</w:t>
      </w:r>
      <w:r>
        <w:rPr>
          <w:rFonts w:hint="eastAsia"/>
        </w:rPr>
        <w:t>；当</w:t>
      </w:r>
      <w:r>
        <w:object>
          <v:shape id="_x0000_i1144" o:spt="75" type="#_x0000_t75" style="height:13.6pt;width:10.85pt;" o:ole="t" filled="f" o:preferrelative="t" stroked="f" coordsize="21600,21600">
            <v:path/>
            <v:fill on="f" focussize="0,0"/>
            <v:stroke on="f" joinstyle="miter"/>
            <v:imagedata r:id="rId224" o:title=""/>
            <o:lock v:ext="edit" aspectratio="t"/>
            <w10:wrap type="none"/>
            <w10:anchorlock/>
          </v:shape>
          <o:OLEObject Type="Embed" ProgID="Equation.DSMT4" ShapeID="_x0000_i1144" DrawAspect="Content" ObjectID="_1468075844" r:id="rId223">
            <o:LockedField>false</o:LockedField>
          </o:OLEObject>
        </w:object>
      </w:r>
      <w:r>
        <w:t>&gt;1.0</w:t>
      </w:r>
      <w:r>
        <w:rPr>
          <w:rFonts w:hint="eastAsia"/>
        </w:rPr>
        <w:t>时，取</w:t>
      </w:r>
      <w:r>
        <w:t>1.0</w:t>
      </w:r>
      <w:r>
        <w:rPr>
          <w:rFonts w:hint="eastAsia"/>
        </w:rPr>
        <w:t>；</w:t>
      </w:r>
    </w:p>
    <w:p>
      <w:pPr>
        <w:autoSpaceDE w:val="0"/>
        <w:adjustRightInd w:val="0"/>
        <w:ind w:firstLine="851"/>
        <w:jc w:val="left"/>
        <w:textAlignment w:val="center"/>
      </w:pPr>
      <w:r>
        <w:object>
          <v:shape id="_x0000_i1145" o:spt="75" type="#_x0000_t75" style="height:18.35pt;width:15.6pt;" o:ole="t" filled="f" o:preferrelative="t" stroked="f" coordsize="21600,21600">
            <v:path/>
            <v:fill on="f" focussize="0,0"/>
            <v:stroke on="f" joinstyle="miter"/>
            <v:imagedata r:id="rId53" o:title=""/>
            <o:lock v:ext="edit" aspectratio="t"/>
            <w10:wrap type="none"/>
            <w10:anchorlock/>
          </v:shape>
          <o:OLEObject Type="Embed" ProgID="Equation.DSMT4" ShapeID="_x0000_i1145" DrawAspect="Content" ObjectID="_1468075845" r:id="rId225">
            <o:LockedField>false</o:LockedField>
          </o:OLEObject>
        </w:object>
      </w:r>
      <w:r>
        <w:rPr>
          <w:rFonts w:hint="eastAsia"/>
        </w:rPr>
        <w:t>——按荷载准永久组合计算的钢筋混凝土构件纵向受拉普通钢筋应力；</w:t>
      </w:r>
    </w:p>
    <w:p>
      <w:pPr>
        <w:autoSpaceDE w:val="0"/>
        <w:autoSpaceDN w:val="0"/>
        <w:adjustRightInd w:val="0"/>
        <w:ind w:left="420" w:firstLine="420"/>
        <w:jc w:val="left"/>
        <w:textAlignment w:val="center"/>
      </w:pPr>
      <w:r>
        <w:object>
          <v:shape id="_x0000_i1146" o:spt="75" type="#_x0000_t75" style="height:18.35pt;width:15.6pt;" o:ole="t" filled="f" o:preferrelative="t" stroked="f" coordsize="21600,21600">
            <v:path/>
            <v:fill on="f" focussize="0,0"/>
            <v:stroke on="f" joinstyle="miter"/>
            <v:imagedata r:id="rId57" o:title=""/>
            <o:lock v:ext="edit" aspectratio="t"/>
            <w10:wrap type="none"/>
            <w10:anchorlock/>
          </v:shape>
          <o:OLEObject Type="Embed" ProgID="Equation.DSMT4" ShapeID="_x0000_i1146" DrawAspect="Content" ObjectID="_1468075846" r:id="rId226">
            <o:LockedField>false</o:LockedField>
          </o:OLEObject>
        </w:object>
      </w:r>
      <w:r>
        <w:rPr>
          <w:rFonts w:hint="eastAsia"/>
        </w:rPr>
        <w:t>——钢筋弹性模量（M</w:t>
      </w:r>
      <w:r>
        <w:t>Pa</w:t>
      </w:r>
      <w:r>
        <w:rPr>
          <w:rFonts w:hint="eastAsia"/>
        </w:rPr>
        <w:t>）；</w:t>
      </w:r>
    </w:p>
    <w:p>
      <w:pPr>
        <w:autoSpaceDE w:val="0"/>
        <w:autoSpaceDN w:val="0"/>
        <w:adjustRightInd w:val="0"/>
        <w:ind w:firstLine="851"/>
        <w:jc w:val="left"/>
        <w:textAlignment w:val="center"/>
      </w:pPr>
      <w:r>
        <w:object>
          <v:shape id="_x0000_i1147" o:spt="75" type="#_x0000_t75" style="height:18.35pt;width:11.55pt;" o:ole="t" filled="f" o:preferrelative="t" stroked="f" coordsize="21600,21600">
            <v:path/>
            <v:fill on="f" focussize="0,0"/>
            <v:stroke on="f" joinstyle="miter"/>
            <v:imagedata r:id="rId81" o:title=""/>
            <o:lock v:ext="edit" aspectratio="t"/>
            <w10:wrap type="none"/>
            <w10:anchorlock/>
          </v:shape>
          <o:OLEObject Type="Embed" ProgID="Equation.DSMT4" ShapeID="_x0000_i1147" DrawAspect="Content" ObjectID="_1468075847" r:id="rId227">
            <o:LockedField>false</o:LockedField>
          </o:OLEObject>
        </w:object>
      </w:r>
      <w:r>
        <w:rPr>
          <w:rFonts w:hint="eastAsia"/>
        </w:rPr>
        <w:t>——最外层纵向受拉钢筋外边缘至受拉区底边的距离</w:t>
      </w:r>
      <w:r>
        <w:t>(mm)</w:t>
      </w:r>
      <w:r>
        <w:rPr>
          <w:rFonts w:hint="eastAsia"/>
        </w:rPr>
        <w:t>：当</w:t>
      </w:r>
      <w:r>
        <w:object>
          <v:shape id="_x0000_i1148" o:spt="75" type="#_x0000_t75" style="height:18.35pt;width:11.55pt;" o:ole="t" filled="f" o:preferrelative="t" stroked="f" coordsize="21600,21600">
            <v:path/>
            <v:fill on="f" focussize="0,0"/>
            <v:stroke on="f" joinstyle="miter"/>
            <v:imagedata r:id="rId81" o:title=""/>
            <o:lock v:ext="edit" aspectratio="t"/>
            <w10:wrap type="none"/>
            <w10:anchorlock/>
          </v:shape>
          <o:OLEObject Type="Embed" ProgID="Equation.DSMT4" ShapeID="_x0000_i1148" DrawAspect="Content" ObjectID="_1468075848" r:id="rId228">
            <o:LockedField>false</o:LockedField>
          </o:OLEObject>
        </w:object>
      </w:r>
      <w:r>
        <w:t>&lt;20</w:t>
      </w:r>
      <w:r>
        <w:rPr>
          <w:rFonts w:hint="eastAsia"/>
        </w:rPr>
        <w:t>时，取20；当</w:t>
      </w:r>
      <w:r>
        <w:object>
          <v:shape id="_x0000_i1149" o:spt="75" type="#_x0000_t75" style="height:18.35pt;width:11.55pt;" o:ole="t" filled="f" o:preferrelative="t" stroked="f" coordsize="21600,21600">
            <v:path/>
            <v:fill on="f" focussize="0,0"/>
            <v:stroke on="f" joinstyle="miter"/>
            <v:imagedata r:id="rId81" o:title=""/>
            <o:lock v:ext="edit" aspectratio="t"/>
            <w10:wrap type="none"/>
            <w10:anchorlock/>
          </v:shape>
          <o:OLEObject Type="Embed" ProgID="Equation.DSMT4" ShapeID="_x0000_i1149" DrawAspect="Content" ObjectID="_1468075849" r:id="rId229">
            <o:LockedField>false</o:LockedField>
          </o:OLEObject>
        </w:object>
      </w:r>
      <w:r>
        <w:rPr>
          <w:rFonts w:hint="eastAsia"/>
        </w:rPr>
        <w:t>＞</w:t>
      </w:r>
      <w:r>
        <w:t>65</w:t>
      </w:r>
      <w:r>
        <w:rPr>
          <w:rFonts w:hint="eastAsia"/>
        </w:rPr>
        <w:t>时，取</w:t>
      </w:r>
      <w:r>
        <w:t>65</w:t>
      </w:r>
      <w:r>
        <w:rPr>
          <w:rFonts w:hint="eastAsia"/>
        </w:rPr>
        <w:t>；</w:t>
      </w:r>
    </w:p>
    <w:p>
      <w:pPr>
        <w:autoSpaceDE w:val="0"/>
        <w:autoSpaceDN w:val="0"/>
        <w:adjustRightInd w:val="0"/>
        <w:ind w:firstLine="839"/>
        <w:jc w:val="left"/>
        <w:textAlignment w:val="center"/>
      </w:pPr>
      <w:r>
        <w:object>
          <v:shape id="_x0000_i1150" o:spt="75" type="#_x0000_t75" style="height:18.35pt;width:15.6pt;" o:ole="t" filled="f" o:preferrelative="t" stroked="f" coordsize="21600,21600">
            <v:path/>
            <v:fill on="f" focussize="0,0"/>
            <v:stroke on="f" joinstyle="miter"/>
            <v:imagedata r:id="rId143" o:title=""/>
            <o:lock v:ext="edit" aspectratio="t"/>
            <w10:wrap type="none"/>
            <w10:anchorlock/>
          </v:shape>
          <o:OLEObject Type="Embed" ProgID="Equation.DSMT4" ShapeID="_x0000_i1150" DrawAspect="Content" ObjectID="_1468075850" r:id="rId230">
            <o:LockedField>false</o:LockedField>
          </o:OLEObject>
        </w:object>
      </w:r>
      <w:r>
        <w:rPr>
          <w:rFonts w:hint="eastAsia"/>
        </w:rPr>
        <w:t>——按有效受拉混凝土截面面积计算的纵向受拉钢筋配筋率，当</w:t>
      </w:r>
      <w:r>
        <w:object>
          <v:shape id="_x0000_i1151" o:spt="75" type="#_x0000_t75" style="height:18.35pt;width:15.6pt;" o:ole="t" filled="f" o:preferrelative="t" stroked="f" coordsize="21600,21600">
            <v:path/>
            <v:fill on="f" focussize="0,0"/>
            <v:stroke on="f" joinstyle="miter"/>
            <v:imagedata r:id="rId143" o:title=""/>
            <o:lock v:ext="edit" aspectratio="t"/>
            <w10:wrap type="none"/>
            <w10:anchorlock/>
          </v:shape>
          <o:OLEObject Type="Embed" ProgID="Equation.DSMT4" ShapeID="_x0000_i1151" DrawAspect="Content" ObjectID="_1468075851" r:id="rId231">
            <o:LockedField>false</o:LockedField>
          </o:OLEObject>
        </w:object>
      </w:r>
      <w:r>
        <w:rPr>
          <w:rFonts w:hint="eastAsia"/>
        </w:rPr>
        <w:t>＜0.01时，取0.01；</w:t>
      </w:r>
    </w:p>
    <w:p>
      <w:pPr>
        <w:autoSpaceDE w:val="0"/>
        <w:autoSpaceDN w:val="0"/>
        <w:adjustRightInd w:val="0"/>
        <w:ind w:firstLine="851"/>
        <w:jc w:val="left"/>
        <w:textAlignment w:val="center"/>
      </w:pPr>
      <w:r>
        <w:object>
          <v:shape id="_x0000_i1152" o:spt="75" type="#_x0000_t75" style="height:18.35pt;width:15.6pt;" o:ole="t" filled="f" o:preferrelative="t" stroked="f" coordsize="21600,21600">
            <v:path/>
            <v:fill on="f" focussize="0,0"/>
            <v:stroke on="f" joinstyle="miter"/>
            <v:imagedata r:id="rId69" o:title=""/>
            <o:lock v:ext="edit" aspectratio="t"/>
            <w10:wrap type="none"/>
            <w10:anchorlock/>
          </v:shape>
          <o:OLEObject Type="Embed" ProgID="Equation.DSMT4" ShapeID="_x0000_i1152" DrawAspect="Content" ObjectID="_1468075852" r:id="rId232">
            <o:LockedField>false</o:LockedField>
          </o:OLEObject>
        </w:object>
      </w:r>
      <w:r>
        <w:rPr>
          <w:rFonts w:hint="eastAsia"/>
        </w:rPr>
        <w:t>——有效受拉混凝土截面面积。对受弯、偏心受压和偏心受拉构件，取A</w:t>
      </w:r>
      <w:r>
        <w:rPr>
          <w:rFonts w:hint="eastAsia"/>
          <w:vertAlign w:val="subscript"/>
        </w:rPr>
        <w:t>te</w:t>
      </w:r>
      <w:r>
        <w:t xml:space="preserve"> =0.5</w:t>
      </w:r>
      <w:r>
        <w:rPr>
          <w:rFonts w:hint="eastAsia"/>
        </w:rPr>
        <w:t>bh，此处</w:t>
      </w:r>
      <w:r>
        <w:t>b</w:t>
      </w:r>
      <w:r>
        <w:rPr>
          <w:rFonts w:hint="eastAsia"/>
        </w:rPr>
        <w:t>、h为计算断面的宽度、高度；</w:t>
      </w:r>
    </w:p>
    <w:p>
      <w:pPr>
        <w:autoSpaceDE w:val="0"/>
        <w:autoSpaceDN w:val="0"/>
        <w:adjustRightInd w:val="0"/>
        <w:ind w:left="972" w:leftChars="405"/>
        <w:jc w:val="left"/>
        <w:textAlignment w:val="top"/>
      </w:pPr>
      <w:r>
        <w:object>
          <v:shape id="_x0000_i1153" o:spt="75" type="#_x0000_t75" style="height:18.35pt;width:14.25pt;" o:ole="t" filled="f" o:preferrelative="t" stroked="f" coordsize="21600,21600">
            <v:path/>
            <v:fill on="f" focussize="0,0"/>
            <v:stroke on="f" joinstyle="miter"/>
            <v:imagedata r:id="rId67" o:title=""/>
            <o:lock v:ext="edit" aspectratio="t"/>
            <w10:wrap type="none"/>
            <w10:anchorlock/>
          </v:shape>
          <o:OLEObject Type="Embed" ProgID="Equation.DSMT4" ShapeID="_x0000_i1153" DrawAspect="Content" ObjectID="_1468075853" r:id="rId233">
            <o:LockedField>false</o:LockedField>
          </o:OLEObject>
        </w:object>
      </w:r>
      <w:r>
        <w:rPr>
          <w:rFonts w:hint="eastAsia"/>
        </w:rPr>
        <w:t>——受拉区纵向钢筋截面面积（mm</w:t>
      </w:r>
      <w:r>
        <w:rPr>
          <w:rFonts w:hint="eastAsia"/>
          <w:vertAlign w:val="superscript"/>
        </w:rPr>
        <w:t>2</w:t>
      </w:r>
      <w:r>
        <w:rPr>
          <w:rFonts w:hint="eastAsia"/>
        </w:rPr>
        <w:t>）；</w:t>
      </w:r>
    </w:p>
    <w:p>
      <w:pPr>
        <w:autoSpaceDE w:val="0"/>
        <w:autoSpaceDN w:val="0"/>
        <w:adjustRightInd w:val="0"/>
        <w:ind w:left="972" w:leftChars="405"/>
        <w:jc w:val="left"/>
        <w:textAlignment w:val="center"/>
      </w:pPr>
      <w:r>
        <w:object>
          <v:shape id="_x0000_i1154" o:spt="75" type="#_x0000_t75" style="height:18.35pt;width:17pt;" o:ole="t" filled="f" o:preferrelative="t" stroked="f" coordsize="21600,21600">
            <v:path/>
            <v:fill on="f" focussize="0,0"/>
            <v:stroke on="f" joinstyle="miter"/>
            <v:imagedata r:id="rId83" o:title=""/>
            <o:lock v:ext="edit" aspectratio="t"/>
            <w10:wrap type="none"/>
            <w10:anchorlock/>
          </v:shape>
          <o:OLEObject Type="Embed" ProgID="Equation.DSMT4" ShapeID="_x0000_i1154" DrawAspect="Content" ObjectID="_1468075854" r:id="rId234">
            <o:LockedField>false</o:LockedField>
          </o:OLEObject>
        </w:object>
      </w:r>
      <w:r>
        <w:rPr>
          <w:rFonts w:hint="eastAsia"/>
        </w:rPr>
        <w:t>——受拉区纵向钢筋的等效直径（mm）；</w:t>
      </w:r>
    </w:p>
    <w:p>
      <w:pPr>
        <w:autoSpaceDE w:val="0"/>
        <w:autoSpaceDN w:val="0"/>
        <w:adjustRightInd w:val="0"/>
        <w:ind w:left="972" w:leftChars="405"/>
        <w:jc w:val="left"/>
        <w:textAlignment w:val="center"/>
      </w:pPr>
      <w:r>
        <w:object>
          <v:shape id="_x0000_i1155" o:spt="75" type="#_x0000_t75" style="height:18.35pt;width:11.55pt;" o:ole="t" filled="f" o:preferrelative="t" stroked="f" coordsize="21600,21600">
            <v:path/>
            <v:fill on="f" focussize="0,0"/>
            <v:stroke on="f" joinstyle="miter"/>
            <v:imagedata r:id="rId85" o:title=""/>
            <o:lock v:ext="edit" aspectratio="t"/>
            <w10:wrap type="none"/>
            <w10:anchorlock/>
          </v:shape>
          <o:OLEObject Type="Embed" ProgID="Equation.DSMT4" ShapeID="_x0000_i1155" DrawAspect="Content" ObjectID="_1468075855" r:id="rId235">
            <o:LockedField>false</o:LockedField>
          </o:OLEObject>
        </w:object>
      </w:r>
      <w:r>
        <w:rPr>
          <w:rFonts w:hint="eastAsia"/>
        </w:rPr>
        <w:t>——受拉区第i种纵向钢筋公称直径（mm）；</w:t>
      </w:r>
    </w:p>
    <w:p>
      <w:pPr>
        <w:autoSpaceDE w:val="0"/>
        <w:autoSpaceDN w:val="0"/>
        <w:adjustRightInd w:val="0"/>
        <w:ind w:left="972" w:leftChars="405"/>
        <w:jc w:val="left"/>
        <w:textAlignment w:val="center"/>
      </w:pPr>
      <w:r>
        <w:object>
          <v:shape id="_x0000_i1156" o:spt="75" type="#_x0000_t75" style="height:18.35pt;width:11.55pt;" o:ole="t" filled="f" o:preferrelative="t" stroked="f" coordsize="21600,21600">
            <v:path/>
            <v:fill on="f" focussize="0,0"/>
            <v:stroke on="f" joinstyle="miter"/>
            <v:imagedata r:id="rId111" o:title=""/>
            <o:lock v:ext="edit" aspectratio="t"/>
            <w10:wrap type="none"/>
            <w10:anchorlock/>
          </v:shape>
          <o:OLEObject Type="Embed" ProgID="Equation.DSMT4" ShapeID="_x0000_i1156" DrawAspect="Content" ObjectID="_1468075856" r:id="rId236">
            <o:LockedField>false</o:LockedField>
          </o:OLEObject>
        </w:object>
      </w:r>
      <w:r>
        <w:rPr>
          <w:rFonts w:hint="eastAsia"/>
        </w:rPr>
        <w:t>——受拉区第i种纵向钢筋根数；</w:t>
      </w:r>
    </w:p>
    <w:p>
      <w:pPr>
        <w:autoSpaceDE w:val="0"/>
        <w:autoSpaceDN w:val="0"/>
        <w:adjustRightInd w:val="0"/>
        <w:ind w:left="972" w:leftChars="405"/>
        <w:jc w:val="left"/>
        <w:textAlignment w:val="center"/>
        <w:rPr>
          <w:rFonts w:asciiTheme="minorEastAsia" w:hAnsiTheme="minorEastAsia" w:eastAsiaTheme="minorEastAsia"/>
        </w:rPr>
      </w:pPr>
      <w:r>
        <w:object>
          <v:shape id="_x0000_i1157" o:spt="75" type="#_x0000_t75" style="height:18.35pt;width:11.55pt;" o:ole="t" filled="f" o:preferrelative="t" stroked="f" coordsize="21600,21600">
            <v:path/>
            <v:fill on="f" focussize="0,0"/>
            <v:stroke on="f" joinstyle="miter"/>
            <v:imagedata r:id="rId119" o:title=""/>
            <o:lock v:ext="edit" aspectratio="t"/>
            <w10:wrap type="none"/>
            <w10:anchorlock/>
          </v:shape>
          <o:OLEObject Type="Embed" ProgID="Equation.DSMT4" ShapeID="_x0000_i1157" DrawAspect="Content" ObjectID="_1468075857" r:id="rId237">
            <o:LockedField>false</o:LockedField>
          </o:OLEObject>
        </w:object>
      </w:r>
      <w:r>
        <w:rPr>
          <w:rFonts w:hint="eastAsia"/>
        </w:rPr>
        <w:t>——受拉区第i种纵向钢筋相对粘结特性系数，其取值见表5.4.9-2。</w:t>
      </w:r>
    </w:p>
    <w:p>
      <w:pPr>
        <w:autoSpaceDE w:val="0"/>
        <w:autoSpaceDN w:val="0"/>
        <w:adjustRightInd w:val="0"/>
        <w:jc w:val="center"/>
        <w:rPr>
          <w:b/>
          <w:bCs/>
          <w:sz w:val="21"/>
          <w:szCs w:val="18"/>
        </w:rPr>
      </w:pPr>
      <w:r>
        <w:rPr>
          <w:rFonts w:hint="eastAsia"/>
          <w:b/>
          <w:bCs/>
          <w:sz w:val="21"/>
          <w:szCs w:val="18"/>
        </w:rPr>
        <w:t>表5.4.9-1</w:t>
      </w:r>
      <w:r>
        <w:rPr>
          <w:b/>
          <w:bCs/>
          <w:sz w:val="21"/>
          <w:szCs w:val="18"/>
        </w:rPr>
        <w:t xml:space="preserve">  </w:t>
      </w:r>
      <w:r>
        <w:rPr>
          <w:rFonts w:hint="eastAsia"/>
          <w:b/>
          <w:bCs/>
          <w:sz w:val="21"/>
          <w:szCs w:val="18"/>
        </w:rPr>
        <w:t>构件受力特征系数</w:t>
      </w:r>
    </w:p>
    <w:tbl>
      <w:tblPr>
        <w:tblStyle w:val="36"/>
        <w:tblW w:w="70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61"/>
        <w:gridCol w:w="2475"/>
        <w:gridCol w:w="25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1" w:type="dxa"/>
            <w:vMerge w:val="restart"/>
            <w:vAlign w:val="center"/>
          </w:tcPr>
          <w:p>
            <w:pPr>
              <w:autoSpaceDE w:val="0"/>
              <w:autoSpaceDN w:val="0"/>
              <w:adjustRightInd w:val="0"/>
              <w:jc w:val="center"/>
              <w:rPr>
                <w:sz w:val="21"/>
              </w:rPr>
            </w:pPr>
            <w:r>
              <w:rPr>
                <w:rFonts w:hint="eastAsia"/>
                <w:sz w:val="21"/>
              </w:rPr>
              <w:t>类型</w:t>
            </w:r>
          </w:p>
        </w:tc>
        <w:tc>
          <w:tcPr>
            <w:tcW w:w="5027" w:type="dxa"/>
            <w:gridSpan w:val="2"/>
            <w:vAlign w:val="center"/>
          </w:tcPr>
          <w:p>
            <w:pPr>
              <w:autoSpaceDE w:val="0"/>
              <w:autoSpaceDN w:val="0"/>
              <w:adjustRightInd w:val="0"/>
              <w:jc w:val="center"/>
              <w:rPr>
                <w:sz w:val="21"/>
              </w:rPr>
            </w:pPr>
            <w:r>
              <w:rPr>
                <w:sz w:val="21"/>
              </w:rPr>
              <w:object>
                <v:shape id="_x0000_i1158" o:spt="75" type="#_x0000_t75" style="height:18.35pt;width:17pt;" o:ole="t" filled="f" o:preferrelative="t" stroked="f" coordsize="21600,21600">
                  <v:path/>
                  <v:fill on="f" focussize="0,0"/>
                  <v:stroke on="f" joinstyle="miter"/>
                  <v:imagedata r:id="rId121" o:title=""/>
                  <o:lock v:ext="edit" aspectratio="t"/>
                  <w10:wrap type="none"/>
                  <w10:anchorlock/>
                </v:shape>
                <o:OLEObject Type="Embed" ProgID="Equation.DSMT4" ShapeID="_x0000_i1158" DrawAspect="Content" ObjectID="_1468075858" r:id="rId238">
                  <o:LockedField>false</o:LockedField>
                </o:OLEObject>
              </w:objec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1" w:type="dxa"/>
            <w:vMerge w:val="continue"/>
            <w:vAlign w:val="center"/>
          </w:tcPr>
          <w:p>
            <w:pPr>
              <w:autoSpaceDE w:val="0"/>
              <w:autoSpaceDN w:val="0"/>
              <w:adjustRightInd w:val="0"/>
              <w:jc w:val="center"/>
              <w:rPr>
                <w:sz w:val="21"/>
              </w:rPr>
            </w:pPr>
          </w:p>
        </w:tc>
        <w:tc>
          <w:tcPr>
            <w:tcW w:w="2475" w:type="dxa"/>
            <w:vAlign w:val="center"/>
          </w:tcPr>
          <w:p>
            <w:pPr>
              <w:autoSpaceDE w:val="0"/>
              <w:autoSpaceDN w:val="0"/>
              <w:adjustRightInd w:val="0"/>
              <w:jc w:val="center"/>
              <w:rPr>
                <w:sz w:val="21"/>
              </w:rPr>
            </w:pPr>
            <w:r>
              <w:rPr>
                <w:rFonts w:hint="eastAsia"/>
                <w:sz w:val="21"/>
              </w:rPr>
              <w:t>钢筋混凝土构件</w:t>
            </w:r>
          </w:p>
        </w:tc>
        <w:tc>
          <w:tcPr>
            <w:tcW w:w="2552" w:type="dxa"/>
            <w:vAlign w:val="center"/>
          </w:tcPr>
          <w:p>
            <w:pPr>
              <w:autoSpaceDE w:val="0"/>
              <w:autoSpaceDN w:val="0"/>
              <w:adjustRightInd w:val="0"/>
              <w:jc w:val="center"/>
              <w:rPr>
                <w:sz w:val="21"/>
              </w:rPr>
            </w:pPr>
            <w:r>
              <w:rPr>
                <w:rFonts w:hint="eastAsia"/>
                <w:sz w:val="21"/>
              </w:rPr>
              <w:t>预应力混凝土构件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1" w:type="dxa"/>
            <w:vAlign w:val="center"/>
          </w:tcPr>
          <w:p>
            <w:pPr>
              <w:autoSpaceDE w:val="0"/>
              <w:autoSpaceDN w:val="0"/>
              <w:adjustRightInd w:val="0"/>
              <w:jc w:val="center"/>
              <w:rPr>
                <w:sz w:val="21"/>
              </w:rPr>
            </w:pPr>
            <w:r>
              <w:rPr>
                <w:rFonts w:hint="eastAsia"/>
                <w:sz w:val="21"/>
              </w:rPr>
              <w:t>受弯、偏心受压</w:t>
            </w:r>
          </w:p>
        </w:tc>
        <w:tc>
          <w:tcPr>
            <w:tcW w:w="2475" w:type="dxa"/>
            <w:vAlign w:val="center"/>
          </w:tcPr>
          <w:p>
            <w:pPr>
              <w:autoSpaceDE w:val="0"/>
              <w:autoSpaceDN w:val="0"/>
              <w:adjustRightInd w:val="0"/>
              <w:jc w:val="center"/>
              <w:rPr>
                <w:sz w:val="21"/>
              </w:rPr>
            </w:pPr>
            <w:r>
              <w:rPr>
                <w:rFonts w:hint="eastAsia"/>
                <w:sz w:val="21"/>
              </w:rPr>
              <w:t>1.9</w:t>
            </w:r>
          </w:p>
        </w:tc>
        <w:tc>
          <w:tcPr>
            <w:tcW w:w="2552" w:type="dxa"/>
            <w:vAlign w:val="center"/>
          </w:tcPr>
          <w:p>
            <w:pPr>
              <w:autoSpaceDE w:val="0"/>
              <w:autoSpaceDN w:val="0"/>
              <w:adjustRightInd w:val="0"/>
              <w:jc w:val="center"/>
              <w:rPr>
                <w:sz w:val="21"/>
              </w:rPr>
            </w:pPr>
            <w:r>
              <w:rPr>
                <w:rFonts w:hint="eastAsia"/>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1" w:type="dxa"/>
            <w:vAlign w:val="center"/>
          </w:tcPr>
          <w:p>
            <w:pPr>
              <w:autoSpaceDE w:val="0"/>
              <w:autoSpaceDN w:val="0"/>
              <w:adjustRightInd w:val="0"/>
              <w:jc w:val="center"/>
              <w:rPr>
                <w:sz w:val="21"/>
              </w:rPr>
            </w:pPr>
            <w:r>
              <w:rPr>
                <w:rFonts w:hint="eastAsia"/>
                <w:sz w:val="21"/>
              </w:rPr>
              <w:t>偏心受拉</w:t>
            </w:r>
          </w:p>
        </w:tc>
        <w:tc>
          <w:tcPr>
            <w:tcW w:w="2475" w:type="dxa"/>
            <w:vAlign w:val="center"/>
          </w:tcPr>
          <w:p>
            <w:pPr>
              <w:autoSpaceDE w:val="0"/>
              <w:autoSpaceDN w:val="0"/>
              <w:adjustRightInd w:val="0"/>
              <w:jc w:val="center"/>
              <w:rPr>
                <w:sz w:val="21"/>
              </w:rPr>
            </w:pPr>
            <w:r>
              <w:rPr>
                <w:rFonts w:hint="eastAsia"/>
                <w:sz w:val="21"/>
              </w:rPr>
              <w:t>2.4</w:t>
            </w:r>
          </w:p>
        </w:tc>
        <w:tc>
          <w:tcPr>
            <w:tcW w:w="2552" w:type="dxa"/>
            <w:vAlign w:val="center"/>
          </w:tcPr>
          <w:p>
            <w:pPr>
              <w:autoSpaceDE w:val="0"/>
              <w:autoSpaceDN w:val="0"/>
              <w:adjustRightInd w:val="0"/>
              <w:jc w:val="center"/>
              <w:rPr>
                <w:sz w:val="21"/>
              </w:rPr>
            </w:pPr>
            <w:r>
              <w:rPr>
                <w:rFonts w:hint="eastAsia"/>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1" w:type="dxa"/>
            <w:vAlign w:val="center"/>
          </w:tcPr>
          <w:p>
            <w:pPr>
              <w:autoSpaceDE w:val="0"/>
              <w:autoSpaceDN w:val="0"/>
              <w:adjustRightInd w:val="0"/>
              <w:jc w:val="center"/>
              <w:rPr>
                <w:sz w:val="21"/>
              </w:rPr>
            </w:pPr>
            <w:r>
              <w:rPr>
                <w:rFonts w:hint="eastAsia"/>
                <w:sz w:val="21"/>
              </w:rPr>
              <w:t>轴心受拉</w:t>
            </w:r>
          </w:p>
        </w:tc>
        <w:tc>
          <w:tcPr>
            <w:tcW w:w="2475" w:type="dxa"/>
            <w:vAlign w:val="center"/>
          </w:tcPr>
          <w:p>
            <w:pPr>
              <w:autoSpaceDE w:val="0"/>
              <w:autoSpaceDN w:val="0"/>
              <w:adjustRightInd w:val="0"/>
              <w:jc w:val="center"/>
              <w:rPr>
                <w:sz w:val="21"/>
              </w:rPr>
            </w:pPr>
            <w:r>
              <w:rPr>
                <w:rFonts w:hint="eastAsia"/>
                <w:sz w:val="21"/>
              </w:rPr>
              <w:t>2.7</w:t>
            </w:r>
          </w:p>
        </w:tc>
        <w:tc>
          <w:tcPr>
            <w:tcW w:w="2552" w:type="dxa"/>
            <w:vAlign w:val="center"/>
          </w:tcPr>
          <w:p>
            <w:pPr>
              <w:autoSpaceDE w:val="0"/>
              <w:autoSpaceDN w:val="0"/>
              <w:adjustRightInd w:val="0"/>
              <w:jc w:val="center"/>
              <w:rPr>
                <w:sz w:val="21"/>
              </w:rPr>
            </w:pPr>
            <w:r>
              <w:rPr>
                <w:rFonts w:hint="eastAsia"/>
                <w:sz w:val="21"/>
              </w:rPr>
              <w:t>2.2</w:t>
            </w:r>
          </w:p>
        </w:tc>
      </w:tr>
    </w:tbl>
    <w:p>
      <w:pPr>
        <w:autoSpaceDE w:val="0"/>
        <w:autoSpaceDN w:val="0"/>
        <w:adjustRightInd w:val="0"/>
        <w:ind w:left="972" w:leftChars="405" w:firstLine="1"/>
        <w:jc w:val="left"/>
      </w:pPr>
    </w:p>
    <w:p>
      <w:pPr>
        <w:autoSpaceDE w:val="0"/>
        <w:autoSpaceDN w:val="0"/>
        <w:adjustRightInd w:val="0"/>
        <w:ind w:left="972" w:leftChars="405" w:firstLine="1"/>
        <w:jc w:val="center"/>
        <w:rPr>
          <w:b/>
          <w:bCs/>
          <w:sz w:val="21"/>
          <w:szCs w:val="18"/>
        </w:rPr>
      </w:pPr>
      <w:r>
        <w:rPr>
          <w:rFonts w:hint="eastAsia"/>
          <w:b/>
          <w:bCs/>
          <w:sz w:val="21"/>
          <w:szCs w:val="18"/>
        </w:rPr>
        <w:t>表5.4.9-2</w:t>
      </w:r>
      <w:r>
        <w:rPr>
          <w:b/>
          <w:bCs/>
          <w:sz w:val="21"/>
          <w:szCs w:val="18"/>
        </w:rPr>
        <w:t xml:space="preserve">  </w:t>
      </w:r>
      <w:r>
        <w:rPr>
          <w:rFonts w:hint="eastAsia"/>
          <w:b/>
          <w:bCs/>
          <w:sz w:val="21"/>
          <w:szCs w:val="18"/>
        </w:rPr>
        <w:t>钢筋相对粘结特性系数</w:t>
      </w:r>
    </w:p>
    <w:tbl>
      <w:tblPr>
        <w:tblStyle w:val="36"/>
        <w:tblW w:w="66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58"/>
        <w:gridCol w:w="2441"/>
        <w:gridCol w:w="23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8" w:type="dxa"/>
            <w:vMerge w:val="restart"/>
            <w:vAlign w:val="center"/>
          </w:tcPr>
          <w:p>
            <w:pPr>
              <w:autoSpaceDE w:val="0"/>
              <w:autoSpaceDN w:val="0"/>
              <w:adjustRightInd w:val="0"/>
              <w:jc w:val="center"/>
              <w:rPr>
                <w:sz w:val="21"/>
              </w:rPr>
            </w:pPr>
            <w:r>
              <w:rPr>
                <w:rFonts w:hint="eastAsia"/>
                <w:sz w:val="21"/>
              </w:rPr>
              <w:t>钢筋类别</w:t>
            </w:r>
          </w:p>
        </w:tc>
        <w:tc>
          <w:tcPr>
            <w:tcW w:w="4804" w:type="dxa"/>
            <w:gridSpan w:val="2"/>
            <w:vAlign w:val="center"/>
          </w:tcPr>
          <w:p>
            <w:pPr>
              <w:autoSpaceDE w:val="0"/>
              <w:autoSpaceDN w:val="0"/>
              <w:adjustRightInd w:val="0"/>
              <w:jc w:val="center"/>
              <w:rPr>
                <w:sz w:val="21"/>
              </w:rPr>
            </w:pPr>
            <w:r>
              <w:rPr>
                <w:rFonts w:hint="eastAsia"/>
                <w:sz w:val="21"/>
              </w:rPr>
              <w:t>钢筋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8" w:type="dxa"/>
            <w:vMerge w:val="continue"/>
            <w:vAlign w:val="center"/>
          </w:tcPr>
          <w:p>
            <w:pPr>
              <w:autoSpaceDE w:val="0"/>
              <w:autoSpaceDN w:val="0"/>
              <w:adjustRightInd w:val="0"/>
              <w:jc w:val="center"/>
              <w:rPr>
                <w:sz w:val="21"/>
              </w:rPr>
            </w:pPr>
          </w:p>
        </w:tc>
        <w:tc>
          <w:tcPr>
            <w:tcW w:w="2441" w:type="dxa"/>
            <w:vAlign w:val="center"/>
          </w:tcPr>
          <w:p>
            <w:pPr>
              <w:autoSpaceDE w:val="0"/>
              <w:autoSpaceDN w:val="0"/>
              <w:adjustRightInd w:val="0"/>
              <w:jc w:val="center"/>
              <w:rPr>
                <w:sz w:val="21"/>
              </w:rPr>
            </w:pPr>
            <w:r>
              <w:rPr>
                <w:rFonts w:hint="eastAsia"/>
                <w:sz w:val="21"/>
              </w:rPr>
              <w:t>光圆钢筋</w:t>
            </w:r>
          </w:p>
        </w:tc>
        <w:tc>
          <w:tcPr>
            <w:tcW w:w="2363" w:type="dxa"/>
            <w:vAlign w:val="center"/>
          </w:tcPr>
          <w:p>
            <w:pPr>
              <w:autoSpaceDE w:val="0"/>
              <w:autoSpaceDN w:val="0"/>
              <w:adjustRightInd w:val="0"/>
              <w:jc w:val="center"/>
              <w:rPr>
                <w:sz w:val="21"/>
              </w:rPr>
            </w:pPr>
            <w:r>
              <w:rPr>
                <w:rFonts w:hint="eastAsia"/>
                <w:sz w:val="21"/>
              </w:rPr>
              <w:t>带肋钢筋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58" w:type="dxa"/>
            <w:vAlign w:val="center"/>
          </w:tcPr>
          <w:p>
            <w:pPr>
              <w:autoSpaceDE w:val="0"/>
              <w:autoSpaceDN w:val="0"/>
              <w:adjustRightInd w:val="0"/>
              <w:jc w:val="center"/>
              <w:rPr>
                <w:sz w:val="21"/>
              </w:rPr>
            </w:pPr>
            <w:r>
              <w:rPr>
                <w:sz w:val="21"/>
              </w:rPr>
              <w:object>
                <v:shape id="_x0000_i1159" o:spt="75" type="#_x0000_t75" style="height:18.35pt;width:11.55pt;" o:ole="t" filled="f" o:preferrelative="t" stroked="f" coordsize="21600,21600">
                  <v:path/>
                  <v:fill on="f" focussize="0,0"/>
                  <v:stroke on="f" joinstyle="miter"/>
                  <v:imagedata r:id="rId119" o:title=""/>
                  <o:lock v:ext="edit" aspectratio="t"/>
                  <w10:wrap type="none"/>
                  <w10:anchorlock/>
                </v:shape>
                <o:OLEObject Type="Embed" ProgID="Equation.DSMT4" ShapeID="_x0000_i1159" DrawAspect="Content" ObjectID="_1468075859" r:id="rId239">
                  <o:LockedField>false</o:LockedField>
                </o:OLEObject>
              </w:object>
            </w:r>
          </w:p>
        </w:tc>
        <w:tc>
          <w:tcPr>
            <w:tcW w:w="2441" w:type="dxa"/>
            <w:vAlign w:val="center"/>
          </w:tcPr>
          <w:p>
            <w:pPr>
              <w:autoSpaceDE w:val="0"/>
              <w:autoSpaceDN w:val="0"/>
              <w:adjustRightInd w:val="0"/>
              <w:jc w:val="center"/>
              <w:rPr>
                <w:sz w:val="21"/>
              </w:rPr>
            </w:pPr>
            <w:r>
              <w:rPr>
                <w:rFonts w:hint="eastAsia"/>
                <w:sz w:val="21"/>
              </w:rPr>
              <w:t>0.7</w:t>
            </w:r>
          </w:p>
        </w:tc>
        <w:tc>
          <w:tcPr>
            <w:tcW w:w="2363" w:type="dxa"/>
            <w:vAlign w:val="center"/>
          </w:tcPr>
          <w:p>
            <w:pPr>
              <w:autoSpaceDE w:val="0"/>
              <w:autoSpaceDN w:val="0"/>
              <w:adjustRightInd w:val="0"/>
              <w:jc w:val="center"/>
              <w:rPr>
                <w:sz w:val="21"/>
              </w:rPr>
            </w:pPr>
            <w:r>
              <w:rPr>
                <w:rFonts w:hint="eastAsia"/>
                <w:sz w:val="21"/>
              </w:rPr>
              <w:t>1.0</w:t>
            </w:r>
          </w:p>
        </w:tc>
      </w:tr>
    </w:tbl>
    <w:p>
      <w:pPr>
        <w:autoSpaceDE w:val="0"/>
        <w:autoSpaceDN w:val="0"/>
        <w:adjustRightInd w:val="0"/>
        <w:ind w:left="972" w:leftChars="405" w:firstLine="1"/>
        <w:jc w:val="center"/>
        <w:rPr>
          <w:b/>
          <w:bCs/>
        </w:rPr>
      </w:pPr>
    </w:p>
    <w:p>
      <w:pPr>
        <w:pStyle w:val="3"/>
      </w:pPr>
      <w:bookmarkStart w:id="66" w:name="_Toc18057037"/>
      <w:bookmarkStart w:id="67" w:name="_Toc32642"/>
      <w:r>
        <w:rPr>
          <w:rFonts w:hint="eastAsia"/>
        </w:rPr>
        <w:t xml:space="preserve">5.5 </w:t>
      </w:r>
      <w:r>
        <w:t xml:space="preserve"> </w:t>
      </w:r>
      <w:r>
        <w:rPr>
          <w:rFonts w:hint="eastAsia"/>
        </w:rPr>
        <w:t>管节构造设计</w:t>
      </w:r>
      <w:bookmarkEnd w:id="66"/>
      <w:bookmarkEnd w:id="67"/>
    </w:p>
    <w:p>
      <w:r>
        <w:rPr>
          <w:rFonts w:hint="eastAsia"/>
          <w:b/>
          <w:bCs/>
        </w:rPr>
        <w:t>5.5.1</w:t>
      </w:r>
      <w:r>
        <w:rPr>
          <w:b/>
          <w:bCs/>
        </w:rPr>
        <w:t xml:space="preserve">  </w:t>
      </w:r>
      <w:r>
        <w:rPr>
          <w:rFonts w:hint="eastAsia"/>
        </w:rPr>
        <w:t>钢筋混凝土管节设计强度不宜小于C50。保护层最小厚度迎土面为40mm，内侧为30mm。</w:t>
      </w:r>
    </w:p>
    <w:p>
      <w:pPr>
        <w:rPr>
          <w:rFonts w:eastAsia="仿宋"/>
        </w:rPr>
      </w:pPr>
      <w:r>
        <w:rPr>
          <w:rFonts w:eastAsia="仿宋"/>
          <w:b/>
          <w:bCs/>
        </w:rPr>
        <w:t>【条文说明】：5.5.1</w:t>
      </w:r>
      <w:r>
        <w:rPr>
          <w:rFonts w:eastAsia="仿宋"/>
        </w:rPr>
        <w:t xml:space="preserve">  受力钢筋净保护层厚度可根据管节横断面尺寸选取a管节长度×宽度≤7700mm×4500mm,则迎土侧保护层厚度≥40mm，背土侧保护层厚度≥30mm；b管节长度×宽度≥9100mm×5500mm,则迎土侧保护层厚度≥50mm，背土侧保护层厚度≥40mm。</w:t>
      </w:r>
    </w:p>
    <w:p>
      <w:r>
        <w:rPr>
          <w:rFonts w:hint="eastAsia"/>
          <w:b/>
          <w:bCs/>
        </w:rPr>
        <w:t>5.5.2</w:t>
      </w:r>
      <w:r>
        <w:t xml:space="preserve">  </w:t>
      </w:r>
      <w:r>
        <w:rPr>
          <w:rFonts w:hint="eastAsia"/>
        </w:rPr>
        <w:t>管节钢筋选用应符合下列规定：</w:t>
      </w:r>
    </w:p>
    <w:p>
      <w:pPr>
        <w:ind w:firstLine="480" w:firstLineChars="200"/>
      </w:pPr>
      <w:r>
        <w:t xml:space="preserve">1  </w:t>
      </w:r>
      <w:r>
        <w:rPr>
          <w:rFonts w:hint="eastAsia"/>
        </w:rPr>
        <w:t>纵筋应采用HRB400，HRB500，HRBF400，HRBF500钢筋</w:t>
      </w:r>
      <w:r>
        <w:rPr>
          <w:rFonts w:hint="eastAsia" w:asciiTheme="minorEastAsia" w:hAnsiTheme="minorEastAsia" w:eastAsiaTheme="minorEastAsia"/>
        </w:rPr>
        <w:t>；</w:t>
      </w:r>
    </w:p>
    <w:p>
      <w:pPr>
        <w:ind w:firstLine="480" w:firstLineChars="200"/>
      </w:pPr>
      <w:r>
        <w:t xml:space="preserve">2  </w:t>
      </w:r>
      <w:r>
        <w:rPr>
          <w:rFonts w:hint="eastAsia"/>
        </w:rPr>
        <w:t>箍筋宜采用HPB300，HRB400，HRB500，HRBF400，HRBF500钢筋。</w:t>
      </w:r>
    </w:p>
    <w:p>
      <w:r>
        <w:rPr>
          <w:rFonts w:hint="eastAsia"/>
          <w:b/>
          <w:bCs/>
        </w:rPr>
        <w:t>5.5.3</w:t>
      </w:r>
      <w:r>
        <w:rPr>
          <w:b/>
          <w:bCs/>
        </w:rPr>
        <w:t xml:space="preserve">  </w:t>
      </w:r>
      <w:r>
        <w:rPr>
          <w:rFonts w:hint="eastAsia"/>
        </w:rPr>
        <w:t>管节</w:t>
      </w:r>
      <w:r>
        <w:t>纵向钢筋的</w:t>
      </w:r>
      <w:r>
        <w:rPr>
          <w:rFonts w:hint="eastAsia"/>
        </w:rPr>
        <w:t>最小</w:t>
      </w:r>
      <w:r>
        <w:t>配筋量不宜低于0.2%的配筋率</w:t>
      </w:r>
      <w:r>
        <w:rPr>
          <w:rFonts w:hint="eastAsia"/>
        </w:rPr>
        <w:t>，</w:t>
      </w:r>
      <w:r>
        <w:t>间距不宜大于</w:t>
      </w:r>
      <w:r>
        <w:rPr>
          <w:rFonts w:hint="eastAsia"/>
        </w:rPr>
        <w:t>150mm</w:t>
      </w:r>
      <w:r>
        <w:t>。当混凝土标号大于C6</w:t>
      </w:r>
      <w:r>
        <w:rPr>
          <w:rFonts w:hint="eastAsia"/>
        </w:rPr>
        <w:t>0时，最小配筋率宜增加0.1%。</w:t>
      </w:r>
      <w:r>
        <w:t>位于软弱地基上时，其顶、底板纵向钢筋的配筋量尚应适当增</w:t>
      </w:r>
      <w:r>
        <w:rPr>
          <w:rFonts w:hint="eastAsia"/>
        </w:rPr>
        <w:t>加</w:t>
      </w:r>
      <w:r>
        <w:t>。</w:t>
      </w:r>
    </w:p>
    <w:p>
      <w:r>
        <w:rPr>
          <w:rFonts w:hint="eastAsia"/>
          <w:b/>
          <w:bCs/>
        </w:rPr>
        <w:t>5.5.4</w:t>
      </w:r>
      <w:r>
        <w:rPr>
          <w:b/>
          <w:bCs/>
        </w:rPr>
        <w:t xml:space="preserve">  </w:t>
      </w:r>
      <w:r>
        <w:t>对矩形钢筋混凝土压力管道，顶、底板与侧墙连接处应设置腋角，并配置与受力筋相同直径的斜筋，斜筋的截面面积可为受力钢筋的截面面积的50%</w:t>
      </w:r>
      <w:r>
        <w:rPr>
          <w:rFonts w:hint="eastAsia"/>
        </w:rPr>
        <w:t>。</w:t>
      </w:r>
    </w:p>
    <w:p>
      <w:r>
        <w:rPr>
          <w:rFonts w:hint="eastAsia"/>
          <w:b/>
          <w:bCs/>
        </w:rPr>
        <w:t>5.5.5</w:t>
      </w:r>
      <w:r>
        <w:rPr>
          <w:b/>
          <w:bCs/>
        </w:rPr>
        <w:t xml:space="preserve">  </w:t>
      </w:r>
      <w:r>
        <w:t>混凝土</w:t>
      </w:r>
      <w:r>
        <w:rPr>
          <w:rFonts w:hint="eastAsia"/>
        </w:rPr>
        <w:t>最小</w:t>
      </w:r>
      <w:r>
        <w:t>抗渗等级</w:t>
      </w:r>
      <w:r>
        <w:rPr>
          <w:rFonts w:hint="eastAsia"/>
        </w:rPr>
        <w:t>应符合表5.5.</w:t>
      </w:r>
      <w:r>
        <w:t>5</w:t>
      </w:r>
      <w:r>
        <w:rPr>
          <w:rFonts w:hint="eastAsia"/>
        </w:rPr>
        <w:t>规定：</w:t>
      </w:r>
    </w:p>
    <w:p>
      <w:pPr>
        <w:jc w:val="center"/>
        <w:rPr>
          <w:b/>
        </w:rPr>
      </w:pPr>
      <w:r>
        <w:rPr>
          <w:rFonts w:hint="eastAsia"/>
          <w:b/>
          <w:sz w:val="21"/>
          <w:szCs w:val="18"/>
        </w:rPr>
        <w:t>表5.5.</w:t>
      </w:r>
      <w:r>
        <w:rPr>
          <w:b/>
          <w:sz w:val="21"/>
          <w:szCs w:val="18"/>
        </w:rPr>
        <w:t>5  混凝土</w:t>
      </w:r>
      <w:r>
        <w:rPr>
          <w:rFonts w:hint="eastAsia"/>
          <w:b/>
          <w:sz w:val="21"/>
          <w:szCs w:val="18"/>
        </w:rPr>
        <w:t>最小</w:t>
      </w:r>
      <w:r>
        <w:rPr>
          <w:b/>
          <w:sz w:val="21"/>
          <w:szCs w:val="18"/>
        </w:rPr>
        <w:t>抗渗等级</w:t>
      </w:r>
      <w:r>
        <w:rPr>
          <w:rFonts w:hint="eastAsia"/>
          <w:b/>
          <w:sz w:val="21"/>
          <w:szCs w:val="18"/>
        </w:rPr>
        <w:t>设置</w:t>
      </w:r>
    </w:p>
    <w:tbl>
      <w:tblPr>
        <w:tblStyle w:val="36"/>
        <w:tblW w:w="608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41"/>
        <w:gridCol w:w="1652"/>
        <w:gridCol w:w="33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41" w:type="dxa"/>
            <w:vAlign w:val="center"/>
          </w:tcPr>
          <w:p>
            <w:pPr>
              <w:jc w:val="center"/>
              <w:rPr>
                <w:sz w:val="21"/>
              </w:rPr>
            </w:pPr>
            <w:r>
              <w:rPr>
                <w:rFonts w:hint="eastAsia"/>
                <w:sz w:val="21"/>
              </w:rPr>
              <w:t>序号</w:t>
            </w:r>
          </w:p>
        </w:tc>
        <w:tc>
          <w:tcPr>
            <w:tcW w:w="1652" w:type="dxa"/>
            <w:vAlign w:val="center"/>
          </w:tcPr>
          <w:p>
            <w:pPr>
              <w:jc w:val="center"/>
              <w:rPr>
                <w:sz w:val="21"/>
              </w:rPr>
            </w:pPr>
            <w:r>
              <w:rPr>
                <w:rFonts w:hint="eastAsia"/>
                <w:sz w:val="21"/>
              </w:rPr>
              <w:t>埋深h（m）</w:t>
            </w:r>
          </w:p>
        </w:tc>
        <w:tc>
          <w:tcPr>
            <w:tcW w:w="3388" w:type="dxa"/>
            <w:vAlign w:val="center"/>
          </w:tcPr>
          <w:p>
            <w:pPr>
              <w:jc w:val="center"/>
              <w:rPr>
                <w:sz w:val="21"/>
              </w:rPr>
            </w:pPr>
            <w:r>
              <w:rPr>
                <w:sz w:val="21"/>
              </w:rPr>
              <w:t>混凝土</w:t>
            </w:r>
            <w:r>
              <w:rPr>
                <w:rFonts w:hint="eastAsia"/>
                <w:sz w:val="21"/>
              </w:rPr>
              <w:t>最小</w:t>
            </w:r>
            <w:r>
              <w:rPr>
                <w:sz w:val="21"/>
              </w:rPr>
              <w:t>抗渗等级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41" w:type="dxa"/>
            <w:vAlign w:val="center"/>
          </w:tcPr>
          <w:p>
            <w:pPr>
              <w:jc w:val="center"/>
              <w:rPr>
                <w:sz w:val="21"/>
              </w:rPr>
            </w:pPr>
            <w:r>
              <w:rPr>
                <w:rFonts w:hint="eastAsia"/>
                <w:sz w:val="21"/>
              </w:rPr>
              <w:t>1</w:t>
            </w:r>
          </w:p>
        </w:tc>
        <w:tc>
          <w:tcPr>
            <w:tcW w:w="1652" w:type="dxa"/>
            <w:vAlign w:val="center"/>
          </w:tcPr>
          <w:p>
            <w:pPr>
              <w:jc w:val="center"/>
              <w:rPr>
                <w:sz w:val="21"/>
              </w:rPr>
            </w:pPr>
            <w:r>
              <w:rPr>
                <w:rFonts w:hint="eastAsia"/>
                <w:sz w:val="21"/>
              </w:rPr>
              <w:t>h≤15m</w:t>
            </w:r>
          </w:p>
        </w:tc>
        <w:tc>
          <w:tcPr>
            <w:tcW w:w="3388" w:type="dxa"/>
            <w:vAlign w:val="center"/>
          </w:tcPr>
          <w:p>
            <w:pPr>
              <w:jc w:val="center"/>
              <w:rPr>
                <w:sz w:val="21"/>
              </w:rPr>
            </w:pPr>
            <w:r>
              <w:rPr>
                <w:rFonts w:hint="eastAsia"/>
                <w:sz w:val="21"/>
              </w:rPr>
              <w:t>P8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41" w:type="dxa"/>
            <w:vAlign w:val="center"/>
          </w:tcPr>
          <w:p>
            <w:pPr>
              <w:jc w:val="center"/>
              <w:rPr>
                <w:sz w:val="21"/>
              </w:rPr>
            </w:pPr>
            <w:r>
              <w:rPr>
                <w:rFonts w:hint="eastAsia"/>
                <w:sz w:val="21"/>
              </w:rPr>
              <w:t>2</w:t>
            </w:r>
          </w:p>
        </w:tc>
        <w:tc>
          <w:tcPr>
            <w:tcW w:w="1652" w:type="dxa"/>
            <w:vAlign w:val="center"/>
          </w:tcPr>
          <w:p>
            <w:pPr>
              <w:jc w:val="center"/>
              <w:rPr>
                <w:sz w:val="21"/>
              </w:rPr>
            </w:pPr>
            <w:r>
              <w:rPr>
                <w:rFonts w:ascii="Verdana" w:hAnsi="Verdana"/>
                <w:sz w:val="21"/>
              </w:rPr>
              <w:t>&gt;</w:t>
            </w:r>
            <w:r>
              <w:rPr>
                <w:rFonts w:hint="eastAsia"/>
                <w:sz w:val="21"/>
              </w:rPr>
              <w:t>15m</w:t>
            </w:r>
          </w:p>
        </w:tc>
        <w:tc>
          <w:tcPr>
            <w:tcW w:w="3388" w:type="dxa"/>
            <w:vAlign w:val="center"/>
          </w:tcPr>
          <w:p>
            <w:pPr>
              <w:jc w:val="center"/>
              <w:rPr>
                <w:sz w:val="21"/>
              </w:rPr>
            </w:pPr>
            <w:r>
              <w:rPr>
                <w:rFonts w:hint="eastAsia"/>
                <w:sz w:val="21"/>
              </w:rPr>
              <w:t>P10</w:t>
            </w:r>
          </w:p>
        </w:tc>
      </w:tr>
    </w:tbl>
    <w:p>
      <w:r>
        <w:rPr>
          <w:rFonts w:hint="eastAsia"/>
          <w:b/>
          <w:bCs/>
        </w:rPr>
        <w:t>5.5.6</w:t>
      </w:r>
      <w:r>
        <w:rPr>
          <w:b/>
          <w:bCs/>
        </w:rPr>
        <w:t xml:space="preserve">  </w:t>
      </w:r>
      <w:r>
        <w:rPr>
          <w:rFonts w:hint="eastAsia"/>
        </w:rPr>
        <w:t>结构防水等级应符合下列规定：</w:t>
      </w:r>
    </w:p>
    <w:p>
      <w:pPr>
        <w:ind w:firstLine="480" w:firstLineChars="200"/>
      </w:pPr>
      <w:r>
        <w:rPr>
          <w:rFonts w:hint="eastAsia"/>
        </w:rPr>
        <w:t>1</w:t>
      </w:r>
      <w:r>
        <w:t xml:space="preserve">  </w:t>
      </w:r>
      <w:r>
        <w:rPr>
          <w:rFonts w:hint="eastAsia"/>
        </w:rPr>
        <w:t>行人通道和机电设备集中区段防水等级应为一级，不得渗水，结构表面应无湿渍；</w:t>
      </w:r>
    </w:p>
    <w:p>
      <w:pPr>
        <w:ind w:firstLine="480" w:firstLineChars="200"/>
      </w:pPr>
      <w:r>
        <w:t xml:space="preserve">2  </w:t>
      </w:r>
      <w:r>
        <w:rPr>
          <w:rFonts w:hint="eastAsia"/>
        </w:rPr>
        <w:t>其他隧道结构防水应为二级，顶部不得滴漏，其他部位不得漏水；表面可有少量湿渍，总湿渍面积不应大于总防水面积的2/1000。任意100m</w:t>
      </w:r>
      <w:r>
        <w:rPr>
          <w:rFonts w:hint="eastAsia"/>
          <w:vertAlign w:val="superscript"/>
        </w:rPr>
        <w:t>2</w:t>
      </w:r>
      <w:r>
        <w:rPr>
          <w:rFonts w:hint="eastAsia"/>
        </w:rPr>
        <w:t>防水面积上湿渍不应超过3处，单个湿渍最大面积不应大于0.2m</w:t>
      </w:r>
      <w:r>
        <w:rPr>
          <w:rFonts w:hint="eastAsia"/>
          <w:vertAlign w:val="superscript"/>
        </w:rPr>
        <w:t>2</w:t>
      </w:r>
      <w:r>
        <w:rPr>
          <w:rFonts w:hint="eastAsia"/>
        </w:rPr>
        <w:t>。</w:t>
      </w:r>
    </w:p>
    <w:p>
      <w:r>
        <w:rPr>
          <w:rFonts w:hint="eastAsia"/>
          <w:b/>
          <w:bCs/>
        </w:rPr>
        <w:t>5.5.</w:t>
      </w:r>
      <w:r>
        <w:rPr>
          <w:b/>
          <w:bCs/>
        </w:rPr>
        <w:t xml:space="preserve">7  </w:t>
      </w:r>
      <w:r>
        <w:rPr>
          <w:rFonts w:hint="eastAsia"/>
        </w:rPr>
        <w:t>管节传力面允许最大顶力应按下式计算：</w:t>
      </w:r>
    </w:p>
    <w:p>
      <w:pPr>
        <w:pStyle w:val="11"/>
        <w:ind w:firstLine="972" w:firstLineChars="405"/>
        <w:rPr>
          <w:szCs w:val="21"/>
        </w:rPr>
      </w:pPr>
      <w:bookmarkStart w:id="68" w:name="_Hlk12954239"/>
      <w:r>
        <w:object>
          <v:shape id="_x0000_i1160" o:spt="75" type="#_x0000_t75" style="height:35.3pt;width:101.2pt;" o:ole="t" filled="f" o:preferrelative="t" stroked="f" coordsize="21600,21600">
            <v:path/>
            <v:fill on="f" focussize="0,0"/>
            <v:stroke on="f" joinstyle="miter"/>
            <v:imagedata r:id="rId241" o:title=""/>
            <o:lock v:ext="edit" aspectratio="t"/>
            <w10:wrap type="none"/>
            <w10:anchorlock/>
          </v:shape>
          <o:OLEObject Type="Embed" ProgID="Equation.DSMT4" ShapeID="_x0000_i1160" DrawAspect="Content" ObjectID="_1468075860" r:id="rId240">
            <o:LockedField>false</o:LockedField>
          </o:OLEObject>
        </w:object>
      </w:r>
      <w:r>
        <w:rPr>
          <w:szCs w:val="21"/>
        </w:rPr>
        <w:t xml:space="preserve">                                </w:t>
      </w:r>
      <w:r>
        <w:rPr>
          <w:rFonts w:hint="eastAsia"/>
          <w:szCs w:val="21"/>
        </w:rPr>
        <w:t>（5.5.7）</w:t>
      </w:r>
    </w:p>
    <w:p>
      <w:pPr>
        <w:textAlignment w:val="center"/>
      </w:pPr>
      <w:r>
        <w:rPr>
          <w:rFonts w:hint="eastAsia"/>
        </w:rPr>
        <w:t>式中:</w:t>
      </w:r>
      <w:r>
        <w:rPr>
          <w:rFonts w:hint="eastAsia"/>
        </w:rPr>
        <w:tab/>
      </w:r>
      <w:r>
        <w:object>
          <v:shape id="_x0000_i1161" o:spt="75" type="#_x0000_t75" style="height:18.35pt;width:17pt;" o:ole="t" filled="f" o:preferrelative="t" stroked="f" coordsize="21600,21600">
            <v:path/>
            <v:fill on="f" focussize="0,0"/>
            <v:stroke on="f" joinstyle="miter"/>
            <v:imagedata r:id="rId13" o:title=""/>
            <o:lock v:ext="edit" aspectratio="t"/>
            <w10:wrap type="none"/>
            <w10:anchorlock/>
          </v:shape>
          <o:OLEObject Type="Embed" ProgID="Equation.DSMT4" ShapeID="_x0000_i1161" DrawAspect="Content" ObjectID="_1468075861" r:id="rId242">
            <o:LockedField>false</o:LockedField>
          </o:OLEObject>
        </w:object>
      </w:r>
      <w:r>
        <w:rPr>
          <w:rFonts w:hint="eastAsia"/>
        </w:rPr>
        <w:t>——管节允许顶力设计值（kN）；</w:t>
      </w:r>
    </w:p>
    <w:p>
      <w:pPr>
        <w:ind w:left="420" w:firstLine="420"/>
        <w:textAlignment w:val="center"/>
      </w:pPr>
      <w:r>
        <w:object>
          <v:shape id="_x0000_i1162" o:spt="75" type="#_x0000_t75" style="height:18.35pt;width:10.85pt;" o:ole="t" filled="f" o:preferrelative="t" stroked="f" coordsize="21600,21600">
            <v:path/>
            <v:fill on="f" focussize="0,0"/>
            <v:stroke on="f" joinstyle="miter"/>
            <v:imagedata r:id="rId123" o:title=""/>
            <o:lock v:ext="edit" aspectratio="t"/>
            <w10:wrap type="none"/>
            <w10:anchorlock/>
          </v:shape>
          <o:OLEObject Type="Embed" ProgID="Equation.DSMT4" ShapeID="_x0000_i1162" DrawAspect="Content" ObjectID="_1468075862" r:id="rId243">
            <o:LockedField>false</o:LockedField>
          </o:OLEObject>
        </w:object>
      </w:r>
      <w:r>
        <w:rPr>
          <w:rFonts w:hint="eastAsia"/>
        </w:rPr>
        <w:t>——混凝土受压强度折减系数，可取0.9；</w:t>
      </w:r>
    </w:p>
    <w:p>
      <w:pPr>
        <w:ind w:left="420" w:firstLine="420"/>
        <w:textAlignment w:val="center"/>
      </w:pPr>
      <w:r>
        <w:object>
          <v:shape id="_x0000_i1163" o:spt="75" type="#_x0000_t75" style="height:18.35pt;width:13.6pt;" o:ole="t" filled="f" o:preferrelative="t" stroked="f" coordsize="21600,21600">
            <v:path/>
            <v:fill on="f" focussize="0,0"/>
            <v:stroke on="f" joinstyle="miter"/>
            <v:imagedata r:id="rId125" o:title=""/>
            <o:lock v:ext="edit" aspectratio="t"/>
            <w10:wrap type="none"/>
            <w10:anchorlock/>
          </v:shape>
          <o:OLEObject Type="Embed" ProgID="Equation.DSMT4" ShapeID="_x0000_i1163" DrawAspect="Content" ObjectID="_1468075863" r:id="rId244">
            <o:LockedField>false</o:LockedField>
          </o:OLEObject>
        </w:object>
      </w:r>
      <w:r>
        <w:rPr>
          <w:rFonts w:hint="eastAsia"/>
        </w:rPr>
        <w:t>——偏心受压强度提高系数，可取1.05；</w:t>
      </w:r>
    </w:p>
    <w:p>
      <w:pPr>
        <w:ind w:left="420" w:firstLine="420"/>
        <w:textAlignment w:val="center"/>
      </w:pPr>
      <w:r>
        <w:object>
          <v:shape id="_x0000_i1164" o:spt="75" type="#_x0000_t75" style="height:18.35pt;width:11.55pt;" o:ole="t" filled="f" o:preferrelative="t" stroked="f" coordsize="21600,21600">
            <v:path/>
            <v:fill on="f" focussize="0,0"/>
            <v:stroke on="f" joinstyle="miter"/>
            <v:imagedata r:id="rId127" o:title=""/>
            <o:lock v:ext="edit" aspectratio="t"/>
            <w10:wrap type="none"/>
            <w10:anchorlock/>
          </v:shape>
          <o:OLEObject Type="Embed" ProgID="Equation.DSMT4" ShapeID="_x0000_i1164" DrawAspect="Content" ObjectID="_1468075864" r:id="rId245">
            <o:LockedField>false</o:LockedField>
          </o:OLEObject>
        </w:object>
      </w:r>
      <w:r>
        <w:rPr>
          <w:rFonts w:hint="eastAsia"/>
        </w:rPr>
        <w:t>——材料脆性系数，可取0.85；</w:t>
      </w:r>
    </w:p>
    <w:p>
      <w:pPr>
        <w:ind w:left="420" w:firstLine="420"/>
        <w:textAlignment w:val="center"/>
      </w:pPr>
      <w:r>
        <w:object>
          <v:shape id="_x0000_i1165" o:spt="75" type="#_x0000_t75" style="height:18.35pt;width:11.55pt;" o:ole="t" filled="f" o:preferrelative="t" stroked="f" coordsize="21600,21600">
            <v:path/>
            <v:fill on="f" focussize="0,0"/>
            <v:stroke on="f" joinstyle="miter"/>
            <v:imagedata r:id="rId129" o:title=""/>
            <o:lock v:ext="edit" aspectratio="t"/>
            <w10:wrap type="none"/>
            <w10:anchorlock/>
          </v:shape>
          <o:OLEObject Type="Embed" ProgID="Equation.DSMT4" ShapeID="_x0000_i1165" DrawAspect="Content" ObjectID="_1468075865" r:id="rId246">
            <o:LockedField>false</o:LockedField>
          </o:OLEObject>
        </w:object>
      </w:r>
      <w:r>
        <w:rPr>
          <w:rFonts w:hint="eastAsia"/>
        </w:rPr>
        <w:t>——混凝土强度标准调整系数，可取0.79；</w:t>
      </w:r>
    </w:p>
    <w:p>
      <w:pPr>
        <w:ind w:left="420" w:firstLine="420"/>
        <w:textAlignment w:val="center"/>
      </w:pPr>
      <w:r>
        <w:object>
          <v:shape id="_x0000_i1166" o:spt="75" type="#_x0000_t75" style="height:18.35pt;width:18.35pt;" o:ole="t" filled="f" o:preferrelative="t" stroked="f" coordsize="21600,21600">
            <v:path/>
            <v:fill on="f" focussize="0,0"/>
            <v:stroke on="f" joinstyle="miter"/>
            <v:imagedata r:id="rId117" o:title=""/>
            <o:lock v:ext="edit" aspectratio="t"/>
            <w10:wrap type="none"/>
            <w10:anchorlock/>
          </v:shape>
          <o:OLEObject Type="Embed" ProgID="Equation.DSMT4" ShapeID="_x0000_i1166" DrawAspect="Content" ObjectID="_1468075866" r:id="rId247">
            <o:LockedField>false</o:LockedField>
          </o:OLEObject>
        </w:object>
      </w:r>
      <w:r>
        <w:rPr>
          <w:rFonts w:hint="eastAsia"/>
        </w:rPr>
        <w:t>——安全系数，可取1.3~1.4。</w:t>
      </w:r>
    </w:p>
    <w:bookmarkEnd w:id="68"/>
    <w:p>
      <w:pPr>
        <w:ind w:firstLine="480" w:firstLineChars="200"/>
      </w:pPr>
    </w:p>
    <w:p>
      <w:pPr>
        <w:pStyle w:val="3"/>
      </w:pPr>
      <w:bookmarkStart w:id="69" w:name="_Toc18057038"/>
      <w:bookmarkStart w:id="70" w:name="_Toc28785"/>
      <w:r>
        <w:rPr>
          <w:rFonts w:hint="eastAsia"/>
        </w:rPr>
        <w:t>5.6</w:t>
      </w:r>
      <w:r>
        <w:t xml:space="preserve">  </w:t>
      </w:r>
      <w:r>
        <w:rPr>
          <w:rFonts w:hint="eastAsia"/>
        </w:rPr>
        <w:t>中继间设计</w:t>
      </w:r>
      <w:bookmarkEnd w:id="69"/>
      <w:bookmarkEnd w:id="70"/>
    </w:p>
    <w:p>
      <w:r>
        <w:rPr>
          <w:rFonts w:hint="eastAsia"/>
          <w:b/>
          <w:bCs/>
        </w:rPr>
        <w:t>5.6.1</w:t>
      </w:r>
      <w:r>
        <w:rPr>
          <w:b/>
          <w:bCs/>
        </w:rPr>
        <w:t xml:space="preserve">  </w:t>
      </w:r>
      <w:r>
        <w:t>中继间的设计应符合下列规定：</w:t>
      </w:r>
    </w:p>
    <w:p>
      <w:pPr>
        <w:ind w:firstLine="480" w:firstLineChars="200"/>
        <w:rPr>
          <w:kern w:val="0"/>
        </w:rPr>
      </w:pPr>
      <w:r>
        <w:rPr>
          <w:rFonts w:hint="eastAsia"/>
          <w:kern w:val="0"/>
        </w:rPr>
        <w:t>1</w:t>
      </w:r>
      <w:r>
        <w:rPr>
          <w:kern w:val="0"/>
        </w:rPr>
        <w:t xml:space="preserve">  中继间的结构形状和管</w:t>
      </w:r>
      <w:r>
        <w:rPr>
          <w:rFonts w:hint="eastAsia"/>
          <w:kern w:val="0"/>
        </w:rPr>
        <w:t>节</w:t>
      </w:r>
      <w:r>
        <w:rPr>
          <w:kern w:val="0"/>
        </w:rPr>
        <w:t>接头相一致</w:t>
      </w:r>
      <w:r>
        <w:rPr>
          <w:rFonts w:hint="eastAsia"/>
          <w:kern w:val="0"/>
        </w:rPr>
        <w:t>；</w:t>
      </w:r>
    </w:p>
    <w:p>
      <w:pPr>
        <w:ind w:firstLine="480" w:firstLineChars="200"/>
        <w:rPr>
          <w:kern w:val="0"/>
        </w:rPr>
      </w:pPr>
      <w:r>
        <w:rPr>
          <w:rFonts w:hint="eastAsia"/>
          <w:kern w:val="0"/>
        </w:rPr>
        <w:t>2</w:t>
      </w:r>
      <w:r>
        <w:rPr>
          <w:kern w:val="0"/>
        </w:rPr>
        <w:t xml:space="preserve">  中继间应带有木质的传压环和钢制的刚性均压环</w:t>
      </w:r>
      <w:r>
        <w:rPr>
          <w:rFonts w:hint="eastAsia"/>
          <w:kern w:val="0"/>
        </w:rPr>
        <w:t>，</w:t>
      </w:r>
      <w:r>
        <w:rPr>
          <w:kern w:val="0"/>
        </w:rPr>
        <w:t>端面的尺寸应和作用于其上的顶进力相适应</w:t>
      </w:r>
      <w:r>
        <w:rPr>
          <w:rFonts w:hint="eastAsia"/>
          <w:kern w:val="0"/>
        </w:rPr>
        <w:t>；</w:t>
      </w:r>
    </w:p>
    <w:p>
      <w:pPr>
        <w:autoSpaceDE w:val="0"/>
        <w:autoSpaceDN w:val="0"/>
        <w:adjustRightInd w:val="0"/>
        <w:ind w:firstLine="480" w:firstLineChars="200"/>
        <w:rPr>
          <w:kern w:val="0"/>
        </w:rPr>
      </w:pPr>
      <w:r>
        <w:rPr>
          <w:rFonts w:hint="eastAsia"/>
          <w:kern w:val="0"/>
        </w:rPr>
        <w:t>3</w:t>
      </w:r>
      <w:r>
        <w:rPr>
          <w:kern w:val="0"/>
        </w:rPr>
        <w:t xml:space="preserve">  </w:t>
      </w:r>
      <w:r>
        <w:rPr>
          <w:rFonts w:hint="eastAsia"/>
          <w:kern w:val="0"/>
        </w:rPr>
        <w:t>中继间数量大于1个时可</w:t>
      </w:r>
      <w:r>
        <w:rPr>
          <w:kern w:val="0"/>
        </w:rPr>
        <w:t>对中继间进行计算机编组操</w:t>
      </w:r>
      <w:r>
        <w:rPr>
          <w:rFonts w:hint="eastAsia"/>
          <w:kern w:val="0"/>
        </w:rPr>
        <w:t>控。</w:t>
      </w:r>
    </w:p>
    <w:p>
      <w:r>
        <w:rPr>
          <w:rFonts w:hint="eastAsia"/>
          <w:b/>
          <w:bCs/>
        </w:rPr>
        <w:t>5.6.2</w:t>
      </w:r>
      <w:r>
        <w:t xml:space="preserve">  中继间的加设及数量，应依据顶进作业总顶力的计算和顶进管材的管壁承受能力确定</w:t>
      </w:r>
      <w:r>
        <w:rPr>
          <w:rFonts w:hint="eastAsia"/>
        </w:rPr>
        <w:t>，第一道中继间宜布置在顶管机后方20m~50m的位置。</w:t>
      </w:r>
    </w:p>
    <w:p>
      <w:r>
        <w:rPr>
          <w:rFonts w:hint="eastAsia"/>
          <w:b/>
          <w:bCs/>
        </w:rPr>
        <w:t>5.6.3</w:t>
      </w:r>
      <w:r>
        <w:rPr>
          <w:b/>
          <w:bCs/>
        </w:rPr>
        <w:t xml:space="preserve">  </w:t>
      </w:r>
      <w:r>
        <w:rPr>
          <w:rFonts w:hint="eastAsia"/>
        </w:rPr>
        <w:t>中继间布置宜按下式计算：</w:t>
      </w:r>
    </w:p>
    <w:p>
      <w:pPr>
        <w:tabs>
          <w:tab w:val="right" w:pos="8222"/>
        </w:tabs>
        <w:ind w:firstLine="708" w:firstLineChars="295"/>
        <w:jc w:val="center"/>
      </w:pPr>
      <w:r>
        <w:t xml:space="preserve">    </w:t>
      </w:r>
      <w:r>
        <w:rPr>
          <w:position w:val="-28"/>
        </w:rPr>
        <w:object>
          <v:shape id="_x0000_i1167" o:spt="75" type="#_x0000_t75" style="height:35.3pt;width:74.7pt;" o:ole="t" filled="f" o:preferrelative="t" stroked="f" coordsize="21600,21600">
            <v:path/>
            <v:fill on="f" focussize="0,0"/>
            <v:stroke on="f" joinstyle="miter"/>
            <v:imagedata r:id="rId249" o:title=""/>
            <o:lock v:ext="edit" aspectratio="t"/>
            <w10:wrap type="none"/>
            <w10:anchorlock/>
          </v:shape>
          <o:OLEObject Type="Embed" ProgID="Equation.DSMT4" ShapeID="_x0000_i1167" DrawAspect="Content" ObjectID="_1468075867" r:id="rId248">
            <o:LockedField>false</o:LockedField>
          </o:OLEObject>
        </w:object>
      </w:r>
      <w:r>
        <w:rPr>
          <w:rFonts w:hint="eastAsia"/>
        </w:rPr>
        <w:tab/>
      </w:r>
      <w:r>
        <w:rPr>
          <w:rFonts w:hint="eastAsia"/>
        </w:rPr>
        <w:t>（5.6.3）</w:t>
      </w:r>
    </w:p>
    <w:p>
      <w:r>
        <w:rPr>
          <w:rFonts w:hint="eastAsia"/>
        </w:rPr>
        <w:t>式中：</w:t>
      </w:r>
      <w:r>
        <w:rPr>
          <w:rFonts w:hint="eastAsia"/>
        </w:rPr>
        <w:tab/>
      </w:r>
      <w:r>
        <w:rPr>
          <w:rFonts w:hint="eastAsia"/>
        </w:rPr>
        <w:t>S——中继间间距（m）；</w:t>
      </w:r>
    </w:p>
    <w:p>
      <w:pPr>
        <w:ind w:left="420" w:firstLine="420"/>
      </w:pPr>
      <w:r>
        <w:t>K</w:t>
      </w:r>
      <w:r>
        <w:rPr>
          <w:rFonts w:hint="eastAsia"/>
        </w:rPr>
        <w:t>——顶力系数，宜取0.5~0.6；</w:t>
      </w:r>
    </w:p>
    <w:p>
      <w:pPr>
        <w:ind w:left="420" w:firstLine="420"/>
        <w:textAlignment w:val="center"/>
      </w:pPr>
      <w:r>
        <w:rPr>
          <w:position w:val="-4"/>
        </w:rPr>
        <w:object>
          <v:shape id="_x0000_i1168" o:spt="75" type="#_x0000_t75" style="height:18.35pt;width:12.9pt;" o:ole="t" filled="f" o:preferrelative="t" stroked="f" coordsize="21600,21600">
            <v:path/>
            <v:fill on="f" focussize="0,0"/>
            <v:stroke on="f" joinstyle="miter"/>
            <v:imagedata r:id="rId251" o:title=""/>
            <o:lock v:ext="edit" aspectratio="t"/>
            <w10:wrap type="none"/>
            <w10:anchorlock/>
          </v:shape>
          <o:OLEObject Type="Embed" ProgID="Equation.DSMT4" ShapeID="_x0000_i1168" DrawAspect="Content" ObjectID="_1468075868" r:id="rId250">
            <o:LockedField>false</o:LockedField>
          </o:OLEObject>
        </w:object>
      </w:r>
      <w:r>
        <w:rPr>
          <w:rFonts w:hint="eastAsia"/>
        </w:rPr>
        <w:t>——控制顶力（kN）；</w:t>
      </w:r>
    </w:p>
    <w:p>
      <w:pPr>
        <w:ind w:left="420" w:firstLine="420"/>
        <w:textAlignment w:val="center"/>
      </w:pPr>
      <w:r>
        <w:object>
          <v:shape id="_x0000_i1169" o:spt="75" type="#_x0000_t75" style="height:18.35pt;width:15.6pt;" o:ole="t" filled="f" o:preferrelative="t" stroked="f" coordsize="21600,21600">
            <v:path/>
            <v:fill on="f" focussize="0,0"/>
            <v:stroke on="f" joinstyle="miter"/>
            <v:imagedata r:id="rId49" o:title=""/>
            <o:lock v:ext="edit" aspectratio="t"/>
            <w10:wrap type="none"/>
            <w10:anchorlock/>
          </v:shape>
          <o:OLEObject Type="Embed" ProgID="Equation.DSMT4" ShapeID="_x0000_i1169" DrawAspect="Content" ObjectID="_1468075869" r:id="rId252">
            <o:LockedField>false</o:LockedField>
          </o:OLEObject>
        </w:object>
      </w:r>
      <w:r>
        <w:rPr>
          <w:rFonts w:hint="eastAsia"/>
        </w:rPr>
        <w:t>——顶管机迎面阻力（kN）；</w:t>
      </w:r>
    </w:p>
    <w:p>
      <w:pPr>
        <w:ind w:left="420" w:firstLine="420"/>
        <w:textAlignment w:val="center"/>
      </w:pPr>
      <w:r>
        <w:object>
          <v:shape id="_x0000_i1170" o:spt="75" type="#_x0000_t75" style="height:10.85pt;width:10.85pt;" o:ole="t" filled="f" o:preferrelative="t" stroked="f" coordsize="21600,21600">
            <v:path/>
            <v:fill on="f" focussize="0,0"/>
            <v:stroke on="f" joinstyle="miter"/>
            <v:imagedata r:id="rId107" o:title=""/>
            <o:lock v:ext="edit" aspectratio="t"/>
            <w10:wrap type="none"/>
            <w10:anchorlock/>
          </v:shape>
          <o:OLEObject Type="Embed" ProgID="Equation.DSMT4" ShapeID="_x0000_i1170" DrawAspect="Content" ObjectID="_1468075870" r:id="rId253">
            <o:LockedField>false</o:LockedField>
          </o:OLEObject>
        </w:object>
      </w:r>
      <w:r>
        <w:rPr>
          <w:rFonts w:hint="eastAsia"/>
        </w:rPr>
        <w:t>——顶管外轮廓周长；</w:t>
      </w:r>
    </w:p>
    <w:p>
      <w:pPr>
        <w:ind w:left="420" w:firstLine="420"/>
        <w:textAlignment w:val="center"/>
      </w:pPr>
      <w:r>
        <w:object>
          <v:shape id="_x0000_i1171" o:spt="75" type="#_x0000_t75" style="height:15.6pt;width:11.55pt;" o:ole="t" filled="f" o:preferrelative="t" stroked="f" coordsize="21600,21600">
            <v:path/>
            <v:fill on="f" focussize="0,0"/>
            <v:stroke on="f" joinstyle="miter"/>
            <v:imagedata r:id="rId255" o:title=""/>
            <o:lock v:ext="edit" aspectratio="t"/>
            <w10:wrap type="none"/>
            <w10:anchorlock/>
          </v:shape>
          <o:OLEObject Type="Embed" ProgID="Equation.DSMT4" ShapeID="_x0000_i1171" DrawAspect="Content" ObjectID="_1468075871" r:id="rId254">
            <o:LockedField>false</o:LockedField>
          </o:OLEObject>
        </w:object>
      </w:r>
      <w:r>
        <w:rPr>
          <w:rFonts w:hint="eastAsia"/>
        </w:rPr>
        <w:t>——管道外壁与土的平均摩阻力（kPa），宜取2kPa~7kPa。</w:t>
      </w:r>
    </w:p>
    <w:p>
      <w:r>
        <w:rPr>
          <w:rFonts w:hint="eastAsia"/>
          <w:b/>
          <w:bCs/>
        </w:rPr>
        <w:t>5.6.4</w:t>
      </w:r>
      <w:r>
        <w:rPr>
          <w:b/>
          <w:bCs/>
        </w:rPr>
        <w:t xml:space="preserve">  </w:t>
      </w:r>
      <w:r>
        <w:rPr>
          <w:rFonts w:hint="eastAsia"/>
        </w:rPr>
        <w:t>中继间构造应符合下列规定：</w:t>
      </w:r>
    </w:p>
    <w:p>
      <w:pPr>
        <w:ind w:firstLine="480" w:firstLineChars="200"/>
      </w:pPr>
      <w:r>
        <w:rPr>
          <w:rFonts w:hint="eastAsia"/>
        </w:rPr>
        <w:t>1</w:t>
      </w:r>
      <w:r>
        <w:t xml:space="preserve">  具有足够刚度、卸装方便，在使用中具有良好的连接性、密封性</w:t>
      </w:r>
      <w:r>
        <w:rPr>
          <w:rFonts w:hint="eastAsia"/>
        </w:rPr>
        <w:t>。其止水橡胶密封圈应耐磨，保养时应易于更换；</w:t>
      </w:r>
    </w:p>
    <w:p>
      <w:pPr>
        <w:ind w:firstLine="480" w:firstLineChars="200"/>
      </w:pPr>
      <w:r>
        <w:rPr>
          <w:rFonts w:hint="eastAsia"/>
        </w:rPr>
        <w:t>2</w:t>
      </w:r>
      <w:r>
        <w:t xml:space="preserve">  液压油缸应</w:t>
      </w:r>
      <w:r>
        <w:rPr>
          <w:rFonts w:hint="eastAsia"/>
        </w:rPr>
        <w:t>能</w:t>
      </w:r>
      <w:r>
        <w:t>保证顶进与纠偏需要</w:t>
      </w:r>
      <w:r>
        <w:rPr>
          <w:rFonts w:hint="eastAsia"/>
        </w:rPr>
        <w:t>；</w:t>
      </w:r>
    </w:p>
    <w:p>
      <w:pPr>
        <w:ind w:firstLine="480" w:firstLineChars="200"/>
      </w:pPr>
      <w:r>
        <w:rPr>
          <w:rFonts w:hint="eastAsia"/>
        </w:rPr>
        <w:t>3</w:t>
      </w:r>
      <w:r>
        <w:t xml:space="preserve">  中继间设备应简洁</w:t>
      </w:r>
      <w:r>
        <w:rPr>
          <w:rFonts w:hint="eastAsia"/>
        </w:rPr>
        <w:t>、</w:t>
      </w:r>
      <w:r>
        <w:t>体积小</w:t>
      </w:r>
      <w:r>
        <w:rPr>
          <w:rFonts w:hint="eastAsia"/>
        </w:rPr>
        <w:t>，</w:t>
      </w:r>
      <w:r>
        <w:t>其液压设备与工作坑顶进设备宜集中控制</w:t>
      </w:r>
      <w:r>
        <w:rPr>
          <w:rFonts w:hint="eastAsia"/>
        </w:rPr>
        <w:t>；</w:t>
      </w:r>
    </w:p>
    <w:p>
      <w:pPr>
        <w:ind w:firstLine="480" w:firstLineChars="200"/>
      </w:pPr>
      <w:r>
        <w:rPr>
          <w:rFonts w:hint="eastAsia"/>
        </w:rPr>
        <w:t>4</w:t>
      </w:r>
      <w:r>
        <w:t xml:space="preserve">  </w:t>
      </w:r>
      <w:r>
        <w:rPr>
          <w:rFonts w:hint="eastAsia"/>
        </w:rPr>
        <w:t>中继间外轮廓应与顶管相同；</w:t>
      </w:r>
    </w:p>
    <w:p>
      <w:pPr>
        <w:ind w:firstLine="480" w:firstLineChars="200"/>
      </w:pPr>
      <w:r>
        <w:rPr>
          <w:rFonts w:hint="eastAsia"/>
        </w:rPr>
        <w:t>5</w:t>
      </w:r>
      <w:r>
        <w:t xml:space="preserve">  </w:t>
      </w:r>
      <w:r>
        <w:rPr>
          <w:rFonts w:hint="eastAsia"/>
        </w:rPr>
        <w:t>中继间宜采用组合式密封形式，对于长距离、超深或砂性土层中的顶管工程应采用组合式密封形式；</w:t>
      </w:r>
    </w:p>
    <w:p>
      <w:pPr>
        <w:ind w:firstLine="480" w:firstLineChars="200"/>
      </w:pPr>
      <w:r>
        <w:rPr>
          <w:rFonts w:hint="eastAsia"/>
        </w:rPr>
        <w:t>6</w:t>
      </w:r>
      <w:r>
        <w:t xml:space="preserve">  </w:t>
      </w:r>
      <w:r>
        <w:rPr>
          <w:rFonts w:hint="eastAsia"/>
        </w:rPr>
        <w:t>顶进结束后应从顶管机向工作井方向逐环拆除中继间，相关设计应满足强度与耐久性要求。</w:t>
      </w:r>
    </w:p>
    <w:p>
      <w:pPr>
        <w:pStyle w:val="85"/>
        <w:tabs>
          <w:tab w:val="center" w:pos="4201"/>
          <w:tab w:val="right" w:leader="dot" w:pos="9298"/>
        </w:tabs>
        <w:spacing w:line="360" w:lineRule="auto"/>
        <w:ind w:firstLine="0" w:firstLineChars="0"/>
        <w:rPr>
          <w:rFonts w:ascii="Times New Roman"/>
          <w:sz w:val="24"/>
          <w:szCs w:val="21"/>
          <w:highlight w:val="yellow"/>
        </w:rPr>
      </w:pPr>
      <w:r>
        <w:rPr>
          <w:rFonts w:hint="eastAsia" w:ascii="Times New Roman"/>
          <w:b/>
          <w:bCs/>
          <w:kern w:val="2"/>
          <w:sz w:val="24"/>
          <w:szCs w:val="21"/>
        </w:rPr>
        <w:t>5.6.5</w:t>
      </w:r>
      <w:r>
        <w:rPr>
          <w:rFonts w:ascii="Times New Roman"/>
          <w:b/>
          <w:bCs/>
          <w:kern w:val="2"/>
          <w:sz w:val="24"/>
          <w:szCs w:val="21"/>
        </w:rPr>
        <w:t xml:space="preserve">  </w:t>
      </w:r>
      <w:r>
        <w:rPr>
          <w:rFonts w:ascii="Times New Roman"/>
          <w:sz w:val="24"/>
          <w:szCs w:val="21"/>
        </w:rPr>
        <w:t>中继间的设计应充分考虑施工完成进行拆解后复原管节的工艺</w:t>
      </w:r>
      <w:r>
        <w:rPr>
          <w:rFonts w:hint="eastAsia" w:ascii="Times New Roman"/>
          <w:sz w:val="24"/>
          <w:szCs w:val="21"/>
        </w:rPr>
        <w:t>，</w:t>
      </w:r>
      <w:r>
        <w:rPr>
          <w:rFonts w:ascii="Times New Roman"/>
          <w:sz w:val="24"/>
          <w:szCs w:val="21"/>
        </w:rPr>
        <w:t>满足强度和防腐的需求。</w:t>
      </w:r>
    </w:p>
    <w:p/>
    <w:p>
      <w:pPr>
        <w:pStyle w:val="3"/>
      </w:pPr>
      <w:bookmarkStart w:id="71" w:name="_Toc18057039"/>
      <w:bookmarkStart w:id="72" w:name="_Toc26698"/>
      <w:r>
        <w:rPr>
          <w:rFonts w:hint="eastAsia"/>
        </w:rPr>
        <w:t>5.7</w:t>
      </w:r>
      <w:r>
        <w:t xml:space="preserve">  </w:t>
      </w:r>
      <w:r>
        <w:rPr>
          <w:rFonts w:hint="eastAsia"/>
        </w:rPr>
        <w:t>顶管总顶力计算</w:t>
      </w:r>
      <w:bookmarkEnd w:id="71"/>
      <w:bookmarkEnd w:id="72"/>
    </w:p>
    <w:p>
      <w:r>
        <w:rPr>
          <w:rFonts w:hint="eastAsia"/>
          <w:b/>
          <w:bCs/>
        </w:rPr>
        <w:t>5.7</w:t>
      </w:r>
      <w:r>
        <w:rPr>
          <w:b/>
          <w:bCs/>
        </w:rPr>
        <w:t>.</w:t>
      </w:r>
      <w:r>
        <w:rPr>
          <w:rFonts w:hint="eastAsia"/>
          <w:b/>
          <w:bCs/>
        </w:rPr>
        <w:t>1</w:t>
      </w:r>
      <w:r>
        <w:t xml:space="preserve">  </w:t>
      </w:r>
      <w:r>
        <w:rPr>
          <w:rFonts w:hint="eastAsia"/>
        </w:rPr>
        <w:t>矩形顶管总顶力主要由顶管机迎面阻力和总摩阻力组成，应按下式计算：</w:t>
      </w:r>
    </w:p>
    <w:p>
      <w:pPr>
        <w:jc w:val="center"/>
      </w:pPr>
      <w:r>
        <w:t xml:space="preserve">    </w:t>
      </w:r>
      <w:r>
        <w:rPr>
          <w:position w:val="-14"/>
        </w:rPr>
        <w:object>
          <v:shape id="_x0000_i1172" o:spt="75" type="#_x0000_t75" style="height:21.05pt;width:58.4pt;" o:ole="t" filled="f" o:preferrelative="t" stroked="f" coordsize="21600,21600">
            <v:path/>
            <v:fill on="f" focussize="0,0"/>
            <v:stroke on="f" joinstyle="miter"/>
            <v:imagedata r:id="rId257" o:title=""/>
            <o:lock v:ext="edit" aspectratio="t"/>
            <w10:wrap type="none"/>
            <w10:anchorlock/>
          </v:shape>
          <o:OLEObject Type="Embed" ProgID="Equation.DSMT4" ShapeID="_x0000_i1172" DrawAspect="Content" ObjectID="_1468075872" r:id="rId256">
            <o:LockedField>false</o:LockedField>
          </o:OLEObject>
        </w:object>
      </w:r>
      <w:r>
        <w:t xml:space="preserve">                                  </w:t>
      </w:r>
      <w:r>
        <w:rPr>
          <w:rFonts w:hint="eastAsia"/>
        </w:rPr>
        <w:t>（</w:t>
      </w:r>
      <w:r>
        <w:t>5.</w:t>
      </w:r>
      <w:r>
        <w:rPr>
          <w:rFonts w:hint="eastAsia"/>
        </w:rPr>
        <w:t>7.1）</w:t>
      </w:r>
    </w:p>
    <w:p>
      <w:pPr>
        <w:autoSpaceDE w:val="0"/>
        <w:autoSpaceDN w:val="0"/>
        <w:rPr>
          <w:rFonts w:ascii="宋体" w:hAnsi="宋体" w:cs="宋体"/>
          <w:kern w:val="24"/>
        </w:rPr>
      </w:pPr>
      <w:r>
        <w:rPr>
          <w:rFonts w:hint="eastAsia" w:ascii="宋体" w:hAnsi="宋体" w:cs="宋体"/>
          <w:kern w:val="24"/>
        </w:rPr>
        <w:t>式中：</w:t>
      </w:r>
      <w:r>
        <w:rPr>
          <w:position w:val="-14"/>
        </w:rPr>
        <w:object>
          <v:shape id="_x0000_i1173" o:spt="75" type="#_x0000_t75" style="height:18.35pt;width:14.25pt;" o:ole="t" filled="f" o:preferrelative="t" stroked="f" coordsize="21600,21600">
            <v:path/>
            <v:fill on="f" focussize="0,0"/>
            <v:stroke on="f" joinstyle="miter"/>
            <v:imagedata r:id="rId41" o:title=""/>
            <o:lock v:ext="edit" aspectratio="t"/>
            <w10:wrap type="none"/>
            <w10:anchorlock/>
          </v:shape>
          <o:OLEObject Type="Embed" ProgID="Equation.DSMT4" ShapeID="_x0000_i1173" DrawAspect="Content" ObjectID="_1468075873" r:id="rId258">
            <o:LockedField>false</o:LockedField>
          </o:OLEObject>
        </w:object>
      </w:r>
      <w:r>
        <w:rPr>
          <w:lang w:bidi="ar"/>
        </w:rPr>
        <w:t>——</w:t>
      </w:r>
      <w:r>
        <w:rPr>
          <w:rFonts w:hint="eastAsia" w:ascii="宋体" w:hAnsi="宋体" w:cs="宋体"/>
          <w:kern w:val="24"/>
        </w:rPr>
        <w:t>顶管机的迎面阻力（</w:t>
      </w:r>
      <w:r>
        <w:rPr>
          <w:rFonts w:eastAsia="仿宋"/>
          <w:kern w:val="24"/>
        </w:rPr>
        <w:t>kN</w:t>
      </w:r>
      <w:r>
        <w:rPr>
          <w:rFonts w:hint="eastAsia" w:ascii="宋体" w:hAnsi="宋体" w:cs="宋体"/>
          <w:kern w:val="24"/>
        </w:rPr>
        <w:t>）；</w:t>
      </w:r>
    </w:p>
    <w:p>
      <w:pPr>
        <w:ind w:firstLine="720" w:firstLineChars="300"/>
        <w:jc w:val="left"/>
      </w:pPr>
      <w:r>
        <w:rPr>
          <w:position w:val="-14"/>
        </w:rPr>
        <w:object>
          <v:shape id="_x0000_i1174" o:spt="75" type="#_x0000_t75" style="height:18.35pt;width:15.6pt;" o:ole="t" filled="f" o:preferrelative="t" stroked="f" coordsize="21600,21600">
            <v:path/>
            <v:fill on="f" focussize="0,0"/>
            <v:stroke on="f" joinstyle="miter"/>
            <v:imagedata r:id="rId21" o:title=""/>
            <o:lock v:ext="edit" aspectratio="t"/>
            <w10:wrap type="none"/>
            <w10:anchorlock/>
          </v:shape>
          <o:OLEObject Type="Embed" ProgID="Equation.DSMT4" ShapeID="_x0000_i1174" DrawAspect="Content" ObjectID="_1468075874" r:id="rId259">
            <o:LockedField>false</o:LockedField>
          </o:OLEObject>
        </w:object>
      </w:r>
      <w:r>
        <w:rPr>
          <w:lang w:bidi="ar"/>
        </w:rPr>
        <w:t>——</w:t>
      </w:r>
      <w:r>
        <w:rPr>
          <w:rFonts w:hint="eastAsia"/>
        </w:rPr>
        <w:t>矩形顶管总摩阻力</w:t>
      </w:r>
      <w:r>
        <w:rPr>
          <w:rFonts w:hint="eastAsia" w:ascii="宋体" w:hAnsi="宋体" w:cs="宋体"/>
          <w:kern w:val="24"/>
        </w:rPr>
        <w:t>（</w:t>
      </w:r>
      <w:r>
        <w:rPr>
          <w:rFonts w:eastAsia="仿宋"/>
          <w:kern w:val="24"/>
        </w:rPr>
        <w:t>kN</w:t>
      </w:r>
      <w:r>
        <w:rPr>
          <w:rFonts w:hint="eastAsia" w:ascii="宋体" w:hAnsi="宋体" w:cs="宋体"/>
          <w:kern w:val="24"/>
        </w:rPr>
        <w:t>）。</w:t>
      </w:r>
    </w:p>
    <w:p>
      <w:r>
        <w:rPr>
          <w:rFonts w:hint="eastAsia"/>
          <w:b/>
          <w:bCs/>
        </w:rPr>
        <w:t>5.7</w:t>
      </w:r>
      <w:r>
        <w:rPr>
          <w:b/>
          <w:bCs/>
        </w:rPr>
        <w:t>.</w:t>
      </w:r>
      <w:r>
        <w:rPr>
          <w:rFonts w:hint="eastAsia"/>
          <w:b/>
          <w:bCs/>
        </w:rPr>
        <w:t>2</w:t>
      </w:r>
      <w:r>
        <w:t xml:space="preserve">  </w:t>
      </w:r>
      <w:r>
        <w:rPr>
          <w:rFonts w:hint="eastAsia"/>
        </w:rPr>
        <w:t>矩形</w:t>
      </w:r>
      <w:r>
        <w:rPr>
          <w:rFonts w:hint="eastAsia" w:ascii="宋体" w:hAnsi="宋体" w:cs="宋体"/>
          <w:kern w:val="24"/>
        </w:rPr>
        <w:t>土压、泥水平衡式顶管机的迎面阻力可按下式计算：</w:t>
      </w:r>
    </w:p>
    <w:p>
      <w:pPr>
        <w:autoSpaceDE w:val="0"/>
        <w:autoSpaceDN w:val="0"/>
        <w:ind w:firstLine="1200" w:firstLineChars="500"/>
      </w:pPr>
      <w:r>
        <w:rPr>
          <w:position w:val="-14"/>
        </w:rPr>
        <w:object>
          <v:shape id="_x0000_i1175" o:spt="75" type="#_x0000_t75" style="height:21.05pt;width:93.75pt;" o:ole="t" filled="f" o:preferrelative="t" stroked="f" coordsize="21600,21600">
            <v:path/>
            <v:fill on="f" focussize="0,0"/>
            <v:stroke on="f" joinstyle="miter"/>
            <v:imagedata r:id="rId261" o:title=""/>
            <o:lock v:ext="edit" aspectratio="t"/>
            <w10:wrap type="none"/>
            <w10:anchorlock/>
          </v:shape>
          <o:OLEObject Type="Embed" ProgID="Equation.DSMT4" ShapeID="_x0000_i1175" DrawAspect="Content" ObjectID="_1468075875" r:id="rId260">
            <o:LockedField>false</o:LockedField>
          </o:OLEObject>
        </w:object>
      </w:r>
      <w:r>
        <w:t xml:space="preserve">   </w:t>
      </w:r>
      <w:r>
        <w:rPr>
          <w:rFonts w:hint="eastAsia"/>
        </w:rPr>
        <w:t xml:space="preserve"> </w:t>
      </w:r>
      <w:r>
        <w:t xml:space="preserve">                        </w:t>
      </w:r>
      <w:r>
        <w:rPr>
          <w:rFonts w:hint="eastAsia"/>
        </w:rPr>
        <w:t>（</w:t>
      </w:r>
      <w:r>
        <w:t>5.</w:t>
      </w:r>
      <w:r>
        <w:rPr>
          <w:rFonts w:hint="eastAsia"/>
        </w:rPr>
        <w:t>7.</w:t>
      </w:r>
      <w:r>
        <w:t>2</w:t>
      </w:r>
      <w:r>
        <w:rPr>
          <w:rFonts w:hint="eastAsia"/>
        </w:rPr>
        <w:t>）</w:t>
      </w:r>
    </w:p>
    <w:p>
      <w:pPr>
        <w:autoSpaceDE w:val="0"/>
        <w:autoSpaceDN w:val="0"/>
        <w:rPr>
          <w:rFonts w:ascii="宋体" w:hAnsi="宋体" w:cs="宋体"/>
          <w:kern w:val="24"/>
        </w:rPr>
      </w:pPr>
      <w:r>
        <w:rPr>
          <w:rFonts w:hint="eastAsia" w:ascii="宋体" w:hAnsi="宋体" w:cs="宋体"/>
          <w:kern w:val="24"/>
        </w:rPr>
        <w:t>式中：</w:t>
      </w:r>
      <w:r>
        <w:rPr>
          <w:rFonts w:hint="eastAsia" w:ascii="宋体" w:hAnsi="宋体" w:cs="宋体"/>
          <w:kern w:val="24"/>
        </w:rPr>
        <w:tab/>
      </w:r>
      <w:r>
        <w:rPr>
          <w:position w:val="-10"/>
        </w:rPr>
        <w:object>
          <v:shape id="_x0000_i1176" o:spt="75" type="#_x0000_t75" style="height:11.55pt;width:11.55pt;" o:ole="t" filled="f" o:preferrelative="t" stroked="f" coordsize="21600,21600">
            <v:path/>
            <v:fill on="f" focussize="0,0"/>
            <v:stroke on="f" joinstyle="miter"/>
            <v:imagedata r:id="rId263" o:title=""/>
            <o:lock v:ext="edit" aspectratio="t"/>
            <w10:wrap type="none"/>
            <w10:anchorlock/>
          </v:shape>
          <o:OLEObject Type="Embed" ProgID="Equation.DSMT4" ShapeID="_x0000_i1176" DrawAspect="Content" ObjectID="_1468075876" r:id="rId262">
            <o:LockedField>false</o:LockedField>
          </o:OLEObject>
        </w:object>
      </w:r>
      <w:r>
        <w:rPr>
          <w:lang w:bidi="ar"/>
        </w:rPr>
        <w:t>——</w:t>
      </w:r>
      <w:r>
        <w:rPr>
          <w:rFonts w:hint="eastAsia" w:ascii="宋体" w:hAnsi="宋体" w:cs="宋体"/>
          <w:kern w:val="24"/>
        </w:rPr>
        <w:t>土的重度(</w:t>
      </w:r>
      <w:r>
        <w:rPr>
          <w:rFonts w:hint="eastAsia"/>
          <w:color w:val="000000"/>
          <w:szCs w:val="24"/>
        </w:rPr>
        <w:t>kN/m</w:t>
      </w:r>
      <w:r>
        <w:rPr>
          <w:rFonts w:hint="eastAsia"/>
          <w:color w:val="000000"/>
          <w:szCs w:val="24"/>
          <w:vertAlign w:val="superscript"/>
        </w:rPr>
        <w:t>3</w:t>
      </w:r>
      <w:r>
        <w:rPr>
          <w:rFonts w:ascii="宋体" w:hAnsi="宋体" w:cs="宋体"/>
          <w:kern w:val="24"/>
        </w:rPr>
        <w:t>)</w:t>
      </w:r>
      <w:r>
        <w:rPr>
          <w:rFonts w:hint="eastAsia" w:ascii="宋体" w:hAnsi="宋体" w:cs="宋体"/>
          <w:kern w:val="24"/>
          <w:vertAlign w:val="superscript"/>
        </w:rPr>
        <w:t xml:space="preserve"> </w:t>
      </w:r>
      <w:r>
        <w:rPr>
          <w:rFonts w:hint="eastAsia" w:ascii="宋体" w:hAnsi="宋体" w:cs="宋体"/>
          <w:kern w:val="24"/>
        </w:rPr>
        <w:t>；</w:t>
      </w:r>
    </w:p>
    <w:p>
      <w:pPr>
        <w:autoSpaceDE w:val="0"/>
        <w:autoSpaceDN w:val="0"/>
        <w:ind w:left="420" w:firstLine="420"/>
        <w:rPr>
          <w:rFonts w:ascii="宋体" w:hAnsi="宋体" w:cs="宋体"/>
          <w:kern w:val="24"/>
        </w:rPr>
      </w:pPr>
      <w:r>
        <w:rPr>
          <w:position w:val="-12"/>
        </w:rPr>
        <w:object>
          <v:shape id="_x0000_i1177" o:spt="75" type="#_x0000_t75" style="height:18.35pt;width:18.35pt;" o:ole="t" filled="f" o:preferrelative="t" stroked="f" coordsize="21600,21600">
            <v:path/>
            <v:fill on="f" focussize="0,0"/>
            <v:stroke on="f" joinstyle="miter"/>
            <v:imagedata r:id="rId95" o:title=""/>
            <o:lock v:ext="edit" aspectratio="t"/>
            <w10:wrap type="none"/>
            <w10:anchorlock/>
          </v:shape>
          <o:OLEObject Type="Embed" ProgID="Equation.DSMT4" ShapeID="_x0000_i1177" DrawAspect="Content" ObjectID="_1468075877" r:id="rId264">
            <o:LockedField>false</o:LockedField>
          </o:OLEObject>
        </w:object>
      </w:r>
      <w:r>
        <w:rPr>
          <w:lang w:bidi="ar"/>
        </w:rPr>
        <w:t>——</w:t>
      </w:r>
      <w:r>
        <w:rPr>
          <w:rFonts w:hint="eastAsia"/>
        </w:rPr>
        <w:t>管顶至原状土地面覆土层厚度</w:t>
      </w:r>
      <w:r>
        <w:rPr>
          <w:rFonts w:hint="eastAsia" w:ascii="宋体" w:hAnsiTheme="minorHAnsi"/>
          <w:color w:val="000000"/>
          <w:szCs w:val="24"/>
        </w:rPr>
        <w:t>（</w:t>
      </w:r>
      <w:r>
        <w:rPr>
          <w:color w:val="000000"/>
          <w:szCs w:val="24"/>
        </w:rPr>
        <w:t>m</w:t>
      </w:r>
      <w:r>
        <w:rPr>
          <w:rFonts w:hint="eastAsia" w:ascii="宋体" w:hAnsiTheme="minorHAnsi"/>
          <w:color w:val="000000"/>
          <w:szCs w:val="24"/>
        </w:rPr>
        <w:t>）；</w:t>
      </w:r>
    </w:p>
    <w:p>
      <w:pPr>
        <w:pStyle w:val="34"/>
        <w:shd w:val="clear" w:color="auto" w:fill="FFFFFF"/>
        <w:ind w:left="360" w:firstLine="480" w:firstLineChars="200"/>
        <w:textAlignment w:val="center"/>
        <w:rPr>
          <w:rFonts w:asciiTheme="minorHAnsi" w:hAnsiTheme="minorHAnsi" w:eastAsiaTheme="minorEastAsia" w:cstheme="minorBidi"/>
          <w:sz w:val="21"/>
          <w:szCs w:val="21"/>
        </w:rPr>
      </w:pPr>
      <w:r>
        <w:object>
          <v:shape id="_x0000_i1178" o:spt="75" type="#_x0000_t75" style="height:18.35pt;width:15.6pt;" o:ole="t" filled="f" o:preferrelative="t" stroked="f" coordsize="21600,21600">
            <v:path/>
            <v:fill on="f" focussize="0,0"/>
            <v:stroke on="f" joinstyle="miter"/>
            <v:imagedata r:id="rId266" o:title=""/>
            <o:lock v:ext="edit" aspectratio="t"/>
            <w10:wrap type="none"/>
            <w10:anchorlock/>
          </v:shape>
          <o:OLEObject Type="Embed" ProgID="Equation.DSMT4" ShapeID="_x0000_i1178" DrawAspect="Content" ObjectID="_1468075878" r:id="rId265">
            <o:LockedField>false</o:LockedField>
          </o:OLEObject>
        </w:object>
      </w:r>
      <w:r>
        <w:rPr>
          <w:lang w:bidi="ar"/>
        </w:rPr>
        <w:t>——</w:t>
      </w:r>
      <w:r>
        <w:rPr>
          <w:rFonts w:hint="eastAsia" w:hAnsiTheme="minorHAnsi"/>
          <w:color w:val="000000"/>
        </w:rPr>
        <w:t>矩形管节外边高（</w:t>
      </w:r>
      <w:r>
        <w:rPr>
          <w:rFonts w:hint="eastAsia" w:ascii="Times New Roman" w:hAnsi="Times New Roman"/>
          <w:color w:val="000000"/>
        </w:rPr>
        <w:t>m</w:t>
      </w:r>
      <w:r>
        <w:rPr>
          <w:rFonts w:hint="eastAsia" w:hAnsiTheme="minorHAnsi"/>
          <w:color w:val="000000"/>
        </w:rPr>
        <w:t>）；</w:t>
      </w:r>
    </w:p>
    <w:p>
      <w:pPr>
        <w:pStyle w:val="34"/>
        <w:shd w:val="clear" w:color="auto" w:fill="FFFFFF"/>
        <w:ind w:left="360" w:firstLine="480" w:firstLineChars="200"/>
        <w:rPr>
          <w:rFonts w:ascii="Times New Roman" w:hAnsi="Times New Roman"/>
          <w:color w:val="000000"/>
        </w:rPr>
      </w:pPr>
      <w:r>
        <w:rPr>
          <w:position w:val="-12"/>
        </w:rPr>
        <w:object>
          <v:shape id="_x0000_i1179" o:spt="75" type="#_x0000_t75" style="height:18.35pt;width:11.55pt;" o:ole="t" filled="f" o:preferrelative="t" stroked="f" coordsize="21600,21600">
            <v:path/>
            <v:fill on="f" focussize="0,0"/>
            <v:stroke on="f" joinstyle="miter"/>
            <v:imagedata r:id="rId75" o:title=""/>
            <o:lock v:ext="edit" aspectratio="t"/>
            <w10:wrap type="none"/>
            <w10:anchorlock/>
          </v:shape>
          <o:OLEObject Type="Embed" ProgID="Equation.DSMT4" ShapeID="_x0000_i1179" DrawAspect="Content" ObjectID="_1468075879" r:id="rId267">
            <o:LockedField>false</o:LockedField>
          </o:OLEObject>
        </w:object>
      </w:r>
      <w:r>
        <w:rPr>
          <w:lang w:bidi="ar"/>
        </w:rPr>
        <w:t>——</w:t>
      </w:r>
      <w:r>
        <w:rPr>
          <w:rFonts w:hint="eastAsia" w:asciiTheme="minorHAnsi" w:hAnsiTheme="minorHAnsi" w:eastAsiaTheme="minorEastAsia" w:cstheme="minorBidi"/>
        </w:rPr>
        <w:t>矩形管节外边宽（</w:t>
      </w:r>
      <w:r>
        <w:rPr>
          <w:rFonts w:hint="eastAsia" w:ascii="Times New Roman" w:hAnsi="Times New Roman"/>
          <w:color w:val="000000"/>
        </w:rPr>
        <w:t>m</w:t>
      </w:r>
      <w:r>
        <w:rPr>
          <w:rFonts w:hint="eastAsia" w:asciiTheme="minorHAnsi" w:hAnsiTheme="minorHAnsi" w:eastAsiaTheme="minorEastAsia" w:cstheme="minorBidi"/>
        </w:rPr>
        <w:t>）</w:t>
      </w:r>
      <w:r>
        <w:rPr>
          <w:rFonts w:hint="eastAsia" w:ascii="Times New Roman" w:hAnsi="Times New Roman"/>
          <w:color w:val="000000"/>
        </w:rPr>
        <w:t>。</w:t>
      </w:r>
    </w:p>
    <w:p>
      <w:pPr>
        <w:rPr>
          <w:rFonts w:eastAsia="仿宋"/>
        </w:rPr>
      </w:pPr>
      <w:r>
        <w:rPr>
          <w:rFonts w:eastAsia="仿宋"/>
          <w:b/>
          <w:bCs/>
        </w:rPr>
        <w:t>【条文说明】：5.7.2</w:t>
      </w:r>
      <w:r>
        <w:rPr>
          <w:rFonts w:eastAsia="仿宋"/>
        </w:rPr>
        <w:t xml:space="preserve">  顶管基本采用压力平衡式顶管机(土压平衡或泥水平衡)，其迎面阻力主要由三部分组成：（1）作用在切屑刀盘上的阻力；（2）工作腔中的压力；(3)切屑工具管刃口上的阻力。</w:t>
      </w:r>
    </w:p>
    <w:p>
      <w:r>
        <w:rPr>
          <w:rFonts w:hint="eastAsia"/>
          <w:b/>
          <w:bCs/>
        </w:rPr>
        <w:t>5.7</w:t>
      </w:r>
      <w:r>
        <w:rPr>
          <w:b/>
          <w:bCs/>
        </w:rPr>
        <w:t>.3</w:t>
      </w:r>
      <w:r>
        <w:t xml:space="preserve">  </w:t>
      </w:r>
      <w:r>
        <w:rPr>
          <w:rFonts w:hint="eastAsia"/>
        </w:rPr>
        <w:t>矩形顶管总摩阻力可按下列公式计算（图5.7</w:t>
      </w:r>
      <w:r>
        <w:t>.3</w:t>
      </w:r>
      <w:r>
        <w:rPr>
          <w:rFonts w:hint="eastAsia"/>
        </w:rPr>
        <w:t>）：</w:t>
      </w:r>
    </w:p>
    <w:p>
      <w:pPr>
        <w:jc w:val="center"/>
      </w:pPr>
      <w:r>
        <w:drawing>
          <wp:inline distT="0" distB="0" distL="0" distR="0">
            <wp:extent cx="2841625" cy="19685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2841681" cy="1969046"/>
                    </a:xfrm>
                    <a:prstGeom prst="rect">
                      <a:avLst/>
                    </a:prstGeom>
                  </pic:spPr>
                </pic:pic>
              </a:graphicData>
            </a:graphic>
          </wp:inline>
        </w:drawing>
      </w:r>
    </w:p>
    <w:p>
      <w:pPr>
        <w:ind w:firstLine="420"/>
        <w:jc w:val="center"/>
        <w:rPr>
          <w:b/>
          <w:sz w:val="21"/>
          <w:szCs w:val="18"/>
        </w:rPr>
      </w:pPr>
      <w:r>
        <w:rPr>
          <w:rFonts w:hint="eastAsia"/>
          <w:b/>
          <w:sz w:val="21"/>
          <w:szCs w:val="18"/>
        </w:rPr>
        <w:t>图5.7</w:t>
      </w:r>
      <w:r>
        <w:rPr>
          <w:b/>
          <w:sz w:val="21"/>
          <w:szCs w:val="18"/>
        </w:rPr>
        <w:t xml:space="preserve">.3  </w:t>
      </w:r>
      <w:r>
        <w:rPr>
          <w:rFonts w:hint="eastAsia"/>
          <w:b/>
          <w:sz w:val="21"/>
          <w:szCs w:val="18"/>
        </w:rPr>
        <w:t xml:space="preserve">矩形顶管总摩阻力计算简图   </w:t>
      </w:r>
    </w:p>
    <w:p>
      <w:pPr>
        <w:ind w:firstLine="480" w:firstLineChars="200"/>
        <w:jc w:val="left"/>
      </w:pPr>
      <w:r>
        <w:rPr>
          <w:rFonts w:hint="eastAsia"/>
        </w:rPr>
        <w:t>1</w:t>
      </w:r>
      <w:r>
        <w:t xml:space="preserve">  </w:t>
      </w:r>
      <w:r>
        <w:rPr>
          <w:rFonts w:hint="eastAsia"/>
        </w:rPr>
        <w:t>不考虑土体粘聚力时总摩阻力标准值</w:t>
      </w:r>
    </w:p>
    <w:p>
      <w:pPr>
        <w:jc w:val="center"/>
      </w:pPr>
      <w:r>
        <w:t xml:space="preserve">      </w:t>
      </w:r>
      <w:r>
        <w:rPr>
          <w:rFonts w:hint="eastAsia"/>
          <w:position w:val="-16"/>
        </w:rPr>
        <w:object>
          <v:shape id="_x0000_i1180" o:spt="75" type="#_x0000_t75" style="height:23.1pt;width:229.6pt;" o:ole="t" filled="f" o:preferrelative="t" stroked="f" coordsize="21600,21600">
            <v:path/>
            <v:fill on="f" focussize="0,0"/>
            <v:stroke on="f" joinstyle="miter"/>
            <v:imagedata r:id="rId269" o:title=""/>
            <o:lock v:ext="edit" aspectratio="t"/>
            <w10:wrap type="none"/>
            <w10:anchorlock/>
          </v:shape>
          <o:OLEObject Type="Embed" ProgID="Equation.DSMT4" ShapeID="_x0000_i1180" DrawAspect="Content" ObjectID="_1468075880" r:id="rId268">
            <o:LockedField>false</o:LockedField>
          </o:OLEObject>
        </w:object>
      </w:r>
      <w:r>
        <w:rPr>
          <w:rFonts w:hint="eastAsia"/>
        </w:rPr>
        <w:t xml:space="preserve">    </w:t>
      </w:r>
      <w:r>
        <w:t xml:space="preserve">          </w:t>
      </w:r>
      <w:r>
        <w:rPr>
          <w:rFonts w:hint="eastAsia"/>
        </w:rPr>
        <w:t>（</w:t>
      </w:r>
      <w:r>
        <w:t>5.</w:t>
      </w:r>
      <w:r>
        <w:rPr>
          <w:rFonts w:hint="eastAsia"/>
        </w:rPr>
        <w:t>7</w:t>
      </w:r>
      <w:r>
        <w:t>.3-1</w:t>
      </w:r>
      <w:r>
        <w:rPr>
          <w:rFonts w:hint="eastAsia"/>
        </w:rPr>
        <w:t>）</w:t>
      </w:r>
    </w:p>
    <w:p>
      <w:pPr>
        <w:ind w:left="480" w:leftChars="200"/>
        <w:jc w:val="left"/>
      </w:pPr>
      <w:r>
        <w:rPr>
          <w:rFonts w:hint="eastAsia"/>
        </w:rPr>
        <w:t>2</w:t>
      </w:r>
      <w:r>
        <w:t xml:space="preserve">  </w:t>
      </w:r>
      <w:r>
        <w:rPr>
          <w:rFonts w:hint="eastAsia"/>
        </w:rPr>
        <w:t>考虑土体粘聚力时总摩阻力标准值</w:t>
      </w:r>
      <w:r>
        <w:rPr>
          <w:rFonts w:hint="eastAsia"/>
          <w:position w:val="-18"/>
        </w:rPr>
        <w:object>
          <v:shape id="_x0000_i1181" o:spt="75" type="#_x0000_t75" style="height:24.45pt;width:329.45pt;" o:ole="t" filled="f" o:preferrelative="t" stroked="f" coordsize="21600,21600">
            <v:path/>
            <v:fill on="f" focussize="0,0"/>
            <v:stroke on="f" joinstyle="miter"/>
            <v:imagedata r:id="rId271" o:title=""/>
            <o:lock v:ext="edit" aspectratio="t"/>
            <w10:wrap type="none"/>
            <w10:anchorlock/>
          </v:shape>
          <o:OLEObject Type="Embed" ProgID="Equation.DSMT4" ShapeID="_x0000_i1181" DrawAspect="Content" ObjectID="_1468075881" r:id="rId270">
            <o:LockedField>false</o:LockedField>
          </o:OLEObject>
        </w:object>
      </w:r>
      <w:r>
        <w:rPr>
          <w:rFonts w:hint="eastAsia"/>
        </w:rPr>
        <w:t xml:space="preserve">  （</w:t>
      </w:r>
      <w:r>
        <w:t>5.</w:t>
      </w:r>
      <w:r>
        <w:rPr>
          <w:rFonts w:hint="eastAsia"/>
        </w:rPr>
        <w:t>7</w:t>
      </w:r>
      <w:r>
        <w:t>.3-2</w:t>
      </w:r>
      <w:r>
        <w:rPr>
          <w:rFonts w:hint="eastAsia"/>
        </w:rPr>
        <w:t>）</w:t>
      </w:r>
    </w:p>
    <w:p>
      <w:pPr>
        <w:autoSpaceDE w:val="0"/>
        <w:autoSpaceDN w:val="0"/>
        <w:ind w:firstLine="480" w:firstLineChars="200"/>
        <w:rPr>
          <w:rFonts w:ascii="宋体" w:hAnsi="宋体" w:cs="宋体"/>
          <w:kern w:val="24"/>
        </w:rPr>
      </w:pPr>
      <w:r>
        <w:rPr>
          <w:kern w:val="24"/>
        </w:rPr>
        <w:t>3</w:t>
      </w:r>
      <w:r>
        <w:rPr>
          <w:rFonts w:ascii="宋体" w:hAnsi="宋体" w:cs="宋体"/>
          <w:kern w:val="24"/>
        </w:rPr>
        <w:t xml:space="preserve">  </w:t>
      </w:r>
      <w:r>
        <w:rPr>
          <w:rFonts w:hint="eastAsia" w:asciiTheme="minorHAnsi" w:hAnsiTheme="minorHAnsi" w:eastAsiaTheme="minorEastAsia" w:cstheme="minorBidi"/>
        </w:rPr>
        <w:t>管顶竖向土压力系数</w:t>
      </w:r>
    </w:p>
    <w:p>
      <w:pPr>
        <w:autoSpaceDE w:val="0"/>
        <w:autoSpaceDN w:val="0"/>
        <w:ind w:firstLine="1200" w:firstLineChars="500"/>
      </w:pPr>
      <w:r>
        <w:rPr>
          <w:position w:val="-30"/>
        </w:rPr>
        <w:object>
          <v:shape id="_x0000_i1182" o:spt="75" type="#_x0000_t75" style="height:54.35pt;width:126.35pt;" o:ole="t" filled="f" o:preferrelative="t" stroked="f" coordsize="21600,21600">
            <v:path/>
            <v:fill on="f" focussize="0,0"/>
            <v:stroke on="f" joinstyle="miter"/>
            <v:imagedata r:id="rId273" o:title=""/>
            <o:lock v:ext="edit" aspectratio="t"/>
            <w10:wrap type="none"/>
            <w10:anchorlock/>
          </v:shape>
          <o:OLEObject Type="Embed" ProgID="Equation.DSMT4" ShapeID="_x0000_i1182" DrawAspect="Content" ObjectID="_1468075882" r:id="rId272">
            <o:LockedField>false</o:LockedField>
          </o:OLEObject>
        </w:object>
      </w:r>
      <w:r>
        <w:t xml:space="preserve">                            </w:t>
      </w:r>
      <w:r>
        <w:rPr>
          <w:rFonts w:hint="eastAsia"/>
        </w:rPr>
        <w:t>（</w:t>
      </w:r>
      <w:r>
        <w:t>5.</w:t>
      </w:r>
      <w:r>
        <w:rPr>
          <w:rFonts w:hint="eastAsia"/>
        </w:rPr>
        <w:t>7</w:t>
      </w:r>
      <w:r>
        <w:t>.3-3</w:t>
      </w:r>
      <w:r>
        <w:rPr>
          <w:rFonts w:hint="eastAsia"/>
        </w:rPr>
        <w:t>）</w:t>
      </w:r>
    </w:p>
    <w:p>
      <w:pPr>
        <w:autoSpaceDE w:val="0"/>
        <w:autoSpaceDN w:val="0"/>
        <w:ind w:firstLine="480" w:firstLineChars="200"/>
      </w:pPr>
      <w:r>
        <w:t xml:space="preserve">4  </w:t>
      </w:r>
      <w:r>
        <w:rPr>
          <w:rFonts w:hint="eastAsia"/>
        </w:rPr>
        <w:t>主动土压力系数</w:t>
      </w:r>
    </w:p>
    <w:p>
      <w:pPr>
        <w:autoSpaceDE w:val="0"/>
        <w:autoSpaceDN w:val="0"/>
        <w:ind w:firstLine="1200" w:firstLineChars="500"/>
      </w:pPr>
      <w:r>
        <w:rPr>
          <w:position w:val="-24"/>
        </w:rPr>
        <w:object>
          <v:shape id="_x0000_i1183" o:spt="75" type="#_x0000_t75" style="height:31.25pt;width:93.75pt;" o:ole="t" filled="f" o:preferrelative="t" stroked="f" coordsize="21600,21600">
            <v:path/>
            <v:fill on="f" focussize="0,0"/>
            <v:stroke on="f" joinstyle="miter"/>
            <v:imagedata r:id="rId275" o:title=""/>
            <o:lock v:ext="edit" aspectratio="t"/>
            <w10:wrap type="none"/>
            <w10:anchorlock/>
          </v:shape>
          <o:OLEObject Type="Embed" ProgID="Equation.DSMT4" ShapeID="_x0000_i1183" DrawAspect="Content" ObjectID="_1468075883" r:id="rId274">
            <o:LockedField>false</o:LockedField>
          </o:OLEObject>
        </w:object>
      </w:r>
      <w:r>
        <w:t xml:space="preserve">                                 </w:t>
      </w:r>
      <w:r>
        <w:rPr>
          <w:rFonts w:hint="eastAsia"/>
        </w:rPr>
        <w:t>（</w:t>
      </w:r>
      <w:r>
        <w:t>5.</w:t>
      </w:r>
      <w:r>
        <w:rPr>
          <w:rFonts w:hint="eastAsia"/>
        </w:rPr>
        <w:t>7</w:t>
      </w:r>
      <w:r>
        <w:t>.3-4</w:t>
      </w:r>
      <w:r>
        <w:rPr>
          <w:rFonts w:hint="eastAsia"/>
        </w:rPr>
        <w:t>）</w:t>
      </w:r>
    </w:p>
    <w:p>
      <w:pPr>
        <w:ind w:firstLine="480" w:firstLineChars="200"/>
        <w:rPr>
          <w:rFonts w:ascii="宋体" w:hAnsi="宋体" w:cs="宋体"/>
          <w:kern w:val="24"/>
        </w:rPr>
      </w:pPr>
      <w:r>
        <w:rPr>
          <w:rFonts w:hint="eastAsia" w:ascii="宋体" w:hAnsi="宋体" w:cs="宋体"/>
          <w:kern w:val="24"/>
        </w:rPr>
        <w:t>式中：</w:t>
      </w:r>
      <w:r>
        <w:rPr>
          <w:position w:val="-10"/>
        </w:rPr>
        <w:object>
          <v:shape id="_x0000_i1184" o:spt="75" type="#_x0000_t75" style="height:11.55pt;width:11.55pt;" o:ole="t" filled="f" o:preferrelative="t" stroked="f" coordsize="21600,21600">
            <v:path/>
            <v:fill on="f" focussize="0,0"/>
            <v:stroke on="f" joinstyle="miter"/>
            <v:imagedata r:id="rId263" o:title=""/>
            <o:lock v:ext="edit" aspectratio="t"/>
            <w10:wrap type="none"/>
            <w10:anchorlock/>
          </v:shape>
          <o:OLEObject Type="Embed" ProgID="Equation.DSMT4" ShapeID="_x0000_i1184" DrawAspect="Content" ObjectID="_1468075884" r:id="rId276">
            <o:LockedField>false</o:LockedField>
          </o:OLEObject>
        </w:object>
      </w:r>
      <w:r>
        <w:rPr>
          <w:lang w:bidi="ar"/>
        </w:rPr>
        <w:t>——</w:t>
      </w:r>
      <w:r>
        <w:rPr>
          <w:rFonts w:hint="eastAsia" w:ascii="宋体" w:hAnsi="宋体" w:cs="宋体"/>
          <w:kern w:val="24"/>
        </w:rPr>
        <w:t>土的重度</w:t>
      </w:r>
      <w:r>
        <w:rPr>
          <w:kern w:val="24"/>
        </w:rPr>
        <w:t>(kN/m</w:t>
      </w:r>
      <w:r>
        <w:rPr>
          <w:kern w:val="24"/>
          <w:vertAlign w:val="superscript"/>
        </w:rPr>
        <w:t>3</w:t>
      </w:r>
      <w:r>
        <w:rPr>
          <w:kern w:val="24"/>
        </w:rPr>
        <w:t>)</w:t>
      </w:r>
      <w:r>
        <w:rPr>
          <w:kern w:val="24"/>
          <w:vertAlign w:val="superscript"/>
        </w:rPr>
        <w:t xml:space="preserve"> </w:t>
      </w:r>
      <w:r>
        <w:rPr>
          <w:rFonts w:hint="eastAsia" w:ascii="宋体" w:hAnsi="宋体" w:cs="宋体"/>
          <w:kern w:val="24"/>
        </w:rPr>
        <w:t>；</w:t>
      </w:r>
    </w:p>
    <w:p>
      <w:pPr>
        <w:ind w:firstLine="1200" w:firstLineChars="500"/>
        <w:rPr>
          <w:rFonts w:ascii="宋体" w:hAnsi="宋体" w:cs="宋体"/>
          <w:kern w:val="24"/>
        </w:rPr>
      </w:pPr>
      <w:r>
        <w:rPr>
          <w:position w:val="-12"/>
        </w:rPr>
        <w:object>
          <v:shape id="_x0000_i1185" o:spt="75" type="#_x0000_t75" style="height:15.6pt;width:15.6pt;" o:ole="t" filled="f" o:preferrelative="t" stroked="f" coordsize="21600,21600">
            <v:path/>
            <v:fill on="f" focussize="0,0"/>
            <v:stroke on="f" joinstyle="miter"/>
            <v:imagedata r:id="rId95" o:title=""/>
            <o:lock v:ext="edit" aspectratio="t"/>
            <w10:wrap type="none"/>
            <w10:anchorlock/>
          </v:shape>
          <o:OLEObject Type="Embed" ProgID="Equation.DSMT4" ShapeID="_x0000_i1185" DrawAspect="Content" ObjectID="_1468075885" r:id="rId277">
            <o:LockedField>false</o:LockedField>
          </o:OLEObject>
        </w:object>
      </w:r>
      <w:r>
        <w:rPr>
          <w:lang w:bidi="ar"/>
        </w:rPr>
        <w:t>——</w:t>
      </w:r>
      <w:r>
        <w:rPr>
          <w:rFonts w:hint="eastAsia"/>
        </w:rPr>
        <w:t>管顶至原状土地面覆土层厚度（m）；</w:t>
      </w:r>
    </w:p>
    <w:p>
      <w:pPr>
        <w:ind w:firstLine="1200" w:firstLineChars="500"/>
        <w:rPr>
          <w:rFonts w:asciiTheme="minorHAnsi" w:hAnsiTheme="minorHAnsi" w:eastAsiaTheme="minorEastAsia" w:cstheme="minorBidi"/>
          <w:sz w:val="21"/>
        </w:rPr>
      </w:pPr>
      <w:r>
        <w:rPr>
          <w:position w:val="-12"/>
        </w:rPr>
        <w:object>
          <v:shape id="_x0000_i1186" o:spt="75" type="#_x0000_t75" style="height:21.75pt;width:15.6pt;" o:ole="t" filled="f" o:preferrelative="t" stroked="f" coordsize="21600,21600">
            <v:path/>
            <v:fill on="f" focussize="0,0"/>
            <v:stroke on="f" joinstyle="miter"/>
            <v:imagedata r:id="rId97" o:title=""/>
            <o:lock v:ext="edit" aspectratio="t"/>
            <w10:wrap type="none"/>
            <w10:anchorlock/>
          </v:shape>
          <o:OLEObject Type="Embed" ProgID="Equation.DSMT4" ShapeID="_x0000_i1186" DrawAspect="Content" ObjectID="_1468075886" r:id="rId278">
            <o:LockedField>false</o:LockedField>
          </o:OLEObject>
        </w:object>
      </w:r>
      <w:r>
        <w:rPr>
          <w:lang w:bidi="ar"/>
        </w:rPr>
        <w:t>——</w:t>
      </w:r>
      <w:r>
        <w:rPr>
          <w:rFonts w:hint="eastAsia"/>
        </w:rPr>
        <w:t>矩形管节外边高（m）；</w:t>
      </w:r>
    </w:p>
    <w:p>
      <w:pPr>
        <w:ind w:firstLine="1200" w:firstLineChars="500"/>
        <w:rPr>
          <w:rFonts w:asciiTheme="minorHAnsi" w:hAnsiTheme="minorHAnsi" w:eastAsiaTheme="minorEastAsia" w:cstheme="minorBidi"/>
          <w:sz w:val="21"/>
        </w:rPr>
      </w:pPr>
      <w:r>
        <w:rPr>
          <w:position w:val="-12"/>
        </w:rPr>
        <w:object>
          <v:shape id="_x0000_i1187" o:spt="75" type="#_x0000_t75" style="height:18.35pt;width:11.55pt;" o:ole="t" filled="f" o:preferrelative="t" stroked="f" coordsize="21600,21600">
            <v:path/>
            <v:fill on="f" focussize="0,0"/>
            <v:stroke on="f" joinstyle="miter"/>
            <v:imagedata r:id="rId75" o:title=""/>
            <o:lock v:ext="edit" aspectratio="t"/>
            <w10:wrap type="none"/>
            <w10:anchorlock/>
          </v:shape>
          <o:OLEObject Type="Embed" ProgID="Equation.DSMT4" ShapeID="_x0000_i1187" DrawAspect="Content" ObjectID="_1468075887" r:id="rId279">
            <o:LockedField>false</o:LockedField>
          </o:OLEObject>
        </w:object>
      </w:r>
      <w:r>
        <w:rPr>
          <w:lang w:bidi="ar"/>
        </w:rPr>
        <w:t>——</w:t>
      </w:r>
      <w:r>
        <w:rPr>
          <w:rFonts w:hint="eastAsia"/>
        </w:rPr>
        <w:t>矩形管节外边宽（m）；</w:t>
      </w:r>
    </w:p>
    <w:p>
      <w:pPr>
        <w:ind w:firstLine="1200" w:firstLineChars="500"/>
        <w:rPr>
          <w:rFonts w:asciiTheme="minorHAnsi" w:hAnsiTheme="minorHAnsi" w:eastAsiaTheme="minorEastAsia" w:cstheme="minorBidi"/>
        </w:rPr>
      </w:pPr>
      <w:r>
        <w:rPr>
          <w:position w:val="-6"/>
        </w:rPr>
        <w:object>
          <v:shape id="_x0000_i1188" o:spt="75" type="#_x0000_t75" style="height:14.25pt;width:12.25pt;" o:ole="t" filled="f" o:preferrelative="t" stroked="f" coordsize="21600,21600">
            <v:path/>
            <v:fill on="f" focussize="0,0"/>
            <v:stroke on="f" joinstyle="miter"/>
            <v:imagedata r:id="rId281" o:title=""/>
            <o:lock v:ext="edit" aspectratio="t"/>
            <w10:wrap type="none"/>
            <w10:anchorlock/>
          </v:shape>
          <o:OLEObject Type="Embed" ProgID="Equation.DSMT4" ShapeID="_x0000_i1188" DrawAspect="Content" ObjectID="_1468075888" r:id="rId280">
            <o:LockedField>false</o:LockedField>
          </o:OLEObject>
        </w:object>
      </w:r>
      <w:r>
        <w:rPr>
          <w:lang w:bidi="ar"/>
        </w:rPr>
        <w:t>——</w:t>
      </w:r>
      <w:r>
        <w:rPr>
          <w:rFonts w:hint="eastAsia"/>
        </w:rPr>
        <w:t>土的内聚力（kN/m</w:t>
      </w:r>
      <w:r>
        <w:rPr>
          <w:rFonts w:hint="eastAsia"/>
          <w:vertAlign w:val="superscript"/>
        </w:rPr>
        <w:t>2</w:t>
      </w:r>
      <w:r>
        <w:rPr>
          <w:rFonts w:hint="eastAsia"/>
        </w:rPr>
        <w:t>）；</w:t>
      </w:r>
    </w:p>
    <w:p>
      <w:pPr>
        <w:ind w:firstLine="1200" w:firstLineChars="500"/>
      </w:pPr>
      <w:r>
        <w:rPr>
          <w:position w:val="-10"/>
        </w:rPr>
        <w:object>
          <v:shape id="_x0000_i1189" o:spt="75" type="#_x0000_t75" style="height:11.55pt;width:11.55pt;" o:ole="t" filled="f" o:preferrelative="t" stroked="f" coordsize="21600,21600">
            <v:path/>
            <v:fill on="f" focussize="0,0"/>
            <v:stroke on="f" joinstyle="miter"/>
            <v:imagedata r:id="rId283" o:title=""/>
            <o:lock v:ext="edit" aspectratio="t"/>
            <w10:wrap type="none"/>
            <w10:anchorlock/>
          </v:shape>
          <o:OLEObject Type="Embed" ProgID="Equation.DSMT4" ShapeID="_x0000_i1189" DrawAspect="Content" ObjectID="_1468075889" r:id="rId282">
            <o:LockedField>false</o:LockedField>
          </o:OLEObject>
        </w:object>
      </w:r>
      <w:r>
        <w:rPr>
          <w:lang w:bidi="ar"/>
        </w:rPr>
        <w:t>——</w:t>
      </w:r>
      <w:r>
        <w:rPr>
          <w:rFonts w:hint="eastAsia" w:asciiTheme="minorHAnsi" w:hAnsiTheme="minorHAnsi" w:eastAsiaTheme="minorEastAsia" w:cstheme="minorBidi"/>
        </w:rPr>
        <w:t>土的内摩擦角（</w:t>
      </w:r>
      <w:r>
        <w:rPr>
          <w:rFonts w:hint="eastAsia" w:asciiTheme="minorEastAsia" w:hAnsiTheme="minorEastAsia" w:eastAsiaTheme="minorEastAsia" w:cstheme="minorBidi"/>
        </w:rPr>
        <w:t>°</w:t>
      </w:r>
      <w:r>
        <w:rPr>
          <w:rFonts w:hint="eastAsia" w:asciiTheme="minorHAnsi" w:hAnsiTheme="minorHAnsi" w:eastAsiaTheme="minorEastAsia" w:cstheme="minorBidi"/>
        </w:rPr>
        <w:t>）；</w:t>
      </w:r>
    </w:p>
    <w:p>
      <w:pPr>
        <w:ind w:firstLine="1200" w:firstLineChars="500"/>
      </w:pPr>
      <w:r>
        <w:rPr>
          <w:position w:val="-10"/>
        </w:rPr>
        <w:object>
          <v:shape id="_x0000_i1190" o:spt="75" type="#_x0000_t75" style="height:15.6pt;width:11.55pt;" o:ole="t" filled="f" o:preferrelative="t" stroked="f" coordsize="21600,21600">
            <v:path/>
            <v:fill on="f" focussize="0,0"/>
            <v:stroke on="f" joinstyle="miter"/>
            <v:imagedata r:id="rId11" o:title=""/>
            <o:lock v:ext="edit" aspectratio="t"/>
            <w10:wrap type="none"/>
            <w10:anchorlock/>
          </v:shape>
          <o:OLEObject Type="Embed" ProgID="Equation.DSMT4" ShapeID="_x0000_i1190" DrawAspect="Content" ObjectID="_1468075890" r:id="rId284">
            <o:LockedField>false</o:LockedField>
          </o:OLEObject>
        </w:object>
      </w:r>
      <w:r>
        <w:rPr>
          <w:lang w:bidi="ar"/>
        </w:rPr>
        <w:t>——</w:t>
      </w:r>
      <w:r>
        <w:rPr>
          <w:rFonts w:hint="eastAsia" w:ascii="宋体" w:hAnsi="宋体" w:cs="宋体"/>
          <w:kern w:val="24"/>
        </w:rPr>
        <w:t>管土接触面的</w:t>
      </w:r>
      <w:r>
        <w:rPr>
          <w:rFonts w:hint="eastAsia"/>
        </w:rPr>
        <w:t>摩阻力，与管、土接触面的物理性质有关；</w:t>
      </w:r>
    </w:p>
    <w:p>
      <w:pPr>
        <w:ind w:firstLine="1200" w:firstLineChars="500"/>
        <w:rPr>
          <w:rFonts w:asciiTheme="minorHAnsi" w:hAnsiTheme="minorHAnsi" w:eastAsiaTheme="minorEastAsia" w:cstheme="minorBidi"/>
        </w:rPr>
      </w:pPr>
      <w:r>
        <w:rPr>
          <w:position w:val="-12"/>
        </w:rPr>
        <w:object>
          <v:shape id="_x0000_i1191" o:spt="75" type="#_x0000_t75" style="height:18.35pt;width:14.95pt;" o:ole="t" filled="f" o:preferrelative="t" stroked="f" coordsize="21600,21600">
            <v:path/>
            <v:fill on="f" focussize="0,0"/>
            <v:stroke on="f" joinstyle="miter"/>
            <v:imagedata r:id="rId286" o:title=""/>
            <o:lock v:ext="edit" aspectratio="t"/>
            <w10:wrap type="none"/>
            <w10:anchorlock/>
          </v:shape>
          <o:OLEObject Type="Embed" ProgID="Equation.DSMT4" ShapeID="_x0000_i1191" DrawAspect="Content" ObjectID="_1468075891" r:id="rId285">
            <o:LockedField>false</o:LockedField>
          </o:OLEObject>
        </w:object>
      </w:r>
      <w:r>
        <w:rPr>
          <w:lang w:bidi="ar"/>
        </w:rPr>
        <w:t>——</w:t>
      </w:r>
      <w:r>
        <w:rPr>
          <w:rFonts w:hint="eastAsia" w:asciiTheme="minorHAnsi" w:hAnsiTheme="minorHAnsi" w:eastAsiaTheme="minorEastAsia" w:cstheme="minorBidi"/>
        </w:rPr>
        <w:t>矩形顶管顶进长度（</w:t>
      </w:r>
      <w:r>
        <w:rPr>
          <w:rFonts w:eastAsiaTheme="minorEastAsia"/>
        </w:rPr>
        <w:t>m</w:t>
      </w:r>
      <w:r>
        <w:rPr>
          <w:rFonts w:hint="eastAsia" w:asciiTheme="minorHAnsi" w:hAnsiTheme="minorHAnsi" w:eastAsiaTheme="minorEastAsia" w:cstheme="minorBidi"/>
        </w:rPr>
        <w:t>）</w:t>
      </w:r>
      <w:r>
        <w:rPr>
          <w:rFonts w:hint="eastAsia" w:ascii="宋体" w:hAnsi="宋体" w:cs="宋体"/>
          <w:kern w:val="24"/>
        </w:rPr>
        <w:t>；</w:t>
      </w:r>
    </w:p>
    <w:p>
      <w:pPr>
        <w:ind w:firstLine="1200" w:firstLineChars="500"/>
        <w:rPr>
          <w:rFonts w:asciiTheme="minorHAnsi" w:hAnsiTheme="minorHAnsi" w:eastAsiaTheme="minorEastAsia" w:cstheme="minorBidi"/>
        </w:rPr>
      </w:pPr>
      <w:r>
        <w:rPr>
          <w:position w:val="-12"/>
        </w:rPr>
        <w:object>
          <v:shape id="_x0000_i1192" o:spt="75" type="#_x0000_t75" style="height:18.35pt;width:12.9pt;" o:ole="t" filled="f" o:preferrelative="t" stroked="f" coordsize="21600,21600">
            <v:path/>
            <v:fill on="f" focussize="0,0"/>
            <v:stroke on="f" joinstyle="miter"/>
            <v:imagedata r:id="rId288" o:title=""/>
            <o:lock v:ext="edit" aspectratio="t"/>
            <w10:wrap type="none"/>
            <w10:anchorlock/>
          </v:shape>
          <o:OLEObject Type="Embed" ProgID="Equation.DSMT4" ShapeID="_x0000_i1192" DrawAspect="Content" ObjectID="_1468075892" r:id="rId287">
            <o:LockedField>false</o:LockedField>
          </o:OLEObject>
        </w:object>
      </w:r>
      <w:r>
        <w:rPr>
          <w:lang w:bidi="ar"/>
        </w:rPr>
        <w:t>——</w:t>
      </w:r>
      <w:r>
        <w:rPr>
          <w:rFonts w:hint="eastAsia"/>
        </w:rPr>
        <w:t>钢筋混凝土管节的重度</w:t>
      </w:r>
      <w:r>
        <w:rPr>
          <w:rFonts w:hint="eastAsia" w:ascii="宋体" w:hAnsi="宋体" w:cs="宋体"/>
          <w:kern w:val="24"/>
        </w:rPr>
        <w:t>(</w:t>
      </w:r>
      <w:r>
        <w:rPr>
          <w:kern w:val="24"/>
        </w:rPr>
        <w:t>kN/m</w:t>
      </w:r>
      <w:r>
        <w:rPr>
          <w:kern w:val="24"/>
          <w:vertAlign w:val="superscript"/>
        </w:rPr>
        <w:t>3</w:t>
      </w:r>
      <w:r>
        <w:rPr>
          <w:rFonts w:ascii="宋体" w:hAnsi="宋体" w:cs="宋体"/>
          <w:kern w:val="24"/>
        </w:rPr>
        <w:t>)</w:t>
      </w:r>
      <w:r>
        <w:rPr>
          <w:rFonts w:hint="eastAsia" w:ascii="宋体" w:hAnsi="宋体" w:cs="宋体"/>
          <w:kern w:val="24"/>
          <w:vertAlign w:val="superscript"/>
        </w:rPr>
        <w:t xml:space="preserve"> </w:t>
      </w:r>
      <w:r>
        <w:rPr>
          <w:rFonts w:hint="eastAsia" w:ascii="宋体" w:hAnsi="宋体" w:cs="宋体"/>
          <w:kern w:val="24"/>
        </w:rPr>
        <w:t>；</w:t>
      </w:r>
    </w:p>
    <w:p>
      <w:pPr>
        <w:ind w:firstLine="1200" w:firstLineChars="500"/>
        <w:rPr>
          <w:rFonts w:asciiTheme="minorHAnsi" w:hAnsiTheme="minorHAnsi" w:eastAsiaTheme="minorEastAsia" w:cstheme="minorBidi"/>
        </w:rPr>
      </w:pPr>
      <w:r>
        <w:rPr>
          <w:position w:val="-14"/>
        </w:rPr>
        <w:object>
          <v:shape id="_x0000_i1193" o:spt="75" type="#_x0000_t75" style="height:18.35pt;width:15.6pt;" o:ole="t" filled="f" o:preferrelative="t" stroked="f" coordsize="21600,21600">
            <v:path/>
            <v:fill on="f" focussize="0,0"/>
            <v:stroke on="f" joinstyle="miter"/>
            <v:imagedata r:id="rId65" o:title=""/>
            <o:lock v:ext="edit" aspectratio="t"/>
            <w10:wrap type="none"/>
            <w10:anchorlock/>
          </v:shape>
          <o:OLEObject Type="Embed" ProgID="Equation.DSMT4" ShapeID="_x0000_i1193" DrawAspect="Content" ObjectID="_1468075893" r:id="rId289">
            <o:LockedField>false</o:LockedField>
          </o:OLEObject>
        </w:object>
      </w:r>
      <w:r>
        <w:rPr>
          <w:lang w:bidi="ar"/>
        </w:rPr>
        <w:t>——</w:t>
      </w:r>
      <w:r>
        <w:rPr>
          <w:rFonts w:hint="eastAsia" w:asciiTheme="minorHAnsi" w:hAnsiTheme="minorHAnsi" w:eastAsiaTheme="minorEastAsia" w:cstheme="minorBidi"/>
        </w:rPr>
        <w:t>混凝土管节混凝土横断面积（</w:t>
      </w:r>
      <w:r>
        <w:rPr>
          <w:rFonts w:eastAsiaTheme="minorEastAsia"/>
        </w:rPr>
        <w:t>m</w:t>
      </w:r>
      <w:r>
        <w:rPr>
          <w:rFonts w:eastAsiaTheme="minorEastAsia"/>
          <w:vertAlign w:val="superscript"/>
        </w:rPr>
        <w:t>2</w:t>
      </w:r>
      <w:r>
        <w:rPr>
          <w:rFonts w:hint="eastAsia" w:asciiTheme="minorHAnsi" w:hAnsiTheme="minorHAnsi" w:eastAsiaTheme="minorEastAsia" w:cstheme="minorBidi"/>
        </w:rPr>
        <w:t>）；</w:t>
      </w:r>
    </w:p>
    <w:p>
      <w:pPr>
        <w:ind w:firstLine="1200" w:firstLineChars="500"/>
      </w:pPr>
      <w:r>
        <w:rPr>
          <w:position w:val="-14"/>
        </w:rPr>
        <w:object>
          <v:shape id="_x0000_i1194" o:spt="75" type="#_x0000_t75" style="height:18.35pt;width:14.25pt;" o:ole="t" filled="f" o:preferrelative="t" stroked="f" coordsize="21600,21600">
            <v:path/>
            <v:fill on="f" focussize="0,0"/>
            <v:stroke on="f" joinstyle="miter"/>
            <v:imagedata r:id="rId109" o:title=""/>
            <o:lock v:ext="edit" aspectratio="t"/>
            <w10:wrap type="none"/>
            <w10:anchorlock/>
          </v:shape>
          <o:OLEObject Type="Embed" ProgID="Equation.DSMT4" ShapeID="_x0000_i1194" DrawAspect="Content" ObjectID="_1468075894" r:id="rId290">
            <o:LockedField>false</o:LockedField>
          </o:OLEObject>
        </w:object>
      </w:r>
      <w:r>
        <w:rPr>
          <w:lang w:bidi="ar"/>
        </w:rPr>
        <w:t>——</w:t>
      </w:r>
      <w:r>
        <w:rPr>
          <w:rFonts w:hint="eastAsia"/>
        </w:rPr>
        <w:t>管顶竖向土压力系数，其中</w:t>
      </w:r>
      <w:r>
        <w:rPr>
          <w:position w:val="-12"/>
        </w:rPr>
        <w:object>
          <v:shape id="_x0000_i1195" o:spt="75" type="#_x0000_t75" style="height:18.35pt;width:25.15pt;" o:ole="t" filled="f" o:preferrelative="t" stroked="f" coordsize="21600,21600">
            <v:path/>
            <v:fill on="f" focussize="0,0"/>
            <v:stroke on="f" joinstyle="miter"/>
            <v:imagedata r:id="rId292" o:title=""/>
            <o:lock v:ext="edit" aspectratio="t"/>
            <w10:wrap type="none"/>
            <w10:anchorlock/>
          </v:shape>
          <o:OLEObject Type="Embed" ProgID="Equation.DSMT4" ShapeID="_x0000_i1195" DrawAspect="Content" ObjectID="_1468075895" r:id="rId291">
            <o:LockedField>false</o:LockedField>
          </o:OLEObject>
        </w:object>
      </w:r>
      <w:r>
        <w:rPr>
          <w:rFonts w:hint="eastAsia"/>
        </w:rPr>
        <w:t>为土的主动土压力系数和内摩擦系数的乘积；一般取0.13，饱和粘性土取0.11，砂和砾石取</w:t>
      </w:r>
      <w:r>
        <w:t>0.165</w:t>
      </w:r>
      <w:r>
        <w:rPr>
          <w:rFonts w:hint="eastAsia"/>
        </w:rPr>
        <w:t>；</w:t>
      </w:r>
    </w:p>
    <w:p>
      <w:pPr>
        <w:ind w:firstLine="1200" w:firstLineChars="500"/>
      </w:pPr>
      <w:r>
        <w:rPr>
          <w:position w:val="-12"/>
        </w:rPr>
        <w:object>
          <v:shape id="_x0000_i1196" o:spt="75" type="#_x0000_t75" style="height:18.35pt;width:14.25pt;" o:ole="t" filled="f" o:preferrelative="t" stroked="f" coordsize="21600,21600">
            <v:path/>
            <v:fill on="f" focussize="0,0"/>
            <v:stroke on="f" joinstyle="miter"/>
            <v:imagedata r:id="rId73" o:title=""/>
            <o:lock v:ext="edit" aspectratio="t"/>
            <w10:wrap type="none"/>
            <w10:anchorlock/>
          </v:shape>
          <o:OLEObject Type="Embed" ProgID="Equation.DSMT4" ShapeID="_x0000_i1196" DrawAspect="Content" ObjectID="_1468075896" r:id="rId293">
            <o:LockedField>false</o:LockedField>
          </o:OLEObject>
        </w:object>
      </w:r>
      <w:r>
        <w:rPr>
          <w:lang w:bidi="ar"/>
        </w:rPr>
        <w:t>——</w:t>
      </w:r>
      <w:r>
        <w:rPr>
          <w:rFonts w:hint="eastAsia"/>
        </w:rPr>
        <w:t>管顶上部土层压力传递至管顶处的影响计算宽度，即卸荷拱跨度（m）。</w:t>
      </w:r>
    </w:p>
    <w:p>
      <w:pPr>
        <w:pStyle w:val="34"/>
        <w:shd w:val="clear" w:color="auto" w:fill="FFFFFF"/>
        <w:ind w:firstLine="480" w:firstLineChars="200"/>
        <w:rPr>
          <w:rFonts w:ascii="仿宋" w:hAnsi="仿宋" w:eastAsia="仿宋" w:cs="宋体"/>
          <w:b/>
          <w:kern w:val="24"/>
        </w:rPr>
      </w:pPr>
      <w:r>
        <w:rPr>
          <w:rFonts w:ascii="Times New Roman" w:hAnsi="Times New Roman"/>
        </w:rPr>
        <w:t>5</w:t>
      </w:r>
      <w:r>
        <w:t xml:space="preserve">  </w:t>
      </w:r>
      <w:r>
        <w:rPr>
          <w:rFonts w:hint="eastAsia"/>
        </w:rPr>
        <w:t>矩形顶管外侧形成稳定泥浆套时，总摩阻力标准值可按下式</w:t>
      </w:r>
    </w:p>
    <w:p>
      <w:pPr>
        <w:pStyle w:val="34"/>
        <w:shd w:val="clear" w:color="auto" w:fill="FFFFFF"/>
        <w:ind w:firstLine="2400" w:firstLineChars="1000"/>
      </w:pPr>
      <w:r>
        <w:rPr>
          <w:position w:val="-14"/>
        </w:rPr>
        <w:object>
          <v:shape id="_x0000_i1197" o:spt="75" type="#_x0000_t75" style="height:18.35pt;width:79.45pt;" o:ole="t" filled="f" o:preferrelative="t" stroked="f" coordsize="21600,21600">
            <v:path/>
            <v:fill on="f" focussize="0,0"/>
            <v:stroke on="f" joinstyle="miter"/>
            <v:imagedata r:id="rId295" o:title=""/>
            <o:lock v:ext="edit" aspectratio="t"/>
            <w10:wrap type="none"/>
            <w10:anchorlock/>
          </v:shape>
          <o:OLEObject Type="Embed" ProgID="Equation.DSMT4" ShapeID="_x0000_i1197" DrawAspect="Content" ObjectID="_1468075897" r:id="rId294">
            <o:LockedField>false</o:LockedField>
          </o:OLEObject>
        </w:object>
      </w:r>
    </w:p>
    <w:p>
      <w:pPr>
        <w:pStyle w:val="34"/>
        <w:shd w:val="clear" w:color="auto" w:fill="FFFFFF"/>
        <w:ind w:firstLine="360" w:firstLineChars="150"/>
        <w:rPr>
          <w:rFonts w:ascii="Times New Roman" w:hAnsi="Times New Roman"/>
          <w:kern w:val="24"/>
        </w:rPr>
      </w:pPr>
      <w:r>
        <w:rPr>
          <w:rFonts w:hint="eastAsia" w:cs="宋体"/>
          <w:kern w:val="24"/>
        </w:rPr>
        <w:t>式中：</w:t>
      </w:r>
      <w:r>
        <w:rPr>
          <w:position w:val="-10"/>
        </w:rPr>
        <w:object>
          <v:shape id="_x0000_i1198" o:spt="75" type="#_x0000_t75" style="height:15.6pt;width:11.55pt;" o:ole="t" filled="f" o:preferrelative="t" stroked="f" coordsize="21600,21600">
            <v:path/>
            <v:fill on="f" focussize="0,0"/>
            <v:stroke on="f" joinstyle="miter"/>
            <v:imagedata r:id="rId11" o:title=""/>
            <o:lock v:ext="edit" aspectratio="t"/>
            <w10:wrap type="none"/>
            <w10:anchorlock/>
          </v:shape>
          <o:OLEObject Type="Embed" ProgID="Equation.DSMT4" ShapeID="_x0000_i1198" DrawAspect="Content" ObjectID="_1468075898" r:id="rId296">
            <o:LockedField>false</o:LockedField>
          </o:OLEObject>
        </w:object>
      </w:r>
      <w:r>
        <w:rPr>
          <w:lang w:bidi="ar"/>
        </w:rPr>
        <w:t>——</w:t>
      </w:r>
      <w:r>
        <w:rPr>
          <w:rFonts w:hint="eastAsia" w:cs="宋体"/>
          <w:kern w:val="24"/>
        </w:rPr>
        <w:t>管土接触面的摩阻力，</w:t>
      </w:r>
      <w:r>
        <w:rPr>
          <w:rFonts w:ascii="Times New Roman" w:hAnsi="Times New Roman"/>
          <w:kern w:val="24"/>
        </w:rPr>
        <w:t>宜取2kpa~7kpa</w:t>
      </w:r>
      <w:r>
        <w:rPr>
          <w:rFonts w:hint="eastAsia" w:ascii="Times New Roman" w:hAnsi="Times New Roman"/>
          <w:kern w:val="24"/>
        </w:rPr>
        <w:t>。</w:t>
      </w:r>
    </w:p>
    <w:p>
      <w:pPr>
        <w:rPr>
          <w:rFonts w:eastAsia="仿宋"/>
        </w:rPr>
      </w:pPr>
      <w:r>
        <w:rPr>
          <w:rFonts w:eastAsia="仿宋"/>
          <w:b/>
          <w:bCs/>
        </w:rPr>
        <w:t xml:space="preserve">【条文说明】：5.7.3 </w:t>
      </w:r>
      <w:r>
        <w:rPr>
          <w:rFonts w:eastAsia="仿宋"/>
        </w:rPr>
        <w:t xml:space="preserve"> 根据顶管施工的特点，顶管管道周边的土体基本是原状土，且由于顶管机比管节外径大约10mm~20mm，在顶进过程中，管节与周围土体之间的间隙基本被减阻泥浆填充。顶管管节受力是管、土及泥浆三者间的共同作用，不同于一般的埋管管道，埋管管道采用开槽式铺设，管道周边的土是回填土而非原状土，管道上部土压力需采用整个回填土层的厚度来计算；而顶管管道埋深都比较大，且顶管施工过程几乎不会对上部土层造成较大的影响，顶进过程中上部土体会发生应力重分布而逐渐趋于稳定的现象。应力重分布形成一个类似于土拱的“结构”，对上部土体起到一定的支承作用，使得作用在管道上的土压力并不是整个管道上部土层的重量，因此在计算顶管管道竖向土压力时需要考虑管道上部土体“土拱效应”的影响。</w:t>
      </w:r>
    </w:p>
    <w:p>
      <w:pPr>
        <w:ind w:firstLine="482" w:firstLineChars="200"/>
        <w:rPr>
          <w:rFonts w:eastAsia="仿宋"/>
          <w:b/>
          <w:bCs/>
        </w:rPr>
      </w:pPr>
      <w:r>
        <w:rPr>
          <w:rFonts w:eastAsia="仿宋"/>
          <w:b/>
          <w:bCs/>
        </w:rPr>
        <w:t>1、普氏理论计算竖向土压力</w:t>
      </w:r>
    </w:p>
    <w:p>
      <w:pPr>
        <w:ind w:firstLine="480" w:firstLineChars="200"/>
        <w:rPr>
          <w:rFonts w:eastAsia="仿宋"/>
        </w:rPr>
      </w:pPr>
      <w:r>
        <w:rPr>
          <w:rFonts w:eastAsia="仿宋"/>
        </w:rPr>
        <w:t>利用“土拱效应”计算土压力是由原苏联学者普罗托基亚卡诺夫提出的计算模型，即“普氏理论”。该理论指出：在一定覆土厚度条件下，管顶土层将形成“卸荷土拱”，管顶承受的竖向土压力将取决于卸荷土拱的高度，矩形管节上部竖直方向土压力并不是管道上部所有土的重量，而是“卸荷土拱”拱高内的土体重量。卸荷拱如图3-4所示，矩形管节外宽</w:t>
      </w:r>
      <w:r>
        <w:rPr>
          <w:rFonts w:eastAsia="仿宋"/>
          <w:position w:val="-12"/>
        </w:rPr>
        <w:object>
          <v:shape id="_x0000_i1199" o:spt="75" type="#_x0000_t75" style="height:18.35pt;width:11.55pt;" o:ole="t" filled="f" o:preferrelative="t" stroked="f" coordsize="21600,21600">
            <v:path/>
            <v:fill on="f" focussize="0,0"/>
            <v:stroke on="f" joinstyle="miter"/>
            <v:imagedata r:id="rId75" o:title=""/>
            <o:lock v:ext="edit" aspectratio="t"/>
            <w10:wrap type="none"/>
            <w10:anchorlock/>
          </v:shape>
          <o:OLEObject Type="Embed" ProgID="Equation.DSMT4" ShapeID="_x0000_i1199" DrawAspect="Content" ObjectID="_1468075899" r:id="rId297">
            <o:LockedField>false</o:LockedField>
          </o:OLEObject>
        </w:object>
      </w:r>
      <w:r>
        <w:rPr>
          <w:rFonts w:eastAsia="仿宋"/>
        </w:rPr>
        <w:t>，外高</w:t>
      </w:r>
      <w:r>
        <w:rPr>
          <w:rFonts w:eastAsia="仿宋"/>
          <w:position w:val="-12"/>
        </w:rPr>
        <w:object>
          <v:shape id="_x0000_i1200" o:spt="75" type="#_x0000_t75" style="height:21.75pt;width:15.6pt;" o:ole="t" filled="f" o:preferrelative="t" stroked="f" coordsize="21600,21600">
            <v:path/>
            <v:fill on="f" focussize="0,0"/>
            <v:stroke on="f" joinstyle="miter"/>
            <v:imagedata r:id="rId97" o:title=""/>
            <o:lock v:ext="edit" aspectratio="t"/>
            <w10:wrap type="none"/>
            <w10:anchorlock/>
          </v:shape>
          <o:OLEObject Type="Embed" ProgID="Equation.DSMT4" ShapeID="_x0000_i1200" DrawAspect="Content" ObjectID="_1468075900" r:id="rId298">
            <o:LockedField>false</o:LockedField>
          </o:OLEObject>
        </w:object>
      </w:r>
      <w:r>
        <w:rPr>
          <w:rFonts w:eastAsia="仿宋"/>
        </w:rPr>
        <w:t>，内宽b</w:t>
      </w:r>
      <w:r>
        <w:rPr>
          <w:rFonts w:eastAsia="仿宋"/>
          <w:vertAlign w:val="subscript"/>
        </w:rPr>
        <w:t>2</w:t>
      </w:r>
      <w:r>
        <w:rPr>
          <w:rFonts w:eastAsia="仿宋"/>
        </w:rPr>
        <w:t>，内高h</w:t>
      </w:r>
      <w:r>
        <w:rPr>
          <w:rFonts w:eastAsia="仿宋"/>
          <w:vertAlign w:val="subscript"/>
        </w:rPr>
        <w:t>2</w:t>
      </w:r>
      <w:r>
        <w:rPr>
          <w:rFonts w:eastAsia="仿宋"/>
        </w:rPr>
        <w:t>，管道埋深H</w:t>
      </w:r>
      <w:r>
        <w:rPr>
          <w:rFonts w:eastAsia="仿宋"/>
          <w:vertAlign w:val="subscript"/>
        </w:rPr>
        <w:t>0</w:t>
      </w:r>
      <w:r>
        <w:rPr>
          <w:rFonts w:eastAsia="仿宋"/>
        </w:rPr>
        <w:t>。</w:t>
      </w:r>
    </w:p>
    <w:p>
      <w:pPr>
        <w:pStyle w:val="34"/>
        <w:shd w:val="clear" w:color="auto" w:fill="FFFFFF"/>
        <w:ind w:left="482"/>
        <w:jc w:val="center"/>
        <w:rPr>
          <w:rFonts w:ascii="Times New Roman" w:hAnsi="Times New Roman" w:eastAsiaTheme="minorEastAsia"/>
          <w:b/>
          <w:color w:val="0070C0"/>
          <w:kern w:val="24"/>
        </w:rPr>
      </w:pPr>
      <w:r>
        <w:drawing>
          <wp:inline distT="0" distB="0" distL="0" distR="0">
            <wp:extent cx="3100070" cy="1924050"/>
            <wp:effectExtent l="0" t="0" r="508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3135777" cy="1946429"/>
                    </a:xfrm>
                    <a:prstGeom prst="rect">
                      <a:avLst/>
                    </a:prstGeom>
                  </pic:spPr>
                </pic:pic>
              </a:graphicData>
            </a:graphic>
          </wp:inline>
        </w:drawing>
      </w:r>
    </w:p>
    <w:p>
      <w:pPr>
        <w:pStyle w:val="34"/>
        <w:shd w:val="clear" w:color="auto" w:fill="FFFFFF"/>
        <w:jc w:val="center"/>
        <w:rPr>
          <w:rFonts w:ascii="Times New Roman" w:hAnsi="Times New Roman" w:eastAsiaTheme="minorEastAsia"/>
          <w:b/>
          <w:sz w:val="21"/>
          <w:szCs w:val="21"/>
        </w:rPr>
      </w:pPr>
      <w:r>
        <w:rPr>
          <w:rFonts w:ascii="Times New Roman" w:hAnsi="Times New Roman" w:eastAsiaTheme="minorEastAsia"/>
          <w:b/>
          <w:sz w:val="21"/>
          <w:szCs w:val="21"/>
        </w:rPr>
        <w:t>图</w:t>
      </w:r>
      <w:r>
        <w:rPr>
          <w:rFonts w:hint="eastAsia" w:ascii="Times New Roman" w:hAnsi="Times New Roman" w:eastAsiaTheme="minorEastAsia"/>
          <w:b/>
          <w:sz w:val="21"/>
          <w:szCs w:val="21"/>
        </w:rPr>
        <w:t>1</w:t>
      </w:r>
      <w:r>
        <w:rPr>
          <w:rFonts w:ascii="Times New Roman" w:hAnsi="Times New Roman" w:eastAsiaTheme="minorEastAsia"/>
          <w:b/>
          <w:sz w:val="21"/>
          <w:szCs w:val="21"/>
        </w:rPr>
        <w:t xml:space="preserve">  卸荷土拱示意图</w:t>
      </w:r>
    </w:p>
    <w:p>
      <w:pPr>
        <w:ind w:firstLine="480" w:firstLineChars="200"/>
        <w:rPr>
          <w:rFonts w:eastAsia="仿宋"/>
        </w:rPr>
      </w:pPr>
      <w:r>
        <w:rPr>
          <w:rFonts w:eastAsia="仿宋"/>
        </w:rPr>
        <w:t>图中曲线EOF即为矩形管节卸荷拱的界面曲线，卸荷</w:t>
      </w:r>
      <w:r>
        <w:rPr>
          <w:rFonts w:eastAsia="仿宋"/>
          <w:szCs w:val="24"/>
        </w:rPr>
        <w:t>土拱高度</w:t>
      </w:r>
      <m:oMath>
        <m:sSub>
          <m:sSubPr>
            <m:ctrlPr>
              <w:rPr>
                <w:rFonts w:ascii="Cambria Math" w:hAnsi="Cambria Math" w:eastAsia="仿宋"/>
                <w:i/>
                <w:kern w:val="24"/>
                <w:szCs w:val="24"/>
              </w:rPr>
            </m:ctrlPr>
          </m:sSubPr>
          <m:e>
            <m:r>
              <w:rPr>
                <w:rFonts w:ascii="Cambria Math" w:hAnsi="Cambria Math" w:eastAsia="仿宋"/>
                <w:kern w:val="24"/>
                <w:szCs w:val="24"/>
              </w:rPr>
              <m:t>h</m:t>
            </m:r>
            <m:ctrlPr>
              <w:rPr>
                <w:rFonts w:ascii="Cambria Math" w:hAnsi="Cambria Math" w:eastAsia="仿宋"/>
                <w:i/>
                <w:kern w:val="24"/>
                <w:szCs w:val="24"/>
              </w:rPr>
            </m:ctrlPr>
          </m:e>
          <m:sub>
            <m:r>
              <w:rPr>
                <w:rFonts w:ascii="Cambria Math" w:hAnsi="Cambria Math" w:eastAsia="仿宋"/>
                <w:kern w:val="24"/>
                <w:szCs w:val="24"/>
              </w:rPr>
              <m:t>0</m:t>
            </m:r>
            <m:ctrlPr>
              <w:rPr>
                <w:rFonts w:ascii="Cambria Math" w:hAnsi="Cambria Math" w:eastAsia="仿宋"/>
                <w:i/>
                <w:kern w:val="24"/>
                <w:szCs w:val="24"/>
              </w:rPr>
            </m:ctrlPr>
          </m:sub>
        </m:sSub>
      </m:oMath>
      <w:r>
        <w:rPr>
          <w:rFonts w:eastAsia="仿宋"/>
        </w:rPr>
        <w:t>。和卸荷土拱跨度B</w:t>
      </w:r>
      <w:r>
        <w:rPr>
          <w:rFonts w:eastAsia="仿宋"/>
          <w:vertAlign w:val="subscript"/>
        </w:rPr>
        <w:t>0</w:t>
      </w:r>
      <w:r>
        <w:rPr>
          <w:rFonts w:eastAsia="仿宋"/>
        </w:rPr>
        <w:t>。可按下式计算：</w:t>
      </w:r>
    </w:p>
    <w:p>
      <w:pPr>
        <w:ind w:firstLine="480" w:firstLineChars="200"/>
      </w:pPr>
      <w:r>
        <w:rPr>
          <w:position w:val="-22"/>
        </w:rPr>
        <w:object>
          <v:shape id="_x0000_i1201" o:spt="75" type="#_x0000_t75" style="height:37.35pt;width:173.9pt;" o:ole="t" filled="f" o:preferrelative="t" stroked="f" coordsize="21600,21600">
            <v:path/>
            <v:fill on="f" focussize="0,0"/>
            <v:stroke on="f" joinstyle="miter"/>
            <v:imagedata r:id="rId301" o:title=""/>
            <o:lock v:ext="edit" aspectratio="t"/>
            <w10:wrap type="none"/>
            <w10:anchorlock/>
          </v:shape>
          <o:OLEObject Type="Embed" ProgID="Equation.DSMT4" ShapeID="_x0000_i1201" DrawAspect="Content" ObjectID="_1468075901" r:id="rId300">
            <o:LockedField>false</o:LockedField>
          </o:OLEObject>
        </w:object>
      </w:r>
      <w:r>
        <w:t xml:space="preserve">               </w:t>
      </w:r>
      <w:r>
        <w:rPr>
          <w:rFonts w:hint="eastAsia"/>
        </w:rPr>
        <w:t>(1)</w:t>
      </w:r>
    </w:p>
    <w:p>
      <w:pPr>
        <w:ind w:firstLine="480" w:firstLineChars="200"/>
      </w:pPr>
      <w:r>
        <w:rPr>
          <w:position w:val="-30"/>
        </w:rPr>
        <w:object>
          <v:shape id="_x0000_i1202" o:spt="75" type="#_x0000_t75" style="height:28.55pt;width:186.1pt;" o:ole="t" filled="f" o:preferrelative="t" stroked="f" coordsize="21600,21600">
            <v:path/>
            <v:fill on="f" focussize="0,0"/>
            <v:stroke on="f" joinstyle="miter"/>
            <v:imagedata r:id="rId303" o:title=""/>
            <o:lock v:ext="edit" aspectratio="t"/>
            <w10:wrap type="none"/>
            <w10:anchorlock/>
          </v:shape>
          <o:OLEObject Type="Embed" ProgID="Equation.DSMT4" ShapeID="_x0000_i1202" DrawAspect="Content" ObjectID="_1468075902" r:id="rId302">
            <o:LockedField>false</o:LockedField>
          </o:OLEObject>
        </w:object>
      </w:r>
      <w:r>
        <w:t xml:space="preserve">             </w:t>
      </w:r>
      <w:r>
        <w:rPr>
          <w:rFonts w:hint="eastAsia"/>
        </w:rPr>
        <w:t>(2)</w:t>
      </w:r>
    </w:p>
    <w:p>
      <w:pPr>
        <w:ind w:firstLine="480" w:firstLineChars="200"/>
      </w:pPr>
      <w:r>
        <w:rPr>
          <w:position w:val="-28"/>
        </w:rPr>
        <w:object>
          <v:shape id="_x0000_i1203" o:spt="75" type="#_x0000_t75" style="height:28.55pt;width:87.6pt;" o:ole="t" filled="f" o:preferrelative="t" stroked="f" coordsize="21600,21600">
            <v:path/>
            <v:fill on="f" focussize="0,0"/>
            <v:stroke on="f" joinstyle="miter"/>
            <v:imagedata r:id="rId305" o:title=""/>
            <o:lock v:ext="edit" aspectratio="t"/>
            <w10:wrap type="none"/>
            <w10:anchorlock/>
          </v:shape>
          <o:OLEObject Type="Embed" ProgID="Equation.DSMT4" ShapeID="_x0000_i1203" DrawAspect="Content" ObjectID="_1468075903" r:id="rId304">
            <o:LockedField>false</o:LockedField>
          </o:OLEObject>
        </w:object>
      </w:r>
      <w:r>
        <w:t xml:space="preserve">                             </w:t>
      </w:r>
      <w:r>
        <w:rPr>
          <w:rFonts w:hint="eastAsia"/>
        </w:rPr>
        <w:t>(3)</w:t>
      </w:r>
    </w:p>
    <w:p>
      <w:pPr>
        <w:ind w:firstLine="480" w:firstLineChars="200"/>
      </w:pPr>
      <w:r>
        <w:rPr>
          <w:position w:val="-12"/>
        </w:rPr>
        <w:object>
          <v:shape id="_x0000_i1204" o:spt="75" type="#_x0000_t75" style="height:18.35pt;width:47.55pt;" o:ole="t" filled="f" o:preferrelative="t" stroked="f" coordsize="21600,21600">
            <v:path/>
            <v:fill on="f" focussize="0,0"/>
            <v:stroke on="f" joinstyle="miter"/>
            <v:imagedata r:id="rId307" o:title=""/>
            <o:lock v:ext="edit" aspectratio="t"/>
            <w10:wrap type="none"/>
            <w10:anchorlock/>
          </v:shape>
          <o:OLEObject Type="Embed" ProgID="Equation.DSMT4" ShapeID="_x0000_i1204" DrawAspect="Content" ObjectID="_1468075904" r:id="rId306">
            <o:LockedField>false</o:LockedField>
          </o:OLEObject>
        </w:object>
      </w:r>
      <w:r>
        <w:t xml:space="preserve">                                    </w:t>
      </w:r>
      <w:r>
        <w:rPr>
          <w:rFonts w:hint="eastAsia"/>
        </w:rPr>
        <w:t>(4)</w:t>
      </w:r>
    </w:p>
    <w:p>
      <w:pPr>
        <w:ind w:firstLine="480" w:firstLineChars="200"/>
        <w:rPr>
          <w:rFonts w:eastAsia="仿宋"/>
        </w:rPr>
      </w:pPr>
      <w:r>
        <w:rPr>
          <w:rFonts w:eastAsia="仿宋"/>
        </w:rPr>
        <w:t>式中：</w:t>
      </w:r>
      <m:oMath>
        <m:sSub>
          <m:sSubPr>
            <m:ctrlPr>
              <w:rPr>
                <w:rFonts w:ascii="Cambria Math" w:hAnsi="Cambria Math" w:eastAsia="仿宋"/>
                <w:i/>
              </w:rPr>
            </m:ctrlPr>
          </m:sSubPr>
          <m:e>
            <m:r>
              <w:rPr>
                <w:rFonts w:ascii="Cambria Math" w:hAnsi="Cambria Math" w:eastAsia="仿宋"/>
              </w:rPr>
              <m:t>h</m:t>
            </m:r>
            <m:ctrlPr>
              <w:rPr>
                <w:rFonts w:ascii="Cambria Math" w:hAnsi="Cambria Math" w:eastAsia="仿宋"/>
                <w:i/>
              </w:rPr>
            </m:ctrlPr>
          </m:e>
          <m:sub>
            <m:r>
              <w:rPr>
                <w:rFonts w:ascii="Cambria Math" w:hAnsi="Cambria Math" w:eastAsia="仿宋"/>
              </w:rPr>
              <m:t>0</m:t>
            </m:r>
            <m:ctrlPr>
              <w:rPr>
                <w:rFonts w:ascii="Cambria Math" w:hAnsi="Cambria Math" w:eastAsia="仿宋"/>
                <w:i/>
              </w:rPr>
            </m:ctrlPr>
          </m:sub>
        </m:sSub>
      </m:oMath>
      <w:r>
        <w:rPr>
          <w:rFonts w:eastAsia="仿宋"/>
        </w:rPr>
        <w:t>——卸荷土拱高度（m）；</w:t>
      </w:r>
    </w:p>
    <w:p>
      <w:pPr>
        <w:ind w:firstLine="1200" w:firstLineChars="500"/>
        <w:rPr>
          <w:rFonts w:eastAsia="仿宋"/>
        </w:rPr>
      </w:pPr>
      <w:r>
        <w:rPr>
          <w:rFonts w:eastAsia="仿宋"/>
        </w:rPr>
        <w:object>
          <v:shape id="_x0000_i1205" o:spt="75" type="#_x0000_t75" style="height:17pt;width:15.6pt;" o:ole="t" filled="f" o:preferrelative="t" stroked="f" coordsize="21600,21600">
            <v:path/>
            <v:fill on="f" focussize="0,0"/>
            <v:stroke on="f" joinstyle="miter"/>
            <v:imagedata r:id="rId309" o:title=""/>
            <o:lock v:ext="edit" aspectratio="t"/>
            <w10:wrap type="none"/>
            <w10:anchorlock/>
          </v:shape>
          <o:OLEObject Type="Embed" ProgID="Equation.DSMT4" ShapeID="_x0000_i1205" DrawAspect="Content" ObjectID="_1468075905" r:id="rId308">
            <o:LockedField>false</o:LockedField>
          </o:OLEObject>
        </w:object>
      </w:r>
      <w:r>
        <w:rPr>
          <w:rFonts w:eastAsia="仿宋"/>
        </w:rPr>
        <w:t>——卸荷土拱跨度，即管顶上部土压力传至管顶处的影响宽度（m）；</w:t>
      </w:r>
    </w:p>
    <w:p>
      <w:pPr>
        <w:ind w:firstLine="1200" w:firstLineChars="500"/>
        <w:rPr>
          <w:rFonts w:eastAsia="仿宋"/>
        </w:rPr>
      </w:pPr>
      <w:r>
        <w:rPr>
          <w:rFonts w:eastAsia="仿宋"/>
        </w:rPr>
        <w:object>
          <v:shape id="_x0000_i1206" o:spt="75" type="#_x0000_t75" style="height:13.6pt;width:10.85pt;" o:ole="t" filled="f" o:preferrelative="t" stroked="f" coordsize="21600,21600">
            <v:path/>
            <v:fill on="f" focussize="0,0"/>
            <v:stroke on="f" joinstyle="miter"/>
            <v:imagedata r:id="rId311" o:title=""/>
            <o:lock v:ext="edit" aspectratio="t"/>
            <w10:wrap type="none"/>
            <w10:anchorlock/>
          </v:shape>
          <o:OLEObject Type="Embed" ProgID="Equation.DSMT4" ShapeID="_x0000_i1206" DrawAspect="Content" ObjectID="_1468075906" r:id="rId310">
            <o:LockedField>false</o:LockedField>
          </o:OLEObject>
        </w:object>
      </w:r>
      <w:r>
        <w:rPr>
          <w:rFonts w:eastAsia="仿宋"/>
        </w:rPr>
        <w:t>——管道周边土体内摩擦角（°）；</w:t>
      </w:r>
    </w:p>
    <w:p>
      <w:pPr>
        <w:ind w:firstLine="1200" w:firstLineChars="500"/>
        <w:rPr>
          <w:rFonts w:eastAsia="仿宋"/>
        </w:rPr>
      </w:pPr>
      <w:r>
        <w:rPr>
          <w:rFonts w:eastAsia="仿宋"/>
        </w:rPr>
        <w:object>
          <v:shape id="_x0000_i1207" o:spt="75" type="#_x0000_t75" style="height:18.35pt;width:14.25pt;" o:ole="t" filled="f" o:preferrelative="t" stroked="f" coordsize="21600,21600">
            <v:path/>
            <v:fill on="f" focussize="0,0"/>
            <v:stroke on="f" joinstyle="miter"/>
            <v:imagedata r:id="rId97" o:title=""/>
            <o:lock v:ext="edit" aspectratio="t"/>
            <w10:wrap type="none"/>
            <w10:anchorlock/>
          </v:shape>
          <o:OLEObject Type="Embed" ProgID="Equation.DSMT4" ShapeID="_x0000_i1207" DrawAspect="Content" ObjectID="_1468075907" r:id="rId312">
            <o:LockedField>false</o:LockedField>
          </o:OLEObject>
        </w:object>
      </w:r>
      <w:r>
        <w:rPr>
          <w:rFonts w:eastAsia="仿宋"/>
        </w:rPr>
        <w:t>——矩形管节外边高（m）；</w:t>
      </w:r>
    </w:p>
    <w:p>
      <w:pPr>
        <w:ind w:firstLine="1200" w:firstLineChars="500"/>
        <w:rPr>
          <w:rFonts w:eastAsia="仿宋"/>
        </w:rPr>
      </w:pPr>
      <w:r>
        <w:rPr>
          <w:rFonts w:eastAsia="仿宋"/>
        </w:rPr>
        <w:object>
          <v:shape id="_x0000_i1208" o:spt="75" type="#_x0000_t75" style="height:18.35pt;width:11.55pt;" o:ole="t" filled="f" o:preferrelative="t" stroked="f" coordsize="21600,21600">
            <v:path/>
            <v:fill on="f" focussize="0,0"/>
            <v:stroke on="f" joinstyle="miter"/>
            <v:imagedata r:id="rId75" o:title=""/>
            <o:lock v:ext="edit" aspectratio="t"/>
            <w10:wrap type="none"/>
            <w10:anchorlock/>
          </v:shape>
          <o:OLEObject Type="Embed" ProgID="Equation.DSMT4" ShapeID="_x0000_i1208" DrawAspect="Content" ObjectID="_1468075908" r:id="rId313">
            <o:LockedField>false</o:LockedField>
          </o:OLEObject>
        </w:object>
      </w:r>
      <w:r>
        <w:rPr>
          <w:rFonts w:eastAsia="仿宋"/>
        </w:rPr>
        <w:t>——矩形管节外边宽（m）；</w:t>
      </w:r>
    </w:p>
    <w:p>
      <w:pPr>
        <w:ind w:firstLine="1200" w:firstLineChars="500"/>
        <w:rPr>
          <w:rFonts w:eastAsia="仿宋"/>
        </w:rPr>
      </w:pPr>
      <w:r>
        <w:rPr>
          <w:rFonts w:eastAsia="仿宋"/>
        </w:rPr>
        <w:object>
          <v:shape id="_x0000_i1209" o:spt="75" type="#_x0000_t75" style="height:18.35pt;width:11.55pt;" o:ole="t" filled="f" o:preferrelative="t" stroked="f" coordsize="21600,21600">
            <v:path/>
            <v:fill on="f" focussize="0,0"/>
            <v:stroke on="f" joinstyle="miter"/>
            <v:imagedata r:id="rId315" o:title=""/>
            <o:lock v:ext="edit" aspectratio="t"/>
            <w10:wrap type="none"/>
            <w10:anchorlock/>
          </v:shape>
          <o:OLEObject Type="Embed" ProgID="Equation.DSMT4" ShapeID="_x0000_i1209" DrawAspect="Content" ObjectID="_1468075909" r:id="rId314">
            <o:LockedField>false</o:LockedField>
          </o:OLEObject>
        </w:object>
      </w:r>
      <w:r>
        <w:rPr>
          <w:rFonts w:eastAsia="仿宋"/>
        </w:rPr>
        <w:t>——矩形管节上部土体坚硬系数。</w:t>
      </w:r>
    </w:p>
    <w:p>
      <w:pPr>
        <w:ind w:firstLine="480" w:firstLineChars="200"/>
        <w:rPr>
          <w:rFonts w:eastAsia="仿宋"/>
        </w:rPr>
      </w:pPr>
      <w:r>
        <w:rPr>
          <w:rFonts w:eastAsia="仿宋"/>
        </w:rPr>
        <w:t>由于卸荷拱效应的存在，可以不考虑地面活荷载的影响。但是该计算方法只考虑了土的内摩擦角</w:t>
      </w:r>
      <w:r>
        <w:rPr>
          <w:rFonts w:eastAsia="仿宋"/>
          <w:position w:val="-10"/>
        </w:rPr>
        <w:object>
          <v:shape id="_x0000_i1210" o:spt="75" type="#_x0000_t75" style="height:11.55pt;width:11.55pt;" o:ole="t" filled="f" o:preferrelative="t" stroked="f" coordsize="21600,21600">
            <v:path/>
            <v:fill on="f" focussize="0,0"/>
            <v:stroke on="f" joinstyle="miter"/>
            <v:imagedata r:id="rId317" o:title=""/>
            <o:lock v:ext="edit" aspectratio="t"/>
            <w10:wrap type="none"/>
            <w10:anchorlock/>
          </v:shape>
          <o:OLEObject Type="Embed" ProgID="Equation.DSMT4" ShapeID="_x0000_i1210" DrawAspect="Content" ObjectID="_1468075910" r:id="rId316">
            <o:LockedField>false</o:LockedField>
          </o:OLEObject>
        </w:object>
      </w:r>
      <w:r>
        <w:rPr>
          <w:rFonts w:eastAsia="仿宋"/>
        </w:rPr>
        <w:t>，没有考虑土体的粘聚力。在实际应用过程中，粘性土一般使用等效内摩擦角来代替内摩擦角，即内摩擦角和粘聚力的综合作用等效出的摩擦角，使之等效成为“砂性土”，等于土工试验中采用直剪试验得到的摩擦角。</w:t>
      </w:r>
    </w:p>
    <w:p>
      <w:pPr>
        <w:ind w:firstLine="480" w:firstLineChars="200"/>
        <w:rPr>
          <w:rFonts w:eastAsia="仿宋"/>
        </w:rPr>
      </w:pPr>
      <w:r>
        <w:rPr>
          <w:rFonts w:eastAsia="仿宋"/>
        </w:rPr>
        <w:t>由于卸荷拱曲线是假想存在的一条曲线EOF(曲面)，对于计算矩形管顶上方的土体重量在实际工程中没有必要那么高的精度，加之其曲线方程难以确定，因此对于卸荷拱下作用在矩形管节上表面的AOBCD土体重量近似按管道宽度范围内矩形截面A</w:t>
      </w:r>
      <w:r>
        <w:rPr>
          <w:rFonts w:eastAsia="仿宋"/>
          <w:vertAlign w:val="subscript"/>
        </w:rPr>
        <w:t>1</w:t>
      </w:r>
      <w:r>
        <w:rPr>
          <w:rFonts w:eastAsia="仿宋"/>
        </w:rPr>
        <w:t>B</w:t>
      </w:r>
      <w:r>
        <w:rPr>
          <w:rFonts w:eastAsia="仿宋"/>
          <w:vertAlign w:val="subscript"/>
        </w:rPr>
        <w:t>2</w:t>
      </w:r>
      <w:r>
        <w:rPr>
          <w:rFonts w:eastAsia="仿宋"/>
        </w:rPr>
        <w:t>CD内的土体重量计算，则卸荷拱条件下，管道上部土重量采用下式计算</w:t>
      </w:r>
      <w:r>
        <w:rPr>
          <w:rFonts w:hint="eastAsia" w:eastAsia="仿宋"/>
        </w:rPr>
        <w:t>：</w:t>
      </w:r>
    </w:p>
    <w:p>
      <w:pPr>
        <w:pStyle w:val="34"/>
        <w:shd w:val="clear" w:color="auto" w:fill="FFFFFF"/>
        <w:ind w:firstLine="420"/>
        <w:jc w:val="center"/>
        <w:rPr>
          <w:rFonts w:ascii="仿宋" w:hAnsi="仿宋" w:eastAsia="仿宋" w:cs="宋体"/>
          <w:kern w:val="24"/>
          <w:sz w:val="21"/>
          <w:szCs w:val="21"/>
        </w:rPr>
      </w:pPr>
      <w:r>
        <w:rPr>
          <w:rFonts w:ascii="仿宋" w:hAnsi="仿宋" w:eastAsia="仿宋" w:cs="宋体"/>
          <w:kern w:val="24"/>
          <w:sz w:val="21"/>
          <w:szCs w:val="21"/>
        </w:rPr>
        <w:object>
          <v:shape id="_x0000_i1211" o:spt="75" type="#_x0000_t75" style="height:27.85pt;width:104.6pt;" o:ole="t" filled="f" o:preferrelative="t" stroked="f" coordsize="21600,21600">
            <v:path/>
            <v:fill on="f" focussize="0,0"/>
            <v:stroke on="f" joinstyle="miter"/>
            <v:imagedata r:id="rId319" o:title=""/>
            <o:lock v:ext="edit" aspectratio="t"/>
            <w10:wrap type="none"/>
            <w10:anchorlock/>
          </v:shape>
          <o:OLEObject Type="Embed" ProgID="Equation.DSMT4" ShapeID="_x0000_i1211" DrawAspect="Content" ObjectID="_1468075911" r:id="rId318">
            <o:LockedField>false</o:LockedField>
          </o:OLEObject>
        </w:object>
      </w:r>
      <w:r>
        <w:rPr>
          <w:rFonts w:ascii="仿宋" w:hAnsi="仿宋" w:eastAsia="仿宋" w:cs="宋体"/>
          <w:kern w:val="24"/>
          <w:sz w:val="21"/>
          <w:szCs w:val="21"/>
        </w:rPr>
        <w:t xml:space="preserve">                     </w:t>
      </w:r>
      <w:r>
        <w:rPr>
          <w:rFonts w:ascii="Times New Roman" w:hAnsi="Times New Roman" w:eastAsia="仿宋"/>
          <w:kern w:val="24"/>
        </w:rPr>
        <w:t>(</w:t>
      </w:r>
      <w:r>
        <w:rPr>
          <w:rFonts w:hint="eastAsia" w:ascii="Times New Roman" w:hAnsi="Times New Roman" w:eastAsia="仿宋"/>
          <w:kern w:val="24"/>
        </w:rPr>
        <w:t>5</w:t>
      </w:r>
      <w:r>
        <w:rPr>
          <w:rFonts w:ascii="Times New Roman" w:hAnsi="Times New Roman" w:eastAsia="仿宋"/>
          <w:kern w:val="24"/>
        </w:rPr>
        <w:t>)</w:t>
      </w:r>
    </w:p>
    <w:p>
      <w:pPr>
        <w:pStyle w:val="34"/>
        <w:shd w:val="clear" w:color="auto" w:fill="FFFFFF"/>
        <w:ind w:firstLine="420"/>
        <w:jc w:val="center"/>
        <w:rPr>
          <w:rFonts w:ascii="Times New Roman" w:hAnsi="Times New Roman" w:eastAsia="仿宋"/>
          <w:kern w:val="24"/>
        </w:rPr>
      </w:pPr>
      <w:r>
        <w:rPr>
          <w:rFonts w:ascii="仿宋" w:hAnsi="仿宋" w:eastAsia="仿宋" w:cs="宋体"/>
          <w:kern w:val="24"/>
          <w:sz w:val="21"/>
          <w:szCs w:val="21"/>
        </w:rPr>
        <w:t xml:space="preserve">   </w:t>
      </w:r>
      <w:r>
        <w:rPr>
          <w:rFonts w:ascii="仿宋" w:hAnsi="仿宋" w:eastAsia="仿宋" w:cs="宋体"/>
          <w:kern w:val="24"/>
          <w:position w:val="-12"/>
          <w:sz w:val="21"/>
          <w:szCs w:val="21"/>
        </w:rPr>
        <w:object>
          <v:shape id="_x0000_i1212" o:spt="75" type="#_x0000_t75" style="height:17pt;width:37.35pt;" o:ole="t" filled="f" o:preferrelative="t" stroked="f" coordsize="21600,21600">
            <v:path/>
            <v:fill on="f" focussize="0,0"/>
            <v:stroke on="f" joinstyle="miter"/>
            <v:imagedata r:id="rId321" o:title=""/>
            <o:lock v:ext="edit" aspectratio="t"/>
            <w10:wrap type="none"/>
            <w10:anchorlock/>
          </v:shape>
          <o:OLEObject Type="Embed" ProgID="Equation.DSMT4" ShapeID="_x0000_i1212" DrawAspect="Content" ObjectID="_1468075912" r:id="rId320">
            <o:LockedField>false</o:LockedField>
          </o:OLEObject>
        </w:object>
      </w:r>
      <w:r>
        <w:rPr>
          <w:rFonts w:ascii="仿宋" w:hAnsi="仿宋" w:eastAsia="仿宋" w:cs="宋体"/>
          <w:kern w:val="24"/>
          <w:sz w:val="21"/>
          <w:szCs w:val="21"/>
        </w:rPr>
        <w:t xml:space="preserve">                        </w:t>
      </w:r>
      <w:r>
        <w:rPr>
          <w:rFonts w:ascii="Times New Roman" w:hAnsi="Times New Roman" w:eastAsia="仿宋"/>
          <w:kern w:val="24"/>
        </w:rPr>
        <w:t xml:space="preserve">      (6)</w:t>
      </w:r>
    </w:p>
    <w:p>
      <w:pPr>
        <w:pStyle w:val="34"/>
        <w:shd w:val="clear" w:color="auto" w:fill="FFFFFF"/>
        <w:ind w:firstLine="1890" w:firstLineChars="900"/>
        <w:rPr>
          <w:rFonts w:ascii="仿宋" w:hAnsi="仿宋" w:eastAsia="仿宋" w:cs="宋体"/>
          <w:kern w:val="24"/>
          <w:sz w:val="21"/>
          <w:szCs w:val="21"/>
        </w:rPr>
      </w:pPr>
      <w:r>
        <w:rPr>
          <w:rFonts w:ascii="仿宋" w:hAnsi="仿宋" w:eastAsia="仿宋" w:cs="宋体"/>
          <w:kern w:val="24"/>
          <w:sz w:val="21"/>
          <w:szCs w:val="21"/>
        </w:rPr>
        <w:object>
          <v:shape id="_x0000_i1213" o:spt="75" type="#_x0000_t75" style="height:28.55pt;width:46.85pt;" o:ole="t" filled="f" o:preferrelative="t" stroked="f" coordsize="21600,21600">
            <v:path/>
            <v:fill on="f" focussize="0,0"/>
            <v:stroke on="f" joinstyle="miter"/>
            <v:imagedata r:id="rId323" o:title=""/>
            <o:lock v:ext="edit" aspectratio="t"/>
            <w10:wrap type="none"/>
            <w10:anchorlock/>
          </v:shape>
          <o:OLEObject Type="Embed" ProgID="Equation.DSMT4" ShapeID="_x0000_i1213" DrawAspect="Content" ObjectID="_1468075913" r:id="rId322">
            <o:LockedField>false</o:LockedField>
          </o:OLEObject>
        </w:object>
      </w:r>
      <w:r>
        <w:rPr>
          <w:rFonts w:ascii="仿宋" w:hAnsi="仿宋" w:eastAsia="仿宋" w:cs="宋体"/>
          <w:kern w:val="24"/>
          <w:sz w:val="21"/>
          <w:szCs w:val="21"/>
        </w:rPr>
        <w:t xml:space="preserve">                            </w:t>
      </w:r>
      <w:r>
        <w:rPr>
          <w:rFonts w:ascii="Times New Roman" w:hAnsi="Times New Roman" w:eastAsia="仿宋"/>
          <w:kern w:val="24"/>
        </w:rPr>
        <w:t xml:space="preserve">         (7)</w:t>
      </w:r>
    </w:p>
    <w:p>
      <w:pPr>
        <w:ind w:firstLine="480" w:firstLineChars="200"/>
        <w:rPr>
          <w:rFonts w:eastAsia="仿宋"/>
        </w:rPr>
      </w:pPr>
      <w:r>
        <w:rPr>
          <w:rFonts w:eastAsia="仿宋"/>
        </w:rPr>
        <w:t>式中：</w:t>
      </w:r>
      <w:r>
        <w:rPr>
          <w:rFonts w:eastAsia="仿宋"/>
        </w:rPr>
        <w:object>
          <v:shape id="_x0000_i1214" o:spt="75" type="#_x0000_t75" style="height:17pt;width:12.9pt;" o:ole="t" filled="f" o:preferrelative="t" stroked="f" coordsize="21600,21600">
            <v:path/>
            <v:fill on="f" focussize="0,0"/>
            <v:stroke on="f" joinstyle="miter"/>
            <v:imagedata r:id="rId325" o:title=""/>
            <o:lock v:ext="edit" aspectratio="t"/>
            <w10:wrap type="none"/>
            <w10:anchorlock/>
          </v:shape>
          <o:OLEObject Type="Embed" ProgID="Equation.DSMT4" ShapeID="_x0000_i1214" DrawAspect="Content" ObjectID="_1468075914" r:id="rId324">
            <o:LockedField>false</o:LockedField>
          </o:OLEObject>
        </w:object>
      </w:r>
      <w:r>
        <w:rPr>
          <w:rFonts w:eastAsia="仿宋"/>
        </w:rPr>
        <w:t>——管道上沿顶管方向单位长度的土压力（kN/m</w:t>
      </w:r>
      <w:r>
        <w:rPr>
          <w:rFonts w:eastAsia="仿宋"/>
          <w:vertAlign w:val="superscript"/>
        </w:rPr>
        <w:t>2</w:t>
      </w:r>
      <w:r>
        <w:rPr>
          <w:rFonts w:eastAsia="仿宋"/>
        </w:rPr>
        <w:t>）；</w:t>
      </w:r>
    </w:p>
    <w:p>
      <w:pPr>
        <w:ind w:firstLine="480" w:firstLineChars="200"/>
        <w:rPr>
          <w:rFonts w:eastAsia="仿宋"/>
        </w:rPr>
      </w:pPr>
      <w:r>
        <w:rPr>
          <w:rFonts w:eastAsia="仿宋"/>
        </w:rPr>
        <w:t xml:space="preserve">      </w:t>
      </w:r>
      <w:r>
        <w:rPr>
          <w:rFonts w:eastAsia="仿宋"/>
        </w:rPr>
        <w:object>
          <v:shape id="_x0000_i1215" o:spt="75" type="#_x0000_t75" style="height:14.25pt;width:13.6pt;" o:ole="t" filled="f" o:preferrelative="t" stroked="f" coordsize="21600,21600">
            <v:path/>
            <v:fill on="f" focussize="0,0"/>
            <v:stroke on="f" joinstyle="miter"/>
            <v:imagedata r:id="rId327" o:title=""/>
            <o:lock v:ext="edit" aspectratio="t"/>
            <w10:wrap type="none"/>
            <w10:anchorlock/>
          </v:shape>
          <o:OLEObject Type="Embed" ProgID="Equation.DSMT4" ShapeID="_x0000_i1215" DrawAspect="Content" ObjectID="_1468075915" r:id="rId326">
            <o:LockedField>false</o:LockedField>
          </o:OLEObject>
        </w:object>
      </w:r>
      <w:r>
        <w:rPr>
          <w:rFonts w:eastAsia="仿宋"/>
        </w:rPr>
        <w:t>——矩形管节上部沿顶管方向单位长度卸荷拱上的土体重量（kN/m</w:t>
      </w:r>
      <w:r>
        <w:rPr>
          <w:rFonts w:eastAsia="仿宋"/>
          <w:vertAlign w:val="superscript"/>
        </w:rPr>
        <w:t>2</w:t>
      </w:r>
      <w:r>
        <w:rPr>
          <w:rFonts w:eastAsia="仿宋"/>
        </w:rPr>
        <w:t>）；</w:t>
      </w:r>
    </w:p>
    <w:p>
      <w:pPr>
        <w:ind w:firstLine="1200" w:firstLineChars="500"/>
        <w:rPr>
          <w:rFonts w:eastAsia="仿宋"/>
        </w:rPr>
      </w:pPr>
      <w:r>
        <w:rPr>
          <w:rFonts w:eastAsia="仿宋"/>
        </w:rPr>
        <w:object>
          <v:shape id="_x0000_i1216" o:spt="75" type="#_x0000_t75" style="height:15.6pt;width:11.55pt;" o:ole="t" filled="f" o:preferrelative="t" stroked="f" coordsize="21600,21600">
            <v:path/>
            <v:fill on="f" focussize="0,0"/>
            <v:stroke on="f" joinstyle="miter"/>
            <v:imagedata r:id="rId329" o:title=""/>
            <o:lock v:ext="edit" aspectratio="t"/>
            <w10:wrap type="none"/>
            <w10:anchorlock/>
          </v:shape>
          <o:OLEObject Type="Embed" ProgID="Equation.DSMT4" ShapeID="_x0000_i1216" DrawAspect="Content" ObjectID="_1468075916" r:id="rId328">
            <o:LockedField>false</o:LockedField>
          </o:OLEObject>
        </w:object>
      </w:r>
      <w:r>
        <w:rPr>
          <w:rFonts w:eastAsia="仿宋"/>
        </w:rPr>
        <w:t>——矩形管节周边土体重度，当为多层土时采用加权重度；</w:t>
      </w:r>
    </w:p>
    <w:p>
      <w:pPr>
        <w:ind w:firstLine="1200" w:firstLineChars="500"/>
        <w:rPr>
          <w:rFonts w:eastAsia="仿宋"/>
        </w:rPr>
      </w:pPr>
      <w:r>
        <w:rPr>
          <w:rFonts w:eastAsia="仿宋"/>
          <w:position w:val="-12"/>
        </w:rPr>
        <w:object>
          <v:shape id="_x0000_i1217" o:spt="75" type="#_x0000_t75" style="height:29.9pt;width:14.25pt;" o:ole="t" filled="f" o:preferrelative="t" stroked="f" coordsize="21600,21600">
            <v:path/>
            <v:fill on="f" focussize="0,0"/>
            <v:stroke on="f" joinstyle="miter"/>
            <v:imagedata r:id="rId331" o:title=""/>
            <o:lock v:ext="edit" aspectratio="t"/>
            <w10:wrap type="none"/>
            <w10:anchorlock/>
          </v:shape>
          <o:OLEObject Type="Embed" ProgID="Equation.DSMT4" ShapeID="_x0000_i1217" DrawAspect="Content" ObjectID="_1468075917" r:id="rId330">
            <o:LockedField>false</o:LockedField>
          </o:OLEObject>
        </w:object>
      </w:r>
      <w:r>
        <w:rPr>
          <w:rFonts w:eastAsia="仿宋"/>
          <w:lang w:bidi="ar"/>
        </w:rPr>
        <w:t>——</w:t>
      </w:r>
      <w:r>
        <w:rPr>
          <w:rFonts w:eastAsia="仿宋"/>
        </w:rPr>
        <w:t>每层土的厚度；</w:t>
      </w:r>
    </w:p>
    <w:p>
      <w:pPr>
        <w:ind w:firstLine="1200" w:firstLineChars="500"/>
        <w:rPr>
          <w:rFonts w:eastAsia="仿宋"/>
        </w:rPr>
      </w:pPr>
      <w:r>
        <w:rPr>
          <w:rFonts w:eastAsia="仿宋"/>
          <w:position w:val="-12"/>
        </w:rPr>
        <w:object>
          <v:shape id="_x0000_i1218" o:spt="75" type="#_x0000_t75" style="height:18.35pt;width:11.55pt;" o:ole="t" filled="f" o:preferrelative="t" stroked="f" coordsize="21600,21600">
            <v:path/>
            <v:fill on="f" focussize="0,0"/>
            <v:stroke on="f" joinstyle="miter"/>
            <v:imagedata r:id="rId333" o:title=""/>
            <o:lock v:ext="edit" aspectratio="t"/>
            <w10:wrap type="none"/>
            <w10:anchorlock/>
          </v:shape>
          <o:OLEObject Type="Embed" ProgID="Equation.DSMT4" ShapeID="_x0000_i1218" DrawAspect="Content" ObjectID="_1468075918" r:id="rId332">
            <o:LockedField>false</o:LockedField>
          </o:OLEObject>
        </w:object>
      </w:r>
      <w:r>
        <w:rPr>
          <w:rFonts w:eastAsia="仿宋"/>
          <w:lang w:bidi="ar"/>
        </w:rPr>
        <w:t>——</w:t>
      </w:r>
      <w:r>
        <w:rPr>
          <w:rFonts w:eastAsia="仿宋"/>
        </w:rPr>
        <w:t>每层土的重度，地下水位下列时取浮重度（kN/m</w:t>
      </w:r>
      <w:r>
        <w:rPr>
          <w:rFonts w:eastAsia="仿宋"/>
          <w:vertAlign w:val="superscript"/>
        </w:rPr>
        <w:t>3</w:t>
      </w:r>
      <w:r>
        <w:rPr>
          <w:rFonts w:eastAsia="仿宋"/>
        </w:rPr>
        <w:t>）；</w:t>
      </w:r>
    </w:p>
    <w:p>
      <w:pPr>
        <w:ind w:firstLine="1200" w:firstLineChars="500"/>
        <w:rPr>
          <w:rFonts w:eastAsia="仿宋"/>
        </w:rPr>
      </w:pPr>
      <w:r>
        <w:rPr>
          <w:rFonts w:eastAsia="仿宋"/>
          <w:position w:val="-12"/>
        </w:rPr>
        <w:object>
          <v:shape id="_x0000_i1219" o:spt="75" type="#_x0000_t75" style="height:18.35pt;width:11.55pt;" o:ole="t" filled="f" o:preferrelative="t" stroked="f" coordsize="21600,21600">
            <v:path/>
            <v:fill on="f" focussize="0,0"/>
            <v:stroke on="f" joinstyle="miter"/>
            <v:imagedata r:id="rId335" o:title=""/>
            <o:lock v:ext="edit" aspectratio="t"/>
            <w10:wrap type="none"/>
            <w10:anchorlock/>
          </v:shape>
          <o:OLEObject Type="Embed" ProgID="Equation.DSMT4" ShapeID="_x0000_i1219" DrawAspect="Content" ObjectID="_1468075919" r:id="rId334">
            <o:LockedField>false</o:LockedField>
          </o:OLEObject>
        </w:object>
      </w:r>
      <w:r>
        <w:rPr>
          <w:rFonts w:eastAsia="仿宋"/>
        </w:rPr>
        <w:t>——矩形管节外边宽（m）；</w:t>
      </w:r>
    </w:p>
    <w:p>
      <w:pPr>
        <w:ind w:firstLine="480" w:firstLineChars="200"/>
        <w:rPr>
          <w:rFonts w:eastAsia="仿宋"/>
        </w:rPr>
      </w:pPr>
      <w:r>
        <w:rPr>
          <w:rFonts w:eastAsia="仿宋"/>
        </w:rPr>
        <w:t xml:space="preserve">      </w:t>
      </w:r>
      <w:r>
        <w:rPr>
          <w:rFonts w:eastAsia="仿宋"/>
          <w:position w:val="-12"/>
        </w:rPr>
        <w:object>
          <v:shape id="_x0000_i1220" o:spt="75" type="#_x0000_t75" style="height:18.35pt;width:11.55pt;" o:ole="t" filled="f" o:preferrelative="t" stroked="f" coordsize="21600,21600">
            <v:path/>
            <v:fill on="f" focussize="0,0"/>
            <v:stroke on="f" joinstyle="miter"/>
            <v:imagedata r:id="rId337" o:title=""/>
            <o:lock v:ext="edit" aspectratio="t"/>
            <w10:wrap type="none"/>
            <w10:anchorlock/>
          </v:shape>
          <o:OLEObject Type="Embed" ProgID="Equation.DSMT4" ShapeID="_x0000_i1220" DrawAspect="Content" ObjectID="_1468075920" r:id="rId336">
            <o:LockedField>false</o:LockedField>
          </o:OLEObject>
        </w:object>
      </w:r>
      <w:r>
        <w:rPr>
          <w:rFonts w:eastAsia="仿宋"/>
        </w:rPr>
        <w:t>——卸荷土拱高度（m）；</w:t>
      </w:r>
    </w:p>
    <w:p>
      <w:pPr>
        <w:ind w:firstLine="480" w:firstLineChars="200"/>
        <w:rPr>
          <w:rFonts w:eastAsia="仿宋"/>
        </w:rPr>
      </w:pPr>
      <w:r>
        <w:rPr>
          <w:rFonts w:eastAsia="仿宋"/>
        </w:rPr>
        <w:t>当管道埋深较浅时，或者土质为淤泥质土，松散的砂性土，管道上部土体不足以形成卸荷拱作用时，作用在管道上的土压力就应为管道宽度范围内整个上部土柱的重量。</w:t>
      </w:r>
    </w:p>
    <w:p>
      <w:pPr>
        <w:ind w:firstLine="480" w:firstLineChars="200"/>
        <w:rPr>
          <w:rFonts w:eastAsia="仿宋"/>
        </w:rPr>
      </w:pPr>
      <w:r>
        <w:rPr>
          <w:rFonts w:eastAsia="仿宋"/>
        </w:rPr>
        <w:t>采用卸荷拱理论计算土压力时，一般要求土的坚硬系数</w:t>
      </w:r>
      <w:r>
        <w:rPr>
          <w:rFonts w:eastAsia="仿宋"/>
          <w:position w:val="-12"/>
        </w:rPr>
        <w:object>
          <v:shape id="_x0000_i1221" o:spt="75" type="#_x0000_t75" style="height:18.35pt;width:40.75pt;" o:ole="t" filled="f" o:preferrelative="t" stroked="f" coordsize="21600,21600">
            <v:path/>
            <v:fill on="f" focussize="0,0"/>
            <v:stroke on="f" joinstyle="miter"/>
            <v:imagedata r:id="rId339" o:title=""/>
            <o:lock v:ext="edit" aspectratio="t"/>
            <w10:wrap type="none"/>
            <w10:anchorlock/>
          </v:shape>
          <o:OLEObject Type="Embed" ProgID="Equation.DSMT4" ShapeID="_x0000_i1221" DrawAspect="Content" ObjectID="_1468075921" r:id="rId338">
            <o:LockedField>false</o:LockedField>
          </o:OLEObject>
        </w:object>
      </w:r>
      <w:r>
        <w:rPr>
          <w:rFonts w:eastAsia="仿宋"/>
        </w:rPr>
        <w:t>，即管道周边土的内摩擦角大于30°才能形成卸荷拱效应。对于沼泽土、新填土、淤泥等不稳定土层，</w:t>
      </w:r>
      <w:r>
        <w:rPr>
          <w:rFonts w:eastAsia="仿宋"/>
          <w:position w:val="-12"/>
        </w:rPr>
        <w:object>
          <v:shape id="_x0000_i1222" o:spt="75" type="#_x0000_t75" style="height:18.35pt;width:40.75pt;" o:ole="t" filled="f" o:preferrelative="t" stroked="f" coordsize="21600,21600">
            <v:path/>
            <v:fill on="f" focussize="0,0"/>
            <v:stroke on="f" joinstyle="miter"/>
            <v:imagedata r:id="rId341" o:title=""/>
            <o:lock v:ext="edit" aspectratio="t"/>
            <w10:wrap type="none"/>
            <w10:anchorlock/>
          </v:shape>
          <o:OLEObject Type="Embed" ProgID="Equation.DSMT4" ShapeID="_x0000_i1222" DrawAspect="Content" ObjectID="_1468075922" r:id="rId340">
            <o:LockedField>false</o:LockedField>
          </o:OLEObject>
        </w:object>
      </w:r>
      <w:r>
        <w:rPr>
          <w:rFonts w:eastAsia="仿宋"/>
        </w:rPr>
        <w:t>，不能采用卸荷土拱理论计算管道土压力，而应采用类似于埋管管道土压力的算法计算，即管道上方土压力为整个覆土厚度内的土柱重量；</w:t>
      </w:r>
    </w:p>
    <w:p>
      <w:pPr>
        <w:ind w:firstLine="480" w:firstLineChars="200"/>
        <w:rPr>
          <w:rFonts w:eastAsia="仿宋"/>
        </w:rPr>
      </w:pPr>
      <w:r>
        <w:rPr>
          <w:rFonts w:eastAsia="仿宋"/>
        </w:rPr>
        <w:t>塑态粘质粉土(土的塑性系数</w:t>
      </w:r>
      <w:r>
        <w:rPr>
          <w:rFonts w:eastAsia="仿宋"/>
          <w:position w:val="-4"/>
        </w:rPr>
        <w:object>
          <v:shape id="_x0000_i1223" o:spt="75" type="#_x0000_t75" style="height:11.55pt;width:34.65pt;" o:ole="t" filled="f" o:preferrelative="t" stroked="f" coordsize="21600,21600">
            <v:path/>
            <v:fill on="f" focussize="0,0"/>
            <v:stroke on="f" joinstyle="miter"/>
            <v:imagedata r:id="rId343" o:title=""/>
            <o:lock v:ext="edit" aspectratio="t"/>
            <w10:wrap type="none"/>
            <w10:anchorlock/>
          </v:shape>
          <o:OLEObject Type="Embed" ProgID="Equation.DSMT4" ShapeID="_x0000_i1223" DrawAspect="Content" ObjectID="_1468075923" r:id="rId342">
            <o:LockedField>false</o:LockedField>
          </o:OLEObject>
        </w:object>
      </w:r>
      <w:r>
        <w:rPr>
          <w:rFonts w:eastAsia="仿宋"/>
        </w:rPr>
        <w:t>)取</w:t>
      </w:r>
      <w:r>
        <w:rPr>
          <w:rFonts w:eastAsia="仿宋"/>
          <w:position w:val="-12"/>
        </w:rPr>
        <w:object>
          <v:shape id="_x0000_i1224" o:spt="75" type="#_x0000_t75" style="height:18.35pt;width:40.75pt;" o:ole="t" filled="f" o:preferrelative="t" stroked="f" coordsize="21600,21600">
            <v:path/>
            <v:fill on="f" focussize="0,0"/>
            <v:stroke on="f" joinstyle="miter"/>
            <v:imagedata r:id="rId345" o:title=""/>
            <o:lock v:ext="edit" aspectratio="t"/>
            <w10:wrap type="none"/>
            <w10:anchorlock/>
          </v:shape>
          <o:OLEObject Type="Embed" ProgID="Equation.DSMT4" ShapeID="_x0000_i1224" DrawAspect="Content" ObjectID="_1468075924" r:id="rId344">
            <o:LockedField>false</o:LockedField>
          </o:OLEObject>
        </w:object>
      </w:r>
      <w:r>
        <w:rPr>
          <w:rFonts w:eastAsia="仿宋"/>
        </w:rPr>
        <w:t>；塑态粘质粉土(</w:t>
      </w:r>
      <w:r>
        <w:rPr>
          <w:rFonts w:eastAsia="仿宋"/>
          <w:position w:val="-4"/>
        </w:rPr>
        <w:object>
          <v:shape id="_x0000_i1225" o:spt="75" type="#_x0000_t75" style="height:11.55pt;width:34.65pt;" o:ole="t" filled="f" o:preferrelative="t" stroked="f" coordsize="21600,21600">
            <v:path/>
            <v:fill on="f" focussize="0,0"/>
            <v:stroke on="f" joinstyle="miter"/>
            <v:imagedata r:id="rId347" o:title=""/>
            <o:lock v:ext="edit" aspectratio="t"/>
            <w10:wrap type="none"/>
            <w10:anchorlock/>
          </v:shape>
          <o:OLEObject Type="Embed" ProgID="Equation.DSMT4" ShapeID="_x0000_i1225" DrawAspect="Content" ObjectID="_1468075925" r:id="rId346">
            <o:LockedField>false</o:LockedField>
          </o:OLEObject>
        </w:object>
      </w:r>
      <w:r>
        <w:rPr>
          <w:rFonts w:eastAsia="仿宋"/>
        </w:rPr>
        <w:t>取</w:t>
      </w:r>
      <w:r>
        <w:rPr>
          <w:rFonts w:eastAsia="仿宋"/>
          <w:position w:val="-12"/>
        </w:rPr>
        <w:object>
          <v:shape id="_x0000_i1226" o:spt="75" type="#_x0000_t75" style="height:18.35pt;width:42.1pt;" o:ole="t" filled="f" o:preferrelative="t" stroked="f" coordsize="21600,21600">
            <v:path/>
            <v:fill on="f" focussize="0,0"/>
            <v:stroke on="f" joinstyle="miter"/>
            <v:imagedata r:id="rId349" o:title=""/>
            <o:lock v:ext="edit" aspectratio="t"/>
            <w10:wrap type="none"/>
            <w10:anchorlock/>
          </v:shape>
          <o:OLEObject Type="Embed" ProgID="Equation.DSMT4" ShapeID="_x0000_i1226" DrawAspect="Content" ObjectID="_1468075926" r:id="rId348">
            <o:LockedField>false</o:LockedField>
          </o:OLEObject>
        </w:object>
      </w:r>
      <w:r>
        <w:rPr>
          <w:rFonts w:eastAsia="仿宋"/>
        </w:rPr>
        <w:t>；塑态粉质粘土、黏土及黄土取</w:t>
      </w:r>
      <w:r>
        <w:rPr>
          <w:rFonts w:eastAsia="仿宋"/>
          <w:position w:val="-12"/>
        </w:rPr>
        <w:object>
          <v:shape id="_x0000_i1227" o:spt="75" type="#_x0000_t75" style="height:18.35pt;width:40.75pt;" o:ole="t" filled="f" o:preferrelative="t" stroked="f" coordsize="21600,21600">
            <v:path/>
            <v:fill on="f" focussize="0,0"/>
            <v:stroke on="f" joinstyle="miter"/>
            <v:imagedata r:id="rId351" o:title=""/>
            <o:lock v:ext="edit" aspectratio="t"/>
            <w10:wrap type="none"/>
            <w10:anchorlock/>
          </v:shape>
          <o:OLEObject Type="Embed" ProgID="Equation.DSMT4" ShapeID="_x0000_i1227" DrawAspect="Content" ObjectID="_1468075927" r:id="rId350">
            <o:LockedField>false</o:LockedField>
          </o:OLEObject>
        </w:object>
      </w:r>
      <w:r>
        <w:rPr>
          <w:rFonts w:eastAsia="仿宋"/>
        </w:rPr>
        <w:t>；坚硬的粉质粘土及黏土取</w:t>
      </w:r>
      <w:r>
        <w:rPr>
          <w:rFonts w:eastAsia="仿宋"/>
          <w:position w:val="-12"/>
        </w:rPr>
        <w:object>
          <v:shape id="_x0000_i1228" o:spt="75" type="#_x0000_t75" style="height:18.35pt;width:40.75pt;" o:ole="t" filled="f" o:preferrelative="t" stroked="f" coordsize="21600,21600">
            <v:path/>
            <v:fill on="f" focussize="0,0"/>
            <v:stroke on="f" joinstyle="miter"/>
            <v:imagedata r:id="rId353" o:title=""/>
            <o:lock v:ext="edit" aspectratio="t"/>
            <w10:wrap type="none"/>
            <w10:anchorlock/>
          </v:shape>
          <o:OLEObject Type="Embed" ProgID="Equation.DSMT4" ShapeID="_x0000_i1228" DrawAspect="Content" ObjectID="_1468075928" r:id="rId352">
            <o:LockedField>false</o:LockedField>
          </o:OLEObject>
        </w:object>
      </w:r>
      <w:r>
        <w:rPr>
          <w:rFonts w:eastAsia="仿宋"/>
        </w:rPr>
        <w:t>。在砂卵石、砂、卵石等土层或穿越河底软土层进行顶管设计计算时，该类土质不能形成卸荷拱，管顶土压力应按管道以上土层厚度计算。</w:t>
      </w:r>
    </w:p>
    <w:p>
      <w:pPr>
        <w:ind w:firstLine="480" w:firstLineChars="200"/>
        <w:rPr>
          <w:rFonts w:eastAsia="仿宋"/>
        </w:rPr>
      </w:pPr>
      <w:r>
        <w:rPr>
          <w:rFonts w:eastAsia="仿宋"/>
        </w:rPr>
        <w:t>矩形管道底部所受土的支撑力等于管道自重与上表面土压力之和，计算公式为：</w:t>
      </w:r>
    </w:p>
    <w:p>
      <w:pPr>
        <w:pStyle w:val="34"/>
        <w:shd w:val="clear" w:color="auto" w:fill="FFFFFF"/>
        <w:ind w:firstLine="420"/>
        <w:jc w:val="center"/>
        <w:rPr>
          <w:rFonts w:ascii="仿宋" w:hAnsi="仿宋" w:eastAsia="仿宋" w:cs="宋体"/>
          <w:kern w:val="24"/>
          <w:sz w:val="21"/>
          <w:szCs w:val="21"/>
        </w:rPr>
      </w:pPr>
      <w:r>
        <w:rPr>
          <w:rFonts w:ascii="仿宋" w:hAnsi="仿宋" w:eastAsia="仿宋" w:cs="宋体"/>
          <w:kern w:val="24"/>
          <w:sz w:val="21"/>
          <w:szCs w:val="21"/>
        </w:rPr>
        <w:object>
          <v:shape id="_x0000_i1229" o:spt="75" type="#_x0000_t75" style="height:29.9pt;width:148.75pt;" o:ole="t" filled="f" o:preferrelative="t" stroked="f" coordsize="21600,21600">
            <v:path/>
            <v:fill on="f" focussize="0,0"/>
            <v:stroke on="f" joinstyle="miter"/>
            <v:imagedata r:id="rId355" o:title=""/>
            <o:lock v:ext="edit" aspectratio="t"/>
            <w10:wrap type="none"/>
            <w10:anchorlock/>
          </v:shape>
          <o:OLEObject Type="Embed" ProgID="Equation.DSMT4" ShapeID="_x0000_i1229" DrawAspect="Content" ObjectID="_1468075929" r:id="rId354">
            <o:LockedField>false</o:LockedField>
          </o:OLEObject>
        </w:object>
      </w:r>
      <w:r>
        <w:rPr>
          <w:rFonts w:ascii="仿宋" w:hAnsi="仿宋" w:eastAsia="仿宋" w:cs="宋体"/>
          <w:kern w:val="24"/>
          <w:sz w:val="21"/>
          <w:szCs w:val="21"/>
        </w:rPr>
        <w:t xml:space="preserve">       </w:t>
      </w:r>
      <w:r>
        <w:rPr>
          <w:rFonts w:ascii="Times New Roman" w:hAnsi="Times New Roman" w:eastAsia="仿宋"/>
          <w:kern w:val="24"/>
        </w:rPr>
        <w:t xml:space="preserve">   (</w:t>
      </w:r>
      <w:r>
        <w:rPr>
          <w:rFonts w:hint="eastAsia" w:ascii="Times New Roman" w:hAnsi="Times New Roman" w:eastAsia="仿宋"/>
          <w:kern w:val="24"/>
        </w:rPr>
        <w:t>8</w:t>
      </w:r>
      <w:r>
        <w:rPr>
          <w:rFonts w:ascii="Times New Roman" w:hAnsi="Times New Roman" w:eastAsia="仿宋"/>
          <w:kern w:val="24"/>
        </w:rPr>
        <w:t>)</w:t>
      </w:r>
    </w:p>
    <w:p>
      <w:pPr>
        <w:ind w:firstLine="480" w:firstLineChars="200"/>
        <w:rPr>
          <w:rFonts w:eastAsia="仿宋"/>
        </w:rPr>
      </w:pPr>
      <w:r>
        <w:rPr>
          <w:rFonts w:eastAsia="仿宋"/>
        </w:rPr>
        <w:t>式中：</w:t>
      </w:r>
      <w:r>
        <w:rPr>
          <w:rFonts w:eastAsia="仿宋"/>
        </w:rPr>
        <w:object>
          <v:shape id="_x0000_i1230" o:spt="75" type="#_x0000_t75" style="height:15.6pt;width:12.9pt;" o:ole="t" filled="f" o:preferrelative="t" stroked="f" coordsize="21600,21600">
            <v:path/>
            <v:fill on="f" focussize="0,0"/>
            <v:stroke on="f" joinstyle="miter"/>
            <v:imagedata r:id="rId357" o:title=""/>
            <o:lock v:ext="edit" aspectratio="t"/>
            <w10:wrap type="none"/>
            <w10:anchorlock/>
          </v:shape>
          <o:OLEObject Type="Embed" ProgID="Equation.DSMT4" ShapeID="_x0000_i1230" DrawAspect="Content" ObjectID="_1468075930" r:id="rId356">
            <o:LockedField>false</o:LockedField>
          </o:OLEObject>
        </w:object>
      </w:r>
      <w:r>
        <w:rPr>
          <w:rFonts w:eastAsia="仿宋"/>
        </w:rPr>
        <w:t>——矩形管道底部所受土的支撑力标准值（kN/m</w:t>
      </w:r>
      <w:r>
        <w:rPr>
          <w:rFonts w:eastAsia="仿宋"/>
          <w:vertAlign w:val="superscript"/>
        </w:rPr>
        <w:t>2</w:t>
      </w:r>
      <w:r>
        <w:rPr>
          <w:rFonts w:eastAsia="仿宋"/>
        </w:rPr>
        <w:t>）；</w:t>
      </w:r>
    </w:p>
    <w:p>
      <w:pPr>
        <w:ind w:firstLine="1200" w:firstLineChars="500"/>
        <w:rPr>
          <w:rFonts w:eastAsia="仿宋"/>
        </w:rPr>
      </w:pPr>
      <w:r>
        <w:rPr>
          <w:rFonts w:eastAsia="仿宋"/>
        </w:rPr>
        <w:object>
          <v:shape id="_x0000_i1231" o:spt="75" type="#_x0000_t75" style="height:15.6pt;width:13.6pt;" o:ole="t" filled="f" o:preferrelative="t" stroked="f" coordsize="21600,21600">
            <v:path/>
            <v:fill on="f" focussize="0,0"/>
            <v:stroke on="f" joinstyle="miter"/>
            <v:imagedata r:id="rId359" o:title=""/>
            <o:lock v:ext="edit" aspectratio="t"/>
            <w10:wrap type="none"/>
            <w10:anchorlock/>
          </v:shape>
          <o:OLEObject Type="Embed" ProgID="Equation.DSMT4" ShapeID="_x0000_i1231" DrawAspect="Content" ObjectID="_1468075931" r:id="rId358">
            <o:LockedField>false</o:LockedField>
          </o:OLEObject>
        </w:object>
      </w:r>
      <w:r>
        <w:rPr>
          <w:rFonts w:eastAsia="仿宋"/>
        </w:rPr>
        <w:t>——管顶竖向土压力标准值（kN/m</w:t>
      </w:r>
      <w:r>
        <w:rPr>
          <w:rFonts w:eastAsia="仿宋"/>
          <w:vertAlign w:val="superscript"/>
        </w:rPr>
        <w:t>2</w:t>
      </w:r>
      <w:r>
        <w:rPr>
          <w:rFonts w:eastAsia="仿宋"/>
        </w:rPr>
        <w:t>）；</w:t>
      </w:r>
    </w:p>
    <w:p>
      <w:pPr>
        <w:ind w:firstLine="1200" w:firstLineChars="500"/>
        <w:rPr>
          <w:rFonts w:eastAsia="仿宋"/>
        </w:rPr>
      </w:pPr>
      <w:r>
        <w:rPr>
          <w:rFonts w:eastAsia="仿宋"/>
        </w:rPr>
        <w:object>
          <v:shape id="_x0000_i1232" o:spt="75" type="#_x0000_t75" style="height:14.95pt;width:14.25pt;" o:ole="t" filled="f" o:preferrelative="t" stroked="f" coordsize="21600,21600">
            <v:path/>
            <v:fill on="f" focussize="0,0"/>
            <v:stroke on="f" joinstyle="miter"/>
            <v:imagedata r:id="rId361" o:title=""/>
            <o:lock v:ext="edit" aspectratio="t"/>
            <w10:wrap type="none"/>
            <w10:anchorlock/>
          </v:shape>
          <o:OLEObject Type="Embed" ProgID="Equation.DSMT4" ShapeID="_x0000_i1232" DrawAspect="Content" ObjectID="_1468075932" r:id="rId360">
            <o:LockedField>false</o:LockedField>
          </o:OLEObject>
        </w:object>
      </w:r>
      <w:r>
        <w:rPr>
          <w:rFonts w:eastAsia="仿宋"/>
        </w:rPr>
        <w:t>——管道自重标准值（kN/m</w:t>
      </w:r>
      <w:r>
        <w:rPr>
          <w:rFonts w:eastAsia="仿宋"/>
          <w:vertAlign w:val="superscript"/>
        </w:rPr>
        <w:t>2</w:t>
      </w:r>
      <w:r>
        <w:rPr>
          <w:rFonts w:eastAsia="仿宋"/>
        </w:rPr>
        <w:t>）。</w:t>
      </w:r>
    </w:p>
    <w:p>
      <w:pPr>
        <w:ind w:firstLine="482" w:firstLineChars="200"/>
        <w:rPr>
          <w:rFonts w:eastAsia="仿宋"/>
          <w:b/>
          <w:bCs/>
        </w:rPr>
      </w:pPr>
      <w:r>
        <w:rPr>
          <w:rFonts w:eastAsia="仿宋"/>
          <w:b/>
          <w:bCs/>
        </w:rPr>
        <w:t>2、采用普氏理论计算推导出的总摩阻力标准值</w:t>
      </w:r>
    </w:p>
    <w:p>
      <w:pPr>
        <w:ind w:firstLine="480" w:firstLineChars="200"/>
        <w:rPr>
          <w:rFonts w:eastAsia="仿宋"/>
        </w:rPr>
      </w:pPr>
      <w:r>
        <w:rPr>
          <w:rFonts w:eastAsia="仿宋"/>
        </w:rPr>
        <w:t>1）矩形管节上部摩阻力</w:t>
      </w:r>
    </w:p>
    <w:p>
      <w:pPr>
        <w:jc w:val="center"/>
      </w:pPr>
      <w:r>
        <w:rPr>
          <w:rFonts w:hint="eastAsia"/>
        </w:rPr>
        <w:object>
          <v:shape id="_x0000_i1233" o:spt="75" type="#_x0000_t75" style="height:43.45pt;width:127pt;" o:ole="t" filled="f" o:preferrelative="t" stroked="f" coordsize="21600,21600">
            <v:path/>
            <v:fill on="f" focussize="0,0"/>
            <v:stroke on="f" joinstyle="miter"/>
            <v:imagedata r:id="rId363" o:title=""/>
            <o:lock v:ext="edit" aspectratio="t"/>
            <w10:wrap type="none"/>
            <w10:anchorlock/>
          </v:shape>
          <o:OLEObject Type="Embed" ProgID="Equations" ShapeID="_x0000_i1233" DrawAspect="Content" ObjectID="_1468075933" r:id="rId362">
            <o:LockedField>false</o:LockedField>
          </o:OLEObject>
        </w:object>
      </w:r>
      <w:r>
        <w:rPr>
          <w:rFonts w:hint="eastAsia"/>
        </w:rPr>
        <w:t xml:space="preserve">               （9）</w:t>
      </w:r>
    </w:p>
    <w:p>
      <w:pPr>
        <w:ind w:firstLine="2160" w:firstLineChars="900"/>
      </w:pPr>
      <w:r>
        <w:object>
          <v:shape id="_x0000_i1234" o:spt="75" type="#_x0000_t75" style="height:18.35pt;width:50.25pt;" o:ole="t" filled="f" o:preferrelative="t" stroked="f" coordsize="21600,21600">
            <v:path/>
            <v:fill on="f" focussize="0,0"/>
            <v:stroke on="f" joinstyle="miter"/>
            <v:imagedata r:id="rId307" o:title=""/>
            <o:lock v:ext="edit" aspectratio="t"/>
            <w10:wrap type="none"/>
            <w10:anchorlock/>
          </v:shape>
          <o:OLEObject Type="Embed" ProgID="Equation.DSMT4" ShapeID="_x0000_i1234" DrawAspect="Content" ObjectID="_1468075934" r:id="rId364">
            <o:LockedField>false</o:LockedField>
          </o:OLEObject>
        </w:object>
      </w:r>
      <w:r>
        <w:t xml:space="preserve">                    </w:t>
      </w:r>
      <w:r>
        <w:rPr>
          <w:rFonts w:hint="eastAsia"/>
        </w:rPr>
        <w:t xml:space="preserve">  </w:t>
      </w:r>
      <w:r>
        <w:t xml:space="preserve">   </w:t>
      </w:r>
      <w:r>
        <w:rPr>
          <w:rFonts w:hint="eastAsia"/>
        </w:rPr>
        <w:t xml:space="preserve"> </w:t>
      </w:r>
      <w:r>
        <w:t xml:space="preserve">  </w:t>
      </w:r>
      <w:r>
        <w:rPr>
          <w:rFonts w:hint="eastAsia"/>
        </w:rPr>
        <w:t>（10）</w:t>
      </w:r>
    </w:p>
    <w:p>
      <w:pPr>
        <w:ind w:firstLine="480" w:firstLineChars="200"/>
        <w:rPr>
          <w:rFonts w:eastAsia="仿宋"/>
        </w:rPr>
      </w:pPr>
      <w:r>
        <w:rPr>
          <w:rFonts w:eastAsia="仿宋"/>
        </w:rPr>
        <w:t>式中：</w:t>
      </w:r>
      <w:r>
        <w:rPr>
          <w:rFonts w:eastAsia="仿宋"/>
        </w:rPr>
        <w:object>
          <v:shape id="_x0000_i1235" o:spt="75" type="#_x0000_t75" style="height:17.65pt;width:17.65pt;" o:ole="t" filled="f" o:preferrelative="t" stroked="f" coordsize="21600,21600">
            <v:path/>
            <v:fill on="f" focussize="0,0"/>
            <v:stroke on="f" joinstyle="miter"/>
            <v:imagedata r:id="rId366" o:title=""/>
            <o:lock v:ext="edit" aspectratio="t"/>
            <w10:wrap type="none"/>
            <w10:anchorlock/>
          </v:shape>
          <o:OLEObject Type="Embed" ProgID="Equations" ShapeID="_x0000_i1235" DrawAspect="Content" ObjectID="_1468075935" r:id="rId365">
            <o:LockedField>false</o:LockedField>
          </o:OLEObject>
        </w:object>
      </w:r>
      <w:r>
        <w:rPr>
          <w:rFonts w:eastAsia="仿宋"/>
        </w:rPr>
        <w:t>——矩形管节上表面摩阻力（</w:t>
      </w:r>
      <w:r>
        <w:rPr>
          <w:rFonts w:eastAsia="仿宋"/>
        </w:rPr>
        <w:object>
          <v:shape id="_x0000_i1236" o:spt="75" type="#_x0000_t75" style="height:15.6pt;width:37.35pt;" o:ole="t" filled="f" o:preferrelative="t" stroked="f" coordsize="21600,21600">
            <v:path/>
            <v:fill on="f" focussize="0,0"/>
            <v:stroke on="f" joinstyle="miter"/>
            <v:imagedata r:id="rId368" o:title=""/>
            <o:lock v:ext="edit" aspectratio="t"/>
            <w10:wrap type="none"/>
            <w10:anchorlock/>
          </v:shape>
          <o:OLEObject Type="Embed" ProgID="Equations" ShapeID="_x0000_i1236" DrawAspect="Content" ObjectID="_1468075936" r:id="rId367">
            <o:LockedField>false</o:LockedField>
          </o:OLEObject>
        </w:object>
      </w:r>
      <w:r>
        <w:rPr>
          <w:rFonts w:eastAsia="仿宋"/>
        </w:rPr>
        <w:t>）；</w:t>
      </w:r>
    </w:p>
    <w:p>
      <w:pPr>
        <w:ind w:firstLine="1200" w:firstLineChars="500"/>
        <w:rPr>
          <w:rFonts w:eastAsia="仿宋"/>
        </w:rPr>
      </w:pPr>
      <w:r>
        <w:rPr>
          <w:rFonts w:eastAsia="仿宋"/>
        </w:rPr>
        <w:object>
          <v:shape id="_x0000_i1237" o:spt="75" type="#_x0000_t75" style="height:18.35pt;width:14.25pt;" o:ole="t" filled="f" o:preferrelative="t" stroked="f" coordsize="21600,21600">
            <v:path/>
            <v:fill on="f" focussize="0,0"/>
            <v:stroke on="f" joinstyle="miter"/>
            <v:imagedata r:id="rId370" o:title=""/>
            <o:lock v:ext="edit" aspectratio="t"/>
            <w10:wrap type="none"/>
            <w10:anchorlock/>
          </v:shape>
          <o:OLEObject Type="Embed" ProgID="Equations" ShapeID="_x0000_i1237" DrawAspect="Content" ObjectID="_1468075937" r:id="rId369">
            <o:LockedField>false</o:LockedField>
          </o:OLEObject>
        </w:object>
      </w:r>
      <w:r>
        <w:rPr>
          <w:rFonts w:eastAsia="仿宋"/>
        </w:rPr>
        <w:t>——管节上部土压力（</w:t>
      </w:r>
      <w:r>
        <w:rPr>
          <w:rFonts w:eastAsia="仿宋"/>
        </w:rPr>
        <w:object>
          <v:shape id="_x0000_i1238" o:spt="75" type="#_x0000_t75" style="height:15.6pt;width:37.35pt;" o:ole="t" filled="f" o:preferrelative="t" stroked="f" coordsize="21600,21600">
            <v:path/>
            <v:fill on="f" focussize="0,0"/>
            <v:stroke on="f" joinstyle="miter"/>
            <v:imagedata r:id="rId368" o:title=""/>
            <o:lock v:ext="edit" aspectratio="t"/>
            <w10:wrap type="none"/>
            <w10:anchorlock/>
          </v:shape>
          <o:OLEObject Type="Embed" ProgID="Equations" ShapeID="_x0000_i1238" DrawAspect="Content" ObjectID="_1468075938" r:id="rId371">
            <o:LockedField>false</o:LockedField>
          </o:OLEObject>
        </w:object>
      </w:r>
      <w:r>
        <w:rPr>
          <w:rFonts w:eastAsia="仿宋"/>
        </w:rPr>
        <w:t>）；</w:t>
      </w:r>
    </w:p>
    <w:p>
      <w:pPr>
        <w:ind w:firstLine="1200" w:firstLineChars="500"/>
        <w:rPr>
          <w:rFonts w:eastAsia="仿宋"/>
        </w:rPr>
      </w:pPr>
      <w:r>
        <w:rPr>
          <w:rFonts w:eastAsia="仿宋"/>
          <w:position w:val="-12"/>
        </w:rPr>
        <w:object>
          <v:shape id="_x0000_i1239" o:spt="75" type="#_x0000_t75" style="height:18.35pt;width:11.55pt;" o:ole="t" filled="f" o:preferrelative="t" stroked="f" coordsize="21600,21600">
            <v:path/>
            <v:fill on="f" focussize="0,0"/>
            <v:stroke on="f" joinstyle="miter"/>
            <v:imagedata r:id="rId373" o:title=""/>
            <o:lock v:ext="edit" aspectratio="t"/>
            <w10:wrap type="none"/>
            <w10:anchorlock/>
          </v:shape>
          <o:OLEObject Type="Embed" ProgID="Equation.DSMT4" ShapeID="_x0000_i1239" DrawAspect="Content" ObjectID="_1468075939" r:id="rId372">
            <o:LockedField>false</o:LockedField>
          </o:OLEObject>
        </w:object>
      </w:r>
      <w:r>
        <w:rPr>
          <w:rFonts w:eastAsia="仿宋"/>
        </w:rPr>
        <w:t>——矩形管节上部土体坚硬系数。</w:t>
      </w:r>
    </w:p>
    <w:p>
      <w:pPr>
        <w:ind w:firstLine="480" w:firstLineChars="200"/>
        <w:rPr>
          <w:rFonts w:eastAsia="仿宋"/>
        </w:rPr>
      </w:pPr>
      <w:r>
        <w:rPr>
          <w:rFonts w:eastAsia="仿宋"/>
        </w:rPr>
        <w:t>2）矩形管节下部摩阻力</w:t>
      </w:r>
    </w:p>
    <w:p>
      <w:pPr>
        <w:jc w:val="center"/>
      </w:pPr>
      <w:r>
        <w:rPr>
          <w:rFonts w:hint="eastAsia"/>
        </w:rPr>
        <w:object>
          <v:shape id="_x0000_i1240" o:spt="75" type="#_x0000_t75" style="height:50.25pt;width:190.2pt;" o:ole="t" filled="f" o:preferrelative="t" stroked="f" coordsize="21600,21600">
            <v:path/>
            <v:fill on="f" focussize="0,0"/>
            <v:stroke on="f" joinstyle="miter"/>
            <v:imagedata r:id="rId375" o:title=""/>
            <o:lock v:ext="edit" aspectratio="t"/>
            <w10:wrap type="none"/>
            <w10:anchorlock/>
          </v:shape>
          <o:OLEObject Type="Embed" ProgID="Equations" ShapeID="_x0000_i1240" DrawAspect="Content" ObjectID="_1468075940" r:id="rId374">
            <o:LockedField>false</o:LockedField>
          </o:OLEObject>
        </w:object>
      </w:r>
      <w:r>
        <w:rPr>
          <w:rFonts w:hint="eastAsia"/>
        </w:rPr>
        <w:t xml:space="preserve">      （11）</w:t>
      </w:r>
    </w:p>
    <w:p>
      <w:pPr>
        <w:ind w:firstLine="480" w:firstLineChars="200"/>
        <w:rPr>
          <w:rFonts w:eastAsia="仿宋"/>
        </w:rPr>
      </w:pPr>
      <w:r>
        <w:rPr>
          <w:rFonts w:eastAsia="仿宋"/>
        </w:rPr>
        <w:t>式中：</w:t>
      </w:r>
      <w:r>
        <w:rPr>
          <w:rFonts w:eastAsia="仿宋"/>
        </w:rPr>
        <w:object>
          <v:shape id="_x0000_i1241" o:spt="75" type="#_x0000_t75" style="height:17.65pt;width:17.65pt;" o:ole="t" filled="f" o:preferrelative="t" stroked="f" coordsize="21600,21600">
            <v:path/>
            <v:fill on="f" focussize="0,0"/>
            <v:stroke on="f" joinstyle="miter"/>
            <v:imagedata r:id="rId377" o:title=""/>
            <o:lock v:ext="edit" aspectratio="t"/>
            <w10:wrap type="none"/>
            <w10:anchorlock/>
          </v:shape>
          <o:OLEObject Type="Embed" ProgID="Equations" ShapeID="_x0000_i1241" DrawAspect="Content" ObjectID="_1468075941" r:id="rId376">
            <o:LockedField>false</o:LockedField>
          </o:OLEObject>
        </w:object>
      </w:r>
      <w:r>
        <w:rPr>
          <w:rFonts w:eastAsia="仿宋"/>
        </w:rPr>
        <w:t>——矩形管节下表面摩阻力（</w:t>
      </w:r>
      <w:r>
        <w:rPr>
          <w:rFonts w:eastAsia="仿宋"/>
        </w:rPr>
        <w:object>
          <v:shape id="_x0000_i1242" o:spt="75" type="#_x0000_t75" style="height:15.6pt;width:37.35pt;" o:ole="t" filled="f" o:preferrelative="t" stroked="f" coordsize="21600,21600">
            <v:path/>
            <v:fill on="f" focussize="0,0"/>
            <v:stroke on="f" joinstyle="miter"/>
            <v:imagedata r:id="rId368" o:title=""/>
            <o:lock v:ext="edit" aspectratio="t"/>
            <w10:wrap type="none"/>
            <w10:anchorlock/>
          </v:shape>
          <o:OLEObject Type="Embed" ProgID="Equations" ShapeID="_x0000_i1242" DrawAspect="Content" ObjectID="_1468075942" r:id="rId378">
            <o:LockedField>false</o:LockedField>
          </o:OLEObject>
        </w:object>
      </w:r>
      <w:r>
        <w:rPr>
          <w:rFonts w:eastAsia="仿宋"/>
        </w:rPr>
        <w:t>）；</w:t>
      </w:r>
    </w:p>
    <w:p>
      <w:pPr>
        <w:ind w:firstLine="1200" w:firstLineChars="500"/>
        <w:rPr>
          <w:rFonts w:eastAsia="仿宋"/>
        </w:rPr>
      </w:pPr>
      <w:r>
        <w:rPr>
          <w:rFonts w:eastAsia="仿宋"/>
        </w:rPr>
        <w:object>
          <v:shape id="_x0000_i1243" o:spt="75" type="#_x0000_t75" style="height:18.35pt;width:15.6pt;" o:ole="t" filled="f" o:preferrelative="t" stroked="f" coordsize="21600,21600">
            <v:path/>
            <v:fill on="f" focussize="0,0"/>
            <v:stroke on="f" joinstyle="miter"/>
            <v:imagedata r:id="rId380" o:title=""/>
            <o:lock v:ext="edit" aspectratio="t"/>
            <w10:wrap type="none"/>
            <w10:anchorlock/>
          </v:shape>
          <o:OLEObject Type="Embed" ProgID="Equations" ShapeID="_x0000_i1243" DrawAspect="Content" ObjectID="_1468075943" r:id="rId379">
            <o:LockedField>false</o:LockedField>
          </o:OLEObject>
        </w:object>
      </w:r>
      <w:r>
        <w:rPr>
          <w:rFonts w:eastAsia="仿宋"/>
        </w:rPr>
        <w:t>——管节重量（</w:t>
      </w:r>
      <w:r>
        <w:rPr>
          <w:rFonts w:eastAsia="仿宋"/>
        </w:rPr>
        <w:object>
          <v:shape id="_x0000_i1244" o:spt="75" type="#_x0000_t75" style="height:15.6pt;width:37.35pt;" o:ole="t" filled="f" o:preferrelative="t" stroked="f" coordsize="21600,21600">
            <v:path/>
            <v:fill on="f" focussize="0,0"/>
            <v:stroke on="f" joinstyle="miter"/>
            <v:imagedata r:id="rId368" o:title=""/>
            <o:lock v:ext="edit" aspectratio="t"/>
            <w10:wrap type="none"/>
            <w10:anchorlock/>
          </v:shape>
          <o:OLEObject Type="Embed" ProgID="Equations" ShapeID="_x0000_i1244" DrawAspect="Content" ObjectID="_1468075944" r:id="rId381">
            <o:LockedField>false</o:LockedField>
          </o:OLEObject>
        </w:object>
      </w:r>
      <w:r>
        <w:rPr>
          <w:rFonts w:eastAsia="仿宋"/>
        </w:rPr>
        <w:t>）。</w:t>
      </w:r>
    </w:p>
    <w:p>
      <w:pPr>
        <w:ind w:firstLine="480" w:firstLineChars="200"/>
        <w:rPr>
          <w:rFonts w:eastAsia="仿宋"/>
        </w:rPr>
      </w:pPr>
      <w:r>
        <w:rPr>
          <w:rFonts w:eastAsia="仿宋"/>
        </w:rPr>
        <w:t>3）矩形管节侧面摩阻力</w:t>
      </w:r>
    </w:p>
    <w:p>
      <w:pPr>
        <w:ind w:firstLine="480" w:firstLineChars="200"/>
        <w:rPr>
          <w:rFonts w:ascii="仿宋" w:hAnsi="仿宋" w:eastAsia="仿宋" w:cs="宋体"/>
          <w:kern w:val="24"/>
        </w:rPr>
      </w:pPr>
      <w:r>
        <w:rPr>
          <w:rFonts w:hint="eastAsia" w:ascii="仿宋" w:hAnsi="仿宋" w:eastAsia="仿宋" w:cs="宋体"/>
          <w:kern w:val="24"/>
        </w:rPr>
        <w:object>
          <v:shape id="_x0000_i1245" o:spt="75" type="#_x0000_t75" style="height:49.6pt;width:247.9pt;" o:ole="t" filled="f" o:preferrelative="t" stroked="f" coordsize="21600,21600">
            <v:path/>
            <v:fill on="f" focussize="0,0"/>
            <v:stroke on="f" joinstyle="miter"/>
            <v:imagedata r:id="rId383" o:title=""/>
            <o:lock v:ext="edit" aspectratio="t"/>
            <w10:wrap type="none"/>
            <w10:anchorlock/>
          </v:shape>
          <o:OLEObject Type="Embed" ProgID="Equations" ShapeID="_x0000_i1245" DrawAspect="Content" ObjectID="_1468075945" r:id="rId382">
            <o:LockedField>false</o:LockedField>
          </o:OLEObject>
        </w:object>
      </w:r>
      <w:r>
        <w:rPr>
          <w:rFonts w:hint="eastAsia" w:ascii="仿宋" w:hAnsi="仿宋" w:eastAsia="仿宋" w:cs="宋体"/>
          <w:kern w:val="24"/>
        </w:rPr>
        <w:t xml:space="preserve">  </w:t>
      </w:r>
      <w:r>
        <w:rPr>
          <w:rFonts w:ascii="仿宋" w:hAnsi="仿宋" w:eastAsia="仿宋" w:cs="宋体"/>
          <w:kern w:val="24"/>
        </w:rPr>
        <w:t xml:space="preserve"> </w:t>
      </w:r>
      <w:r>
        <w:rPr>
          <w:rFonts w:hint="eastAsia"/>
        </w:rPr>
        <w:t xml:space="preserve"> </w:t>
      </w:r>
      <w:bookmarkStart w:id="73" w:name="_Hlk16772971"/>
      <w:r>
        <w:rPr>
          <w:rFonts w:hint="eastAsia"/>
        </w:rPr>
        <w:t>（12）</w:t>
      </w:r>
      <w:bookmarkEnd w:id="73"/>
    </w:p>
    <w:p>
      <w:pPr>
        <w:ind w:firstLine="480" w:firstLineChars="200"/>
        <w:rPr>
          <w:rFonts w:eastAsia="仿宋"/>
        </w:rPr>
      </w:pPr>
      <w:r>
        <w:rPr>
          <w:rFonts w:eastAsia="仿宋"/>
        </w:rPr>
        <w:t>式中：</w:t>
      </w:r>
      <w:r>
        <w:rPr>
          <w:rFonts w:eastAsia="仿宋"/>
        </w:rPr>
        <w:object>
          <v:shape id="_x0000_i1246" o:spt="75" type="#_x0000_t75" style="height:17.65pt;width:17.65pt;" o:ole="t" filled="f" o:preferrelative="t" stroked="f" coordsize="21600,21600">
            <v:path/>
            <v:fill on="f" focussize="0,0"/>
            <v:stroke on="f" joinstyle="miter"/>
            <v:imagedata r:id="rId385" o:title=""/>
            <o:lock v:ext="edit" aspectratio="t"/>
            <w10:wrap type="none"/>
            <w10:anchorlock/>
          </v:shape>
          <o:OLEObject Type="Embed" ProgID="Equations" ShapeID="_x0000_i1246" DrawAspect="Content" ObjectID="_1468075946" r:id="rId384">
            <o:LockedField>false</o:LockedField>
          </o:OLEObject>
        </w:object>
      </w:r>
      <w:r>
        <w:rPr>
          <w:rFonts w:eastAsia="仿宋"/>
        </w:rPr>
        <w:t>、</w:t>
      </w:r>
      <w:r>
        <w:rPr>
          <w:rFonts w:eastAsia="仿宋"/>
        </w:rPr>
        <w:object>
          <v:shape id="_x0000_i1247" o:spt="75" type="#_x0000_t75" style="height:17.65pt;width:18.35pt;" o:ole="t" filled="f" o:preferrelative="t" stroked="f" coordsize="21600,21600">
            <v:path/>
            <v:fill on="f" focussize="0,0"/>
            <v:stroke on="f" joinstyle="miter"/>
            <v:imagedata r:id="rId387" o:title=""/>
            <o:lock v:ext="edit" aspectratio="t"/>
            <w10:wrap type="none"/>
            <w10:anchorlock/>
          </v:shape>
          <o:OLEObject Type="Embed" ProgID="Equations" ShapeID="_x0000_i1247" DrawAspect="Content" ObjectID="_1468075947" r:id="rId386">
            <o:LockedField>false</o:LockedField>
          </o:OLEObject>
        </w:object>
      </w:r>
      <w:r>
        <w:rPr>
          <w:rFonts w:eastAsia="仿宋"/>
        </w:rPr>
        <w:t>——矩形管节左、右表面摩阻力（</w:t>
      </w:r>
      <w:r>
        <w:rPr>
          <w:rFonts w:eastAsia="仿宋"/>
        </w:rPr>
        <w:object>
          <v:shape id="_x0000_i1248" o:spt="75" type="#_x0000_t75" style="height:15.6pt;width:37.35pt;" o:ole="t" filled="f" o:preferrelative="t" stroked="f" coordsize="21600,21600">
            <v:path/>
            <v:fill on="f" focussize="0,0"/>
            <v:stroke on="f" joinstyle="miter"/>
            <v:imagedata r:id="rId368" o:title=""/>
            <o:lock v:ext="edit" aspectratio="t"/>
            <w10:wrap type="none"/>
            <w10:anchorlock/>
          </v:shape>
          <o:OLEObject Type="Embed" ProgID="Equations" ShapeID="_x0000_i1248" DrawAspect="Content" ObjectID="_1468075948" r:id="rId388">
            <o:LockedField>false</o:LockedField>
          </o:OLEObject>
        </w:object>
      </w:r>
      <w:r>
        <w:rPr>
          <w:rFonts w:eastAsia="仿宋"/>
        </w:rPr>
        <w:t>）；</w:t>
      </w:r>
    </w:p>
    <w:p>
      <w:pPr>
        <w:ind w:firstLine="1200" w:firstLineChars="500"/>
        <w:rPr>
          <w:rFonts w:eastAsia="仿宋"/>
        </w:rPr>
      </w:pPr>
      <w:r>
        <w:rPr>
          <w:rFonts w:eastAsia="仿宋"/>
        </w:rPr>
        <w:object>
          <v:shape id="_x0000_i1249" o:spt="75" type="#_x0000_t75" style="height:17.65pt;width:11.55pt;" o:ole="t" filled="f" o:preferrelative="t" stroked="f" coordsize="21600,21600">
            <v:path/>
            <v:fill on="f" focussize="0,0"/>
            <v:stroke on="f" joinstyle="miter"/>
            <v:imagedata r:id="rId390" o:title=""/>
            <o:lock v:ext="edit" aspectratio="t"/>
            <w10:wrap type="none"/>
            <w10:anchorlock/>
          </v:shape>
          <o:OLEObject Type="Embed" ProgID="Equations" ShapeID="_x0000_i1249" DrawAspect="Content" ObjectID="_1468075949" r:id="rId389">
            <o:LockedField>false</o:LockedField>
          </o:OLEObject>
        </w:object>
      </w:r>
      <w:r>
        <w:rPr>
          <w:rFonts w:eastAsia="仿宋"/>
        </w:rPr>
        <w:t>——矩形管节所受侧向土压力标准值（</w:t>
      </w:r>
      <w:r>
        <w:rPr>
          <w:rFonts w:eastAsia="仿宋"/>
        </w:rPr>
        <w:object>
          <v:shape id="_x0000_i1250" o:spt="75" type="#_x0000_t75" style="height:15.6pt;width:37.35pt;" o:ole="t" filled="f" o:preferrelative="t" stroked="f" coordsize="21600,21600">
            <v:path/>
            <v:fill on="f" focussize="0,0"/>
            <v:stroke on="f" joinstyle="miter"/>
            <v:imagedata r:id="rId368" o:title=""/>
            <o:lock v:ext="edit" aspectratio="t"/>
            <w10:wrap type="none"/>
            <w10:anchorlock/>
          </v:shape>
          <o:OLEObject Type="Embed" ProgID="Equations" ShapeID="_x0000_i1250" DrawAspect="Content" ObjectID="_1468075950" r:id="rId391">
            <o:LockedField>false</o:LockedField>
          </o:OLEObject>
        </w:object>
      </w:r>
      <w:r>
        <w:rPr>
          <w:rFonts w:eastAsia="仿宋"/>
        </w:rPr>
        <w:t>）。</w:t>
      </w:r>
    </w:p>
    <w:p>
      <w:pPr>
        <w:ind w:firstLine="480" w:firstLineChars="200"/>
        <w:rPr>
          <w:rFonts w:eastAsia="仿宋"/>
        </w:rPr>
      </w:pPr>
      <w:r>
        <w:rPr>
          <w:rFonts w:eastAsia="仿宋"/>
        </w:rPr>
        <w:t>矩形顶管顶进过程中的总侧摩阻力等于矩形管节上部摩阻力、下部摩阻力及两侧摩阻力之和，综上所述，则总摩阻力计算公式为：</w:t>
      </w:r>
    </w:p>
    <w:p>
      <w:pPr>
        <w:ind w:firstLine="480" w:firstLineChars="200"/>
        <w:jc w:val="left"/>
        <w:rPr>
          <w:rFonts w:ascii="仿宋" w:hAnsi="仿宋" w:eastAsia="仿宋" w:cs="宋体"/>
          <w:kern w:val="24"/>
        </w:rPr>
      </w:pPr>
      <w:r>
        <w:rPr>
          <w:rFonts w:hint="eastAsia" w:ascii="仿宋" w:hAnsi="仿宋" w:eastAsia="仿宋" w:cs="宋体"/>
          <w:kern w:val="24"/>
        </w:rPr>
        <w:object>
          <v:shape id="_x0000_i1251" o:spt="75" type="#_x0000_t75" style="height:18.35pt;width:175.9pt;" o:ole="t" filled="f" o:preferrelative="t" stroked="f" coordsize="21600,21600">
            <v:path/>
            <v:fill on="f" focussize="0,0"/>
            <v:stroke on="f" joinstyle="miter"/>
            <v:imagedata r:id="rId393" o:title=""/>
            <o:lock v:ext="edit" aspectratio="t"/>
            <w10:wrap type="none"/>
            <w10:anchorlock/>
          </v:shape>
          <o:OLEObject Type="Embed" ProgID="Equation.DSMT4" ShapeID="_x0000_i1251" DrawAspect="Content" ObjectID="_1468075951" r:id="rId392">
            <o:LockedField>false</o:LockedField>
          </o:OLEObject>
        </w:object>
      </w:r>
      <w:r>
        <w:rPr>
          <w:rFonts w:hint="eastAsia" w:ascii="仿宋" w:hAnsi="仿宋" w:eastAsia="仿宋" w:cs="宋体"/>
          <w:kern w:val="24"/>
        </w:rPr>
        <w:t xml:space="preserve"> </w:t>
      </w:r>
    </w:p>
    <w:p>
      <w:pPr>
        <w:ind w:firstLine="480" w:firstLineChars="200"/>
        <w:rPr>
          <w:rFonts w:ascii="仿宋" w:hAnsi="仿宋" w:eastAsia="仿宋" w:cs="宋体"/>
          <w:kern w:val="24"/>
        </w:rPr>
      </w:pPr>
      <w:r>
        <w:rPr>
          <w:rFonts w:hint="eastAsia"/>
        </w:rPr>
        <w:t>即：</w:t>
      </w:r>
      <w:r>
        <w:rPr>
          <w:rFonts w:hint="eastAsia"/>
        </w:rPr>
        <w:object>
          <v:shape id="_x0000_i1252" o:spt="75" type="#_x0000_t75" style="height:18.35pt;width:208.55pt;" o:ole="t" filled="f" o:preferrelative="t" stroked="f" coordsize="21600,21600">
            <v:path/>
            <v:fill on="f" focussize="0,0"/>
            <v:stroke on="f" joinstyle="miter"/>
            <v:imagedata r:id="rId395" o:title=""/>
            <o:lock v:ext="edit" aspectratio="t"/>
            <w10:wrap type="none"/>
            <w10:anchorlock/>
          </v:shape>
          <o:OLEObject Type="Embed" ProgID="Equation.DSMT4" ShapeID="_x0000_i1252" DrawAspect="Content" ObjectID="_1468075952" r:id="rId394">
            <o:LockedField>false</o:LockedField>
          </o:OLEObject>
        </w:object>
      </w:r>
      <w:r>
        <w:rPr>
          <w:rFonts w:hint="eastAsia" w:ascii="仿宋" w:hAnsi="仿宋" w:eastAsia="仿宋" w:cs="宋体"/>
          <w:kern w:val="24"/>
        </w:rPr>
        <w:t xml:space="preserve">       </w:t>
      </w:r>
      <w:r>
        <w:rPr>
          <w:rFonts w:hint="eastAsia"/>
        </w:rPr>
        <w:t>（13）</w:t>
      </w:r>
    </w:p>
    <w:p>
      <w:pPr>
        <w:ind w:firstLine="480" w:firstLineChars="200"/>
        <w:rPr>
          <w:rFonts w:eastAsia="仿宋"/>
        </w:rPr>
      </w:pPr>
      <w:r>
        <w:rPr>
          <w:rFonts w:eastAsia="仿宋"/>
        </w:rPr>
        <w:t>式中：</w:t>
      </w:r>
      <w:r>
        <w:rPr>
          <w:rFonts w:eastAsia="仿宋"/>
        </w:rPr>
        <w:object>
          <v:shape id="_x0000_i1253" o:spt="75" type="#_x0000_t75" style="height:18.35pt;width:18.35pt;" o:ole="t" filled="f" o:preferrelative="t" stroked="f" coordsize="21600,21600">
            <v:path/>
            <v:fill on="f" focussize="0,0"/>
            <v:stroke on="f" joinstyle="miter"/>
            <v:imagedata r:id="rId397" o:title=""/>
            <o:lock v:ext="edit" aspectratio="t"/>
            <w10:wrap type="none"/>
            <w10:anchorlock/>
          </v:shape>
          <o:OLEObject Type="Embed" ProgID="Equation.DSMT4" ShapeID="_x0000_i1253" DrawAspect="Content" ObjectID="_1468075953" r:id="rId396">
            <o:LockedField>false</o:LockedField>
          </o:OLEObject>
        </w:object>
      </w:r>
      <w:r>
        <w:rPr>
          <w:rFonts w:eastAsia="仿宋"/>
        </w:rPr>
        <w:t>——不考虑土体粘聚力的总摩阻力标准值（</w:t>
      </w:r>
      <w:r>
        <w:rPr>
          <w:rFonts w:eastAsia="仿宋"/>
        </w:rPr>
        <w:object>
          <v:shape id="_x0000_i1254" o:spt="75" type="#_x0000_t75" style="height:14.25pt;width:18.35pt;" o:ole="t" filled="f" o:preferrelative="t" stroked="f" coordsize="21600,21600">
            <v:path/>
            <v:fill on="f" focussize="0,0"/>
            <v:stroke on="f" joinstyle="miter"/>
            <v:imagedata r:id="rId399" o:title=""/>
            <o:lock v:ext="edit" aspectratio="t"/>
            <w10:wrap type="none"/>
            <w10:anchorlock/>
          </v:shape>
          <o:OLEObject Type="Embed" ProgID="Equations" ShapeID="_x0000_i1254" DrawAspect="Content" ObjectID="_1468075954" r:id="rId398">
            <o:LockedField>false</o:LockedField>
          </o:OLEObject>
        </w:object>
      </w:r>
      <w:r>
        <w:rPr>
          <w:rFonts w:eastAsia="仿宋"/>
        </w:rPr>
        <w:t>）；</w:t>
      </w:r>
    </w:p>
    <w:p>
      <w:pPr>
        <w:ind w:firstLine="1200" w:firstLineChars="500"/>
        <w:rPr>
          <w:rFonts w:eastAsia="仿宋"/>
        </w:rPr>
      </w:pPr>
      <w:r>
        <w:rPr>
          <w:rFonts w:eastAsia="仿宋"/>
        </w:rPr>
        <w:object>
          <v:shape id="_x0000_i1255" o:spt="75" type="#_x0000_t75" style="height:18.35pt;width:11.55pt;" o:ole="t" filled="f" o:preferrelative="t" stroked="f" coordsize="21600,21600">
            <v:path/>
            <v:fill on="f" focussize="0,0"/>
            <v:stroke on="f" joinstyle="miter"/>
            <v:imagedata r:id="rId401" o:title=""/>
            <o:lock v:ext="edit" aspectratio="t"/>
            <w10:wrap type="none"/>
            <w10:anchorlock/>
          </v:shape>
          <o:OLEObject Type="Embed" ProgID="Equations" ShapeID="_x0000_i1255" DrawAspect="Content" ObjectID="_1468075955" r:id="rId400">
            <o:LockedField>false</o:LockedField>
          </o:OLEObject>
        </w:object>
      </w:r>
      <w:r>
        <w:rPr>
          <w:rFonts w:eastAsia="仿宋"/>
        </w:rPr>
        <w:t>——卸荷拱高度（m）；</w:t>
      </w:r>
    </w:p>
    <w:p>
      <w:pPr>
        <w:ind w:firstLine="1200" w:firstLineChars="500"/>
        <w:rPr>
          <w:rFonts w:eastAsia="仿宋"/>
        </w:rPr>
      </w:pPr>
      <w:r>
        <w:rPr>
          <w:rFonts w:eastAsia="仿宋"/>
        </w:rPr>
        <w:object>
          <v:shape id="_x0000_i1256" o:spt="75" type="#_x0000_t75" style="height:11.55pt;width:11.55pt;" o:ole="t" filled="f" o:preferrelative="t" stroked="f" coordsize="21600,21600">
            <v:path/>
            <v:fill on="f" focussize="0,0"/>
            <v:stroke on="f" joinstyle="miter"/>
            <v:imagedata r:id="rId403" o:title=""/>
            <o:lock v:ext="edit" aspectratio="t"/>
            <w10:wrap type="none"/>
            <w10:anchorlock/>
          </v:shape>
          <o:OLEObject Type="Embed" ProgID="Equations" ShapeID="_x0000_i1256" DrawAspect="Content" ObjectID="_1468075956" r:id="rId402">
            <o:LockedField>false</o:LockedField>
          </o:OLEObject>
        </w:object>
      </w:r>
      <w:r>
        <w:rPr>
          <w:rFonts w:eastAsia="仿宋"/>
        </w:rPr>
        <w:t>——顶管长度（m）。</w:t>
      </w:r>
    </w:p>
    <w:p>
      <w:pPr>
        <w:ind w:firstLine="482" w:firstLineChars="200"/>
        <w:rPr>
          <w:rFonts w:eastAsia="仿宋"/>
          <w:b/>
          <w:bCs/>
        </w:rPr>
      </w:pPr>
      <w:r>
        <w:rPr>
          <w:rFonts w:eastAsia="仿宋"/>
          <w:b/>
          <w:bCs/>
        </w:rPr>
        <w:t>3、规程法计算竖向土压力</w:t>
      </w:r>
    </w:p>
    <w:p>
      <w:pPr>
        <w:ind w:firstLine="480" w:firstLineChars="200"/>
        <w:rPr>
          <w:rFonts w:eastAsia="仿宋"/>
        </w:rPr>
      </w:pPr>
      <w:r>
        <w:rPr>
          <w:rFonts w:eastAsia="仿宋"/>
        </w:rPr>
        <w:t>根据《给水排水工程顶管技术规程》(CECS246-2008)的相关规定，结合矩形顶管管道的埋设条件，建议按下列方法计算管道上的竖向土压力值。</w:t>
      </w:r>
    </w:p>
    <w:p>
      <w:pPr>
        <w:ind w:firstLine="480" w:firstLineChars="200"/>
        <w:rPr>
          <w:rFonts w:eastAsia="仿宋"/>
        </w:rPr>
      </w:pPr>
      <w:r>
        <w:rPr>
          <w:rFonts w:eastAsia="仿宋"/>
        </w:rPr>
        <w:t>当管顶覆土厚度小于或等于一倍管外径或者覆盖层为淤泥质土时，上部土体不足以形成足够大的卸荷拱效应，所有土体直接作用在管道上，则管道顶上部土压力标准值按公式（14）计算：</w:t>
      </w:r>
    </w:p>
    <w:p>
      <w:pPr>
        <w:jc w:val="center"/>
        <w:rPr>
          <w:rFonts w:cstheme="minorBidi"/>
          <w:b/>
        </w:rPr>
      </w:pPr>
      <w:r>
        <w:rPr>
          <w:position w:val="-28"/>
        </w:rPr>
        <w:object>
          <v:shape id="_x0000_i1257" o:spt="75" type="#_x0000_t75" style="height:34.65pt;width:61.8pt;" o:ole="t" filled="f" o:preferrelative="t" stroked="f" coordsize="21600,21600">
            <v:path/>
            <v:fill on="f" focussize="0,0"/>
            <v:stroke on="f" joinstyle="miter"/>
            <v:imagedata r:id="rId405" o:title=""/>
            <o:lock v:ext="edit" aspectratio="t"/>
            <w10:wrap type="none"/>
            <w10:anchorlock/>
          </v:shape>
          <o:OLEObject Type="Embed" ProgID="Equation.DSMT4" ShapeID="_x0000_i1257" DrawAspect="Content" ObjectID="_1468075957" r:id="rId404">
            <o:LockedField>false</o:LockedField>
          </o:OLEObject>
        </w:object>
      </w:r>
      <w:r>
        <w:t xml:space="preserve">                        </w:t>
      </w:r>
      <w:r>
        <w:rPr>
          <w:rFonts w:hint="eastAsia"/>
        </w:rPr>
        <w:t>（14）</w:t>
      </w:r>
    </w:p>
    <w:p>
      <w:pPr>
        <w:ind w:firstLine="480" w:firstLineChars="200"/>
        <w:rPr>
          <w:rFonts w:eastAsia="仿宋"/>
        </w:rPr>
      </w:pPr>
      <w:r>
        <w:rPr>
          <w:rFonts w:eastAsia="仿宋"/>
        </w:rPr>
        <w:t xml:space="preserve">式中: </w:t>
      </w:r>
      <w:r>
        <w:rPr>
          <w:rFonts w:eastAsia="仿宋"/>
          <w:position w:val="-12"/>
        </w:rPr>
        <w:object>
          <v:shape id="_x0000_i1258" o:spt="75" type="#_x0000_t75" style="height:18.35pt;width:15.6pt;" o:ole="t" filled="f" o:preferrelative="t" stroked="f" coordsize="21600,21600">
            <v:path/>
            <v:fill on="f" focussize="0,0"/>
            <v:stroke on="f" joinstyle="miter"/>
            <v:imagedata r:id="rId407" o:title=""/>
            <o:lock v:ext="edit" aspectratio="t"/>
            <w10:wrap type="none"/>
            <w10:anchorlock/>
          </v:shape>
          <o:OLEObject Type="Embed" ProgID="Equation.DSMT4" ShapeID="_x0000_i1258" DrawAspect="Content" ObjectID="_1468075958" r:id="rId406">
            <o:LockedField>false</o:LockedField>
          </o:OLEObject>
        </w:object>
      </w:r>
      <w:r>
        <w:rPr>
          <w:rFonts w:eastAsia="仿宋"/>
          <w:kern w:val="24"/>
        </w:rPr>
        <w:t>——</w:t>
      </w:r>
      <w:r>
        <w:rPr>
          <w:rFonts w:eastAsia="仿宋"/>
        </w:rPr>
        <w:t>管顶上部竖向土压力标准值（kN/m</w:t>
      </w:r>
      <w:r>
        <w:rPr>
          <w:rFonts w:eastAsia="仿宋"/>
          <w:vertAlign w:val="superscript"/>
        </w:rPr>
        <w:t>3</w:t>
      </w:r>
      <w:r>
        <w:rPr>
          <w:rFonts w:eastAsia="仿宋"/>
        </w:rPr>
        <w:t>）；</w:t>
      </w:r>
    </w:p>
    <w:p>
      <w:pPr>
        <w:ind w:firstLine="1200" w:firstLineChars="500"/>
        <w:rPr>
          <w:rFonts w:eastAsia="仿宋"/>
        </w:rPr>
      </w:pPr>
      <w:r>
        <w:rPr>
          <w:rFonts w:eastAsia="仿宋"/>
          <w:position w:val="-12"/>
        </w:rPr>
        <w:object>
          <v:shape id="_x0000_i1259" o:spt="75" type="#_x0000_t75" style="height:18.35pt;width:11.55pt;" o:ole="t" filled="f" o:preferrelative="t" stroked="f" coordsize="21600,21600">
            <v:path/>
            <v:fill on="f" focussize="0,0"/>
            <v:stroke on="f" joinstyle="miter"/>
            <v:imagedata r:id="rId409" o:title=""/>
            <o:lock v:ext="edit" aspectratio="t"/>
            <w10:wrap type="none"/>
            <w10:anchorlock/>
          </v:shape>
          <o:OLEObject Type="Embed" ProgID="Equation.DSMT4" ShapeID="_x0000_i1259" DrawAspect="Content" ObjectID="_1468075959" r:id="rId408">
            <o:LockedField>false</o:LockedField>
          </o:OLEObject>
        </w:object>
      </w:r>
      <w:r>
        <w:rPr>
          <w:rFonts w:eastAsia="仿宋"/>
          <w:kern w:val="24"/>
        </w:rPr>
        <w:t>——</w:t>
      </w:r>
      <w:r>
        <w:rPr>
          <w:rFonts w:eastAsia="仿宋"/>
        </w:rPr>
        <w:t>管顶各层土层重度，在地下水位下列时采用浮重度（kN/m</w:t>
      </w:r>
      <w:r>
        <w:rPr>
          <w:rFonts w:eastAsia="仿宋"/>
          <w:vertAlign w:val="superscript"/>
        </w:rPr>
        <w:t>3</w:t>
      </w:r>
      <w:r>
        <w:rPr>
          <w:rFonts w:eastAsia="仿宋"/>
        </w:rPr>
        <w:t>）；</w:t>
      </w:r>
    </w:p>
    <w:p>
      <w:pPr>
        <w:ind w:firstLine="1200" w:firstLineChars="500"/>
        <w:rPr>
          <w:rFonts w:eastAsia="仿宋"/>
        </w:rPr>
      </w:pPr>
      <w:r>
        <w:rPr>
          <w:rFonts w:eastAsia="仿宋"/>
          <w:position w:val="-12"/>
        </w:rPr>
        <w:object>
          <v:shape id="_x0000_i1260" o:spt="75" type="#_x0000_t75" style="height:18.35pt;width:11.55pt;" o:ole="t" filled="f" o:preferrelative="t" stroked="f" coordsize="21600,21600">
            <v:path/>
            <v:fill on="f" focussize="0,0"/>
            <v:stroke on="f" joinstyle="miter"/>
            <v:imagedata r:id="rId411" o:title=""/>
            <o:lock v:ext="edit" aspectratio="t"/>
            <w10:wrap type="none"/>
            <w10:anchorlock/>
          </v:shape>
          <o:OLEObject Type="Embed" ProgID="Equation.DSMT4" ShapeID="_x0000_i1260" DrawAspect="Content" ObjectID="_1468075960" r:id="rId410">
            <o:LockedField>false</o:LockedField>
          </o:OLEObject>
        </w:object>
      </w:r>
      <w:r>
        <w:rPr>
          <w:rFonts w:eastAsia="仿宋"/>
          <w:kern w:val="24"/>
        </w:rPr>
        <w:t>——</w:t>
      </w:r>
      <w:r>
        <w:rPr>
          <w:rFonts w:eastAsia="仿宋"/>
        </w:rPr>
        <w:t>管顶各层土层厚度。</w:t>
      </w:r>
    </w:p>
    <w:p>
      <w:pPr>
        <w:ind w:firstLine="480" w:firstLineChars="200"/>
        <w:rPr>
          <w:rFonts w:eastAsia="仿宋"/>
        </w:rPr>
      </w:pPr>
      <w:r>
        <w:rPr>
          <w:rFonts w:eastAsia="仿宋"/>
        </w:rPr>
        <w:t>在规范中计算圆形管道的竖向压力时也是采用这个公式，而圆形管道的管顶为圆弧形，显然该公式计算的是管道最顶端那一点的竖向土压力值，而管道两侧的土埋深呈逐渐增大趋势，上覆土压力值理论上比该公式所计算的值大。矩形管节的上表面几乎为平面，该公式能较好的反映管道上表面各点的竖向土压力值。</w:t>
      </w:r>
    </w:p>
    <w:p>
      <w:pPr>
        <w:ind w:firstLine="480" w:firstLineChars="200"/>
        <w:rPr>
          <w:rFonts w:eastAsia="仿宋"/>
        </w:rPr>
      </w:pPr>
      <w:r>
        <w:rPr>
          <w:rFonts w:eastAsia="仿宋"/>
          <w:bCs/>
        </w:rPr>
        <w:t>公式（15）</w:t>
      </w:r>
      <w:r>
        <w:rPr>
          <w:rFonts w:eastAsia="仿宋"/>
        </w:rPr>
        <w:t>考虑当管顶上覆土层厚度大于一倍管外径或管周土不是淤泥质土时，采用美国学者太沙基提出的计算模型，该模型认为管节的受力条件类似于“沟埋式”埋管，土层内形成天然的卸荷拱，作用在管道顶上的荷载可以按管顶形成土拱的土柱高度来计算，管顶覆土的变形大于两侧的土体变形，管顶土体重量将通过剪力传递扩散至两侧土体中。目前国外大多数国家都采用这个计算模型，根据实际工程经验，计算结果比较接近实际。我国近年来颁布的顶管技术规程《给水排水工程顶管技术规程》(CECS246-2008)在计算圆形顶管的竖向土压力值时也采用此计算公式。</w:t>
      </w:r>
    </w:p>
    <w:p>
      <w:pPr>
        <w:ind w:firstLine="480" w:firstLineChars="200"/>
        <w:rPr>
          <w:rFonts w:eastAsia="仿宋"/>
        </w:rPr>
      </w:pPr>
      <w:r>
        <w:rPr>
          <w:rFonts w:eastAsia="仿宋"/>
        </w:rPr>
        <w:t>矩形管顶竖向土压力荷载可按下式计算：</w:t>
      </w:r>
    </w:p>
    <w:p>
      <w:pPr>
        <w:jc w:val="center"/>
        <w:rPr>
          <w:rFonts w:asciiTheme="minorHAnsi" w:hAnsiTheme="minorHAnsi" w:eastAsiaTheme="minorEastAsia" w:cstheme="minorBidi"/>
          <w:sz w:val="21"/>
        </w:rPr>
      </w:pPr>
      <w:r>
        <w:object>
          <v:shape id="_x0000_i1261" o:spt="75" type="#_x0000_t75" style="height:20.4pt;width:93.05pt;" o:ole="t" filled="f" o:preferrelative="t" stroked="f" coordsize="21600,21600">
            <v:path/>
            <v:fill on="f" focussize="0,0"/>
            <v:stroke on="f" joinstyle="miter"/>
            <v:imagedata r:id="rId413" o:title=""/>
            <o:lock v:ext="edit" aspectratio="t"/>
            <w10:wrap type="none"/>
            <w10:anchorlock/>
          </v:shape>
          <o:OLEObject Type="Embed" ProgID="Equation.DSMT4" ShapeID="_x0000_i1261" DrawAspect="Content" ObjectID="_1468075961" r:id="rId412">
            <o:LockedField>false</o:LockedField>
          </o:OLEObject>
        </w:object>
      </w:r>
      <w:r>
        <w:t xml:space="preserve">         （15）</w:t>
      </w:r>
    </w:p>
    <w:p>
      <w:pPr>
        <w:jc w:val="center"/>
        <w:rPr>
          <w:rFonts w:asciiTheme="minorHAnsi" w:hAnsiTheme="minorHAnsi" w:eastAsiaTheme="minorEastAsia" w:cstheme="minorBidi"/>
          <w:sz w:val="21"/>
        </w:rPr>
      </w:pPr>
      <w:r>
        <w:object>
          <v:shape id="_x0000_i1262" o:spt="75" type="#_x0000_t75" style="height:45.5pt;width:105.3pt;" o:ole="t" filled="f" o:preferrelative="t" stroked="f" coordsize="21600,21600">
            <v:path/>
            <v:fill on="f" focussize="0,0"/>
            <v:stroke on="f" joinstyle="miter"/>
            <v:imagedata r:id="rId273" o:title=""/>
            <o:lock v:ext="edit" aspectratio="t"/>
            <w10:wrap type="none"/>
            <w10:anchorlock/>
          </v:shape>
          <o:OLEObject Type="Embed" ProgID="Equation.DSMT4" ShapeID="_x0000_i1262" DrawAspect="Content" ObjectID="_1468075962" r:id="rId414">
            <o:LockedField>false</o:LockedField>
          </o:OLEObject>
        </w:object>
      </w:r>
      <w:r>
        <w:t xml:space="preserve">       （1</w:t>
      </w:r>
      <w:r>
        <w:rPr>
          <w:rFonts w:hint="eastAsia"/>
        </w:rPr>
        <w:t>6</w:t>
      </w:r>
      <w:r>
        <w:t>）</w:t>
      </w:r>
    </w:p>
    <w:p>
      <w:pPr>
        <w:jc w:val="center"/>
        <w:rPr>
          <w:rFonts w:asciiTheme="minorHAnsi" w:hAnsiTheme="minorHAnsi" w:eastAsiaTheme="minorEastAsia" w:cstheme="minorBidi"/>
          <w:sz w:val="21"/>
        </w:rPr>
      </w:pPr>
      <w:r>
        <w:object>
          <v:shape id="_x0000_i1263" o:spt="75" type="#_x0000_t75" style="height:31.25pt;width:95.1pt;" o:ole="t" filled="f" o:preferrelative="t" stroked="f" coordsize="21600,21600">
            <v:path/>
            <v:fill on="f" focussize="0,0"/>
            <v:stroke on="f" joinstyle="miter"/>
            <v:imagedata r:id="rId275" o:title=""/>
            <o:lock v:ext="edit" aspectratio="t"/>
            <w10:wrap type="none"/>
            <w10:anchorlock/>
          </v:shape>
          <o:OLEObject Type="Embed" ProgID="Equation.DSMT4" ShapeID="_x0000_i1263" DrawAspect="Content" ObjectID="_1468075963" r:id="rId415">
            <o:LockedField>false</o:LockedField>
          </o:OLEObject>
        </w:object>
      </w:r>
      <w:r>
        <w:t xml:space="preserve">        （1</w:t>
      </w:r>
      <w:r>
        <w:rPr>
          <w:rFonts w:hint="eastAsia"/>
        </w:rPr>
        <w:t>7</w:t>
      </w:r>
      <w:r>
        <w:t>）</w:t>
      </w:r>
    </w:p>
    <w:p>
      <w:pPr>
        <w:ind w:firstLine="480" w:firstLineChars="200"/>
        <w:rPr>
          <w:rFonts w:eastAsia="仿宋"/>
        </w:rPr>
      </w:pPr>
      <w:r>
        <w:rPr>
          <w:rFonts w:eastAsia="仿宋"/>
        </w:rPr>
        <w:t>式中：</w:t>
      </w:r>
      <w:r>
        <w:rPr>
          <w:rFonts w:eastAsia="仿宋"/>
        </w:rPr>
        <w:object>
          <v:shape id="_x0000_i1264" o:spt="75" type="#_x0000_t75" style="height:18.35pt;width:15.6pt;" o:ole="t" filled="f" o:preferrelative="t" stroked="f" coordsize="21600,21600">
            <v:path/>
            <v:fill on="f" focussize="0,0"/>
            <v:stroke on="f" joinstyle="miter"/>
            <v:imagedata r:id="rId417" o:title=""/>
            <o:lock v:ext="edit" aspectratio="t"/>
            <w10:wrap type="none"/>
            <w10:anchorlock/>
          </v:shape>
          <o:OLEObject Type="Embed" ProgID="Equation.DSMT4" ShapeID="_x0000_i1264" DrawAspect="Content" ObjectID="_1468075964" r:id="rId416">
            <o:LockedField>false</o:LockedField>
          </o:OLEObject>
        </w:object>
      </w:r>
      <w:r>
        <w:rPr>
          <w:rFonts w:eastAsia="仿宋"/>
        </w:rPr>
        <w:t>——管顶竖向土压力标准值（kN/m</w:t>
      </w:r>
      <w:r>
        <w:rPr>
          <w:rFonts w:eastAsia="仿宋"/>
          <w:vertAlign w:val="superscript"/>
        </w:rPr>
        <w:t>2</w:t>
      </w:r>
      <w:r>
        <w:rPr>
          <w:rFonts w:eastAsia="仿宋"/>
        </w:rPr>
        <w:t>）；</w:t>
      </w:r>
    </w:p>
    <w:p>
      <w:pPr>
        <w:ind w:firstLine="1200" w:firstLineChars="500"/>
        <w:rPr>
          <w:rFonts w:eastAsia="仿宋"/>
        </w:rPr>
      </w:pPr>
      <w:r>
        <w:rPr>
          <w:rFonts w:eastAsia="仿宋"/>
        </w:rPr>
        <w:object>
          <v:shape id="_x0000_i1265" o:spt="75" type="#_x0000_t75" style="height:18.35pt;width:14.25pt;" o:ole="t" filled="f" o:preferrelative="t" stroked="f" coordsize="21600,21600">
            <v:path/>
            <v:fill on="f" focussize="0,0"/>
            <v:stroke on="f" joinstyle="miter"/>
            <v:imagedata r:id="rId109" o:title=""/>
            <o:lock v:ext="edit" aspectratio="t"/>
            <w10:wrap type="none"/>
            <w10:anchorlock/>
          </v:shape>
          <o:OLEObject Type="Embed" ProgID="Equation.DSMT4" ShapeID="_x0000_i1265" DrawAspect="Content" ObjectID="_1468075965" r:id="rId418">
            <o:LockedField>false</o:LockedField>
          </o:OLEObject>
        </w:object>
      </w:r>
      <w:r>
        <w:rPr>
          <w:rFonts w:eastAsia="仿宋"/>
        </w:rPr>
        <w:t>——管顶竖向土压力系数，其中</w:t>
      </w:r>
      <w:r>
        <w:rPr>
          <w:rFonts w:eastAsia="仿宋"/>
        </w:rPr>
        <w:object>
          <v:shape id="_x0000_i1266" o:spt="75" type="#_x0000_t75" style="height:18.35pt;width:25.15pt;" o:ole="t" filled="f" o:preferrelative="t" stroked="f" coordsize="21600,21600">
            <v:path/>
            <v:fill on="f" focussize="0,0"/>
            <v:stroke on="f" joinstyle="miter"/>
            <v:imagedata r:id="rId292" o:title=""/>
            <o:lock v:ext="edit" aspectratio="t"/>
            <w10:wrap type="none"/>
            <w10:anchorlock/>
          </v:shape>
          <o:OLEObject Type="Embed" ProgID="Equation.DSMT4" ShapeID="_x0000_i1266" DrawAspect="Content" ObjectID="_1468075966" r:id="rId419">
            <o:LockedField>false</o:LockedField>
          </o:OLEObject>
        </w:object>
      </w:r>
      <w:r>
        <w:rPr>
          <w:rFonts w:eastAsia="仿宋"/>
        </w:rPr>
        <w:t>为土的主动土压力系数和内摩擦系数的乘积，一般取0.13，饱和粘性土取0.11，砂和砾石取0.165；</w:t>
      </w:r>
    </w:p>
    <w:p>
      <w:pPr>
        <w:ind w:firstLine="1200" w:firstLineChars="500"/>
        <w:rPr>
          <w:rFonts w:eastAsia="仿宋"/>
        </w:rPr>
      </w:pPr>
      <w:r>
        <w:rPr>
          <w:rFonts w:eastAsia="仿宋"/>
          <w:position w:val="-12"/>
        </w:rPr>
        <w:object>
          <v:shape id="_x0000_i1267" o:spt="75" type="#_x0000_t75" style="height:18.35pt;width:17pt;" o:ole="t" filled="f" o:preferrelative="t" stroked="f" coordsize="21600,21600">
            <v:path/>
            <v:fill on="f" focussize="0,0"/>
            <v:stroke on="f" joinstyle="miter"/>
            <v:imagedata r:id="rId421" o:title=""/>
            <o:lock v:ext="edit" aspectratio="t"/>
            <w10:wrap type="none"/>
            <w10:anchorlock/>
          </v:shape>
          <o:OLEObject Type="Embed" ProgID="Equation.DSMT4" ShapeID="_x0000_i1267" DrawAspect="Content" ObjectID="_1468075967" r:id="rId420">
            <o:LockedField>false</o:LockedField>
          </o:OLEObject>
        </w:object>
      </w:r>
      <w:r>
        <w:rPr>
          <w:rFonts w:eastAsia="仿宋"/>
        </w:rPr>
        <w:t>——为管顶至原状土地面的覆土深度（m）；</w:t>
      </w:r>
    </w:p>
    <w:p>
      <w:pPr>
        <w:ind w:firstLine="1200" w:firstLineChars="500"/>
        <w:rPr>
          <w:rFonts w:eastAsia="仿宋"/>
        </w:rPr>
      </w:pPr>
      <w:r>
        <w:rPr>
          <w:rFonts w:eastAsia="仿宋"/>
        </w:rPr>
        <w:object>
          <v:shape id="_x0000_i1268" o:spt="75" type="#_x0000_t75" style="height:18.35pt;width:14.25pt;" o:ole="t" filled="f" o:preferrelative="t" stroked="f" coordsize="21600,21600">
            <v:path/>
            <v:fill on="f" focussize="0,0"/>
            <v:stroke on="f" joinstyle="miter"/>
            <v:imagedata r:id="rId73" o:title=""/>
            <o:lock v:ext="edit" aspectratio="t"/>
            <w10:wrap type="none"/>
            <w10:anchorlock/>
          </v:shape>
          <o:OLEObject Type="Embed" ProgID="Equation.DSMT4" ShapeID="_x0000_i1268" DrawAspect="Content" ObjectID="_1468075968" r:id="rId422">
            <o:LockedField>false</o:LockedField>
          </o:OLEObject>
        </w:object>
      </w:r>
      <w:r>
        <w:rPr>
          <w:rFonts w:eastAsia="仿宋"/>
        </w:rPr>
        <w:t>——为管顶上部土层压力传递至管顶处的影响计算宽度，即卸荷拱跨度（m）；</w:t>
      </w:r>
    </w:p>
    <w:p>
      <w:pPr>
        <w:ind w:firstLine="1200" w:firstLineChars="500"/>
        <w:rPr>
          <w:rFonts w:eastAsia="仿宋"/>
        </w:rPr>
      </w:pPr>
      <w:r>
        <w:rPr>
          <w:rFonts w:eastAsia="仿宋"/>
        </w:rPr>
        <w:object>
          <v:shape id="_x0000_i1269" o:spt="75" type="#_x0000_t75" style="height:11.55pt;width:11.55pt;" o:ole="t" filled="f" o:preferrelative="t" stroked="f" coordsize="21600,21600">
            <v:path/>
            <v:fill on="f" focussize="0,0"/>
            <v:stroke on="f" joinstyle="miter"/>
            <v:imagedata r:id="rId424" o:title=""/>
            <o:lock v:ext="edit" aspectratio="t"/>
            <w10:wrap type="none"/>
            <w10:anchorlock/>
          </v:shape>
          <o:OLEObject Type="Embed" ProgID="Equation.DSMT4" ShapeID="_x0000_i1269" DrawAspect="Content" ObjectID="_1468075969" r:id="rId423">
            <o:LockedField>false</o:LockedField>
          </o:OLEObject>
        </w:object>
      </w:r>
      <w:r>
        <w:rPr>
          <w:rFonts w:eastAsia="仿宋"/>
        </w:rPr>
        <w:t>——土的重度（kN/m</w:t>
      </w:r>
      <w:r>
        <w:rPr>
          <w:rFonts w:eastAsia="仿宋"/>
          <w:vertAlign w:val="superscript"/>
        </w:rPr>
        <w:t>3</w:t>
      </w:r>
      <w:r>
        <w:rPr>
          <w:rFonts w:eastAsia="仿宋"/>
        </w:rPr>
        <w:t>）；</w:t>
      </w:r>
    </w:p>
    <w:p>
      <w:pPr>
        <w:ind w:firstLine="480" w:firstLineChars="200"/>
        <w:rPr>
          <w:rFonts w:eastAsia="仿宋"/>
        </w:rPr>
      </w:pPr>
      <w:r>
        <w:rPr>
          <w:rFonts w:eastAsia="仿宋"/>
        </w:rPr>
        <w:t xml:space="preserve">     </w:t>
      </w:r>
      <w:r>
        <w:rPr>
          <w:rFonts w:eastAsia="仿宋"/>
        </w:rPr>
        <w:object>
          <v:shape id="_x0000_i1270" o:spt="75" type="#_x0000_t75" style="height:18.35pt;width:14.25pt;" o:ole="t" filled="f" o:preferrelative="t" stroked="f" coordsize="21600,21600">
            <v:path/>
            <v:fill on="f" focussize="0,0"/>
            <v:stroke on="f" joinstyle="miter"/>
            <v:imagedata r:id="rId426" o:title=""/>
            <o:lock v:ext="edit" aspectratio="t"/>
            <w10:wrap type="none"/>
            <w10:anchorlock/>
          </v:shape>
          <o:OLEObject Type="Embed" ProgID="Equation.DSMT4" ShapeID="_x0000_i1270" DrawAspect="Content" ObjectID="_1468075970" r:id="rId425">
            <o:LockedField>false</o:LockedField>
          </o:OLEObject>
        </w:object>
      </w:r>
      <w:r>
        <w:rPr>
          <w:rFonts w:eastAsia="仿宋"/>
        </w:rPr>
        <w:t>——管顶上部土层压力传递至管顶处的影响宽度，即卸荷拱跨度；</w:t>
      </w:r>
    </w:p>
    <w:p>
      <w:pPr>
        <w:ind w:firstLine="480" w:firstLineChars="200"/>
        <w:rPr>
          <w:rFonts w:eastAsia="仿宋"/>
        </w:rPr>
      </w:pPr>
      <w:r>
        <w:rPr>
          <w:rFonts w:eastAsia="仿宋"/>
        </w:rPr>
        <w:t xml:space="preserve">     </w:t>
      </w:r>
      <w:r>
        <w:rPr>
          <w:rFonts w:eastAsia="仿宋"/>
          <w:position w:val="-6"/>
        </w:rPr>
        <w:object>
          <v:shape id="_x0000_i1271" o:spt="75" type="#_x0000_t75" style="height:11.55pt;width:8.15pt;" o:ole="t" filled="f" o:preferrelative="t" stroked="f" coordsize="21600,21600">
            <v:path/>
            <v:fill on="f" focussize="0,0"/>
            <v:stroke on="f" joinstyle="miter"/>
            <v:imagedata r:id="rId428" o:title=""/>
            <o:lock v:ext="edit" aspectratio="t"/>
            <w10:wrap type="none"/>
            <w10:anchorlock/>
          </v:shape>
          <o:OLEObject Type="Embed" ProgID="Equation.DSMT4" ShapeID="_x0000_i1271" DrawAspect="Content" ObjectID="_1468075971" r:id="rId427">
            <o:LockedField>false</o:LockedField>
          </o:OLEObject>
        </w:object>
      </w:r>
      <w:r>
        <w:rPr>
          <w:rFonts w:eastAsia="仿宋"/>
        </w:rPr>
        <w:t>——土的粘聚力（kN/m</w:t>
      </w:r>
      <w:r>
        <w:rPr>
          <w:rFonts w:eastAsia="仿宋"/>
          <w:vertAlign w:val="superscript"/>
        </w:rPr>
        <w:t>2</w:t>
      </w:r>
      <w:r>
        <w:rPr>
          <w:rFonts w:eastAsia="仿宋"/>
        </w:rPr>
        <w:t>），一般取地质报告中的最小值。</w:t>
      </w:r>
    </w:p>
    <w:p>
      <w:pPr>
        <w:ind w:firstLine="480" w:firstLineChars="200"/>
        <w:rPr>
          <w:rFonts w:eastAsia="仿宋"/>
        </w:rPr>
      </w:pPr>
      <w:r>
        <w:rPr>
          <w:rFonts w:eastAsia="仿宋"/>
        </w:rPr>
        <w:t>可以发现该计算公式与不开槽施工土压力系数</w:t>
      </w:r>
      <w:r>
        <w:rPr>
          <w:rFonts w:eastAsia="仿宋"/>
        </w:rPr>
        <w:object>
          <v:shape id="_x0000_i1272" o:spt="75" type="#_x0000_t75" style="height:18.35pt;width:14.25pt;" o:ole="t" filled="f" o:preferrelative="t" stroked="f" coordsize="21600,21600">
            <v:path/>
            <v:fill on="f" focussize="0,0"/>
            <v:stroke on="f" joinstyle="miter"/>
            <v:imagedata r:id="rId109" o:title=""/>
            <o:lock v:ext="edit" aspectratio="t"/>
            <w10:wrap type="none"/>
            <w10:anchorlock/>
          </v:shape>
          <o:OLEObject Type="Embed" ProgID="Equation.DSMT4" ShapeID="_x0000_i1272" DrawAspect="Content" ObjectID="_1468075972" r:id="rId429">
            <o:LockedField>false</o:LockedField>
          </o:OLEObject>
        </w:object>
      </w:r>
      <w:r>
        <w:rPr>
          <w:rFonts w:eastAsia="仿宋"/>
        </w:rPr>
        <w:t>，管道埋深</w:t>
      </w:r>
      <w:r>
        <w:rPr>
          <w:rFonts w:eastAsia="仿宋"/>
        </w:rPr>
        <w:object>
          <v:shape id="_x0000_i1273" o:spt="75" type="#_x0000_t75" style="height:18.35pt;width:18.35pt;" o:ole="t" filled="f" o:preferrelative="t" stroked="f" coordsize="21600,21600">
            <v:path/>
            <v:fill on="f" focussize="0,0"/>
            <v:stroke on="f" joinstyle="miter"/>
            <v:imagedata r:id="rId431" o:title=""/>
            <o:lock v:ext="edit" aspectratio="t"/>
            <w10:wrap type="none"/>
            <w10:anchorlock/>
          </v:shape>
          <o:OLEObject Type="Embed" ProgID="Equation.DSMT4" ShapeID="_x0000_i1273" DrawAspect="Content" ObjectID="_1468075973" r:id="rId430">
            <o:LockedField>false</o:LockedField>
          </o:OLEObject>
        </w:object>
      </w:r>
      <w:r>
        <w:rPr>
          <w:rFonts w:eastAsia="仿宋"/>
        </w:rPr>
        <w:t>，卸荷拱跨度</w:t>
      </w:r>
      <w:r>
        <w:rPr>
          <w:rFonts w:eastAsia="仿宋"/>
        </w:rPr>
        <w:object>
          <v:shape id="_x0000_i1274" o:spt="75" type="#_x0000_t75" style="height:18.35pt;width:14.25pt;" o:ole="t" filled="f" o:preferrelative="t" stroked="f" coordsize="21600,21600">
            <v:path/>
            <v:fill on="f" focussize="0,0"/>
            <v:stroke on="f" joinstyle="miter"/>
            <v:imagedata r:id="rId433" o:title=""/>
            <o:lock v:ext="edit" aspectratio="t"/>
            <w10:wrap type="none"/>
            <w10:anchorlock/>
          </v:shape>
          <o:OLEObject Type="Embed" ProgID="Equation.DSMT4" ShapeID="_x0000_i1274" DrawAspect="Content" ObjectID="_1468075974" r:id="rId432">
            <o:LockedField>false</o:LockedField>
          </o:OLEObject>
        </w:object>
      </w:r>
      <w:r>
        <w:rPr>
          <w:rFonts w:eastAsia="仿宋"/>
        </w:rPr>
        <w:t>。及土的性质参数等几个参数有关，而与管道的截面形状关系不大。因此将此公式可推广至矩形顶管施工中矩形管道竖向土压力计算方法中。太沙基土拱理论考虑了土的内摩擦角</w:t>
      </w:r>
      <w:r>
        <w:rPr>
          <w:rFonts w:eastAsia="仿宋"/>
          <w:position w:val="-10"/>
        </w:rPr>
        <w:object>
          <v:shape id="_x0000_i1275" o:spt="75" type="#_x0000_t75" style="height:11.55pt;width:11.55pt;" o:ole="t" filled="f" o:preferrelative="t" stroked="f" coordsize="21600,21600">
            <v:path/>
            <v:fill on="f" focussize="0,0"/>
            <v:stroke on="f" joinstyle="miter"/>
            <v:imagedata r:id="rId435" o:title=""/>
            <o:lock v:ext="edit" aspectratio="t"/>
            <w10:wrap type="none"/>
            <w10:anchorlock/>
          </v:shape>
          <o:OLEObject Type="Embed" ProgID="Equation.DSMT4" ShapeID="_x0000_i1275" DrawAspect="Content" ObjectID="_1468075975" r:id="rId434">
            <o:LockedField>false</o:LockedField>
          </o:OLEObject>
        </w:object>
      </w:r>
      <w:r>
        <w:rPr>
          <w:rFonts w:eastAsia="仿宋"/>
        </w:rPr>
        <w:t>和土的粘聚力</w:t>
      </w:r>
      <w:r>
        <w:rPr>
          <w:rFonts w:eastAsia="仿宋"/>
          <w:position w:val="-6"/>
        </w:rPr>
        <w:object>
          <v:shape id="_x0000_i1276" o:spt="75" type="#_x0000_t75" style="height:11.55pt;width:8.15pt;" o:ole="t" filled="f" o:preferrelative="t" stroked="f" coordsize="21600,21600">
            <v:path/>
            <v:fill on="f" focussize="0,0"/>
            <v:stroke on="f" joinstyle="miter"/>
            <v:imagedata r:id="rId428" o:title=""/>
            <o:lock v:ext="edit" aspectratio="t"/>
            <w10:wrap type="none"/>
            <w10:anchorlock/>
          </v:shape>
          <o:OLEObject Type="Embed" ProgID="Equation.DSMT4" ShapeID="_x0000_i1276" DrawAspect="Content" ObjectID="_1468075976" r:id="rId436">
            <o:LockedField>false</o:LockedField>
          </o:OLEObject>
        </w:object>
      </w:r>
      <w:r>
        <w:rPr>
          <w:rFonts w:eastAsia="仿宋"/>
        </w:rPr>
        <w:t>，比较符合顶管的实际情况，由于c值在土工实验时，离散性比较大，出于安全的考虑规范建议取低值。当管道位于地下水以下时，需要计入作用在管道上的地下水压力，此时土的重度值取有效重度。</w:t>
      </w:r>
    </w:p>
    <w:p>
      <w:pPr>
        <w:ind w:firstLine="480" w:firstLineChars="200"/>
        <w:rPr>
          <w:rFonts w:eastAsia="仿宋"/>
        </w:rPr>
      </w:pPr>
      <w:r>
        <w:rPr>
          <w:rFonts w:eastAsia="仿宋"/>
        </w:rPr>
        <w:t>根据《给水排水工程顶管技术规程》（CECS 246-2008）的思想，在计算管节受力的过程中，需要考虑土的粘聚力c的影响，因此矩形管节上摩阻力的计算方法公式为：</w:t>
      </w:r>
    </w:p>
    <w:p>
      <w:pPr>
        <w:ind w:firstLine="480" w:firstLineChars="200"/>
        <w:rPr>
          <w:rFonts w:eastAsia="仿宋"/>
        </w:rPr>
      </w:pPr>
      <w:r>
        <w:rPr>
          <w:rFonts w:eastAsia="仿宋"/>
        </w:rPr>
        <w:t>1）矩形管节上部单位面积摩阻力</w:t>
      </w:r>
    </w:p>
    <w:p>
      <w:pPr>
        <w:jc w:val="center"/>
      </w:pPr>
      <w:r>
        <w:rPr>
          <w:rFonts w:hint="eastAsia"/>
        </w:rPr>
        <w:object>
          <v:shape id="_x0000_i1277" o:spt="75" type="#_x0000_t75" style="height:18.35pt;width:126.35pt;" o:ole="t" filled="f" o:preferrelative="t" stroked="f" coordsize="21600,21600">
            <v:path/>
            <v:fill on="f" focussize="0,0"/>
            <v:stroke on="f" joinstyle="miter"/>
            <v:imagedata r:id="rId438" o:title=""/>
            <o:lock v:ext="edit" aspectratio="t"/>
            <w10:wrap type="none"/>
            <w10:anchorlock/>
          </v:shape>
          <o:OLEObject Type="Embed" ProgID="Equations" ShapeID="_x0000_i1277" DrawAspect="Content" ObjectID="_1468075977" r:id="rId437">
            <o:LockedField>false</o:LockedField>
          </o:OLEObject>
        </w:object>
      </w:r>
      <w:r>
        <w:rPr>
          <w:rFonts w:hint="eastAsia"/>
        </w:rPr>
        <w:t xml:space="preserve">                      （18）</w:t>
      </w:r>
    </w:p>
    <w:p>
      <w:pPr>
        <w:ind w:firstLine="480" w:firstLineChars="200"/>
        <w:rPr>
          <w:rFonts w:eastAsia="仿宋"/>
        </w:rPr>
      </w:pPr>
      <w:r>
        <w:rPr>
          <w:rFonts w:eastAsia="仿宋"/>
        </w:rPr>
        <w:t>2）矩形管节下部单位面积摩阻力</w:t>
      </w:r>
    </w:p>
    <w:p>
      <w:pPr>
        <w:jc w:val="center"/>
      </w:pPr>
      <w:r>
        <w:rPr>
          <w:rFonts w:hint="eastAsia"/>
        </w:rPr>
        <w:object>
          <v:shape id="_x0000_i1278" o:spt="75" type="#_x0000_t75" style="height:34.65pt;width:197pt;" o:ole="t" filled="f" o:preferrelative="t" stroked="f" coordsize="21600,21600">
            <v:path/>
            <v:fill on="f" focussize="0,0"/>
            <v:stroke on="f" joinstyle="miter"/>
            <v:imagedata r:id="rId440" o:title=""/>
            <o:lock v:ext="edit" aspectratio="t"/>
            <w10:wrap type="none"/>
            <w10:anchorlock/>
          </v:shape>
          <o:OLEObject Type="Embed" ProgID="Equations" ShapeID="_x0000_i1278" DrawAspect="Content" ObjectID="_1468075978" r:id="rId439">
            <o:LockedField>false</o:LockedField>
          </o:OLEObject>
        </w:object>
      </w:r>
      <w:r>
        <w:rPr>
          <w:rFonts w:hint="eastAsia"/>
        </w:rPr>
        <w:t xml:space="preserve">            （19）</w:t>
      </w:r>
    </w:p>
    <w:p>
      <w:pPr>
        <w:ind w:firstLine="480" w:firstLineChars="200"/>
      </w:pPr>
      <w:r>
        <w:rPr>
          <w:rFonts w:eastAsia="仿宋"/>
        </w:rPr>
        <w:t>3）矩形管节侧面单位面积摩阻力</w:t>
      </w:r>
    </w:p>
    <w:p>
      <w:pPr>
        <w:jc w:val="center"/>
      </w:pPr>
      <w:r>
        <w:rPr>
          <w:rFonts w:hint="eastAsia"/>
        </w:rPr>
        <w:object>
          <v:shape id="_x0000_i1279" o:spt="75" type="#_x0000_t75" style="height:57.05pt;width:213.3pt;" o:ole="t" filled="f" o:preferrelative="t" stroked="f" coordsize="21600,21600">
            <v:path/>
            <v:fill on="f" focussize="0,0"/>
            <v:stroke on="f" joinstyle="miter"/>
            <v:imagedata r:id="rId442" o:title=""/>
            <o:lock v:ext="edit" aspectratio="t"/>
            <w10:wrap type="none"/>
            <w10:anchorlock/>
          </v:shape>
          <o:OLEObject Type="Embed" ProgID="Equations" ShapeID="_x0000_i1279" DrawAspect="Content" ObjectID="_1468075979" r:id="rId441">
            <o:LockedField>false</o:LockedField>
          </o:OLEObject>
        </w:object>
      </w:r>
      <w:r>
        <w:rPr>
          <w:rFonts w:hint="eastAsia"/>
        </w:rPr>
        <w:t xml:space="preserve">         （20）</w:t>
      </w:r>
    </w:p>
    <w:p>
      <w:pPr>
        <w:ind w:firstLine="480" w:firstLineChars="200"/>
        <w:rPr>
          <w:rFonts w:eastAsia="仿宋"/>
        </w:rPr>
      </w:pPr>
      <w:r>
        <w:rPr>
          <w:rFonts w:eastAsia="仿宋"/>
        </w:rPr>
        <w:t>综上所述，则矩形顶管顶进过程中的总侧摩阻力：</w:t>
      </w:r>
    </w:p>
    <w:p>
      <w:pPr>
        <w:ind w:firstLine="1440" w:firstLineChars="600"/>
        <w:jc w:val="left"/>
      </w:pPr>
      <w:r>
        <w:rPr>
          <w:rFonts w:hint="eastAsia"/>
        </w:rPr>
        <w:object>
          <v:shape id="_x0000_i1280" o:spt="75" type="#_x0000_t75" style="height:18.35pt;width:177.3pt;" o:ole="t" filled="f" o:preferrelative="t" stroked="f" coordsize="21600,21600">
            <v:path/>
            <v:fill on="f" focussize="0,0"/>
            <v:stroke on="f" joinstyle="miter"/>
            <v:imagedata r:id="rId444" o:title=""/>
            <o:lock v:ext="edit" aspectratio="t"/>
            <w10:wrap type="none"/>
            <w10:anchorlock/>
          </v:shape>
          <o:OLEObject Type="Embed" ProgID="Equation.DSMT4" ShapeID="_x0000_i1280" DrawAspect="Content" ObjectID="_1468075980" r:id="rId443">
            <o:LockedField>false</o:LockedField>
          </o:OLEObject>
        </w:object>
      </w:r>
      <w:r>
        <w:rPr>
          <w:rFonts w:hint="eastAsia"/>
        </w:rPr>
        <w:t xml:space="preserve">    </w:t>
      </w:r>
      <w:r>
        <w:t xml:space="preserve"> </w:t>
      </w:r>
    </w:p>
    <w:p>
      <w:r>
        <w:rPr>
          <w:rFonts w:hint="eastAsia"/>
        </w:rPr>
        <w:t>即：</w:t>
      </w:r>
      <w:r>
        <w:rPr>
          <w:rFonts w:hint="eastAsia"/>
        </w:rPr>
        <w:object>
          <v:shape id="_x0000_i1281" o:spt="75" type="#_x0000_t75" style="height:20.4pt;width:291.4pt;" o:ole="t" filled="f" o:preferrelative="t" stroked="f" coordsize="21600,21600">
            <v:path/>
            <v:fill on="f" focussize="0,0"/>
            <v:stroke on="f" joinstyle="miter"/>
            <v:imagedata r:id="rId446" o:title=""/>
            <o:lock v:ext="edit" aspectratio="t"/>
            <w10:wrap type="none"/>
            <w10:anchorlock/>
          </v:shape>
          <o:OLEObject Type="Embed" ProgID="Equation.DSMT4" ShapeID="_x0000_i1281" DrawAspect="Content" ObjectID="_1468075981" r:id="rId445">
            <o:LockedField>false</o:LockedField>
          </o:OLEObject>
        </w:object>
      </w:r>
      <w:r>
        <w:rPr>
          <w:rFonts w:hint="eastAsia"/>
        </w:rPr>
        <w:t xml:space="preserve"> </w:t>
      </w:r>
      <w:r>
        <w:t xml:space="preserve">    </w:t>
      </w:r>
      <w:r>
        <w:rPr>
          <w:rFonts w:hint="eastAsia"/>
        </w:rPr>
        <w:t>（21）</w:t>
      </w:r>
    </w:p>
    <w:p>
      <w:pPr>
        <w:ind w:firstLine="480" w:firstLineChars="200"/>
        <w:rPr>
          <w:rFonts w:eastAsia="仿宋"/>
        </w:rPr>
      </w:pPr>
      <w:r>
        <w:rPr>
          <w:rFonts w:eastAsia="仿宋"/>
        </w:rPr>
        <w:t>式中：</w:t>
      </w:r>
      <w:r>
        <w:rPr>
          <w:rFonts w:eastAsia="仿宋"/>
        </w:rPr>
        <w:object>
          <v:shape id="_x0000_i1282" o:spt="75" type="#_x0000_t75" style="height:18.35pt;width:18.35pt;" o:ole="t" filled="f" o:preferrelative="t" stroked="f" coordsize="21600,21600">
            <v:path/>
            <v:fill on="f" focussize="0,0"/>
            <v:stroke on="f" joinstyle="miter"/>
            <v:imagedata r:id="rId448" o:title=""/>
            <o:lock v:ext="edit" aspectratio="t"/>
            <w10:wrap type="none"/>
            <w10:anchorlock/>
          </v:shape>
          <o:OLEObject Type="Embed" ProgID="Equation.DSMT4" ShapeID="_x0000_i1282" DrawAspect="Content" ObjectID="_1468075982" r:id="rId447">
            <o:LockedField>false</o:LockedField>
          </o:OLEObject>
        </w:object>
      </w:r>
      <w:r>
        <w:rPr>
          <w:rFonts w:eastAsia="仿宋"/>
        </w:rPr>
        <w:t>——矩形顶管考虑土的粘聚力时总顶力值（</w:t>
      </w:r>
      <w:r>
        <w:rPr>
          <w:rFonts w:eastAsia="仿宋"/>
        </w:rPr>
        <w:object>
          <v:shape id="_x0000_i1283" o:spt="75" type="#_x0000_t75" style="height:14.25pt;width:18.35pt;" o:ole="t" filled="f" o:preferrelative="t" stroked="f" coordsize="21600,21600">
            <v:path/>
            <v:fill on="f" focussize="0,0"/>
            <v:stroke on="f" joinstyle="miter"/>
            <v:imagedata r:id="rId399" o:title=""/>
            <o:lock v:ext="edit" aspectratio="t"/>
            <w10:wrap type="none"/>
            <w10:anchorlock/>
          </v:shape>
          <o:OLEObject Type="Embed" ProgID="Equations" ShapeID="_x0000_i1283" DrawAspect="Content" ObjectID="_1468075983" r:id="rId449">
            <o:LockedField>false</o:LockedField>
          </o:OLEObject>
        </w:object>
      </w:r>
      <w:r>
        <w:rPr>
          <w:rFonts w:eastAsia="仿宋"/>
        </w:rPr>
        <w:t>）；</w:t>
      </w:r>
    </w:p>
    <w:p>
      <w:pPr>
        <w:ind w:firstLine="1200" w:firstLineChars="500"/>
        <w:rPr>
          <w:rFonts w:eastAsia="仿宋"/>
        </w:rPr>
      </w:pPr>
      <w:r>
        <w:rPr>
          <w:rFonts w:eastAsia="仿宋"/>
        </w:rPr>
        <w:object>
          <v:shape id="_x0000_i1284" o:spt="75" type="#_x0000_t75" style="height:18.35pt;width:11.55pt;" o:ole="t" filled="f" o:preferrelative="t" stroked="f" coordsize="21600,21600">
            <v:path/>
            <v:fill on="f" focussize="0,0"/>
            <v:stroke on="f" joinstyle="miter"/>
            <v:imagedata r:id="rId451" o:title=""/>
            <o:lock v:ext="edit" aspectratio="t"/>
            <w10:wrap type="none"/>
            <w10:anchorlock/>
          </v:shape>
          <o:OLEObject Type="Embed" ProgID="Equation.DSMT4" ShapeID="_x0000_i1284" DrawAspect="Content" ObjectID="_1468075984" r:id="rId450">
            <o:LockedField>false</o:LockedField>
          </o:OLEObject>
        </w:object>
      </w:r>
      <w:r>
        <w:rPr>
          <w:rFonts w:eastAsia="仿宋"/>
        </w:rPr>
        <w:t>——卸荷拱高度（m）。</w:t>
      </w:r>
    </w:p>
    <w:p>
      <w:pPr>
        <w:ind w:firstLine="482" w:firstLineChars="200"/>
        <w:rPr>
          <w:rFonts w:eastAsia="仿宋"/>
          <w:b/>
          <w:bCs/>
        </w:rPr>
      </w:pPr>
      <w:r>
        <w:rPr>
          <w:rFonts w:eastAsia="仿宋"/>
          <w:b/>
          <w:bCs/>
        </w:rPr>
        <w:t>4、上海地区经验法</w:t>
      </w:r>
    </w:p>
    <w:p>
      <w:pPr>
        <w:ind w:firstLine="480" w:firstLineChars="200"/>
        <w:rPr>
          <w:rFonts w:eastAsia="仿宋"/>
        </w:rPr>
      </w:pPr>
      <w:r>
        <w:rPr>
          <w:rFonts w:eastAsia="仿宋"/>
        </w:rPr>
        <w:t>在上海地区，矩形顶管技术的发展时间较早，到目前为止已有多次矩形顶管施工的成功案例。结合本地区地质地层条件，采用触变泥浆顶管的经验认为，矩形顶管的顶力可按管道外表面（8~12）</w:t>
      </w:r>
      <w:r>
        <w:rPr>
          <w:rFonts w:eastAsia="仿宋"/>
        </w:rPr>
        <w:object>
          <v:shape id="_x0000_i1285" o:spt="75" type="#_x0000_t75" style="height:15.6pt;width:36.7pt;" o:ole="t" filled="f" o:preferrelative="t" stroked="f" coordsize="21600,21600">
            <v:path/>
            <v:fill on="f" focussize="0,0"/>
            <v:stroke on="f" joinstyle="miter"/>
            <v:imagedata r:id="rId368" o:title=""/>
            <o:lock v:ext="edit" aspectratio="t"/>
            <w10:wrap type="none"/>
            <w10:anchorlock/>
          </v:shape>
          <o:OLEObject Type="Embed" ProgID="Equations" ShapeID="_x0000_i1285" DrawAspect="Content" ObjectID="_1468075985" r:id="rId452">
            <o:LockedField>false</o:LockedField>
          </o:OLEObject>
        </w:object>
      </w:r>
      <w:r>
        <w:rPr>
          <w:rFonts w:eastAsia="仿宋"/>
        </w:rPr>
        <w:t>计算。则上海地区矩形顶管顶力计算经验公式为：</w:t>
      </w:r>
    </w:p>
    <w:p>
      <w:pPr>
        <w:ind w:firstLine="420"/>
        <w:jc w:val="center"/>
        <w:rPr>
          <w:rFonts w:ascii="仿宋" w:hAnsi="仿宋" w:eastAsia="仿宋" w:cs="宋体"/>
          <w:kern w:val="24"/>
        </w:rPr>
      </w:pPr>
      <w:r>
        <w:rPr>
          <w:rFonts w:hint="eastAsia" w:ascii="仿宋" w:hAnsi="仿宋" w:eastAsia="仿宋" w:cs="宋体"/>
          <w:kern w:val="24"/>
        </w:rPr>
        <w:object>
          <v:shape id="_x0000_i1286" o:spt="75" type="#_x0000_t75" style="height:17pt;width:76.75pt;" o:ole="t" filled="f" o:preferrelative="t" stroked="f" coordsize="21600,21600">
            <v:path/>
            <v:fill on="f" focussize="0,0"/>
            <v:stroke on="f" joinstyle="miter"/>
            <v:imagedata r:id="rId454" o:title=""/>
            <o:lock v:ext="edit" aspectratio="t"/>
            <w10:wrap type="none"/>
            <w10:anchorlock/>
          </v:shape>
          <o:OLEObject Type="Embed" ProgID="Equations" ShapeID="_x0000_i1286" DrawAspect="Content" ObjectID="_1468075986" r:id="rId453">
            <o:LockedField>false</o:LockedField>
          </o:OLEObject>
        </w:object>
      </w:r>
      <w:r>
        <w:rPr>
          <w:rFonts w:hint="eastAsia" w:ascii="仿宋" w:hAnsi="仿宋" w:eastAsia="仿宋" w:cs="宋体"/>
          <w:kern w:val="24"/>
        </w:rPr>
        <w:t xml:space="preserve">       </w:t>
      </w:r>
      <w:r>
        <w:rPr>
          <w:rFonts w:ascii="仿宋" w:hAnsi="仿宋" w:eastAsia="仿宋" w:cs="宋体"/>
          <w:kern w:val="24"/>
        </w:rPr>
        <w:t xml:space="preserve">                     </w:t>
      </w:r>
      <w:r>
        <w:rPr>
          <w:rFonts w:eastAsia="仿宋"/>
          <w:kern w:val="24"/>
        </w:rPr>
        <w:t>（22）</w:t>
      </w:r>
    </w:p>
    <w:p>
      <w:pPr>
        <w:ind w:firstLine="480" w:firstLineChars="200"/>
        <w:rPr>
          <w:rFonts w:eastAsia="仿宋"/>
        </w:rPr>
      </w:pPr>
      <w:r>
        <w:rPr>
          <w:rFonts w:eastAsia="仿宋"/>
        </w:rPr>
        <w:t>式中：</w:t>
      </w:r>
      <w:r>
        <w:rPr>
          <w:rFonts w:eastAsia="仿宋"/>
        </w:rPr>
        <w:object>
          <v:shape id="_x0000_i1287" o:spt="75" type="#_x0000_t75" style="height:18.35pt;width:18.35pt;" o:ole="t" filled="f" o:preferrelative="t" stroked="f" coordsize="21600,21600">
            <v:path/>
            <v:fill on="f" focussize="0,0"/>
            <v:stroke on="f" joinstyle="miter"/>
            <v:imagedata r:id="rId456" o:title=""/>
            <o:lock v:ext="edit" aspectratio="t"/>
            <w10:wrap type="none"/>
            <w10:anchorlock/>
          </v:shape>
          <o:OLEObject Type="Embed" ProgID="Equations" ShapeID="_x0000_i1287" DrawAspect="Content" ObjectID="_1468075987" r:id="rId455">
            <o:LockedField>false</o:LockedField>
          </o:OLEObject>
        </w:object>
      </w:r>
      <w:r>
        <w:rPr>
          <w:rFonts w:eastAsia="仿宋"/>
        </w:rPr>
        <w:t>——上海地区矩形顶管顶力经验值（</w:t>
      </w:r>
      <w:r>
        <w:rPr>
          <w:rFonts w:eastAsia="仿宋"/>
        </w:rPr>
        <w:object>
          <v:shape id="_x0000_i1288" o:spt="75" type="#_x0000_t75" style="height:14.25pt;width:18.35pt;" o:ole="t" filled="f" o:preferrelative="t" stroked="f" coordsize="21600,21600">
            <v:path/>
            <v:fill on="f" focussize="0,0"/>
            <v:stroke on="f" joinstyle="miter"/>
            <v:imagedata r:id="rId458" o:title=""/>
            <o:lock v:ext="edit" aspectratio="t"/>
            <w10:wrap type="none"/>
            <w10:anchorlock/>
          </v:shape>
          <o:OLEObject Type="Embed" ProgID="Equations" ShapeID="_x0000_i1288" DrawAspect="Content" ObjectID="_1468075988" r:id="rId457">
            <o:LockedField>false</o:LockedField>
          </o:OLEObject>
        </w:object>
      </w:r>
      <w:r>
        <w:rPr>
          <w:rFonts w:eastAsia="仿宋"/>
        </w:rPr>
        <w:t>）；</w:t>
      </w:r>
    </w:p>
    <w:p>
      <w:pPr>
        <w:pStyle w:val="34"/>
        <w:shd w:val="clear" w:color="auto" w:fill="FFFFFF"/>
        <w:ind w:firstLine="360" w:firstLineChars="150"/>
        <w:rPr>
          <w:rFonts w:ascii="Times New Roman" w:hAnsi="Times New Roman"/>
          <w:kern w:val="24"/>
        </w:rPr>
      </w:pPr>
      <w:r>
        <w:rPr>
          <w:rFonts w:ascii="Times New Roman" w:hAnsi="Times New Roman" w:eastAsia="仿宋"/>
        </w:rPr>
        <w:object>
          <v:shape id="_x0000_i1289" o:spt="75" type="#_x0000_t75" style="height:14.25pt;width:8.15pt;" o:ole="t" filled="f" o:preferrelative="t" stroked="f" coordsize="21600,21600">
            <v:path/>
            <v:fill on="f" focussize="0,0"/>
            <v:stroke on="f" joinstyle="miter"/>
            <v:imagedata r:id="rId460" o:title=""/>
            <o:lock v:ext="edit" aspectratio="t"/>
            <w10:wrap type="none"/>
            <w10:anchorlock/>
          </v:shape>
          <o:OLEObject Type="Embed" ProgID="Equations" ShapeID="_x0000_i1289" DrawAspect="Content" ObjectID="_1468075989" r:id="rId459">
            <o:LockedField>false</o:LockedField>
          </o:OLEObject>
        </w:object>
      </w:r>
      <w:r>
        <w:rPr>
          <w:rFonts w:ascii="Times New Roman" w:hAnsi="Times New Roman" w:eastAsia="仿宋"/>
        </w:rPr>
        <w:t>——顶力经验系数，与地区地质条件有关，上海地区一般取（8~12）</w:t>
      </w:r>
      <w:r>
        <w:rPr>
          <w:rFonts w:ascii="Times New Roman" w:hAnsi="Times New Roman" w:eastAsia="仿宋"/>
        </w:rPr>
        <w:object>
          <v:shape id="_x0000_i1290" o:spt="75" type="#_x0000_t75" style="height:15.6pt;width:36.7pt;" o:ole="t" filled="f" o:preferrelative="t" stroked="f" coordsize="21600,21600">
            <v:path/>
            <v:fill on="f" focussize="0,0"/>
            <v:stroke on="f" joinstyle="miter"/>
            <v:imagedata r:id="rId368" o:title=""/>
            <o:lock v:ext="edit" aspectratio="t"/>
            <w10:wrap type="none"/>
            <w10:anchorlock/>
          </v:shape>
          <o:OLEObject Type="Embed" ProgID="Equations" ShapeID="_x0000_i1290" DrawAspect="Content" ObjectID="_1468075990" r:id="rId461">
            <o:LockedField>false</o:LockedField>
          </o:OLEObject>
        </w:object>
      </w:r>
      <w:r>
        <w:rPr>
          <w:rFonts w:ascii="Times New Roman" w:hAnsi="Times New Roman" w:eastAsia="仿宋"/>
        </w:rPr>
        <w:t>。</w:t>
      </w:r>
    </w:p>
    <w:p>
      <w:r>
        <w:rPr>
          <w:rFonts w:hint="eastAsia"/>
          <w:b/>
          <w:bCs/>
        </w:rPr>
        <w:t>5.7</w:t>
      </w:r>
      <w:r>
        <w:rPr>
          <w:b/>
          <w:bCs/>
        </w:rPr>
        <w:t xml:space="preserve">.4  </w:t>
      </w:r>
      <w:r>
        <w:rPr>
          <w:rFonts w:hint="eastAsia"/>
        </w:rPr>
        <w:t>矩形顶管液压缸总顶力应不小于1</w:t>
      </w:r>
      <w:r>
        <w:t>.5</w:t>
      </w:r>
      <w:r>
        <w:rPr>
          <w:rFonts w:hint="eastAsia"/>
        </w:rPr>
        <w:t>倍顶管总顶力。</w:t>
      </w:r>
    </w:p>
    <w:p>
      <w:r>
        <w:rPr>
          <w:rFonts w:hint="eastAsia"/>
          <w:b/>
          <w:bCs/>
        </w:rPr>
        <w:t>5.7</w:t>
      </w:r>
      <w:r>
        <w:rPr>
          <w:b/>
          <w:bCs/>
        </w:rPr>
        <w:t>.</w:t>
      </w:r>
      <w:r>
        <w:rPr>
          <w:rFonts w:hint="eastAsia"/>
          <w:b/>
          <w:bCs/>
        </w:rPr>
        <w:t>5</w:t>
      </w:r>
      <w:r>
        <w:t xml:space="preserve">  </w:t>
      </w:r>
      <w:r>
        <w:rPr>
          <w:rFonts w:hint="eastAsia"/>
        </w:rPr>
        <w:t>裂缝控制：钢筋混凝土结构构件在组合作用下，计算截面的受力状态处于受弯、大偏心受压或受拉时，截面允许出现的最大裂缝宽度不应大于0.2mm(洞内干燥环境或洞内潮湿环境可取0.3mm)。计算截面的受力状态处于轴心受拉或小偏心受拉时，截面设计应按不允许裂缝出现控制。</w:t>
      </w:r>
    </w:p>
    <w:p/>
    <w:p>
      <w:pPr>
        <w:pStyle w:val="3"/>
      </w:pPr>
      <w:bookmarkStart w:id="74" w:name="_Toc18057040"/>
      <w:bookmarkStart w:id="75" w:name="_Toc27904"/>
      <w:r>
        <w:rPr>
          <w:rFonts w:hint="eastAsia"/>
        </w:rPr>
        <w:t xml:space="preserve">5.8 </w:t>
      </w:r>
      <w:r>
        <w:t xml:space="preserve"> </w:t>
      </w:r>
      <w:r>
        <w:rPr>
          <w:rFonts w:hint="eastAsia"/>
        </w:rPr>
        <w:t>工作井设计</w:t>
      </w:r>
      <w:bookmarkEnd w:id="74"/>
      <w:bookmarkEnd w:id="75"/>
    </w:p>
    <w:p>
      <w:r>
        <w:rPr>
          <w:rFonts w:hint="eastAsia"/>
          <w:b/>
          <w:bCs/>
        </w:rPr>
        <w:t>5.8.1</w:t>
      </w:r>
      <w:r>
        <w:rPr>
          <w:b/>
          <w:bCs/>
        </w:rPr>
        <w:t xml:space="preserve">  </w:t>
      </w:r>
      <w:r>
        <w:t>工作井结构除了进行水土压力和地面荷载作用效应分析外，工作井还应进行顶力作用效应分析。并采用相应的作用效应最不利组合，对其进行承载能力极限状态和正常使用极限状态设计。</w:t>
      </w:r>
    </w:p>
    <w:p>
      <w:r>
        <w:rPr>
          <w:rFonts w:hint="eastAsia"/>
          <w:b/>
          <w:bCs/>
        </w:rPr>
        <w:t>5.8.2</w:t>
      </w:r>
      <w:r>
        <w:rPr>
          <w:b/>
          <w:bCs/>
        </w:rPr>
        <w:t xml:space="preserve">  </w:t>
      </w:r>
      <w:r>
        <w:t>工作井结构形式应根据地质条件、管道埋深、施工工艺及环境条件等因素选用，</w:t>
      </w:r>
      <w:r>
        <w:rPr>
          <w:rFonts w:hint="eastAsia"/>
        </w:rPr>
        <w:t>并</w:t>
      </w:r>
      <w:r>
        <w:t>应符合下列规定;</w:t>
      </w:r>
    </w:p>
    <w:p>
      <w:pPr>
        <w:ind w:firstLine="480" w:firstLineChars="200"/>
      </w:pPr>
      <w:r>
        <w:rPr>
          <w:rFonts w:hint="eastAsia"/>
        </w:rPr>
        <w:t>1</w:t>
      </w:r>
      <w:r>
        <w:t xml:space="preserve">  </w:t>
      </w:r>
      <w:r>
        <w:rPr>
          <w:rFonts w:hint="eastAsia"/>
        </w:rPr>
        <w:t>始发</w:t>
      </w:r>
      <w:r>
        <w:t>井应符合安装</w:t>
      </w:r>
      <w:r>
        <w:rPr>
          <w:rFonts w:hint="eastAsia"/>
        </w:rPr>
        <w:t>反力墙</w:t>
      </w:r>
      <w:r>
        <w:t>、液压缸、顶铁、穿墙止水和操作空间的要求，取安装顶管机长度和安放管材节段长度的大者，宽度应考虑</w:t>
      </w:r>
      <w:r>
        <w:rPr>
          <w:rFonts w:hint="eastAsia"/>
        </w:rPr>
        <w:t>止退装置、</w:t>
      </w:r>
      <w:r>
        <w:t>安装设备的需要</w:t>
      </w:r>
      <w:r>
        <w:rPr>
          <w:rFonts w:hint="eastAsia"/>
        </w:rPr>
        <w:t>；</w:t>
      </w:r>
    </w:p>
    <w:p>
      <w:pPr>
        <w:ind w:firstLine="480" w:firstLineChars="200"/>
      </w:pPr>
      <w:r>
        <w:rPr>
          <w:rFonts w:hint="eastAsia"/>
        </w:rPr>
        <w:t>2</w:t>
      </w:r>
      <w:r>
        <w:t xml:space="preserve">  接收井应</w:t>
      </w:r>
      <w:r>
        <w:rPr>
          <w:rFonts w:hint="eastAsia"/>
        </w:rPr>
        <w:t>满足</w:t>
      </w:r>
      <w:r>
        <w:t>顶管机</w:t>
      </w:r>
      <w:r>
        <w:rPr>
          <w:rFonts w:hint="eastAsia"/>
        </w:rPr>
        <w:t>吊出；</w:t>
      </w:r>
    </w:p>
    <w:p>
      <w:pPr>
        <w:ind w:firstLine="480" w:firstLineChars="200"/>
      </w:pPr>
      <w:r>
        <w:t>3  工作井深度为管底埋深、导轨高度、支垫厚度之和，焊接钢管应预留焊接坑，深度不应小于1m，宽度不应小于0.8m</w:t>
      </w:r>
      <w:r>
        <w:rPr>
          <w:rFonts w:hint="eastAsia"/>
        </w:rPr>
        <w:t>；</w:t>
      </w:r>
    </w:p>
    <w:p>
      <w:pPr>
        <w:ind w:firstLine="480" w:firstLineChars="200"/>
      </w:pPr>
      <w:r>
        <w:t>4  钢板桩、地下连续墙、排桩等工作井设计应按平面杆系有限元法进行计算，并进行整体稳定、抗滑移、抗倾覆、抗隆起、抗管涌等验算</w:t>
      </w:r>
      <w:r>
        <w:rPr>
          <w:rFonts w:hint="eastAsia"/>
        </w:rPr>
        <w:t>；</w:t>
      </w:r>
    </w:p>
    <w:p>
      <w:pPr>
        <w:ind w:firstLine="480" w:firstLineChars="200"/>
      </w:pPr>
      <w:r>
        <w:t>5  当工作井位于岸边或水中时，应进行筑岛冲刷、整体稳定、抗滑移及抗倾覆等验算</w:t>
      </w:r>
      <w:r>
        <w:rPr>
          <w:rFonts w:hint="eastAsia"/>
        </w:rPr>
        <w:t>；</w:t>
      </w:r>
    </w:p>
    <w:p>
      <w:pPr>
        <w:ind w:firstLine="480" w:firstLineChars="200"/>
      </w:pPr>
      <w:r>
        <w:t>6  工作井应设置钢筋混凝土底板，接收井可根据具体情况考虑设置</w:t>
      </w:r>
      <w:r>
        <w:rPr>
          <w:rFonts w:hint="eastAsia"/>
        </w:rPr>
        <w:t>；</w:t>
      </w:r>
    </w:p>
    <w:p>
      <w:pPr>
        <w:ind w:firstLine="480" w:firstLineChars="200"/>
      </w:pPr>
      <w:r>
        <w:t>7  当工作井需设置内支撑或内衬时，该部分构件不得对顶管施工造成障碍</w:t>
      </w:r>
      <w:r>
        <w:rPr>
          <w:rFonts w:hint="eastAsia"/>
        </w:rPr>
        <w:t>；</w:t>
      </w:r>
    </w:p>
    <w:p>
      <w:pPr>
        <w:ind w:firstLine="480" w:firstLineChars="200"/>
      </w:pPr>
      <w:r>
        <w:t xml:space="preserve">8  </w:t>
      </w:r>
      <w:r>
        <w:rPr>
          <w:rFonts w:hint="eastAsia"/>
        </w:rPr>
        <w:t>挖深大于6m且有地下水时，宜采用地下连续墙、排桩、沉井等方法。</w:t>
      </w:r>
    </w:p>
    <w:p>
      <w:r>
        <w:rPr>
          <w:rFonts w:hint="eastAsia"/>
          <w:b/>
          <w:bCs/>
        </w:rPr>
        <w:t>5.8.3</w:t>
      </w:r>
      <w:r>
        <w:rPr>
          <w:b/>
          <w:bCs/>
        </w:rPr>
        <w:t xml:space="preserve">  </w:t>
      </w:r>
      <w:r>
        <w:rPr>
          <w:rFonts w:hint="eastAsia"/>
        </w:rPr>
        <w:t>工作井的支撑应根据开挖断面、挖深、土质条件、地下水状况及总顶力等进行施工设计，确定支撑形式，并应符合下列规定</w:t>
      </w:r>
      <w:r>
        <w:t>：</w:t>
      </w:r>
    </w:p>
    <w:p>
      <w:pPr>
        <w:ind w:firstLine="480" w:firstLineChars="200"/>
      </w:pPr>
      <w:r>
        <w:rPr>
          <w:rFonts w:hint="eastAsia"/>
        </w:rPr>
        <w:t>1</w:t>
      </w:r>
      <w:r>
        <w:t xml:space="preserve">  </w:t>
      </w:r>
      <w:r>
        <w:rPr>
          <w:rFonts w:hint="eastAsia"/>
        </w:rPr>
        <w:t>工作井支撑宜形成封闭式框架，矩形工作坑四角应设斜撑；</w:t>
      </w:r>
    </w:p>
    <w:p>
      <w:pPr>
        <w:ind w:firstLine="480" w:firstLineChars="200"/>
      </w:pPr>
      <w:r>
        <w:t xml:space="preserve">2  </w:t>
      </w:r>
      <w:r>
        <w:rPr>
          <w:rFonts w:hint="eastAsia"/>
        </w:rPr>
        <w:t>工作井开挖深度达</w:t>
      </w:r>
      <w:r>
        <w:t>2m</w:t>
      </w:r>
      <w:r>
        <w:rPr>
          <w:rFonts w:hint="eastAsia"/>
        </w:rPr>
        <w:t>时，即应进行支撑；</w:t>
      </w:r>
    </w:p>
    <w:p>
      <w:pPr>
        <w:ind w:firstLine="480" w:firstLineChars="200"/>
      </w:pPr>
      <w:r>
        <w:t xml:space="preserve">3  </w:t>
      </w:r>
      <w:r>
        <w:rPr>
          <w:rFonts w:hint="eastAsia"/>
        </w:rPr>
        <w:t>支撑可采用钻孔护壁桩、喷锚水泥混凝土、钢木支架等方法。</w:t>
      </w:r>
    </w:p>
    <w:p>
      <w:r>
        <w:rPr>
          <w:b/>
          <w:bCs/>
        </w:rPr>
        <w:t>5.</w:t>
      </w:r>
      <w:r>
        <w:rPr>
          <w:rFonts w:hint="eastAsia"/>
          <w:b/>
          <w:bCs/>
        </w:rPr>
        <w:t>8</w:t>
      </w:r>
      <w:r>
        <w:rPr>
          <w:b/>
          <w:bCs/>
        </w:rPr>
        <w:t xml:space="preserve">.4  </w:t>
      </w:r>
      <w:r>
        <w:t>工作井设计的防排水措施应符合下列规定:</w:t>
      </w:r>
    </w:p>
    <w:p>
      <w:pPr>
        <w:ind w:firstLine="480" w:firstLineChars="200"/>
      </w:pPr>
      <w:r>
        <w:rPr>
          <w:rFonts w:hint="eastAsia"/>
        </w:rPr>
        <w:t>1</w:t>
      </w:r>
      <w:r>
        <w:t xml:space="preserve">  井的顶部应高出地面15cm -30cm；</w:t>
      </w:r>
    </w:p>
    <w:p>
      <w:pPr>
        <w:ind w:firstLine="480" w:firstLineChars="200"/>
      </w:pPr>
      <w:r>
        <w:t>2  井底的角部或两侧应设置集水坑，深度不宜小于40cm，且不应与顶进轴线重叠；</w:t>
      </w:r>
    </w:p>
    <w:p>
      <w:pPr>
        <w:ind w:firstLine="480" w:firstLineChars="200"/>
      </w:pPr>
      <w:r>
        <w:t>3  井周边存在河涌、鱼塘等水体时，应采取相应的加固措施。</w:t>
      </w:r>
    </w:p>
    <w:p>
      <w:r>
        <w:rPr>
          <w:b/>
          <w:bCs/>
        </w:rPr>
        <w:t>5.</w:t>
      </w:r>
      <w:r>
        <w:rPr>
          <w:rFonts w:hint="eastAsia"/>
          <w:b/>
          <w:bCs/>
        </w:rPr>
        <w:t>8</w:t>
      </w:r>
      <w:r>
        <w:rPr>
          <w:b/>
          <w:bCs/>
        </w:rPr>
        <w:t xml:space="preserve">.5  </w:t>
      </w:r>
      <w:r>
        <w:t>工作井的设计还应包括下列内容:</w:t>
      </w:r>
    </w:p>
    <w:p>
      <w:pPr>
        <w:ind w:firstLine="480" w:firstLineChars="200"/>
      </w:pPr>
      <w:r>
        <w:rPr>
          <w:rFonts w:hint="eastAsia"/>
        </w:rPr>
        <w:t>1</w:t>
      </w:r>
      <w:r>
        <w:t xml:space="preserve">  洞口止水设计；</w:t>
      </w:r>
    </w:p>
    <w:p>
      <w:pPr>
        <w:ind w:firstLine="480" w:firstLineChars="200"/>
      </w:pPr>
      <w:r>
        <w:rPr>
          <w:rFonts w:hint="eastAsia"/>
        </w:rPr>
        <w:t>2</w:t>
      </w:r>
      <w:r>
        <w:t xml:space="preserve">  </w:t>
      </w:r>
      <w:r>
        <w:rPr>
          <w:rFonts w:hint="eastAsia"/>
        </w:rPr>
        <w:t>反力墙</w:t>
      </w:r>
      <w:r>
        <w:t>设计；</w:t>
      </w:r>
    </w:p>
    <w:p>
      <w:pPr>
        <w:ind w:firstLine="480" w:firstLineChars="200"/>
      </w:pPr>
      <w:r>
        <w:t>3  工作井深度很大时，</w:t>
      </w:r>
      <w:r>
        <w:rPr>
          <w:rFonts w:hint="eastAsia"/>
        </w:rPr>
        <w:t>竖</w:t>
      </w:r>
      <w:r>
        <w:t>向交通设施的设计。</w:t>
      </w:r>
    </w:p>
    <w:p>
      <w:r>
        <w:rPr>
          <w:rFonts w:hint="eastAsia"/>
          <w:b/>
          <w:bCs/>
        </w:rPr>
        <w:t>5.8</w:t>
      </w:r>
      <w:r>
        <w:rPr>
          <w:b/>
          <w:bCs/>
        </w:rPr>
        <w:t>.6</w:t>
      </w:r>
      <w:r>
        <w:t xml:space="preserve">  </w:t>
      </w:r>
      <w:r>
        <w:rPr>
          <w:rFonts w:hint="eastAsia"/>
        </w:rPr>
        <w:t>矩形工作井在顶力作用下，后背土体允许顶力应满足下列公式要求：</w:t>
      </w:r>
    </w:p>
    <w:p>
      <w:pPr>
        <w:jc w:val="center"/>
        <w:rPr>
          <w:b/>
        </w:rPr>
      </w:pPr>
      <w:r>
        <w:rPr>
          <w:b/>
        </w:rPr>
        <w:drawing>
          <wp:inline distT="0" distB="0" distL="0" distR="0">
            <wp:extent cx="2253615" cy="4222115"/>
            <wp:effectExtent l="6350" t="0" r="635" b="635"/>
            <wp:docPr id="5" name="图片 5" descr="C:\Users\Administrator\AppData\Local\Temp\WeChat Files\b64567be7fa806af40fc479d6082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WeChat Files\b64567be7fa806af40fc479d60824a3.jpg"/>
                    <pic:cNvPicPr>
                      <a:picLocks noChangeAspect="1" noChangeArrowheads="1"/>
                    </pic:cNvPicPr>
                  </pic:nvPicPr>
                  <pic:blipFill>
                    <a:blip r:embed="rId462" cstate="print">
                      <a:extLst>
                        <a:ext uri="{28A0092B-C50C-407E-A947-70E740481C1C}">
                          <a14:useLocalDpi xmlns:a14="http://schemas.microsoft.com/office/drawing/2010/main" val="0"/>
                        </a:ext>
                      </a:extLst>
                    </a:blip>
                    <a:srcRect l="2134" t="739" r="27196"/>
                    <a:stretch>
                      <a:fillRect/>
                    </a:stretch>
                  </pic:blipFill>
                  <pic:spPr>
                    <a:xfrm rot="16200000">
                      <a:off x="0" y="0"/>
                      <a:ext cx="2253615" cy="4222115"/>
                    </a:xfrm>
                    <a:prstGeom prst="rect">
                      <a:avLst/>
                    </a:prstGeom>
                    <a:noFill/>
                    <a:ln>
                      <a:noFill/>
                    </a:ln>
                  </pic:spPr>
                </pic:pic>
              </a:graphicData>
            </a:graphic>
          </wp:inline>
        </w:drawing>
      </w:r>
    </w:p>
    <w:p>
      <w:pPr>
        <w:pStyle w:val="34"/>
        <w:shd w:val="clear" w:color="auto" w:fill="FFFFFF"/>
        <w:ind w:firstLine="960" w:firstLineChars="400"/>
        <w:jc w:val="center"/>
        <w:rPr>
          <w:rFonts w:ascii="Times New Roman" w:hAnsi="Times New Roman"/>
          <w:sz w:val="21"/>
          <w:szCs w:val="21"/>
        </w:rPr>
      </w:pPr>
      <w:r>
        <w:object>
          <v:shape id="_x0000_i1291" o:spt="75" type="#_x0000_t75" style="height:21.75pt;width:120.9pt;" o:ole="t" filled="f" o:preferrelative="t" stroked="f" coordsize="21600,21600">
            <v:path/>
            <v:fill on="f" focussize="0,0"/>
            <v:stroke on="f" joinstyle="miter"/>
            <v:imagedata r:id="rId464" o:title=""/>
            <o:lock v:ext="edit" aspectratio="t"/>
            <w10:wrap type="none"/>
            <w10:anchorlock/>
          </v:shape>
          <o:OLEObject Type="Embed" ProgID="Equation.DSMT4" ShapeID="_x0000_i1291" DrawAspect="Content" ObjectID="_1468075991" r:id="rId463">
            <o:LockedField>false</o:LockedField>
          </o:OLEObject>
        </w:object>
      </w:r>
      <w:r>
        <w:rPr>
          <w:rFonts w:ascii="黑体" w:hAnsi="ˎ̥" w:eastAsia="黑体"/>
          <w:b/>
          <w:sz w:val="28"/>
          <w:szCs w:val="28"/>
        </w:rPr>
        <w:t xml:space="preserve">               </w:t>
      </w:r>
      <w:r>
        <w:rPr>
          <w:rFonts w:hint="eastAsia" w:ascii="Times New Roman" w:hAnsi="Times New Roman"/>
        </w:rPr>
        <w:t>（5.8</w:t>
      </w:r>
      <w:r>
        <w:rPr>
          <w:rFonts w:ascii="Times New Roman" w:hAnsi="Times New Roman"/>
        </w:rPr>
        <w:t>.6</w:t>
      </w:r>
      <w:r>
        <w:rPr>
          <w:rFonts w:hint="eastAsia" w:ascii="Times New Roman" w:hAnsi="Times New Roman"/>
        </w:rPr>
        <w:t>-</w:t>
      </w:r>
      <w:r>
        <w:rPr>
          <w:rFonts w:ascii="Times New Roman" w:hAnsi="Times New Roman"/>
        </w:rPr>
        <w:t>1</w:t>
      </w:r>
      <w:r>
        <w:rPr>
          <w:rFonts w:hint="eastAsia" w:ascii="Times New Roman" w:hAnsi="Times New Roman"/>
        </w:rPr>
        <w:t>）</w:t>
      </w:r>
    </w:p>
    <w:p>
      <w:pPr>
        <w:pStyle w:val="34"/>
        <w:shd w:val="clear" w:color="auto" w:fill="FFFFFF"/>
        <w:ind w:firstLine="1440" w:firstLineChars="600"/>
        <w:jc w:val="center"/>
        <w:rPr>
          <w:rFonts w:ascii="Times New Roman" w:hAnsi="Times New Roman"/>
          <w:sz w:val="21"/>
          <w:szCs w:val="21"/>
        </w:rPr>
      </w:pPr>
      <w:r>
        <w:object>
          <v:shape id="_x0000_i1292" o:spt="75" type="#_x0000_t75" style="height:23.75pt;width:108.7pt;" o:ole="t" filled="f" o:preferrelative="t" stroked="f" coordsize="21600,21600">
            <v:path/>
            <v:fill on="f" focussize="0,0"/>
            <v:stroke on="f" joinstyle="miter"/>
            <v:imagedata r:id="rId466" o:title=""/>
            <o:lock v:ext="edit" aspectratio="t"/>
            <w10:wrap type="none"/>
            <w10:anchorlock/>
          </v:shape>
          <o:OLEObject Type="Embed" ProgID="Equation.DSMT4" ShapeID="_x0000_i1292" DrawAspect="Content" ObjectID="_1468075992" r:id="rId465">
            <o:LockedField>false</o:LockedField>
          </o:OLEObject>
        </w:object>
      </w:r>
      <w:r>
        <w:rPr>
          <w:rFonts w:eastAsiaTheme="minorEastAsia" w:cstheme="minorBidi"/>
          <w:bCs/>
          <w:sz w:val="21"/>
          <w:szCs w:val="22"/>
        </w:rPr>
        <w:t xml:space="preserve">         </w:t>
      </w:r>
      <w:r>
        <w:rPr>
          <w:rFonts w:ascii="Times New Roman" w:hAnsi="Times New Roman"/>
          <w:sz w:val="21"/>
          <w:szCs w:val="21"/>
        </w:rPr>
        <w:t xml:space="preserve">       </w:t>
      </w:r>
      <w:r>
        <w:rPr>
          <w:rFonts w:ascii="Times New Roman" w:hAnsi="Times New Roman"/>
        </w:rPr>
        <w:t xml:space="preserve">  </w:t>
      </w:r>
      <w:r>
        <w:rPr>
          <w:rFonts w:hint="eastAsia" w:ascii="Times New Roman" w:hAnsi="Times New Roman"/>
        </w:rPr>
        <w:t>（5.8</w:t>
      </w:r>
      <w:r>
        <w:rPr>
          <w:rFonts w:ascii="Times New Roman" w:hAnsi="Times New Roman"/>
        </w:rPr>
        <w:t>.6</w:t>
      </w:r>
      <w:r>
        <w:rPr>
          <w:rFonts w:hint="eastAsia" w:ascii="Times New Roman" w:hAnsi="Times New Roman"/>
        </w:rPr>
        <w:t>-</w:t>
      </w:r>
      <w:r>
        <w:rPr>
          <w:rFonts w:ascii="Times New Roman" w:hAnsi="Times New Roman"/>
        </w:rPr>
        <w:t>2</w:t>
      </w:r>
      <w:r>
        <w:rPr>
          <w:rFonts w:hint="eastAsia" w:ascii="Times New Roman" w:hAnsi="Times New Roman"/>
        </w:rPr>
        <w:t>）</w:t>
      </w:r>
    </w:p>
    <w:p>
      <w:pPr>
        <w:ind w:firstLine="420" w:firstLineChars="200"/>
        <w:rPr>
          <w:rFonts w:eastAsiaTheme="minorEastAsia" w:cstheme="minorBidi"/>
          <w:bCs/>
          <w:sz w:val="21"/>
          <w:szCs w:val="22"/>
        </w:rPr>
      </w:pPr>
      <w:r>
        <w:rPr>
          <w:rFonts w:hint="eastAsia" w:eastAsiaTheme="minorEastAsia" w:cstheme="minorBidi"/>
          <w:bCs/>
          <w:sz w:val="21"/>
          <w:szCs w:val="22"/>
        </w:rPr>
        <w:t>式中：</w:t>
      </w:r>
      <w:r>
        <w:object>
          <v:shape id="_x0000_i1293" o:spt="75" type="#_x0000_t75" style="height:18.35pt;width:23.75pt;" o:ole="t" filled="f" o:preferrelative="t" stroked="f" coordsize="21600,21600">
            <v:path/>
            <v:fill on="f" focussize="0,0"/>
            <v:stroke on="f" joinstyle="miter"/>
            <v:imagedata r:id="rId37" o:title=""/>
            <o:lock v:ext="edit" aspectratio="t"/>
            <w10:wrap type="none"/>
            <w10:anchorlock/>
          </v:shape>
          <o:OLEObject Type="Embed" ProgID="Equation.DSMT4" ShapeID="_x0000_i1293" DrawAspect="Content" ObjectID="_1468075993" r:id="rId467">
            <o:LockedField>false</o:LockedField>
          </o:OLEObject>
        </w:object>
      </w:r>
      <w:r>
        <w:rPr>
          <w:rFonts w:hint="eastAsia"/>
        </w:rPr>
        <w:t>——</w:t>
      </w:r>
      <w:r>
        <w:rPr>
          <w:rFonts w:hint="eastAsia" w:eastAsiaTheme="minorEastAsia" w:cstheme="minorBidi"/>
          <w:bCs/>
          <w:sz w:val="21"/>
          <w:szCs w:val="22"/>
        </w:rPr>
        <w:t>最大顶管总顶力（</w:t>
      </w:r>
      <w:r>
        <w:rPr>
          <w:rFonts w:eastAsiaTheme="minorEastAsia"/>
          <w:bCs/>
          <w:sz w:val="21"/>
          <w:szCs w:val="22"/>
        </w:rPr>
        <w:t>kN</w:t>
      </w:r>
      <w:r>
        <w:rPr>
          <w:rFonts w:hint="eastAsia" w:eastAsiaTheme="minorEastAsia" w:cstheme="minorBidi"/>
          <w:bCs/>
          <w:sz w:val="21"/>
          <w:szCs w:val="22"/>
        </w:rPr>
        <w:t>）；</w:t>
      </w:r>
    </w:p>
    <w:p>
      <w:pPr>
        <w:ind w:firstLine="960" w:firstLineChars="400"/>
        <w:rPr>
          <w:rFonts w:eastAsiaTheme="minorEastAsia" w:cstheme="minorBidi"/>
          <w:bCs/>
          <w:sz w:val="21"/>
          <w:szCs w:val="22"/>
        </w:rPr>
      </w:pPr>
      <w:r>
        <w:object>
          <v:shape id="_x0000_i1294" o:spt="75" type="#_x0000_t75" style="height:18.35pt;width:25.15pt;" o:ole="t" filled="f" o:preferrelative="t" stroked="f" coordsize="21600,21600">
            <v:path/>
            <v:fill on="f" focussize="0,0"/>
            <v:stroke on="f" joinstyle="miter"/>
            <v:imagedata r:id="rId7" o:title=""/>
            <o:lock v:ext="edit" aspectratio="t"/>
            <w10:wrap type="none"/>
            <w10:anchorlock/>
          </v:shape>
          <o:OLEObject Type="Embed" ProgID="Equation.DSMT4" ShapeID="_x0000_i1294" DrawAspect="Content" ObjectID="_1468075994" r:id="rId468">
            <o:LockedField>false</o:LockedField>
          </o:OLEObject>
        </w:object>
      </w:r>
      <w:r>
        <w:rPr>
          <w:rFonts w:hint="eastAsia"/>
        </w:rPr>
        <w:t>——</w:t>
      </w:r>
      <w:r>
        <w:rPr>
          <w:rFonts w:hint="eastAsia" w:eastAsiaTheme="minorEastAsia" w:cstheme="minorBidi"/>
          <w:bCs/>
          <w:sz w:val="21"/>
          <w:szCs w:val="22"/>
        </w:rPr>
        <w:t>沉井前壁上主动土压力合力标准值（</w:t>
      </w:r>
      <w:r>
        <w:rPr>
          <w:rFonts w:hint="eastAsia" w:eastAsiaTheme="minorEastAsia"/>
          <w:bCs/>
          <w:sz w:val="21"/>
          <w:szCs w:val="22"/>
        </w:rPr>
        <w:t>kN</w:t>
      </w:r>
      <w:r>
        <w:rPr>
          <w:rFonts w:hint="eastAsia" w:eastAsiaTheme="minorEastAsia" w:cstheme="minorBidi"/>
          <w:bCs/>
          <w:sz w:val="21"/>
          <w:szCs w:val="22"/>
        </w:rPr>
        <w:t>）；</w:t>
      </w:r>
    </w:p>
    <w:p>
      <w:pPr>
        <w:ind w:firstLine="840" w:firstLineChars="400"/>
        <w:rPr>
          <w:rFonts w:eastAsiaTheme="minorEastAsia" w:cstheme="minorBidi"/>
          <w:bCs/>
          <w:sz w:val="21"/>
          <w:szCs w:val="22"/>
        </w:rPr>
      </w:pPr>
      <w:r>
        <w:rPr>
          <w:rFonts w:eastAsiaTheme="minorEastAsia" w:cstheme="minorBidi"/>
          <w:bCs/>
          <w:position w:val="-16"/>
          <w:sz w:val="21"/>
          <w:szCs w:val="22"/>
        </w:rPr>
        <w:object>
          <v:shape id="_x0000_i1295" o:spt="75" type="#_x0000_t75" style="height:21.05pt;width:21.05pt;" o:ole="t" filled="f" o:preferrelative="t" stroked="f" coordsize="21600,21600">
            <v:path/>
            <v:fill on="f" focussize="0,0"/>
            <v:stroke on="f" joinstyle="miter"/>
            <v:imagedata r:id="rId9" o:title=""/>
            <o:lock v:ext="edit" aspectratio="t"/>
            <w10:wrap type="none"/>
            <w10:anchorlock/>
          </v:shape>
          <o:OLEObject Type="Embed" ProgID="Equation.DSMT4" ShapeID="_x0000_i1295" DrawAspect="Content" ObjectID="_1468075995" r:id="rId469">
            <o:LockedField>false</o:LockedField>
          </o:OLEObject>
        </w:object>
      </w:r>
      <w:r>
        <w:rPr>
          <w:rFonts w:hint="eastAsia"/>
        </w:rPr>
        <w:t>——</w:t>
      </w:r>
      <w:r>
        <w:rPr>
          <w:rFonts w:hint="eastAsia" w:eastAsiaTheme="minorEastAsia" w:cstheme="minorBidi"/>
          <w:bCs/>
          <w:sz w:val="21"/>
          <w:szCs w:val="22"/>
        </w:rPr>
        <w:t>沉井后壁板上被动土压力合力标准值（</w:t>
      </w:r>
      <w:r>
        <w:rPr>
          <w:rFonts w:hint="eastAsia" w:eastAsiaTheme="minorEastAsia"/>
          <w:bCs/>
          <w:sz w:val="21"/>
          <w:szCs w:val="22"/>
        </w:rPr>
        <w:t>kN</w:t>
      </w:r>
      <w:r>
        <w:rPr>
          <w:rFonts w:hint="eastAsia" w:eastAsiaTheme="minorEastAsia" w:cstheme="minorBidi"/>
          <w:bCs/>
          <w:sz w:val="21"/>
          <w:szCs w:val="22"/>
        </w:rPr>
        <w:t>）；</w:t>
      </w:r>
    </w:p>
    <w:p>
      <w:pPr>
        <w:ind w:firstLine="840" w:firstLineChars="400"/>
        <w:rPr>
          <w:rFonts w:eastAsiaTheme="minorEastAsia" w:cstheme="minorBidi"/>
          <w:bCs/>
          <w:sz w:val="21"/>
          <w:szCs w:val="22"/>
        </w:rPr>
      </w:pPr>
      <w:r>
        <w:rPr>
          <w:rFonts w:eastAsiaTheme="minorEastAsia" w:cstheme="minorBidi"/>
          <w:bCs/>
          <w:sz w:val="21"/>
          <w:szCs w:val="22"/>
        </w:rPr>
        <w:object>
          <v:shape id="_x0000_i1296" o:spt="75" type="#_x0000_t75" style="height:17.65pt;width:11.55pt;" o:ole="t" filled="f" o:preferrelative="t" stroked="f" coordsize="21600,21600">
            <v:path/>
            <v:fill on="f" focussize="0,0"/>
            <v:stroke on="f" joinstyle="miter"/>
            <v:imagedata r:id="rId145" o:title=""/>
            <o:lock v:ext="edit" aspectratio="t"/>
            <w10:wrap type="none"/>
            <w10:anchorlock/>
          </v:shape>
          <o:OLEObject Type="Embed" ProgID="Equation.DSMT4" ShapeID="_x0000_i1296" DrawAspect="Content" ObjectID="_1468075996" r:id="rId470">
            <o:LockedField>false</o:LockedField>
          </o:OLEObject>
        </w:object>
      </w:r>
      <w:r>
        <w:rPr>
          <w:rFonts w:hint="eastAsia"/>
        </w:rPr>
        <w:t>——</w:t>
      </w:r>
      <w:r>
        <w:rPr>
          <w:rFonts w:hint="eastAsia" w:eastAsiaTheme="minorEastAsia" w:cstheme="minorBidi"/>
          <w:bCs/>
          <w:sz w:val="21"/>
          <w:szCs w:val="22"/>
        </w:rPr>
        <w:t>考虑合力作用点可能不一致的折减系数；</w:t>
      </w:r>
    </w:p>
    <w:p>
      <w:pPr>
        <w:ind w:firstLine="840" w:firstLineChars="400"/>
        <w:rPr>
          <w:rFonts w:eastAsiaTheme="minorEastAsia" w:cstheme="minorBidi"/>
          <w:bCs/>
          <w:sz w:val="21"/>
          <w:szCs w:val="22"/>
        </w:rPr>
      </w:pPr>
      <w:r>
        <w:rPr>
          <w:rFonts w:eastAsiaTheme="minorEastAsia" w:cstheme="minorBidi"/>
          <w:bCs/>
          <w:position w:val="-16"/>
          <w:sz w:val="21"/>
          <w:szCs w:val="22"/>
        </w:rPr>
        <w:object>
          <v:shape id="_x0000_i1297" o:spt="75" type="#_x0000_t75" style="height:21.05pt;width:14.25pt;" o:ole="t" filled="f" o:preferrelative="t" stroked="f" coordsize="21600,21600">
            <v:path/>
            <v:fill on="f" focussize="0,0"/>
            <v:stroke on="f" joinstyle="miter"/>
            <v:imagedata r:id="rId89" o:title=""/>
            <o:lock v:ext="edit" aspectratio="t"/>
            <w10:wrap type="none"/>
            <w10:anchorlock/>
          </v:shape>
          <o:OLEObject Type="Embed" ProgID="Equation.DSMT4" ShapeID="_x0000_i1297" DrawAspect="Content" ObjectID="_1468075997" r:id="rId471">
            <o:LockedField>false</o:LockedField>
          </o:OLEObject>
        </w:object>
      </w:r>
      <w:r>
        <w:rPr>
          <w:rFonts w:hint="eastAsia"/>
        </w:rPr>
        <w:t>——</w:t>
      </w:r>
      <w:r>
        <w:rPr>
          <w:rFonts w:hint="eastAsia" w:eastAsiaTheme="minorEastAsia" w:cstheme="minorBidi"/>
          <w:bCs/>
          <w:sz w:val="21"/>
          <w:szCs w:val="22"/>
        </w:rPr>
        <w:t>总顶力距刃脚底的距离（</w:t>
      </w:r>
      <w:r>
        <w:rPr>
          <w:rFonts w:hint="eastAsia" w:eastAsiaTheme="minorEastAsia"/>
          <w:bCs/>
          <w:sz w:val="21"/>
          <w:szCs w:val="22"/>
        </w:rPr>
        <w:t>m</w:t>
      </w:r>
      <w:r>
        <w:rPr>
          <w:rFonts w:hint="eastAsia" w:eastAsiaTheme="minorEastAsia" w:cstheme="minorBidi"/>
          <w:bCs/>
          <w:sz w:val="21"/>
          <w:szCs w:val="22"/>
        </w:rPr>
        <w:t>）；</w:t>
      </w:r>
    </w:p>
    <w:p>
      <w:pPr>
        <w:ind w:firstLine="960" w:firstLineChars="400"/>
        <w:rPr>
          <w:rFonts w:eastAsiaTheme="minorEastAsia" w:cstheme="minorBidi"/>
          <w:bCs/>
          <w:sz w:val="21"/>
          <w:szCs w:val="22"/>
        </w:rPr>
      </w:pPr>
      <w:r>
        <w:rPr>
          <w:position w:val="-14"/>
        </w:rPr>
        <w:object>
          <v:shape id="_x0000_i1298" o:spt="75" type="#_x0000_t75" style="height:18.35pt;width:14.25pt;" o:ole="t" filled="f" o:preferrelative="t" stroked="f" coordsize="21600,21600">
            <v:path/>
            <v:fill on="f" focussize="0,0"/>
            <v:stroke on="f" joinstyle="miter"/>
            <v:imagedata r:id="rId91" o:title=""/>
            <o:lock v:ext="edit" aspectratio="t"/>
            <w10:wrap type="none"/>
            <w10:anchorlock/>
          </v:shape>
          <o:OLEObject Type="Embed" ProgID="Equation.DSMT4" ShapeID="_x0000_i1298" DrawAspect="Content" ObjectID="_1468075998" r:id="rId472">
            <o:LockedField>false</o:LockedField>
          </o:OLEObject>
        </w:object>
      </w:r>
      <w:r>
        <w:rPr>
          <w:rFonts w:hint="eastAsia"/>
        </w:rPr>
        <w:t>——</w:t>
      </w:r>
      <w:r>
        <w:rPr>
          <w:rFonts w:hint="eastAsia" w:eastAsiaTheme="minorEastAsia" w:cstheme="minorBidi"/>
          <w:bCs/>
          <w:sz w:val="21"/>
          <w:szCs w:val="22"/>
        </w:rPr>
        <w:t>被动土压力距刃脚底的距离（</w:t>
      </w:r>
      <w:r>
        <w:rPr>
          <w:rFonts w:hint="eastAsia" w:eastAsiaTheme="minorEastAsia"/>
          <w:bCs/>
          <w:sz w:val="21"/>
          <w:szCs w:val="22"/>
        </w:rPr>
        <w:t>m</w:t>
      </w:r>
      <w:r>
        <w:rPr>
          <w:rFonts w:hint="eastAsia" w:eastAsiaTheme="minorEastAsia" w:cstheme="minorBidi"/>
          <w:bCs/>
          <w:sz w:val="21"/>
          <w:szCs w:val="22"/>
        </w:rPr>
        <w:t>）。</w:t>
      </w:r>
    </w:p>
    <w:p>
      <w:pPr>
        <w:rPr>
          <w:rFonts w:eastAsia="仿宋"/>
        </w:rPr>
      </w:pPr>
      <w:r>
        <w:rPr>
          <w:rFonts w:eastAsia="仿宋"/>
          <w:b/>
          <w:bCs/>
        </w:rPr>
        <w:t>【条文说明】：5.8.6</w:t>
      </w:r>
      <w:r>
        <w:rPr>
          <w:rFonts w:eastAsia="仿宋"/>
        </w:rPr>
        <w:t xml:space="preserve">  在顶管施工前，矩形沉井井壁与土体间的土压力和圆形沉井的类似，为静止土压力与主动土压力之间某一值，由于沉井结构刚度较大，也可假设为静止土压力。</w:t>
      </w:r>
    </w:p>
    <w:p>
      <w:pPr>
        <w:ind w:firstLine="480" w:firstLineChars="200"/>
        <w:rPr>
          <w:rFonts w:eastAsia="仿宋"/>
        </w:rPr>
      </w:pPr>
      <w:r>
        <w:rPr>
          <w:rFonts w:eastAsia="仿宋"/>
        </w:rPr>
        <w:t>管道顶进时，由于矩形沉井整体性好、刚度大，钢制的后靠可忽略不计，并可假设液压缸的推力通过后背井壁均匀作用在其后的土体上。当后背井壁后部土体的土压力超过被动土压力时，就会引起主体的破坏。</w:t>
      </w:r>
    </w:p>
    <w:p>
      <w:pPr>
        <w:rPr>
          <w:rFonts w:eastAsia="仿宋"/>
        </w:rPr>
      </w:pPr>
      <w:r>
        <w:rPr>
          <w:rFonts w:eastAsia="仿宋"/>
        </w:rPr>
        <w:t>工作井的变形主要由井位移和后座井壁的弹性变形组成。当开始顶进时，量值较小的顶力反力最初被作用于后背井壁的静止土压力平衡。随着顶力的增大，顶力反力会由后背土体和井侧壁摩阻力及井底摩阻力共同承担。当静摩阻力大于井侧壁摩阻力和井底摩阻力合力时，井体不产生位移。当顶力反力很大，足够克服井侧壁和井底的滑动摩阻力合力时，井体开始产生顶进相反方向的位移。随着井体的倾斜变大，井体前壁所需较小的位移就可使前壁土体率先达到主动土压力。后背土体的位移等于后座井壁的变形加上井体位移，当其位移足够大时，最大土压力就会达到被动土压力，此时井体处于临界状态。若顶力反力再次增加，后背土体就会发生破坏，沉井井体也因此倾覆。</w:t>
      </w:r>
    </w:p>
    <w:p>
      <w:pPr>
        <w:pStyle w:val="3"/>
      </w:pPr>
      <w:bookmarkStart w:id="76" w:name="_Toc30092"/>
      <w:bookmarkStart w:id="77" w:name="_Toc18057041"/>
      <w:r>
        <w:rPr>
          <w:rFonts w:hint="eastAsia"/>
        </w:rPr>
        <w:t xml:space="preserve">5.9 </w:t>
      </w:r>
      <w:r>
        <w:t xml:space="preserve"> </w:t>
      </w:r>
      <w:r>
        <w:rPr>
          <w:rFonts w:hint="eastAsia"/>
        </w:rPr>
        <w:t>反力墙设计</w:t>
      </w:r>
      <w:bookmarkEnd w:id="76"/>
      <w:bookmarkEnd w:id="77"/>
    </w:p>
    <w:p>
      <w:r>
        <w:rPr>
          <w:rFonts w:hint="eastAsia"/>
          <w:b/>
          <w:bCs/>
        </w:rPr>
        <w:t>5.9.</w:t>
      </w:r>
      <w:r>
        <w:rPr>
          <w:b/>
          <w:bCs/>
        </w:rPr>
        <w:t xml:space="preserve">1 </w:t>
      </w:r>
      <w:r>
        <w:rPr>
          <w:rFonts w:hint="eastAsia"/>
        </w:rPr>
        <w:t>反力墙设计应符合下列规定：</w:t>
      </w:r>
    </w:p>
    <w:p>
      <w:pPr>
        <w:ind w:firstLine="480" w:firstLineChars="200"/>
      </w:pPr>
      <w:r>
        <w:rPr>
          <w:rFonts w:hint="eastAsia"/>
        </w:rPr>
        <w:t>1</w:t>
      </w:r>
      <w:r>
        <w:t xml:space="preserve">  </w:t>
      </w:r>
      <w:r>
        <w:rPr>
          <w:rFonts w:hint="eastAsia"/>
        </w:rPr>
        <w:t>墙体在顶管施工中能承受主顶工作站液压缸的最大反作用力而不致破坏；</w:t>
      </w:r>
    </w:p>
    <w:p>
      <w:pPr>
        <w:ind w:firstLine="480" w:firstLineChars="200"/>
      </w:pPr>
      <w:r>
        <w:t xml:space="preserve">2  </w:t>
      </w:r>
      <w:r>
        <w:rPr>
          <w:rFonts w:hint="eastAsia"/>
        </w:rPr>
        <w:t>当受到主顶工作站的反作用力时，反力墙材料受压缩而产生变形，卸荷后应恢复原状；</w:t>
      </w:r>
    </w:p>
    <w:p>
      <w:pPr>
        <w:ind w:firstLine="480" w:firstLineChars="200"/>
      </w:pPr>
      <w:r>
        <w:t xml:space="preserve">3  </w:t>
      </w:r>
      <w:r>
        <w:rPr>
          <w:rFonts w:hint="eastAsia"/>
        </w:rPr>
        <w:t>反力墙表面应平直，并垂直于顶进管道的轴线；</w:t>
      </w:r>
    </w:p>
    <w:p>
      <w:pPr>
        <w:ind w:firstLine="480" w:firstLineChars="200"/>
      </w:pPr>
      <w:r>
        <w:t xml:space="preserve">4  </w:t>
      </w:r>
      <w:r>
        <w:rPr>
          <w:rFonts w:hint="eastAsia"/>
        </w:rPr>
        <w:t>反力墙材料的材质应均匀一致；</w:t>
      </w:r>
    </w:p>
    <w:p>
      <w:pPr>
        <w:ind w:firstLine="480" w:firstLineChars="200"/>
      </w:pPr>
      <w:r>
        <w:t xml:space="preserve">5  </w:t>
      </w:r>
      <w:r>
        <w:rPr>
          <w:rFonts w:hint="eastAsia"/>
        </w:rPr>
        <w:t>结构应简单、装拆方便。</w:t>
      </w:r>
    </w:p>
    <w:p>
      <w:pPr>
        <w:rPr>
          <w:rFonts w:eastAsia="仿宋"/>
        </w:rPr>
      </w:pPr>
      <w:r>
        <w:rPr>
          <w:rFonts w:eastAsia="仿宋"/>
          <w:b/>
          <w:bCs/>
        </w:rPr>
        <w:t>【条文说明】：5.9.1</w:t>
      </w:r>
      <w:r>
        <w:rPr>
          <w:rFonts w:eastAsia="仿宋"/>
        </w:rPr>
        <w:t xml:space="preserve">  反力墙是顶进管道时为液压缸提供反作用力的一种结构，有时也称为后座、后背或者后背墙等。</w:t>
      </w:r>
    </w:p>
    <w:p>
      <w:pPr>
        <w:ind w:firstLine="480" w:firstLineChars="200"/>
        <w:rPr>
          <w:rFonts w:eastAsia="仿宋"/>
        </w:rPr>
      </w:pPr>
      <w:r>
        <w:rPr>
          <w:rFonts w:eastAsia="仿宋"/>
        </w:rPr>
        <w:t>反力墙后无原状土时，应设计结构简单、稳定可靠、就地取材、拆除方便的人工后座墙。反力墙的结构形式一般可分为整体式和装配式两类。整体式反力墙多采用现场浇筑的混凝土。装配式反力墙是常用的形式，具有结构简单、安装和拆卸方便、适用性较强等优点。</w:t>
      </w:r>
    </w:p>
    <w:p>
      <w:r>
        <w:rPr>
          <w:rFonts w:hint="eastAsia"/>
          <w:b/>
          <w:bCs/>
        </w:rPr>
        <w:t>5.9.</w:t>
      </w:r>
      <w:r>
        <w:rPr>
          <w:b/>
          <w:bCs/>
        </w:rPr>
        <w:t xml:space="preserve">2  </w:t>
      </w:r>
      <w:r>
        <w:rPr>
          <w:rFonts w:hint="eastAsia"/>
        </w:rPr>
        <w:t>采用装配式反力墙时，应符合下列规定：</w:t>
      </w:r>
    </w:p>
    <w:p>
      <w:pPr>
        <w:ind w:firstLine="480" w:firstLineChars="200"/>
      </w:pPr>
      <w:r>
        <w:rPr>
          <w:rFonts w:hint="eastAsia"/>
        </w:rPr>
        <w:t>1</w:t>
      </w:r>
      <w:r>
        <w:t xml:space="preserve">  </w:t>
      </w:r>
      <w:r>
        <w:rPr>
          <w:rFonts w:hint="eastAsia"/>
        </w:rPr>
        <w:t>装配式反力墙宜采用方木、型钢或钢板等组装，组装后的反力墙应有足够的强度和刚度；</w:t>
      </w:r>
    </w:p>
    <w:p>
      <w:pPr>
        <w:ind w:firstLine="480" w:firstLineChars="200"/>
      </w:pPr>
      <w:r>
        <w:t xml:space="preserve">2  </w:t>
      </w:r>
      <w:r>
        <w:rPr>
          <w:rFonts w:hint="eastAsia"/>
        </w:rPr>
        <w:t>反力墙土体壁面应平整，并与管道顶进方向垂直；</w:t>
      </w:r>
    </w:p>
    <w:p>
      <w:pPr>
        <w:ind w:firstLine="480" w:firstLineChars="200"/>
      </w:pPr>
      <w:r>
        <w:t xml:space="preserve">3  </w:t>
      </w:r>
      <w:r>
        <w:rPr>
          <w:rFonts w:hint="eastAsia"/>
        </w:rPr>
        <w:t>装配式反力墙的底端宜在工作坑底下不宜小于</w:t>
      </w:r>
      <w:r>
        <w:t>50cm</w:t>
      </w:r>
      <w:r>
        <w:rPr>
          <w:rFonts w:hint="eastAsia"/>
        </w:rPr>
        <w:t>；</w:t>
      </w:r>
    </w:p>
    <w:p>
      <w:pPr>
        <w:ind w:firstLine="480" w:firstLineChars="200"/>
      </w:pPr>
      <w:r>
        <w:t xml:space="preserve">4  </w:t>
      </w:r>
      <w:r>
        <w:rPr>
          <w:rFonts w:hint="eastAsia"/>
        </w:rPr>
        <w:t>反力墙土体壁面应与反力墙贴紧，有间隙时应采用砂石料填塞密实；</w:t>
      </w:r>
    </w:p>
    <w:p>
      <w:pPr>
        <w:ind w:firstLine="480" w:firstLineChars="200"/>
      </w:pPr>
      <w:r>
        <w:t xml:space="preserve">5  </w:t>
      </w:r>
      <w:r>
        <w:rPr>
          <w:rFonts w:hint="eastAsia"/>
        </w:rPr>
        <w:t>组装反力墙的构件在同层内的规格应一致，各层之间的接触应紧贴，并层层固定。</w:t>
      </w:r>
    </w:p>
    <w:p>
      <w:r>
        <w:rPr>
          <w:rFonts w:hint="eastAsia"/>
          <w:b/>
          <w:bCs/>
        </w:rPr>
        <w:t>5.9.</w:t>
      </w:r>
      <w:r>
        <w:rPr>
          <w:b/>
          <w:bCs/>
        </w:rPr>
        <w:t>3</w:t>
      </w:r>
      <w:r>
        <w:t xml:space="preserve">  反力墙设计内力应</w:t>
      </w:r>
      <w:r>
        <w:rPr>
          <w:rFonts w:hint="eastAsia"/>
        </w:rPr>
        <w:t>按本规程第5.</w:t>
      </w:r>
      <w:r>
        <w:t>8</w:t>
      </w:r>
      <w:r>
        <w:rPr>
          <w:rFonts w:hint="eastAsia"/>
        </w:rPr>
        <w:t>.6节与第5.</w:t>
      </w:r>
      <w:r>
        <w:t>8</w:t>
      </w:r>
      <w:r>
        <w:rPr>
          <w:rFonts w:hint="eastAsia"/>
        </w:rPr>
        <w:t>.7节的土压分布进行计算。</w:t>
      </w:r>
    </w:p>
    <w:p>
      <w:r>
        <w:rPr>
          <w:rFonts w:hint="eastAsia"/>
          <w:b/>
          <w:bCs/>
        </w:rPr>
        <w:t>5.9.</w:t>
      </w:r>
      <w:r>
        <w:rPr>
          <w:b/>
          <w:bCs/>
        </w:rPr>
        <w:t>4</w:t>
      </w:r>
      <w:r>
        <w:t xml:space="preserve">  现场浇筑</w:t>
      </w:r>
      <w:r>
        <w:rPr>
          <w:rFonts w:hint="eastAsia"/>
        </w:rPr>
        <w:t>整体式反力墙抗冲切验算应符合</w:t>
      </w:r>
      <w:bookmarkStart w:id="78" w:name="_Hlk17379249"/>
      <w:r>
        <w:rPr>
          <w:rFonts w:hint="eastAsia"/>
        </w:rPr>
        <w:t>国家标准《混凝土结构设计规范》GB</w:t>
      </w:r>
      <w:r>
        <w:t xml:space="preserve"> </w:t>
      </w:r>
      <w:r>
        <w:rPr>
          <w:rFonts w:hint="eastAsia"/>
        </w:rPr>
        <w:t>5001</w:t>
      </w:r>
      <w:bookmarkEnd w:id="78"/>
      <w:r>
        <w:rPr>
          <w:rFonts w:hint="eastAsia"/>
        </w:rPr>
        <w:t>的规定。</w:t>
      </w:r>
    </w:p>
    <w:p>
      <w:pPr>
        <w:rPr>
          <w:rFonts w:eastAsia="仿宋"/>
        </w:rPr>
      </w:pPr>
      <w:r>
        <w:rPr>
          <w:rFonts w:eastAsia="仿宋"/>
          <w:b/>
          <w:bCs/>
        </w:rPr>
        <w:t>【条文说明】：5.9.4</w:t>
      </w:r>
      <w:r>
        <w:rPr>
          <w:rFonts w:eastAsia="仿宋"/>
        </w:rPr>
        <w:t xml:space="preserve"> </w:t>
      </w:r>
      <w:r>
        <w:rPr>
          <w:rFonts w:eastAsia="仿宋"/>
          <w:b/>
          <w:kern w:val="24"/>
        </w:rPr>
        <w:t xml:space="preserve"> </w:t>
      </w:r>
      <w:r>
        <w:rPr>
          <w:rFonts w:eastAsia="仿宋"/>
        </w:rPr>
        <w:t>计算按照行业标准《混凝土结构设计规范》(GB5001-2002)的受冲切承载力验算法进行。计算时，暂按不配筋的素混凝土构件进行验算。</w:t>
      </w:r>
    </w:p>
    <w:p>
      <w:pPr>
        <w:jc w:val="center"/>
        <w:rPr>
          <w:rFonts w:eastAsia="仿宋"/>
          <w:color w:val="0070C0"/>
        </w:rPr>
      </w:pPr>
      <w:r>
        <w:rPr>
          <w:rFonts w:eastAsia="仿宋"/>
          <w:color w:val="0070C0"/>
        </w:rPr>
        <w:object>
          <v:shape id="_x0000_i1299" o:spt="75" type="#_x0000_t75" style="height:18.35pt;width:78.1pt;" o:ole="t" filled="f" o:preferrelative="t" stroked="f" coordsize="21600,21600">
            <v:path/>
            <v:fill on="f" focussize="0,0"/>
            <v:stroke on="f" joinstyle="miter"/>
            <v:imagedata r:id="rId474" o:title=""/>
            <o:lock v:ext="edit" aspectratio="t"/>
            <w10:wrap type="none"/>
            <w10:anchorlock/>
          </v:shape>
          <o:OLEObject Type="Embed" ProgID="Equation.DSMT4" ShapeID="_x0000_i1299" DrawAspect="Content" ObjectID="_1468075999" r:id="rId473">
            <o:LockedField>false</o:LockedField>
          </o:OLEObject>
        </w:object>
      </w:r>
      <w:r>
        <w:rPr>
          <w:rFonts w:eastAsia="仿宋"/>
          <w:color w:val="0070C0"/>
        </w:rPr>
        <w:t xml:space="preserve">                  </w:t>
      </w:r>
      <w:r>
        <w:rPr>
          <w:rFonts w:eastAsia="仿宋"/>
        </w:rPr>
        <w:t xml:space="preserve">    （1）</w:t>
      </w:r>
    </w:p>
    <w:p>
      <w:pPr>
        <w:rPr>
          <w:rFonts w:eastAsia="仿宋"/>
        </w:rPr>
      </w:pPr>
      <w:r>
        <w:rPr>
          <w:rFonts w:eastAsia="仿宋"/>
        </w:rPr>
        <w:t>式中：</w:t>
      </w:r>
      <w:r>
        <w:rPr>
          <w:rFonts w:eastAsia="仿宋"/>
        </w:rPr>
        <w:tab/>
      </w:r>
      <w:r>
        <w:rPr>
          <w:rFonts w:eastAsia="仿宋"/>
        </w:rPr>
        <w:object>
          <v:shape id="_x0000_i1300" o:spt="75" type="#_x0000_t75" style="height:13.6pt;width:13.6pt;" o:ole="t" filled="f" o:preferrelative="t" stroked="f" coordsize="21600,21600">
            <v:path/>
            <v:fill on="f" focussize="0,0"/>
            <v:stroke on="f" joinstyle="miter"/>
            <v:imagedata r:id="rId476" o:title=""/>
            <o:lock v:ext="edit" aspectratio="t"/>
            <w10:wrap type="none"/>
            <w10:anchorlock/>
          </v:shape>
          <o:OLEObject Type="Embed" ProgID="Equation.DSMT4" ShapeID="_x0000_i1300" DrawAspect="Content" ObjectID="_1468076000" r:id="rId475">
            <o:LockedField>false</o:LockedField>
          </o:OLEObject>
        </w:object>
      </w:r>
      <w:r>
        <w:rPr>
          <w:rFonts w:eastAsia="仿宋"/>
        </w:rPr>
        <w:t>——局部荷载设计值（kN）；</w:t>
      </w:r>
    </w:p>
    <w:p>
      <w:pPr>
        <w:ind w:firstLine="720" w:firstLineChars="300"/>
        <w:rPr>
          <w:rFonts w:eastAsia="仿宋"/>
        </w:rPr>
      </w:pPr>
      <w:r>
        <w:rPr>
          <w:rFonts w:eastAsia="仿宋"/>
        </w:rPr>
        <w:object>
          <v:shape id="_x0000_i1301" o:spt="75" type="#_x0000_t75" style="height:18.35pt;width:15.6pt;" o:ole="t" filled="f" o:preferrelative="t" stroked="f" coordsize="21600,21600">
            <v:path/>
            <v:fill on="f" focussize="0,0"/>
            <v:stroke on="f" joinstyle="miter"/>
            <v:imagedata r:id="rId478" o:title=""/>
            <o:lock v:ext="edit" aspectratio="t"/>
            <w10:wrap type="none"/>
            <w10:anchorlock/>
          </v:shape>
          <o:OLEObject Type="Embed" ProgID="Equation.DSMT4" ShapeID="_x0000_i1301" DrawAspect="Content" ObjectID="_1468076001" r:id="rId477">
            <o:LockedField>false</o:LockedField>
          </o:OLEObject>
        </w:object>
      </w:r>
      <w:r>
        <w:rPr>
          <w:rFonts w:eastAsia="仿宋"/>
        </w:rPr>
        <w:t>——截面高度影响系数；本工程为</w:t>
      </w:r>
      <w:r>
        <w:rPr>
          <w:rFonts w:eastAsia="仿宋"/>
        </w:rPr>
        <w:object>
          <v:shape id="_x0000_i1302" o:spt="75" type="#_x0000_t75" style="height:18.35pt;width:15.6pt;" o:ole="t" filled="f" o:preferrelative="t" stroked="f" coordsize="21600,21600">
            <v:path/>
            <v:fill on="f" focussize="0,0"/>
            <v:stroke on="f" joinstyle="miter"/>
            <v:imagedata r:id="rId478" o:title=""/>
            <o:lock v:ext="edit" aspectratio="t"/>
            <w10:wrap type="none"/>
            <w10:anchorlock/>
          </v:shape>
          <o:OLEObject Type="Embed" ProgID="Equation.DSMT4" ShapeID="_x0000_i1302" DrawAspect="Content" ObjectID="_1468076002" r:id="rId479">
            <o:LockedField>false</o:LockedField>
          </o:OLEObject>
        </w:object>
      </w:r>
      <w:r>
        <w:rPr>
          <w:rFonts w:eastAsia="仿宋"/>
        </w:rPr>
        <w:t>=1。</w:t>
      </w:r>
    </w:p>
    <w:p>
      <w:pPr>
        <w:ind w:firstLine="720" w:firstLineChars="300"/>
        <w:rPr>
          <w:rFonts w:eastAsia="仿宋"/>
        </w:rPr>
      </w:pPr>
      <w:r>
        <w:rPr>
          <w:rFonts w:eastAsia="仿宋"/>
        </w:rPr>
        <w:object>
          <v:shape id="_x0000_i1303" o:spt="75" type="#_x0000_t75" style="height:15.6pt;width:11.55pt;" o:ole="t" filled="f" o:preferrelative="t" stroked="f" coordsize="21600,21600">
            <v:path/>
            <v:fill on="f" focussize="0,0"/>
            <v:stroke on="f" joinstyle="miter"/>
            <v:imagedata r:id="rId481" o:title=""/>
            <o:lock v:ext="edit" aspectratio="t"/>
            <w10:wrap type="none"/>
            <w10:anchorlock/>
          </v:shape>
          <o:OLEObject Type="Embed" ProgID="Equation.DSMT4" ShapeID="_x0000_i1303" DrawAspect="Content" ObjectID="_1468076003" r:id="rId480">
            <o:LockedField>false</o:LockedField>
          </o:OLEObject>
        </w:object>
      </w:r>
      <w:r>
        <w:rPr>
          <w:rFonts w:eastAsia="仿宋"/>
        </w:rPr>
        <w:t>——混凝土轴心抗拉强度设计值；</w:t>
      </w:r>
    </w:p>
    <w:p>
      <w:pPr>
        <w:ind w:firstLine="720" w:firstLineChars="300"/>
        <w:rPr>
          <w:rFonts w:eastAsia="仿宋"/>
        </w:rPr>
      </w:pPr>
      <w:r>
        <w:rPr>
          <w:rFonts w:eastAsia="仿宋"/>
        </w:rPr>
        <w:object>
          <v:shape id="_x0000_i1304" o:spt="75" type="#_x0000_t75" style="height:18.35pt;width:13.6pt;" o:ole="t" filled="f" o:preferrelative="t" stroked="f" coordsize="21600,21600">
            <v:path/>
            <v:fill on="f" focussize="0,0"/>
            <v:stroke on="f" joinstyle="miter"/>
            <v:imagedata r:id="rId483" o:title=""/>
            <o:lock v:ext="edit" aspectratio="t"/>
            <w10:wrap type="none"/>
            <w10:anchorlock/>
          </v:shape>
          <o:OLEObject Type="Embed" ProgID="Equation.DSMT4" ShapeID="_x0000_i1304" DrawAspect="Content" ObjectID="_1468076004" r:id="rId482">
            <o:LockedField>false</o:LockedField>
          </o:OLEObject>
        </w:object>
      </w:r>
      <w:r>
        <w:rPr>
          <w:rFonts w:eastAsia="仿宋"/>
        </w:rPr>
        <w:t>——截面有效高度；</w:t>
      </w:r>
    </w:p>
    <w:p>
      <w:pPr>
        <w:ind w:firstLine="720" w:firstLineChars="300"/>
        <w:rPr>
          <w:rFonts w:eastAsia="仿宋"/>
        </w:rPr>
      </w:pPr>
      <w:r>
        <w:rPr>
          <w:rFonts w:eastAsia="仿宋"/>
        </w:rPr>
        <w:object>
          <v:shape id="_x0000_i1305" o:spt="75" type="#_x0000_t75" style="height:18.35pt;width:15.6pt;" o:ole="t" filled="f" o:preferrelative="t" stroked="f" coordsize="21600,21600">
            <v:path/>
            <v:fill on="f" focussize="0,0"/>
            <v:stroke on="f" joinstyle="miter"/>
            <v:imagedata r:id="rId485" o:title=""/>
            <o:lock v:ext="edit" aspectratio="t"/>
            <w10:wrap type="none"/>
            <w10:anchorlock/>
          </v:shape>
          <o:OLEObject Type="Embed" ProgID="Equation.DSMT4" ShapeID="_x0000_i1305" DrawAspect="Content" ObjectID="_1468076005" r:id="rId484">
            <o:LockedField>false</o:LockedField>
          </o:OLEObject>
        </w:object>
      </w:r>
      <w:r>
        <w:rPr>
          <w:rFonts w:eastAsia="仿宋"/>
        </w:rPr>
        <w:t>——临界截面的周长。</w:t>
      </w:r>
    </w:p>
    <w:p>
      <w:pPr>
        <w:pStyle w:val="3"/>
      </w:pPr>
      <w:bookmarkStart w:id="79" w:name="_Toc18057042"/>
      <w:bookmarkStart w:id="80" w:name="_Toc17802"/>
      <w:r>
        <w:rPr>
          <w:rFonts w:hint="eastAsia"/>
        </w:rPr>
        <w:t>5.10</w:t>
      </w:r>
      <w:r>
        <w:t xml:space="preserve">  </w:t>
      </w:r>
      <w:r>
        <w:rPr>
          <w:rFonts w:hint="eastAsia"/>
        </w:rPr>
        <w:t>洞口设计</w:t>
      </w:r>
      <w:bookmarkEnd w:id="79"/>
      <w:bookmarkEnd w:id="80"/>
    </w:p>
    <w:p>
      <w:r>
        <w:rPr>
          <w:rFonts w:hint="eastAsia"/>
          <w:b/>
          <w:bCs/>
        </w:rPr>
        <w:t>5.10.1</w:t>
      </w:r>
      <w:r>
        <w:rPr>
          <w:b/>
          <w:bCs/>
        </w:rPr>
        <w:t xml:space="preserve">  </w:t>
      </w:r>
      <w:r>
        <w:rPr>
          <w:rFonts w:hint="eastAsia"/>
        </w:rPr>
        <w:t>洞口的设计应符合下列规定：</w:t>
      </w:r>
    </w:p>
    <w:p>
      <w:pPr>
        <w:ind w:firstLine="480" w:firstLineChars="200"/>
      </w:pPr>
      <w:r>
        <w:rPr>
          <w:rFonts w:hint="eastAsia"/>
        </w:rPr>
        <w:t xml:space="preserve">1 </w:t>
      </w:r>
      <w:r>
        <w:t xml:space="preserve"> </w:t>
      </w:r>
      <w:r>
        <w:rPr>
          <w:rFonts w:hint="eastAsia"/>
        </w:rPr>
        <w:t>能支承侧向水土压力；</w:t>
      </w:r>
    </w:p>
    <w:p>
      <w:pPr>
        <w:ind w:firstLine="480" w:firstLineChars="200"/>
      </w:pPr>
      <w:r>
        <w:rPr>
          <w:rFonts w:hint="eastAsia"/>
        </w:rPr>
        <w:t xml:space="preserve">2 </w:t>
      </w:r>
      <w:r>
        <w:t xml:space="preserve"> </w:t>
      </w:r>
      <w:r>
        <w:rPr>
          <w:rFonts w:hint="eastAsia"/>
        </w:rPr>
        <w:t>防水渗漏；</w:t>
      </w:r>
    </w:p>
    <w:p>
      <w:pPr>
        <w:ind w:firstLine="480" w:firstLineChars="200"/>
      </w:pPr>
      <w:r>
        <w:rPr>
          <w:rFonts w:hint="eastAsia"/>
        </w:rPr>
        <w:t xml:space="preserve">3 </w:t>
      </w:r>
      <w:r>
        <w:t xml:space="preserve"> </w:t>
      </w:r>
      <w:r>
        <w:rPr>
          <w:rFonts w:hint="eastAsia"/>
        </w:rPr>
        <w:t>进出洞时能方便拆除或打开；</w:t>
      </w:r>
    </w:p>
    <w:p>
      <w:pPr>
        <w:ind w:firstLine="480" w:firstLineChars="200"/>
      </w:pPr>
      <w:r>
        <w:rPr>
          <w:rFonts w:hint="eastAsia"/>
        </w:rPr>
        <w:t xml:space="preserve">4 </w:t>
      </w:r>
      <w:r>
        <w:t xml:space="preserve"> </w:t>
      </w:r>
      <w:r>
        <w:rPr>
          <w:rFonts w:hint="eastAsia"/>
        </w:rPr>
        <w:t>洞口临时封门可采用钢封门、砖砌封门、钢筋混凝土封门、型钢封门等形式或以上几种的组合。</w:t>
      </w:r>
    </w:p>
    <w:p>
      <w:r>
        <w:rPr>
          <w:rFonts w:hint="eastAsia"/>
          <w:b/>
          <w:bCs/>
        </w:rPr>
        <w:t>5.10.2</w:t>
      </w:r>
      <w:r>
        <w:rPr>
          <w:b/>
          <w:bCs/>
        </w:rPr>
        <w:t xml:space="preserve">  </w:t>
      </w:r>
      <w:r>
        <w:rPr>
          <w:rFonts w:hint="eastAsia"/>
        </w:rPr>
        <w:t>洞口土体加固应符合下列规定：</w:t>
      </w:r>
    </w:p>
    <w:p>
      <w:pPr>
        <w:ind w:firstLine="480" w:firstLineChars="200"/>
      </w:pPr>
      <w:r>
        <w:t xml:space="preserve">1  </w:t>
      </w:r>
      <w:r>
        <w:rPr>
          <w:rFonts w:hint="eastAsia"/>
        </w:rPr>
        <w:t>应根据工程地质及水文条件、顶管机型、管道尺寸、顶管推进方向、坡度、埋深和周围环境等情况综合确定；</w:t>
      </w:r>
    </w:p>
    <w:p>
      <w:pPr>
        <w:ind w:firstLine="480" w:firstLineChars="200"/>
      </w:pPr>
      <w:r>
        <w:t xml:space="preserve">2  </w:t>
      </w:r>
      <w:r>
        <w:rPr>
          <w:rFonts w:hint="eastAsia"/>
        </w:rPr>
        <w:t>土体加固可采用水泥土搅拌桩、高压旋喷桩、冰冻法及降水等形式；</w:t>
      </w:r>
    </w:p>
    <w:p>
      <w:pPr>
        <w:ind w:firstLine="480" w:firstLineChars="200"/>
      </w:pPr>
      <w:r>
        <w:t xml:space="preserve">3  </w:t>
      </w:r>
      <w:r>
        <w:rPr>
          <w:rFonts w:hint="eastAsia"/>
        </w:rPr>
        <w:t>加固效果应采用钻芯取样的方式进行检验，加固体的强度不宜少于0.5MPa，并应检查加固体的均匀性和防渗漏性能；</w:t>
      </w:r>
    </w:p>
    <w:p>
      <w:pPr>
        <w:ind w:firstLine="480" w:firstLineChars="200"/>
      </w:pPr>
      <w:r>
        <w:t xml:space="preserve">4  </w:t>
      </w:r>
      <w:r>
        <w:rPr>
          <w:rFonts w:hint="eastAsia"/>
        </w:rPr>
        <w:t>始发、接收前应在洞门上打设探测孔，确认止水措施的有效性。</w:t>
      </w:r>
    </w:p>
    <w:p>
      <w:r>
        <w:rPr>
          <w:rFonts w:hint="eastAsia"/>
          <w:b/>
          <w:bCs/>
        </w:rPr>
        <w:t>5.10.3</w:t>
      </w:r>
      <w:r>
        <w:t xml:space="preserve">  </w:t>
      </w:r>
      <w:r>
        <w:rPr>
          <w:rFonts w:hint="eastAsia"/>
        </w:rPr>
        <w:t>洞口止水装置设计应符合下列规定：</w:t>
      </w:r>
    </w:p>
    <w:p>
      <w:pPr>
        <w:ind w:firstLine="480" w:firstLineChars="200"/>
      </w:pPr>
      <w:r>
        <w:rPr>
          <w:rFonts w:hint="eastAsia"/>
        </w:rPr>
        <w:t>1</w:t>
      </w:r>
      <w:r>
        <w:t xml:space="preserve">  </w:t>
      </w:r>
      <w:r>
        <w:rPr>
          <w:rFonts w:hint="eastAsia"/>
        </w:rPr>
        <w:t>应综合考虑工作井的具体条件、地层特点；</w:t>
      </w:r>
    </w:p>
    <w:p>
      <w:pPr>
        <w:ind w:firstLine="480" w:firstLineChars="200"/>
      </w:pPr>
      <w:r>
        <w:t xml:space="preserve">2  </w:t>
      </w:r>
      <w:r>
        <w:rPr>
          <w:rFonts w:hint="eastAsia"/>
        </w:rPr>
        <w:t>始发时可根据埋深采用盘根、橡胶法兰、钢丝刷兵压注油脂等措施。</w:t>
      </w:r>
    </w:p>
    <w:p>
      <w:pPr>
        <w:ind w:firstLine="480" w:firstLineChars="200"/>
      </w:pPr>
      <w:r>
        <w:t xml:space="preserve">3  </w:t>
      </w:r>
      <w:r>
        <w:rPr>
          <w:rFonts w:hint="eastAsia"/>
        </w:rPr>
        <w:t>接收井可采用对洞口土体加固的方式。</w:t>
      </w:r>
    </w:p>
    <w:p>
      <w:r>
        <w:rPr>
          <w:rFonts w:hint="eastAsia"/>
          <w:b/>
          <w:bCs/>
        </w:rPr>
        <w:t>5.10.</w:t>
      </w:r>
      <w:r>
        <w:rPr>
          <w:b/>
          <w:bCs/>
        </w:rPr>
        <w:t xml:space="preserve">4  </w:t>
      </w:r>
      <w:r>
        <w:rPr>
          <w:rFonts w:hint="eastAsia"/>
        </w:rPr>
        <w:t>顶管始发井的预留洞口应安装帘布橡胶板密封，无漏泥、滴水现象，并采用可调节的钢压板作后靠，以保证帘布橡胶板的密封性能（图</w:t>
      </w:r>
      <w:r>
        <w:t>5</w:t>
      </w:r>
      <w:r>
        <w:rPr>
          <w:rFonts w:hint="eastAsia"/>
        </w:rPr>
        <w:t>.</w:t>
      </w:r>
      <w:r>
        <w:t>1</w:t>
      </w:r>
      <w:r>
        <w:rPr>
          <w:rFonts w:hint="eastAsia"/>
        </w:rPr>
        <w:t>0.</w:t>
      </w:r>
      <w:r>
        <w:t>4</w:t>
      </w:r>
      <w:r>
        <w:rPr>
          <w:rFonts w:hint="eastAsia"/>
        </w:rPr>
        <w:t>-1）。当地下水位较高时，宜采用双层橡胶止水装置（</w:t>
      </w:r>
      <w:r>
        <w:rPr>
          <w:rFonts w:hint="eastAsia"/>
          <w:bCs/>
        </w:rPr>
        <w:t>图</w:t>
      </w:r>
      <w:r>
        <w:rPr>
          <w:bCs/>
        </w:rPr>
        <w:t>5</w:t>
      </w:r>
      <w:r>
        <w:rPr>
          <w:rFonts w:hint="eastAsia"/>
          <w:bCs/>
        </w:rPr>
        <w:t>.</w:t>
      </w:r>
      <w:r>
        <w:rPr>
          <w:bCs/>
        </w:rPr>
        <w:t>1</w:t>
      </w:r>
      <w:r>
        <w:rPr>
          <w:rFonts w:hint="eastAsia"/>
          <w:bCs/>
        </w:rPr>
        <w:t>0.4-2-图</w:t>
      </w:r>
      <w:r>
        <w:rPr>
          <w:bCs/>
        </w:rPr>
        <w:t>5</w:t>
      </w:r>
      <w:r>
        <w:rPr>
          <w:rFonts w:hint="eastAsia"/>
          <w:bCs/>
        </w:rPr>
        <w:t>.</w:t>
      </w:r>
      <w:r>
        <w:rPr>
          <w:bCs/>
        </w:rPr>
        <w:t>1</w:t>
      </w:r>
      <w:r>
        <w:rPr>
          <w:rFonts w:hint="eastAsia"/>
          <w:bCs/>
        </w:rPr>
        <w:t>0.4-3）</w:t>
      </w:r>
      <w:r>
        <w:rPr>
          <w:rFonts w:hint="eastAsia"/>
        </w:rPr>
        <w:t>。</w:t>
      </w:r>
    </w:p>
    <w:p>
      <w:pPr>
        <w:ind w:firstLine="480" w:firstLineChars="200"/>
        <w:jc w:val="center"/>
      </w:pPr>
      <w:r>
        <w:drawing>
          <wp:inline distT="0" distB="0" distL="0" distR="0">
            <wp:extent cx="1987550" cy="2035810"/>
            <wp:effectExtent l="0" t="0" r="0" b="2540"/>
            <wp:docPr id="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
                    <pic:cNvPicPr>
                      <a:picLocks noChangeAspect="1" noChangeArrowheads="1"/>
                    </pic:cNvPicPr>
                  </pic:nvPicPr>
                  <pic:blipFill>
                    <a:blip r:embed="rId486"/>
                    <a:srcRect/>
                    <a:stretch>
                      <a:fillRect/>
                    </a:stretch>
                  </pic:blipFill>
                  <pic:spPr>
                    <a:xfrm>
                      <a:off x="0" y="0"/>
                      <a:ext cx="2004962" cy="2053989"/>
                    </a:xfrm>
                    <a:prstGeom prst="rect">
                      <a:avLst/>
                    </a:prstGeom>
                    <a:noFill/>
                    <a:ln w="9525">
                      <a:noFill/>
                      <a:miter lim="800000"/>
                      <a:headEnd/>
                      <a:tailEnd/>
                    </a:ln>
                  </pic:spPr>
                </pic:pic>
              </a:graphicData>
            </a:graphic>
          </wp:inline>
        </w:drawing>
      </w:r>
    </w:p>
    <w:p>
      <w:pPr>
        <w:ind w:firstLine="422" w:firstLineChars="200"/>
        <w:jc w:val="center"/>
        <w:rPr>
          <w:b/>
          <w:sz w:val="21"/>
          <w:szCs w:val="18"/>
        </w:rPr>
      </w:pPr>
      <w:r>
        <w:rPr>
          <w:rFonts w:hint="eastAsia"/>
          <w:b/>
          <w:sz w:val="21"/>
          <w:szCs w:val="18"/>
        </w:rPr>
        <w:t>图</w:t>
      </w:r>
      <w:r>
        <w:rPr>
          <w:b/>
          <w:sz w:val="21"/>
          <w:szCs w:val="18"/>
        </w:rPr>
        <w:t>5</w:t>
      </w:r>
      <w:r>
        <w:rPr>
          <w:rFonts w:hint="eastAsia"/>
          <w:b/>
          <w:sz w:val="21"/>
          <w:szCs w:val="18"/>
        </w:rPr>
        <w:t>.</w:t>
      </w:r>
      <w:r>
        <w:rPr>
          <w:b/>
          <w:sz w:val="21"/>
          <w:szCs w:val="18"/>
        </w:rPr>
        <w:t>1</w:t>
      </w:r>
      <w:r>
        <w:rPr>
          <w:rFonts w:hint="eastAsia"/>
          <w:b/>
          <w:sz w:val="21"/>
          <w:szCs w:val="18"/>
        </w:rPr>
        <w:t>0.</w:t>
      </w:r>
      <w:r>
        <w:rPr>
          <w:b/>
          <w:sz w:val="21"/>
          <w:szCs w:val="18"/>
        </w:rPr>
        <w:t>4</w:t>
      </w:r>
      <w:r>
        <w:rPr>
          <w:rFonts w:hint="eastAsia"/>
          <w:b/>
          <w:sz w:val="21"/>
          <w:szCs w:val="18"/>
        </w:rPr>
        <w:t xml:space="preserve">-1 </w:t>
      </w:r>
      <w:r>
        <w:rPr>
          <w:b/>
          <w:sz w:val="21"/>
          <w:szCs w:val="18"/>
        </w:rPr>
        <w:t xml:space="preserve"> </w:t>
      </w:r>
      <w:r>
        <w:rPr>
          <w:rFonts w:hint="eastAsia"/>
          <w:b/>
          <w:sz w:val="21"/>
          <w:szCs w:val="18"/>
        </w:rPr>
        <w:t>止水装置</w:t>
      </w:r>
    </w:p>
    <w:p>
      <w:pPr>
        <w:ind w:firstLine="422" w:firstLineChars="200"/>
        <w:rPr>
          <w:b/>
          <w:bCs/>
          <w:sz w:val="21"/>
        </w:rPr>
      </w:pPr>
      <w:r>
        <w:rPr>
          <w:rFonts w:hint="eastAsia"/>
          <w:b/>
          <w:bCs/>
          <w:sz w:val="21"/>
        </w:rPr>
        <w:t>1——围护结构；2——井内衬墙；3——预埋洞口钢环；4——止水橡胶帘布；5——压板；6——固定螺栓；7——翻板；8——矩形顶管机</w:t>
      </w:r>
      <w:r>
        <w:rPr>
          <w:b/>
          <w:bCs/>
          <w:sz w:val="21"/>
        </w:rPr>
        <w:t xml:space="preserve"> </w:t>
      </w:r>
    </w:p>
    <w:p>
      <w:pPr>
        <w:ind w:firstLine="480" w:firstLineChars="200"/>
        <w:jc w:val="center"/>
        <w:rPr>
          <w:sz w:val="21"/>
        </w:rPr>
      </w:pPr>
      <w:r>
        <w:drawing>
          <wp:inline distT="0" distB="0" distL="0" distR="0">
            <wp:extent cx="3999230" cy="1766570"/>
            <wp:effectExtent l="0" t="0" r="127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7"/>
                    <a:stretch>
                      <a:fillRect/>
                    </a:stretch>
                  </pic:blipFill>
                  <pic:spPr>
                    <a:xfrm>
                      <a:off x="0" y="0"/>
                      <a:ext cx="4030662" cy="1780945"/>
                    </a:xfrm>
                    <a:prstGeom prst="rect">
                      <a:avLst/>
                    </a:prstGeom>
                  </pic:spPr>
                </pic:pic>
              </a:graphicData>
            </a:graphic>
          </wp:inline>
        </w:drawing>
      </w:r>
    </w:p>
    <w:p>
      <w:pPr>
        <w:ind w:firstLine="422" w:firstLineChars="200"/>
        <w:jc w:val="center"/>
        <w:rPr>
          <w:b/>
          <w:bCs/>
          <w:sz w:val="21"/>
        </w:rPr>
      </w:pPr>
      <w:r>
        <w:rPr>
          <w:rFonts w:hint="eastAsia"/>
          <w:b/>
          <w:bCs/>
          <w:sz w:val="21"/>
        </w:rPr>
        <w:t>图5.10.4-2</w:t>
      </w:r>
      <w:r>
        <w:rPr>
          <w:b/>
          <w:bCs/>
          <w:sz w:val="21"/>
        </w:rPr>
        <w:t xml:space="preserve">  </w:t>
      </w:r>
      <w:r>
        <w:rPr>
          <w:rFonts w:hint="eastAsia"/>
          <w:b/>
          <w:bCs/>
          <w:sz w:val="21"/>
        </w:rPr>
        <w:t>顶管出洞双层防水门帘示意</w:t>
      </w:r>
    </w:p>
    <w:p>
      <w:pPr>
        <w:ind w:firstLine="480" w:firstLineChars="200"/>
        <w:jc w:val="center"/>
      </w:pPr>
      <w:r>
        <w:drawing>
          <wp:inline distT="0" distB="0" distL="0" distR="0">
            <wp:extent cx="2041525" cy="2128520"/>
            <wp:effectExtent l="0" t="0" r="0" b="5080"/>
            <wp:docPr id="2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3"/>
                    <pic:cNvPicPr>
                      <a:picLocks noChangeAspect="1" noChangeArrowheads="1"/>
                    </pic:cNvPicPr>
                  </pic:nvPicPr>
                  <pic:blipFill>
                    <a:blip r:embed="rId488"/>
                    <a:srcRect/>
                    <a:stretch>
                      <a:fillRect/>
                    </a:stretch>
                  </pic:blipFill>
                  <pic:spPr>
                    <a:xfrm>
                      <a:off x="0" y="0"/>
                      <a:ext cx="2071817" cy="2159940"/>
                    </a:xfrm>
                    <a:prstGeom prst="rect">
                      <a:avLst/>
                    </a:prstGeom>
                    <a:noFill/>
                    <a:ln w="9525">
                      <a:noFill/>
                      <a:miter lim="800000"/>
                      <a:headEnd/>
                      <a:tailEnd/>
                    </a:ln>
                  </pic:spPr>
                </pic:pic>
              </a:graphicData>
            </a:graphic>
          </wp:inline>
        </w:drawing>
      </w:r>
      <w:r>
        <w:rPr>
          <w:rFonts w:hint="eastAsia"/>
        </w:rPr>
        <w:t xml:space="preserve">   </w:t>
      </w:r>
      <w:r>
        <w:drawing>
          <wp:inline distT="0" distB="0" distL="0" distR="0">
            <wp:extent cx="2569210" cy="2123440"/>
            <wp:effectExtent l="0" t="0" r="254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9"/>
                    <a:stretch>
                      <a:fillRect/>
                    </a:stretch>
                  </pic:blipFill>
                  <pic:spPr>
                    <a:xfrm>
                      <a:off x="0" y="0"/>
                      <a:ext cx="2569210" cy="2123440"/>
                    </a:xfrm>
                    <a:prstGeom prst="rect">
                      <a:avLst/>
                    </a:prstGeom>
                  </pic:spPr>
                </pic:pic>
              </a:graphicData>
            </a:graphic>
          </wp:inline>
        </w:drawing>
      </w:r>
    </w:p>
    <w:p>
      <w:pPr>
        <w:ind w:firstLine="422" w:firstLineChars="200"/>
        <w:jc w:val="center"/>
        <w:rPr>
          <w:b/>
          <w:bCs/>
          <w:sz w:val="21"/>
          <w:szCs w:val="18"/>
        </w:rPr>
      </w:pPr>
      <w:r>
        <w:rPr>
          <w:rFonts w:hint="eastAsia"/>
          <w:b/>
          <w:sz w:val="21"/>
          <w:szCs w:val="18"/>
        </w:rPr>
        <w:t>图</w:t>
      </w:r>
      <w:r>
        <w:rPr>
          <w:b/>
          <w:sz w:val="21"/>
          <w:szCs w:val="18"/>
        </w:rPr>
        <w:t>5</w:t>
      </w:r>
      <w:r>
        <w:rPr>
          <w:rFonts w:hint="eastAsia"/>
          <w:b/>
          <w:sz w:val="21"/>
          <w:szCs w:val="18"/>
        </w:rPr>
        <w:t>.</w:t>
      </w:r>
      <w:r>
        <w:rPr>
          <w:b/>
          <w:sz w:val="21"/>
          <w:szCs w:val="18"/>
        </w:rPr>
        <w:t>1</w:t>
      </w:r>
      <w:r>
        <w:rPr>
          <w:rFonts w:hint="eastAsia"/>
          <w:b/>
          <w:sz w:val="21"/>
          <w:szCs w:val="18"/>
        </w:rPr>
        <w:t>0.4-3</w:t>
      </w:r>
      <w:r>
        <w:rPr>
          <w:b/>
          <w:bCs/>
          <w:sz w:val="21"/>
          <w:szCs w:val="18"/>
        </w:rPr>
        <w:t xml:space="preserve">  </w:t>
      </w:r>
      <w:r>
        <w:rPr>
          <w:rFonts w:hint="eastAsia"/>
          <w:b/>
          <w:bCs/>
          <w:sz w:val="21"/>
          <w:szCs w:val="18"/>
        </w:rPr>
        <w:t>洞口双道橡胶止水装置细部构造</w:t>
      </w:r>
    </w:p>
    <w:p>
      <w:pPr>
        <w:ind w:firstLine="422" w:firstLineChars="200"/>
        <w:rPr>
          <w:b/>
          <w:bCs/>
          <w:sz w:val="21"/>
        </w:rPr>
      </w:pPr>
      <w:r>
        <w:rPr>
          <w:rFonts w:hint="eastAsia"/>
          <w:b/>
          <w:bCs/>
          <w:sz w:val="21"/>
        </w:rPr>
        <w:t>1——井壁侧墙；2——锚固钢筋；3——止水橡胶帘布；4——压板；5——翻板；6——中间止水钢环；7——固定螺栓；8——预埋洞口钢环；9——折页板（顶管通过时）；10——折页板（管片安装时）；11——销轴；12——压板二</w:t>
      </w:r>
    </w:p>
    <w:p>
      <w:r>
        <w:rPr>
          <w:rFonts w:hint="eastAsia"/>
          <w:b/>
          <w:bCs/>
        </w:rPr>
        <w:t>5.10.5</w:t>
      </w:r>
      <w:r>
        <w:rPr>
          <w:b/>
          <w:bCs/>
        </w:rPr>
        <w:t xml:space="preserve">  </w:t>
      </w:r>
      <w:r>
        <w:rPr>
          <w:rFonts w:hint="eastAsia"/>
        </w:rPr>
        <w:t>覆土深度超过10m、地层为透水层时，应设置井壁预埋钢环，宜采用双层止水橡胶板。橡胶压板可加工成钳接；覆土深度超过15m时宜采用钢刷止水装置。</w:t>
      </w:r>
    </w:p>
    <w:p>
      <w:pPr>
        <w:rPr>
          <w:b/>
        </w:rPr>
        <w:sectPr>
          <w:pgSz w:w="11906" w:h="16838"/>
          <w:pgMar w:top="1440" w:right="1800" w:bottom="1440" w:left="1800" w:header="851" w:footer="992" w:gutter="0"/>
          <w:cols w:space="425" w:num="1"/>
          <w:docGrid w:type="lines" w:linePitch="312" w:charSpace="0"/>
        </w:sectPr>
      </w:pPr>
    </w:p>
    <w:p>
      <w:pPr>
        <w:pStyle w:val="2"/>
        <w:spacing w:before="0" w:after="0"/>
        <w:rPr>
          <w:rFonts w:eastAsiaTheme="minorEastAsia"/>
        </w:rPr>
      </w:pPr>
      <w:bookmarkStart w:id="81" w:name="_Toc20381"/>
      <w:r>
        <w:rPr>
          <w:rFonts w:hint="eastAsia"/>
        </w:rPr>
        <w:fldChar w:fldCharType="begin"/>
      </w:r>
      <w:r>
        <w:instrText xml:space="preserve"> HYPERLINK \l "_Toc9712" </w:instrText>
      </w:r>
      <w:r>
        <w:rPr>
          <w:rFonts w:hint="eastAsia"/>
        </w:rPr>
        <w:fldChar w:fldCharType="separate"/>
      </w:r>
      <w:bookmarkStart w:id="82" w:name="_Toc18057043"/>
      <w:r>
        <w:rPr>
          <w:rFonts w:hint="eastAsia" w:eastAsiaTheme="minorEastAsia"/>
        </w:rPr>
        <w:t>6</w:t>
      </w:r>
      <w:r>
        <w:rPr>
          <w:rFonts w:eastAsiaTheme="minorEastAsia"/>
        </w:rPr>
        <w:t xml:space="preserve">  </w:t>
      </w:r>
      <w:r>
        <w:rPr>
          <w:rFonts w:hint="eastAsia" w:eastAsiaTheme="minorEastAsia"/>
        </w:rPr>
        <w:t>管节</w:t>
      </w:r>
      <w:r>
        <w:rPr>
          <w:rFonts w:hint="eastAsia" w:eastAsiaTheme="minorEastAsia"/>
        </w:rPr>
        <w:fldChar w:fldCharType="end"/>
      </w:r>
      <w:r>
        <w:rPr>
          <w:rFonts w:hint="eastAsia" w:eastAsiaTheme="minorEastAsia"/>
        </w:rPr>
        <w:t>制作</w:t>
      </w:r>
      <w:bookmarkEnd w:id="81"/>
      <w:bookmarkEnd w:id="82"/>
    </w:p>
    <w:p>
      <w:pPr>
        <w:pStyle w:val="3"/>
      </w:pPr>
      <w:bookmarkStart w:id="83" w:name="_Toc24174"/>
      <w:r>
        <w:rPr>
          <w:rFonts w:hint="eastAsia"/>
        </w:rPr>
        <w:fldChar w:fldCharType="begin"/>
      </w:r>
      <w:r>
        <w:instrText xml:space="preserve"> HYPERLINK "file:///C:\\Users\\xy155\\Desktop\\矩形顶管工程技术规程2019.3.22.docx" \l "_Toc23090" </w:instrText>
      </w:r>
      <w:r>
        <w:rPr>
          <w:rFonts w:hint="eastAsia"/>
        </w:rPr>
        <w:fldChar w:fldCharType="separate"/>
      </w:r>
      <w:bookmarkStart w:id="84" w:name="_Toc18057044"/>
      <w:r>
        <w:t xml:space="preserve">6.1  </w:t>
      </w:r>
      <w:r>
        <w:rPr>
          <w:rFonts w:hint="eastAsia"/>
        </w:rPr>
        <w:t>一般规定</w:t>
      </w:r>
      <w:bookmarkEnd w:id="84"/>
      <w:r>
        <w:rPr>
          <w:rFonts w:hint="eastAsia"/>
        </w:rPr>
        <w:fldChar w:fldCharType="end"/>
      </w:r>
      <w:bookmarkEnd w:id="83"/>
    </w:p>
    <w:p>
      <w:pPr>
        <w:rPr>
          <w:b/>
        </w:rPr>
      </w:pPr>
      <w:r>
        <w:rPr>
          <w:rFonts w:hint="eastAsia"/>
          <w:b/>
          <w:bCs/>
        </w:rPr>
        <w:t>6.1.</w:t>
      </w:r>
      <w:r>
        <w:rPr>
          <w:b/>
          <w:bCs/>
        </w:rPr>
        <w:t>1</w:t>
      </w:r>
      <w:r>
        <w:t xml:space="preserve">  </w:t>
      </w:r>
      <w:r>
        <w:rPr>
          <w:rFonts w:hint="eastAsia"/>
        </w:rPr>
        <w:t>管节投入生产前，应按下列内容对生产厂家技术交底：</w:t>
      </w:r>
    </w:p>
    <w:p>
      <w:pPr>
        <w:ind w:firstLine="480" w:firstLineChars="200"/>
      </w:pPr>
      <w:r>
        <w:rPr>
          <w:rFonts w:hint="eastAsia"/>
        </w:rPr>
        <w:t xml:space="preserve">1 </w:t>
      </w:r>
      <w:r>
        <w:t xml:space="preserve"> </w:t>
      </w:r>
      <w:r>
        <w:rPr>
          <w:rFonts w:hint="eastAsia"/>
        </w:rPr>
        <w:t>设计规定的钢筋规格、数量、间距、分布与钢筋之间搭接长度、连接方式（焊接或钢丝绑扎）、钢筋保护层厚度、插口端和钢承口端钢环的材质和尺寸等；</w:t>
      </w:r>
    </w:p>
    <w:p>
      <w:pPr>
        <w:ind w:firstLine="480" w:firstLineChars="200"/>
      </w:pPr>
      <w:r>
        <w:rPr>
          <w:rFonts w:hint="eastAsia"/>
        </w:rPr>
        <w:t xml:space="preserve">2 </w:t>
      </w:r>
      <w:r>
        <w:t xml:space="preserve"> </w:t>
      </w:r>
      <w:r>
        <w:rPr>
          <w:rFonts w:hint="eastAsia"/>
        </w:rPr>
        <w:t>各类预埋件尺寸、预埋方式、数量、与管节本体内钢筋连接等；</w:t>
      </w:r>
    </w:p>
    <w:p>
      <w:pPr>
        <w:ind w:firstLine="480" w:firstLineChars="200"/>
      </w:pPr>
      <w:r>
        <w:rPr>
          <w:rFonts w:hint="eastAsia"/>
        </w:rPr>
        <w:t xml:space="preserve">3 </w:t>
      </w:r>
      <w:r>
        <w:t xml:space="preserve"> </w:t>
      </w:r>
      <w:r>
        <w:rPr>
          <w:rFonts w:hint="eastAsia"/>
        </w:rPr>
        <w:t>吊装孔、注浆孔、压浆孔及接驳器的定制尺寸、固定方式等；</w:t>
      </w:r>
    </w:p>
    <w:p>
      <w:pPr>
        <w:ind w:firstLine="480" w:firstLineChars="200"/>
      </w:pPr>
      <w:r>
        <w:rPr>
          <w:rFonts w:hint="eastAsia"/>
        </w:rPr>
        <w:t xml:space="preserve">4 </w:t>
      </w:r>
      <w:r>
        <w:t xml:space="preserve"> </w:t>
      </w:r>
      <w:r>
        <w:rPr>
          <w:rFonts w:hint="eastAsia"/>
        </w:rPr>
        <w:t>混凝土的强度等级、浇注和振捣方式以及养护等工艺要求；</w:t>
      </w:r>
    </w:p>
    <w:p>
      <w:pPr>
        <w:ind w:firstLine="480" w:firstLineChars="200"/>
      </w:pPr>
      <w:r>
        <w:rPr>
          <w:rFonts w:hint="eastAsia"/>
        </w:rPr>
        <w:t xml:space="preserve">5 </w:t>
      </w:r>
      <w:r>
        <w:t xml:space="preserve"> </w:t>
      </w:r>
      <w:r>
        <w:rPr>
          <w:rFonts w:hint="eastAsia"/>
        </w:rPr>
        <w:t>管节的后期养护与防护等。</w:t>
      </w:r>
    </w:p>
    <w:p>
      <w:r>
        <w:rPr>
          <w:rFonts w:hint="eastAsia"/>
          <w:b/>
          <w:bCs/>
        </w:rPr>
        <w:t>6.1.</w:t>
      </w:r>
      <w:r>
        <w:rPr>
          <w:b/>
          <w:bCs/>
        </w:rPr>
        <w:t xml:space="preserve">2  </w:t>
      </w:r>
      <w:r>
        <w:rPr>
          <w:rFonts w:hint="eastAsia"/>
        </w:rPr>
        <w:t>每套新模具应进行不少于3节管节的生产试制，管节检验合格后可批量生产。</w:t>
      </w:r>
    </w:p>
    <w:p>
      <w:pPr>
        <w:rPr>
          <w:rFonts w:eastAsia="仿宋"/>
        </w:rPr>
      </w:pPr>
      <w:r>
        <w:rPr>
          <w:rFonts w:eastAsia="仿宋"/>
          <w:b/>
          <w:bCs/>
        </w:rPr>
        <w:t>【条文说明】：6.1.2</w:t>
      </w:r>
      <w:r>
        <w:rPr>
          <w:rFonts w:eastAsia="仿宋"/>
        </w:rPr>
        <w:t xml:space="preserve">  严格按照管节的设计及工艺要求进行试生产，在试制过程中对各道工序相关参数（含混凝土试块制作及力学检测）进行记录，试制管节经检验各项参数符合设计要求后方可投入批量生产。</w:t>
      </w:r>
    </w:p>
    <w:p>
      <w:r>
        <w:rPr>
          <w:rFonts w:hint="eastAsia"/>
          <w:b/>
          <w:bCs/>
        </w:rPr>
        <w:t>6.1.</w:t>
      </w:r>
      <w:r>
        <w:rPr>
          <w:b/>
          <w:bCs/>
        </w:rPr>
        <w:t>3</w:t>
      </w:r>
      <w:r>
        <w:rPr>
          <w:rFonts w:hint="eastAsia"/>
          <w:b/>
          <w:bCs/>
        </w:rPr>
        <w:t xml:space="preserve">  </w:t>
      </w:r>
      <w:r>
        <w:rPr>
          <w:rFonts w:hint="eastAsia"/>
        </w:rPr>
        <w:t>管节出厂前应对合格的管节进行标识，标识内容应包括生产企业的名称、产品商标、产品标志、产品生产日期以及检验合格标识等。</w:t>
      </w:r>
    </w:p>
    <w:p/>
    <w:p>
      <w:pPr>
        <w:pStyle w:val="3"/>
      </w:pPr>
      <w:bookmarkStart w:id="85" w:name="_Toc6480"/>
      <w:r>
        <w:fldChar w:fldCharType="begin"/>
      </w:r>
      <w:r>
        <w:instrText xml:space="preserve"> HYPERLINK "file:///C:\\Users\\xy155\\Desktop\\矩形顶管工程技术规程2019.3.22.docx" \l "_Toc8623" </w:instrText>
      </w:r>
      <w:r>
        <w:fldChar w:fldCharType="separate"/>
      </w:r>
      <w:bookmarkStart w:id="86" w:name="_Toc18057045"/>
      <w:r>
        <w:t xml:space="preserve">6.2 </w:t>
      </w:r>
      <w:r>
        <w:fldChar w:fldCharType="end"/>
      </w:r>
      <w:r>
        <w:t xml:space="preserve"> </w:t>
      </w:r>
      <w:r>
        <w:rPr>
          <w:rFonts w:hint="eastAsia"/>
        </w:rPr>
        <w:t>接头构造</w:t>
      </w:r>
      <w:bookmarkEnd w:id="85"/>
      <w:bookmarkEnd w:id="86"/>
    </w:p>
    <w:p>
      <w:r>
        <w:rPr>
          <w:rFonts w:hint="eastAsia"/>
          <w:b/>
        </w:rPr>
        <w:t>6.2.1</w:t>
      </w:r>
      <w:r>
        <w:rPr>
          <w:b/>
        </w:rPr>
        <w:t xml:space="preserve">  </w:t>
      </w:r>
      <w:r>
        <w:rPr>
          <w:rFonts w:hint="eastAsia"/>
        </w:rPr>
        <w:t>管节可采用插口端与钢承口端接口形式（</w:t>
      </w:r>
      <w:r>
        <w:rPr>
          <w:rFonts w:hint="eastAsia"/>
          <w:b/>
          <w:bCs/>
        </w:rPr>
        <w:t>图6</w:t>
      </w:r>
      <w:r>
        <w:rPr>
          <w:b/>
          <w:bCs/>
        </w:rPr>
        <w:t>.2</w:t>
      </w:r>
      <w:r>
        <w:rPr>
          <w:rFonts w:hint="eastAsia"/>
          <w:b/>
          <w:bCs/>
        </w:rPr>
        <w:t>.</w:t>
      </w:r>
      <w:r>
        <w:rPr>
          <w:b/>
          <w:bCs/>
        </w:rPr>
        <w:t>1-1</w:t>
      </w:r>
      <w:r>
        <w:rPr>
          <w:rFonts w:hint="eastAsia"/>
        </w:rPr>
        <w:t>、</w:t>
      </w:r>
      <w:r>
        <w:rPr>
          <w:rFonts w:hint="eastAsia"/>
          <w:b/>
          <w:bCs/>
          <w:sz w:val="21"/>
          <w:szCs w:val="18"/>
        </w:rPr>
        <w:t>图6.2.1-2</w:t>
      </w:r>
      <w:r>
        <w:rPr>
          <w:rFonts w:hint="eastAsia"/>
        </w:rPr>
        <w:t>）</w:t>
      </w:r>
    </w:p>
    <w:p/>
    <w:p>
      <w:pPr>
        <w:jc w:val="center"/>
      </w:pPr>
      <w:r>
        <w:drawing>
          <wp:inline distT="0" distB="0" distL="0" distR="0">
            <wp:extent cx="3340100" cy="195199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490" cstate="print"/>
                    <a:srcRect/>
                    <a:stretch>
                      <a:fillRect/>
                    </a:stretch>
                  </pic:blipFill>
                  <pic:spPr>
                    <a:xfrm>
                      <a:off x="0" y="0"/>
                      <a:ext cx="3357001" cy="1961924"/>
                    </a:xfrm>
                    <a:prstGeom prst="rect">
                      <a:avLst/>
                    </a:prstGeom>
                    <a:noFill/>
                    <a:ln w="9525">
                      <a:noFill/>
                      <a:miter lim="800000"/>
                      <a:headEnd/>
                      <a:tailEnd/>
                    </a:ln>
                  </pic:spPr>
                </pic:pic>
              </a:graphicData>
            </a:graphic>
          </wp:inline>
        </w:drawing>
      </w:r>
    </w:p>
    <w:p>
      <w:pPr>
        <w:ind w:firstLine="373" w:firstLineChars="177"/>
        <w:jc w:val="center"/>
        <w:rPr>
          <w:b/>
          <w:bCs/>
          <w:sz w:val="21"/>
          <w:szCs w:val="18"/>
        </w:rPr>
      </w:pPr>
      <w:r>
        <w:rPr>
          <w:rFonts w:hint="eastAsia"/>
          <w:b/>
          <w:bCs/>
          <w:sz w:val="21"/>
          <w:szCs w:val="18"/>
        </w:rPr>
        <w:t>图6.2.1-1</w:t>
      </w:r>
      <w:r>
        <w:rPr>
          <w:b/>
          <w:bCs/>
          <w:sz w:val="21"/>
          <w:szCs w:val="18"/>
        </w:rPr>
        <w:t xml:space="preserve">  </w:t>
      </w:r>
      <w:r>
        <w:rPr>
          <w:rFonts w:hint="eastAsia"/>
          <w:b/>
          <w:bCs/>
          <w:sz w:val="21"/>
          <w:szCs w:val="18"/>
        </w:rPr>
        <w:t>单胶圈钢承口端接头</w:t>
      </w:r>
    </w:p>
    <w:p/>
    <w:p>
      <w:pPr>
        <w:jc w:val="center"/>
      </w:pPr>
      <w:r>
        <w:drawing>
          <wp:inline distT="0" distB="0" distL="0" distR="0">
            <wp:extent cx="3797300" cy="21672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91" cstate="print"/>
                    <a:srcRect/>
                    <a:stretch>
                      <a:fillRect/>
                    </a:stretch>
                  </pic:blipFill>
                  <pic:spPr>
                    <a:xfrm>
                      <a:off x="0" y="0"/>
                      <a:ext cx="3838463" cy="2191024"/>
                    </a:xfrm>
                    <a:prstGeom prst="rect">
                      <a:avLst/>
                    </a:prstGeom>
                    <a:noFill/>
                    <a:ln w="9525">
                      <a:noFill/>
                      <a:miter lim="800000"/>
                      <a:headEnd/>
                      <a:tailEnd/>
                    </a:ln>
                  </pic:spPr>
                </pic:pic>
              </a:graphicData>
            </a:graphic>
          </wp:inline>
        </w:drawing>
      </w:r>
    </w:p>
    <w:p>
      <w:pPr>
        <w:ind w:firstLine="373" w:firstLineChars="177"/>
        <w:jc w:val="center"/>
        <w:rPr>
          <w:b/>
          <w:bCs/>
          <w:sz w:val="21"/>
          <w:szCs w:val="18"/>
        </w:rPr>
      </w:pPr>
      <w:r>
        <w:rPr>
          <w:rFonts w:hint="eastAsia"/>
          <w:b/>
          <w:bCs/>
          <w:sz w:val="21"/>
          <w:szCs w:val="18"/>
        </w:rPr>
        <w:t>图6.2.1-2</w:t>
      </w:r>
      <w:r>
        <w:rPr>
          <w:b/>
          <w:bCs/>
          <w:sz w:val="21"/>
          <w:szCs w:val="18"/>
        </w:rPr>
        <w:t xml:space="preserve">  </w:t>
      </w:r>
      <w:r>
        <w:rPr>
          <w:rFonts w:hint="eastAsia"/>
          <w:b/>
          <w:bCs/>
          <w:sz w:val="21"/>
          <w:szCs w:val="18"/>
        </w:rPr>
        <w:t>双胶圈钢承口端接头</w:t>
      </w:r>
    </w:p>
    <w:p>
      <w:r>
        <w:rPr>
          <w:rFonts w:hint="eastAsia"/>
          <w:b/>
          <w:bCs/>
        </w:rPr>
        <w:t>6.2.2</w:t>
      </w:r>
      <w:r>
        <w:rPr>
          <w:b/>
          <w:bCs/>
        </w:rPr>
        <w:t xml:space="preserve">  </w:t>
      </w:r>
      <w:r>
        <w:rPr>
          <w:rFonts w:hint="eastAsia"/>
        </w:rPr>
        <w:t>矩形顶管钢承口管各部参数可按表6.2.2选用。</w:t>
      </w:r>
    </w:p>
    <w:p>
      <w:pPr>
        <w:sectPr>
          <w:pgSz w:w="11906" w:h="16838"/>
          <w:pgMar w:top="1440" w:right="1800" w:bottom="1440" w:left="1800" w:header="851" w:footer="992" w:gutter="0"/>
          <w:cols w:space="425" w:num="1"/>
          <w:docGrid w:type="lines" w:linePitch="312" w:charSpace="0"/>
        </w:sectPr>
      </w:pPr>
    </w:p>
    <w:p>
      <w:pPr>
        <w:jc w:val="center"/>
        <w:rPr>
          <w:b/>
          <w:bCs/>
          <w:szCs w:val="24"/>
        </w:rPr>
      </w:pPr>
      <w:r>
        <w:rPr>
          <w:rFonts w:hint="eastAsia"/>
          <w:b/>
          <w:bCs/>
          <w:szCs w:val="24"/>
        </w:rPr>
        <w:t>表6.2.2</w:t>
      </w:r>
      <w:r>
        <w:rPr>
          <w:b/>
          <w:bCs/>
          <w:szCs w:val="24"/>
        </w:rPr>
        <w:t xml:space="preserve">  </w:t>
      </w:r>
      <w:r>
        <w:rPr>
          <w:rFonts w:hint="eastAsia"/>
          <w:b/>
          <w:bCs/>
          <w:szCs w:val="24"/>
        </w:rPr>
        <w:t>矩形顶管钢承口管接头细部尺寸</w:t>
      </w:r>
    </w:p>
    <w:p>
      <w:pPr>
        <w:jc w:val="right"/>
      </w:pPr>
      <w:r>
        <w:rPr>
          <w:rFonts w:hint="eastAsia"/>
        </w:rPr>
        <w:t>单位（m</w:t>
      </w:r>
      <w:r>
        <w:t>m</w:t>
      </w:r>
      <w:r>
        <w:rPr>
          <w:rFonts w:hint="eastAsia"/>
        </w:rPr>
        <w:t>）</w:t>
      </w:r>
    </w:p>
    <w:tbl>
      <w:tblPr>
        <w:tblStyle w:val="36"/>
        <w:tblW w:w="13820" w:type="dxa"/>
        <w:tblInd w:w="108"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254"/>
        <w:gridCol w:w="701"/>
        <w:gridCol w:w="1251"/>
        <w:gridCol w:w="1390"/>
        <w:gridCol w:w="1391"/>
        <w:gridCol w:w="834"/>
        <w:gridCol w:w="835"/>
        <w:gridCol w:w="834"/>
        <w:gridCol w:w="838"/>
        <w:gridCol w:w="1253"/>
        <w:gridCol w:w="835"/>
        <w:gridCol w:w="834"/>
        <w:gridCol w:w="838"/>
        <w:gridCol w:w="722"/>
        <w:gridCol w:w="10"/>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37" w:hRule="atLeast"/>
        </w:trPr>
        <w:tc>
          <w:tcPr>
            <w:tcW w:w="1254" w:type="dxa"/>
            <w:vMerge w:val="restart"/>
            <w:vAlign w:val="center"/>
          </w:tcPr>
          <w:p>
            <w:pPr>
              <w:spacing w:line="240" w:lineRule="auto"/>
              <w:jc w:val="center"/>
              <w:rPr>
                <w:sz w:val="18"/>
                <w:szCs w:val="18"/>
              </w:rPr>
            </w:pPr>
            <w:r>
              <w:rPr>
                <w:rFonts w:hint="eastAsia"/>
                <w:sz w:val="18"/>
                <w:szCs w:val="18"/>
              </w:rPr>
              <w:t>矩形顶管</w:t>
            </w:r>
          </w:p>
          <w:p>
            <w:pPr>
              <w:spacing w:line="240" w:lineRule="auto"/>
              <w:jc w:val="center"/>
              <w:rPr>
                <w:sz w:val="18"/>
                <w:szCs w:val="18"/>
              </w:rPr>
            </w:pPr>
            <w:r>
              <w:rPr>
                <w:rFonts w:hint="eastAsia"/>
                <w:sz w:val="18"/>
                <w:szCs w:val="18"/>
              </w:rPr>
              <w:t>外部尺寸</w:t>
            </w:r>
          </w:p>
          <w:p>
            <w:pPr>
              <w:spacing w:line="240" w:lineRule="auto"/>
              <w:jc w:val="center"/>
              <w:rPr>
                <w:sz w:val="18"/>
                <w:szCs w:val="18"/>
              </w:rPr>
            </w:pPr>
            <w:r>
              <w:rPr>
                <w:rFonts w:hint="eastAsia"/>
                <w:sz w:val="18"/>
                <w:szCs w:val="18"/>
              </w:rPr>
              <w:t>A×B</w:t>
            </w:r>
          </w:p>
        </w:tc>
        <w:tc>
          <w:tcPr>
            <w:tcW w:w="701" w:type="dxa"/>
            <w:vMerge w:val="restart"/>
            <w:vAlign w:val="center"/>
          </w:tcPr>
          <w:p>
            <w:pPr>
              <w:spacing w:line="240" w:lineRule="auto"/>
              <w:jc w:val="center"/>
              <w:rPr>
                <w:sz w:val="18"/>
                <w:szCs w:val="18"/>
              </w:rPr>
            </w:pPr>
            <w:r>
              <w:rPr>
                <w:rFonts w:hint="eastAsia"/>
                <w:sz w:val="18"/>
                <w:szCs w:val="18"/>
              </w:rPr>
              <w:t>壁厚</w:t>
            </w:r>
          </w:p>
          <w:p>
            <w:pPr>
              <w:spacing w:line="240" w:lineRule="auto"/>
              <w:jc w:val="center"/>
              <w:rPr>
                <w:sz w:val="18"/>
                <w:szCs w:val="18"/>
              </w:rPr>
            </w:pPr>
            <w:r>
              <w:rPr>
                <w:rFonts w:hint="eastAsia"/>
                <w:sz w:val="18"/>
                <w:szCs w:val="18"/>
              </w:rPr>
              <w:t>t</w:t>
            </w:r>
          </w:p>
        </w:tc>
        <w:tc>
          <w:tcPr>
            <w:tcW w:w="1251" w:type="dxa"/>
            <w:vMerge w:val="restart"/>
            <w:vAlign w:val="center"/>
          </w:tcPr>
          <w:p>
            <w:pPr>
              <w:spacing w:line="240" w:lineRule="auto"/>
              <w:jc w:val="center"/>
              <w:rPr>
                <w:sz w:val="18"/>
                <w:szCs w:val="18"/>
              </w:rPr>
            </w:pPr>
            <w:r>
              <w:rPr>
                <w:rFonts w:hint="eastAsia"/>
                <w:sz w:val="18"/>
                <w:szCs w:val="18"/>
              </w:rPr>
              <w:t>矩形顶管</w:t>
            </w:r>
          </w:p>
          <w:p>
            <w:pPr>
              <w:spacing w:line="240" w:lineRule="auto"/>
              <w:jc w:val="center"/>
              <w:rPr>
                <w:sz w:val="18"/>
                <w:szCs w:val="18"/>
              </w:rPr>
            </w:pPr>
            <w:r>
              <w:rPr>
                <w:rFonts w:hint="eastAsia"/>
                <w:sz w:val="18"/>
                <w:szCs w:val="18"/>
              </w:rPr>
              <w:t>内部尺寸</w:t>
            </w:r>
          </w:p>
          <w:p>
            <w:pPr>
              <w:spacing w:line="240" w:lineRule="auto"/>
              <w:jc w:val="center"/>
              <w:rPr>
                <w:sz w:val="18"/>
                <w:szCs w:val="18"/>
              </w:rPr>
            </w:pPr>
            <w:r>
              <w:rPr>
                <w:rFonts w:hint="eastAsia"/>
                <w:sz w:val="18"/>
                <w:szCs w:val="18"/>
              </w:rPr>
              <w:t>A0×B0</w:t>
            </w:r>
          </w:p>
        </w:tc>
        <w:tc>
          <w:tcPr>
            <w:tcW w:w="6122" w:type="dxa"/>
            <w:gridSpan w:val="6"/>
            <w:vAlign w:val="center"/>
          </w:tcPr>
          <w:p>
            <w:pPr>
              <w:spacing w:line="240" w:lineRule="auto"/>
              <w:jc w:val="center"/>
              <w:rPr>
                <w:sz w:val="18"/>
                <w:szCs w:val="18"/>
              </w:rPr>
            </w:pPr>
            <w:r>
              <w:rPr>
                <w:rFonts w:hint="eastAsia"/>
                <w:sz w:val="18"/>
                <w:szCs w:val="18"/>
              </w:rPr>
              <w:t>插口尺寸</w:t>
            </w:r>
          </w:p>
        </w:tc>
        <w:tc>
          <w:tcPr>
            <w:tcW w:w="4492" w:type="dxa"/>
            <w:gridSpan w:val="6"/>
            <w:vAlign w:val="center"/>
          </w:tcPr>
          <w:p>
            <w:pPr>
              <w:spacing w:line="240" w:lineRule="auto"/>
              <w:jc w:val="center"/>
              <w:rPr>
                <w:sz w:val="18"/>
                <w:szCs w:val="18"/>
              </w:rPr>
            </w:pPr>
            <w:r>
              <w:rPr>
                <w:rFonts w:hint="eastAsia"/>
                <w:sz w:val="18"/>
                <w:szCs w:val="18"/>
              </w:rPr>
              <w:t>钢承口尺寸</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Pr>
        <w:tc>
          <w:tcPr>
            <w:tcW w:w="1254" w:type="dxa"/>
            <w:vMerge w:val="continue"/>
            <w:vAlign w:val="center"/>
          </w:tcPr>
          <w:p>
            <w:pPr>
              <w:spacing w:line="240" w:lineRule="auto"/>
              <w:jc w:val="center"/>
              <w:rPr>
                <w:sz w:val="18"/>
                <w:szCs w:val="18"/>
              </w:rPr>
            </w:pPr>
          </w:p>
        </w:tc>
        <w:tc>
          <w:tcPr>
            <w:tcW w:w="701" w:type="dxa"/>
            <w:vMerge w:val="continue"/>
            <w:vAlign w:val="center"/>
          </w:tcPr>
          <w:p>
            <w:pPr>
              <w:spacing w:line="240" w:lineRule="auto"/>
              <w:jc w:val="center"/>
              <w:rPr>
                <w:sz w:val="18"/>
                <w:szCs w:val="18"/>
              </w:rPr>
            </w:pPr>
          </w:p>
        </w:tc>
        <w:tc>
          <w:tcPr>
            <w:tcW w:w="1251" w:type="dxa"/>
            <w:vMerge w:val="continue"/>
            <w:vAlign w:val="center"/>
          </w:tcPr>
          <w:p>
            <w:pPr>
              <w:spacing w:line="240" w:lineRule="auto"/>
              <w:jc w:val="center"/>
              <w:rPr>
                <w:sz w:val="18"/>
                <w:szCs w:val="18"/>
              </w:rPr>
            </w:pPr>
          </w:p>
        </w:tc>
        <w:tc>
          <w:tcPr>
            <w:tcW w:w="1390" w:type="dxa"/>
            <w:vAlign w:val="center"/>
          </w:tcPr>
          <w:p>
            <w:pPr>
              <w:spacing w:line="240" w:lineRule="auto"/>
              <w:jc w:val="center"/>
              <w:rPr>
                <w:sz w:val="18"/>
                <w:szCs w:val="18"/>
              </w:rPr>
            </w:pPr>
            <w:r>
              <w:rPr>
                <w:rFonts w:hint="eastAsia"/>
                <w:sz w:val="18"/>
                <w:szCs w:val="18"/>
              </w:rPr>
              <w:t>A1×B1</w:t>
            </w:r>
          </w:p>
        </w:tc>
        <w:tc>
          <w:tcPr>
            <w:tcW w:w="1391" w:type="dxa"/>
            <w:vAlign w:val="center"/>
          </w:tcPr>
          <w:p>
            <w:pPr>
              <w:spacing w:line="240" w:lineRule="auto"/>
              <w:jc w:val="center"/>
              <w:rPr>
                <w:sz w:val="18"/>
                <w:szCs w:val="18"/>
              </w:rPr>
            </w:pPr>
            <w:r>
              <w:rPr>
                <w:rFonts w:hint="eastAsia"/>
                <w:sz w:val="18"/>
                <w:szCs w:val="18"/>
              </w:rPr>
              <w:t>A2×B2</w:t>
            </w:r>
          </w:p>
        </w:tc>
        <w:tc>
          <w:tcPr>
            <w:tcW w:w="834" w:type="dxa"/>
            <w:vAlign w:val="center"/>
          </w:tcPr>
          <w:p>
            <w:pPr>
              <w:spacing w:line="240" w:lineRule="auto"/>
              <w:jc w:val="center"/>
              <w:rPr>
                <w:sz w:val="18"/>
                <w:szCs w:val="18"/>
              </w:rPr>
            </w:pPr>
            <w:r>
              <w:rPr>
                <w:rFonts w:hint="eastAsia"/>
                <w:sz w:val="18"/>
                <w:szCs w:val="18"/>
              </w:rPr>
              <w:t>b1×t1</w:t>
            </w:r>
          </w:p>
        </w:tc>
        <w:tc>
          <w:tcPr>
            <w:tcW w:w="835" w:type="dxa"/>
            <w:vAlign w:val="center"/>
          </w:tcPr>
          <w:p>
            <w:pPr>
              <w:spacing w:line="240" w:lineRule="auto"/>
              <w:jc w:val="center"/>
              <w:rPr>
                <w:sz w:val="18"/>
                <w:szCs w:val="18"/>
              </w:rPr>
            </w:pPr>
            <w:r>
              <w:rPr>
                <w:rFonts w:hint="eastAsia"/>
                <w:sz w:val="18"/>
                <w:szCs w:val="18"/>
              </w:rPr>
              <w:t>b2×t2</w:t>
            </w:r>
          </w:p>
        </w:tc>
        <w:tc>
          <w:tcPr>
            <w:tcW w:w="834" w:type="dxa"/>
            <w:vAlign w:val="center"/>
          </w:tcPr>
          <w:p>
            <w:pPr>
              <w:spacing w:line="240" w:lineRule="auto"/>
              <w:jc w:val="center"/>
              <w:rPr>
                <w:sz w:val="18"/>
                <w:szCs w:val="18"/>
              </w:rPr>
            </w:pPr>
            <w:r>
              <w:rPr>
                <w:rFonts w:hint="eastAsia"/>
                <w:sz w:val="18"/>
                <w:szCs w:val="18"/>
              </w:rPr>
              <w:t>b4×t4</w:t>
            </w:r>
          </w:p>
        </w:tc>
        <w:tc>
          <w:tcPr>
            <w:tcW w:w="838" w:type="dxa"/>
            <w:vAlign w:val="center"/>
          </w:tcPr>
          <w:p>
            <w:pPr>
              <w:spacing w:line="240" w:lineRule="auto"/>
              <w:jc w:val="center"/>
              <w:rPr>
                <w:sz w:val="18"/>
                <w:szCs w:val="18"/>
              </w:rPr>
            </w:pPr>
            <w:r>
              <w:rPr>
                <w:rFonts w:hint="eastAsia"/>
                <w:sz w:val="18"/>
                <w:szCs w:val="18"/>
              </w:rPr>
              <w:t>L1</w:t>
            </w:r>
          </w:p>
        </w:tc>
        <w:tc>
          <w:tcPr>
            <w:tcW w:w="1253" w:type="dxa"/>
            <w:vAlign w:val="center"/>
          </w:tcPr>
          <w:p>
            <w:pPr>
              <w:spacing w:line="240" w:lineRule="auto"/>
              <w:jc w:val="center"/>
              <w:rPr>
                <w:sz w:val="18"/>
                <w:szCs w:val="18"/>
              </w:rPr>
            </w:pPr>
            <w:r>
              <w:rPr>
                <w:rFonts w:hint="eastAsia"/>
                <w:sz w:val="18"/>
                <w:szCs w:val="18"/>
              </w:rPr>
              <w:t>A3×B3</w:t>
            </w:r>
          </w:p>
        </w:tc>
        <w:tc>
          <w:tcPr>
            <w:tcW w:w="835" w:type="dxa"/>
            <w:vAlign w:val="center"/>
          </w:tcPr>
          <w:p>
            <w:pPr>
              <w:spacing w:line="240" w:lineRule="auto"/>
              <w:jc w:val="center"/>
              <w:rPr>
                <w:sz w:val="18"/>
                <w:szCs w:val="18"/>
              </w:rPr>
            </w:pPr>
            <w:r>
              <w:rPr>
                <w:rFonts w:hint="eastAsia"/>
                <w:sz w:val="18"/>
                <w:szCs w:val="18"/>
              </w:rPr>
              <w:t>b3×t3</w:t>
            </w:r>
          </w:p>
        </w:tc>
        <w:tc>
          <w:tcPr>
            <w:tcW w:w="834" w:type="dxa"/>
            <w:vAlign w:val="center"/>
          </w:tcPr>
          <w:p>
            <w:pPr>
              <w:spacing w:line="240" w:lineRule="auto"/>
              <w:jc w:val="center"/>
              <w:rPr>
                <w:sz w:val="18"/>
                <w:szCs w:val="18"/>
              </w:rPr>
            </w:pPr>
            <w:r>
              <w:rPr>
                <w:rFonts w:hint="eastAsia"/>
                <w:sz w:val="18"/>
                <w:szCs w:val="18"/>
              </w:rPr>
              <w:t>t0</w:t>
            </w:r>
          </w:p>
        </w:tc>
        <w:tc>
          <w:tcPr>
            <w:tcW w:w="838" w:type="dxa"/>
            <w:vAlign w:val="center"/>
          </w:tcPr>
          <w:p>
            <w:pPr>
              <w:spacing w:line="240" w:lineRule="auto"/>
              <w:jc w:val="center"/>
              <w:rPr>
                <w:sz w:val="18"/>
                <w:szCs w:val="18"/>
              </w:rPr>
            </w:pPr>
            <w:r>
              <w:rPr>
                <w:rFonts w:hint="eastAsia"/>
                <w:sz w:val="18"/>
                <w:szCs w:val="18"/>
              </w:rPr>
              <w:t>L2</w:t>
            </w:r>
          </w:p>
        </w:tc>
        <w:tc>
          <w:tcPr>
            <w:tcW w:w="722" w:type="dxa"/>
            <w:vAlign w:val="center"/>
          </w:tcPr>
          <w:p>
            <w:pPr>
              <w:spacing w:line="240" w:lineRule="auto"/>
              <w:jc w:val="center"/>
              <w:rPr>
                <w:sz w:val="18"/>
                <w:szCs w:val="18"/>
              </w:rPr>
            </w:pPr>
            <w:r>
              <w:rPr>
                <w:rFonts w:hint="eastAsia"/>
                <w:sz w:val="18"/>
                <w:szCs w:val="18"/>
              </w:rPr>
              <w:t>L3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441" w:hRule="atLeast"/>
        </w:trPr>
        <w:tc>
          <w:tcPr>
            <w:tcW w:w="1254" w:type="dxa"/>
            <w:vAlign w:val="center"/>
          </w:tcPr>
          <w:p>
            <w:pPr>
              <w:spacing w:line="240" w:lineRule="auto"/>
              <w:jc w:val="center"/>
              <w:rPr>
                <w:sz w:val="18"/>
                <w:szCs w:val="18"/>
              </w:rPr>
            </w:pPr>
            <w:r>
              <w:rPr>
                <w:rFonts w:hint="eastAsia"/>
                <w:sz w:val="18"/>
                <w:szCs w:val="18"/>
              </w:rPr>
              <w:t>6000×4300</w:t>
            </w:r>
          </w:p>
        </w:tc>
        <w:tc>
          <w:tcPr>
            <w:tcW w:w="701" w:type="dxa"/>
            <w:vAlign w:val="center"/>
          </w:tcPr>
          <w:p>
            <w:pPr>
              <w:spacing w:line="240" w:lineRule="auto"/>
              <w:jc w:val="center"/>
              <w:rPr>
                <w:sz w:val="18"/>
                <w:szCs w:val="18"/>
              </w:rPr>
            </w:pPr>
            <w:r>
              <w:rPr>
                <w:rFonts w:hint="eastAsia"/>
                <w:sz w:val="18"/>
                <w:szCs w:val="18"/>
              </w:rPr>
              <w:t>500</w:t>
            </w:r>
          </w:p>
        </w:tc>
        <w:tc>
          <w:tcPr>
            <w:tcW w:w="1251" w:type="dxa"/>
            <w:vAlign w:val="center"/>
          </w:tcPr>
          <w:p>
            <w:pPr>
              <w:spacing w:line="240" w:lineRule="auto"/>
              <w:jc w:val="center"/>
              <w:rPr>
                <w:sz w:val="18"/>
                <w:szCs w:val="18"/>
              </w:rPr>
            </w:pPr>
            <w:r>
              <w:rPr>
                <w:rFonts w:hint="eastAsia"/>
                <w:sz w:val="18"/>
                <w:szCs w:val="18"/>
              </w:rPr>
              <w:t>5000×3300</w:t>
            </w:r>
          </w:p>
        </w:tc>
        <w:tc>
          <w:tcPr>
            <w:tcW w:w="1390" w:type="dxa"/>
            <w:vAlign w:val="center"/>
          </w:tcPr>
          <w:p>
            <w:pPr>
              <w:spacing w:line="240" w:lineRule="auto"/>
              <w:jc w:val="center"/>
              <w:rPr>
                <w:sz w:val="18"/>
                <w:szCs w:val="18"/>
              </w:rPr>
            </w:pPr>
            <w:r>
              <w:rPr>
                <w:rFonts w:hint="eastAsia"/>
                <w:sz w:val="18"/>
                <w:szCs w:val="18"/>
              </w:rPr>
              <w:t>5938×4238</w:t>
            </w:r>
          </w:p>
        </w:tc>
        <w:tc>
          <w:tcPr>
            <w:tcW w:w="1391" w:type="dxa"/>
            <w:vAlign w:val="center"/>
          </w:tcPr>
          <w:p>
            <w:pPr>
              <w:spacing w:line="240" w:lineRule="auto"/>
              <w:jc w:val="center"/>
              <w:rPr>
                <w:sz w:val="18"/>
                <w:szCs w:val="18"/>
              </w:rPr>
            </w:pPr>
            <w:r>
              <w:rPr>
                <w:rFonts w:hint="eastAsia"/>
                <w:sz w:val="18"/>
                <w:szCs w:val="18"/>
              </w:rPr>
              <w:t>5961×4261</w:t>
            </w:r>
          </w:p>
        </w:tc>
        <w:tc>
          <w:tcPr>
            <w:tcW w:w="834" w:type="dxa"/>
            <w:vAlign w:val="center"/>
          </w:tcPr>
          <w:p>
            <w:pPr>
              <w:spacing w:line="240" w:lineRule="auto"/>
              <w:jc w:val="center"/>
              <w:rPr>
                <w:sz w:val="18"/>
                <w:szCs w:val="18"/>
              </w:rPr>
            </w:pPr>
            <w:r>
              <w:rPr>
                <w:rFonts w:hint="eastAsia"/>
                <w:sz w:val="18"/>
                <w:szCs w:val="18"/>
              </w:rPr>
              <w:t>30×8</w:t>
            </w:r>
          </w:p>
        </w:tc>
        <w:tc>
          <w:tcPr>
            <w:tcW w:w="835" w:type="dxa"/>
            <w:vAlign w:val="center"/>
          </w:tcPr>
          <w:p>
            <w:pPr>
              <w:spacing w:line="240" w:lineRule="auto"/>
              <w:jc w:val="center"/>
              <w:rPr>
                <w:sz w:val="18"/>
                <w:szCs w:val="18"/>
              </w:rPr>
            </w:pPr>
            <w:r>
              <w:rPr>
                <w:rFonts w:hint="eastAsia"/>
                <w:sz w:val="18"/>
                <w:szCs w:val="18"/>
              </w:rPr>
              <w:t>65×10</w:t>
            </w:r>
          </w:p>
        </w:tc>
        <w:tc>
          <w:tcPr>
            <w:tcW w:w="834" w:type="dxa"/>
            <w:vAlign w:val="center"/>
          </w:tcPr>
          <w:p>
            <w:pPr>
              <w:spacing w:line="240" w:lineRule="auto"/>
              <w:jc w:val="center"/>
              <w:rPr>
                <w:sz w:val="18"/>
                <w:szCs w:val="18"/>
              </w:rPr>
            </w:pPr>
            <w:r>
              <w:rPr>
                <w:rFonts w:hint="eastAsia"/>
                <w:sz w:val="18"/>
                <w:szCs w:val="18"/>
              </w:rPr>
              <w:t>—</w:t>
            </w:r>
          </w:p>
        </w:tc>
        <w:tc>
          <w:tcPr>
            <w:tcW w:w="838" w:type="dxa"/>
            <w:vAlign w:val="center"/>
          </w:tcPr>
          <w:p>
            <w:pPr>
              <w:spacing w:line="240" w:lineRule="auto"/>
              <w:jc w:val="center"/>
              <w:rPr>
                <w:sz w:val="18"/>
                <w:szCs w:val="18"/>
              </w:rPr>
            </w:pPr>
            <w:r>
              <w:rPr>
                <w:rFonts w:hint="eastAsia"/>
                <w:sz w:val="18"/>
                <w:szCs w:val="18"/>
              </w:rPr>
              <w:t>191</w:t>
            </w:r>
          </w:p>
        </w:tc>
        <w:tc>
          <w:tcPr>
            <w:tcW w:w="1253" w:type="dxa"/>
            <w:vAlign w:val="center"/>
          </w:tcPr>
          <w:p>
            <w:pPr>
              <w:spacing w:line="240" w:lineRule="auto"/>
              <w:jc w:val="center"/>
              <w:rPr>
                <w:sz w:val="18"/>
                <w:szCs w:val="18"/>
              </w:rPr>
            </w:pPr>
            <w:r>
              <w:rPr>
                <w:rFonts w:hint="eastAsia"/>
                <w:sz w:val="18"/>
                <w:szCs w:val="18"/>
              </w:rPr>
              <w:t>5972×4272</w:t>
            </w:r>
          </w:p>
        </w:tc>
        <w:tc>
          <w:tcPr>
            <w:tcW w:w="835" w:type="dxa"/>
            <w:vAlign w:val="center"/>
          </w:tcPr>
          <w:p>
            <w:pPr>
              <w:spacing w:line="240" w:lineRule="auto"/>
              <w:jc w:val="center"/>
              <w:rPr>
                <w:sz w:val="18"/>
                <w:szCs w:val="18"/>
              </w:rPr>
            </w:pPr>
            <w:r>
              <w:rPr>
                <w:rFonts w:hint="eastAsia"/>
                <w:sz w:val="18"/>
                <w:szCs w:val="18"/>
              </w:rPr>
              <w:t>60×10</w:t>
            </w:r>
          </w:p>
        </w:tc>
        <w:tc>
          <w:tcPr>
            <w:tcW w:w="834" w:type="dxa"/>
            <w:vMerge w:val="restart"/>
            <w:vAlign w:val="center"/>
          </w:tcPr>
          <w:p>
            <w:pPr>
              <w:spacing w:line="240" w:lineRule="auto"/>
              <w:jc w:val="center"/>
              <w:rPr>
                <w:sz w:val="18"/>
                <w:szCs w:val="18"/>
              </w:rPr>
            </w:pPr>
            <w:r>
              <w:rPr>
                <w:rFonts w:hint="eastAsia"/>
                <w:sz w:val="18"/>
                <w:szCs w:val="18"/>
              </w:rPr>
              <w:t>≥12</w:t>
            </w:r>
          </w:p>
        </w:tc>
        <w:tc>
          <w:tcPr>
            <w:tcW w:w="838" w:type="dxa"/>
            <w:vMerge w:val="restart"/>
            <w:vAlign w:val="center"/>
          </w:tcPr>
          <w:p>
            <w:pPr>
              <w:spacing w:line="240" w:lineRule="auto"/>
              <w:jc w:val="center"/>
              <w:rPr>
                <w:sz w:val="18"/>
                <w:szCs w:val="18"/>
              </w:rPr>
            </w:pPr>
            <w:r>
              <w:rPr>
                <w:rFonts w:hint="eastAsia"/>
                <w:sz w:val="18"/>
                <w:szCs w:val="18"/>
              </w:rPr>
              <w:t>≥150</w:t>
            </w:r>
          </w:p>
        </w:tc>
        <w:tc>
          <w:tcPr>
            <w:tcW w:w="722" w:type="dxa"/>
            <w:vMerge w:val="restart"/>
            <w:vAlign w:val="center"/>
          </w:tcPr>
          <w:p>
            <w:pPr>
              <w:spacing w:line="240" w:lineRule="auto"/>
              <w:jc w:val="center"/>
              <w:rPr>
                <w:sz w:val="18"/>
                <w:szCs w:val="18"/>
              </w:rPr>
            </w:pPr>
            <w:r>
              <w:rPr>
                <w:rFonts w:hint="eastAsia"/>
                <w:sz w:val="18"/>
                <w:szCs w:val="18"/>
              </w:rPr>
              <w:t>≥325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441" w:hRule="atLeast"/>
        </w:trPr>
        <w:tc>
          <w:tcPr>
            <w:tcW w:w="1254" w:type="dxa"/>
            <w:vAlign w:val="center"/>
          </w:tcPr>
          <w:p>
            <w:pPr>
              <w:spacing w:line="240" w:lineRule="auto"/>
              <w:jc w:val="center"/>
              <w:rPr>
                <w:sz w:val="18"/>
                <w:szCs w:val="18"/>
              </w:rPr>
            </w:pPr>
            <w:r>
              <w:rPr>
                <w:rFonts w:hint="eastAsia"/>
                <w:sz w:val="18"/>
                <w:szCs w:val="18"/>
              </w:rPr>
              <w:t>6900×4900</w:t>
            </w:r>
          </w:p>
        </w:tc>
        <w:tc>
          <w:tcPr>
            <w:tcW w:w="701" w:type="dxa"/>
            <w:vAlign w:val="center"/>
          </w:tcPr>
          <w:p>
            <w:pPr>
              <w:spacing w:line="240" w:lineRule="auto"/>
              <w:jc w:val="center"/>
              <w:rPr>
                <w:sz w:val="18"/>
                <w:szCs w:val="18"/>
              </w:rPr>
            </w:pPr>
            <w:r>
              <w:rPr>
                <w:rFonts w:hint="eastAsia"/>
                <w:sz w:val="18"/>
                <w:szCs w:val="18"/>
              </w:rPr>
              <w:t>500</w:t>
            </w:r>
          </w:p>
        </w:tc>
        <w:tc>
          <w:tcPr>
            <w:tcW w:w="1251" w:type="dxa"/>
            <w:vAlign w:val="center"/>
          </w:tcPr>
          <w:p>
            <w:pPr>
              <w:spacing w:line="240" w:lineRule="auto"/>
              <w:jc w:val="center"/>
              <w:rPr>
                <w:sz w:val="18"/>
                <w:szCs w:val="18"/>
              </w:rPr>
            </w:pPr>
            <w:r>
              <w:rPr>
                <w:rFonts w:hint="eastAsia"/>
                <w:sz w:val="18"/>
                <w:szCs w:val="18"/>
              </w:rPr>
              <w:t>5900×3900</w:t>
            </w:r>
          </w:p>
        </w:tc>
        <w:tc>
          <w:tcPr>
            <w:tcW w:w="1390" w:type="dxa"/>
            <w:vAlign w:val="center"/>
          </w:tcPr>
          <w:p>
            <w:pPr>
              <w:spacing w:line="240" w:lineRule="auto"/>
              <w:jc w:val="center"/>
              <w:rPr>
                <w:sz w:val="18"/>
                <w:szCs w:val="18"/>
              </w:rPr>
            </w:pPr>
            <w:r>
              <w:rPr>
                <w:rFonts w:hint="eastAsia"/>
                <w:sz w:val="18"/>
                <w:szCs w:val="18"/>
              </w:rPr>
              <w:t>6838×4838</w:t>
            </w:r>
          </w:p>
        </w:tc>
        <w:tc>
          <w:tcPr>
            <w:tcW w:w="1391" w:type="dxa"/>
            <w:vAlign w:val="center"/>
          </w:tcPr>
          <w:p>
            <w:pPr>
              <w:spacing w:line="240" w:lineRule="auto"/>
              <w:jc w:val="center"/>
              <w:rPr>
                <w:sz w:val="18"/>
                <w:szCs w:val="18"/>
              </w:rPr>
            </w:pPr>
            <w:r>
              <w:rPr>
                <w:rFonts w:hint="eastAsia"/>
                <w:sz w:val="18"/>
                <w:szCs w:val="18"/>
              </w:rPr>
              <w:t>6861×4861</w:t>
            </w:r>
          </w:p>
        </w:tc>
        <w:tc>
          <w:tcPr>
            <w:tcW w:w="834" w:type="dxa"/>
            <w:vAlign w:val="center"/>
          </w:tcPr>
          <w:p>
            <w:pPr>
              <w:spacing w:line="240" w:lineRule="auto"/>
              <w:jc w:val="center"/>
              <w:rPr>
                <w:sz w:val="18"/>
                <w:szCs w:val="18"/>
              </w:rPr>
            </w:pPr>
            <w:r>
              <w:rPr>
                <w:rFonts w:hint="eastAsia"/>
                <w:sz w:val="18"/>
                <w:szCs w:val="18"/>
              </w:rPr>
              <w:t>30×8</w:t>
            </w:r>
          </w:p>
        </w:tc>
        <w:tc>
          <w:tcPr>
            <w:tcW w:w="835" w:type="dxa"/>
            <w:vAlign w:val="center"/>
          </w:tcPr>
          <w:p>
            <w:pPr>
              <w:spacing w:line="240" w:lineRule="auto"/>
              <w:jc w:val="center"/>
              <w:rPr>
                <w:sz w:val="18"/>
                <w:szCs w:val="18"/>
              </w:rPr>
            </w:pPr>
            <w:r>
              <w:rPr>
                <w:rFonts w:hint="eastAsia"/>
                <w:sz w:val="18"/>
                <w:szCs w:val="18"/>
              </w:rPr>
              <w:t>65×10</w:t>
            </w:r>
          </w:p>
        </w:tc>
        <w:tc>
          <w:tcPr>
            <w:tcW w:w="834" w:type="dxa"/>
            <w:vAlign w:val="center"/>
          </w:tcPr>
          <w:p>
            <w:pPr>
              <w:spacing w:line="240" w:lineRule="auto"/>
              <w:jc w:val="center"/>
              <w:rPr>
                <w:sz w:val="18"/>
                <w:szCs w:val="18"/>
              </w:rPr>
            </w:pPr>
            <w:r>
              <w:rPr>
                <w:rFonts w:hint="eastAsia"/>
                <w:sz w:val="18"/>
                <w:szCs w:val="18"/>
              </w:rPr>
              <w:t>—</w:t>
            </w:r>
          </w:p>
        </w:tc>
        <w:tc>
          <w:tcPr>
            <w:tcW w:w="838" w:type="dxa"/>
            <w:vAlign w:val="center"/>
          </w:tcPr>
          <w:p>
            <w:pPr>
              <w:spacing w:line="240" w:lineRule="auto"/>
              <w:jc w:val="center"/>
              <w:rPr>
                <w:sz w:val="18"/>
                <w:szCs w:val="18"/>
              </w:rPr>
            </w:pPr>
            <w:r>
              <w:rPr>
                <w:rFonts w:hint="eastAsia"/>
                <w:sz w:val="18"/>
                <w:szCs w:val="18"/>
              </w:rPr>
              <w:t>191</w:t>
            </w:r>
          </w:p>
        </w:tc>
        <w:tc>
          <w:tcPr>
            <w:tcW w:w="1253" w:type="dxa"/>
            <w:vAlign w:val="center"/>
          </w:tcPr>
          <w:p>
            <w:pPr>
              <w:spacing w:line="240" w:lineRule="auto"/>
              <w:jc w:val="center"/>
              <w:rPr>
                <w:sz w:val="18"/>
                <w:szCs w:val="18"/>
              </w:rPr>
            </w:pPr>
            <w:r>
              <w:rPr>
                <w:rFonts w:hint="eastAsia"/>
                <w:sz w:val="18"/>
                <w:szCs w:val="18"/>
              </w:rPr>
              <w:t>6872×4872</w:t>
            </w:r>
          </w:p>
        </w:tc>
        <w:tc>
          <w:tcPr>
            <w:tcW w:w="835" w:type="dxa"/>
            <w:vAlign w:val="center"/>
          </w:tcPr>
          <w:p>
            <w:pPr>
              <w:spacing w:line="240" w:lineRule="auto"/>
              <w:jc w:val="center"/>
              <w:rPr>
                <w:sz w:val="18"/>
                <w:szCs w:val="18"/>
              </w:rPr>
            </w:pPr>
            <w:r>
              <w:rPr>
                <w:rFonts w:hint="eastAsia"/>
                <w:sz w:val="18"/>
                <w:szCs w:val="18"/>
              </w:rPr>
              <w:t>60×10</w:t>
            </w:r>
          </w:p>
        </w:tc>
        <w:tc>
          <w:tcPr>
            <w:tcW w:w="834" w:type="dxa"/>
            <w:vMerge w:val="continue"/>
            <w:vAlign w:val="center"/>
          </w:tcPr>
          <w:p>
            <w:pPr>
              <w:spacing w:line="240" w:lineRule="auto"/>
              <w:jc w:val="center"/>
              <w:rPr>
                <w:sz w:val="18"/>
                <w:szCs w:val="18"/>
              </w:rPr>
            </w:pPr>
          </w:p>
        </w:tc>
        <w:tc>
          <w:tcPr>
            <w:tcW w:w="838" w:type="dxa"/>
            <w:vMerge w:val="continue"/>
            <w:vAlign w:val="center"/>
          </w:tcPr>
          <w:p>
            <w:pPr>
              <w:spacing w:line="240" w:lineRule="auto"/>
              <w:jc w:val="center"/>
              <w:rPr>
                <w:sz w:val="18"/>
                <w:szCs w:val="18"/>
              </w:rPr>
            </w:pPr>
          </w:p>
        </w:tc>
        <w:tc>
          <w:tcPr>
            <w:tcW w:w="722" w:type="dxa"/>
            <w:vMerge w:val="continue"/>
            <w:vAlign w:val="center"/>
          </w:tcPr>
          <w:p>
            <w:pPr>
              <w:spacing w:line="240" w:lineRule="auto"/>
              <w:jc w:val="center"/>
              <w:rPr>
                <w:sz w:val="18"/>
                <w:szCs w:val="18"/>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441" w:hRule="atLeast"/>
        </w:trPr>
        <w:tc>
          <w:tcPr>
            <w:tcW w:w="1254" w:type="dxa"/>
            <w:vAlign w:val="center"/>
          </w:tcPr>
          <w:p>
            <w:pPr>
              <w:spacing w:line="240" w:lineRule="auto"/>
              <w:jc w:val="center"/>
              <w:rPr>
                <w:sz w:val="18"/>
                <w:szCs w:val="18"/>
              </w:rPr>
            </w:pPr>
            <w:r>
              <w:rPr>
                <w:rFonts w:hint="eastAsia"/>
                <w:sz w:val="18"/>
                <w:szCs w:val="18"/>
              </w:rPr>
              <w:t>7</w:t>
            </w:r>
            <w:r>
              <w:rPr>
                <w:sz w:val="18"/>
                <w:szCs w:val="18"/>
              </w:rPr>
              <w:t>0</w:t>
            </w:r>
            <w:r>
              <w:rPr>
                <w:rFonts w:hint="eastAsia"/>
                <w:sz w:val="18"/>
                <w:szCs w:val="18"/>
              </w:rPr>
              <w:t>00×</w:t>
            </w:r>
            <w:r>
              <w:rPr>
                <w:sz w:val="18"/>
                <w:szCs w:val="18"/>
              </w:rPr>
              <w:t>50</w:t>
            </w:r>
            <w:r>
              <w:rPr>
                <w:rFonts w:hint="eastAsia"/>
                <w:sz w:val="18"/>
                <w:szCs w:val="18"/>
              </w:rPr>
              <w:t>00</w:t>
            </w:r>
          </w:p>
        </w:tc>
        <w:tc>
          <w:tcPr>
            <w:tcW w:w="701" w:type="dxa"/>
            <w:vAlign w:val="center"/>
          </w:tcPr>
          <w:p>
            <w:pPr>
              <w:spacing w:line="240" w:lineRule="auto"/>
              <w:jc w:val="center"/>
              <w:rPr>
                <w:sz w:val="18"/>
                <w:szCs w:val="18"/>
              </w:rPr>
            </w:pPr>
            <w:r>
              <w:rPr>
                <w:rFonts w:hint="eastAsia"/>
                <w:sz w:val="18"/>
                <w:szCs w:val="18"/>
              </w:rPr>
              <w:t>6</w:t>
            </w:r>
            <w:r>
              <w:rPr>
                <w:sz w:val="18"/>
                <w:szCs w:val="18"/>
              </w:rPr>
              <w:t>00</w:t>
            </w:r>
          </w:p>
        </w:tc>
        <w:tc>
          <w:tcPr>
            <w:tcW w:w="1251" w:type="dxa"/>
            <w:vAlign w:val="center"/>
          </w:tcPr>
          <w:p>
            <w:pPr>
              <w:spacing w:line="240" w:lineRule="auto"/>
              <w:jc w:val="center"/>
              <w:rPr>
                <w:sz w:val="18"/>
                <w:szCs w:val="18"/>
              </w:rPr>
            </w:pPr>
            <w:r>
              <w:rPr>
                <w:sz w:val="18"/>
                <w:szCs w:val="18"/>
              </w:rPr>
              <w:t>5800</w:t>
            </w:r>
            <w:r>
              <w:rPr>
                <w:rFonts w:hint="eastAsia"/>
                <w:sz w:val="18"/>
                <w:szCs w:val="18"/>
              </w:rPr>
              <w:t>×3</w:t>
            </w:r>
            <w:r>
              <w:rPr>
                <w:sz w:val="18"/>
                <w:szCs w:val="18"/>
              </w:rPr>
              <w:t>8</w:t>
            </w:r>
            <w:r>
              <w:rPr>
                <w:rFonts w:hint="eastAsia"/>
                <w:sz w:val="18"/>
                <w:szCs w:val="18"/>
              </w:rPr>
              <w:t>00</w:t>
            </w:r>
          </w:p>
        </w:tc>
        <w:tc>
          <w:tcPr>
            <w:tcW w:w="1390" w:type="dxa"/>
            <w:vAlign w:val="center"/>
          </w:tcPr>
          <w:p>
            <w:pPr>
              <w:spacing w:line="240" w:lineRule="auto"/>
              <w:jc w:val="center"/>
              <w:rPr>
                <w:sz w:val="18"/>
                <w:szCs w:val="18"/>
              </w:rPr>
            </w:pPr>
            <w:r>
              <w:rPr>
                <w:rFonts w:hint="eastAsia"/>
                <w:sz w:val="18"/>
                <w:szCs w:val="18"/>
              </w:rPr>
              <w:t>6</w:t>
            </w:r>
            <w:r>
              <w:rPr>
                <w:sz w:val="18"/>
                <w:szCs w:val="18"/>
              </w:rPr>
              <w:t>9</w:t>
            </w:r>
            <w:r>
              <w:rPr>
                <w:rFonts w:hint="eastAsia"/>
                <w:sz w:val="18"/>
                <w:szCs w:val="18"/>
              </w:rPr>
              <w:t>38×4</w:t>
            </w:r>
            <w:r>
              <w:rPr>
                <w:sz w:val="18"/>
                <w:szCs w:val="18"/>
              </w:rPr>
              <w:t>9</w:t>
            </w:r>
            <w:r>
              <w:rPr>
                <w:rFonts w:hint="eastAsia"/>
                <w:sz w:val="18"/>
                <w:szCs w:val="18"/>
              </w:rPr>
              <w:t>38</w:t>
            </w:r>
          </w:p>
        </w:tc>
        <w:tc>
          <w:tcPr>
            <w:tcW w:w="1391" w:type="dxa"/>
            <w:vAlign w:val="center"/>
          </w:tcPr>
          <w:p>
            <w:pPr>
              <w:spacing w:line="240" w:lineRule="auto"/>
              <w:jc w:val="center"/>
              <w:rPr>
                <w:sz w:val="18"/>
                <w:szCs w:val="18"/>
              </w:rPr>
            </w:pPr>
            <w:r>
              <w:rPr>
                <w:rFonts w:hint="eastAsia"/>
                <w:sz w:val="18"/>
                <w:szCs w:val="18"/>
              </w:rPr>
              <w:t>6</w:t>
            </w:r>
            <w:r>
              <w:rPr>
                <w:sz w:val="18"/>
                <w:szCs w:val="18"/>
              </w:rPr>
              <w:t>9</w:t>
            </w:r>
            <w:r>
              <w:rPr>
                <w:rFonts w:hint="eastAsia"/>
                <w:sz w:val="18"/>
                <w:szCs w:val="18"/>
              </w:rPr>
              <w:t>61×4</w:t>
            </w:r>
            <w:r>
              <w:rPr>
                <w:sz w:val="18"/>
                <w:szCs w:val="18"/>
              </w:rPr>
              <w:t>9</w:t>
            </w:r>
            <w:r>
              <w:rPr>
                <w:rFonts w:hint="eastAsia"/>
                <w:sz w:val="18"/>
                <w:szCs w:val="18"/>
              </w:rPr>
              <w:t>61</w:t>
            </w:r>
          </w:p>
        </w:tc>
        <w:tc>
          <w:tcPr>
            <w:tcW w:w="834" w:type="dxa"/>
            <w:vAlign w:val="center"/>
          </w:tcPr>
          <w:p>
            <w:pPr>
              <w:spacing w:line="240" w:lineRule="auto"/>
              <w:jc w:val="center"/>
              <w:rPr>
                <w:sz w:val="18"/>
                <w:szCs w:val="18"/>
              </w:rPr>
            </w:pPr>
            <w:r>
              <w:rPr>
                <w:rFonts w:hint="eastAsia"/>
                <w:sz w:val="18"/>
                <w:szCs w:val="18"/>
              </w:rPr>
              <w:t>30×8</w:t>
            </w:r>
          </w:p>
        </w:tc>
        <w:tc>
          <w:tcPr>
            <w:tcW w:w="835" w:type="dxa"/>
            <w:vAlign w:val="center"/>
          </w:tcPr>
          <w:p>
            <w:pPr>
              <w:spacing w:line="240" w:lineRule="auto"/>
              <w:jc w:val="center"/>
              <w:rPr>
                <w:sz w:val="18"/>
                <w:szCs w:val="18"/>
              </w:rPr>
            </w:pPr>
            <w:r>
              <w:rPr>
                <w:rFonts w:hint="eastAsia"/>
                <w:sz w:val="18"/>
                <w:szCs w:val="18"/>
              </w:rPr>
              <w:t>65×10</w:t>
            </w:r>
          </w:p>
        </w:tc>
        <w:tc>
          <w:tcPr>
            <w:tcW w:w="834" w:type="dxa"/>
            <w:vAlign w:val="center"/>
          </w:tcPr>
          <w:p>
            <w:pPr>
              <w:spacing w:line="240" w:lineRule="auto"/>
              <w:jc w:val="center"/>
              <w:rPr>
                <w:sz w:val="18"/>
                <w:szCs w:val="18"/>
              </w:rPr>
            </w:pPr>
            <w:r>
              <w:rPr>
                <w:rFonts w:hint="eastAsia"/>
                <w:sz w:val="18"/>
                <w:szCs w:val="18"/>
              </w:rPr>
              <w:t>—</w:t>
            </w:r>
          </w:p>
        </w:tc>
        <w:tc>
          <w:tcPr>
            <w:tcW w:w="838" w:type="dxa"/>
            <w:vAlign w:val="center"/>
          </w:tcPr>
          <w:p>
            <w:pPr>
              <w:spacing w:line="240" w:lineRule="auto"/>
              <w:jc w:val="center"/>
              <w:rPr>
                <w:sz w:val="18"/>
                <w:szCs w:val="18"/>
              </w:rPr>
            </w:pPr>
            <w:r>
              <w:rPr>
                <w:rFonts w:hint="eastAsia"/>
                <w:sz w:val="18"/>
                <w:szCs w:val="18"/>
              </w:rPr>
              <w:t>1</w:t>
            </w:r>
            <w:r>
              <w:rPr>
                <w:sz w:val="18"/>
                <w:szCs w:val="18"/>
              </w:rPr>
              <w:t>91</w:t>
            </w:r>
          </w:p>
        </w:tc>
        <w:tc>
          <w:tcPr>
            <w:tcW w:w="1253" w:type="dxa"/>
            <w:vAlign w:val="center"/>
          </w:tcPr>
          <w:p>
            <w:pPr>
              <w:spacing w:line="240" w:lineRule="auto"/>
              <w:jc w:val="center"/>
              <w:rPr>
                <w:sz w:val="18"/>
                <w:szCs w:val="18"/>
              </w:rPr>
            </w:pPr>
            <w:r>
              <w:rPr>
                <w:rFonts w:hint="eastAsia"/>
                <w:sz w:val="18"/>
                <w:szCs w:val="18"/>
              </w:rPr>
              <w:t>6</w:t>
            </w:r>
            <w:r>
              <w:rPr>
                <w:sz w:val="18"/>
                <w:szCs w:val="18"/>
              </w:rPr>
              <w:t>9</w:t>
            </w:r>
            <w:r>
              <w:rPr>
                <w:rFonts w:hint="eastAsia"/>
                <w:sz w:val="18"/>
                <w:szCs w:val="18"/>
              </w:rPr>
              <w:t>72×4</w:t>
            </w:r>
            <w:r>
              <w:rPr>
                <w:sz w:val="18"/>
                <w:szCs w:val="18"/>
              </w:rPr>
              <w:t>9</w:t>
            </w:r>
            <w:r>
              <w:rPr>
                <w:rFonts w:hint="eastAsia"/>
                <w:sz w:val="18"/>
                <w:szCs w:val="18"/>
              </w:rPr>
              <w:t>72</w:t>
            </w:r>
          </w:p>
        </w:tc>
        <w:tc>
          <w:tcPr>
            <w:tcW w:w="835" w:type="dxa"/>
            <w:vAlign w:val="center"/>
          </w:tcPr>
          <w:p>
            <w:pPr>
              <w:spacing w:line="240" w:lineRule="auto"/>
              <w:jc w:val="center"/>
              <w:rPr>
                <w:sz w:val="18"/>
                <w:szCs w:val="18"/>
              </w:rPr>
            </w:pPr>
            <w:r>
              <w:rPr>
                <w:rFonts w:hint="eastAsia"/>
                <w:sz w:val="18"/>
                <w:szCs w:val="18"/>
              </w:rPr>
              <w:t>60×10</w:t>
            </w:r>
          </w:p>
        </w:tc>
        <w:tc>
          <w:tcPr>
            <w:tcW w:w="834" w:type="dxa"/>
            <w:vMerge w:val="continue"/>
            <w:vAlign w:val="center"/>
          </w:tcPr>
          <w:p>
            <w:pPr>
              <w:spacing w:line="240" w:lineRule="auto"/>
              <w:jc w:val="center"/>
              <w:rPr>
                <w:sz w:val="18"/>
                <w:szCs w:val="18"/>
              </w:rPr>
            </w:pPr>
          </w:p>
        </w:tc>
        <w:tc>
          <w:tcPr>
            <w:tcW w:w="838" w:type="dxa"/>
            <w:vMerge w:val="continue"/>
            <w:vAlign w:val="center"/>
          </w:tcPr>
          <w:p>
            <w:pPr>
              <w:spacing w:line="240" w:lineRule="auto"/>
              <w:jc w:val="center"/>
              <w:rPr>
                <w:sz w:val="18"/>
                <w:szCs w:val="18"/>
              </w:rPr>
            </w:pPr>
          </w:p>
        </w:tc>
        <w:tc>
          <w:tcPr>
            <w:tcW w:w="722" w:type="dxa"/>
            <w:vMerge w:val="continue"/>
            <w:vAlign w:val="center"/>
          </w:tcPr>
          <w:p>
            <w:pPr>
              <w:spacing w:line="240" w:lineRule="auto"/>
              <w:jc w:val="center"/>
              <w:rPr>
                <w:sz w:val="18"/>
                <w:szCs w:val="18"/>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441" w:hRule="atLeast"/>
        </w:trPr>
        <w:tc>
          <w:tcPr>
            <w:tcW w:w="1254" w:type="dxa"/>
            <w:vAlign w:val="center"/>
          </w:tcPr>
          <w:p>
            <w:pPr>
              <w:spacing w:line="240" w:lineRule="auto"/>
              <w:jc w:val="center"/>
              <w:rPr>
                <w:sz w:val="18"/>
                <w:szCs w:val="18"/>
              </w:rPr>
            </w:pPr>
            <w:r>
              <w:rPr>
                <w:rFonts w:hint="eastAsia"/>
                <w:sz w:val="18"/>
                <w:szCs w:val="18"/>
              </w:rPr>
              <w:t>7400×4400</w:t>
            </w:r>
          </w:p>
        </w:tc>
        <w:tc>
          <w:tcPr>
            <w:tcW w:w="701" w:type="dxa"/>
            <w:vAlign w:val="center"/>
          </w:tcPr>
          <w:p>
            <w:pPr>
              <w:spacing w:line="240" w:lineRule="auto"/>
              <w:jc w:val="center"/>
              <w:rPr>
                <w:sz w:val="18"/>
                <w:szCs w:val="18"/>
              </w:rPr>
            </w:pPr>
            <w:r>
              <w:rPr>
                <w:rFonts w:hint="eastAsia"/>
                <w:sz w:val="18"/>
                <w:szCs w:val="18"/>
              </w:rPr>
              <w:t>600</w:t>
            </w:r>
          </w:p>
        </w:tc>
        <w:tc>
          <w:tcPr>
            <w:tcW w:w="1251" w:type="dxa"/>
            <w:vAlign w:val="center"/>
          </w:tcPr>
          <w:p>
            <w:pPr>
              <w:spacing w:line="240" w:lineRule="auto"/>
              <w:jc w:val="center"/>
              <w:rPr>
                <w:sz w:val="18"/>
                <w:szCs w:val="18"/>
              </w:rPr>
            </w:pPr>
            <w:r>
              <w:rPr>
                <w:rFonts w:hint="eastAsia"/>
                <w:sz w:val="18"/>
                <w:szCs w:val="18"/>
              </w:rPr>
              <w:t>6200×3200</w:t>
            </w:r>
          </w:p>
        </w:tc>
        <w:tc>
          <w:tcPr>
            <w:tcW w:w="1390" w:type="dxa"/>
            <w:vAlign w:val="center"/>
          </w:tcPr>
          <w:p>
            <w:pPr>
              <w:spacing w:line="240" w:lineRule="auto"/>
              <w:jc w:val="center"/>
              <w:rPr>
                <w:sz w:val="18"/>
                <w:szCs w:val="18"/>
              </w:rPr>
            </w:pPr>
            <w:r>
              <w:rPr>
                <w:rFonts w:hint="eastAsia"/>
                <w:sz w:val="18"/>
                <w:szCs w:val="18"/>
              </w:rPr>
              <w:t>7338×4338</w:t>
            </w:r>
          </w:p>
        </w:tc>
        <w:tc>
          <w:tcPr>
            <w:tcW w:w="1391" w:type="dxa"/>
            <w:vAlign w:val="center"/>
          </w:tcPr>
          <w:p>
            <w:pPr>
              <w:spacing w:line="240" w:lineRule="auto"/>
              <w:jc w:val="center"/>
              <w:rPr>
                <w:sz w:val="18"/>
                <w:szCs w:val="18"/>
              </w:rPr>
            </w:pPr>
            <w:r>
              <w:rPr>
                <w:rFonts w:hint="eastAsia"/>
                <w:sz w:val="18"/>
                <w:szCs w:val="18"/>
              </w:rPr>
              <w:t>7361×4361</w:t>
            </w:r>
          </w:p>
        </w:tc>
        <w:tc>
          <w:tcPr>
            <w:tcW w:w="834" w:type="dxa"/>
            <w:vAlign w:val="center"/>
          </w:tcPr>
          <w:p>
            <w:pPr>
              <w:spacing w:line="240" w:lineRule="auto"/>
              <w:jc w:val="center"/>
              <w:rPr>
                <w:sz w:val="18"/>
                <w:szCs w:val="18"/>
              </w:rPr>
            </w:pPr>
            <w:r>
              <w:rPr>
                <w:rFonts w:hint="eastAsia"/>
                <w:sz w:val="18"/>
                <w:szCs w:val="18"/>
              </w:rPr>
              <w:t>30×8</w:t>
            </w:r>
          </w:p>
        </w:tc>
        <w:tc>
          <w:tcPr>
            <w:tcW w:w="835" w:type="dxa"/>
            <w:vAlign w:val="center"/>
          </w:tcPr>
          <w:p>
            <w:pPr>
              <w:spacing w:line="240" w:lineRule="auto"/>
              <w:jc w:val="center"/>
              <w:rPr>
                <w:sz w:val="18"/>
                <w:szCs w:val="18"/>
              </w:rPr>
            </w:pPr>
            <w:r>
              <w:rPr>
                <w:rFonts w:hint="eastAsia"/>
                <w:sz w:val="18"/>
                <w:szCs w:val="18"/>
              </w:rPr>
              <w:t>65×10</w:t>
            </w:r>
          </w:p>
        </w:tc>
        <w:tc>
          <w:tcPr>
            <w:tcW w:w="834" w:type="dxa"/>
            <w:vAlign w:val="center"/>
          </w:tcPr>
          <w:p>
            <w:pPr>
              <w:spacing w:line="240" w:lineRule="auto"/>
              <w:jc w:val="center"/>
              <w:rPr>
                <w:sz w:val="18"/>
                <w:szCs w:val="18"/>
              </w:rPr>
            </w:pPr>
            <w:r>
              <w:rPr>
                <w:rFonts w:hint="eastAsia"/>
                <w:sz w:val="18"/>
                <w:szCs w:val="18"/>
              </w:rPr>
              <w:t>—</w:t>
            </w:r>
          </w:p>
        </w:tc>
        <w:tc>
          <w:tcPr>
            <w:tcW w:w="838" w:type="dxa"/>
            <w:vAlign w:val="center"/>
          </w:tcPr>
          <w:p>
            <w:pPr>
              <w:spacing w:line="240" w:lineRule="auto"/>
              <w:jc w:val="center"/>
              <w:rPr>
                <w:sz w:val="18"/>
                <w:szCs w:val="18"/>
              </w:rPr>
            </w:pPr>
            <w:r>
              <w:rPr>
                <w:rFonts w:hint="eastAsia"/>
                <w:sz w:val="18"/>
                <w:szCs w:val="18"/>
              </w:rPr>
              <w:t>191</w:t>
            </w:r>
          </w:p>
        </w:tc>
        <w:tc>
          <w:tcPr>
            <w:tcW w:w="1253" w:type="dxa"/>
            <w:vAlign w:val="center"/>
          </w:tcPr>
          <w:p>
            <w:pPr>
              <w:spacing w:line="240" w:lineRule="auto"/>
              <w:jc w:val="center"/>
              <w:rPr>
                <w:sz w:val="18"/>
                <w:szCs w:val="18"/>
              </w:rPr>
            </w:pPr>
            <w:r>
              <w:rPr>
                <w:rFonts w:hint="eastAsia"/>
                <w:sz w:val="18"/>
                <w:szCs w:val="18"/>
              </w:rPr>
              <w:t>7372×4372</w:t>
            </w:r>
          </w:p>
        </w:tc>
        <w:tc>
          <w:tcPr>
            <w:tcW w:w="835" w:type="dxa"/>
            <w:vAlign w:val="center"/>
          </w:tcPr>
          <w:p>
            <w:pPr>
              <w:spacing w:line="240" w:lineRule="auto"/>
              <w:jc w:val="center"/>
              <w:rPr>
                <w:sz w:val="18"/>
                <w:szCs w:val="18"/>
              </w:rPr>
            </w:pPr>
            <w:r>
              <w:rPr>
                <w:rFonts w:hint="eastAsia"/>
                <w:sz w:val="18"/>
                <w:szCs w:val="18"/>
              </w:rPr>
              <w:t>60×10</w:t>
            </w:r>
          </w:p>
        </w:tc>
        <w:tc>
          <w:tcPr>
            <w:tcW w:w="834" w:type="dxa"/>
            <w:vMerge w:val="continue"/>
            <w:vAlign w:val="center"/>
          </w:tcPr>
          <w:p>
            <w:pPr>
              <w:spacing w:line="240" w:lineRule="auto"/>
              <w:jc w:val="center"/>
              <w:rPr>
                <w:sz w:val="18"/>
                <w:szCs w:val="18"/>
              </w:rPr>
            </w:pPr>
          </w:p>
        </w:tc>
        <w:tc>
          <w:tcPr>
            <w:tcW w:w="838" w:type="dxa"/>
            <w:vMerge w:val="continue"/>
            <w:vAlign w:val="center"/>
          </w:tcPr>
          <w:p>
            <w:pPr>
              <w:spacing w:line="240" w:lineRule="auto"/>
              <w:jc w:val="center"/>
              <w:rPr>
                <w:sz w:val="18"/>
                <w:szCs w:val="18"/>
              </w:rPr>
            </w:pPr>
          </w:p>
        </w:tc>
        <w:tc>
          <w:tcPr>
            <w:tcW w:w="722" w:type="dxa"/>
            <w:vMerge w:val="continue"/>
            <w:vAlign w:val="center"/>
          </w:tcPr>
          <w:p>
            <w:pPr>
              <w:spacing w:line="240" w:lineRule="auto"/>
              <w:jc w:val="center"/>
              <w:rPr>
                <w:sz w:val="18"/>
                <w:szCs w:val="18"/>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441" w:hRule="atLeast"/>
        </w:trPr>
        <w:tc>
          <w:tcPr>
            <w:tcW w:w="1254" w:type="dxa"/>
            <w:vAlign w:val="center"/>
          </w:tcPr>
          <w:p>
            <w:pPr>
              <w:spacing w:line="240" w:lineRule="auto"/>
              <w:jc w:val="center"/>
              <w:rPr>
                <w:sz w:val="18"/>
                <w:szCs w:val="18"/>
              </w:rPr>
            </w:pPr>
            <w:r>
              <w:rPr>
                <w:rFonts w:hint="eastAsia"/>
                <w:sz w:val="18"/>
                <w:szCs w:val="18"/>
              </w:rPr>
              <w:t>7400×6300</w:t>
            </w:r>
          </w:p>
        </w:tc>
        <w:tc>
          <w:tcPr>
            <w:tcW w:w="701" w:type="dxa"/>
            <w:vAlign w:val="center"/>
          </w:tcPr>
          <w:p>
            <w:pPr>
              <w:spacing w:line="240" w:lineRule="auto"/>
              <w:jc w:val="center"/>
              <w:rPr>
                <w:sz w:val="18"/>
                <w:szCs w:val="18"/>
              </w:rPr>
            </w:pPr>
            <w:r>
              <w:rPr>
                <w:rFonts w:hint="eastAsia"/>
                <w:sz w:val="18"/>
                <w:szCs w:val="18"/>
              </w:rPr>
              <w:t>600</w:t>
            </w:r>
          </w:p>
        </w:tc>
        <w:tc>
          <w:tcPr>
            <w:tcW w:w="1251" w:type="dxa"/>
            <w:vAlign w:val="center"/>
          </w:tcPr>
          <w:p>
            <w:pPr>
              <w:spacing w:line="240" w:lineRule="auto"/>
              <w:jc w:val="center"/>
              <w:rPr>
                <w:sz w:val="18"/>
                <w:szCs w:val="18"/>
              </w:rPr>
            </w:pPr>
            <w:r>
              <w:rPr>
                <w:rFonts w:hint="eastAsia"/>
                <w:sz w:val="18"/>
                <w:szCs w:val="18"/>
              </w:rPr>
              <w:t>6200×5100</w:t>
            </w:r>
          </w:p>
        </w:tc>
        <w:tc>
          <w:tcPr>
            <w:tcW w:w="1390" w:type="dxa"/>
            <w:vAlign w:val="center"/>
          </w:tcPr>
          <w:p>
            <w:pPr>
              <w:spacing w:line="240" w:lineRule="auto"/>
              <w:jc w:val="center"/>
              <w:rPr>
                <w:sz w:val="18"/>
                <w:szCs w:val="18"/>
              </w:rPr>
            </w:pPr>
            <w:r>
              <w:rPr>
                <w:rFonts w:hint="eastAsia"/>
                <w:sz w:val="18"/>
                <w:szCs w:val="18"/>
              </w:rPr>
              <w:t>7338×6238</w:t>
            </w:r>
          </w:p>
        </w:tc>
        <w:tc>
          <w:tcPr>
            <w:tcW w:w="1391" w:type="dxa"/>
            <w:vAlign w:val="center"/>
          </w:tcPr>
          <w:p>
            <w:pPr>
              <w:spacing w:line="240" w:lineRule="auto"/>
              <w:jc w:val="center"/>
              <w:rPr>
                <w:sz w:val="18"/>
                <w:szCs w:val="18"/>
              </w:rPr>
            </w:pPr>
            <w:r>
              <w:rPr>
                <w:rFonts w:hint="eastAsia"/>
                <w:sz w:val="18"/>
                <w:szCs w:val="18"/>
              </w:rPr>
              <w:t>7361×6261</w:t>
            </w:r>
          </w:p>
        </w:tc>
        <w:tc>
          <w:tcPr>
            <w:tcW w:w="834" w:type="dxa"/>
            <w:vAlign w:val="center"/>
          </w:tcPr>
          <w:p>
            <w:pPr>
              <w:spacing w:line="240" w:lineRule="auto"/>
              <w:jc w:val="center"/>
              <w:rPr>
                <w:sz w:val="18"/>
                <w:szCs w:val="18"/>
              </w:rPr>
            </w:pPr>
            <w:r>
              <w:rPr>
                <w:rFonts w:hint="eastAsia"/>
                <w:sz w:val="18"/>
                <w:szCs w:val="18"/>
              </w:rPr>
              <w:t>30×8</w:t>
            </w:r>
          </w:p>
        </w:tc>
        <w:tc>
          <w:tcPr>
            <w:tcW w:w="835" w:type="dxa"/>
            <w:vAlign w:val="center"/>
          </w:tcPr>
          <w:p>
            <w:pPr>
              <w:spacing w:line="240" w:lineRule="auto"/>
              <w:jc w:val="center"/>
              <w:rPr>
                <w:sz w:val="18"/>
                <w:szCs w:val="18"/>
              </w:rPr>
            </w:pPr>
            <w:r>
              <w:rPr>
                <w:rFonts w:hint="eastAsia"/>
                <w:sz w:val="18"/>
                <w:szCs w:val="18"/>
              </w:rPr>
              <w:t>65×10</w:t>
            </w:r>
          </w:p>
        </w:tc>
        <w:tc>
          <w:tcPr>
            <w:tcW w:w="834" w:type="dxa"/>
            <w:vAlign w:val="center"/>
          </w:tcPr>
          <w:p>
            <w:pPr>
              <w:spacing w:line="240" w:lineRule="auto"/>
              <w:jc w:val="center"/>
              <w:rPr>
                <w:sz w:val="18"/>
                <w:szCs w:val="18"/>
              </w:rPr>
            </w:pPr>
            <w:r>
              <w:rPr>
                <w:rFonts w:hint="eastAsia"/>
                <w:sz w:val="18"/>
                <w:szCs w:val="18"/>
              </w:rPr>
              <w:t>—</w:t>
            </w:r>
          </w:p>
        </w:tc>
        <w:tc>
          <w:tcPr>
            <w:tcW w:w="838" w:type="dxa"/>
            <w:vAlign w:val="center"/>
          </w:tcPr>
          <w:p>
            <w:pPr>
              <w:spacing w:line="240" w:lineRule="auto"/>
              <w:jc w:val="center"/>
              <w:rPr>
                <w:sz w:val="18"/>
                <w:szCs w:val="18"/>
              </w:rPr>
            </w:pPr>
            <w:r>
              <w:rPr>
                <w:rFonts w:hint="eastAsia"/>
                <w:sz w:val="18"/>
                <w:szCs w:val="18"/>
              </w:rPr>
              <w:t>191</w:t>
            </w:r>
          </w:p>
        </w:tc>
        <w:tc>
          <w:tcPr>
            <w:tcW w:w="1253" w:type="dxa"/>
            <w:vAlign w:val="center"/>
          </w:tcPr>
          <w:p>
            <w:pPr>
              <w:spacing w:line="240" w:lineRule="auto"/>
              <w:jc w:val="center"/>
              <w:rPr>
                <w:sz w:val="18"/>
                <w:szCs w:val="18"/>
              </w:rPr>
            </w:pPr>
            <w:r>
              <w:rPr>
                <w:rFonts w:hint="eastAsia"/>
                <w:sz w:val="18"/>
                <w:szCs w:val="18"/>
              </w:rPr>
              <w:t>7372×6272</w:t>
            </w:r>
          </w:p>
        </w:tc>
        <w:tc>
          <w:tcPr>
            <w:tcW w:w="835" w:type="dxa"/>
            <w:vAlign w:val="center"/>
          </w:tcPr>
          <w:p>
            <w:pPr>
              <w:spacing w:line="240" w:lineRule="auto"/>
              <w:jc w:val="center"/>
              <w:rPr>
                <w:sz w:val="18"/>
                <w:szCs w:val="18"/>
              </w:rPr>
            </w:pPr>
            <w:r>
              <w:rPr>
                <w:rFonts w:hint="eastAsia"/>
                <w:sz w:val="18"/>
                <w:szCs w:val="18"/>
              </w:rPr>
              <w:t>60×10</w:t>
            </w:r>
          </w:p>
        </w:tc>
        <w:tc>
          <w:tcPr>
            <w:tcW w:w="834" w:type="dxa"/>
            <w:vMerge w:val="continue"/>
            <w:vAlign w:val="center"/>
          </w:tcPr>
          <w:p>
            <w:pPr>
              <w:spacing w:line="240" w:lineRule="auto"/>
              <w:jc w:val="center"/>
              <w:rPr>
                <w:sz w:val="18"/>
                <w:szCs w:val="18"/>
              </w:rPr>
            </w:pPr>
          </w:p>
        </w:tc>
        <w:tc>
          <w:tcPr>
            <w:tcW w:w="838" w:type="dxa"/>
            <w:vMerge w:val="continue"/>
            <w:vAlign w:val="center"/>
          </w:tcPr>
          <w:p>
            <w:pPr>
              <w:spacing w:line="240" w:lineRule="auto"/>
              <w:jc w:val="center"/>
              <w:rPr>
                <w:sz w:val="18"/>
                <w:szCs w:val="18"/>
              </w:rPr>
            </w:pPr>
          </w:p>
        </w:tc>
        <w:tc>
          <w:tcPr>
            <w:tcW w:w="722" w:type="dxa"/>
            <w:vMerge w:val="continue"/>
            <w:vAlign w:val="center"/>
          </w:tcPr>
          <w:p>
            <w:pPr>
              <w:spacing w:line="240" w:lineRule="auto"/>
              <w:jc w:val="center"/>
              <w:rPr>
                <w:sz w:val="18"/>
                <w:szCs w:val="18"/>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441" w:hRule="atLeast"/>
        </w:trPr>
        <w:tc>
          <w:tcPr>
            <w:tcW w:w="1254" w:type="dxa"/>
            <w:vAlign w:val="center"/>
          </w:tcPr>
          <w:p>
            <w:pPr>
              <w:spacing w:line="240" w:lineRule="auto"/>
              <w:jc w:val="center"/>
              <w:rPr>
                <w:sz w:val="18"/>
                <w:szCs w:val="18"/>
              </w:rPr>
            </w:pPr>
            <w:r>
              <w:rPr>
                <w:rFonts w:hint="eastAsia"/>
                <w:sz w:val="18"/>
                <w:szCs w:val="18"/>
              </w:rPr>
              <w:t>7700×4300</w:t>
            </w:r>
          </w:p>
        </w:tc>
        <w:tc>
          <w:tcPr>
            <w:tcW w:w="701" w:type="dxa"/>
            <w:vAlign w:val="center"/>
          </w:tcPr>
          <w:p>
            <w:pPr>
              <w:spacing w:line="240" w:lineRule="auto"/>
              <w:jc w:val="center"/>
              <w:rPr>
                <w:sz w:val="18"/>
                <w:szCs w:val="18"/>
              </w:rPr>
            </w:pPr>
            <w:r>
              <w:rPr>
                <w:rFonts w:hint="eastAsia"/>
                <w:sz w:val="18"/>
                <w:szCs w:val="18"/>
              </w:rPr>
              <w:t>600</w:t>
            </w:r>
          </w:p>
        </w:tc>
        <w:tc>
          <w:tcPr>
            <w:tcW w:w="1251" w:type="dxa"/>
            <w:vAlign w:val="center"/>
          </w:tcPr>
          <w:p>
            <w:pPr>
              <w:spacing w:line="240" w:lineRule="auto"/>
              <w:jc w:val="center"/>
              <w:rPr>
                <w:sz w:val="18"/>
                <w:szCs w:val="18"/>
              </w:rPr>
            </w:pPr>
            <w:r>
              <w:rPr>
                <w:rFonts w:hint="eastAsia"/>
                <w:sz w:val="18"/>
                <w:szCs w:val="18"/>
              </w:rPr>
              <w:t>6500×3100</w:t>
            </w:r>
          </w:p>
        </w:tc>
        <w:tc>
          <w:tcPr>
            <w:tcW w:w="1390" w:type="dxa"/>
            <w:vAlign w:val="center"/>
          </w:tcPr>
          <w:p>
            <w:pPr>
              <w:spacing w:line="240" w:lineRule="auto"/>
              <w:jc w:val="center"/>
              <w:rPr>
                <w:sz w:val="18"/>
                <w:szCs w:val="18"/>
              </w:rPr>
            </w:pPr>
            <w:r>
              <w:rPr>
                <w:rFonts w:hint="eastAsia"/>
                <w:sz w:val="18"/>
                <w:szCs w:val="18"/>
              </w:rPr>
              <w:t>7638×4238</w:t>
            </w:r>
          </w:p>
        </w:tc>
        <w:tc>
          <w:tcPr>
            <w:tcW w:w="1391" w:type="dxa"/>
            <w:vAlign w:val="center"/>
          </w:tcPr>
          <w:p>
            <w:pPr>
              <w:spacing w:line="240" w:lineRule="auto"/>
              <w:jc w:val="center"/>
              <w:rPr>
                <w:sz w:val="18"/>
                <w:szCs w:val="18"/>
              </w:rPr>
            </w:pPr>
            <w:r>
              <w:rPr>
                <w:rFonts w:hint="eastAsia"/>
                <w:sz w:val="18"/>
                <w:szCs w:val="18"/>
              </w:rPr>
              <w:t>7661×4261</w:t>
            </w:r>
          </w:p>
        </w:tc>
        <w:tc>
          <w:tcPr>
            <w:tcW w:w="834" w:type="dxa"/>
            <w:vAlign w:val="center"/>
          </w:tcPr>
          <w:p>
            <w:pPr>
              <w:spacing w:line="240" w:lineRule="auto"/>
              <w:jc w:val="center"/>
              <w:rPr>
                <w:sz w:val="18"/>
                <w:szCs w:val="18"/>
              </w:rPr>
            </w:pPr>
            <w:r>
              <w:rPr>
                <w:rFonts w:hint="eastAsia"/>
                <w:sz w:val="18"/>
                <w:szCs w:val="18"/>
              </w:rPr>
              <w:t>30×8</w:t>
            </w:r>
          </w:p>
        </w:tc>
        <w:tc>
          <w:tcPr>
            <w:tcW w:w="835" w:type="dxa"/>
            <w:vAlign w:val="center"/>
          </w:tcPr>
          <w:p>
            <w:pPr>
              <w:spacing w:line="240" w:lineRule="auto"/>
              <w:jc w:val="center"/>
              <w:rPr>
                <w:sz w:val="18"/>
                <w:szCs w:val="18"/>
              </w:rPr>
            </w:pPr>
            <w:r>
              <w:rPr>
                <w:rFonts w:hint="eastAsia"/>
                <w:sz w:val="18"/>
                <w:szCs w:val="18"/>
              </w:rPr>
              <w:t>65×10</w:t>
            </w:r>
          </w:p>
        </w:tc>
        <w:tc>
          <w:tcPr>
            <w:tcW w:w="834" w:type="dxa"/>
            <w:vAlign w:val="center"/>
          </w:tcPr>
          <w:p>
            <w:pPr>
              <w:spacing w:line="240" w:lineRule="auto"/>
              <w:jc w:val="center"/>
              <w:rPr>
                <w:sz w:val="18"/>
                <w:szCs w:val="18"/>
              </w:rPr>
            </w:pPr>
            <w:r>
              <w:rPr>
                <w:rFonts w:hint="eastAsia"/>
                <w:sz w:val="18"/>
                <w:szCs w:val="18"/>
              </w:rPr>
              <w:t>—</w:t>
            </w:r>
          </w:p>
        </w:tc>
        <w:tc>
          <w:tcPr>
            <w:tcW w:w="838" w:type="dxa"/>
            <w:vAlign w:val="center"/>
          </w:tcPr>
          <w:p>
            <w:pPr>
              <w:spacing w:line="240" w:lineRule="auto"/>
              <w:jc w:val="center"/>
              <w:rPr>
                <w:sz w:val="18"/>
                <w:szCs w:val="18"/>
              </w:rPr>
            </w:pPr>
            <w:r>
              <w:rPr>
                <w:rFonts w:hint="eastAsia"/>
                <w:sz w:val="18"/>
                <w:szCs w:val="18"/>
              </w:rPr>
              <w:t>191</w:t>
            </w:r>
          </w:p>
        </w:tc>
        <w:tc>
          <w:tcPr>
            <w:tcW w:w="1253" w:type="dxa"/>
            <w:vAlign w:val="center"/>
          </w:tcPr>
          <w:p>
            <w:pPr>
              <w:spacing w:line="240" w:lineRule="auto"/>
              <w:jc w:val="center"/>
              <w:rPr>
                <w:sz w:val="18"/>
                <w:szCs w:val="18"/>
              </w:rPr>
            </w:pPr>
            <w:r>
              <w:rPr>
                <w:rFonts w:hint="eastAsia"/>
                <w:sz w:val="18"/>
                <w:szCs w:val="18"/>
              </w:rPr>
              <w:t>7672×4272</w:t>
            </w:r>
          </w:p>
        </w:tc>
        <w:tc>
          <w:tcPr>
            <w:tcW w:w="835" w:type="dxa"/>
            <w:vAlign w:val="center"/>
          </w:tcPr>
          <w:p>
            <w:pPr>
              <w:spacing w:line="240" w:lineRule="auto"/>
              <w:jc w:val="center"/>
              <w:rPr>
                <w:sz w:val="18"/>
                <w:szCs w:val="18"/>
              </w:rPr>
            </w:pPr>
            <w:r>
              <w:rPr>
                <w:rFonts w:hint="eastAsia"/>
                <w:sz w:val="18"/>
                <w:szCs w:val="18"/>
              </w:rPr>
              <w:t>60×10</w:t>
            </w:r>
          </w:p>
        </w:tc>
        <w:tc>
          <w:tcPr>
            <w:tcW w:w="834" w:type="dxa"/>
            <w:vMerge w:val="continue"/>
            <w:vAlign w:val="center"/>
          </w:tcPr>
          <w:p>
            <w:pPr>
              <w:spacing w:line="240" w:lineRule="auto"/>
              <w:jc w:val="center"/>
              <w:rPr>
                <w:sz w:val="18"/>
                <w:szCs w:val="18"/>
              </w:rPr>
            </w:pPr>
          </w:p>
        </w:tc>
        <w:tc>
          <w:tcPr>
            <w:tcW w:w="838" w:type="dxa"/>
            <w:vMerge w:val="continue"/>
            <w:vAlign w:val="center"/>
          </w:tcPr>
          <w:p>
            <w:pPr>
              <w:spacing w:line="240" w:lineRule="auto"/>
              <w:jc w:val="center"/>
              <w:rPr>
                <w:sz w:val="18"/>
                <w:szCs w:val="18"/>
              </w:rPr>
            </w:pPr>
          </w:p>
        </w:tc>
        <w:tc>
          <w:tcPr>
            <w:tcW w:w="722" w:type="dxa"/>
            <w:vMerge w:val="continue"/>
            <w:vAlign w:val="center"/>
          </w:tcPr>
          <w:p>
            <w:pPr>
              <w:spacing w:line="240" w:lineRule="auto"/>
              <w:jc w:val="center"/>
              <w:rPr>
                <w:sz w:val="18"/>
                <w:szCs w:val="18"/>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441" w:hRule="atLeast"/>
        </w:trPr>
        <w:tc>
          <w:tcPr>
            <w:tcW w:w="1254" w:type="dxa"/>
            <w:vMerge w:val="restart"/>
            <w:vAlign w:val="center"/>
          </w:tcPr>
          <w:p>
            <w:pPr>
              <w:spacing w:line="240" w:lineRule="auto"/>
              <w:jc w:val="center"/>
              <w:rPr>
                <w:sz w:val="18"/>
                <w:szCs w:val="18"/>
              </w:rPr>
            </w:pPr>
            <w:r>
              <w:rPr>
                <w:rFonts w:hint="eastAsia"/>
                <w:sz w:val="18"/>
                <w:szCs w:val="18"/>
              </w:rPr>
              <w:t>7700×4500</w:t>
            </w:r>
          </w:p>
        </w:tc>
        <w:tc>
          <w:tcPr>
            <w:tcW w:w="701" w:type="dxa"/>
            <w:vAlign w:val="center"/>
          </w:tcPr>
          <w:p>
            <w:pPr>
              <w:spacing w:line="240" w:lineRule="auto"/>
              <w:jc w:val="center"/>
              <w:rPr>
                <w:sz w:val="18"/>
                <w:szCs w:val="18"/>
              </w:rPr>
            </w:pPr>
            <w:r>
              <w:rPr>
                <w:rFonts w:hint="eastAsia"/>
                <w:sz w:val="18"/>
                <w:szCs w:val="18"/>
              </w:rPr>
              <w:t>500</w:t>
            </w:r>
          </w:p>
        </w:tc>
        <w:tc>
          <w:tcPr>
            <w:tcW w:w="1251" w:type="dxa"/>
            <w:vAlign w:val="center"/>
          </w:tcPr>
          <w:p>
            <w:pPr>
              <w:spacing w:line="240" w:lineRule="auto"/>
              <w:jc w:val="center"/>
              <w:rPr>
                <w:sz w:val="18"/>
                <w:szCs w:val="18"/>
              </w:rPr>
            </w:pPr>
            <w:r>
              <w:rPr>
                <w:rFonts w:hint="eastAsia"/>
                <w:sz w:val="18"/>
                <w:szCs w:val="18"/>
              </w:rPr>
              <w:t>6700×3500</w:t>
            </w:r>
          </w:p>
        </w:tc>
        <w:tc>
          <w:tcPr>
            <w:tcW w:w="1390" w:type="dxa"/>
            <w:vAlign w:val="center"/>
          </w:tcPr>
          <w:p>
            <w:pPr>
              <w:spacing w:line="240" w:lineRule="auto"/>
              <w:jc w:val="center"/>
              <w:rPr>
                <w:sz w:val="18"/>
                <w:szCs w:val="18"/>
              </w:rPr>
            </w:pPr>
            <w:r>
              <w:rPr>
                <w:rFonts w:hint="eastAsia"/>
                <w:sz w:val="18"/>
                <w:szCs w:val="18"/>
              </w:rPr>
              <w:t>7638×4438</w:t>
            </w:r>
          </w:p>
        </w:tc>
        <w:tc>
          <w:tcPr>
            <w:tcW w:w="1391" w:type="dxa"/>
            <w:vAlign w:val="center"/>
          </w:tcPr>
          <w:p>
            <w:pPr>
              <w:spacing w:line="240" w:lineRule="auto"/>
              <w:jc w:val="center"/>
              <w:rPr>
                <w:sz w:val="18"/>
                <w:szCs w:val="18"/>
              </w:rPr>
            </w:pPr>
            <w:r>
              <w:rPr>
                <w:rFonts w:hint="eastAsia"/>
                <w:sz w:val="18"/>
                <w:szCs w:val="18"/>
              </w:rPr>
              <w:t>7661×4461</w:t>
            </w:r>
          </w:p>
        </w:tc>
        <w:tc>
          <w:tcPr>
            <w:tcW w:w="834" w:type="dxa"/>
            <w:vAlign w:val="center"/>
          </w:tcPr>
          <w:p>
            <w:pPr>
              <w:spacing w:line="240" w:lineRule="auto"/>
              <w:jc w:val="center"/>
              <w:rPr>
                <w:sz w:val="18"/>
                <w:szCs w:val="18"/>
              </w:rPr>
            </w:pPr>
            <w:r>
              <w:rPr>
                <w:rFonts w:hint="eastAsia"/>
                <w:sz w:val="18"/>
                <w:szCs w:val="18"/>
              </w:rPr>
              <w:t>30×8</w:t>
            </w:r>
          </w:p>
        </w:tc>
        <w:tc>
          <w:tcPr>
            <w:tcW w:w="835" w:type="dxa"/>
            <w:vAlign w:val="center"/>
          </w:tcPr>
          <w:p>
            <w:pPr>
              <w:spacing w:line="240" w:lineRule="auto"/>
              <w:jc w:val="center"/>
              <w:rPr>
                <w:sz w:val="18"/>
                <w:szCs w:val="18"/>
              </w:rPr>
            </w:pPr>
            <w:r>
              <w:rPr>
                <w:rFonts w:hint="eastAsia"/>
                <w:sz w:val="18"/>
                <w:szCs w:val="18"/>
              </w:rPr>
              <w:t>65×10</w:t>
            </w:r>
          </w:p>
        </w:tc>
        <w:tc>
          <w:tcPr>
            <w:tcW w:w="834" w:type="dxa"/>
            <w:vAlign w:val="center"/>
          </w:tcPr>
          <w:p>
            <w:pPr>
              <w:spacing w:line="240" w:lineRule="auto"/>
              <w:jc w:val="center"/>
              <w:rPr>
                <w:sz w:val="18"/>
                <w:szCs w:val="18"/>
              </w:rPr>
            </w:pPr>
            <w:r>
              <w:rPr>
                <w:rFonts w:hint="eastAsia"/>
                <w:sz w:val="18"/>
                <w:szCs w:val="18"/>
              </w:rPr>
              <w:t>—</w:t>
            </w:r>
          </w:p>
        </w:tc>
        <w:tc>
          <w:tcPr>
            <w:tcW w:w="838" w:type="dxa"/>
            <w:vAlign w:val="center"/>
          </w:tcPr>
          <w:p>
            <w:pPr>
              <w:spacing w:line="240" w:lineRule="auto"/>
              <w:jc w:val="center"/>
              <w:rPr>
                <w:sz w:val="18"/>
                <w:szCs w:val="18"/>
              </w:rPr>
            </w:pPr>
            <w:r>
              <w:rPr>
                <w:rFonts w:hint="eastAsia"/>
                <w:sz w:val="18"/>
                <w:szCs w:val="18"/>
              </w:rPr>
              <w:t>191</w:t>
            </w:r>
          </w:p>
        </w:tc>
        <w:tc>
          <w:tcPr>
            <w:tcW w:w="1253" w:type="dxa"/>
            <w:vAlign w:val="center"/>
          </w:tcPr>
          <w:p>
            <w:pPr>
              <w:spacing w:line="240" w:lineRule="auto"/>
              <w:jc w:val="center"/>
              <w:rPr>
                <w:sz w:val="18"/>
                <w:szCs w:val="18"/>
              </w:rPr>
            </w:pPr>
            <w:r>
              <w:rPr>
                <w:rFonts w:hint="eastAsia"/>
                <w:sz w:val="18"/>
                <w:szCs w:val="18"/>
              </w:rPr>
              <w:t>7672×4472</w:t>
            </w:r>
          </w:p>
        </w:tc>
        <w:tc>
          <w:tcPr>
            <w:tcW w:w="835" w:type="dxa"/>
            <w:vAlign w:val="center"/>
          </w:tcPr>
          <w:p>
            <w:pPr>
              <w:spacing w:line="240" w:lineRule="auto"/>
              <w:jc w:val="center"/>
              <w:rPr>
                <w:sz w:val="18"/>
                <w:szCs w:val="18"/>
              </w:rPr>
            </w:pPr>
            <w:r>
              <w:rPr>
                <w:rFonts w:hint="eastAsia"/>
                <w:sz w:val="18"/>
                <w:szCs w:val="18"/>
              </w:rPr>
              <w:t>60×10</w:t>
            </w:r>
          </w:p>
        </w:tc>
        <w:tc>
          <w:tcPr>
            <w:tcW w:w="834" w:type="dxa"/>
            <w:vMerge w:val="continue"/>
            <w:vAlign w:val="center"/>
          </w:tcPr>
          <w:p>
            <w:pPr>
              <w:spacing w:line="240" w:lineRule="auto"/>
              <w:jc w:val="center"/>
              <w:rPr>
                <w:sz w:val="18"/>
                <w:szCs w:val="18"/>
              </w:rPr>
            </w:pPr>
          </w:p>
        </w:tc>
        <w:tc>
          <w:tcPr>
            <w:tcW w:w="838" w:type="dxa"/>
            <w:vMerge w:val="continue"/>
            <w:vAlign w:val="center"/>
          </w:tcPr>
          <w:p>
            <w:pPr>
              <w:spacing w:line="240" w:lineRule="auto"/>
              <w:jc w:val="center"/>
              <w:rPr>
                <w:sz w:val="18"/>
                <w:szCs w:val="18"/>
              </w:rPr>
            </w:pPr>
          </w:p>
        </w:tc>
        <w:tc>
          <w:tcPr>
            <w:tcW w:w="722" w:type="dxa"/>
            <w:vMerge w:val="continue"/>
            <w:vAlign w:val="center"/>
          </w:tcPr>
          <w:p>
            <w:pPr>
              <w:spacing w:line="240" w:lineRule="auto"/>
              <w:jc w:val="center"/>
              <w:rPr>
                <w:sz w:val="18"/>
                <w:szCs w:val="18"/>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441" w:hRule="atLeast"/>
        </w:trPr>
        <w:tc>
          <w:tcPr>
            <w:tcW w:w="1254" w:type="dxa"/>
            <w:vMerge w:val="continue"/>
            <w:vAlign w:val="center"/>
          </w:tcPr>
          <w:p>
            <w:pPr>
              <w:spacing w:line="240" w:lineRule="auto"/>
              <w:jc w:val="center"/>
              <w:rPr>
                <w:sz w:val="18"/>
                <w:szCs w:val="18"/>
              </w:rPr>
            </w:pPr>
          </w:p>
        </w:tc>
        <w:tc>
          <w:tcPr>
            <w:tcW w:w="701" w:type="dxa"/>
            <w:vAlign w:val="center"/>
          </w:tcPr>
          <w:p>
            <w:pPr>
              <w:spacing w:line="240" w:lineRule="auto"/>
              <w:jc w:val="center"/>
              <w:rPr>
                <w:sz w:val="18"/>
                <w:szCs w:val="18"/>
              </w:rPr>
            </w:pPr>
            <w:r>
              <w:rPr>
                <w:rFonts w:hint="eastAsia"/>
                <w:sz w:val="18"/>
                <w:szCs w:val="18"/>
              </w:rPr>
              <w:t>600</w:t>
            </w:r>
          </w:p>
        </w:tc>
        <w:tc>
          <w:tcPr>
            <w:tcW w:w="1251" w:type="dxa"/>
            <w:vAlign w:val="center"/>
          </w:tcPr>
          <w:p>
            <w:pPr>
              <w:spacing w:line="240" w:lineRule="auto"/>
              <w:jc w:val="center"/>
              <w:rPr>
                <w:sz w:val="18"/>
                <w:szCs w:val="18"/>
              </w:rPr>
            </w:pPr>
            <w:r>
              <w:rPr>
                <w:rFonts w:hint="eastAsia"/>
                <w:sz w:val="18"/>
                <w:szCs w:val="18"/>
              </w:rPr>
              <w:t>6500×3300</w:t>
            </w:r>
          </w:p>
        </w:tc>
        <w:tc>
          <w:tcPr>
            <w:tcW w:w="1390" w:type="dxa"/>
            <w:vAlign w:val="center"/>
          </w:tcPr>
          <w:p>
            <w:pPr>
              <w:spacing w:line="240" w:lineRule="auto"/>
              <w:jc w:val="center"/>
              <w:rPr>
                <w:sz w:val="18"/>
                <w:szCs w:val="18"/>
              </w:rPr>
            </w:pPr>
            <w:r>
              <w:rPr>
                <w:rFonts w:hint="eastAsia"/>
                <w:sz w:val="18"/>
                <w:szCs w:val="18"/>
              </w:rPr>
              <w:t>7638×4438</w:t>
            </w:r>
          </w:p>
        </w:tc>
        <w:tc>
          <w:tcPr>
            <w:tcW w:w="1391" w:type="dxa"/>
            <w:vAlign w:val="center"/>
          </w:tcPr>
          <w:p>
            <w:pPr>
              <w:spacing w:line="240" w:lineRule="auto"/>
              <w:jc w:val="center"/>
              <w:rPr>
                <w:sz w:val="18"/>
                <w:szCs w:val="18"/>
              </w:rPr>
            </w:pPr>
            <w:r>
              <w:rPr>
                <w:rFonts w:hint="eastAsia"/>
                <w:sz w:val="18"/>
                <w:szCs w:val="18"/>
              </w:rPr>
              <w:t>7661×4461</w:t>
            </w:r>
          </w:p>
        </w:tc>
        <w:tc>
          <w:tcPr>
            <w:tcW w:w="834" w:type="dxa"/>
            <w:vAlign w:val="center"/>
          </w:tcPr>
          <w:p>
            <w:pPr>
              <w:spacing w:line="240" w:lineRule="auto"/>
              <w:jc w:val="center"/>
              <w:rPr>
                <w:sz w:val="18"/>
                <w:szCs w:val="18"/>
              </w:rPr>
            </w:pPr>
            <w:r>
              <w:rPr>
                <w:rFonts w:hint="eastAsia"/>
                <w:sz w:val="18"/>
                <w:szCs w:val="18"/>
              </w:rPr>
              <w:t>30×8</w:t>
            </w:r>
          </w:p>
        </w:tc>
        <w:tc>
          <w:tcPr>
            <w:tcW w:w="835" w:type="dxa"/>
            <w:vAlign w:val="center"/>
          </w:tcPr>
          <w:p>
            <w:pPr>
              <w:spacing w:line="240" w:lineRule="auto"/>
              <w:jc w:val="center"/>
              <w:rPr>
                <w:sz w:val="18"/>
                <w:szCs w:val="18"/>
              </w:rPr>
            </w:pPr>
            <w:r>
              <w:rPr>
                <w:rFonts w:hint="eastAsia"/>
                <w:sz w:val="18"/>
                <w:szCs w:val="18"/>
              </w:rPr>
              <w:t>65×10</w:t>
            </w:r>
          </w:p>
        </w:tc>
        <w:tc>
          <w:tcPr>
            <w:tcW w:w="834" w:type="dxa"/>
            <w:vAlign w:val="center"/>
          </w:tcPr>
          <w:p>
            <w:pPr>
              <w:spacing w:line="240" w:lineRule="auto"/>
              <w:jc w:val="center"/>
              <w:rPr>
                <w:sz w:val="18"/>
                <w:szCs w:val="18"/>
              </w:rPr>
            </w:pPr>
            <w:r>
              <w:rPr>
                <w:rFonts w:hint="eastAsia"/>
                <w:sz w:val="18"/>
                <w:szCs w:val="18"/>
              </w:rPr>
              <w:t>—</w:t>
            </w:r>
          </w:p>
        </w:tc>
        <w:tc>
          <w:tcPr>
            <w:tcW w:w="838" w:type="dxa"/>
            <w:vAlign w:val="center"/>
          </w:tcPr>
          <w:p>
            <w:pPr>
              <w:spacing w:line="240" w:lineRule="auto"/>
              <w:jc w:val="center"/>
              <w:rPr>
                <w:sz w:val="18"/>
                <w:szCs w:val="18"/>
              </w:rPr>
            </w:pPr>
            <w:r>
              <w:rPr>
                <w:rFonts w:hint="eastAsia"/>
                <w:sz w:val="18"/>
                <w:szCs w:val="18"/>
              </w:rPr>
              <w:t>191</w:t>
            </w:r>
          </w:p>
        </w:tc>
        <w:tc>
          <w:tcPr>
            <w:tcW w:w="1253" w:type="dxa"/>
            <w:vAlign w:val="center"/>
          </w:tcPr>
          <w:p>
            <w:pPr>
              <w:spacing w:line="240" w:lineRule="auto"/>
              <w:jc w:val="center"/>
              <w:rPr>
                <w:sz w:val="18"/>
                <w:szCs w:val="18"/>
              </w:rPr>
            </w:pPr>
            <w:r>
              <w:rPr>
                <w:rFonts w:hint="eastAsia"/>
                <w:sz w:val="18"/>
                <w:szCs w:val="18"/>
              </w:rPr>
              <w:t>7672×4472</w:t>
            </w:r>
          </w:p>
        </w:tc>
        <w:tc>
          <w:tcPr>
            <w:tcW w:w="835" w:type="dxa"/>
            <w:vAlign w:val="center"/>
          </w:tcPr>
          <w:p>
            <w:pPr>
              <w:spacing w:line="240" w:lineRule="auto"/>
              <w:jc w:val="center"/>
              <w:rPr>
                <w:sz w:val="18"/>
                <w:szCs w:val="18"/>
              </w:rPr>
            </w:pPr>
            <w:r>
              <w:rPr>
                <w:rFonts w:hint="eastAsia"/>
                <w:sz w:val="18"/>
                <w:szCs w:val="18"/>
              </w:rPr>
              <w:t>60×10</w:t>
            </w:r>
          </w:p>
        </w:tc>
        <w:tc>
          <w:tcPr>
            <w:tcW w:w="834" w:type="dxa"/>
            <w:vMerge w:val="continue"/>
            <w:vAlign w:val="center"/>
          </w:tcPr>
          <w:p>
            <w:pPr>
              <w:spacing w:line="240" w:lineRule="auto"/>
              <w:jc w:val="center"/>
              <w:rPr>
                <w:sz w:val="18"/>
                <w:szCs w:val="18"/>
              </w:rPr>
            </w:pPr>
          </w:p>
        </w:tc>
        <w:tc>
          <w:tcPr>
            <w:tcW w:w="838" w:type="dxa"/>
            <w:vMerge w:val="continue"/>
            <w:vAlign w:val="center"/>
          </w:tcPr>
          <w:p>
            <w:pPr>
              <w:spacing w:line="240" w:lineRule="auto"/>
              <w:jc w:val="center"/>
              <w:rPr>
                <w:sz w:val="18"/>
                <w:szCs w:val="18"/>
              </w:rPr>
            </w:pPr>
          </w:p>
        </w:tc>
        <w:tc>
          <w:tcPr>
            <w:tcW w:w="722" w:type="dxa"/>
            <w:vMerge w:val="continue"/>
            <w:vAlign w:val="center"/>
          </w:tcPr>
          <w:p>
            <w:pPr>
              <w:spacing w:line="240" w:lineRule="auto"/>
              <w:jc w:val="center"/>
              <w:rPr>
                <w:sz w:val="18"/>
                <w:szCs w:val="18"/>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441" w:hRule="atLeast"/>
        </w:trPr>
        <w:tc>
          <w:tcPr>
            <w:tcW w:w="1254" w:type="dxa"/>
            <w:vAlign w:val="center"/>
          </w:tcPr>
          <w:p>
            <w:pPr>
              <w:spacing w:line="240" w:lineRule="auto"/>
              <w:jc w:val="center"/>
              <w:rPr>
                <w:sz w:val="18"/>
                <w:szCs w:val="18"/>
              </w:rPr>
            </w:pPr>
            <w:r>
              <w:rPr>
                <w:rFonts w:hint="eastAsia"/>
                <w:sz w:val="18"/>
                <w:szCs w:val="18"/>
              </w:rPr>
              <w:t>9100×</w:t>
            </w:r>
            <w:r>
              <w:rPr>
                <w:sz w:val="18"/>
                <w:szCs w:val="18"/>
              </w:rPr>
              <w:t>44</w:t>
            </w:r>
            <w:r>
              <w:rPr>
                <w:rFonts w:hint="eastAsia"/>
                <w:sz w:val="18"/>
                <w:szCs w:val="18"/>
              </w:rPr>
              <w:t>00</w:t>
            </w:r>
          </w:p>
        </w:tc>
        <w:tc>
          <w:tcPr>
            <w:tcW w:w="701" w:type="dxa"/>
            <w:vAlign w:val="center"/>
          </w:tcPr>
          <w:p>
            <w:pPr>
              <w:spacing w:line="240" w:lineRule="auto"/>
              <w:jc w:val="center"/>
              <w:rPr>
                <w:sz w:val="18"/>
                <w:szCs w:val="18"/>
              </w:rPr>
            </w:pPr>
            <w:r>
              <w:rPr>
                <w:rFonts w:hint="eastAsia"/>
                <w:sz w:val="18"/>
                <w:szCs w:val="18"/>
              </w:rPr>
              <w:t>6</w:t>
            </w:r>
            <w:r>
              <w:rPr>
                <w:sz w:val="18"/>
                <w:szCs w:val="18"/>
              </w:rPr>
              <w:t>0</w:t>
            </w:r>
            <w:r>
              <w:rPr>
                <w:rFonts w:hint="eastAsia"/>
                <w:sz w:val="18"/>
                <w:szCs w:val="18"/>
              </w:rPr>
              <w:t>0</w:t>
            </w:r>
          </w:p>
        </w:tc>
        <w:tc>
          <w:tcPr>
            <w:tcW w:w="1251" w:type="dxa"/>
            <w:vAlign w:val="center"/>
          </w:tcPr>
          <w:p>
            <w:pPr>
              <w:spacing w:line="240" w:lineRule="auto"/>
              <w:jc w:val="center"/>
              <w:rPr>
                <w:sz w:val="18"/>
                <w:szCs w:val="18"/>
              </w:rPr>
            </w:pPr>
            <w:r>
              <w:rPr>
                <w:rFonts w:hint="eastAsia"/>
                <w:sz w:val="18"/>
                <w:szCs w:val="18"/>
              </w:rPr>
              <w:t>7</w:t>
            </w:r>
            <w:r>
              <w:rPr>
                <w:sz w:val="18"/>
                <w:szCs w:val="18"/>
              </w:rPr>
              <w:t>9</w:t>
            </w:r>
            <w:r>
              <w:rPr>
                <w:rFonts w:hint="eastAsia"/>
                <w:sz w:val="18"/>
                <w:szCs w:val="18"/>
              </w:rPr>
              <w:t>00×</w:t>
            </w:r>
            <w:r>
              <w:rPr>
                <w:sz w:val="18"/>
                <w:szCs w:val="18"/>
              </w:rPr>
              <w:t>3</w:t>
            </w:r>
            <w:r>
              <w:rPr>
                <w:rFonts w:hint="eastAsia"/>
                <w:sz w:val="18"/>
                <w:szCs w:val="18"/>
              </w:rPr>
              <w:t>200</w:t>
            </w:r>
          </w:p>
        </w:tc>
        <w:tc>
          <w:tcPr>
            <w:tcW w:w="1390" w:type="dxa"/>
            <w:vAlign w:val="center"/>
          </w:tcPr>
          <w:p>
            <w:pPr>
              <w:spacing w:line="240" w:lineRule="auto"/>
              <w:jc w:val="center"/>
              <w:rPr>
                <w:sz w:val="18"/>
                <w:szCs w:val="18"/>
              </w:rPr>
            </w:pPr>
            <w:r>
              <w:rPr>
                <w:rFonts w:hint="eastAsia"/>
                <w:color w:val="000000" w:themeColor="text1"/>
                <w:sz w:val="18"/>
                <w:szCs w:val="18"/>
                <w14:textFill>
                  <w14:solidFill>
                    <w14:schemeClr w14:val="tx1"/>
                  </w14:solidFill>
                </w14:textFill>
              </w:rPr>
              <w:t>9034×</w:t>
            </w:r>
            <w:r>
              <w:rPr>
                <w:color w:val="000000" w:themeColor="text1"/>
                <w:sz w:val="18"/>
                <w:szCs w:val="18"/>
                <w14:textFill>
                  <w14:solidFill>
                    <w14:schemeClr w14:val="tx1"/>
                  </w14:solidFill>
                </w14:textFill>
              </w:rPr>
              <w:t>43</w:t>
            </w:r>
            <w:r>
              <w:rPr>
                <w:rFonts w:hint="eastAsia"/>
                <w:color w:val="000000" w:themeColor="text1"/>
                <w:sz w:val="18"/>
                <w:szCs w:val="18"/>
                <w14:textFill>
                  <w14:solidFill>
                    <w14:schemeClr w14:val="tx1"/>
                  </w14:solidFill>
                </w14:textFill>
              </w:rPr>
              <w:t>34</w:t>
            </w:r>
          </w:p>
        </w:tc>
        <w:tc>
          <w:tcPr>
            <w:tcW w:w="1391" w:type="dxa"/>
            <w:vAlign w:val="center"/>
          </w:tcPr>
          <w:p>
            <w:pPr>
              <w:spacing w:line="240" w:lineRule="auto"/>
              <w:jc w:val="center"/>
              <w:rPr>
                <w:sz w:val="18"/>
                <w:szCs w:val="18"/>
              </w:rPr>
            </w:pPr>
            <w:r>
              <w:rPr>
                <w:rFonts w:hint="eastAsia"/>
                <w:color w:val="000000" w:themeColor="text1"/>
                <w:sz w:val="18"/>
                <w:szCs w:val="18"/>
                <w14:textFill>
                  <w14:solidFill>
                    <w14:schemeClr w14:val="tx1"/>
                  </w14:solidFill>
                </w14:textFill>
              </w:rPr>
              <w:t>9057×</w:t>
            </w:r>
            <w:r>
              <w:rPr>
                <w:color w:val="000000" w:themeColor="text1"/>
                <w:sz w:val="18"/>
                <w:szCs w:val="18"/>
                <w14:textFill>
                  <w14:solidFill>
                    <w14:schemeClr w14:val="tx1"/>
                  </w14:solidFill>
                </w14:textFill>
              </w:rPr>
              <w:t>43</w:t>
            </w:r>
            <w:r>
              <w:rPr>
                <w:rFonts w:hint="eastAsia"/>
                <w:color w:val="000000" w:themeColor="text1"/>
                <w:sz w:val="18"/>
                <w:szCs w:val="18"/>
                <w14:textFill>
                  <w14:solidFill>
                    <w14:schemeClr w14:val="tx1"/>
                  </w14:solidFill>
                </w14:textFill>
              </w:rPr>
              <w:t>57</w:t>
            </w:r>
          </w:p>
        </w:tc>
        <w:tc>
          <w:tcPr>
            <w:tcW w:w="834" w:type="dxa"/>
            <w:vAlign w:val="center"/>
          </w:tcPr>
          <w:p>
            <w:pPr>
              <w:spacing w:line="240" w:lineRule="auto"/>
              <w:jc w:val="center"/>
              <w:rPr>
                <w:sz w:val="18"/>
                <w:szCs w:val="18"/>
              </w:rPr>
            </w:pPr>
            <w:r>
              <w:rPr>
                <w:rFonts w:hint="eastAsia"/>
                <w:color w:val="000000" w:themeColor="text1"/>
                <w:sz w:val="18"/>
                <w:szCs w:val="18"/>
                <w14:textFill>
                  <w14:solidFill>
                    <w14:schemeClr w14:val="tx1"/>
                  </w14:solidFill>
                </w14:textFill>
              </w:rPr>
              <w:t>30×8</w:t>
            </w:r>
          </w:p>
        </w:tc>
        <w:tc>
          <w:tcPr>
            <w:tcW w:w="835" w:type="dxa"/>
            <w:vAlign w:val="center"/>
          </w:tcPr>
          <w:p>
            <w:pPr>
              <w:spacing w:line="240" w:lineRule="auto"/>
              <w:jc w:val="center"/>
              <w:rPr>
                <w:sz w:val="18"/>
                <w:szCs w:val="18"/>
              </w:rPr>
            </w:pPr>
            <w:r>
              <w:rPr>
                <w:rFonts w:hint="eastAsia"/>
                <w:color w:val="000000" w:themeColor="text1"/>
                <w:sz w:val="18"/>
                <w:szCs w:val="18"/>
                <w14:textFill>
                  <w14:solidFill>
                    <w14:schemeClr w14:val="tx1"/>
                  </w14:solidFill>
                </w14:textFill>
              </w:rPr>
              <w:t>65×10</w:t>
            </w:r>
          </w:p>
        </w:tc>
        <w:tc>
          <w:tcPr>
            <w:tcW w:w="834" w:type="dxa"/>
            <w:vAlign w:val="center"/>
          </w:tcPr>
          <w:p>
            <w:pPr>
              <w:spacing w:line="240" w:lineRule="auto"/>
              <w:jc w:val="center"/>
              <w:rPr>
                <w:sz w:val="18"/>
                <w:szCs w:val="18"/>
              </w:rPr>
            </w:pPr>
            <w:r>
              <w:rPr>
                <w:rFonts w:hint="eastAsia"/>
                <w:color w:val="000000" w:themeColor="text1"/>
                <w:sz w:val="18"/>
                <w:szCs w:val="18"/>
                <w14:textFill>
                  <w14:solidFill>
                    <w14:schemeClr w14:val="tx1"/>
                  </w14:solidFill>
                </w14:textFill>
              </w:rPr>
              <w:t>20×8</w:t>
            </w:r>
          </w:p>
        </w:tc>
        <w:tc>
          <w:tcPr>
            <w:tcW w:w="838" w:type="dxa"/>
            <w:vAlign w:val="center"/>
          </w:tcPr>
          <w:p>
            <w:pPr>
              <w:spacing w:line="240" w:lineRule="auto"/>
              <w:jc w:val="center"/>
              <w:rPr>
                <w:sz w:val="18"/>
                <w:szCs w:val="18"/>
              </w:rPr>
            </w:pPr>
            <w:r>
              <w:rPr>
                <w:rFonts w:hint="eastAsia"/>
                <w:color w:val="000000" w:themeColor="text1"/>
                <w:sz w:val="18"/>
                <w:szCs w:val="18"/>
                <w14:textFill>
                  <w14:solidFill>
                    <w14:schemeClr w14:val="tx1"/>
                  </w14:solidFill>
                </w14:textFill>
              </w:rPr>
              <w:t>216</w:t>
            </w:r>
          </w:p>
        </w:tc>
        <w:tc>
          <w:tcPr>
            <w:tcW w:w="1253" w:type="dxa"/>
            <w:vAlign w:val="center"/>
          </w:tcPr>
          <w:p>
            <w:pPr>
              <w:spacing w:line="240" w:lineRule="auto"/>
              <w:jc w:val="center"/>
              <w:rPr>
                <w:sz w:val="18"/>
                <w:szCs w:val="18"/>
              </w:rPr>
            </w:pPr>
            <w:r>
              <w:rPr>
                <w:rFonts w:hint="eastAsia"/>
                <w:color w:val="000000" w:themeColor="text1"/>
                <w:sz w:val="18"/>
                <w:szCs w:val="18"/>
                <w14:textFill>
                  <w14:solidFill>
                    <w14:schemeClr w14:val="tx1"/>
                  </w14:solidFill>
                </w14:textFill>
              </w:rPr>
              <w:t>9064×</w:t>
            </w:r>
            <w:r>
              <w:rPr>
                <w:color w:val="000000" w:themeColor="text1"/>
                <w:sz w:val="18"/>
                <w:szCs w:val="18"/>
                <w14:textFill>
                  <w14:solidFill>
                    <w14:schemeClr w14:val="tx1"/>
                  </w14:solidFill>
                </w14:textFill>
              </w:rPr>
              <w:t>43</w:t>
            </w:r>
            <w:r>
              <w:rPr>
                <w:rFonts w:hint="eastAsia"/>
                <w:color w:val="000000" w:themeColor="text1"/>
                <w:sz w:val="18"/>
                <w:szCs w:val="18"/>
                <w14:textFill>
                  <w14:solidFill>
                    <w14:schemeClr w14:val="tx1"/>
                  </w14:solidFill>
                </w14:textFill>
              </w:rPr>
              <w:t>64</w:t>
            </w:r>
          </w:p>
        </w:tc>
        <w:tc>
          <w:tcPr>
            <w:tcW w:w="835" w:type="dxa"/>
            <w:vAlign w:val="center"/>
          </w:tcPr>
          <w:p>
            <w:pPr>
              <w:spacing w:line="240" w:lineRule="auto"/>
              <w:jc w:val="center"/>
              <w:rPr>
                <w:sz w:val="18"/>
                <w:szCs w:val="18"/>
              </w:rPr>
            </w:pPr>
            <w:r>
              <w:rPr>
                <w:rFonts w:hint="eastAsia"/>
                <w:sz w:val="18"/>
                <w:szCs w:val="18"/>
              </w:rPr>
              <w:t>60×10</w:t>
            </w:r>
          </w:p>
        </w:tc>
        <w:tc>
          <w:tcPr>
            <w:tcW w:w="834" w:type="dxa"/>
            <w:vMerge w:val="restart"/>
            <w:vAlign w:val="center"/>
          </w:tcPr>
          <w:p>
            <w:pPr>
              <w:spacing w:line="240" w:lineRule="auto"/>
              <w:jc w:val="center"/>
              <w:rPr>
                <w:sz w:val="18"/>
                <w:szCs w:val="18"/>
              </w:rPr>
            </w:pPr>
            <w:r>
              <w:rPr>
                <w:rFonts w:hint="eastAsia"/>
                <w:sz w:val="18"/>
                <w:szCs w:val="18"/>
              </w:rPr>
              <w:t>≥16</w:t>
            </w:r>
          </w:p>
        </w:tc>
        <w:tc>
          <w:tcPr>
            <w:tcW w:w="838" w:type="dxa"/>
            <w:vMerge w:val="restart"/>
            <w:vAlign w:val="center"/>
          </w:tcPr>
          <w:p>
            <w:pPr>
              <w:spacing w:line="240" w:lineRule="auto"/>
              <w:jc w:val="center"/>
              <w:rPr>
                <w:sz w:val="18"/>
                <w:szCs w:val="18"/>
              </w:rPr>
            </w:pPr>
            <w:r>
              <w:rPr>
                <w:rFonts w:hint="eastAsia"/>
                <w:sz w:val="18"/>
                <w:szCs w:val="18"/>
              </w:rPr>
              <w:t>≥165</w:t>
            </w:r>
          </w:p>
        </w:tc>
        <w:tc>
          <w:tcPr>
            <w:tcW w:w="722" w:type="dxa"/>
            <w:vMerge w:val="restart"/>
            <w:vAlign w:val="center"/>
          </w:tcPr>
          <w:p>
            <w:pPr>
              <w:spacing w:line="240" w:lineRule="auto"/>
              <w:jc w:val="center"/>
              <w:rPr>
                <w:sz w:val="18"/>
                <w:szCs w:val="18"/>
              </w:rPr>
            </w:pPr>
            <w:r>
              <w:rPr>
                <w:rFonts w:hint="eastAsia"/>
                <w:sz w:val="18"/>
                <w:szCs w:val="18"/>
              </w:rPr>
              <w:t>≥360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441" w:hRule="atLeast"/>
        </w:trPr>
        <w:tc>
          <w:tcPr>
            <w:tcW w:w="1254" w:type="dxa"/>
            <w:vAlign w:val="center"/>
          </w:tcPr>
          <w:p>
            <w:pPr>
              <w:spacing w:line="240" w:lineRule="auto"/>
              <w:jc w:val="center"/>
              <w:rPr>
                <w:sz w:val="18"/>
                <w:szCs w:val="18"/>
              </w:rPr>
            </w:pPr>
            <w:r>
              <w:rPr>
                <w:rFonts w:hint="eastAsia"/>
                <w:sz w:val="18"/>
                <w:szCs w:val="18"/>
              </w:rPr>
              <w:t>9100×5500</w:t>
            </w:r>
          </w:p>
        </w:tc>
        <w:tc>
          <w:tcPr>
            <w:tcW w:w="701" w:type="dxa"/>
            <w:vAlign w:val="center"/>
          </w:tcPr>
          <w:p>
            <w:pPr>
              <w:spacing w:line="240" w:lineRule="auto"/>
              <w:jc w:val="center"/>
              <w:rPr>
                <w:sz w:val="18"/>
                <w:szCs w:val="18"/>
              </w:rPr>
            </w:pPr>
            <w:r>
              <w:rPr>
                <w:rFonts w:hint="eastAsia"/>
                <w:sz w:val="18"/>
                <w:szCs w:val="18"/>
              </w:rPr>
              <w:t>650</w:t>
            </w:r>
          </w:p>
        </w:tc>
        <w:tc>
          <w:tcPr>
            <w:tcW w:w="1251" w:type="dxa"/>
            <w:vAlign w:val="center"/>
          </w:tcPr>
          <w:p>
            <w:pPr>
              <w:spacing w:line="240" w:lineRule="auto"/>
              <w:jc w:val="center"/>
              <w:rPr>
                <w:sz w:val="18"/>
                <w:szCs w:val="18"/>
              </w:rPr>
            </w:pPr>
            <w:r>
              <w:rPr>
                <w:rFonts w:hint="eastAsia"/>
                <w:sz w:val="18"/>
                <w:szCs w:val="18"/>
              </w:rPr>
              <w:t>7800×4200</w:t>
            </w:r>
          </w:p>
        </w:tc>
        <w:tc>
          <w:tcPr>
            <w:tcW w:w="1390"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9034×5434</w:t>
            </w:r>
          </w:p>
        </w:tc>
        <w:tc>
          <w:tcPr>
            <w:tcW w:w="1391"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9057×5457</w:t>
            </w:r>
          </w:p>
        </w:tc>
        <w:tc>
          <w:tcPr>
            <w:tcW w:w="834"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30×8</w:t>
            </w:r>
          </w:p>
        </w:tc>
        <w:tc>
          <w:tcPr>
            <w:tcW w:w="835"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65×10</w:t>
            </w:r>
          </w:p>
        </w:tc>
        <w:tc>
          <w:tcPr>
            <w:tcW w:w="834"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20×8</w:t>
            </w:r>
          </w:p>
        </w:tc>
        <w:tc>
          <w:tcPr>
            <w:tcW w:w="838"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216</w:t>
            </w:r>
          </w:p>
        </w:tc>
        <w:tc>
          <w:tcPr>
            <w:tcW w:w="1253"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9064×5464</w:t>
            </w:r>
          </w:p>
        </w:tc>
        <w:tc>
          <w:tcPr>
            <w:tcW w:w="835" w:type="dxa"/>
            <w:vAlign w:val="center"/>
          </w:tcPr>
          <w:p>
            <w:pPr>
              <w:spacing w:line="240" w:lineRule="auto"/>
              <w:jc w:val="center"/>
              <w:rPr>
                <w:sz w:val="18"/>
                <w:szCs w:val="18"/>
              </w:rPr>
            </w:pPr>
            <w:r>
              <w:rPr>
                <w:rFonts w:hint="eastAsia"/>
                <w:sz w:val="18"/>
                <w:szCs w:val="18"/>
              </w:rPr>
              <w:t>60×10</w:t>
            </w:r>
          </w:p>
        </w:tc>
        <w:tc>
          <w:tcPr>
            <w:tcW w:w="834" w:type="dxa"/>
            <w:vMerge w:val="continue"/>
            <w:vAlign w:val="center"/>
          </w:tcPr>
          <w:p>
            <w:pPr>
              <w:spacing w:line="240" w:lineRule="auto"/>
              <w:jc w:val="center"/>
              <w:rPr>
                <w:sz w:val="18"/>
                <w:szCs w:val="18"/>
              </w:rPr>
            </w:pPr>
          </w:p>
        </w:tc>
        <w:tc>
          <w:tcPr>
            <w:tcW w:w="838" w:type="dxa"/>
            <w:vMerge w:val="continue"/>
            <w:vAlign w:val="center"/>
          </w:tcPr>
          <w:p>
            <w:pPr>
              <w:spacing w:line="240" w:lineRule="auto"/>
              <w:jc w:val="center"/>
              <w:rPr>
                <w:sz w:val="18"/>
                <w:szCs w:val="18"/>
              </w:rPr>
            </w:pPr>
          </w:p>
        </w:tc>
        <w:tc>
          <w:tcPr>
            <w:tcW w:w="722" w:type="dxa"/>
            <w:vMerge w:val="continue"/>
            <w:vAlign w:val="center"/>
          </w:tcPr>
          <w:p>
            <w:pPr>
              <w:spacing w:line="240" w:lineRule="auto"/>
              <w:jc w:val="center"/>
              <w:rPr>
                <w:sz w:val="18"/>
                <w:szCs w:val="18"/>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441" w:hRule="atLeast"/>
        </w:trPr>
        <w:tc>
          <w:tcPr>
            <w:tcW w:w="1254" w:type="dxa"/>
            <w:vAlign w:val="center"/>
          </w:tcPr>
          <w:p>
            <w:pPr>
              <w:spacing w:line="240" w:lineRule="auto"/>
              <w:jc w:val="center"/>
              <w:rPr>
                <w:sz w:val="18"/>
                <w:szCs w:val="18"/>
              </w:rPr>
            </w:pPr>
            <w:r>
              <w:rPr>
                <w:rFonts w:hint="eastAsia"/>
                <w:sz w:val="18"/>
                <w:szCs w:val="18"/>
              </w:rPr>
              <w:t>10200×6600</w:t>
            </w:r>
          </w:p>
        </w:tc>
        <w:tc>
          <w:tcPr>
            <w:tcW w:w="701" w:type="dxa"/>
            <w:vAlign w:val="center"/>
          </w:tcPr>
          <w:p>
            <w:pPr>
              <w:spacing w:line="240" w:lineRule="auto"/>
              <w:jc w:val="center"/>
              <w:rPr>
                <w:sz w:val="18"/>
                <w:szCs w:val="18"/>
              </w:rPr>
            </w:pPr>
            <w:r>
              <w:rPr>
                <w:rFonts w:hint="eastAsia"/>
                <w:sz w:val="18"/>
                <w:szCs w:val="18"/>
              </w:rPr>
              <w:t>650</w:t>
            </w:r>
          </w:p>
        </w:tc>
        <w:tc>
          <w:tcPr>
            <w:tcW w:w="1251" w:type="dxa"/>
            <w:vAlign w:val="center"/>
          </w:tcPr>
          <w:p>
            <w:pPr>
              <w:spacing w:line="240" w:lineRule="auto"/>
              <w:jc w:val="center"/>
              <w:rPr>
                <w:sz w:val="18"/>
                <w:szCs w:val="18"/>
              </w:rPr>
            </w:pPr>
            <w:r>
              <w:rPr>
                <w:rFonts w:hint="eastAsia"/>
                <w:sz w:val="18"/>
                <w:szCs w:val="18"/>
              </w:rPr>
              <w:t>8900×5300</w:t>
            </w:r>
          </w:p>
        </w:tc>
        <w:tc>
          <w:tcPr>
            <w:tcW w:w="1390"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10134×6534</w:t>
            </w:r>
          </w:p>
        </w:tc>
        <w:tc>
          <w:tcPr>
            <w:tcW w:w="1391"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10157×6557</w:t>
            </w:r>
          </w:p>
        </w:tc>
        <w:tc>
          <w:tcPr>
            <w:tcW w:w="834"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30×8</w:t>
            </w:r>
          </w:p>
        </w:tc>
        <w:tc>
          <w:tcPr>
            <w:tcW w:w="835"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65×10</w:t>
            </w:r>
          </w:p>
        </w:tc>
        <w:tc>
          <w:tcPr>
            <w:tcW w:w="834"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20×8</w:t>
            </w:r>
          </w:p>
        </w:tc>
        <w:tc>
          <w:tcPr>
            <w:tcW w:w="838"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216</w:t>
            </w:r>
          </w:p>
        </w:tc>
        <w:tc>
          <w:tcPr>
            <w:tcW w:w="1253" w:type="dxa"/>
            <w:vAlign w:val="center"/>
          </w:tcPr>
          <w:p>
            <w:pPr>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10164×6564</w:t>
            </w:r>
          </w:p>
        </w:tc>
        <w:tc>
          <w:tcPr>
            <w:tcW w:w="835" w:type="dxa"/>
            <w:vAlign w:val="center"/>
          </w:tcPr>
          <w:p>
            <w:pPr>
              <w:spacing w:line="240" w:lineRule="auto"/>
              <w:jc w:val="center"/>
              <w:rPr>
                <w:sz w:val="18"/>
                <w:szCs w:val="18"/>
              </w:rPr>
            </w:pPr>
            <w:r>
              <w:rPr>
                <w:rFonts w:hint="eastAsia"/>
                <w:sz w:val="18"/>
                <w:szCs w:val="18"/>
              </w:rPr>
              <w:t>60×10</w:t>
            </w:r>
          </w:p>
        </w:tc>
        <w:tc>
          <w:tcPr>
            <w:tcW w:w="834" w:type="dxa"/>
            <w:vMerge w:val="continue"/>
            <w:vAlign w:val="center"/>
          </w:tcPr>
          <w:p>
            <w:pPr>
              <w:spacing w:line="240" w:lineRule="auto"/>
              <w:jc w:val="center"/>
              <w:rPr>
                <w:sz w:val="18"/>
                <w:szCs w:val="18"/>
              </w:rPr>
            </w:pPr>
          </w:p>
        </w:tc>
        <w:tc>
          <w:tcPr>
            <w:tcW w:w="838" w:type="dxa"/>
            <w:vMerge w:val="continue"/>
            <w:vAlign w:val="center"/>
          </w:tcPr>
          <w:p>
            <w:pPr>
              <w:spacing w:line="240" w:lineRule="auto"/>
              <w:jc w:val="center"/>
              <w:rPr>
                <w:sz w:val="18"/>
                <w:szCs w:val="18"/>
              </w:rPr>
            </w:pPr>
          </w:p>
        </w:tc>
        <w:tc>
          <w:tcPr>
            <w:tcW w:w="722" w:type="dxa"/>
            <w:vMerge w:val="continue"/>
            <w:vAlign w:val="center"/>
          </w:tcPr>
          <w:p>
            <w:pPr>
              <w:spacing w:line="240" w:lineRule="auto"/>
              <w:jc w:val="center"/>
              <w:rPr>
                <w:sz w:val="18"/>
                <w:szCs w:val="18"/>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gridAfter w:val="1"/>
          <w:wAfter w:w="10" w:type="dxa"/>
          <w:trHeight w:val="1115" w:hRule="atLeast"/>
        </w:trPr>
        <w:tc>
          <w:tcPr>
            <w:tcW w:w="13810" w:type="dxa"/>
            <w:gridSpan w:val="14"/>
            <w:vAlign w:val="center"/>
          </w:tcPr>
          <w:p>
            <w:pPr>
              <w:spacing w:line="240" w:lineRule="auto"/>
              <w:jc w:val="left"/>
              <w:rPr>
                <w:sz w:val="18"/>
                <w:szCs w:val="18"/>
              </w:rPr>
            </w:pPr>
            <w:r>
              <w:rPr>
                <w:rFonts w:hint="eastAsia"/>
                <w:sz w:val="18"/>
                <w:szCs w:val="18"/>
              </w:rPr>
              <w:t>注1：本标准正文图例管节长宽尺寸A1×B1、A2×B2、A3×B3和钢圈尺寸b1×t1、b2×t2、b3×t3、b4×t4、t0等对应本图表的管节长宽尺寸A1×B1、A2×B2、A3×B3和钢圈尺寸b1×t1、b2×t2、b3×t3、b4×t4、t0，管接头纵向尺寸L1、L2、L3对应本图表的L1、L2、L3；</w:t>
            </w:r>
          </w:p>
          <w:p>
            <w:pPr>
              <w:spacing w:line="240" w:lineRule="auto"/>
              <w:rPr>
                <w:sz w:val="18"/>
                <w:szCs w:val="18"/>
              </w:rPr>
            </w:pPr>
            <w:r>
              <w:rPr>
                <w:rFonts w:hint="eastAsia"/>
                <w:sz w:val="18"/>
                <w:szCs w:val="18"/>
              </w:rPr>
              <w:t>注2：当采用16锰钢板时承口钢板厚度可适当减薄。</w:t>
            </w:r>
          </w:p>
        </w:tc>
      </w:tr>
    </w:tbl>
    <w:p>
      <w:pPr>
        <w:sectPr>
          <w:pgSz w:w="16838" w:h="11906" w:orient="landscape"/>
          <w:pgMar w:top="1800" w:right="1440" w:bottom="1800" w:left="1440" w:header="851" w:footer="992" w:gutter="0"/>
          <w:cols w:space="425" w:num="1"/>
          <w:docGrid w:type="lines" w:linePitch="326" w:charSpace="0"/>
        </w:sectPr>
      </w:pPr>
    </w:p>
    <w:p>
      <w:r>
        <w:rPr>
          <w:rFonts w:hint="eastAsia"/>
          <w:b/>
        </w:rPr>
        <w:t>6.2.3</w:t>
      </w:r>
      <w:r>
        <w:rPr>
          <w:b/>
        </w:rPr>
        <w:t xml:space="preserve">  </w:t>
      </w:r>
      <w:r>
        <w:rPr>
          <w:rFonts w:hint="eastAsia"/>
        </w:rPr>
        <w:t>管节间密封与防水应符合下列规定：</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密封橡胶圈材料应为氯丁橡胶或氯丁橡胶与水膨胀橡胶复合体，并用粘结剂接于管节基面上，接口处强度应大于10MPa，接口平整光滑、无痕迹，不允许有裂口；</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在遇有含油的地下水部位，宜选用丁晴橡胶；在含油弱酸弱碱地下水时宜选用氯丁橡胶，遇霉菌侵蚀时宜选用防霉等级在二级及以上的橡胶，在平均气温低的部位，宜选用三元乙丙橡胶；</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管节与钢套环间形成的嵌缝槽采用聚胺脂密封胶嵌注；</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在钢套环上的两圆筋之间嵌入水膨胀橡胶止水条；</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5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弹性密封垫生产前必须进行防水试验及耐久性试验，以检测验证所设计的密封材料的材质，构造是否满足防水及耐久性要求；</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人工收面与弹性密封垫对应的位置应人工打磨保证光滑。</w:t>
      </w:r>
    </w:p>
    <w:p>
      <w:pPr>
        <w:jc w:val="left"/>
        <w:rPr>
          <w:color w:val="000000" w:themeColor="text1"/>
          <w14:textFill>
            <w14:solidFill>
              <w14:schemeClr w14:val="tx1"/>
            </w14:solidFill>
          </w14:textFill>
        </w:rPr>
      </w:pPr>
      <w:r>
        <w:rPr>
          <w:rFonts w:hint="eastAsia"/>
          <w:b/>
          <w:color w:val="000000" w:themeColor="text1"/>
          <w14:textFill>
            <w14:solidFill>
              <w14:schemeClr w14:val="tx1"/>
            </w14:solidFill>
          </w14:textFill>
        </w:rPr>
        <w:t>6.2.4</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管节与管节之间接头处传力面应设置环形传力衬垫，衬板一般采用中等硬度的木质材料-胶合板，板接头处以企口方式相接，管节下部的嵌缝槽采用聚硫密封胶嵌填，传力衬垫应符合下列规定：</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应选用中等硬度、质地均匀、有弹性的松木、杉木或胶合板；</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在满足传力要求的同时，尚应满足强度和变形要求；</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厚度宜为15</w:t>
      </w:r>
      <w:r>
        <w:rPr>
          <w:color w:val="000000" w:themeColor="text1"/>
          <w14:textFill>
            <w14:solidFill>
              <w14:schemeClr w14:val="tx1"/>
            </w14:solidFill>
          </w14:textFill>
        </w:rPr>
        <w:t>mm~30mm</w:t>
      </w:r>
      <w:r>
        <w:rPr>
          <w:rFonts w:hint="eastAsia"/>
          <w:color w:val="000000" w:themeColor="text1"/>
          <w14:textFill>
            <w14:solidFill>
              <w14:schemeClr w14:val="tx1"/>
            </w14:solidFill>
          </w14:textFill>
        </w:rPr>
        <w:t>，应根据管道的尺寸和曲率半径确定；</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管节端面的木衬垫板宜使用粘结剂粘贴，粘贴时应位置准确，粘贴牢固，表面平整。</w:t>
      </w:r>
    </w:p>
    <w:p>
      <w:pPr>
        <w:rPr>
          <w:color w:val="000000" w:themeColor="text1"/>
          <w14:textFill>
            <w14:solidFill>
              <w14:schemeClr w14:val="tx1"/>
            </w14:solidFill>
          </w14:textFill>
        </w:rPr>
      </w:pPr>
      <w:r>
        <w:rPr>
          <w:b/>
          <w:color w:val="000000" w:themeColor="text1"/>
          <w14:textFill>
            <w14:solidFill>
              <w14:schemeClr w14:val="tx1"/>
            </w14:solidFill>
          </w14:textFill>
        </w:rPr>
        <w:t>6.</w:t>
      </w: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管节接口型式应符合下列规定：</w:t>
      </w:r>
    </w:p>
    <w:p>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应优先选用“F”型钢承口接口型式，接缝防水装置采用楔形或锯齿形止水圈和双组份聚硫密封膏嵌缝；</w:t>
      </w:r>
    </w:p>
    <w:p>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当顶管需穿越砂层、卵石层等透水性强的地层，以及对沉降要求严格的建（构）筑物等情况时，宜采用双道橡胶密封圈的钢承口接口型式；</w:t>
      </w:r>
    </w:p>
    <w:p>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采用双道橡胶密封圈的钢承口接口型式，应在两道橡胶密封圈之间设置试压孔，管道接口承插后，应进行接口水压试验，合格后方可进行顶进作业。</w:t>
      </w:r>
    </w:p>
    <w:p>
      <w:pPr>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147185" cy="1527175"/>
            <wp:effectExtent l="0" t="0" r="5715" b="0"/>
            <wp:docPr id="15"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2"/>
                    <pic:cNvPicPr>
                      <a:picLocks noChangeAspect="1" noChangeArrowheads="1"/>
                    </pic:cNvPicPr>
                  </pic:nvPicPr>
                  <pic:blipFill>
                    <a:blip r:embed="rId492" cstate="print"/>
                    <a:srcRect/>
                    <a:stretch>
                      <a:fillRect/>
                    </a:stretch>
                  </pic:blipFill>
                  <pic:spPr>
                    <a:xfrm>
                      <a:off x="0" y="0"/>
                      <a:ext cx="4179485" cy="1539302"/>
                    </a:xfrm>
                    <a:prstGeom prst="rect">
                      <a:avLst/>
                    </a:prstGeom>
                    <a:noFill/>
                    <a:ln w="9525">
                      <a:noFill/>
                      <a:miter lim="800000"/>
                      <a:headEnd/>
                      <a:tailEnd/>
                    </a:ln>
                  </pic:spPr>
                </pic:pic>
              </a:graphicData>
            </a:graphic>
          </wp:inline>
        </w:drawing>
      </w:r>
    </w:p>
    <w:p>
      <w:pPr>
        <w:jc w:val="center"/>
        <w:rPr>
          <w:b/>
          <w:bCs/>
          <w:color w:val="000000" w:themeColor="text1"/>
          <w:sz w:val="21"/>
          <w:szCs w:val="18"/>
          <w14:textFill>
            <w14:solidFill>
              <w14:schemeClr w14:val="tx1"/>
            </w14:solidFill>
          </w14:textFill>
        </w:rPr>
      </w:pPr>
      <w:r>
        <w:rPr>
          <w:rFonts w:hint="eastAsia"/>
          <w:b/>
          <w:bCs/>
          <w:color w:val="000000" w:themeColor="text1"/>
          <w:sz w:val="21"/>
          <w:szCs w:val="18"/>
          <w14:textFill>
            <w14:solidFill>
              <w14:schemeClr w14:val="tx1"/>
            </w14:solidFill>
          </w14:textFill>
        </w:rPr>
        <w:t>图6.2.5</w:t>
      </w:r>
      <w:r>
        <w:rPr>
          <w:b/>
          <w:bCs/>
          <w:color w:val="000000" w:themeColor="text1"/>
          <w:sz w:val="21"/>
          <w:szCs w:val="18"/>
          <w14:textFill>
            <w14:solidFill>
              <w14:schemeClr w14:val="tx1"/>
            </w14:solidFill>
          </w14:textFill>
        </w:rPr>
        <w:t xml:space="preserve">  </w:t>
      </w:r>
      <w:r>
        <w:rPr>
          <w:rFonts w:hint="eastAsia"/>
          <w:b/>
          <w:bCs/>
          <w:color w:val="000000" w:themeColor="text1"/>
          <w:sz w:val="21"/>
          <w:szCs w:val="18"/>
          <w14:textFill>
            <w14:solidFill>
              <w14:schemeClr w14:val="tx1"/>
            </w14:solidFill>
          </w14:textFill>
        </w:rPr>
        <w:t>钢承口接口大样图</w:t>
      </w:r>
    </w:p>
    <w:p>
      <w:pPr>
        <w:rPr>
          <w:color w:val="000000" w:themeColor="text1"/>
          <w14:textFill>
            <w14:solidFill>
              <w14:schemeClr w14:val="tx1"/>
            </w14:solidFill>
          </w14:textFill>
        </w:rPr>
      </w:pPr>
      <w:r>
        <w:rPr>
          <w:rFonts w:hint="eastAsia"/>
          <w:b/>
          <w:color w:val="000000" w:themeColor="text1"/>
          <w14:textFill>
            <w14:solidFill>
              <w14:schemeClr w14:val="tx1"/>
            </w14:solidFill>
          </w14:textFill>
        </w:rPr>
        <w:t>6.2</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6</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管节钢环应符合下列规定：</w:t>
      </w:r>
    </w:p>
    <w:p>
      <w:pPr>
        <w:ind w:firstLine="482" w:firstLineChars="200"/>
        <w:rPr>
          <w:rFonts w:ascii="Arial" w:hAnsi="Arial" w:cs="Arial"/>
          <w:shd w:val="clear" w:color="auto" w:fill="FFFFFF"/>
        </w:rPr>
      </w:pPr>
      <w:r>
        <w:rPr>
          <w:b/>
        </w:rPr>
        <w:t xml:space="preserve">1  </w:t>
      </w:r>
      <w:r>
        <w:rPr>
          <w:rFonts w:hint="eastAsia"/>
        </w:rPr>
        <w:t>钢套环及钢环材料应采用1</w:t>
      </w:r>
      <w:r>
        <w:t>6M</w:t>
      </w:r>
      <w:r>
        <w:rPr>
          <w:rFonts w:hint="eastAsia"/>
        </w:rPr>
        <w:t>n钢，钢环表面采用环氧富锌底漆二度，每度不低于</w:t>
      </w:r>
      <w:r>
        <w:t>30</w:t>
      </w:r>
      <w:r>
        <w:rPr>
          <w:shd w:val="clear" w:color="auto" w:fill="FFFFFF"/>
        </w:rPr>
        <w:t>μm</w:t>
      </w:r>
      <w:r>
        <w:rPr>
          <w:rFonts w:hint="eastAsia" w:ascii="Arial" w:hAnsi="Arial" w:cs="Arial"/>
          <w:shd w:val="clear" w:color="auto" w:fill="FFFFFF"/>
        </w:rPr>
        <w:t>，环氧沥青面漆二度，每度不低于</w:t>
      </w:r>
      <w:r>
        <w:rPr>
          <w:shd w:val="clear" w:color="auto" w:fill="FFFFFF"/>
        </w:rPr>
        <w:t>80μm</w:t>
      </w:r>
      <w:r>
        <w:rPr>
          <w:rFonts w:hint="eastAsia" w:ascii="Arial" w:hAnsi="Arial" w:cs="Arial"/>
          <w:shd w:val="clear" w:color="auto" w:fill="FFFFFF"/>
        </w:rPr>
        <w:t>，钢套环接头内侧应磨平；</w:t>
      </w:r>
    </w:p>
    <w:p>
      <w:pPr>
        <w:ind w:firstLine="482" w:firstLineChars="200"/>
        <w:rPr>
          <w:rFonts w:ascii="Arial" w:hAnsi="Arial" w:cs="Arial"/>
          <w:shd w:val="clear" w:color="auto" w:fill="FFFFFF"/>
        </w:rPr>
      </w:pPr>
      <w:r>
        <w:rPr>
          <w:b/>
        </w:rPr>
        <w:t xml:space="preserve">2  </w:t>
      </w:r>
      <w:r>
        <w:rPr>
          <w:rFonts w:hint="eastAsia" w:ascii="Arial" w:hAnsi="Arial" w:cs="Arial"/>
          <w:shd w:val="clear" w:color="auto" w:fill="FFFFFF"/>
        </w:rPr>
        <w:t>钢套环焊接应确保周边满焊，并采取措施防止钢套环焊接变形。</w:t>
      </w:r>
    </w:p>
    <w:p>
      <w:pPr>
        <w:ind w:firstLine="482" w:firstLineChars="200"/>
      </w:pPr>
      <w:r>
        <w:rPr>
          <w:b/>
        </w:rPr>
        <w:t xml:space="preserve">3  </w:t>
      </w:r>
      <w:r>
        <w:rPr>
          <w:rFonts w:hint="eastAsia"/>
        </w:rPr>
        <w:t>钢套环及钢环两对角线尺寸误差应小于5</w:t>
      </w:r>
      <w:r>
        <w:t>mm</w:t>
      </w:r>
      <w:r>
        <w:rPr>
          <w:rFonts w:hint="eastAsia"/>
        </w:rPr>
        <w:t>。</w:t>
      </w:r>
    </w:p>
    <w:p>
      <w:pPr>
        <w:rPr>
          <w:color w:val="000000" w:themeColor="text1"/>
          <w14:textFill>
            <w14:solidFill>
              <w14:schemeClr w14:val="tx1"/>
            </w14:solidFill>
          </w14:textFill>
        </w:rPr>
      </w:pPr>
      <w:r>
        <w:rPr>
          <w:rFonts w:hint="eastAsia"/>
          <w:b/>
          <w:color w:val="000000" w:themeColor="text1"/>
          <w14:textFill>
            <w14:solidFill>
              <w14:schemeClr w14:val="tx1"/>
            </w14:solidFill>
          </w14:textFill>
        </w:rPr>
        <w:t>6.2.7</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橡胶止水带的横断面图及材料物理力学指标。</w:t>
      </w:r>
    </w:p>
    <w:p>
      <w:pP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2752725</wp:posOffset>
            </wp:positionH>
            <wp:positionV relativeFrom="paragraph">
              <wp:posOffset>137795</wp:posOffset>
            </wp:positionV>
            <wp:extent cx="2847975" cy="1400175"/>
            <wp:effectExtent l="19050" t="0" r="9525" b="0"/>
            <wp:wrapNone/>
            <wp:docPr id="16"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0"/>
                    <pic:cNvPicPr>
                      <a:picLocks noChangeAspect="1" noChangeArrowheads="1"/>
                    </pic:cNvPicPr>
                  </pic:nvPicPr>
                  <pic:blipFill>
                    <a:blip r:embed="rId493" cstate="print"/>
                    <a:srcRect/>
                    <a:stretch>
                      <a:fillRect/>
                    </a:stretch>
                  </pic:blipFill>
                  <pic:spPr>
                    <a:xfrm>
                      <a:off x="0" y="0"/>
                      <a:ext cx="2847975" cy="1400175"/>
                    </a:xfrm>
                    <a:prstGeom prst="rect">
                      <a:avLst/>
                    </a:prstGeom>
                    <a:noFill/>
                    <a:ln w="9525">
                      <a:noFill/>
                      <a:miter lim="800000"/>
                      <a:headEnd/>
                      <a:tailEnd/>
                    </a:ln>
                  </pic:spPr>
                </pic:pic>
              </a:graphicData>
            </a:graphic>
          </wp:anchor>
        </w:drawing>
      </w:r>
      <w:r>
        <w:rP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9525</wp:posOffset>
            </wp:positionH>
            <wp:positionV relativeFrom="paragraph">
              <wp:posOffset>175895</wp:posOffset>
            </wp:positionV>
            <wp:extent cx="2781300" cy="1362075"/>
            <wp:effectExtent l="19050" t="0" r="0" b="0"/>
            <wp:wrapNone/>
            <wp:docPr id="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7"/>
                    <pic:cNvPicPr>
                      <a:picLocks noChangeAspect="1" noChangeArrowheads="1"/>
                    </pic:cNvPicPr>
                  </pic:nvPicPr>
                  <pic:blipFill>
                    <a:blip r:embed="rId494" cstate="print"/>
                    <a:srcRect/>
                    <a:stretch>
                      <a:fillRect/>
                    </a:stretch>
                  </pic:blipFill>
                  <pic:spPr>
                    <a:xfrm>
                      <a:off x="0" y="0"/>
                      <a:ext cx="2781300" cy="1362075"/>
                    </a:xfrm>
                    <a:prstGeom prst="rect">
                      <a:avLst/>
                    </a:prstGeom>
                    <a:noFill/>
                    <a:ln w="9525">
                      <a:noFill/>
                      <a:miter lim="800000"/>
                      <a:headEnd/>
                      <a:tailEnd/>
                    </a:ln>
                  </pic:spPr>
                </pic:pic>
              </a:graphicData>
            </a:graphic>
          </wp:anchor>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b/>
          <w:bCs/>
          <w:color w:val="000000" w:themeColor="text1"/>
          <w:sz w:val="21"/>
          <w:szCs w:val="18"/>
          <w14:textFill>
            <w14:solidFill>
              <w14:schemeClr w14:val="tx1"/>
            </w14:solidFill>
          </w14:textFill>
        </w:rPr>
      </w:pPr>
      <w:r>
        <w:rPr>
          <w:rFonts w:hint="eastAsia"/>
          <w:b/>
          <w:bCs/>
          <w:color w:val="000000" w:themeColor="text1"/>
          <w:sz w:val="21"/>
          <w:szCs w:val="18"/>
          <w14:textFill>
            <w14:solidFill>
              <w14:schemeClr w14:val="tx1"/>
            </w14:solidFill>
          </w14:textFill>
        </w:rPr>
        <w:t>图6.2.7-1</w:t>
      </w:r>
      <w:r>
        <w:rPr>
          <w:b/>
          <w:bCs/>
          <w:color w:val="000000" w:themeColor="text1"/>
          <w:sz w:val="21"/>
          <w:szCs w:val="18"/>
          <w14:textFill>
            <w14:solidFill>
              <w14:schemeClr w14:val="tx1"/>
            </w14:solidFill>
          </w14:textFill>
        </w:rPr>
        <w:t xml:space="preserve"> </w:t>
      </w:r>
      <w:r>
        <w:rPr>
          <w:rFonts w:hint="eastAsia"/>
          <w:b/>
          <w:bCs/>
          <w:color w:val="000000" w:themeColor="text1"/>
          <w:sz w:val="21"/>
          <w:szCs w:val="18"/>
          <w14:textFill>
            <w14:solidFill>
              <w14:schemeClr w14:val="tx1"/>
            </w14:solidFill>
          </w14:textFill>
        </w:rPr>
        <w:t>胶圈尺寸图（单）            图6.2.7-2</w:t>
      </w:r>
      <w:r>
        <w:rPr>
          <w:b/>
          <w:bCs/>
          <w:color w:val="000000" w:themeColor="text1"/>
          <w:sz w:val="21"/>
          <w:szCs w:val="18"/>
          <w14:textFill>
            <w14:solidFill>
              <w14:schemeClr w14:val="tx1"/>
            </w14:solidFill>
          </w14:textFill>
        </w:rPr>
        <w:t xml:space="preserve"> </w:t>
      </w:r>
      <w:r>
        <w:rPr>
          <w:rFonts w:hint="eastAsia"/>
          <w:b/>
          <w:bCs/>
          <w:color w:val="000000" w:themeColor="text1"/>
          <w:sz w:val="21"/>
          <w:szCs w:val="18"/>
          <w14:textFill>
            <w14:solidFill>
              <w14:schemeClr w14:val="tx1"/>
            </w14:solidFill>
          </w14:textFill>
        </w:rPr>
        <w:t>胶圈尺寸图（双）</w:t>
      </w:r>
    </w:p>
    <w:p>
      <w:pP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3133725</wp:posOffset>
            </wp:positionH>
            <wp:positionV relativeFrom="paragraph">
              <wp:posOffset>121285</wp:posOffset>
            </wp:positionV>
            <wp:extent cx="2028825" cy="1028700"/>
            <wp:effectExtent l="19050" t="0" r="9525" b="0"/>
            <wp:wrapNone/>
            <wp:docPr id="18"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5"/>
                    <pic:cNvPicPr>
                      <a:picLocks noChangeAspect="1" noChangeArrowheads="1"/>
                    </pic:cNvPicPr>
                  </pic:nvPicPr>
                  <pic:blipFill>
                    <a:blip r:embed="rId495" cstate="print"/>
                    <a:srcRect/>
                    <a:stretch>
                      <a:fillRect/>
                    </a:stretch>
                  </pic:blipFill>
                  <pic:spPr>
                    <a:xfrm>
                      <a:off x="0" y="0"/>
                      <a:ext cx="2028825" cy="1028700"/>
                    </a:xfrm>
                    <a:prstGeom prst="rect">
                      <a:avLst/>
                    </a:prstGeom>
                    <a:noFill/>
                    <a:ln w="9525">
                      <a:noFill/>
                      <a:miter lim="800000"/>
                      <a:headEnd/>
                      <a:tailEnd/>
                    </a:ln>
                  </pic:spPr>
                </pic:pic>
              </a:graphicData>
            </a:graphic>
          </wp:anchor>
        </w:drawing>
      </w:r>
      <w:r>
        <w:rPr>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266700</wp:posOffset>
            </wp:positionH>
            <wp:positionV relativeFrom="paragraph">
              <wp:posOffset>159385</wp:posOffset>
            </wp:positionV>
            <wp:extent cx="2028825" cy="962025"/>
            <wp:effectExtent l="19050" t="0" r="9525" b="0"/>
            <wp:wrapNone/>
            <wp:docPr id="13"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2"/>
                    <pic:cNvPicPr>
                      <a:picLocks noChangeAspect="1" noChangeArrowheads="1"/>
                    </pic:cNvPicPr>
                  </pic:nvPicPr>
                  <pic:blipFill>
                    <a:blip r:embed="rId496" cstate="print"/>
                    <a:srcRect/>
                    <a:stretch>
                      <a:fillRect/>
                    </a:stretch>
                  </pic:blipFill>
                  <pic:spPr>
                    <a:xfrm>
                      <a:off x="0" y="0"/>
                      <a:ext cx="2028825" cy="962025"/>
                    </a:xfrm>
                    <a:prstGeom prst="rect">
                      <a:avLst/>
                    </a:prstGeom>
                    <a:noFill/>
                    <a:ln w="9525">
                      <a:noFill/>
                      <a:miter lim="800000"/>
                      <a:headEnd/>
                      <a:tailEnd/>
                    </a:ln>
                  </pic:spPr>
                </pic:pic>
              </a:graphicData>
            </a:graphic>
          </wp:anchor>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jc w:val="center"/>
        <w:rPr>
          <w:b/>
          <w:bCs/>
          <w:color w:val="000000" w:themeColor="text1"/>
          <w:sz w:val="21"/>
          <w:szCs w:val="18"/>
          <w14:textFill>
            <w14:solidFill>
              <w14:schemeClr w14:val="tx1"/>
            </w14:solidFill>
          </w14:textFill>
        </w:rPr>
      </w:pPr>
      <w:r>
        <w:rPr>
          <w:rFonts w:hint="eastAsia"/>
          <w:b/>
          <w:bCs/>
          <w:color w:val="000000" w:themeColor="text1"/>
          <w:sz w:val="21"/>
          <w:szCs w:val="18"/>
          <w14:textFill>
            <w14:solidFill>
              <w14:schemeClr w14:val="tx1"/>
            </w14:solidFill>
          </w14:textFill>
        </w:rPr>
        <w:t>图6.2.7-3</w:t>
      </w:r>
      <w:r>
        <w:rPr>
          <w:b/>
          <w:bCs/>
          <w:color w:val="000000" w:themeColor="text1"/>
          <w:sz w:val="21"/>
          <w:szCs w:val="18"/>
          <w14:textFill>
            <w14:solidFill>
              <w14:schemeClr w14:val="tx1"/>
            </w14:solidFill>
          </w14:textFill>
        </w:rPr>
        <w:t xml:space="preserve">  </w:t>
      </w:r>
      <w:r>
        <w:rPr>
          <w:rFonts w:hint="eastAsia"/>
          <w:b/>
          <w:bCs/>
          <w:color w:val="000000" w:themeColor="text1"/>
          <w:sz w:val="21"/>
          <w:szCs w:val="18"/>
          <w14:textFill>
            <w14:solidFill>
              <w14:schemeClr w14:val="tx1"/>
            </w14:solidFill>
          </w14:textFill>
        </w:rPr>
        <w:t>胶圈①尺寸图              图6.2.7-4</w:t>
      </w:r>
      <w:r>
        <w:rPr>
          <w:b/>
          <w:bCs/>
          <w:color w:val="000000" w:themeColor="text1"/>
          <w:sz w:val="21"/>
          <w:szCs w:val="18"/>
          <w14:textFill>
            <w14:solidFill>
              <w14:schemeClr w14:val="tx1"/>
            </w14:solidFill>
          </w14:textFill>
        </w:rPr>
        <w:t xml:space="preserve">  </w:t>
      </w:r>
      <w:r>
        <w:rPr>
          <w:rFonts w:hint="eastAsia"/>
          <w:b/>
          <w:bCs/>
          <w:color w:val="000000" w:themeColor="text1"/>
          <w:sz w:val="21"/>
          <w:szCs w:val="18"/>
          <w14:textFill>
            <w14:solidFill>
              <w14:schemeClr w14:val="tx1"/>
            </w14:solidFill>
          </w14:textFill>
        </w:rPr>
        <w:t>胶圈②尺寸图</w:t>
      </w:r>
    </w:p>
    <w:p>
      <w:pP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9504" behindDoc="0" locked="0" layoutInCell="1" allowOverlap="1">
            <wp:simplePos x="0" y="0"/>
            <wp:positionH relativeFrom="column">
              <wp:posOffset>2962275</wp:posOffset>
            </wp:positionH>
            <wp:positionV relativeFrom="paragraph">
              <wp:posOffset>115570</wp:posOffset>
            </wp:positionV>
            <wp:extent cx="2400300" cy="1000125"/>
            <wp:effectExtent l="19050" t="0" r="0" b="0"/>
            <wp:wrapNone/>
            <wp:docPr id="19"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5"/>
                    <pic:cNvPicPr>
                      <a:picLocks noChangeAspect="1" noChangeArrowheads="1"/>
                    </pic:cNvPicPr>
                  </pic:nvPicPr>
                  <pic:blipFill>
                    <a:blip r:embed="rId497"/>
                    <a:srcRect/>
                    <a:stretch>
                      <a:fillRect/>
                    </a:stretch>
                  </pic:blipFill>
                  <pic:spPr>
                    <a:xfrm>
                      <a:off x="0" y="0"/>
                      <a:ext cx="2400300" cy="1000125"/>
                    </a:xfrm>
                    <a:prstGeom prst="rect">
                      <a:avLst/>
                    </a:prstGeom>
                    <a:noFill/>
                    <a:ln w="9525">
                      <a:noFill/>
                      <a:miter lim="800000"/>
                      <a:headEnd/>
                      <a:tailEnd/>
                    </a:ln>
                  </pic:spPr>
                </pic:pic>
              </a:graphicData>
            </a:graphic>
          </wp:anchor>
        </w:drawing>
      </w:r>
      <w:r>
        <w:rPr>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209550</wp:posOffset>
            </wp:positionH>
            <wp:positionV relativeFrom="paragraph">
              <wp:posOffset>1270</wp:posOffset>
            </wp:positionV>
            <wp:extent cx="2219325" cy="1162050"/>
            <wp:effectExtent l="19050" t="0" r="9525" b="0"/>
            <wp:wrapNone/>
            <wp:docPr id="14"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8"/>
                    <pic:cNvPicPr>
                      <a:picLocks noChangeAspect="1" noChangeArrowheads="1"/>
                    </pic:cNvPicPr>
                  </pic:nvPicPr>
                  <pic:blipFill>
                    <a:blip r:embed="rId498" cstate="print"/>
                    <a:srcRect/>
                    <a:stretch>
                      <a:fillRect/>
                    </a:stretch>
                  </pic:blipFill>
                  <pic:spPr>
                    <a:xfrm>
                      <a:off x="0" y="0"/>
                      <a:ext cx="2219325" cy="1162050"/>
                    </a:xfrm>
                    <a:prstGeom prst="rect">
                      <a:avLst/>
                    </a:prstGeom>
                    <a:noFill/>
                    <a:ln w="9525">
                      <a:noFill/>
                      <a:miter lim="800000"/>
                      <a:headEnd/>
                      <a:tailEnd/>
                    </a:ln>
                  </pic:spPr>
                </pic:pic>
              </a:graphicData>
            </a:graphic>
          </wp:anchor>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b/>
          <w:bCs/>
          <w:color w:val="000000" w:themeColor="text1"/>
          <w:sz w:val="21"/>
          <w:szCs w:val="18"/>
          <w14:textFill>
            <w14:solidFill>
              <w14:schemeClr w14:val="tx1"/>
            </w14:solidFill>
          </w14:textFill>
        </w:rPr>
      </w:pPr>
      <w:r>
        <w:rPr>
          <w:rFonts w:hint="eastAsia"/>
          <w:b/>
          <w:bCs/>
          <w:color w:val="000000" w:themeColor="text1"/>
          <w:sz w:val="21"/>
          <w:szCs w:val="18"/>
          <w14:textFill>
            <w14:solidFill>
              <w14:schemeClr w14:val="tx1"/>
            </w14:solidFill>
          </w14:textFill>
        </w:rPr>
        <w:t>图6.2.7-5</w:t>
      </w:r>
      <w:r>
        <w:rPr>
          <w:b/>
          <w:bCs/>
          <w:color w:val="000000" w:themeColor="text1"/>
          <w:sz w:val="21"/>
          <w:szCs w:val="18"/>
          <w14:textFill>
            <w14:solidFill>
              <w14:schemeClr w14:val="tx1"/>
            </w14:solidFill>
          </w14:textFill>
        </w:rPr>
        <w:t xml:space="preserve">  </w:t>
      </w:r>
      <w:r>
        <w:rPr>
          <w:rFonts w:hint="eastAsia"/>
          <w:b/>
          <w:bCs/>
          <w:color w:val="000000" w:themeColor="text1"/>
          <w:sz w:val="21"/>
          <w:szCs w:val="18"/>
          <w14:textFill>
            <w14:solidFill>
              <w14:schemeClr w14:val="tx1"/>
            </w14:solidFill>
          </w14:textFill>
        </w:rPr>
        <w:t>胶圈③尺寸图               图6.2.7-6</w:t>
      </w:r>
      <w:r>
        <w:rPr>
          <w:b/>
          <w:bCs/>
          <w:color w:val="000000" w:themeColor="text1"/>
          <w:sz w:val="21"/>
          <w:szCs w:val="18"/>
          <w14:textFill>
            <w14:solidFill>
              <w14:schemeClr w14:val="tx1"/>
            </w14:solidFill>
          </w14:textFill>
        </w:rPr>
        <w:t xml:space="preserve">  </w:t>
      </w:r>
      <w:r>
        <w:rPr>
          <w:rFonts w:hint="eastAsia"/>
          <w:b/>
          <w:bCs/>
          <w:color w:val="000000" w:themeColor="text1"/>
          <w:sz w:val="21"/>
          <w:szCs w:val="18"/>
          <w14:textFill>
            <w14:solidFill>
              <w14:schemeClr w14:val="tx1"/>
            </w14:solidFill>
          </w14:textFill>
        </w:rPr>
        <w:t>胶圈④尺寸图</w:t>
      </w:r>
    </w:p>
    <w:p>
      <w:pPr>
        <w:jc w:val="center"/>
        <w:rPr>
          <w:b/>
          <w:bCs/>
          <w:color w:val="000000" w:themeColor="text1"/>
          <w:sz w:val="21"/>
          <w:szCs w:val="18"/>
          <w14:textFill>
            <w14:solidFill>
              <w14:schemeClr w14:val="tx1"/>
            </w14:solidFill>
          </w14:textFill>
        </w:rPr>
      </w:pPr>
      <w:r>
        <w:rPr>
          <w:rFonts w:hint="eastAsia"/>
          <w:b/>
          <w:bCs/>
          <w:color w:val="000000" w:themeColor="text1"/>
          <w:sz w:val="21"/>
          <w:szCs w:val="18"/>
          <w14:textFill>
            <w14:solidFill>
              <w14:schemeClr w14:val="tx1"/>
            </w14:solidFill>
          </w14:textFill>
        </w:rPr>
        <w:t xml:space="preserve">表6.2.7-1 </w:t>
      </w:r>
      <w:r>
        <w:rPr>
          <w:b/>
          <w:bCs/>
          <w:color w:val="000000" w:themeColor="text1"/>
          <w:sz w:val="21"/>
          <w:szCs w:val="18"/>
          <w14:textFill>
            <w14:solidFill>
              <w14:schemeClr w14:val="tx1"/>
            </w14:solidFill>
          </w14:textFill>
        </w:rPr>
        <w:t xml:space="preserve"> </w:t>
      </w:r>
      <w:r>
        <w:rPr>
          <w:rFonts w:hint="eastAsia"/>
          <w:b/>
          <w:bCs/>
          <w:color w:val="000000" w:themeColor="text1"/>
          <w:sz w:val="21"/>
          <w:szCs w:val="18"/>
          <w14:textFill>
            <w14:solidFill>
              <w14:schemeClr w14:val="tx1"/>
            </w14:solidFill>
          </w14:textFill>
        </w:rPr>
        <w:t>氯丁橡胶的物理力学性能指标</w:t>
      </w:r>
    </w:p>
    <w:tbl>
      <w:tblPr>
        <w:tblStyle w:val="37"/>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709"/>
        <w:gridCol w:w="1222"/>
        <w:gridCol w:w="28"/>
        <w:gridCol w:w="1585"/>
        <w:gridCol w:w="741"/>
        <w:gridCol w:w="1843"/>
        <w:gridCol w:w="2318"/>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Align w:val="center"/>
          </w:tcPr>
          <w:p>
            <w:pPr>
              <w:spacing w:line="240" w:lineRule="auto"/>
              <w:jc w:val="center"/>
              <w:rPr>
                <w:rFonts w:eastAsiaTheme="minorEastAsia"/>
                <w:sz w:val="21"/>
              </w:rPr>
            </w:pPr>
            <w:r>
              <w:rPr>
                <w:rFonts w:eastAsiaTheme="minorEastAsia"/>
                <w:sz w:val="21"/>
              </w:rPr>
              <w:t>序号</w:t>
            </w:r>
          </w:p>
        </w:tc>
        <w:tc>
          <w:tcPr>
            <w:tcW w:w="2835" w:type="dxa"/>
            <w:gridSpan w:val="3"/>
            <w:vAlign w:val="center"/>
          </w:tcPr>
          <w:p>
            <w:pPr>
              <w:spacing w:line="240" w:lineRule="auto"/>
              <w:jc w:val="center"/>
              <w:rPr>
                <w:rFonts w:eastAsiaTheme="minorEastAsia"/>
                <w:sz w:val="21"/>
              </w:rPr>
            </w:pPr>
            <w:r>
              <w:rPr>
                <w:rFonts w:eastAsiaTheme="minorEastAsia"/>
                <w:sz w:val="21"/>
              </w:rPr>
              <w:t>项   目</w:t>
            </w:r>
          </w:p>
        </w:tc>
        <w:tc>
          <w:tcPr>
            <w:tcW w:w="709" w:type="dxa"/>
            <w:vAlign w:val="center"/>
          </w:tcPr>
          <w:p>
            <w:pPr>
              <w:spacing w:line="240" w:lineRule="auto"/>
              <w:jc w:val="center"/>
              <w:rPr>
                <w:rFonts w:eastAsiaTheme="minorEastAsia"/>
                <w:sz w:val="21"/>
              </w:rPr>
            </w:pPr>
            <w:r>
              <w:rPr>
                <w:rFonts w:eastAsiaTheme="minorEastAsia"/>
                <w:sz w:val="21"/>
              </w:rPr>
              <w:t>单位</w:t>
            </w:r>
          </w:p>
        </w:tc>
        <w:tc>
          <w:tcPr>
            <w:tcW w:w="1843" w:type="dxa"/>
            <w:vAlign w:val="center"/>
          </w:tcPr>
          <w:p>
            <w:pPr>
              <w:spacing w:line="240" w:lineRule="auto"/>
              <w:jc w:val="center"/>
              <w:rPr>
                <w:rFonts w:eastAsiaTheme="minorEastAsia"/>
                <w:sz w:val="21"/>
              </w:rPr>
            </w:pPr>
            <w:r>
              <w:rPr>
                <w:rFonts w:eastAsiaTheme="minorEastAsia"/>
                <w:sz w:val="21"/>
              </w:rPr>
              <w:t>性能指标</w:t>
            </w:r>
          </w:p>
        </w:tc>
        <w:tc>
          <w:tcPr>
            <w:tcW w:w="2318" w:type="dxa"/>
            <w:vAlign w:val="center"/>
          </w:tcPr>
          <w:p>
            <w:pPr>
              <w:spacing w:line="240" w:lineRule="auto"/>
              <w:jc w:val="center"/>
              <w:rPr>
                <w:rFonts w:eastAsiaTheme="minorEastAsia"/>
                <w:sz w:val="21"/>
              </w:rPr>
            </w:pPr>
            <w:r>
              <w:rPr>
                <w:rFonts w:eastAsiaTheme="minorEastAsia"/>
                <w:sz w:val="21"/>
              </w:rPr>
              <w:t>检测方法</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Align w:val="center"/>
          </w:tcPr>
          <w:p>
            <w:pPr>
              <w:spacing w:line="240" w:lineRule="auto"/>
              <w:jc w:val="center"/>
              <w:rPr>
                <w:rFonts w:eastAsiaTheme="minorEastAsia"/>
                <w:sz w:val="21"/>
              </w:rPr>
            </w:pPr>
            <w:r>
              <w:rPr>
                <w:rFonts w:eastAsiaTheme="minorEastAsia"/>
                <w:sz w:val="21"/>
              </w:rPr>
              <w:t>1</w:t>
            </w:r>
          </w:p>
        </w:tc>
        <w:tc>
          <w:tcPr>
            <w:tcW w:w="2835" w:type="dxa"/>
            <w:gridSpan w:val="3"/>
            <w:vAlign w:val="center"/>
          </w:tcPr>
          <w:p>
            <w:pPr>
              <w:spacing w:line="240" w:lineRule="auto"/>
              <w:jc w:val="center"/>
              <w:rPr>
                <w:rFonts w:eastAsiaTheme="minorEastAsia"/>
                <w:sz w:val="21"/>
              </w:rPr>
            </w:pPr>
            <w:r>
              <w:rPr>
                <w:rFonts w:eastAsiaTheme="minorEastAsia"/>
                <w:sz w:val="21"/>
              </w:rPr>
              <w:t>硬度（邵尔A）</w:t>
            </w:r>
          </w:p>
        </w:tc>
        <w:tc>
          <w:tcPr>
            <w:tcW w:w="709" w:type="dxa"/>
            <w:vAlign w:val="center"/>
          </w:tcPr>
          <w:p>
            <w:pPr>
              <w:spacing w:line="240" w:lineRule="auto"/>
              <w:jc w:val="center"/>
              <w:rPr>
                <w:rFonts w:eastAsiaTheme="minorEastAsia"/>
                <w:sz w:val="21"/>
              </w:rPr>
            </w:pPr>
            <w:r>
              <w:rPr>
                <w:rFonts w:eastAsiaTheme="minorEastAsia"/>
                <w:sz w:val="21"/>
              </w:rPr>
              <w:t>度</w:t>
            </w:r>
          </w:p>
        </w:tc>
        <w:tc>
          <w:tcPr>
            <w:tcW w:w="1843" w:type="dxa"/>
            <w:vAlign w:val="center"/>
          </w:tcPr>
          <w:p>
            <w:pPr>
              <w:spacing w:line="240" w:lineRule="auto"/>
              <w:jc w:val="center"/>
              <w:rPr>
                <w:rFonts w:eastAsiaTheme="minorEastAsia"/>
                <w:sz w:val="21"/>
              </w:rPr>
            </w:pPr>
            <w:r>
              <w:rPr>
                <w:rFonts w:eastAsiaTheme="minorEastAsia"/>
                <w:sz w:val="21"/>
              </w:rPr>
              <w:t>60±5</w:t>
            </w:r>
          </w:p>
        </w:tc>
        <w:tc>
          <w:tcPr>
            <w:tcW w:w="2318" w:type="dxa"/>
            <w:vAlign w:val="center"/>
          </w:tcPr>
          <w:p>
            <w:pPr>
              <w:spacing w:line="240" w:lineRule="auto"/>
              <w:jc w:val="left"/>
              <w:rPr>
                <w:rFonts w:eastAsiaTheme="minorEastAsia"/>
                <w:sz w:val="21"/>
              </w:rPr>
            </w:pPr>
            <w:r>
              <w:rPr>
                <w:rFonts w:eastAsiaTheme="minorEastAsia"/>
                <w:sz w:val="21"/>
              </w:rPr>
              <w:t>参照GB/T3061-1998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Align w:val="center"/>
          </w:tcPr>
          <w:p>
            <w:pPr>
              <w:spacing w:line="240" w:lineRule="auto"/>
              <w:jc w:val="center"/>
              <w:rPr>
                <w:rFonts w:eastAsiaTheme="minorEastAsia"/>
                <w:sz w:val="21"/>
              </w:rPr>
            </w:pPr>
            <w:r>
              <w:rPr>
                <w:rFonts w:eastAsiaTheme="minorEastAsia"/>
                <w:sz w:val="21"/>
              </w:rPr>
              <w:t>2</w:t>
            </w:r>
          </w:p>
        </w:tc>
        <w:tc>
          <w:tcPr>
            <w:tcW w:w="2835" w:type="dxa"/>
            <w:gridSpan w:val="3"/>
            <w:vAlign w:val="center"/>
          </w:tcPr>
          <w:p>
            <w:pPr>
              <w:spacing w:line="240" w:lineRule="auto"/>
              <w:jc w:val="center"/>
              <w:rPr>
                <w:rFonts w:eastAsiaTheme="minorEastAsia"/>
                <w:sz w:val="21"/>
              </w:rPr>
            </w:pPr>
            <w:r>
              <w:rPr>
                <w:rFonts w:eastAsiaTheme="minorEastAsia"/>
                <w:sz w:val="21"/>
              </w:rPr>
              <w:t>拉伸强度</w:t>
            </w:r>
          </w:p>
        </w:tc>
        <w:tc>
          <w:tcPr>
            <w:tcW w:w="709" w:type="dxa"/>
            <w:vAlign w:val="center"/>
          </w:tcPr>
          <w:p>
            <w:pPr>
              <w:spacing w:line="240" w:lineRule="auto"/>
              <w:jc w:val="center"/>
              <w:rPr>
                <w:rFonts w:eastAsiaTheme="minorEastAsia"/>
                <w:sz w:val="21"/>
              </w:rPr>
            </w:pPr>
            <w:r>
              <w:rPr>
                <w:rFonts w:eastAsiaTheme="minorEastAsia"/>
                <w:sz w:val="21"/>
              </w:rPr>
              <w:t>MPa</w:t>
            </w:r>
          </w:p>
        </w:tc>
        <w:tc>
          <w:tcPr>
            <w:tcW w:w="1843" w:type="dxa"/>
            <w:vAlign w:val="center"/>
          </w:tcPr>
          <w:p>
            <w:pPr>
              <w:spacing w:line="240" w:lineRule="auto"/>
              <w:jc w:val="center"/>
              <w:rPr>
                <w:rFonts w:eastAsiaTheme="minorEastAsia"/>
                <w:sz w:val="21"/>
              </w:rPr>
            </w:pPr>
            <w:r>
              <w:rPr>
                <w:rFonts w:eastAsiaTheme="minorEastAsia"/>
                <w:sz w:val="21"/>
              </w:rPr>
              <w:t>≥15</w:t>
            </w:r>
          </w:p>
        </w:tc>
        <w:tc>
          <w:tcPr>
            <w:tcW w:w="2318" w:type="dxa"/>
            <w:vAlign w:val="center"/>
          </w:tcPr>
          <w:p>
            <w:pPr>
              <w:spacing w:line="240" w:lineRule="auto"/>
              <w:jc w:val="left"/>
              <w:rPr>
                <w:rFonts w:eastAsiaTheme="minorEastAsia"/>
                <w:sz w:val="21"/>
              </w:rPr>
            </w:pPr>
            <w:r>
              <w:rPr>
                <w:rFonts w:eastAsiaTheme="minorEastAsia"/>
                <w:sz w:val="21"/>
              </w:rPr>
              <w:t>参照GB/T528-1998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Align w:val="center"/>
          </w:tcPr>
          <w:p>
            <w:pPr>
              <w:spacing w:line="240" w:lineRule="auto"/>
              <w:jc w:val="center"/>
              <w:rPr>
                <w:rFonts w:eastAsiaTheme="minorEastAsia"/>
                <w:sz w:val="21"/>
              </w:rPr>
            </w:pPr>
            <w:r>
              <w:rPr>
                <w:rFonts w:eastAsiaTheme="minorEastAsia"/>
                <w:sz w:val="21"/>
              </w:rPr>
              <w:t>3</w:t>
            </w:r>
          </w:p>
        </w:tc>
        <w:tc>
          <w:tcPr>
            <w:tcW w:w="2835" w:type="dxa"/>
            <w:gridSpan w:val="3"/>
            <w:vAlign w:val="center"/>
          </w:tcPr>
          <w:p>
            <w:pPr>
              <w:spacing w:line="240" w:lineRule="auto"/>
              <w:jc w:val="center"/>
              <w:rPr>
                <w:rFonts w:eastAsiaTheme="minorEastAsia"/>
                <w:sz w:val="21"/>
              </w:rPr>
            </w:pPr>
            <w:r>
              <w:rPr>
                <w:rFonts w:eastAsiaTheme="minorEastAsia"/>
                <w:sz w:val="21"/>
              </w:rPr>
              <w:t>扯断延伸率</w:t>
            </w:r>
          </w:p>
        </w:tc>
        <w:tc>
          <w:tcPr>
            <w:tcW w:w="709" w:type="dxa"/>
            <w:vAlign w:val="center"/>
          </w:tcPr>
          <w:p>
            <w:pPr>
              <w:spacing w:line="240" w:lineRule="auto"/>
              <w:jc w:val="center"/>
              <w:rPr>
                <w:rFonts w:eastAsiaTheme="minorEastAsia"/>
                <w:sz w:val="21"/>
              </w:rPr>
            </w:pPr>
            <w:r>
              <w:rPr>
                <w:rFonts w:eastAsiaTheme="minorEastAsia"/>
                <w:sz w:val="21"/>
              </w:rPr>
              <w:t>%</w:t>
            </w:r>
          </w:p>
        </w:tc>
        <w:tc>
          <w:tcPr>
            <w:tcW w:w="1843" w:type="dxa"/>
            <w:vAlign w:val="center"/>
          </w:tcPr>
          <w:p>
            <w:pPr>
              <w:spacing w:line="240" w:lineRule="auto"/>
              <w:jc w:val="center"/>
              <w:rPr>
                <w:rFonts w:eastAsiaTheme="minorEastAsia"/>
                <w:sz w:val="21"/>
              </w:rPr>
            </w:pPr>
            <w:r>
              <w:rPr>
                <w:rFonts w:eastAsiaTheme="minorEastAsia"/>
                <w:sz w:val="21"/>
              </w:rPr>
              <w:t>≥380</w:t>
            </w:r>
          </w:p>
        </w:tc>
        <w:tc>
          <w:tcPr>
            <w:tcW w:w="2318" w:type="dxa"/>
            <w:vAlign w:val="center"/>
          </w:tcPr>
          <w:p>
            <w:pPr>
              <w:spacing w:line="240" w:lineRule="auto"/>
              <w:jc w:val="left"/>
              <w:rPr>
                <w:rFonts w:eastAsiaTheme="minorEastAsia"/>
                <w:sz w:val="21"/>
              </w:rPr>
            </w:pPr>
            <w:r>
              <w:rPr>
                <w:rFonts w:eastAsiaTheme="minorEastAsia"/>
                <w:sz w:val="21"/>
              </w:rPr>
              <w:t>参照GB/T528-1998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Merge w:val="restart"/>
            <w:vAlign w:val="center"/>
          </w:tcPr>
          <w:p>
            <w:pPr>
              <w:spacing w:line="240" w:lineRule="auto"/>
              <w:jc w:val="center"/>
              <w:rPr>
                <w:rFonts w:eastAsiaTheme="minorEastAsia"/>
                <w:sz w:val="21"/>
              </w:rPr>
            </w:pPr>
            <w:r>
              <w:rPr>
                <w:rFonts w:eastAsiaTheme="minorEastAsia"/>
                <w:sz w:val="21"/>
              </w:rPr>
              <w:t>4</w:t>
            </w:r>
          </w:p>
        </w:tc>
        <w:tc>
          <w:tcPr>
            <w:tcW w:w="1250" w:type="dxa"/>
            <w:gridSpan w:val="2"/>
            <w:vMerge w:val="restart"/>
            <w:tcBorders>
              <w:right w:val="single" w:color="000000" w:themeColor="text1" w:sz="6" w:space="0"/>
            </w:tcBorders>
            <w:vAlign w:val="center"/>
          </w:tcPr>
          <w:p>
            <w:pPr>
              <w:spacing w:line="240" w:lineRule="auto"/>
              <w:jc w:val="center"/>
              <w:rPr>
                <w:rFonts w:eastAsiaTheme="minorEastAsia"/>
                <w:sz w:val="21"/>
              </w:rPr>
            </w:pPr>
            <w:r>
              <w:rPr>
                <w:rFonts w:eastAsiaTheme="minorEastAsia"/>
                <w:sz w:val="21"/>
              </w:rPr>
              <w:t>压缩永久变形</w:t>
            </w:r>
          </w:p>
        </w:tc>
        <w:tc>
          <w:tcPr>
            <w:tcW w:w="1585" w:type="dxa"/>
            <w:tcBorders>
              <w:top w:val="single" w:color="000000" w:themeColor="text1" w:sz="6" w:space="0"/>
              <w:left w:val="single" w:color="000000" w:themeColor="text1" w:sz="6" w:space="0"/>
              <w:bottom w:val="single" w:color="000000" w:themeColor="text1" w:sz="6" w:space="0"/>
            </w:tcBorders>
            <w:vAlign w:val="center"/>
          </w:tcPr>
          <w:p>
            <w:pPr>
              <w:spacing w:line="240" w:lineRule="auto"/>
              <w:jc w:val="center"/>
              <w:rPr>
                <w:rFonts w:eastAsiaTheme="minorEastAsia"/>
                <w:sz w:val="21"/>
              </w:rPr>
            </w:pPr>
            <w:r>
              <w:rPr>
                <w:rFonts w:eastAsiaTheme="minorEastAsia"/>
                <w:sz w:val="21"/>
              </w:rPr>
              <w:t>70°Cx24h</w:t>
            </w:r>
          </w:p>
        </w:tc>
        <w:tc>
          <w:tcPr>
            <w:tcW w:w="709" w:type="dxa"/>
            <w:vAlign w:val="center"/>
          </w:tcPr>
          <w:p>
            <w:pPr>
              <w:spacing w:line="240" w:lineRule="auto"/>
              <w:jc w:val="center"/>
              <w:rPr>
                <w:rFonts w:eastAsiaTheme="minorEastAsia"/>
                <w:sz w:val="21"/>
              </w:rPr>
            </w:pPr>
            <w:r>
              <w:rPr>
                <w:rFonts w:eastAsiaTheme="minorEastAsia"/>
                <w:sz w:val="21"/>
              </w:rPr>
              <w:t>%</w:t>
            </w:r>
          </w:p>
        </w:tc>
        <w:tc>
          <w:tcPr>
            <w:tcW w:w="1843" w:type="dxa"/>
            <w:vAlign w:val="center"/>
          </w:tcPr>
          <w:p>
            <w:pPr>
              <w:spacing w:line="240" w:lineRule="auto"/>
              <w:jc w:val="center"/>
              <w:rPr>
                <w:rFonts w:eastAsiaTheme="minorEastAsia"/>
                <w:sz w:val="21"/>
              </w:rPr>
            </w:pPr>
            <w:r>
              <w:rPr>
                <w:rFonts w:eastAsiaTheme="minorEastAsia"/>
                <w:sz w:val="21"/>
              </w:rPr>
              <w:t>≤35</w:t>
            </w:r>
          </w:p>
        </w:tc>
        <w:tc>
          <w:tcPr>
            <w:tcW w:w="2318" w:type="dxa"/>
            <w:vMerge w:val="restart"/>
            <w:vAlign w:val="center"/>
          </w:tcPr>
          <w:p>
            <w:pPr>
              <w:spacing w:line="240" w:lineRule="auto"/>
              <w:jc w:val="left"/>
              <w:rPr>
                <w:rFonts w:eastAsiaTheme="minorEastAsia"/>
                <w:sz w:val="21"/>
              </w:rPr>
            </w:pPr>
            <w:r>
              <w:rPr>
                <w:rFonts w:eastAsiaTheme="minorEastAsia"/>
                <w:sz w:val="21"/>
              </w:rPr>
              <w:t>参照GB/T7759-1996</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Merge w:val="continue"/>
            <w:vAlign w:val="center"/>
          </w:tcPr>
          <w:p>
            <w:pPr>
              <w:spacing w:line="240" w:lineRule="auto"/>
              <w:jc w:val="center"/>
              <w:rPr>
                <w:rFonts w:eastAsiaTheme="minorEastAsia"/>
                <w:sz w:val="21"/>
              </w:rPr>
            </w:pPr>
          </w:p>
        </w:tc>
        <w:tc>
          <w:tcPr>
            <w:tcW w:w="1250" w:type="dxa"/>
            <w:gridSpan w:val="2"/>
            <w:vMerge w:val="continue"/>
            <w:tcBorders>
              <w:right w:val="single" w:color="000000" w:themeColor="text1" w:sz="6" w:space="0"/>
            </w:tcBorders>
            <w:vAlign w:val="center"/>
          </w:tcPr>
          <w:p>
            <w:pPr>
              <w:spacing w:line="240" w:lineRule="auto"/>
              <w:jc w:val="center"/>
              <w:rPr>
                <w:rFonts w:eastAsiaTheme="minorEastAsia"/>
                <w:sz w:val="21"/>
              </w:rPr>
            </w:pPr>
          </w:p>
        </w:tc>
        <w:tc>
          <w:tcPr>
            <w:tcW w:w="1585" w:type="dxa"/>
            <w:tcBorders>
              <w:top w:val="single" w:color="000000" w:themeColor="text1" w:sz="6" w:space="0"/>
              <w:left w:val="single" w:color="000000" w:themeColor="text1" w:sz="6" w:space="0"/>
              <w:bottom w:val="single" w:color="000000" w:themeColor="text1" w:sz="6" w:space="0"/>
            </w:tcBorders>
            <w:vAlign w:val="center"/>
          </w:tcPr>
          <w:p>
            <w:pPr>
              <w:spacing w:line="240" w:lineRule="auto"/>
              <w:jc w:val="center"/>
              <w:rPr>
                <w:rFonts w:eastAsiaTheme="minorEastAsia"/>
                <w:sz w:val="21"/>
              </w:rPr>
            </w:pPr>
            <w:r>
              <w:rPr>
                <w:rFonts w:eastAsiaTheme="minorEastAsia"/>
                <w:sz w:val="21"/>
              </w:rPr>
              <w:t>23°Cx168h</w:t>
            </w:r>
          </w:p>
        </w:tc>
        <w:tc>
          <w:tcPr>
            <w:tcW w:w="709" w:type="dxa"/>
            <w:vAlign w:val="center"/>
          </w:tcPr>
          <w:p>
            <w:pPr>
              <w:spacing w:line="240" w:lineRule="auto"/>
              <w:jc w:val="center"/>
              <w:rPr>
                <w:rFonts w:eastAsiaTheme="minorEastAsia"/>
                <w:sz w:val="21"/>
              </w:rPr>
            </w:pPr>
            <w:r>
              <w:rPr>
                <w:rFonts w:eastAsiaTheme="minorEastAsia"/>
                <w:sz w:val="21"/>
              </w:rPr>
              <w:t>%</w:t>
            </w:r>
          </w:p>
        </w:tc>
        <w:tc>
          <w:tcPr>
            <w:tcW w:w="1843" w:type="dxa"/>
            <w:vAlign w:val="center"/>
          </w:tcPr>
          <w:p>
            <w:pPr>
              <w:spacing w:line="240" w:lineRule="auto"/>
              <w:jc w:val="center"/>
              <w:rPr>
                <w:rFonts w:eastAsiaTheme="minorEastAsia"/>
                <w:sz w:val="21"/>
              </w:rPr>
            </w:pPr>
            <w:r>
              <w:rPr>
                <w:rFonts w:eastAsiaTheme="minorEastAsia"/>
                <w:sz w:val="21"/>
              </w:rPr>
              <w:t>≤20</w:t>
            </w:r>
          </w:p>
        </w:tc>
        <w:tc>
          <w:tcPr>
            <w:tcW w:w="2318" w:type="dxa"/>
            <w:vMerge w:val="continue"/>
            <w:vAlign w:val="center"/>
          </w:tcPr>
          <w:p>
            <w:pPr>
              <w:spacing w:line="240" w:lineRule="auto"/>
              <w:jc w:val="left"/>
              <w:rPr>
                <w:rFonts w:eastAsiaTheme="minorEastAsia"/>
                <w:sz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Align w:val="center"/>
          </w:tcPr>
          <w:p>
            <w:pPr>
              <w:spacing w:line="240" w:lineRule="auto"/>
              <w:jc w:val="center"/>
              <w:rPr>
                <w:rFonts w:eastAsiaTheme="minorEastAsia"/>
                <w:sz w:val="21"/>
              </w:rPr>
            </w:pPr>
            <w:r>
              <w:rPr>
                <w:rFonts w:eastAsiaTheme="minorEastAsia"/>
                <w:sz w:val="21"/>
              </w:rPr>
              <w:t>5</w:t>
            </w:r>
          </w:p>
        </w:tc>
        <w:tc>
          <w:tcPr>
            <w:tcW w:w="2835" w:type="dxa"/>
            <w:gridSpan w:val="3"/>
            <w:vAlign w:val="center"/>
          </w:tcPr>
          <w:p>
            <w:pPr>
              <w:spacing w:line="240" w:lineRule="auto"/>
              <w:jc w:val="center"/>
              <w:rPr>
                <w:rFonts w:eastAsiaTheme="minorEastAsia"/>
                <w:sz w:val="21"/>
              </w:rPr>
            </w:pPr>
            <w:r>
              <w:rPr>
                <w:rFonts w:eastAsiaTheme="minorEastAsia"/>
                <w:sz w:val="21"/>
              </w:rPr>
              <w:t>撕裂强度</w:t>
            </w:r>
          </w:p>
        </w:tc>
        <w:tc>
          <w:tcPr>
            <w:tcW w:w="709" w:type="dxa"/>
            <w:vAlign w:val="center"/>
          </w:tcPr>
          <w:p>
            <w:pPr>
              <w:spacing w:line="240" w:lineRule="auto"/>
              <w:jc w:val="center"/>
              <w:rPr>
                <w:rFonts w:eastAsiaTheme="minorEastAsia"/>
                <w:sz w:val="21"/>
              </w:rPr>
            </w:pPr>
            <w:r>
              <w:rPr>
                <w:rFonts w:eastAsiaTheme="minorEastAsia"/>
                <w:sz w:val="21"/>
              </w:rPr>
              <w:t>KN/m</w:t>
            </w:r>
          </w:p>
        </w:tc>
        <w:tc>
          <w:tcPr>
            <w:tcW w:w="1843" w:type="dxa"/>
            <w:vAlign w:val="center"/>
          </w:tcPr>
          <w:p>
            <w:pPr>
              <w:spacing w:line="240" w:lineRule="auto"/>
              <w:jc w:val="center"/>
              <w:rPr>
                <w:rFonts w:eastAsiaTheme="minorEastAsia"/>
                <w:sz w:val="21"/>
              </w:rPr>
            </w:pPr>
            <w:r>
              <w:rPr>
                <w:rFonts w:eastAsiaTheme="minorEastAsia"/>
                <w:sz w:val="21"/>
              </w:rPr>
              <w:t>≥30</w:t>
            </w:r>
          </w:p>
        </w:tc>
        <w:tc>
          <w:tcPr>
            <w:tcW w:w="2318" w:type="dxa"/>
            <w:vAlign w:val="center"/>
          </w:tcPr>
          <w:p>
            <w:pPr>
              <w:spacing w:line="240" w:lineRule="auto"/>
              <w:jc w:val="left"/>
              <w:rPr>
                <w:rFonts w:eastAsiaTheme="minorEastAsia"/>
                <w:sz w:val="21"/>
              </w:rPr>
            </w:pPr>
            <w:r>
              <w:rPr>
                <w:rFonts w:eastAsiaTheme="minorEastAsia"/>
                <w:sz w:val="21"/>
              </w:rPr>
              <w:t>参照GB/T529-1999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Align w:val="center"/>
          </w:tcPr>
          <w:p>
            <w:pPr>
              <w:spacing w:line="240" w:lineRule="auto"/>
              <w:jc w:val="center"/>
              <w:rPr>
                <w:rFonts w:eastAsiaTheme="minorEastAsia"/>
                <w:sz w:val="21"/>
              </w:rPr>
            </w:pPr>
            <w:r>
              <w:rPr>
                <w:rFonts w:eastAsiaTheme="minorEastAsia"/>
                <w:sz w:val="21"/>
              </w:rPr>
              <w:t>6</w:t>
            </w:r>
          </w:p>
        </w:tc>
        <w:tc>
          <w:tcPr>
            <w:tcW w:w="2835" w:type="dxa"/>
            <w:gridSpan w:val="3"/>
            <w:vAlign w:val="center"/>
          </w:tcPr>
          <w:p>
            <w:pPr>
              <w:spacing w:line="240" w:lineRule="auto"/>
              <w:jc w:val="center"/>
              <w:rPr>
                <w:rFonts w:eastAsiaTheme="minorEastAsia"/>
                <w:sz w:val="21"/>
              </w:rPr>
            </w:pPr>
            <w:r>
              <w:rPr>
                <w:rFonts w:eastAsiaTheme="minorEastAsia"/>
                <w:sz w:val="21"/>
              </w:rPr>
              <w:t>脆性温度</w:t>
            </w:r>
          </w:p>
        </w:tc>
        <w:tc>
          <w:tcPr>
            <w:tcW w:w="709" w:type="dxa"/>
            <w:vAlign w:val="center"/>
          </w:tcPr>
          <w:p>
            <w:pPr>
              <w:spacing w:line="240" w:lineRule="auto"/>
              <w:jc w:val="center"/>
              <w:rPr>
                <w:rFonts w:eastAsiaTheme="minorEastAsia"/>
                <w:sz w:val="21"/>
              </w:rPr>
            </w:pPr>
            <w:r>
              <w:rPr>
                <w:rFonts w:eastAsiaTheme="minorEastAsia"/>
                <w:sz w:val="21"/>
              </w:rPr>
              <w:t>℃</w:t>
            </w:r>
          </w:p>
        </w:tc>
        <w:tc>
          <w:tcPr>
            <w:tcW w:w="1843" w:type="dxa"/>
            <w:vAlign w:val="center"/>
          </w:tcPr>
          <w:p>
            <w:pPr>
              <w:spacing w:line="240" w:lineRule="auto"/>
              <w:jc w:val="center"/>
              <w:rPr>
                <w:rFonts w:eastAsiaTheme="minorEastAsia"/>
                <w:sz w:val="21"/>
              </w:rPr>
            </w:pPr>
            <w:r>
              <w:rPr>
                <w:rFonts w:eastAsiaTheme="minorEastAsia"/>
                <w:sz w:val="21"/>
              </w:rPr>
              <w:t>≤-45</w:t>
            </w:r>
          </w:p>
        </w:tc>
        <w:tc>
          <w:tcPr>
            <w:tcW w:w="2318" w:type="dxa"/>
            <w:vAlign w:val="center"/>
          </w:tcPr>
          <w:p>
            <w:pPr>
              <w:spacing w:line="240" w:lineRule="auto"/>
              <w:jc w:val="left"/>
              <w:rPr>
                <w:rFonts w:eastAsiaTheme="minorEastAsia"/>
                <w:sz w:val="21"/>
              </w:rPr>
            </w:pPr>
            <w:r>
              <w:rPr>
                <w:rFonts w:eastAsiaTheme="minorEastAsia"/>
                <w:sz w:val="21"/>
              </w:rPr>
              <w:t>参照GB/T15256-1994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Merge w:val="restart"/>
            <w:vAlign w:val="center"/>
          </w:tcPr>
          <w:p>
            <w:pPr>
              <w:spacing w:line="240" w:lineRule="auto"/>
              <w:jc w:val="center"/>
              <w:rPr>
                <w:rFonts w:eastAsiaTheme="minorEastAsia"/>
                <w:sz w:val="21"/>
              </w:rPr>
            </w:pPr>
            <w:r>
              <w:rPr>
                <w:rFonts w:eastAsiaTheme="minorEastAsia"/>
                <w:sz w:val="21"/>
              </w:rPr>
              <w:t>7</w:t>
            </w:r>
          </w:p>
        </w:tc>
        <w:tc>
          <w:tcPr>
            <w:tcW w:w="1222" w:type="dxa"/>
            <w:vMerge w:val="restart"/>
            <w:vAlign w:val="center"/>
          </w:tcPr>
          <w:p>
            <w:pPr>
              <w:spacing w:line="240" w:lineRule="auto"/>
              <w:jc w:val="center"/>
              <w:rPr>
                <w:rFonts w:eastAsiaTheme="minorEastAsia"/>
                <w:sz w:val="21"/>
              </w:rPr>
            </w:pPr>
            <w:r>
              <w:rPr>
                <w:rFonts w:eastAsiaTheme="minorEastAsia"/>
                <w:sz w:val="21"/>
              </w:rPr>
              <w:t>热空气老化</w:t>
            </w:r>
          </w:p>
        </w:tc>
        <w:tc>
          <w:tcPr>
            <w:tcW w:w="1613" w:type="dxa"/>
            <w:gridSpan w:val="2"/>
            <w:vAlign w:val="center"/>
          </w:tcPr>
          <w:p>
            <w:pPr>
              <w:spacing w:line="240" w:lineRule="auto"/>
              <w:jc w:val="center"/>
              <w:rPr>
                <w:rFonts w:eastAsiaTheme="minorEastAsia"/>
                <w:sz w:val="21"/>
              </w:rPr>
            </w:pPr>
            <w:r>
              <w:rPr>
                <w:rFonts w:eastAsiaTheme="minorEastAsia"/>
                <w:sz w:val="21"/>
              </w:rPr>
              <w:t>硬度（邵尔A））</w:t>
            </w:r>
          </w:p>
        </w:tc>
        <w:tc>
          <w:tcPr>
            <w:tcW w:w="709" w:type="dxa"/>
            <w:vAlign w:val="center"/>
          </w:tcPr>
          <w:p>
            <w:pPr>
              <w:spacing w:line="240" w:lineRule="auto"/>
              <w:jc w:val="center"/>
              <w:rPr>
                <w:rFonts w:eastAsiaTheme="minorEastAsia"/>
                <w:sz w:val="21"/>
              </w:rPr>
            </w:pPr>
            <w:r>
              <w:rPr>
                <w:rFonts w:eastAsiaTheme="minorEastAsia"/>
                <w:sz w:val="21"/>
              </w:rPr>
              <w:t>度</w:t>
            </w:r>
          </w:p>
        </w:tc>
        <w:tc>
          <w:tcPr>
            <w:tcW w:w="1843" w:type="dxa"/>
            <w:vAlign w:val="center"/>
          </w:tcPr>
          <w:p>
            <w:pPr>
              <w:spacing w:line="240" w:lineRule="auto"/>
              <w:jc w:val="center"/>
              <w:rPr>
                <w:rFonts w:eastAsiaTheme="minorEastAsia"/>
                <w:sz w:val="21"/>
              </w:rPr>
            </w:pPr>
            <w:r>
              <w:rPr>
                <w:rFonts w:eastAsiaTheme="minorEastAsia"/>
                <w:sz w:val="21"/>
              </w:rPr>
              <w:t>≤8</w:t>
            </w:r>
          </w:p>
        </w:tc>
        <w:tc>
          <w:tcPr>
            <w:tcW w:w="2318" w:type="dxa"/>
            <w:vAlign w:val="center"/>
          </w:tcPr>
          <w:p>
            <w:pPr>
              <w:spacing w:line="240" w:lineRule="auto"/>
              <w:jc w:val="left"/>
              <w:rPr>
                <w:rFonts w:eastAsiaTheme="minorEastAsia"/>
                <w:sz w:val="21"/>
              </w:rPr>
            </w:pPr>
            <w:r>
              <w:rPr>
                <w:rFonts w:eastAsiaTheme="minorEastAsia"/>
                <w:sz w:val="21"/>
              </w:rPr>
              <w:t>参照GB/T6031-1998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Merge w:val="continue"/>
            <w:vAlign w:val="center"/>
          </w:tcPr>
          <w:p>
            <w:pPr>
              <w:spacing w:line="240" w:lineRule="auto"/>
              <w:jc w:val="center"/>
              <w:rPr>
                <w:rFonts w:eastAsiaTheme="minorEastAsia"/>
                <w:sz w:val="21"/>
              </w:rPr>
            </w:pPr>
          </w:p>
        </w:tc>
        <w:tc>
          <w:tcPr>
            <w:tcW w:w="1222" w:type="dxa"/>
            <w:vMerge w:val="continue"/>
            <w:vAlign w:val="center"/>
          </w:tcPr>
          <w:p>
            <w:pPr>
              <w:spacing w:line="240" w:lineRule="auto"/>
              <w:jc w:val="center"/>
              <w:rPr>
                <w:rFonts w:eastAsiaTheme="minorEastAsia"/>
                <w:sz w:val="21"/>
              </w:rPr>
            </w:pPr>
          </w:p>
        </w:tc>
        <w:tc>
          <w:tcPr>
            <w:tcW w:w="1613" w:type="dxa"/>
            <w:gridSpan w:val="2"/>
            <w:vAlign w:val="center"/>
          </w:tcPr>
          <w:p>
            <w:pPr>
              <w:spacing w:line="240" w:lineRule="auto"/>
              <w:jc w:val="center"/>
              <w:rPr>
                <w:rFonts w:eastAsiaTheme="minorEastAsia"/>
                <w:sz w:val="21"/>
              </w:rPr>
            </w:pPr>
            <w:r>
              <w:rPr>
                <w:rFonts w:eastAsiaTheme="minorEastAsia"/>
                <w:sz w:val="21"/>
              </w:rPr>
              <w:t>拉伸强度</w:t>
            </w:r>
          </w:p>
        </w:tc>
        <w:tc>
          <w:tcPr>
            <w:tcW w:w="709" w:type="dxa"/>
            <w:vAlign w:val="center"/>
          </w:tcPr>
          <w:p>
            <w:pPr>
              <w:spacing w:line="240" w:lineRule="auto"/>
              <w:jc w:val="center"/>
              <w:rPr>
                <w:rFonts w:eastAsiaTheme="minorEastAsia"/>
                <w:sz w:val="21"/>
              </w:rPr>
            </w:pPr>
            <w:r>
              <w:rPr>
                <w:rFonts w:eastAsiaTheme="minorEastAsia"/>
                <w:sz w:val="21"/>
              </w:rPr>
              <w:t>MPa</w:t>
            </w:r>
          </w:p>
        </w:tc>
        <w:tc>
          <w:tcPr>
            <w:tcW w:w="1843" w:type="dxa"/>
            <w:vAlign w:val="center"/>
          </w:tcPr>
          <w:p>
            <w:pPr>
              <w:spacing w:line="240" w:lineRule="auto"/>
              <w:jc w:val="center"/>
              <w:rPr>
                <w:rFonts w:eastAsiaTheme="minorEastAsia"/>
                <w:sz w:val="21"/>
              </w:rPr>
            </w:pPr>
            <w:r>
              <w:rPr>
                <w:rFonts w:eastAsiaTheme="minorEastAsia"/>
                <w:sz w:val="21"/>
              </w:rPr>
              <w:t>≥12</w:t>
            </w:r>
          </w:p>
        </w:tc>
        <w:tc>
          <w:tcPr>
            <w:tcW w:w="2318" w:type="dxa"/>
            <w:vAlign w:val="center"/>
          </w:tcPr>
          <w:p>
            <w:pPr>
              <w:spacing w:line="240" w:lineRule="auto"/>
              <w:jc w:val="left"/>
              <w:rPr>
                <w:rFonts w:eastAsiaTheme="minorEastAsia"/>
                <w:sz w:val="21"/>
              </w:rPr>
            </w:pPr>
            <w:r>
              <w:rPr>
                <w:rFonts w:eastAsiaTheme="minorEastAsia"/>
                <w:sz w:val="21"/>
              </w:rPr>
              <w:t>参照GB/T528-1998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Merge w:val="continue"/>
            <w:vAlign w:val="center"/>
          </w:tcPr>
          <w:p>
            <w:pPr>
              <w:spacing w:line="240" w:lineRule="auto"/>
              <w:jc w:val="center"/>
              <w:rPr>
                <w:rFonts w:eastAsiaTheme="minorEastAsia"/>
                <w:sz w:val="21"/>
              </w:rPr>
            </w:pPr>
          </w:p>
        </w:tc>
        <w:tc>
          <w:tcPr>
            <w:tcW w:w="1222" w:type="dxa"/>
            <w:vAlign w:val="center"/>
          </w:tcPr>
          <w:p>
            <w:pPr>
              <w:spacing w:line="240" w:lineRule="auto"/>
              <w:jc w:val="center"/>
              <w:rPr>
                <w:rFonts w:eastAsiaTheme="minorEastAsia"/>
                <w:sz w:val="21"/>
              </w:rPr>
            </w:pPr>
            <w:r>
              <w:rPr>
                <w:rFonts w:eastAsiaTheme="minorEastAsia"/>
                <w:sz w:val="21"/>
              </w:rPr>
              <w:t>70°Cx168h</w:t>
            </w:r>
          </w:p>
        </w:tc>
        <w:tc>
          <w:tcPr>
            <w:tcW w:w="1613" w:type="dxa"/>
            <w:gridSpan w:val="2"/>
            <w:vAlign w:val="center"/>
          </w:tcPr>
          <w:p>
            <w:pPr>
              <w:spacing w:line="240" w:lineRule="auto"/>
              <w:jc w:val="center"/>
              <w:rPr>
                <w:rFonts w:eastAsiaTheme="minorEastAsia"/>
                <w:sz w:val="21"/>
              </w:rPr>
            </w:pPr>
            <w:r>
              <w:rPr>
                <w:rFonts w:eastAsiaTheme="minorEastAsia"/>
                <w:sz w:val="21"/>
              </w:rPr>
              <w:t>扯断伸长率</w:t>
            </w:r>
          </w:p>
        </w:tc>
        <w:tc>
          <w:tcPr>
            <w:tcW w:w="709" w:type="dxa"/>
            <w:vAlign w:val="center"/>
          </w:tcPr>
          <w:p>
            <w:pPr>
              <w:spacing w:line="240" w:lineRule="auto"/>
              <w:jc w:val="center"/>
              <w:rPr>
                <w:rFonts w:eastAsiaTheme="minorEastAsia"/>
                <w:sz w:val="21"/>
              </w:rPr>
            </w:pPr>
            <w:r>
              <w:rPr>
                <w:rFonts w:eastAsiaTheme="minorEastAsia"/>
                <w:sz w:val="21"/>
              </w:rPr>
              <w:t>%</w:t>
            </w:r>
          </w:p>
        </w:tc>
        <w:tc>
          <w:tcPr>
            <w:tcW w:w="1843" w:type="dxa"/>
            <w:vAlign w:val="center"/>
          </w:tcPr>
          <w:p>
            <w:pPr>
              <w:spacing w:line="240" w:lineRule="auto"/>
              <w:jc w:val="center"/>
              <w:rPr>
                <w:rFonts w:eastAsiaTheme="minorEastAsia"/>
                <w:sz w:val="21"/>
              </w:rPr>
            </w:pPr>
            <w:r>
              <w:rPr>
                <w:rFonts w:eastAsiaTheme="minorEastAsia"/>
                <w:sz w:val="21"/>
              </w:rPr>
              <w:t>≥300</w:t>
            </w:r>
          </w:p>
        </w:tc>
        <w:tc>
          <w:tcPr>
            <w:tcW w:w="2318" w:type="dxa"/>
            <w:vAlign w:val="center"/>
          </w:tcPr>
          <w:p>
            <w:pPr>
              <w:spacing w:line="240" w:lineRule="auto"/>
              <w:jc w:val="left"/>
              <w:rPr>
                <w:rFonts w:eastAsiaTheme="minorEastAsia"/>
                <w:sz w:val="21"/>
              </w:rPr>
            </w:pPr>
            <w:r>
              <w:rPr>
                <w:rFonts w:eastAsiaTheme="minorEastAsia"/>
                <w:sz w:val="21"/>
              </w:rPr>
              <w:t>参照GB/T528-1998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397" w:hRule="atLeast"/>
          <w:jc w:val="center"/>
        </w:trPr>
        <w:tc>
          <w:tcPr>
            <w:tcW w:w="709" w:type="dxa"/>
            <w:vAlign w:val="center"/>
          </w:tcPr>
          <w:p>
            <w:pPr>
              <w:spacing w:line="240" w:lineRule="auto"/>
              <w:jc w:val="center"/>
              <w:rPr>
                <w:rFonts w:eastAsiaTheme="minorEastAsia"/>
                <w:sz w:val="21"/>
              </w:rPr>
            </w:pPr>
            <w:r>
              <w:rPr>
                <w:rFonts w:eastAsiaTheme="minorEastAsia"/>
                <w:sz w:val="21"/>
              </w:rPr>
              <w:t>8</w:t>
            </w:r>
          </w:p>
        </w:tc>
        <w:tc>
          <w:tcPr>
            <w:tcW w:w="2835" w:type="dxa"/>
            <w:gridSpan w:val="3"/>
            <w:vAlign w:val="center"/>
          </w:tcPr>
          <w:p>
            <w:pPr>
              <w:spacing w:line="240" w:lineRule="auto"/>
              <w:jc w:val="center"/>
              <w:rPr>
                <w:rFonts w:eastAsiaTheme="minorEastAsia"/>
                <w:sz w:val="21"/>
              </w:rPr>
            </w:pPr>
            <w:r>
              <w:rPr>
                <w:rFonts w:eastAsiaTheme="minorEastAsia"/>
                <w:sz w:val="21"/>
              </w:rPr>
              <w:t>臭氧老化50pphm，20%，48h</w:t>
            </w:r>
          </w:p>
        </w:tc>
        <w:tc>
          <w:tcPr>
            <w:tcW w:w="709" w:type="dxa"/>
            <w:vAlign w:val="center"/>
          </w:tcPr>
          <w:p>
            <w:pPr>
              <w:spacing w:line="240" w:lineRule="auto"/>
              <w:jc w:val="center"/>
              <w:rPr>
                <w:rFonts w:eastAsiaTheme="minorEastAsia"/>
                <w:sz w:val="21"/>
              </w:rPr>
            </w:pPr>
          </w:p>
        </w:tc>
        <w:tc>
          <w:tcPr>
            <w:tcW w:w="1843" w:type="dxa"/>
            <w:vAlign w:val="center"/>
          </w:tcPr>
          <w:p>
            <w:pPr>
              <w:spacing w:line="240" w:lineRule="auto"/>
              <w:jc w:val="center"/>
              <w:rPr>
                <w:rFonts w:eastAsiaTheme="minorEastAsia"/>
                <w:sz w:val="21"/>
              </w:rPr>
            </w:pPr>
            <w:r>
              <w:rPr>
                <w:rFonts w:eastAsiaTheme="minorEastAsia"/>
                <w:sz w:val="21"/>
              </w:rPr>
              <w:t>2级</w:t>
            </w:r>
          </w:p>
        </w:tc>
        <w:tc>
          <w:tcPr>
            <w:tcW w:w="2318" w:type="dxa"/>
            <w:vAlign w:val="center"/>
          </w:tcPr>
          <w:p>
            <w:pPr>
              <w:spacing w:line="240" w:lineRule="auto"/>
              <w:jc w:val="left"/>
              <w:rPr>
                <w:rFonts w:eastAsiaTheme="minorEastAsia"/>
                <w:sz w:val="21"/>
              </w:rPr>
            </w:pPr>
            <w:r>
              <w:rPr>
                <w:rFonts w:eastAsiaTheme="minorEastAsia"/>
                <w:sz w:val="21"/>
              </w:rPr>
              <w:t>参照GB/T7762-2003</w:t>
            </w:r>
          </w:p>
        </w:tc>
      </w:tr>
    </w:tbl>
    <w:p>
      <w:pPr>
        <w:jc w:val="left"/>
        <w:rPr>
          <w:color w:val="000000" w:themeColor="text1"/>
          <w14:textFill>
            <w14:solidFill>
              <w14:schemeClr w14:val="tx1"/>
            </w14:solidFill>
          </w14:textFill>
        </w:rPr>
      </w:pPr>
    </w:p>
    <w:p>
      <w:pPr>
        <w:jc w:val="center"/>
        <w:rPr>
          <w:b/>
          <w:bCs/>
          <w:color w:val="000000" w:themeColor="text1"/>
          <w:sz w:val="21"/>
          <w:szCs w:val="18"/>
          <w14:textFill>
            <w14:solidFill>
              <w14:schemeClr w14:val="tx1"/>
            </w14:solidFill>
          </w14:textFill>
        </w:rPr>
      </w:pPr>
      <w:r>
        <w:rPr>
          <w:rFonts w:hint="eastAsia"/>
          <w:b/>
          <w:bCs/>
          <w:color w:val="000000" w:themeColor="text1"/>
          <w:sz w:val="21"/>
          <w:szCs w:val="18"/>
          <w14:textFill>
            <w14:solidFill>
              <w14:schemeClr w14:val="tx1"/>
            </w14:solidFill>
          </w14:textFill>
        </w:rPr>
        <w:t xml:space="preserve">表6.2.7-2 </w:t>
      </w:r>
      <w:r>
        <w:rPr>
          <w:b/>
          <w:bCs/>
          <w:color w:val="000000" w:themeColor="text1"/>
          <w:sz w:val="21"/>
          <w:szCs w:val="18"/>
          <w14:textFill>
            <w14:solidFill>
              <w14:schemeClr w14:val="tx1"/>
            </w14:solidFill>
          </w14:textFill>
        </w:rPr>
        <w:t xml:space="preserve"> </w:t>
      </w:r>
      <w:r>
        <w:rPr>
          <w:rFonts w:hint="eastAsia"/>
          <w:b/>
          <w:bCs/>
          <w:color w:val="000000" w:themeColor="text1"/>
          <w:sz w:val="21"/>
          <w:szCs w:val="18"/>
          <w14:textFill>
            <w14:solidFill>
              <w14:schemeClr w14:val="tx1"/>
            </w14:solidFill>
          </w14:textFill>
        </w:rPr>
        <w:t>三元乙丙橡胶的物理力学性能指标</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58"/>
        <w:gridCol w:w="860"/>
        <w:gridCol w:w="1402"/>
        <w:gridCol w:w="1930"/>
        <w:gridCol w:w="1408"/>
        <w:gridCol w:w="21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检测项目</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力学指标</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检测项目</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性能指标</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检测方法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外观</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半透明、无色至乳白色到浅琥珀色固体</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玻璃化温度/℃</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-60~-50</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气味</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无味至微石蜡味</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表面张力/（mN/m）</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25~35</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密度（g/cm</w:t>
            </w:r>
            <w:r>
              <w:rPr>
                <w:bCs/>
                <w:color w:val="000000" w:themeColor="text1"/>
                <w:sz w:val="21"/>
                <w:vertAlign w:val="superscript"/>
                <w14:textFill>
                  <w14:solidFill>
                    <w14:schemeClr w14:val="tx1"/>
                  </w14:solidFill>
                </w14:textFill>
              </w:rPr>
              <w:t>3</w:t>
            </w:r>
            <w:r>
              <w:rPr>
                <w:bCs/>
                <w:color w:val="000000" w:themeColor="text1"/>
                <w:sz w:val="21"/>
                <w14:textFill>
                  <w14:solidFill>
                    <w14:schemeClr w14:val="tx1"/>
                  </w14:solidFill>
                </w14:textFill>
              </w:rPr>
              <w:t>）</w:t>
            </w:r>
          </w:p>
        </w:tc>
        <w:tc>
          <w:tcPr>
            <w:tcW w:w="1402" w:type="dxa"/>
            <w:vAlign w:val="center"/>
          </w:tcPr>
          <w:p>
            <w:pPr>
              <w:spacing w:line="240" w:lineRule="auto"/>
              <w:jc w:val="center"/>
              <w:rPr>
                <w:bCs/>
                <w:color w:val="000000" w:themeColor="text1"/>
                <w:sz w:val="21"/>
                <w14:textFill>
                  <w14:solidFill>
                    <w14:schemeClr w14:val="tx1"/>
                  </w14:solidFill>
                </w14:textFill>
              </w:rPr>
            </w:pP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扩张系数（水）</w:t>
            </w:r>
          </w:p>
        </w:tc>
        <w:tc>
          <w:tcPr>
            <w:tcW w:w="1408" w:type="dxa"/>
            <w:vAlign w:val="center"/>
          </w:tcPr>
          <w:p>
            <w:pPr>
              <w:spacing w:line="240" w:lineRule="auto"/>
              <w:jc w:val="center"/>
              <w:rPr>
                <w:bCs/>
                <w:color w:val="000000" w:themeColor="text1"/>
                <w:sz w:val="21"/>
                <w:vertAlign w:val="superscript"/>
                <w14:textFill>
                  <w14:solidFill>
                    <w14:schemeClr w14:val="tx1"/>
                  </w14:solidFill>
                </w14:textFill>
              </w:rPr>
            </w:pPr>
            <w:r>
              <w:rPr>
                <w:bCs/>
                <w:color w:val="000000" w:themeColor="text1"/>
                <w:sz w:val="21"/>
                <w14:textFill>
                  <w14:solidFill>
                    <w14:schemeClr w14:val="tx1"/>
                  </w14:solidFill>
                </w14:textFill>
              </w:rPr>
              <w:t>4.5×10</w:t>
            </w:r>
            <w:r>
              <w:rPr>
                <w:bCs/>
                <w:color w:val="000000" w:themeColor="text1"/>
                <w:sz w:val="21"/>
                <w:vertAlign w:val="superscript"/>
                <w14:textFill>
                  <w14:solidFill>
                    <w14:schemeClr w14:val="tx1"/>
                  </w14:solidFill>
                </w14:textFill>
              </w:rPr>
              <w:t>-8</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纯品</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0.86~0.87</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扩散系数（正己烷）</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4.1×10</w:t>
            </w:r>
            <w:r>
              <w:rPr>
                <w:bCs/>
                <w:color w:val="000000" w:themeColor="text1"/>
                <w:sz w:val="21"/>
                <w:vertAlign w:val="superscript"/>
                <w14:textFill>
                  <w14:solidFill>
                    <w14:schemeClr w14:val="tx1"/>
                  </w14:solidFill>
                </w14:textFill>
              </w:rPr>
              <w:t>-8</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充油</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0.87~0.90</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扩散系数（CH</w:t>
            </w:r>
            <w:r>
              <w:rPr>
                <w:bCs/>
                <w:color w:val="000000" w:themeColor="text1"/>
                <w:sz w:val="21"/>
                <w:vertAlign w:val="subscript"/>
                <w14:textFill>
                  <w14:solidFill>
                    <w14:schemeClr w14:val="tx1"/>
                  </w14:solidFill>
                </w14:textFill>
              </w:rPr>
              <w:t>2</w:t>
            </w:r>
            <w:r>
              <w:rPr>
                <w:bCs/>
                <w:color w:val="000000" w:themeColor="text1"/>
                <w:sz w:val="21"/>
                <w14:textFill>
                  <w14:solidFill>
                    <w14:schemeClr w14:val="tx1"/>
                  </w14:solidFill>
                </w14:textFill>
              </w:rPr>
              <w:t>CI</w:t>
            </w:r>
            <w:r>
              <w:rPr>
                <w:bCs/>
                <w:color w:val="000000" w:themeColor="text1"/>
                <w:sz w:val="21"/>
                <w:vertAlign w:val="subscript"/>
                <w14:textFill>
                  <w14:solidFill>
                    <w14:schemeClr w14:val="tx1"/>
                  </w14:solidFill>
                </w14:textFill>
              </w:rPr>
              <w:t>2</w:t>
            </w:r>
            <w:r>
              <w:rPr>
                <w:bCs/>
                <w:color w:val="000000" w:themeColor="text1"/>
                <w:sz w:val="21"/>
                <w14:textFill>
                  <w14:solidFill>
                    <w14:schemeClr w14:val="tx1"/>
                  </w14:solidFill>
                </w14:textFill>
              </w:rPr>
              <w:t>）</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1.3×10</w:t>
            </w:r>
            <w:r>
              <w:rPr>
                <w:bCs/>
                <w:color w:val="000000" w:themeColor="text1"/>
                <w:sz w:val="21"/>
                <w:vertAlign w:val="superscript"/>
                <w14:textFill>
                  <w14:solidFill>
                    <w14:schemeClr w14:val="tx1"/>
                  </w14:solidFill>
                </w14:textFill>
              </w:rPr>
              <w:t>-7</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dxa"/>
            <w:vMerge w:val="restart"/>
            <w:tcBorders>
              <w:top w:val="single" w:color="auto" w:sz="6" w:space="0"/>
              <w:right w:val="single" w:color="auto" w:sz="6" w:space="0"/>
            </w:tcBorders>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折</w:t>
            </w:r>
          </w:p>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射</w:t>
            </w:r>
          </w:p>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率</w:t>
            </w:r>
          </w:p>
        </w:tc>
        <w:tc>
          <w:tcPr>
            <w:tcW w:w="860" w:type="dxa"/>
            <w:tcBorders>
              <w:left w:val="single" w:color="auto" w:sz="6" w:space="0"/>
            </w:tcBorders>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23℃</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1.474</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纯晶度（X射线）</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乙烯含量不同而异，通常为零</w:t>
            </w:r>
          </w:p>
        </w:tc>
        <w:tc>
          <w:tcPr>
            <w:tcW w:w="2118" w:type="dxa"/>
            <w:vMerge w:val="restart"/>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dxa"/>
            <w:vMerge w:val="continue"/>
            <w:tcBorders>
              <w:right w:val="single" w:color="auto" w:sz="6" w:space="0"/>
            </w:tcBorders>
            <w:vAlign w:val="center"/>
          </w:tcPr>
          <w:p>
            <w:pPr>
              <w:spacing w:line="240" w:lineRule="auto"/>
              <w:jc w:val="center"/>
              <w:rPr>
                <w:bCs/>
                <w:color w:val="000000" w:themeColor="text1"/>
                <w:sz w:val="21"/>
                <w14:textFill>
                  <w14:solidFill>
                    <w14:schemeClr w14:val="tx1"/>
                  </w14:solidFill>
                </w14:textFill>
              </w:rPr>
            </w:pPr>
          </w:p>
        </w:tc>
        <w:tc>
          <w:tcPr>
            <w:tcW w:w="860" w:type="dxa"/>
            <w:tcBorders>
              <w:left w:val="single" w:color="auto" w:sz="6" w:space="0"/>
            </w:tcBorders>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90℃</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1.4524</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脆化温度/℃</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-77~-69</w:t>
            </w:r>
          </w:p>
        </w:tc>
        <w:tc>
          <w:tcPr>
            <w:tcW w:w="2118" w:type="dxa"/>
            <w:vMerge w:val="continue"/>
            <w:vAlign w:val="center"/>
          </w:tcPr>
          <w:p>
            <w:pPr>
              <w:spacing w:line="240" w:lineRule="auto"/>
              <w:jc w:val="center"/>
              <w:rPr>
                <w:bCs/>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dxa"/>
            <w:vMerge w:val="continue"/>
            <w:tcBorders>
              <w:bottom w:val="single" w:color="auto" w:sz="6" w:space="0"/>
              <w:right w:val="single" w:color="auto" w:sz="6" w:space="0"/>
            </w:tcBorders>
            <w:vAlign w:val="center"/>
          </w:tcPr>
          <w:p>
            <w:pPr>
              <w:spacing w:line="240" w:lineRule="auto"/>
              <w:jc w:val="center"/>
              <w:rPr>
                <w:bCs/>
                <w:color w:val="000000" w:themeColor="text1"/>
                <w:sz w:val="21"/>
                <w14:textFill>
                  <w14:solidFill>
                    <w14:schemeClr w14:val="tx1"/>
                  </w14:solidFill>
                </w14:textFill>
              </w:rPr>
            </w:pPr>
          </w:p>
        </w:tc>
        <w:tc>
          <w:tcPr>
            <w:tcW w:w="860" w:type="dxa"/>
            <w:tcBorders>
              <w:left w:val="single" w:color="auto" w:sz="6" w:space="0"/>
            </w:tcBorders>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120℃</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1.4423</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最低回弹温度/℃</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-30</w:t>
            </w:r>
          </w:p>
        </w:tc>
        <w:tc>
          <w:tcPr>
            <w:tcW w:w="2118" w:type="dxa"/>
            <w:vMerge w:val="continue"/>
            <w:vAlign w:val="center"/>
          </w:tcPr>
          <w:p>
            <w:pPr>
              <w:spacing w:line="240" w:lineRule="auto"/>
              <w:jc w:val="center"/>
              <w:rPr>
                <w:bCs/>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丙烯含量</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20~50</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回弹率/%</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50~80</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碘值/（g碘/100g胶）</w:t>
            </w:r>
          </w:p>
        </w:tc>
        <w:tc>
          <w:tcPr>
            <w:tcW w:w="1402" w:type="dxa"/>
            <w:vAlign w:val="center"/>
          </w:tcPr>
          <w:p>
            <w:pPr>
              <w:spacing w:line="240" w:lineRule="auto"/>
              <w:jc w:val="center"/>
              <w:rPr>
                <w:bCs/>
                <w:color w:val="000000" w:themeColor="text1"/>
                <w:sz w:val="21"/>
                <w14:textFill>
                  <w14:solidFill>
                    <w14:schemeClr w14:val="tx1"/>
                  </w14:solidFill>
                </w14:textFill>
              </w:rPr>
            </w:pP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比热容/kJ/（kg.K）</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2.09~2.64（通常2.2）</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ENB型</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5~30</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热导率/W/(m.K)</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0.28~0.38</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DCPD型</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5~20</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热传系数/W/(m</w:t>
            </w:r>
            <w:r>
              <w:rPr>
                <w:bCs/>
                <w:color w:val="000000" w:themeColor="text1"/>
                <w:sz w:val="21"/>
                <w:vertAlign w:val="superscript"/>
                <w14:textFill>
                  <w14:solidFill>
                    <w14:schemeClr w14:val="tx1"/>
                  </w14:solidFill>
                </w14:textFill>
              </w:rPr>
              <w:t>2</w:t>
            </w:r>
            <w:r>
              <w:rPr>
                <w:bCs/>
                <w:color w:val="000000" w:themeColor="text1"/>
                <w:sz w:val="21"/>
                <w14:textFill>
                  <w14:solidFill>
                    <w14:schemeClr w14:val="tx1"/>
                  </w14:solidFill>
                </w14:textFill>
              </w:rPr>
              <w:t>.K)</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1.7×10</w:t>
            </w:r>
            <w:r>
              <w:rPr>
                <w:bCs/>
                <w:color w:val="000000" w:themeColor="text1"/>
                <w:sz w:val="21"/>
                <w:vertAlign w:val="superscript"/>
                <w14:textFill>
                  <w14:solidFill>
                    <w14:schemeClr w14:val="tx1"/>
                  </w14:solidFill>
                </w14:textFill>
              </w:rPr>
              <w:t>6</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1.4-HD型</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10~20</w:t>
            </w:r>
          </w:p>
        </w:tc>
        <w:tc>
          <w:tcPr>
            <w:tcW w:w="1930" w:type="dxa"/>
            <w:vAlign w:val="center"/>
          </w:tcPr>
          <w:p>
            <w:pPr>
              <w:spacing w:line="240" w:lineRule="auto"/>
              <w:jc w:val="center"/>
              <w:rPr>
                <w:bCs/>
                <w:color w:val="000000" w:themeColor="text1"/>
                <w:sz w:val="21"/>
                <w:vertAlign w:val="superscript"/>
                <w14:textFill>
                  <w14:solidFill>
                    <w14:schemeClr w14:val="tx1"/>
                  </w14:solidFill>
                </w14:textFill>
              </w:rPr>
            </w:pPr>
            <w:r>
              <w:rPr>
                <w:bCs/>
                <w:color w:val="000000" w:themeColor="text1"/>
                <w:sz w:val="21"/>
                <w14:textFill>
                  <w14:solidFill>
                    <w14:schemeClr w14:val="tx1"/>
                  </w14:solidFill>
                </w14:textFill>
              </w:rPr>
              <w:t>体积膨胀系数/℃</w:t>
            </w:r>
            <w:r>
              <w:rPr>
                <w:bCs/>
                <w:color w:val="000000" w:themeColor="text1"/>
                <w:sz w:val="21"/>
                <w:vertAlign w:val="superscript"/>
                <w14:textFill>
                  <w14:solidFill>
                    <w14:schemeClr w14:val="tx1"/>
                  </w14:solidFill>
                </w14:textFill>
              </w:rPr>
              <w:t>-1</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(7.5~7.8) ×10</w:t>
            </w:r>
            <w:r>
              <w:rPr>
                <w:bCs/>
                <w:color w:val="000000" w:themeColor="text1"/>
                <w:sz w:val="21"/>
                <w:vertAlign w:val="superscript"/>
                <w14:textFill>
                  <w14:solidFill>
                    <w14:schemeClr w14:val="tx1"/>
                  </w14:solidFill>
                </w14:textFill>
              </w:rPr>
              <w:t>-4</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凝胶含量/%</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约0</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膨胀系数/℃</w:t>
            </w:r>
            <w:r>
              <w:rPr>
                <w:bCs/>
                <w:color w:val="000000" w:themeColor="text1"/>
                <w:sz w:val="21"/>
                <w:vertAlign w:val="superscript"/>
                <w14:textFill>
                  <w14:solidFill>
                    <w14:schemeClr w14:val="tx1"/>
                  </w14:solidFill>
                </w14:textFill>
              </w:rPr>
              <w:t>-1</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(2.3~2.5) ×10</w:t>
            </w:r>
            <w:r>
              <w:rPr>
                <w:bCs/>
                <w:color w:val="000000" w:themeColor="text1"/>
                <w:sz w:val="21"/>
                <w:vertAlign w:val="superscript"/>
                <w14:textFill>
                  <w14:solidFill>
                    <w14:schemeClr w14:val="tx1"/>
                  </w14:solidFill>
                </w14:textFill>
              </w:rPr>
              <w:t>-4</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门尼黏度ML（1+4）100℃</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30~120（最高135）</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体积电阻率（20℃）/</w:t>
            </w:r>
            <w:r>
              <w:rPr>
                <w:color w:val="333333"/>
                <w:sz w:val="21"/>
                <w:shd w:val="clear" w:color="auto" w:fill="FFFFFF"/>
              </w:rPr>
              <w:t>Ω.m</w:t>
            </w:r>
          </w:p>
        </w:tc>
        <w:tc>
          <w:tcPr>
            <w:tcW w:w="1408" w:type="dxa"/>
            <w:vAlign w:val="center"/>
          </w:tcPr>
          <w:p>
            <w:pPr>
              <w:spacing w:line="240" w:lineRule="auto"/>
              <w:jc w:val="center"/>
              <w:rPr>
                <w:bCs/>
                <w:color w:val="000000" w:themeColor="text1"/>
                <w:sz w:val="21"/>
                <w14:textFill>
                  <w14:solidFill>
                    <w14:schemeClr w14:val="tx1"/>
                  </w14:solidFill>
                </w14:textFill>
              </w:rPr>
            </w:pP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分子量分布</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窄~宽</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介电强度（20℃）/（MV/m）</w:t>
            </w:r>
          </w:p>
        </w:tc>
        <w:tc>
          <w:tcPr>
            <w:tcW w:w="1408" w:type="dxa"/>
            <w:vAlign w:val="center"/>
          </w:tcPr>
          <w:p>
            <w:pPr>
              <w:spacing w:line="240" w:lineRule="auto"/>
              <w:jc w:val="center"/>
              <w:rPr>
                <w:bCs/>
                <w:color w:val="000000" w:themeColor="text1"/>
                <w:sz w:val="21"/>
                <w14:textFill>
                  <w14:solidFill>
                    <w14:schemeClr w14:val="tx1"/>
                  </w14:solidFill>
                </w14:textFill>
              </w:rPr>
            </w:pP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PH值</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约7</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交流</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35~45</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充油量/份</w:t>
            </w:r>
          </w:p>
        </w:tc>
        <w:tc>
          <w:tcPr>
            <w:tcW w:w="1402" w:type="dxa"/>
            <w:vAlign w:val="center"/>
          </w:tcPr>
          <w:p>
            <w:pPr>
              <w:spacing w:line="240" w:lineRule="auto"/>
              <w:jc w:val="center"/>
              <w:rPr>
                <w:bCs/>
                <w:color w:val="000000" w:themeColor="text1"/>
                <w:sz w:val="21"/>
                <w14:textFill>
                  <w14:solidFill>
                    <w14:schemeClr w14:val="tx1"/>
                  </w14:solidFill>
                </w14:textFill>
              </w:rPr>
            </w:pP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直流</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70~100</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石蜡系油</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15~100</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介电常数（20℃，1KHz）</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2.5~3.5（通常2.7）</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环烷系油</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30~100</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介电耗损角正切（20℃，1KHz）</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（1.5~1.8）×10</w:t>
            </w:r>
            <w:r>
              <w:rPr>
                <w:bCs/>
                <w:color w:val="000000" w:themeColor="text1"/>
                <w:sz w:val="21"/>
                <w:vertAlign w:val="superscript"/>
                <w14:textFill>
                  <w14:solidFill>
                    <w14:schemeClr w14:val="tx1"/>
                  </w14:solidFill>
                </w14:textFill>
              </w:rPr>
              <w:t>-3</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闪点/℃</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360</w:t>
            </w:r>
          </w:p>
        </w:tc>
        <w:tc>
          <w:tcPr>
            <w:tcW w:w="1930" w:type="dxa"/>
            <w:vAlign w:val="center"/>
          </w:tcPr>
          <w:p>
            <w:pPr>
              <w:spacing w:line="240" w:lineRule="auto"/>
              <w:jc w:val="center"/>
              <w:rPr>
                <w:bCs/>
                <w:color w:val="000000" w:themeColor="text1"/>
                <w:sz w:val="21"/>
                <w:vertAlign w:val="superscript"/>
                <w14:textFill>
                  <w14:solidFill>
                    <w14:schemeClr w14:val="tx1"/>
                  </w14:solidFill>
                </w14:textFill>
              </w:rPr>
            </w:pPr>
            <w:r>
              <w:rPr>
                <w:bCs/>
                <w:color w:val="000000" w:themeColor="text1"/>
                <w:sz w:val="21"/>
                <w14:textFill>
                  <w14:solidFill>
                    <w14:schemeClr w14:val="tx1"/>
                  </w14:solidFill>
                </w14:textFill>
              </w:rPr>
              <w:t>溶解度参数（25℃）/(J/cm</w:t>
            </w:r>
            <w:r>
              <w:rPr>
                <w:bCs/>
                <w:color w:val="000000" w:themeColor="text1"/>
                <w:sz w:val="21"/>
                <w:vertAlign w:val="superscript"/>
                <w14:textFill>
                  <w14:solidFill>
                    <w14:schemeClr w14:val="tx1"/>
                  </w14:solidFill>
                </w14:textFill>
              </w:rPr>
              <w:t>3</w:t>
            </w:r>
            <w:r>
              <w:rPr>
                <w:bCs/>
                <w:color w:val="000000" w:themeColor="text1"/>
                <w:sz w:val="21"/>
                <w14:textFill>
                  <w14:solidFill>
                    <w14:schemeClr w14:val="tx1"/>
                  </w14:solidFill>
                </w14:textFill>
              </w:rPr>
              <w:t>）</w:t>
            </w:r>
            <w:r>
              <w:rPr>
                <w:bCs/>
                <w:color w:val="000000" w:themeColor="text1"/>
                <w:sz w:val="21"/>
                <w:vertAlign w:val="superscript"/>
                <w14:textFill>
                  <w14:solidFill>
                    <w14:schemeClr w14:val="tx1"/>
                  </w14:solidFill>
                </w14:textFill>
              </w:rPr>
              <w:t>1/2</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16.2</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自燃点/℃</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370</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总灰分/%</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＜0.3（通常0.15）</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透气性/（cm</w:t>
            </w:r>
            <w:r>
              <w:rPr>
                <w:bCs/>
                <w:color w:val="000000" w:themeColor="text1"/>
                <w:sz w:val="21"/>
                <w:vertAlign w:val="superscript"/>
                <w14:textFill>
                  <w14:solidFill>
                    <w14:schemeClr w14:val="tx1"/>
                  </w14:solidFill>
                </w14:textFill>
              </w:rPr>
              <w:t>2</w:t>
            </w:r>
            <w:r>
              <w:rPr>
                <w:bCs/>
                <w:color w:val="000000" w:themeColor="text1"/>
                <w:sz w:val="21"/>
                <w14:textFill>
                  <w14:solidFill>
                    <w14:schemeClr w14:val="tx1"/>
                  </w14:solidFill>
                </w14:textFill>
              </w:rPr>
              <w:t>/satm）</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100</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稳定剂加入量/%</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.5~1.0</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8" w:type="dxa"/>
            <w:gridSpan w:val="2"/>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挥发性/%</w:t>
            </w:r>
          </w:p>
        </w:tc>
        <w:tc>
          <w:tcPr>
            <w:tcW w:w="1402"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＜1（通常0.5）</w:t>
            </w:r>
          </w:p>
        </w:tc>
        <w:tc>
          <w:tcPr>
            <w:tcW w:w="1930"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储存稳定性（室内、自然）</w:t>
            </w:r>
          </w:p>
        </w:tc>
        <w:tc>
          <w:tcPr>
            <w:tcW w:w="140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优</w:t>
            </w:r>
          </w:p>
        </w:tc>
        <w:tc>
          <w:tcPr>
            <w:tcW w:w="2118" w:type="dxa"/>
            <w:vAlign w:val="center"/>
          </w:tcPr>
          <w:p>
            <w:pPr>
              <w:spacing w:line="240" w:lineRule="auto"/>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参照GB/T16583-2008</w:t>
            </w:r>
          </w:p>
        </w:tc>
      </w:tr>
    </w:tbl>
    <w:p>
      <w:pPr>
        <w:jc w:val="center"/>
        <w:rPr>
          <w:b/>
          <w:bCs/>
          <w:color w:val="000000" w:themeColor="text1"/>
          <w:sz w:val="21"/>
          <w:szCs w:val="18"/>
          <w14:textFill>
            <w14:solidFill>
              <w14:schemeClr w14:val="tx1"/>
            </w14:solidFill>
          </w14:textFill>
        </w:rPr>
      </w:pPr>
      <w:r>
        <w:rPr>
          <w:rFonts w:hint="eastAsia"/>
          <w:b/>
          <w:bCs/>
          <w:color w:val="000000" w:themeColor="text1"/>
          <w:sz w:val="21"/>
          <w:szCs w:val="18"/>
          <w14:textFill>
            <w14:solidFill>
              <w14:schemeClr w14:val="tx1"/>
            </w14:solidFill>
          </w14:textFill>
        </w:rPr>
        <w:t>表6.2.7-</w:t>
      </w:r>
      <w:r>
        <w:rPr>
          <w:b/>
          <w:bCs/>
          <w:color w:val="000000" w:themeColor="text1"/>
          <w:sz w:val="21"/>
          <w:szCs w:val="18"/>
          <w14:textFill>
            <w14:solidFill>
              <w14:schemeClr w14:val="tx1"/>
            </w14:solidFill>
          </w14:textFill>
        </w:rPr>
        <w:t xml:space="preserve">3  </w:t>
      </w:r>
      <w:r>
        <w:rPr>
          <w:rFonts w:hint="eastAsia"/>
          <w:b/>
          <w:bCs/>
          <w:color w:val="000000" w:themeColor="text1"/>
          <w:sz w:val="21"/>
          <w:szCs w:val="18"/>
          <w14:textFill>
            <w14:solidFill>
              <w14:schemeClr w14:val="tx1"/>
            </w14:solidFill>
          </w14:textFill>
        </w:rPr>
        <w:t>膨润土遇水膨胀止水条的物理力学性能指标</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6"/>
        <w:gridCol w:w="3047"/>
        <w:gridCol w:w="2244"/>
        <w:gridCol w:w="21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6"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3047"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检测项目</w:t>
            </w:r>
          </w:p>
        </w:tc>
        <w:tc>
          <w:tcPr>
            <w:tcW w:w="2244"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性能指标</w:t>
            </w:r>
          </w:p>
        </w:tc>
        <w:tc>
          <w:tcPr>
            <w:tcW w:w="2149" w:type="dxa"/>
            <w:vAlign w:val="center"/>
          </w:tcPr>
          <w:p>
            <w:pPr>
              <w:spacing w:line="240" w:lineRule="atLeast"/>
              <w:jc w:val="center"/>
              <w:rPr>
                <w:color w:val="000000" w:themeColor="text1"/>
                <w:sz w:val="21"/>
                <w14:textFill>
                  <w14:solidFill>
                    <w14:schemeClr w14:val="tx1"/>
                  </w14:solidFill>
                </w14:textFill>
              </w:rPr>
            </w:pPr>
            <w:r>
              <w:rPr>
                <w:bCs/>
                <w:color w:val="000000" w:themeColor="text1"/>
                <w:sz w:val="21"/>
                <w14:textFill>
                  <w14:solidFill>
                    <w14:schemeClr w14:val="tx1"/>
                  </w14:solidFill>
                </w14:textFill>
              </w:rPr>
              <w:t>检测方法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6"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3047"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抗水压力MPa</w:t>
            </w:r>
          </w:p>
        </w:tc>
        <w:tc>
          <w:tcPr>
            <w:tcW w:w="2244"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≥2.5</w:t>
            </w:r>
          </w:p>
        </w:tc>
        <w:tc>
          <w:tcPr>
            <w:tcW w:w="2149" w:type="dxa"/>
            <w:vAlign w:val="center"/>
          </w:tcPr>
          <w:p>
            <w:pPr>
              <w:spacing w:line="240" w:lineRule="atLeast"/>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参照JG/T141-2001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6"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w:t>
            </w:r>
          </w:p>
        </w:tc>
        <w:tc>
          <w:tcPr>
            <w:tcW w:w="3047"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5天吸水膨胀倍率%</w:t>
            </w:r>
          </w:p>
        </w:tc>
        <w:tc>
          <w:tcPr>
            <w:tcW w:w="2244"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≤220</w:t>
            </w:r>
          </w:p>
        </w:tc>
        <w:tc>
          <w:tcPr>
            <w:tcW w:w="2149" w:type="dxa"/>
            <w:vAlign w:val="center"/>
          </w:tcPr>
          <w:p>
            <w:pPr>
              <w:spacing w:line="240" w:lineRule="atLeast"/>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参照JG/T141-2001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6"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w:t>
            </w:r>
          </w:p>
        </w:tc>
        <w:tc>
          <w:tcPr>
            <w:tcW w:w="3047"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最大吸水膨胀倍率%</w:t>
            </w:r>
          </w:p>
        </w:tc>
        <w:tc>
          <w:tcPr>
            <w:tcW w:w="2244"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≥300</w:t>
            </w:r>
          </w:p>
        </w:tc>
        <w:tc>
          <w:tcPr>
            <w:tcW w:w="2149" w:type="dxa"/>
            <w:vAlign w:val="center"/>
          </w:tcPr>
          <w:p>
            <w:pPr>
              <w:spacing w:line="240" w:lineRule="atLeast"/>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参照JG/T141-2001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6"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w:t>
            </w:r>
          </w:p>
        </w:tc>
        <w:tc>
          <w:tcPr>
            <w:tcW w:w="3047" w:type="dxa"/>
            <w:vAlign w:val="center"/>
          </w:tcPr>
          <w:p>
            <w:pPr>
              <w:spacing w:line="240" w:lineRule="atLeast"/>
              <w:jc w:val="center"/>
              <w:rPr>
                <w:color w:val="000000" w:themeColor="text1"/>
                <w:sz w:val="21"/>
                <w:vertAlign w:val="superscript"/>
                <w14:textFill>
                  <w14:solidFill>
                    <w14:schemeClr w14:val="tx1"/>
                  </w14:solidFill>
                </w14:textFill>
              </w:rPr>
            </w:pPr>
            <w:r>
              <w:rPr>
                <w:color w:val="000000" w:themeColor="text1"/>
                <w:sz w:val="21"/>
                <w14:textFill>
                  <w14:solidFill>
                    <w14:schemeClr w14:val="tx1"/>
                  </w14:solidFill>
                </w14:textFill>
              </w:rPr>
              <w:t>密度g/cm</w:t>
            </w:r>
            <w:r>
              <w:rPr>
                <w:color w:val="000000" w:themeColor="text1"/>
                <w:sz w:val="21"/>
                <w:vertAlign w:val="superscript"/>
                <w14:textFill>
                  <w14:solidFill>
                    <w14:schemeClr w14:val="tx1"/>
                  </w14:solidFill>
                </w14:textFill>
              </w:rPr>
              <w:t>3</w:t>
            </w:r>
          </w:p>
        </w:tc>
        <w:tc>
          <w:tcPr>
            <w:tcW w:w="2244"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1.4±0.1</w:t>
            </w:r>
          </w:p>
        </w:tc>
        <w:tc>
          <w:tcPr>
            <w:tcW w:w="2149" w:type="dxa"/>
            <w:vAlign w:val="center"/>
          </w:tcPr>
          <w:p>
            <w:pPr>
              <w:spacing w:line="240" w:lineRule="atLeast"/>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参照JG/T141-2001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6"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w:t>
            </w:r>
          </w:p>
        </w:tc>
        <w:tc>
          <w:tcPr>
            <w:tcW w:w="3047"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耐热性80°2h</w:t>
            </w:r>
          </w:p>
        </w:tc>
        <w:tc>
          <w:tcPr>
            <w:tcW w:w="2244"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无裂纹</w:t>
            </w:r>
          </w:p>
        </w:tc>
        <w:tc>
          <w:tcPr>
            <w:tcW w:w="2149" w:type="dxa"/>
            <w:vAlign w:val="center"/>
          </w:tcPr>
          <w:p>
            <w:pPr>
              <w:spacing w:line="240" w:lineRule="atLeast"/>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参照JG/T141-2001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6"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6</w:t>
            </w:r>
          </w:p>
        </w:tc>
        <w:tc>
          <w:tcPr>
            <w:tcW w:w="3047"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低温柔性-20°2h绕D20圆棒</w:t>
            </w:r>
          </w:p>
        </w:tc>
        <w:tc>
          <w:tcPr>
            <w:tcW w:w="2244"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无裂纹</w:t>
            </w:r>
          </w:p>
        </w:tc>
        <w:tc>
          <w:tcPr>
            <w:tcW w:w="2149" w:type="dxa"/>
            <w:vAlign w:val="center"/>
          </w:tcPr>
          <w:p>
            <w:pPr>
              <w:spacing w:line="240" w:lineRule="atLeast"/>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参照JG/T141-2001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6"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7</w:t>
            </w:r>
          </w:p>
        </w:tc>
        <w:tc>
          <w:tcPr>
            <w:tcW w:w="3047"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耐水性（浸泡240h）</w:t>
            </w:r>
          </w:p>
        </w:tc>
        <w:tc>
          <w:tcPr>
            <w:tcW w:w="2244" w:type="dxa"/>
            <w:vAlign w:val="center"/>
          </w:tcPr>
          <w:p>
            <w:pPr>
              <w:spacing w:line="240" w:lineRule="atLeas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整体膨胀无碎块</w:t>
            </w:r>
          </w:p>
        </w:tc>
        <w:tc>
          <w:tcPr>
            <w:tcW w:w="2149" w:type="dxa"/>
            <w:vAlign w:val="center"/>
          </w:tcPr>
          <w:p>
            <w:pPr>
              <w:spacing w:line="240" w:lineRule="atLeast"/>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参照JG/T141-2001</w:t>
            </w:r>
          </w:p>
        </w:tc>
      </w:tr>
    </w:tbl>
    <w:p>
      <w:pPr>
        <w:jc w:val="center"/>
        <w:rPr>
          <w:b/>
          <w:bCs/>
          <w:color w:val="000000" w:themeColor="text1"/>
          <w:sz w:val="21"/>
          <w:szCs w:val="18"/>
          <w14:textFill>
            <w14:solidFill>
              <w14:schemeClr w14:val="tx1"/>
            </w14:solidFill>
          </w14:textFill>
        </w:rPr>
      </w:pPr>
      <w:r>
        <w:rPr>
          <w:rFonts w:hint="eastAsia"/>
          <w:b/>
          <w:bCs/>
          <w:color w:val="000000" w:themeColor="text1"/>
          <w:sz w:val="21"/>
          <w:szCs w:val="18"/>
          <w14:textFill>
            <w14:solidFill>
              <w14:schemeClr w14:val="tx1"/>
            </w14:solidFill>
          </w14:textFill>
        </w:rPr>
        <w:t>表6.2.7-</w:t>
      </w:r>
      <w:r>
        <w:rPr>
          <w:b/>
          <w:bCs/>
          <w:color w:val="000000" w:themeColor="text1"/>
          <w:sz w:val="21"/>
          <w:szCs w:val="18"/>
          <w14:textFill>
            <w14:solidFill>
              <w14:schemeClr w14:val="tx1"/>
            </w14:solidFill>
          </w14:textFill>
        </w:rPr>
        <w:t xml:space="preserve">4  </w:t>
      </w:r>
      <w:r>
        <w:rPr>
          <w:rFonts w:hint="eastAsia"/>
          <w:b/>
          <w:bCs/>
          <w:color w:val="000000" w:themeColor="text1"/>
          <w:sz w:val="21"/>
          <w:szCs w:val="18"/>
          <w14:textFill>
            <w14:solidFill>
              <w14:schemeClr w14:val="tx1"/>
            </w14:solidFill>
          </w14:textFill>
        </w:rPr>
        <w:t>聚氨酯建筑密封胶的物理力学性能指标</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2"/>
        <w:gridCol w:w="1596"/>
        <w:gridCol w:w="1334"/>
        <w:gridCol w:w="2514"/>
        <w:gridCol w:w="23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2"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29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检测项目</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性能指标</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检测方法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2"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2930" w:type="dxa"/>
            <w:gridSpan w:val="2"/>
            <w:vAlign w:val="center"/>
          </w:tcPr>
          <w:p>
            <w:pPr>
              <w:spacing w:line="240" w:lineRule="atLeast"/>
              <w:jc w:val="center"/>
              <w:rPr>
                <w:color w:val="000000" w:themeColor="text1"/>
                <w:sz w:val="21"/>
                <w:vertAlign w:val="superscript"/>
                <w14:textFill>
                  <w14:solidFill>
                    <w14:schemeClr w14:val="tx1"/>
                  </w14:solidFill>
                </w14:textFill>
              </w:rPr>
            </w:pPr>
            <w:r>
              <w:rPr>
                <w:rFonts w:hint="eastAsia"/>
                <w:color w:val="000000" w:themeColor="text1"/>
                <w:sz w:val="21"/>
                <w14:textFill>
                  <w14:solidFill>
                    <w14:schemeClr w14:val="tx1"/>
                  </w14:solidFill>
                </w14:textFill>
              </w:rPr>
              <w:t>密度g/cm</w:t>
            </w:r>
            <w:r>
              <w:rPr>
                <w:rFonts w:hint="eastAsia"/>
                <w:color w:val="000000" w:themeColor="text1"/>
                <w:sz w:val="21"/>
                <w:vertAlign w:val="superscript"/>
                <w14:textFill>
                  <w14:solidFill>
                    <w14:schemeClr w14:val="tx1"/>
                  </w14:solidFill>
                </w14:textFill>
              </w:rPr>
              <w:t>3</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规定值±0.1</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2"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29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下垂度mm</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2"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29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表干时间h</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≤24</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2"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29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挤出性ml/min</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≥80</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2"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29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适用期h</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2"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29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弹性回复率%</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70</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2" w:type="dxa"/>
            <w:vMerge w:val="restart"/>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1596" w:type="dxa"/>
            <w:vMerge w:val="restart"/>
            <w:tcBorders>
              <w:right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拉伸模量MPa</w:t>
            </w:r>
          </w:p>
        </w:tc>
        <w:tc>
          <w:tcPr>
            <w:tcW w:w="1334" w:type="dxa"/>
            <w:tcBorders>
              <w:top w:val="single" w:color="auto" w:sz="6" w:space="0"/>
              <w:left w:val="single" w:color="auto" w:sz="6" w:space="0"/>
              <w:bottom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23°C</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0.4</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52" w:type="dxa"/>
            <w:vMerge w:val="continue"/>
            <w:vAlign w:val="center"/>
          </w:tcPr>
          <w:p>
            <w:pPr>
              <w:spacing w:line="240" w:lineRule="atLeast"/>
              <w:jc w:val="center"/>
              <w:rPr>
                <w:color w:val="000000" w:themeColor="text1"/>
                <w:sz w:val="21"/>
                <w14:textFill>
                  <w14:solidFill>
                    <w14:schemeClr w14:val="tx1"/>
                  </w14:solidFill>
                </w14:textFill>
              </w:rPr>
            </w:pPr>
          </w:p>
        </w:tc>
        <w:tc>
          <w:tcPr>
            <w:tcW w:w="1596" w:type="dxa"/>
            <w:vMerge w:val="continue"/>
            <w:tcBorders>
              <w:right w:val="single" w:color="auto" w:sz="6" w:space="0"/>
            </w:tcBorders>
            <w:vAlign w:val="center"/>
          </w:tcPr>
          <w:p>
            <w:pPr>
              <w:spacing w:line="240" w:lineRule="atLeast"/>
              <w:jc w:val="center"/>
              <w:rPr>
                <w:color w:val="000000" w:themeColor="text1"/>
                <w:sz w:val="21"/>
                <w14:textFill>
                  <w14:solidFill>
                    <w14:schemeClr w14:val="tx1"/>
                  </w14:solidFill>
                </w14:textFill>
              </w:rPr>
            </w:pPr>
          </w:p>
        </w:tc>
        <w:tc>
          <w:tcPr>
            <w:tcW w:w="1334" w:type="dxa"/>
            <w:tcBorders>
              <w:top w:val="single" w:color="auto" w:sz="6" w:space="0"/>
              <w:left w:val="single" w:color="auto" w:sz="6" w:space="0"/>
              <w:bottom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-20°C</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0.6</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52"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w:t>
            </w:r>
          </w:p>
        </w:tc>
        <w:tc>
          <w:tcPr>
            <w:tcW w:w="29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定伸粘结性</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无破坏</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52"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w:t>
            </w:r>
          </w:p>
        </w:tc>
        <w:tc>
          <w:tcPr>
            <w:tcW w:w="29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浸水后定伸粘结性</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无破坏</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52"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29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冷拉-热压后的粘结性</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无破坏</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2"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11</w:t>
            </w:r>
          </w:p>
        </w:tc>
        <w:tc>
          <w:tcPr>
            <w:tcW w:w="29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质量损失率%</w:t>
            </w:r>
          </w:p>
        </w:tc>
        <w:tc>
          <w:tcPr>
            <w:tcW w:w="2514"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参照JC/T482-2003</w:t>
            </w:r>
          </w:p>
        </w:tc>
      </w:tr>
    </w:tbl>
    <w:p>
      <w:pPr>
        <w:spacing w:line="240" w:lineRule="atLeast"/>
        <w:jc w:val="left"/>
        <w:rPr>
          <w:color w:val="000000" w:themeColor="text1"/>
          <w14:textFill>
            <w14:solidFill>
              <w14:schemeClr w14:val="tx1"/>
            </w14:solidFill>
          </w14:textFill>
        </w:rPr>
      </w:pPr>
    </w:p>
    <w:p>
      <w:pPr>
        <w:jc w:val="center"/>
        <w:rPr>
          <w:b/>
          <w:bCs/>
          <w:color w:val="000000" w:themeColor="text1"/>
          <w:sz w:val="21"/>
          <w:szCs w:val="18"/>
          <w14:textFill>
            <w14:solidFill>
              <w14:schemeClr w14:val="tx1"/>
            </w14:solidFill>
          </w14:textFill>
        </w:rPr>
      </w:pPr>
      <w:r>
        <w:rPr>
          <w:rFonts w:hint="eastAsia"/>
          <w:b/>
          <w:bCs/>
          <w:color w:val="000000" w:themeColor="text1"/>
          <w:sz w:val="21"/>
          <w:szCs w:val="18"/>
          <w14:textFill>
            <w14:solidFill>
              <w14:schemeClr w14:val="tx1"/>
            </w14:solidFill>
          </w14:textFill>
        </w:rPr>
        <w:t>表6.2.7-</w:t>
      </w:r>
      <w:r>
        <w:rPr>
          <w:b/>
          <w:bCs/>
          <w:color w:val="000000" w:themeColor="text1"/>
          <w:sz w:val="21"/>
          <w:szCs w:val="18"/>
          <w14:textFill>
            <w14:solidFill>
              <w14:schemeClr w14:val="tx1"/>
            </w14:solidFill>
          </w14:textFill>
        </w:rPr>
        <w:t xml:space="preserve">5  </w:t>
      </w:r>
      <w:r>
        <w:rPr>
          <w:rFonts w:hint="eastAsia"/>
          <w:b/>
          <w:bCs/>
          <w:color w:val="000000" w:themeColor="text1"/>
          <w:sz w:val="21"/>
          <w:szCs w:val="18"/>
          <w14:textFill>
            <w14:solidFill>
              <w14:schemeClr w14:val="tx1"/>
            </w14:solidFill>
          </w14:textFill>
        </w:rPr>
        <w:t>水泥基渗透结晶型防水材料的物理力学性能指标</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7"/>
        <w:gridCol w:w="1772"/>
        <w:gridCol w:w="1658"/>
        <w:gridCol w:w="1110"/>
        <w:gridCol w:w="959"/>
        <w:gridCol w:w="23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7" w:type="dxa"/>
            <w:vMerge w:val="restart"/>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3430" w:type="dxa"/>
            <w:gridSpan w:val="2"/>
            <w:vMerge w:val="restart"/>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检测项目</w:t>
            </w:r>
          </w:p>
        </w:tc>
        <w:tc>
          <w:tcPr>
            <w:tcW w:w="2069" w:type="dxa"/>
            <w:gridSpan w:val="2"/>
            <w:tcBorders>
              <w:bottom w:val="single" w:color="auto" w:sz="4"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性能指标</w:t>
            </w:r>
          </w:p>
        </w:tc>
        <w:tc>
          <w:tcPr>
            <w:tcW w:w="2318" w:type="dxa"/>
            <w:vMerge w:val="restart"/>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检测方法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7" w:type="dxa"/>
            <w:vMerge w:val="continue"/>
            <w:vAlign w:val="center"/>
          </w:tcPr>
          <w:p>
            <w:pPr>
              <w:spacing w:line="240" w:lineRule="atLeast"/>
              <w:jc w:val="center"/>
              <w:rPr>
                <w:color w:val="000000" w:themeColor="text1"/>
                <w:sz w:val="21"/>
                <w14:textFill>
                  <w14:solidFill>
                    <w14:schemeClr w14:val="tx1"/>
                  </w14:solidFill>
                </w14:textFill>
              </w:rPr>
            </w:pPr>
          </w:p>
        </w:tc>
        <w:tc>
          <w:tcPr>
            <w:tcW w:w="3430" w:type="dxa"/>
            <w:gridSpan w:val="2"/>
            <w:vMerge w:val="continue"/>
            <w:vAlign w:val="center"/>
          </w:tcPr>
          <w:p>
            <w:pPr>
              <w:spacing w:line="240" w:lineRule="atLeast"/>
              <w:jc w:val="center"/>
              <w:rPr>
                <w:color w:val="000000" w:themeColor="text1"/>
                <w:sz w:val="21"/>
                <w14:textFill>
                  <w14:solidFill>
                    <w14:schemeClr w14:val="tx1"/>
                  </w14:solidFill>
                </w14:textFill>
              </w:rPr>
            </w:pPr>
          </w:p>
        </w:tc>
        <w:tc>
          <w:tcPr>
            <w:tcW w:w="1110" w:type="dxa"/>
            <w:tcBorders>
              <w:top w:val="single" w:color="auto" w:sz="4" w:space="0"/>
              <w:right w:val="single" w:color="auto" w:sz="4" w:space="0"/>
            </w:tcBorders>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Ⅰ</w:t>
            </w:r>
          </w:p>
        </w:tc>
        <w:tc>
          <w:tcPr>
            <w:tcW w:w="959" w:type="dxa"/>
            <w:tcBorders>
              <w:top w:val="single" w:color="auto" w:sz="4" w:space="0"/>
              <w:left w:val="single" w:color="auto" w:sz="4" w:space="0"/>
            </w:tcBorders>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Ⅱ</w:t>
            </w:r>
          </w:p>
        </w:tc>
        <w:tc>
          <w:tcPr>
            <w:tcW w:w="2318" w:type="dxa"/>
            <w:vMerge w:val="continue"/>
            <w:vAlign w:val="center"/>
          </w:tcPr>
          <w:p>
            <w:pPr>
              <w:spacing w:line="240" w:lineRule="atLeast"/>
              <w:jc w:val="center"/>
              <w:rPr>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7"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34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安定性</w:t>
            </w:r>
          </w:p>
        </w:tc>
        <w:tc>
          <w:tcPr>
            <w:tcW w:w="2069"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合格</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参照GB18445-2001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97" w:type="dxa"/>
            <w:vMerge w:val="restart"/>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772" w:type="dxa"/>
            <w:vMerge w:val="restart"/>
            <w:tcBorders>
              <w:top w:val="single" w:color="auto" w:sz="6" w:space="0"/>
              <w:right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凝结时间</w:t>
            </w:r>
          </w:p>
        </w:tc>
        <w:tc>
          <w:tcPr>
            <w:tcW w:w="1658" w:type="dxa"/>
            <w:tcBorders>
              <w:left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初凝时间min</w:t>
            </w:r>
          </w:p>
        </w:tc>
        <w:tc>
          <w:tcPr>
            <w:tcW w:w="2069"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≥20</w:t>
            </w:r>
          </w:p>
        </w:tc>
        <w:tc>
          <w:tcPr>
            <w:tcW w:w="2318" w:type="dxa"/>
            <w:vMerge w:val="restart"/>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参照GB18445-2001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97" w:type="dxa"/>
            <w:vMerge w:val="continue"/>
            <w:vAlign w:val="center"/>
          </w:tcPr>
          <w:p>
            <w:pPr>
              <w:spacing w:line="240" w:lineRule="atLeast"/>
              <w:jc w:val="center"/>
              <w:rPr>
                <w:color w:val="000000" w:themeColor="text1"/>
                <w:sz w:val="21"/>
                <w14:textFill>
                  <w14:solidFill>
                    <w14:schemeClr w14:val="tx1"/>
                  </w14:solidFill>
                </w14:textFill>
              </w:rPr>
            </w:pPr>
          </w:p>
        </w:tc>
        <w:tc>
          <w:tcPr>
            <w:tcW w:w="1772" w:type="dxa"/>
            <w:vMerge w:val="continue"/>
            <w:tcBorders>
              <w:bottom w:val="single" w:color="auto" w:sz="6" w:space="0"/>
              <w:right w:val="single" w:color="auto" w:sz="6" w:space="0"/>
            </w:tcBorders>
            <w:vAlign w:val="center"/>
          </w:tcPr>
          <w:p>
            <w:pPr>
              <w:spacing w:line="240" w:lineRule="atLeast"/>
              <w:jc w:val="center"/>
              <w:rPr>
                <w:color w:val="000000" w:themeColor="text1"/>
                <w:sz w:val="21"/>
                <w14:textFill>
                  <w14:solidFill>
                    <w14:schemeClr w14:val="tx1"/>
                  </w14:solidFill>
                </w14:textFill>
              </w:rPr>
            </w:pPr>
          </w:p>
        </w:tc>
        <w:tc>
          <w:tcPr>
            <w:tcW w:w="1658" w:type="dxa"/>
            <w:tcBorders>
              <w:left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终凝时间h</w:t>
            </w:r>
          </w:p>
        </w:tc>
        <w:tc>
          <w:tcPr>
            <w:tcW w:w="2069"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≤24</w:t>
            </w:r>
          </w:p>
        </w:tc>
        <w:tc>
          <w:tcPr>
            <w:tcW w:w="2318" w:type="dxa"/>
            <w:vMerge w:val="continue"/>
            <w:vAlign w:val="center"/>
          </w:tcPr>
          <w:p>
            <w:pPr>
              <w:spacing w:line="240" w:lineRule="atLeast"/>
              <w:jc w:val="center"/>
              <w:rPr>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7" w:type="dxa"/>
            <w:vMerge w:val="restart"/>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1772" w:type="dxa"/>
            <w:vMerge w:val="restart"/>
            <w:tcBorders>
              <w:right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抗折强度MPa</w:t>
            </w:r>
          </w:p>
        </w:tc>
        <w:tc>
          <w:tcPr>
            <w:tcW w:w="1658" w:type="dxa"/>
            <w:tcBorders>
              <w:top w:val="single" w:color="auto" w:sz="6" w:space="0"/>
              <w:left w:val="single" w:color="auto" w:sz="6" w:space="0"/>
              <w:bottom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7d</w:t>
            </w:r>
          </w:p>
        </w:tc>
        <w:tc>
          <w:tcPr>
            <w:tcW w:w="2069"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≥2.8</w:t>
            </w:r>
          </w:p>
        </w:tc>
        <w:tc>
          <w:tcPr>
            <w:tcW w:w="2318" w:type="dxa"/>
            <w:vMerge w:val="restart"/>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参照GB18445-2001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97" w:type="dxa"/>
            <w:vMerge w:val="continue"/>
            <w:vAlign w:val="center"/>
          </w:tcPr>
          <w:p>
            <w:pPr>
              <w:spacing w:line="240" w:lineRule="atLeast"/>
              <w:jc w:val="center"/>
              <w:rPr>
                <w:color w:val="000000" w:themeColor="text1"/>
                <w:sz w:val="21"/>
                <w14:textFill>
                  <w14:solidFill>
                    <w14:schemeClr w14:val="tx1"/>
                  </w14:solidFill>
                </w14:textFill>
              </w:rPr>
            </w:pPr>
          </w:p>
        </w:tc>
        <w:tc>
          <w:tcPr>
            <w:tcW w:w="1772" w:type="dxa"/>
            <w:vMerge w:val="continue"/>
            <w:tcBorders>
              <w:right w:val="single" w:color="auto" w:sz="6" w:space="0"/>
            </w:tcBorders>
            <w:vAlign w:val="center"/>
          </w:tcPr>
          <w:p>
            <w:pPr>
              <w:spacing w:line="240" w:lineRule="atLeast"/>
              <w:jc w:val="center"/>
              <w:rPr>
                <w:color w:val="000000" w:themeColor="text1"/>
                <w:sz w:val="21"/>
                <w14:textFill>
                  <w14:solidFill>
                    <w14:schemeClr w14:val="tx1"/>
                  </w14:solidFill>
                </w14:textFill>
              </w:rPr>
            </w:pPr>
          </w:p>
        </w:tc>
        <w:tc>
          <w:tcPr>
            <w:tcW w:w="1658" w:type="dxa"/>
            <w:tcBorders>
              <w:top w:val="single" w:color="auto" w:sz="6" w:space="0"/>
              <w:left w:val="single" w:color="auto" w:sz="6" w:space="0"/>
              <w:bottom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28d</w:t>
            </w:r>
          </w:p>
        </w:tc>
        <w:tc>
          <w:tcPr>
            <w:tcW w:w="2069"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≥3.5</w:t>
            </w:r>
          </w:p>
        </w:tc>
        <w:tc>
          <w:tcPr>
            <w:tcW w:w="2318" w:type="dxa"/>
            <w:vMerge w:val="continue"/>
            <w:vAlign w:val="center"/>
          </w:tcPr>
          <w:p>
            <w:pPr>
              <w:spacing w:line="240" w:lineRule="atLeast"/>
              <w:jc w:val="center"/>
              <w:rPr>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7" w:type="dxa"/>
            <w:vMerge w:val="restart"/>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1772" w:type="dxa"/>
            <w:vMerge w:val="restart"/>
            <w:tcBorders>
              <w:right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抗压强度MPa</w:t>
            </w:r>
          </w:p>
        </w:tc>
        <w:tc>
          <w:tcPr>
            <w:tcW w:w="1658" w:type="dxa"/>
            <w:tcBorders>
              <w:top w:val="single" w:color="auto" w:sz="6" w:space="0"/>
              <w:left w:val="single" w:color="auto" w:sz="6" w:space="0"/>
              <w:bottom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7d</w:t>
            </w:r>
          </w:p>
        </w:tc>
        <w:tc>
          <w:tcPr>
            <w:tcW w:w="2069"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≥12</w:t>
            </w:r>
          </w:p>
        </w:tc>
        <w:tc>
          <w:tcPr>
            <w:tcW w:w="2318" w:type="dxa"/>
            <w:vMerge w:val="restart"/>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参照GB18445-2001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97" w:type="dxa"/>
            <w:vMerge w:val="continue"/>
            <w:vAlign w:val="center"/>
          </w:tcPr>
          <w:p>
            <w:pPr>
              <w:spacing w:line="240" w:lineRule="atLeast"/>
              <w:jc w:val="center"/>
              <w:rPr>
                <w:color w:val="000000" w:themeColor="text1"/>
                <w:sz w:val="21"/>
                <w14:textFill>
                  <w14:solidFill>
                    <w14:schemeClr w14:val="tx1"/>
                  </w14:solidFill>
                </w14:textFill>
              </w:rPr>
            </w:pPr>
          </w:p>
        </w:tc>
        <w:tc>
          <w:tcPr>
            <w:tcW w:w="1772" w:type="dxa"/>
            <w:vMerge w:val="continue"/>
            <w:tcBorders>
              <w:right w:val="single" w:color="auto" w:sz="6" w:space="0"/>
            </w:tcBorders>
            <w:vAlign w:val="center"/>
          </w:tcPr>
          <w:p>
            <w:pPr>
              <w:spacing w:line="240" w:lineRule="atLeast"/>
              <w:jc w:val="center"/>
              <w:rPr>
                <w:color w:val="000000" w:themeColor="text1"/>
                <w:sz w:val="21"/>
                <w14:textFill>
                  <w14:solidFill>
                    <w14:schemeClr w14:val="tx1"/>
                  </w14:solidFill>
                </w14:textFill>
              </w:rPr>
            </w:pPr>
          </w:p>
        </w:tc>
        <w:tc>
          <w:tcPr>
            <w:tcW w:w="1658" w:type="dxa"/>
            <w:tcBorders>
              <w:top w:val="single" w:color="auto" w:sz="6" w:space="0"/>
              <w:left w:val="single" w:color="auto" w:sz="6" w:space="0"/>
              <w:bottom w:val="single" w:color="auto" w:sz="6"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28d</w:t>
            </w:r>
          </w:p>
        </w:tc>
        <w:tc>
          <w:tcPr>
            <w:tcW w:w="2069"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≥18</w:t>
            </w:r>
          </w:p>
        </w:tc>
        <w:tc>
          <w:tcPr>
            <w:tcW w:w="2318" w:type="dxa"/>
            <w:vMerge w:val="continue"/>
            <w:vAlign w:val="center"/>
          </w:tcPr>
          <w:p>
            <w:pPr>
              <w:spacing w:line="240" w:lineRule="atLeast"/>
              <w:jc w:val="center"/>
              <w:rPr>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7"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34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湿基面粘结强度MPa</w:t>
            </w:r>
          </w:p>
        </w:tc>
        <w:tc>
          <w:tcPr>
            <w:tcW w:w="2069"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参照GB18445-2001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97"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34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抗渗压力（28d）MPa</w:t>
            </w:r>
          </w:p>
        </w:tc>
        <w:tc>
          <w:tcPr>
            <w:tcW w:w="1110" w:type="dxa"/>
            <w:tcBorders>
              <w:right w:val="single" w:color="auto" w:sz="4"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≥0.8</w:t>
            </w:r>
          </w:p>
        </w:tc>
        <w:tc>
          <w:tcPr>
            <w:tcW w:w="959" w:type="dxa"/>
            <w:tcBorders>
              <w:left w:val="single" w:color="auto" w:sz="4"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≥1.2</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参照GB18445-2001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7"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34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第二次抗渗力（56d）MPa</w:t>
            </w:r>
          </w:p>
        </w:tc>
        <w:tc>
          <w:tcPr>
            <w:tcW w:w="1110" w:type="dxa"/>
            <w:tcBorders>
              <w:right w:val="single" w:color="auto" w:sz="4"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≥0.6</w:t>
            </w:r>
          </w:p>
        </w:tc>
        <w:tc>
          <w:tcPr>
            <w:tcW w:w="959" w:type="dxa"/>
            <w:tcBorders>
              <w:left w:val="single" w:color="auto" w:sz="4"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≥0.8</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参照GB18445-2001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7"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w:t>
            </w:r>
          </w:p>
        </w:tc>
        <w:tc>
          <w:tcPr>
            <w:tcW w:w="3430" w:type="dxa"/>
            <w:gridSpan w:val="2"/>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渗透压力比（28d）%</w:t>
            </w:r>
          </w:p>
        </w:tc>
        <w:tc>
          <w:tcPr>
            <w:tcW w:w="1110" w:type="dxa"/>
            <w:tcBorders>
              <w:right w:val="single" w:color="auto" w:sz="4"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≥200</w:t>
            </w:r>
          </w:p>
        </w:tc>
        <w:tc>
          <w:tcPr>
            <w:tcW w:w="959" w:type="dxa"/>
            <w:tcBorders>
              <w:left w:val="single" w:color="auto" w:sz="4" w:space="0"/>
            </w:tcBorders>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≥300</w:t>
            </w:r>
          </w:p>
        </w:tc>
        <w:tc>
          <w:tcPr>
            <w:tcW w:w="2318" w:type="dxa"/>
            <w:vAlign w:val="center"/>
          </w:tcPr>
          <w:p>
            <w:pPr>
              <w:spacing w:line="240" w:lineRule="atLeas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参照GB18445-2001</w:t>
            </w:r>
          </w:p>
        </w:tc>
      </w:tr>
    </w:tbl>
    <w:p>
      <w:pPr>
        <w:jc w:val="center"/>
        <w:rPr>
          <w:rFonts w:hint="eastAsia"/>
          <w:b/>
          <w:bCs/>
          <w:color w:val="000000" w:themeColor="text1"/>
          <w:sz w:val="21"/>
          <w:szCs w:val="18"/>
          <w14:textFill>
            <w14:solidFill>
              <w14:schemeClr w14:val="tx1"/>
            </w14:solidFill>
          </w14:textFill>
        </w:rPr>
      </w:pPr>
    </w:p>
    <w:p>
      <w:r>
        <w:rPr>
          <w:b/>
        </w:rPr>
        <w:t>6.2.</w:t>
      </w:r>
      <w:r>
        <w:rPr>
          <w:rFonts w:hint="eastAsia"/>
          <w:b/>
        </w:rPr>
        <w:t>8</w:t>
      </w:r>
      <w:r>
        <w:rPr>
          <w:b/>
        </w:rPr>
        <w:t xml:space="preserve">  </w:t>
      </w:r>
      <w:r>
        <w:rPr>
          <w:rFonts w:hint="eastAsia"/>
        </w:rPr>
        <w:t>进场前应对钢筋混凝土矩形顶管、钢套环、橡胶密封圈及衬垫材料进行检测和验收，对存在问题的管节责令供应商进行整改，直至验收合格，方可投放工地进行顶进施工作业。</w:t>
      </w:r>
    </w:p>
    <w:p>
      <w:r>
        <w:rPr>
          <w:b/>
        </w:rPr>
        <w:t>6.2.</w:t>
      </w:r>
      <w:r>
        <w:rPr>
          <w:rFonts w:hint="eastAsia"/>
          <w:b/>
        </w:rPr>
        <w:t>9</w:t>
      </w:r>
      <w:r>
        <w:rPr>
          <w:b/>
        </w:rPr>
        <w:t xml:space="preserve">  </w:t>
      </w:r>
      <w:r>
        <w:rPr>
          <w:rFonts w:hint="eastAsia"/>
        </w:rPr>
        <w:t>管节承插前，应使用粘结剂将橡胶密封圈正确固定在槽内，在止水圈斜面上和钢套环斜口上均匀涂抹一层硅油，严禁用其他油脂或肥皂水之类的润滑剂。承插时外力应均匀，承插后橡胶密封圈不应移位且不应反转。接口插入后，应用探棒插入钢套环空隙中，沿周边检查止水圈定位是否准确，发现有翻位、位移等现象应拔出重新粘接和插入。</w:t>
      </w:r>
    </w:p>
    <w:p>
      <w:pPr>
        <w:rPr>
          <w:color w:val="000000" w:themeColor="text1"/>
          <w14:textFill>
            <w14:solidFill>
              <w14:schemeClr w14:val="tx1"/>
            </w14:solidFill>
          </w14:textFill>
        </w:rPr>
      </w:pPr>
      <w:r>
        <w:rPr>
          <w:b/>
          <w:color w:val="000000" w:themeColor="text1"/>
          <w14:textFill>
            <w14:solidFill>
              <w14:schemeClr w14:val="tx1"/>
            </w14:solidFill>
          </w14:textFill>
        </w:rPr>
        <w:t>6.2.</w:t>
      </w:r>
      <w:r>
        <w:rPr>
          <w:rFonts w:hint="eastAsia"/>
          <w:b/>
          <w:color w:val="000000" w:themeColor="text1"/>
          <w14:textFill>
            <w14:solidFill>
              <w14:schemeClr w14:val="tx1"/>
            </w14:solidFill>
          </w14:textFill>
        </w:rPr>
        <w:t>10</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顶管施工完成后，应先将管节接缝清洗、干燥，再采用弹性密封填料（现多数采用聚硫密封胶）对管节接缝进行嵌缝。</w:t>
      </w:r>
    </w:p>
    <w:p>
      <w:pPr>
        <w:rPr>
          <w:color w:val="000000" w:themeColor="text1"/>
          <w14:textFill>
            <w14:solidFill>
              <w14:schemeClr w14:val="tx1"/>
            </w14:solidFill>
          </w14:textFill>
        </w:rPr>
      </w:pPr>
    </w:p>
    <w:p>
      <w:pPr>
        <w:pStyle w:val="3"/>
      </w:pPr>
      <w:bookmarkStart w:id="87" w:name="_Toc10074"/>
      <w:r>
        <w:rPr>
          <w:rFonts w:hint="eastAsia"/>
        </w:rPr>
        <w:fldChar w:fldCharType="begin"/>
      </w:r>
      <w:r>
        <w:instrText xml:space="preserve"> HYPERLINK "file:///C:\\Users\\xy155\\Desktop\\矩形顶管工程技术规程2019.3.22.docx" \l "_Toc13214" </w:instrText>
      </w:r>
      <w:r>
        <w:rPr>
          <w:rFonts w:hint="eastAsia"/>
        </w:rPr>
        <w:fldChar w:fldCharType="separate"/>
      </w:r>
      <w:bookmarkStart w:id="88" w:name="_Toc18057046"/>
      <w:r>
        <w:t xml:space="preserve">6.3  </w:t>
      </w:r>
      <w:r>
        <w:rPr>
          <w:rFonts w:hint="eastAsia"/>
        </w:rPr>
        <w:t>材料</w:t>
      </w:r>
      <w:r>
        <w:rPr>
          <w:rFonts w:hint="eastAsia"/>
        </w:rPr>
        <w:fldChar w:fldCharType="end"/>
      </w:r>
      <w:r>
        <w:rPr>
          <w:rFonts w:hint="eastAsia"/>
        </w:rPr>
        <w:t>性能要求</w:t>
      </w:r>
      <w:bookmarkEnd w:id="87"/>
      <w:bookmarkEnd w:id="88"/>
      <w:r>
        <w:t xml:space="preserve"> </w:t>
      </w:r>
    </w:p>
    <w:p>
      <w:r>
        <w:rPr>
          <w:b/>
        </w:rPr>
        <w:t>6.</w:t>
      </w:r>
      <w:r>
        <w:rPr>
          <w:rFonts w:hint="eastAsia"/>
          <w:b/>
        </w:rPr>
        <w:t>3</w:t>
      </w:r>
      <w:r>
        <w:rPr>
          <w:b/>
        </w:rPr>
        <w:t>.1</w:t>
      </w:r>
      <w:r>
        <w:t xml:space="preserve">  </w:t>
      </w:r>
      <w:r>
        <w:rPr>
          <w:rFonts w:hint="eastAsia"/>
        </w:rPr>
        <w:t>钢筋混凝土管节制作质量应符合现行</w:t>
      </w:r>
      <w:bookmarkStart w:id="89" w:name="_Hlk17379432"/>
      <w:r>
        <w:rPr>
          <w:rFonts w:hint="eastAsia"/>
        </w:rPr>
        <w:t>国家标准和行业标准《混凝土和钢筋混凝土排水管》</w:t>
      </w:r>
      <w:r>
        <w:t>GB/T 11836</w:t>
      </w:r>
      <w:r>
        <w:rPr>
          <w:rFonts w:hint="eastAsia"/>
        </w:rPr>
        <w:t>及《顶进施工法用钢筋混凝土排水管》</w:t>
      </w:r>
      <w:r>
        <w:t>JC/T 640</w:t>
      </w:r>
      <w:bookmarkEnd w:id="89"/>
      <w:r>
        <w:rPr>
          <w:rFonts w:hint="eastAsia"/>
        </w:rPr>
        <w:t>的规定，管节及接口的尺寸精度和抗渗性能应满足设计要求。</w:t>
      </w:r>
    </w:p>
    <w:p>
      <w:r>
        <w:rPr>
          <w:b/>
        </w:rPr>
        <w:t>6.</w:t>
      </w:r>
      <w:r>
        <w:rPr>
          <w:rFonts w:hint="eastAsia"/>
          <w:b/>
        </w:rPr>
        <w:t>3</w:t>
      </w:r>
      <w:r>
        <w:rPr>
          <w:b/>
        </w:rPr>
        <w:t>.2</w:t>
      </w:r>
      <w:r>
        <w:t xml:space="preserve">  </w:t>
      </w:r>
      <w:r>
        <w:rPr>
          <w:rFonts w:hint="eastAsia"/>
        </w:rPr>
        <w:t>钢筋混凝土管的混凝土强度等级不宜低于</w:t>
      </w:r>
      <w:r>
        <w:t>C50</w:t>
      </w:r>
      <w:r>
        <w:rPr>
          <w:rFonts w:hint="eastAsia"/>
        </w:rPr>
        <w:t>，抗渗等级不宜低于</w:t>
      </w:r>
      <w:r>
        <w:t>P8</w:t>
      </w:r>
      <w:r>
        <w:rPr>
          <w:rFonts w:hint="eastAsia"/>
        </w:rPr>
        <w:t>。</w:t>
      </w:r>
    </w:p>
    <w:p>
      <w:r>
        <w:rPr>
          <w:b/>
        </w:rPr>
        <w:t>6.</w:t>
      </w:r>
      <w:r>
        <w:rPr>
          <w:rFonts w:hint="eastAsia"/>
          <w:b/>
        </w:rPr>
        <w:t>3</w:t>
      </w:r>
      <w:r>
        <w:rPr>
          <w:b/>
        </w:rPr>
        <w:t>.</w:t>
      </w:r>
      <w:r>
        <w:rPr>
          <w:rFonts w:hint="eastAsia"/>
          <w:b/>
        </w:rPr>
        <w:t>3</w:t>
      </w:r>
      <w:r>
        <w:rPr>
          <w:b/>
        </w:rPr>
        <w:t xml:space="preserve">  </w:t>
      </w:r>
      <w:r>
        <w:rPr>
          <w:rFonts w:hint="eastAsia"/>
        </w:rPr>
        <w:t>对矩形管道的钢筋混凝土构件，其纵向钢筋的配筋率不宜低于0.3%。</w:t>
      </w:r>
    </w:p>
    <w:p>
      <w:pPr>
        <w:rPr>
          <w:b/>
        </w:rPr>
      </w:pPr>
      <w:r>
        <w:rPr>
          <w:rFonts w:hint="eastAsia"/>
          <w:b/>
        </w:rPr>
        <w:t>6.3.4</w:t>
      </w:r>
      <w:r>
        <w:rPr>
          <w:b/>
        </w:rPr>
        <w:t xml:space="preserve">  </w:t>
      </w:r>
      <w:r>
        <w:rPr>
          <w:rFonts w:hint="eastAsia"/>
        </w:rPr>
        <w:t>矩形顶管各部材料应符合下列规定：</w:t>
      </w:r>
    </w:p>
    <w:p>
      <w:pPr>
        <w:ind w:firstLine="480" w:firstLineChars="200"/>
      </w:pPr>
      <w:r>
        <w:rPr>
          <w:rFonts w:hint="eastAsia"/>
        </w:rPr>
        <w:t xml:space="preserve">1 </w:t>
      </w:r>
      <w:r>
        <w:t xml:space="preserve"> </w:t>
      </w:r>
      <w:r>
        <w:rPr>
          <w:rFonts w:hint="eastAsia"/>
        </w:rPr>
        <w:t>水泥宜采用硅酸盐水泥、普通硅酸盐水泥或矿渣硅酸盐水泥，也可采用抗硫酸盐硅酸盐水泥与硫铝酸盐水泥。水泥性能应符合现行</w:t>
      </w:r>
      <w:bookmarkStart w:id="90" w:name="_Hlk17379876"/>
      <w:r>
        <w:rPr>
          <w:rFonts w:hint="eastAsia"/>
        </w:rPr>
        <w:t>国家标准《通用硅酸盐水泥》GB</w:t>
      </w:r>
      <w:r>
        <w:t xml:space="preserve"> </w:t>
      </w:r>
      <w:r>
        <w:rPr>
          <w:rFonts w:hint="eastAsia"/>
        </w:rPr>
        <w:t>175、《抗硫酸盐硅酸盐水泥》GB</w:t>
      </w:r>
      <w:r>
        <w:t xml:space="preserve"> </w:t>
      </w:r>
      <w:r>
        <w:rPr>
          <w:rFonts w:hint="eastAsia"/>
        </w:rPr>
        <w:t>748与《硫铝酸盐水泥》GB</w:t>
      </w:r>
      <w:r>
        <w:t xml:space="preserve"> </w:t>
      </w:r>
      <w:r>
        <w:rPr>
          <w:rFonts w:hint="eastAsia"/>
        </w:rPr>
        <w:t>20472</w:t>
      </w:r>
      <w:bookmarkEnd w:id="90"/>
      <w:r>
        <w:rPr>
          <w:rFonts w:hint="eastAsia"/>
        </w:rPr>
        <w:t>的相关规定；</w:t>
      </w:r>
    </w:p>
    <w:p>
      <w:pPr>
        <w:ind w:firstLine="480" w:firstLineChars="200"/>
      </w:pPr>
      <w:r>
        <w:rPr>
          <w:rFonts w:hint="eastAsia"/>
        </w:rPr>
        <w:t xml:space="preserve">2 </w:t>
      </w:r>
      <w:r>
        <w:t xml:space="preserve"> </w:t>
      </w:r>
      <w:r>
        <w:rPr>
          <w:rFonts w:hint="eastAsia"/>
        </w:rPr>
        <w:t>细骨料宜采用中细沙，细度模数宜为2.3~3.3。粗骨料最大粒径对钢筋混凝土管不得大于壁厚的1/3，并不得大于环向钢筋净距的3/4，骨料性能应符合现行国家标准</w:t>
      </w:r>
      <w:bookmarkStart w:id="91" w:name="_Hlk17380009"/>
      <w:r>
        <w:rPr>
          <w:rFonts w:hint="eastAsia"/>
        </w:rPr>
        <w:t>《建设用砂》GB/T</w:t>
      </w:r>
      <w:r>
        <w:t xml:space="preserve"> </w:t>
      </w:r>
      <w:r>
        <w:rPr>
          <w:rFonts w:hint="eastAsia"/>
        </w:rPr>
        <w:t>14684与《建设用碎石卵石》GB/T</w:t>
      </w:r>
      <w:r>
        <w:t xml:space="preserve"> </w:t>
      </w:r>
      <w:r>
        <w:rPr>
          <w:rFonts w:hint="eastAsia"/>
        </w:rPr>
        <w:t>14685</w:t>
      </w:r>
      <w:bookmarkEnd w:id="91"/>
      <w:r>
        <w:rPr>
          <w:rFonts w:hint="eastAsia"/>
        </w:rPr>
        <w:t>的相关规定；</w:t>
      </w:r>
    </w:p>
    <w:p>
      <w:pPr>
        <w:ind w:firstLine="480" w:firstLineChars="200"/>
      </w:pPr>
      <w:r>
        <w:rPr>
          <w:rFonts w:hint="eastAsia"/>
        </w:rPr>
        <w:t>3</w:t>
      </w:r>
      <w:r>
        <w:t xml:space="preserve"> </w:t>
      </w:r>
      <w:r>
        <w:rPr>
          <w:rFonts w:hint="eastAsia"/>
        </w:rPr>
        <w:t xml:space="preserve"> 混凝土可掺加外加剂或掺合料。所用外加剂或掺合料不应对管节产生有害影响。且掺加外加剂时应符合现行国家标准</w:t>
      </w:r>
      <w:bookmarkStart w:id="92" w:name="_Hlk17380402"/>
      <w:r>
        <w:rPr>
          <w:rFonts w:hint="eastAsia"/>
        </w:rPr>
        <w:t>《混凝土外加剂》GB 8076</w:t>
      </w:r>
      <w:bookmarkEnd w:id="92"/>
      <w:r>
        <w:rPr>
          <w:rFonts w:hint="eastAsia"/>
        </w:rPr>
        <w:t>的相关规定；</w:t>
      </w:r>
    </w:p>
    <w:p>
      <w:pPr>
        <w:ind w:firstLine="480" w:firstLineChars="200"/>
      </w:pPr>
      <w:r>
        <w:rPr>
          <w:rFonts w:hint="eastAsia"/>
        </w:rPr>
        <w:t xml:space="preserve">4 </w:t>
      </w:r>
      <w:r>
        <w:t xml:space="preserve"> </w:t>
      </w:r>
      <w:r>
        <w:rPr>
          <w:rFonts w:hint="eastAsia"/>
        </w:rPr>
        <w:t>混凝土拌合用水应符合现行行业标准</w:t>
      </w:r>
      <w:bookmarkStart w:id="93" w:name="_Hlk17380408"/>
      <w:r>
        <w:rPr>
          <w:rFonts w:hint="eastAsia"/>
        </w:rPr>
        <w:t>《混凝土用水标准》JGJ</w:t>
      </w:r>
      <w:r>
        <w:t xml:space="preserve"> </w:t>
      </w:r>
      <w:r>
        <w:rPr>
          <w:rFonts w:hint="eastAsia"/>
        </w:rPr>
        <w:t>63</w:t>
      </w:r>
      <w:bookmarkEnd w:id="93"/>
      <w:r>
        <w:rPr>
          <w:rFonts w:hint="eastAsia"/>
        </w:rPr>
        <w:t>的规定。</w:t>
      </w:r>
    </w:p>
    <w:p>
      <w:pPr>
        <w:ind w:firstLine="480" w:firstLineChars="200"/>
      </w:pPr>
      <w:r>
        <w:rPr>
          <w:rFonts w:hint="eastAsia"/>
        </w:rPr>
        <w:t xml:space="preserve">5 </w:t>
      </w:r>
      <w:r>
        <w:t xml:space="preserve"> </w:t>
      </w:r>
      <w:r>
        <w:rPr>
          <w:rFonts w:hint="eastAsia"/>
        </w:rPr>
        <w:t>钢筋宜采用冷轧带肋钢筋、热轧带肋钢筋，也可采用热轧光圆钢筋、冷拔低碳钢丝，钢筋性能应符合现行国家标准和行业标准</w:t>
      </w:r>
      <w:bookmarkStart w:id="94" w:name="_Hlk17380419"/>
      <w:r>
        <w:rPr>
          <w:rFonts w:hint="eastAsia"/>
        </w:rPr>
        <w:t>《冷轧带肋钢筋》GB</w:t>
      </w:r>
      <w:r>
        <w:t xml:space="preserve"> </w:t>
      </w:r>
      <w:r>
        <w:rPr>
          <w:rFonts w:hint="eastAsia"/>
        </w:rPr>
        <w:t>13788、《钢筋混凝土用钢 第2部分：热轧带肋钢筋》GB</w:t>
      </w:r>
      <w:r>
        <w:t xml:space="preserve"> </w:t>
      </w:r>
      <w:r>
        <w:rPr>
          <w:rFonts w:hint="eastAsia"/>
        </w:rPr>
        <w:t>1499.2、《钢筋混凝土用钢 第1部分：热轧光圆钢筋》GB</w:t>
      </w:r>
      <w:r>
        <w:t xml:space="preserve"> </w:t>
      </w:r>
      <w:r>
        <w:rPr>
          <w:rFonts w:hint="eastAsia"/>
        </w:rPr>
        <w:t>1499.1及《混凝土制品用冷拔低碳钢丝》JC/T</w:t>
      </w:r>
      <w:r>
        <w:t xml:space="preserve"> </w:t>
      </w:r>
      <w:r>
        <w:rPr>
          <w:rFonts w:hint="eastAsia"/>
        </w:rPr>
        <w:t>540</w:t>
      </w:r>
      <w:bookmarkEnd w:id="94"/>
      <w:r>
        <w:rPr>
          <w:rFonts w:hint="eastAsia"/>
        </w:rPr>
        <w:t>的规定。</w:t>
      </w:r>
    </w:p>
    <w:p>
      <w:pPr>
        <w:ind w:firstLine="480" w:firstLineChars="200"/>
      </w:pPr>
      <w:r>
        <w:rPr>
          <w:rFonts w:hint="eastAsia"/>
        </w:rPr>
        <w:t>6</w:t>
      </w:r>
      <w:r>
        <w:t xml:space="preserve"> </w:t>
      </w:r>
      <w:r>
        <w:rPr>
          <w:rFonts w:hint="eastAsia"/>
        </w:rPr>
        <w:t xml:space="preserve"> 钢承口用钢板厚度：矩形顶管尺寸≤7700mm（长）×4500mm（宽）的钢板厚度≥12mm、矩形顶管尺寸≥9100mm（长）×5500mm（宽）的钢板厚度≥16mm，当钢承口用钢板采用16锰钢板时可以适当减少钢板的厚度。</w:t>
      </w:r>
    </w:p>
    <w:p>
      <w:pPr>
        <w:ind w:firstLine="480" w:firstLineChars="200"/>
      </w:pPr>
      <w:r>
        <w:rPr>
          <w:rFonts w:hint="eastAsia"/>
        </w:rPr>
        <w:t>7</w:t>
      </w:r>
      <w:r>
        <w:t xml:space="preserve">  </w:t>
      </w:r>
      <w:r>
        <w:rPr>
          <w:rFonts w:hint="eastAsia"/>
        </w:rPr>
        <w:t>钢筋及骨架制作应符合下列规定：</w:t>
      </w:r>
    </w:p>
    <w:p>
      <w:pPr>
        <w:ind w:firstLine="480" w:firstLineChars="200"/>
      </w:pPr>
      <w:r>
        <w:rPr>
          <w:rFonts w:hint="eastAsia"/>
        </w:rPr>
        <w:t>1）钢筋应选用HPB300、HRB335和HRB400钢筋，宜优选变形钢筋；</w:t>
      </w:r>
    </w:p>
    <w:p>
      <w:pPr>
        <w:ind w:firstLine="480" w:firstLineChars="200"/>
      </w:pPr>
      <w:r>
        <w:rPr>
          <w:rFonts w:hint="eastAsia"/>
        </w:rPr>
        <w:t>2）矩形顶管钢筋骨架所使用的纵筋、环筋、箍筋及各类拉筋等应满足产品设计的承载要求，钢筋连接处采用人工焊接成型，钢筋驳接长度及焊缝质量应符合现行国家标准和行业标准《混凝土结构工程施工质量验收规范》GB</w:t>
      </w:r>
      <w:r>
        <w:t xml:space="preserve"> </w:t>
      </w:r>
      <w:r>
        <w:rPr>
          <w:rFonts w:hint="eastAsia"/>
        </w:rPr>
        <w:t>50204与《冷轧带肋钢筋混凝土结构技术规程》JGJ</w:t>
      </w:r>
      <w:r>
        <w:t xml:space="preserve"> </w:t>
      </w:r>
      <w:r>
        <w:rPr>
          <w:rFonts w:hint="eastAsia"/>
        </w:rPr>
        <w:t>95的规定。</w:t>
      </w:r>
    </w:p>
    <w:p>
      <w:pPr>
        <w:ind w:firstLine="480" w:firstLineChars="200"/>
      </w:pPr>
      <w:r>
        <w:rPr>
          <w:rFonts w:hint="eastAsia"/>
        </w:rPr>
        <w:t>8</w:t>
      </w:r>
      <w:r>
        <w:t xml:space="preserve">  </w:t>
      </w:r>
      <w:r>
        <w:rPr>
          <w:rFonts w:hint="eastAsia"/>
        </w:rPr>
        <w:t>防水材料：氯丁橡胶、三元乙丙橡胶、膨润土橡胶、聚氨酯密封胶及水泥基渗透性结晶等物理力学性能见表6.2.7-1~6.2.7-</w:t>
      </w:r>
      <w:r>
        <w:t>5</w:t>
      </w:r>
      <w:r>
        <w:rPr>
          <w:rFonts w:hint="eastAsia"/>
        </w:rPr>
        <w:t>。</w:t>
      </w:r>
    </w:p>
    <w:p/>
    <w:p>
      <w:pPr>
        <w:pStyle w:val="3"/>
      </w:pPr>
      <w:bookmarkStart w:id="95" w:name="_Toc8990"/>
      <w:r>
        <w:rPr>
          <w:rFonts w:hint="eastAsia"/>
        </w:rPr>
        <w:fldChar w:fldCharType="begin"/>
      </w:r>
      <w:r>
        <w:instrText xml:space="preserve"> HYPERLINK "file:///C:\\Users\\xy155\\Desktop\\矩形顶管工程技术规程2019.3.22.docx" \l "_Toc17680" </w:instrText>
      </w:r>
      <w:r>
        <w:rPr>
          <w:rFonts w:hint="eastAsia"/>
        </w:rPr>
        <w:fldChar w:fldCharType="separate"/>
      </w:r>
      <w:bookmarkStart w:id="96" w:name="_Toc18057047"/>
      <w:r>
        <w:t xml:space="preserve">6.4  </w:t>
      </w:r>
      <w:r>
        <w:rPr>
          <w:rFonts w:hint="eastAsia"/>
        </w:rPr>
        <w:t>管节防腐</w:t>
      </w:r>
      <w:bookmarkEnd w:id="96"/>
      <w:r>
        <w:rPr>
          <w:rFonts w:hint="eastAsia"/>
        </w:rPr>
        <w:fldChar w:fldCharType="end"/>
      </w:r>
      <w:bookmarkEnd w:id="95"/>
    </w:p>
    <w:p>
      <w:r>
        <w:rPr>
          <w:b/>
        </w:rPr>
        <w:t xml:space="preserve">6.4.1  </w:t>
      </w:r>
      <w:r>
        <w:rPr>
          <w:rFonts w:hint="eastAsia"/>
        </w:rPr>
        <w:t>当地下水或管内介质对混凝土和钢筋具有腐蚀性时，应对管道内外壁做防腐处理</w:t>
      </w:r>
      <w:r>
        <w:t>。</w:t>
      </w:r>
    </w:p>
    <w:p>
      <w:r>
        <w:rPr>
          <w:b/>
        </w:rPr>
        <w:t>6.4.</w:t>
      </w:r>
      <w:r>
        <w:rPr>
          <w:rFonts w:hint="eastAsia"/>
          <w:b/>
        </w:rPr>
        <w:t>2</w:t>
      </w:r>
      <w:r>
        <w:rPr>
          <w:b/>
        </w:rPr>
        <w:t xml:space="preserve"> </w:t>
      </w:r>
      <w:r>
        <w:rPr>
          <w:rFonts w:hint="eastAsia"/>
          <w:b/>
        </w:rPr>
        <w:t xml:space="preserve"> </w:t>
      </w:r>
      <w:r>
        <w:t>钢筋混凝土管</w:t>
      </w:r>
      <w:r>
        <w:rPr>
          <w:rFonts w:hint="eastAsia"/>
        </w:rPr>
        <w:t>防腐涂料品种的选用、层数、厚度等应符合设计规定，管外壁防腐宜采用环氧类涂料，</w:t>
      </w:r>
      <w:r>
        <w:t>管</w:t>
      </w:r>
      <w:r>
        <w:rPr>
          <w:rFonts w:hint="eastAsia"/>
        </w:rPr>
        <w:t>内壁防腐</w:t>
      </w:r>
      <w:r>
        <w:t>宜采用水性涂料、无溶剂涂料等环保型涂料。</w:t>
      </w:r>
    </w:p>
    <w:p>
      <w:r>
        <w:rPr>
          <w:b/>
        </w:rPr>
        <w:t>6.4.</w:t>
      </w:r>
      <w:r>
        <w:rPr>
          <w:rFonts w:hint="eastAsia"/>
          <w:b/>
        </w:rPr>
        <w:t>3</w:t>
      </w:r>
      <w:r>
        <w:rPr>
          <w:b/>
        </w:rPr>
        <w:t xml:space="preserve">  </w:t>
      </w:r>
      <w:r>
        <w:t>钢筋混凝土管内壁防腐施工前，管道接口应按照设计要求进行嵌缝。</w:t>
      </w:r>
    </w:p>
    <w:p>
      <w:r>
        <w:rPr>
          <w:b/>
        </w:rPr>
        <w:t>6.4.</w:t>
      </w:r>
      <w:r>
        <w:rPr>
          <w:rFonts w:hint="eastAsia"/>
          <w:b/>
        </w:rPr>
        <w:t>4</w:t>
      </w:r>
      <w:r>
        <w:rPr>
          <w:b/>
        </w:rPr>
        <w:t xml:space="preserve">  </w:t>
      </w:r>
      <w:r>
        <w:t>混凝土内壁防腐涂料工程中所用的腻子应具有与混凝土粘结牢固、快速干燥的性能，抗碱渗透底漆与基面和涂料应有</w:t>
      </w:r>
      <w:r>
        <w:rPr>
          <w:rFonts w:hint="eastAsia"/>
        </w:rPr>
        <w:t>一定的</w:t>
      </w:r>
      <w:r>
        <w:t>结合力。</w:t>
      </w:r>
    </w:p>
    <w:p>
      <w:r>
        <w:rPr>
          <w:b/>
        </w:rPr>
        <w:t>6.4.</w:t>
      </w:r>
      <w:r>
        <w:rPr>
          <w:rFonts w:hint="eastAsia"/>
          <w:b/>
        </w:rPr>
        <w:t>5</w:t>
      </w:r>
      <w:r>
        <w:rPr>
          <w:b/>
        </w:rPr>
        <w:t xml:space="preserve">  </w:t>
      </w:r>
      <w:r>
        <w:t>管道内壁防腐涂料工程的混凝土基层应符合下列规定：</w:t>
      </w:r>
    </w:p>
    <w:p>
      <w:pPr>
        <w:ind w:firstLine="480" w:firstLineChars="200"/>
      </w:pPr>
      <w:r>
        <w:t>1</w:t>
      </w:r>
      <w:r>
        <w:rPr>
          <w:rFonts w:hint="eastAsia"/>
        </w:rPr>
        <w:t xml:space="preserve">  </w:t>
      </w:r>
      <w:r>
        <w:t>基层表面不得有残留沾污物；</w:t>
      </w:r>
    </w:p>
    <w:p>
      <w:pPr>
        <w:ind w:firstLine="480" w:firstLineChars="200"/>
      </w:pPr>
      <w:r>
        <w:t xml:space="preserve">2 </w:t>
      </w:r>
      <w:r>
        <w:rPr>
          <w:rFonts w:hint="eastAsia"/>
        </w:rPr>
        <w:t xml:space="preserve"> </w:t>
      </w:r>
      <w:r>
        <w:t>基层不得有裂缝或凹凸缺陷现象</w:t>
      </w:r>
      <w:r>
        <w:rPr>
          <w:rFonts w:hint="eastAsia"/>
        </w:rPr>
        <w:t>，平整度允许空隙不应大于2mm</w:t>
      </w:r>
      <w:r>
        <w:t>；</w:t>
      </w:r>
    </w:p>
    <w:p>
      <w:pPr>
        <w:ind w:firstLine="480" w:firstLineChars="200"/>
      </w:pPr>
      <w:r>
        <w:t>3</w:t>
      </w:r>
      <w:r>
        <w:rPr>
          <w:rFonts w:hint="eastAsia"/>
        </w:rPr>
        <w:t xml:space="preserve">  </w:t>
      </w:r>
      <w:r>
        <w:t>基层应保持干燥，含水率不</w:t>
      </w:r>
      <w:r>
        <w:rPr>
          <w:rFonts w:hint="eastAsia"/>
        </w:rPr>
        <w:t>应</w:t>
      </w:r>
      <w:r>
        <w:t>大于</w:t>
      </w:r>
      <w:r>
        <w:rPr>
          <w:rFonts w:hint="eastAsia"/>
        </w:rPr>
        <w:t>6</w:t>
      </w:r>
      <w:r>
        <w:t>%。</w:t>
      </w:r>
    </w:p>
    <w:p>
      <w:r>
        <w:rPr>
          <w:b/>
        </w:rPr>
        <w:t>6.4.</w:t>
      </w:r>
      <w:r>
        <w:rPr>
          <w:rFonts w:hint="eastAsia"/>
          <w:b/>
        </w:rPr>
        <w:t>6</w:t>
      </w:r>
      <w:r>
        <w:rPr>
          <w:rFonts w:hint="eastAsia"/>
        </w:rPr>
        <w:t xml:space="preserve"> </w:t>
      </w:r>
      <w:r>
        <w:t xml:space="preserve"> 混凝土内壁防腐涂料工程施工应自上而下</w:t>
      </w:r>
      <w:r>
        <w:rPr>
          <w:rFonts w:hint="eastAsia"/>
        </w:rPr>
        <w:t>、</w:t>
      </w:r>
      <w:r>
        <w:t>分段</w:t>
      </w:r>
      <w:r>
        <w:rPr>
          <w:rFonts w:hint="eastAsia"/>
        </w:rPr>
        <w:t>涂装</w:t>
      </w:r>
      <w:r>
        <w:t>。</w:t>
      </w:r>
    </w:p>
    <w:p>
      <w:r>
        <w:rPr>
          <w:b/>
        </w:rPr>
        <w:t>6.4.</w:t>
      </w:r>
      <w:r>
        <w:rPr>
          <w:rFonts w:hint="eastAsia"/>
          <w:b/>
        </w:rPr>
        <w:t>7</w:t>
      </w:r>
      <w:r>
        <w:rPr>
          <w:b/>
        </w:rPr>
        <w:t xml:space="preserve"> </w:t>
      </w:r>
      <w:r>
        <w:rPr>
          <w:rFonts w:hint="eastAsia"/>
        </w:rPr>
        <w:t xml:space="preserve"> </w:t>
      </w:r>
      <w:r>
        <w:t>采用刷涂或滚涂工艺时，宜按</w:t>
      </w:r>
      <w:r>
        <w:rPr>
          <w:rFonts w:hint="eastAsia"/>
        </w:rPr>
        <w:t>“</w:t>
      </w:r>
      <w:r>
        <w:t>一底二中二面</w:t>
      </w:r>
      <w:r>
        <w:rPr>
          <w:rFonts w:hint="eastAsia"/>
        </w:rPr>
        <w:t>”</w:t>
      </w:r>
      <w:r>
        <w:t>要求施工；采用喷涂工艺时宜按</w:t>
      </w:r>
      <w:r>
        <w:rPr>
          <w:rFonts w:hint="eastAsia"/>
        </w:rPr>
        <w:t>“</w:t>
      </w:r>
      <w:r>
        <w:t>一底三面</w:t>
      </w:r>
      <w:r>
        <w:rPr>
          <w:rFonts w:hint="eastAsia"/>
        </w:rPr>
        <w:t>”</w:t>
      </w:r>
      <w:r>
        <w:t>施工；后一度涂料施工应在前一度涂料实干后进行。</w:t>
      </w:r>
    </w:p>
    <w:p>
      <w:r>
        <w:rPr>
          <w:b/>
        </w:rPr>
        <w:t>6.4.</w:t>
      </w:r>
      <w:r>
        <w:rPr>
          <w:rFonts w:hint="eastAsia"/>
          <w:b/>
        </w:rPr>
        <w:t>8</w:t>
      </w:r>
      <w:r>
        <w:rPr>
          <w:rFonts w:hint="eastAsia"/>
        </w:rPr>
        <w:t xml:space="preserve"> </w:t>
      </w:r>
      <w:r>
        <w:t xml:space="preserve"> 钢筋混凝土管内金属构件应按设计要求进行防腐蚀处理；防腐施工前，应清除金属构件表面的油污、尘土、焊渣、氧化物及疏松的锈蚀物。</w:t>
      </w:r>
    </w:p>
    <w:p>
      <w:r>
        <w:rPr>
          <w:b/>
        </w:rPr>
        <w:t xml:space="preserve">6.4.9  </w:t>
      </w:r>
      <w:r>
        <w:rPr>
          <w:rFonts w:hint="eastAsia"/>
        </w:rPr>
        <w:t>钢套环应按设计要求进行防腐处理，防腐材料宜采用环氧煤沥青，防腐层厚度不宜小于</w:t>
      </w:r>
      <w:r>
        <w:t>0.2mm</w:t>
      </w:r>
      <w:r>
        <w:rPr>
          <w:rFonts w:hint="eastAsia"/>
        </w:rPr>
        <w:t>。钢套环端部应光滑平整。</w:t>
      </w:r>
    </w:p>
    <w:p/>
    <w:p>
      <w:pPr>
        <w:pStyle w:val="3"/>
      </w:pPr>
      <w:bookmarkStart w:id="97" w:name="_Toc18057048"/>
      <w:bookmarkStart w:id="98" w:name="_Toc22623"/>
      <w:r>
        <w:rPr>
          <w:rFonts w:hint="eastAsia"/>
        </w:rPr>
        <w:t>6.</w:t>
      </w:r>
      <w:r>
        <w:t>5  管节预制</w:t>
      </w:r>
      <w:bookmarkEnd w:id="97"/>
      <w:bookmarkEnd w:id="98"/>
    </w:p>
    <w:p>
      <w:pPr>
        <w:jc w:val="left"/>
        <w:rPr>
          <w:b/>
          <w:color w:val="000000" w:themeColor="text1"/>
          <w:szCs w:val="24"/>
          <w14:textFill>
            <w14:solidFill>
              <w14:schemeClr w14:val="tx1"/>
            </w14:solidFill>
          </w14:textFill>
        </w:rPr>
      </w:pPr>
      <w:r>
        <w:rPr>
          <w:rFonts w:hint="eastAsia"/>
          <w:b/>
          <w:color w:val="000000" w:themeColor="text1"/>
          <w14:textFill>
            <w14:solidFill>
              <w14:schemeClr w14:val="tx1"/>
            </w14:solidFill>
          </w14:textFill>
        </w:rPr>
        <w:t>6.5.</w:t>
      </w:r>
      <w:r>
        <w:rPr>
          <w:b/>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预制管节生产前应对钢模误差进行检测，若不符合标准则需进行校正，在管节生产过程中也应按相关规定对钢模进行定期检测及维护保养。</w:t>
      </w:r>
    </w:p>
    <w:p>
      <w:pPr>
        <w:rPr>
          <w:color w:val="000000" w:themeColor="text1"/>
          <w14:textFill>
            <w14:solidFill>
              <w14:schemeClr w14:val="tx1"/>
            </w14:solidFill>
          </w14:textFill>
        </w:rPr>
      </w:pPr>
      <w:r>
        <w:rPr>
          <w:b/>
          <w:color w:val="000000" w:themeColor="text1"/>
          <w14:textFill>
            <w14:solidFill>
              <w14:schemeClr w14:val="tx1"/>
            </w14:solidFill>
          </w14:textFill>
        </w:rPr>
        <w:t xml:space="preserve">6.5.2  </w:t>
      </w:r>
      <w:r>
        <w:rPr>
          <w:rFonts w:hint="eastAsia"/>
          <w:color w:val="000000" w:themeColor="text1"/>
          <w14:textFill>
            <w14:solidFill>
              <w14:schemeClr w14:val="tx1"/>
            </w14:solidFill>
          </w14:textFill>
        </w:rPr>
        <w:t>混凝土管节应包含下列构造：</w:t>
      </w:r>
    </w:p>
    <w:p>
      <w:pPr>
        <w:ind w:firstLine="480" w:firstLineChars="200"/>
      </w:pPr>
      <w:r>
        <w:rPr>
          <w:bCs/>
        </w:rPr>
        <w:t>1</w:t>
      </w:r>
      <w:r>
        <w:rPr>
          <w:b/>
        </w:rPr>
        <w:t xml:space="preserve">  </w:t>
      </w:r>
      <w:r>
        <w:rPr>
          <w:rFonts w:hint="eastAsia"/>
        </w:rPr>
        <w:t>矩形顶管基本结构应包括钢筋骨架、吊装孔、注浆孔、压浆孔、内外钢环、预埋件和混凝土等；</w:t>
      </w:r>
    </w:p>
    <w:p>
      <w:pPr>
        <w:ind w:firstLine="480" w:firstLineChars="200"/>
      </w:pPr>
      <w:r>
        <w:rPr>
          <w:bCs/>
        </w:rPr>
        <w:t>2</w:t>
      </w:r>
      <w:r>
        <w:rPr>
          <w:b/>
        </w:rPr>
        <w:t xml:space="preserve">  </w:t>
      </w:r>
      <w:r>
        <w:rPr>
          <w:rFonts w:hint="eastAsia"/>
        </w:rPr>
        <w:t>矩形顶管插口和钢承口的内外钢环应与钢筋骨架钢筋焊接，并紧切模具的内壁；</w:t>
      </w:r>
    </w:p>
    <w:p>
      <w:pPr>
        <w:ind w:firstLine="480" w:firstLineChars="200"/>
      </w:pPr>
      <w:r>
        <w:rPr>
          <w:bCs/>
        </w:rPr>
        <w:t xml:space="preserve">3  </w:t>
      </w:r>
      <w:r>
        <w:rPr>
          <w:rFonts w:hint="eastAsia"/>
        </w:rPr>
        <w:t>插口钢环上应根据需要设置注浆孔、试压孔，插口工作面应设置1~2道楔形或锯齿形橡胶密封圈止水（“O”型橡胶圈不利于与管节的粘结，且在矩形顶管顶进施工时易移位或滑落，从而导致其防水效果不佳）。</w:t>
      </w:r>
    </w:p>
    <w:p>
      <w:pPr>
        <w:rPr>
          <w:color w:val="000000" w:themeColor="text1"/>
          <w14:textFill>
            <w14:solidFill>
              <w14:schemeClr w14:val="tx1"/>
            </w14:solidFill>
          </w14:textFill>
        </w:rPr>
      </w:pPr>
      <w:r>
        <w:rPr>
          <w:b/>
          <w:color w:val="000000" w:themeColor="text1"/>
          <w14:textFill>
            <w14:solidFill>
              <w14:schemeClr w14:val="tx1"/>
            </w14:solidFill>
          </w14:textFill>
        </w:rPr>
        <w:t xml:space="preserve">6.5.3  </w:t>
      </w:r>
      <w:r>
        <w:rPr>
          <w:rFonts w:hint="eastAsia"/>
          <w:color w:val="000000" w:themeColor="text1"/>
          <w14:textFill>
            <w14:solidFill>
              <w14:schemeClr w14:val="tx1"/>
            </w14:solidFill>
          </w14:textFill>
        </w:rPr>
        <w:t>混凝土管节构造应满足下列要求：</w:t>
      </w:r>
    </w:p>
    <w:p>
      <w:pPr>
        <w:ind w:firstLine="424" w:firstLineChars="177"/>
        <w:rPr>
          <w:color w:val="000000" w:themeColor="text1"/>
          <w14:textFill>
            <w14:solidFill>
              <w14:schemeClr w14:val="tx1"/>
            </w14:solidFill>
          </w14:textFill>
        </w:rPr>
      </w:pPr>
      <w:r>
        <w:rPr>
          <w:bCs/>
          <w:color w:val="000000" w:themeColor="text1"/>
          <w14:textFill>
            <w14:solidFill>
              <w14:schemeClr w14:val="tx1"/>
            </w14:solidFill>
          </w14:textFill>
        </w:rPr>
        <w:t>1</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每一节矩形顶管的吊装口数量为8个，采用内径120mm，壁厚8mm无缝钢管制作；</w:t>
      </w:r>
    </w:p>
    <w:p>
      <w:pPr>
        <w:ind w:firstLine="424" w:firstLineChars="177"/>
        <w:rPr>
          <w:color w:val="000000" w:themeColor="text1"/>
          <w14:textFill>
            <w14:solidFill>
              <w14:schemeClr w14:val="tx1"/>
            </w14:solidFill>
          </w14:textFill>
        </w:rPr>
      </w:pPr>
      <w:r>
        <w:rPr>
          <w:bCs/>
          <w:color w:val="000000" w:themeColor="text1"/>
          <w14:textFill>
            <w14:solidFill>
              <w14:schemeClr w14:val="tx1"/>
            </w14:solidFill>
          </w14:textFill>
        </w:rPr>
        <w:t>2</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注浆孔和压浆孔的数量及管径根据用户的需要而定；</w:t>
      </w:r>
    </w:p>
    <w:p>
      <w:pPr>
        <w:ind w:firstLine="424" w:firstLineChars="177"/>
        <w:rPr>
          <w:color w:val="000000" w:themeColor="text1"/>
          <w14:textFill>
            <w14:solidFill>
              <w14:schemeClr w14:val="tx1"/>
            </w14:solidFill>
          </w14:textFill>
        </w:rPr>
      </w:pPr>
      <w:r>
        <w:rPr>
          <w:bCs/>
          <w:color w:val="000000" w:themeColor="text1"/>
          <w14:textFill>
            <w14:solidFill>
              <w14:schemeClr w14:val="tx1"/>
            </w14:solidFill>
          </w14:textFill>
        </w:rPr>
        <w:t xml:space="preserve">3 </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矩形顶管插口和钢承口的内外钢环的厚度和宽度见“表A.5”之规定，并钢环内外表面刷涂防锈油漆。</w:t>
      </w:r>
    </w:p>
    <w:p>
      <w:pPr>
        <w:rPr>
          <w:color w:val="000000" w:themeColor="text1"/>
          <w14:textFill>
            <w14:solidFill>
              <w14:schemeClr w14:val="tx1"/>
            </w14:solidFill>
          </w14:textFill>
        </w:rPr>
      </w:pPr>
      <w:r>
        <w:rPr>
          <w:b/>
          <w:color w:val="000000" w:themeColor="text1"/>
          <w14:textFill>
            <w14:solidFill>
              <w14:schemeClr w14:val="tx1"/>
            </w14:solidFill>
          </w14:textFill>
        </w:rPr>
        <w:t xml:space="preserve">6.5.4  </w:t>
      </w:r>
      <w:r>
        <w:rPr>
          <w:rFonts w:hint="eastAsia"/>
          <w:color w:val="000000" w:themeColor="text1"/>
          <w14:textFill>
            <w14:solidFill>
              <w14:schemeClr w14:val="tx1"/>
            </w14:solidFill>
          </w14:textFill>
        </w:rPr>
        <w:t>成品外观质量应符合下列规定：</w:t>
      </w:r>
    </w:p>
    <w:p>
      <w:pPr>
        <w:ind w:firstLine="424" w:firstLineChars="177"/>
        <w:rPr>
          <w:color w:val="000000" w:themeColor="text1"/>
          <w14:textFill>
            <w14:solidFill>
              <w14:schemeClr w14:val="tx1"/>
            </w14:solidFill>
          </w14:textFill>
        </w:rPr>
      </w:pPr>
      <w:r>
        <w:rPr>
          <w:bCs/>
          <w:color w:val="000000" w:themeColor="text1"/>
          <w14:textFill>
            <w14:solidFill>
              <w14:schemeClr w14:val="tx1"/>
            </w14:solidFill>
          </w14:textFill>
        </w:rPr>
        <w:t>1</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承插口钢环工作面、管外壁钢环外表面应光洁，不应粘有混凝土、水泥浆及其它污物；</w:t>
      </w:r>
    </w:p>
    <w:p>
      <w:pPr>
        <w:ind w:firstLine="424" w:firstLineChars="177"/>
        <w:rPr>
          <w:b/>
          <w:color w:val="000000" w:themeColor="text1"/>
          <w14:textFill>
            <w14:solidFill>
              <w14:schemeClr w14:val="tx1"/>
            </w14:solidFill>
          </w14:textFill>
        </w:rPr>
      </w:pPr>
      <w:r>
        <w:rPr>
          <w:rFonts w:hint="eastAsia"/>
          <w:bCs/>
          <w:color w:val="000000" w:themeColor="text1"/>
          <w14:textFill>
            <w14:solidFill>
              <w14:schemeClr w14:val="tx1"/>
            </w14:solidFill>
          </w14:textFill>
        </w:rPr>
        <w:t>2</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顶管结构迎土面裂缝宽度不得大于0</w:t>
      </w:r>
      <w:r>
        <w:rPr>
          <w:color w:val="000000" w:themeColor="text1"/>
          <w14:textFill>
            <w14:solidFill>
              <w14:schemeClr w14:val="tx1"/>
            </w14:solidFill>
          </w14:textFill>
        </w:rPr>
        <w:t>.2mm</w:t>
      </w:r>
      <w:r>
        <w:rPr>
          <w:rFonts w:hint="eastAsia"/>
          <w:color w:val="000000" w:themeColor="text1"/>
          <w14:textFill>
            <w14:solidFill>
              <w14:schemeClr w14:val="tx1"/>
            </w14:solidFill>
          </w14:textFill>
        </w:rPr>
        <w:t>，背土面裂缝宽度不得大于0</w:t>
      </w:r>
      <w:r>
        <w:rPr>
          <w:color w:val="000000" w:themeColor="text1"/>
          <w14:textFill>
            <w14:solidFill>
              <w14:schemeClr w14:val="tx1"/>
            </w14:solidFill>
          </w14:textFill>
        </w:rPr>
        <w:t>.3mm；</w:t>
      </w:r>
    </w:p>
    <w:p>
      <w:pPr>
        <w:ind w:firstLine="424" w:firstLineChars="177"/>
        <w:rPr>
          <w:color w:val="000000" w:themeColor="text1"/>
          <w14:textFill>
            <w14:solidFill>
              <w14:schemeClr w14:val="tx1"/>
            </w14:solidFill>
          </w14:textFill>
        </w:rPr>
      </w:pPr>
      <w:r>
        <w:rPr>
          <w:bCs/>
          <w:color w:val="000000" w:themeColor="text1"/>
          <w14:textFill>
            <w14:solidFill>
              <w14:schemeClr w14:val="tx1"/>
            </w14:solidFill>
          </w14:textFill>
        </w:rPr>
        <w:t>3</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管节承、插口端部混凝土不应出现缺料、掉角、露筋、露石及孔洞等瑕疵；</w:t>
      </w:r>
    </w:p>
    <w:p>
      <w:pPr>
        <w:ind w:firstLine="424" w:firstLineChars="177"/>
        <w:rPr>
          <w:color w:val="000000" w:themeColor="text1"/>
          <w14:textFill>
            <w14:solidFill>
              <w14:schemeClr w14:val="tx1"/>
            </w14:solidFill>
          </w14:textFill>
        </w:rPr>
      </w:pPr>
      <w:r>
        <w:rPr>
          <w:bCs/>
          <w:color w:val="000000" w:themeColor="text1"/>
          <w14:textFill>
            <w14:solidFill>
              <w14:schemeClr w14:val="tx1"/>
            </w14:solidFill>
          </w14:textFill>
        </w:rPr>
        <w:t xml:space="preserve">4 </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管道内壁混凝土表面应平整光洁，不应出现直径或深度大于</w:t>
      </w:r>
      <w:r>
        <w:rPr>
          <w:color w:val="000000" w:themeColor="text1"/>
          <w14:textFill>
            <w14:solidFill>
              <w14:schemeClr w14:val="tx1"/>
            </w14:solidFill>
          </w14:textFill>
        </w:rPr>
        <w:t xml:space="preserve">10mm </w:t>
      </w:r>
      <w:r>
        <w:rPr>
          <w:rFonts w:hint="eastAsia"/>
          <w:color w:val="000000" w:themeColor="text1"/>
          <w14:textFill>
            <w14:solidFill>
              <w14:schemeClr w14:val="tx1"/>
            </w14:solidFill>
          </w14:textFill>
        </w:rPr>
        <w:t>孔洞、凹坑以及蜂窝麻面等不密实现象；</w:t>
      </w:r>
    </w:p>
    <w:p>
      <w:pPr>
        <w:ind w:firstLine="424" w:firstLineChars="177"/>
        <w:rPr>
          <w:color w:val="000000" w:themeColor="text1"/>
          <w14:textFill>
            <w14:solidFill>
              <w14:schemeClr w14:val="tx1"/>
            </w14:solidFill>
          </w14:textFill>
        </w:rPr>
      </w:pPr>
      <w:r>
        <w:rPr>
          <w:bCs/>
          <w:color w:val="000000" w:themeColor="text1"/>
          <w14:textFill>
            <w14:solidFill>
              <w14:schemeClr w14:val="tx1"/>
            </w14:solidFill>
          </w14:textFill>
        </w:rPr>
        <w:t xml:space="preserve">5 </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管道外壁混凝土表面应平整，无粘皮、麻面、蜂窝、塌落、露筋、空鼓，局部凹坑深度不应大于</w:t>
      </w:r>
      <w:r>
        <w:rPr>
          <w:color w:val="000000" w:themeColor="text1"/>
          <w14:textFill>
            <w14:solidFill>
              <w14:schemeClr w14:val="tx1"/>
            </w14:solidFill>
          </w14:textFill>
        </w:rPr>
        <w:t>5mm</w:t>
      </w:r>
      <w:r>
        <w:rPr>
          <w:rFonts w:hint="eastAsia"/>
          <w:color w:val="000000" w:themeColor="text1"/>
          <w14:textFill>
            <w14:solidFill>
              <w14:schemeClr w14:val="tx1"/>
            </w14:solidFill>
          </w14:textFill>
        </w:rPr>
        <w:t>；</w:t>
      </w:r>
    </w:p>
    <w:p>
      <w:pPr>
        <w:ind w:firstLine="424" w:firstLineChars="177"/>
        <w:rPr>
          <w:color w:val="000000" w:themeColor="text1"/>
          <w14:textFill>
            <w14:solidFill>
              <w14:schemeClr w14:val="tx1"/>
            </w14:solidFill>
          </w14:textFill>
        </w:rPr>
      </w:pPr>
      <w:r>
        <w:rPr>
          <w:bCs/>
          <w:color w:val="000000" w:themeColor="text1"/>
          <w14:textFill>
            <w14:solidFill>
              <w14:schemeClr w14:val="tx1"/>
            </w14:solidFill>
          </w14:textFill>
        </w:rPr>
        <w:t>6</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管节合缝处无漏浆现象。</w:t>
      </w:r>
    </w:p>
    <w:p>
      <w:pPr>
        <w:ind w:firstLine="424" w:firstLineChars="177"/>
        <w:rPr>
          <w:color w:val="000000" w:themeColor="text1"/>
          <w14:textFill>
            <w14:solidFill>
              <w14:schemeClr w14:val="tx1"/>
            </w14:solidFill>
          </w14:textFill>
        </w:rPr>
      </w:pPr>
    </w:p>
    <w:p>
      <w:pPr>
        <w:pStyle w:val="3"/>
      </w:pPr>
      <w:bookmarkStart w:id="99" w:name="_Toc18057049"/>
      <w:bookmarkStart w:id="100" w:name="_Toc12387"/>
      <w:r>
        <w:rPr>
          <w:rFonts w:hint="eastAsia"/>
        </w:rPr>
        <w:t>6.</w:t>
      </w:r>
      <w:r>
        <w:t>6  管节</w:t>
      </w:r>
      <w:r>
        <w:rPr>
          <w:rFonts w:hint="eastAsia"/>
        </w:rPr>
        <w:t>标识、堆放、吊装和运输</w:t>
      </w:r>
      <w:bookmarkEnd w:id="99"/>
      <w:bookmarkEnd w:id="100"/>
    </w:p>
    <w:p>
      <w:r>
        <w:rPr>
          <w:b/>
        </w:rPr>
        <w:t>6.6</w:t>
      </w:r>
      <w:r>
        <w:rPr>
          <w:rFonts w:hint="eastAsia"/>
          <w:b/>
        </w:rPr>
        <w:t>.1</w:t>
      </w:r>
      <w:r>
        <w:t xml:space="preserve">  </w:t>
      </w:r>
      <w:r>
        <w:rPr>
          <w:rFonts w:hint="eastAsia"/>
        </w:rPr>
        <w:t>管节出厂前应在管节易见位置对合格的管节进行标志，标志内容应包括企业名称、产品商标、产品标记以及生产日期等，要求喷刷字迹工整、清晰，不得随意涂改，比例协调。</w:t>
      </w:r>
    </w:p>
    <w:p>
      <w:r>
        <w:rPr>
          <w:rFonts w:hint="eastAsia"/>
          <w:b/>
        </w:rPr>
        <w:t>6.6.2</w:t>
      </w:r>
      <w:r>
        <w:rPr>
          <w:b/>
        </w:rPr>
        <w:t xml:space="preserve">  </w:t>
      </w:r>
      <w:r>
        <w:rPr>
          <w:rFonts w:hint="eastAsia"/>
        </w:rPr>
        <w:t>管节的堆放应符合下列规定：</w:t>
      </w:r>
    </w:p>
    <w:p>
      <w:pPr>
        <w:ind w:firstLine="480" w:firstLineChars="200"/>
      </w:pPr>
      <w:r>
        <w:rPr>
          <w:rFonts w:hint="eastAsia"/>
        </w:rPr>
        <w:t>1</w:t>
      </w:r>
      <w:r>
        <w:t xml:space="preserve">  </w:t>
      </w:r>
      <w:r>
        <w:rPr>
          <w:rFonts w:hint="eastAsia"/>
        </w:rPr>
        <w:t>不同规格的管节不能混合堆放，特别是码垛的应是同一规格的管节，并做好标识；</w:t>
      </w:r>
    </w:p>
    <w:p>
      <w:pPr>
        <w:ind w:firstLine="480" w:firstLineChars="200"/>
      </w:pPr>
      <w:r>
        <w:rPr>
          <w:rFonts w:hint="eastAsia"/>
        </w:rPr>
        <w:t>2</w:t>
      </w:r>
      <w:r>
        <w:t xml:space="preserve">  </w:t>
      </w:r>
      <w:r>
        <w:rPr>
          <w:rFonts w:hint="eastAsia"/>
        </w:rPr>
        <w:t>矩形顶管管节堆放的层数不应超过</w:t>
      </w:r>
      <w:r>
        <w:t>2</w:t>
      </w:r>
      <w:r>
        <w:rPr>
          <w:rFonts w:hint="eastAsia"/>
        </w:rPr>
        <w:t>层，堆放的地面为实土地面或铺设砂石地面，要求地面平整，各管节堆放周边间距不得少于1.00m，堆场要预留安全通道，其宽度应不少于1.50m；</w:t>
      </w:r>
    </w:p>
    <w:p>
      <w:pPr>
        <w:ind w:firstLine="480" w:firstLineChars="200"/>
      </w:pPr>
      <w:r>
        <w:rPr>
          <w:rFonts w:hint="eastAsia"/>
        </w:rPr>
        <w:t>3</w:t>
      </w:r>
      <w:r>
        <w:t xml:space="preserve">  </w:t>
      </w:r>
      <w:r>
        <w:rPr>
          <w:rFonts w:hint="eastAsia"/>
        </w:rPr>
        <w:t>为了防止胶圈受到潮湿和高温天气的影响而产生龟裂或裂缝等破坏，因此管节接头上的胶圈待管节发往工地时才套装；</w:t>
      </w:r>
    </w:p>
    <w:p>
      <w:pPr>
        <w:ind w:firstLine="480" w:firstLineChars="200"/>
      </w:pPr>
      <w:r>
        <w:rPr>
          <w:rFonts w:hint="eastAsia"/>
        </w:rPr>
        <w:t>4</w:t>
      </w:r>
      <w:r>
        <w:t xml:space="preserve">  </w:t>
      </w:r>
      <w:r>
        <w:rPr>
          <w:rFonts w:hint="eastAsia"/>
        </w:rPr>
        <w:t>在干燥气候条件下，应加强管节的后期洒水养护。</w:t>
      </w:r>
    </w:p>
    <w:p>
      <w:r>
        <w:rPr>
          <w:b/>
        </w:rPr>
        <w:t>6.6</w:t>
      </w:r>
      <w:r>
        <w:rPr>
          <w:rFonts w:hint="eastAsia"/>
          <w:b/>
        </w:rPr>
        <w:t>.3</w:t>
      </w:r>
      <w:r>
        <w:t xml:space="preserve">  </w:t>
      </w:r>
      <w:r>
        <w:rPr>
          <w:rFonts w:hint="eastAsia"/>
        </w:rPr>
        <w:t>管节吊装应符合下列规定：</w:t>
      </w:r>
    </w:p>
    <w:p>
      <w:pPr>
        <w:ind w:firstLine="480" w:firstLineChars="200"/>
      </w:pPr>
      <w:r>
        <w:rPr>
          <w:rFonts w:hint="eastAsia"/>
        </w:rPr>
        <w:t>1</w:t>
      </w:r>
      <w:r>
        <w:t xml:space="preserve">  </w:t>
      </w:r>
      <w:r>
        <w:rPr>
          <w:rFonts w:hint="eastAsia"/>
        </w:rPr>
        <w:t>采用专用吊具进行吊装，在吊装前应首先检查吊具的销子是否固定、钢丝绳是否损坏，在吊装时查看插销是否能完全插入到吊装孔里面，严禁采用钢丝绳穿心方式吊装；</w:t>
      </w:r>
    </w:p>
    <w:p>
      <w:pPr>
        <w:ind w:firstLine="480" w:firstLineChars="200"/>
      </w:pPr>
      <w:r>
        <w:rPr>
          <w:rFonts w:hint="eastAsia"/>
        </w:rPr>
        <w:t>2</w:t>
      </w:r>
      <w:r>
        <w:t xml:space="preserve">  </w:t>
      </w:r>
      <w:r>
        <w:rPr>
          <w:rFonts w:hint="eastAsia"/>
        </w:rPr>
        <w:t>吊装时，吊钩吊起管节缓慢上升到一定的高度，并高于前方的物体高度，再缓慢开动吊机将管节吊至规定的位置，在吊运过程中应采取措施防止管节碰伤。</w:t>
      </w:r>
    </w:p>
    <w:p>
      <w:r>
        <w:rPr>
          <w:b/>
        </w:rPr>
        <w:t>6.6</w:t>
      </w:r>
      <w:r>
        <w:rPr>
          <w:rFonts w:hint="eastAsia"/>
          <w:b/>
        </w:rPr>
        <w:t>.4</w:t>
      </w:r>
      <w:r>
        <w:rPr>
          <w:b/>
        </w:rPr>
        <w:t xml:space="preserve">  </w:t>
      </w:r>
      <w:r>
        <w:rPr>
          <w:rFonts w:hint="eastAsia"/>
        </w:rPr>
        <w:t>管节运输应符合下列规定：</w:t>
      </w:r>
    </w:p>
    <w:p>
      <w:pPr>
        <w:ind w:firstLine="480" w:firstLineChars="200"/>
      </w:pPr>
      <w:r>
        <w:rPr>
          <w:rFonts w:hint="eastAsia"/>
        </w:rPr>
        <w:t>1</w:t>
      </w:r>
      <w:r>
        <w:t xml:space="preserve">  </w:t>
      </w:r>
      <w:r>
        <w:rPr>
          <w:rFonts w:hint="eastAsia"/>
        </w:rPr>
        <w:t>管节运输车上堆放层数不应超过2层，管节之间保持一定的距离，宜控制在0</w:t>
      </w:r>
      <w:r>
        <w:t>.6</w:t>
      </w:r>
      <w:r>
        <w:rPr>
          <w:rFonts w:hint="eastAsia"/>
        </w:rPr>
        <w:t>m~</w:t>
      </w:r>
      <w:r>
        <w:t>1.0</w:t>
      </w:r>
      <w:r>
        <w:rPr>
          <w:rFonts w:hint="eastAsia"/>
        </w:rPr>
        <w:t>m，为了防止管节在运输途中滑动，对管节进行适当的绑扎和固定；</w:t>
      </w:r>
    </w:p>
    <w:p>
      <w:pPr>
        <w:ind w:firstLine="480" w:firstLineChars="200"/>
      </w:pPr>
      <w:r>
        <w:rPr>
          <w:rFonts w:hint="eastAsia"/>
        </w:rPr>
        <w:t>2</w:t>
      </w:r>
      <w:r>
        <w:t xml:space="preserve">  </w:t>
      </w:r>
      <w:r>
        <w:rPr>
          <w:rFonts w:hint="eastAsia"/>
        </w:rPr>
        <w:t>车辆运行途中保持匀速行驶，防止急刹车或超速行驶，避免管节由于惯性而滑动、滚落造成安全事故。</w:t>
      </w:r>
    </w:p>
    <w:p>
      <w:pPr>
        <w:rPr>
          <w:color w:val="000000" w:themeColor="text1"/>
          <w14:textFill>
            <w14:solidFill>
              <w14:schemeClr w14:val="tx1"/>
            </w14:solidFill>
          </w14:textFill>
        </w:rPr>
      </w:pPr>
    </w:p>
    <w:p>
      <w:pPr>
        <w:pStyle w:val="3"/>
      </w:pPr>
      <w:bookmarkStart w:id="101" w:name="_Toc11441"/>
      <w:r>
        <w:rPr>
          <w:rFonts w:hint="eastAsia"/>
        </w:rPr>
        <w:fldChar w:fldCharType="begin"/>
      </w:r>
      <w:r>
        <w:instrText xml:space="preserve"> HYPERLINK \l "_Toc12891" </w:instrText>
      </w:r>
      <w:r>
        <w:rPr>
          <w:rFonts w:hint="eastAsia"/>
        </w:rPr>
        <w:fldChar w:fldCharType="separate"/>
      </w:r>
      <w:bookmarkStart w:id="102" w:name="_Toc18057050"/>
      <w:r>
        <w:rPr>
          <w:rFonts w:hint="eastAsia"/>
        </w:rPr>
        <w:t xml:space="preserve">6.7 </w:t>
      </w:r>
      <w:r>
        <w:t xml:space="preserve"> </w:t>
      </w:r>
      <w:r>
        <w:rPr>
          <w:rFonts w:hint="eastAsia"/>
        </w:rPr>
        <w:t>管节质量控制</w:t>
      </w:r>
      <w:bookmarkEnd w:id="102"/>
      <w:r>
        <w:rPr>
          <w:rFonts w:hint="eastAsia"/>
        </w:rPr>
        <w:fldChar w:fldCharType="end"/>
      </w:r>
      <w:bookmarkEnd w:id="101"/>
    </w:p>
    <w:p>
      <w:r>
        <w:rPr>
          <w:rFonts w:hint="eastAsia"/>
          <w:b/>
          <w:bCs/>
        </w:rPr>
        <w:t>6</w:t>
      </w:r>
      <w:r>
        <w:rPr>
          <w:b/>
          <w:bCs/>
        </w:rPr>
        <w:t xml:space="preserve">.7.1  </w:t>
      </w:r>
      <w:r>
        <w:rPr>
          <w:rFonts w:hint="eastAsia"/>
        </w:rPr>
        <w:t>用于管节制作的原材料、预埋件和配件等的质量应符合现行国家与行业有关标准的规定。</w:t>
      </w:r>
    </w:p>
    <w:p>
      <w:r>
        <w:rPr>
          <w:rFonts w:hint="eastAsia"/>
          <w:b/>
          <w:bCs/>
        </w:rPr>
        <w:t>6</w:t>
      </w:r>
      <w:r>
        <w:rPr>
          <w:b/>
          <w:bCs/>
        </w:rPr>
        <w:t>.7.2</w:t>
      </w:r>
      <w:r>
        <w:t xml:space="preserve">  </w:t>
      </w:r>
      <w:r>
        <w:rPr>
          <w:rFonts w:hint="eastAsia"/>
        </w:rPr>
        <w:t>根据影响结构性能、安装和使用功能的严重程度，外观质量缺陷可按表</w:t>
      </w:r>
      <w:r>
        <w:t>6.7.2划分为严重缺陷和一般缺陷。</w:t>
      </w:r>
    </w:p>
    <w:p>
      <w:pPr>
        <w:jc w:val="center"/>
        <w:rPr>
          <w:b/>
          <w:bCs/>
          <w:sz w:val="21"/>
          <w:szCs w:val="18"/>
        </w:rPr>
      </w:pPr>
      <w:r>
        <w:rPr>
          <w:rFonts w:hint="eastAsia"/>
          <w:b/>
          <w:bCs/>
          <w:sz w:val="21"/>
          <w:szCs w:val="18"/>
        </w:rPr>
        <w:t>表</w:t>
      </w:r>
      <w:r>
        <w:rPr>
          <w:b/>
          <w:bCs/>
          <w:sz w:val="21"/>
          <w:szCs w:val="18"/>
        </w:rPr>
        <w:t xml:space="preserve">6.7.2  </w:t>
      </w:r>
      <w:r>
        <w:rPr>
          <w:rFonts w:hint="eastAsia"/>
          <w:b/>
          <w:bCs/>
          <w:sz w:val="21"/>
          <w:szCs w:val="18"/>
        </w:rPr>
        <w:t>预制构件外观质量缺陷</w:t>
      </w:r>
    </w:p>
    <w:tbl>
      <w:tblPr>
        <w:tblStyle w:val="36"/>
        <w:tblW w:w="80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6"/>
        <w:gridCol w:w="2404"/>
        <w:gridCol w:w="2404"/>
        <w:gridCol w:w="22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6" w:type="dxa"/>
          </w:tcPr>
          <w:p>
            <w:pPr>
              <w:autoSpaceDE w:val="0"/>
              <w:autoSpaceDN w:val="0"/>
              <w:adjustRightInd w:val="0"/>
              <w:spacing w:line="240" w:lineRule="auto"/>
              <w:jc w:val="center"/>
              <w:rPr>
                <w:color w:val="000000"/>
                <w:kern w:val="0"/>
                <w:sz w:val="21"/>
              </w:rPr>
            </w:pPr>
            <w:r>
              <w:rPr>
                <w:color w:val="000000"/>
                <w:kern w:val="0"/>
                <w:sz w:val="21"/>
              </w:rPr>
              <w:t>名称</w:t>
            </w:r>
          </w:p>
        </w:tc>
        <w:tc>
          <w:tcPr>
            <w:tcW w:w="2404" w:type="dxa"/>
          </w:tcPr>
          <w:p>
            <w:pPr>
              <w:autoSpaceDE w:val="0"/>
              <w:autoSpaceDN w:val="0"/>
              <w:adjustRightInd w:val="0"/>
              <w:spacing w:line="240" w:lineRule="auto"/>
              <w:jc w:val="center"/>
              <w:rPr>
                <w:color w:val="000000"/>
                <w:kern w:val="0"/>
                <w:sz w:val="21"/>
              </w:rPr>
            </w:pPr>
            <w:r>
              <w:rPr>
                <w:color w:val="000000"/>
                <w:kern w:val="0"/>
                <w:sz w:val="21"/>
              </w:rPr>
              <w:t>现象</w:t>
            </w:r>
          </w:p>
        </w:tc>
        <w:tc>
          <w:tcPr>
            <w:tcW w:w="2404" w:type="dxa"/>
          </w:tcPr>
          <w:p>
            <w:pPr>
              <w:autoSpaceDE w:val="0"/>
              <w:autoSpaceDN w:val="0"/>
              <w:adjustRightInd w:val="0"/>
              <w:spacing w:line="240" w:lineRule="auto"/>
              <w:jc w:val="center"/>
              <w:rPr>
                <w:color w:val="000000"/>
                <w:kern w:val="0"/>
                <w:sz w:val="21"/>
              </w:rPr>
            </w:pPr>
            <w:r>
              <w:rPr>
                <w:color w:val="000000"/>
                <w:kern w:val="0"/>
                <w:sz w:val="21"/>
              </w:rPr>
              <w:t>严重缺陷</w:t>
            </w:r>
          </w:p>
        </w:tc>
        <w:tc>
          <w:tcPr>
            <w:tcW w:w="2262" w:type="dxa"/>
          </w:tcPr>
          <w:p>
            <w:pPr>
              <w:autoSpaceDE w:val="0"/>
              <w:autoSpaceDN w:val="0"/>
              <w:adjustRightInd w:val="0"/>
              <w:spacing w:line="240" w:lineRule="auto"/>
              <w:jc w:val="center"/>
              <w:rPr>
                <w:color w:val="000000"/>
                <w:kern w:val="0"/>
                <w:sz w:val="21"/>
              </w:rPr>
            </w:pPr>
            <w:r>
              <w:rPr>
                <w:color w:val="000000"/>
                <w:kern w:val="0"/>
                <w:sz w:val="21"/>
              </w:rPr>
              <w:t>一般缺陷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6" w:type="dxa"/>
          </w:tcPr>
          <w:p>
            <w:pPr>
              <w:autoSpaceDE w:val="0"/>
              <w:autoSpaceDN w:val="0"/>
              <w:adjustRightInd w:val="0"/>
              <w:spacing w:line="240" w:lineRule="auto"/>
              <w:jc w:val="center"/>
              <w:rPr>
                <w:color w:val="000000"/>
                <w:kern w:val="0"/>
                <w:sz w:val="21"/>
              </w:rPr>
            </w:pPr>
            <w:r>
              <w:rPr>
                <w:color w:val="000000"/>
                <w:kern w:val="0"/>
                <w:sz w:val="21"/>
              </w:rPr>
              <w:t>露筋</w:t>
            </w:r>
          </w:p>
        </w:tc>
        <w:tc>
          <w:tcPr>
            <w:tcW w:w="2404" w:type="dxa"/>
          </w:tcPr>
          <w:p>
            <w:pPr>
              <w:autoSpaceDE w:val="0"/>
              <w:autoSpaceDN w:val="0"/>
              <w:adjustRightInd w:val="0"/>
              <w:spacing w:line="240" w:lineRule="auto"/>
              <w:jc w:val="center"/>
              <w:rPr>
                <w:color w:val="000000"/>
                <w:kern w:val="0"/>
                <w:sz w:val="21"/>
              </w:rPr>
            </w:pPr>
            <w:r>
              <w:rPr>
                <w:color w:val="000000"/>
                <w:kern w:val="0"/>
                <w:sz w:val="21"/>
              </w:rPr>
              <w:t>构件内钢筋未被混凝土包裹而外露</w:t>
            </w:r>
          </w:p>
        </w:tc>
        <w:tc>
          <w:tcPr>
            <w:tcW w:w="2404" w:type="dxa"/>
          </w:tcPr>
          <w:p>
            <w:pPr>
              <w:autoSpaceDE w:val="0"/>
              <w:autoSpaceDN w:val="0"/>
              <w:adjustRightInd w:val="0"/>
              <w:spacing w:line="240" w:lineRule="auto"/>
              <w:jc w:val="center"/>
              <w:rPr>
                <w:color w:val="000000"/>
                <w:kern w:val="0"/>
                <w:sz w:val="21"/>
              </w:rPr>
            </w:pPr>
            <w:r>
              <w:rPr>
                <w:color w:val="000000"/>
                <w:kern w:val="0"/>
                <w:sz w:val="21"/>
              </w:rPr>
              <w:t>纵向受力钢筋有露筋</w:t>
            </w:r>
          </w:p>
        </w:tc>
        <w:tc>
          <w:tcPr>
            <w:tcW w:w="2262" w:type="dxa"/>
          </w:tcPr>
          <w:p>
            <w:pPr>
              <w:autoSpaceDE w:val="0"/>
              <w:autoSpaceDN w:val="0"/>
              <w:adjustRightInd w:val="0"/>
              <w:spacing w:line="240" w:lineRule="auto"/>
              <w:jc w:val="center"/>
              <w:rPr>
                <w:color w:val="000000"/>
                <w:kern w:val="0"/>
                <w:sz w:val="21"/>
              </w:rPr>
            </w:pPr>
            <w:r>
              <w:rPr>
                <w:color w:val="000000"/>
                <w:kern w:val="0"/>
                <w:sz w:val="21"/>
              </w:rPr>
              <w:t>其他钢筋有少量露筋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6" w:type="dxa"/>
          </w:tcPr>
          <w:p>
            <w:pPr>
              <w:autoSpaceDE w:val="0"/>
              <w:autoSpaceDN w:val="0"/>
              <w:adjustRightInd w:val="0"/>
              <w:spacing w:line="240" w:lineRule="auto"/>
              <w:jc w:val="center"/>
              <w:rPr>
                <w:color w:val="000000"/>
                <w:kern w:val="0"/>
                <w:sz w:val="21"/>
              </w:rPr>
            </w:pPr>
            <w:r>
              <w:rPr>
                <w:color w:val="000000"/>
                <w:kern w:val="0"/>
                <w:sz w:val="21"/>
              </w:rPr>
              <w:t>蜂窝</w:t>
            </w:r>
          </w:p>
        </w:tc>
        <w:tc>
          <w:tcPr>
            <w:tcW w:w="2404" w:type="dxa"/>
          </w:tcPr>
          <w:p>
            <w:pPr>
              <w:autoSpaceDE w:val="0"/>
              <w:autoSpaceDN w:val="0"/>
              <w:adjustRightInd w:val="0"/>
              <w:spacing w:line="240" w:lineRule="auto"/>
              <w:jc w:val="center"/>
              <w:rPr>
                <w:color w:val="000000"/>
                <w:kern w:val="0"/>
                <w:sz w:val="21"/>
              </w:rPr>
            </w:pPr>
            <w:r>
              <w:rPr>
                <w:color w:val="000000"/>
                <w:kern w:val="0"/>
                <w:sz w:val="21"/>
              </w:rPr>
              <w:t>混凝土表面缺少水泥浆而形成石子外露</w:t>
            </w:r>
          </w:p>
        </w:tc>
        <w:tc>
          <w:tcPr>
            <w:tcW w:w="2404" w:type="dxa"/>
          </w:tcPr>
          <w:p>
            <w:pPr>
              <w:autoSpaceDE w:val="0"/>
              <w:autoSpaceDN w:val="0"/>
              <w:adjustRightInd w:val="0"/>
              <w:spacing w:line="240" w:lineRule="auto"/>
              <w:jc w:val="center"/>
              <w:rPr>
                <w:color w:val="000000"/>
                <w:kern w:val="0"/>
                <w:sz w:val="21"/>
              </w:rPr>
            </w:pPr>
            <w:r>
              <w:rPr>
                <w:color w:val="000000"/>
                <w:kern w:val="0"/>
                <w:sz w:val="21"/>
              </w:rPr>
              <w:t>构件主要受力部位有蜂窝</w:t>
            </w:r>
          </w:p>
        </w:tc>
        <w:tc>
          <w:tcPr>
            <w:tcW w:w="2262" w:type="dxa"/>
          </w:tcPr>
          <w:p>
            <w:pPr>
              <w:autoSpaceDE w:val="0"/>
              <w:autoSpaceDN w:val="0"/>
              <w:adjustRightInd w:val="0"/>
              <w:spacing w:line="240" w:lineRule="auto"/>
              <w:jc w:val="center"/>
              <w:rPr>
                <w:color w:val="000000"/>
                <w:kern w:val="0"/>
                <w:sz w:val="21"/>
              </w:rPr>
            </w:pPr>
            <w:r>
              <w:rPr>
                <w:color w:val="000000"/>
                <w:kern w:val="0"/>
                <w:sz w:val="21"/>
              </w:rPr>
              <w:t>其他部位有少量蜂窝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6" w:type="dxa"/>
          </w:tcPr>
          <w:p>
            <w:pPr>
              <w:autoSpaceDE w:val="0"/>
              <w:autoSpaceDN w:val="0"/>
              <w:adjustRightInd w:val="0"/>
              <w:spacing w:line="240" w:lineRule="auto"/>
              <w:jc w:val="center"/>
              <w:rPr>
                <w:color w:val="000000"/>
                <w:kern w:val="0"/>
                <w:sz w:val="21"/>
              </w:rPr>
            </w:pPr>
            <w:r>
              <w:rPr>
                <w:color w:val="000000"/>
                <w:kern w:val="0"/>
                <w:sz w:val="21"/>
              </w:rPr>
              <w:t>孔洞</w:t>
            </w:r>
          </w:p>
        </w:tc>
        <w:tc>
          <w:tcPr>
            <w:tcW w:w="2404" w:type="dxa"/>
          </w:tcPr>
          <w:p>
            <w:pPr>
              <w:autoSpaceDE w:val="0"/>
              <w:autoSpaceDN w:val="0"/>
              <w:adjustRightInd w:val="0"/>
              <w:spacing w:line="240" w:lineRule="auto"/>
              <w:jc w:val="center"/>
              <w:rPr>
                <w:color w:val="000000"/>
                <w:kern w:val="0"/>
                <w:sz w:val="21"/>
              </w:rPr>
            </w:pPr>
            <w:r>
              <w:rPr>
                <w:color w:val="000000"/>
                <w:kern w:val="0"/>
                <w:sz w:val="21"/>
              </w:rPr>
              <w:t>混凝土中空穴深度和长度均超过保护层厚度</w:t>
            </w:r>
          </w:p>
        </w:tc>
        <w:tc>
          <w:tcPr>
            <w:tcW w:w="2404" w:type="dxa"/>
          </w:tcPr>
          <w:p>
            <w:pPr>
              <w:autoSpaceDE w:val="0"/>
              <w:autoSpaceDN w:val="0"/>
              <w:adjustRightInd w:val="0"/>
              <w:spacing w:line="240" w:lineRule="auto"/>
              <w:jc w:val="center"/>
              <w:rPr>
                <w:color w:val="000000"/>
                <w:kern w:val="0"/>
                <w:sz w:val="21"/>
              </w:rPr>
            </w:pPr>
            <w:r>
              <w:rPr>
                <w:color w:val="000000"/>
                <w:kern w:val="0"/>
                <w:sz w:val="21"/>
              </w:rPr>
              <w:t>构件主要受力部位有孔洞</w:t>
            </w:r>
          </w:p>
        </w:tc>
        <w:tc>
          <w:tcPr>
            <w:tcW w:w="2262" w:type="dxa"/>
          </w:tcPr>
          <w:p>
            <w:pPr>
              <w:autoSpaceDE w:val="0"/>
              <w:autoSpaceDN w:val="0"/>
              <w:adjustRightInd w:val="0"/>
              <w:spacing w:line="240" w:lineRule="auto"/>
              <w:jc w:val="center"/>
              <w:rPr>
                <w:color w:val="000000"/>
                <w:kern w:val="0"/>
                <w:sz w:val="21"/>
              </w:rPr>
            </w:pPr>
            <w:r>
              <w:rPr>
                <w:color w:val="000000"/>
                <w:kern w:val="0"/>
                <w:sz w:val="21"/>
              </w:rPr>
              <w:t>其他部位有少量孔洞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6" w:type="dxa"/>
          </w:tcPr>
          <w:p>
            <w:pPr>
              <w:autoSpaceDE w:val="0"/>
              <w:autoSpaceDN w:val="0"/>
              <w:adjustRightInd w:val="0"/>
              <w:spacing w:line="240" w:lineRule="auto"/>
              <w:jc w:val="center"/>
              <w:rPr>
                <w:color w:val="000000"/>
                <w:kern w:val="0"/>
                <w:sz w:val="21"/>
              </w:rPr>
            </w:pPr>
            <w:r>
              <w:rPr>
                <w:color w:val="000000"/>
                <w:kern w:val="0"/>
                <w:sz w:val="21"/>
              </w:rPr>
              <w:t>夹渣</w:t>
            </w:r>
          </w:p>
        </w:tc>
        <w:tc>
          <w:tcPr>
            <w:tcW w:w="2404" w:type="dxa"/>
          </w:tcPr>
          <w:p>
            <w:pPr>
              <w:autoSpaceDE w:val="0"/>
              <w:autoSpaceDN w:val="0"/>
              <w:adjustRightInd w:val="0"/>
              <w:spacing w:line="240" w:lineRule="auto"/>
              <w:jc w:val="center"/>
              <w:rPr>
                <w:color w:val="000000"/>
                <w:kern w:val="0"/>
                <w:sz w:val="21"/>
              </w:rPr>
            </w:pPr>
            <w:r>
              <w:rPr>
                <w:color w:val="000000"/>
                <w:kern w:val="0"/>
                <w:sz w:val="21"/>
              </w:rPr>
              <w:t>混凝土中夹有杂物且深度超过保护层厚度</w:t>
            </w:r>
          </w:p>
        </w:tc>
        <w:tc>
          <w:tcPr>
            <w:tcW w:w="2404" w:type="dxa"/>
          </w:tcPr>
          <w:p>
            <w:pPr>
              <w:autoSpaceDE w:val="0"/>
              <w:autoSpaceDN w:val="0"/>
              <w:adjustRightInd w:val="0"/>
              <w:spacing w:line="240" w:lineRule="auto"/>
              <w:jc w:val="center"/>
              <w:rPr>
                <w:color w:val="000000"/>
                <w:kern w:val="0"/>
                <w:sz w:val="21"/>
              </w:rPr>
            </w:pPr>
            <w:r>
              <w:rPr>
                <w:color w:val="000000"/>
                <w:kern w:val="0"/>
                <w:sz w:val="21"/>
              </w:rPr>
              <w:t>构件主要受力部位有夹渣</w:t>
            </w:r>
          </w:p>
        </w:tc>
        <w:tc>
          <w:tcPr>
            <w:tcW w:w="2262" w:type="dxa"/>
          </w:tcPr>
          <w:p>
            <w:pPr>
              <w:autoSpaceDE w:val="0"/>
              <w:autoSpaceDN w:val="0"/>
              <w:adjustRightInd w:val="0"/>
              <w:spacing w:line="240" w:lineRule="auto"/>
              <w:jc w:val="center"/>
              <w:rPr>
                <w:color w:val="000000"/>
                <w:kern w:val="0"/>
                <w:sz w:val="21"/>
              </w:rPr>
            </w:pPr>
            <w:r>
              <w:rPr>
                <w:color w:val="000000"/>
                <w:kern w:val="0"/>
                <w:sz w:val="21"/>
              </w:rPr>
              <w:t>其他部位有少量夹渣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6" w:type="dxa"/>
          </w:tcPr>
          <w:p>
            <w:pPr>
              <w:autoSpaceDE w:val="0"/>
              <w:autoSpaceDN w:val="0"/>
              <w:adjustRightInd w:val="0"/>
              <w:spacing w:line="240" w:lineRule="auto"/>
              <w:jc w:val="center"/>
              <w:rPr>
                <w:color w:val="000000"/>
                <w:kern w:val="0"/>
                <w:sz w:val="21"/>
              </w:rPr>
            </w:pPr>
            <w:r>
              <w:rPr>
                <w:color w:val="000000"/>
                <w:kern w:val="0"/>
                <w:sz w:val="21"/>
              </w:rPr>
              <w:t>疏松</w:t>
            </w:r>
          </w:p>
        </w:tc>
        <w:tc>
          <w:tcPr>
            <w:tcW w:w="2404" w:type="dxa"/>
          </w:tcPr>
          <w:p>
            <w:pPr>
              <w:autoSpaceDE w:val="0"/>
              <w:autoSpaceDN w:val="0"/>
              <w:adjustRightInd w:val="0"/>
              <w:spacing w:line="240" w:lineRule="auto"/>
              <w:jc w:val="center"/>
              <w:rPr>
                <w:color w:val="000000"/>
                <w:kern w:val="0"/>
                <w:sz w:val="21"/>
              </w:rPr>
            </w:pPr>
            <w:r>
              <w:rPr>
                <w:color w:val="000000"/>
                <w:kern w:val="0"/>
                <w:sz w:val="21"/>
              </w:rPr>
              <w:t>混凝土中局部不密实</w:t>
            </w:r>
          </w:p>
        </w:tc>
        <w:tc>
          <w:tcPr>
            <w:tcW w:w="2404" w:type="dxa"/>
          </w:tcPr>
          <w:p>
            <w:pPr>
              <w:autoSpaceDE w:val="0"/>
              <w:autoSpaceDN w:val="0"/>
              <w:adjustRightInd w:val="0"/>
              <w:spacing w:line="240" w:lineRule="auto"/>
              <w:jc w:val="center"/>
              <w:rPr>
                <w:color w:val="000000"/>
                <w:kern w:val="0"/>
                <w:sz w:val="21"/>
              </w:rPr>
            </w:pPr>
            <w:r>
              <w:rPr>
                <w:color w:val="000000"/>
                <w:kern w:val="0"/>
                <w:sz w:val="21"/>
              </w:rPr>
              <w:t>构件主要受力部位有疏松</w:t>
            </w:r>
          </w:p>
        </w:tc>
        <w:tc>
          <w:tcPr>
            <w:tcW w:w="2262" w:type="dxa"/>
          </w:tcPr>
          <w:p>
            <w:pPr>
              <w:autoSpaceDE w:val="0"/>
              <w:autoSpaceDN w:val="0"/>
              <w:adjustRightInd w:val="0"/>
              <w:spacing w:line="240" w:lineRule="auto"/>
              <w:jc w:val="center"/>
              <w:rPr>
                <w:color w:val="000000"/>
                <w:kern w:val="0"/>
                <w:sz w:val="21"/>
              </w:rPr>
            </w:pPr>
            <w:r>
              <w:rPr>
                <w:color w:val="000000"/>
                <w:kern w:val="0"/>
                <w:sz w:val="21"/>
              </w:rPr>
              <w:t>其他部位有少量疏松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6" w:type="dxa"/>
          </w:tcPr>
          <w:p>
            <w:pPr>
              <w:autoSpaceDE w:val="0"/>
              <w:autoSpaceDN w:val="0"/>
              <w:adjustRightInd w:val="0"/>
              <w:spacing w:line="240" w:lineRule="auto"/>
              <w:jc w:val="center"/>
              <w:rPr>
                <w:color w:val="000000"/>
                <w:kern w:val="0"/>
                <w:sz w:val="21"/>
              </w:rPr>
            </w:pPr>
            <w:r>
              <w:rPr>
                <w:color w:val="000000"/>
                <w:kern w:val="0"/>
                <w:sz w:val="21"/>
              </w:rPr>
              <w:t>裂缝</w:t>
            </w:r>
          </w:p>
        </w:tc>
        <w:tc>
          <w:tcPr>
            <w:tcW w:w="2404" w:type="dxa"/>
          </w:tcPr>
          <w:p>
            <w:pPr>
              <w:autoSpaceDE w:val="0"/>
              <w:autoSpaceDN w:val="0"/>
              <w:adjustRightInd w:val="0"/>
              <w:spacing w:line="240" w:lineRule="auto"/>
              <w:jc w:val="center"/>
              <w:rPr>
                <w:color w:val="000000"/>
                <w:kern w:val="0"/>
                <w:sz w:val="21"/>
              </w:rPr>
            </w:pPr>
            <w:r>
              <w:rPr>
                <w:color w:val="000000"/>
                <w:kern w:val="0"/>
                <w:sz w:val="21"/>
              </w:rPr>
              <w:t>缝隙从混凝土表面延伸至混凝土内部</w:t>
            </w:r>
          </w:p>
        </w:tc>
        <w:tc>
          <w:tcPr>
            <w:tcW w:w="2404" w:type="dxa"/>
          </w:tcPr>
          <w:p>
            <w:pPr>
              <w:autoSpaceDE w:val="0"/>
              <w:autoSpaceDN w:val="0"/>
              <w:adjustRightInd w:val="0"/>
              <w:spacing w:line="240" w:lineRule="auto"/>
              <w:jc w:val="center"/>
              <w:rPr>
                <w:color w:val="000000"/>
                <w:kern w:val="0"/>
                <w:sz w:val="21"/>
              </w:rPr>
            </w:pPr>
            <w:r>
              <w:rPr>
                <w:color w:val="000000"/>
                <w:kern w:val="0"/>
                <w:sz w:val="21"/>
              </w:rPr>
              <w:t>构件主要受力部位有影响结构性能或使用功能的裂缝</w:t>
            </w:r>
          </w:p>
        </w:tc>
        <w:tc>
          <w:tcPr>
            <w:tcW w:w="2262" w:type="dxa"/>
          </w:tcPr>
          <w:p>
            <w:pPr>
              <w:autoSpaceDE w:val="0"/>
              <w:autoSpaceDN w:val="0"/>
              <w:adjustRightInd w:val="0"/>
              <w:spacing w:line="240" w:lineRule="auto"/>
              <w:jc w:val="center"/>
              <w:rPr>
                <w:color w:val="000000"/>
                <w:kern w:val="0"/>
                <w:sz w:val="21"/>
              </w:rPr>
            </w:pPr>
            <w:r>
              <w:rPr>
                <w:color w:val="000000"/>
                <w:kern w:val="0"/>
                <w:sz w:val="21"/>
              </w:rPr>
              <w:t>其他部位有基本不影响结构性能或使用功能的裂缝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6" w:type="dxa"/>
          </w:tcPr>
          <w:p>
            <w:pPr>
              <w:autoSpaceDE w:val="0"/>
              <w:autoSpaceDN w:val="0"/>
              <w:adjustRightInd w:val="0"/>
              <w:spacing w:line="240" w:lineRule="auto"/>
              <w:jc w:val="center"/>
              <w:rPr>
                <w:color w:val="000000"/>
                <w:kern w:val="0"/>
                <w:sz w:val="21"/>
              </w:rPr>
            </w:pPr>
            <w:r>
              <w:rPr>
                <w:color w:val="000000"/>
                <w:kern w:val="0"/>
                <w:sz w:val="21"/>
              </w:rPr>
              <w:t>连续部位缺陷</w:t>
            </w:r>
          </w:p>
        </w:tc>
        <w:tc>
          <w:tcPr>
            <w:tcW w:w="2404" w:type="dxa"/>
          </w:tcPr>
          <w:p>
            <w:pPr>
              <w:autoSpaceDE w:val="0"/>
              <w:autoSpaceDN w:val="0"/>
              <w:adjustRightInd w:val="0"/>
              <w:spacing w:line="240" w:lineRule="auto"/>
              <w:jc w:val="center"/>
              <w:rPr>
                <w:color w:val="000000"/>
                <w:kern w:val="0"/>
                <w:sz w:val="21"/>
              </w:rPr>
            </w:pPr>
            <w:r>
              <w:rPr>
                <w:color w:val="000000"/>
                <w:kern w:val="0"/>
                <w:sz w:val="21"/>
              </w:rPr>
              <w:t>构件连接处混凝土缺陷及连接钢筋、连接铁件松动</w:t>
            </w:r>
          </w:p>
        </w:tc>
        <w:tc>
          <w:tcPr>
            <w:tcW w:w="2404" w:type="dxa"/>
          </w:tcPr>
          <w:p>
            <w:pPr>
              <w:autoSpaceDE w:val="0"/>
              <w:autoSpaceDN w:val="0"/>
              <w:adjustRightInd w:val="0"/>
              <w:spacing w:line="240" w:lineRule="auto"/>
              <w:jc w:val="center"/>
              <w:rPr>
                <w:color w:val="000000"/>
                <w:kern w:val="0"/>
                <w:sz w:val="21"/>
              </w:rPr>
            </w:pPr>
            <w:r>
              <w:rPr>
                <w:color w:val="000000"/>
                <w:kern w:val="0"/>
                <w:sz w:val="21"/>
              </w:rPr>
              <w:t>连接部位有影响结构传力性能的缺陷</w:t>
            </w:r>
          </w:p>
        </w:tc>
        <w:tc>
          <w:tcPr>
            <w:tcW w:w="2262" w:type="dxa"/>
          </w:tcPr>
          <w:p>
            <w:pPr>
              <w:autoSpaceDE w:val="0"/>
              <w:autoSpaceDN w:val="0"/>
              <w:adjustRightInd w:val="0"/>
              <w:spacing w:line="240" w:lineRule="auto"/>
              <w:jc w:val="center"/>
              <w:rPr>
                <w:color w:val="000000"/>
                <w:kern w:val="0"/>
                <w:sz w:val="21"/>
              </w:rPr>
            </w:pPr>
            <w:r>
              <w:rPr>
                <w:color w:val="000000"/>
                <w:kern w:val="0"/>
                <w:sz w:val="21"/>
              </w:rPr>
              <w:t>连接部位有基本不影响结构传力性能的缺陷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6" w:type="dxa"/>
          </w:tcPr>
          <w:p>
            <w:pPr>
              <w:autoSpaceDE w:val="0"/>
              <w:autoSpaceDN w:val="0"/>
              <w:adjustRightInd w:val="0"/>
              <w:spacing w:line="240" w:lineRule="auto"/>
              <w:jc w:val="center"/>
              <w:rPr>
                <w:color w:val="000000"/>
                <w:kern w:val="0"/>
                <w:sz w:val="21"/>
              </w:rPr>
            </w:pPr>
            <w:r>
              <w:rPr>
                <w:color w:val="000000"/>
                <w:kern w:val="0"/>
                <w:sz w:val="21"/>
              </w:rPr>
              <w:t>外形缺陷</w:t>
            </w:r>
          </w:p>
        </w:tc>
        <w:tc>
          <w:tcPr>
            <w:tcW w:w="2404" w:type="dxa"/>
          </w:tcPr>
          <w:p>
            <w:pPr>
              <w:autoSpaceDE w:val="0"/>
              <w:autoSpaceDN w:val="0"/>
              <w:adjustRightInd w:val="0"/>
              <w:spacing w:line="240" w:lineRule="auto"/>
              <w:jc w:val="center"/>
              <w:rPr>
                <w:color w:val="000000"/>
                <w:kern w:val="0"/>
                <w:sz w:val="21"/>
              </w:rPr>
            </w:pPr>
            <w:r>
              <w:rPr>
                <w:color w:val="000000"/>
                <w:kern w:val="0"/>
                <w:sz w:val="21"/>
              </w:rPr>
              <w:t>缺棱掉角、棱角不宜、翘曲不平、飞出凸肋等</w:t>
            </w:r>
          </w:p>
        </w:tc>
        <w:tc>
          <w:tcPr>
            <w:tcW w:w="2404" w:type="dxa"/>
          </w:tcPr>
          <w:p>
            <w:pPr>
              <w:autoSpaceDE w:val="0"/>
              <w:autoSpaceDN w:val="0"/>
              <w:adjustRightInd w:val="0"/>
              <w:spacing w:line="240" w:lineRule="auto"/>
              <w:jc w:val="center"/>
              <w:rPr>
                <w:color w:val="000000"/>
                <w:kern w:val="0"/>
                <w:sz w:val="21"/>
              </w:rPr>
            </w:pPr>
            <w:r>
              <w:rPr>
                <w:color w:val="000000"/>
                <w:kern w:val="0"/>
                <w:sz w:val="21"/>
              </w:rPr>
              <w:t>清水混凝土构件内有影响使用功能或装饰效果的外形缺陷</w:t>
            </w:r>
          </w:p>
        </w:tc>
        <w:tc>
          <w:tcPr>
            <w:tcW w:w="2262" w:type="dxa"/>
          </w:tcPr>
          <w:p>
            <w:pPr>
              <w:autoSpaceDE w:val="0"/>
              <w:autoSpaceDN w:val="0"/>
              <w:adjustRightInd w:val="0"/>
              <w:spacing w:line="240" w:lineRule="auto"/>
              <w:jc w:val="center"/>
              <w:rPr>
                <w:color w:val="000000"/>
                <w:kern w:val="0"/>
                <w:sz w:val="21"/>
              </w:rPr>
            </w:pPr>
            <w:r>
              <w:rPr>
                <w:color w:val="000000"/>
                <w:kern w:val="0"/>
                <w:sz w:val="21"/>
              </w:rPr>
              <w:t>其他混凝土构件有不影响使用功能的外形缺陷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6" w:type="dxa"/>
          </w:tcPr>
          <w:p>
            <w:pPr>
              <w:autoSpaceDE w:val="0"/>
              <w:autoSpaceDN w:val="0"/>
              <w:adjustRightInd w:val="0"/>
              <w:spacing w:line="240" w:lineRule="auto"/>
              <w:jc w:val="center"/>
              <w:rPr>
                <w:color w:val="000000"/>
                <w:kern w:val="0"/>
                <w:sz w:val="21"/>
              </w:rPr>
            </w:pPr>
            <w:r>
              <w:rPr>
                <w:color w:val="000000"/>
                <w:kern w:val="0"/>
                <w:sz w:val="21"/>
              </w:rPr>
              <w:t>外表缺陷</w:t>
            </w:r>
          </w:p>
        </w:tc>
        <w:tc>
          <w:tcPr>
            <w:tcW w:w="2404" w:type="dxa"/>
          </w:tcPr>
          <w:p>
            <w:pPr>
              <w:autoSpaceDE w:val="0"/>
              <w:autoSpaceDN w:val="0"/>
              <w:adjustRightInd w:val="0"/>
              <w:spacing w:line="240" w:lineRule="auto"/>
              <w:jc w:val="center"/>
              <w:rPr>
                <w:color w:val="000000"/>
                <w:kern w:val="0"/>
                <w:sz w:val="21"/>
              </w:rPr>
            </w:pPr>
            <w:r>
              <w:rPr>
                <w:color w:val="000000"/>
                <w:kern w:val="0"/>
                <w:sz w:val="21"/>
              </w:rPr>
              <w:t>构件表面麻面、掉皮、起砂、玷污等</w:t>
            </w:r>
          </w:p>
        </w:tc>
        <w:tc>
          <w:tcPr>
            <w:tcW w:w="2404" w:type="dxa"/>
          </w:tcPr>
          <w:p>
            <w:pPr>
              <w:autoSpaceDE w:val="0"/>
              <w:autoSpaceDN w:val="0"/>
              <w:adjustRightInd w:val="0"/>
              <w:spacing w:line="240" w:lineRule="auto"/>
              <w:jc w:val="center"/>
              <w:rPr>
                <w:color w:val="000000"/>
                <w:kern w:val="0"/>
                <w:sz w:val="21"/>
              </w:rPr>
            </w:pPr>
            <w:r>
              <w:rPr>
                <w:color w:val="000000"/>
                <w:kern w:val="0"/>
                <w:sz w:val="21"/>
              </w:rPr>
              <w:t>具有重要装饰效果的清水混凝土构件有外表缺陷</w:t>
            </w:r>
          </w:p>
        </w:tc>
        <w:tc>
          <w:tcPr>
            <w:tcW w:w="2262" w:type="dxa"/>
          </w:tcPr>
          <w:p>
            <w:pPr>
              <w:autoSpaceDE w:val="0"/>
              <w:autoSpaceDN w:val="0"/>
              <w:adjustRightInd w:val="0"/>
              <w:spacing w:line="240" w:lineRule="auto"/>
              <w:jc w:val="center"/>
              <w:rPr>
                <w:color w:val="000000"/>
                <w:kern w:val="0"/>
                <w:sz w:val="21"/>
              </w:rPr>
            </w:pPr>
            <w:r>
              <w:rPr>
                <w:color w:val="000000"/>
                <w:kern w:val="0"/>
                <w:sz w:val="21"/>
              </w:rPr>
              <w:t>其他混凝土构件有不影响使用功能的外表缺陷</w:t>
            </w:r>
          </w:p>
        </w:tc>
      </w:tr>
    </w:tbl>
    <w:p>
      <w:r>
        <w:rPr>
          <w:rFonts w:hint="eastAsia"/>
          <w:b/>
          <w:bCs/>
        </w:rPr>
        <w:t>6</w:t>
      </w:r>
      <w:r>
        <w:rPr>
          <w:b/>
          <w:bCs/>
        </w:rPr>
        <w:t>.7.3</w:t>
      </w:r>
      <w:r>
        <w:t xml:space="preserve">  </w:t>
      </w:r>
      <w:r>
        <w:rPr>
          <w:rFonts w:hint="eastAsia"/>
        </w:rPr>
        <w:t>管节应按设计要求和现行国家标准《混凝土结构工程施工质量验收规范》G</w:t>
      </w:r>
      <w:r>
        <w:t>B 50204</w:t>
      </w:r>
      <w:r>
        <w:rPr>
          <w:rFonts w:hint="eastAsia"/>
        </w:rPr>
        <w:t>的有关规定进行结构性能检验。</w:t>
      </w:r>
    </w:p>
    <w:p>
      <w:pPr>
        <w:jc w:val="center"/>
        <w:rPr>
          <w:b/>
          <w:bCs/>
        </w:rPr>
      </w:pPr>
      <w:r>
        <w:rPr>
          <w:rFonts w:hint="eastAsia"/>
          <w:b/>
          <w:bCs/>
        </w:rPr>
        <w:t>主控项目</w:t>
      </w:r>
    </w:p>
    <w:p>
      <w:r>
        <w:rPr>
          <w:rFonts w:hint="eastAsia"/>
          <w:b/>
          <w:bCs/>
        </w:rPr>
        <w:t>6.7</w:t>
      </w:r>
      <w:r>
        <w:rPr>
          <w:b/>
          <w:bCs/>
        </w:rPr>
        <w:t>.</w:t>
      </w:r>
      <w:r>
        <w:rPr>
          <w:rFonts w:hint="eastAsia"/>
          <w:b/>
          <w:bCs/>
        </w:rPr>
        <w:t xml:space="preserve">4 </w:t>
      </w:r>
      <w:r>
        <w:rPr>
          <w:rFonts w:hint="eastAsia"/>
        </w:rPr>
        <w:t xml:space="preserve"> 管节生产过程中应有检查和验收记录。所有检查和验收记录必须签章齐全、日期准确。</w:t>
      </w:r>
    </w:p>
    <w:p>
      <w:pPr>
        <w:ind w:firstLine="480" w:firstLineChars="200"/>
      </w:pPr>
      <w:r>
        <w:rPr>
          <w:rFonts w:hint="eastAsia"/>
        </w:rPr>
        <w:t>检查数量：全数检查；</w:t>
      </w:r>
    </w:p>
    <w:p>
      <w:pPr>
        <w:ind w:firstLine="480" w:firstLineChars="200"/>
      </w:pPr>
      <w:r>
        <w:rPr>
          <w:rFonts w:hint="eastAsia"/>
        </w:rPr>
        <w:t>检验方法：查阅检查和验收记录。</w:t>
      </w:r>
    </w:p>
    <w:p>
      <w:r>
        <w:rPr>
          <w:rFonts w:hint="eastAsia"/>
          <w:b/>
          <w:bCs/>
        </w:rPr>
        <w:t>6</w:t>
      </w:r>
      <w:r>
        <w:rPr>
          <w:b/>
          <w:bCs/>
        </w:rPr>
        <w:t>.7.</w:t>
      </w:r>
      <w:r>
        <w:rPr>
          <w:rFonts w:hint="eastAsia"/>
          <w:b/>
          <w:bCs/>
        </w:rPr>
        <w:t>5</w:t>
      </w:r>
      <w:r>
        <w:t xml:space="preserve">  </w:t>
      </w:r>
      <w:r>
        <w:rPr>
          <w:rFonts w:hint="eastAsia"/>
        </w:rPr>
        <w:t>脱模起吊时，管节的混凝土立方体抗压强度应满足设计要求。当设计无要求时，应达到设计抗压强度标准值的7</w:t>
      </w:r>
      <w:r>
        <w:t>5</w:t>
      </w:r>
      <w:r>
        <w:rPr>
          <w:rFonts w:hint="eastAsia"/>
        </w:rPr>
        <w:t>%。</w:t>
      </w:r>
    </w:p>
    <w:p>
      <w:pPr>
        <w:ind w:firstLine="480" w:firstLineChars="200"/>
      </w:pPr>
      <w:r>
        <w:rPr>
          <w:rFonts w:hint="eastAsia"/>
        </w:rPr>
        <w:t>检查数量：按批检验；</w:t>
      </w:r>
    </w:p>
    <w:p>
      <w:pPr>
        <w:ind w:firstLine="480" w:firstLineChars="200"/>
      </w:pPr>
      <w:r>
        <w:rPr>
          <w:rFonts w:hint="eastAsia"/>
        </w:rPr>
        <w:t>检验方法：检查标准养护试块强度试验报告或同条件养护试块强度试验报告。</w:t>
      </w:r>
    </w:p>
    <w:p>
      <w:r>
        <w:rPr>
          <w:rFonts w:hint="eastAsia"/>
          <w:b/>
          <w:bCs/>
        </w:rPr>
        <w:t>6</w:t>
      </w:r>
      <w:r>
        <w:rPr>
          <w:b/>
          <w:bCs/>
        </w:rPr>
        <w:t xml:space="preserve">.7.6 </w:t>
      </w:r>
      <w:r>
        <w:t xml:space="preserve"> </w:t>
      </w:r>
      <w:r>
        <w:rPr>
          <w:rFonts w:hint="eastAsia"/>
        </w:rPr>
        <w:t>出厂时，管节的混凝土立方体抗压强度应满足设计要求。当设计无要求时，应达到设计的混凝土立方体抗压强度标准值。混凝土试块强度应按照现行国家标准《混凝土结构工程施工质量验收规范》G</w:t>
      </w:r>
      <w:r>
        <w:t>B 50204</w:t>
      </w:r>
      <w:r>
        <w:rPr>
          <w:rFonts w:hint="eastAsia"/>
        </w:rPr>
        <w:t>和《混凝土强度检验评定标准》</w:t>
      </w:r>
      <w:r>
        <w:t>GB/T 50107</w:t>
      </w:r>
      <w:r>
        <w:rPr>
          <w:rFonts w:hint="eastAsia"/>
        </w:rPr>
        <w:t>的规定检验评定。</w:t>
      </w:r>
    </w:p>
    <w:p>
      <w:pPr>
        <w:ind w:firstLine="480" w:firstLineChars="200"/>
      </w:pPr>
      <w:r>
        <w:rPr>
          <w:rFonts w:hint="eastAsia"/>
        </w:rPr>
        <w:t>检查数量：按批检验；</w:t>
      </w:r>
    </w:p>
    <w:p>
      <w:pPr>
        <w:ind w:firstLine="480" w:firstLineChars="200"/>
      </w:pPr>
      <w:r>
        <w:rPr>
          <w:rFonts w:hint="eastAsia"/>
        </w:rPr>
        <w:t>检验方法：检查标准养护试块强度试验报告或同条件养护试块强度试验报告。</w:t>
      </w:r>
    </w:p>
    <w:p>
      <w:r>
        <w:rPr>
          <w:rFonts w:hint="eastAsia"/>
          <w:b/>
          <w:bCs/>
        </w:rPr>
        <w:t>6</w:t>
      </w:r>
      <w:r>
        <w:rPr>
          <w:b/>
          <w:bCs/>
        </w:rPr>
        <w:t>.7.7</w:t>
      </w:r>
      <w:r>
        <w:t xml:space="preserve">  </w:t>
      </w:r>
      <w:r>
        <w:rPr>
          <w:rFonts w:hint="eastAsia"/>
        </w:rPr>
        <w:t>管节的混凝土轻度和抗渗等级应满足设计要求。混凝土强度和抗渗等级应按照现行国家标准和行业标准《混凝土结构工程施工质量验收规范》G</w:t>
      </w:r>
      <w:r>
        <w:t>B 50204</w:t>
      </w:r>
      <w:r>
        <w:rPr>
          <w:rFonts w:hint="eastAsia"/>
        </w:rPr>
        <w:t>、《混凝土耐久性检验评定标准》</w:t>
      </w:r>
      <w:r>
        <w:t>JGJ/T 193</w:t>
      </w:r>
      <w:r>
        <w:rPr>
          <w:rFonts w:hint="eastAsia"/>
        </w:rPr>
        <w:t>的规定检验评定。</w:t>
      </w:r>
    </w:p>
    <w:p>
      <w:pPr>
        <w:ind w:firstLine="480" w:firstLineChars="200"/>
      </w:pPr>
      <w:r>
        <w:rPr>
          <w:rFonts w:hint="eastAsia"/>
        </w:rPr>
        <w:t>检查数量：按批检验；</w:t>
      </w:r>
    </w:p>
    <w:p>
      <w:pPr>
        <w:ind w:firstLine="480" w:firstLineChars="200"/>
      </w:pPr>
      <w:r>
        <w:rPr>
          <w:rFonts w:hint="eastAsia"/>
        </w:rPr>
        <w:t>检验方法：检查试验报告。</w:t>
      </w:r>
    </w:p>
    <w:p>
      <w:r>
        <w:rPr>
          <w:rFonts w:hint="eastAsia"/>
          <w:b/>
          <w:bCs/>
        </w:rPr>
        <w:t>6</w:t>
      </w:r>
      <w:r>
        <w:rPr>
          <w:b/>
          <w:bCs/>
        </w:rPr>
        <w:t>.7.8</w:t>
      </w:r>
      <w:r>
        <w:t xml:space="preserve">  </w:t>
      </w:r>
      <w:r>
        <w:rPr>
          <w:rFonts w:hint="eastAsia"/>
        </w:rPr>
        <w:t>管节上的预埋件、预留插筋、预埋管线和预留孔洞的规格、位置和数量应满足设计要求。</w:t>
      </w:r>
    </w:p>
    <w:p>
      <w:pPr>
        <w:ind w:firstLine="480" w:firstLineChars="200"/>
      </w:pPr>
      <w:r>
        <w:rPr>
          <w:rFonts w:hint="eastAsia"/>
        </w:rPr>
        <w:t>检查数量：全数检查；</w:t>
      </w:r>
    </w:p>
    <w:p>
      <w:pPr>
        <w:ind w:firstLine="480" w:firstLineChars="200"/>
      </w:pPr>
      <w:r>
        <w:rPr>
          <w:rFonts w:hint="eastAsia"/>
        </w:rPr>
        <w:t>检验方法：查阅设计文件，观察，量测。</w:t>
      </w:r>
    </w:p>
    <w:p>
      <w:r>
        <w:rPr>
          <w:rFonts w:hint="eastAsia"/>
          <w:b/>
          <w:bCs/>
        </w:rPr>
        <w:t>6</w:t>
      </w:r>
      <w:r>
        <w:rPr>
          <w:b/>
          <w:bCs/>
        </w:rPr>
        <w:t>.7.9</w:t>
      </w:r>
      <w:r>
        <w:t xml:space="preserve">  </w:t>
      </w:r>
      <w:r>
        <w:rPr>
          <w:rFonts w:hint="eastAsia"/>
        </w:rPr>
        <w:t>管节应在明显部位标明工程名称、生产单位、生产日期、构件规格、编号、重量、质量验收标志等。</w:t>
      </w:r>
    </w:p>
    <w:p>
      <w:pPr>
        <w:ind w:firstLine="480" w:firstLineChars="200"/>
      </w:pPr>
      <w:r>
        <w:t>检查数量：全数检查；</w:t>
      </w:r>
    </w:p>
    <w:p>
      <w:pPr>
        <w:ind w:firstLine="480" w:firstLineChars="200"/>
      </w:pPr>
      <w:r>
        <w:t>检验方法：观察。</w:t>
      </w:r>
    </w:p>
    <w:p>
      <w:r>
        <w:rPr>
          <w:rFonts w:hint="eastAsia"/>
          <w:b/>
          <w:bCs/>
        </w:rPr>
        <w:t>6</w:t>
      </w:r>
      <w:r>
        <w:rPr>
          <w:b/>
          <w:bCs/>
        </w:rPr>
        <w:t>.7.10</w:t>
      </w:r>
      <w:r>
        <w:t xml:space="preserve">  </w:t>
      </w:r>
      <w:r>
        <w:rPr>
          <w:rFonts w:hint="eastAsia"/>
        </w:rPr>
        <w:t>管节的外观质量不应有严重缺陷。对已经出现的严重缺陷，应由生产单位提出技术处理方案，并经监理单位认可后进行处理；对裂缝或连接部位的严重缺陷及其他影响结构安全的严重缺陷，技术处理方案尚应经原设计单位认可。经处理的部位应重新检查验收。</w:t>
      </w:r>
    </w:p>
    <w:p>
      <w:pPr>
        <w:ind w:firstLine="480" w:firstLineChars="200"/>
      </w:pPr>
      <w:r>
        <w:t>检查数量：全数检查；</w:t>
      </w:r>
    </w:p>
    <w:p>
      <w:pPr>
        <w:ind w:firstLine="480" w:firstLineChars="200"/>
      </w:pPr>
      <w:r>
        <w:t>检验方法：观察，检查处理记录。</w:t>
      </w:r>
    </w:p>
    <w:p>
      <w:r>
        <w:rPr>
          <w:rFonts w:hint="eastAsia"/>
          <w:b/>
          <w:bCs/>
        </w:rPr>
        <w:t>6</w:t>
      </w:r>
      <w:r>
        <w:rPr>
          <w:b/>
          <w:bCs/>
        </w:rPr>
        <w:t>.7.11</w:t>
      </w:r>
      <w:r>
        <w:t xml:space="preserve">  </w:t>
      </w:r>
      <w:r>
        <w:rPr>
          <w:rFonts w:hint="eastAsia"/>
        </w:rPr>
        <w:t>管节不应有影响结构性能、安装和使用功能的尺寸偏差。对超过尺寸允许偏差且影响结构性能或安装、使用功能的部位，应由生产单位制定技术处理方案，并经监理单位、设计单位认可后进行处理。经处理的部位应重新检查验收。</w:t>
      </w:r>
    </w:p>
    <w:p>
      <w:pPr>
        <w:ind w:firstLine="480" w:firstLineChars="200"/>
      </w:pPr>
      <w:r>
        <w:t>检查数量：全数检查；</w:t>
      </w:r>
    </w:p>
    <w:p>
      <w:pPr>
        <w:ind w:firstLine="480" w:firstLineChars="200"/>
      </w:pPr>
      <w:r>
        <w:t>检验方法：观察，尺量，检查处理记录。</w:t>
      </w:r>
    </w:p>
    <w:p>
      <w:pPr>
        <w:jc w:val="center"/>
        <w:rPr>
          <w:b/>
          <w:bCs/>
        </w:rPr>
      </w:pPr>
      <w:r>
        <w:rPr>
          <w:rFonts w:hint="eastAsia"/>
          <w:b/>
          <w:bCs/>
        </w:rPr>
        <w:t>一般项目</w:t>
      </w:r>
    </w:p>
    <w:p>
      <w:r>
        <w:rPr>
          <w:rFonts w:hint="eastAsia"/>
          <w:b/>
          <w:bCs/>
        </w:rPr>
        <w:t>6.7</w:t>
      </w:r>
      <w:r>
        <w:rPr>
          <w:b/>
          <w:bCs/>
        </w:rPr>
        <w:t>.</w:t>
      </w:r>
      <w:r>
        <w:rPr>
          <w:rFonts w:hint="eastAsia"/>
          <w:b/>
          <w:bCs/>
        </w:rPr>
        <w:t>1</w:t>
      </w:r>
      <w:r>
        <w:rPr>
          <w:b/>
          <w:bCs/>
        </w:rPr>
        <w:t xml:space="preserve">2  </w:t>
      </w:r>
      <w:r>
        <w:rPr>
          <w:rFonts w:hint="eastAsia"/>
        </w:rPr>
        <w:t>预制构件的外观质量不应有一般缺陷。对出现的一般缺陷应进行修整并达到合格。</w:t>
      </w:r>
    </w:p>
    <w:p>
      <w:pPr>
        <w:ind w:firstLine="480" w:firstLineChars="200"/>
      </w:pPr>
      <w:r>
        <w:t>检查数量：全数检查；</w:t>
      </w:r>
    </w:p>
    <w:p>
      <w:pPr>
        <w:ind w:firstLine="480" w:firstLineChars="200"/>
      </w:pPr>
      <w:r>
        <w:t>检验方法：观察，检查处理记录。</w:t>
      </w:r>
    </w:p>
    <w:p>
      <w:r>
        <w:rPr>
          <w:b/>
          <w:bCs/>
        </w:rPr>
        <w:t xml:space="preserve">6.7.13  </w:t>
      </w:r>
      <w:r>
        <w:rPr>
          <w:rFonts w:hint="eastAsia"/>
        </w:rPr>
        <w:t>管节的尺寸偏差及检验方法应符合表</w:t>
      </w:r>
      <w:r>
        <w:t>6.7.13-1</w:t>
      </w:r>
      <w:r>
        <w:rPr>
          <w:rFonts w:hint="eastAsia"/>
        </w:rPr>
        <w:t>及表6</w:t>
      </w:r>
      <w:r>
        <w:t>.7.13-2的规定；设计有专门规定时，尚应</w:t>
      </w:r>
      <w:r>
        <w:rPr>
          <w:rFonts w:hint="eastAsia"/>
        </w:rPr>
        <w:t>满足</w:t>
      </w:r>
      <w:r>
        <w:t>设计要求。施工过程中临时使用的预埋件，其中心线位置允许偏差可取表6.7.13-1中规定数值的2倍。</w:t>
      </w:r>
    </w:p>
    <w:p>
      <w:pPr>
        <w:ind w:firstLine="480" w:firstLineChars="200"/>
      </w:pPr>
      <w:r>
        <w:t>检查数量：全数检查。</w:t>
      </w:r>
    </w:p>
    <w:p>
      <w:pPr>
        <w:ind w:firstLine="480" w:firstLineChars="200"/>
      </w:pPr>
      <w:r>
        <w:t>检验方法：</w:t>
      </w:r>
      <w:r>
        <w:rPr>
          <w:rFonts w:hint="eastAsia"/>
        </w:rPr>
        <w:t>量测</w:t>
      </w:r>
      <w:r>
        <w:t>。</w:t>
      </w:r>
    </w:p>
    <w:p>
      <w:pPr>
        <w:jc w:val="center"/>
        <w:rPr>
          <w:rFonts w:eastAsiaTheme="minorEastAsia"/>
          <w:b/>
          <w:bCs/>
          <w:sz w:val="21"/>
          <w:szCs w:val="18"/>
        </w:rPr>
      </w:pPr>
      <w:r>
        <w:rPr>
          <w:rFonts w:eastAsiaTheme="minorEastAsia"/>
          <w:b/>
          <w:bCs/>
          <w:sz w:val="21"/>
          <w:szCs w:val="18"/>
        </w:rPr>
        <w:t>表6.7.13-1  管节几何尺寸允许偏差（mm）</w:t>
      </w:r>
    </w:p>
    <w:tbl>
      <w:tblPr>
        <w:tblStyle w:val="36"/>
        <w:tblW w:w="73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
      <w:tblGrid>
        <w:gridCol w:w="704"/>
        <w:gridCol w:w="851"/>
        <w:gridCol w:w="1984"/>
        <w:gridCol w:w="38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Align w:val="center"/>
          </w:tcPr>
          <w:p>
            <w:pPr>
              <w:widowControl/>
              <w:spacing w:line="288" w:lineRule="auto"/>
              <w:jc w:val="center"/>
              <w:textAlignment w:val="center"/>
              <w:rPr>
                <w:sz w:val="21"/>
              </w:rPr>
            </w:pPr>
            <w:r>
              <w:rPr>
                <w:kern w:val="0"/>
                <w:sz w:val="21"/>
              </w:rPr>
              <w:t>序号</w:t>
            </w:r>
          </w:p>
        </w:tc>
        <w:tc>
          <w:tcPr>
            <w:tcW w:w="2835" w:type="dxa"/>
            <w:gridSpan w:val="2"/>
            <w:vAlign w:val="center"/>
          </w:tcPr>
          <w:p>
            <w:pPr>
              <w:widowControl/>
              <w:spacing w:line="288" w:lineRule="auto"/>
              <w:jc w:val="center"/>
              <w:textAlignment w:val="center"/>
              <w:rPr>
                <w:sz w:val="21"/>
              </w:rPr>
            </w:pPr>
            <w:r>
              <w:rPr>
                <w:kern w:val="0"/>
                <w:sz w:val="21"/>
              </w:rPr>
              <w:t>项目</w:t>
            </w:r>
          </w:p>
        </w:tc>
        <w:tc>
          <w:tcPr>
            <w:tcW w:w="3817" w:type="dxa"/>
            <w:vAlign w:val="center"/>
          </w:tcPr>
          <w:p>
            <w:pPr>
              <w:widowControl/>
              <w:spacing w:line="288" w:lineRule="auto"/>
              <w:jc w:val="center"/>
              <w:textAlignment w:val="center"/>
              <w:rPr>
                <w:sz w:val="21"/>
              </w:rPr>
            </w:pPr>
            <w:r>
              <w:rPr>
                <w:kern w:val="0"/>
                <w:sz w:val="21"/>
              </w:rPr>
              <w:t>质量要求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Align w:val="center"/>
          </w:tcPr>
          <w:p>
            <w:pPr>
              <w:widowControl/>
              <w:spacing w:line="288" w:lineRule="auto"/>
              <w:jc w:val="center"/>
              <w:textAlignment w:val="center"/>
              <w:rPr>
                <w:sz w:val="21"/>
              </w:rPr>
            </w:pPr>
            <w:r>
              <w:rPr>
                <w:kern w:val="0"/>
                <w:sz w:val="21"/>
              </w:rPr>
              <w:t>1</w:t>
            </w:r>
          </w:p>
        </w:tc>
        <w:tc>
          <w:tcPr>
            <w:tcW w:w="2835" w:type="dxa"/>
            <w:gridSpan w:val="2"/>
            <w:vAlign w:val="center"/>
          </w:tcPr>
          <w:p>
            <w:pPr>
              <w:widowControl/>
              <w:spacing w:line="288" w:lineRule="auto"/>
              <w:jc w:val="center"/>
              <w:textAlignment w:val="center"/>
              <w:rPr>
                <w:sz w:val="21"/>
              </w:rPr>
            </w:pPr>
            <w:r>
              <w:rPr>
                <w:kern w:val="0"/>
                <w:sz w:val="21"/>
              </w:rPr>
              <w:t>接口对角线误差</w:t>
            </w:r>
          </w:p>
        </w:tc>
        <w:tc>
          <w:tcPr>
            <w:tcW w:w="3817" w:type="dxa"/>
            <w:vAlign w:val="center"/>
          </w:tcPr>
          <w:p>
            <w:pPr>
              <w:widowControl/>
              <w:spacing w:line="288" w:lineRule="auto"/>
              <w:jc w:val="center"/>
              <w:textAlignment w:val="center"/>
              <w:rPr>
                <w:sz w:val="21"/>
              </w:rPr>
            </w:pPr>
            <w:r>
              <w:rPr>
                <w:kern w:val="0"/>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88" w:lineRule="auto"/>
              <w:jc w:val="center"/>
              <w:textAlignment w:val="center"/>
              <w:rPr>
                <w:sz w:val="21"/>
              </w:rPr>
            </w:pPr>
            <w:r>
              <w:rPr>
                <w:kern w:val="0"/>
                <w:sz w:val="21"/>
              </w:rPr>
              <w:t>2</w:t>
            </w:r>
          </w:p>
        </w:tc>
        <w:tc>
          <w:tcPr>
            <w:tcW w:w="851" w:type="dxa"/>
            <w:vMerge w:val="restart"/>
            <w:vAlign w:val="center"/>
          </w:tcPr>
          <w:p>
            <w:pPr>
              <w:widowControl/>
              <w:spacing w:line="288" w:lineRule="auto"/>
              <w:jc w:val="center"/>
              <w:textAlignment w:val="center"/>
              <w:rPr>
                <w:sz w:val="21"/>
              </w:rPr>
            </w:pPr>
            <w:r>
              <w:rPr>
                <w:kern w:val="0"/>
                <w:sz w:val="21"/>
              </w:rPr>
              <w:t>弯曲度</w:t>
            </w:r>
          </w:p>
        </w:tc>
        <w:tc>
          <w:tcPr>
            <w:tcW w:w="1984" w:type="dxa"/>
            <w:vAlign w:val="center"/>
          </w:tcPr>
          <w:p>
            <w:pPr>
              <w:spacing w:line="288" w:lineRule="auto"/>
              <w:jc w:val="center"/>
              <w:textAlignment w:val="center"/>
              <w:rPr>
                <w:sz w:val="21"/>
              </w:rPr>
            </w:pPr>
            <w:r>
              <w:rPr>
                <w:sz w:val="21"/>
              </w:rPr>
              <w:t>长度方向</w:t>
            </w:r>
          </w:p>
        </w:tc>
        <w:tc>
          <w:tcPr>
            <w:tcW w:w="3817" w:type="dxa"/>
            <w:vAlign w:val="center"/>
          </w:tcPr>
          <w:p>
            <w:pPr>
              <w:widowControl/>
              <w:spacing w:line="288" w:lineRule="auto"/>
              <w:jc w:val="center"/>
              <w:textAlignment w:val="center"/>
              <w:rPr>
                <w:sz w:val="21"/>
              </w:rPr>
            </w:pPr>
            <w:r>
              <w:rPr>
                <w:kern w:val="0"/>
                <w:sz w:val="21"/>
              </w:rPr>
              <w:t>≤有效长度的0.3%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continue"/>
            <w:vAlign w:val="center"/>
          </w:tcPr>
          <w:p>
            <w:pPr>
              <w:widowControl/>
              <w:spacing w:line="288" w:lineRule="auto"/>
              <w:jc w:val="center"/>
              <w:textAlignment w:val="center"/>
              <w:rPr>
                <w:kern w:val="0"/>
                <w:sz w:val="21"/>
              </w:rPr>
            </w:pPr>
          </w:p>
        </w:tc>
        <w:tc>
          <w:tcPr>
            <w:tcW w:w="851" w:type="dxa"/>
            <w:vMerge w:val="continue"/>
            <w:vAlign w:val="center"/>
          </w:tcPr>
          <w:p>
            <w:pPr>
              <w:widowControl/>
              <w:spacing w:line="288" w:lineRule="auto"/>
              <w:jc w:val="center"/>
              <w:textAlignment w:val="center"/>
              <w:rPr>
                <w:kern w:val="0"/>
                <w:sz w:val="21"/>
              </w:rPr>
            </w:pPr>
          </w:p>
        </w:tc>
        <w:tc>
          <w:tcPr>
            <w:tcW w:w="1984" w:type="dxa"/>
            <w:vAlign w:val="center"/>
          </w:tcPr>
          <w:p>
            <w:pPr>
              <w:widowControl/>
              <w:spacing w:line="288" w:lineRule="auto"/>
              <w:jc w:val="center"/>
              <w:textAlignment w:val="center"/>
              <w:rPr>
                <w:kern w:val="0"/>
                <w:sz w:val="21"/>
              </w:rPr>
            </w:pPr>
            <w:r>
              <w:rPr>
                <w:kern w:val="0"/>
                <w:sz w:val="21"/>
              </w:rPr>
              <w:t>宽度及高度方向</w:t>
            </w:r>
          </w:p>
        </w:tc>
        <w:tc>
          <w:tcPr>
            <w:tcW w:w="3817" w:type="dxa"/>
            <w:vAlign w:val="center"/>
          </w:tcPr>
          <w:p>
            <w:pPr>
              <w:widowControl/>
              <w:spacing w:line="288" w:lineRule="auto"/>
              <w:jc w:val="center"/>
              <w:textAlignment w:val="center"/>
              <w:rPr>
                <w:kern w:val="0"/>
                <w:sz w:val="21"/>
              </w:rPr>
            </w:pPr>
            <w:r>
              <w:rPr>
                <w:kern w:val="0"/>
                <w:sz w:val="21"/>
              </w:rPr>
              <w:t>≤外壁宽度或高度的0.3%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Align w:val="center"/>
          </w:tcPr>
          <w:p>
            <w:pPr>
              <w:widowControl/>
              <w:spacing w:line="288" w:lineRule="auto"/>
              <w:jc w:val="center"/>
              <w:textAlignment w:val="center"/>
              <w:rPr>
                <w:sz w:val="21"/>
              </w:rPr>
            </w:pPr>
            <w:r>
              <w:rPr>
                <w:kern w:val="0"/>
                <w:sz w:val="21"/>
              </w:rPr>
              <w:t>3</w:t>
            </w:r>
          </w:p>
        </w:tc>
        <w:tc>
          <w:tcPr>
            <w:tcW w:w="2835" w:type="dxa"/>
            <w:gridSpan w:val="2"/>
            <w:vAlign w:val="center"/>
          </w:tcPr>
          <w:p>
            <w:pPr>
              <w:widowControl/>
              <w:spacing w:line="288" w:lineRule="auto"/>
              <w:jc w:val="center"/>
              <w:textAlignment w:val="center"/>
              <w:rPr>
                <w:sz w:val="21"/>
              </w:rPr>
            </w:pPr>
            <w:r>
              <w:rPr>
                <w:kern w:val="0"/>
                <w:sz w:val="21"/>
              </w:rPr>
              <w:t>端面倾斜</w:t>
            </w:r>
          </w:p>
        </w:tc>
        <w:tc>
          <w:tcPr>
            <w:tcW w:w="3817" w:type="dxa"/>
            <w:vAlign w:val="center"/>
          </w:tcPr>
          <w:p>
            <w:pPr>
              <w:widowControl/>
              <w:spacing w:line="288"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Align w:val="center"/>
          </w:tcPr>
          <w:p>
            <w:pPr>
              <w:widowControl/>
              <w:spacing w:line="288" w:lineRule="auto"/>
              <w:jc w:val="center"/>
              <w:textAlignment w:val="center"/>
              <w:rPr>
                <w:sz w:val="21"/>
              </w:rPr>
            </w:pPr>
            <w:r>
              <w:rPr>
                <w:kern w:val="0"/>
                <w:sz w:val="21"/>
              </w:rPr>
              <w:t>4</w:t>
            </w:r>
          </w:p>
        </w:tc>
        <w:tc>
          <w:tcPr>
            <w:tcW w:w="2835" w:type="dxa"/>
            <w:gridSpan w:val="2"/>
            <w:vAlign w:val="center"/>
          </w:tcPr>
          <w:p>
            <w:pPr>
              <w:widowControl/>
              <w:spacing w:line="288" w:lineRule="auto"/>
              <w:jc w:val="center"/>
              <w:textAlignment w:val="center"/>
              <w:rPr>
                <w:sz w:val="21"/>
              </w:rPr>
            </w:pPr>
            <w:r>
              <w:rPr>
                <w:kern w:val="0"/>
                <w:sz w:val="21"/>
              </w:rPr>
              <w:t>保护层厚度</w:t>
            </w:r>
          </w:p>
        </w:tc>
        <w:tc>
          <w:tcPr>
            <w:tcW w:w="3817" w:type="dxa"/>
            <w:vAlign w:val="center"/>
          </w:tcPr>
          <w:p>
            <w:pPr>
              <w:widowControl/>
              <w:spacing w:line="288"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88" w:lineRule="auto"/>
              <w:jc w:val="center"/>
              <w:textAlignment w:val="center"/>
              <w:rPr>
                <w:sz w:val="21"/>
              </w:rPr>
            </w:pPr>
            <w:r>
              <w:rPr>
                <w:kern w:val="0"/>
                <w:sz w:val="21"/>
              </w:rPr>
              <w:t>5</w:t>
            </w:r>
          </w:p>
        </w:tc>
        <w:tc>
          <w:tcPr>
            <w:tcW w:w="851" w:type="dxa"/>
            <w:vMerge w:val="restart"/>
            <w:vAlign w:val="center"/>
          </w:tcPr>
          <w:p>
            <w:pPr>
              <w:widowControl/>
              <w:spacing w:line="288" w:lineRule="auto"/>
              <w:jc w:val="center"/>
              <w:textAlignment w:val="center"/>
              <w:rPr>
                <w:sz w:val="21"/>
              </w:rPr>
            </w:pPr>
            <w:r>
              <w:rPr>
                <w:kern w:val="0"/>
                <w:sz w:val="21"/>
              </w:rPr>
              <w:t>内宽B</w:t>
            </w:r>
          </w:p>
        </w:tc>
        <w:tc>
          <w:tcPr>
            <w:tcW w:w="1984" w:type="dxa"/>
            <w:vAlign w:val="center"/>
          </w:tcPr>
          <w:p>
            <w:pPr>
              <w:widowControl/>
              <w:spacing w:line="288" w:lineRule="auto"/>
              <w:jc w:val="center"/>
              <w:textAlignment w:val="center"/>
              <w:rPr>
                <w:sz w:val="21"/>
              </w:rPr>
            </w:pPr>
            <w:r>
              <w:rPr>
                <w:kern w:val="0"/>
                <w:sz w:val="21"/>
              </w:rPr>
              <w:t xml:space="preserve">600 </w:t>
            </w:r>
            <w:r>
              <w:rPr>
                <w:sz w:val="21"/>
              </w:rPr>
              <w:t xml:space="preserve">～ </w:t>
            </w:r>
            <w:r>
              <w:rPr>
                <w:kern w:val="0"/>
                <w:sz w:val="21"/>
              </w:rPr>
              <w:t>1500</w:t>
            </w:r>
          </w:p>
        </w:tc>
        <w:tc>
          <w:tcPr>
            <w:tcW w:w="3817" w:type="dxa"/>
            <w:vAlign w:val="center"/>
          </w:tcPr>
          <w:p>
            <w:pPr>
              <w:widowControl/>
              <w:spacing w:line="288"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continue"/>
            <w:vAlign w:val="center"/>
          </w:tcPr>
          <w:p>
            <w:pPr>
              <w:spacing w:line="288" w:lineRule="auto"/>
              <w:jc w:val="center"/>
              <w:rPr>
                <w:sz w:val="21"/>
              </w:rPr>
            </w:pPr>
          </w:p>
        </w:tc>
        <w:tc>
          <w:tcPr>
            <w:tcW w:w="851" w:type="dxa"/>
            <w:vMerge w:val="continue"/>
            <w:vAlign w:val="center"/>
          </w:tcPr>
          <w:p>
            <w:pPr>
              <w:spacing w:line="288" w:lineRule="auto"/>
              <w:jc w:val="center"/>
              <w:rPr>
                <w:sz w:val="21"/>
              </w:rPr>
            </w:pPr>
          </w:p>
        </w:tc>
        <w:tc>
          <w:tcPr>
            <w:tcW w:w="1984" w:type="dxa"/>
            <w:vAlign w:val="center"/>
          </w:tcPr>
          <w:p>
            <w:pPr>
              <w:widowControl/>
              <w:spacing w:line="288" w:lineRule="auto"/>
              <w:jc w:val="center"/>
              <w:textAlignment w:val="center"/>
              <w:rPr>
                <w:sz w:val="21"/>
              </w:rPr>
            </w:pPr>
            <w:r>
              <w:rPr>
                <w:kern w:val="0"/>
                <w:sz w:val="21"/>
              </w:rPr>
              <w:t xml:space="preserve">1800 </w:t>
            </w:r>
            <w:r>
              <w:rPr>
                <w:sz w:val="21"/>
              </w:rPr>
              <w:t xml:space="preserve">～ </w:t>
            </w:r>
            <w:r>
              <w:rPr>
                <w:kern w:val="0"/>
                <w:sz w:val="21"/>
              </w:rPr>
              <w:t>3900</w:t>
            </w:r>
          </w:p>
        </w:tc>
        <w:tc>
          <w:tcPr>
            <w:tcW w:w="3817" w:type="dxa"/>
            <w:vAlign w:val="center"/>
          </w:tcPr>
          <w:p>
            <w:pPr>
              <w:widowControl/>
              <w:spacing w:line="288" w:lineRule="auto"/>
              <w:jc w:val="center"/>
              <w:textAlignment w:val="center"/>
              <w:rPr>
                <w:sz w:val="21"/>
              </w:rPr>
            </w:pPr>
            <w:r>
              <w:rPr>
                <w:kern w:val="0"/>
                <w:sz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continue"/>
            <w:vAlign w:val="center"/>
          </w:tcPr>
          <w:p>
            <w:pPr>
              <w:spacing w:line="288" w:lineRule="auto"/>
              <w:jc w:val="center"/>
              <w:rPr>
                <w:sz w:val="21"/>
              </w:rPr>
            </w:pPr>
          </w:p>
        </w:tc>
        <w:tc>
          <w:tcPr>
            <w:tcW w:w="851" w:type="dxa"/>
            <w:vMerge w:val="continue"/>
            <w:vAlign w:val="center"/>
          </w:tcPr>
          <w:p>
            <w:pPr>
              <w:spacing w:line="288" w:lineRule="auto"/>
              <w:jc w:val="center"/>
              <w:rPr>
                <w:sz w:val="21"/>
              </w:rPr>
            </w:pPr>
          </w:p>
        </w:tc>
        <w:tc>
          <w:tcPr>
            <w:tcW w:w="1984" w:type="dxa"/>
            <w:vAlign w:val="center"/>
          </w:tcPr>
          <w:p>
            <w:pPr>
              <w:widowControl/>
              <w:spacing w:line="288" w:lineRule="auto"/>
              <w:jc w:val="center"/>
              <w:textAlignment w:val="center"/>
              <w:rPr>
                <w:sz w:val="21"/>
              </w:rPr>
            </w:pPr>
            <w:r>
              <w:rPr>
                <w:kern w:val="0"/>
                <w:sz w:val="21"/>
              </w:rPr>
              <w:t xml:space="preserve">4200 </w:t>
            </w:r>
            <w:r>
              <w:rPr>
                <w:sz w:val="21"/>
              </w:rPr>
              <w:t xml:space="preserve">～ </w:t>
            </w:r>
            <w:r>
              <w:rPr>
                <w:kern w:val="0"/>
                <w:sz w:val="21"/>
              </w:rPr>
              <w:t>7200</w:t>
            </w:r>
          </w:p>
        </w:tc>
        <w:tc>
          <w:tcPr>
            <w:tcW w:w="3817" w:type="dxa"/>
            <w:vAlign w:val="center"/>
          </w:tcPr>
          <w:p>
            <w:pPr>
              <w:widowControl/>
              <w:spacing w:line="288" w:lineRule="auto"/>
              <w:jc w:val="center"/>
              <w:textAlignment w:val="center"/>
              <w:rPr>
                <w:sz w:val="21"/>
              </w:rPr>
            </w:pPr>
            <w:r>
              <w:rPr>
                <w:kern w:val="0"/>
                <w:sz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continue"/>
            <w:vAlign w:val="center"/>
          </w:tcPr>
          <w:p>
            <w:pPr>
              <w:spacing w:line="288" w:lineRule="auto"/>
              <w:jc w:val="center"/>
              <w:rPr>
                <w:sz w:val="21"/>
              </w:rPr>
            </w:pPr>
          </w:p>
        </w:tc>
        <w:tc>
          <w:tcPr>
            <w:tcW w:w="851" w:type="dxa"/>
            <w:vMerge w:val="continue"/>
            <w:vAlign w:val="center"/>
          </w:tcPr>
          <w:p>
            <w:pPr>
              <w:spacing w:line="288" w:lineRule="auto"/>
              <w:jc w:val="center"/>
              <w:rPr>
                <w:sz w:val="21"/>
              </w:rPr>
            </w:pPr>
          </w:p>
        </w:tc>
        <w:tc>
          <w:tcPr>
            <w:tcW w:w="1984" w:type="dxa"/>
            <w:vAlign w:val="center"/>
          </w:tcPr>
          <w:p>
            <w:pPr>
              <w:widowControl/>
              <w:spacing w:line="288" w:lineRule="auto"/>
              <w:jc w:val="center"/>
              <w:textAlignment w:val="center"/>
              <w:rPr>
                <w:kern w:val="0"/>
                <w:sz w:val="21"/>
              </w:rPr>
            </w:pPr>
            <w:r>
              <w:rPr>
                <w:kern w:val="0"/>
                <w:sz w:val="21"/>
              </w:rPr>
              <w:t>&gt;</w:t>
            </w:r>
            <w:r>
              <w:rPr>
                <w:sz w:val="21"/>
              </w:rPr>
              <w:t xml:space="preserve"> </w:t>
            </w:r>
            <w:r>
              <w:rPr>
                <w:kern w:val="0"/>
                <w:sz w:val="21"/>
              </w:rPr>
              <w:t>7200</w:t>
            </w:r>
          </w:p>
        </w:tc>
        <w:tc>
          <w:tcPr>
            <w:tcW w:w="3817" w:type="dxa"/>
            <w:vAlign w:val="center"/>
          </w:tcPr>
          <w:p>
            <w:pPr>
              <w:widowControl/>
              <w:spacing w:line="288" w:lineRule="auto"/>
              <w:jc w:val="center"/>
              <w:textAlignment w:val="center"/>
              <w:rPr>
                <w:kern w:val="0"/>
                <w:sz w:val="21"/>
              </w:rPr>
            </w:pPr>
            <w:r>
              <w:rPr>
                <w:kern w:val="0"/>
                <w:sz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88" w:lineRule="auto"/>
              <w:jc w:val="center"/>
              <w:textAlignment w:val="center"/>
              <w:rPr>
                <w:sz w:val="21"/>
              </w:rPr>
            </w:pPr>
            <w:r>
              <w:rPr>
                <w:kern w:val="0"/>
                <w:sz w:val="21"/>
              </w:rPr>
              <w:t>6</w:t>
            </w:r>
          </w:p>
        </w:tc>
        <w:tc>
          <w:tcPr>
            <w:tcW w:w="851" w:type="dxa"/>
            <w:vMerge w:val="restart"/>
            <w:vAlign w:val="center"/>
          </w:tcPr>
          <w:p>
            <w:pPr>
              <w:widowControl/>
              <w:spacing w:line="288" w:lineRule="auto"/>
              <w:jc w:val="center"/>
              <w:textAlignment w:val="center"/>
              <w:rPr>
                <w:sz w:val="21"/>
              </w:rPr>
            </w:pPr>
            <w:r>
              <w:rPr>
                <w:kern w:val="0"/>
                <w:sz w:val="21"/>
              </w:rPr>
              <w:t>内高H</w:t>
            </w:r>
          </w:p>
        </w:tc>
        <w:tc>
          <w:tcPr>
            <w:tcW w:w="1984" w:type="dxa"/>
            <w:vAlign w:val="center"/>
          </w:tcPr>
          <w:p>
            <w:pPr>
              <w:widowControl/>
              <w:spacing w:line="288" w:lineRule="auto"/>
              <w:jc w:val="center"/>
              <w:textAlignment w:val="center"/>
              <w:rPr>
                <w:sz w:val="21"/>
              </w:rPr>
            </w:pPr>
            <w:r>
              <w:rPr>
                <w:kern w:val="0"/>
                <w:sz w:val="21"/>
              </w:rPr>
              <w:t xml:space="preserve">600 </w:t>
            </w:r>
            <w:r>
              <w:rPr>
                <w:sz w:val="21"/>
              </w:rPr>
              <w:t xml:space="preserve">～ </w:t>
            </w:r>
            <w:r>
              <w:rPr>
                <w:kern w:val="0"/>
                <w:sz w:val="21"/>
              </w:rPr>
              <w:t>1500</w:t>
            </w:r>
          </w:p>
        </w:tc>
        <w:tc>
          <w:tcPr>
            <w:tcW w:w="3817" w:type="dxa"/>
            <w:vAlign w:val="center"/>
          </w:tcPr>
          <w:p>
            <w:pPr>
              <w:widowControl/>
              <w:spacing w:line="288"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continue"/>
            <w:vAlign w:val="center"/>
          </w:tcPr>
          <w:p>
            <w:pPr>
              <w:spacing w:line="288" w:lineRule="auto"/>
              <w:jc w:val="center"/>
              <w:rPr>
                <w:sz w:val="21"/>
              </w:rPr>
            </w:pPr>
          </w:p>
        </w:tc>
        <w:tc>
          <w:tcPr>
            <w:tcW w:w="851" w:type="dxa"/>
            <w:vMerge w:val="continue"/>
            <w:vAlign w:val="center"/>
          </w:tcPr>
          <w:p>
            <w:pPr>
              <w:spacing w:line="288" w:lineRule="auto"/>
              <w:jc w:val="center"/>
              <w:rPr>
                <w:sz w:val="21"/>
              </w:rPr>
            </w:pPr>
          </w:p>
        </w:tc>
        <w:tc>
          <w:tcPr>
            <w:tcW w:w="1984" w:type="dxa"/>
            <w:vAlign w:val="center"/>
          </w:tcPr>
          <w:p>
            <w:pPr>
              <w:widowControl/>
              <w:spacing w:line="288" w:lineRule="auto"/>
              <w:jc w:val="center"/>
              <w:textAlignment w:val="center"/>
              <w:rPr>
                <w:sz w:val="21"/>
              </w:rPr>
            </w:pPr>
            <w:r>
              <w:rPr>
                <w:kern w:val="0"/>
                <w:sz w:val="21"/>
              </w:rPr>
              <w:t xml:space="preserve">1800 </w:t>
            </w:r>
            <w:r>
              <w:rPr>
                <w:sz w:val="21"/>
              </w:rPr>
              <w:t xml:space="preserve">～ </w:t>
            </w:r>
            <w:r>
              <w:rPr>
                <w:kern w:val="0"/>
                <w:sz w:val="21"/>
              </w:rPr>
              <w:t>3900</w:t>
            </w:r>
          </w:p>
        </w:tc>
        <w:tc>
          <w:tcPr>
            <w:tcW w:w="3817" w:type="dxa"/>
            <w:vAlign w:val="center"/>
          </w:tcPr>
          <w:p>
            <w:pPr>
              <w:widowControl/>
              <w:spacing w:line="288" w:lineRule="auto"/>
              <w:jc w:val="center"/>
              <w:textAlignment w:val="center"/>
              <w:rPr>
                <w:sz w:val="21"/>
              </w:rPr>
            </w:pPr>
            <w:r>
              <w:rPr>
                <w:kern w:val="0"/>
                <w:sz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continue"/>
            <w:vAlign w:val="center"/>
          </w:tcPr>
          <w:p>
            <w:pPr>
              <w:spacing w:line="288" w:lineRule="auto"/>
              <w:jc w:val="center"/>
              <w:rPr>
                <w:sz w:val="21"/>
              </w:rPr>
            </w:pPr>
          </w:p>
        </w:tc>
        <w:tc>
          <w:tcPr>
            <w:tcW w:w="851" w:type="dxa"/>
            <w:vMerge w:val="continue"/>
            <w:vAlign w:val="center"/>
          </w:tcPr>
          <w:p>
            <w:pPr>
              <w:spacing w:line="288" w:lineRule="auto"/>
              <w:jc w:val="center"/>
              <w:rPr>
                <w:sz w:val="21"/>
              </w:rPr>
            </w:pPr>
          </w:p>
        </w:tc>
        <w:tc>
          <w:tcPr>
            <w:tcW w:w="1984" w:type="dxa"/>
            <w:vAlign w:val="center"/>
          </w:tcPr>
          <w:p>
            <w:pPr>
              <w:widowControl/>
              <w:spacing w:line="288" w:lineRule="auto"/>
              <w:jc w:val="center"/>
              <w:textAlignment w:val="center"/>
              <w:rPr>
                <w:sz w:val="21"/>
              </w:rPr>
            </w:pPr>
            <w:r>
              <w:rPr>
                <w:kern w:val="0"/>
                <w:sz w:val="21"/>
              </w:rPr>
              <w:t xml:space="preserve">4200 </w:t>
            </w:r>
            <w:r>
              <w:rPr>
                <w:sz w:val="21"/>
              </w:rPr>
              <w:t xml:space="preserve">～ </w:t>
            </w:r>
            <w:r>
              <w:rPr>
                <w:kern w:val="0"/>
                <w:sz w:val="21"/>
              </w:rPr>
              <w:t>7200</w:t>
            </w:r>
          </w:p>
        </w:tc>
        <w:tc>
          <w:tcPr>
            <w:tcW w:w="3817" w:type="dxa"/>
            <w:vAlign w:val="center"/>
          </w:tcPr>
          <w:p>
            <w:pPr>
              <w:widowControl/>
              <w:spacing w:line="288" w:lineRule="auto"/>
              <w:jc w:val="center"/>
              <w:textAlignment w:val="center"/>
              <w:rPr>
                <w:sz w:val="21"/>
              </w:rPr>
            </w:pPr>
            <w:r>
              <w:rPr>
                <w:kern w:val="0"/>
                <w:sz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Align w:val="center"/>
          </w:tcPr>
          <w:p>
            <w:pPr>
              <w:widowControl/>
              <w:spacing w:line="288" w:lineRule="auto"/>
              <w:jc w:val="center"/>
              <w:textAlignment w:val="center"/>
              <w:rPr>
                <w:kern w:val="0"/>
                <w:sz w:val="21"/>
              </w:rPr>
            </w:pPr>
          </w:p>
        </w:tc>
        <w:tc>
          <w:tcPr>
            <w:tcW w:w="2835" w:type="dxa"/>
            <w:gridSpan w:val="2"/>
            <w:vAlign w:val="center"/>
          </w:tcPr>
          <w:p>
            <w:pPr>
              <w:widowControl/>
              <w:spacing w:line="288" w:lineRule="auto"/>
              <w:jc w:val="center"/>
              <w:textAlignment w:val="center"/>
              <w:rPr>
                <w:kern w:val="0"/>
                <w:sz w:val="21"/>
              </w:rPr>
            </w:pPr>
            <w:r>
              <w:rPr>
                <w:kern w:val="0"/>
                <w:sz w:val="21"/>
              </w:rPr>
              <w:t>外宽B</w:t>
            </w:r>
          </w:p>
        </w:tc>
        <w:tc>
          <w:tcPr>
            <w:tcW w:w="3817" w:type="dxa"/>
            <w:vAlign w:val="center"/>
          </w:tcPr>
          <w:p>
            <w:pPr>
              <w:widowControl/>
              <w:spacing w:line="288" w:lineRule="auto"/>
              <w:jc w:val="center"/>
              <w:textAlignment w:val="center"/>
              <w:rPr>
                <w:kern w:val="0"/>
                <w:sz w:val="21"/>
              </w:rPr>
            </w:pPr>
            <w:r>
              <w:rPr>
                <w:kern w:val="0"/>
                <w:sz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Align w:val="center"/>
          </w:tcPr>
          <w:p>
            <w:pPr>
              <w:widowControl/>
              <w:spacing w:line="288" w:lineRule="auto"/>
              <w:jc w:val="center"/>
              <w:textAlignment w:val="center"/>
              <w:rPr>
                <w:sz w:val="21"/>
              </w:rPr>
            </w:pPr>
            <w:r>
              <w:rPr>
                <w:kern w:val="0"/>
                <w:sz w:val="21"/>
              </w:rPr>
              <w:t>7</w:t>
            </w:r>
          </w:p>
        </w:tc>
        <w:tc>
          <w:tcPr>
            <w:tcW w:w="2835" w:type="dxa"/>
            <w:gridSpan w:val="2"/>
            <w:vAlign w:val="center"/>
          </w:tcPr>
          <w:p>
            <w:pPr>
              <w:widowControl/>
              <w:spacing w:line="288" w:lineRule="auto"/>
              <w:jc w:val="center"/>
              <w:textAlignment w:val="center"/>
              <w:rPr>
                <w:sz w:val="21"/>
              </w:rPr>
            </w:pPr>
            <w:r>
              <w:rPr>
                <w:kern w:val="0"/>
                <w:sz w:val="21"/>
              </w:rPr>
              <w:t>有效长度L</w:t>
            </w:r>
          </w:p>
        </w:tc>
        <w:tc>
          <w:tcPr>
            <w:tcW w:w="3817" w:type="dxa"/>
            <w:vAlign w:val="center"/>
          </w:tcPr>
          <w:p>
            <w:pPr>
              <w:widowControl/>
              <w:spacing w:line="288" w:lineRule="auto"/>
              <w:jc w:val="center"/>
              <w:textAlignment w:val="center"/>
              <w:rPr>
                <w:kern w:val="0"/>
                <w:sz w:val="21"/>
              </w:rPr>
            </w:pPr>
            <w:r>
              <w:rPr>
                <w:kern w:val="0"/>
                <w:sz w:val="21"/>
              </w:rPr>
              <w:t>+10</w:t>
            </w:r>
          </w:p>
          <w:p>
            <w:pPr>
              <w:widowControl/>
              <w:spacing w:line="288"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88" w:lineRule="auto"/>
              <w:jc w:val="center"/>
              <w:textAlignment w:val="center"/>
              <w:rPr>
                <w:sz w:val="21"/>
              </w:rPr>
            </w:pPr>
            <w:r>
              <w:rPr>
                <w:kern w:val="0"/>
                <w:sz w:val="21"/>
              </w:rPr>
              <w:t>8</w:t>
            </w:r>
          </w:p>
        </w:tc>
        <w:tc>
          <w:tcPr>
            <w:tcW w:w="851" w:type="dxa"/>
            <w:vMerge w:val="restart"/>
            <w:vAlign w:val="center"/>
          </w:tcPr>
          <w:p>
            <w:pPr>
              <w:widowControl/>
              <w:spacing w:line="288" w:lineRule="auto"/>
              <w:jc w:val="center"/>
              <w:textAlignment w:val="center"/>
              <w:rPr>
                <w:sz w:val="21"/>
              </w:rPr>
            </w:pPr>
            <w:r>
              <w:rPr>
                <w:kern w:val="0"/>
                <w:sz w:val="21"/>
              </w:rPr>
              <w:t>腋角 宽×高</w:t>
            </w:r>
          </w:p>
        </w:tc>
        <w:tc>
          <w:tcPr>
            <w:tcW w:w="1984" w:type="dxa"/>
            <w:vAlign w:val="center"/>
          </w:tcPr>
          <w:p>
            <w:pPr>
              <w:widowControl/>
              <w:spacing w:line="288" w:lineRule="auto"/>
              <w:jc w:val="center"/>
              <w:textAlignment w:val="center"/>
              <w:rPr>
                <w:sz w:val="21"/>
              </w:rPr>
            </w:pPr>
            <w:r>
              <w:rPr>
                <w:kern w:val="0"/>
                <w:sz w:val="21"/>
              </w:rPr>
              <w:t>a</w:t>
            </w:r>
            <w:r>
              <w:rPr>
                <w:kern w:val="0"/>
                <w:sz w:val="21"/>
                <w:vertAlign w:val="subscript"/>
              </w:rPr>
              <w:t>1</w:t>
            </w:r>
          </w:p>
        </w:tc>
        <w:tc>
          <w:tcPr>
            <w:tcW w:w="3817" w:type="dxa"/>
            <w:vAlign w:val="center"/>
          </w:tcPr>
          <w:p>
            <w:pPr>
              <w:widowControl/>
              <w:spacing w:line="288"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continue"/>
            <w:vAlign w:val="center"/>
          </w:tcPr>
          <w:p>
            <w:pPr>
              <w:spacing w:line="288" w:lineRule="auto"/>
              <w:jc w:val="center"/>
              <w:rPr>
                <w:sz w:val="21"/>
              </w:rPr>
            </w:pPr>
          </w:p>
        </w:tc>
        <w:tc>
          <w:tcPr>
            <w:tcW w:w="851" w:type="dxa"/>
            <w:vMerge w:val="continue"/>
            <w:vAlign w:val="center"/>
          </w:tcPr>
          <w:p>
            <w:pPr>
              <w:spacing w:line="288" w:lineRule="auto"/>
              <w:jc w:val="center"/>
              <w:rPr>
                <w:sz w:val="21"/>
              </w:rPr>
            </w:pPr>
          </w:p>
        </w:tc>
        <w:tc>
          <w:tcPr>
            <w:tcW w:w="1984" w:type="dxa"/>
            <w:vAlign w:val="center"/>
          </w:tcPr>
          <w:p>
            <w:pPr>
              <w:widowControl/>
              <w:spacing w:line="288" w:lineRule="auto"/>
              <w:jc w:val="center"/>
              <w:textAlignment w:val="center"/>
              <w:rPr>
                <w:sz w:val="21"/>
              </w:rPr>
            </w:pPr>
            <w:r>
              <w:rPr>
                <w:kern w:val="0"/>
                <w:sz w:val="21"/>
              </w:rPr>
              <w:t>b</w:t>
            </w:r>
            <w:r>
              <w:rPr>
                <w:kern w:val="0"/>
                <w:sz w:val="21"/>
                <w:vertAlign w:val="subscript"/>
              </w:rPr>
              <w:t>1</w:t>
            </w:r>
          </w:p>
        </w:tc>
        <w:tc>
          <w:tcPr>
            <w:tcW w:w="3817" w:type="dxa"/>
            <w:vAlign w:val="center"/>
          </w:tcPr>
          <w:p>
            <w:pPr>
              <w:widowControl/>
              <w:spacing w:line="288"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88" w:lineRule="auto"/>
              <w:jc w:val="center"/>
              <w:textAlignment w:val="center"/>
              <w:rPr>
                <w:sz w:val="21"/>
              </w:rPr>
            </w:pPr>
            <w:r>
              <w:rPr>
                <w:kern w:val="0"/>
                <w:sz w:val="21"/>
              </w:rPr>
              <w:t>9</w:t>
            </w:r>
          </w:p>
        </w:tc>
        <w:tc>
          <w:tcPr>
            <w:tcW w:w="851" w:type="dxa"/>
            <w:vMerge w:val="restart"/>
            <w:vAlign w:val="center"/>
          </w:tcPr>
          <w:p>
            <w:pPr>
              <w:widowControl/>
              <w:spacing w:line="288" w:lineRule="auto"/>
              <w:jc w:val="center"/>
              <w:textAlignment w:val="center"/>
              <w:rPr>
                <w:sz w:val="21"/>
              </w:rPr>
            </w:pPr>
            <w:r>
              <w:rPr>
                <w:kern w:val="0"/>
                <w:sz w:val="21"/>
              </w:rPr>
              <w:t>壁厚</w:t>
            </w:r>
          </w:p>
        </w:tc>
        <w:tc>
          <w:tcPr>
            <w:tcW w:w="1984" w:type="dxa"/>
            <w:vAlign w:val="center"/>
          </w:tcPr>
          <w:p>
            <w:pPr>
              <w:widowControl/>
              <w:spacing w:line="288" w:lineRule="auto"/>
              <w:jc w:val="center"/>
              <w:textAlignment w:val="center"/>
              <w:rPr>
                <w:sz w:val="21"/>
              </w:rPr>
            </w:pPr>
            <w:r>
              <w:rPr>
                <w:kern w:val="0"/>
                <w:sz w:val="21"/>
              </w:rPr>
              <w:t>顶板T</w:t>
            </w:r>
            <w:r>
              <w:rPr>
                <w:kern w:val="0"/>
                <w:sz w:val="21"/>
                <w:vertAlign w:val="subscript"/>
              </w:rPr>
              <w:t>1</w:t>
            </w:r>
          </w:p>
        </w:tc>
        <w:tc>
          <w:tcPr>
            <w:tcW w:w="3817" w:type="dxa"/>
            <w:vAlign w:val="center"/>
          </w:tcPr>
          <w:p>
            <w:pPr>
              <w:widowControl/>
              <w:spacing w:line="288"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continue"/>
            <w:vAlign w:val="center"/>
          </w:tcPr>
          <w:p>
            <w:pPr>
              <w:spacing w:line="288" w:lineRule="auto"/>
              <w:jc w:val="center"/>
              <w:rPr>
                <w:sz w:val="21"/>
              </w:rPr>
            </w:pPr>
          </w:p>
        </w:tc>
        <w:tc>
          <w:tcPr>
            <w:tcW w:w="851" w:type="dxa"/>
            <w:vMerge w:val="continue"/>
            <w:vAlign w:val="center"/>
          </w:tcPr>
          <w:p>
            <w:pPr>
              <w:spacing w:line="288" w:lineRule="auto"/>
              <w:jc w:val="center"/>
              <w:rPr>
                <w:sz w:val="21"/>
              </w:rPr>
            </w:pPr>
          </w:p>
        </w:tc>
        <w:tc>
          <w:tcPr>
            <w:tcW w:w="1984" w:type="dxa"/>
            <w:vAlign w:val="center"/>
          </w:tcPr>
          <w:p>
            <w:pPr>
              <w:widowControl/>
              <w:spacing w:line="288" w:lineRule="auto"/>
              <w:jc w:val="center"/>
              <w:textAlignment w:val="center"/>
              <w:rPr>
                <w:sz w:val="21"/>
              </w:rPr>
            </w:pPr>
            <w:r>
              <w:rPr>
                <w:kern w:val="0"/>
                <w:sz w:val="21"/>
              </w:rPr>
              <w:t>侧板T</w:t>
            </w:r>
            <w:r>
              <w:rPr>
                <w:kern w:val="0"/>
                <w:sz w:val="21"/>
                <w:vertAlign w:val="subscript"/>
              </w:rPr>
              <w:t>2</w:t>
            </w:r>
          </w:p>
        </w:tc>
        <w:tc>
          <w:tcPr>
            <w:tcW w:w="3817" w:type="dxa"/>
            <w:vAlign w:val="center"/>
          </w:tcPr>
          <w:p>
            <w:pPr>
              <w:widowControl/>
              <w:spacing w:line="288"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88" w:lineRule="auto"/>
              <w:jc w:val="center"/>
              <w:textAlignment w:val="center"/>
              <w:rPr>
                <w:sz w:val="21"/>
              </w:rPr>
            </w:pPr>
            <w:r>
              <w:rPr>
                <w:kern w:val="0"/>
                <w:sz w:val="21"/>
              </w:rPr>
              <w:t>10</w:t>
            </w:r>
          </w:p>
        </w:tc>
        <w:tc>
          <w:tcPr>
            <w:tcW w:w="2835" w:type="dxa"/>
            <w:gridSpan w:val="2"/>
            <w:vAlign w:val="center"/>
          </w:tcPr>
          <w:p>
            <w:pPr>
              <w:widowControl/>
              <w:spacing w:line="288" w:lineRule="auto"/>
              <w:jc w:val="center"/>
              <w:textAlignment w:val="center"/>
              <w:rPr>
                <w:sz w:val="21"/>
              </w:rPr>
            </w:pPr>
            <w:r>
              <w:rPr>
                <w:kern w:val="0"/>
                <w:sz w:val="21"/>
              </w:rPr>
              <w:t>预留孔位置</w:t>
            </w:r>
          </w:p>
        </w:tc>
        <w:tc>
          <w:tcPr>
            <w:tcW w:w="3817" w:type="dxa"/>
            <w:vAlign w:val="center"/>
          </w:tcPr>
          <w:p>
            <w:pPr>
              <w:widowControl/>
              <w:spacing w:line="288"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704" w:type="dxa"/>
            <w:vMerge w:val="continue"/>
            <w:vAlign w:val="center"/>
          </w:tcPr>
          <w:p>
            <w:pPr>
              <w:spacing w:line="288" w:lineRule="auto"/>
              <w:jc w:val="center"/>
              <w:rPr>
                <w:sz w:val="21"/>
              </w:rPr>
            </w:pPr>
          </w:p>
        </w:tc>
        <w:tc>
          <w:tcPr>
            <w:tcW w:w="2835" w:type="dxa"/>
            <w:gridSpan w:val="2"/>
            <w:vAlign w:val="center"/>
          </w:tcPr>
          <w:p>
            <w:pPr>
              <w:widowControl/>
              <w:spacing w:line="288" w:lineRule="auto"/>
              <w:jc w:val="center"/>
              <w:textAlignment w:val="center"/>
              <w:rPr>
                <w:sz w:val="21"/>
              </w:rPr>
            </w:pPr>
            <w:r>
              <w:rPr>
                <w:kern w:val="0"/>
                <w:sz w:val="21"/>
              </w:rPr>
              <w:t>预埋件位置</w:t>
            </w:r>
          </w:p>
        </w:tc>
        <w:tc>
          <w:tcPr>
            <w:tcW w:w="3817" w:type="dxa"/>
            <w:vAlign w:val="center"/>
          </w:tcPr>
          <w:p>
            <w:pPr>
              <w:widowControl/>
              <w:spacing w:line="288" w:lineRule="auto"/>
              <w:jc w:val="center"/>
              <w:textAlignment w:val="center"/>
              <w:rPr>
                <w:sz w:val="21"/>
              </w:rPr>
            </w:pPr>
            <w:r>
              <w:rPr>
                <w:kern w:val="0"/>
                <w:sz w:val="21"/>
              </w:rPr>
              <w:t>±5</w:t>
            </w:r>
          </w:p>
        </w:tc>
      </w:tr>
    </w:tbl>
    <w:p>
      <w:pPr>
        <w:jc w:val="center"/>
        <w:rPr>
          <w:rFonts w:eastAsiaTheme="minorEastAsia"/>
          <w:sz w:val="21"/>
        </w:rPr>
      </w:pPr>
    </w:p>
    <w:p>
      <w:pPr>
        <w:jc w:val="center"/>
        <w:rPr>
          <w:rFonts w:eastAsiaTheme="minorEastAsia"/>
          <w:b/>
          <w:bCs/>
          <w:sz w:val="21"/>
        </w:rPr>
      </w:pPr>
      <w:r>
        <w:rPr>
          <w:rFonts w:eastAsiaTheme="minorEastAsia"/>
          <w:b/>
          <w:bCs/>
          <w:sz w:val="21"/>
        </w:rPr>
        <w:t>表6.7.1</w:t>
      </w:r>
      <w:r>
        <w:rPr>
          <w:rFonts w:hint="eastAsia" w:eastAsiaTheme="minorEastAsia"/>
          <w:b/>
          <w:bCs/>
          <w:sz w:val="21"/>
        </w:rPr>
        <w:t>3</w:t>
      </w:r>
      <w:r>
        <w:rPr>
          <w:rFonts w:eastAsiaTheme="minorEastAsia"/>
          <w:b/>
          <w:bCs/>
          <w:sz w:val="21"/>
        </w:rPr>
        <w:t>-2  管节接口尺寸允许偏差（mm）</w:t>
      </w:r>
    </w:p>
    <w:tbl>
      <w:tblPr>
        <w:tblStyle w:val="36"/>
        <w:tblW w:w="73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
      <w:tblGrid>
        <w:gridCol w:w="1852"/>
        <w:gridCol w:w="2269"/>
        <w:gridCol w:w="32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1852" w:type="dxa"/>
            <w:vAlign w:val="center"/>
          </w:tcPr>
          <w:p>
            <w:pPr>
              <w:widowControl/>
              <w:spacing w:line="288" w:lineRule="auto"/>
              <w:jc w:val="center"/>
              <w:textAlignment w:val="center"/>
              <w:rPr>
                <w:sz w:val="21"/>
              </w:rPr>
            </w:pPr>
            <w:r>
              <w:rPr>
                <w:kern w:val="0"/>
                <w:sz w:val="21"/>
              </w:rPr>
              <w:t>序号</w:t>
            </w:r>
          </w:p>
        </w:tc>
        <w:tc>
          <w:tcPr>
            <w:tcW w:w="2269" w:type="dxa"/>
            <w:vAlign w:val="center"/>
          </w:tcPr>
          <w:p>
            <w:pPr>
              <w:widowControl/>
              <w:spacing w:line="288" w:lineRule="auto"/>
              <w:jc w:val="center"/>
              <w:textAlignment w:val="center"/>
              <w:rPr>
                <w:sz w:val="21"/>
              </w:rPr>
            </w:pPr>
            <w:r>
              <w:rPr>
                <w:kern w:val="0"/>
                <w:sz w:val="21"/>
              </w:rPr>
              <w:t>项目</w:t>
            </w:r>
          </w:p>
        </w:tc>
        <w:tc>
          <w:tcPr>
            <w:tcW w:w="3251" w:type="dxa"/>
            <w:vAlign w:val="center"/>
          </w:tcPr>
          <w:p>
            <w:pPr>
              <w:widowControl/>
              <w:spacing w:line="288" w:lineRule="auto"/>
              <w:jc w:val="center"/>
              <w:textAlignment w:val="center"/>
              <w:rPr>
                <w:sz w:val="21"/>
              </w:rPr>
            </w:pPr>
            <w:r>
              <w:rPr>
                <w:kern w:val="0"/>
                <w:sz w:val="21"/>
              </w:rPr>
              <w:t>质量要求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1852" w:type="dxa"/>
            <w:vAlign w:val="center"/>
          </w:tcPr>
          <w:p>
            <w:pPr>
              <w:widowControl/>
              <w:spacing w:line="288" w:lineRule="auto"/>
              <w:jc w:val="center"/>
              <w:textAlignment w:val="center"/>
              <w:rPr>
                <w:sz w:val="21"/>
              </w:rPr>
            </w:pPr>
            <w:r>
              <w:rPr>
                <w:kern w:val="0"/>
                <w:sz w:val="21"/>
              </w:rPr>
              <w:t>1</w:t>
            </w:r>
          </w:p>
        </w:tc>
        <w:tc>
          <w:tcPr>
            <w:tcW w:w="2269" w:type="dxa"/>
            <w:vAlign w:val="center"/>
          </w:tcPr>
          <w:p>
            <w:pPr>
              <w:widowControl/>
              <w:spacing w:line="288" w:lineRule="auto"/>
              <w:jc w:val="center"/>
              <w:textAlignment w:val="center"/>
              <w:rPr>
                <w:sz w:val="21"/>
              </w:rPr>
            </w:pPr>
            <w:r>
              <w:rPr>
                <w:kern w:val="0"/>
                <w:sz w:val="21"/>
              </w:rPr>
              <w:t>接口间隙d</w:t>
            </w:r>
          </w:p>
        </w:tc>
        <w:tc>
          <w:tcPr>
            <w:tcW w:w="3251" w:type="dxa"/>
            <w:vAlign w:val="center"/>
          </w:tcPr>
          <w:p>
            <w:pPr>
              <w:widowControl/>
              <w:spacing w:line="288" w:lineRule="auto"/>
              <w:jc w:val="center"/>
              <w:textAlignment w:val="center"/>
              <w:rPr>
                <w:sz w:val="21"/>
              </w:rPr>
            </w:pPr>
            <w:r>
              <w:rPr>
                <w:kern w:val="0"/>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5" w:type="dxa"/>
            <w:left w:w="15" w:type="dxa"/>
            <w:bottom w:w="15" w:type="dxa"/>
            <w:right w:w="15" w:type="dxa"/>
          </w:tblCellMar>
        </w:tblPrEx>
        <w:trPr>
          <w:trHeight w:val="397" w:hRule="atLeast"/>
          <w:jc w:val="center"/>
        </w:trPr>
        <w:tc>
          <w:tcPr>
            <w:tcW w:w="1852" w:type="dxa"/>
            <w:vAlign w:val="center"/>
          </w:tcPr>
          <w:p>
            <w:pPr>
              <w:widowControl/>
              <w:spacing w:line="288" w:lineRule="auto"/>
              <w:jc w:val="center"/>
              <w:textAlignment w:val="center"/>
              <w:rPr>
                <w:sz w:val="21"/>
              </w:rPr>
            </w:pPr>
            <w:r>
              <w:rPr>
                <w:kern w:val="0"/>
                <w:sz w:val="21"/>
              </w:rPr>
              <w:t>2</w:t>
            </w:r>
          </w:p>
        </w:tc>
        <w:tc>
          <w:tcPr>
            <w:tcW w:w="2269" w:type="dxa"/>
            <w:vAlign w:val="center"/>
          </w:tcPr>
          <w:p>
            <w:pPr>
              <w:widowControl/>
              <w:spacing w:line="288" w:lineRule="auto"/>
              <w:jc w:val="center"/>
              <w:textAlignment w:val="center"/>
              <w:rPr>
                <w:sz w:val="21"/>
              </w:rPr>
            </w:pPr>
            <w:r>
              <w:rPr>
                <w:kern w:val="0"/>
                <w:sz w:val="21"/>
              </w:rPr>
              <w:t>接口图上注明尺寸</w:t>
            </w:r>
          </w:p>
        </w:tc>
        <w:tc>
          <w:tcPr>
            <w:tcW w:w="3251" w:type="dxa"/>
            <w:vAlign w:val="center"/>
          </w:tcPr>
          <w:p>
            <w:pPr>
              <w:widowControl/>
              <w:spacing w:line="288" w:lineRule="auto"/>
              <w:jc w:val="center"/>
              <w:textAlignment w:val="center"/>
              <w:rPr>
                <w:sz w:val="21"/>
              </w:rPr>
            </w:pPr>
            <w:r>
              <w:rPr>
                <w:kern w:val="0"/>
                <w:sz w:val="21"/>
              </w:rPr>
              <w:t>±2</w:t>
            </w:r>
          </w:p>
        </w:tc>
      </w:tr>
    </w:tbl>
    <w:p>
      <w:pPr>
        <w:rPr>
          <w:rFonts w:eastAsia="仿宋"/>
        </w:rPr>
      </w:pPr>
      <w:r>
        <w:rPr>
          <w:rFonts w:eastAsia="仿宋"/>
          <w:b/>
          <w:bCs/>
        </w:rPr>
        <w:t xml:space="preserve">【条文说明】：6.7.13 </w:t>
      </w:r>
      <w:r>
        <w:rPr>
          <w:rFonts w:eastAsia="仿宋"/>
        </w:rPr>
        <w:t xml:space="preserve"> 本条管节几何尺寸/接口尺寸允许偏差数据参照了四川省地方标准《预制混凝土箱涵》报批稿相关内容。</w:t>
      </w:r>
    </w:p>
    <w:p>
      <w:pPr>
        <w:rPr>
          <w:bCs/>
        </w:rPr>
      </w:pPr>
    </w:p>
    <w:p>
      <w:pPr>
        <w:rPr>
          <w:b/>
        </w:rPr>
        <w:sectPr>
          <w:pgSz w:w="11906" w:h="16838"/>
          <w:pgMar w:top="1440" w:right="1800" w:bottom="1440" w:left="1800" w:header="851" w:footer="992" w:gutter="0"/>
          <w:cols w:space="425" w:num="1"/>
          <w:docGrid w:type="lines" w:linePitch="312" w:charSpace="0"/>
        </w:sectPr>
      </w:pPr>
    </w:p>
    <w:p>
      <w:pPr>
        <w:pStyle w:val="2"/>
        <w:rPr>
          <w:rFonts w:eastAsiaTheme="minorEastAsia"/>
        </w:rPr>
      </w:pPr>
      <w:bookmarkStart w:id="103" w:name="_Toc10150"/>
      <w:r>
        <w:rPr>
          <w:rFonts w:hint="eastAsia"/>
        </w:rPr>
        <w:fldChar w:fldCharType="begin"/>
      </w:r>
      <w:r>
        <w:instrText xml:space="preserve"> HYPERLINK \l "_Toc30255" </w:instrText>
      </w:r>
      <w:r>
        <w:rPr>
          <w:rFonts w:hint="eastAsia"/>
        </w:rPr>
        <w:fldChar w:fldCharType="separate"/>
      </w:r>
      <w:bookmarkStart w:id="104" w:name="_Toc18057051"/>
      <w:r>
        <w:rPr>
          <w:rFonts w:eastAsiaTheme="minorEastAsia"/>
        </w:rPr>
        <w:t xml:space="preserve">7  </w:t>
      </w:r>
      <w:r>
        <w:rPr>
          <w:rFonts w:hint="eastAsia" w:eastAsiaTheme="minorEastAsia"/>
        </w:rPr>
        <w:t>工作井施工</w:t>
      </w:r>
      <w:bookmarkEnd w:id="104"/>
      <w:r>
        <w:rPr>
          <w:rFonts w:hint="eastAsia" w:eastAsiaTheme="minorEastAsia"/>
        </w:rPr>
        <w:fldChar w:fldCharType="end"/>
      </w:r>
      <w:bookmarkEnd w:id="103"/>
      <w:r>
        <w:rPr>
          <w:rFonts w:hint="eastAsia" w:eastAsiaTheme="minorEastAsia"/>
        </w:rPr>
        <w:t xml:space="preserve"> </w:t>
      </w:r>
    </w:p>
    <w:p>
      <w:pPr>
        <w:pStyle w:val="3"/>
      </w:pPr>
      <w:bookmarkStart w:id="105" w:name="_Toc436297527"/>
      <w:bookmarkStart w:id="106" w:name="_Toc464739837"/>
      <w:bookmarkStart w:id="107" w:name="_Toc464739761"/>
      <w:bookmarkStart w:id="108" w:name="_Toc427133029"/>
      <w:bookmarkStart w:id="109" w:name="_Toc441067457"/>
      <w:bookmarkStart w:id="110" w:name="_Toc425326020"/>
      <w:bookmarkStart w:id="111" w:name="_Toc440352207"/>
      <w:bookmarkStart w:id="112" w:name="_Toc425510764"/>
      <w:bookmarkStart w:id="113" w:name="_Toc441067571"/>
      <w:bookmarkStart w:id="114" w:name="_Toc427140092"/>
      <w:bookmarkStart w:id="115" w:name="_Toc525221314"/>
      <w:bookmarkStart w:id="116" w:name="_Toc525219697"/>
      <w:bookmarkStart w:id="117" w:name="_Toc525220331"/>
      <w:bookmarkStart w:id="118" w:name="_Toc18057052"/>
      <w:bookmarkStart w:id="119" w:name="_Toc12374"/>
      <w:bookmarkStart w:id="120" w:name="_Toc189361191"/>
      <w:bookmarkStart w:id="121" w:name="_Toc187134230"/>
      <w:bookmarkStart w:id="122" w:name="_Toc189361279"/>
      <w:bookmarkStart w:id="123" w:name="_Toc187566676"/>
      <w:bookmarkStart w:id="124" w:name="_Toc187219745"/>
      <w:bookmarkStart w:id="125" w:name="_Toc187133002"/>
      <w:bookmarkStart w:id="126" w:name="_Toc188966036"/>
      <w:bookmarkStart w:id="127" w:name="_Toc193079252"/>
      <w:bookmarkStart w:id="128" w:name="_Toc193079185"/>
      <w:bookmarkStart w:id="129" w:name="_Toc213486135"/>
      <w:bookmarkStart w:id="130" w:name="_Toc212013562"/>
      <w:bookmarkStart w:id="131" w:name="_Toc187204907"/>
      <w:bookmarkStart w:id="132" w:name="_Toc187133505"/>
      <w:bookmarkStart w:id="133" w:name="_Toc187136500"/>
      <w:bookmarkStart w:id="134" w:name="_Toc188776376"/>
      <w:bookmarkStart w:id="135" w:name="_Toc187201560"/>
      <w:r>
        <w:t xml:space="preserve">7.1 </w:t>
      </w:r>
      <w:bookmarkEnd w:id="105"/>
      <w:bookmarkEnd w:id="106"/>
      <w:bookmarkEnd w:id="107"/>
      <w:bookmarkEnd w:id="108"/>
      <w:bookmarkEnd w:id="109"/>
      <w:bookmarkEnd w:id="110"/>
      <w:bookmarkEnd w:id="111"/>
      <w:bookmarkEnd w:id="112"/>
      <w:bookmarkEnd w:id="113"/>
      <w:bookmarkEnd w:id="114"/>
      <w:r>
        <w:t xml:space="preserve"> 一般规定</w:t>
      </w:r>
      <w:bookmarkEnd w:id="115"/>
      <w:bookmarkEnd w:id="116"/>
      <w:bookmarkEnd w:id="117"/>
      <w:bookmarkEnd w:id="118"/>
      <w:bookmarkEnd w:id="119"/>
    </w:p>
    <w:p>
      <w:r>
        <w:rPr>
          <w:b/>
        </w:rPr>
        <w:t xml:space="preserve">7.1.1 </w:t>
      </w:r>
      <w:r>
        <w:t xml:space="preserve"> 始发井的位置应按</w:t>
      </w:r>
      <w:r>
        <w:rPr>
          <w:rFonts w:hint="eastAsia"/>
        </w:rPr>
        <w:t>下列</w:t>
      </w:r>
      <w:r>
        <w:t>因素确定：</w:t>
      </w:r>
    </w:p>
    <w:p>
      <w:pPr>
        <w:ind w:firstLine="480" w:firstLineChars="200"/>
      </w:pPr>
      <w:r>
        <w:rPr>
          <w:bCs/>
        </w:rPr>
        <w:t xml:space="preserve">1  </w:t>
      </w:r>
      <w:r>
        <w:t>宜利用管线上的</w:t>
      </w:r>
      <w:r>
        <w:rPr>
          <w:rFonts w:hint="eastAsia"/>
        </w:rPr>
        <w:t>工作</w:t>
      </w:r>
      <w:r>
        <w:t>井，宜选择在管道井室位置；</w:t>
      </w:r>
    </w:p>
    <w:p>
      <w:pPr>
        <w:ind w:firstLine="480" w:firstLineChars="200"/>
      </w:pPr>
      <w:r>
        <w:rPr>
          <w:bCs/>
        </w:rPr>
        <w:t xml:space="preserve">2  </w:t>
      </w:r>
      <w:r>
        <w:t>应考虑排水、出土和运输方便</w:t>
      </w:r>
      <w:r>
        <w:rPr>
          <w:rFonts w:hint="eastAsia"/>
        </w:rPr>
        <w:t>，并</w:t>
      </w:r>
      <w:r>
        <w:t>靠近电源和水源；</w:t>
      </w:r>
    </w:p>
    <w:p>
      <w:pPr>
        <w:ind w:firstLine="480" w:firstLineChars="200"/>
      </w:pPr>
      <w:r>
        <w:rPr>
          <w:rFonts w:hint="eastAsia"/>
          <w:bCs/>
        </w:rPr>
        <w:t>3</w:t>
      </w:r>
      <w:r>
        <w:rPr>
          <w:bCs/>
        </w:rPr>
        <w:t xml:space="preserve">  </w:t>
      </w:r>
      <w:r>
        <w:t>应远离居民区和高压线</w:t>
      </w:r>
      <w:r>
        <w:rPr>
          <w:rFonts w:hint="eastAsia"/>
        </w:rPr>
        <w:t>，</w:t>
      </w:r>
      <w:r>
        <w:t>尽量避开现有构(建)筑物，减小施工扰动对周围环境的影响；</w:t>
      </w:r>
    </w:p>
    <w:p>
      <w:pPr>
        <w:ind w:firstLine="480" w:firstLineChars="200"/>
      </w:pPr>
      <w:r>
        <w:rPr>
          <w:rFonts w:hint="eastAsia"/>
          <w:bCs/>
        </w:rPr>
        <w:t>4</w:t>
      </w:r>
      <w:r>
        <w:rPr>
          <w:bCs/>
        </w:rPr>
        <w:t xml:space="preserve">  </w:t>
      </w:r>
      <w:r>
        <w:t>当管线坡度较大时，</w:t>
      </w:r>
      <w:r>
        <w:rPr>
          <w:rFonts w:hint="eastAsia"/>
        </w:rPr>
        <w:t>始发</w:t>
      </w:r>
      <w:r>
        <w:t>井宜设置在管线埋置较深一端；顶管单向顶进时宜设在下游一侧</w:t>
      </w:r>
      <w:r>
        <w:rPr>
          <w:rFonts w:hint="eastAsia"/>
        </w:rPr>
        <w:t>。</w:t>
      </w:r>
    </w:p>
    <w:p>
      <w:pPr>
        <w:rPr>
          <w:rFonts w:eastAsia="仿宋"/>
        </w:rPr>
      </w:pPr>
      <w:r>
        <w:rPr>
          <w:rFonts w:eastAsia="仿宋"/>
          <w:b/>
          <w:bCs/>
        </w:rPr>
        <w:t>【条文说明】：7.1.1</w:t>
      </w:r>
      <w:r>
        <w:rPr>
          <w:rFonts w:eastAsia="仿宋"/>
        </w:rPr>
        <w:t xml:space="preserve">  工作井围护结构应根据工程水文地质条件、邻近建（构）筑物、地下与地上管线情况，以及结构受力、施工安全等要求，经技术经济比较后确定。</w:t>
      </w:r>
    </w:p>
    <w:p>
      <w:r>
        <w:rPr>
          <w:b/>
          <w:bCs/>
        </w:rPr>
        <w:t>7.1.2</w:t>
      </w:r>
      <w:r>
        <w:t xml:space="preserve">  </w:t>
      </w:r>
      <w:r>
        <w:rPr>
          <w:rFonts w:hint="eastAsia"/>
        </w:rPr>
        <w:t>始发</w:t>
      </w:r>
      <w:r>
        <w:t>井的结构</w:t>
      </w:r>
      <w:r>
        <w:rPr>
          <w:rFonts w:hint="eastAsia"/>
        </w:rPr>
        <w:t>应符合下列规定：</w:t>
      </w:r>
    </w:p>
    <w:p>
      <w:pPr>
        <w:ind w:firstLine="480" w:firstLineChars="200"/>
      </w:pPr>
      <w:r>
        <w:rPr>
          <w:rFonts w:hint="eastAsia"/>
        </w:rPr>
        <w:t>1</w:t>
      </w:r>
      <w:r>
        <w:t xml:space="preserve">  </w:t>
      </w:r>
      <w:r>
        <w:rPr>
          <w:rFonts w:hint="eastAsia"/>
        </w:rPr>
        <w:t>应</w:t>
      </w:r>
      <w:r>
        <w:t>满足井壁支护及顶管始发推进</w:t>
      </w:r>
      <w:r>
        <w:rPr>
          <w:rFonts w:hint="eastAsia"/>
        </w:rPr>
        <w:t>反力的</w:t>
      </w:r>
      <w:r>
        <w:t>作用</w:t>
      </w:r>
      <w:r>
        <w:rPr>
          <w:rFonts w:hint="eastAsia"/>
        </w:rPr>
        <w:t>；</w:t>
      </w:r>
    </w:p>
    <w:p>
      <w:pPr>
        <w:ind w:firstLine="480" w:firstLineChars="200"/>
      </w:pPr>
      <w:r>
        <w:rPr>
          <w:rFonts w:hint="eastAsia"/>
        </w:rPr>
        <w:t>2</w:t>
      </w:r>
      <w:r>
        <w:t xml:space="preserve">  </w:t>
      </w:r>
      <w:r>
        <w:rPr>
          <w:rFonts w:hint="eastAsia"/>
        </w:rPr>
        <w:t>始发</w:t>
      </w:r>
      <w:r>
        <w:t>井和接收井围护结构形式应根据工程地质条件、水文地质条件、邻近建（构）筑物、地上与地下管线情况，结构受力及施工安全等要求合理选型</w:t>
      </w:r>
      <w:r>
        <w:rPr>
          <w:rFonts w:hint="eastAsia"/>
        </w:rPr>
        <w:t>；</w:t>
      </w:r>
    </w:p>
    <w:p>
      <w:pPr>
        <w:ind w:firstLine="480" w:firstLineChars="200"/>
      </w:pPr>
      <w:r>
        <w:rPr>
          <w:rFonts w:hint="eastAsia"/>
        </w:rPr>
        <w:t>3</w:t>
      </w:r>
      <w:r>
        <w:t xml:space="preserve">  </w:t>
      </w:r>
      <w:r>
        <w:rPr>
          <w:rFonts w:hint="eastAsia"/>
        </w:rPr>
        <w:t>始发</w:t>
      </w:r>
      <w:r>
        <w:t>井和接收井可采用钢板桩、沉井、地下连续墙、灌注桩或型钢水泥土搅拌墙等结构形式</w:t>
      </w:r>
      <w:r>
        <w:rPr>
          <w:rFonts w:hint="eastAsia"/>
        </w:rPr>
        <w:t>进行施工</w:t>
      </w:r>
      <w:r>
        <w:t>。</w:t>
      </w:r>
    </w:p>
    <w:p>
      <w:r>
        <w:rPr>
          <w:b/>
        </w:rPr>
        <w:t xml:space="preserve">7.1.3  </w:t>
      </w:r>
      <w:r>
        <w:rPr>
          <w:rFonts w:hint="eastAsia"/>
        </w:rPr>
        <w:t>始发</w:t>
      </w:r>
      <w:r>
        <w:t>井的尺寸确定</w:t>
      </w:r>
      <w:r>
        <w:rPr>
          <w:rFonts w:hint="eastAsia"/>
        </w:rPr>
        <w:t>：</w:t>
      </w:r>
    </w:p>
    <w:p>
      <w:pPr>
        <w:ind w:firstLine="480" w:firstLineChars="200"/>
      </w:pPr>
      <w:r>
        <w:rPr>
          <w:bCs/>
        </w:rPr>
        <w:t xml:space="preserve">1  </w:t>
      </w:r>
      <w:r>
        <w:rPr>
          <w:rFonts w:hint="eastAsia"/>
        </w:rPr>
        <w:t>始发</w:t>
      </w:r>
      <w:r>
        <w:t>井的最小净长度</w:t>
      </w:r>
      <w:r>
        <w:rPr>
          <w:rFonts w:hint="eastAsia"/>
        </w:rPr>
        <w:t>按顶管机长度确定时，</w:t>
      </w:r>
      <w:r>
        <w:t>宜按下式计算：</w:t>
      </w:r>
    </w:p>
    <w:p>
      <w:pPr>
        <w:ind w:firstLine="960" w:firstLineChars="400"/>
      </w:pPr>
      <w:r>
        <w:rPr>
          <w:i/>
        </w:rPr>
        <w:t>L</w:t>
      </w:r>
      <w:r>
        <w:rPr>
          <w:rFonts w:hint="eastAsia"/>
          <w:i/>
        </w:rPr>
        <w:t>≥</w:t>
      </w:r>
      <w:r>
        <w:rPr>
          <w:i/>
        </w:rPr>
        <w:t>L</w:t>
      </w:r>
      <w:r>
        <w:rPr>
          <w:vertAlign w:val="subscript"/>
        </w:rPr>
        <w:t>1</w:t>
      </w:r>
      <w:r>
        <w:t>+</w:t>
      </w:r>
      <w:r>
        <w:rPr>
          <w:i/>
        </w:rPr>
        <w:t>L</w:t>
      </w:r>
      <w:r>
        <w:rPr>
          <w:vertAlign w:val="subscript"/>
        </w:rPr>
        <w:t>3</w:t>
      </w:r>
      <w:r>
        <w:t>+</w:t>
      </w:r>
      <w:r>
        <w:rPr>
          <w:i/>
        </w:rPr>
        <w:t>L</w:t>
      </w:r>
      <w:r>
        <w:rPr>
          <w:vertAlign w:val="subscript"/>
        </w:rPr>
        <w:t>4</w:t>
      </w:r>
      <w:r>
        <w:t>+</w:t>
      </w:r>
      <w:r>
        <w:rPr>
          <w:i/>
        </w:rPr>
        <w:t>S</w:t>
      </w:r>
      <w:r>
        <w:rPr>
          <w:vertAlign w:val="subscript"/>
        </w:rPr>
        <w:t>1</w:t>
      </w:r>
      <w:r>
        <w:t>+</w:t>
      </w:r>
      <w:r>
        <w:rPr>
          <w:i/>
        </w:rPr>
        <w:t>S</w:t>
      </w:r>
      <w:r>
        <w:rPr>
          <w:vertAlign w:val="subscript"/>
        </w:rPr>
        <w:t>2</w:t>
      </w:r>
      <w:r>
        <w:t>+</w:t>
      </w:r>
      <w:r>
        <w:rPr>
          <w:i/>
        </w:rPr>
        <w:t>S</w:t>
      </w:r>
      <w:r>
        <w:rPr>
          <w:vertAlign w:val="subscript"/>
        </w:rPr>
        <w:t>3</w:t>
      </w:r>
      <w:r>
        <w:t xml:space="preserve">                             </w:t>
      </w:r>
      <w:bookmarkStart w:id="136" w:name="_Hlk511053143"/>
      <w:r>
        <w:t>（7.1.3-1）</w:t>
      </w:r>
      <w:bookmarkEnd w:id="136"/>
    </w:p>
    <w:p>
      <w:pPr>
        <w:ind w:firstLine="480" w:firstLineChars="200"/>
      </w:pPr>
      <w:r>
        <w:t>式中：</w:t>
      </w:r>
      <w:r>
        <w:rPr>
          <w:i/>
        </w:rPr>
        <w:t>L</w:t>
      </w:r>
      <w:r>
        <w:t>——</w:t>
      </w:r>
      <w:r>
        <w:rPr>
          <w:rFonts w:hint="eastAsia"/>
        </w:rPr>
        <w:t>始发</w:t>
      </w:r>
      <w:r>
        <w:t>井最小净长度（m）；</w:t>
      </w:r>
    </w:p>
    <w:p>
      <w:pPr>
        <w:ind w:firstLine="480" w:firstLineChars="200"/>
      </w:pPr>
      <w:r>
        <w:t xml:space="preserve">     </w:t>
      </w:r>
      <w:r>
        <w:rPr>
          <w:i/>
        </w:rPr>
        <w:t xml:space="preserve"> L</w:t>
      </w:r>
      <w:r>
        <w:rPr>
          <w:i/>
          <w:vertAlign w:val="subscript"/>
        </w:rPr>
        <w:t>1</w:t>
      </w:r>
      <w:r>
        <w:rPr>
          <w:i/>
        </w:rPr>
        <w:t>——</w:t>
      </w:r>
      <w:r>
        <w:t>顶管机长度</w:t>
      </w:r>
      <w:r>
        <w:rPr>
          <w:rFonts w:hint="eastAsia"/>
        </w:rPr>
        <w:t>（m）；</w:t>
      </w:r>
    </w:p>
    <w:p>
      <w:pPr>
        <w:ind w:firstLine="1200" w:firstLineChars="500"/>
      </w:pPr>
      <w:r>
        <w:rPr>
          <w:i/>
        </w:rPr>
        <w:t>L</w:t>
      </w:r>
      <w:r>
        <w:rPr>
          <w:vertAlign w:val="subscript"/>
        </w:rPr>
        <w:t>3</w:t>
      </w:r>
      <w:r>
        <w:t>——液压缸长度（m）；</w:t>
      </w:r>
    </w:p>
    <w:p>
      <w:pPr>
        <w:ind w:firstLine="480" w:firstLineChars="200"/>
      </w:pPr>
      <w:r>
        <w:t xml:space="preserve">      </w:t>
      </w:r>
      <w:r>
        <w:rPr>
          <w:i/>
        </w:rPr>
        <w:t>L</w:t>
      </w:r>
      <w:r>
        <w:rPr>
          <w:vertAlign w:val="subscript"/>
        </w:rPr>
        <w:t>4</w:t>
      </w:r>
      <w:r>
        <w:t>——后座及扩散段厚度（m）；</w:t>
      </w:r>
    </w:p>
    <w:p>
      <w:pPr>
        <w:ind w:firstLine="480" w:firstLineChars="200"/>
      </w:pPr>
      <w:r>
        <w:t xml:space="preserve">      </w:t>
      </w:r>
      <w:r>
        <w:rPr>
          <w:i/>
        </w:rPr>
        <w:t>S</w:t>
      </w:r>
      <w:r>
        <w:rPr>
          <w:vertAlign w:val="subscript"/>
        </w:rPr>
        <w:t>1</w:t>
      </w:r>
      <w:r>
        <w:t>——顶入管段留在导轨上的最小长度（m），可取0.5m；</w:t>
      </w:r>
    </w:p>
    <w:p>
      <w:pPr>
        <w:ind w:firstLine="480" w:firstLineChars="200"/>
      </w:pPr>
      <w:r>
        <w:t xml:space="preserve">      </w:t>
      </w:r>
      <w:r>
        <w:rPr>
          <w:i/>
        </w:rPr>
        <w:t>S</w:t>
      </w:r>
      <w:r>
        <w:rPr>
          <w:vertAlign w:val="subscript"/>
        </w:rPr>
        <w:t>2</w:t>
      </w:r>
      <w:r>
        <w:t>——顶铁厚度（m）；</w:t>
      </w:r>
    </w:p>
    <w:p>
      <w:pPr>
        <w:ind w:firstLine="480" w:firstLineChars="200"/>
      </w:pPr>
      <w:r>
        <w:t xml:space="preserve">      </w:t>
      </w:r>
      <w:r>
        <w:rPr>
          <w:i/>
        </w:rPr>
        <w:t>S</w:t>
      </w:r>
      <w:r>
        <w:rPr>
          <w:vertAlign w:val="subscript"/>
        </w:rPr>
        <w:t>3</w:t>
      </w:r>
      <w:r>
        <w:t>——考虑顶进管段回缩及便于安装管段所留附加间隙（m），可取0.2m。</w:t>
      </w:r>
    </w:p>
    <w:p>
      <w:pPr>
        <w:ind w:firstLine="480" w:firstLineChars="200"/>
      </w:pPr>
      <w:r>
        <w:rPr>
          <w:bCs/>
        </w:rPr>
        <w:t>2</w:t>
      </w:r>
      <w:r>
        <w:t xml:space="preserve">  </w:t>
      </w:r>
      <w:r>
        <w:rPr>
          <w:rFonts w:hint="eastAsia"/>
        </w:rPr>
        <w:t>始发</w:t>
      </w:r>
      <w:r>
        <w:t>井的最小净长度</w:t>
      </w:r>
      <w:r>
        <w:rPr>
          <w:rFonts w:hint="eastAsia"/>
        </w:rPr>
        <w:t>按管节长度确定时，</w:t>
      </w:r>
      <w:r>
        <w:t>宜按下式计算：</w:t>
      </w:r>
    </w:p>
    <w:p>
      <w:pPr>
        <w:ind w:right="480" w:firstLine="480" w:firstLineChars="200"/>
        <w:jc w:val="right"/>
        <w:rPr>
          <w:rFonts w:asciiTheme="minorEastAsia" w:hAnsiTheme="minorEastAsia" w:eastAsiaTheme="minorEastAsia"/>
        </w:rPr>
      </w:pPr>
      <w:r>
        <w:rPr>
          <w:rFonts w:asciiTheme="minorEastAsia" w:hAnsiTheme="minorEastAsia" w:eastAsiaTheme="minorEastAsia"/>
          <w:i/>
        </w:rPr>
        <w:t>L</w:t>
      </w:r>
      <w:r>
        <w:rPr>
          <w:rFonts w:hint="eastAsia" w:asciiTheme="minorEastAsia" w:hAnsiTheme="minorEastAsia" w:eastAsiaTheme="minorEastAsia"/>
          <w:i/>
        </w:rPr>
        <w:t>≥</w:t>
      </w:r>
      <w:r>
        <w:rPr>
          <w:rFonts w:asciiTheme="minorEastAsia" w:hAnsiTheme="minorEastAsia" w:eastAsiaTheme="minorEastAsia"/>
          <w:i/>
        </w:rPr>
        <w:t>L</w:t>
      </w:r>
      <w:r>
        <w:rPr>
          <w:rFonts w:asciiTheme="minorEastAsia" w:hAnsiTheme="minorEastAsia" w:eastAsiaTheme="minorEastAsia"/>
          <w:vertAlign w:val="subscript"/>
        </w:rPr>
        <w:t>2</w:t>
      </w:r>
      <w:r>
        <w:rPr>
          <w:rFonts w:asciiTheme="minorEastAsia" w:hAnsiTheme="minorEastAsia" w:eastAsiaTheme="minorEastAsia"/>
        </w:rPr>
        <w:t>+</w:t>
      </w:r>
      <w:r>
        <w:rPr>
          <w:rFonts w:asciiTheme="minorEastAsia" w:hAnsiTheme="minorEastAsia" w:eastAsiaTheme="minorEastAsia"/>
          <w:i/>
        </w:rPr>
        <w:t>L</w:t>
      </w:r>
      <w:r>
        <w:rPr>
          <w:rFonts w:asciiTheme="minorEastAsia" w:hAnsiTheme="minorEastAsia" w:eastAsiaTheme="minorEastAsia"/>
          <w:vertAlign w:val="subscript"/>
        </w:rPr>
        <w:t>3</w:t>
      </w:r>
      <w:r>
        <w:rPr>
          <w:rFonts w:asciiTheme="minorEastAsia" w:hAnsiTheme="minorEastAsia" w:eastAsiaTheme="minorEastAsia"/>
        </w:rPr>
        <w:t>+</w:t>
      </w:r>
      <w:r>
        <w:rPr>
          <w:rFonts w:asciiTheme="minorEastAsia" w:hAnsiTheme="minorEastAsia" w:eastAsiaTheme="minorEastAsia"/>
          <w:i/>
        </w:rPr>
        <w:t>L</w:t>
      </w:r>
      <w:r>
        <w:rPr>
          <w:rFonts w:asciiTheme="minorEastAsia" w:hAnsiTheme="minorEastAsia" w:eastAsiaTheme="minorEastAsia"/>
          <w:vertAlign w:val="subscript"/>
        </w:rPr>
        <w:t>4</w:t>
      </w:r>
      <w:r>
        <w:rPr>
          <w:rFonts w:asciiTheme="minorEastAsia" w:hAnsiTheme="minorEastAsia" w:eastAsiaTheme="minorEastAsia"/>
        </w:rPr>
        <w:t>+</w:t>
      </w:r>
      <w:r>
        <w:rPr>
          <w:rFonts w:asciiTheme="minorEastAsia" w:hAnsiTheme="minorEastAsia" w:eastAsiaTheme="minorEastAsia"/>
          <w:i/>
        </w:rPr>
        <w:t>S</w:t>
      </w:r>
      <w:r>
        <w:rPr>
          <w:rFonts w:asciiTheme="minorEastAsia" w:hAnsiTheme="minorEastAsia" w:eastAsiaTheme="minorEastAsia"/>
          <w:vertAlign w:val="subscript"/>
        </w:rPr>
        <w:t>1</w:t>
      </w:r>
      <w:r>
        <w:rPr>
          <w:rFonts w:asciiTheme="minorEastAsia" w:hAnsiTheme="minorEastAsia" w:eastAsiaTheme="minorEastAsia"/>
        </w:rPr>
        <w:t>+</w:t>
      </w:r>
      <w:r>
        <w:rPr>
          <w:rFonts w:asciiTheme="minorEastAsia" w:hAnsiTheme="minorEastAsia" w:eastAsiaTheme="minorEastAsia"/>
          <w:i/>
        </w:rPr>
        <w:t>S</w:t>
      </w:r>
      <w:r>
        <w:rPr>
          <w:rFonts w:asciiTheme="minorEastAsia" w:hAnsiTheme="minorEastAsia" w:eastAsiaTheme="minorEastAsia"/>
          <w:vertAlign w:val="subscript"/>
        </w:rPr>
        <w:t>2</w:t>
      </w:r>
      <w:r>
        <w:rPr>
          <w:rFonts w:asciiTheme="minorEastAsia" w:hAnsiTheme="minorEastAsia" w:eastAsiaTheme="minorEastAsia"/>
        </w:rPr>
        <w:t>+</w:t>
      </w:r>
      <w:r>
        <w:rPr>
          <w:rFonts w:asciiTheme="minorEastAsia" w:hAnsiTheme="minorEastAsia" w:eastAsiaTheme="minorEastAsia"/>
          <w:i/>
        </w:rPr>
        <w:t>S</w:t>
      </w:r>
      <w:r>
        <w:rPr>
          <w:rFonts w:asciiTheme="minorEastAsia" w:hAnsiTheme="minorEastAsia" w:eastAsiaTheme="minorEastAsia"/>
          <w:vertAlign w:val="subscript"/>
        </w:rPr>
        <w:t>3</w:t>
      </w:r>
      <w:r>
        <w:rPr>
          <w:rFonts w:asciiTheme="minorEastAsia" w:hAnsiTheme="minorEastAsia" w:eastAsiaTheme="minorEastAsia"/>
        </w:rPr>
        <w:t xml:space="preserve">               </w:t>
      </w:r>
      <w:r>
        <w:t xml:space="preserve">    （7.1.3-2）</w:t>
      </w:r>
    </w:p>
    <w:p>
      <w:r>
        <w:t>式中：</w:t>
      </w:r>
      <w:r>
        <w:rPr>
          <w:i/>
        </w:rPr>
        <w:t>L</w:t>
      </w:r>
      <w:r>
        <w:t>——</w:t>
      </w:r>
      <w:r>
        <w:rPr>
          <w:rFonts w:hint="eastAsia"/>
        </w:rPr>
        <w:t>始发</w:t>
      </w:r>
      <w:r>
        <w:t>井最小净长度（m）；</w:t>
      </w:r>
    </w:p>
    <w:p>
      <w:r>
        <w:t xml:space="preserve">     </w:t>
      </w:r>
      <w:r>
        <w:rPr>
          <w:i/>
        </w:rPr>
        <w:t xml:space="preserve"> L</w:t>
      </w:r>
      <w:r>
        <w:rPr>
          <w:vertAlign w:val="subscript"/>
        </w:rPr>
        <w:t>2</w:t>
      </w:r>
      <w:r>
        <w:t>——</w:t>
      </w:r>
      <w:r>
        <w:rPr>
          <w:rFonts w:hint="eastAsia"/>
        </w:rPr>
        <w:t>可取2</w:t>
      </w:r>
      <w:r>
        <w:t>.5</w:t>
      </w:r>
      <w:r>
        <w:rPr>
          <w:rFonts w:hint="eastAsia"/>
        </w:rPr>
        <w:t>倍</w:t>
      </w:r>
      <w:r>
        <w:t>管段长度；</w:t>
      </w:r>
    </w:p>
    <w:p>
      <w:r>
        <w:t xml:space="preserve">      </w:t>
      </w:r>
      <w:r>
        <w:rPr>
          <w:i/>
        </w:rPr>
        <w:t>L</w:t>
      </w:r>
      <w:r>
        <w:rPr>
          <w:vertAlign w:val="subscript"/>
        </w:rPr>
        <w:t>3</w:t>
      </w:r>
      <w:r>
        <w:t>——液压缸长度（m）；</w:t>
      </w:r>
    </w:p>
    <w:p>
      <w:r>
        <w:t xml:space="preserve">      </w:t>
      </w:r>
      <w:r>
        <w:rPr>
          <w:i/>
        </w:rPr>
        <w:t>L</w:t>
      </w:r>
      <w:r>
        <w:rPr>
          <w:vertAlign w:val="subscript"/>
        </w:rPr>
        <w:t>4</w:t>
      </w:r>
      <w:r>
        <w:t>——后座及扩散段厚度（m）；</w:t>
      </w:r>
    </w:p>
    <w:p>
      <w:r>
        <w:t xml:space="preserve">      </w:t>
      </w:r>
      <w:r>
        <w:rPr>
          <w:i/>
        </w:rPr>
        <w:t>S</w:t>
      </w:r>
      <w:r>
        <w:rPr>
          <w:vertAlign w:val="subscript"/>
        </w:rPr>
        <w:t>1</w:t>
      </w:r>
      <w:r>
        <w:t>——顶入管段留在导轨上的最小长度（m），可取0.5m；</w:t>
      </w:r>
    </w:p>
    <w:p>
      <w:r>
        <w:t xml:space="preserve">      </w:t>
      </w:r>
      <w:r>
        <w:rPr>
          <w:i/>
        </w:rPr>
        <w:t>S</w:t>
      </w:r>
      <w:r>
        <w:rPr>
          <w:vertAlign w:val="subscript"/>
        </w:rPr>
        <w:t>2</w:t>
      </w:r>
      <w:r>
        <w:t>——顶铁厚度（m）；</w:t>
      </w:r>
    </w:p>
    <w:p>
      <w:r>
        <w:t xml:space="preserve">      </w:t>
      </w:r>
      <w:r>
        <w:rPr>
          <w:i/>
        </w:rPr>
        <w:t>S</w:t>
      </w:r>
      <w:r>
        <w:rPr>
          <w:vertAlign w:val="subscript"/>
        </w:rPr>
        <w:t>3</w:t>
      </w:r>
      <w:r>
        <w:t>——考虑顶进管段回缩及便于安装管段所留附加间隙（m），可取0.2m。</w:t>
      </w:r>
    </w:p>
    <w:p>
      <w:pPr>
        <w:ind w:firstLine="480" w:firstLineChars="200"/>
      </w:pPr>
      <w:r>
        <w:rPr>
          <w:bCs/>
        </w:rPr>
        <w:t>3</w:t>
      </w:r>
      <w:r>
        <w:t xml:space="preserve">  </w:t>
      </w:r>
      <w:r>
        <w:rPr>
          <w:rFonts w:hint="eastAsia"/>
        </w:rPr>
        <w:t>始发</w:t>
      </w:r>
      <w:r>
        <w:t>井的最小净宽度宜按下式计算：</w:t>
      </w:r>
    </w:p>
    <w:p>
      <w:pPr>
        <w:ind w:firstLine="1440" w:firstLineChars="600"/>
      </w:pPr>
      <w:r>
        <w:t xml:space="preserve"> </w:t>
      </w:r>
      <w:r>
        <w:rPr>
          <w:position w:val="-12"/>
        </w:rPr>
        <w:object>
          <v:shape id="_x0000_i1306" o:spt="75" type="#_x0000_t75" style="height:21.05pt;width:59.1pt;" o:ole="t" filled="f" o:preferrelative="t" stroked="f" coordsize="21600,21600">
            <v:path/>
            <v:fill on="f" focussize="0,0"/>
            <v:stroke on="f" joinstyle="miter"/>
            <v:imagedata r:id="rId500" o:title=""/>
            <o:lock v:ext="edit" aspectratio="t"/>
            <w10:wrap type="none"/>
            <w10:anchorlock/>
          </v:shape>
          <o:OLEObject Type="Embed" ProgID="Equation.DSMT4" ShapeID="_x0000_i1306" DrawAspect="Content" ObjectID="_1468076006" r:id="rId499">
            <o:LockedField>false</o:LockedField>
          </o:OLEObject>
        </w:object>
      </w:r>
      <w:r>
        <w:t xml:space="preserve">                            （7.1.3-3）</w:t>
      </w:r>
    </w:p>
    <w:p>
      <w:r>
        <w:t>式中：</w:t>
      </w:r>
      <w:r>
        <w:rPr>
          <w:position w:val="-4"/>
        </w:rPr>
        <w:object>
          <v:shape id="_x0000_i1307" o:spt="75" type="#_x0000_t75" style="height:12.9pt;width:12.25pt;" o:ole="t" filled="f" o:preferrelative="t" stroked="f" coordsize="21600,21600">
            <v:path/>
            <v:fill on="f" focussize="0,0"/>
            <v:stroke on="f" joinstyle="miter"/>
            <v:imagedata r:id="rId71" o:title=""/>
            <o:lock v:ext="edit" aspectratio="t"/>
            <w10:wrap type="none"/>
            <w10:anchorlock/>
          </v:shape>
          <o:OLEObject Type="Embed" ProgID="Equation.DSMT4" ShapeID="_x0000_i1307" DrawAspect="Content" ObjectID="_1468076007" r:id="rId501">
            <o:LockedField>false</o:LockedField>
          </o:OLEObject>
        </w:object>
      </w:r>
      <w:r>
        <w:t>——</w:t>
      </w:r>
      <w:r>
        <w:rPr>
          <w:rFonts w:hint="eastAsia"/>
        </w:rPr>
        <w:t>始发</w:t>
      </w:r>
      <w:r>
        <w:t>井的最小净宽度（m）；</w:t>
      </w:r>
    </w:p>
    <w:p>
      <w:r>
        <w:t xml:space="preserve">      </w:t>
      </w:r>
      <w:r>
        <w:rPr>
          <w:position w:val="-10"/>
        </w:rPr>
        <w:object>
          <v:shape id="_x0000_i1308" o:spt="75" type="#_x0000_t75" style="height:17pt;width:12.9pt;" o:ole="t" filled="f" o:preferrelative="t" stroked="f" coordsize="21600,21600">
            <v:path/>
            <v:fill on="f" focussize="0,0"/>
            <v:stroke on="f" joinstyle="miter"/>
            <v:imagedata r:id="rId503" o:title=""/>
            <o:lock v:ext="edit" aspectratio="t"/>
            <w10:wrap type="none"/>
            <w10:anchorlock/>
          </v:shape>
          <o:OLEObject Type="Embed" ProgID="Equation.DSMT4" ShapeID="_x0000_i1308" DrawAspect="Content" ObjectID="_1468076008" r:id="rId502">
            <o:LockedField>false</o:LockedField>
          </o:OLEObject>
        </w:object>
      </w:r>
      <w:r>
        <w:t>——</w:t>
      </w:r>
      <w:r>
        <w:rPr>
          <w:rFonts w:hint="eastAsia"/>
        </w:rPr>
        <w:t>矩形管节外边宽</w:t>
      </w:r>
      <w:r>
        <w:t>（m）；</w:t>
      </w:r>
    </w:p>
    <w:p>
      <w:r>
        <w:t xml:space="preserve">      </w:t>
      </w:r>
      <w:r>
        <w:rPr>
          <w:i/>
        </w:rPr>
        <w:t>b</w:t>
      </w:r>
      <w:r>
        <w:rPr>
          <w:rFonts w:hint="eastAsia"/>
          <w:i/>
          <w:vertAlign w:val="subscript"/>
        </w:rPr>
        <w:t>2</w:t>
      </w:r>
      <w:r>
        <w:t>——施工操作空间（m），可取0.8m～1.5m。</w:t>
      </w:r>
    </w:p>
    <w:p>
      <w:pPr>
        <w:ind w:firstLine="480" w:firstLineChars="200"/>
        <w:rPr>
          <w:b/>
        </w:rPr>
      </w:pPr>
      <w:r>
        <w:rPr>
          <w:bCs/>
        </w:rPr>
        <w:t>4</w:t>
      </w:r>
      <w:r>
        <w:rPr>
          <w:b/>
        </w:rPr>
        <w:t xml:space="preserve">  </w:t>
      </w:r>
      <w:r>
        <w:t>始发井的最小深度可按下式计算：</w:t>
      </w:r>
    </w:p>
    <w:p>
      <w:pPr>
        <w:ind w:firstLine="1440" w:firstLineChars="600"/>
      </w:pPr>
      <w:r>
        <w:t xml:space="preserve"> </w:t>
      </w:r>
      <w:r>
        <w:rPr>
          <w:position w:val="-12"/>
        </w:rPr>
        <w:object>
          <v:shape id="_x0000_i1309" o:spt="75" type="#_x0000_t75" style="height:21.05pt;width:69.95pt;" o:ole="t" filled="f" o:preferrelative="t" stroked="f" coordsize="21600,21600">
            <v:path/>
            <v:fill on="f" focussize="0,0"/>
            <v:stroke on="f" joinstyle="miter"/>
            <v:imagedata r:id="rId505" o:title=""/>
            <o:lock v:ext="edit" aspectratio="t"/>
            <w10:wrap type="none"/>
            <w10:anchorlock/>
          </v:shape>
          <o:OLEObject Type="Embed" ProgID="Equation.DSMT4" ShapeID="_x0000_i1309" DrawAspect="Content" ObjectID="_1468076009" r:id="rId504">
            <o:LockedField>false</o:LockedField>
          </o:OLEObject>
        </w:object>
      </w:r>
      <w:r>
        <w:t xml:space="preserve">                            （7.1.3-4）</w:t>
      </w:r>
    </w:p>
    <w:p>
      <w:r>
        <w:t>式中：</w:t>
      </w:r>
      <w:bookmarkStart w:id="137" w:name="MTBlankEqn"/>
      <w:r>
        <w:rPr>
          <w:position w:val="-4"/>
        </w:rPr>
        <w:object>
          <v:shape id="_x0000_i1310" o:spt="75" type="#_x0000_t75" style="height:10.2pt;width:12.25pt;" o:ole="t" filled="f" o:preferrelative="t" stroked="f" coordsize="21600,21600">
            <v:path/>
            <v:fill on="f" focussize="0,0"/>
            <v:stroke on="f" joinstyle="miter"/>
            <v:imagedata r:id="rId507" o:title=""/>
            <o:lock v:ext="edit" aspectratio="t"/>
            <w10:wrap type="none"/>
            <w10:anchorlock/>
          </v:shape>
          <o:OLEObject Type="Embed" ProgID="Equation.DSMT4" ShapeID="_x0000_i1310" DrawAspect="Content" ObjectID="_1468076010" r:id="rId506">
            <o:LockedField>false</o:LockedField>
          </o:OLEObject>
        </w:object>
      </w:r>
      <w:bookmarkEnd w:id="137"/>
      <w:r>
        <w:t>——</w:t>
      </w:r>
      <w:r>
        <w:rPr>
          <w:rFonts w:hint="eastAsia"/>
        </w:rPr>
        <w:t>始发</w:t>
      </w:r>
      <w:r>
        <w:t>井最小深度（m）；</w:t>
      </w:r>
    </w:p>
    <w:p>
      <w:pPr>
        <w:ind w:firstLine="720" w:firstLineChars="300"/>
      </w:pPr>
      <w:r>
        <w:rPr>
          <w:position w:val="-12"/>
        </w:rPr>
        <w:object>
          <v:shape id="_x0000_i1311" o:spt="75" type="#_x0000_t75" style="height:18.35pt;width:14.25pt;" o:ole="t" filled="f" o:preferrelative="t" stroked="f" coordsize="21600,21600">
            <v:path/>
            <v:fill on="f" focussize="0,0"/>
            <v:stroke on="f" joinstyle="miter"/>
            <v:imagedata r:id="rId509" o:title=""/>
            <o:lock v:ext="edit" aspectratio="t"/>
            <w10:wrap type="none"/>
            <w10:anchorlock/>
          </v:shape>
          <o:OLEObject Type="Embed" ProgID="Equation.DSMT4" ShapeID="_x0000_i1311" DrawAspect="Content" ObjectID="_1468076011" r:id="rId508">
            <o:LockedField>false</o:LockedField>
          </o:OLEObject>
        </w:object>
      </w:r>
      <w:r>
        <w:t>——</w:t>
      </w:r>
      <w:r>
        <w:rPr>
          <w:rFonts w:hint="eastAsia"/>
        </w:rPr>
        <w:t>管顶至原状土地面覆土层厚度</w:t>
      </w:r>
      <w:r>
        <w:t>（m）。</w:t>
      </w:r>
    </w:p>
    <w:p>
      <w:pPr>
        <w:ind w:firstLine="720" w:firstLineChars="300"/>
        <w:rPr>
          <w:rFonts w:asciiTheme="minorHAnsi" w:hAnsiTheme="minorHAnsi" w:eastAsiaTheme="minorEastAsia" w:cstheme="minorBidi"/>
          <w:sz w:val="21"/>
        </w:rPr>
      </w:pPr>
      <w:r>
        <w:rPr>
          <w:position w:val="-12"/>
        </w:rPr>
        <w:object>
          <v:shape id="_x0000_i1312" o:spt="75" type="#_x0000_t75" style="height:21.75pt;width:15.6pt;" o:ole="t" filled="f" o:preferrelative="t" stroked="f" coordsize="21600,21600">
            <v:path/>
            <v:fill on="f" focussize="0,0"/>
            <v:stroke on="f" joinstyle="miter"/>
            <v:imagedata r:id="rId97" o:title=""/>
            <o:lock v:ext="edit" aspectratio="t"/>
            <w10:wrap type="none"/>
            <w10:anchorlock/>
          </v:shape>
          <o:OLEObject Type="Embed" ProgID="Equation.DSMT4" ShapeID="_x0000_i1312" DrawAspect="Content" ObjectID="_1468076012" r:id="rId510">
            <o:LockedField>false</o:LockedField>
          </o:OLEObject>
        </w:object>
      </w:r>
      <w:r>
        <w:rPr>
          <w:lang w:bidi="ar"/>
        </w:rPr>
        <w:t>——</w:t>
      </w:r>
      <w:r>
        <w:rPr>
          <w:rFonts w:hint="eastAsia"/>
        </w:rPr>
        <w:t>矩形管节外边高（m）；</w:t>
      </w:r>
    </w:p>
    <w:p>
      <w:pPr>
        <w:ind w:firstLine="720" w:firstLineChars="300"/>
      </w:pPr>
      <w:r>
        <w:rPr>
          <w:i/>
        </w:rPr>
        <w:t>h</w:t>
      </w:r>
      <w:r>
        <w:rPr>
          <w:rFonts w:hint="eastAsia"/>
          <w:i/>
          <w:vertAlign w:val="subscript"/>
        </w:rPr>
        <w:t>1</w:t>
      </w:r>
      <w:r>
        <w:t>——管底下的操作空间（m），可取0.4m~0.5m。</w:t>
      </w:r>
    </w:p>
    <w:p>
      <w:pPr>
        <w:ind w:firstLine="480" w:firstLineChars="200"/>
      </w:pPr>
      <w:r>
        <w:rPr>
          <w:bCs/>
        </w:rPr>
        <w:t>5</w:t>
      </w:r>
      <w:r>
        <w:rPr>
          <w:b/>
        </w:rPr>
        <w:t xml:space="preserve">  </w:t>
      </w:r>
      <w:r>
        <w:rPr>
          <w:rFonts w:hint="eastAsia"/>
        </w:rPr>
        <w:t>始发</w:t>
      </w:r>
      <w:r>
        <w:t>井的穿墙</w:t>
      </w:r>
      <w:r>
        <w:rPr>
          <w:rFonts w:hint="eastAsia"/>
        </w:rPr>
        <w:t>洞尺寸</w:t>
      </w:r>
      <w:r>
        <w:t>可按下式计算：</w:t>
      </w:r>
    </w:p>
    <w:p>
      <w:pPr>
        <w:ind w:firstLine="1440" w:firstLineChars="600"/>
      </w:pPr>
      <w:r>
        <w:t xml:space="preserve"> </w:t>
      </w:r>
      <w:r>
        <w:rPr>
          <w:position w:val="-12"/>
        </w:rPr>
        <w:object>
          <v:shape id="_x0000_i1313" o:spt="75" type="#_x0000_t75" style="height:21.05pt;width:82.85pt;" o:ole="t" filled="f" o:preferrelative="t" stroked="f" coordsize="21600,21600">
            <v:path/>
            <v:fill on="f" focussize="0,0"/>
            <v:stroke on="f" joinstyle="miter"/>
            <v:imagedata r:id="rId512" o:title=""/>
            <o:lock v:ext="edit" aspectratio="t"/>
            <w10:wrap type="none"/>
            <w10:anchorlock/>
          </v:shape>
          <o:OLEObject Type="Embed" ProgID="Equation.DSMT4" ShapeID="_x0000_i1313" DrawAspect="Content" ObjectID="_1468076013" r:id="rId511">
            <o:LockedField>false</o:LockedField>
          </o:OLEObject>
        </w:object>
      </w:r>
      <w:r>
        <w:t xml:space="preserve">                        （7.1.3-5）</w:t>
      </w:r>
    </w:p>
    <w:p>
      <w:r>
        <w:t xml:space="preserve">             </w:t>
      </w:r>
      <w:r>
        <w:rPr>
          <w:position w:val="-12"/>
        </w:rPr>
        <w:object>
          <v:shape id="_x0000_i1314" o:spt="75" type="#_x0000_t75" style="height:21.05pt;width:76.75pt;" o:ole="t" filled="f" o:preferrelative="t" stroked="f" coordsize="21600,21600">
            <v:path/>
            <v:fill on="f" focussize="0,0"/>
            <v:stroke on="f" joinstyle="miter"/>
            <v:imagedata r:id="rId514" o:title=""/>
            <o:lock v:ext="edit" aspectratio="t"/>
            <w10:wrap type="none"/>
            <w10:anchorlock/>
          </v:shape>
          <o:OLEObject Type="Embed" ProgID="Equation.DSMT4" ShapeID="_x0000_i1314" DrawAspect="Content" ObjectID="_1468076014" r:id="rId513">
            <o:LockedField>false</o:LockedField>
          </o:OLEObject>
        </w:object>
      </w:r>
      <w:r>
        <w:t xml:space="preserve">                         （7.1.3-</w:t>
      </w:r>
      <w:r>
        <w:rPr>
          <w:rFonts w:hint="eastAsia"/>
        </w:rPr>
        <w:t>6</w:t>
      </w:r>
      <w:r>
        <w:t>）</w:t>
      </w:r>
    </w:p>
    <w:p>
      <w:r>
        <w:t>式中：</w:t>
      </w:r>
      <w:r>
        <w:rPr>
          <w:position w:val="-12"/>
        </w:rPr>
        <w:object>
          <v:shape id="_x0000_i1315" o:spt="75" type="#_x0000_t75" style="height:18.35pt;width:21.05pt;" o:ole="t" filled="f" o:preferrelative="t" stroked="f" coordsize="21600,21600">
            <v:path/>
            <v:fill on="f" focussize="0,0"/>
            <v:stroke on="f" joinstyle="miter"/>
            <v:imagedata r:id="rId99" o:title=""/>
            <o:lock v:ext="edit" aspectratio="t"/>
            <w10:wrap type="none"/>
            <w10:anchorlock/>
          </v:shape>
          <o:OLEObject Type="Embed" ProgID="Equation.DSMT4" ShapeID="_x0000_i1315" DrawAspect="Content" ObjectID="_1468076015" r:id="rId515">
            <o:LockedField>false</o:LockedField>
          </o:OLEObject>
        </w:object>
      </w:r>
      <w:r>
        <w:t>——</w:t>
      </w:r>
      <w:r>
        <w:rPr>
          <w:rFonts w:hint="eastAsia"/>
        </w:rPr>
        <w:t>工作</w:t>
      </w:r>
      <w:r>
        <w:t>井的穿墙</w:t>
      </w:r>
      <w:r>
        <w:rPr>
          <w:rFonts w:hint="eastAsia"/>
        </w:rPr>
        <w:t>洞高度</w:t>
      </w:r>
      <w:r>
        <w:t>（m）；</w:t>
      </w:r>
    </w:p>
    <w:p>
      <w:pPr>
        <w:ind w:firstLine="720" w:firstLineChars="300"/>
      </w:pPr>
      <w:r>
        <w:rPr>
          <w:position w:val="-12"/>
        </w:rPr>
        <w:object>
          <v:shape id="_x0000_i1316" o:spt="75" type="#_x0000_t75" style="height:18.35pt;width:18.35pt;" o:ole="t" filled="f" o:preferrelative="t" stroked="f" coordsize="21600,21600">
            <v:path/>
            <v:fill on="f" focussize="0,0"/>
            <v:stroke on="f" joinstyle="miter"/>
            <v:imagedata r:id="rId77" o:title=""/>
            <o:lock v:ext="edit" aspectratio="t"/>
            <w10:wrap type="none"/>
            <w10:anchorlock/>
          </v:shape>
          <o:OLEObject Type="Embed" ProgID="Equation.DSMT4" ShapeID="_x0000_i1316" DrawAspect="Content" ObjectID="_1468076016" r:id="rId516">
            <o:LockedField>false</o:LockedField>
          </o:OLEObject>
        </w:object>
      </w:r>
      <w:r>
        <w:t>——</w:t>
      </w:r>
      <w:r>
        <w:rPr>
          <w:rFonts w:hint="eastAsia"/>
        </w:rPr>
        <w:t>工作</w:t>
      </w:r>
      <w:r>
        <w:t>井的穿墙</w:t>
      </w:r>
      <w:r>
        <w:rPr>
          <w:rFonts w:hint="eastAsia"/>
        </w:rPr>
        <w:t>洞宽度</w:t>
      </w:r>
      <w:r>
        <w:t>（m）。</w:t>
      </w:r>
    </w:p>
    <w:p>
      <w:r>
        <w:rPr>
          <w:b/>
        </w:rPr>
        <w:t xml:space="preserve">7.1.4  </w:t>
      </w:r>
      <w:r>
        <w:rPr>
          <w:rFonts w:hint="eastAsia"/>
        </w:rPr>
        <w:t>始发</w:t>
      </w:r>
      <w:r>
        <w:t>井的穿墙孔应设置止水装置。止水装置可采用盘根止水或橡胶止水，也可采用组合形式止水。止水装置的设置应符合下列规定：</w:t>
      </w:r>
    </w:p>
    <w:p>
      <w:pPr>
        <w:ind w:firstLine="480" w:firstLineChars="200"/>
      </w:pPr>
      <w:r>
        <w:rPr>
          <w:bCs/>
        </w:rPr>
        <w:t xml:space="preserve">1  </w:t>
      </w:r>
      <w:r>
        <w:t>砂土、粉土等土层宜采用盘根止水；</w:t>
      </w:r>
    </w:p>
    <w:p>
      <w:pPr>
        <w:ind w:firstLine="480" w:firstLineChars="200"/>
      </w:pPr>
      <w:r>
        <w:rPr>
          <w:bCs/>
        </w:rPr>
        <w:t xml:space="preserve">2  </w:t>
      </w:r>
      <w:r>
        <w:t>黏性土土层宜采用橡胶止水；</w:t>
      </w:r>
    </w:p>
    <w:p>
      <w:pPr>
        <w:ind w:firstLine="480" w:firstLineChars="200"/>
      </w:pPr>
      <w:r>
        <w:rPr>
          <w:bCs/>
        </w:rPr>
        <w:t xml:space="preserve">3  </w:t>
      </w:r>
      <w:r>
        <w:t>在长距离顶管或承压水土层中宜采用多道或组合形式止水；</w:t>
      </w:r>
    </w:p>
    <w:p>
      <w:pPr>
        <w:ind w:firstLine="480" w:firstLineChars="200"/>
      </w:pPr>
      <w:r>
        <w:rPr>
          <w:bCs/>
        </w:rPr>
        <w:t xml:space="preserve">4  </w:t>
      </w:r>
      <w:r>
        <w:t>顶管结束后，管道与穿墙孔的间隙应及时进行封堵。</w:t>
      </w:r>
    </w:p>
    <w:p>
      <w:pPr>
        <w:rPr>
          <w:rFonts w:eastAsia="仿宋"/>
        </w:rPr>
      </w:pPr>
      <w:r>
        <w:rPr>
          <w:rFonts w:eastAsia="仿宋"/>
          <w:b/>
          <w:bCs/>
        </w:rPr>
        <w:t>【条文说明】：7.1.4</w:t>
      </w:r>
      <w:r>
        <w:rPr>
          <w:rFonts w:eastAsia="仿宋"/>
        </w:rPr>
        <w:t xml:space="preserve">  盘根止水穿墙管可用于下列情况：</w:t>
      </w:r>
    </w:p>
    <w:p>
      <w:pPr>
        <w:ind w:firstLine="480" w:firstLineChars="200"/>
        <w:rPr>
          <w:rFonts w:eastAsia="仿宋"/>
        </w:rPr>
      </w:pPr>
      <w:r>
        <w:rPr>
          <w:rFonts w:eastAsia="仿宋"/>
          <w:bCs/>
        </w:rPr>
        <w:t xml:space="preserve">1  </w:t>
      </w:r>
      <w:r>
        <w:rPr>
          <w:rFonts w:eastAsia="仿宋"/>
        </w:rPr>
        <w:t>穿墙管处于透水层（包括砂土、粉土和砾石）；</w:t>
      </w:r>
    </w:p>
    <w:p>
      <w:pPr>
        <w:ind w:firstLine="480" w:firstLineChars="200"/>
        <w:rPr>
          <w:rFonts w:eastAsia="仿宋"/>
        </w:rPr>
      </w:pPr>
      <w:r>
        <w:rPr>
          <w:rFonts w:eastAsia="仿宋"/>
          <w:bCs/>
        </w:rPr>
        <w:t xml:space="preserve">2  </w:t>
      </w:r>
      <w:r>
        <w:rPr>
          <w:rFonts w:eastAsia="仿宋"/>
        </w:rPr>
        <w:t>地下水压力大于0.08MPa；</w:t>
      </w:r>
    </w:p>
    <w:p>
      <w:pPr>
        <w:ind w:firstLine="480" w:firstLineChars="200"/>
        <w:rPr>
          <w:rFonts w:eastAsia="仿宋"/>
        </w:rPr>
      </w:pPr>
      <w:r>
        <w:rPr>
          <w:rFonts w:eastAsia="仿宋"/>
          <w:bCs/>
        </w:rPr>
        <w:t xml:space="preserve">3  </w:t>
      </w:r>
      <w:r>
        <w:rPr>
          <w:rFonts w:eastAsia="仿宋"/>
        </w:rPr>
        <w:t>穿墙管兼作释放管道温度应力的伸缩结构。</w:t>
      </w:r>
    </w:p>
    <w:p>
      <w:pPr>
        <w:ind w:firstLine="480" w:firstLineChars="200"/>
        <w:rPr>
          <w:rFonts w:eastAsia="仿宋"/>
        </w:rPr>
      </w:pPr>
      <w:r>
        <w:rPr>
          <w:rFonts w:eastAsia="仿宋"/>
        </w:rPr>
        <w:t>橡胶板止水穿墙管可用于下列情况：</w:t>
      </w:r>
    </w:p>
    <w:p>
      <w:pPr>
        <w:ind w:firstLine="480" w:firstLineChars="200"/>
        <w:rPr>
          <w:rFonts w:eastAsia="仿宋"/>
        </w:rPr>
      </w:pPr>
      <w:r>
        <w:rPr>
          <w:rFonts w:eastAsia="仿宋"/>
          <w:bCs/>
        </w:rPr>
        <w:t xml:space="preserve">1  </w:t>
      </w:r>
      <w:r>
        <w:rPr>
          <w:rFonts w:eastAsia="仿宋"/>
        </w:rPr>
        <w:t>穿墙管处于渗透系数小的粘性土土层；</w:t>
      </w:r>
    </w:p>
    <w:p>
      <w:pPr>
        <w:ind w:firstLine="480" w:firstLineChars="200"/>
        <w:rPr>
          <w:rFonts w:eastAsia="仿宋"/>
        </w:rPr>
      </w:pPr>
      <w:r>
        <w:rPr>
          <w:rFonts w:eastAsia="仿宋"/>
          <w:bCs/>
        </w:rPr>
        <w:t xml:space="preserve">2  </w:t>
      </w:r>
      <w:r>
        <w:rPr>
          <w:rFonts w:eastAsia="仿宋"/>
        </w:rPr>
        <w:t>穿墙管处的地下水压力小于或等于0.08MPa；</w:t>
      </w:r>
    </w:p>
    <w:p>
      <w:pPr>
        <w:ind w:firstLine="480" w:firstLineChars="200"/>
        <w:rPr>
          <w:rFonts w:eastAsia="仿宋"/>
        </w:rPr>
      </w:pPr>
      <w:r>
        <w:rPr>
          <w:rFonts w:eastAsia="仿宋"/>
        </w:rPr>
        <w:t>顶管结束后，永久性工作井上的橡胶板止水穿墙管应改造成永久性柔性堵头。穿墙管临时封填可采用下列材料：</w:t>
      </w:r>
    </w:p>
    <w:p>
      <w:pPr>
        <w:ind w:firstLine="480" w:firstLineChars="200"/>
        <w:rPr>
          <w:rFonts w:eastAsia="仿宋"/>
        </w:rPr>
      </w:pPr>
      <w:r>
        <w:rPr>
          <w:rFonts w:eastAsia="仿宋"/>
          <w:bCs/>
        </w:rPr>
        <w:t xml:space="preserve">1  </w:t>
      </w:r>
      <w:r>
        <w:rPr>
          <w:rFonts w:eastAsia="仿宋"/>
        </w:rPr>
        <w:t>沉井穿墙管可采用砖砌体或低强度水泥土；</w:t>
      </w:r>
    </w:p>
    <w:p>
      <w:pPr>
        <w:ind w:firstLine="480" w:firstLineChars="200"/>
        <w:rPr>
          <w:rFonts w:eastAsia="仿宋"/>
          <w:color w:val="0070C0"/>
        </w:rPr>
      </w:pPr>
      <w:r>
        <w:rPr>
          <w:rFonts w:eastAsia="仿宋"/>
          <w:bCs/>
        </w:rPr>
        <w:t xml:space="preserve">2  </w:t>
      </w:r>
      <w:r>
        <w:rPr>
          <w:rFonts w:eastAsia="仿宋"/>
        </w:rPr>
        <w:t>地下连续墙穿墙管可用低强度水泥土或钢板。</w:t>
      </w:r>
    </w:p>
    <w:p>
      <w:r>
        <w:rPr>
          <w:b/>
        </w:rPr>
        <w:t xml:space="preserve">7.1.5  </w:t>
      </w:r>
      <w:r>
        <w:t>接收井的最小净长度和净宽度应满足顶管机在井内拆除和吊出的要求。</w:t>
      </w:r>
    </w:p>
    <w:p>
      <w:r>
        <w:rPr>
          <w:b/>
        </w:rPr>
        <w:t xml:space="preserve">7.1.6  </w:t>
      </w:r>
      <w:r>
        <w:t>接收井的穿墙孔应考虑止水要求，其</w:t>
      </w:r>
      <w:r>
        <w:rPr>
          <w:rFonts w:hint="eastAsia"/>
        </w:rPr>
        <w:t>尺寸</w:t>
      </w:r>
      <w:r>
        <w:t>可按下式计算：</w:t>
      </w:r>
    </w:p>
    <w:p>
      <w:pPr>
        <w:wordWrap w:val="0"/>
        <w:ind w:right="840"/>
        <w:jc w:val="right"/>
        <w:rPr>
          <w:rFonts w:eastAsiaTheme="minorEastAsia"/>
        </w:rPr>
      </w:pPr>
      <w:r>
        <w:rPr>
          <w:position w:val="-16"/>
        </w:rPr>
        <w:object>
          <v:shape id="_x0000_i1317" o:spt="75" type="#_x0000_t75" style="height:23.1pt;width:82.85pt;" o:ole="t" filled="f" o:preferrelative="t" stroked="f" coordsize="21600,21600">
            <v:path/>
            <v:fill on="f" focussize="0,0"/>
            <v:stroke on="f" joinstyle="miter"/>
            <v:imagedata r:id="rId518" o:title=""/>
            <o:lock v:ext="edit" aspectratio="t"/>
            <w10:wrap type="none"/>
            <w10:anchorlock/>
          </v:shape>
          <o:OLEObject Type="Embed" ProgID="Equation.DSMT4" ShapeID="_x0000_i1317" DrawAspect="Content" ObjectID="_1468076017" r:id="rId517">
            <o:LockedField>false</o:LockedField>
          </o:OLEObject>
        </w:object>
      </w:r>
      <w:r>
        <w:rPr>
          <w:rFonts w:eastAsiaTheme="minorEastAsia"/>
        </w:rPr>
        <w:t xml:space="preserve">                      （7.1.6-1）</w:t>
      </w:r>
    </w:p>
    <w:p>
      <w:pPr>
        <w:rPr>
          <w:rFonts w:asciiTheme="minorEastAsia" w:hAnsiTheme="minorEastAsia" w:eastAsiaTheme="minorEastAsia"/>
        </w:rPr>
      </w:pPr>
      <w:r>
        <w:rPr>
          <w:rFonts w:eastAsiaTheme="minorEastAsia"/>
        </w:rPr>
        <w:t xml:space="preserve">                  </w:t>
      </w:r>
      <w:r>
        <w:rPr>
          <w:position w:val="-16"/>
        </w:rPr>
        <w:object>
          <v:shape id="_x0000_i1318" o:spt="75" type="#_x0000_t75" style="height:23.1pt;width:75.4pt;" o:ole="t" filled="f" o:preferrelative="t" stroked="f" coordsize="21600,21600">
            <v:path/>
            <v:fill on="f" focussize="0,0"/>
            <v:stroke on="f" joinstyle="miter"/>
            <v:imagedata r:id="rId520" o:title=""/>
            <o:lock v:ext="edit" aspectratio="t"/>
            <w10:wrap type="none"/>
            <w10:anchorlock/>
          </v:shape>
          <o:OLEObject Type="Embed" ProgID="Equation.DSMT4" ShapeID="_x0000_i1318" DrawAspect="Content" ObjectID="_1468076018" r:id="rId519">
            <o:LockedField>false</o:LockedField>
          </o:OLEObject>
        </w:object>
      </w:r>
      <w:r>
        <w:rPr>
          <w:rFonts w:eastAsiaTheme="minorEastAsia"/>
        </w:rPr>
        <w:t xml:space="preserve">   </w:t>
      </w:r>
      <w:r>
        <w:rPr>
          <w:rFonts w:asciiTheme="minorEastAsia" w:hAnsiTheme="minorEastAsia" w:eastAsiaTheme="minorEastAsia"/>
        </w:rPr>
        <w:t xml:space="preserve">                   </w:t>
      </w:r>
      <w:r>
        <w:rPr>
          <w:rFonts w:eastAsiaTheme="minorEastAsia"/>
        </w:rPr>
        <w:t>（7.1.6-2）</w:t>
      </w:r>
    </w:p>
    <w:p>
      <w:pPr>
        <w:rPr>
          <w:rFonts w:eastAsiaTheme="minorEastAsia"/>
        </w:rPr>
      </w:pPr>
      <w:r>
        <w:rPr>
          <w:rFonts w:eastAsiaTheme="minorEastAsia"/>
        </w:rPr>
        <w:t>式中：</w:t>
      </w:r>
      <w:r>
        <w:rPr>
          <w:position w:val="-16"/>
        </w:rPr>
        <w:object>
          <v:shape id="_x0000_i1319" o:spt="75" type="#_x0000_t75" style="height:19.7pt;width:19.7pt;" o:ole="t" filled="f" o:preferrelative="t" stroked="f" coordsize="21600,21600">
            <v:path/>
            <v:fill on="f" focussize="0,0"/>
            <v:stroke on="f" joinstyle="miter"/>
            <v:imagedata r:id="rId101" o:title=""/>
            <o:lock v:ext="edit" aspectratio="t"/>
            <w10:wrap type="none"/>
            <w10:anchorlock/>
          </v:shape>
          <o:OLEObject Type="Embed" ProgID="Equation.DSMT4" ShapeID="_x0000_i1319" DrawAspect="Content" ObjectID="_1468076019" r:id="rId521">
            <o:LockedField>false</o:LockedField>
          </o:OLEObject>
        </w:object>
      </w:r>
      <w:r>
        <w:rPr>
          <w:rFonts w:eastAsiaTheme="minorEastAsia"/>
        </w:rPr>
        <w:t>——接收井的穿墙洞高（m）；</w:t>
      </w:r>
    </w:p>
    <w:p>
      <w:pPr>
        <w:ind w:firstLine="720" w:firstLineChars="300"/>
        <w:rPr>
          <w:rFonts w:eastAsiaTheme="minorEastAsia"/>
        </w:rPr>
      </w:pPr>
      <w:r>
        <w:rPr>
          <w:position w:val="-16"/>
        </w:rPr>
        <w:object>
          <v:shape id="_x0000_i1320" o:spt="75" type="#_x0000_t75" style="height:19.7pt;width:17pt;" o:ole="t" filled="f" o:preferrelative="t" stroked="f" coordsize="21600,21600">
            <v:path/>
            <v:fill on="f" focussize="0,0"/>
            <v:stroke on="f" joinstyle="miter"/>
            <v:imagedata r:id="rId79" o:title=""/>
            <o:lock v:ext="edit" aspectratio="t"/>
            <w10:wrap type="none"/>
            <w10:anchorlock/>
          </v:shape>
          <o:OLEObject Type="Embed" ProgID="Equation.DSMT4" ShapeID="_x0000_i1320" DrawAspect="Content" ObjectID="_1468076020" r:id="rId522">
            <o:LockedField>false</o:LockedField>
          </o:OLEObject>
        </w:object>
      </w:r>
      <w:r>
        <w:rPr>
          <w:rFonts w:eastAsiaTheme="minorEastAsia"/>
        </w:rPr>
        <w:t>——接收井的穿墙洞宽（m）；</w:t>
      </w:r>
    </w:p>
    <w:p>
      <w:pPr>
        <w:rPr>
          <w:rFonts w:asciiTheme="minorEastAsia" w:hAnsiTheme="minorEastAsia" w:eastAsiaTheme="minorEastAsia"/>
        </w:rPr>
      </w:pPr>
      <w:r>
        <w:rPr>
          <w:rFonts w:eastAsiaTheme="minorEastAsia"/>
          <w:b/>
        </w:rPr>
        <w:t xml:space="preserve">7.1.7 </w:t>
      </w:r>
      <w:r>
        <w:rPr>
          <w:rFonts w:asciiTheme="minorEastAsia" w:hAnsiTheme="minorEastAsia" w:eastAsiaTheme="minorEastAsia"/>
          <w:b/>
        </w:rPr>
        <w:t xml:space="preserve"> </w:t>
      </w:r>
      <w:r>
        <w:rPr>
          <w:rFonts w:hint="eastAsia" w:asciiTheme="minorEastAsia" w:hAnsiTheme="minorEastAsia" w:eastAsiaTheme="minorEastAsia"/>
        </w:rPr>
        <w:t>工作井基坑监测应符合现行</w:t>
      </w:r>
      <w:bookmarkStart w:id="138" w:name="_Hlk17382476"/>
      <w:r>
        <w:rPr>
          <w:rFonts w:eastAsiaTheme="minorEastAsia"/>
        </w:rPr>
        <w:t>国家标准《</w:t>
      </w:r>
      <w:r>
        <w:fldChar w:fldCharType="begin"/>
      </w:r>
      <w:r>
        <w:instrText xml:space="preserve"> HYPERLINK "http://www.so.com/link?m=aMge5bd5I4Bsmv6REof8XZZ%2FC4CTK6I7fqx0%2FkBd%2BAswjJlpG5QxTweMSSRaECgqZ%2B2IYEBnHSz4CbPe5tvpG4B54eay2bicEkUlKR0%2F39yhkhA7PGaRAbeRgim6cHLjSYJXWjGodpiJeXG1mfgCjs1xCwfPwM49F9taWHA%3D%3D" \t "_blank" </w:instrText>
      </w:r>
      <w:r>
        <w:fldChar w:fldCharType="separate"/>
      </w:r>
      <w:r>
        <w:rPr>
          <w:rFonts w:eastAsiaTheme="minorEastAsia"/>
        </w:rPr>
        <w:t>建筑基坑工程监测技术规范》GB 50497</w:t>
      </w:r>
      <w:r>
        <w:rPr>
          <w:rFonts w:eastAsiaTheme="minorEastAsia"/>
        </w:rPr>
        <w:fldChar w:fldCharType="end"/>
      </w:r>
      <w:bookmarkEnd w:id="138"/>
      <w:r>
        <w:rPr>
          <w:rFonts w:hint="eastAsia" w:asciiTheme="minorEastAsia" w:hAnsiTheme="minorEastAsia" w:eastAsiaTheme="minorEastAsia"/>
        </w:rPr>
        <w:t>的规定。</w:t>
      </w:r>
    </w:p>
    <w:p>
      <w:pPr>
        <w:rPr>
          <w:rFonts w:asciiTheme="minorEastAsia" w:hAnsiTheme="minorEastAsia" w:eastAsiaTheme="minorEastAsia"/>
        </w:rPr>
      </w:pPr>
    </w:p>
    <w:p>
      <w:pPr>
        <w:pStyle w:val="3"/>
      </w:pPr>
      <w:bookmarkStart w:id="139" w:name="_Toc425326021"/>
      <w:bookmarkStart w:id="140" w:name="_Toc425510765"/>
      <w:bookmarkStart w:id="141" w:name="_Toc427133030"/>
      <w:bookmarkStart w:id="142" w:name="_Toc436297528"/>
      <w:bookmarkStart w:id="143" w:name="_Toc440352208"/>
      <w:bookmarkStart w:id="144" w:name="_Toc427140093"/>
      <w:bookmarkStart w:id="145" w:name="_Toc441067458"/>
      <w:bookmarkStart w:id="146" w:name="_Toc464739838"/>
      <w:bookmarkStart w:id="147" w:name="_Toc525221315"/>
      <w:bookmarkStart w:id="148" w:name="_Toc441067572"/>
      <w:bookmarkStart w:id="149" w:name="_Toc464739762"/>
      <w:bookmarkStart w:id="150" w:name="_Toc525219698"/>
      <w:bookmarkStart w:id="151" w:name="_Toc525220332"/>
      <w:bookmarkStart w:id="152" w:name="_Toc18057053"/>
      <w:bookmarkStart w:id="153" w:name="_Toc3596"/>
      <w:r>
        <w:t>7.2  沉  井</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bookmarkStart w:id="154" w:name="_Hlk522114033"/>
      <w:r>
        <w:rPr>
          <w:b/>
        </w:rPr>
        <w:t>7.2.1</w:t>
      </w:r>
      <w:r>
        <w:t xml:space="preserve">  沉井适用于在其周边至少</w:t>
      </w:r>
      <w:r>
        <w:rPr>
          <w:rFonts w:hint="eastAsia"/>
        </w:rPr>
        <w:t>1</w:t>
      </w:r>
      <w:r>
        <w:t>倍下沉总深度范围内无重要相邻建（构）筑物的环境。</w:t>
      </w:r>
      <w:r>
        <w:rPr>
          <w:rFonts w:hint="eastAsia"/>
        </w:rPr>
        <w:t>沉井施工应符合现行国家标准</w:t>
      </w:r>
      <w:bookmarkStart w:id="155" w:name="_Hlk17382511"/>
      <w:r>
        <w:rPr>
          <w:rFonts w:hint="eastAsia"/>
        </w:rPr>
        <w:t>《沉井与气压沉箱施工规范》GB/T 51130</w:t>
      </w:r>
      <w:bookmarkEnd w:id="155"/>
      <w:r>
        <w:rPr>
          <w:rFonts w:hint="eastAsia"/>
        </w:rPr>
        <w:t>的规定。</w:t>
      </w:r>
    </w:p>
    <w:p>
      <w:pPr>
        <w:rPr>
          <w:rFonts w:eastAsia="仿宋"/>
        </w:rPr>
      </w:pPr>
      <w:r>
        <w:rPr>
          <w:rFonts w:eastAsia="仿宋"/>
          <w:b/>
          <w:bCs/>
        </w:rPr>
        <w:t>【条文说明】：7.2.1</w:t>
      </w:r>
      <w:r>
        <w:rPr>
          <w:rFonts w:eastAsia="仿宋"/>
        </w:rPr>
        <w:t xml:space="preserve">  沉井一般用于比较开阔地带，周围环境相对影响较小的地理位置，不适宜在市区施工。</w:t>
      </w:r>
    </w:p>
    <w:p>
      <w:r>
        <w:rPr>
          <w:b/>
        </w:rPr>
        <w:t>7.2.2</w:t>
      </w:r>
      <w:r>
        <w:t xml:space="preserve">  编制沉井工程施工组织设计时，进行分阶段下沉系数的计算，作为确定下沉施工方法和采取技术措施的依据。</w:t>
      </w:r>
    </w:p>
    <w:p>
      <w:pPr>
        <w:rPr>
          <w:rFonts w:eastAsia="仿宋"/>
        </w:rPr>
      </w:pPr>
      <w:r>
        <w:rPr>
          <w:rFonts w:eastAsia="仿宋"/>
          <w:b/>
          <w:bCs/>
        </w:rPr>
        <w:t>【条文说明】：7.2.2</w:t>
      </w:r>
      <w:r>
        <w:rPr>
          <w:rFonts w:eastAsia="仿宋"/>
        </w:rPr>
        <w:t xml:space="preserve">  分阶段下沉系数的计算，是作为确定下沉施工方法和采取技术措施的依据。沉井施工计算主要包括垫层厚度、侧摩阻力、下沉系数、下沉接高稳定性和封底混凝土（水下封底时计算）等内容。沉井施工组织设计编制完成并通过专家评审后，方可按经过批准的施工组织设计组织施工。</w:t>
      </w:r>
    </w:p>
    <w:p>
      <w:r>
        <w:rPr>
          <w:b/>
        </w:rPr>
        <w:t xml:space="preserve">7.2.3 </w:t>
      </w:r>
      <w:r>
        <w:rPr>
          <w:rFonts w:hint="eastAsia"/>
        </w:rPr>
        <w:t xml:space="preserve"> </w:t>
      </w:r>
      <w:r>
        <w:t>沉井第一次制作时的荷载应小于下卧层地基土的承载力设计值，以后各节应满足地基极限承载力标准值的要求。沉井的分节制作宜结合结构及浇筑高度综合考虑，沉井接高前应进行稳定性</w:t>
      </w:r>
      <w:r>
        <w:rPr>
          <w:rFonts w:hint="eastAsia"/>
        </w:rPr>
        <w:t>验</w:t>
      </w:r>
      <w:r>
        <w:t>算。验算</w:t>
      </w:r>
      <w:r>
        <w:rPr>
          <w:rFonts w:hint="eastAsia"/>
        </w:rPr>
        <w:t>应</w:t>
      </w:r>
      <w:r>
        <w:t>按现行</w:t>
      </w:r>
      <w:bookmarkStart w:id="156" w:name="_Hlk17382560"/>
      <w:r>
        <w:t>国家标准《建筑地基基础设计规范》GB 50007</w:t>
      </w:r>
      <w:bookmarkEnd w:id="156"/>
      <w:r>
        <w:t>的规定执行。</w:t>
      </w:r>
    </w:p>
    <w:p>
      <w:pPr>
        <w:rPr>
          <w:rFonts w:eastAsia="仿宋"/>
        </w:rPr>
      </w:pPr>
      <w:r>
        <w:rPr>
          <w:rFonts w:eastAsia="仿宋"/>
          <w:b/>
          <w:bCs/>
        </w:rPr>
        <w:t>【条文说明】：7.2.3</w:t>
      </w:r>
      <w:r>
        <w:rPr>
          <w:rFonts w:eastAsia="仿宋"/>
        </w:rPr>
        <w:t xml:space="preserve">  沉井接高施工时，必须保证其接高稳定性，以便防止接高发生突沉。接高稳定性不满足要求时，应根据计算结果采取井内留土、灌水等措施，确保接高制作稳定。外排脚手架制作时不应使用沉井的井壁制作时的模板，外排与模板脱开，避免由于沉井下沉而引起脚手架倾斜，造成不必要的事故。</w:t>
      </w:r>
    </w:p>
    <w:p>
      <w:pPr>
        <w:ind w:firstLine="480" w:firstLineChars="200"/>
        <w:rPr>
          <w:rFonts w:eastAsia="仿宋"/>
        </w:rPr>
      </w:pPr>
      <w:r>
        <w:rPr>
          <w:rFonts w:eastAsia="仿宋"/>
        </w:rPr>
        <w:t>根据工程实践经验，一般沉井多按结构自重克服摩阻力下沉。在选择下沉系数时，一方面要尽可能保证依靠自重下称，同时又要防止结构自重过大导致超沉、突沉。沉井的自重包括井壁、隔墙和框架等重量。如采用不排水下沉，则沉井的自重尚须考虑水的浮力对沉井自重的影响。此时沉井所受水的浮力的大小，等于地下水位下列的井壁、隔墙、框架等部分的同体积水重。</w:t>
      </w:r>
    </w:p>
    <w:p>
      <w:pPr>
        <w:rPr>
          <w:rFonts w:eastAsia="仿宋"/>
        </w:rPr>
      </w:pPr>
      <w:r>
        <w:rPr>
          <w:rFonts w:eastAsia="仿宋"/>
        </w:rPr>
        <w:t>当沉井下沉系数较大或下沉过程中遇有软弱土层时，有可能会发生沉井突沉事故。若沉井下沉稳定系数不能满足要求，应采取合适的地基加固措施。</w:t>
      </w:r>
    </w:p>
    <w:p>
      <w:r>
        <w:rPr>
          <w:b/>
        </w:rPr>
        <w:t>7.2.4</w:t>
      </w:r>
      <w:r>
        <w:t xml:space="preserve">  沉井下沉根据工程地质、水文地质、周边环境条件等可选用排水下沉法施工或不排水法施工。沉井下沉困难时可采用助沉措施。</w:t>
      </w:r>
    </w:p>
    <w:p>
      <w:r>
        <w:rPr>
          <w:b/>
        </w:rPr>
        <w:t xml:space="preserve">7.2.5  </w:t>
      </w:r>
      <w:r>
        <w:t>沉井下沉采用排水法下沉时，应认真分析水文地质资料，宜采用深井降水措施，进行现场抽水试验，制定降水方案。</w:t>
      </w:r>
    </w:p>
    <w:p>
      <w:r>
        <w:rPr>
          <w:b/>
        </w:rPr>
        <w:t xml:space="preserve">7.2.6  </w:t>
      </w:r>
      <w:r>
        <w:t>不排水下沉适用于砂层、</w:t>
      </w:r>
      <w:r>
        <w:rPr>
          <w:rFonts w:hint="eastAsia"/>
        </w:rPr>
        <w:t>降水</w:t>
      </w:r>
      <w:r>
        <w:t>影响附近建筑物的情况以及环境保护等级要求高的区域</w:t>
      </w:r>
      <w:r>
        <w:rPr>
          <w:rFonts w:hint="eastAsia"/>
        </w:rPr>
        <w:t>，</w:t>
      </w:r>
      <w:r>
        <w:t>施工时井内水位不宜低于井外水位。</w:t>
      </w:r>
    </w:p>
    <w:p>
      <w:pPr>
        <w:rPr>
          <w:rFonts w:eastAsia="仿宋"/>
        </w:rPr>
      </w:pPr>
      <w:r>
        <w:rPr>
          <w:rFonts w:eastAsia="仿宋"/>
          <w:b/>
          <w:bCs/>
        </w:rPr>
        <w:t xml:space="preserve">【条文说明】：7.2.4~7.2.6  </w:t>
      </w:r>
      <w:r>
        <w:rPr>
          <w:rFonts w:eastAsia="仿宋"/>
        </w:rPr>
        <w:t>沉井下沉采用排水法下沉时，应认真分析水文地质资料，宜采用深井降水措施，进行现场抽水试验，制定降水方案。排水法下沉时可以根据现场情况选用机械挖土或高压泵冲泥等下沉方法，当下沉至距设计标高2m时，对下沉与挖土情况应加强观测。</w:t>
      </w:r>
    </w:p>
    <w:p>
      <w:pPr>
        <w:ind w:firstLine="480" w:firstLineChars="200"/>
        <w:rPr>
          <w:rFonts w:eastAsia="仿宋"/>
        </w:rPr>
      </w:pPr>
      <w:r>
        <w:rPr>
          <w:rFonts w:eastAsia="仿宋"/>
        </w:rPr>
        <w:t>不排水下沉适用于流砂严重的地层和渗水量大的砂层、地下水无法排除或大量排水会影响附近建筑物的情况以及环境保护等级要求高的区域。不排水下沉时根据现场条件可选择空气吸泥与潜水员配合或机械抓土与潜水员配合等下沉方法，施工时井内水位不宜低于井外水位。</w:t>
      </w:r>
    </w:p>
    <w:p>
      <w:pPr>
        <w:ind w:firstLine="480" w:firstLineChars="200"/>
        <w:rPr>
          <w:rFonts w:eastAsia="仿宋"/>
        </w:rPr>
      </w:pPr>
      <w:r>
        <w:rPr>
          <w:rFonts w:eastAsia="仿宋"/>
        </w:rPr>
        <w:t>沉井下沉困难时可采用触变泥浆、空气幕、井壁外高压射水、压沉法及注浆或其他助沉措施。</w:t>
      </w:r>
    </w:p>
    <w:p>
      <w:r>
        <w:rPr>
          <w:b/>
        </w:rPr>
        <w:t xml:space="preserve">7.2.7  </w:t>
      </w:r>
      <w:r>
        <w:t>沉井下沉纠偏应按</w:t>
      </w:r>
      <w:r>
        <w:rPr>
          <w:rFonts w:hint="eastAsia"/>
        </w:rPr>
        <w:t>“</w:t>
      </w:r>
      <w:r>
        <w:t>勤测勤纠</w:t>
      </w:r>
      <w:r>
        <w:rPr>
          <w:rFonts w:hint="eastAsia"/>
        </w:rPr>
        <w:t>”</w:t>
      </w:r>
      <w:r>
        <w:t>的原则进行，当下沉至设计标高并基本稳定，且8h累计下沉量不大于10mm</w:t>
      </w:r>
      <w:r>
        <w:rPr>
          <w:rFonts w:hint="eastAsia"/>
        </w:rPr>
        <w:t>时</w:t>
      </w:r>
      <w:r>
        <w:t>，方可进行封底施工。</w:t>
      </w:r>
    </w:p>
    <w:p>
      <w:pPr>
        <w:rPr>
          <w:rFonts w:eastAsia="仿宋"/>
        </w:rPr>
      </w:pPr>
      <w:r>
        <w:rPr>
          <w:rFonts w:eastAsia="仿宋"/>
          <w:b/>
          <w:bCs/>
        </w:rPr>
        <w:t xml:space="preserve">【条文说明】：7.2.7  </w:t>
      </w:r>
      <w:r>
        <w:rPr>
          <w:rFonts w:eastAsia="仿宋"/>
        </w:rPr>
        <w:t>沉井纠偏方法有：井内挖土纠偏、利用增加堆载或偏心压重纠偏、锚桩与支撑措施纠偏；对于无底梁的沉井或软弱土层中沉井，初沉阶段可利用卷扬机或地锚牵引纠偏、终沉阶段可利用液压缸顶推纠偏。</w:t>
      </w:r>
    </w:p>
    <w:p>
      <w:pPr>
        <w:ind w:firstLine="480" w:firstLineChars="200"/>
        <w:rPr>
          <w:rFonts w:eastAsia="仿宋"/>
        </w:rPr>
      </w:pPr>
      <w:r>
        <w:rPr>
          <w:rFonts w:eastAsia="仿宋"/>
        </w:rPr>
        <w:t>1  井内挖土纠偏沉井在入土较浅时，容易产生倾斜，但也比较容易纠正。纠正倾斜时，如系排水下沉，可在沉井刃脚高的一侧进行人工或机械出土。在刃脚低的一侧应保留较宽的土堤，或适当回填砂石。如系不排水下沉的沉井，一般可在靠近刃脚高的一侧吸泥或抓土，必要时可有潜水员配合在刃脚下出土；</w:t>
      </w:r>
    </w:p>
    <w:p>
      <w:pPr>
        <w:ind w:firstLine="480" w:firstLineChars="200"/>
        <w:rPr>
          <w:rFonts w:eastAsia="仿宋"/>
        </w:rPr>
      </w:pPr>
      <w:bookmarkStart w:id="157" w:name="_Hlk511063568"/>
      <w:r>
        <w:rPr>
          <w:rFonts w:eastAsia="仿宋"/>
        </w:rPr>
        <w:t>2  利用增加堆载或偏心压重纠偏</w:t>
      </w:r>
      <w:bookmarkEnd w:id="157"/>
      <w:r>
        <w:rPr>
          <w:rFonts w:eastAsia="仿宋"/>
        </w:rPr>
        <w:t>，由于弃土堆在沉井一侧，或由于其他原因造成的沉井两侧有土压力差，使沉井产生偏斜。在沉井倾斜低的一侧回填砂或土，并进行夯实，使低的一侧产生的土压力大于沉井高的土压力，亦可起到纠偏的作用。如在沉井高的一侧压重，最好使用钢锭或生铁块，这时沉井高的一侧刃脚下土的应力大于低的一侧刃脚下土的应力，使沉井高的一侧下沉量大些，亦可起到纠正沉井倾斜的作用；</w:t>
      </w:r>
    </w:p>
    <w:p>
      <w:pPr>
        <w:ind w:firstLine="480" w:firstLineChars="200"/>
        <w:rPr>
          <w:rFonts w:eastAsia="仿宋"/>
        </w:rPr>
      </w:pPr>
      <w:r>
        <w:rPr>
          <w:rFonts w:eastAsia="仿宋"/>
        </w:rPr>
        <w:t>3  初沉时利用卷扬机或地锚牵引纠偏；</w:t>
      </w:r>
    </w:p>
    <w:p>
      <w:pPr>
        <w:ind w:firstLine="480" w:firstLineChars="200"/>
        <w:rPr>
          <w:rFonts w:eastAsia="仿宋"/>
        </w:rPr>
      </w:pPr>
      <w:r>
        <w:rPr>
          <w:rFonts w:eastAsia="仿宋"/>
        </w:rPr>
        <w:t>4  终沉阶段可利用液压缸顶推纠偏。</w:t>
      </w:r>
    </w:p>
    <w:bookmarkEnd w:id="154"/>
    <w:p>
      <w:pPr>
        <w:pStyle w:val="3"/>
      </w:pPr>
      <w:bookmarkStart w:id="158" w:name="_Toc193079186"/>
      <w:bookmarkStart w:id="159" w:name="_Toc213486136"/>
      <w:bookmarkStart w:id="160" w:name="_Toc189361280"/>
      <w:bookmarkStart w:id="161" w:name="_Toc189361192"/>
      <w:bookmarkStart w:id="162" w:name="_Toc212013563"/>
      <w:bookmarkStart w:id="163" w:name="_Toc193079253"/>
      <w:bookmarkStart w:id="164" w:name="_Toc187133006"/>
      <w:bookmarkStart w:id="165" w:name="_Toc427140094"/>
      <w:bookmarkStart w:id="166" w:name="_Toc464739839"/>
      <w:bookmarkStart w:id="167" w:name="_Toc187201564"/>
      <w:bookmarkStart w:id="168" w:name="_Toc188776377"/>
      <w:bookmarkStart w:id="169" w:name="_Toc436297529"/>
      <w:bookmarkStart w:id="170" w:name="_Toc187219749"/>
      <w:bookmarkStart w:id="171" w:name="_Toc188966037"/>
      <w:bookmarkStart w:id="172" w:name="_Toc425510766"/>
      <w:bookmarkStart w:id="173" w:name="_Toc90351898"/>
      <w:bookmarkStart w:id="174" w:name="_Toc187136504"/>
      <w:bookmarkStart w:id="175" w:name="_Toc187133509"/>
      <w:bookmarkStart w:id="176" w:name="_Toc440352209"/>
      <w:bookmarkStart w:id="177" w:name="_Toc441067573"/>
      <w:bookmarkStart w:id="178" w:name="_Toc427133031"/>
      <w:bookmarkStart w:id="179" w:name="_Toc425326022"/>
      <w:bookmarkStart w:id="180" w:name="_Toc441067459"/>
      <w:bookmarkStart w:id="181" w:name="_Toc464739763"/>
      <w:bookmarkStart w:id="182" w:name="_Toc187134234"/>
      <w:bookmarkStart w:id="183" w:name="_Toc187204911"/>
      <w:bookmarkStart w:id="184" w:name="_Toc187566680"/>
      <w:bookmarkStart w:id="185" w:name="_Toc525221316"/>
      <w:bookmarkStart w:id="186" w:name="_Toc525220333"/>
      <w:bookmarkStart w:id="187" w:name="_Toc525219699"/>
      <w:bookmarkStart w:id="188" w:name="_Toc18057054"/>
      <w:bookmarkStart w:id="189" w:name="_Toc8266"/>
      <w:r>
        <w:t xml:space="preserve">7.3  </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rPr>
        <w:t>灌注桩排桩</w:t>
      </w:r>
      <w:bookmarkEnd w:id="185"/>
      <w:bookmarkEnd w:id="186"/>
      <w:bookmarkEnd w:id="187"/>
      <w:bookmarkEnd w:id="188"/>
      <w:bookmarkEnd w:id="189"/>
    </w:p>
    <w:p>
      <w:bookmarkStart w:id="190" w:name="_Hlk511069736"/>
      <w:r>
        <w:rPr>
          <w:b/>
        </w:rPr>
        <w:t>7.3.1</w:t>
      </w:r>
      <w:bookmarkEnd w:id="190"/>
      <w:r>
        <w:rPr>
          <w:b/>
        </w:rPr>
        <w:t xml:space="preserve">  </w:t>
      </w:r>
      <w:r>
        <w:t>钻孔灌注桩排桩施工前应通过试成孔确定合适的成孔机械、施工工艺、孔壁稳定等技术参数，试成孔数量不宜少于2个。</w:t>
      </w:r>
    </w:p>
    <w:p>
      <w:r>
        <w:rPr>
          <w:b/>
        </w:rPr>
        <w:t xml:space="preserve">7.3.2  </w:t>
      </w:r>
      <w:r>
        <w:t>围护结构的钻孔灌注桩成孔机械应采用能确保垂直度的设备，施工过程中须采取措施确保垂直度偏差不应大于1/150。</w:t>
      </w:r>
    </w:p>
    <w:p>
      <w:pPr>
        <w:rPr>
          <w:rFonts w:eastAsia="仿宋"/>
        </w:rPr>
      </w:pPr>
      <w:r>
        <w:rPr>
          <w:rFonts w:eastAsia="仿宋"/>
          <w:b/>
          <w:bCs/>
        </w:rPr>
        <w:t xml:space="preserve">【条文说明】：7.3.2  </w:t>
      </w:r>
      <w:r>
        <w:rPr>
          <w:rFonts w:eastAsia="仿宋"/>
        </w:rPr>
        <w:t>排桩围护结构，确保垂直度满足设计要求很重要，成孔机械一般选择钻架配重大、钻杆扭矩大的设备，宜采用GPS-15型及以上的设备。另外还需减少围护沉降，以减少与主体结构的差异沉降，严格控制沉渣厚度，通过泥浆反循环的工艺可有效控制沉渣厚度。</w:t>
      </w:r>
    </w:p>
    <w:p>
      <w:pPr>
        <w:rPr>
          <w:rFonts w:eastAsia="仿宋"/>
        </w:rPr>
      </w:pPr>
      <w:r>
        <w:rPr>
          <w:rFonts w:eastAsia="仿宋"/>
        </w:rPr>
        <w:t>灌注桩排桩成孔施工的质量保证措施一般有：（1）采用膨润土泥浆护壁，提高泥浆粘度，可有效防止孔壁坍方、缩径；（2）先施工隔水帷幕，再施工灌注桩排桩，有利于保证隔水帷幕和灌注桩的施工质量，也可避免先施工的灌注桩由于塌孔扩径导致外侧止水帷幕施工困难的不利情况；（3）围护结构位置采用水泥搅拌桩预加固主要是控制灌注桩成孔过程中孔壁的稳定不塌孔，预加固的水泥搅拌桩水泥掺量一般为7%~8%。</w:t>
      </w:r>
    </w:p>
    <w:p>
      <w:r>
        <w:rPr>
          <w:b/>
        </w:rPr>
        <w:t xml:space="preserve">7.3.3  </w:t>
      </w:r>
      <w:r>
        <w:t>钻孔灌注桩桩身范围内存在较厚的粉性土、砂土层时，宜采取下列技术措施：</w:t>
      </w:r>
    </w:p>
    <w:p>
      <w:pPr>
        <w:ind w:firstLine="480" w:firstLineChars="200"/>
      </w:pPr>
      <w:r>
        <w:rPr>
          <w:rFonts w:hint="eastAsia"/>
        </w:rPr>
        <w:t>1</w:t>
      </w:r>
      <w:r>
        <w:t xml:space="preserve">  采用膨润土造浆，提高泥浆粘度</w:t>
      </w:r>
      <w:r>
        <w:rPr>
          <w:rFonts w:hint="eastAsia"/>
        </w:rPr>
        <w:t>；</w:t>
      </w:r>
    </w:p>
    <w:p>
      <w:pPr>
        <w:ind w:firstLine="480" w:firstLineChars="200"/>
      </w:pPr>
      <w:r>
        <w:rPr>
          <w:rFonts w:hint="eastAsia"/>
        </w:rPr>
        <w:t>2</w:t>
      </w:r>
      <w:r>
        <w:t xml:space="preserve">  先施工隔水帷幕，后施工围护排桩</w:t>
      </w:r>
      <w:r>
        <w:rPr>
          <w:rFonts w:hint="eastAsia"/>
        </w:rPr>
        <w:t>；</w:t>
      </w:r>
    </w:p>
    <w:p>
      <w:pPr>
        <w:ind w:firstLine="480" w:firstLineChars="200"/>
      </w:pPr>
      <w:r>
        <w:rPr>
          <w:rFonts w:hint="eastAsia"/>
        </w:rPr>
        <w:t>3</w:t>
      </w:r>
      <w:r>
        <w:t xml:space="preserve">  在围护结构位置宜采用低掺量水泥搅拌桩预加固。</w:t>
      </w:r>
    </w:p>
    <w:p>
      <w:r>
        <w:rPr>
          <w:b/>
        </w:rPr>
        <w:t xml:space="preserve">7.3.4  </w:t>
      </w:r>
      <w:r>
        <w:t>灌注桩排桩钢筋笼</w:t>
      </w:r>
      <w:r>
        <w:rPr>
          <w:rFonts w:hint="eastAsia"/>
        </w:rPr>
        <w:t>吊装</w:t>
      </w:r>
      <w:r>
        <w:t>长度应根据地坪标高和设计桩顶标高计算确定，并固定牢靠。</w:t>
      </w:r>
    </w:p>
    <w:p>
      <w:r>
        <w:rPr>
          <w:b/>
        </w:rPr>
        <w:t xml:space="preserve">7.3.5  </w:t>
      </w:r>
      <w:r>
        <w:t>灌注桩排桩外侧应设置隔水帷幕，隔水帷幕型式应根据基坑开挖深度、环境保护要求等因素选用。</w:t>
      </w:r>
    </w:p>
    <w:p>
      <w:pPr>
        <w:rPr>
          <w:rFonts w:eastAsia="仿宋"/>
        </w:rPr>
      </w:pPr>
      <w:r>
        <w:rPr>
          <w:rFonts w:eastAsia="仿宋"/>
          <w:b/>
          <w:bCs/>
        </w:rPr>
        <w:t>【条文说明】：7.3.5</w:t>
      </w:r>
      <w:r>
        <w:rPr>
          <w:rFonts w:eastAsia="仿宋"/>
        </w:rPr>
        <w:t xml:space="preserve">  隔水帷幕一般有双轴水泥土搅拌桩、三轴水泥土搅拌桩、等厚度水泥土搅拌墙及全方位高压喷射桩等型式。</w:t>
      </w:r>
    </w:p>
    <w:p>
      <w:r>
        <w:rPr>
          <w:b/>
        </w:rPr>
        <w:t>7.3.</w:t>
      </w:r>
      <w:r>
        <w:rPr>
          <w:rFonts w:hint="eastAsia"/>
          <w:b/>
        </w:rPr>
        <w:t>6</w:t>
      </w:r>
      <w:r>
        <w:rPr>
          <w:b/>
        </w:rPr>
        <w:t xml:space="preserve">  </w:t>
      </w:r>
      <w:r>
        <w:rPr>
          <w:rFonts w:hint="eastAsia"/>
        </w:rPr>
        <w:t>钻孔</w:t>
      </w:r>
      <w:r>
        <w:t>灌注桩排桩</w:t>
      </w:r>
      <w:r>
        <w:rPr>
          <w:rFonts w:hint="eastAsia"/>
        </w:rPr>
        <w:t>施工</w:t>
      </w:r>
      <w:r>
        <w:t>应</w:t>
      </w:r>
      <w:r>
        <w:rPr>
          <w:rFonts w:hint="eastAsia"/>
        </w:rPr>
        <w:t>符合现行国家标准《建筑地基基础施工规范》GB 51004的规定。</w:t>
      </w:r>
    </w:p>
    <w:p>
      <w:pPr>
        <w:rPr>
          <w:rFonts w:asciiTheme="minorEastAsia" w:hAnsiTheme="minorEastAsia" w:eastAsiaTheme="minorEastAsia"/>
        </w:rPr>
      </w:pPr>
    </w:p>
    <w:p>
      <w:pPr>
        <w:pStyle w:val="3"/>
      </w:pPr>
      <w:bookmarkStart w:id="191" w:name="_Toc28509"/>
      <w:bookmarkStart w:id="192" w:name="_Toc18057055"/>
      <w:bookmarkStart w:id="193" w:name="_Toc525220334"/>
      <w:bookmarkStart w:id="194" w:name="_Toc525221317"/>
      <w:bookmarkStart w:id="195" w:name="_Toc525219700"/>
      <w:r>
        <w:t>7.</w:t>
      </w:r>
      <w:r>
        <w:rPr>
          <w:rFonts w:hint="eastAsia"/>
        </w:rPr>
        <w:t>4</w:t>
      </w:r>
      <w:r>
        <w:t xml:space="preserve">  </w:t>
      </w:r>
      <w:r>
        <w:rPr>
          <w:rFonts w:hint="eastAsia"/>
        </w:rPr>
        <w:t>钢板桩围护</w:t>
      </w:r>
      <w:bookmarkEnd w:id="191"/>
      <w:bookmarkEnd w:id="192"/>
      <w:bookmarkEnd w:id="193"/>
      <w:bookmarkEnd w:id="194"/>
      <w:bookmarkEnd w:id="195"/>
    </w:p>
    <w:p>
      <w:r>
        <w:rPr>
          <w:b/>
        </w:rPr>
        <w:t>7.4</w:t>
      </w:r>
      <w:r>
        <w:rPr>
          <w:rFonts w:hint="eastAsia"/>
          <w:b/>
        </w:rPr>
        <w:t>.1</w:t>
      </w:r>
      <w:r>
        <w:rPr>
          <w:rFonts w:hint="eastAsia"/>
        </w:rPr>
        <w:t xml:space="preserve"> </w:t>
      </w:r>
      <w:r>
        <w:t xml:space="preserve"> </w:t>
      </w:r>
      <w:r>
        <w:rPr>
          <w:rFonts w:hint="eastAsia"/>
        </w:rPr>
        <w:t>钢板桩围护墙施工应符合现行</w:t>
      </w:r>
      <w:bookmarkStart w:id="196" w:name="_Hlk17382680"/>
      <w:r>
        <w:rPr>
          <w:rFonts w:hint="eastAsia"/>
        </w:rPr>
        <w:t>行业标准《建筑基坑支护</w:t>
      </w:r>
      <w:r>
        <w:t>技术规程</w:t>
      </w:r>
      <w:r>
        <w:rPr>
          <w:rFonts w:hint="eastAsia"/>
        </w:rPr>
        <w:t>》</w:t>
      </w:r>
      <w:r>
        <w:t>JGJ 120</w:t>
      </w:r>
      <w:bookmarkEnd w:id="196"/>
      <w:r>
        <w:rPr>
          <w:rFonts w:hint="eastAsia"/>
        </w:rPr>
        <w:t>的规定。</w:t>
      </w:r>
    </w:p>
    <w:p>
      <w:r>
        <w:rPr>
          <w:b/>
        </w:rPr>
        <w:t>7.4</w:t>
      </w:r>
      <w:r>
        <w:rPr>
          <w:rFonts w:hint="eastAsia"/>
          <w:b/>
        </w:rPr>
        <w:t>.2</w:t>
      </w:r>
      <w:r>
        <w:rPr>
          <w:rFonts w:hint="eastAsia"/>
        </w:rPr>
        <w:t xml:space="preserve"> </w:t>
      </w:r>
      <w:r>
        <w:t xml:space="preserve"> </w:t>
      </w:r>
      <w:r>
        <w:rPr>
          <w:rFonts w:hint="eastAsia"/>
        </w:rPr>
        <w:t>锁扣咬合排列钢板桩，宜采用屏风法沉桩。</w:t>
      </w:r>
    </w:p>
    <w:p>
      <w:r>
        <w:rPr>
          <w:b/>
        </w:rPr>
        <w:t>7.4</w:t>
      </w:r>
      <w:r>
        <w:rPr>
          <w:rFonts w:hint="eastAsia"/>
          <w:b/>
        </w:rPr>
        <w:t xml:space="preserve">.3 </w:t>
      </w:r>
      <w:r>
        <w:rPr>
          <w:b/>
        </w:rPr>
        <w:t xml:space="preserve"> </w:t>
      </w:r>
      <w:r>
        <w:rPr>
          <w:rFonts w:hint="eastAsia"/>
        </w:rPr>
        <w:t>钢板桩采用锤击法沉桩时，应采用重锤低击，并设置桩帽。</w:t>
      </w:r>
    </w:p>
    <w:p>
      <w:r>
        <w:rPr>
          <w:b/>
        </w:rPr>
        <w:t>7.4</w:t>
      </w:r>
      <w:r>
        <w:rPr>
          <w:rFonts w:hint="eastAsia"/>
          <w:b/>
        </w:rPr>
        <w:t xml:space="preserve">.4 </w:t>
      </w:r>
      <w:r>
        <w:rPr>
          <w:b/>
        </w:rPr>
        <w:t xml:space="preserve"> </w:t>
      </w:r>
      <w:r>
        <w:rPr>
          <w:rFonts w:hint="eastAsia"/>
        </w:rPr>
        <w:t>钢板桩围护墙的转角部位应采用可靠的防渗构造措施。</w:t>
      </w:r>
    </w:p>
    <w:p>
      <w:r>
        <w:rPr>
          <w:b/>
        </w:rPr>
        <w:t>7.4</w:t>
      </w:r>
      <w:r>
        <w:rPr>
          <w:rFonts w:hint="eastAsia"/>
          <w:b/>
        </w:rPr>
        <w:t>.5</w:t>
      </w:r>
      <w:r>
        <w:rPr>
          <w:b/>
        </w:rPr>
        <w:t xml:space="preserve"> </w:t>
      </w:r>
      <w:r>
        <w:rPr>
          <w:rFonts w:hint="eastAsia"/>
        </w:rPr>
        <w:t xml:space="preserve"> 要求封闭的锁扣咬合排列钢板桩围护墙，若闭合处如无法咬合，应采取附加封闭措施。</w:t>
      </w:r>
    </w:p>
    <w:p>
      <w:r>
        <w:rPr>
          <w:b/>
        </w:rPr>
        <w:t>7.4</w:t>
      </w:r>
      <w:r>
        <w:rPr>
          <w:rFonts w:hint="eastAsia"/>
          <w:b/>
        </w:rPr>
        <w:t>.6</w:t>
      </w:r>
      <w:r>
        <w:rPr>
          <w:b/>
        </w:rPr>
        <w:t xml:space="preserve"> </w:t>
      </w:r>
      <w:r>
        <w:rPr>
          <w:rFonts w:hint="eastAsia"/>
        </w:rPr>
        <w:t xml:space="preserve"> 钢板桩拔出后，其空隙应及时充填密实。</w:t>
      </w:r>
    </w:p>
    <w:p>
      <w:pPr>
        <w:rPr>
          <w:rFonts w:asciiTheme="minorEastAsia" w:hAnsiTheme="minorEastAsia" w:eastAsiaTheme="minorEastAsia"/>
        </w:rPr>
      </w:pPr>
    </w:p>
    <w:p>
      <w:pPr>
        <w:pStyle w:val="3"/>
      </w:pPr>
      <w:bookmarkStart w:id="197" w:name="_Toc441067460"/>
      <w:bookmarkStart w:id="198" w:name="_Toc464739840"/>
      <w:bookmarkStart w:id="199" w:name="_Toc464739764"/>
      <w:bookmarkStart w:id="200" w:name="_Toc441067574"/>
      <w:bookmarkStart w:id="201" w:name="_Toc425510767"/>
      <w:bookmarkStart w:id="202" w:name="_Toc427133032"/>
      <w:bookmarkStart w:id="203" w:name="_Toc213486137"/>
      <w:bookmarkStart w:id="204" w:name="_Toc212013564"/>
      <w:bookmarkStart w:id="205" w:name="_Toc425326023"/>
      <w:bookmarkStart w:id="206" w:name="_Toc427140095"/>
      <w:bookmarkStart w:id="207" w:name="_Toc436297530"/>
      <w:bookmarkStart w:id="208" w:name="_Toc440352210"/>
      <w:bookmarkStart w:id="209" w:name="_Toc525221318"/>
      <w:bookmarkStart w:id="210" w:name="_Toc525219701"/>
      <w:bookmarkStart w:id="211" w:name="_Toc525220335"/>
      <w:bookmarkStart w:id="212" w:name="_Toc18057056"/>
      <w:bookmarkStart w:id="213" w:name="_Toc6382"/>
      <w:r>
        <w:t>7.</w:t>
      </w:r>
      <w:r>
        <w:rPr>
          <w:rFonts w:hint="eastAsia"/>
        </w:rPr>
        <w:t>5</w:t>
      </w:r>
      <w:r>
        <w:t xml:space="preserve">  </w:t>
      </w:r>
      <w:bookmarkEnd w:id="197"/>
      <w:bookmarkEnd w:id="198"/>
      <w:bookmarkEnd w:id="199"/>
      <w:bookmarkEnd w:id="200"/>
      <w:bookmarkEnd w:id="201"/>
      <w:bookmarkEnd w:id="202"/>
      <w:bookmarkEnd w:id="203"/>
      <w:bookmarkEnd w:id="204"/>
      <w:bookmarkEnd w:id="205"/>
      <w:bookmarkEnd w:id="206"/>
      <w:bookmarkEnd w:id="207"/>
      <w:bookmarkEnd w:id="208"/>
      <w:r>
        <w:t>地下连续墙</w:t>
      </w:r>
      <w:bookmarkEnd w:id="209"/>
      <w:bookmarkEnd w:id="210"/>
      <w:bookmarkEnd w:id="211"/>
      <w:bookmarkEnd w:id="212"/>
      <w:bookmarkEnd w:id="213"/>
    </w:p>
    <w:p>
      <w:r>
        <w:rPr>
          <w:b/>
        </w:rPr>
        <w:t xml:space="preserve">7.5.1  </w:t>
      </w:r>
      <w:r>
        <w:t>地下连续墙施工前应通过试成槽确定成槽机械、护壁泥浆</w:t>
      </w:r>
      <w:r>
        <w:rPr>
          <w:rFonts w:hint="eastAsia"/>
        </w:rPr>
        <w:t>配合</w:t>
      </w:r>
      <w:r>
        <w:t>比、施工工艺、槽壁稳定等技术参数。</w:t>
      </w:r>
    </w:p>
    <w:p>
      <w:r>
        <w:rPr>
          <w:b/>
        </w:rPr>
        <w:t xml:space="preserve">7.5.2  </w:t>
      </w:r>
      <w:r>
        <w:t>地下连续墙成槽应采用具有自动纠偏功能的成槽设备，</w:t>
      </w:r>
      <w:r>
        <w:rPr>
          <w:rFonts w:hint="eastAsia"/>
        </w:rPr>
        <w:t>成槽深度进入密实粉砂层较深时宜采用抓铣结合的成槽方法。</w:t>
      </w:r>
      <w:r>
        <w:t>成槽过程中应及时纠偏，垂直度偏差不应大于1/300。</w:t>
      </w:r>
    </w:p>
    <w:p>
      <w:pPr>
        <w:rPr>
          <w:rFonts w:eastAsia="仿宋"/>
        </w:rPr>
      </w:pPr>
      <w:r>
        <w:rPr>
          <w:rFonts w:eastAsia="仿宋"/>
          <w:b/>
          <w:bCs/>
        </w:rPr>
        <w:t xml:space="preserve">【条文说明】：7.5.2  </w:t>
      </w:r>
      <w:r>
        <w:rPr>
          <w:rFonts w:eastAsia="仿宋"/>
        </w:rPr>
        <w:t>普通抓斗式成槽机其抓斗重量一般在20t下列，重型抓斗式成槽机其抓斗重量一般在30t下列，闭合力有限，对于标贯击数N大于50击的较坚硬土层，难于切入土中，效率较低，成槽时间长，对槽壁稳定不利，另外往往通过掼抓斗来硬啃土体，会影响垂直度。因此成槽深度进入密实粉砂层（标贯击数N大于50击）较深时宜采用抓铣结合的成槽方法。</w:t>
      </w:r>
    </w:p>
    <w:p>
      <w:pPr>
        <w:ind w:firstLine="480" w:firstLineChars="200"/>
      </w:pPr>
      <w:r>
        <w:rPr>
          <w:rFonts w:eastAsia="仿宋"/>
        </w:rPr>
        <w:t>铣槽机铣槽时，两个铣轮低速转动，方向相反，其铣齿将地层破碎，钻掘出的泥（岩）渣与泥浆一起被泥浆泵排到地面的泥浆站。根据地质情况不同，安装不同的铣齿；钻掘软岩和砂砾层或土层时，安装扁平的牙式铣齿；钻掘硬岩时，安装圆台形滚筒式磨轮，施工效率高，垂直度控制好。另外由于铣槽机成槽采用了泥浆反循环的原理，槽底沉渣能得到有效控制。</w:t>
      </w:r>
    </w:p>
    <w:p>
      <w:r>
        <w:rPr>
          <w:b/>
        </w:rPr>
        <w:t xml:space="preserve">7.5.3  </w:t>
      </w:r>
      <w:r>
        <w:t>地下连续墙位于暗浜区、扰动土区、浅部砂性土中或邻近保护要求较高的建（构）筑物时，地下连续墙两侧槽壁宜采用水泥土搅拌桩等进行槽壁预加固。</w:t>
      </w:r>
    </w:p>
    <w:p>
      <w:pPr>
        <w:rPr>
          <w:rFonts w:eastAsia="仿宋"/>
          <w:color w:val="0070C0"/>
        </w:rPr>
      </w:pPr>
      <w:r>
        <w:rPr>
          <w:rFonts w:eastAsia="仿宋"/>
          <w:b/>
          <w:bCs/>
        </w:rPr>
        <w:t xml:space="preserve">【条文说明】：7.5.3  </w:t>
      </w:r>
      <w:r>
        <w:rPr>
          <w:rFonts w:eastAsia="仿宋"/>
        </w:rPr>
        <w:t>地下连续墙槽壁加固的深度不大于10m时可采用双轴水泥土搅拌桩，水泥一般采用P.O.42.5级普通硅酸盐水泥，水泥掺入比不宜小于14%；当需要加固的深度大于10m时可采用三轴水泥土搅拌桩，水泥一般采用P.O.42.5级普通硅酸盐水泥，水泥掺入比不宜小于20%，即每立方米搅拌土体中水泥掺入量不宜少于360kg，桩体垂直度允许偏差不应超过1/200。槽壁加固深度一般低于基坑开挖面下列3m，桩体直径650mm~850mm，加固区与围护体的间隙根据加固深度、设备工况及施工能力等综合确定，一般为50mm~100mm。特殊情况下，如工作面狭小、限高等，无法满足搅拌桩设备施工需要，可考虑采用旋喷、摆喷等加固形式。</w:t>
      </w:r>
    </w:p>
    <w:p>
      <w:pPr>
        <w:rPr>
          <w:b/>
        </w:rPr>
      </w:pPr>
      <w:r>
        <w:rPr>
          <w:b/>
        </w:rPr>
        <w:t xml:space="preserve">7.5.4 </w:t>
      </w:r>
      <w:r>
        <w:t>护壁泥浆应根据材料和地质条件进行试配，泥浆配合比应按现场试验确定</w:t>
      </w:r>
      <w:r>
        <w:rPr>
          <w:rFonts w:hint="eastAsia"/>
        </w:rPr>
        <w:t>。</w:t>
      </w:r>
      <w:r>
        <w:rPr>
          <w:b/>
        </w:rPr>
        <w:t xml:space="preserve"> </w:t>
      </w:r>
    </w:p>
    <w:p>
      <w:pPr>
        <w:rPr>
          <w:rFonts w:eastAsia="仿宋"/>
        </w:rPr>
      </w:pPr>
      <w:r>
        <w:rPr>
          <w:rFonts w:eastAsia="仿宋"/>
          <w:b/>
          <w:bCs/>
        </w:rPr>
        <w:t xml:space="preserve">【条文说明】：7.5.4  </w:t>
      </w:r>
      <w:r>
        <w:rPr>
          <w:rFonts w:eastAsia="仿宋"/>
        </w:rPr>
        <w:t>护壁泥浆应根据材料和地质条件进行试配，泥浆配合比应按现场试验确定，新拌制的泥浆应充分水化后贮存24h以上方可使用，成槽时泥浆的供应及处理系统应满足泥浆使用量的要求，应采用泥浆检测仪器检测泥浆指标，槽段开挖结束后及钢筋笼入槽前应对槽底泥浆和沉淀物进行置换。循环泥浆应采取分离净化等再生处理措施，当泥浆含砂率大于7%时宜采用除砂器除砂。</w:t>
      </w:r>
    </w:p>
    <w:p>
      <w:pPr>
        <w:ind w:firstLine="480" w:firstLineChars="200"/>
        <w:rPr>
          <w:rFonts w:eastAsia="仿宋"/>
        </w:rPr>
      </w:pPr>
      <w:r>
        <w:rPr>
          <w:rFonts w:eastAsia="仿宋"/>
        </w:rPr>
        <w:t>通过泥浆试配与现场检验确定是否修改泥浆的配比，检验内容主要包括稳定性、形成泥皮性能、泥浆流动特性及泥浆比重检验。遇有含盐或受化学污染的土层时，应配制专用泥浆，以免泥浆性能达不到规定要求，影响成槽质量。泥浆分离净化通常采用机械、重力沉降和化学处理的方法。除砂器选择应根据砂的颗粒大小及需处理的泥浆方量来确定。</w:t>
      </w:r>
    </w:p>
    <w:p>
      <w:r>
        <w:rPr>
          <w:b/>
        </w:rPr>
        <w:t xml:space="preserve">7.5.5  </w:t>
      </w:r>
      <w:r>
        <w:t>地下连续墙槽段间的连接接头可</w:t>
      </w:r>
      <w:r>
        <w:rPr>
          <w:rFonts w:hint="eastAsia"/>
        </w:rPr>
        <w:t>根据现场环境及保护要求选用</w:t>
      </w:r>
      <w:r>
        <w:t>圆形锁口管接头等形式。在槽段接头外侧，应根据地质条件及防渗要求采取高压喷射注浆等防渗加强措施。</w:t>
      </w:r>
    </w:p>
    <w:p>
      <w:pPr>
        <w:rPr>
          <w:rFonts w:eastAsia="仿宋"/>
        </w:rPr>
      </w:pPr>
      <w:r>
        <w:rPr>
          <w:rFonts w:eastAsia="仿宋"/>
          <w:b/>
          <w:bCs/>
        </w:rPr>
        <w:t xml:space="preserve">【条文说明】：7.5.5  </w:t>
      </w:r>
      <w:r>
        <w:rPr>
          <w:rFonts w:eastAsia="仿宋"/>
        </w:rPr>
        <w:t>地下连续墙槽段间的连接接头可采用圆形锁口管接头、十字钢板接头、工字钢接头、V型钢板接头、钢筋混凝土预制接头和套铣接头等形式。</w:t>
      </w:r>
    </w:p>
    <w:p>
      <w:pPr>
        <w:rPr>
          <w:rFonts w:eastAsia="仿宋"/>
        </w:rPr>
      </w:pPr>
      <w:r>
        <w:rPr>
          <w:rFonts w:eastAsia="仿宋"/>
        </w:rPr>
        <w:t>地下连续墙间的连接接头应根据地下连续墙的使用要求选用，且应满足地下结构防渗要求，对于超深地下连续墙采用圆形锁口管作为接头时，接头设置V字形钢板可以便于锁口管的起拔。</w:t>
      </w:r>
    </w:p>
    <w:p>
      <w:pPr>
        <w:ind w:firstLine="480" w:firstLineChars="200"/>
        <w:rPr>
          <w:rFonts w:eastAsia="仿宋"/>
        </w:rPr>
      </w:pPr>
      <w:r>
        <w:rPr>
          <w:rFonts w:eastAsia="仿宋"/>
        </w:rPr>
        <w:t>套铣接头即利用铣槽机切削先行槽段混凝土而形成的地下连续墙接头。采用套铣接头工法的地下连续墙槽段可分一期槽段和二期槽段两种，先行施工一期槽段，然后在两个一期槽段中间插入二期槽段。一期槽段可采用抓斗式成槽机成槽，或采用抓斗式成槽机与铣槽机抓铣结合成槽，二期槽段采用铣槽机铣槽。</w:t>
      </w:r>
    </w:p>
    <w:p>
      <w:pPr>
        <w:ind w:firstLine="480" w:firstLineChars="200"/>
        <w:rPr>
          <w:rFonts w:eastAsia="仿宋"/>
        </w:rPr>
      </w:pPr>
      <w:r>
        <w:rPr>
          <w:rFonts w:eastAsia="仿宋"/>
        </w:rPr>
        <w:t>地下连续墙接头易渗水，逆作法施工时空间较密闭，排风、照明有限，接头处渗漏较难处理，当无槽壁加固时在坑外宜采取高压旋喷桩加强止水。高压旋喷桩数量、直径、深度根据设计要求确定，一般采用2~3根直径800mm~1000mm且深度低于坑底3m以上的旋喷桩或摆喷桩；在特别重要地方，如临近已运营的地铁隧道等，可采用挤土效应小、对周围环境影响小的全方位高压喷射桩进行加强止水。</w:t>
      </w:r>
    </w:p>
    <w:p>
      <w:r>
        <w:rPr>
          <w:b/>
        </w:rPr>
        <w:t xml:space="preserve">7.5.6  </w:t>
      </w:r>
      <w:r>
        <w:t>地下连续墙钢筋笼制作场地应平整，平面尺寸应满足制作和拼装要求</w:t>
      </w:r>
      <w:r>
        <w:rPr>
          <w:rFonts w:hint="eastAsia"/>
        </w:rPr>
        <w:t>，</w:t>
      </w:r>
      <w:r>
        <w:t>钢筋笼</w:t>
      </w:r>
      <w:r>
        <w:rPr>
          <w:rFonts w:hint="eastAsia"/>
        </w:rPr>
        <w:t>吊装</w:t>
      </w:r>
      <w:r>
        <w:t>长度应根据导墙标高计算确定，并应在每幅槽段钢筋笼吊放前测量吊点处的导墙标高。</w:t>
      </w:r>
    </w:p>
    <w:p>
      <w:pPr>
        <w:jc w:val="center"/>
        <w:rPr>
          <w:b/>
        </w:rPr>
      </w:pPr>
      <w:bookmarkStart w:id="214" w:name="_Toc327021397"/>
      <w:bookmarkStart w:id="215" w:name="_Toc327022045"/>
      <w:bookmarkStart w:id="216" w:name="_Toc329615593"/>
      <w:bookmarkStart w:id="217" w:name="_Toc329676163"/>
      <w:bookmarkStart w:id="218" w:name="_Toc525221319"/>
      <w:bookmarkStart w:id="219" w:name="_Toc525220336"/>
      <w:bookmarkStart w:id="220" w:name="_Toc525219702"/>
    </w:p>
    <w:p>
      <w:pPr>
        <w:pStyle w:val="3"/>
      </w:pPr>
      <w:bookmarkStart w:id="221" w:name="_Toc8012"/>
      <w:bookmarkStart w:id="222" w:name="_Toc18057057"/>
      <w:r>
        <w:rPr>
          <w:rFonts w:hint="eastAsia"/>
        </w:rPr>
        <w:t xml:space="preserve">7.6  </w:t>
      </w:r>
      <w:bookmarkEnd w:id="214"/>
      <w:bookmarkEnd w:id="215"/>
      <w:bookmarkEnd w:id="216"/>
      <w:bookmarkEnd w:id="217"/>
      <w:r>
        <w:rPr>
          <w:rFonts w:hint="eastAsia"/>
        </w:rPr>
        <w:t>型钢水泥土搅拌墙</w:t>
      </w:r>
      <w:bookmarkEnd w:id="218"/>
      <w:bookmarkEnd w:id="219"/>
      <w:bookmarkEnd w:id="220"/>
      <w:bookmarkEnd w:id="221"/>
      <w:bookmarkEnd w:id="222"/>
    </w:p>
    <w:p>
      <w:r>
        <w:rPr>
          <w:b/>
        </w:rPr>
        <w:t>7.6.</w:t>
      </w:r>
      <w:r>
        <w:rPr>
          <w:rFonts w:hint="eastAsia"/>
          <w:b/>
        </w:rPr>
        <w:t>1</w:t>
      </w:r>
      <w:r>
        <w:rPr>
          <w:b/>
        </w:rPr>
        <w:t xml:space="preserve">  </w:t>
      </w:r>
      <w:r>
        <w:rPr>
          <w:rFonts w:hint="eastAsia"/>
        </w:rPr>
        <w:t>型钢水泥土搅拌墙</w:t>
      </w:r>
      <w:r>
        <w:t>施工应根据地质条件、成桩深度、桩径、厚度、型钢规格等技术参数，选用不同功率的设备和配套机具，并应通过试成桩确定施工工艺及各项施工技术参数。</w:t>
      </w:r>
    </w:p>
    <w:p>
      <w:pPr>
        <w:jc w:val="left"/>
      </w:pPr>
      <w:r>
        <w:rPr>
          <w:rFonts w:eastAsia="仿宋"/>
          <w:b/>
          <w:bCs/>
        </w:rPr>
        <w:t xml:space="preserve">【条文说明】：7.6.1  </w:t>
      </w:r>
      <w:r>
        <w:rPr>
          <w:rFonts w:eastAsia="仿宋"/>
        </w:rPr>
        <w:t>SMW工法应选择恰当的搅拌桩机，配置电子称重自动拌浆系统以及泵压、流量表具，通过试成桩确定不同地质条件下的成桩施工工艺、水泥（膨润土）浆液水灰比、注浆泵工作流量、三轴搅拌机头下沉或提升速度等各项施工技术参数以及搅拌桩28天龄期无侧限抗压强度。三轴水泥土搅拌试检测以水泥土试块为主，采用标准养护及同条件养护两种形式。</w:t>
      </w:r>
    </w:p>
    <w:p>
      <w:r>
        <w:rPr>
          <w:b/>
        </w:rPr>
        <w:t>7.6.</w:t>
      </w:r>
      <w:r>
        <w:rPr>
          <w:rFonts w:hint="eastAsia"/>
          <w:b/>
        </w:rPr>
        <w:t>2</w:t>
      </w:r>
      <w:r>
        <w:rPr>
          <w:b/>
        </w:rPr>
        <w:t xml:space="preserve">  </w:t>
      </w:r>
      <w:r>
        <w:rPr>
          <w:rFonts w:hint="eastAsia"/>
        </w:rPr>
        <w:t>型钢水泥土搅拌墙</w:t>
      </w:r>
      <w:r>
        <w:t>施工范围内应进行清障，施工场地应进行平整，施工道路的地基承载力应满足搅拌桩机、起重机等重型机械安全作业和平稳移位的要求。</w:t>
      </w:r>
    </w:p>
    <w:p>
      <w:pPr>
        <w:jc w:val="left"/>
        <w:rPr>
          <w:rFonts w:eastAsia="仿宋"/>
        </w:rPr>
      </w:pPr>
      <w:r>
        <w:rPr>
          <w:rFonts w:eastAsia="仿宋"/>
          <w:b/>
          <w:bCs/>
        </w:rPr>
        <w:t>【条文说明】：7.6.2</w:t>
      </w:r>
      <w:r>
        <w:rPr>
          <w:rFonts w:eastAsia="仿宋"/>
        </w:rPr>
        <w:t xml:space="preserve">  水泥土搅拌桩搅拌机自重一般在1300kN~500kN，在三轴搅拌桩施工范围内，探摸清障后，应回填压实，铺设钢板，必要时还需对路基进行加固。</w:t>
      </w:r>
    </w:p>
    <w:p>
      <w:r>
        <w:rPr>
          <w:b/>
        </w:rPr>
        <w:t>7.6.</w:t>
      </w:r>
      <w:r>
        <w:rPr>
          <w:rFonts w:hint="eastAsia"/>
          <w:b/>
        </w:rPr>
        <w:t>3</w:t>
      </w:r>
      <w:r>
        <w:rPr>
          <w:b/>
        </w:rPr>
        <w:t xml:space="preserve">  </w:t>
      </w:r>
      <w:r>
        <w:t>三轴水泥土搅拌桩施工时，搅拌桩机就位应对中，平面允许偏差不应大于±20mm，搅拌桩机导向架的垂直度允许偏差不应大于1/250。</w:t>
      </w:r>
    </w:p>
    <w:p>
      <w:r>
        <w:rPr>
          <w:b/>
        </w:rPr>
        <w:t>7.6.</w:t>
      </w:r>
      <w:r>
        <w:rPr>
          <w:rFonts w:hint="eastAsia"/>
          <w:b/>
        </w:rPr>
        <w:t>4</w:t>
      </w:r>
      <w:r>
        <w:rPr>
          <w:b/>
        </w:rPr>
        <w:t xml:space="preserve"> </w:t>
      </w:r>
      <w:bookmarkStart w:id="223" w:name="_Hlk511379295"/>
      <w:r>
        <w:rPr>
          <w:b/>
        </w:rPr>
        <w:t xml:space="preserve"> </w:t>
      </w:r>
      <w:r>
        <w:t>三轴水泥土搅拌桩</w:t>
      </w:r>
      <w:bookmarkEnd w:id="223"/>
      <w:r>
        <w:t>搅拌下沉速度宜控制在0.5m/min～1.0m/min，提升速度在黏性土中宜控制在1.0m/min～2.0m/min，在粉土和砂土中不宜大于1.0m/min，并保持均速下沉或提升。提升时不应在孔内产生负压造成周边土体的过大扰动，搅拌次数和搅拌时间应能保证水泥土搅拌桩的成桩质量。</w:t>
      </w:r>
    </w:p>
    <w:p>
      <w:r>
        <w:rPr>
          <w:b/>
        </w:rPr>
        <w:t>7.6.</w:t>
      </w:r>
      <w:r>
        <w:rPr>
          <w:rFonts w:hint="eastAsia"/>
          <w:b/>
        </w:rPr>
        <w:t>5</w:t>
      </w:r>
      <w:r>
        <w:rPr>
          <w:b/>
        </w:rPr>
        <w:t xml:space="preserve">  </w:t>
      </w:r>
      <w:r>
        <w:t>三轴水泥土搅拌桩施工宜采用跳打双孔套接复搅连接成墙。对于N值大于30击的硬质土层，可采用预先钻孔松动土层后，再用跳打双孔套接复搅连接成墙。当三轴水泥土搅拌桩施工深度大于30m时，宜采用加接钻杆的施工工艺。桩与桩之间的搭接时间间隔不应大于24h。</w:t>
      </w:r>
    </w:p>
    <w:p>
      <w:pPr>
        <w:jc w:val="left"/>
        <w:rPr>
          <w:rFonts w:eastAsia="仿宋"/>
        </w:rPr>
      </w:pPr>
      <w:r>
        <w:rPr>
          <w:rFonts w:eastAsia="仿宋"/>
          <w:b/>
          <w:bCs/>
        </w:rPr>
        <w:t>【条文说明】：7.6.5</w:t>
      </w:r>
      <w:r>
        <w:rPr>
          <w:rFonts w:eastAsia="仿宋"/>
        </w:rPr>
        <w:t xml:space="preserve">  三轴水泥土搅拌桩施工，一般情况下均采用跳打双孔套接复搅连接成墙，在施工条件受限时（搅拌机无法来回移位或搅拌墙体转角处）可采用单侧挤压式一孔套接复搅连接成墙。超深三轴水泥土搅拌桩可采用加接钻杆的方式或采用先行钻孔，再加接钻杆的工艺。当桩架高度18m~30m时，通过加接3~5次钻杆，施工深度可达50m。超深三轴水泥土搅拌桩在密实砂质地层先行钻孔时，应注入膨润土浆液，搅拌成桩时水泥浆液中也应掺入膨润土。超深三轴水泥土搅拌桩加接钻杆搅拌成墙时，还需计算加接、拆卸钻杆的水泥浆液损耗率，每连接一次钻杆水泥浆液损耗递增5%。</w:t>
      </w:r>
    </w:p>
    <w:p>
      <w:r>
        <w:rPr>
          <w:b/>
        </w:rPr>
        <w:t>7.6.</w:t>
      </w:r>
      <w:r>
        <w:rPr>
          <w:rFonts w:hint="eastAsia"/>
          <w:b/>
        </w:rPr>
        <w:t>6</w:t>
      </w:r>
      <w:r>
        <w:rPr>
          <w:b/>
        </w:rPr>
        <w:t xml:space="preserve">  </w:t>
      </w:r>
      <w:r>
        <w:t>对环境保护要求高的基坑工程，采用三轴水泥土搅拌桩机成桩时，宜选择螺旋式或螺旋、叶片交互配置的搅拌钻杆，并应通过试成桩及施工过程中的实际监测结果，调整施工参数和施工部署。</w:t>
      </w:r>
    </w:p>
    <w:p>
      <w:r>
        <w:rPr>
          <w:b/>
        </w:rPr>
        <w:t>7.6.</w:t>
      </w:r>
      <w:r>
        <w:rPr>
          <w:rFonts w:hint="eastAsia"/>
          <w:b/>
        </w:rPr>
        <w:t>7</w:t>
      </w:r>
      <w:r>
        <w:rPr>
          <w:b/>
        </w:rPr>
        <w:t xml:space="preserve">  </w:t>
      </w:r>
      <w:r>
        <w:t>型钢回收起拔应在水泥土搅拌墙与主体结构外墙之间的空隙回填密实后进行，型钢拔出后留下的空隙应及时注浆填充，并应编制包括浆液配比、注浆工艺、拔除顺序等内容的专项施工方案。周边环境条件复杂、保护要求高的基坑工程，型钢不宜回收。</w:t>
      </w:r>
    </w:p>
    <w:p>
      <w:r>
        <w:rPr>
          <w:b/>
        </w:rPr>
        <w:t>7.6.</w:t>
      </w:r>
      <w:r>
        <w:rPr>
          <w:rFonts w:hint="eastAsia"/>
          <w:b/>
        </w:rPr>
        <w:t>8</w:t>
      </w:r>
      <w:r>
        <w:rPr>
          <w:b/>
        </w:rPr>
        <w:t xml:space="preserve">  </w:t>
      </w:r>
      <w:r>
        <w:t>基坑开挖前应检验水泥土搅拌桩的桩身强度，强度指标应</w:t>
      </w:r>
      <w:r>
        <w:rPr>
          <w:rFonts w:hint="eastAsia"/>
        </w:rPr>
        <w:t>满足</w:t>
      </w:r>
      <w:r>
        <w:t>设计要求。水泥土搅拌桩桩身的强度宜采用浆液试块强度试验确定，也可以采用钻取桩芯强度试验确定。</w:t>
      </w:r>
    </w:p>
    <w:p>
      <w:r>
        <w:rPr>
          <w:b/>
        </w:rPr>
        <w:t>7.6.</w:t>
      </w:r>
      <w:r>
        <w:rPr>
          <w:rFonts w:hint="eastAsia"/>
          <w:b/>
        </w:rPr>
        <w:t>9</w:t>
      </w:r>
      <w:r>
        <w:rPr>
          <w:b/>
        </w:rPr>
        <w:t xml:space="preserve">  </w:t>
      </w:r>
      <w:r>
        <w:rPr>
          <w:rFonts w:hint="eastAsia"/>
        </w:rPr>
        <w:t>型钢水泥土搅拌墙</w:t>
      </w:r>
      <w:r>
        <w:t xml:space="preserve">施工应符合现行行业标准《型钢水泥土搅拌墙技术规程》JGJ/T 199的规定。 </w:t>
      </w:r>
    </w:p>
    <w:p>
      <w:pPr>
        <w:rPr>
          <w:rFonts w:asciiTheme="minorEastAsia" w:hAnsiTheme="minorEastAsia" w:eastAsiaTheme="minorEastAsia"/>
        </w:rPr>
      </w:pPr>
    </w:p>
    <w:p>
      <w:pPr>
        <w:pStyle w:val="3"/>
      </w:pPr>
      <w:bookmarkStart w:id="224" w:name="_Toc525219704"/>
      <w:bookmarkStart w:id="225" w:name="_Toc525220338"/>
      <w:bookmarkStart w:id="226" w:name="_Toc525221321"/>
      <w:bookmarkStart w:id="227" w:name="_Toc18057058"/>
      <w:bookmarkStart w:id="228" w:name="_Toc27830"/>
      <w:r>
        <w:rPr>
          <w:rFonts w:hint="eastAsia"/>
        </w:rPr>
        <w:t xml:space="preserve">7.7 </w:t>
      </w:r>
      <w:r>
        <w:t xml:space="preserve"> 土体加固</w:t>
      </w:r>
      <w:bookmarkEnd w:id="224"/>
      <w:bookmarkEnd w:id="225"/>
      <w:bookmarkEnd w:id="226"/>
      <w:bookmarkEnd w:id="227"/>
      <w:bookmarkEnd w:id="228"/>
    </w:p>
    <w:p>
      <w:bookmarkStart w:id="229" w:name="_Hlk511071594"/>
      <w:r>
        <w:rPr>
          <w:b/>
        </w:rPr>
        <w:t>7.</w:t>
      </w:r>
      <w:r>
        <w:rPr>
          <w:rFonts w:hint="eastAsia"/>
          <w:b/>
        </w:rPr>
        <w:t>7</w:t>
      </w:r>
      <w:r>
        <w:rPr>
          <w:b/>
        </w:rPr>
        <w:t>.1</w:t>
      </w:r>
      <w:bookmarkEnd w:id="229"/>
      <w:r>
        <w:t xml:space="preserve">  顶管始发井及接收井的洞口土体应</w:t>
      </w:r>
      <w:r>
        <w:rPr>
          <w:rFonts w:hint="eastAsia"/>
        </w:rPr>
        <w:t>进行</w:t>
      </w:r>
      <w:r>
        <w:t>加固</w:t>
      </w:r>
      <w:r>
        <w:rPr>
          <w:rFonts w:hint="eastAsia"/>
        </w:rPr>
        <w:t>，</w:t>
      </w:r>
      <w:r>
        <w:t>土体加固宜采用水泥土搅拌桩、高压旋喷桩、</w:t>
      </w:r>
      <w:r>
        <w:rPr>
          <w:rFonts w:hint="eastAsia"/>
        </w:rPr>
        <w:t>冰</w:t>
      </w:r>
      <w:r>
        <w:t>冻法及降水等一种或几种复合形式。</w:t>
      </w:r>
    </w:p>
    <w:p>
      <w:pPr>
        <w:jc w:val="left"/>
        <w:rPr>
          <w:rFonts w:eastAsia="仿宋"/>
        </w:rPr>
      </w:pPr>
      <w:r>
        <w:rPr>
          <w:rFonts w:eastAsia="仿宋"/>
          <w:b/>
          <w:bCs/>
        </w:rPr>
        <w:t xml:space="preserve">【条文说明】：7.7.1  </w:t>
      </w:r>
      <w:r>
        <w:rPr>
          <w:rFonts w:eastAsia="仿宋"/>
        </w:rPr>
        <w:t>顶管洞口加固需在工作井、接收井的底板达到设计强度后进行。三轴搅拌桩的水泥掺量不宜小于20%，水灰比宜为1.2~1.5；高压旋喷桩注浆的水泥掺量不宜小于25%，水灰比宜为0.7~1.0，加固搭接要均匀。</w:t>
      </w:r>
    </w:p>
    <w:p>
      <w:bookmarkStart w:id="230" w:name="_Hlk511138453"/>
      <w:bookmarkStart w:id="231" w:name="_Hlk511137943"/>
      <w:r>
        <w:rPr>
          <w:b/>
        </w:rPr>
        <w:t>7.</w:t>
      </w:r>
      <w:r>
        <w:rPr>
          <w:rFonts w:hint="eastAsia"/>
          <w:b/>
        </w:rPr>
        <w:t>7</w:t>
      </w:r>
      <w:r>
        <w:rPr>
          <w:b/>
        </w:rPr>
        <w:t xml:space="preserve">.2 </w:t>
      </w:r>
      <w:r>
        <w:t xml:space="preserve"> </w:t>
      </w:r>
      <w:bookmarkStart w:id="232" w:name="_Hlk511138142"/>
      <w:r>
        <w:t>顶管洞口加固需在</w:t>
      </w:r>
      <w:r>
        <w:rPr>
          <w:rFonts w:hint="eastAsia"/>
        </w:rPr>
        <w:t>始发</w:t>
      </w:r>
      <w:r>
        <w:t>井</w:t>
      </w:r>
      <w:r>
        <w:rPr>
          <w:rFonts w:hint="eastAsia"/>
        </w:rPr>
        <w:t>、</w:t>
      </w:r>
      <w:r>
        <w:t>接收井的底板达到设计强度后进行。</w:t>
      </w:r>
      <w:bookmarkEnd w:id="232"/>
      <w:r>
        <w:rPr>
          <w:rFonts w:hint="eastAsia"/>
        </w:rPr>
        <w:t>加固完成</w:t>
      </w:r>
      <w:r>
        <w:t>后</w:t>
      </w:r>
      <w:r>
        <w:rPr>
          <w:rFonts w:hint="eastAsia"/>
        </w:rPr>
        <w:t>应按相关规定对加固体的强度、均匀性和防渗漏性能进行检测。</w:t>
      </w:r>
    </w:p>
    <w:p>
      <w:pPr>
        <w:jc w:val="left"/>
        <w:rPr>
          <w:rFonts w:eastAsia="仿宋"/>
        </w:rPr>
      </w:pPr>
      <w:r>
        <w:rPr>
          <w:rFonts w:eastAsia="仿宋"/>
          <w:b/>
          <w:bCs/>
        </w:rPr>
        <w:t xml:space="preserve">【条文说明】：7.7.2  </w:t>
      </w:r>
      <w:r>
        <w:rPr>
          <w:rFonts w:eastAsia="仿宋"/>
        </w:rPr>
        <w:t>洞口土体采取加固的主要目的是：①确保开洞门时土体具有一定的强度，防止土体坍塌涌入井内。②确保开洞门时土体具有一定的抗渗透性，防止地下水通过土体涌入井内。始发到达洞口土体加固的范围宜为离洞口正前方6m，上下方各3m~4m，左右各3m~4m。顶管洞口的加固效果应采用钻芯取样的方式进行检验，加固体的强度不宜小于0.5MPa，并应检查加固体的均匀性和防渗漏性能。</w:t>
      </w:r>
    </w:p>
    <w:p>
      <w:r>
        <w:rPr>
          <w:b/>
        </w:rPr>
        <w:t>7.</w:t>
      </w:r>
      <w:r>
        <w:rPr>
          <w:rFonts w:hint="eastAsia"/>
          <w:b/>
        </w:rPr>
        <w:t>7</w:t>
      </w:r>
      <w:r>
        <w:rPr>
          <w:b/>
        </w:rPr>
        <w:t>.3</w:t>
      </w:r>
      <w:r>
        <w:t xml:space="preserve">  顶管</w:t>
      </w:r>
      <w:r>
        <w:rPr>
          <w:rFonts w:hint="eastAsia"/>
        </w:rPr>
        <w:t>工作</w:t>
      </w:r>
      <w:r>
        <w:t>井</w:t>
      </w:r>
      <w:r>
        <w:rPr>
          <w:rFonts w:hint="eastAsia"/>
        </w:rPr>
        <w:t>的后靠土体宜进行地基加固，加固形式宜采用水泥土搅拌桩、旋喷桩等。</w:t>
      </w:r>
      <w:r>
        <w:t xml:space="preserve"> </w:t>
      </w:r>
    </w:p>
    <w:p>
      <w:r>
        <w:rPr>
          <w:b/>
        </w:rPr>
        <w:t>7.</w:t>
      </w:r>
      <w:r>
        <w:rPr>
          <w:rFonts w:hint="eastAsia"/>
          <w:b/>
        </w:rPr>
        <w:t>7</w:t>
      </w:r>
      <w:r>
        <w:rPr>
          <w:b/>
        </w:rPr>
        <w:t>.4</w:t>
      </w:r>
      <w:r>
        <w:t xml:space="preserve">  顶管</w:t>
      </w:r>
      <w:r>
        <w:rPr>
          <w:rFonts w:hint="eastAsia"/>
        </w:rPr>
        <w:t>出</w:t>
      </w:r>
      <w:r>
        <w:t>洞口加固</w:t>
      </w:r>
      <w:r>
        <w:rPr>
          <w:rFonts w:hint="eastAsia"/>
        </w:rPr>
        <w:t>如采用冻结加固方案时，应由具备相应资质的专业设计单位进行专项设计。设计应包括结构设计、冻结工艺设计、解冻方式和冻胀融沉控制等内容。</w:t>
      </w:r>
    </w:p>
    <w:p>
      <w:r>
        <w:rPr>
          <w:b/>
        </w:rPr>
        <w:t>7.</w:t>
      </w:r>
      <w:r>
        <w:rPr>
          <w:rFonts w:hint="eastAsia"/>
          <w:b/>
        </w:rPr>
        <w:t>7</w:t>
      </w:r>
      <w:r>
        <w:rPr>
          <w:b/>
        </w:rPr>
        <w:t xml:space="preserve">.5  </w:t>
      </w:r>
      <w:r>
        <w:rPr>
          <w:rFonts w:hint="eastAsia"/>
        </w:rPr>
        <w:t>冷冻站的供冷量、冻结壁的温度控制、冻结管的拆除及封堵应符合冻洁工艺要求。采用冻结加固方案宜进一步考虑采用融沉注浆等控制其工后的融沉效应，融沉注浆等应配合变形监测进行。</w:t>
      </w:r>
    </w:p>
    <w:p>
      <w:pPr>
        <w:rPr>
          <w:rFonts w:eastAsia="仿宋"/>
        </w:rPr>
      </w:pPr>
      <w:r>
        <w:rPr>
          <w:rFonts w:eastAsia="仿宋"/>
          <w:b/>
          <w:bCs/>
        </w:rPr>
        <w:t xml:space="preserve">【条文说明】：7.7.4~7.7.5  </w:t>
      </w:r>
      <w:r>
        <w:rPr>
          <w:rFonts w:eastAsia="仿宋"/>
        </w:rPr>
        <w:t>冻结管宜采用无缝钢管。冻结管下入地层后必须进行试压，试验压力应为冻结工作面盐水压力的1.5倍~2倍，经试压30min压力下降不应超过0.05MPa，再延续15min压力保持不变为合格。重复使用旧钢管前应逐根除锈。</w:t>
      </w:r>
    </w:p>
    <w:p>
      <w:pPr>
        <w:ind w:firstLine="480" w:firstLineChars="200"/>
        <w:rPr>
          <w:rFonts w:eastAsia="仿宋"/>
        </w:rPr>
      </w:pPr>
      <w:r>
        <w:rPr>
          <w:rFonts w:eastAsia="仿宋"/>
        </w:rPr>
        <w:t>冻结管的连接应采用钢制螺纹管接头或加管箍焊接。采用螺纹管接头接连，应预先在地面组装并进行渗漏试验；采用管箍焊接，应进行焊缝检测，管箍的材质应与钢管的材质相同。</w:t>
      </w:r>
    </w:p>
    <w:p>
      <w:pPr>
        <w:ind w:firstLine="480" w:firstLineChars="200"/>
        <w:rPr>
          <w:rFonts w:eastAsia="仿宋"/>
        </w:rPr>
      </w:pPr>
      <w:r>
        <w:rPr>
          <w:rFonts w:eastAsia="仿宋"/>
        </w:rPr>
        <w:t>低温盐水冻结冷媒宜采用氯化钙溶液，其比重应根据设计盐水温度确定。盐水循环系统的干管及位于配液管首尾冻结器的供液或回液上，应设置流量计。</w:t>
      </w:r>
    </w:p>
    <w:p>
      <w:pPr>
        <w:rPr>
          <w:rFonts w:eastAsia="仿宋"/>
        </w:rPr>
      </w:pPr>
      <w:r>
        <w:rPr>
          <w:rFonts w:eastAsia="仿宋"/>
        </w:rPr>
        <w:t>供回液低温管路以及冻结踢与空气接触面应进行隔热处理，减少冷量的损失。</w:t>
      </w:r>
    </w:p>
    <w:p>
      <w:pPr>
        <w:rPr>
          <w:rFonts w:eastAsia="仿宋"/>
        </w:rPr>
      </w:pPr>
      <w:r>
        <w:rPr>
          <w:rFonts w:eastAsia="仿宋"/>
        </w:rPr>
        <w:t>冷冻站站房结构应通风良好，防火、防渗漏、防毒、避雷等安全设施齐全。融沉注浆总量一般为冻土体积的25%左右，可采取下列方法进行跟踪注浆控制融沉：1、顶管施工后利用泄压孔进行跟踪注浆，控制融沉；2、利用注浆孔进行跟踪注浆，减少融沉。</w:t>
      </w:r>
    </w:p>
    <w:bookmarkEnd w:id="230"/>
    <w:bookmarkEnd w:id="231"/>
    <w:p>
      <w:r>
        <w:rPr>
          <w:b/>
        </w:rPr>
        <w:t>7.</w:t>
      </w:r>
      <w:r>
        <w:rPr>
          <w:rFonts w:hint="eastAsia"/>
          <w:b/>
        </w:rPr>
        <w:t>7</w:t>
      </w:r>
      <w:r>
        <w:rPr>
          <w:b/>
        </w:rPr>
        <w:t xml:space="preserve">.6  </w:t>
      </w:r>
      <w:r>
        <w:t>顶管始发如采用降水措施时应设置水位观测井，并应使水位降至管底下列0.5m。</w:t>
      </w:r>
    </w:p>
    <w:p>
      <w:r>
        <w:rPr>
          <w:b/>
        </w:rPr>
        <w:t>7.</w:t>
      </w:r>
      <w:r>
        <w:rPr>
          <w:rFonts w:hint="eastAsia"/>
          <w:b/>
        </w:rPr>
        <w:t>7</w:t>
      </w:r>
      <w:r>
        <w:rPr>
          <w:b/>
        </w:rPr>
        <w:t xml:space="preserve">.7  </w:t>
      </w:r>
      <w:r>
        <w:t>始发、接收前应在洞门上打设探测孔，确认洞口地基加固止水措施的有效性。</w:t>
      </w:r>
    </w:p>
    <w:p>
      <w:r>
        <w:rPr>
          <w:b/>
        </w:rPr>
        <w:t>7.</w:t>
      </w:r>
      <w:r>
        <w:rPr>
          <w:rFonts w:hint="eastAsia"/>
          <w:b/>
        </w:rPr>
        <w:t>7</w:t>
      </w:r>
      <w:r>
        <w:rPr>
          <w:b/>
        </w:rPr>
        <w:t xml:space="preserve">.8  </w:t>
      </w:r>
      <w:r>
        <w:t>在含承压水的砂性土层中，顶管始发和接收宜采用降压措施。当周边环境保护要求高时，顶管机接收可采用水下进洞和钢套筒辅助进洞方式。</w:t>
      </w:r>
    </w:p>
    <w:p>
      <w:pPr>
        <w:rPr>
          <w:rFonts w:asciiTheme="minorEastAsia" w:hAnsiTheme="minorEastAsia" w:eastAsiaTheme="minorEastAsia"/>
        </w:rPr>
      </w:pPr>
    </w:p>
    <w:p>
      <w:pPr>
        <w:pStyle w:val="3"/>
      </w:pPr>
      <w:bookmarkStart w:id="233" w:name="_Toc26076"/>
      <w:bookmarkStart w:id="234" w:name="_Toc18057059"/>
      <w:r>
        <w:rPr>
          <w:rFonts w:hint="eastAsia"/>
        </w:rPr>
        <w:t>7.8</w:t>
      </w:r>
      <w:r>
        <w:t xml:space="preserve">  </w:t>
      </w:r>
      <w:r>
        <w:rPr>
          <w:rFonts w:hint="eastAsia"/>
        </w:rPr>
        <w:t>工作井质量控制</w:t>
      </w:r>
      <w:bookmarkEnd w:id="233"/>
      <w:bookmarkEnd w:id="234"/>
    </w:p>
    <w:p>
      <w:r>
        <w:rPr>
          <w:b/>
          <w:bCs/>
        </w:rPr>
        <w:t>7.</w:t>
      </w:r>
      <w:r>
        <w:rPr>
          <w:rFonts w:hint="eastAsia"/>
          <w:b/>
          <w:bCs/>
        </w:rPr>
        <w:t>8</w:t>
      </w:r>
      <w:r>
        <w:rPr>
          <w:b/>
          <w:bCs/>
        </w:rPr>
        <w:t xml:space="preserve">.1  </w:t>
      </w:r>
      <w:r>
        <w:rPr>
          <w:rFonts w:hint="eastAsia"/>
        </w:rPr>
        <w:t>工作井的围护结构、井内结构施工质量验收标准应按现行国家标准《建筑地基基础工程施工质量验收规范》GB 50202、《给水排水构筑物工程施工及验收规范》GB 50141的相关规定执行。</w:t>
      </w:r>
    </w:p>
    <w:p>
      <w:r>
        <w:rPr>
          <w:b/>
          <w:bCs/>
        </w:rPr>
        <w:t>7.</w:t>
      </w:r>
      <w:r>
        <w:rPr>
          <w:rFonts w:hint="eastAsia"/>
          <w:b/>
          <w:bCs/>
        </w:rPr>
        <w:t>8.</w:t>
      </w:r>
      <w:r>
        <w:rPr>
          <w:b/>
          <w:bCs/>
        </w:rPr>
        <w:t xml:space="preserve">2  </w:t>
      </w:r>
      <w:r>
        <w:rPr>
          <w:rFonts w:hint="eastAsia"/>
        </w:rPr>
        <w:t>工作井应按下列标准进行验收：</w:t>
      </w:r>
    </w:p>
    <w:p>
      <w:pPr>
        <w:jc w:val="center"/>
        <w:rPr>
          <w:rFonts w:eastAsiaTheme="minorEastAsia"/>
          <w:b/>
          <w:szCs w:val="22"/>
        </w:rPr>
      </w:pPr>
      <w:r>
        <w:rPr>
          <w:rFonts w:hint="eastAsia" w:eastAsiaTheme="minorEastAsia"/>
          <w:b/>
          <w:szCs w:val="22"/>
        </w:rPr>
        <w:t>主控项目</w:t>
      </w:r>
    </w:p>
    <w:p>
      <w:pPr>
        <w:ind w:firstLine="480" w:firstLineChars="200"/>
      </w:pPr>
      <w:r>
        <w:rPr>
          <w:rFonts w:hint="eastAsia"/>
        </w:rPr>
        <w:t>1</w:t>
      </w:r>
      <w:r>
        <w:t xml:space="preserve">  </w:t>
      </w:r>
      <w:r>
        <w:rPr>
          <w:rFonts w:hint="eastAsia"/>
        </w:rPr>
        <w:t>工程原材料、成品、半成品的产品质量应符合国家相关标准规定和设计要求；</w:t>
      </w:r>
    </w:p>
    <w:p>
      <w:pPr>
        <w:ind w:firstLine="480" w:firstLineChars="200"/>
      </w:pPr>
      <w:r>
        <w:rPr>
          <w:rFonts w:hint="eastAsia"/>
        </w:rPr>
        <w:t>检查方法：检查产品质量合格证、出厂检验报告和进场复验报告。</w:t>
      </w:r>
    </w:p>
    <w:p>
      <w:pPr>
        <w:ind w:firstLine="480" w:firstLineChars="200"/>
      </w:pPr>
      <w:r>
        <w:rPr>
          <w:rFonts w:hint="eastAsia"/>
        </w:rPr>
        <w:t>2</w:t>
      </w:r>
      <w:r>
        <w:t xml:space="preserve">  </w:t>
      </w:r>
      <w:r>
        <w:rPr>
          <w:rFonts w:hint="eastAsia"/>
        </w:rPr>
        <w:t>工作井结构的强度、刚度和尺寸应满足设计要求，结构无滴漏和线流现象；</w:t>
      </w:r>
    </w:p>
    <w:p>
      <w:pPr>
        <w:ind w:firstLine="480" w:firstLineChars="200"/>
      </w:pPr>
      <w:r>
        <w:rPr>
          <w:rFonts w:hint="eastAsia"/>
        </w:rPr>
        <w:t>检查方法：按表7.8.2-1的规定逐座进行检查，检查施工记录。</w:t>
      </w:r>
    </w:p>
    <w:p>
      <w:pPr>
        <w:jc w:val="center"/>
        <w:rPr>
          <w:b/>
          <w:bCs/>
          <w:sz w:val="21"/>
          <w:szCs w:val="18"/>
        </w:rPr>
      </w:pPr>
      <w:r>
        <w:rPr>
          <w:rFonts w:hint="eastAsia"/>
          <w:b/>
          <w:bCs/>
          <w:sz w:val="21"/>
          <w:szCs w:val="18"/>
        </w:rPr>
        <w:t>表</w:t>
      </w:r>
      <w:r>
        <w:rPr>
          <w:b/>
          <w:bCs/>
          <w:sz w:val="21"/>
          <w:szCs w:val="18"/>
        </w:rPr>
        <w:t>7.</w:t>
      </w:r>
      <w:r>
        <w:rPr>
          <w:rFonts w:hint="eastAsia"/>
          <w:b/>
          <w:bCs/>
          <w:sz w:val="21"/>
          <w:szCs w:val="18"/>
        </w:rPr>
        <w:t>8</w:t>
      </w:r>
      <w:r>
        <w:rPr>
          <w:b/>
          <w:bCs/>
          <w:sz w:val="21"/>
          <w:szCs w:val="18"/>
        </w:rPr>
        <w:t>.2-1</w:t>
      </w:r>
      <w:r>
        <w:rPr>
          <w:rFonts w:hint="eastAsia"/>
          <w:b/>
          <w:bCs/>
          <w:sz w:val="21"/>
          <w:szCs w:val="18"/>
        </w:rPr>
        <w:t xml:space="preserve"> </w:t>
      </w:r>
      <w:r>
        <w:rPr>
          <w:b/>
          <w:bCs/>
          <w:sz w:val="21"/>
          <w:szCs w:val="18"/>
        </w:rPr>
        <w:t xml:space="preserve"> </w:t>
      </w:r>
      <w:r>
        <w:rPr>
          <w:rFonts w:hint="eastAsia"/>
          <w:b/>
          <w:bCs/>
          <w:sz w:val="21"/>
          <w:szCs w:val="18"/>
        </w:rPr>
        <w:t>渗漏水程度描述使用的术语、定义和标识符号</w:t>
      </w:r>
    </w:p>
    <w:tbl>
      <w:tblPr>
        <w:tblStyle w:val="36"/>
        <w:tblW w:w="82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
      <w:tblGrid>
        <w:gridCol w:w="909"/>
        <w:gridCol w:w="6029"/>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909"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术语</w:t>
            </w:r>
          </w:p>
        </w:tc>
        <w:tc>
          <w:tcPr>
            <w:tcW w:w="6029"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定    义</w:t>
            </w:r>
          </w:p>
        </w:tc>
        <w:tc>
          <w:tcPr>
            <w:tcW w:w="1276"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标识符号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909"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湿渍</w:t>
            </w:r>
          </w:p>
        </w:tc>
        <w:tc>
          <w:tcPr>
            <w:tcW w:w="6029" w:type="dxa"/>
            <w:vAlign w:val="center"/>
          </w:tcPr>
          <w:p>
            <w:pPr>
              <w:adjustRightInd w:val="0"/>
              <w:snapToGrid w:val="0"/>
              <w:jc w:val="left"/>
              <w:rPr>
                <w:rFonts w:ascii="宋体" w:hAnsi="宋体" w:cs="宋体"/>
                <w:kern w:val="0"/>
                <w:sz w:val="21"/>
                <w:szCs w:val="15"/>
              </w:rPr>
            </w:pPr>
            <w:r>
              <w:rPr>
                <w:rFonts w:hint="eastAsia" w:ascii="宋体" w:hAnsi="宋体" w:cs="宋体"/>
                <w:kern w:val="0"/>
                <w:sz w:val="21"/>
                <w:szCs w:val="15"/>
              </w:rPr>
              <w:t>结构内壁，呈现明显色泽变化的潮湿斑；在通风条件下潮湿斑可消失，即蒸发量大于渗入量的状态</w:t>
            </w:r>
          </w:p>
        </w:tc>
        <w:tc>
          <w:tcPr>
            <w:tcW w:w="1276"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909"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渗水</w:t>
            </w:r>
          </w:p>
        </w:tc>
        <w:tc>
          <w:tcPr>
            <w:tcW w:w="6029" w:type="dxa"/>
            <w:vAlign w:val="center"/>
          </w:tcPr>
          <w:p>
            <w:pPr>
              <w:adjustRightInd w:val="0"/>
              <w:snapToGrid w:val="0"/>
              <w:jc w:val="left"/>
              <w:rPr>
                <w:rFonts w:ascii="宋体" w:hAnsi="宋体" w:cs="宋体"/>
                <w:kern w:val="0"/>
                <w:sz w:val="21"/>
                <w:szCs w:val="15"/>
              </w:rPr>
            </w:pPr>
            <w:r>
              <w:rPr>
                <w:rFonts w:hint="eastAsia" w:ascii="宋体" w:hAnsi="宋体" w:cs="宋体"/>
                <w:kern w:val="0"/>
                <w:sz w:val="21"/>
                <w:szCs w:val="15"/>
              </w:rPr>
              <w:t>水从结构内壁渗出，在内壁上可观察到明显的流挂水膜范围；在通风条件下水膜也不会消失，即渗入量大于蒸发量的状态</w:t>
            </w:r>
          </w:p>
        </w:tc>
        <w:tc>
          <w:tcPr>
            <w:tcW w:w="1276"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909"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水珠</w:t>
            </w:r>
          </w:p>
        </w:tc>
        <w:tc>
          <w:tcPr>
            <w:tcW w:w="6029" w:type="dxa"/>
            <w:vAlign w:val="center"/>
          </w:tcPr>
          <w:p>
            <w:pPr>
              <w:adjustRightInd w:val="0"/>
              <w:snapToGrid w:val="0"/>
              <w:jc w:val="left"/>
              <w:rPr>
                <w:rFonts w:ascii="宋体" w:hAnsi="宋体" w:cs="宋体"/>
                <w:kern w:val="0"/>
                <w:sz w:val="21"/>
                <w:szCs w:val="15"/>
              </w:rPr>
            </w:pPr>
            <w:r>
              <w:rPr>
                <w:rFonts w:hint="eastAsia" w:ascii="宋体" w:hAnsi="宋体" w:cs="宋体"/>
                <w:kern w:val="0"/>
                <w:sz w:val="21"/>
                <w:szCs w:val="15"/>
              </w:rPr>
              <w:t>悬挂在结构内壁的水珠、内壁渗漏水用细短棒引流并悬挂在其底部的水珠，其滴落间隔时间超过1min；渗漏水用干棉纱能够拭干，但短时间内可观察到擦拭部位从湿润至水渗出的变化</w:t>
            </w:r>
          </w:p>
        </w:tc>
        <w:tc>
          <w:tcPr>
            <w:tcW w:w="1276"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909"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滴漏</w:t>
            </w:r>
          </w:p>
        </w:tc>
        <w:tc>
          <w:tcPr>
            <w:tcW w:w="6029" w:type="dxa"/>
            <w:vAlign w:val="center"/>
          </w:tcPr>
          <w:p>
            <w:pPr>
              <w:adjustRightInd w:val="0"/>
              <w:snapToGrid w:val="0"/>
              <w:jc w:val="left"/>
              <w:rPr>
                <w:rFonts w:ascii="宋体" w:hAnsi="宋体" w:cs="宋体"/>
                <w:kern w:val="0"/>
                <w:sz w:val="21"/>
                <w:szCs w:val="15"/>
              </w:rPr>
            </w:pPr>
            <w:r>
              <w:rPr>
                <w:rFonts w:hint="eastAsia" w:ascii="宋体" w:hAnsi="宋体" w:cs="宋体"/>
                <w:kern w:val="0"/>
                <w:sz w:val="21"/>
                <w:szCs w:val="15"/>
              </w:rPr>
              <w:t>悬挂在结构内壁的水珠、内壁渗漏水用细短棒引流并悬挂在其底部的水珠，具滴落速度每min至少1滴；渗漏水用卜棉纱不易拭于，且短时间内可明显观察到擦拭部位有水渗出和集聚的变化</w:t>
            </w:r>
          </w:p>
        </w:tc>
        <w:tc>
          <w:tcPr>
            <w:tcW w:w="1276"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909"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线流</w:t>
            </w:r>
          </w:p>
        </w:tc>
        <w:tc>
          <w:tcPr>
            <w:tcW w:w="6029" w:type="dxa"/>
            <w:vAlign w:val="center"/>
          </w:tcPr>
          <w:p>
            <w:pPr>
              <w:adjustRightInd w:val="0"/>
              <w:snapToGrid w:val="0"/>
              <w:jc w:val="left"/>
              <w:rPr>
                <w:rFonts w:ascii="宋体" w:hAnsi="宋体" w:cs="宋体"/>
                <w:kern w:val="0"/>
                <w:sz w:val="21"/>
                <w:szCs w:val="15"/>
              </w:rPr>
            </w:pPr>
            <w:r>
              <w:rPr>
                <w:rFonts w:hint="eastAsia" w:ascii="宋体" w:hAnsi="宋体" w:cs="宋体"/>
                <w:kern w:val="0"/>
                <w:sz w:val="21"/>
                <w:szCs w:val="15"/>
              </w:rPr>
              <w:t>指渗漏水呈线流、流淌或喷水状态</w:t>
            </w:r>
          </w:p>
        </w:tc>
        <w:tc>
          <w:tcPr>
            <w:tcW w:w="1276" w:type="dxa"/>
            <w:vAlign w:val="center"/>
          </w:tcPr>
          <w:p>
            <w:pPr>
              <w:adjustRightInd w:val="0"/>
              <w:snapToGrid w:val="0"/>
              <w:jc w:val="center"/>
              <w:rPr>
                <w:rFonts w:ascii="宋体" w:hAnsi="宋体" w:cs="宋体"/>
                <w:kern w:val="0"/>
                <w:sz w:val="21"/>
                <w:szCs w:val="15"/>
              </w:rPr>
            </w:pPr>
            <w:r>
              <w:rPr>
                <w:rFonts w:hint="eastAsia" w:ascii="宋体" w:hAnsi="宋体" w:cs="宋体"/>
                <w:kern w:val="0"/>
                <w:sz w:val="21"/>
                <w:szCs w:val="15"/>
              </w:rPr>
              <w:t>↓</w:t>
            </w:r>
          </w:p>
        </w:tc>
      </w:tr>
    </w:tbl>
    <w:p>
      <w:pPr>
        <w:ind w:firstLine="480" w:firstLineChars="200"/>
      </w:pPr>
      <w:r>
        <w:rPr>
          <w:rFonts w:hint="eastAsia"/>
        </w:rPr>
        <w:t>3</w:t>
      </w:r>
      <w:r>
        <w:t xml:space="preserve">  </w:t>
      </w:r>
      <w:r>
        <w:rPr>
          <w:rFonts w:hint="eastAsia"/>
        </w:rPr>
        <w:t>混凝土结构的抗压强度等级、抗渗等级应满足设计要求；</w:t>
      </w:r>
    </w:p>
    <w:p>
      <w:pPr>
        <w:ind w:firstLine="480" w:firstLineChars="200"/>
      </w:pPr>
      <w:r>
        <w:rPr>
          <w:rFonts w:hint="eastAsia"/>
        </w:rPr>
        <w:t>检查数量：每根钻孔灌柱桩、每幅地下连续墙混凝土为一个验收批，抗压强度、抗渗试块应各留置一组；沉井及其他现浇结构的同一配合比混凝土，每工作班且每浇筑100 m</w:t>
      </w:r>
      <w:r>
        <w:rPr>
          <w:rFonts w:hint="eastAsia"/>
          <w:vertAlign w:val="superscript"/>
        </w:rPr>
        <w:t>3</w:t>
      </w:r>
      <w:r>
        <w:rPr>
          <w:rFonts w:hint="eastAsia"/>
        </w:rPr>
        <w:t>为一个验收批，抗压强度试块留置不应少于l组；每浇筑500 m</w:t>
      </w:r>
      <w:r>
        <w:rPr>
          <w:rFonts w:hint="eastAsia"/>
          <w:vertAlign w:val="superscript"/>
        </w:rPr>
        <w:t>3</w:t>
      </w:r>
      <w:r>
        <w:rPr>
          <w:rFonts w:hint="eastAsia"/>
        </w:rPr>
        <w:t>混凝土抗渗试块留置不应少于1组；</w:t>
      </w:r>
    </w:p>
    <w:p>
      <w:pPr>
        <w:ind w:firstLine="480" w:firstLineChars="200"/>
      </w:pPr>
      <w:r>
        <w:rPr>
          <w:rFonts w:hint="eastAsia"/>
        </w:rPr>
        <w:t>检查方法：检查混凝土浇筑记录，检查试块的抗压强度、抗渗试验报告。</w:t>
      </w:r>
    </w:p>
    <w:p>
      <w:pPr>
        <w:jc w:val="center"/>
        <w:rPr>
          <w:rFonts w:eastAsiaTheme="minorEastAsia"/>
          <w:b/>
          <w:szCs w:val="22"/>
        </w:rPr>
      </w:pPr>
      <w:r>
        <w:rPr>
          <w:rFonts w:hint="eastAsia" w:eastAsiaTheme="minorEastAsia"/>
          <w:b/>
          <w:szCs w:val="22"/>
        </w:rPr>
        <w:t>一般项目</w:t>
      </w:r>
    </w:p>
    <w:p>
      <w:pPr>
        <w:ind w:firstLine="480" w:firstLineChars="200"/>
      </w:pPr>
      <w:r>
        <w:rPr>
          <w:rFonts w:hint="eastAsia"/>
        </w:rPr>
        <w:t>4</w:t>
      </w:r>
      <w:r>
        <w:t xml:space="preserve">  </w:t>
      </w:r>
      <w:r>
        <w:rPr>
          <w:rFonts w:hint="eastAsia"/>
        </w:rPr>
        <w:t>结构无明显渗水和水珠现象；</w:t>
      </w:r>
    </w:p>
    <w:p>
      <w:pPr>
        <w:ind w:firstLine="480" w:firstLineChars="200"/>
      </w:pPr>
      <w:r>
        <w:rPr>
          <w:rFonts w:hint="eastAsia"/>
        </w:rPr>
        <w:t>检查方法：按表7</w:t>
      </w:r>
      <w:r>
        <w:t>.8.2-1</w:t>
      </w:r>
      <w:r>
        <w:rPr>
          <w:rFonts w:hint="eastAsia"/>
        </w:rPr>
        <w:t>的规定逐座观察。</w:t>
      </w:r>
    </w:p>
    <w:p>
      <w:pPr>
        <w:ind w:firstLine="480" w:firstLineChars="200"/>
      </w:pPr>
      <w:r>
        <w:rPr>
          <w:rFonts w:hint="eastAsia"/>
        </w:rPr>
        <w:t>5</w:t>
      </w:r>
      <w:r>
        <w:t xml:space="preserve">  </w:t>
      </w:r>
      <w:r>
        <w:rPr>
          <w:rFonts w:hint="eastAsia"/>
        </w:rPr>
        <w:t>顶管顶进工作井的反力墙应坚实、平整；后座与井壁反力墙联系紧密；</w:t>
      </w:r>
    </w:p>
    <w:p>
      <w:pPr>
        <w:ind w:firstLine="480" w:firstLineChars="200"/>
      </w:pPr>
      <w:r>
        <w:rPr>
          <w:rFonts w:hint="eastAsia"/>
        </w:rPr>
        <w:t>检查方法：逐个观察；检查相关施工记录。</w:t>
      </w:r>
    </w:p>
    <w:p>
      <w:pPr>
        <w:ind w:firstLine="480" w:firstLineChars="200"/>
      </w:pPr>
      <w:r>
        <w:rPr>
          <w:rFonts w:hint="eastAsia"/>
        </w:rPr>
        <w:t>6</w:t>
      </w:r>
      <w:r>
        <w:t xml:space="preserve">  </w:t>
      </w:r>
      <w:r>
        <w:rPr>
          <w:rFonts w:hint="eastAsia"/>
        </w:rPr>
        <w:t>两导轨应顺直、平行、等高，基座及导轨的夹角符合规定；导轨与基座连接应牢固可靠，不得在使用中产生位移；</w:t>
      </w:r>
    </w:p>
    <w:p>
      <w:pPr>
        <w:ind w:firstLine="480" w:firstLineChars="200"/>
      </w:pPr>
      <w:r>
        <w:rPr>
          <w:rFonts w:hint="eastAsia"/>
        </w:rPr>
        <w:t>检查方法：逐个观察、量测。</w:t>
      </w:r>
    </w:p>
    <w:p>
      <w:pPr>
        <w:ind w:firstLine="480" w:firstLineChars="200"/>
      </w:pPr>
      <w:r>
        <w:rPr>
          <w:rFonts w:hint="eastAsia"/>
        </w:rPr>
        <w:t>7</w:t>
      </w:r>
      <w:r>
        <w:t xml:space="preserve">  </w:t>
      </w:r>
      <w:r>
        <w:rPr>
          <w:rFonts w:hint="eastAsia"/>
        </w:rPr>
        <w:t>工作井施工的允许偏差应符合表</w:t>
      </w:r>
      <w:r>
        <w:t>7.</w:t>
      </w:r>
      <w:r>
        <w:rPr>
          <w:rFonts w:hint="eastAsia"/>
        </w:rPr>
        <w:t>8</w:t>
      </w:r>
      <w:r>
        <w:t>.2</w:t>
      </w:r>
      <w:r>
        <w:rPr>
          <w:rFonts w:hint="eastAsia"/>
        </w:rPr>
        <w:t>-2的规定。</w:t>
      </w:r>
    </w:p>
    <w:p>
      <w:pPr>
        <w:jc w:val="center"/>
      </w:pPr>
      <w:r>
        <w:rPr>
          <w:rFonts w:hint="eastAsia"/>
        </w:rPr>
        <w:t>表</w:t>
      </w:r>
      <w:r>
        <w:t>7.8.2-2</w:t>
      </w:r>
      <w:r>
        <w:rPr>
          <w:rFonts w:hint="eastAsia"/>
        </w:rPr>
        <w:t xml:space="preserve"> 工作井施工的允许偏差</w:t>
      </w:r>
    </w:p>
    <w:tbl>
      <w:tblPr>
        <w:tblStyle w:val="36"/>
        <w:tblW w:w="82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
      <w:tblGrid>
        <w:gridCol w:w="442"/>
        <w:gridCol w:w="780"/>
        <w:gridCol w:w="973"/>
        <w:gridCol w:w="1364"/>
        <w:gridCol w:w="973"/>
        <w:gridCol w:w="584"/>
        <w:gridCol w:w="1604"/>
        <w:gridCol w:w="15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3559" w:type="dxa"/>
            <w:gridSpan w:val="4"/>
            <w:vMerge w:val="restart"/>
            <w:vAlign w:val="center"/>
          </w:tcPr>
          <w:p>
            <w:pPr>
              <w:spacing w:line="240" w:lineRule="auto"/>
              <w:jc w:val="left"/>
              <w:rPr>
                <w:rFonts w:eastAsiaTheme="minorEastAsia"/>
                <w:sz w:val="21"/>
              </w:rPr>
            </w:pPr>
            <w:r>
              <w:rPr>
                <w:rFonts w:eastAsiaTheme="minorEastAsia"/>
                <w:sz w:val="21"/>
              </w:rPr>
              <w:t>检查项目</w:t>
            </w:r>
          </w:p>
        </w:tc>
        <w:tc>
          <w:tcPr>
            <w:tcW w:w="973" w:type="dxa"/>
            <w:vMerge w:val="restart"/>
            <w:vAlign w:val="center"/>
          </w:tcPr>
          <w:p>
            <w:pPr>
              <w:spacing w:line="240" w:lineRule="auto"/>
              <w:jc w:val="left"/>
              <w:rPr>
                <w:rFonts w:eastAsiaTheme="minorEastAsia"/>
                <w:sz w:val="21"/>
              </w:rPr>
            </w:pPr>
            <w:r>
              <w:rPr>
                <w:rFonts w:eastAsiaTheme="minorEastAsia"/>
                <w:sz w:val="21"/>
              </w:rPr>
              <w:t>允许偏差(mm)</w:t>
            </w:r>
          </w:p>
        </w:tc>
        <w:tc>
          <w:tcPr>
            <w:tcW w:w="2188" w:type="dxa"/>
            <w:gridSpan w:val="2"/>
            <w:vAlign w:val="center"/>
          </w:tcPr>
          <w:p>
            <w:pPr>
              <w:spacing w:line="240" w:lineRule="auto"/>
              <w:jc w:val="left"/>
              <w:rPr>
                <w:rFonts w:eastAsiaTheme="minorEastAsia"/>
                <w:sz w:val="21"/>
              </w:rPr>
            </w:pPr>
            <w:r>
              <w:rPr>
                <w:rFonts w:eastAsiaTheme="minorEastAsia"/>
                <w:sz w:val="21"/>
              </w:rPr>
              <w:t>检查数量</w:t>
            </w:r>
          </w:p>
        </w:tc>
        <w:tc>
          <w:tcPr>
            <w:tcW w:w="1556" w:type="dxa"/>
            <w:vMerge w:val="restart"/>
            <w:vAlign w:val="center"/>
          </w:tcPr>
          <w:p>
            <w:pPr>
              <w:spacing w:line="240" w:lineRule="auto"/>
              <w:jc w:val="left"/>
              <w:rPr>
                <w:rFonts w:eastAsiaTheme="minorEastAsia"/>
                <w:sz w:val="21"/>
              </w:rPr>
            </w:pPr>
            <w:r>
              <w:rPr>
                <w:rFonts w:eastAsiaTheme="minorEastAsia"/>
                <w:sz w:val="21"/>
              </w:rPr>
              <w:t>检查方法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3559" w:type="dxa"/>
            <w:gridSpan w:val="4"/>
            <w:vMerge w:val="continue"/>
            <w:vAlign w:val="center"/>
          </w:tcPr>
          <w:p>
            <w:pPr>
              <w:spacing w:line="240" w:lineRule="auto"/>
              <w:jc w:val="left"/>
              <w:rPr>
                <w:rFonts w:eastAsiaTheme="minorEastAsia"/>
                <w:sz w:val="21"/>
              </w:rPr>
            </w:pPr>
          </w:p>
        </w:tc>
        <w:tc>
          <w:tcPr>
            <w:tcW w:w="973" w:type="dxa"/>
            <w:vMerge w:val="continue"/>
            <w:vAlign w:val="center"/>
          </w:tcPr>
          <w:p>
            <w:pPr>
              <w:spacing w:line="240" w:lineRule="auto"/>
              <w:jc w:val="left"/>
              <w:rPr>
                <w:rFonts w:eastAsiaTheme="minorEastAsia"/>
                <w:sz w:val="21"/>
              </w:rPr>
            </w:pPr>
          </w:p>
        </w:tc>
        <w:tc>
          <w:tcPr>
            <w:tcW w:w="584" w:type="dxa"/>
            <w:vAlign w:val="center"/>
          </w:tcPr>
          <w:p>
            <w:pPr>
              <w:spacing w:line="240" w:lineRule="auto"/>
              <w:jc w:val="left"/>
              <w:rPr>
                <w:rFonts w:eastAsiaTheme="minorEastAsia"/>
                <w:sz w:val="21"/>
              </w:rPr>
            </w:pPr>
            <w:r>
              <w:rPr>
                <w:rFonts w:eastAsiaTheme="minorEastAsia"/>
                <w:sz w:val="21"/>
              </w:rPr>
              <w:t>范围</w:t>
            </w:r>
          </w:p>
        </w:tc>
        <w:tc>
          <w:tcPr>
            <w:tcW w:w="1604" w:type="dxa"/>
            <w:vAlign w:val="center"/>
          </w:tcPr>
          <w:p>
            <w:pPr>
              <w:spacing w:line="240" w:lineRule="auto"/>
              <w:jc w:val="left"/>
              <w:rPr>
                <w:rFonts w:eastAsiaTheme="minorEastAsia"/>
                <w:sz w:val="21"/>
              </w:rPr>
            </w:pPr>
            <w:r>
              <w:rPr>
                <w:rFonts w:eastAsiaTheme="minorEastAsia"/>
                <w:sz w:val="21"/>
              </w:rPr>
              <w:t>点  数</w:t>
            </w:r>
          </w:p>
        </w:tc>
        <w:tc>
          <w:tcPr>
            <w:tcW w:w="1556" w:type="dxa"/>
            <w:vMerge w:val="continue"/>
            <w:vAlign w:val="center"/>
          </w:tcPr>
          <w:p>
            <w:pPr>
              <w:spacing w:line="240" w:lineRule="auto"/>
              <w:jc w:val="left"/>
              <w:rPr>
                <w:rFonts w:eastAsiaTheme="minorEastAsia"/>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442" w:type="dxa"/>
            <w:vMerge w:val="restart"/>
            <w:vAlign w:val="center"/>
          </w:tcPr>
          <w:p>
            <w:pPr>
              <w:spacing w:line="240" w:lineRule="auto"/>
              <w:jc w:val="left"/>
              <w:rPr>
                <w:rFonts w:eastAsiaTheme="minorEastAsia"/>
                <w:sz w:val="21"/>
              </w:rPr>
            </w:pPr>
            <w:r>
              <w:rPr>
                <w:rFonts w:eastAsiaTheme="minorEastAsia"/>
                <w:sz w:val="21"/>
              </w:rPr>
              <w:t>1</w:t>
            </w:r>
          </w:p>
        </w:tc>
        <w:tc>
          <w:tcPr>
            <w:tcW w:w="780" w:type="dxa"/>
            <w:vMerge w:val="restart"/>
            <w:vAlign w:val="center"/>
          </w:tcPr>
          <w:p>
            <w:pPr>
              <w:spacing w:line="240" w:lineRule="auto"/>
              <w:jc w:val="left"/>
              <w:rPr>
                <w:rFonts w:eastAsiaTheme="minorEastAsia"/>
                <w:sz w:val="21"/>
              </w:rPr>
            </w:pPr>
            <w:r>
              <w:rPr>
                <w:rFonts w:eastAsiaTheme="minorEastAsia"/>
                <w:sz w:val="21"/>
              </w:rPr>
              <w:t>井内导轨安装</w:t>
            </w:r>
          </w:p>
        </w:tc>
        <w:tc>
          <w:tcPr>
            <w:tcW w:w="2337" w:type="dxa"/>
            <w:gridSpan w:val="2"/>
            <w:vAlign w:val="center"/>
          </w:tcPr>
          <w:p>
            <w:pPr>
              <w:spacing w:line="240" w:lineRule="auto"/>
              <w:jc w:val="left"/>
              <w:rPr>
                <w:rFonts w:eastAsiaTheme="minorEastAsia"/>
                <w:sz w:val="21"/>
              </w:rPr>
            </w:pPr>
            <w:r>
              <w:rPr>
                <w:rFonts w:eastAsiaTheme="minorEastAsia"/>
                <w:sz w:val="21"/>
              </w:rPr>
              <w:t>顶面高程</w:t>
            </w:r>
          </w:p>
        </w:tc>
        <w:tc>
          <w:tcPr>
            <w:tcW w:w="973" w:type="dxa"/>
            <w:vAlign w:val="center"/>
          </w:tcPr>
          <w:p>
            <w:pPr>
              <w:spacing w:line="240" w:lineRule="auto"/>
              <w:jc w:val="left"/>
              <w:rPr>
                <w:rFonts w:eastAsiaTheme="minorEastAsia"/>
                <w:sz w:val="21"/>
              </w:rPr>
            </w:pPr>
            <w:r>
              <w:rPr>
                <w:rFonts w:eastAsiaTheme="minorEastAsia"/>
                <w:sz w:val="21"/>
              </w:rPr>
              <w:t>＋3.0</w:t>
            </w:r>
          </w:p>
        </w:tc>
        <w:tc>
          <w:tcPr>
            <w:tcW w:w="584" w:type="dxa"/>
            <w:vMerge w:val="restart"/>
            <w:vAlign w:val="center"/>
          </w:tcPr>
          <w:p>
            <w:pPr>
              <w:spacing w:line="240" w:lineRule="auto"/>
              <w:jc w:val="left"/>
              <w:rPr>
                <w:rFonts w:eastAsiaTheme="minorEastAsia"/>
                <w:sz w:val="21"/>
              </w:rPr>
            </w:pPr>
            <w:r>
              <w:rPr>
                <w:rFonts w:eastAsiaTheme="minorEastAsia"/>
                <w:sz w:val="21"/>
              </w:rPr>
              <w:t>每座</w:t>
            </w:r>
          </w:p>
        </w:tc>
        <w:tc>
          <w:tcPr>
            <w:tcW w:w="1604" w:type="dxa"/>
            <w:vAlign w:val="center"/>
          </w:tcPr>
          <w:p>
            <w:pPr>
              <w:spacing w:line="240" w:lineRule="auto"/>
              <w:jc w:val="left"/>
              <w:rPr>
                <w:rFonts w:eastAsiaTheme="minorEastAsia"/>
                <w:sz w:val="21"/>
              </w:rPr>
            </w:pPr>
            <w:r>
              <w:rPr>
                <w:rFonts w:eastAsiaTheme="minorEastAsia"/>
                <w:sz w:val="21"/>
              </w:rPr>
              <w:t>每根导轨2点</w:t>
            </w:r>
          </w:p>
        </w:tc>
        <w:tc>
          <w:tcPr>
            <w:tcW w:w="1556" w:type="dxa"/>
            <w:vAlign w:val="center"/>
          </w:tcPr>
          <w:p>
            <w:pPr>
              <w:spacing w:line="240" w:lineRule="auto"/>
              <w:jc w:val="left"/>
              <w:rPr>
                <w:rFonts w:eastAsiaTheme="minorEastAsia"/>
                <w:sz w:val="21"/>
              </w:rPr>
            </w:pPr>
            <w:r>
              <w:rPr>
                <w:rFonts w:eastAsiaTheme="minorEastAsia"/>
                <w:sz w:val="21"/>
              </w:rPr>
              <w:t>用水准仪测量、</w:t>
            </w:r>
          </w:p>
          <w:p>
            <w:pPr>
              <w:spacing w:line="240" w:lineRule="auto"/>
              <w:jc w:val="left"/>
              <w:rPr>
                <w:rFonts w:eastAsiaTheme="minorEastAsia"/>
                <w:sz w:val="21"/>
              </w:rPr>
            </w:pPr>
            <w:r>
              <w:rPr>
                <w:rFonts w:eastAsiaTheme="minorEastAsia"/>
                <w:sz w:val="21"/>
              </w:rPr>
              <w:t>水平尺量测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442" w:type="dxa"/>
            <w:vMerge w:val="continue"/>
            <w:vAlign w:val="center"/>
          </w:tcPr>
          <w:p>
            <w:pPr>
              <w:spacing w:line="240" w:lineRule="auto"/>
              <w:jc w:val="left"/>
              <w:rPr>
                <w:rFonts w:eastAsiaTheme="minorEastAsia"/>
                <w:sz w:val="21"/>
              </w:rPr>
            </w:pPr>
          </w:p>
        </w:tc>
        <w:tc>
          <w:tcPr>
            <w:tcW w:w="780" w:type="dxa"/>
            <w:vMerge w:val="continue"/>
            <w:vAlign w:val="center"/>
          </w:tcPr>
          <w:p>
            <w:pPr>
              <w:spacing w:line="240" w:lineRule="auto"/>
              <w:jc w:val="left"/>
              <w:rPr>
                <w:rFonts w:eastAsiaTheme="minorEastAsia"/>
                <w:sz w:val="21"/>
              </w:rPr>
            </w:pPr>
          </w:p>
        </w:tc>
        <w:tc>
          <w:tcPr>
            <w:tcW w:w="2337" w:type="dxa"/>
            <w:gridSpan w:val="2"/>
            <w:vAlign w:val="center"/>
          </w:tcPr>
          <w:p>
            <w:pPr>
              <w:spacing w:line="240" w:lineRule="auto"/>
              <w:jc w:val="left"/>
              <w:rPr>
                <w:rFonts w:eastAsiaTheme="minorEastAsia"/>
                <w:sz w:val="21"/>
              </w:rPr>
            </w:pPr>
            <w:r>
              <w:rPr>
                <w:rFonts w:eastAsiaTheme="minorEastAsia"/>
                <w:sz w:val="21"/>
              </w:rPr>
              <w:t>中心水平位置</w:t>
            </w:r>
          </w:p>
        </w:tc>
        <w:tc>
          <w:tcPr>
            <w:tcW w:w="973" w:type="dxa"/>
            <w:vAlign w:val="center"/>
          </w:tcPr>
          <w:p>
            <w:pPr>
              <w:spacing w:line="240" w:lineRule="auto"/>
              <w:jc w:val="left"/>
              <w:rPr>
                <w:rFonts w:eastAsiaTheme="minorEastAsia"/>
                <w:sz w:val="21"/>
              </w:rPr>
            </w:pPr>
            <w:r>
              <w:rPr>
                <w:rFonts w:eastAsiaTheme="minorEastAsia"/>
                <w:sz w:val="21"/>
              </w:rPr>
              <w:t>3</w:t>
            </w:r>
          </w:p>
        </w:tc>
        <w:tc>
          <w:tcPr>
            <w:tcW w:w="584" w:type="dxa"/>
            <w:vMerge w:val="continue"/>
            <w:vAlign w:val="center"/>
          </w:tcPr>
          <w:p>
            <w:pPr>
              <w:spacing w:line="240" w:lineRule="auto"/>
              <w:jc w:val="left"/>
              <w:rPr>
                <w:rFonts w:eastAsiaTheme="minorEastAsia"/>
                <w:sz w:val="21"/>
              </w:rPr>
            </w:pPr>
          </w:p>
        </w:tc>
        <w:tc>
          <w:tcPr>
            <w:tcW w:w="1604" w:type="dxa"/>
            <w:vAlign w:val="center"/>
          </w:tcPr>
          <w:p>
            <w:pPr>
              <w:spacing w:line="240" w:lineRule="auto"/>
              <w:jc w:val="left"/>
              <w:rPr>
                <w:rFonts w:eastAsiaTheme="minorEastAsia"/>
                <w:sz w:val="21"/>
              </w:rPr>
            </w:pPr>
            <w:r>
              <w:rPr>
                <w:rFonts w:eastAsiaTheme="minorEastAsia"/>
                <w:sz w:val="21"/>
              </w:rPr>
              <w:t>每根导轨2点</w:t>
            </w:r>
          </w:p>
        </w:tc>
        <w:tc>
          <w:tcPr>
            <w:tcW w:w="1556" w:type="dxa"/>
            <w:vAlign w:val="center"/>
          </w:tcPr>
          <w:p>
            <w:pPr>
              <w:spacing w:line="240" w:lineRule="auto"/>
              <w:jc w:val="left"/>
              <w:rPr>
                <w:rFonts w:eastAsiaTheme="minorEastAsia"/>
                <w:sz w:val="21"/>
              </w:rPr>
            </w:pPr>
            <w:r>
              <w:rPr>
                <w:rFonts w:eastAsiaTheme="minorEastAsia"/>
                <w:sz w:val="21"/>
              </w:rPr>
              <w:t>用经纬仪测量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442" w:type="dxa"/>
            <w:vMerge w:val="continue"/>
            <w:vAlign w:val="center"/>
          </w:tcPr>
          <w:p>
            <w:pPr>
              <w:spacing w:line="240" w:lineRule="auto"/>
              <w:jc w:val="left"/>
              <w:rPr>
                <w:rFonts w:eastAsiaTheme="minorEastAsia"/>
                <w:sz w:val="21"/>
              </w:rPr>
            </w:pPr>
          </w:p>
        </w:tc>
        <w:tc>
          <w:tcPr>
            <w:tcW w:w="780" w:type="dxa"/>
            <w:vMerge w:val="continue"/>
            <w:vAlign w:val="center"/>
          </w:tcPr>
          <w:p>
            <w:pPr>
              <w:spacing w:line="240" w:lineRule="auto"/>
              <w:jc w:val="left"/>
              <w:rPr>
                <w:rFonts w:eastAsiaTheme="minorEastAsia"/>
                <w:sz w:val="21"/>
              </w:rPr>
            </w:pPr>
          </w:p>
        </w:tc>
        <w:tc>
          <w:tcPr>
            <w:tcW w:w="2337" w:type="dxa"/>
            <w:gridSpan w:val="2"/>
            <w:vAlign w:val="center"/>
          </w:tcPr>
          <w:p>
            <w:pPr>
              <w:spacing w:line="240" w:lineRule="auto"/>
              <w:jc w:val="left"/>
              <w:rPr>
                <w:rFonts w:eastAsiaTheme="minorEastAsia"/>
                <w:sz w:val="21"/>
              </w:rPr>
            </w:pPr>
            <w:r>
              <w:rPr>
                <w:rFonts w:eastAsiaTheme="minorEastAsia"/>
                <w:sz w:val="21"/>
              </w:rPr>
              <w:t>两轨间距</w:t>
            </w:r>
          </w:p>
        </w:tc>
        <w:tc>
          <w:tcPr>
            <w:tcW w:w="973" w:type="dxa"/>
            <w:vAlign w:val="center"/>
          </w:tcPr>
          <w:p>
            <w:pPr>
              <w:spacing w:line="240" w:lineRule="auto"/>
              <w:jc w:val="left"/>
              <w:rPr>
                <w:rFonts w:eastAsiaTheme="minorEastAsia"/>
                <w:sz w:val="21"/>
              </w:rPr>
            </w:pPr>
            <w:r>
              <w:rPr>
                <w:rFonts w:eastAsiaTheme="minorEastAsia"/>
                <w:sz w:val="21"/>
              </w:rPr>
              <w:t>＋2</w:t>
            </w:r>
          </w:p>
        </w:tc>
        <w:tc>
          <w:tcPr>
            <w:tcW w:w="584" w:type="dxa"/>
            <w:vMerge w:val="continue"/>
            <w:vAlign w:val="center"/>
          </w:tcPr>
          <w:p>
            <w:pPr>
              <w:spacing w:line="240" w:lineRule="auto"/>
              <w:jc w:val="left"/>
              <w:rPr>
                <w:rFonts w:eastAsiaTheme="minorEastAsia"/>
                <w:sz w:val="21"/>
              </w:rPr>
            </w:pPr>
          </w:p>
        </w:tc>
        <w:tc>
          <w:tcPr>
            <w:tcW w:w="1604" w:type="dxa"/>
            <w:vAlign w:val="center"/>
          </w:tcPr>
          <w:p>
            <w:pPr>
              <w:spacing w:line="240" w:lineRule="auto"/>
              <w:jc w:val="left"/>
              <w:rPr>
                <w:rFonts w:eastAsiaTheme="minorEastAsia"/>
                <w:sz w:val="21"/>
              </w:rPr>
            </w:pPr>
            <w:r>
              <w:rPr>
                <w:rFonts w:eastAsiaTheme="minorEastAsia"/>
                <w:sz w:val="21"/>
              </w:rPr>
              <w:t>2个断面</w:t>
            </w:r>
          </w:p>
        </w:tc>
        <w:tc>
          <w:tcPr>
            <w:tcW w:w="1556" w:type="dxa"/>
            <w:vAlign w:val="center"/>
          </w:tcPr>
          <w:p>
            <w:pPr>
              <w:spacing w:line="240" w:lineRule="auto"/>
              <w:jc w:val="left"/>
              <w:rPr>
                <w:rFonts w:eastAsiaTheme="minorEastAsia"/>
                <w:sz w:val="21"/>
              </w:rPr>
            </w:pPr>
            <w:r>
              <w:rPr>
                <w:rFonts w:eastAsiaTheme="minorEastAsia"/>
                <w:sz w:val="21"/>
              </w:rPr>
              <w:t>用钢尺量测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442" w:type="dxa"/>
            <w:vAlign w:val="center"/>
          </w:tcPr>
          <w:p>
            <w:pPr>
              <w:spacing w:line="240" w:lineRule="auto"/>
              <w:jc w:val="left"/>
              <w:rPr>
                <w:rFonts w:eastAsiaTheme="minorEastAsia"/>
                <w:sz w:val="21"/>
              </w:rPr>
            </w:pPr>
            <w:r>
              <w:rPr>
                <w:rFonts w:eastAsiaTheme="minorEastAsia"/>
                <w:sz w:val="21"/>
              </w:rPr>
              <w:t>2</w:t>
            </w:r>
          </w:p>
        </w:tc>
        <w:tc>
          <w:tcPr>
            <w:tcW w:w="780" w:type="dxa"/>
            <w:vAlign w:val="center"/>
          </w:tcPr>
          <w:p>
            <w:pPr>
              <w:spacing w:line="240" w:lineRule="auto"/>
              <w:jc w:val="left"/>
              <w:rPr>
                <w:rFonts w:eastAsiaTheme="minorEastAsia"/>
                <w:sz w:val="21"/>
              </w:rPr>
            </w:pPr>
            <w:r>
              <w:rPr>
                <w:rFonts w:eastAsiaTheme="minorEastAsia"/>
                <w:sz w:val="21"/>
              </w:rPr>
              <w:t>井尺寸</w:t>
            </w:r>
          </w:p>
        </w:tc>
        <w:tc>
          <w:tcPr>
            <w:tcW w:w="973" w:type="dxa"/>
            <w:vAlign w:val="center"/>
          </w:tcPr>
          <w:p>
            <w:pPr>
              <w:spacing w:line="240" w:lineRule="auto"/>
              <w:jc w:val="left"/>
              <w:rPr>
                <w:rFonts w:eastAsiaTheme="minorEastAsia"/>
                <w:sz w:val="21"/>
              </w:rPr>
            </w:pPr>
            <w:r>
              <w:rPr>
                <w:rFonts w:eastAsiaTheme="minorEastAsia"/>
                <w:sz w:val="21"/>
              </w:rPr>
              <w:t>矩形</w:t>
            </w:r>
          </w:p>
        </w:tc>
        <w:tc>
          <w:tcPr>
            <w:tcW w:w="1364" w:type="dxa"/>
            <w:vAlign w:val="center"/>
          </w:tcPr>
          <w:p>
            <w:pPr>
              <w:spacing w:line="240" w:lineRule="auto"/>
              <w:jc w:val="left"/>
              <w:rPr>
                <w:rFonts w:eastAsiaTheme="minorEastAsia"/>
                <w:sz w:val="21"/>
              </w:rPr>
            </w:pPr>
            <w:r>
              <w:rPr>
                <w:rFonts w:eastAsiaTheme="minorEastAsia"/>
                <w:sz w:val="21"/>
              </w:rPr>
              <w:t>每侧长、宽</w:t>
            </w:r>
          </w:p>
        </w:tc>
        <w:tc>
          <w:tcPr>
            <w:tcW w:w="973" w:type="dxa"/>
            <w:vAlign w:val="center"/>
          </w:tcPr>
          <w:p>
            <w:pPr>
              <w:spacing w:line="240" w:lineRule="auto"/>
              <w:jc w:val="left"/>
              <w:rPr>
                <w:rFonts w:eastAsiaTheme="minorEastAsia"/>
                <w:sz w:val="21"/>
              </w:rPr>
            </w:pPr>
            <w:r>
              <w:rPr>
                <w:rFonts w:eastAsiaTheme="minorEastAsia"/>
                <w:sz w:val="21"/>
              </w:rPr>
              <w:t>不小于设</w:t>
            </w:r>
          </w:p>
          <w:p>
            <w:pPr>
              <w:spacing w:line="240" w:lineRule="auto"/>
              <w:jc w:val="left"/>
              <w:rPr>
                <w:rFonts w:eastAsiaTheme="minorEastAsia"/>
                <w:sz w:val="21"/>
              </w:rPr>
            </w:pPr>
            <w:r>
              <w:rPr>
                <w:rFonts w:eastAsiaTheme="minorEastAsia"/>
                <w:sz w:val="21"/>
              </w:rPr>
              <w:t>计要求</w:t>
            </w:r>
          </w:p>
        </w:tc>
        <w:tc>
          <w:tcPr>
            <w:tcW w:w="584" w:type="dxa"/>
            <w:vAlign w:val="center"/>
          </w:tcPr>
          <w:p>
            <w:pPr>
              <w:spacing w:line="240" w:lineRule="auto"/>
              <w:jc w:val="left"/>
              <w:rPr>
                <w:rFonts w:eastAsiaTheme="minorEastAsia"/>
                <w:sz w:val="21"/>
              </w:rPr>
            </w:pPr>
            <w:r>
              <w:rPr>
                <w:rFonts w:eastAsiaTheme="minorEastAsia"/>
                <w:sz w:val="21"/>
              </w:rPr>
              <w:t>每座</w:t>
            </w:r>
          </w:p>
        </w:tc>
        <w:tc>
          <w:tcPr>
            <w:tcW w:w="1604" w:type="dxa"/>
            <w:vAlign w:val="center"/>
          </w:tcPr>
          <w:p>
            <w:pPr>
              <w:spacing w:line="240" w:lineRule="auto"/>
              <w:jc w:val="left"/>
              <w:rPr>
                <w:rFonts w:eastAsiaTheme="minorEastAsia"/>
                <w:sz w:val="21"/>
              </w:rPr>
            </w:pPr>
            <w:r>
              <w:rPr>
                <w:rFonts w:eastAsiaTheme="minorEastAsia"/>
                <w:sz w:val="21"/>
              </w:rPr>
              <w:t>2点</w:t>
            </w:r>
          </w:p>
        </w:tc>
        <w:tc>
          <w:tcPr>
            <w:tcW w:w="1556" w:type="dxa"/>
            <w:vAlign w:val="center"/>
          </w:tcPr>
          <w:p>
            <w:pPr>
              <w:spacing w:line="240" w:lineRule="auto"/>
              <w:jc w:val="left"/>
              <w:rPr>
                <w:rFonts w:eastAsiaTheme="minorEastAsia"/>
                <w:sz w:val="21"/>
              </w:rPr>
            </w:pPr>
            <w:r>
              <w:rPr>
                <w:rFonts w:eastAsiaTheme="minorEastAsia"/>
                <w:sz w:val="21"/>
              </w:rPr>
              <w:t>挂中线用尺量测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442" w:type="dxa"/>
            <w:vMerge w:val="restart"/>
            <w:vAlign w:val="center"/>
          </w:tcPr>
          <w:p>
            <w:pPr>
              <w:spacing w:line="240" w:lineRule="auto"/>
              <w:jc w:val="left"/>
              <w:rPr>
                <w:rFonts w:eastAsiaTheme="minorEastAsia"/>
                <w:sz w:val="21"/>
              </w:rPr>
            </w:pPr>
            <w:r>
              <w:rPr>
                <w:rFonts w:eastAsiaTheme="minorEastAsia"/>
                <w:sz w:val="21"/>
              </w:rPr>
              <w:t>3</w:t>
            </w:r>
          </w:p>
        </w:tc>
        <w:tc>
          <w:tcPr>
            <w:tcW w:w="1753" w:type="dxa"/>
            <w:gridSpan w:val="2"/>
            <w:vMerge w:val="restart"/>
            <w:vAlign w:val="center"/>
          </w:tcPr>
          <w:p>
            <w:pPr>
              <w:spacing w:line="240" w:lineRule="auto"/>
              <w:jc w:val="left"/>
              <w:rPr>
                <w:rFonts w:eastAsiaTheme="minorEastAsia"/>
                <w:sz w:val="21"/>
              </w:rPr>
            </w:pPr>
            <w:r>
              <w:rPr>
                <w:rFonts w:eastAsiaTheme="minorEastAsia"/>
                <w:sz w:val="21"/>
              </w:rPr>
              <w:t>进、出井预留洞口</w:t>
            </w:r>
          </w:p>
        </w:tc>
        <w:tc>
          <w:tcPr>
            <w:tcW w:w="1364" w:type="dxa"/>
            <w:vAlign w:val="center"/>
          </w:tcPr>
          <w:p>
            <w:pPr>
              <w:spacing w:line="240" w:lineRule="auto"/>
              <w:jc w:val="left"/>
              <w:rPr>
                <w:rFonts w:eastAsiaTheme="minorEastAsia"/>
                <w:sz w:val="21"/>
              </w:rPr>
            </w:pPr>
            <w:r>
              <w:rPr>
                <w:rFonts w:eastAsiaTheme="minorEastAsia"/>
                <w:sz w:val="21"/>
              </w:rPr>
              <w:t>中心位置</w:t>
            </w:r>
          </w:p>
        </w:tc>
        <w:tc>
          <w:tcPr>
            <w:tcW w:w="973" w:type="dxa"/>
            <w:vAlign w:val="center"/>
          </w:tcPr>
          <w:p>
            <w:pPr>
              <w:spacing w:line="240" w:lineRule="auto"/>
              <w:jc w:val="left"/>
              <w:rPr>
                <w:rFonts w:eastAsiaTheme="minorEastAsia"/>
                <w:sz w:val="21"/>
              </w:rPr>
            </w:pPr>
            <w:r>
              <w:rPr>
                <w:rFonts w:eastAsiaTheme="minorEastAsia"/>
                <w:sz w:val="21"/>
              </w:rPr>
              <w:t>20</w:t>
            </w:r>
          </w:p>
        </w:tc>
        <w:tc>
          <w:tcPr>
            <w:tcW w:w="584" w:type="dxa"/>
            <w:vMerge w:val="restart"/>
            <w:vAlign w:val="center"/>
          </w:tcPr>
          <w:p>
            <w:pPr>
              <w:spacing w:line="240" w:lineRule="auto"/>
              <w:jc w:val="left"/>
              <w:rPr>
                <w:rFonts w:eastAsiaTheme="minorEastAsia"/>
                <w:sz w:val="21"/>
              </w:rPr>
            </w:pPr>
            <w:r>
              <w:rPr>
                <w:rFonts w:eastAsiaTheme="minorEastAsia"/>
                <w:sz w:val="21"/>
              </w:rPr>
              <w:t>每个</w:t>
            </w:r>
          </w:p>
        </w:tc>
        <w:tc>
          <w:tcPr>
            <w:tcW w:w="1604" w:type="dxa"/>
            <w:vAlign w:val="center"/>
          </w:tcPr>
          <w:p>
            <w:pPr>
              <w:spacing w:line="240" w:lineRule="auto"/>
              <w:jc w:val="left"/>
              <w:rPr>
                <w:rFonts w:eastAsiaTheme="minorEastAsia"/>
                <w:sz w:val="21"/>
              </w:rPr>
            </w:pPr>
            <w:r>
              <w:rPr>
                <w:rFonts w:eastAsiaTheme="minorEastAsia"/>
                <w:sz w:val="21"/>
              </w:rPr>
              <w:t>竖、水平各l点</w:t>
            </w:r>
          </w:p>
        </w:tc>
        <w:tc>
          <w:tcPr>
            <w:tcW w:w="1556" w:type="dxa"/>
            <w:vAlign w:val="center"/>
          </w:tcPr>
          <w:p>
            <w:pPr>
              <w:spacing w:line="240" w:lineRule="auto"/>
              <w:jc w:val="left"/>
              <w:rPr>
                <w:rFonts w:eastAsiaTheme="minorEastAsia"/>
                <w:sz w:val="21"/>
              </w:rPr>
            </w:pPr>
            <w:r>
              <w:rPr>
                <w:rFonts w:eastAsiaTheme="minorEastAsia"/>
                <w:sz w:val="21"/>
              </w:rPr>
              <w:t>用经纬仪测量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442" w:type="dxa"/>
            <w:vMerge w:val="continue"/>
            <w:vAlign w:val="center"/>
          </w:tcPr>
          <w:p>
            <w:pPr>
              <w:spacing w:line="240" w:lineRule="auto"/>
              <w:jc w:val="left"/>
              <w:rPr>
                <w:rFonts w:eastAsiaTheme="minorEastAsia"/>
                <w:sz w:val="21"/>
              </w:rPr>
            </w:pPr>
          </w:p>
        </w:tc>
        <w:tc>
          <w:tcPr>
            <w:tcW w:w="1753" w:type="dxa"/>
            <w:gridSpan w:val="2"/>
            <w:vMerge w:val="continue"/>
            <w:vAlign w:val="center"/>
          </w:tcPr>
          <w:p>
            <w:pPr>
              <w:spacing w:line="240" w:lineRule="auto"/>
              <w:jc w:val="left"/>
              <w:rPr>
                <w:rFonts w:eastAsiaTheme="minorEastAsia"/>
                <w:sz w:val="21"/>
              </w:rPr>
            </w:pPr>
          </w:p>
        </w:tc>
        <w:tc>
          <w:tcPr>
            <w:tcW w:w="1364" w:type="dxa"/>
            <w:vAlign w:val="center"/>
          </w:tcPr>
          <w:p>
            <w:pPr>
              <w:spacing w:line="240" w:lineRule="auto"/>
              <w:jc w:val="left"/>
              <w:rPr>
                <w:rFonts w:eastAsiaTheme="minorEastAsia"/>
                <w:sz w:val="21"/>
              </w:rPr>
            </w:pPr>
            <w:r>
              <w:rPr>
                <w:rFonts w:eastAsiaTheme="minorEastAsia"/>
                <w:sz w:val="21"/>
              </w:rPr>
              <w:t>宽、高尺寸</w:t>
            </w:r>
          </w:p>
        </w:tc>
        <w:tc>
          <w:tcPr>
            <w:tcW w:w="973" w:type="dxa"/>
            <w:vAlign w:val="center"/>
          </w:tcPr>
          <w:p>
            <w:pPr>
              <w:spacing w:line="240" w:lineRule="auto"/>
              <w:jc w:val="left"/>
              <w:rPr>
                <w:rFonts w:eastAsiaTheme="minorEastAsia"/>
                <w:sz w:val="21"/>
              </w:rPr>
            </w:pPr>
            <w:r>
              <w:rPr>
                <w:rFonts w:eastAsiaTheme="minorEastAsia"/>
                <w:sz w:val="21"/>
              </w:rPr>
              <w:t>±20</w:t>
            </w:r>
          </w:p>
        </w:tc>
        <w:tc>
          <w:tcPr>
            <w:tcW w:w="584" w:type="dxa"/>
            <w:vMerge w:val="continue"/>
            <w:vAlign w:val="center"/>
          </w:tcPr>
          <w:p>
            <w:pPr>
              <w:spacing w:line="240" w:lineRule="auto"/>
              <w:jc w:val="left"/>
              <w:rPr>
                <w:rFonts w:eastAsiaTheme="minorEastAsia"/>
                <w:sz w:val="21"/>
              </w:rPr>
            </w:pPr>
          </w:p>
        </w:tc>
        <w:tc>
          <w:tcPr>
            <w:tcW w:w="1604" w:type="dxa"/>
            <w:vAlign w:val="center"/>
          </w:tcPr>
          <w:p>
            <w:pPr>
              <w:spacing w:line="240" w:lineRule="auto"/>
              <w:jc w:val="left"/>
              <w:rPr>
                <w:rFonts w:eastAsiaTheme="minorEastAsia"/>
                <w:sz w:val="21"/>
              </w:rPr>
            </w:pPr>
            <w:r>
              <w:rPr>
                <w:rFonts w:eastAsiaTheme="minorEastAsia"/>
                <w:sz w:val="21"/>
              </w:rPr>
              <w:t>垂直向各1点</w:t>
            </w:r>
          </w:p>
        </w:tc>
        <w:tc>
          <w:tcPr>
            <w:tcW w:w="1556" w:type="dxa"/>
            <w:vAlign w:val="center"/>
          </w:tcPr>
          <w:p>
            <w:pPr>
              <w:spacing w:line="240" w:lineRule="auto"/>
              <w:jc w:val="left"/>
              <w:rPr>
                <w:rFonts w:eastAsiaTheme="minorEastAsia"/>
                <w:sz w:val="21"/>
              </w:rPr>
            </w:pPr>
            <w:r>
              <w:rPr>
                <w:rFonts w:eastAsiaTheme="minorEastAsia"/>
                <w:sz w:val="21"/>
              </w:rPr>
              <w:t>用钢尺量测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442" w:type="dxa"/>
            <w:vAlign w:val="center"/>
          </w:tcPr>
          <w:p>
            <w:pPr>
              <w:spacing w:line="240" w:lineRule="auto"/>
              <w:jc w:val="left"/>
              <w:rPr>
                <w:rFonts w:eastAsiaTheme="minorEastAsia"/>
                <w:sz w:val="21"/>
              </w:rPr>
            </w:pPr>
            <w:r>
              <w:rPr>
                <w:rFonts w:eastAsiaTheme="minorEastAsia"/>
                <w:sz w:val="21"/>
              </w:rPr>
              <w:t>4</w:t>
            </w:r>
          </w:p>
        </w:tc>
        <w:tc>
          <w:tcPr>
            <w:tcW w:w="3117" w:type="dxa"/>
            <w:gridSpan w:val="3"/>
            <w:vAlign w:val="center"/>
          </w:tcPr>
          <w:p>
            <w:pPr>
              <w:spacing w:line="240" w:lineRule="auto"/>
              <w:jc w:val="center"/>
              <w:rPr>
                <w:rFonts w:eastAsiaTheme="minorEastAsia"/>
                <w:sz w:val="21"/>
              </w:rPr>
            </w:pPr>
            <w:r>
              <w:rPr>
                <w:rFonts w:eastAsiaTheme="minorEastAsia"/>
                <w:sz w:val="21"/>
              </w:rPr>
              <w:t>井底板高程</w:t>
            </w:r>
          </w:p>
        </w:tc>
        <w:tc>
          <w:tcPr>
            <w:tcW w:w="973" w:type="dxa"/>
            <w:vAlign w:val="center"/>
          </w:tcPr>
          <w:p>
            <w:pPr>
              <w:spacing w:line="240" w:lineRule="auto"/>
              <w:jc w:val="left"/>
              <w:rPr>
                <w:rFonts w:eastAsiaTheme="minorEastAsia"/>
                <w:sz w:val="21"/>
              </w:rPr>
            </w:pPr>
            <w:r>
              <w:rPr>
                <w:rFonts w:eastAsiaTheme="minorEastAsia"/>
                <w:sz w:val="21"/>
              </w:rPr>
              <w:t>±30</w:t>
            </w:r>
          </w:p>
        </w:tc>
        <w:tc>
          <w:tcPr>
            <w:tcW w:w="584" w:type="dxa"/>
            <w:vAlign w:val="center"/>
          </w:tcPr>
          <w:p>
            <w:pPr>
              <w:spacing w:line="240" w:lineRule="auto"/>
              <w:jc w:val="left"/>
              <w:rPr>
                <w:rFonts w:eastAsiaTheme="minorEastAsia"/>
                <w:sz w:val="21"/>
              </w:rPr>
            </w:pPr>
            <w:r>
              <w:rPr>
                <w:rFonts w:eastAsiaTheme="minorEastAsia"/>
                <w:sz w:val="21"/>
              </w:rPr>
              <w:t>每座</w:t>
            </w:r>
          </w:p>
        </w:tc>
        <w:tc>
          <w:tcPr>
            <w:tcW w:w="1604" w:type="dxa"/>
            <w:vAlign w:val="center"/>
          </w:tcPr>
          <w:p>
            <w:pPr>
              <w:spacing w:line="240" w:lineRule="auto"/>
              <w:jc w:val="left"/>
              <w:rPr>
                <w:rFonts w:eastAsiaTheme="minorEastAsia"/>
                <w:sz w:val="21"/>
              </w:rPr>
            </w:pPr>
            <w:r>
              <w:rPr>
                <w:rFonts w:eastAsiaTheme="minorEastAsia"/>
                <w:sz w:val="21"/>
              </w:rPr>
              <w:t>4点</w:t>
            </w:r>
          </w:p>
        </w:tc>
        <w:tc>
          <w:tcPr>
            <w:tcW w:w="1556" w:type="dxa"/>
            <w:vAlign w:val="center"/>
          </w:tcPr>
          <w:p>
            <w:pPr>
              <w:spacing w:line="240" w:lineRule="auto"/>
              <w:jc w:val="left"/>
              <w:rPr>
                <w:rFonts w:eastAsiaTheme="minorEastAsia"/>
                <w:sz w:val="21"/>
              </w:rPr>
            </w:pPr>
            <w:r>
              <w:rPr>
                <w:rFonts w:eastAsiaTheme="minorEastAsia"/>
                <w:sz w:val="21"/>
              </w:rPr>
              <w:t>用水准仪测量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442" w:type="dxa"/>
            <w:vMerge w:val="restart"/>
            <w:vAlign w:val="center"/>
          </w:tcPr>
          <w:p>
            <w:pPr>
              <w:spacing w:line="240" w:lineRule="auto"/>
              <w:jc w:val="left"/>
              <w:rPr>
                <w:rFonts w:eastAsiaTheme="minorEastAsia"/>
                <w:sz w:val="21"/>
              </w:rPr>
            </w:pPr>
            <w:r>
              <w:rPr>
                <w:rFonts w:eastAsiaTheme="minorEastAsia"/>
                <w:sz w:val="21"/>
              </w:rPr>
              <w:t>5</w:t>
            </w:r>
          </w:p>
        </w:tc>
        <w:tc>
          <w:tcPr>
            <w:tcW w:w="1753" w:type="dxa"/>
            <w:gridSpan w:val="2"/>
            <w:vMerge w:val="restart"/>
            <w:vAlign w:val="center"/>
          </w:tcPr>
          <w:p>
            <w:pPr>
              <w:spacing w:line="240" w:lineRule="auto"/>
              <w:jc w:val="left"/>
              <w:rPr>
                <w:rFonts w:eastAsiaTheme="minorEastAsia"/>
                <w:sz w:val="21"/>
              </w:rPr>
            </w:pPr>
            <w:r>
              <w:rPr>
                <w:rFonts w:eastAsiaTheme="minorEastAsia"/>
                <w:sz w:val="21"/>
              </w:rPr>
              <w:t>顶管工作井后背墙</w:t>
            </w:r>
          </w:p>
        </w:tc>
        <w:tc>
          <w:tcPr>
            <w:tcW w:w="1364" w:type="dxa"/>
            <w:vAlign w:val="center"/>
          </w:tcPr>
          <w:p>
            <w:pPr>
              <w:spacing w:line="240" w:lineRule="auto"/>
              <w:jc w:val="left"/>
              <w:rPr>
                <w:rFonts w:eastAsiaTheme="minorEastAsia"/>
                <w:sz w:val="21"/>
              </w:rPr>
            </w:pPr>
            <w:r>
              <w:rPr>
                <w:rFonts w:eastAsiaTheme="minorEastAsia"/>
                <w:sz w:val="21"/>
              </w:rPr>
              <w:t>垂直度</w:t>
            </w:r>
          </w:p>
        </w:tc>
        <w:tc>
          <w:tcPr>
            <w:tcW w:w="973" w:type="dxa"/>
            <w:vAlign w:val="center"/>
          </w:tcPr>
          <w:p>
            <w:pPr>
              <w:spacing w:line="240" w:lineRule="auto"/>
              <w:jc w:val="left"/>
              <w:rPr>
                <w:rFonts w:eastAsiaTheme="minorEastAsia"/>
                <w:sz w:val="21"/>
              </w:rPr>
            </w:pPr>
            <w:r>
              <w:rPr>
                <w:rFonts w:eastAsiaTheme="minorEastAsia"/>
                <w:sz w:val="21"/>
              </w:rPr>
              <w:t>0.1％H</w:t>
            </w:r>
          </w:p>
        </w:tc>
        <w:tc>
          <w:tcPr>
            <w:tcW w:w="584" w:type="dxa"/>
            <w:vMerge w:val="restart"/>
            <w:vAlign w:val="center"/>
          </w:tcPr>
          <w:p>
            <w:pPr>
              <w:spacing w:line="240" w:lineRule="auto"/>
              <w:jc w:val="left"/>
              <w:rPr>
                <w:rFonts w:eastAsiaTheme="minorEastAsia"/>
                <w:sz w:val="21"/>
              </w:rPr>
            </w:pPr>
            <w:r>
              <w:rPr>
                <w:rFonts w:eastAsiaTheme="minorEastAsia"/>
                <w:sz w:val="21"/>
              </w:rPr>
              <w:t>每座</w:t>
            </w:r>
          </w:p>
        </w:tc>
        <w:tc>
          <w:tcPr>
            <w:tcW w:w="1604" w:type="dxa"/>
            <w:vMerge w:val="restart"/>
            <w:vAlign w:val="center"/>
          </w:tcPr>
          <w:p>
            <w:pPr>
              <w:spacing w:line="240" w:lineRule="auto"/>
              <w:jc w:val="left"/>
              <w:rPr>
                <w:rFonts w:eastAsiaTheme="minorEastAsia"/>
                <w:sz w:val="21"/>
              </w:rPr>
            </w:pPr>
            <w:r>
              <w:rPr>
                <w:rFonts w:eastAsiaTheme="minorEastAsia"/>
                <w:sz w:val="21"/>
              </w:rPr>
              <w:t>1点</w:t>
            </w:r>
          </w:p>
        </w:tc>
        <w:tc>
          <w:tcPr>
            <w:tcW w:w="1556" w:type="dxa"/>
            <w:vMerge w:val="restart"/>
            <w:vAlign w:val="center"/>
          </w:tcPr>
          <w:p>
            <w:pPr>
              <w:spacing w:line="240" w:lineRule="auto"/>
              <w:jc w:val="left"/>
              <w:rPr>
                <w:rFonts w:eastAsiaTheme="minorEastAsia"/>
                <w:sz w:val="21"/>
              </w:rPr>
            </w:pPr>
            <w:r>
              <w:rPr>
                <w:rFonts w:eastAsiaTheme="minorEastAsia"/>
                <w:sz w:val="21"/>
              </w:rPr>
              <w:t>用垂线，</w:t>
            </w:r>
          </w:p>
          <w:p>
            <w:pPr>
              <w:spacing w:line="240" w:lineRule="auto"/>
              <w:jc w:val="left"/>
              <w:rPr>
                <w:rFonts w:eastAsiaTheme="minorEastAsia"/>
                <w:sz w:val="21"/>
              </w:rPr>
            </w:pPr>
            <w:r>
              <w:rPr>
                <w:rFonts w:eastAsiaTheme="minorEastAsia"/>
                <w:sz w:val="21"/>
              </w:rPr>
              <w:t>角尺量测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rPr>
          <w:trHeight w:val="397" w:hRule="atLeast"/>
          <w:jc w:val="center"/>
        </w:trPr>
        <w:tc>
          <w:tcPr>
            <w:tcW w:w="442" w:type="dxa"/>
            <w:vMerge w:val="continue"/>
          </w:tcPr>
          <w:p>
            <w:pPr>
              <w:spacing w:line="240" w:lineRule="auto"/>
              <w:rPr>
                <w:rFonts w:eastAsiaTheme="minorEastAsia"/>
                <w:sz w:val="21"/>
              </w:rPr>
            </w:pPr>
          </w:p>
        </w:tc>
        <w:tc>
          <w:tcPr>
            <w:tcW w:w="1753" w:type="dxa"/>
            <w:gridSpan w:val="2"/>
            <w:vMerge w:val="continue"/>
          </w:tcPr>
          <w:p>
            <w:pPr>
              <w:spacing w:line="240" w:lineRule="auto"/>
              <w:rPr>
                <w:rFonts w:eastAsiaTheme="minorEastAsia"/>
                <w:sz w:val="21"/>
              </w:rPr>
            </w:pPr>
          </w:p>
        </w:tc>
        <w:tc>
          <w:tcPr>
            <w:tcW w:w="1364" w:type="dxa"/>
          </w:tcPr>
          <w:p>
            <w:pPr>
              <w:spacing w:line="240" w:lineRule="auto"/>
              <w:rPr>
                <w:rFonts w:eastAsiaTheme="minorEastAsia"/>
                <w:sz w:val="21"/>
              </w:rPr>
            </w:pPr>
            <w:r>
              <w:rPr>
                <w:rFonts w:eastAsiaTheme="minorEastAsia"/>
                <w:sz w:val="21"/>
              </w:rPr>
              <w:t>水平扭转度</w:t>
            </w:r>
          </w:p>
        </w:tc>
        <w:tc>
          <w:tcPr>
            <w:tcW w:w="973" w:type="dxa"/>
          </w:tcPr>
          <w:p>
            <w:pPr>
              <w:spacing w:line="240" w:lineRule="auto"/>
              <w:rPr>
                <w:rFonts w:eastAsiaTheme="minorEastAsia"/>
                <w:sz w:val="21"/>
              </w:rPr>
            </w:pPr>
            <w:r>
              <w:rPr>
                <w:rFonts w:eastAsiaTheme="minorEastAsia"/>
                <w:sz w:val="21"/>
              </w:rPr>
              <w:t>0.1％L</w:t>
            </w:r>
          </w:p>
        </w:tc>
        <w:tc>
          <w:tcPr>
            <w:tcW w:w="584" w:type="dxa"/>
            <w:vMerge w:val="continue"/>
          </w:tcPr>
          <w:p>
            <w:pPr>
              <w:spacing w:line="240" w:lineRule="auto"/>
              <w:rPr>
                <w:rFonts w:eastAsiaTheme="minorEastAsia"/>
                <w:sz w:val="21"/>
              </w:rPr>
            </w:pPr>
          </w:p>
        </w:tc>
        <w:tc>
          <w:tcPr>
            <w:tcW w:w="1604" w:type="dxa"/>
            <w:vMerge w:val="continue"/>
          </w:tcPr>
          <w:p>
            <w:pPr>
              <w:spacing w:line="240" w:lineRule="auto"/>
              <w:rPr>
                <w:rFonts w:eastAsiaTheme="minorEastAsia"/>
                <w:sz w:val="21"/>
              </w:rPr>
            </w:pPr>
          </w:p>
        </w:tc>
        <w:tc>
          <w:tcPr>
            <w:tcW w:w="1556" w:type="dxa"/>
            <w:vMerge w:val="continue"/>
          </w:tcPr>
          <w:p>
            <w:pPr>
              <w:spacing w:line="240" w:lineRule="auto"/>
              <w:rPr>
                <w:rFonts w:eastAsiaTheme="minorEastAsia"/>
                <w:sz w:val="21"/>
              </w:rPr>
            </w:pPr>
          </w:p>
        </w:tc>
      </w:tr>
    </w:tbl>
    <w:p>
      <w:r>
        <w:rPr>
          <w:rFonts w:hint="eastAsia"/>
        </w:rPr>
        <w:t>注：H为反力墙的高度(mm)；L为反力墙的长度(mm)。</w:t>
      </w:r>
    </w:p>
    <w:p>
      <w:r>
        <w:rPr>
          <w:rFonts w:hint="eastAsia"/>
        </w:rPr>
        <w:t>检查方法：逐个观察、量测。</w:t>
      </w:r>
    </w:p>
    <w:p>
      <w:pPr>
        <w:ind w:firstLine="480" w:firstLineChars="200"/>
      </w:pPr>
    </w:p>
    <w:p>
      <w:pPr>
        <w:ind w:firstLine="480" w:firstLineChars="200"/>
        <w:rPr>
          <w:rFonts w:eastAsiaTheme="minorEastAsia"/>
          <w:szCs w:val="22"/>
        </w:rPr>
      </w:pPr>
    </w:p>
    <w:p>
      <w:pPr>
        <w:rPr>
          <w:rFonts w:asciiTheme="minorEastAsia" w:hAnsiTheme="minorEastAsia" w:eastAsiaTheme="minorEastAsia"/>
        </w:rPr>
        <w:sectPr>
          <w:pgSz w:w="11906" w:h="16838"/>
          <w:pgMar w:top="1440" w:right="1800" w:bottom="1440" w:left="1800" w:header="851" w:footer="992" w:gutter="0"/>
          <w:cols w:space="425" w:num="1"/>
          <w:docGrid w:type="lines" w:linePitch="312" w:charSpace="0"/>
        </w:sectPr>
      </w:pPr>
    </w:p>
    <w:p>
      <w:pPr>
        <w:pStyle w:val="2"/>
      </w:pPr>
      <w:bookmarkStart w:id="235" w:name="_Toc3438"/>
      <w:bookmarkStart w:id="236" w:name="_Toc18057060"/>
      <w:r>
        <w:rPr>
          <w:rFonts w:hint="eastAsia"/>
        </w:rPr>
        <w:t>8</w:t>
      </w:r>
      <w:r>
        <w:t xml:space="preserve"> </w:t>
      </w:r>
      <w:r>
        <w:rPr>
          <w:rFonts w:hint="eastAsia"/>
        </w:rPr>
        <w:t xml:space="preserve"> 顶管设备及安装</w:t>
      </w:r>
      <w:bookmarkEnd w:id="235"/>
      <w:bookmarkEnd w:id="236"/>
    </w:p>
    <w:p>
      <w:pPr>
        <w:pStyle w:val="3"/>
      </w:pPr>
      <w:bookmarkStart w:id="237" w:name="_Toc30747"/>
      <w:bookmarkStart w:id="238" w:name="_Toc18057061"/>
      <w:r>
        <w:t>8.1  一般规定</w:t>
      </w:r>
      <w:bookmarkEnd w:id="237"/>
      <w:bookmarkEnd w:id="238"/>
    </w:p>
    <w:p>
      <w:r>
        <w:rPr>
          <w:b/>
          <w:bCs/>
        </w:rPr>
        <w:t>8.1.1</w:t>
      </w:r>
      <w:r>
        <w:rPr>
          <w:rFonts w:hint="eastAsia"/>
          <w:b/>
          <w:bCs/>
        </w:rPr>
        <w:t xml:space="preserve"> </w:t>
      </w:r>
      <w:r>
        <w:rPr>
          <w:b/>
          <w:bCs/>
        </w:rPr>
        <w:t xml:space="preserve"> </w:t>
      </w:r>
      <w:r>
        <w:t>起重设备应经有关部门检验合格方可使用，起重荷载应</w:t>
      </w:r>
      <w:r>
        <w:rPr>
          <w:rFonts w:hint="eastAsia"/>
        </w:rPr>
        <w:t>满足</w:t>
      </w:r>
      <w:r>
        <w:t>使用要求。</w:t>
      </w:r>
    </w:p>
    <w:p>
      <w:r>
        <w:rPr>
          <w:b/>
          <w:bCs/>
        </w:rPr>
        <w:t>8.1.2</w:t>
      </w:r>
      <w:r>
        <w:rPr>
          <w:rFonts w:hint="eastAsia"/>
        </w:rPr>
        <w:t xml:space="preserve"> </w:t>
      </w:r>
      <w:r>
        <w:t xml:space="preserve"> 起重作业人员应持证上岗，并严格遵守国家和行业有关安全技术标准。</w:t>
      </w:r>
    </w:p>
    <w:p>
      <w:r>
        <w:rPr>
          <w:b/>
          <w:bCs/>
        </w:rPr>
        <w:t>8.1.3</w:t>
      </w:r>
      <w:r>
        <w:rPr>
          <w:rFonts w:hint="eastAsia"/>
          <w:b/>
          <w:bCs/>
        </w:rPr>
        <w:t xml:space="preserve"> </w:t>
      </w:r>
      <w:r>
        <w:rPr>
          <w:b/>
          <w:bCs/>
        </w:rPr>
        <w:t xml:space="preserve"> </w:t>
      </w:r>
      <w:r>
        <w:t>场地的地基承载力应</w:t>
      </w:r>
      <w:r>
        <w:rPr>
          <w:rFonts w:hint="eastAsia"/>
        </w:rPr>
        <w:t>满足</w:t>
      </w:r>
      <w:r>
        <w:t>最大吊装载荷要求。</w:t>
      </w:r>
    </w:p>
    <w:p>
      <w:r>
        <w:rPr>
          <w:b/>
          <w:bCs/>
        </w:rPr>
        <w:t>8.1.4</w:t>
      </w:r>
      <w:r>
        <w:rPr>
          <w:rFonts w:hint="eastAsia"/>
          <w:b/>
          <w:bCs/>
        </w:rPr>
        <w:t xml:space="preserve"> </w:t>
      </w:r>
      <w:r>
        <w:rPr>
          <w:b/>
          <w:bCs/>
        </w:rPr>
        <w:t xml:space="preserve"> </w:t>
      </w:r>
      <w:r>
        <w:t>起重设备活动范围附近有高压电线路时，吊装活动范围与高压电线的最小距离应符合国家或行业相关的技术标准的</w:t>
      </w:r>
      <w:r>
        <w:rPr>
          <w:rFonts w:hint="eastAsia"/>
        </w:rPr>
        <w:t>规定</w:t>
      </w:r>
      <w:r>
        <w:t>。</w:t>
      </w:r>
    </w:p>
    <w:p>
      <w:r>
        <w:rPr>
          <w:b/>
          <w:bCs/>
        </w:rPr>
        <w:t>8.1.5</w:t>
      </w:r>
      <w:r>
        <w:rPr>
          <w:rFonts w:hint="eastAsia"/>
        </w:rPr>
        <w:t xml:space="preserve"> </w:t>
      </w:r>
      <w:r>
        <w:t xml:space="preserve"> 吊装前应进行试吊，试吊前应严格检查吊耳、机械及索具的装设情况。经确认试吊正常后，方可正式吊装。</w:t>
      </w:r>
    </w:p>
    <w:p>
      <w:r>
        <w:rPr>
          <w:b/>
          <w:bCs/>
        </w:rPr>
        <w:t xml:space="preserve">8.1.6 </w:t>
      </w:r>
      <w:r>
        <w:rPr>
          <w:rFonts w:hint="eastAsia"/>
          <w:b/>
          <w:bCs/>
        </w:rPr>
        <w:t xml:space="preserve"> </w:t>
      </w:r>
      <w:r>
        <w:t>设备吊装时须平稳慢放，大型设备宜用绳索辅助牵引。</w:t>
      </w:r>
    </w:p>
    <w:p>
      <w:r>
        <w:rPr>
          <w:b/>
          <w:bCs/>
        </w:rPr>
        <w:t>8.1.7</w:t>
      </w:r>
      <w:r>
        <w:rPr>
          <w:rFonts w:hint="eastAsia"/>
          <w:b/>
          <w:bCs/>
        </w:rPr>
        <w:t xml:space="preserve"> </w:t>
      </w:r>
      <w:r>
        <w:rPr>
          <w:b/>
          <w:bCs/>
        </w:rPr>
        <w:t xml:space="preserve"> </w:t>
      </w:r>
      <w:r>
        <w:t>顶管设备及安装需考虑逃生通道。</w:t>
      </w:r>
    </w:p>
    <w:p>
      <w:pPr>
        <w:pStyle w:val="89"/>
        <w:spacing w:before="0" w:after="0" w:line="360" w:lineRule="auto"/>
        <w:jc w:val="both"/>
        <w:outlineLvl w:val="9"/>
        <w:rPr>
          <w:rFonts w:ascii="Times New Roman"/>
          <w:kern w:val="2"/>
          <w:sz w:val="24"/>
        </w:rPr>
      </w:pPr>
      <w:r>
        <w:rPr>
          <w:rFonts w:ascii="Times New Roman"/>
          <w:b/>
          <w:bCs/>
          <w:kern w:val="2"/>
          <w:sz w:val="24"/>
        </w:rPr>
        <w:t>8.1.8</w:t>
      </w:r>
      <w:r>
        <w:rPr>
          <w:rFonts w:hint="eastAsia" w:ascii="Times New Roman"/>
          <w:b/>
          <w:bCs/>
          <w:kern w:val="2"/>
          <w:sz w:val="24"/>
        </w:rPr>
        <w:t xml:space="preserve"> </w:t>
      </w:r>
      <w:r>
        <w:rPr>
          <w:rFonts w:ascii="Times New Roman"/>
          <w:b/>
          <w:bCs/>
          <w:kern w:val="2"/>
          <w:sz w:val="24"/>
        </w:rPr>
        <w:t xml:space="preserve"> </w:t>
      </w:r>
      <w:r>
        <w:rPr>
          <w:rFonts w:ascii="Times New Roman"/>
          <w:kern w:val="2"/>
          <w:sz w:val="24"/>
        </w:rPr>
        <w:t>组装前应对所使用设备、工具进行安全检查，杜绝一切安全隐患，保证组装过程的安全顺利进行。</w:t>
      </w:r>
    </w:p>
    <w:p>
      <w:r>
        <w:rPr>
          <w:b/>
          <w:bCs/>
        </w:rPr>
        <w:t>8.1.9</w:t>
      </w:r>
      <w:r>
        <w:rPr>
          <w:rFonts w:hint="eastAsia"/>
          <w:b/>
          <w:bCs/>
        </w:rPr>
        <w:t xml:space="preserve"> </w:t>
      </w:r>
      <w:r>
        <w:rPr>
          <w:b/>
          <w:bCs/>
        </w:rPr>
        <w:t xml:space="preserve"> </w:t>
      </w:r>
      <w:r>
        <w:t>组装前应制定详细的组装方案与计划。</w:t>
      </w:r>
    </w:p>
    <w:p/>
    <w:p>
      <w:pPr>
        <w:pStyle w:val="3"/>
      </w:pPr>
      <w:bookmarkStart w:id="239" w:name="_Toc18057062"/>
      <w:bookmarkStart w:id="240" w:name="_Toc1174"/>
      <w:r>
        <w:t>8.2  矩形顶管机设计与选型</w:t>
      </w:r>
      <w:bookmarkEnd w:id="239"/>
      <w:bookmarkEnd w:id="240"/>
    </w:p>
    <w:p>
      <w:r>
        <w:rPr>
          <w:b/>
          <w:bCs/>
        </w:rPr>
        <w:t xml:space="preserve">8.2.1  </w:t>
      </w:r>
      <w:r>
        <w:t>矩形顶管机设计应符合下列规定</w:t>
      </w:r>
      <w:r>
        <w:rPr>
          <w:rFonts w:hint="eastAsia"/>
        </w:rPr>
        <w:t>：</w:t>
      </w:r>
    </w:p>
    <w:p>
      <w:pPr>
        <w:ind w:firstLine="480" w:firstLineChars="200"/>
      </w:pPr>
      <w:r>
        <w:t>1  矩形顶管机大小应与施工工况相匹配，断面大小应与隧道管节相适应，设备长度应综合考虑工作</w:t>
      </w:r>
      <w:r>
        <w:rPr>
          <w:rFonts w:hint="eastAsia"/>
        </w:rPr>
        <w:t>井</w:t>
      </w:r>
      <w:r>
        <w:t>尺寸大小，在满足功能需求的情况下尽量缩短</w:t>
      </w:r>
      <w:r>
        <w:rPr>
          <w:rFonts w:hint="eastAsia"/>
        </w:rPr>
        <w:t>；</w:t>
      </w:r>
      <w:r>
        <w:t>同时应根据现场组装及运输条件对大断面矩形顶管机进行分块设计。</w:t>
      </w:r>
    </w:p>
    <w:p>
      <w:pPr>
        <w:ind w:firstLine="480" w:firstLineChars="200"/>
      </w:pPr>
      <w:r>
        <w:t>2  矩形顶管机应能在工作环境温度5</w:t>
      </w:r>
      <w:r>
        <w:rPr>
          <w:rFonts w:hint="eastAsia" w:hAnsi="宋体" w:cs="宋体"/>
        </w:rPr>
        <w:t>℃</w:t>
      </w:r>
      <w:r>
        <w:t>～50</w:t>
      </w:r>
      <w:r>
        <w:rPr>
          <w:rFonts w:hint="eastAsia" w:hAnsi="宋体" w:cs="宋体"/>
        </w:rPr>
        <w:t>℃</w:t>
      </w:r>
      <w:r>
        <w:t>、相对湿度小于90%的条件下正常使用。</w:t>
      </w:r>
    </w:p>
    <w:p>
      <w:pPr>
        <w:ind w:firstLine="480" w:firstLineChars="200"/>
      </w:pPr>
      <w:r>
        <w:t>3  矩形顶管机设计应为循环利用、智能化制造、绿色环保、再制造提供条件。</w:t>
      </w:r>
    </w:p>
    <w:p>
      <w:pPr>
        <w:ind w:firstLine="480" w:firstLineChars="200"/>
      </w:pPr>
      <w:r>
        <w:rPr>
          <w:rFonts w:hint="eastAsia"/>
        </w:rPr>
        <w:t>4</w:t>
      </w:r>
      <w:r>
        <w:t xml:space="preserve">  矩形顶管机零部件的设计应满足强度、刚度、疲劳可靠性要求。</w:t>
      </w:r>
    </w:p>
    <w:p>
      <w:pPr>
        <w:ind w:firstLine="480" w:firstLineChars="200"/>
      </w:pPr>
      <w:r>
        <w:t xml:space="preserve">5  </w:t>
      </w:r>
      <w:r>
        <w:rPr>
          <w:rFonts w:hint="eastAsia"/>
        </w:rPr>
        <w:t>矩形顶管机各系统结构的布局应充分考虑便于使用操作、物料输送、设备维修保养和紧急情况下的人员疏散。</w:t>
      </w:r>
    </w:p>
    <w:p>
      <w:pPr>
        <w:rPr>
          <w:rFonts w:eastAsia="仿宋"/>
        </w:rPr>
      </w:pPr>
      <w:r>
        <w:rPr>
          <w:rFonts w:eastAsia="仿宋"/>
          <w:b/>
          <w:bCs/>
        </w:rPr>
        <w:t xml:space="preserve">【条文说明】：8.2.1  </w:t>
      </w:r>
      <w:r>
        <w:rPr>
          <w:rFonts w:eastAsia="仿宋"/>
        </w:rPr>
        <w:t>矩形顶管机断面大小应与隧道管节相适应，设备长度应综合考虑工作井尺寸大小，在满足功能需求的情况下尽量缩短；同时应根据现场组装及运输条件对较大断面矩形顶管机进行分块设计。矩形顶管机工作环境若采取加热、降温、除湿等辅助措施，适应环境范围可适当放宽。</w:t>
      </w:r>
    </w:p>
    <w:p>
      <w:pPr>
        <w:rPr>
          <w:rFonts w:eastAsiaTheme="minorEastAsia"/>
          <w:color w:val="000000" w:themeColor="text1"/>
          <w14:textFill>
            <w14:solidFill>
              <w14:schemeClr w14:val="tx1"/>
            </w14:solidFill>
          </w14:textFill>
        </w:rPr>
      </w:pPr>
      <w:r>
        <w:rPr>
          <w:b/>
          <w:bCs/>
        </w:rPr>
        <w:t xml:space="preserve">8.2.2  </w:t>
      </w:r>
      <w:r>
        <w:rPr>
          <w:rFonts w:hint="eastAsia" w:eastAsiaTheme="minorEastAsia"/>
          <w:color w:val="000000" w:themeColor="text1"/>
          <w14:textFill>
            <w14:solidFill>
              <w14:schemeClr w14:val="tx1"/>
            </w14:solidFill>
          </w14:textFill>
        </w:rPr>
        <w:t>矩形顶管机选型应重点考虑所施工地质的地层粒径、渗透系数、地下水压情况，同时兼顾开挖尺寸、开挖面稳定性、埋深、成本、工期、场地大小、地层是否采取降水处理等工程实际综合考虑而定。</w:t>
      </w:r>
    </w:p>
    <w:p>
      <w:pPr>
        <w:rPr>
          <w:rFonts w:eastAsia="仿宋"/>
        </w:rPr>
      </w:pPr>
      <w:r>
        <w:rPr>
          <w:rFonts w:eastAsia="仿宋"/>
          <w:b/>
          <w:bCs/>
        </w:rPr>
        <w:t>【条文说明】：8.2.2</w:t>
      </w:r>
      <w:r>
        <w:rPr>
          <w:rFonts w:eastAsia="仿宋"/>
        </w:rPr>
        <w:t xml:space="preserve">  本规程所规定的矩形顶管机类型主要包括矩形土压平衡顶管机（结构示意见图1）和矩形泥水平衡顶管机（结构示意见图2）。</w:t>
      </w:r>
    </w:p>
    <w:p/>
    <w:p>
      <w:pPr>
        <w:sectPr>
          <w:pgSz w:w="12240" w:h="15840"/>
          <w:pgMar w:top="1440" w:right="1440" w:bottom="1440" w:left="1440" w:header="720" w:footer="720" w:gutter="0"/>
          <w:cols w:space="720" w:num="1"/>
          <w:docGrid w:linePitch="360" w:charSpace="0"/>
        </w:sectPr>
      </w:pPr>
    </w:p>
    <w:p>
      <w:pPr>
        <w:pStyle w:val="85"/>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114300" distR="114300">
            <wp:extent cx="9334500" cy="3159760"/>
            <wp:effectExtent l="0" t="0" r="0" b="254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523"/>
                    <a:stretch>
                      <a:fillRect/>
                    </a:stretch>
                  </pic:blipFill>
                  <pic:spPr>
                    <a:xfrm>
                      <a:off x="0" y="0"/>
                      <a:ext cx="9335471" cy="3160217"/>
                    </a:xfrm>
                    <a:prstGeom prst="rect">
                      <a:avLst/>
                    </a:prstGeom>
                    <a:noFill/>
                    <a:ln w="9525">
                      <a:noFill/>
                    </a:ln>
                  </pic:spPr>
                </pic:pic>
              </a:graphicData>
            </a:graphic>
          </wp:inline>
        </w:drawing>
      </w:r>
    </w:p>
    <w:p>
      <w:pPr>
        <w:pStyle w:val="85"/>
        <w:tabs>
          <w:tab w:val="center" w:pos="4201"/>
          <w:tab w:val="right" w:leader="dot" w:pos="9298"/>
        </w:tabs>
        <w:ind w:firstLine="424" w:firstLineChars="236"/>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说明：</w:t>
      </w:r>
    </w:p>
    <w:p>
      <w:pPr>
        <w:widowControl/>
        <w:tabs>
          <w:tab w:val="left" w:pos="6510"/>
          <w:tab w:val="left" w:pos="12180"/>
        </w:tabs>
        <w:autoSpaceDE w:val="0"/>
        <w:autoSpaceDN w:val="0"/>
        <w:ind w:firstLine="424" w:firstLineChars="236"/>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 ——开挖系统；</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2 ——盾体；</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 xml:space="preserve">3 ——主驱动单元； </w:t>
      </w:r>
    </w:p>
    <w:p>
      <w:pPr>
        <w:widowControl/>
        <w:tabs>
          <w:tab w:val="left" w:pos="6510"/>
          <w:tab w:val="left" w:pos="12180"/>
        </w:tabs>
        <w:autoSpaceDE w:val="0"/>
        <w:autoSpaceDN w:val="0"/>
        <w:ind w:firstLine="424" w:firstLineChars="236"/>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 ——纠偏系统；</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5 ——脱离装置；</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 xml:space="preserve">6 ——螺旋输送机； </w:t>
      </w:r>
    </w:p>
    <w:p>
      <w:pPr>
        <w:widowControl/>
        <w:tabs>
          <w:tab w:val="left" w:pos="6510"/>
          <w:tab w:val="left" w:pos="12180"/>
        </w:tabs>
        <w:autoSpaceDE w:val="0"/>
        <w:autoSpaceDN w:val="0"/>
        <w:ind w:firstLine="424" w:firstLineChars="236"/>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7 ——管节；</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8 ——中继间；</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 xml:space="preserve">9 ——顶铁； </w:t>
      </w:r>
    </w:p>
    <w:p>
      <w:pPr>
        <w:widowControl/>
        <w:tabs>
          <w:tab w:val="left" w:pos="6510"/>
          <w:tab w:val="left" w:pos="12180"/>
        </w:tabs>
        <w:autoSpaceDE w:val="0"/>
        <w:autoSpaceDN w:val="0"/>
        <w:ind w:firstLine="424" w:firstLineChars="236"/>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10 ——顶推装置；</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11 ——后靠；</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12 ——导向系统；</w:t>
      </w:r>
    </w:p>
    <w:p>
      <w:pPr>
        <w:widowControl/>
        <w:tabs>
          <w:tab w:val="left" w:pos="6510"/>
          <w:tab w:val="left" w:pos="12180"/>
        </w:tabs>
        <w:autoSpaceDE w:val="0"/>
        <w:autoSpaceDN w:val="0"/>
        <w:ind w:firstLine="424" w:firstLineChars="236"/>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13 ——反力墙；</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14 ——止退装置；</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15 ——渣土输送系统。</w:t>
      </w:r>
    </w:p>
    <w:p>
      <w:pPr>
        <w:spacing w:before="156" w:beforeLines="5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 xml:space="preserve"> 矩形土压平衡</w:t>
      </w:r>
      <w:r>
        <w:rPr>
          <w:rFonts w:hint="eastAsia"/>
          <w:b/>
          <w:color w:val="000000" w:themeColor="text1"/>
          <w14:textFill>
            <w14:solidFill>
              <w14:schemeClr w14:val="tx1"/>
            </w14:solidFill>
          </w14:textFill>
        </w:rPr>
        <w:t>顶管</w:t>
      </w:r>
      <w:r>
        <w:rPr>
          <w:b/>
          <w:color w:val="000000" w:themeColor="text1"/>
          <w14:textFill>
            <w14:solidFill>
              <w14:schemeClr w14:val="tx1"/>
            </w14:solidFill>
          </w14:textFill>
        </w:rPr>
        <w:t>机结构示意图</w:t>
      </w:r>
    </w:p>
    <w:p>
      <w:pPr>
        <w:pStyle w:val="85"/>
        <w:tabs>
          <w:tab w:val="center" w:pos="4201"/>
          <w:tab w:val="right" w:leader="dot" w:pos="9298"/>
        </w:tabs>
        <w:ind w:firstLine="0" w:firstLineChars="0"/>
        <w:rPr>
          <w:rFonts w:ascii="Times New Roman"/>
          <w:color w:val="000000" w:themeColor="text1"/>
          <w14:textFill>
            <w14:solidFill>
              <w14:schemeClr w14:val="tx1"/>
            </w14:solidFill>
          </w14:textFill>
        </w:rPr>
      </w:pPr>
    </w:p>
    <w:p>
      <w:pPr>
        <w:pStyle w:val="85"/>
        <w:tabs>
          <w:tab w:val="center" w:pos="4201"/>
          <w:tab w:val="right" w:leader="dot" w:pos="9298"/>
        </w:tabs>
        <w:ind w:firstLine="0" w:firstLineChars="0"/>
        <w:jc w:val="left"/>
        <w:rPr>
          <w:rFonts w:ascii="Times New Roman"/>
          <w:color w:val="000000" w:themeColor="text1"/>
          <w14:textFill>
            <w14:solidFill>
              <w14:schemeClr w14:val="tx1"/>
            </w14:solidFill>
          </w14:textFill>
        </w:rPr>
      </w:pPr>
    </w:p>
    <w:p>
      <w:pPr>
        <w:pStyle w:val="85"/>
        <w:tabs>
          <w:tab w:val="center" w:pos="4201"/>
          <w:tab w:val="right" w:leader="dot" w:pos="9298"/>
        </w:tabs>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drawing>
          <wp:inline distT="0" distB="0" distL="114300" distR="114300">
            <wp:extent cx="9448165" cy="2759075"/>
            <wp:effectExtent l="0" t="0" r="0" b="3175"/>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524"/>
                    <a:stretch>
                      <a:fillRect/>
                    </a:stretch>
                  </pic:blipFill>
                  <pic:spPr>
                    <a:xfrm>
                      <a:off x="0" y="0"/>
                      <a:ext cx="9448165" cy="2759075"/>
                    </a:xfrm>
                    <a:prstGeom prst="rect">
                      <a:avLst/>
                    </a:prstGeom>
                    <a:noFill/>
                    <a:ln w="9525">
                      <a:noFill/>
                    </a:ln>
                  </pic:spPr>
                </pic:pic>
              </a:graphicData>
            </a:graphic>
          </wp:inline>
        </w:drawing>
      </w:r>
    </w:p>
    <w:p>
      <w:pPr>
        <w:pStyle w:val="85"/>
        <w:tabs>
          <w:tab w:val="center" w:pos="4201"/>
          <w:tab w:val="right" w:leader="dot" w:pos="9298"/>
        </w:tabs>
        <w:ind w:firstLine="567" w:firstLineChars="315"/>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说明：</w:t>
      </w:r>
    </w:p>
    <w:p>
      <w:pPr>
        <w:widowControl/>
        <w:tabs>
          <w:tab w:val="left" w:pos="6510"/>
          <w:tab w:val="left" w:pos="12180"/>
        </w:tabs>
        <w:autoSpaceDE w:val="0"/>
        <w:autoSpaceDN w:val="0"/>
        <w:ind w:firstLine="567" w:firstLineChars="315"/>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 ——开挖系统；</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2 ——盾体；</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 xml:space="preserve">3 ——主驱动单元； </w:t>
      </w:r>
    </w:p>
    <w:p>
      <w:pPr>
        <w:widowControl/>
        <w:tabs>
          <w:tab w:val="left" w:pos="6510"/>
          <w:tab w:val="left" w:pos="12180"/>
        </w:tabs>
        <w:autoSpaceDE w:val="0"/>
        <w:autoSpaceDN w:val="0"/>
        <w:ind w:firstLine="567" w:firstLineChars="315"/>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 ——纠偏系统；</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5 ——脱离装置；</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 xml:space="preserve">6 ——泥水循环系统； </w:t>
      </w:r>
    </w:p>
    <w:p>
      <w:pPr>
        <w:widowControl/>
        <w:tabs>
          <w:tab w:val="left" w:pos="6510"/>
          <w:tab w:val="left" w:pos="12180"/>
        </w:tabs>
        <w:autoSpaceDE w:val="0"/>
        <w:autoSpaceDN w:val="0"/>
        <w:ind w:firstLine="567" w:firstLineChars="315"/>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7 ——管节；</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8 ——中继间；</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 xml:space="preserve">9 ——顶铁； </w:t>
      </w:r>
    </w:p>
    <w:p>
      <w:pPr>
        <w:widowControl/>
        <w:tabs>
          <w:tab w:val="left" w:pos="6510"/>
          <w:tab w:val="left" w:pos="12180"/>
        </w:tabs>
        <w:autoSpaceDE w:val="0"/>
        <w:autoSpaceDN w:val="0"/>
        <w:ind w:firstLine="567" w:firstLineChars="315"/>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10 ——顶推装置；</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11 ——后靠；</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12 ——导向系统；</w:t>
      </w:r>
    </w:p>
    <w:p>
      <w:pPr>
        <w:widowControl/>
        <w:tabs>
          <w:tab w:val="left" w:pos="6510"/>
          <w:tab w:val="left" w:pos="12180"/>
        </w:tabs>
        <w:autoSpaceDE w:val="0"/>
        <w:autoSpaceDN w:val="0"/>
        <w:ind w:firstLine="567" w:firstLineChars="315"/>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13 ——反力墙；</w:t>
      </w:r>
      <w:r>
        <w:rPr>
          <w:color w:val="000000" w:themeColor="text1"/>
          <w:kern w:val="0"/>
          <w:sz w:val="18"/>
          <w:szCs w:val="18"/>
          <w14:textFill>
            <w14:solidFill>
              <w14:schemeClr w14:val="tx1"/>
            </w14:solidFill>
          </w14:textFill>
        </w:rPr>
        <w:tab/>
      </w:r>
      <w:r>
        <w:rPr>
          <w:color w:val="000000" w:themeColor="text1"/>
          <w:kern w:val="0"/>
          <w:sz w:val="18"/>
          <w:szCs w:val="18"/>
          <w14:textFill>
            <w14:solidFill>
              <w14:schemeClr w14:val="tx1"/>
            </w14:solidFill>
          </w14:textFill>
        </w:rPr>
        <w:t>14 ——止退装置。</w:t>
      </w:r>
    </w:p>
    <w:p>
      <w:pPr>
        <w:spacing w:before="156" w:beforeLines="50"/>
        <w:jc w:val="center"/>
        <w:rPr>
          <w:b/>
          <w:kern w:val="0"/>
          <w:szCs w:val="20"/>
        </w:rPr>
        <w:sectPr>
          <w:pgSz w:w="16838" w:h="11906" w:orient="landscape"/>
          <w:pgMar w:top="1800" w:right="1440" w:bottom="1800" w:left="1440" w:header="851" w:footer="992" w:gutter="0"/>
          <w:cols w:space="425" w:num="1"/>
          <w:docGrid w:type="lines" w:linePitch="312" w:charSpace="0"/>
        </w:sectPr>
      </w:pPr>
      <w:r>
        <w:rPr>
          <w:rFonts w:hint="eastAsia"/>
          <w:b/>
          <w:color w:val="000000" w:themeColor="text1"/>
          <w14:textFill>
            <w14:solidFill>
              <w14:schemeClr w14:val="tx1"/>
            </w14:solidFill>
          </w14:textFill>
        </w:rPr>
        <w:t xml:space="preserve">图2 </w:t>
      </w:r>
      <w:r>
        <w:rPr>
          <w:b/>
          <w:color w:val="000000" w:themeColor="text1"/>
          <w14:textFill>
            <w14:solidFill>
              <w14:schemeClr w14:val="tx1"/>
            </w14:solidFill>
          </w14:textFill>
        </w:rPr>
        <w:t xml:space="preserve"> 矩形泥水平衡</w:t>
      </w:r>
      <w:r>
        <w:rPr>
          <w:rFonts w:hint="eastAsia"/>
          <w:b/>
          <w:color w:val="000000" w:themeColor="text1"/>
          <w14:textFill>
            <w14:solidFill>
              <w14:schemeClr w14:val="tx1"/>
            </w14:solidFill>
          </w14:textFill>
        </w:rPr>
        <w:t>顶管</w:t>
      </w:r>
      <w:r>
        <w:rPr>
          <w:b/>
          <w:color w:val="000000" w:themeColor="text1"/>
          <w14:textFill>
            <w14:solidFill>
              <w14:schemeClr w14:val="tx1"/>
            </w14:solidFill>
          </w14:textFill>
        </w:rPr>
        <w:t>机结构示意图</w:t>
      </w:r>
    </w:p>
    <w:p>
      <w:pPr>
        <w:rPr>
          <w:rFonts w:eastAsia="仿宋"/>
        </w:rPr>
      </w:pPr>
    </w:p>
    <w:p>
      <w:r>
        <w:rPr>
          <w:rFonts w:hint="eastAsia"/>
          <w:b/>
          <w:bCs/>
        </w:rPr>
        <w:t>8.2.3</w:t>
      </w:r>
      <w:r>
        <w:rPr>
          <w:b/>
          <w:bCs/>
        </w:rPr>
        <w:t xml:space="preserve">  </w:t>
      </w:r>
      <w:r>
        <w:rPr>
          <w:rFonts w:hint="eastAsia"/>
        </w:rPr>
        <w:t>矩形顶管机依据地层粒径选型时，土压平衡顶管机在不进行渣土改良及泥水平衡顶管机在不使用添加剂时，根据地层粒径大小，顶管机可按图8.2.3选型，选型应符合下列规定：</w:t>
      </w:r>
    </w:p>
    <w:p>
      <w:pPr>
        <w:pStyle w:val="85"/>
        <w:tabs>
          <w:tab w:val="center" w:pos="4201"/>
          <w:tab w:val="right" w:leader="dot" w:pos="9298"/>
        </w:tabs>
        <w:spacing w:line="360" w:lineRule="auto"/>
        <w:ind w:firstLine="630" w:firstLineChars="300"/>
        <w:jc w:val="center"/>
        <w:rPr>
          <w:rFonts w:ascii="仿宋" w:hAnsi="仿宋" w:eastAsia="仿宋"/>
          <w:color w:val="000000"/>
          <w:kern w:val="2"/>
          <w:szCs w:val="21"/>
        </w:rPr>
      </w:pPr>
      <w:r>
        <w:rPr>
          <w:rFonts w:ascii="Times New Roman"/>
          <w:szCs w:val="21"/>
          <w:highlight w:val="yellow"/>
        </w:rPr>
        <w:drawing>
          <wp:inline distT="0" distB="0" distL="0" distR="0">
            <wp:extent cx="3672205" cy="2270760"/>
            <wp:effectExtent l="0" t="0" r="4445" b="0"/>
            <wp:docPr id="8" name="图片 8" descr="F:\1-1所内资料\顶管知识\土压泥水盾构选型-图\盾构选型与颗粒级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1-1所内资料\顶管知识\土压泥水盾构选型-图\盾构选型与颗粒级配-2.jpg"/>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a:xfrm>
                      <a:off x="0" y="0"/>
                      <a:ext cx="3676939" cy="2274242"/>
                    </a:xfrm>
                    <a:prstGeom prst="rect">
                      <a:avLst/>
                    </a:prstGeom>
                    <a:noFill/>
                    <a:ln>
                      <a:noFill/>
                    </a:ln>
                  </pic:spPr>
                </pic:pic>
              </a:graphicData>
            </a:graphic>
          </wp:inline>
        </w:drawing>
      </w:r>
    </w:p>
    <w:p>
      <w:pPr>
        <w:pStyle w:val="85"/>
        <w:tabs>
          <w:tab w:val="center" w:pos="4201"/>
          <w:tab w:val="right" w:leader="dot" w:pos="9298"/>
        </w:tabs>
        <w:spacing w:line="360" w:lineRule="auto"/>
        <w:ind w:firstLine="632" w:firstLineChars="300"/>
        <w:jc w:val="center"/>
        <w:rPr>
          <w:rFonts w:ascii="Times New Roman" w:eastAsiaTheme="minorEastAsia"/>
          <w:b/>
          <w:bCs/>
        </w:rPr>
      </w:pPr>
      <w:r>
        <w:rPr>
          <w:rFonts w:ascii="Times New Roman" w:eastAsiaTheme="minorEastAsia"/>
          <w:b/>
          <w:bCs/>
        </w:rPr>
        <w:t>图8.2.3  顶管机类型与地层粒径关系曲线</w:t>
      </w:r>
    </w:p>
    <w:p>
      <w:pPr>
        <w:ind w:firstLine="480" w:firstLineChars="200"/>
      </w:pPr>
      <w:r>
        <w:rPr>
          <w:rFonts w:hint="eastAsia"/>
        </w:rPr>
        <w:t>1</w:t>
      </w:r>
      <w:r>
        <w:t xml:space="preserve"> </w:t>
      </w:r>
      <w:r>
        <w:rPr>
          <w:rFonts w:hint="eastAsia"/>
        </w:rPr>
        <w:t xml:space="preserve"> 粉土、粉质黏土、淤泥质粉土和粉砂等粘稠土壤地层施工（地层粒径范围为1.5mm下列）选用土压平衡顶管机较优；</w:t>
      </w:r>
    </w:p>
    <w:p>
      <w:pPr>
        <w:ind w:firstLine="480" w:firstLineChars="200"/>
      </w:pPr>
      <w:r>
        <w:rPr>
          <w:rFonts w:hint="eastAsia"/>
        </w:rPr>
        <w:t>2</w:t>
      </w:r>
      <w:r>
        <w:t xml:space="preserve"> </w:t>
      </w:r>
      <w:r>
        <w:rPr>
          <w:rFonts w:hint="eastAsia"/>
        </w:rPr>
        <w:t xml:space="preserve"> 砂、砾石、卵石等地层施工（地层粒径范围为0.01～40mm）选用泥水平衡顶管机较优；</w:t>
      </w:r>
    </w:p>
    <w:p>
      <w:pPr>
        <w:ind w:firstLine="480" w:firstLineChars="200"/>
      </w:pPr>
      <w:r>
        <w:rPr>
          <w:rFonts w:hint="eastAsia"/>
        </w:rPr>
        <w:t xml:space="preserve">3 </w:t>
      </w:r>
      <w:r>
        <w:t xml:space="preserve"> </w:t>
      </w:r>
      <w:r>
        <w:rPr>
          <w:rFonts w:hint="eastAsia"/>
        </w:rPr>
        <w:t>岩土中粉粒和黏粒的总量达到40%以上时，可选用土压平衡顶管机，反之可选用泥水平衡顶管机较好。</w:t>
      </w:r>
    </w:p>
    <w:p>
      <w:pPr>
        <w:rPr>
          <w:rFonts w:eastAsia="仿宋"/>
        </w:rPr>
      </w:pPr>
      <w:r>
        <w:rPr>
          <w:rFonts w:eastAsia="仿宋"/>
          <w:b/>
          <w:bCs/>
        </w:rPr>
        <w:t xml:space="preserve">【条文说明】：8.2.3  </w:t>
      </w:r>
      <w:r>
        <w:rPr>
          <w:rFonts w:eastAsia="仿宋"/>
        </w:rPr>
        <w:t>若土压平衡顶管机进行渣土改良或泥水平衡顶管机使用适当的添加剂时，则无论地层粒径大小或含量多少，土压平衡顶管机和泥水平衡顶管机均可适用。</w:t>
      </w:r>
    </w:p>
    <w:p>
      <w:r>
        <w:rPr>
          <w:rFonts w:hint="eastAsia"/>
          <w:b/>
          <w:bCs/>
        </w:rPr>
        <w:t>8.2.4</w:t>
      </w:r>
      <w:r>
        <w:rPr>
          <w:b/>
          <w:bCs/>
        </w:rPr>
        <w:t xml:space="preserve">  </w:t>
      </w:r>
      <w:r>
        <w:rPr>
          <w:rFonts w:hint="eastAsia"/>
        </w:rPr>
        <w:t>矩形顶管机依据渗透系数选型可参考图8.2.4，当地层的渗透系数小于10</w:t>
      </w:r>
      <w:r>
        <w:rPr>
          <w:rFonts w:hint="eastAsia"/>
          <w:vertAlign w:val="superscript"/>
        </w:rPr>
        <w:t>-</w:t>
      </w:r>
      <w:r>
        <w:rPr>
          <w:vertAlign w:val="superscript"/>
        </w:rPr>
        <w:t>7</w:t>
      </w:r>
      <w:r>
        <w:rPr>
          <w:rFonts w:hint="eastAsia"/>
        </w:rPr>
        <w:t>m/s时，采用土压平衡顶管机较优；当地层的渗透系数大于10</w:t>
      </w:r>
      <w:r>
        <w:rPr>
          <w:rFonts w:hint="eastAsia"/>
          <w:vertAlign w:val="superscript"/>
        </w:rPr>
        <w:t>-</w:t>
      </w:r>
      <w:r>
        <w:rPr>
          <w:vertAlign w:val="superscript"/>
        </w:rPr>
        <w:t>4</w:t>
      </w:r>
      <w:r>
        <w:rPr>
          <w:rFonts w:hint="eastAsia"/>
        </w:rPr>
        <w:t>m/s时，采用泥水平衡顶管机较优；当渗透系数在10</w:t>
      </w:r>
      <w:r>
        <w:rPr>
          <w:rFonts w:hint="eastAsia"/>
          <w:vertAlign w:val="superscript"/>
        </w:rPr>
        <w:t>-</w:t>
      </w:r>
      <w:r>
        <w:rPr>
          <w:vertAlign w:val="superscript"/>
        </w:rPr>
        <w:t>7</w:t>
      </w:r>
      <w:r>
        <w:rPr>
          <w:rFonts w:hint="eastAsia"/>
        </w:rPr>
        <w:t>m/s～10</w:t>
      </w:r>
      <w:r>
        <w:rPr>
          <w:rFonts w:hint="eastAsia"/>
          <w:vertAlign w:val="superscript"/>
        </w:rPr>
        <w:t>-</w:t>
      </w:r>
      <w:r>
        <w:rPr>
          <w:vertAlign w:val="superscript"/>
        </w:rPr>
        <w:t>4</w:t>
      </w:r>
      <w:r>
        <w:rPr>
          <w:rFonts w:hint="eastAsia"/>
        </w:rPr>
        <w:t>m/s之间时，两者皆可。</w:t>
      </w:r>
    </w:p>
    <w:p>
      <w:pPr>
        <w:jc w:val="center"/>
        <w:rPr>
          <w:rFonts w:ascii="仿宋" w:hAnsi="仿宋" w:eastAsia="仿宋"/>
          <w:color w:val="000000"/>
        </w:rPr>
      </w:pPr>
      <w:r>
        <w:rPr>
          <w:highlight w:val="yellow"/>
        </w:rPr>
        <w:drawing>
          <wp:inline distT="0" distB="0" distL="0" distR="0">
            <wp:extent cx="2713355" cy="1913890"/>
            <wp:effectExtent l="0" t="0" r="0" b="0"/>
            <wp:docPr id="9" name="图片 9" descr="F:\1-1所内资料\顶管知识\土压泥水盾构选型-图\地层渗透性与顶掘机选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1所内资料\顶管知识\土压泥水盾构选型-图\地层渗透性与顶掘机选型.jpg"/>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a:xfrm>
                      <a:off x="0" y="0"/>
                      <a:ext cx="2721803" cy="1919544"/>
                    </a:xfrm>
                    <a:prstGeom prst="rect">
                      <a:avLst/>
                    </a:prstGeom>
                    <a:noFill/>
                    <a:ln>
                      <a:noFill/>
                    </a:ln>
                  </pic:spPr>
                </pic:pic>
              </a:graphicData>
            </a:graphic>
          </wp:inline>
        </w:drawing>
      </w:r>
    </w:p>
    <w:p>
      <w:pPr>
        <w:jc w:val="center"/>
        <w:rPr>
          <w:b/>
          <w:bCs/>
          <w:sz w:val="21"/>
          <w:szCs w:val="18"/>
        </w:rPr>
      </w:pPr>
      <w:r>
        <w:rPr>
          <w:rFonts w:hint="eastAsia"/>
          <w:b/>
          <w:bCs/>
          <w:sz w:val="21"/>
          <w:szCs w:val="18"/>
        </w:rPr>
        <w:t xml:space="preserve">图8.2.4 </w:t>
      </w:r>
      <w:r>
        <w:rPr>
          <w:b/>
          <w:bCs/>
          <w:sz w:val="21"/>
          <w:szCs w:val="18"/>
        </w:rPr>
        <w:t xml:space="preserve"> </w:t>
      </w:r>
      <w:r>
        <w:rPr>
          <w:rFonts w:hint="eastAsia"/>
          <w:b/>
          <w:bCs/>
          <w:sz w:val="21"/>
          <w:szCs w:val="18"/>
        </w:rPr>
        <w:t>顶管机类型与地层渗透系数关系</w:t>
      </w:r>
    </w:p>
    <w:p>
      <w:pPr>
        <w:rPr>
          <w:rFonts w:eastAsia="仿宋"/>
        </w:rPr>
      </w:pPr>
      <w:r>
        <w:rPr>
          <w:rFonts w:eastAsia="仿宋"/>
          <w:b/>
          <w:bCs/>
        </w:rPr>
        <w:t xml:space="preserve">【条文说明】：8.2.4  </w:t>
      </w:r>
      <w:r>
        <w:rPr>
          <w:rFonts w:eastAsia="仿宋"/>
        </w:rPr>
        <w:t>在依据渗透系数进行顶管机选型时，还应考虑具体的工程地质情况。渗透系数虽然较大，但倘若地层中黏土含量不足10%，泥膜很难形成，开挖面易坍塌，仍不宜选择泥水平衡顶管机，这时采用复合改良式土压平衡顶管机施工较好。</w:t>
      </w:r>
    </w:p>
    <w:p>
      <w:r>
        <w:rPr>
          <w:rFonts w:hint="eastAsia"/>
          <w:b/>
          <w:bCs/>
        </w:rPr>
        <w:t>8.2.5</w:t>
      </w:r>
      <w:r>
        <w:rPr>
          <w:b/>
          <w:bCs/>
        </w:rPr>
        <w:t xml:space="preserve"> </w:t>
      </w:r>
      <w:r>
        <w:rPr>
          <w:rFonts w:hint="eastAsia"/>
        </w:rPr>
        <w:t xml:space="preserve"> 矩形顶管机依据地下水压选型，当地下水压不大于0.3MPa时，采用土压平衡顶管机较优；当地下水压大于0.3MPa时，采用泥水平衡顶管机较优。</w:t>
      </w:r>
    </w:p>
    <w:p>
      <w:pPr>
        <w:rPr>
          <w:rFonts w:eastAsia="仿宋"/>
        </w:rPr>
      </w:pPr>
      <w:r>
        <w:rPr>
          <w:rFonts w:eastAsia="仿宋"/>
          <w:b/>
          <w:bCs/>
        </w:rPr>
        <w:t>【条文说明】：8.2.5</w:t>
      </w:r>
      <w:r>
        <w:rPr>
          <w:rFonts w:eastAsia="仿宋"/>
        </w:rPr>
        <w:t xml:space="preserve">  依据地下水压选型还应考虑具体的工程地质情况，当地下水压大于0.3MPa时，如果地质原因需要采用土压平衡顶管机，则应增大螺旋输送机的长度，或采用二级螺旋输送机；另一方面，当渣土改良效果不能满足土塞效应时，即使在地下水压小于0.3MPa时，也不宜采用土压平衡顶管机。</w:t>
      </w:r>
    </w:p>
    <w:p>
      <w:r>
        <w:rPr>
          <w:rFonts w:hint="eastAsia"/>
          <w:b/>
          <w:bCs/>
        </w:rPr>
        <w:t xml:space="preserve">8.2.6 </w:t>
      </w:r>
      <w:r>
        <w:rPr>
          <w:b/>
          <w:bCs/>
        </w:rPr>
        <w:t xml:space="preserve"> </w:t>
      </w:r>
      <w:r>
        <w:rPr>
          <w:rFonts w:hint="eastAsia"/>
        </w:rPr>
        <w:t>矩形顶管机适应工况可参考表8.2.6执行：</w:t>
      </w:r>
    </w:p>
    <w:p>
      <w:pPr>
        <w:jc w:val="center"/>
        <w:rPr>
          <w:rFonts w:eastAsiaTheme="minorEastAsia"/>
          <w:b/>
          <w:bCs/>
        </w:rPr>
      </w:pPr>
      <w:r>
        <w:rPr>
          <w:rFonts w:eastAsiaTheme="minorEastAsia"/>
          <w:b/>
          <w:bCs/>
          <w:kern w:val="0"/>
          <w:sz w:val="21"/>
          <w:szCs w:val="20"/>
        </w:rPr>
        <w:t>表8.2.6  矩形顶管机适用工况</w:t>
      </w:r>
    </w:p>
    <w:tbl>
      <w:tblPr>
        <w:tblStyle w:val="36"/>
        <w:tblW w:w="85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39"/>
        <w:gridCol w:w="3474"/>
        <w:gridCol w:w="36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9" w:type="dxa"/>
            <w:vAlign w:val="center"/>
          </w:tcPr>
          <w:p>
            <w:pPr>
              <w:spacing w:line="240" w:lineRule="auto"/>
              <w:jc w:val="center"/>
              <w:rPr>
                <w:sz w:val="21"/>
              </w:rPr>
            </w:pPr>
            <w:r>
              <w:rPr>
                <w:rFonts w:hint="eastAsia"/>
                <w:sz w:val="21"/>
              </w:rPr>
              <w:t>矩形顶管机类型</w:t>
            </w:r>
          </w:p>
        </w:tc>
        <w:tc>
          <w:tcPr>
            <w:tcW w:w="3474" w:type="dxa"/>
            <w:vAlign w:val="center"/>
          </w:tcPr>
          <w:p>
            <w:pPr>
              <w:spacing w:line="240" w:lineRule="auto"/>
              <w:jc w:val="center"/>
              <w:rPr>
                <w:sz w:val="21"/>
              </w:rPr>
            </w:pPr>
            <w:r>
              <w:rPr>
                <w:rFonts w:hint="eastAsia"/>
                <w:sz w:val="21"/>
              </w:rPr>
              <w:t>土压平衡式矩形顶管</w:t>
            </w:r>
          </w:p>
        </w:tc>
        <w:tc>
          <w:tcPr>
            <w:tcW w:w="3628" w:type="dxa"/>
            <w:vAlign w:val="center"/>
          </w:tcPr>
          <w:p>
            <w:pPr>
              <w:spacing w:line="240" w:lineRule="auto"/>
              <w:jc w:val="center"/>
              <w:rPr>
                <w:sz w:val="21"/>
              </w:rPr>
            </w:pPr>
            <w:r>
              <w:rPr>
                <w:rFonts w:hint="eastAsia"/>
                <w:sz w:val="21"/>
              </w:rPr>
              <w:t>泥水平衡式矩形顶管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9" w:type="dxa"/>
            <w:vAlign w:val="center"/>
          </w:tcPr>
          <w:p>
            <w:pPr>
              <w:spacing w:line="240" w:lineRule="auto"/>
              <w:jc w:val="center"/>
              <w:rPr>
                <w:b/>
                <w:bCs/>
                <w:sz w:val="21"/>
              </w:rPr>
            </w:pPr>
            <w:r>
              <w:rPr>
                <w:rFonts w:hint="eastAsia"/>
                <w:sz w:val="21"/>
              </w:rPr>
              <w:t>适用土质</w:t>
            </w:r>
          </w:p>
        </w:tc>
        <w:tc>
          <w:tcPr>
            <w:tcW w:w="3474" w:type="dxa"/>
            <w:vAlign w:val="center"/>
          </w:tcPr>
          <w:p>
            <w:pPr>
              <w:spacing w:line="240" w:lineRule="auto"/>
              <w:jc w:val="center"/>
              <w:rPr>
                <w:b/>
                <w:bCs/>
                <w:sz w:val="21"/>
              </w:rPr>
            </w:pPr>
            <w:r>
              <w:rPr>
                <w:rFonts w:hint="eastAsia"/>
                <w:sz w:val="21"/>
              </w:rPr>
              <w:t>黏土、粉土、砂土、砾石层；需适时添加相应改良剂</w:t>
            </w:r>
          </w:p>
        </w:tc>
        <w:tc>
          <w:tcPr>
            <w:tcW w:w="3628" w:type="dxa"/>
            <w:vAlign w:val="center"/>
          </w:tcPr>
          <w:p>
            <w:pPr>
              <w:spacing w:line="240" w:lineRule="auto"/>
              <w:jc w:val="center"/>
              <w:rPr>
                <w:b/>
                <w:bCs/>
                <w:sz w:val="21"/>
              </w:rPr>
            </w:pPr>
            <w:r>
              <w:rPr>
                <w:rFonts w:hint="eastAsia"/>
                <w:sz w:val="21"/>
              </w:rPr>
              <w:t>淤泥质土、粉土、砂土、砾石层；需适时添加适当的添加剂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9" w:type="dxa"/>
            <w:vAlign w:val="center"/>
          </w:tcPr>
          <w:p>
            <w:pPr>
              <w:spacing w:line="240" w:lineRule="auto"/>
              <w:jc w:val="center"/>
              <w:rPr>
                <w:b/>
                <w:bCs/>
                <w:sz w:val="21"/>
              </w:rPr>
            </w:pPr>
            <w:r>
              <w:rPr>
                <w:rFonts w:hint="eastAsia"/>
                <w:sz w:val="21"/>
              </w:rPr>
              <w:t>适用</w:t>
            </w:r>
            <w:r>
              <w:rPr>
                <w:sz w:val="21"/>
              </w:rPr>
              <w:t>距离</w:t>
            </w:r>
          </w:p>
        </w:tc>
        <w:tc>
          <w:tcPr>
            <w:tcW w:w="3474" w:type="dxa"/>
            <w:vAlign w:val="center"/>
          </w:tcPr>
          <w:p>
            <w:pPr>
              <w:spacing w:line="240" w:lineRule="auto"/>
              <w:jc w:val="center"/>
              <w:rPr>
                <w:b/>
                <w:bCs/>
                <w:sz w:val="21"/>
              </w:rPr>
            </w:pPr>
            <w:r>
              <w:rPr>
                <w:sz w:val="21"/>
              </w:rPr>
              <w:t>短</w:t>
            </w:r>
            <w:r>
              <w:rPr>
                <w:rFonts w:hint="eastAsia"/>
                <w:sz w:val="21"/>
              </w:rPr>
              <w:t>、</w:t>
            </w:r>
            <w:r>
              <w:rPr>
                <w:sz w:val="21"/>
              </w:rPr>
              <w:t>中</w:t>
            </w:r>
            <w:r>
              <w:rPr>
                <w:rFonts w:hint="eastAsia"/>
                <w:sz w:val="21"/>
              </w:rPr>
              <w:t>、</w:t>
            </w:r>
            <w:r>
              <w:rPr>
                <w:sz w:val="21"/>
              </w:rPr>
              <w:t>长</w:t>
            </w:r>
          </w:p>
        </w:tc>
        <w:tc>
          <w:tcPr>
            <w:tcW w:w="3628" w:type="dxa"/>
            <w:vAlign w:val="center"/>
          </w:tcPr>
          <w:p>
            <w:pPr>
              <w:spacing w:line="240" w:lineRule="auto"/>
              <w:jc w:val="center"/>
              <w:rPr>
                <w:b/>
                <w:bCs/>
                <w:sz w:val="21"/>
              </w:rPr>
            </w:pPr>
            <w:r>
              <w:rPr>
                <w:sz w:val="21"/>
              </w:rPr>
              <w:t>短</w:t>
            </w:r>
            <w:r>
              <w:rPr>
                <w:rFonts w:hint="eastAsia"/>
                <w:sz w:val="21"/>
              </w:rPr>
              <w:t>、</w:t>
            </w:r>
            <w:r>
              <w:rPr>
                <w:sz w:val="21"/>
              </w:rPr>
              <w:t>中</w:t>
            </w:r>
            <w:r>
              <w:rPr>
                <w:rFonts w:hint="eastAsia"/>
                <w:sz w:val="21"/>
              </w:rPr>
              <w:t>、</w:t>
            </w:r>
            <w:r>
              <w:rPr>
                <w:sz w:val="21"/>
              </w:rPr>
              <w:t>长</w:t>
            </w:r>
            <w:r>
              <w:rPr>
                <w:rFonts w:hint="eastAsia"/>
                <w:sz w:val="21"/>
              </w:rPr>
              <w:t>、</w:t>
            </w:r>
            <w:r>
              <w:rPr>
                <w:sz w:val="21"/>
              </w:rPr>
              <w:t>超长距离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9" w:type="dxa"/>
            <w:vAlign w:val="center"/>
          </w:tcPr>
          <w:p>
            <w:pPr>
              <w:spacing w:line="240" w:lineRule="auto"/>
              <w:jc w:val="center"/>
              <w:rPr>
                <w:b/>
                <w:bCs/>
                <w:sz w:val="21"/>
              </w:rPr>
            </w:pPr>
            <w:r>
              <w:rPr>
                <w:rFonts w:hint="eastAsia"/>
                <w:sz w:val="21"/>
              </w:rPr>
              <w:t>适用坡度</w:t>
            </w:r>
          </w:p>
        </w:tc>
        <w:tc>
          <w:tcPr>
            <w:tcW w:w="3474" w:type="dxa"/>
            <w:vAlign w:val="center"/>
          </w:tcPr>
          <w:p>
            <w:pPr>
              <w:spacing w:line="240" w:lineRule="auto"/>
              <w:jc w:val="center"/>
              <w:rPr>
                <w:b/>
                <w:bCs/>
                <w:sz w:val="21"/>
              </w:rPr>
            </w:pPr>
            <w:r>
              <w:rPr>
                <w:rFonts w:hint="eastAsia"/>
                <w:sz w:val="21"/>
              </w:rPr>
              <w:t>一般平坡顶进，迎坡顶进时，纵坡不宜大</w:t>
            </w:r>
            <w:r>
              <w:rPr>
                <w:sz w:val="21"/>
              </w:rPr>
              <w:t>于</w:t>
            </w:r>
            <w:r>
              <w:rPr>
                <w:rFonts w:hint="eastAsia"/>
                <w:sz w:val="21"/>
              </w:rPr>
              <w:t>2%</w:t>
            </w:r>
          </w:p>
        </w:tc>
        <w:tc>
          <w:tcPr>
            <w:tcW w:w="3628" w:type="dxa"/>
            <w:vAlign w:val="center"/>
          </w:tcPr>
          <w:p>
            <w:pPr>
              <w:spacing w:line="240" w:lineRule="auto"/>
              <w:jc w:val="center"/>
              <w:rPr>
                <w:b/>
                <w:bCs/>
                <w:sz w:val="21"/>
              </w:rPr>
            </w:pPr>
            <w:r>
              <w:rPr>
                <w:rFonts w:hint="eastAsia"/>
                <w:sz w:val="21"/>
              </w:rPr>
              <w:t>一般平坡顶进，迎坡顶进时，纵坡不宜大</w:t>
            </w:r>
            <w:r>
              <w:rPr>
                <w:sz w:val="21"/>
              </w:rPr>
              <w:t>于</w:t>
            </w:r>
            <w:r>
              <w:rPr>
                <w:rFonts w:hint="eastAsia"/>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9" w:type="dxa"/>
            <w:vAlign w:val="center"/>
          </w:tcPr>
          <w:p>
            <w:pPr>
              <w:spacing w:line="240" w:lineRule="auto"/>
              <w:jc w:val="center"/>
              <w:rPr>
                <w:sz w:val="21"/>
              </w:rPr>
            </w:pPr>
            <w:r>
              <w:rPr>
                <w:rFonts w:hint="eastAsia"/>
                <w:sz w:val="21"/>
              </w:rPr>
              <w:t>沉降要求</w:t>
            </w:r>
          </w:p>
        </w:tc>
        <w:tc>
          <w:tcPr>
            <w:tcW w:w="3474" w:type="dxa"/>
            <w:vAlign w:val="center"/>
          </w:tcPr>
          <w:p>
            <w:pPr>
              <w:spacing w:line="240" w:lineRule="auto"/>
              <w:jc w:val="center"/>
              <w:rPr>
                <w:b/>
                <w:bCs/>
                <w:sz w:val="21"/>
              </w:rPr>
            </w:pPr>
            <w:r>
              <w:rPr>
                <w:sz w:val="21"/>
              </w:rPr>
              <w:t>地面沉降要求严格</w:t>
            </w:r>
            <w:r>
              <w:rPr>
                <w:rFonts w:hint="eastAsia"/>
                <w:sz w:val="21"/>
              </w:rPr>
              <w:t>工况</w:t>
            </w:r>
          </w:p>
        </w:tc>
        <w:tc>
          <w:tcPr>
            <w:tcW w:w="3628" w:type="dxa"/>
            <w:vAlign w:val="center"/>
          </w:tcPr>
          <w:p>
            <w:pPr>
              <w:spacing w:line="240" w:lineRule="auto"/>
              <w:jc w:val="center"/>
              <w:rPr>
                <w:b/>
                <w:bCs/>
                <w:sz w:val="21"/>
              </w:rPr>
            </w:pPr>
            <w:r>
              <w:rPr>
                <w:sz w:val="21"/>
              </w:rPr>
              <w:t>地面沉降要求</w:t>
            </w:r>
            <w:r>
              <w:rPr>
                <w:rFonts w:hint="eastAsia"/>
                <w:sz w:val="21"/>
              </w:rPr>
              <w:t>较小工况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9" w:type="dxa"/>
            <w:vAlign w:val="center"/>
          </w:tcPr>
          <w:p>
            <w:pPr>
              <w:spacing w:line="240" w:lineRule="auto"/>
              <w:jc w:val="center"/>
              <w:rPr>
                <w:sz w:val="21"/>
              </w:rPr>
            </w:pPr>
            <w:r>
              <w:rPr>
                <w:rFonts w:hint="eastAsia"/>
                <w:sz w:val="21"/>
              </w:rPr>
              <w:t>管顶覆土</w:t>
            </w:r>
          </w:p>
        </w:tc>
        <w:tc>
          <w:tcPr>
            <w:tcW w:w="3474" w:type="dxa"/>
            <w:vAlign w:val="center"/>
          </w:tcPr>
          <w:p>
            <w:pPr>
              <w:spacing w:line="240" w:lineRule="auto"/>
              <w:jc w:val="center"/>
              <w:rPr>
                <w:b/>
                <w:bCs/>
                <w:sz w:val="21"/>
              </w:rPr>
            </w:pPr>
            <w:r>
              <w:rPr>
                <w:rFonts w:hint="eastAsia"/>
                <w:sz w:val="21"/>
              </w:rPr>
              <w:t>一般</w:t>
            </w:r>
            <w:r>
              <w:rPr>
                <w:sz w:val="21"/>
              </w:rPr>
              <w:t>不小于</w:t>
            </w:r>
            <w:r>
              <w:rPr>
                <w:rFonts w:hint="eastAsia"/>
                <w:sz w:val="21"/>
              </w:rPr>
              <w:t>3m</w:t>
            </w:r>
          </w:p>
        </w:tc>
        <w:tc>
          <w:tcPr>
            <w:tcW w:w="3628" w:type="dxa"/>
            <w:vAlign w:val="center"/>
          </w:tcPr>
          <w:p>
            <w:pPr>
              <w:spacing w:line="240" w:lineRule="auto"/>
              <w:jc w:val="center"/>
              <w:rPr>
                <w:b/>
                <w:bCs/>
                <w:sz w:val="21"/>
              </w:rPr>
            </w:pPr>
            <w:r>
              <w:rPr>
                <w:rFonts w:hint="eastAsia"/>
                <w:sz w:val="21"/>
              </w:rPr>
              <w:t>一般不小于一</w:t>
            </w:r>
            <w:r>
              <w:rPr>
                <w:sz w:val="21"/>
              </w:rPr>
              <w:t>倍管道高度</w:t>
            </w:r>
            <w:r>
              <w:rPr>
                <w:rFonts w:hint="eastAsia"/>
                <w:sz w:val="21"/>
              </w:rPr>
              <w:t>，</w:t>
            </w:r>
            <w:r>
              <w:rPr>
                <w:sz w:val="21"/>
              </w:rPr>
              <w:t>且不小于</w:t>
            </w:r>
            <w:r>
              <w:rPr>
                <w:rFonts w:hint="eastAsia"/>
                <w:sz w:val="21"/>
              </w:rPr>
              <w:t>4m</w:t>
            </w:r>
          </w:p>
        </w:tc>
      </w:tr>
    </w:tbl>
    <w:p>
      <w:r>
        <w:rPr>
          <w:rFonts w:hint="eastAsia"/>
          <w:b/>
          <w:bCs/>
        </w:rPr>
        <w:t>8.2.7</w:t>
      </w:r>
      <w:r>
        <w:rPr>
          <w:rFonts w:hint="eastAsia"/>
        </w:rPr>
        <w:t xml:space="preserve"> </w:t>
      </w:r>
      <w:r>
        <w:t xml:space="preserve"> </w:t>
      </w:r>
      <w:r>
        <w:rPr>
          <w:rFonts w:hint="eastAsia"/>
        </w:rPr>
        <w:t>开挖系统选型与</w:t>
      </w:r>
      <w:r>
        <w:t>设计应</w:t>
      </w:r>
      <w:r>
        <w:rPr>
          <w:rFonts w:hint="eastAsia"/>
        </w:rPr>
        <w:t>符合</w:t>
      </w:r>
      <w:r>
        <w:t>下列规定：</w:t>
      </w:r>
    </w:p>
    <w:p>
      <w:pPr>
        <w:ind w:firstLine="480" w:firstLineChars="200"/>
      </w:pPr>
      <w:r>
        <w:t xml:space="preserve">1  </w:t>
      </w:r>
      <w:r>
        <w:rPr>
          <w:rFonts w:hint="eastAsia"/>
        </w:rPr>
        <w:t>矩形</w:t>
      </w:r>
      <w:r>
        <w:t>顶管机的开挖面稳定形式应根据工程地质和水文地质选择</w:t>
      </w:r>
      <w:r>
        <w:rPr>
          <w:rFonts w:hint="eastAsia"/>
        </w:rPr>
        <w:t>；</w:t>
      </w:r>
    </w:p>
    <w:p>
      <w:pPr>
        <w:ind w:firstLine="480" w:firstLineChars="200"/>
      </w:pPr>
      <w:r>
        <w:t>2  开挖系统应具有切削矩形断面土体、支撑开挖</w:t>
      </w:r>
      <w:r>
        <w:rPr>
          <w:rFonts w:hint="eastAsia"/>
        </w:rPr>
        <w:t>掌子</w:t>
      </w:r>
      <w:r>
        <w:t>面、渣土改良</w:t>
      </w:r>
      <w:r>
        <w:rPr>
          <w:rFonts w:hint="eastAsia"/>
        </w:rPr>
        <w:t>和搅拌</w:t>
      </w:r>
      <w:r>
        <w:t>的功能</w:t>
      </w:r>
      <w:r>
        <w:rPr>
          <w:rFonts w:hint="eastAsia"/>
        </w:rPr>
        <w:t>；</w:t>
      </w:r>
    </w:p>
    <w:p>
      <w:pPr>
        <w:ind w:firstLine="480" w:firstLineChars="200"/>
      </w:pPr>
      <w:r>
        <w:rPr>
          <w:rFonts w:hint="eastAsia"/>
        </w:rPr>
        <w:t>3</w:t>
      </w:r>
      <w:r>
        <w:rPr>
          <w:b/>
          <w:bCs/>
        </w:rPr>
        <w:t xml:space="preserve">  </w:t>
      </w:r>
      <w:r>
        <w:rPr>
          <w:rFonts w:hint="eastAsia"/>
        </w:rPr>
        <w:t>矩形</w:t>
      </w:r>
      <w:r>
        <w:t>顶管机开挖系统宜采用多个刀盘单元组成，也可由单个仿形刀盘构成，应具备矩形断面切削能力</w:t>
      </w:r>
      <w:r>
        <w:rPr>
          <w:rFonts w:hint="eastAsia"/>
        </w:rPr>
        <w:t>；</w:t>
      </w:r>
    </w:p>
    <w:p>
      <w:pPr>
        <w:ind w:firstLine="480" w:firstLineChars="200"/>
      </w:pPr>
      <w:r>
        <w:rPr>
          <w:rFonts w:hint="eastAsia"/>
        </w:rPr>
        <w:t>4</w:t>
      </w:r>
      <w:r>
        <w:rPr>
          <w:b/>
          <w:bCs/>
        </w:rPr>
        <w:t xml:space="preserve">  </w:t>
      </w:r>
      <w:r>
        <w:rPr>
          <w:rFonts w:hint="eastAsia"/>
        </w:rPr>
        <w:t>矩形</w:t>
      </w:r>
      <w:r>
        <w:t>顶管机开挖系统</w:t>
      </w:r>
      <w:r>
        <w:rPr>
          <w:rFonts w:hint="eastAsia"/>
        </w:rPr>
        <w:t>设计应尽量减少开挖盲区，开挖盲区可采用高压水射流、风钻等主动切削形式，也可采用盾体切刀等被动切削形式；未采用盲区处理措施的地层，开挖盲区不应影响矩形顶管的正常掘进；</w:t>
      </w:r>
    </w:p>
    <w:p>
      <w:pPr>
        <w:ind w:firstLine="480" w:firstLineChars="200"/>
      </w:pPr>
      <w:r>
        <w:rPr>
          <w:rFonts w:hint="eastAsia"/>
        </w:rPr>
        <w:t>5</w:t>
      </w:r>
      <w:r>
        <w:t xml:space="preserve">  </w:t>
      </w:r>
      <w:r>
        <w:rPr>
          <w:rFonts w:hint="eastAsia"/>
        </w:rPr>
        <w:t>矩形断面</w:t>
      </w:r>
      <w:r>
        <w:t>开挖系统</w:t>
      </w:r>
      <w:r>
        <w:rPr>
          <w:rFonts w:hint="eastAsia"/>
        </w:rPr>
        <w:t>可按表</w:t>
      </w:r>
      <w:r>
        <w:t>8.2.</w:t>
      </w:r>
      <w:r>
        <w:rPr>
          <w:rFonts w:hint="eastAsia"/>
        </w:rPr>
        <w:t>7选型</w:t>
      </w:r>
      <w:r>
        <w:t>。</w:t>
      </w:r>
    </w:p>
    <w:p>
      <w:pPr>
        <w:pStyle w:val="85"/>
        <w:tabs>
          <w:tab w:val="center" w:pos="4201"/>
          <w:tab w:val="right" w:leader="dot" w:pos="9298"/>
        </w:tabs>
        <w:spacing w:line="360" w:lineRule="auto"/>
        <w:ind w:firstLine="0" w:firstLineChars="0"/>
        <w:jc w:val="center"/>
        <w:rPr>
          <w:rFonts w:ascii="Times New Roman" w:eastAsiaTheme="minorEastAsia"/>
          <w:b/>
          <w:bCs/>
        </w:rPr>
      </w:pPr>
      <w:r>
        <w:rPr>
          <w:rFonts w:ascii="Times New Roman" w:eastAsiaTheme="minorEastAsia"/>
          <w:b/>
          <w:bCs/>
        </w:rPr>
        <w:t>表8.2.7 矩形断面开挖系统选型</w:t>
      </w:r>
    </w:p>
    <w:tbl>
      <w:tblPr>
        <w:tblStyle w:val="36"/>
        <w:tblW w:w="83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01"/>
        <w:gridCol w:w="1701"/>
        <w:gridCol w:w="2543"/>
        <w:gridCol w:w="29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02" w:type="dxa"/>
            <w:gridSpan w:val="2"/>
            <w:vAlign w:val="center"/>
          </w:tcPr>
          <w:p>
            <w:pPr>
              <w:spacing w:line="240" w:lineRule="auto"/>
              <w:jc w:val="center"/>
              <w:rPr>
                <w:sz w:val="21"/>
              </w:rPr>
            </w:pPr>
            <w:r>
              <w:rPr>
                <w:rFonts w:hint="eastAsia"/>
                <w:sz w:val="21"/>
              </w:rPr>
              <w:t>矩形断面开挖系统类型</w:t>
            </w:r>
          </w:p>
        </w:tc>
        <w:tc>
          <w:tcPr>
            <w:tcW w:w="2543" w:type="dxa"/>
            <w:vAlign w:val="center"/>
          </w:tcPr>
          <w:p>
            <w:pPr>
              <w:spacing w:line="240" w:lineRule="auto"/>
              <w:jc w:val="center"/>
              <w:rPr>
                <w:sz w:val="21"/>
              </w:rPr>
            </w:pPr>
            <w:r>
              <w:rPr>
                <w:rFonts w:hint="eastAsia"/>
                <w:sz w:val="21"/>
              </w:rPr>
              <w:t>开挖特点</w:t>
            </w:r>
          </w:p>
        </w:tc>
        <w:tc>
          <w:tcPr>
            <w:tcW w:w="2977" w:type="dxa"/>
            <w:vAlign w:val="center"/>
          </w:tcPr>
          <w:p>
            <w:pPr>
              <w:spacing w:line="240" w:lineRule="auto"/>
              <w:jc w:val="center"/>
              <w:rPr>
                <w:sz w:val="21"/>
              </w:rPr>
            </w:pPr>
            <w:r>
              <w:rPr>
                <w:rFonts w:hint="eastAsia"/>
                <w:sz w:val="21"/>
              </w:rPr>
              <w:t>适应工况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01" w:type="dxa"/>
            <w:vMerge w:val="restart"/>
            <w:vAlign w:val="center"/>
          </w:tcPr>
          <w:p>
            <w:pPr>
              <w:spacing w:line="240" w:lineRule="auto"/>
              <w:jc w:val="center"/>
              <w:rPr>
                <w:sz w:val="21"/>
              </w:rPr>
            </w:pPr>
            <w:r>
              <w:rPr>
                <w:rFonts w:hint="eastAsia"/>
                <w:sz w:val="21"/>
              </w:rPr>
              <w:t>平行中心轴式刀盘</w:t>
            </w:r>
          </w:p>
        </w:tc>
        <w:tc>
          <w:tcPr>
            <w:tcW w:w="1701" w:type="dxa"/>
            <w:vAlign w:val="center"/>
          </w:tcPr>
          <w:p>
            <w:pPr>
              <w:spacing w:line="240" w:lineRule="auto"/>
              <w:jc w:val="center"/>
              <w:rPr>
                <w:sz w:val="21"/>
              </w:rPr>
            </w:pPr>
            <w:r>
              <w:rPr>
                <w:rFonts w:hint="eastAsia"/>
                <w:sz w:val="21"/>
              </w:rPr>
              <w:t>前后面</w:t>
            </w:r>
            <w:r>
              <w:rPr>
                <w:sz w:val="21"/>
              </w:rPr>
              <w:t>组合刀盘</w:t>
            </w:r>
          </w:p>
        </w:tc>
        <w:tc>
          <w:tcPr>
            <w:tcW w:w="2543" w:type="dxa"/>
            <w:vAlign w:val="center"/>
          </w:tcPr>
          <w:p>
            <w:pPr>
              <w:spacing w:line="240" w:lineRule="auto"/>
              <w:jc w:val="center"/>
              <w:rPr>
                <w:sz w:val="21"/>
              </w:rPr>
            </w:pPr>
            <w:r>
              <w:rPr>
                <w:rFonts w:hint="eastAsia"/>
                <w:color w:val="000000" w:themeColor="text1"/>
                <w:sz w:val="21"/>
                <w14:textFill>
                  <w14:solidFill>
                    <w14:schemeClr w14:val="tx1"/>
                  </w14:solidFill>
                </w14:textFill>
              </w:rPr>
              <w:t>旋转运动；盲区辅助措施处理；</w:t>
            </w:r>
            <w:r>
              <w:rPr>
                <w:color w:val="000000" w:themeColor="text1"/>
                <w:sz w:val="21"/>
                <w14:textFill>
                  <w14:solidFill>
                    <w14:schemeClr w14:val="tx1"/>
                  </w14:solidFill>
                </w14:textFill>
              </w:rPr>
              <w:t>搅拌</w:t>
            </w:r>
            <w:r>
              <w:rPr>
                <w:rFonts w:hint="eastAsia"/>
                <w:color w:val="000000" w:themeColor="text1"/>
                <w:sz w:val="21"/>
                <w14:textFill>
                  <w14:solidFill>
                    <w14:schemeClr w14:val="tx1"/>
                  </w14:solidFill>
                </w14:textFill>
              </w:rPr>
              <w:t>较充分</w:t>
            </w:r>
          </w:p>
        </w:tc>
        <w:tc>
          <w:tcPr>
            <w:tcW w:w="2977" w:type="dxa"/>
            <w:vAlign w:val="center"/>
          </w:tcPr>
          <w:p>
            <w:pPr>
              <w:spacing w:line="240" w:lineRule="auto"/>
              <w:jc w:val="center"/>
              <w:rPr>
                <w:sz w:val="21"/>
              </w:rPr>
            </w:pPr>
            <w:r>
              <w:rPr>
                <w:rFonts w:hint="eastAsia"/>
                <w:color w:val="000000" w:themeColor="text1"/>
                <w:sz w:val="21"/>
                <w14:textFill>
                  <w14:solidFill>
                    <w14:schemeClr w14:val="tx1"/>
                  </w14:solidFill>
                </w14:textFill>
              </w:rPr>
              <w:t>软土地层；</w:t>
            </w:r>
            <w:r>
              <w:rPr>
                <w:color w:val="000000" w:themeColor="text1"/>
                <w:sz w:val="21"/>
                <w14:textFill>
                  <w14:solidFill>
                    <w14:schemeClr w14:val="tx1"/>
                  </w14:solidFill>
                </w14:textFill>
              </w:rPr>
              <w:t>沉降要求严格的隧道工程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01" w:type="dxa"/>
            <w:vMerge w:val="continue"/>
            <w:vAlign w:val="center"/>
          </w:tcPr>
          <w:p>
            <w:pPr>
              <w:spacing w:line="240" w:lineRule="auto"/>
              <w:jc w:val="center"/>
              <w:rPr>
                <w:sz w:val="21"/>
              </w:rPr>
            </w:pPr>
          </w:p>
        </w:tc>
        <w:tc>
          <w:tcPr>
            <w:tcW w:w="1701" w:type="dxa"/>
            <w:vAlign w:val="center"/>
          </w:tcPr>
          <w:p>
            <w:pPr>
              <w:spacing w:line="240" w:lineRule="auto"/>
              <w:jc w:val="center"/>
              <w:rPr>
                <w:sz w:val="21"/>
              </w:rPr>
            </w:pPr>
            <w:r>
              <w:rPr>
                <w:sz w:val="21"/>
              </w:rPr>
              <w:t>同平面组合刀盘</w:t>
            </w:r>
          </w:p>
        </w:tc>
        <w:tc>
          <w:tcPr>
            <w:tcW w:w="2543" w:type="dxa"/>
            <w:vAlign w:val="center"/>
          </w:tcPr>
          <w:p>
            <w:pPr>
              <w:spacing w:line="240" w:lineRule="auto"/>
              <w:jc w:val="center"/>
              <w:rPr>
                <w:sz w:val="21"/>
              </w:rPr>
            </w:pPr>
            <w:r>
              <w:rPr>
                <w:rFonts w:hint="eastAsia"/>
                <w:color w:val="000000" w:themeColor="text1"/>
                <w:sz w:val="21"/>
                <w14:textFill>
                  <w14:solidFill>
                    <w14:schemeClr w14:val="tx1"/>
                  </w14:solidFill>
                </w14:textFill>
              </w:rPr>
              <w:t>旋转运动；盲区辅助措施处理；</w:t>
            </w:r>
            <w:r>
              <w:rPr>
                <w:color w:val="000000" w:themeColor="text1"/>
                <w:sz w:val="21"/>
                <w14:textFill>
                  <w14:solidFill>
                    <w14:schemeClr w14:val="tx1"/>
                  </w14:solidFill>
                </w14:textFill>
              </w:rPr>
              <w:t>搅拌</w:t>
            </w:r>
            <w:r>
              <w:rPr>
                <w:rFonts w:hint="eastAsia"/>
                <w:color w:val="000000" w:themeColor="text1"/>
                <w:sz w:val="21"/>
                <w14:textFill>
                  <w14:solidFill>
                    <w14:schemeClr w14:val="tx1"/>
                  </w14:solidFill>
                </w14:textFill>
              </w:rPr>
              <w:t>充分</w:t>
            </w:r>
          </w:p>
        </w:tc>
        <w:tc>
          <w:tcPr>
            <w:tcW w:w="2977" w:type="dxa"/>
            <w:vAlign w:val="center"/>
          </w:tcPr>
          <w:p>
            <w:pPr>
              <w:spacing w:line="240" w:lineRule="auto"/>
              <w:jc w:val="center"/>
              <w:rPr>
                <w:sz w:val="21"/>
              </w:rPr>
            </w:pPr>
            <w:r>
              <w:rPr>
                <w:sz w:val="21"/>
              </w:rPr>
              <w:t>砂、砾石、卵石等</w:t>
            </w:r>
            <w:r>
              <w:rPr>
                <w:rFonts w:hint="eastAsia"/>
                <w:color w:val="000000" w:themeColor="text1"/>
                <w:sz w:val="21"/>
                <w14:textFill>
                  <w14:solidFill>
                    <w14:schemeClr w14:val="tx1"/>
                  </w14:solidFill>
                </w14:textFill>
              </w:rPr>
              <w:t>不稳定地层；</w:t>
            </w:r>
            <w:r>
              <w:rPr>
                <w:color w:val="000000" w:themeColor="text1"/>
                <w:sz w:val="21"/>
                <w14:textFill>
                  <w14:solidFill>
                    <w14:schemeClr w14:val="tx1"/>
                  </w14:solidFill>
                </w14:textFill>
              </w:rPr>
              <w:t>沉降要求严格的隧道工程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01" w:type="dxa"/>
            <w:vMerge w:val="restart"/>
            <w:vAlign w:val="center"/>
          </w:tcPr>
          <w:p>
            <w:pPr>
              <w:spacing w:line="240" w:lineRule="auto"/>
              <w:jc w:val="center"/>
              <w:rPr>
                <w:sz w:val="21"/>
              </w:rPr>
            </w:pPr>
            <w:r>
              <w:rPr>
                <w:sz w:val="21"/>
              </w:rPr>
              <w:t>偏心轴式</w:t>
            </w:r>
            <w:r>
              <w:rPr>
                <w:rFonts w:hint="eastAsia"/>
                <w:sz w:val="21"/>
              </w:rPr>
              <w:t>刀盘</w:t>
            </w:r>
          </w:p>
        </w:tc>
        <w:tc>
          <w:tcPr>
            <w:tcW w:w="1701" w:type="dxa"/>
            <w:vAlign w:val="center"/>
          </w:tcPr>
          <w:p>
            <w:pPr>
              <w:spacing w:line="240" w:lineRule="auto"/>
              <w:jc w:val="center"/>
              <w:rPr>
                <w:sz w:val="21"/>
              </w:rPr>
            </w:pPr>
            <w:r>
              <w:rPr>
                <w:sz w:val="21"/>
              </w:rPr>
              <w:t>偏心</w:t>
            </w:r>
            <w:r>
              <w:rPr>
                <w:rFonts w:hint="eastAsia"/>
                <w:sz w:val="21"/>
              </w:rPr>
              <w:t>多</w:t>
            </w:r>
            <w:r>
              <w:rPr>
                <w:sz w:val="21"/>
              </w:rPr>
              <w:t>轴式</w:t>
            </w:r>
            <w:r>
              <w:rPr>
                <w:rFonts w:hint="eastAsia"/>
                <w:sz w:val="21"/>
              </w:rPr>
              <w:t>刀盘</w:t>
            </w:r>
          </w:p>
        </w:tc>
        <w:tc>
          <w:tcPr>
            <w:tcW w:w="2543" w:type="dxa"/>
            <w:vAlign w:val="center"/>
          </w:tcPr>
          <w:p>
            <w:pPr>
              <w:spacing w:line="240" w:lineRule="auto"/>
              <w:jc w:val="center"/>
              <w:rPr>
                <w:sz w:val="21"/>
              </w:rPr>
            </w:pPr>
            <w:r>
              <w:rPr>
                <w:rFonts w:hint="eastAsia"/>
                <w:sz w:val="21"/>
              </w:rPr>
              <w:t>多曲柄摆动；</w:t>
            </w:r>
            <w:r>
              <w:rPr>
                <w:rFonts w:hint="eastAsia"/>
                <w:color w:val="000000" w:themeColor="text1"/>
                <w:sz w:val="21"/>
                <w14:textFill>
                  <w14:solidFill>
                    <w14:schemeClr w14:val="tx1"/>
                  </w14:solidFill>
                </w14:textFill>
              </w:rPr>
              <w:t>全断面切削；</w:t>
            </w:r>
            <w:r>
              <w:rPr>
                <w:color w:val="000000" w:themeColor="text1"/>
                <w:sz w:val="21"/>
                <w14:textFill>
                  <w14:solidFill>
                    <w14:schemeClr w14:val="tx1"/>
                  </w14:solidFill>
                </w14:textFill>
              </w:rPr>
              <w:t>搅拌</w:t>
            </w:r>
            <w:r>
              <w:rPr>
                <w:rFonts w:hint="eastAsia"/>
                <w:color w:val="000000" w:themeColor="text1"/>
                <w:sz w:val="21"/>
                <w14:textFill>
                  <w14:solidFill>
                    <w14:schemeClr w14:val="tx1"/>
                  </w14:solidFill>
                </w14:textFill>
              </w:rPr>
              <w:t>不充分</w:t>
            </w:r>
          </w:p>
        </w:tc>
        <w:tc>
          <w:tcPr>
            <w:tcW w:w="2977" w:type="dxa"/>
            <w:vAlign w:val="center"/>
          </w:tcPr>
          <w:p>
            <w:pPr>
              <w:spacing w:line="240" w:lineRule="auto"/>
              <w:jc w:val="center"/>
              <w:rPr>
                <w:sz w:val="21"/>
              </w:rPr>
            </w:pPr>
            <w:r>
              <w:rPr>
                <w:rFonts w:hint="eastAsia"/>
                <w:color w:val="000000" w:themeColor="text1"/>
                <w:sz w:val="21"/>
                <w14:textFill>
                  <w14:solidFill>
                    <w14:schemeClr w14:val="tx1"/>
                  </w14:solidFill>
                </w14:textFill>
              </w:rPr>
              <w:t>软土地层；隧道埋深较大；</w:t>
            </w:r>
            <w:r>
              <w:rPr>
                <w:color w:val="000000" w:themeColor="text1"/>
                <w:sz w:val="21"/>
                <w14:textFill>
                  <w14:solidFill>
                    <w14:schemeClr w14:val="tx1"/>
                  </w14:solidFill>
                </w14:textFill>
              </w:rPr>
              <w:t>沉降要求</w:t>
            </w:r>
            <w:r>
              <w:rPr>
                <w:rFonts w:hint="eastAsia"/>
                <w:color w:val="000000" w:themeColor="text1"/>
                <w:sz w:val="21"/>
                <w14:textFill>
                  <w14:solidFill>
                    <w14:schemeClr w14:val="tx1"/>
                  </w14:solidFill>
                </w14:textFill>
              </w:rPr>
              <w:t>一般</w:t>
            </w:r>
            <w:r>
              <w:rPr>
                <w:color w:val="000000" w:themeColor="text1"/>
                <w:sz w:val="21"/>
                <w14:textFill>
                  <w14:solidFill>
                    <w14:schemeClr w14:val="tx1"/>
                  </w14:solidFill>
                </w14:textFill>
              </w:rPr>
              <w:t>的隧道工程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01" w:type="dxa"/>
            <w:vMerge w:val="continue"/>
            <w:vAlign w:val="center"/>
          </w:tcPr>
          <w:p>
            <w:pPr>
              <w:spacing w:line="240" w:lineRule="auto"/>
              <w:jc w:val="center"/>
              <w:rPr>
                <w:sz w:val="21"/>
              </w:rPr>
            </w:pPr>
          </w:p>
        </w:tc>
        <w:tc>
          <w:tcPr>
            <w:tcW w:w="1701" w:type="dxa"/>
            <w:vAlign w:val="center"/>
          </w:tcPr>
          <w:p>
            <w:pPr>
              <w:spacing w:line="240" w:lineRule="auto"/>
              <w:jc w:val="center"/>
              <w:rPr>
                <w:sz w:val="21"/>
              </w:rPr>
            </w:pPr>
            <w:r>
              <w:rPr>
                <w:rFonts w:hint="eastAsia"/>
                <w:sz w:val="21"/>
              </w:rPr>
              <w:t>行星轮驱动刀盘</w:t>
            </w:r>
          </w:p>
        </w:tc>
        <w:tc>
          <w:tcPr>
            <w:tcW w:w="2543" w:type="dxa"/>
            <w:vAlign w:val="center"/>
          </w:tcPr>
          <w:p>
            <w:pPr>
              <w:spacing w:line="240" w:lineRule="auto"/>
              <w:jc w:val="center"/>
              <w:rPr>
                <w:sz w:val="21"/>
              </w:rPr>
            </w:pPr>
            <w:r>
              <w:rPr>
                <w:rFonts w:hint="eastAsia"/>
                <w:color w:val="000000" w:themeColor="text1"/>
                <w:sz w:val="21"/>
                <w14:textFill>
                  <w14:solidFill>
                    <w14:schemeClr w14:val="tx1"/>
                  </w14:solidFill>
                </w14:textFill>
              </w:rPr>
              <w:t>公转+自转；全断面切削；</w:t>
            </w:r>
            <w:r>
              <w:rPr>
                <w:color w:val="000000" w:themeColor="text1"/>
                <w:sz w:val="21"/>
                <w14:textFill>
                  <w14:solidFill>
                    <w14:schemeClr w14:val="tx1"/>
                  </w14:solidFill>
                </w14:textFill>
              </w:rPr>
              <w:t>搅拌</w:t>
            </w:r>
            <w:r>
              <w:rPr>
                <w:rFonts w:hint="eastAsia"/>
                <w:color w:val="000000" w:themeColor="text1"/>
                <w:sz w:val="21"/>
                <w14:textFill>
                  <w14:solidFill>
                    <w14:schemeClr w14:val="tx1"/>
                  </w14:solidFill>
                </w14:textFill>
              </w:rPr>
              <w:t>充分</w:t>
            </w:r>
          </w:p>
        </w:tc>
        <w:tc>
          <w:tcPr>
            <w:tcW w:w="2977" w:type="dxa"/>
            <w:vAlign w:val="center"/>
          </w:tcPr>
          <w:p>
            <w:pPr>
              <w:spacing w:line="240" w:lineRule="auto"/>
              <w:jc w:val="center"/>
              <w:rPr>
                <w:sz w:val="21"/>
              </w:rPr>
            </w:pPr>
            <w:r>
              <w:rPr>
                <w:rFonts w:hint="eastAsia"/>
                <w:color w:val="000000" w:themeColor="text1"/>
                <w:sz w:val="21"/>
                <w14:textFill>
                  <w14:solidFill>
                    <w14:schemeClr w14:val="tx1"/>
                  </w14:solidFill>
                </w14:textFill>
              </w:rPr>
              <w:t>软土、软岩地层；</w:t>
            </w:r>
            <w:r>
              <w:rPr>
                <w:color w:val="000000" w:themeColor="text1"/>
                <w:sz w:val="21"/>
                <w14:textFill>
                  <w14:solidFill>
                    <w14:schemeClr w14:val="tx1"/>
                  </w14:solidFill>
                </w14:textFill>
              </w:rPr>
              <w:t>沉降要求严格的隧道工程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02" w:type="dxa"/>
            <w:gridSpan w:val="2"/>
            <w:vAlign w:val="center"/>
          </w:tcPr>
          <w:p>
            <w:pPr>
              <w:spacing w:line="240" w:lineRule="auto"/>
              <w:jc w:val="center"/>
              <w:rPr>
                <w:sz w:val="21"/>
              </w:rPr>
            </w:pPr>
            <w:r>
              <w:rPr>
                <w:sz w:val="21"/>
              </w:rPr>
              <w:t>中心轴</w:t>
            </w:r>
            <w:r>
              <w:rPr>
                <w:rFonts w:hint="eastAsia"/>
                <w:sz w:val="21"/>
              </w:rPr>
              <w:t>、</w:t>
            </w:r>
            <w:r>
              <w:rPr>
                <w:sz w:val="21"/>
              </w:rPr>
              <w:t>偏心轴组合式</w:t>
            </w:r>
            <w:r>
              <w:rPr>
                <w:rFonts w:hint="eastAsia"/>
                <w:sz w:val="21"/>
              </w:rPr>
              <w:t>刀盘</w:t>
            </w:r>
          </w:p>
        </w:tc>
        <w:tc>
          <w:tcPr>
            <w:tcW w:w="2543" w:type="dxa"/>
            <w:vAlign w:val="center"/>
          </w:tcPr>
          <w:p>
            <w:pPr>
              <w:spacing w:line="240" w:lineRule="auto"/>
              <w:jc w:val="center"/>
              <w:rPr>
                <w:sz w:val="21"/>
              </w:rPr>
            </w:pPr>
            <w:r>
              <w:rPr>
                <w:rFonts w:hint="eastAsia"/>
                <w:color w:val="000000" w:themeColor="text1"/>
                <w:sz w:val="21"/>
                <w14:textFill>
                  <w14:solidFill>
                    <w14:schemeClr w14:val="tx1"/>
                  </w14:solidFill>
                </w14:textFill>
              </w:rPr>
              <w:t>多种运动形式；全断面切削；</w:t>
            </w:r>
            <w:r>
              <w:rPr>
                <w:color w:val="000000" w:themeColor="text1"/>
                <w:sz w:val="21"/>
                <w14:textFill>
                  <w14:solidFill>
                    <w14:schemeClr w14:val="tx1"/>
                  </w14:solidFill>
                </w14:textFill>
              </w:rPr>
              <w:t>搅拌</w:t>
            </w:r>
            <w:r>
              <w:rPr>
                <w:rFonts w:hint="eastAsia"/>
                <w:color w:val="000000" w:themeColor="text1"/>
                <w:sz w:val="21"/>
                <w14:textFill>
                  <w14:solidFill>
                    <w14:schemeClr w14:val="tx1"/>
                  </w14:solidFill>
                </w14:textFill>
              </w:rPr>
              <w:t>较充分</w:t>
            </w:r>
          </w:p>
        </w:tc>
        <w:tc>
          <w:tcPr>
            <w:tcW w:w="2977" w:type="dxa"/>
            <w:vAlign w:val="center"/>
          </w:tcPr>
          <w:p>
            <w:pPr>
              <w:spacing w:line="240" w:lineRule="auto"/>
              <w:jc w:val="center"/>
              <w:rPr>
                <w:sz w:val="21"/>
              </w:rPr>
            </w:pPr>
            <w:r>
              <w:rPr>
                <w:rFonts w:hint="eastAsia"/>
                <w:color w:val="000000" w:themeColor="text1"/>
                <w:sz w:val="21"/>
                <w14:textFill>
                  <w14:solidFill>
                    <w14:schemeClr w14:val="tx1"/>
                  </w14:solidFill>
                </w14:textFill>
              </w:rPr>
              <w:t>软土地层</w:t>
            </w:r>
            <w:r>
              <w:rPr>
                <w:rFonts w:hint="eastAsia"/>
                <w:sz w:val="21"/>
              </w:rPr>
              <w:t>，</w:t>
            </w:r>
            <w:r>
              <w:rPr>
                <w:color w:val="000000" w:themeColor="text1"/>
                <w:sz w:val="21"/>
                <w14:textFill>
                  <w14:solidFill>
                    <w14:schemeClr w14:val="tx1"/>
                  </w14:solidFill>
                </w14:textFill>
              </w:rPr>
              <w:t>沉降要求</w:t>
            </w:r>
            <w:r>
              <w:rPr>
                <w:rFonts w:hint="eastAsia"/>
                <w:color w:val="000000" w:themeColor="text1"/>
                <w:sz w:val="21"/>
                <w14:textFill>
                  <w14:solidFill>
                    <w14:schemeClr w14:val="tx1"/>
                  </w14:solidFill>
                </w14:textFill>
              </w:rPr>
              <w:t>一般</w:t>
            </w:r>
            <w:r>
              <w:rPr>
                <w:color w:val="000000" w:themeColor="text1"/>
                <w:sz w:val="21"/>
                <w14:textFill>
                  <w14:solidFill>
                    <w14:schemeClr w14:val="tx1"/>
                  </w14:solidFill>
                </w14:textFill>
              </w:rPr>
              <w:t>的隧道工程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02" w:type="dxa"/>
            <w:gridSpan w:val="2"/>
            <w:vAlign w:val="center"/>
          </w:tcPr>
          <w:p>
            <w:pPr>
              <w:spacing w:line="240" w:lineRule="auto"/>
              <w:jc w:val="center"/>
              <w:rPr>
                <w:sz w:val="21"/>
              </w:rPr>
            </w:pPr>
            <w:r>
              <w:rPr>
                <w:rFonts w:hint="eastAsia"/>
                <w:sz w:val="21"/>
              </w:rPr>
              <w:t>其他（滚筒式、摆动刀盘式）</w:t>
            </w:r>
          </w:p>
        </w:tc>
        <w:tc>
          <w:tcPr>
            <w:tcW w:w="2543" w:type="dxa"/>
            <w:vAlign w:val="center"/>
          </w:tcPr>
          <w:p>
            <w:pPr>
              <w:spacing w:line="240" w:lineRule="auto"/>
              <w:jc w:val="center"/>
              <w:rPr>
                <w:sz w:val="21"/>
              </w:rPr>
            </w:pPr>
            <w:r>
              <w:rPr>
                <w:rFonts w:hint="eastAsia"/>
                <w:sz w:val="21"/>
              </w:rPr>
              <w:t>滚动或摆动；</w:t>
            </w:r>
            <w:r>
              <w:rPr>
                <w:rFonts w:hint="eastAsia"/>
                <w:color w:val="000000" w:themeColor="text1"/>
                <w:sz w:val="21"/>
                <w14:textFill>
                  <w14:solidFill>
                    <w14:schemeClr w14:val="tx1"/>
                  </w14:solidFill>
                </w14:textFill>
              </w:rPr>
              <w:t>全断面切削；</w:t>
            </w:r>
            <w:r>
              <w:rPr>
                <w:color w:val="000000" w:themeColor="text1"/>
                <w:sz w:val="21"/>
                <w14:textFill>
                  <w14:solidFill>
                    <w14:schemeClr w14:val="tx1"/>
                  </w14:solidFill>
                </w14:textFill>
              </w:rPr>
              <w:t>搅拌</w:t>
            </w:r>
            <w:r>
              <w:rPr>
                <w:rFonts w:hint="eastAsia"/>
                <w:color w:val="000000" w:themeColor="text1"/>
                <w:sz w:val="21"/>
                <w14:textFill>
                  <w14:solidFill>
                    <w14:schemeClr w14:val="tx1"/>
                  </w14:solidFill>
                </w14:textFill>
              </w:rPr>
              <w:t>不充分</w:t>
            </w:r>
          </w:p>
        </w:tc>
        <w:tc>
          <w:tcPr>
            <w:tcW w:w="2977" w:type="dxa"/>
            <w:vAlign w:val="center"/>
          </w:tcPr>
          <w:p>
            <w:pPr>
              <w:spacing w:line="240" w:lineRule="auto"/>
              <w:jc w:val="center"/>
              <w:rPr>
                <w:sz w:val="21"/>
              </w:rPr>
            </w:pPr>
            <w:r>
              <w:rPr>
                <w:color w:val="000000" w:themeColor="text1"/>
                <w:sz w:val="21"/>
                <w14:textFill>
                  <w14:solidFill>
                    <w14:schemeClr w14:val="tx1"/>
                  </w14:solidFill>
                </w14:textFill>
              </w:rPr>
              <w:t>沉降要求</w:t>
            </w:r>
            <w:r>
              <w:rPr>
                <w:rFonts w:hint="eastAsia"/>
                <w:color w:val="000000" w:themeColor="text1"/>
                <w:sz w:val="21"/>
                <w14:textFill>
                  <w14:solidFill>
                    <w14:schemeClr w14:val="tx1"/>
                  </w14:solidFill>
                </w14:textFill>
              </w:rPr>
              <w:t>一般</w:t>
            </w:r>
            <w:r>
              <w:rPr>
                <w:color w:val="000000" w:themeColor="text1"/>
                <w:sz w:val="21"/>
                <w14:textFill>
                  <w14:solidFill>
                    <w14:schemeClr w14:val="tx1"/>
                  </w14:solidFill>
                </w14:textFill>
              </w:rPr>
              <w:t>的隧道工程</w:t>
            </w:r>
          </w:p>
        </w:tc>
      </w:tr>
    </w:tbl>
    <w:p>
      <w:pPr>
        <w:rPr>
          <w:rFonts w:eastAsia="仿宋"/>
        </w:rPr>
      </w:pPr>
      <w:r>
        <w:rPr>
          <w:rFonts w:eastAsia="仿宋"/>
          <w:b/>
          <w:bCs/>
        </w:rPr>
        <w:t>【条文说明】：8.2.7</w:t>
      </w:r>
      <w:r>
        <w:rPr>
          <w:rFonts w:eastAsia="仿宋"/>
        </w:rPr>
        <w:t xml:space="preserve">  开挖面稳定形式选型时，开挖面土体自身稳定性较好且含水量较少的工况可采用敞开式；针对开挖面土体自身稳定性较差或富水工况应选用压力平衡式，本标准主要针对压力平衡式矩形顶管机，敞开式矩形顶管机可参照执行。</w:t>
      </w:r>
    </w:p>
    <w:p>
      <w:pPr>
        <w:jc w:val="left"/>
        <w:rPr>
          <w:kern w:val="0"/>
          <w:szCs w:val="20"/>
        </w:rPr>
      </w:pPr>
      <w:r>
        <w:rPr>
          <w:b/>
          <w:bCs/>
        </w:rPr>
        <w:t>8.2.</w:t>
      </w:r>
      <w:r>
        <w:rPr>
          <w:rFonts w:hint="eastAsia"/>
          <w:b/>
          <w:bCs/>
        </w:rPr>
        <w:t>8</w:t>
      </w:r>
      <w:r>
        <w:rPr>
          <w:b/>
          <w:bCs/>
        </w:rPr>
        <w:t xml:space="preserve">  </w:t>
      </w:r>
      <w:r>
        <w:rPr>
          <w:kern w:val="0"/>
          <w:szCs w:val="20"/>
        </w:rPr>
        <w:t>排渣系统选型</w:t>
      </w:r>
      <w:r>
        <w:rPr>
          <w:rFonts w:hint="eastAsia"/>
          <w:kern w:val="0"/>
          <w:szCs w:val="20"/>
        </w:rPr>
        <w:t>与</w:t>
      </w:r>
      <w:r>
        <w:rPr>
          <w:kern w:val="0"/>
          <w:szCs w:val="20"/>
        </w:rPr>
        <w:t>设计应</w:t>
      </w:r>
      <w:r>
        <w:rPr>
          <w:rFonts w:hint="eastAsia"/>
          <w:kern w:val="0"/>
          <w:szCs w:val="20"/>
        </w:rPr>
        <w:t>符合</w:t>
      </w:r>
      <w:r>
        <w:rPr>
          <w:kern w:val="0"/>
          <w:szCs w:val="20"/>
        </w:rPr>
        <w:t>下列规定：</w:t>
      </w:r>
    </w:p>
    <w:p>
      <w:pPr>
        <w:pStyle w:val="85"/>
        <w:tabs>
          <w:tab w:val="center" w:pos="4201"/>
          <w:tab w:val="right" w:leader="dot" w:pos="9298"/>
        </w:tabs>
        <w:spacing w:line="360" w:lineRule="auto"/>
        <w:ind w:firstLine="480"/>
        <w:rPr>
          <w:rFonts w:ascii="Times New Roman"/>
          <w:sz w:val="24"/>
        </w:rPr>
      </w:pPr>
      <w:r>
        <w:rPr>
          <w:rFonts w:ascii="Times New Roman"/>
          <w:sz w:val="24"/>
        </w:rPr>
        <w:t>1  排渣系统选型应与土仓压力平衡形式相匹配，并具有辅助调节土仓压力的功能。</w:t>
      </w:r>
    </w:p>
    <w:p>
      <w:pPr>
        <w:pStyle w:val="85"/>
        <w:tabs>
          <w:tab w:val="center" w:pos="4201"/>
          <w:tab w:val="right" w:leader="dot" w:pos="9298"/>
        </w:tabs>
        <w:spacing w:line="360" w:lineRule="auto"/>
        <w:ind w:firstLine="480"/>
        <w:rPr>
          <w:rFonts w:ascii="Times New Roman"/>
          <w:sz w:val="24"/>
        </w:rPr>
      </w:pPr>
      <w:r>
        <w:rPr>
          <w:rFonts w:ascii="Times New Roman"/>
          <w:sz w:val="24"/>
        </w:rPr>
        <w:t>2  土压平衡矩形顶管机螺旋输送机根据地质工况不同，可选用有轴式或带式，一般而言，软土地层宜选用有轴式，砾石层视砾石粒径大小选用有轴式或带式。</w:t>
      </w:r>
    </w:p>
    <w:p>
      <w:pPr>
        <w:ind w:firstLine="480" w:firstLineChars="200"/>
        <w:rPr>
          <w:kern w:val="0"/>
          <w:szCs w:val="20"/>
        </w:rPr>
      </w:pPr>
      <w:r>
        <w:rPr>
          <w:kern w:val="0"/>
          <w:szCs w:val="20"/>
        </w:rPr>
        <w:t>3  施工地质富含水，选用螺旋输送机出渣时，螺旋输送机出渣口宜配置双闸门。</w:t>
      </w:r>
    </w:p>
    <w:p>
      <w:pPr>
        <w:rPr>
          <w:rFonts w:eastAsia="仿宋"/>
          <w:kern w:val="0"/>
          <w:szCs w:val="20"/>
        </w:rPr>
      </w:pPr>
      <w:r>
        <w:rPr>
          <w:rFonts w:eastAsia="仿宋"/>
          <w:b/>
          <w:bCs/>
        </w:rPr>
        <w:t>【条文说明】：8.2.8</w:t>
      </w:r>
      <w:r>
        <w:rPr>
          <w:rFonts w:eastAsia="仿宋"/>
        </w:rPr>
        <w:t xml:space="preserve">  土压矩形平衡顶管机排渣系统应配置螺旋输送机、皮带机或渣车；泥水平衡矩形顶管机排渣系统应配置泥浆泵送装置及泥水分离装置。</w:t>
      </w:r>
    </w:p>
    <w:p>
      <w:pPr>
        <w:jc w:val="left"/>
      </w:pPr>
      <w:r>
        <w:rPr>
          <w:b/>
          <w:bCs/>
          <w:kern w:val="0"/>
          <w:szCs w:val="20"/>
        </w:rPr>
        <w:t>8.2.</w:t>
      </w:r>
      <w:r>
        <w:rPr>
          <w:rFonts w:hint="eastAsia"/>
          <w:b/>
          <w:bCs/>
          <w:kern w:val="0"/>
          <w:szCs w:val="20"/>
        </w:rPr>
        <w:t>9</w:t>
      </w:r>
      <w:r>
        <w:rPr>
          <w:b/>
          <w:bCs/>
          <w:kern w:val="0"/>
          <w:szCs w:val="20"/>
        </w:rPr>
        <w:t xml:space="preserve">  </w:t>
      </w:r>
      <w:r>
        <w:t>土压平衡矩形</w:t>
      </w:r>
      <w:r>
        <w:rPr>
          <w:szCs w:val="20"/>
        </w:rPr>
        <w:t>顶管机</w:t>
      </w:r>
      <w:r>
        <w:t>应配置渣土改良系统</w:t>
      </w:r>
      <w:r>
        <w:rPr>
          <w:rFonts w:hint="eastAsia"/>
        </w:rPr>
        <w:t>，并应符合下列规定：</w:t>
      </w:r>
    </w:p>
    <w:p>
      <w:pPr>
        <w:ind w:firstLine="480" w:firstLineChars="200"/>
        <w:jc w:val="left"/>
      </w:pPr>
      <w:r>
        <w:rPr>
          <w:rFonts w:hint="eastAsia"/>
        </w:rPr>
        <w:t>1</w:t>
      </w:r>
      <w:r>
        <w:t xml:space="preserve">  黏土、粉土地层应至少配置泡沫改良系统；</w:t>
      </w:r>
    </w:p>
    <w:p>
      <w:pPr>
        <w:ind w:firstLine="480" w:firstLineChars="200"/>
        <w:jc w:val="left"/>
      </w:pPr>
      <w:r>
        <w:rPr>
          <w:rFonts w:hint="eastAsia"/>
        </w:rPr>
        <w:t>2</w:t>
      </w:r>
      <w:r>
        <w:t xml:space="preserve">  砂土地层应至少配置膨润土改良系统；</w:t>
      </w:r>
    </w:p>
    <w:p>
      <w:pPr>
        <w:ind w:firstLine="480" w:firstLineChars="200"/>
        <w:jc w:val="left"/>
      </w:pPr>
      <w:r>
        <w:rPr>
          <w:rFonts w:hint="eastAsia"/>
        </w:rPr>
        <w:t>3</w:t>
      </w:r>
      <w:r>
        <w:t xml:space="preserve">  砾石层矩形</w:t>
      </w:r>
      <w:r>
        <w:rPr>
          <w:szCs w:val="20"/>
        </w:rPr>
        <w:t>顶管机</w:t>
      </w:r>
      <w:r>
        <w:t>应配备泡沫、膨润土、黏土综合改良系统。</w:t>
      </w:r>
    </w:p>
    <w:p>
      <w:pPr>
        <w:rPr>
          <w:rFonts w:eastAsia="仿宋"/>
        </w:rPr>
      </w:pPr>
      <w:r>
        <w:rPr>
          <w:rFonts w:eastAsia="仿宋"/>
          <w:b/>
          <w:bCs/>
        </w:rPr>
        <w:t xml:space="preserve">【条文说明】：8.2.9 </w:t>
      </w:r>
      <w:r>
        <w:rPr>
          <w:rFonts w:eastAsia="仿宋"/>
        </w:rPr>
        <w:t xml:space="preserve"> 为了改善矩形断面土仓内渣土的流动性、塑性、止水性，提高压力平衡控制精度和排渣效率，矩形顶管机应设置渣土改良系统。</w:t>
      </w:r>
    </w:p>
    <w:p>
      <w:r>
        <w:rPr>
          <w:b/>
          <w:bCs/>
        </w:rPr>
        <w:t>8.2.</w:t>
      </w:r>
      <w:r>
        <w:rPr>
          <w:rFonts w:hint="eastAsia"/>
          <w:b/>
          <w:bCs/>
        </w:rPr>
        <w:t>10</w:t>
      </w:r>
      <w:r>
        <w:rPr>
          <w:b/>
          <w:bCs/>
        </w:rPr>
        <w:t xml:space="preserve"> </w:t>
      </w:r>
      <w:r>
        <w:rPr>
          <w:rFonts w:hint="eastAsia"/>
        </w:rPr>
        <w:t xml:space="preserve"> </w:t>
      </w:r>
      <w:r>
        <w:t>根据地质工况需求，需</w:t>
      </w:r>
      <w:r>
        <w:rPr>
          <w:rFonts w:hint="eastAsia"/>
        </w:rPr>
        <w:t>人员</w:t>
      </w:r>
      <w:r>
        <w:t>带压进仓</w:t>
      </w:r>
      <w:r>
        <w:rPr>
          <w:rFonts w:hint="eastAsia"/>
        </w:rPr>
        <w:t>作业时</w:t>
      </w:r>
      <w:r>
        <w:t>，</w:t>
      </w:r>
      <w:r>
        <w:rPr>
          <w:rFonts w:hint="eastAsia"/>
        </w:rPr>
        <w:t>矩形</w:t>
      </w:r>
      <w:r>
        <w:t>顶管机应配置人舱，人舱技术要求应</w:t>
      </w:r>
      <w:r>
        <w:rPr>
          <w:rFonts w:hint="eastAsia"/>
        </w:rPr>
        <w:t>满足《</w:t>
      </w:r>
      <w:r>
        <w:t>全断面隧道掘进机土压平衡盾构机</w:t>
      </w:r>
      <w:r>
        <w:rPr>
          <w:rFonts w:hint="eastAsia" w:ascii="Arial" w:hAnsi="Arial" w:cs="Arial"/>
          <w:color w:val="333333"/>
          <w:sz w:val="20"/>
          <w:szCs w:val="20"/>
          <w:shd w:val="clear" w:color="auto" w:fill="FFFFFF"/>
        </w:rPr>
        <w:t>》</w:t>
      </w:r>
      <w:r>
        <w:t>GB/T 34651-2017中</w:t>
      </w:r>
      <w:r>
        <w:rPr>
          <w:rFonts w:hint="eastAsia"/>
        </w:rPr>
        <w:t>第</w:t>
      </w:r>
      <w:r>
        <w:t>5.5</w:t>
      </w:r>
      <w:r>
        <w:rPr>
          <w:rFonts w:hint="eastAsia"/>
        </w:rPr>
        <w:t>节</w:t>
      </w:r>
      <w:r>
        <w:t>的</w:t>
      </w:r>
      <w:r>
        <w:rPr>
          <w:rFonts w:hint="eastAsia"/>
        </w:rPr>
        <w:t>要求</w:t>
      </w:r>
      <w:r>
        <w:t>。</w:t>
      </w:r>
    </w:p>
    <w:p>
      <w:pPr>
        <w:rPr>
          <w:rFonts w:eastAsia="仿宋"/>
        </w:rPr>
      </w:pPr>
      <w:r>
        <w:rPr>
          <w:rFonts w:eastAsia="仿宋"/>
          <w:b/>
          <w:bCs/>
        </w:rPr>
        <w:t xml:space="preserve">【条文说明】：8.2.10  </w:t>
      </w:r>
      <w:r>
        <w:rPr>
          <w:rFonts w:eastAsia="仿宋"/>
        </w:rPr>
        <w:t>带压进仓作业包括刀具更换、土仓异物处理等。</w:t>
      </w:r>
    </w:p>
    <w:p>
      <w:pPr>
        <w:pStyle w:val="89"/>
        <w:spacing w:before="0" w:after="0" w:line="360" w:lineRule="auto"/>
        <w:jc w:val="both"/>
        <w:outlineLvl w:val="9"/>
        <w:rPr>
          <w:rFonts w:ascii="Times New Roman" w:eastAsiaTheme="minorEastAsia"/>
          <w:color w:val="000000" w:themeColor="text1"/>
          <w:sz w:val="24"/>
          <w:szCs w:val="24"/>
          <w14:textFill>
            <w14:solidFill>
              <w14:schemeClr w14:val="tx1"/>
            </w14:solidFill>
          </w14:textFill>
        </w:rPr>
      </w:pPr>
    </w:p>
    <w:p>
      <w:pPr>
        <w:pStyle w:val="3"/>
      </w:pPr>
      <w:bookmarkStart w:id="241" w:name="_Toc18057063"/>
      <w:bookmarkStart w:id="242" w:name="_Toc26510"/>
      <w:r>
        <w:t>8.3  顶推</w:t>
      </w:r>
      <w:r>
        <w:rPr>
          <w:rFonts w:hint="eastAsia"/>
        </w:rPr>
        <w:t>系统</w:t>
      </w:r>
      <w:r>
        <w:t>及安装</w:t>
      </w:r>
      <w:bookmarkEnd w:id="241"/>
      <w:bookmarkEnd w:id="242"/>
      <w:r>
        <w:rPr>
          <w:rFonts w:hint="eastAsia"/>
        </w:rPr>
        <w:t xml:space="preserve"> </w:t>
      </w:r>
    </w:p>
    <w:p>
      <w:pPr>
        <w:rPr>
          <w:rFonts w:asciiTheme="minorEastAsia" w:hAnsiTheme="minorEastAsia" w:eastAsiaTheme="minorEastAsia"/>
        </w:rPr>
      </w:pPr>
      <w:r>
        <w:rPr>
          <w:rFonts w:eastAsiaTheme="minorEastAsia"/>
          <w:b/>
          <w:color w:val="000000" w:themeColor="text1"/>
          <w:kern w:val="0"/>
          <w14:textFill>
            <w14:solidFill>
              <w14:schemeClr w14:val="tx1"/>
            </w14:solidFill>
          </w14:textFill>
        </w:rPr>
        <w:t>8.3.1</w:t>
      </w:r>
      <w:r>
        <w:rPr>
          <w:rFonts w:eastAsiaTheme="minorEastAsia"/>
          <w:color w:val="000000" w:themeColor="text1"/>
          <w:kern w:val="0"/>
          <w14:textFill>
            <w14:solidFill>
              <w14:schemeClr w14:val="tx1"/>
            </w14:solidFill>
          </w14:textFill>
        </w:rPr>
        <w:t xml:space="preserve">  </w:t>
      </w:r>
      <w:r>
        <w:rPr>
          <w:rFonts w:asciiTheme="minorEastAsia" w:hAnsiTheme="minorEastAsia" w:eastAsiaTheme="minorEastAsia"/>
        </w:rPr>
        <w:t>顶推液压缸支架的安装应符合下列规定：</w:t>
      </w:r>
    </w:p>
    <w:p>
      <w:pPr>
        <w:ind w:firstLine="480" w:firstLineChars="200"/>
      </w:pPr>
      <w:r>
        <w:t>1  顶推液压缸支架应牢固安装在工作井底板上，支架两侧应平行、等高、对称，安装轴线应与隧道设计轴线一致</w:t>
      </w:r>
      <w:r>
        <w:rPr>
          <w:rFonts w:hint="eastAsia"/>
        </w:rPr>
        <w:t>；</w:t>
      </w:r>
    </w:p>
    <w:p>
      <w:pPr>
        <w:ind w:firstLine="480" w:firstLineChars="200"/>
      </w:pPr>
      <w:r>
        <w:t>2  顶推液压缸支架安装应使顶推液压缸的合力中心在隧道中心的垂直线上，且合力中心点宜低于隧道中心。</w:t>
      </w:r>
    </w:p>
    <w:p>
      <w:pPr>
        <w:rPr>
          <w:rFonts w:asciiTheme="minorEastAsia" w:hAnsiTheme="minorEastAsia" w:eastAsiaTheme="minorEastAsia"/>
        </w:rPr>
      </w:pPr>
      <w:r>
        <w:rPr>
          <w:rFonts w:eastAsiaTheme="minorEastAsia"/>
          <w:b/>
          <w:color w:val="000000" w:themeColor="text1"/>
          <w:kern w:val="0"/>
          <w14:textFill>
            <w14:solidFill>
              <w14:schemeClr w14:val="tx1"/>
            </w14:solidFill>
          </w14:textFill>
        </w:rPr>
        <w:t xml:space="preserve">8.3.2  </w:t>
      </w:r>
      <w:r>
        <w:rPr>
          <w:rFonts w:asciiTheme="minorEastAsia" w:hAnsiTheme="minorEastAsia" w:eastAsiaTheme="minorEastAsia"/>
        </w:rPr>
        <w:t>顶推液压缸的安装及调试应符合下列规定：</w:t>
      </w:r>
    </w:p>
    <w:p>
      <w:pPr>
        <w:ind w:firstLine="480" w:firstLineChars="200"/>
      </w:pPr>
      <w:r>
        <w:t xml:space="preserve">1  </w:t>
      </w:r>
      <w:r>
        <w:rPr>
          <w:lang w:val="de-DE"/>
        </w:rPr>
        <w:t>顶推</w:t>
      </w:r>
      <w:r>
        <w:t>液压缸宜固定在支架上，可做整体吊装</w:t>
      </w:r>
      <w:r>
        <w:rPr>
          <w:rFonts w:hint="eastAsia"/>
        </w:rPr>
        <w:t>；</w:t>
      </w:r>
    </w:p>
    <w:p>
      <w:pPr>
        <w:ind w:firstLine="480" w:firstLineChars="200"/>
      </w:pPr>
      <w:r>
        <w:rPr>
          <w:rFonts w:hint="eastAsia"/>
        </w:rPr>
        <w:t xml:space="preserve">2 </w:t>
      </w:r>
      <w:r>
        <w:t xml:space="preserve"> </w:t>
      </w:r>
      <w:r>
        <w:rPr>
          <w:rFonts w:hint="eastAsia"/>
        </w:rPr>
        <w:t>每根液压缸中心轴线宜与管节厚度中心重合；</w:t>
      </w:r>
    </w:p>
    <w:p>
      <w:pPr>
        <w:ind w:firstLine="480" w:firstLineChars="200"/>
      </w:pPr>
      <w:r>
        <w:rPr>
          <w:rFonts w:hint="eastAsia"/>
        </w:rPr>
        <w:t>3</w:t>
      </w:r>
      <w:r>
        <w:t xml:space="preserve">  液压缸的油路应并联，每</w:t>
      </w:r>
      <w:r>
        <w:rPr>
          <w:rFonts w:hint="eastAsia"/>
        </w:rPr>
        <w:t>根</w:t>
      </w:r>
      <w:r>
        <w:t>液压缸应有进油、出油的控制系统</w:t>
      </w:r>
      <w:r>
        <w:rPr>
          <w:rFonts w:hint="eastAsia"/>
        </w:rPr>
        <w:t>；</w:t>
      </w:r>
    </w:p>
    <w:p>
      <w:pPr>
        <w:ind w:firstLine="480" w:firstLineChars="200"/>
      </w:pPr>
      <w:r>
        <w:rPr>
          <w:rFonts w:hint="eastAsia"/>
        </w:rPr>
        <w:t>4</w:t>
      </w:r>
      <w:r>
        <w:t xml:space="preserve">  每</w:t>
      </w:r>
      <w:r>
        <w:rPr>
          <w:rFonts w:hint="eastAsia"/>
        </w:rPr>
        <w:t>根</w:t>
      </w:r>
      <w:r>
        <w:t>液压缸应设置油路断路开关</w:t>
      </w:r>
      <w:r>
        <w:rPr>
          <w:rFonts w:hint="eastAsia"/>
        </w:rPr>
        <w:t>；</w:t>
      </w:r>
    </w:p>
    <w:p>
      <w:pPr>
        <w:ind w:firstLine="480" w:firstLineChars="200"/>
      </w:pPr>
      <w:r>
        <w:rPr>
          <w:rFonts w:hint="eastAsia"/>
        </w:rPr>
        <w:t>5</w:t>
      </w:r>
      <w:r>
        <w:t xml:space="preserve">  分别对每</w:t>
      </w:r>
      <w:r>
        <w:rPr>
          <w:rFonts w:hint="eastAsia"/>
        </w:rPr>
        <w:t>根</w:t>
      </w:r>
      <w:r>
        <w:t>液压缸进行调试，检查油压均可达到额定压力</w:t>
      </w:r>
      <w:r>
        <w:rPr>
          <w:rFonts w:hint="eastAsia"/>
        </w:rPr>
        <w:t>；</w:t>
      </w:r>
    </w:p>
    <w:p>
      <w:pPr>
        <w:ind w:firstLine="480" w:firstLineChars="200"/>
      </w:pPr>
      <w:r>
        <w:rPr>
          <w:rFonts w:hint="eastAsia"/>
        </w:rPr>
        <w:t xml:space="preserve">6 </w:t>
      </w:r>
      <w:r>
        <w:t xml:space="preserve"> 顶推液压缸宜取偶数，且其规格宜相同，当规格不同时，其</w:t>
      </w:r>
      <w:r>
        <w:rPr>
          <w:rFonts w:hint="eastAsia"/>
        </w:rPr>
        <w:t>行程</w:t>
      </w:r>
      <w:r>
        <w:t>应</w:t>
      </w:r>
      <w:r>
        <w:rPr>
          <w:rFonts w:hint="eastAsia"/>
        </w:rPr>
        <w:t>一致</w:t>
      </w:r>
      <w:r>
        <w:t>，并应将同规格的液压缸对称布置。</w:t>
      </w:r>
    </w:p>
    <w:p>
      <w:pPr>
        <w:rPr>
          <w:rFonts w:asciiTheme="minorEastAsia" w:hAnsiTheme="minorEastAsia" w:eastAsiaTheme="minorEastAsia"/>
          <w:b/>
        </w:rPr>
      </w:pPr>
      <w:r>
        <w:rPr>
          <w:rFonts w:eastAsiaTheme="minorEastAsia"/>
          <w:b/>
          <w:color w:val="000000" w:themeColor="text1"/>
          <w:kern w:val="0"/>
          <w14:textFill>
            <w14:solidFill>
              <w14:schemeClr w14:val="tx1"/>
            </w14:solidFill>
          </w14:textFill>
        </w:rPr>
        <w:t xml:space="preserve">8.3.3  </w:t>
      </w:r>
      <w:r>
        <w:rPr>
          <w:rFonts w:asciiTheme="minorEastAsia" w:hAnsiTheme="minorEastAsia" w:eastAsiaTheme="minorEastAsia"/>
        </w:rPr>
        <w:t>顶推液压泵站的安装及调试应符合下列规定：</w:t>
      </w:r>
    </w:p>
    <w:p>
      <w:pPr>
        <w:ind w:firstLine="480" w:firstLineChars="200"/>
      </w:pPr>
      <w:r>
        <w:t>1  顶推液压泵站的油箱</w:t>
      </w:r>
      <w:r>
        <w:rPr>
          <w:rFonts w:hint="eastAsia"/>
        </w:rPr>
        <w:t>有效容积（高低液位差之间的容积）</w:t>
      </w:r>
      <w:r>
        <w:t>应</w:t>
      </w:r>
      <w:r>
        <w:rPr>
          <w:rFonts w:hint="eastAsia"/>
        </w:rPr>
        <w:t>不小于</w:t>
      </w:r>
      <w:r>
        <w:t>液压缸用油量总和的</w:t>
      </w:r>
      <w:r>
        <w:rPr>
          <w:rFonts w:hint="eastAsia"/>
        </w:rPr>
        <w:t>1.1</w:t>
      </w:r>
      <w:r>
        <w:t>倍，油管</w:t>
      </w:r>
      <w:r>
        <w:rPr>
          <w:rFonts w:hint="eastAsia"/>
        </w:rPr>
        <w:t>通径</w:t>
      </w:r>
      <w:r>
        <w:t>应与液压缸的大小和数量匹配</w:t>
      </w:r>
      <w:r>
        <w:rPr>
          <w:rFonts w:hint="eastAsia"/>
        </w:rPr>
        <w:t>；</w:t>
      </w:r>
    </w:p>
    <w:p>
      <w:pPr>
        <w:ind w:firstLine="480" w:firstLineChars="200"/>
      </w:pPr>
      <w:r>
        <w:t>2  顶推液压泵站安放的场地应平整压实、通风、防雨，必要时配备</w:t>
      </w:r>
      <w:r>
        <w:rPr>
          <w:rFonts w:hint="eastAsia"/>
        </w:rPr>
        <w:t>保</w:t>
      </w:r>
      <w:r>
        <w:t>温措施</w:t>
      </w:r>
      <w:r>
        <w:rPr>
          <w:rFonts w:hint="eastAsia"/>
        </w:rPr>
        <w:t>；</w:t>
      </w:r>
    </w:p>
    <w:p>
      <w:pPr>
        <w:ind w:firstLine="480" w:firstLineChars="200"/>
      </w:pPr>
      <w:r>
        <w:t>3  顶推液压泵站应靠近液压缸安装。设定工作压力不得超出液压泵的额定压力，且不能长时间在额定压力下连续工作</w:t>
      </w:r>
      <w:r>
        <w:rPr>
          <w:rFonts w:hint="eastAsia"/>
        </w:rPr>
        <w:t>；</w:t>
      </w:r>
    </w:p>
    <w:p>
      <w:pPr>
        <w:ind w:firstLine="480" w:firstLineChars="200"/>
      </w:pPr>
      <w:r>
        <w:t>4  油管的承压能力不小于</w:t>
      </w:r>
      <w:r>
        <w:rPr>
          <w:rFonts w:hint="eastAsia"/>
        </w:rPr>
        <w:t>系统的最高压力</w:t>
      </w:r>
      <w:r>
        <w:t>，安装时应顺直</w:t>
      </w:r>
      <w:r>
        <w:rPr>
          <w:rFonts w:hint="eastAsia"/>
        </w:rPr>
        <w:t>但不紧绷</w:t>
      </w:r>
      <w:r>
        <w:t>，不宜使用过长的油管。</w:t>
      </w:r>
    </w:p>
    <w:p>
      <w:pPr>
        <w:rPr>
          <w:rFonts w:asciiTheme="minorEastAsia" w:hAnsiTheme="minorEastAsia" w:eastAsiaTheme="minorEastAsia"/>
          <w:b/>
        </w:rPr>
      </w:pPr>
      <w:r>
        <w:rPr>
          <w:rFonts w:eastAsiaTheme="minorEastAsia"/>
          <w:b/>
          <w:color w:val="000000" w:themeColor="text1"/>
          <w:kern w:val="0"/>
          <w14:textFill>
            <w14:solidFill>
              <w14:schemeClr w14:val="tx1"/>
            </w14:solidFill>
          </w14:textFill>
        </w:rPr>
        <w:t xml:space="preserve">8.3.4  </w:t>
      </w:r>
      <w:r>
        <w:rPr>
          <w:rFonts w:asciiTheme="minorEastAsia" w:hAnsiTheme="minorEastAsia" w:eastAsiaTheme="minorEastAsia"/>
        </w:rPr>
        <w:t>后靠的安装及调试应符合下列规定：</w:t>
      </w:r>
    </w:p>
    <w:p>
      <w:pPr>
        <w:ind w:firstLine="480" w:firstLineChars="200"/>
      </w:pPr>
      <w:r>
        <w:t>1  后靠宜采用焊接钢构，后靠的立面面积应根据顶力、井壁厚度及强度、土层的承载力综合确定</w:t>
      </w:r>
      <w:r>
        <w:rPr>
          <w:rFonts w:hint="eastAsia"/>
        </w:rPr>
        <w:t>；</w:t>
      </w:r>
      <w:r>
        <w:t>安装时应确保作用面与顶进方向（</w:t>
      </w:r>
      <w:r>
        <w:rPr>
          <w:rFonts w:hint="eastAsia"/>
        </w:rPr>
        <w:t>隧道</w:t>
      </w:r>
      <w:r>
        <w:t>设计轴</w:t>
      </w:r>
      <w:r>
        <w:rPr>
          <w:rFonts w:hint="eastAsia"/>
        </w:rPr>
        <w:t>线</w:t>
      </w:r>
      <w:r>
        <w:t>）垂直，倾斜误差不应大于0.5%</w:t>
      </w:r>
      <w:r>
        <w:rPr>
          <w:rFonts w:hint="eastAsia"/>
        </w:rPr>
        <w:t>；</w:t>
      </w:r>
    </w:p>
    <w:p>
      <w:pPr>
        <w:ind w:firstLine="480" w:firstLineChars="200"/>
      </w:pPr>
      <w:r>
        <w:t>2  为了保证推进时后靠横向稳定，可用型钢对后靠进行横向的固定</w:t>
      </w:r>
      <w:r>
        <w:rPr>
          <w:rFonts w:hint="eastAsia"/>
        </w:rPr>
        <w:t>；</w:t>
      </w:r>
    </w:p>
    <w:p>
      <w:pPr>
        <w:ind w:firstLine="480" w:firstLineChars="200"/>
      </w:pPr>
      <w:r>
        <w:rPr>
          <w:rFonts w:hint="eastAsia"/>
        </w:rPr>
        <w:t xml:space="preserve">3 </w:t>
      </w:r>
      <w:r>
        <w:t xml:space="preserve"> </w:t>
      </w:r>
      <w:r>
        <w:rPr>
          <w:rFonts w:hint="eastAsia"/>
        </w:rPr>
        <w:t>后靠安装应根据其布筋结构确定安装位置及A、B面朝向；</w:t>
      </w:r>
    </w:p>
    <w:p>
      <w:pPr>
        <w:ind w:firstLine="480" w:firstLineChars="200"/>
      </w:pPr>
      <w:r>
        <w:rPr>
          <w:rFonts w:hint="eastAsia"/>
        </w:rPr>
        <w:t>4</w:t>
      </w:r>
      <w:r>
        <w:t xml:space="preserve">  后靠与井壁之间的空隙应浇筑强度不低于 C30 的钢筋混凝土。</w:t>
      </w:r>
    </w:p>
    <w:p>
      <w:pPr>
        <w:rPr>
          <w:rFonts w:asciiTheme="minorEastAsia" w:hAnsiTheme="minorEastAsia" w:eastAsiaTheme="minorEastAsia"/>
        </w:rPr>
      </w:pPr>
      <w:r>
        <w:rPr>
          <w:rFonts w:eastAsiaTheme="minorEastAsia"/>
          <w:b/>
          <w:color w:val="000000" w:themeColor="text1"/>
          <w:kern w:val="0"/>
          <w14:textFill>
            <w14:solidFill>
              <w14:schemeClr w14:val="tx1"/>
            </w14:solidFill>
          </w14:textFill>
        </w:rPr>
        <w:t xml:space="preserve">8.3.5  </w:t>
      </w:r>
      <w:r>
        <w:rPr>
          <w:rFonts w:asciiTheme="minorEastAsia" w:hAnsiTheme="minorEastAsia" w:eastAsiaTheme="minorEastAsia"/>
        </w:rPr>
        <w:t>顶铁的安装和使用应符合下列规定：</w:t>
      </w:r>
    </w:p>
    <w:p>
      <w:pPr>
        <w:ind w:firstLine="480" w:firstLineChars="200"/>
      </w:pPr>
      <w:r>
        <w:t>1  顶铁宜采用型钢焊接成型，刚度应满足最大顶推力需求</w:t>
      </w:r>
      <w:r>
        <w:rPr>
          <w:rFonts w:hint="eastAsia"/>
        </w:rPr>
        <w:t>；</w:t>
      </w:r>
    </w:p>
    <w:p>
      <w:pPr>
        <w:ind w:firstLine="480" w:firstLineChars="200"/>
        <w:rPr>
          <w:strike/>
        </w:rPr>
      </w:pPr>
      <w:r>
        <w:t>2</w:t>
      </w:r>
      <w:r>
        <w:rPr>
          <w:rFonts w:hint="eastAsia"/>
        </w:rPr>
        <w:t xml:space="preserve"> </w:t>
      </w:r>
      <w:r>
        <w:t xml:space="preserve"> 顶铁安装轴线应与隧道设计轴线一致，顶铁与导轨、管节、液压缸之间的接触面不得有泥土、油污</w:t>
      </w:r>
      <w:r>
        <w:rPr>
          <w:rFonts w:hint="eastAsia"/>
        </w:rPr>
        <w:t>；</w:t>
      </w:r>
    </w:p>
    <w:p>
      <w:pPr>
        <w:ind w:firstLine="480" w:firstLineChars="200"/>
      </w:pPr>
      <w:r>
        <w:t>3  顶铁与管</w:t>
      </w:r>
      <w:r>
        <w:rPr>
          <w:rFonts w:hint="eastAsia"/>
        </w:rPr>
        <w:t>节</w:t>
      </w:r>
      <w:r>
        <w:t>之间应采用缓冲材料衬垫</w:t>
      </w:r>
      <w:r>
        <w:rPr>
          <w:rFonts w:hint="eastAsia"/>
        </w:rPr>
        <w:t>；</w:t>
      </w:r>
    </w:p>
    <w:p>
      <w:pPr>
        <w:ind w:firstLine="480" w:firstLineChars="200"/>
      </w:pPr>
      <w:r>
        <w:t>4  顶铁与</w:t>
      </w:r>
      <w:r>
        <w:rPr>
          <w:rFonts w:hint="eastAsia"/>
        </w:rPr>
        <w:t>顶推</w:t>
      </w:r>
      <w:r>
        <w:t>液压缸连接端宜配置顶推液压缸</w:t>
      </w:r>
      <w:r>
        <w:rPr>
          <w:rFonts w:hint="eastAsia"/>
        </w:rPr>
        <w:t>向后</w:t>
      </w:r>
      <w:r>
        <w:t>拖拽装置</w:t>
      </w:r>
      <w:r>
        <w:rPr>
          <w:rFonts w:hint="eastAsia"/>
        </w:rPr>
        <w:t>；</w:t>
      </w:r>
    </w:p>
    <w:p>
      <w:pPr>
        <w:ind w:firstLine="480" w:firstLineChars="200"/>
        <w:rPr>
          <w:b/>
        </w:rPr>
      </w:pPr>
      <w:r>
        <w:t>5  顶铁放置</w:t>
      </w:r>
      <w:r>
        <w:rPr>
          <w:rFonts w:hint="eastAsia"/>
        </w:rPr>
        <w:t>导轨上</w:t>
      </w:r>
      <w:r>
        <w:t>应能自身保持稳定</w:t>
      </w:r>
      <w:r>
        <w:rPr>
          <w:rFonts w:hint="eastAsia"/>
        </w:rPr>
        <w:t>；</w:t>
      </w:r>
    </w:p>
    <w:p>
      <w:pPr>
        <w:ind w:firstLine="480" w:firstLineChars="200"/>
      </w:pPr>
      <w:r>
        <w:t>6  顶进时，工作人员不得在顶铁上方及侧面停留，并应随时观察顶铁有无异常迹象。</w:t>
      </w:r>
    </w:p>
    <w:p>
      <w:pPr>
        <w:rPr>
          <w:rFonts w:asciiTheme="minorEastAsia" w:hAnsiTheme="minorEastAsia" w:eastAsiaTheme="minorEastAsia"/>
          <w:b/>
        </w:rPr>
      </w:pPr>
      <w:r>
        <w:rPr>
          <w:rFonts w:eastAsiaTheme="minorEastAsia"/>
          <w:b/>
          <w:color w:val="000000" w:themeColor="text1"/>
          <w:kern w:val="0"/>
          <w14:textFill>
            <w14:solidFill>
              <w14:schemeClr w14:val="tx1"/>
            </w14:solidFill>
          </w14:textFill>
        </w:rPr>
        <w:t xml:space="preserve">8.3.6  </w:t>
      </w:r>
      <w:r>
        <w:rPr>
          <w:rFonts w:asciiTheme="minorEastAsia" w:hAnsiTheme="minorEastAsia" w:eastAsiaTheme="minorEastAsia"/>
        </w:rPr>
        <w:t>止退装置的安装应符合下列规定：</w:t>
      </w:r>
    </w:p>
    <w:p>
      <w:pPr>
        <w:ind w:firstLine="480" w:firstLineChars="200"/>
      </w:pPr>
      <w:r>
        <w:rPr>
          <w:rFonts w:hint="eastAsia"/>
        </w:rPr>
        <w:t xml:space="preserve">1 </w:t>
      </w:r>
      <w:r>
        <w:t xml:space="preserve"> </w:t>
      </w:r>
      <w:r>
        <w:rPr>
          <w:rFonts w:hint="eastAsia"/>
        </w:rPr>
        <w:t>顶管机始发井内宜设置止退装置，止退装置应相对</w:t>
      </w:r>
      <w:r>
        <w:t>隧道设计轴线</w:t>
      </w:r>
      <w:r>
        <w:rPr>
          <w:rFonts w:hint="eastAsia"/>
        </w:rPr>
        <w:t>对称布置，确保管节两侧受力均匀；</w:t>
      </w:r>
    </w:p>
    <w:p>
      <w:pPr>
        <w:ind w:firstLine="480" w:firstLineChars="200"/>
      </w:pPr>
      <w:r>
        <w:rPr>
          <w:rFonts w:hint="eastAsia"/>
        </w:rPr>
        <w:t xml:space="preserve">2 </w:t>
      </w:r>
      <w:r>
        <w:t xml:space="preserve"> </w:t>
      </w:r>
      <w:r>
        <w:rPr>
          <w:rFonts w:hint="eastAsia"/>
        </w:rPr>
        <w:t>止退装置的基座标高应能保证止退销安装轴线与管节吊装孔轴线处于同一高度；</w:t>
      </w:r>
    </w:p>
    <w:p>
      <w:pPr>
        <w:ind w:firstLine="480" w:firstLineChars="200"/>
        <w:rPr>
          <w:szCs w:val="24"/>
        </w:rPr>
      </w:pPr>
      <w:r>
        <w:rPr>
          <w:rFonts w:hint="eastAsia"/>
        </w:rPr>
        <w:t xml:space="preserve">3 </w:t>
      </w:r>
      <w:r>
        <w:t xml:space="preserve"> </w:t>
      </w:r>
      <w:r>
        <w:rPr>
          <w:rFonts w:hint="eastAsia"/>
        </w:rPr>
        <w:t>止退装置的安装方向应能承受来自掌子面向后的水土压力。</w:t>
      </w:r>
    </w:p>
    <w:p>
      <w:pPr>
        <w:autoSpaceDE w:val="0"/>
        <w:autoSpaceDN w:val="0"/>
        <w:adjustRightInd w:val="0"/>
        <w:ind w:firstLine="480" w:firstLineChars="200"/>
        <w:rPr>
          <w:kern w:val="0"/>
          <w:szCs w:val="24"/>
        </w:rPr>
      </w:pPr>
    </w:p>
    <w:p>
      <w:pPr>
        <w:pStyle w:val="3"/>
      </w:pPr>
      <w:bookmarkStart w:id="243" w:name="_Toc18057064"/>
      <w:bookmarkStart w:id="244" w:name="_Toc7070"/>
      <w:r>
        <w:t>8.4  导轨选择与安装</w:t>
      </w:r>
      <w:bookmarkEnd w:id="243"/>
      <w:bookmarkEnd w:id="244"/>
    </w:p>
    <w:p>
      <w:r>
        <w:rPr>
          <w:rFonts w:eastAsiaTheme="minorEastAsia"/>
          <w:b/>
          <w:color w:val="000000" w:themeColor="text1"/>
          <w:kern w:val="0"/>
          <w14:textFill>
            <w14:solidFill>
              <w14:schemeClr w14:val="tx1"/>
            </w14:solidFill>
          </w14:textFill>
        </w:rPr>
        <w:t xml:space="preserve">8.4.1  </w:t>
      </w:r>
      <w:r>
        <w:t>导轨可选用钢混基础直接铺钢轨形式</w:t>
      </w:r>
      <w:r>
        <w:rPr>
          <w:rFonts w:hint="eastAsia"/>
        </w:rPr>
        <w:t>或</w:t>
      </w:r>
      <w:r>
        <w:t>钢台架基础铺设钢轨形式，基础刚度和强度应</w:t>
      </w:r>
      <w:r>
        <w:rPr>
          <w:rFonts w:hint="eastAsia"/>
        </w:rPr>
        <w:t>满足</w:t>
      </w:r>
      <w:r>
        <w:t>施工要求、保证轨道安装精度。</w:t>
      </w:r>
    </w:p>
    <w:p>
      <w:pPr>
        <w:rPr>
          <w:rFonts w:eastAsia="仿宋"/>
          <w:color w:val="0070C0"/>
        </w:rPr>
      </w:pPr>
      <w:r>
        <w:rPr>
          <w:rFonts w:eastAsia="仿宋"/>
          <w:b/>
          <w:bCs/>
        </w:rPr>
        <w:t xml:space="preserve">【条文说明】：8.4.1  </w:t>
      </w:r>
      <w:r>
        <w:rPr>
          <w:rFonts w:eastAsia="仿宋"/>
        </w:rPr>
        <w:t>始发导轨宜采用整轨，避免轨道接口不平，错台影响顶管机、管节正常顶进。</w:t>
      </w:r>
    </w:p>
    <w:p>
      <w:r>
        <w:rPr>
          <w:rFonts w:eastAsiaTheme="minorEastAsia"/>
          <w:b/>
          <w:color w:val="000000" w:themeColor="text1"/>
          <w:kern w:val="0"/>
          <w14:textFill>
            <w14:solidFill>
              <w14:schemeClr w14:val="tx1"/>
            </w14:solidFill>
          </w14:textFill>
        </w:rPr>
        <w:t>8.4.2</w:t>
      </w:r>
      <w:r>
        <w:rPr>
          <w:rFonts w:hint="eastAsia" w:eastAsiaTheme="minorEastAsia"/>
          <w:b/>
          <w:color w:val="000000" w:themeColor="text1"/>
          <w:kern w:val="0"/>
          <w14:textFill>
            <w14:solidFill>
              <w14:schemeClr w14:val="tx1"/>
            </w14:solidFill>
          </w14:textFill>
        </w:rPr>
        <w:t xml:space="preserve"> </w:t>
      </w:r>
      <w:r>
        <w:rPr>
          <w:rFonts w:eastAsiaTheme="minorEastAsia"/>
          <w:b/>
          <w:color w:val="000000" w:themeColor="text1"/>
          <w:kern w:val="0"/>
          <w14:textFill>
            <w14:solidFill>
              <w14:schemeClr w14:val="tx1"/>
            </w14:solidFill>
          </w14:textFill>
        </w:rPr>
        <w:t xml:space="preserve"> </w:t>
      </w:r>
      <w:r>
        <w:t>导轨安装</w:t>
      </w:r>
      <w:r>
        <w:rPr>
          <w:rFonts w:hint="eastAsia"/>
        </w:rPr>
        <w:t>位置</w:t>
      </w:r>
      <w:r>
        <w:t>应避开刀盘旋转范围，轨道前端</w:t>
      </w:r>
      <w:r>
        <w:rPr>
          <w:rFonts w:hint="eastAsia"/>
        </w:rPr>
        <w:t>距</w:t>
      </w:r>
      <w:r>
        <w:t>离始发洞</w:t>
      </w:r>
      <w:r>
        <w:rPr>
          <w:rFonts w:hint="eastAsia"/>
        </w:rPr>
        <w:t>门</w:t>
      </w:r>
      <w:r>
        <w:t>0.5 m～0.7</w:t>
      </w:r>
      <w:r>
        <w:rPr>
          <w:rFonts w:hint="eastAsia"/>
        </w:rPr>
        <w:t xml:space="preserve"> </w:t>
      </w:r>
      <w:r>
        <w:t>m。</w:t>
      </w:r>
    </w:p>
    <w:p>
      <w:pPr>
        <w:rPr>
          <w:rFonts w:eastAsia="仿宋"/>
          <w:color w:val="0070C0"/>
        </w:rPr>
      </w:pPr>
      <w:r>
        <w:rPr>
          <w:rFonts w:eastAsia="仿宋"/>
          <w:b/>
          <w:bCs/>
        </w:rPr>
        <w:t xml:space="preserve">【条文说明】：8.4.2  </w:t>
      </w:r>
      <w:r>
        <w:rPr>
          <w:rFonts w:eastAsia="仿宋"/>
        </w:rPr>
        <w:t>轨道前端离始发洞口预留0.5 m～0.7 m流水槽，流水槽上方可不布置导轨。</w:t>
      </w:r>
    </w:p>
    <w:p>
      <w:r>
        <w:rPr>
          <w:rFonts w:eastAsiaTheme="minorEastAsia"/>
          <w:b/>
          <w:color w:val="000000" w:themeColor="text1"/>
          <w:kern w:val="0"/>
          <w14:textFill>
            <w14:solidFill>
              <w14:schemeClr w14:val="tx1"/>
            </w14:solidFill>
          </w14:textFill>
        </w:rPr>
        <w:t>8.4.3</w:t>
      </w:r>
      <w:r>
        <w:rPr>
          <w:rFonts w:hint="eastAsia" w:eastAsiaTheme="minorEastAsia"/>
          <w:b/>
          <w:color w:val="000000" w:themeColor="text1"/>
          <w:kern w:val="0"/>
          <w14:textFill>
            <w14:solidFill>
              <w14:schemeClr w14:val="tx1"/>
            </w14:solidFill>
          </w14:textFill>
        </w:rPr>
        <w:t xml:space="preserve"> </w:t>
      </w:r>
      <w:r>
        <w:rPr>
          <w:rFonts w:eastAsiaTheme="minorEastAsia"/>
          <w:b/>
          <w:color w:val="000000" w:themeColor="text1"/>
          <w:kern w:val="0"/>
          <w14:textFill>
            <w14:solidFill>
              <w14:schemeClr w14:val="tx1"/>
            </w14:solidFill>
          </w14:textFill>
        </w:rPr>
        <w:t xml:space="preserve"> </w:t>
      </w:r>
      <w:r>
        <w:rPr>
          <w:rFonts w:hint="eastAsia"/>
        </w:rPr>
        <w:t>始发洞门破除后，应在洞门下方铺设辅助导轨，辅助导轨安装数量、水平位置及标高应与始发主导轨相匹配，整体满足始发精度要求。</w:t>
      </w:r>
    </w:p>
    <w:p>
      <w:r>
        <w:rPr>
          <w:rFonts w:eastAsiaTheme="minorEastAsia"/>
          <w:b/>
          <w:color w:val="000000" w:themeColor="text1"/>
          <w:kern w:val="0"/>
          <w14:textFill>
            <w14:solidFill>
              <w14:schemeClr w14:val="tx1"/>
            </w14:solidFill>
          </w14:textFill>
        </w:rPr>
        <w:t>8.4.4</w:t>
      </w:r>
      <w:r>
        <w:rPr>
          <w:rFonts w:hint="eastAsia" w:eastAsiaTheme="minorEastAsia"/>
          <w:b/>
          <w:color w:val="000000" w:themeColor="text1"/>
          <w:kern w:val="0"/>
          <w14:textFill>
            <w14:solidFill>
              <w14:schemeClr w14:val="tx1"/>
            </w14:solidFill>
          </w14:textFill>
        </w:rPr>
        <w:t xml:space="preserve"> </w:t>
      </w:r>
      <w:r>
        <w:rPr>
          <w:rFonts w:eastAsiaTheme="minorEastAsia"/>
          <w:b/>
          <w:color w:val="000000" w:themeColor="text1"/>
          <w:kern w:val="0"/>
          <w14:textFill>
            <w14:solidFill>
              <w14:schemeClr w14:val="tx1"/>
            </w14:solidFill>
          </w14:textFill>
        </w:rPr>
        <w:t xml:space="preserve"> </w:t>
      </w:r>
      <w:r>
        <w:rPr>
          <w:rFonts w:hint="eastAsia"/>
        </w:rPr>
        <w:t>导轨的安装允许偏差应符合：轴线偏差±3mm；导轨顶面高程0 mm ~3 mm；轨距偏差±3 mm</w:t>
      </w:r>
      <w:r>
        <w:t>。</w:t>
      </w:r>
    </w:p>
    <w:p>
      <w:r>
        <w:rPr>
          <w:rFonts w:eastAsiaTheme="minorEastAsia"/>
          <w:b/>
          <w:color w:val="000000" w:themeColor="text1"/>
          <w:kern w:val="0"/>
          <w14:textFill>
            <w14:solidFill>
              <w14:schemeClr w14:val="tx1"/>
            </w14:solidFill>
          </w14:textFill>
        </w:rPr>
        <w:t>8.4.</w:t>
      </w:r>
      <w:r>
        <w:rPr>
          <w:rFonts w:hint="eastAsia" w:eastAsiaTheme="minorEastAsia"/>
          <w:b/>
          <w:color w:val="000000" w:themeColor="text1"/>
          <w:kern w:val="0"/>
          <w14:textFill>
            <w14:solidFill>
              <w14:schemeClr w14:val="tx1"/>
            </w14:solidFill>
          </w14:textFill>
        </w:rPr>
        <w:t>5</w:t>
      </w:r>
      <w:r>
        <w:rPr>
          <w:rFonts w:eastAsiaTheme="minorEastAsia"/>
          <w:b/>
          <w:color w:val="000000" w:themeColor="text1"/>
          <w:kern w:val="0"/>
          <w14:textFill>
            <w14:solidFill>
              <w14:schemeClr w14:val="tx1"/>
            </w14:solidFill>
          </w14:textFill>
        </w:rPr>
        <w:t xml:space="preserve"> </w:t>
      </w:r>
      <w:r>
        <w:rPr>
          <w:rFonts w:hint="eastAsia" w:eastAsiaTheme="minorEastAsia"/>
          <w:b/>
          <w:color w:val="000000" w:themeColor="text1"/>
          <w:kern w:val="0"/>
          <w14:textFill>
            <w14:solidFill>
              <w14:schemeClr w14:val="tx1"/>
            </w14:solidFill>
          </w14:textFill>
        </w:rPr>
        <w:t xml:space="preserve"> </w:t>
      </w:r>
      <w:r>
        <w:t>导轨应安装牢固，使用过程中应不产生位移，施工过程中应经常检查。</w:t>
      </w:r>
    </w:p>
    <w:p>
      <w:r>
        <w:rPr>
          <w:rFonts w:eastAsiaTheme="minorEastAsia"/>
          <w:b/>
          <w:color w:val="000000" w:themeColor="text1"/>
          <w:kern w:val="0"/>
          <w14:textFill>
            <w14:solidFill>
              <w14:schemeClr w14:val="tx1"/>
            </w14:solidFill>
          </w14:textFill>
        </w:rPr>
        <w:t xml:space="preserve">8.4.6  </w:t>
      </w:r>
      <w:r>
        <w:t>依据隧道设计线路，提前调整好导轨标高、坡度等。</w:t>
      </w:r>
    </w:p>
    <w:p>
      <w:pPr>
        <w:rPr>
          <w:rFonts w:eastAsia="仿宋"/>
        </w:rPr>
      </w:pPr>
      <w:r>
        <w:rPr>
          <w:rFonts w:eastAsia="仿宋"/>
          <w:b/>
          <w:bCs/>
        </w:rPr>
        <w:t xml:space="preserve">【条文说明】：8.4.6  </w:t>
      </w:r>
      <w:r>
        <w:rPr>
          <w:rFonts w:eastAsia="仿宋"/>
        </w:rPr>
        <w:t>为防止进洞栽头，宜在拟合线路始发的基础上整体抬高0~20mm进行始发。各导轨应顺直、平行、等高，安装的纵向坡度应与隧道设计坡度一致。</w:t>
      </w:r>
    </w:p>
    <w:p>
      <w:pPr>
        <w:pStyle w:val="31"/>
        <w:tabs>
          <w:tab w:val="right" w:leader="dot" w:pos="8306"/>
        </w:tabs>
        <w:snapToGrid w:val="0"/>
        <w:ind w:left="0"/>
        <w:rPr>
          <w:szCs w:val="21"/>
        </w:rPr>
      </w:pPr>
    </w:p>
    <w:p>
      <w:pPr>
        <w:pStyle w:val="3"/>
      </w:pPr>
      <w:bookmarkStart w:id="245" w:name="_Toc18057065"/>
      <w:bookmarkStart w:id="246" w:name="_Toc17909"/>
      <w:r>
        <w:t>8.5  顶管机安装和调试</w:t>
      </w:r>
      <w:bookmarkEnd w:id="245"/>
      <w:bookmarkEnd w:id="246"/>
    </w:p>
    <w:p>
      <w:r>
        <w:rPr>
          <w:b/>
          <w:bCs/>
        </w:rPr>
        <w:t>8.5.1</w:t>
      </w:r>
      <w:r>
        <w:t xml:space="preserve">  顶管机的尺寸和结构应</w:t>
      </w:r>
      <w:r>
        <w:rPr>
          <w:rFonts w:hint="eastAsia"/>
        </w:rPr>
        <w:t>满足</w:t>
      </w:r>
      <w:r>
        <w:t>实际工程要求，在吊装前应做详细的检查。</w:t>
      </w:r>
    </w:p>
    <w:p>
      <w:r>
        <w:rPr>
          <w:b/>
          <w:bCs/>
        </w:rPr>
        <w:t>8.5.2</w:t>
      </w:r>
      <w:r>
        <w:rPr>
          <w:rFonts w:hint="eastAsia"/>
          <w:b/>
          <w:bCs/>
        </w:rPr>
        <w:t xml:space="preserve"> </w:t>
      </w:r>
      <w:r>
        <w:t xml:space="preserve"> 顶管机正式起吊前应进行试吊，试吊中检查全部机</w:t>
      </w:r>
      <w:r>
        <w:rPr>
          <w:rFonts w:hint="eastAsia"/>
        </w:rPr>
        <w:t>索</w:t>
      </w:r>
      <w:r>
        <w:t>具、场地受力情况，系好溜绳，平起吊，吊装人员不能站立在吊臂和顶管机下方。</w:t>
      </w:r>
    </w:p>
    <w:p>
      <w:r>
        <w:rPr>
          <w:b/>
          <w:bCs/>
        </w:rPr>
        <w:t xml:space="preserve">8.5.3  </w:t>
      </w:r>
      <w:r>
        <w:t>在吊装顶管机时应平稳、缓慢、避免任何冲击和碰撞。一般重量较轻的小型简单顶管机可钢丝绳吊放，对于大型顶管机等重要设备，应采用专用吊具，确保安全可靠。</w:t>
      </w:r>
    </w:p>
    <w:p>
      <w:r>
        <w:rPr>
          <w:b/>
          <w:bCs/>
        </w:rPr>
        <w:t xml:space="preserve">8.5.4 </w:t>
      </w:r>
      <w:r>
        <w:t xml:space="preserve"> 顶管机下放至距离导轨50cm时，调整顶管机的吊放位置，并在顶管机前端预留出洞门处理空间，然后缓慢放下。</w:t>
      </w:r>
    </w:p>
    <w:p>
      <w:r>
        <w:rPr>
          <w:b/>
          <w:bCs/>
        </w:rPr>
        <w:t xml:space="preserve">8.5.5  </w:t>
      </w:r>
      <w:r>
        <w:rPr>
          <w:rFonts w:hint="eastAsia"/>
        </w:rPr>
        <w:t>在始发井内矩形顶管机两侧宜设置左右限位装置或设置左右位置调节装置。</w:t>
      </w:r>
    </w:p>
    <w:p>
      <w:pPr>
        <w:rPr>
          <w:rFonts w:eastAsia="仿宋"/>
        </w:rPr>
      </w:pPr>
      <w:r>
        <w:rPr>
          <w:rFonts w:eastAsia="仿宋"/>
          <w:b/>
          <w:bCs/>
        </w:rPr>
        <w:t xml:space="preserve">【条文说明】：8.5.5  </w:t>
      </w:r>
      <w:r>
        <w:rPr>
          <w:rFonts w:eastAsia="仿宋"/>
        </w:rPr>
        <w:t>设置限位装置目的是在顶管机吊放至导轨时、以及矩形顶管机向前移动进入土体之前保证始发左右精度。</w:t>
      </w:r>
    </w:p>
    <w:p>
      <w:r>
        <w:rPr>
          <w:b/>
          <w:bCs/>
        </w:rPr>
        <w:t>8.5.6</w:t>
      </w:r>
      <w:r>
        <w:t xml:space="preserve">  顶管机主机组装前应熟知所组装部件的结构、连接方式及技术要求。</w:t>
      </w:r>
    </w:p>
    <w:p>
      <w:r>
        <w:rPr>
          <w:b/>
          <w:bCs/>
        </w:rPr>
        <w:t>8.5.7</w:t>
      </w:r>
      <w:r>
        <w:t xml:space="preserve">  顶管机主机组装工作应本着由前向后、先下后上、先机械后液压电气的原则。</w:t>
      </w:r>
    </w:p>
    <w:p>
      <w:pPr>
        <w:rPr>
          <w:rFonts w:eastAsia="仿宋"/>
          <w:b/>
          <w:bCs/>
        </w:rPr>
      </w:pPr>
      <w:r>
        <w:rPr>
          <w:rFonts w:eastAsia="仿宋"/>
          <w:b/>
          <w:bCs/>
        </w:rPr>
        <w:t>【条文说明】：8.5.7</w:t>
      </w:r>
      <w:r>
        <w:rPr>
          <w:rFonts w:eastAsia="仿宋"/>
        </w:rPr>
        <w:t xml:space="preserve">  本条款补充说明下列：</w:t>
      </w:r>
    </w:p>
    <w:p>
      <w:pPr>
        <w:ind w:firstLine="480" w:firstLineChars="200"/>
        <w:rPr>
          <w:rFonts w:eastAsia="仿宋"/>
        </w:rPr>
      </w:pPr>
      <w:r>
        <w:rPr>
          <w:rFonts w:eastAsia="仿宋"/>
        </w:rPr>
        <w:t>1  组装过程中严禁踩踏扳动传感器、仪表、电磁阀、液压缸等易损部件。</w:t>
      </w:r>
    </w:p>
    <w:p>
      <w:pPr>
        <w:ind w:firstLine="480" w:firstLineChars="200"/>
        <w:rPr>
          <w:rFonts w:eastAsia="仿宋"/>
        </w:rPr>
      </w:pPr>
      <w:r>
        <w:rPr>
          <w:rFonts w:eastAsia="仿宋"/>
        </w:rPr>
        <w:t>2  常规矩形顶管机主机一般组装步骤为：前盾总成→安装刀盘→尾盾总成→铰接密封→前盾与尾盾合拢→前盾通过纠偏液压缸与尾盾连接→安装螺旋输送机。</w:t>
      </w:r>
    </w:p>
    <w:p>
      <w:pPr>
        <w:ind w:firstLine="480" w:firstLineChars="200"/>
        <w:rPr>
          <w:rFonts w:eastAsia="仿宋"/>
        </w:rPr>
      </w:pPr>
      <w:r>
        <w:rPr>
          <w:rFonts w:eastAsia="仿宋"/>
        </w:rPr>
        <w:t>3  采用多刀盘的矩形顶管机开挖系统安装：按先后再前、先下再上、先中间再两边的顺序安装刀盘。</w:t>
      </w:r>
    </w:p>
    <w:p>
      <w:pPr>
        <w:ind w:firstLine="480" w:firstLineChars="200"/>
        <w:rPr>
          <w:rFonts w:eastAsia="仿宋"/>
        </w:rPr>
      </w:pPr>
      <w:r>
        <w:rPr>
          <w:rFonts w:eastAsia="仿宋"/>
        </w:rPr>
        <w:t>4  液压管线的连接应保证清洁，禁止使用棉纱等易脱落线头的物品擦拭。</w:t>
      </w:r>
    </w:p>
    <w:p>
      <w:pPr>
        <w:ind w:firstLine="480" w:firstLineChars="200"/>
        <w:rPr>
          <w:rFonts w:eastAsia="仿宋"/>
        </w:rPr>
      </w:pPr>
      <w:r>
        <w:rPr>
          <w:rFonts w:eastAsia="仿宋"/>
        </w:rPr>
        <w:t>5  液压油箱加油前需检查是否清洁，并对加油口进行必要的清洁，同时要在指定的加油口加油。</w:t>
      </w:r>
    </w:p>
    <w:p>
      <w:pPr>
        <w:ind w:firstLine="480" w:firstLineChars="200"/>
        <w:rPr>
          <w:rFonts w:eastAsia="仿宋"/>
        </w:rPr>
      </w:pPr>
      <w:r>
        <w:rPr>
          <w:rFonts w:eastAsia="仿宋"/>
        </w:rPr>
        <w:t>6  将顶管机主机结构和电路、油路、水路、气路、泥浆管路、控制系统等进行逐一连接，要求各部件安装正确、连接牢固、不得渗漏，要求安装后对各分系统进行认真检查和试运行，达到按照设计参数正常运转的状态。</w:t>
      </w:r>
    </w:p>
    <w:p>
      <w:r>
        <w:rPr>
          <w:b/>
          <w:bCs/>
        </w:rPr>
        <w:t>8.5.</w:t>
      </w:r>
      <w:r>
        <w:rPr>
          <w:rFonts w:hint="eastAsia"/>
          <w:b/>
          <w:bCs/>
        </w:rPr>
        <w:t>8</w:t>
      </w:r>
      <w:r>
        <w:t xml:space="preserve">  顶管机顶进前应进行调试，</w:t>
      </w:r>
      <w:r>
        <w:rPr>
          <w:rFonts w:hint="eastAsia"/>
        </w:rPr>
        <w:t>并</w:t>
      </w:r>
      <w:r>
        <w:t>应符合下列规定：</w:t>
      </w:r>
    </w:p>
    <w:p>
      <w:pPr>
        <w:ind w:firstLine="480" w:firstLineChars="200"/>
      </w:pPr>
      <w:r>
        <w:t>1</w:t>
      </w:r>
      <w:r>
        <w:rPr>
          <w:rFonts w:hint="eastAsia"/>
        </w:rPr>
        <w:t xml:space="preserve"> </w:t>
      </w:r>
      <w:r>
        <w:t xml:space="preserve"> 连接顶管机</w:t>
      </w:r>
      <w:r>
        <w:rPr>
          <w:rFonts w:hint="eastAsia"/>
        </w:rPr>
        <w:t>操作台、电气柜内与外部的所有电线电缆，并做送电前检查保证接线正确、规范；</w:t>
      </w:r>
    </w:p>
    <w:p>
      <w:pPr>
        <w:ind w:firstLine="480" w:firstLineChars="200"/>
      </w:pPr>
      <w:r>
        <w:t xml:space="preserve">2 </w:t>
      </w:r>
      <w:r>
        <w:rPr>
          <w:rFonts w:hint="eastAsia"/>
        </w:rPr>
        <w:t xml:space="preserve"> 检查并确保所有电气柜、控制盒、端子盒、传感器等正确安装、防护到位，无松动、损坏、污染等异常情况；</w:t>
      </w:r>
    </w:p>
    <w:p>
      <w:pPr>
        <w:ind w:firstLine="480" w:firstLineChars="200"/>
      </w:pPr>
      <w:r>
        <w:rPr>
          <w:rFonts w:hint="eastAsia"/>
        </w:rPr>
        <w:t xml:space="preserve">3 </w:t>
      </w:r>
      <w:r>
        <w:t xml:space="preserve"> </w:t>
      </w:r>
      <w:r>
        <w:rPr>
          <w:rFonts w:hint="eastAsia"/>
        </w:rPr>
        <w:t>按顺序逐级给整机送电，送电前所有开关均处于断开状态；</w:t>
      </w:r>
    </w:p>
    <w:p>
      <w:pPr>
        <w:ind w:firstLine="480" w:firstLineChars="200"/>
      </w:pPr>
      <w:r>
        <w:t>4</w:t>
      </w:r>
      <w:r>
        <w:rPr>
          <w:rFonts w:hint="eastAsia"/>
        </w:rPr>
        <w:t xml:space="preserve"> </w:t>
      </w:r>
      <w:r>
        <w:t xml:space="preserve"> </w:t>
      </w:r>
      <w:r>
        <w:rPr>
          <w:rFonts w:hint="eastAsia"/>
        </w:rPr>
        <w:t>P</w:t>
      </w:r>
      <w:r>
        <w:t>LC</w:t>
      </w:r>
      <w:r>
        <w:rPr>
          <w:rFonts w:hint="eastAsia"/>
        </w:rPr>
        <w:t>程序、上位机软件及视频监控系统软件正确下载及安装；</w:t>
      </w:r>
    </w:p>
    <w:p>
      <w:pPr>
        <w:ind w:firstLine="480" w:firstLineChars="200"/>
      </w:pPr>
      <w:r>
        <w:t>5</w:t>
      </w:r>
      <w:r>
        <w:rPr>
          <w:rFonts w:hint="eastAsia"/>
        </w:rPr>
        <w:t xml:space="preserve"> </w:t>
      </w:r>
      <w:r>
        <w:t xml:space="preserve"> </w:t>
      </w:r>
      <w:r>
        <w:rPr>
          <w:rFonts w:hint="eastAsia"/>
        </w:rPr>
        <w:t>通讯系统正常，液压、流体及机械满足调试的动作条件要求；</w:t>
      </w:r>
    </w:p>
    <w:p>
      <w:pPr>
        <w:ind w:firstLine="480" w:firstLineChars="200"/>
      </w:pPr>
      <w:r>
        <w:rPr>
          <w:rFonts w:hint="eastAsia"/>
        </w:rPr>
        <w:t xml:space="preserve">6 </w:t>
      </w:r>
      <w:r>
        <w:t xml:space="preserve"> </w:t>
      </w:r>
      <w:r>
        <w:rPr>
          <w:rFonts w:hint="eastAsia"/>
        </w:rPr>
        <w:t>按调试验收大纲分系统进行调试，并应符合下列规定：</w:t>
      </w:r>
    </w:p>
    <w:p>
      <w:pPr>
        <w:ind w:firstLine="960" w:firstLineChars="400"/>
      </w:pPr>
      <w:r>
        <w:rPr>
          <w:rFonts w:hint="eastAsia"/>
        </w:rPr>
        <w:t>1）</w:t>
      </w:r>
      <w:r>
        <w:t>检查刀盘是否安装正确，运转无干涉，刀盘系统开挖轮廓应</w:t>
      </w:r>
      <w:r>
        <w:rPr>
          <w:rFonts w:hint="eastAsia"/>
        </w:rPr>
        <w:t>满足</w:t>
      </w:r>
      <w:r>
        <w:t>设计要求</w:t>
      </w:r>
      <w:r>
        <w:rPr>
          <w:rFonts w:hint="eastAsia"/>
        </w:rPr>
        <w:t>；</w:t>
      </w:r>
    </w:p>
    <w:p>
      <w:pPr>
        <w:ind w:firstLine="960" w:firstLineChars="400"/>
      </w:pPr>
      <w:r>
        <w:rPr>
          <w:rFonts w:hint="eastAsia"/>
        </w:rPr>
        <w:t>2）</w:t>
      </w:r>
      <w:r>
        <w:t>正、反转动</w:t>
      </w:r>
      <w:r>
        <w:rPr>
          <w:rFonts w:hint="eastAsia"/>
        </w:rPr>
        <w:t>各</w:t>
      </w:r>
      <w:r>
        <w:t>刀盘应平稳，电机转动电流无突变</w:t>
      </w:r>
      <w:r>
        <w:rPr>
          <w:rFonts w:hint="eastAsia"/>
        </w:rPr>
        <w:t>；</w:t>
      </w:r>
    </w:p>
    <w:p>
      <w:pPr>
        <w:ind w:firstLine="960" w:firstLineChars="400"/>
      </w:pPr>
      <w:r>
        <w:rPr>
          <w:rFonts w:hint="eastAsia"/>
        </w:rPr>
        <w:t>3）</w:t>
      </w:r>
      <w:r>
        <w:t>纠偏系统的动作应反应及时，</w:t>
      </w:r>
      <w:r>
        <w:rPr>
          <w:rFonts w:hint="eastAsia"/>
        </w:rPr>
        <w:t>上下左右</w:t>
      </w:r>
      <w:r>
        <w:t>纠偏动作</w:t>
      </w:r>
      <w:r>
        <w:rPr>
          <w:rFonts w:hint="eastAsia"/>
        </w:rPr>
        <w:t>液压缸</w:t>
      </w:r>
      <w:r>
        <w:t>伸缩量应与操作台的数值一致</w:t>
      </w:r>
      <w:r>
        <w:rPr>
          <w:rFonts w:hint="eastAsia"/>
        </w:rPr>
        <w:t>。</w:t>
      </w:r>
    </w:p>
    <w:p>
      <w:pPr>
        <w:ind w:firstLine="480" w:firstLineChars="200"/>
      </w:pPr>
      <w:r>
        <w:rPr>
          <w:rFonts w:hint="eastAsia"/>
        </w:rPr>
        <w:t xml:space="preserve">7 </w:t>
      </w:r>
      <w:r>
        <w:t xml:space="preserve"> </w:t>
      </w:r>
      <w:r>
        <w:rPr>
          <w:rFonts w:hint="eastAsia"/>
        </w:rPr>
        <w:t>系统调试完成后，进行整机调试，应达到验收大纲的性能指标要求。</w:t>
      </w:r>
    </w:p>
    <w:p>
      <w:pPr>
        <w:ind w:firstLine="420"/>
        <w:rPr>
          <w:rFonts w:asciiTheme="minorEastAsia" w:hAnsiTheme="minorEastAsia" w:eastAsiaTheme="minorEastAsia"/>
        </w:rPr>
      </w:pPr>
    </w:p>
    <w:p>
      <w:pPr>
        <w:pStyle w:val="3"/>
      </w:pPr>
      <w:bookmarkStart w:id="247" w:name="_Toc18057066"/>
      <w:bookmarkStart w:id="248" w:name="_Toc6925"/>
      <w:r>
        <w:t>8.6  泥水平衡出渣系统的安装</w:t>
      </w:r>
      <w:bookmarkEnd w:id="247"/>
      <w:bookmarkEnd w:id="248"/>
    </w:p>
    <w:p>
      <w:pPr>
        <w:rPr>
          <w:color w:val="000000" w:themeColor="text1"/>
          <w:shd w:val="clear" w:color="auto" w:fill="FFFFFF"/>
          <w14:textFill>
            <w14:solidFill>
              <w14:schemeClr w14:val="tx1"/>
            </w14:solidFill>
          </w14:textFill>
        </w:rPr>
      </w:pPr>
      <w:r>
        <w:rPr>
          <w:b/>
          <w:kern w:val="0"/>
        </w:rPr>
        <w:t>8.6.1</w:t>
      </w:r>
      <w:r>
        <w:rPr>
          <w:b/>
          <w:bCs/>
          <w:kern w:val="0"/>
        </w:rPr>
        <w:t xml:space="preserve">  </w:t>
      </w:r>
      <w:r>
        <w:rPr>
          <w:color w:val="000000" w:themeColor="text1"/>
          <w:shd w:val="clear" w:color="auto" w:fill="FFFFFF"/>
          <w14:textFill>
            <w14:solidFill>
              <w14:schemeClr w14:val="tx1"/>
            </w14:solidFill>
          </w14:textFill>
        </w:rPr>
        <w:t>泥水平衡矩形顶管机排渣应配置泥水</w:t>
      </w:r>
      <w:r>
        <w:t>循环</w:t>
      </w:r>
      <w:r>
        <w:rPr>
          <w:color w:val="000000" w:themeColor="text1"/>
          <w:shd w:val="clear" w:color="auto" w:fill="FFFFFF"/>
          <w14:textFill>
            <w14:solidFill>
              <w14:schemeClr w14:val="tx1"/>
            </w14:solidFill>
          </w14:textFill>
        </w:rPr>
        <w:t>系统。</w:t>
      </w:r>
    </w:p>
    <w:p>
      <w:r>
        <w:rPr>
          <w:b/>
          <w:kern w:val="0"/>
        </w:rPr>
        <w:t>8.6.</w:t>
      </w:r>
      <w:r>
        <w:rPr>
          <w:b/>
        </w:rPr>
        <w:t>2</w:t>
      </w:r>
      <w:r>
        <w:t xml:space="preserve">  泥水平衡顶管</w:t>
      </w:r>
      <w:r>
        <w:rPr>
          <w:color w:val="000000" w:themeColor="text1"/>
          <w:shd w:val="clear" w:color="auto" w:fill="FFFFFF"/>
          <w14:textFill>
            <w14:solidFill>
              <w14:schemeClr w14:val="tx1"/>
            </w14:solidFill>
          </w14:textFill>
        </w:rPr>
        <w:t>机</w:t>
      </w:r>
      <w:r>
        <w:t>的泥水循环系统安装应符合下列规定：</w:t>
      </w:r>
    </w:p>
    <w:p>
      <w:pPr>
        <w:ind w:firstLine="480" w:firstLineChars="200"/>
      </w:pPr>
      <w:r>
        <w:t>1  根据场地条件设置泥浆箱或泥浆池，</w:t>
      </w:r>
      <w:r>
        <w:rPr>
          <w:rFonts w:hint="eastAsia"/>
        </w:rPr>
        <w:t>并应配置</w:t>
      </w:r>
      <w:r>
        <w:t>泥水处理器对泥</w:t>
      </w:r>
      <w:r>
        <w:rPr>
          <w:rFonts w:hint="eastAsia"/>
        </w:rPr>
        <w:t>、</w:t>
      </w:r>
      <w:r>
        <w:t>水进行分离</w:t>
      </w:r>
      <w:r>
        <w:rPr>
          <w:rFonts w:hint="eastAsia"/>
        </w:rPr>
        <w:t>；</w:t>
      </w:r>
    </w:p>
    <w:p>
      <w:pPr>
        <w:ind w:firstLine="480" w:firstLineChars="200"/>
      </w:pPr>
      <w:r>
        <w:t>2  进浆泵宜靠近泥浆箱安装，泥浆箱出浆口宜高出箱底500mm，出浆口宜设置截止阀，再通过软管与进浆泵连接</w:t>
      </w:r>
      <w:r>
        <w:rPr>
          <w:rFonts w:hint="eastAsia"/>
        </w:rPr>
        <w:t>；</w:t>
      </w:r>
    </w:p>
    <w:p>
      <w:pPr>
        <w:ind w:firstLine="480" w:firstLineChars="200"/>
      </w:pPr>
      <w:r>
        <w:t>3  排浆泵安装在井内或隧道内，井内安装高度宜高出井底500mm，管内安装宜离开顶管机</w:t>
      </w:r>
      <w:r>
        <w:rPr>
          <w:rFonts w:hint="eastAsia"/>
        </w:rPr>
        <w:t>主机</w:t>
      </w:r>
      <w:r>
        <w:t>5~10m，视顶进距离</w:t>
      </w:r>
      <w:r>
        <w:rPr>
          <w:rFonts w:hint="eastAsia"/>
        </w:rPr>
        <w:t>和断面大小</w:t>
      </w:r>
      <w:r>
        <w:t>布置排浆泵数量</w:t>
      </w:r>
      <w:r>
        <w:rPr>
          <w:rFonts w:hint="eastAsia"/>
        </w:rPr>
        <w:t>；</w:t>
      </w:r>
    </w:p>
    <w:p>
      <w:pPr>
        <w:ind w:firstLine="480" w:firstLineChars="200"/>
      </w:pPr>
      <w:r>
        <w:t>4  管路拐弯处应使用弯头连接</w:t>
      </w:r>
      <w:r>
        <w:rPr>
          <w:rFonts w:hint="eastAsia"/>
        </w:rPr>
        <w:t>；</w:t>
      </w:r>
    </w:p>
    <w:p>
      <w:pPr>
        <w:autoSpaceDE w:val="0"/>
        <w:autoSpaceDN w:val="0"/>
        <w:adjustRightInd w:val="0"/>
        <w:ind w:firstLine="470" w:firstLineChars="196"/>
        <w:rPr>
          <w:kern w:val="0"/>
        </w:rPr>
      </w:pPr>
      <w:r>
        <w:rPr>
          <w:bCs/>
          <w:kern w:val="0"/>
        </w:rPr>
        <w:t xml:space="preserve">5  </w:t>
      </w:r>
      <w:r>
        <w:t>泥浆箱</w:t>
      </w:r>
      <w:r>
        <w:rPr>
          <w:kern w:val="0"/>
        </w:rPr>
        <w:t>应尽量靠近始发井，可以减</w:t>
      </w:r>
      <w:r>
        <w:rPr>
          <w:rFonts w:hint="eastAsia"/>
          <w:kern w:val="0"/>
        </w:rPr>
        <w:t>小</w:t>
      </w:r>
      <w:r>
        <w:rPr>
          <w:kern w:val="0"/>
        </w:rPr>
        <w:t>排浆管路过长而产生的管路摩阻力</w:t>
      </w:r>
      <w:r>
        <w:rPr>
          <w:rFonts w:hint="eastAsia"/>
          <w:kern w:val="0"/>
        </w:rPr>
        <w:t>；</w:t>
      </w:r>
    </w:p>
    <w:p>
      <w:pPr>
        <w:autoSpaceDE w:val="0"/>
        <w:autoSpaceDN w:val="0"/>
        <w:adjustRightInd w:val="0"/>
        <w:ind w:firstLine="470" w:firstLineChars="196"/>
        <w:rPr>
          <w:kern w:val="0"/>
        </w:rPr>
      </w:pPr>
      <w:r>
        <w:rPr>
          <w:kern w:val="0"/>
        </w:rPr>
        <w:t xml:space="preserve">6  </w:t>
      </w:r>
      <w:r>
        <w:t>泥水处理器</w:t>
      </w:r>
      <w:r>
        <w:rPr>
          <w:kern w:val="0"/>
        </w:rPr>
        <w:t>应可沉淀或分离块状物，防止块状物再次进入</w:t>
      </w:r>
      <w:r>
        <w:t>泥水循环系统</w:t>
      </w:r>
      <w:r>
        <w:rPr>
          <w:kern w:val="0"/>
        </w:rPr>
        <w:t>引起堵塞和损坏。</w:t>
      </w:r>
    </w:p>
    <w:p>
      <w:pPr>
        <w:autoSpaceDE w:val="0"/>
        <w:autoSpaceDN w:val="0"/>
        <w:adjustRightInd w:val="0"/>
        <w:ind w:firstLine="470" w:firstLineChars="196"/>
        <w:rPr>
          <w:kern w:val="0"/>
          <w:szCs w:val="24"/>
        </w:rPr>
      </w:pPr>
    </w:p>
    <w:p>
      <w:pPr>
        <w:pStyle w:val="3"/>
      </w:pPr>
      <w:bookmarkStart w:id="249" w:name="_Toc18057067"/>
      <w:bookmarkStart w:id="250" w:name="_Toc26716"/>
      <w:r>
        <w:t>8.7  土压平衡出渣系统的安装</w:t>
      </w:r>
      <w:bookmarkEnd w:id="249"/>
      <w:bookmarkEnd w:id="250"/>
    </w:p>
    <w:p>
      <w:pPr>
        <w:rPr>
          <w:kern w:val="0"/>
        </w:rPr>
      </w:pPr>
      <w:r>
        <w:rPr>
          <w:b/>
          <w:kern w:val="0"/>
        </w:rPr>
        <w:t>8.7.</w:t>
      </w:r>
      <w:r>
        <w:rPr>
          <w:b/>
          <w:shd w:val="clear" w:color="auto" w:fill="FFFFFF"/>
        </w:rPr>
        <w:t>1</w:t>
      </w:r>
      <w:r>
        <w:rPr>
          <w:shd w:val="clear" w:color="auto" w:fill="FFFFFF"/>
        </w:rPr>
        <w:t xml:space="preserve">  土压平衡矩形顶管机排渣系统应配置螺旋输送机；顶进距离较长的可用渣土</w:t>
      </w:r>
      <w:r>
        <w:rPr>
          <w:kern w:val="0"/>
        </w:rPr>
        <w:t>泵</w:t>
      </w:r>
      <w:r>
        <w:rPr>
          <w:shd w:val="clear" w:color="auto" w:fill="FFFFFF"/>
        </w:rPr>
        <w:t>、皮带机输送</w:t>
      </w:r>
      <w:r>
        <w:rPr>
          <w:kern w:val="0"/>
        </w:rPr>
        <w:t>将渣土泵送至地面</w:t>
      </w:r>
      <w:r>
        <w:rPr>
          <w:shd w:val="clear" w:color="auto" w:fill="FFFFFF"/>
        </w:rPr>
        <w:t>；顶进距离较短的可采用渣车运输</w:t>
      </w:r>
      <w:r>
        <w:rPr>
          <w:kern w:val="0"/>
        </w:rPr>
        <w:t>，运输至始发井，再由垂直运输机械吊至地面。</w:t>
      </w:r>
    </w:p>
    <w:p>
      <w:pPr>
        <w:rPr>
          <w:shd w:val="clear" w:color="auto" w:fill="FFFFFF"/>
        </w:rPr>
      </w:pPr>
      <w:r>
        <w:rPr>
          <w:b/>
          <w:bCs/>
          <w:shd w:val="clear" w:color="auto" w:fill="FFFFFF"/>
        </w:rPr>
        <w:t>8.7.2</w:t>
      </w:r>
      <w:r>
        <w:rPr>
          <w:shd w:val="clear" w:color="auto" w:fill="FFFFFF"/>
        </w:rPr>
        <w:t xml:space="preserve">  土压平衡顶管施工的排渣设备安装应符合下列规定：</w:t>
      </w:r>
    </w:p>
    <w:p>
      <w:pPr>
        <w:ind w:firstLine="480" w:firstLineChars="200"/>
        <w:rPr>
          <w:shd w:val="clear" w:color="auto" w:fill="FFFFFF"/>
        </w:rPr>
      </w:pPr>
      <w:r>
        <w:rPr>
          <w:shd w:val="clear" w:color="auto" w:fill="FFFFFF"/>
        </w:rPr>
        <w:t>1  采用渣土泵</w:t>
      </w:r>
      <w:r>
        <w:rPr>
          <w:rFonts w:hint="eastAsia"/>
          <w:shd w:val="clear" w:color="auto" w:fill="FFFFFF"/>
        </w:rPr>
        <w:t>出</w:t>
      </w:r>
      <w:r>
        <w:rPr>
          <w:shd w:val="clear" w:color="auto" w:fill="FFFFFF"/>
        </w:rPr>
        <w:t>土时</w:t>
      </w:r>
      <w:r>
        <w:rPr>
          <w:kern w:val="0"/>
        </w:rPr>
        <w:t>，应设置泥浆沉淀池</w:t>
      </w:r>
      <w:r>
        <w:rPr>
          <w:shd w:val="clear" w:color="auto" w:fill="FFFFFF"/>
        </w:rPr>
        <w:t>，</w:t>
      </w:r>
      <w:r>
        <w:rPr>
          <w:rFonts w:hint="eastAsia"/>
          <w:shd w:val="clear" w:color="auto" w:fill="FFFFFF"/>
        </w:rPr>
        <w:t>进排浆</w:t>
      </w:r>
      <w:r>
        <w:rPr>
          <w:shd w:val="clear" w:color="auto" w:fill="FFFFFF"/>
        </w:rPr>
        <w:t>管应平直、少弯道，</w:t>
      </w:r>
      <w:r>
        <w:rPr>
          <w:rFonts w:hint="eastAsia"/>
          <w:shd w:val="clear" w:color="auto" w:fill="FFFFFF"/>
        </w:rPr>
        <w:t>进排浆</w:t>
      </w:r>
      <w:r>
        <w:rPr>
          <w:shd w:val="clear" w:color="auto" w:fill="FFFFFF"/>
        </w:rPr>
        <w:t>管间连接应严密，送土管间的折角不宜超过2°</w:t>
      </w:r>
      <w:r>
        <w:rPr>
          <w:rFonts w:hint="eastAsia"/>
          <w:shd w:val="clear" w:color="auto" w:fill="FFFFFF"/>
        </w:rPr>
        <w:t>；</w:t>
      </w:r>
    </w:p>
    <w:p>
      <w:pPr>
        <w:ind w:firstLine="480" w:firstLineChars="200"/>
        <w:rPr>
          <w:shd w:val="clear" w:color="auto" w:fill="FFFFFF"/>
        </w:rPr>
      </w:pPr>
      <w:r>
        <w:rPr>
          <w:shd w:val="clear" w:color="auto" w:fill="FFFFFF"/>
        </w:rPr>
        <w:t>2  用轨道</w:t>
      </w:r>
      <w:r>
        <w:rPr>
          <w:rFonts w:hint="eastAsia"/>
          <w:shd w:val="clear" w:color="auto" w:fill="FFFFFF"/>
        </w:rPr>
        <w:t>渣</w:t>
      </w:r>
      <w:r>
        <w:rPr>
          <w:shd w:val="clear" w:color="auto" w:fill="FFFFFF"/>
        </w:rPr>
        <w:t>车</w:t>
      </w:r>
      <w:r>
        <w:rPr>
          <w:rFonts w:hint="eastAsia"/>
          <w:shd w:val="clear" w:color="auto" w:fill="FFFFFF"/>
        </w:rPr>
        <w:t>出</w:t>
      </w:r>
      <w:r>
        <w:rPr>
          <w:shd w:val="clear" w:color="auto" w:fill="FFFFFF"/>
        </w:rPr>
        <w:t>土时，道轨对接错位水平向不应大于5mm，高低不应大于 2mm，轨道两端应设置</w:t>
      </w:r>
      <w:r>
        <w:rPr>
          <w:rFonts w:hint="eastAsia"/>
          <w:shd w:val="clear" w:color="auto" w:fill="FFFFFF"/>
        </w:rPr>
        <w:t>渣</w:t>
      </w:r>
      <w:r>
        <w:rPr>
          <w:shd w:val="clear" w:color="auto" w:fill="FFFFFF"/>
        </w:rPr>
        <w:t>车防撞装置</w:t>
      </w:r>
      <w:r>
        <w:rPr>
          <w:rFonts w:hint="eastAsia"/>
          <w:shd w:val="clear" w:color="auto" w:fill="FFFFFF"/>
        </w:rPr>
        <w:t>；</w:t>
      </w:r>
    </w:p>
    <w:p>
      <w:pPr>
        <w:ind w:firstLine="480" w:firstLineChars="200"/>
        <w:rPr>
          <w:shd w:val="clear" w:color="auto" w:fill="FFFFFF"/>
        </w:rPr>
      </w:pPr>
      <w:r>
        <w:rPr>
          <w:shd w:val="clear" w:color="auto" w:fill="FFFFFF"/>
        </w:rPr>
        <w:t>3  采用卷扬机牵引</w:t>
      </w:r>
      <w:r>
        <w:rPr>
          <w:rFonts w:hint="eastAsia"/>
          <w:shd w:val="clear" w:color="auto" w:fill="FFFFFF"/>
        </w:rPr>
        <w:t>渣</w:t>
      </w:r>
      <w:r>
        <w:rPr>
          <w:shd w:val="clear" w:color="auto" w:fill="FFFFFF"/>
        </w:rPr>
        <w:t>车时，卷扬机的线速度不宜大于0.5m/s</w:t>
      </w:r>
      <w:r>
        <w:rPr>
          <w:rFonts w:hint="eastAsia"/>
          <w:shd w:val="clear" w:color="auto" w:fill="FFFFFF"/>
        </w:rPr>
        <w:t>；</w:t>
      </w:r>
    </w:p>
    <w:p>
      <w:pPr>
        <w:ind w:firstLine="480" w:firstLineChars="200"/>
      </w:pPr>
      <w:r>
        <w:t xml:space="preserve">4  </w:t>
      </w:r>
      <w:r>
        <w:rPr>
          <w:rFonts w:hint="eastAsia"/>
          <w:shd w:val="clear" w:color="auto" w:fill="FFFFFF"/>
        </w:rPr>
        <w:t>渣</w:t>
      </w:r>
      <w:r>
        <w:rPr>
          <w:shd w:val="clear" w:color="auto" w:fill="FFFFFF"/>
        </w:rPr>
        <w:t>车轨道</w:t>
      </w:r>
      <w:r>
        <w:t>安装应延伸到顶推</w:t>
      </w:r>
      <w:r>
        <w:rPr>
          <w:rFonts w:hint="eastAsia"/>
        </w:rPr>
        <w:t>液压</w:t>
      </w:r>
      <w:r>
        <w:t>缸支架</w:t>
      </w:r>
      <w:r>
        <w:rPr>
          <w:rFonts w:hint="eastAsia"/>
        </w:rPr>
        <w:t>上。</w:t>
      </w:r>
    </w:p>
    <w:p>
      <w:r>
        <w:rPr>
          <w:b/>
          <w:kern w:val="0"/>
        </w:rPr>
        <w:t>8.7.3</w:t>
      </w:r>
      <w:r>
        <w:rPr>
          <w:kern w:val="0"/>
        </w:rPr>
        <w:t xml:space="preserve">  场内地面运输：根据出土量、运输距离和现场堆土条件，可用吊车直接将渣土转运到堆渣场内，或采用自卸汽车将弃渣运送至堆渣场，然后再用垂直吊机或铲车堆高，做到文明施工。堆土场应具有良好的排水和通行条件。</w:t>
      </w:r>
    </w:p>
    <w:p>
      <w:pPr>
        <w:rPr>
          <w:szCs w:val="24"/>
        </w:rPr>
      </w:pPr>
    </w:p>
    <w:p>
      <w:pPr>
        <w:pStyle w:val="3"/>
      </w:pPr>
      <w:bookmarkStart w:id="251" w:name="_Toc18057068"/>
      <w:bookmarkStart w:id="252" w:name="_Toc32729"/>
      <w:r>
        <w:t>8.8  中继间安装</w:t>
      </w:r>
      <w:bookmarkEnd w:id="251"/>
      <w:bookmarkEnd w:id="252"/>
    </w:p>
    <w:p>
      <w:pPr>
        <w:pStyle w:val="85"/>
        <w:tabs>
          <w:tab w:val="center" w:pos="4201"/>
          <w:tab w:val="right" w:leader="dot" w:pos="9298"/>
        </w:tabs>
        <w:spacing w:line="360" w:lineRule="auto"/>
        <w:ind w:firstLine="0" w:firstLineChars="0"/>
        <w:rPr>
          <w:rFonts w:ascii="Times New Roman"/>
          <w:sz w:val="24"/>
          <w:szCs w:val="21"/>
        </w:rPr>
      </w:pPr>
      <w:r>
        <w:rPr>
          <w:rFonts w:ascii="Times New Roman"/>
          <w:b/>
          <w:bCs/>
          <w:sz w:val="24"/>
          <w:szCs w:val="21"/>
        </w:rPr>
        <w:t xml:space="preserve">8.8.1  </w:t>
      </w:r>
      <w:r>
        <w:rPr>
          <w:rFonts w:hint="eastAsia" w:ascii="Times New Roman"/>
          <w:sz w:val="24"/>
          <w:szCs w:val="21"/>
        </w:rPr>
        <w:t>在顶推距离较长，始发井顶推系统不足以提供全部顶力时，应设置中继间接力顶进，中继间结构示意图如图8.8.1-1~图8.8.1-2所示。</w:t>
      </w:r>
    </w:p>
    <w:p>
      <w:pPr>
        <w:pStyle w:val="85"/>
        <w:tabs>
          <w:tab w:val="center" w:pos="4201"/>
          <w:tab w:val="right" w:leader="dot" w:pos="9298"/>
        </w:tabs>
        <w:spacing w:line="360" w:lineRule="auto"/>
        <w:ind w:firstLine="0" w:firstLineChars="0"/>
        <w:jc w:val="center"/>
      </w:pPr>
      <w:r>
        <w:pict>
          <v:shape id="_x0000_i1321" o:spt="75" type="#_x0000_t75" style="height:198.35pt;width:355.9pt;" filled="f" o:preferrelative="t" stroked="f" coordsize="21600,21600">
            <v:path/>
            <v:fill on="f" focussize="0,0"/>
            <v:stroke on="f" joinstyle="miter"/>
            <v:imagedata r:id="rId527" o:title=""/>
            <o:lock v:ext="edit" aspectratio="t"/>
            <w10:wrap type="none"/>
            <w10:anchorlock/>
          </v:shape>
        </w:pict>
      </w:r>
    </w:p>
    <w:p>
      <w:pPr>
        <w:pStyle w:val="85"/>
        <w:tabs>
          <w:tab w:val="center" w:pos="4201"/>
          <w:tab w:val="right" w:leader="dot" w:pos="9298"/>
        </w:tabs>
        <w:spacing w:line="360" w:lineRule="auto"/>
        <w:ind w:firstLine="0" w:firstLineChars="0"/>
        <w:jc w:val="center"/>
        <w:rPr>
          <w:rFonts w:ascii="Times New Roman" w:eastAsiaTheme="minorEastAsia"/>
          <w:b/>
          <w:bCs/>
          <w:szCs w:val="21"/>
        </w:rPr>
      </w:pPr>
      <w:r>
        <w:rPr>
          <w:rFonts w:hint="eastAsia" w:ascii="Times New Roman" w:eastAsiaTheme="minorEastAsia"/>
          <w:b/>
          <w:bCs/>
          <w:szCs w:val="21"/>
        </w:rPr>
        <w:t>图8.8.1-1</w:t>
      </w:r>
      <w:r>
        <w:rPr>
          <w:rFonts w:ascii="Times New Roman" w:eastAsiaTheme="minorEastAsia"/>
          <w:b/>
          <w:bCs/>
          <w:szCs w:val="21"/>
        </w:rPr>
        <w:t xml:space="preserve"> </w:t>
      </w:r>
      <w:r>
        <w:rPr>
          <w:rFonts w:hint="eastAsia" w:ascii="Times New Roman" w:eastAsiaTheme="minorEastAsia"/>
          <w:b/>
          <w:bCs/>
          <w:szCs w:val="21"/>
        </w:rPr>
        <w:t xml:space="preserve"> 中继间结构示意</w:t>
      </w:r>
    </w:p>
    <w:p>
      <w:pPr>
        <w:pStyle w:val="85"/>
        <w:tabs>
          <w:tab w:val="center" w:pos="4201"/>
          <w:tab w:val="right" w:leader="dot" w:pos="9298"/>
        </w:tabs>
        <w:spacing w:line="360" w:lineRule="auto"/>
        <w:ind w:firstLine="0" w:firstLineChars="0"/>
        <w:jc w:val="center"/>
      </w:pPr>
      <w:r>
        <w:pict>
          <v:shape id="_x0000_i1322" o:spt="75" type="#_x0000_t75" style="height:167.1pt;width:434.7pt;" filled="f" o:preferrelative="t" stroked="f" coordsize="21600,21600">
            <v:path/>
            <v:fill on="f" focussize="0,0"/>
            <v:stroke on="f" joinstyle="miter"/>
            <v:imagedata r:id="rId528" o:title=""/>
            <o:lock v:ext="edit" aspectratio="t"/>
            <w10:wrap type="none"/>
            <w10:anchorlock/>
          </v:shape>
        </w:pict>
      </w:r>
    </w:p>
    <w:p>
      <w:pPr>
        <w:pStyle w:val="85"/>
        <w:tabs>
          <w:tab w:val="center" w:pos="4201"/>
          <w:tab w:val="right" w:leader="dot" w:pos="9298"/>
        </w:tabs>
        <w:spacing w:line="360" w:lineRule="auto"/>
        <w:ind w:firstLine="0" w:firstLineChars="0"/>
        <w:jc w:val="center"/>
        <w:rPr>
          <w:rFonts w:ascii="Times New Roman" w:eastAsiaTheme="minorEastAsia"/>
          <w:b/>
          <w:bCs/>
          <w:szCs w:val="21"/>
        </w:rPr>
      </w:pPr>
      <w:r>
        <w:rPr>
          <w:rFonts w:hint="eastAsia" w:ascii="Times New Roman" w:eastAsiaTheme="minorEastAsia"/>
          <w:b/>
          <w:bCs/>
          <w:szCs w:val="21"/>
        </w:rPr>
        <w:t>图8.8.1-2</w:t>
      </w:r>
      <w:r>
        <w:rPr>
          <w:rFonts w:ascii="Times New Roman" w:eastAsiaTheme="minorEastAsia"/>
          <w:b/>
          <w:bCs/>
          <w:szCs w:val="21"/>
        </w:rPr>
        <w:t xml:space="preserve"> </w:t>
      </w:r>
      <w:r>
        <w:rPr>
          <w:rFonts w:hint="eastAsia" w:ascii="Times New Roman" w:eastAsiaTheme="minorEastAsia"/>
          <w:b/>
          <w:bCs/>
          <w:szCs w:val="21"/>
        </w:rPr>
        <w:t xml:space="preserve"> 中继间结构局部放大图</w:t>
      </w:r>
    </w:p>
    <w:p>
      <w:pPr>
        <w:pStyle w:val="85"/>
        <w:tabs>
          <w:tab w:val="center" w:pos="4201"/>
          <w:tab w:val="right" w:leader="dot" w:pos="9298"/>
        </w:tabs>
        <w:spacing w:line="360" w:lineRule="auto"/>
        <w:ind w:firstLine="0" w:firstLineChars="0"/>
        <w:rPr>
          <w:rFonts w:ascii="Times New Roman"/>
          <w:sz w:val="24"/>
          <w:szCs w:val="21"/>
        </w:rPr>
      </w:pPr>
      <w:r>
        <w:rPr>
          <w:rFonts w:hint="eastAsia" w:ascii="Times New Roman"/>
          <w:b/>
          <w:bCs/>
          <w:sz w:val="24"/>
          <w:szCs w:val="21"/>
        </w:rPr>
        <w:t>8.8.2</w:t>
      </w:r>
      <w:r>
        <w:rPr>
          <w:rFonts w:ascii="Times New Roman"/>
          <w:b/>
          <w:bCs/>
          <w:sz w:val="24"/>
          <w:szCs w:val="21"/>
        </w:rPr>
        <w:t xml:space="preserve">  </w:t>
      </w:r>
      <w:r>
        <w:rPr>
          <w:rFonts w:ascii="Times New Roman"/>
          <w:sz w:val="24"/>
          <w:szCs w:val="21"/>
        </w:rPr>
        <w:t>中继间的设计应符合下列规定：</w:t>
      </w:r>
    </w:p>
    <w:p>
      <w:pPr>
        <w:ind w:firstLine="480" w:firstLineChars="200"/>
        <w:rPr>
          <w:kern w:val="0"/>
        </w:rPr>
      </w:pPr>
      <w:r>
        <w:rPr>
          <w:rFonts w:hint="eastAsia"/>
          <w:kern w:val="0"/>
        </w:rPr>
        <w:t>1</w:t>
      </w:r>
      <w:r>
        <w:rPr>
          <w:kern w:val="0"/>
        </w:rPr>
        <w:t xml:space="preserve">  中继间的结构形状和管</w:t>
      </w:r>
      <w:r>
        <w:rPr>
          <w:rFonts w:hint="eastAsia"/>
          <w:kern w:val="0"/>
        </w:rPr>
        <w:t>节</w:t>
      </w:r>
      <w:r>
        <w:rPr>
          <w:kern w:val="0"/>
        </w:rPr>
        <w:t>接头相一致</w:t>
      </w:r>
      <w:r>
        <w:rPr>
          <w:rFonts w:hint="eastAsia"/>
          <w:kern w:val="0"/>
        </w:rPr>
        <w:t>；</w:t>
      </w:r>
    </w:p>
    <w:p>
      <w:pPr>
        <w:ind w:firstLine="480" w:firstLineChars="200"/>
        <w:rPr>
          <w:kern w:val="0"/>
        </w:rPr>
      </w:pPr>
      <w:r>
        <w:rPr>
          <w:rFonts w:hint="eastAsia"/>
          <w:kern w:val="0"/>
        </w:rPr>
        <w:t>2</w:t>
      </w:r>
      <w:r>
        <w:rPr>
          <w:kern w:val="0"/>
        </w:rPr>
        <w:t xml:space="preserve"> 中继间应带有木质的传压环和钢制的刚性均压环</w:t>
      </w:r>
      <w:r>
        <w:rPr>
          <w:rFonts w:hint="eastAsia"/>
          <w:kern w:val="0"/>
        </w:rPr>
        <w:t>，</w:t>
      </w:r>
      <w:r>
        <w:rPr>
          <w:kern w:val="0"/>
        </w:rPr>
        <w:t>端面的尺寸应和作用于其上的顶进力相适应</w:t>
      </w:r>
      <w:r>
        <w:rPr>
          <w:rFonts w:hint="eastAsia"/>
          <w:kern w:val="0"/>
        </w:rPr>
        <w:t>；</w:t>
      </w:r>
    </w:p>
    <w:p>
      <w:pPr>
        <w:autoSpaceDE w:val="0"/>
        <w:autoSpaceDN w:val="0"/>
        <w:adjustRightInd w:val="0"/>
        <w:ind w:firstLine="480" w:firstLineChars="200"/>
        <w:rPr>
          <w:kern w:val="0"/>
        </w:rPr>
      </w:pPr>
      <w:r>
        <w:rPr>
          <w:rFonts w:hint="eastAsia"/>
          <w:kern w:val="0"/>
        </w:rPr>
        <w:t>3</w:t>
      </w:r>
      <w:r>
        <w:rPr>
          <w:kern w:val="0"/>
        </w:rPr>
        <w:t xml:space="preserve">  </w:t>
      </w:r>
      <w:r>
        <w:rPr>
          <w:rFonts w:hint="eastAsia"/>
          <w:kern w:val="0"/>
        </w:rPr>
        <w:t>中继间数量大于1个时可</w:t>
      </w:r>
      <w:r>
        <w:rPr>
          <w:kern w:val="0"/>
        </w:rPr>
        <w:t>对中继间进行计算机编组操</w:t>
      </w:r>
      <w:r>
        <w:rPr>
          <w:rFonts w:hint="eastAsia"/>
          <w:kern w:val="0"/>
        </w:rPr>
        <w:t>控。</w:t>
      </w:r>
    </w:p>
    <w:p>
      <w:pPr>
        <w:autoSpaceDE w:val="0"/>
        <w:autoSpaceDN w:val="0"/>
        <w:adjustRightInd w:val="0"/>
        <w:rPr>
          <w:kern w:val="0"/>
        </w:rPr>
      </w:pPr>
      <w:r>
        <w:rPr>
          <w:b/>
          <w:bCs/>
          <w:kern w:val="0"/>
        </w:rPr>
        <w:t>8.8.</w:t>
      </w:r>
      <w:r>
        <w:rPr>
          <w:rFonts w:hint="eastAsia"/>
          <w:b/>
          <w:bCs/>
          <w:kern w:val="0"/>
        </w:rPr>
        <w:t>3</w:t>
      </w:r>
      <w:r>
        <w:rPr>
          <w:b/>
          <w:bCs/>
          <w:kern w:val="0"/>
        </w:rPr>
        <w:t xml:space="preserve">  </w:t>
      </w:r>
      <w:r>
        <w:rPr>
          <w:kern w:val="0"/>
        </w:rPr>
        <w:t>中继间</w:t>
      </w:r>
      <w:r>
        <w:rPr>
          <w:rFonts w:hint="eastAsia"/>
          <w:kern w:val="0"/>
        </w:rPr>
        <w:t>及其</w:t>
      </w:r>
      <w:r>
        <w:rPr>
          <w:kern w:val="0"/>
        </w:rPr>
        <w:t>液压缸的安装应符合下列规定：</w:t>
      </w:r>
    </w:p>
    <w:p>
      <w:pPr>
        <w:ind w:firstLine="480" w:firstLineChars="200"/>
      </w:pPr>
      <w:r>
        <w:t>1  中继间液压缸宜固定在支架上，其合力的作用点应在隧道中心的垂直线上。</w:t>
      </w:r>
    </w:p>
    <w:p>
      <w:pPr>
        <w:ind w:firstLine="480" w:firstLineChars="200"/>
      </w:pPr>
      <w:r>
        <w:t>2  中继间液压缸宜取偶数，且其规格宜相同，并作周向均匀布置；当规格不同时，其行程应同步，并应将同规格的中继间液压缸对称布置。</w:t>
      </w:r>
    </w:p>
    <w:p>
      <w:pPr>
        <w:ind w:firstLine="480" w:firstLineChars="200"/>
      </w:pPr>
      <w:r>
        <w:t>3  中继间液压缸的油路应并联，每台中继间液压缸应有进油、</w:t>
      </w:r>
      <w:r>
        <w:rPr>
          <w:rFonts w:hint="eastAsia"/>
        </w:rPr>
        <w:t>回</w:t>
      </w:r>
      <w:r>
        <w:t>油的控制系统。</w:t>
      </w:r>
    </w:p>
    <w:p>
      <w:pPr>
        <w:ind w:firstLine="480" w:firstLineChars="200"/>
      </w:pPr>
      <w:r>
        <w:t>4  中继间吊放入始发井后，应认真检查各项工作部件是否正常，安装完毕后应进行试顶。</w:t>
      </w:r>
    </w:p>
    <w:p>
      <w:pPr>
        <w:ind w:firstLine="480" w:firstLineChars="200"/>
      </w:pPr>
      <w:r>
        <w:t>5  当总推力达到中继间总推力40%~60%时，就应安放第一个中继间，此后，每当达到中继间总推力的70%~80%时，安放一个中继间。而当总推力达到中继间总推力的90%时，就应启用中继间。</w:t>
      </w:r>
    </w:p>
    <w:p>
      <w:pPr>
        <w:rPr>
          <w:szCs w:val="24"/>
        </w:rPr>
      </w:pPr>
    </w:p>
    <w:p>
      <w:pPr>
        <w:pStyle w:val="3"/>
      </w:pPr>
      <w:bookmarkStart w:id="253" w:name="_Toc18057069"/>
      <w:bookmarkStart w:id="254" w:name="_Toc19349"/>
      <w:r>
        <w:t>8.9  顶管辅助施工与设备</w:t>
      </w:r>
      <w:bookmarkEnd w:id="253"/>
      <w:bookmarkEnd w:id="254"/>
    </w:p>
    <w:p>
      <w:r>
        <w:rPr>
          <w:b/>
          <w:bCs/>
        </w:rPr>
        <w:t>8.9.1</w:t>
      </w:r>
      <w:r>
        <w:t xml:space="preserve">  减摩系统的安装应符合下列规定：</w:t>
      </w:r>
    </w:p>
    <w:p>
      <w:pPr>
        <w:ind w:firstLine="240" w:firstLineChars="100"/>
      </w:pPr>
      <w:r>
        <w:t>1  减摩触变泥浆搅拌桶和压浆泵应根据注浆量和注浆压力选用，并宜靠近泥浆箱（/储浆池）安装。</w:t>
      </w:r>
    </w:p>
    <w:p>
      <w:pPr>
        <w:ind w:firstLine="240" w:firstLineChars="100"/>
      </w:pPr>
      <w:r>
        <w:t>2  注浆主管管径不应小于40mm，并宜分段设置球阀。</w:t>
      </w:r>
    </w:p>
    <w:p>
      <w:pPr>
        <w:ind w:firstLine="240" w:firstLineChars="100"/>
      </w:pPr>
      <w:r>
        <w:t>3  每个注浆孔应安装单向阀，每组支管应单独设置球阀。</w:t>
      </w:r>
    </w:p>
    <w:p>
      <w:pPr>
        <w:ind w:firstLine="240" w:firstLineChars="100"/>
      </w:pPr>
      <w:r>
        <w:t>4  顶管机后面第1～3节管应安装注浆管，后续管节可按需要设置。</w:t>
      </w:r>
    </w:p>
    <w:p>
      <w:pPr>
        <w:ind w:firstLine="240" w:firstLineChars="100"/>
        <w:rPr>
          <w:kern w:val="0"/>
        </w:rPr>
      </w:pPr>
      <w:r>
        <w:rPr>
          <w:bCs/>
          <w:kern w:val="0"/>
        </w:rPr>
        <w:t>5</w:t>
      </w:r>
      <w:r>
        <w:rPr>
          <w:kern w:val="0"/>
        </w:rPr>
        <w:t xml:space="preserve">  在注浆泵出口及注浆口处应安装压力检测装置，可安装压力表或压力传感器，便于准确观测注浆压力。</w:t>
      </w:r>
    </w:p>
    <w:p>
      <w:pPr>
        <w:ind w:firstLine="240" w:firstLineChars="100"/>
        <w:rPr>
          <w:kern w:val="0"/>
        </w:rPr>
      </w:pPr>
      <w:r>
        <w:rPr>
          <w:kern w:val="0"/>
        </w:rPr>
        <w:t>6  触变泥浆注入孔阀门宜采用并联分组、单组可控模式。</w:t>
      </w:r>
    </w:p>
    <w:p>
      <w:pPr>
        <w:rPr>
          <w:rFonts w:eastAsiaTheme="minorEastAsia"/>
          <w:b/>
        </w:rPr>
      </w:pPr>
      <w:r>
        <w:rPr>
          <w:rFonts w:eastAsiaTheme="minorEastAsia"/>
          <w:b/>
          <w:bCs/>
        </w:rPr>
        <w:t xml:space="preserve">8.9.2  </w:t>
      </w:r>
      <w:r>
        <w:rPr>
          <w:rFonts w:eastAsiaTheme="minorEastAsia"/>
        </w:rPr>
        <w:t>测量系统的安装应符合下列规定：</w:t>
      </w:r>
    </w:p>
    <w:p>
      <w:pPr>
        <w:ind w:firstLine="240" w:firstLineChars="100"/>
      </w:pPr>
      <w:r>
        <w:t xml:space="preserve">1  测量系统宜具有设计轴线管理、空间位置检测、姿态检测、图形显示、测量基点校核及与主机控制系统通信的功能。 </w:t>
      </w:r>
    </w:p>
    <w:p>
      <w:pPr>
        <w:ind w:firstLine="240" w:firstLineChars="100"/>
      </w:pPr>
      <w:r>
        <w:t>2  测量</w:t>
      </w:r>
      <w:r>
        <w:rPr>
          <w:rFonts w:hint="eastAsia"/>
        </w:rPr>
        <w:t>装置</w:t>
      </w:r>
      <w:r>
        <w:t>安装架应固定在始发井</w:t>
      </w:r>
      <w:r>
        <w:rPr>
          <w:rFonts w:hint="eastAsia"/>
        </w:rPr>
        <w:t>主体结构上，确保</w:t>
      </w:r>
      <w:r>
        <w:t>不</w:t>
      </w:r>
      <w:r>
        <w:rPr>
          <w:rFonts w:hint="eastAsia"/>
        </w:rPr>
        <w:t>会</w:t>
      </w:r>
      <w:r>
        <w:t>发生位移</w:t>
      </w:r>
      <w:r>
        <w:rPr>
          <w:rFonts w:hint="eastAsia"/>
        </w:rPr>
        <w:t>扰动，且能与顶管机头部安装的测量靶保持良好的通视</w:t>
      </w:r>
      <w:r>
        <w:t>，每次顶进前应进行复核。</w:t>
      </w:r>
    </w:p>
    <w:p>
      <w:pPr>
        <w:ind w:firstLine="240" w:firstLineChars="100"/>
      </w:pPr>
      <w:r>
        <w:t xml:space="preserve">3  </w:t>
      </w:r>
      <w:r>
        <w:rPr>
          <w:rFonts w:hint="eastAsia"/>
        </w:rPr>
        <w:t>测量靶</w:t>
      </w:r>
      <w:r>
        <w:t>应</w:t>
      </w:r>
      <w:r>
        <w:rPr>
          <w:rFonts w:hint="eastAsia"/>
        </w:rPr>
        <w:t>固定在顶管机上，测量靶的位置应事先测定完成，并</w:t>
      </w:r>
      <w:r>
        <w:t>经常进行</w:t>
      </w:r>
      <w:r>
        <w:rPr>
          <w:rFonts w:hint="eastAsia"/>
        </w:rPr>
        <w:t>位置</w:t>
      </w:r>
      <w:r>
        <w:t>检查和纠正。</w:t>
      </w:r>
    </w:p>
    <w:p>
      <w:pPr>
        <w:ind w:firstLine="240" w:firstLineChars="100"/>
      </w:pPr>
      <w:r>
        <w:t>4  测量</w:t>
      </w:r>
      <w:r>
        <w:rPr>
          <w:rFonts w:hint="eastAsia"/>
        </w:rPr>
        <w:t>装置</w:t>
      </w:r>
      <w:r>
        <w:t>安装</w:t>
      </w:r>
      <w:r>
        <w:rPr>
          <w:rFonts w:hint="eastAsia"/>
        </w:rPr>
        <w:t>应</w:t>
      </w:r>
      <w:r>
        <w:t>与顶管机测量靶中心重合，误差不超过3mm。</w:t>
      </w:r>
    </w:p>
    <w:p>
      <w:pPr>
        <w:ind w:firstLine="240" w:firstLineChars="100"/>
      </w:pPr>
      <w:r>
        <w:rPr>
          <w:rFonts w:hint="eastAsia"/>
        </w:rPr>
        <w:t xml:space="preserve">5 </w:t>
      </w:r>
      <w:r>
        <w:t xml:space="preserve"> </w:t>
      </w:r>
      <w:r>
        <w:rPr>
          <w:rFonts w:hint="eastAsia"/>
        </w:rPr>
        <w:t>测量系统所有电缆都经过屏蔽保护，电缆连接有明确标识，电缆设计具有防误插拔功能。</w:t>
      </w:r>
    </w:p>
    <w:p>
      <w:pPr>
        <w:rPr>
          <w:rFonts w:eastAsiaTheme="minorEastAsia"/>
          <w:b/>
        </w:rPr>
      </w:pPr>
      <w:r>
        <w:rPr>
          <w:rFonts w:eastAsiaTheme="minorEastAsia"/>
          <w:b/>
          <w:bCs/>
        </w:rPr>
        <w:t>8.9.3</w:t>
      </w:r>
      <w:r>
        <w:rPr>
          <w:rFonts w:eastAsiaTheme="minorEastAsia"/>
        </w:rPr>
        <w:t xml:space="preserve">  纠偏液压缸的安装应符合下列规定：</w:t>
      </w:r>
    </w:p>
    <w:p>
      <w:pPr>
        <w:ind w:firstLine="240" w:firstLineChars="100"/>
        <w:rPr>
          <w:kern w:val="0"/>
        </w:rPr>
      </w:pPr>
      <w:r>
        <w:rPr>
          <w:kern w:val="0"/>
          <w:lang w:val="de-DE"/>
        </w:rPr>
        <w:t xml:space="preserve">1  </w:t>
      </w:r>
      <w:r>
        <w:rPr>
          <w:kern w:val="0"/>
        </w:rPr>
        <w:t>纠偏液压缸安装在顶管机</w:t>
      </w:r>
      <w:r>
        <w:rPr>
          <w:rFonts w:hint="eastAsia"/>
          <w:kern w:val="0"/>
        </w:rPr>
        <w:t>主机铰接</w:t>
      </w:r>
      <w:r>
        <w:rPr>
          <w:kern w:val="0"/>
        </w:rPr>
        <w:t>位置，用以调整垂直和水平的轴线偏差。</w:t>
      </w:r>
    </w:p>
    <w:p>
      <w:pPr>
        <w:ind w:firstLine="240" w:firstLineChars="100"/>
        <w:rPr>
          <w:kern w:val="0"/>
        </w:rPr>
      </w:pPr>
      <w:r>
        <w:rPr>
          <w:kern w:val="0"/>
        </w:rPr>
        <w:t>2  纠偏液压缸安装方向应根据盾体结构形式确定，确保液压缸伸缩方便且不影响管线布置。</w:t>
      </w:r>
    </w:p>
    <w:p>
      <w:pPr>
        <w:rPr>
          <w:rFonts w:eastAsiaTheme="minorEastAsia"/>
          <w:b/>
        </w:rPr>
      </w:pPr>
      <w:r>
        <w:rPr>
          <w:rFonts w:eastAsiaTheme="minorEastAsia"/>
          <w:b/>
          <w:bCs/>
        </w:rPr>
        <w:t>8.9.4</w:t>
      </w:r>
      <w:r>
        <w:rPr>
          <w:rFonts w:eastAsiaTheme="minorEastAsia"/>
        </w:rPr>
        <w:t xml:space="preserve">  起重机械安装应符合下列规定：</w:t>
      </w:r>
    </w:p>
    <w:p>
      <w:pPr>
        <w:ind w:firstLine="240" w:firstLineChars="100"/>
        <w:rPr>
          <w:kern w:val="0"/>
        </w:rPr>
      </w:pPr>
      <w:r>
        <w:rPr>
          <w:kern w:val="0"/>
        </w:rPr>
        <w:t>1  顶管施工需配备垂直吊装设备。一般情况下可采用桥式起重机（即门式行车）或旋转臂架式起重机（如汽车吊、履带吊），其起重能力应满足顶管掘进机和顶推设备的装拆、顶进管</w:t>
      </w:r>
      <w:r>
        <w:rPr>
          <w:rFonts w:hint="eastAsia"/>
          <w:kern w:val="0"/>
        </w:rPr>
        <w:t>节</w:t>
      </w:r>
      <w:r>
        <w:rPr>
          <w:kern w:val="0"/>
        </w:rPr>
        <w:t>的吊放和顶铁的装拆、土方和材料的垂直运输等需求。</w:t>
      </w:r>
    </w:p>
    <w:p>
      <w:pPr>
        <w:ind w:firstLine="241" w:firstLineChars="100"/>
        <w:rPr>
          <w:kern w:val="0"/>
        </w:rPr>
      </w:pPr>
      <w:r>
        <w:rPr>
          <w:b/>
          <w:bCs/>
          <w:kern w:val="0"/>
        </w:rPr>
        <w:t xml:space="preserve">2  </w:t>
      </w:r>
      <w:r>
        <w:rPr>
          <w:kern w:val="0"/>
        </w:rPr>
        <w:t>起重机械应建立现场维修保养、定期检查和交接班制度，并遵照执行起重机械相关的安全操作规程。</w:t>
      </w:r>
    </w:p>
    <w:p>
      <w:pPr>
        <w:rPr>
          <w:b/>
        </w:rPr>
      </w:pPr>
    </w:p>
    <w:p>
      <w:pPr>
        <w:pStyle w:val="3"/>
      </w:pPr>
      <w:bookmarkStart w:id="255" w:name="_Toc18057070"/>
      <w:bookmarkStart w:id="256" w:name="_Toc16501"/>
      <w:r>
        <w:rPr>
          <w:rFonts w:hint="eastAsia"/>
        </w:rPr>
        <w:t>8.10</w:t>
      </w:r>
      <w:r>
        <w:t xml:space="preserve">  </w:t>
      </w:r>
      <w:r>
        <w:rPr>
          <w:rFonts w:hint="eastAsia"/>
        </w:rPr>
        <w:t>质量控制</w:t>
      </w:r>
      <w:bookmarkEnd w:id="255"/>
      <w:bookmarkEnd w:id="256"/>
    </w:p>
    <w:p>
      <w:r>
        <w:rPr>
          <w:rFonts w:hint="eastAsia"/>
          <w:b/>
          <w:bCs/>
        </w:rPr>
        <w:t>8.10.1</w:t>
      </w:r>
      <w:r>
        <w:rPr>
          <w:b/>
          <w:bCs/>
        </w:rPr>
        <w:t xml:space="preserve">  </w:t>
      </w:r>
      <w:r>
        <w:rPr>
          <w:rFonts w:hint="eastAsia"/>
        </w:rPr>
        <w:t>原材料、成品、半成品的产品质量应符合设计现行国家相关标准规定。</w:t>
      </w:r>
    </w:p>
    <w:p>
      <w:r>
        <w:rPr>
          <w:b/>
          <w:bCs/>
        </w:rPr>
        <w:t>8.10.2</w:t>
      </w:r>
      <w:r>
        <w:t xml:space="preserve">  </w:t>
      </w:r>
      <w:r>
        <w:rPr>
          <w:rFonts w:hint="eastAsia"/>
        </w:rPr>
        <w:t>顶管机、主顶系统、中继间、减摩系统、测量系统、排渣系统、动力系统应工作正常，系统调试及联合试车结果应符合设计和现行国家相关标准规定。</w:t>
      </w:r>
    </w:p>
    <w:p>
      <w:r>
        <w:rPr>
          <w:rFonts w:hint="eastAsia"/>
          <w:b/>
          <w:bCs/>
        </w:rPr>
        <w:t>8.1</w:t>
      </w:r>
      <w:r>
        <w:rPr>
          <w:b/>
          <w:bCs/>
        </w:rPr>
        <w:t>0</w:t>
      </w:r>
      <w:r>
        <w:rPr>
          <w:rFonts w:hint="eastAsia"/>
          <w:b/>
          <w:bCs/>
        </w:rPr>
        <w:t>.</w:t>
      </w:r>
      <w:r>
        <w:rPr>
          <w:b/>
          <w:bCs/>
        </w:rPr>
        <w:t xml:space="preserve">3  </w:t>
      </w:r>
      <w:r>
        <w:rPr>
          <w:rFonts w:hint="eastAsia"/>
        </w:rPr>
        <w:t>设备总体安装应符合下列规定：</w:t>
      </w:r>
    </w:p>
    <w:p>
      <w:pPr>
        <w:ind w:firstLine="480" w:firstLineChars="200"/>
      </w:pPr>
      <w:r>
        <w:t xml:space="preserve">1  </w:t>
      </w:r>
      <w:r>
        <w:rPr>
          <w:rFonts w:hint="eastAsia"/>
        </w:rPr>
        <w:t>穿墙止水装置中心偏离顶管机中心不应大于</w:t>
      </w:r>
      <w:r>
        <w:t>10mm</w:t>
      </w:r>
      <w:r>
        <w:rPr>
          <w:rFonts w:hint="eastAsia"/>
        </w:rPr>
        <w:t>；</w:t>
      </w:r>
    </w:p>
    <w:p>
      <w:pPr>
        <w:ind w:firstLine="480" w:firstLineChars="200"/>
      </w:pPr>
      <w:r>
        <w:t xml:space="preserve">2  </w:t>
      </w:r>
      <w:r>
        <w:rPr>
          <w:rFonts w:hint="eastAsia"/>
        </w:rPr>
        <w:t>止水帘板压板与顶管机间隙为</w:t>
      </w:r>
      <w:r>
        <w:t>10 mm ~20mm</w:t>
      </w:r>
      <w:r>
        <w:rPr>
          <w:rFonts w:hint="eastAsia"/>
        </w:rPr>
        <w:t>；</w:t>
      </w:r>
    </w:p>
    <w:p>
      <w:pPr>
        <w:ind w:firstLine="480" w:firstLineChars="200"/>
      </w:pPr>
      <w:r>
        <w:t xml:space="preserve">3  </w:t>
      </w:r>
      <w:r>
        <w:rPr>
          <w:rFonts w:hint="eastAsia"/>
        </w:rPr>
        <w:t>穿墙孔四周与顶管机筒体之间的间隙应大于</w:t>
      </w:r>
      <w:r>
        <w:t>50mm</w:t>
      </w:r>
      <w:r>
        <w:rPr>
          <w:rFonts w:hint="eastAsia"/>
        </w:rPr>
        <w:t>，且洞口应清理干净；</w:t>
      </w:r>
    </w:p>
    <w:p>
      <w:pPr>
        <w:ind w:firstLine="480" w:firstLineChars="200"/>
      </w:pPr>
      <w:r>
        <w:t xml:space="preserve">4  </w:t>
      </w:r>
      <w:r>
        <w:rPr>
          <w:rFonts w:hint="eastAsia"/>
        </w:rPr>
        <w:t>油箱液压油数量应满足所有液压缸的使用要求；</w:t>
      </w:r>
    </w:p>
    <w:p>
      <w:pPr>
        <w:ind w:firstLine="480" w:firstLineChars="200"/>
      </w:pPr>
      <w:r>
        <w:t xml:space="preserve">5  </w:t>
      </w:r>
      <w:r>
        <w:rPr>
          <w:rFonts w:hint="eastAsia"/>
        </w:rPr>
        <w:t>激光经纬仪安装完毕并与顶管机测量靶中心重合，误差不超过</w:t>
      </w:r>
      <w:r>
        <w:t>3mm</w:t>
      </w:r>
      <w:r>
        <w:rPr>
          <w:rFonts w:hint="eastAsia"/>
        </w:rPr>
        <w:t>。</w:t>
      </w:r>
    </w:p>
    <w:p>
      <w:r>
        <w:rPr>
          <w:rFonts w:hint="eastAsia"/>
          <w:b/>
          <w:bCs/>
        </w:rPr>
        <w:t>8.1</w:t>
      </w:r>
      <w:r>
        <w:rPr>
          <w:b/>
          <w:bCs/>
        </w:rPr>
        <w:t>0</w:t>
      </w:r>
      <w:r>
        <w:rPr>
          <w:rFonts w:hint="eastAsia"/>
          <w:b/>
          <w:bCs/>
        </w:rPr>
        <w:t>.</w:t>
      </w:r>
      <w:r>
        <w:rPr>
          <w:b/>
          <w:bCs/>
        </w:rPr>
        <w:t xml:space="preserve">4  </w:t>
      </w:r>
      <w:r>
        <w:rPr>
          <w:rFonts w:hint="eastAsia"/>
        </w:rPr>
        <w:t>后座垫铁安装应符合下列规定：</w:t>
      </w:r>
    </w:p>
    <w:p>
      <w:pPr>
        <w:ind w:firstLine="480" w:firstLineChars="200"/>
      </w:pPr>
      <w:r>
        <w:t xml:space="preserve">1  </w:t>
      </w:r>
      <w:r>
        <w:rPr>
          <w:rFonts w:hint="eastAsia"/>
        </w:rPr>
        <w:t>后座垫铁可采用厚度大于</w:t>
      </w:r>
      <w:r>
        <w:t>50mm</w:t>
      </w:r>
      <w:r>
        <w:rPr>
          <w:rFonts w:hint="eastAsia"/>
        </w:rPr>
        <w:t>的钢板或厚度更大的焊接钢构，后座垫铁的立面面积应根据顶力、井壁厚度及强度、土层的承载力综合确定。安装时应确保作用面与顶进方向垂直，倾斜误差不应大于</w:t>
      </w:r>
      <w:r>
        <w:t>0.5%</w:t>
      </w:r>
      <w:r>
        <w:rPr>
          <w:rFonts w:hint="eastAsia"/>
        </w:rPr>
        <w:t>。</w:t>
      </w:r>
      <w:r>
        <w:t xml:space="preserve"> </w:t>
      </w:r>
    </w:p>
    <w:p>
      <w:pPr>
        <w:ind w:firstLine="480" w:firstLineChars="200"/>
      </w:pPr>
      <w:r>
        <w:t xml:space="preserve">2  </w:t>
      </w:r>
      <w:r>
        <w:rPr>
          <w:rFonts w:hint="eastAsia"/>
        </w:rPr>
        <w:t>后座垫铁与井壁之间的空隙应浇筑强度不低于</w:t>
      </w:r>
      <w:r>
        <w:t>C30</w:t>
      </w:r>
      <w:r>
        <w:rPr>
          <w:rFonts w:hint="eastAsia"/>
        </w:rPr>
        <w:t>的钢筋混凝土。</w:t>
      </w:r>
      <w:r>
        <w:t xml:space="preserve"> </w:t>
      </w:r>
    </w:p>
    <w:p>
      <w:r>
        <w:rPr>
          <w:rFonts w:hint="eastAsia"/>
          <w:b/>
          <w:bCs/>
        </w:rPr>
        <w:t>8.10.</w:t>
      </w:r>
      <w:r>
        <w:rPr>
          <w:b/>
          <w:bCs/>
        </w:rPr>
        <w:t xml:space="preserve">5  </w:t>
      </w:r>
      <w:r>
        <w:rPr>
          <w:rFonts w:hint="eastAsia"/>
        </w:rPr>
        <w:t>导轨安装应符合下列规定：</w:t>
      </w:r>
    </w:p>
    <w:p>
      <w:pPr>
        <w:ind w:firstLine="480" w:firstLineChars="200"/>
      </w:pPr>
      <w:r>
        <w:t xml:space="preserve">1  </w:t>
      </w:r>
      <w:r>
        <w:rPr>
          <w:rFonts w:hint="eastAsia"/>
        </w:rPr>
        <w:t>导轨宜选用钢轨及槽钢组合焊接制作，刚度和强度应满足施工要求。</w:t>
      </w:r>
    </w:p>
    <w:p>
      <w:pPr>
        <w:ind w:firstLine="480" w:firstLineChars="200"/>
      </w:pPr>
      <w:r>
        <w:t xml:space="preserve">2  </w:t>
      </w:r>
      <w:r>
        <w:rPr>
          <w:rFonts w:hint="eastAsia"/>
        </w:rPr>
        <w:t>导轨应顺直、平行、等高，安装的纵向坡度应与管道设计坡度一致。</w:t>
      </w:r>
    </w:p>
    <w:p>
      <w:pPr>
        <w:ind w:firstLine="480" w:firstLineChars="200"/>
      </w:pPr>
      <w:r>
        <w:t xml:space="preserve">3  </w:t>
      </w:r>
      <w:r>
        <w:rPr>
          <w:rFonts w:hint="eastAsia"/>
        </w:rPr>
        <w:t>导轨应安装牢固，使用过程中应不产生位移，施工过程中应经常检查。</w:t>
      </w:r>
    </w:p>
    <w:p>
      <w:pPr>
        <w:ind w:firstLine="480" w:firstLineChars="200"/>
      </w:pPr>
      <w:r>
        <w:t xml:space="preserve">4  </w:t>
      </w:r>
      <w:r>
        <w:rPr>
          <w:rFonts w:hint="eastAsia"/>
        </w:rPr>
        <w:t>导轨的安装允许偏差应符合表8.10.</w:t>
      </w:r>
      <w:r>
        <w:t>5</w:t>
      </w:r>
      <w:r>
        <w:rPr>
          <w:rFonts w:hint="eastAsia"/>
        </w:rPr>
        <w:t>的规定：</w:t>
      </w:r>
    </w:p>
    <w:p>
      <w:pPr>
        <w:jc w:val="center"/>
        <w:rPr>
          <w:b/>
          <w:bCs/>
          <w:sz w:val="21"/>
          <w:szCs w:val="18"/>
        </w:rPr>
      </w:pPr>
      <w:r>
        <w:rPr>
          <w:rFonts w:hint="eastAsia"/>
          <w:b/>
          <w:bCs/>
          <w:sz w:val="21"/>
          <w:szCs w:val="18"/>
        </w:rPr>
        <w:t>表8.10.</w:t>
      </w:r>
      <w:r>
        <w:rPr>
          <w:b/>
          <w:bCs/>
          <w:sz w:val="21"/>
          <w:szCs w:val="18"/>
        </w:rPr>
        <w:t xml:space="preserve">5  </w:t>
      </w:r>
      <w:r>
        <w:rPr>
          <w:rFonts w:hint="eastAsia"/>
          <w:b/>
          <w:bCs/>
          <w:sz w:val="21"/>
          <w:szCs w:val="18"/>
        </w:rPr>
        <w:t>导轨安装允许偏差（</w:t>
      </w:r>
      <w:r>
        <w:rPr>
          <w:b/>
          <w:bCs/>
          <w:sz w:val="21"/>
          <w:szCs w:val="18"/>
        </w:rPr>
        <w:t>mm</w:t>
      </w:r>
      <w:r>
        <w:rPr>
          <w:rFonts w:hint="eastAsia"/>
          <w:b/>
          <w:bCs/>
          <w:sz w:val="21"/>
          <w:szCs w:val="18"/>
        </w:rPr>
        <w:t>）</w:t>
      </w:r>
    </w:p>
    <w:tbl>
      <w:tblPr>
        <w:tblStyle w:val="36"/>
        <w:tblW w:w="805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430"/>
        <w:gridCol w:w="1238"/>
        <w:gridCol w:w="1842"/>
        <w:gridCol w:w="154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430" w:type="dxa"/>
            <w:vAlign w:val="center"/>
          </w:tcPr>
          <w:p>
            <w:pPr>
              <w:autoSpaceDE w:val="0"/>
              <w:autoSpaceDN w:val="0"/>
              <w:adjustRightInd w:val="0"/>
              <w:jc w:val="center"/>
              <w:rPr>
                <w:rFonts w:ascii="宋体" w:cs="宋体"/>
                <w:color w:val="000000"/>
                <w:kern w:val="0"/>
                <w:szCs w:val="24"/>
              </w:rPr>
            </w:pPr>
            <w:r>
              <w:rPr>
                <w:rFonts w:hint="eastAsia" w:ascii="宋体" w:cs="宋体"/>
                <w:color w:val="000000"/>
                <w:kern w:val="0"/>
                <w:szCs w:val="24"/>
              </w:rPr>
              <w:t>偏差项目</w:t>
            </w:r>
            <w:r>
              <w:rPr>
                <w:rFonts w:ascii="宋体" w:cs="宋体"/>
                <w:color w:val="000000"/>
                <w:kern w:val="0"/>
                <w:szCs w:val="24"/>
              </w:rPr>
              <w:t xml:space="preserve"> </w:t>
            </w:r>
          </w:p>
        </w:tc>
        <w:tc>
          <w:tcPr>
            <w:tcW w:w="1238" w:type="dxa"/>
            <w:vAlign w:val="center"/>
          </w:tcPr>
          <w:p>
            <w:pPr>
              <w:autoSpaceDE w:val="0"/>
              <w:autoSpaceDN w:val="0"/>
              <w:adjustRightInd w:val="0"/>
              <w:jc w:val="center"/>
              <w:rPr>
                <w:rFonts w:ascii="宋体" w:cs="宋体"/>
                <w:color w:val="000000"/>
                <w:kern w:val="0"/>
                <w:szCs w:val="24"/>
              </w:rPr>
            </w:pPr>
            <w:r>
              <w:rPr>
                <w:rFonts w:hint="eastAsia" w:ascii="宋体" w:cs="宋体"/>
                <w:color w:val="000000"/>
                <w:kern w:val="0"/>
                <w:szCs w:val="24"/>
              </w:rPr>
              <w:t>轴线偏差</w:t>
            </w:r>
            <w:r>
              <w:rPr>
                <w:rFonts w:ascii="宋体" w:cs="宋体"/>
                <w:color w:val="000000"/>
                <w:kern w:val="0"/>
                <w:szCs w:val="24"/>
              </w:rPr>
              <w:t xml:space="preserve"> </w:t>
            </w:r>
          </w:p>
        </w:tc>
        <w:tc>
          <w:tcPr>
            <w:tcW w:w="1842" w:type="dxa"/>
            <w:vAlign w:val="center"/>
          </w:tcPr>
          <w:p>
            <w:pPr>
              <w:autoSpaceDE w:val="0"/>
              <w:autoSpaceDN w:val="0"/>
              <w:adjustRightInd w:val="0"/>
              <w:jc w:val="center"/>
              <w:rPr>
                <w:rFonts w:ascii="宋体" w:cs="宋体"/>
                <w:color w:val="000000"/>
                <w:kern w:val="0"/>
                <w:szCs w:val="24"/>
              </w:rPr>
            </w:pPr>
            <w:r>
              <w:rPr>
                <w:rFonts w:hint="eastAsia" w:ascii="宋体" w:cs="宋体"/>
                <w:color w:val="000000"/>
                <w:kern w:val="0"/>
                <w:szCs w:val="24"/>
              </w:rPr>
              <w:t>导轨顶面高程</w:t>
            </w:r>
            <w:r>
              <w:rPr>
                <w:rFonts w:ascii="宋体" w:cs="宋体"/>
                <w:color w:val="000000"/>
                <w:kern w:val="0"/>
                <w:szCs w:val="24"/>
              </w:rPr>
              <w:t xml:space="preserve"> </w:t>
            </w:r>
          </w:p>
        </w:tc>
        <w:tc>
          <w:tcPr>
            <w:tcW w:w="1540" w:type="dxa"/>
            <w:vAlign w:val="center"/>
          </w:tcPr>
          <w:p>
            <w:pPr>
              <w:autoSpaceDE w:val="0"/>
              <w:autoSpaceDN w:val="0"/>
              <w:adjustRightInd w:val="0"/>
              <w:jc w:val="center"/>
              <w:rPr>
                <w:rFonts w:ascii="宋体" w:cs="宋体"/>
                <w:color w:val="000000"/>
                <w:kern w:val="0"/>
                <w:szCs w:val="24"/>
              </w:rPr>
            </w:pPr>
            <w:r>
              <w:rPr>
                <w:rFonts w:hint="eastAsia" w:ascii="宋体" w:cs="宋体"/>
                <w:color w:val="000000"/>
                <w:kern w:val="0"/>
                <w:szCs w:val="24"/>
              </w:rPr>
              <w:t>两轨净间距</w:t>
            </w:r>
            <w:r>
              <w:rPr>
                <w:rFonts w:ascii="宋体" w:cs="宋体"/>
                <w:color w:val="000000"/>
                <w:kern w:val="0"/>
                <w:szCs w:val="24"/>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430" w:type="dxa"/>
            <w:vAlign w:val="center"/>
          </w:tcPr>
          <w:p>
            <w:pPr>
              <w:autoSpaceDE w:val="0"/>
              <w:autoSpaceDN w:val="0"/>
              <w:adjustRightInd w:val="0"/>
              <w:jc w:val="center"/>
              <w:rPr>
                <w:rFonts w:ascii="宋体" w:cs="宋体"/>
                <w:color w:val="000000"/>
                <w:kern w:val="0"/>
                <w:szCs w:val="24"/>
              </w:rPr>
            </w:pPr>
            <w:r>
              <w:rPr>
                <w:rFonts w:hint="eastAsia" w:ascii="宋体" w:cs="宋体"/>
                <w:color w:val="000000"/>
                <w:kern w:val="0"/>
                <w:szCs w:val="24"/>
              </w:rPr>
              <w:t>允许偏差值</w:t>
            </w:r>
            <w:r>
              <w:rPr>
                <w:rFonts w:ascii="宋体" w:cs="宋体"/>
                <w:color w:val="000000"/>
                <w:kern w:val="0"/>
                <w:szCs w:val="24"/>
              </w:rPr>
              <w:t xml:space="preserve"> </w:t>
            </w:r>
          </w:p>
        </w:tc>
        <w:tc>
          <w:tcPr>
            <w:tcW w:w="1238" w:type="dxa"/>
            <w:vAlign w:val="center"/>
          </w:tcPr>
          <w:p>
            <w:pPr>
              <w:autoSpaceDE w:val="0"/>
              <w:autoSpaceDN w:val="0"/>
              <w:adjustRightInd w:val="0"/>
              <w:jc w:val="center"/>
              <w:rPr>
                <w:color w:val="000000"/>
                <w:kern w:val="0"/>
                <w:szCs w:val="24"/>
              </w:rPr>
            </w:pPr>
            <w:r>
              <w:rPr>
                <w:color w:val="000000"/>
                <w:kern w:val="0"/>
                <w:szCs w:val="24"/>
              </w:rPr>
              <w:t xml:space="preserve">±3 </w:t>
            </w:r>
          </w:p>
        </w:tc>
        <w:tc>
          <w:tcPr>
            <w:tcW w:w="1842" w:type="dxa"/>
            <w:vAlign w:val="center"/>
          </w:tcPr>
          <w:p>
            <w:pPr>
              <w:autoSpaceDE w:val="0"/>
              <w:autoSpaceDN w:val="0"/>
              <w:adjustRightInd w:val="0"/>
              <w:jc w:val="center"/>
              <w:rPr>
                <w:color w:val="000000"/>
                <w:kern w:val="0"/>
                <w:szCs w:val="24"/>
              </w:rPr>
            </w:pPr>
            <w:r>
              <w:rPr>
                <w:color w:val="000000"/>
                <w:kern w:val="0"/>
                <w:szCs w:val="24"/>
              </w:rPr>
              <w:t xml:space="preserve">0 </w:t>
            </w:r>
            <w:r>
              <w:rPr>
                <w:rFonts w:hint="eastAsia"/>
                <w:color w:val="000000"/>
                <w:kern w:val="0"/>
                <w:szCs w:val="24"/>
              </w:rPr>
              <w:t>~</w:t>
            </w:r>
            <w:r>
              <w:rPr>
                <w:color w:val="000000"/>
                <w:kern w:val="0"/>
                <w:szCs w:val="24"/>
              </w:rPr>
              <w:t>+3</w:t>
            </w:r>
          </w:p>
        </w:tc>
        <w:tc>
          <w:tcPr>
            <w:tcW w:w="1540" w:type="dxa"/>
            <w:vAlign w:val="center"/>
          </w:tcPr>
          <w:p>
            <w:pPr>
              <w:autoSpaceDE w:val="0"/>
              <w:autoSpaceDN w:val="0"/>
              <w:adjustRightInd w:val="0"/>
              <w:jc w:val="center"/>
              <w:rPr>
                <w:color w:val="000000"/>
                <w:kern w:val="0"/>
                <w:szCs w:val="24"/>
              </w:rPr>
            </w:pPr>
            <w:r>
              <w:rPr>
                <w:color w:val="000000"/>
                <w:kern w:val="0"/>
                <w:szCs w:val="24"/>
              </w:rPr>
              <w:t xml:space="preserve">±2 </w:t>
            </w:r>
          </w:p>
        </w:tc>
      </w:tr>
    </w:tbl>
    <w:p/>
    <w:p>
      <w:r>
        <w:rPr>
          <w:rFonts w:hint="eastAsia"/>
          <w:b/>
          <w:bCs/>
        </w:rPr>
        <w:t>8.10.</w:t>
      </w:r>
      <w:r>
        <w:rPr>
          <w:b/>
          <w:bCs/>
        </w:rPr>
        <w:t xml:space="preserve">6  </w:t>
      </w:r>
      <w:r>
        <w:rPr>
          <w:rFonts w:hint="eastAsia"/>
        </w:rPr>
        <w:t>顶铁安装应符合下列规定：</w:t>
      </w:r>
    </w:p>
    <w:p>
      <w:pPr>
        <w:ind w:firstLine="480" w:firstLineChars="200"/>
      </w:pPr>
      <w:r>
        <w:rPr>
          <w:rFonts w:hint="eastAsia"/>
        </w:rPr>
        <w:t>1</w:t>
      </w:r>
      <w:r>
        <w:t xml:space="preserve">  </w:t>
      </w:r>
      <w:r>
        <w:rPr>
          <w:rFonts w:hint="eastAsia"/>
        </w:rPr>
        <w:t>顶铁的强度、刚度应满足最大允许顶力要求；安装轴线应与管道轴线平行、对称，顶铁在导轨上滑动平稳、且无阻滞现象，以使传力均匀和受力稳定。</w:t>
      </w:r>
    </w:p>
    <w:p>
      <w:pPr>
        <w:ind w:firstLine="480" w:firstLineChars="200"/>
      </w:pPr>
      <w:r>
        <w:t xml:space="preserve">2  </w:t>
      </w:r>
      <w:r>
        <w:rPr>
          <w:rFonts w:hint="eastAsia"/>
        </w:rPr>
        <w:t>顶铁与管端面之间应采用缓冲材料衬垫，并宜采用与管端面吻合的U形或环形顶铁。</w:t>
      </w:r>
    </w:p>
    <w:p>
      <w:pPr>
        <w:ind w:firstLine="480" w:firstLineChars="200"/>
      </w:pPr>
      <w:r>
        <w:t xml:space="preserve">3  </w:t>
      </w:r>
      <w:r>
        <w:rPr>
          <w:rFonts w:hint="eastAsia"/>
        </w:rPr>
        <w:t>安装前应检查顶铁规格和完好性，不同规格的顶铁不宜混用。</w:t>
      </w:r>
    </w:p>
    <w:p>
      <w:r>
        <w:rPr>
          <w:rFonts w:hint="eastAsia"/>
          <w:b/>
          <w:bCs/>
        </w:rPr>
        <w:t>8.10.7</w:t>
      </w:r>
      <w:r>
        <w:rPr>
          <w:b/>
          <w:bCs/>
        </w:rPr>
        <w:t xml:space="preserve">  </w:t>
      </w:r>
      <w:r>
        <w:rPr>
          <w:rFonts w:hint="eastAsia"/>
        </w:rPr>
        <w:t>测量系统安装应符合下列规定：</w:t>
      </w:r>
    </w:p>
    <w:p>
      <w:pPr>
        <w:ind w:firstLine="480" w:firstLineChars="200"/>
      </w:pPr>
      <w:r>
        <w:t xml:space="preserve">1  </w:t>
      </w:r>
      <w:r>
        <w:rPr>
          <w:rFonts w:hint="eastAsia"/>
        </w:rPr>
        <w:t>测量控制点应设置在稳定可靠、不易扰动、通视良好、易于标识的位置。</w:t>
      </w:r>
    </w:p>
    <w:p>
      <w:pPr>
        <w:ind w:firstLine="480" w:firstLineChars="200"/>
      </w:pPr>
      <w:r>
        <w:t xml:space="preserve">2  </w:t>
      </w:r>
      <w:r>
        <w:rPr>
          <w:rFonts w:hint="eastAsia"/>
        </w:rPr>
        <w:t>激光经纬仪安装架应固定在工作井底板上，每次顶进前应进行复核。</w:t>
      </w:r>
    </w:p>
    <w:p>
      <w:pPr>
        <w:ind w:firstLine="480" w:firstLineChars="200"/>
      </w:pPr>
      <w:r>
        <w:t xml:space="preserve">3  </w:t>
      </w:r>
      <w:r>
        <w:rPr>
          <w:rFonts w:hint="eastAsia"/>
        </w:rPr>
        <w:t>测量靶应经常进行水平检查和纠正，或使用垂重自动纠平。</w:t>
      </w:r>
    </w:p>
    <w:p>
      <w:pPr>
        <w:ind w:firstLine="480" w:firstLineChars="200"/>
        <w:sectPr>
          <w:footerReference r:id="rId3" w:type="default"/>
          <w:pgSz w:w="12240" w:h="15840"/>
          <w:pgMar w:top="1440" w:right="1440" w:bottom="1440" w:left="1440" w:header="720" w:footer="720" w:gutter="0"/>
          <w:cols w:space="720" w:num="1"/>
          <w:docGrid w:linePitch="360" w:charSpace="0"/>
        </w:sectPr>
      </w:pPr>
    </w:p>
    <w:p>
      <w:pPr>
        <w:pStyle w:val="2"/>
        <w:spacing w:before="0" w:after="0"/>
      </w:pPr>
      <w:bookmarkStart w:id="257" w:name="_Toc28041"/>
      <w:bookmarkStart w:id="258" w:name="_Toc18057071"/>
      <w:r>
        <w:t>9</w:t>
      </w:r>
      <w:r>
        <w:rPr>
          <w:rFonts w:hint="eastAsia"/>
        </w:rPr>
        <w:t xml:space="preserve"> </w:t>
      </w:r>
      <w:r>
        <w:t xml:space="preserve"> </w:t>
      </w:r>
      <w:r>
        <w:rPr>
          <w:rFonts w:hint="eastAsia"/>
        </w:rPr>
        <w:t>顶</w:t>
      </w:r>
      <w:r>
        <w:t>进施工</w:t>
      </w:r>
      <w:bookmarkEnd w:id="257"/>
      <w:bookmarkEnd w:id="258"/>
    </w:p>
    <w:p>
      <w:pPr>
        <w:pStyle w:val="3"/>
      </w:pPr>
      <w:bookmarkStart w:id="259" w:name="_Toc18057072"/>
      <w:bookmarkStart w:id="260" w:name="_Toc18276"/>
      <w:r>
        <w:t xml:space="preserve">9.1 </w:t>
      </w:r>
      <w:r>
        <w:rPr>
          <w:rFonts w:hint="eastAsia"/>
        </w:rPr>
        <w:t xml:space="preserve"> 一</w:t>
      </w:r>
      <w:r>
        <w:t>般规定</w:t>
      </w:r>
      <w:bookmarkEnd w:id="259"/>
      <w:bookmarkEnd w:id="260"/>
    </w:p>
    <w:p>
      <w:r>
        <w:rPr>
          <w:rFonts w:hint="eastAsia"/>
          <w:b/>
          <w:bCs/>
        </w:rPr>
        <w:t>9.</w:t>
      </w:r>
      <w:r>
        <w:rPr>
          <w:b/>
          <w:bCs/>
        </w:rPr>
        <w:t>1.</w:t>
      </w:r>
      <w:r>
        <w:rPr>
          <w:rFonts w:hint="eastAsia"/>
          <w:b/>
          <w:bCs/>
        </w:rPr>
        <w:t>1</w:t>
      </w:r>
      <w:r>
        <w:rPr>
          <w:b/>
          <w:bCs/>
        </w:rPr>
        <w:t xml:space="preserve">  </w:t>
      </w:r>
      <w:r>
        <w:rPr>
          <w:rFonts w:hint="eastAsia"/>
        </w:rPr>
        <w:t>施</w:t>
      </w:r>
      <w:r>
        <w:t>工单位应按照合同文件、设计文件和有关规范、标准要求，根据建设单位提供的施工界域内有关工程地质、水文地质和周围环境情况，以及沿线地下与地上管线、周边</w:t>
      </w:r>
      <w:r>
        <w:rPr>
          <w:rFonts w:hint="eastAsia"/>
        </w:rPr>
        <w:t>建</w:t>
      </w:r>
      <w:r>
        <w:t>（</w:t>
      </w:r>
      <w:r>
        <w:rPr>
          <w:rFonts w:hint="eastAsia"/>
        </w:rPr>
        <w:t>构</w:t>
      </w:r>
      <w:r>
        <w:t>）筑物、障碍物及其他设施的详细资料进行核实确认</w:t>
      </w:r>
      <w:r>
        <w:rPr>
          <w:rFonts w:hint="eastAsia"/>
        </w:rPr>
        <w:t>。</w:t>
      </w:r>
    </w:p>
    <w:p>
      <w:r>
        <w:rPr>
          <w:rFonts w:hint="eastAsia"/>
          <w:b/>
          <w:bCs/>
        </w:rPr>
        <w:t>9</w:t>
      </w:r>
      <w:r>
        <w:rPr>
          <w:b/>
          <w:bCs/>
        </w:rPr>
        <w:t>.1.</w:t>
      </w:r>
      <w:r>
        <w:rPr>
          <w:rFonts w:hint="eastAsia"/>
          <w:b/>
          <w:bCs/>
        </w:rPr>
        <w:t>2</w:t>
      </w:r>
      <w:r>
        <w:rPr>
          <w:b/>
          <w:bCs/>
        </w:rPr>
        <w:t xml:space="preserve">  </w:t>
      </w:r>
      <w:r>
        <w:rPr>
          <w:rFonts w:hint="eastAsia"/>
        </w:rPr>
        <w:t>施</w:t>
      </w:r>
      <w:r>
        <w:t>工单位应熟悉和审查施工图纸，掌握设计意图与要求实行自审、会审（交底）和签证制度；发现施工图有疑问、差错时，应及时提出意见和建议；如需变更设计，应按照相应程序报审，经相关单位签证认定后实施。</w:t>
      </w:r>
    </w:p>
    <w:p>
      <w:r>
        <w:rPr>
          <w:rFonts w:hint="eastAsia"/>
          <w:b/>
          <w:bCs/>
        </w:rPr>
        <w:t>9</w:t>
      </w:r>
      <w:r>
        <w:rPr>
          <w:b/>
          <w:bCs/>
        </w:rPr>
        <w:t>.1.</w:t>
      </w:r>
      <w:r>
        <w:rPr>
          <w:rFonts w:hint="eastAsia"/>
          <w:b/>
          <w:bCs/>
        </w:rPr>
        <w:t>3</w:t>
      </w:r>
      <w:r>
        <w:rPr>
          <w:b/>
          <w:bCs/>
        </w:rPr>
        <w:t xml:space="preserve">  </w:t>
      </w:r>
      <w:r>
        <w:rPr>
          <w:rFonts w:hint="eastAsia"/>
        </w:rPr>
        <w:t>施</w:t>
      </w:r>
      <w:r>
        <w:t>工单位在开工前应编制施工组织设计，对关键的分项、分部工程应分别编制专项施工方案</w:t>
      </w:r>
      <w:r>
        <w:rPr>
          <w:rFonts w:hint="eastAsia"/>
        </w:rPr>
        <w:t>，</w:t>
      </w:r>
      <w:r>
        <w:t>专项施工方案应按规定程序审批后执行，有变更时要办理变更审批。</w:t>
      </w:r>
    </w:p>
    <w:p>
      <w:r>
        <w:rPr>
          <w:rFonts w:hint="eastAsia"/>
          <w:b/>
          <w:bCs/>
        </w:rPr>
        <w:t>9</w:t>
      </w:r>
      <w:r>
        <w:rPr>
          <w:b/>
          <w:bCs/>
        </w:rPr>
        <w:t>.1.</w:t>
      </w:r>
      <w:r>
        <w:rPr>
          <w:rFonts w:hint="eastAsia"/>
          <w:b/>
          <w:bCs/>
        </w:rPr>
        <w:t>4</w:t>
      </w:r>
      <w:r>
        <w:rPr>
          <w:b/>
          <w:bCs/>
        </w:rPr>
        <w:t xml:space="preserve">  </w:t>
      </w:r>
      <w:r>
        <w:rPr>
          <w:rFonts w:hint="eastAsia"/>
        </w:rPr>
        <w:t>施</w:t>
      </w:r>
      <w:r>
        <w:t>工临时设施应根据工程特点合理设置，并有总体布局方案。对不宜间断施工的项目，应有备用动力和设备。</w:t>
      </w:r>
    </w:p>
    <w:p>
      <w:r>
        <w:rPr>
          <w:rFonts w:hint="eastAsia"/>
          <w:b/>
          <w:bCs/>
        </w:rPr>
        <w:t>9</w:t>
      </w:r>
      <w:r>
        <w:rPr>
          <w:b/>
          <w:bCs/>
        </w:rPr>
        <w:t>.1.</w:t>
      </w:r>
      <w:r>
        <w:rPr>
          <w:rFonts w:hint="eastAsia"/>
          <w:b/>
          <w:bCs/>
        </w:rPr>
        <w:t>5</w:t>
      </w:r>
      <w:r>
        <w:rPr>
          <w:b/>
          <w:bCs/>
        </w:rPr>
        <w:t xml:space="preserve">  </w:t>
      </w:r>
      <w:r>
        <w:rPr>
          <w:rFonts w:hint="eastAsia"/>
        </w:rPr>
        <w:t>工</w:t>
      </w:r>
      <w:r>
        <w:t>程所用的管材、</w:t>
      </w:r>
      <w:r>
        <w:rPr>
          <w:rFonts w:hint="eastAsia"/>
        </w:rPr>
        <w:t>矩形顶管</w:t>
      </w:r>
      <w:r>
        <w:t>附件、构（配）件和主要原材料等产品进入施工现场时应进行进场验收并妥善保管。进场验收时应检查每批产品的订购合同、质量合格证书、性能检验报告、使用说明书、进口产品的商检报告及证件等，并</w:t>
      </w:r>
      <w:r>
        <w:rPr>
          <w:rFonts w:hint="eastAsia"/>
        </w:rPr>
        <w:t>按</w:t>
      </w:r>
      <w:r>
        <w:t>国家有关标准规定进行复验，验收合格后方可使用。</w:t>
      </w:r>
    </w:p>
    <w:p>
      <w:r>
        <w:rPr>
          <w:rFonts w:hint="eastAsia"/>
          <w:b/>
          <w:bCs/>
        </w:rPr>
        <w:t>9</w:t>
      </w:r>
      <w:r>
        <w:rPr>
          <w:b/>
          <w:bCs/>
        </w:rPr>
        <w:t>.1.</w:t>
      </w:r>
      <w:r>
        <w:rPr>
          <w:rFonts w:hint="eastAsia"/>
          <w:b/>
          <w:bCs/>
        </w:rPr>
        <w:t>6</w:t>
      </w:r>
      <w:r>
        <w:rPr>
          <w:b/>
          <w:bCs/>
        </w:rPr>
        <w:t xml:space="preserve">  </w:t>
      </w:r>
      <w:r>
        <w:rPr>
          <w:rFonts w:hint="eastAsia"/>
        </w:rPr>
        <w:t>现</w:t>
      </w:r>
      <w:r>
        <w:t>场配置的混凝土、砂浆、防腐与防水涂料等工程材料应</w:t>
      </w:r>
      <w:r>
        <w:rPr>
          <w:rFonts w:hint="eastAsia"/>
        </w:rPr>
        <w:t>检</w:t>
      </w:r>
      <w:r>
        <w:t>测合格后方可使用。</w:t>
      </w:r>
    </w:p>
    <w:p>
      <w:r>
        <w:rPr>
          <w:rFonts w:hint="eastAsia"/>
          <w:b/>
          <w:bCs/>
        </w:rPr>
        <w:t>9</w:t>
      </w:r>
      <w:r>
        <w:rPr>
          <w:b/>
          <w:bCs/>
        </w:rPr>
        <w:t>.1.</w:t>
      </w:r>
      <w:r>
        <w:rPr>
          <w:rFonts w:hint="eastAsia"/>
          <w:b/>
          <w:bCs/>
        </w:rPr>
        <w:t>7</w:t>
      </w:r>
      <w:r>
        <w:rPr>
          <w:b/>
          <w:bCs/>
        </w:rPr>
        <w:t xml:space="preserve">  </w:t>
      </w:r>
      <w:r>
        <w:rPr>
          <w:rFonts w:hint="eastAsia"/>
        </w:rPr>
        <w:t>施工</w:t>
      </w:r>
      <w:r>
        <w:t>所用管节、半成品、构（配）件等在运输、保管和施工过程中，应采取有效措施防止其损坏、锈蚀或变质。</w:t>
      </w:r>
    </w:p>
    <w:p>
      <w:r>
        <w:rPr>
          <w:rFonts w:hint="eastAsia"/>
          <w:b/>
          <w:bCs/>
        </w:rPr>
        <w:t>9</w:t>
      </w:r>
      <w:r>
        <w:rPr>
          <w:b/>
          <w:bCs/>
        </w:rPr>
        <w:t>.1.</w:t>
      </w:r>
      <w:r>
        <w:rPr>
          <w:rFonts w:hint="eastAsia"/>
          <w:b/>
          <w:bCs/>
        </w:rPr>
        <w:t>8</w:t>
      </w:r>
      <w:r>
        <w:rPr>
          <w:b/>
          <w:bCs/>
        </w:rPr>
        <w:t xml:space="preserve">  </w:t>
      </w:r>
      <w:r>
        <w:rPr>
          <w:rFonts w:hint="eastAsia"/>
        </w:rPr>
        <w:t>施</w:t>
      </w:r>
      <w:r>
        <w:t>工单位应遵守国家和地方政府有关环境保护的法律、法规，采取有效措施控制施工现场的各种废弃物对环境造成的污染和危害。</w:t>
      </w:r>
    </w:p>
    <w:p>
      <w:r>
        <w:rPr>
          <w:rFonts w:hint="eastAsia"/>
          <w:b/>
          <w:bCs/>
        </w:rPr>
        <w:t>9</w:t>
      </w:r>
      <w:r>
        <w:rPr>
          <w:b/>
          <w:bCs/>
        </w:rPr>
        <w:t>.1.</w:t>
      </w:r>
      <w:r>
        <w:rPr>
          <w:rFonts w:hint="eastAsia"/>
          <w:b/>
          <w:bCs/>
        </w:rPr>
        <w:t>9</w:t>
      </w:r>
      <w:r>
        <w:rPr>
          <w:b/>
          <w:bCs/>
        </w:rPr>
        <w:t xml:space="preserve">  </w:t>
      </w:r>
      <w:r>
        <w:t>质量检验、验收中使用的计量器具和检测设备，应经计量检定、校准合格后方可使用。</w:t>
      </w:r>
    </w:p>
    <w:p>
      <w:r>
        <w:rPr>
          <w:rFonts w:hint="eastAsia"/>
          <w:b/>
          <w:bCs/>
        </w:rPr>
        <w:t>9</w:t>
      </w:r>
      <w:r>
        <w:rPr>
          <w:b/>
          <w:bCs/>
        </w:rPr>
        <w:t>.1.</w:t>
      </w:r>
      <w:r>
        <w:rPr>
          <w:rFonts w:hint="eastAsia"/>
          <w:b/>
          <w:bCs/>
        </w:rPr>
        <w:t>10</w:t>
      </w:r>
      <w:r>
        <w:rPr>
          <w:b/>
          <w:bCs/>
        </w:rPr>
        <w:t xml:space="preserve">  </w:t>
      </w:r>
      <w:r>
        <w:rPr>
          <w:rFonts w:hint="eastAsia"/>
        </w:rPr>
        <w:t>矩</w:t>
      </w:r>
      <w:r>
        <w:t>形顶管工程施工质量控制应符合下列规定：</w:t>
      </w:r>
    </w:p>
    <w:p>
      <w:pPr>
        <w:ind w:firstLine="480" w:firstLineChars="200"/>
      </w:pPr>
      <w:r>
        <w:rPr>
          <w:rFonts w:hint="eastAsia"/>
        </w:rPr>
        <w:t>1</w:t>
      </w:r>
      <w:r>
        <w:t xml:space="preserve">  各分项工程应按照施工技术标准进行质量控制，每分项工程完成后，应进行检验；</w:t>
      </w:r>
    </w:p>
    <w:p>
      <w:pPr>
        <w:ind w:firstLine="480" w:firstLineChars="200"/>
      </w:pPr>
      <w:r>
        <w:t>2  相关各分项工程之间，应进行交接检验，所有隐蔽分项工程应进行隐蔽验收，未经检验或验收不合格不得进行下道分项工程。</w:t>
      </w:r>
    </w:p>
    <w:p>
      <w:r>
        <w:rPr>
          <w:rFonts w:hint="eastAsia"/>
          <w:b/>
          <w:bCs/>
        </w:rPr>
        <w:t>9</w:t>
      </w:r>
      <w:r>
        <w:rPr>
          <w:b/>
          <w:bCs/>
        </w:rPr>
        <w:t>.1.</w:t>
      </w:r>
      <w:r>
        <w:rPr>
          <w:rFonts w:hint="eastAsia"/>
          <w:b/>
          <w:bCs/>
        </w:rPr>
        <w:t>11</w:t>
      </w:r>
      <w:r>
        <w:rPr>
          <w:b/>
          <w:bCs/>
        </w:rPr>
        <w:t xml:space="preserve">  </w:t>
      </w:r>
      <w:r>
        <w:rPr>
          <w:rFonts w:hint="eastAsia"/>
        </w:rPr>
        <w:t>矩形顶管</w:t>
      </w:r>
      <w:r>
        <w:t>附属设备安装前应对有关的设备基础、预埋件、预留孔的位置、高程、尺寸等进行复核。</w:t>
      </w:r>
    </w:p>
    <w:p>
      <w:r>
        <w:rPr>
          <w:rFonts w:hint="eastAsia"/>
          <w:b/>
          <w:bCs/>
        </w:rPr>
        <w:t>9</w:t>
      </w:r>
      <w:r>
        <w:rPr>
          <w:b/>
          <w:bCs/>
        </w:rPr>
        <w:t>.1.</w:t>
      </w:r>
      <w:r>
        <w:rPr>
          <w:rFonts w:hint="eastAsia"/>
          <w:b/>
          <w:bCs/>
        </w:rPr>
        <w:t>12</w:t>
      </w:r>
      <w:r>
        <w:rPr>
          <w:b/>
          <w:bCs/>
        </w:rPr>
        <w:t xml:space="preserve">  </w:t>
      </w:r>
      <w:r>
        <w:rPr>
          <w:rFonts w:hint="eastAsia"/>
        </w:rPr>
        <w:t>施</w:t>
      </w:r>
      <w:r>
        <w:t>工</w:t>
      </w:r>
      <w:r>
        <w:rPr>
          <w:rFonts w:hint="eastAsia"/>
        </w:rPr>
        <w:t>单位</w:t>
      </w:r>
      <w:r>
        <w:t>应按照相应的施工技术标准对工程进行全过程控制，建设单位、勘察单位、设计单位、监理单位等各方应按有关规定对工程质量进行管理。</w:t>
      </w:r>
    </w:p>
    <w:p>
      <w:r>
        <w:rPr>
          <w:rFonts w:hint="eastAsia"/>
          <w:b/>
          <w:bCs/>
        </w:rPr>
        <w:t>9</w:t>
      </w:r>
      <w:r>
        <w:rPr>
          <w:b/>
          <w:bCs/>
        </w:rPr>
        <w:t>.1.</w:t>
      </w:r>
      <w:r>
        <w:rPr>
          <w:rFonts w:hint="eastAsia"/>
          <w:b/>
          <w:bCs/>
        </w:rPr>
        <w:t>13</w:t>
      </w:r>
      <w:r>
        <w:rPr>
          <w:b/>
          <w:bCs/>
        </w:rPr>
        <w:t xml:space="preserve">  </w:t>
      </w:r>
      <w:r>
        <w:rPr>
          <w:rFonts w:hint="eastAsia"/>
        </w:rPr>
        <w:t>工</w:t>
      </w:r>
      <w:r>
        <w:t>程应经过竣工验收合格后，方可投入使用。</w:t>
      </w:r>
    </w:p>
    <w:p>
      <w:pPr>
        <w:rPr>
          <w:szCs w:val="24"/>
        </w:rPr>
      </w:pPr>
      <w:r>
        <w:rPr>
          <w:rFonts w:hint="eastAsia"/>
          <w:b/>
        </w:rPr>
        <w:t>9</w:t>
      </w:r>
      <w:r>
        <w:rPr>
          <w:b/>
        </w:rPr>
        <w:t>.</w:t>
      </w:r>
      <w:r>
        <w:rPr>
          <w:rFonts w:hint="eastAsia"/>
          <w:b/>
        </w:rPr>
        <w:t>1</w:t>
      </w:r>
      <w:r>
        <w:rPr>
          <w:b/>
        </w:rPr>
        <w:t>.</w:t>
      </w:r>
      <w:r>
        <w:rPr>
          <w:rFonts w:hint="eastAsia"/>
          <w:b/>
        </w:rPr>
        <w:t>14</w:t>
      </w:r>
      <w:r>
        <w:rPr>
          <w:b/>
        </w:rPr>
        <w:t xml:space="preserve">  </w:t>
      </w:r>
      <w:r>
        <w:rPr>
          <w:rFonts w:hint="eastAsia"/>
        </w:rPr>
        <w:t>顶管施工中应合理配置管道内通风、供电、照明等装置。</w:t>
      </w:r>
    </w:p>
    <w:p/>
    <w:p>
      <w:pPr>
        <w:pStyle w:val="3"/>
      </w:pPr>
      <w:bookmarkStart w:id="261" w:name="_Toc18057073"/>
      <w:bookmarkStart w:id="262" w:name="_Toc18945"/>
      <w:r>
        <w:rPr>
          <w:rFonts w:hint="eastAsia"/>
        </w:rPr>
        <w:t>9.</w:t>
      </w:r>
      <w:r>
        <w:t>2</w:t>
      </w:r>
      <w:r>
        <w:rPr>
          <w:rFonts w:hint="eastAsia"/>
        </w:rPr>
        <w:t xml:space="preserve"> </w:t>
      </w:r>
      <w:r>
        <w:t xml:space="preserve"> </w:t>
      </w:r>
      <w:r>
        <w:rPr>
          <w:rFonts w:hint="eastAsia"/>
        </w:rPr>
        <w:t>施</w:t>
      </w:r>
      <w:r>
        <w:t>工组织设计</w:t>
      </w:r>
      <w:bookmarkEnd w:id="261"/>
      <w:bookmarkEnd w:id="262"/>
    </w:p>
    <w:p>
      <w:r>
        <w:rPr>
          <w:rFonts w:hint="eastAsia"/>
          <w:b/>
          <w:bCs/>
        </w:rPr>
        <w:t>9.2.1</w:t>
      </w:r>
      <w:r>
        <w:rPr>
          <w:b/>
          <w:bCs/>
        </w:rPr>
        <w:t xml:space="preserve">  </w:t>
      </w:r>
      <w:r>
        <w:rPr>
          <w:rFonts w:hint="eastAsia"/>
        </w:rPr>
        <w:t>顶管施工前应编写顶管施工组织设计，应满足设计文件与合同协议的要求，在现场踏勘的基础上，综合考虑各方面因素，根据实际情况选用合适的设备和选择最优施工方法与工艺，还应随着工程进展根据实际情况的变化调整施工参数。</w:t>
      </w:r>
    </w:p>
    <w:p>
      <w:r>
        <w:rPr>
          <w:rFonts w:hint="eastAsia"/>
          <w:b/>
          <w:bCs/>
        </w:rPr>
        <w:t>9.2.2</w:t>
      </w:r>
      <w:r>
        <w:rPr>
          <w:b/>
          <w:bCs/>
        </w:rPr>
        <w:t xml:space="preserve">  </w:t>
      </w:r>
      <w:r>
        <w:rPr>
          <w:rFonts w:hint="eastAsia"/>
        </w:rPr>
        <w:t>施工组织设计应包括下列主要内容：</w:t>
      </w:r>
    </w:p>
    <w:p>
      <w:pPr>
        <w:ind w:firstLine="480" w:firstLineChars="200"/>
      </w:pPr>
      <w:r>
        <w:rPr>
          <w:rFonts w:hint="eastAsia"/>
        </w:rPr>
        <w:t>1</w:t>
      </w:r>
      <w:r>
        <w:t xml:space="preserve">  </w:t>
      </w:r>
      <w:r>
        <w:rPr>
          <w:rFonts w:hint="eastAsia"/>
        </w:rPr>
        <w:t>编制依据及采用标准；</w:t>
      </w:r>
    </w:p>
    <w:p>
      <w:pPr>
        <w:ind w:firstLine="480" w:firstLineChars="200"/>
      </w:pPr>
      <w:r>
        <w:rPr>
          <w:rFonts w:hint="eastAsia"/>
        </w:rPr>
        <w:t>2</w:t>
      </w:r>
      <w:r>
        <w:t xml:space="preserve">  </w:t>
      </w:r>
      <w:r>
        <w:rPr>
          <w:rFonts w:hint="eastAsia"/>
        </w:rPr>
        <w:t>工程概况：主要介绍工程基本情况、施工场地特征、工程地质和水文地质、地面及地下建（构）筑物、地下管线及其他地下障碍物等内容；</w:t>
      </w:r>
    </w:p>
    <w:p>
      <w:pPr>
        <w:ind w:firstLine="480" w:firstLineChars="200"/>
      </w:pPr>
      <w:r>
        <w:rPr>
          <w:rFonts w:hint="eastAsia"/>
        </w:rPr>
        <w:t>3</w:t>
      </w:r>
      <w:r>
        <w:t xml:space="preserve">  </w:t>
      </w:r>
      <w:r>
        <w:rPr>
          <w:rFonts w:hint="eastAsia"/>
        </w:rPr>
        <w:t>施工现场总平面布置；</w:t>
      </w:r>
    </w:p>
    <w:p>
      <w:pPr>
        <w:ind w:firstLine="480" w:firstLineChars="200"/>
      </w:pPr>
      <w:r>
        <w:rPr>
          <w:rFonts w:hint="eastAsia"/>
        </w:rPr>
        <w:t>4</w:t>
      </w:r>
      <w:r>
        <w:t xml:space="preserve">  </w:t>
      </w:r>
      <w:r>
        <w:rPr>
          <w:rFonts w:hint="eastAsia"/>
        </w:rPr>
        <w:t>工程重难点分析及措施；</w:t>
      </w:r>
    </w:p>
    <w:p>
      <w:pPr>
        <w:ind w:firstLine="480" w:firstLineChars="200"/>
      </w:pPr>
      <w:r>
        <w:rPr>
          <w:rFonts w:hint="eastAsia"/>
        </w:rPr>
        <w:t>5</w:t>
      </w:r>
      <w:r>
        <w:t xml:space="preserve">  </w:t>
      </w:r>
      <w:r>
        <w:rPr>
          <w:rFonts w:hint="eastAsia"/>
        </w:rPr>
        <w:t>施工工作计划：包括施工进度计划、机械设备计划及劳动力安排计划等；</w:t>
      </w:r>
    </w:p>
    <w:p>
      <w:pPr>
        <w:ind w:firstLine="480" w:firstLineChars="200"/>
      </w:pPr>
      <w:r>
        <w:rPr>
          <w:rFonts w:hint="eastAsia"/>
        </w:rPr>
        <w:t>6</w:t>
      </w:r>
      <w:r>
        <w:t xml:space="preserve">  </w:t>
      </w:r>
      <w:r>
        <w:rPr>
          <w:rFonts w:hint="eastAsia"/>
        </w:rPr>
        <w:t>施工准备工作，包括下列主要内容：</w:t>
      </w:r>
    </w:p>
    <w:p>
      <w:pPr>
        <w:ind w:firstLine="960" w:firstLineChars="400"/>
      </w:pPr>
      <w:r>
        <w:rPr>
          <w:rFonts w:hint="eastAsia"/>
        </w:rPr>
        <w:t>1）后靠背钢盒、导轨、顶管机、液压缸、止水圈的安装方法，应附安装图；</w:t>
      </w:r>
    </w:p>
    <w:p>
      <w:pPr>
        <w:ind w:firstLine="960" w:firstLineChars="400"/>
      </w:pPr>
      <w:r>
        <w:rPr>
          <w:rFonts w:hint="eastAsia"/>
        </w:rPr>
        <w:t>2）降水措施；</w:t>
      </w:r>
    </w:p>
    <w:p>
      <w:pPr>
        <w:ind w:firstLine="960" w:firstLineChars="400"/>
      </w:pPr>
      <w:r>
        <w:rPr>
          <w:rFonts w:hint="eastAsia"/>
        </w:rPr>
        <w:t>3）洞门凿除；</w:t>
      </w:r>
    </w:p>
    <w:p>
      <w:pPr>
        <w:ind w:firstLine="960" w:firstLineChars="400"/>
      </w:pPr>
      <w:r>
        <w:rPr>
          <w:rFonts w:hint="eastAsia"/>
        </w:rPr>
        <w:t>4）管节预制、运输、存放；</w:t>
      </w:r>
    </w:p>
    <w:p>
      <w:pPr>
        <w:ind w:firstLine="960" w:firstLineChars="400"/>
      </w:pPr>
      <w:r>
        <w:rPr>
          <w:rFonts w:hint="eastAsia"/>
        </w:rPr>
        <w:t>5）中继间加工。</w:t>
      </w:r>
    </w:p>
    <w:p>
      <w:pPr>
        <w:ind w:firstLine="480" w:firstLineChars="200"/>
      </w:pPr>
      <w:r>
        <w:rPr>
          <w:rFonts w:hint="eastAsia"/>
        </w:rPr>
        <w:t xml:space="preserve">7 </w:t>
      </w:r>
      <w:r>
        <w:t xml:space="preserve"> </w:t>
      </w:r>
      <w:r>
        <w:rPr>
          <w:rFonts w:hint="eastAsia"/>
        </w:rPr>
        <w:t>顶管设备选型与配置：应符合可靠性、安全性、地层适应性等原则，并应根据断面大小、掘进距离、地质条件、估算总顶力、顶管施工方法等确定顶管机设备类型和合适的刀盘布置形式，包括顶管机、中继间、主顶液压缸等，注明主要设备性能参数；</w:t>
      </w:r>
    </w:p>
    <w:p>
      <w:pPr>
        <w:ind w:firstLine="480" w:firstLineChars="200"/>
      </w:pPr>
      <w:r>
        <w:rPr>
          <w:rFonts w:hint="eastAsia"/>
        </w:rPr>
        <w:t xml:space="preserve">8 </w:t>
      </w:r>
      <w:r>
        <w:t xml:space="preserve"> </w:t>
      </w:r>
      <w:r>
        <w:rPr>
          <w:rFonts w:hint="eastAsia"/>
        </w:rPr>
        <w:t>主要施工技术方案，包括下列主要内容：</w:t>
      </w:r>
    </w:p>
    <w:p>
      <w:pPr>
        <w:ind w:firstLine="840" w:firstLineChars="350"/>
      </w:pPr>
      <w:r>
        <w:rPr>
          <w:rFonts w:hint="eastAsia"/>
        </w:rPr>
        <w:t>1）总顶力估算、后靠背承载力估算及反力墙设计；</w:t>
      </w:r>
    </w:p>
    <w:p>
      <w:pPr>
        <w:ind w:firstLine="840" w:firstLineChars="350"/>
      </w:pPr>
      <w:r>
        <w:rPr>
          <w:rFonts w:hint="eastAsia"/>
        </w:rPr>
        <w:t>2）顶管施工参数的选定；</w:t>
      </w:r>
    </w:p>
    <w:p>
      <w:pPr>
        <w:ind w:firstLine="840" w:firstLineChars="350"/>
      </w:pPr>
      <w:r>
        <w:rPr>
          <w:rFonts w:hint="eastAsia"/>
        </w:rPr>
        <w:t>3）顶管始发和接收技术措施及安全控制；</w:t>
      </w:r>
    </w:p>
    <w:p>
      <w:pPr>
        <w:ind w:firstLine="840" w:firstLineChars="350"/>
      </w:pPr>
      <w:r>
        <w:rPr>
          <w:rFonts w:hint="eastAsia"/>
        </w:rPr>
        <w:t>4）管材的选择及管节长度的确定，管节的连接与防水，管节的内外防腐；</w:t>
      </w:r>
    </w:p>
    <w:p>
      <w:pPr>
        <w:ind w:left="1200" w:leftChars="350" w:hanging="360" w:hangingChars="150"/>
      </w:pPr>
      <w:r>
        <w:rPr>
          <w:rFonts w:hint="eastAsia"/>
        </w:rPr>
        <w:t>5）注浆减阻措施，包括</w:t>
      </w:r>
      <w:r>
        <w:t>泥浆配合比、</w:t>
      </w:r>
      <w:r>
        <w:rPr>
          <w:rFonts w:hint="eastAsia"/>
        </w:rPr>
        <w:t>注</w:t>
      </w:r>
      <w:r>
        <w:t>浆量和注浆压力的确定</w:t>
      </w:r>
      <w:r>
        <w:rPr>
          <w:rFonts w:hint="eastAsia"/>
        </w:rPr>
        <w:t>；</w:t>
      </w:r>
      <w:r>
        <w:t>泥浆制备和输送设备及其安装规定</w:t>
      </w:r>
      <w:r>
        <w:rPr>
          <w:rFonts w:hint="eastAsia"/>
        </w:rPr>
        <w:t>；</w:t>
      </w:r>
      <w:r>
        <w:t>注浆工艺、注浆系统及注浆孔的布置</w:t>
      </w:r>
      <w:r>
        <w:rPr>
          <w:rFonts w:hint="eastAsia"/>
        </w:rPr>
        <w:t>；</w:t>
      </w:r>
      <w:r>
        <w:t>掘进洞口的泥浆封闭措施等</w:t>
      </w:r>
      <w:r>
        <w:rPr>
          <w:rFonts w:hint="eastAsia"/>
        </w:rPr>
        <w:t>。</w:t>
      </w:r>
    </w:p>
    <w:p>
      <w:pPr>
        <w:ind w:firstLine="840" w:firstLineChars="350"/>
      </w:pPr>
      <w:r>
        <w:rPr>
          <w:rFonts w:hint="eastAsia"/>
        </w:rPr>
        <w:t>6）土体改良；</w:t>
      </w:r>
    </w:p>
    <w:p>
      <w:pPr>
        <w:ind w:firstLine="840" w:firstLineChars="350"/>
      </w:pPr>
      <w:r>
        <w:rPr>
          <w:rFonts w:hint="eastAsia"/>
        </w:rPr>
        <w:t>7）顶管掌子面及管节压力监测；</w:t>
      </w:r>
    </w:p>
    <w:p>
      <w:pPr>
        <w:ind w:firstLine="840" w:firstLineChars="350"/>
      </w:pPr>
      <w:r>
        <w:rPr>
          <w:rFonts w:hint="eastAsia"/>
        </w:rPr>
        <w:t>8）顶管穿越砂层、复合地层等采取的主要技术措施；</w:t>
      </w:r>
    </w:p>
    <w:p>
      <w:pPr>
        <w:ind w:firstLine="840" w:firstLineChars="350"/>
      </w:pPr>
      <w:r>
        <w:rPr>
          <w:rFonts w:hint="eastAsia"/>
        </w:rPr>
        <w:t>9）排渣方式和渣土的处理，附渣土暂存位置图；</w:t>
      </w:r>
    </w:p>
    <w:p>
      <w:pPr>
        <w:ind w:firstLine="720" w:firstLineChars="300"/>
      </w:pPr>
      <w:r>
        <w:rPr>
          <w:rFonts w:hint="eastAsia"/>
        </w:rPr>
        <w:t>10）顶管测量、纠偏方法及姿态控制措施；</w:t>
      </w:r>
    </w:p>
    <w:p>
      <w:pPr>
        <w:ind w:firstLine="720" w:firstLineChars="300"/>
      </w:pPr>
      <w:r>
        <w:rPr>
          <w:rFonts w:hint="eastAsia"/>
        </w:rPr>
        <w:t>11）地面变形监测点布设；</w:t>
      </w:r>
    </w:p>
    <w:p>
      <w:pPr>
        <w:ind w:firstLine="720" w:firstLineChars="300"/>
      </w:pPr>
      <w:r>
        <w:rPr>
          <w:rFonts w:hint="eastAsia"/>
        </w:rPr>
        <w:t>12）地层变形的监测及控制措施；</w:t>
      </w:r>
    </w:p>
    <w:p>
      <w:pPr>
        <w:ind w:firstLine="720" w:firstLineChars="300"/>
      </w:pPr>
      <w:r>
        <w:rPr>
          <w:rFonts w:hint="eastAsia"/>
        </w:rPr>
        <w:t>13）中继间的位置、安装、使用与拆除措施；</w:t>
      </w:r>
    </w:p>
    <w:p>
      <w:pPr>
        <w:ind w:firstLine="720" w:firstLineChars="300"/>
      </w:pPr>
      <w:r>
        <w:rPr>
          <w:rFonts w:hint="eastAsia"/>
        </w:rPr>
        <w:t>14）顶管施工时的通风、供电、通讯措施；</w:t>
      </w:r>
    </w:p>
    <w:p>
      <w:pPr>
        <w:ind w:firstLine="720" w:firstLineChars="300"/>
      </w:pPr>
      <w:r>
        <w:rPr>
          <w:rFonts w:hint="eastAsia"/>
        </w:rPr>
        <w:t>15）工程重点部位的技术措施；</w:t>
      </w:r>
    </w:p>
    <w:p>
      <w:pPr>
        <w:ind w:firstLine="720" w:firstLineChars="300"/>
      </w:pPr>
      <w:r>
        <w:rPr>
          <w:rFonts w:hint="eastAsia"/>
        </w:rPr>
        <w:t>16）顶管贯通后的泥浆置换和防水处理措施。</w:t>
      </w:r>
    </w:p>
    <w:p>
      <w:pPr>
        <w:ind w:firstLine="477" w:firstLineChars="199"/>
      </w:pPr>
      <w:r>
        <w:rPr>
          <w:rFonts w:hint="eastAsia"/>
        </w:rPr>
        <w:t>9</w:t>
      </w:r>
      <w:r>
        <w:t xml:space="preserve">  </w:t>
      </w:r>
      <w:r>
        <w:rPr>
          <w:rFonts w:hint="eastAsia"/>
        </w:rPr>
        <w:t>顶管管节吊装方案；</w:t>
      </w:r>
    </w:p>
    <w:p>
      <w:pPr>
        <w:ind w:firstLine="477" w:firstLineChars="199"/>
      </w:pPr>
      <w:r>
        <w:rPr>
          <w:rFonts w:hint="eastAsia"/>
        </w:rPr>
        <w:t>10</w:t>
      </w:r>
      <w:r>
        <w:t xml:space="preserve">  </w:t>
      </w:r>
      <w:r>
        <w:rPr>
          <w:rFonts w:hint="eastAsia"/>
        </w:rPr>
        <w:t>施工安全和质量保证措施；</w:t>
      </w:r>
    </w:p>
    <w:p>
      <w:pPr>
        <w:ind w:firstLine="480" w:firstLineChars="200"/>
      </w:pPr>
      <w:r>
        <w:rPr>
          <w:rFonts w:hint="eastAsia"/>
        </w:rPr>
        <w:t>11</w:t>
      </w:r>
      <w:r>
        <w:t xml:space="preserve">  </w:t>
      </w:r>
      <w:r>
        <w:rPr>
          <w:rFonts w:hint="eastAsia"/>
        </w:rPr>
        <w:t>季节性施工技术措施；</w:t>
      </w:r>
    </w:p>
    <w:p>
      <w:pPr>
        <w:ind w:firstLine="480" w:firstLineChars="200"/>
      </w:pPr>
      <w:r>
        <w:rPr>
          <w:rFonts w:hint="eastAsia"/>
        </w:rPr>
        <w:t>12</w:t>
      </w:r>
      <w:r>
        <w:t xml:space="preserve">  </w:t>
      </w:r>
      <w:r>
        <w:rPr>
          <w:rFonts w:hint="eastAsia"/>
        </w:rPr>
        <w:t>施工文明和环境保护措施；</w:t>
      </w:r>
    </w:p>
    <w:p>
      <w:pPr>
        <w:ind w:firstLine="480" w:firstLineChars="200"/>
      </w:pPr>
      <w:r>
        <w:rPr>
          <w:rFonts w:hint="eastAsia"/>
        </w:rPr>
        <w:t>13</w:t>
      </w:r>
      <w:r>
        <w:t xml:space="preserve">  根据</w:t>
      </w:r>
      <w:r>
        <w:rPr>
          <w:rFonts w:hint="eastAsia"/>
        </w:rPr>
        <w:t>工程风险分析及风险源排查、评估、施工措施及风险控制等编制施工应急预案，包括下列主要内容：</w:t>
      </w:r>
    </w:p>
    <w:p>
      <w:pPr>
        <w:ind w:firstLine="960" w:firstLineChars="400"/>
      </w:pPr>
      <w:r>
        <w:rPr>
          <w:rFonts w:hint="eastAsia"/>
        </w:rPr>
        <w:t>1）工程风险分析及应急预案；</w:t>
      </w:r>
    </w:p>
    <w:p>
      <w:pPr>
        <w:ind w:firstLine="960" w:firstLineChars="400"/>
      </w:pPr>
      <w:r>
        <w:rPr>
          <w:rFonts w:hint="eastAsia"/>
        </w:rPr>
        <w:t>2）顶管始发应急措施；</w:t>
      </w:r>
    </w:p>
    <w:p>
      <w:pPr>
        <w:ind w:firstLine="960" w:firstLineChars="400"/>
      </w:pPr>
      <w:r>
        <w:rPr>
          <w:rFonts w:hint="eastAsia"/>
        </w:rPr>
        <w:t>3）顶管过程中的应急措施；</w:t>
      </w:r>
    </w:p>
    <w:p>
      <w:pPr>
        <w:ind w:firstLine="960" w:firstLineChars="400"/>
      </w:pPr>
      <w:r>
        <w:rPr>
          <w:rFonts w:hint="eastAsia"/>
        </w:rPr>
        <w:t>4）顶管接收应急措施；</w:t>
      </w:r>
    </w:p>
    <w:p>
      <w:pPr>
        <w:ind w:firstLine="960" w:firstLineChars="400"/>
      </w:pPr>
      <w:r>
        <w:rPr>
          <w:rFonts w:hint="eastAsia"/>
        </w:rPr>
        <w:t>5）顶管穿越障碍物处理措施；</w:t>
      </w:r>
    </w:p>
    <w:p>
      <w:pPr>
        <w:ind w:firstLine="960" w:firstLineChars="400"/>
      </w:pPr>
      <w:r>
        <w:rPr>
          <w:rFonts w:hint="eastAsia"/>
        </w:rPr>
        <w:t>6）应急动力与电源配置；</w:t>
      </w:r>
    </w:p>
    <w:p>
      <w:pPr>
        <w:ind w:firstLine="960" w:firstLineChars="400"/>
      </w:pPr>
      <w:r>
        <w:rPr>
          <w:rFonts w:hint="eastAsia"/>
        </w:rPr>
        <w:t>7）工程意外伤害预防及处理措施。</w:t>
      </w:r>
    </w:p>
    <w:p>
      <w:pPr>
        <w:ind w:firstLine="480" w:firstLineChars="200"/>
      </w:pPr>
      <w:r>
        <w:rPr>
          <w:rFonts w:hint="eastAsia"/>
        </w:rPr>
        <w:t xml:space="preserve">14 </w:t>
      </w:r>
      <w:r>
        <w:t xml:space="preserve"> </w:t>
      </w:r>
      <w:r>
        <w:rPr>
          <w:rFonts w:hint="eastAsia"/>
        </w:rPr>
        <w:t>现场远程管理和视频监控。</w:t>
      </w:r>
    </w:p>
    <w:p>
      <w:pPr>
        <w:rPr>
          <w:rFonts w:eastAsia="仿宋"/>
        </w:rPr>
      </w:pPr>
      <w:r>
        <w:rPr>
          <w:rFonts w:eastAsia="仿宋"/>
          <w:b/>
          <w:bCs/>
        </w:rPr>
        <w:t xml:space="preserve">【条文说明】：9.2.2  </w:t>
      </w:r>
      <w:r>
        <w:rPr>
          <w:rFonts w:eastAsia="仿宋"/>
        </w:rPr>
        <w:t>顶管施工属于地下工程，影响施工的因素很多，除了施工工艺方法多、技术要求差异大等特点外，工程地质条件、原有地下设施和地下障碍物情况以及施工现场环境等因素均可对施工进度、工程质量、施工安全和施工成本造成影响。为了保证顶管施工项目的顺利进行，取得良好的经济效益和社会效益，编写好顶管施工组织设计是十分关键的。</w:t>
      </w:r>
    </w:p>
    <w:p>
      <w:pPr>
        <w:ind w:firstLine="480" w:firstLineChars="200"/>
      </w:pPr>
    </w:p>
    <w:p>
      <w:pPr>
        <w:pStyle w:val="3"/>
      </w:pPr>
      <w:bookmarkStart w:id="263" w:name="_Toc18057074"/>
      <w:bookmarkStart w:id="264" w:name="_Toc14161"/>
      <w:r>
        <w:t>9.3</w:t>
      </w:r>
      <w:r>
        <w:rPr>
          <w:rFonts w:hint="eastAsia"/>
        </w:rPr>
        <w:t xml:space="preserve"> </w:t>
      </w:r>
      <w:r>
        <w:t xml:space="preserve"> </w:t>
      </w:r>
      <w:r>
        <w:rPr>
          <w:rFonts w:hint="eastAsia"/>
        </w:rPr>
        <w:t>顶</w:t>
      </w:r>
      <w:r>
        <w:t>管始发</w:t>
      </w:r>
      <w:r>
        <w:rPr>
          <w:rFonts w:hint="eastAsia"/>
        </w:rPr>
        <w:t>与</w:t>
      </w:r>
      <w:r>
        <w:t>接</w:t>
      </w:r>
      <w:r>
        <w:rPr>
          <w:rFonts w:hint="eastAsia"/>
        </w:rPr>
        <w:t>收</w:t>
      </w:r>
      <w:bookmarkEnd w:id="263"/>
      <w:bookmarkEnd w:id="264"/>
    </w:p>
    <w:p>
      <w:pPr>
        <w:rPr>
          <w:b/>
          <w:bCs/>
        </w:rPr>
      </w:pPr>
    </w:p>
    <w:p>
      <w:r>
        <w:rPr>
          <w:rFonts w:hint="eastAsia"/>
          <w:b/>
          <w:bCs/>
        </w:rPr>
        <w:t>9.3</w:t>
      </w:r>
      <w:r>
        <w:rPr>
          <w:b/>
          <w:bCs/>
        </w:rPr>
        <w:t>.</w:t>
      </w:r>
      <w:r>
        <w:rPr>
          <w:rFonts w:hint="eastAsia"/>
          <w:b/>
          <w:bCs/>
        </w:rPr>
        <w:t>1</w:t>
      </w:r>
      <w:r>
        <w:rPr>
          <w:b/>
          <w:bCs/>
        </w:rPr>
        <w:t xml:space="preserve">  </w:t>
      </w:r>
      <w:r>
        <w:rPr>
          <w:rFonts w:hint="eastAsia"/>
          <w:b/>
          <w:bCs/>
        </w:rPr>
        <w:t>顶</w:t>
      </w:r>
      <w:r>
        <w:t>管洞口的施工应符合下列规定：</w:t>
      </w:r>
    </w:p>
    <w:p>
      <w:pPr>
        <w:ind w:firstLine="480" w:firstLineChars="200"/>
      </w:pPr>
      <w:r>
        <w:t xml:space="preserve">1  </w:t>
      </w:r>
      <w:r>
        <w:rPr>
          <w:rFonts w:hint="eastAsia"/>
        </w:rPr>
        <w:t>顶管</w:t>
      </w:r>
      <w:r>
        <w:t>始发和接收</w:t>
      </w:r>
      <w:r>
        <w:rPr>
          <w:rFonts w:hint="eastAsia"/>
        </w:rPr>
        <w:t>预留</w:t>
      </w:r>
      <w:r>
        <w:t>洞口的位置</w:t>
      </w:r>
      <w:r>
        <w:rPr>
          <w:rFonts w:hint="eastAsia"/>
        </w:rPr>
        <w:t>、</w:t>
      </w:r>
      <w:r>
        <w:t>几何尺寸</w:t>
      </w:r>
      <w:r>
        <w:rPr>
          <w:rFonts w:hint="eastAsia"/>
        </w:rPr>
        <w:t>、</w:t>
      </w:r>
      <w:r>
        <w:t>封堵方式应符合设计和施工方案的要求</w:t>
      </w:r>
      <w:r>
        <w:rPr>
          <w:rFonts w:hint="eastAsia"/>
        </w:rPr>
        <w:t>。</w:t>
      </w:r>
    </w:p>
    <w:p>
      <w:pPr>
        <w:ind w:firstLine="480" w:firstLineChars="200"/>
      </w:pPr>
      <w:r>
        <w:t>2  顶管</w:t>
      </w:r>
      <w:r>
        <w:rPr>
          <w:rFonts w:hint="eastAsia"/>
        </w:rPr>
        <w:t>工作井</w:t>
      </w:r>
      <w:r>
        <w:t>洞口施工影响范围内的土层应进行预加固处理，始发和接收前应检查加固处理后的土体强度和渗漏水情况</w:t>
      </w:r>
      <w:r>
        <w:rPr>
          <w:rFonts w:hint="eastAsia"/>
        </w:rPr>
        <w:t>。</w:t>
      </w:r>
    </w:p>
    <w:p>
      <w:pPr>
        <w:ind w:firstLine="480" w:firstLineChars="200"/>
      </w:pPr>
      <w:r>
        <w:t>3  设置临时封门时，应考虑周围土层变形控制和施工安全等要求。封门应拆除方便，拆除时应减小对洞门土层的扰动</w:t>
      </w:r>
      <w:r>
        <w:rPr>
          <w:rFonts w:hint="eastAsia"/>
        </w:rPr>
        <w:t>。</w:t>
      </w:r>
    </w:p>
    <w:p>
      <w:pPr>
        <w:ind w:firstLine="480" w:firstLineChars="200"/>
      </w:pPr>
      <w:r>
        <w:t>4  洞口应设置止水装置，止水装置联结环板应与工作井壁内的预埋件焊接牢固，且用胶凝材料封堵；顶管结束后，</w:t>
      </w:r>
      <w:r>
        <w:rPr>
          <w:rFonts w:hint="eastAsia"/>
        </w:rPr>
        <w:t>矩形顶管</w:t>
      </w:r>
      <w:r>
        <w:t>与洞口的间隙应及时进行封堵。</w:t>
      </w:r>
    </w:p>
    <w:p>
      <w:pPr>
        <w:ind w:firstLine="840" w:firstLineChars="350"/>
      </w:pPr>
      <w:r>
        <w:rPr>
          <w:rFonts w:hint="eastAsia"/>
        </w:rPr>
        <w:t>1）</w:t>
      </w:r>
      <w:r>
        <w:t>当为粘性土且地下水压力较高时</w:t>
      </w:r>
      <w:r>
        <w:rPr>
          <w:rFonts w:hint="eastAsia"/>
        </w:rPr>
        <w:t>，</w:t>
      </w:r>
      <w:r>
        <w:t>宜采用橡胶板止水，并应加快进、出洞的施工速度</w:t>
      </w:r>
      <w:r>
        <w:rPr>
          <w:rFonts w:hint="eastAsia"/>
        </w:rPr>
        <w:t>。</w:t>
      </w:r>
    </w:p>
    <w:p>
      <w:pPr>
        <w:ind w:left="1080" w:leftChars="350" w:hanging="240" w:hangingChars="100"/>
      </w:pPr>
      <w:r>
        <w:rPr>
          <w:rFonts w:hint="eastAsia"/>
        </w:rPr>
        <w:t>2）</w:t>
      </w:r>
      <w:r>
        <w:t>当为粉土且有地下水时，</w:t>
      </w:r>
      <w:r>
        <w:rPr>
          <w:rFonts w:hint="eastAsia"/>
        </w:rPr>
        <w:t>宜</w:t>
      </w:r>
      <w:r>
        <w:t>采取措施降低地下水位，并缩短进、出洞时间，无法降水时，应对土体进行固结处理</w:t>
      </w:r>
      <w:r>
        <w:rPr>
          <w:rFonts w:hint="eastAsia"/>
        </w:rPr>
        <w:t>。</w:t>
      </w:r>
    </w:p>
    <w:p>
      <w:pPr>
        <w:ind w:firstLine="840" w:firstLineChars="350"/>
      </w:pPr>
      <w:r>
        <w:rPr>
          <w:rFonts w:hint="eastAsia"/>
        </w:rPr>
        <w:t>3）</w:t>
      </w:r>
      <w:r>
        <w:t>当为砂土时，</w:t>
      </w:r>
      <w:r>
        <w:rPr>
          <w:rFonts w:hint="eastAsia"/>
        </w:rPr>
        <w:t>宜</w:t>
      </w:r>
      <w:r>
        <w:t>加固洞口外的土体，降低土体的渗透系数。</w:t>
      </w:r>
    </w:p>
    <w:p>
      <w:pPr>
        <w:ind w:firstLine="480" w:firstLineChars="200"/>
      </w:pPr>
      <w:r>
        <w:rPr>
          <w:rFonts w:hint="eastAsia"/>
        </w:rPr>
        <w:t xml:space="preserve">5 </w:t>
      </w:r>
      <w:r>
        <w:t xml:space="preserve"> </w:t>
      </w:r>
      <w:r>
        <w:rPr>
          <w:rFonts w:hint="eastAsia"/>
        </w:rPr>
        <w:t>混凝土管节渗漏水处理应满足下列要求：</w:t>
      </w:r>
    </w:p>
    <w:p>
      <w:pPr>
        <w:ind w:firstLine="840" w:firstLineChars="350"/>
      </w:pPr>
      <w:r>
        <w:rPr>
          <w:rFonts w:hint="eastAsia"/>
        </w:rPr>
        <w:t>1）宜在气温较低，接缝、裂缝张开较大时进行注浆堵水处理。</w:t>
      </w:r>
    </w:p>
    <w:p>
      <w:pPr>
        <w:ind w:left="1200" w:leftChars="350" w:hanging="360" w:hangingChars="150"/>
      </w:pPr>
      <w:r>
        <w:rPr>
          <w:rFonts w:hint="eastAsia"/>
        </w:rPr>
        <w:t>2）结构仍在变形、未稳定的裂缝渗漏水，可先行堵水处理，同时应具备结构稳定后进一步治理的条件。</w:t>
      </w:r>
    </w:p>
    <w:p>
      <w:pPr>
        <w:ind w:left="1200" w:leftChars="350" w:hanging="360" w:hangingChars="150"/>
      </w:pPr>
      <w:r>
        <w:rPr>
          <w:rFonts w:hint="eastAsia"/>
        </w:rPr>
        <w:t>3）需要补强的渗漏部位，应选用改性亲水环氧树脂灌浆材料、水泥基灌浆材料、油溶性聚氨酯</w:t>
      </w:r>
    </w:p>
    <w:p>
      <w:pPr>
        <w:ind w:left="1200" w:leftChars="450" w:hanging="120" w:hangingChars="50"/>
      </w:pPr>
      <w:r>
        <w:rPr>
          <w:rFonts w:hint="eastAsia"/>
        </w:rPr>
        <w:t>灌浆材料等固结体强度较高的灌浆材料。</w:t>
      </w:r>
    </w:p>
    <w:p>
      <w:pPr>
        <w:jc w:val="left"/>
        <w:rPr>
          <w:rFonts w:eastAsia="仿宋"/>
        </w:rPr>
      </w:pPr>
      <w:r>
        <w:rPr>
          <w:rFonts w:eastAsia="仿宋"/>
          <w:b/>
          <w:bCs/>
        </w:rPr>
        <w:t xml:space="preserve">【条文说明】：9.3.1 第2条  </w:t>
      </w:r>
      <w:r>
        <w:rPr>
          <w:rFonts w:eastAsia="仿宋"/>
        </w:rPr>
        <w:t>顶管始发和接收洞门的加固方式有土体加固和钢封门加固以及两种形式组合工法。土体的加固范围应根据土体的稳定性、含水量以及矩形顶管施工所需要提供的最大顶力、加固方式的安全性及经济性等因素综合考虑，宜为上下左右各3 m ~4m，离洞口正前方6m。</w:t>
      </w:r>
    </w:p>
    <w:p>
      <w:pPr>
        <w:rPr>
          <w:rFonts w:eastAsia="仿宋"/>
        </w:rPr>
      </w:pPr>
      <w:r>
        <w:rPr>
          <w:rFonts w:eastAsia="仿宋"/>
          <w:b/>
          <w:bCs/>
        </w:rPr>
        <w:t>【条文说明】：9.3.1 第4条</w:t>
      </w:r>
      <w:r>
        <w:rPr>
          <w:rFonts w:eastAsia="仿宋"/>
        </w:rPr>
        <w:t xml:space="preserve">  工作井洞口设置止水装置是为了防止顶管机始发时发生水土流失，造成洞门塌方，并保证顶管机迅速穿墙，使顶管机快速顶入土体，止住渗漏。顶管与穿墙孔的间隙及时封堵，主要是为了防止管道移动和管节端头的位移，同时也可防止水的浸入，止水装置一般采用帘布橡胶板止水。</w:t>
      </w:r>
    </w:p>
    <w:p>
      <w:pPr>
        <w:rPr>
          <w:rFonts w:eastAsia="仿宋"/>
        </w:rPr>
      </w:pPr>
      <w:r>
        <w:rPr>
          <w:rFonts w:eastAsia="仿宋"/>
          <w:b/>
          <w:bCs/>
        </w:rPr>
        <w:t xml:space="preserve">【条文说明】：9.3.1 第6条  </w:t>
      </w:r>
      <w:r>
        <w:rPr>
          <w:rFonts w:eastAsia="仿宋"/>
        </w:rPr>
        <w:t>洞口凿除物应清除干净，顶管机始发时，导轨上的管道应与洞口的止水装置保持同轴，避免损坏洞口的止水装置。</w:t>
      </w:r>
    </w:p>
    <w:p>
      <w:pPr>
        <w:rPr>
          <w:highlight w:val="yellow"/>
        </w:rPr>
      </w:pPr>
      <w:r>
        <w:rPr>
          <w:rFonts w:hint="eastAsia"/>
          <w:b/>
          <w:bCs/>
        </w:rPr>
        <w:t>9.3</w:t>
      </w:r>
      <w:r>
        <w:rPr>
          <w:b/>
          <w:bCs/>
        </w:rPr>
        <w:t>.</w:t>
      </w:r>
      <w:r>
        <w:rPr>
          <w:rFonts w:hint="eastAsia"/>
          <w:b/>
          <w:bCs/>
        </w:rPr>
        <w:t>2</w:t>
      </w:r>
      <w:r>
        <w:rPr>
          <w:b/>
          <w:bCs/>
        </w:rPr>
        <w:t xml:space="preserve">  </w:t>
      </w:r>
      <w:r>
        <w:rPr>
          <w:rFonts w:hint="eastAsia"/>
        </w:rPr>
        <w:t>洞口始发时，顶管机与其后续2-3节管之间应采用有效的机械连接。</w:t>
      </w:r>
    </w:p>
    <w:p>
      <w:pPr>
        <w:rPr>
          <w:highlight w:val="yellow"/>
        </w:rPr>
      </w:pPr>
      <w:r>
        <w:rPr>
          <w:rFonts w:hint="eastAsia"/>
          <w:b/>
          <w:bCs/>
        </w:rPr>
        <w:t>9.3</w:t>
      </w:r>
      <w:r>
        <w:rPr>
          <w:b/>
          <w:bCs/>
        </w:rPr>
        <w:t>.</w:t>
      </w:r>
      <w:r>
        <w:rPr>
          <w:rFonts w:hint="eastAsia"/>
          <w:b/>
          <w:bCs/>
        </w:rPr>
        <w:t>3</w:t>
      </w:r>
      <w:r>
        <w:rPr>
          <w:b/>
          <w:bCs/>
        </w:rPr>
        <w:t xml:space="preserve">  </w:t>
      </w:r>
      <w:r>
        <w:rPr>
          <w:rFonts w:hint="eastAsia"/>
        </w:rPr>
        <w:t>接收井内宜预留略高于管底的垫层支承顶管机。当地下水位高，可能发生管涌或流砂时，应采用压力接收方式。</w:t>
      </w:r>
    </w:p>
    <w:p>
      <w:pPr>
        <w:rPr>
          <w:highlight w:val="yellow"/>
        </w:rPr>
      </w:pPr>
      <w:r>
        <w:rPr>
          <w:rFonts w:hint="eastAsia"/>
          <w:b/>
          <w:bCs/>
        </w:rPr>
        <w:t>9.3.4</w:t>
      </w:r>
      <w:r>
        <w:rPr>
          <w:b/>
          <w:bCs/>
        </w:rPr>
        <w:t xml:space="preserve">  </w:t>
      </w:r>
      <w:r>
        <w:rPr>
          <w:rFonts w:hint="eastAsia"/>
        </w:rPr>
        <w:t>顶管结束后应采取注浆措施填充管外侧超挖的空隙。</w:t>
      </w:r>
    </w:p>
    <w:p>
      <w:r>
        <w:rPr>
          <w:rFonts w:hint="eastAsia"/>
          <w:b/>
          <w:bCs/>
        </w:rPr>
        <w:t>9</w:t>
      </w:r>
      <w:r>
        <w:rPr>
          <w:b/>
          <w:bCs/>
        </w:rPr>
        <w:t>.</w:t>
      </w:r>
      <w:r>
        <w:rPr>
          <w:rFonts w:hint="eastAsia"/>
          <w:b/>
          <w:bCs/>
        </w:rPr>
        <w:t>3</w:t>
      </w:r>
      <w:r>
        <w:rPr>
          <w:b/>
          <w:bCs/>
        </w:rPr>
        <w:t>.</w:t>
      </w:r>
      <w:r>
        <w:rPr>
          <w:rFonts w:hint="eastAsia"/>
          <w:b/>
          <w:bCs/>
        </w:rPr>
        <w:t>5</w:t>
      </w:r>
      <w:r>
        <w:rPr>
          <w:b/>
          <w:bCs/>
        </w:rPr>
        <w:t xml:space="preserve">  </w:t>
      </w:r>
      <w:r>
        <w:t>软土地区，</w:t>
      </w:r>
      <w:r>
        <w:rPr>
          <w:rFonts w:hint="eastAsia"/>
        </w:rPr>
        <w:t>顶管始发时</w:t>
      </w:r>
      <w:r>
        <w:t>应采取下列措施防止顶管机倾斜下沉：</w:t>
      </w:r>
    </w:p>
    <w:p>
      <w:pPr>
        <w:ind w:firstLine="480" w:firstLineChars="200"/>
      </w:pPr>
      <w:r>
        <w:rPr>
          <w:rFonts w:hint="eastAsia"/>
        </w:rPr>
        <w:t>1</w:t>
      </w:r>
      <w:r>
        <w:t xml:space="preserve">  基坑导轨前端应尽量接近洞口，缩短顶管机的悬空长度</w:t>
      </w:r>
      <w:r>
        <w:rPr>
          <w:rFonts w:hint="eastAsia"/>
        </w:rPr>
        <w:t>；</w:t>
      </w:r>
    </w:p>
    <w:p>
      <w:pPr>
        <w:ind w:firstLine="480" w:firstLineChars="200"/>
      </w:pPr>
      <w:r>
        <w:rPr>
          <w:rFonts w:hint="eastAsia"/>
        </w:rPr>
        <w:t>2</w:t>
      </w:r>
      <w:r>
        <w:t xml:space="preserve">  进、出洞作业应连续不可停顿</w:t>
      </w:r>
      <w:r>
        <w:rPr>
          <w:rFonts w:hint="eastAsia"/>
        </w:rPr>
        <w:t>；</w:t>
      </w:r>
    </w:p>
    <w:p>
      <w:pPr>
        <w:ind w:firstLine="480" w:firstLineChars="200"/>
      </w:pPr>
      <w:r>
        <w:rPr>
          <w:rFonts w:hint="eastAsia"/>
        </w:rPr>
        <w:t>3</w:t>
      </w:r>
      <w:r>
        <w:t xml:space="preserve">  宜在洞口内设置支撑顶管机的临时装置。</w:t>
      </w:r>
    </w:p>
    <w:p>
      <w:r>
        <w:rPr>
          <w:rFonts w:hint="eastAsia"/>
          <w:b/>
          <w:bCs/>
        </w:rPr>
        <w:t>9</w:t>
      </w:r>
      <w:r>
        <w:rPr>
          <w:b/>
          <w:bCs/>
        </w:rPr>
        <w:t>.</w:t>
      </w:r>
      <w:r>
        <w:rPr>
          <w:rFonts w:hint="eastAsia"/>
          <w:b/>
          <w:bCs/>
        </w:rPr>
        <w:t>3</w:t>
      </w:r>
      <w:r>
        <w:rPr>
          <w:b/>
          <w:bCs/>
        </w:rPr>
        <w:t>.</w:t>
      </w:r>
      <w:r>
        <w:rPr>
          <w:rFonts w:hint="eastAsia"/>
          <w:b/>
          <w:bCs/>
        </w:rPr>
        <w:t>6</w:t>
      </w:r>
      <w:r>
        <w:rPr>
          <w:b/>
          <w:bCs/>
        </w:rPr>
        <w:t xml:space="preserve">  </w:t>
      </w:r>
      <w:r>
        <w:rPr>
          <w:rFonts w:hint="eastAsia"/>
        </w:rPr>
        <w:t>顶</w:t>
      </w:r>
      <w:r>
        <w:t>管始发应符合下列规定：</w:t>
      </w:r>
    </w:p>
    <w:p>
      <w:pPr>
        <w:ind w:firstLine="480" w:firstLineChars="200"/>
      </w:pPr>
      <w:r>
        <w:rPr>
          <w:rFonts w:hint="eastAsia"/>
        </w:rPr>
        <w:t>1</w:t>
      </w:r>
      <w:r>
        <w:t xml:space="preserve">  </w:t>
      </w:r>
      <w:r>
        <w:rPr>
          <w:rFonts w:hint="eastAsia"/>
        </w:rPr>
        <w:t>顶管机</w:t>
      </w:r>
      <w:r>
        <w:t>穿越始发洞口加固区时</w:t>
      </w:r>
      <w:r>
        <w:rPr>
          <w:rFonts w:hint="eastAsia"/>
        </w:rPr>
        <w:t>，</w:t>
      </w:r>
      <w:r>
        <w:t>穿墙洞口内应注满泥浆</w:t>
      </w:r>
      <w:r>
        <w:rPr>
          <w:rFonts w:hint="eastAsia"/>
        </w:rPr>
        <w:t>，</w:t>
      </w:r>
      <w:r>
        <w:t>掘进速度宜控制在</w:t>
      </w:r>
      <w:r>
        <w:rPr>
          <w:rFonts w:hint="eastAsia"/>
        </w:rPr>
        <w:t>2 mm/min ~3mm/min。</w:t>
      </w:r>
    </w:p>
    <w:p>
      <w:pPr>
        <w:ind w:firstLine="480" w:firstLineChars="200"/>
      </w:pPr>
      <w:r>
        <w:rPr>
          <w:rFonts w:hint="eastAsia"/>
        </w:rPr>
        <w:t>2</w:t>
      </w:r>
      <w:r>
        <w:t xml:space="preserve">  </w:t>
      </w:r>
      <w:r>
        <w:rPr>
          <w:rFonts w:hint="eastAsia"/>
        </w:rPr>
        <w:t>顶管机</w:t>
      </w:r>
      <w:r>
        <w:t>穿越始发洞口加固区之前应在机外壳两边焊接支座与导轨面齐平</w:t>
      </w:r>
      <w:r>
        <w:rPr>
          <w:rFonts w:hint="eastAsia"/>
        </w:rPr>
        <w:t>，</w:t>
      </w:r>
      <w:r>
        <w:t>防止顶管机摆动</w:t>
      </w:r>
      <w:r>
        <w:rPr>
          <w:rFonts w:hint="eastAsia"/>
        </w:rPr>
        <w:t>。</w:t>
      </w:r>
    </w:p>
    <w:p>
      <w:pPr>
        <w:ind w:firstLine="480" w:firstLineChars="200"/>
      </w:pPr>
      <w:r>
        <w:rPr>
          <w:rFonts w:hint="eastAsia"/>
        </w:rPr>
        <w:t>3</w:t>
      </w:r>
      <w:r>
        <w:t xml:space="preserve">  </w:t>
      </w:r>
      <w:r>
        <w:rPr>
          <w:rFonts w:hint="eastAsia"/>
        </w:rPr>
        <w:t>顶管始发出洞时应防止因顶管机的自重因素往下偏移，将顶管机与后面3节管节连接在一起。</w:t>
      </w:r>
    </w:p>
    <w:p>
      <w:pPr>
        <w:ind w:firstLine="480" w:firstLineChars="200"/>
      </w:pPr>
      <w:r>
        <w:rPr>
          <w:rFonts w:hint="eastAsia"/>
        </w:rPr>
        <w:t>4</w:t>
      </w:r>
      <w:r>
        <w:t xml:space="preserve">  </w:t>
      </w:r>
      <w:r>
        <w:rPr>
          <w:rFonts w:hint="eastAsia"/>
        </w:rPr>
        <w:t>顶管始发出洞时应均匀增加掘进力，减小对洞门土体的扰动。</w:t>
      </w:r>
    </w:p>
    <w:p>
      <w:pPr>
        <w:ind w:firstLine="480" w:firstLineChars="200"/>
      </w:pPr>
      <w:r>
        <w:rPr>
          <w:rFonts w:hint="eastAsia"/>
        </w:rPr>
        <w:t>5</w:t>
      </w:r>
      <w:r>
        <w:t xml:space="preserve">  </w:t>
      </w:r>
      <w:r>
        <w:rPr>
          <w:rFonts w:hint="eastAsia"/>
        </w:rPr>
        <w:t>初始</w:t>
      </w:r>
      <w:r>
        <w:t>掘进时应有防止顶管机后退措施</w:t>
      </w:r>
      <w:r>
        <w:rPr>
          <w:rFonts w:hint="eastAsia"/>
        </w:rPr>
        <w:t>。</w:t>
      </w:r>
    </w:p>
    <w:p>
      <w:pPr>
        <w:ind w:firstLine="480" w:firstLineChars="200"/>
      </w:pPr>
      <w:r>
        <w:rPr>
          <w:rFonts w:hint="eastAsia"/>
        </w:rPr>
        <w:t>6</w:t>
      </w:r>
      <w:r>
        <w:t xml:space="preserve">  </w:t>
      </w:r>
      <w:r>
        <w:rPr>
          <w:rFonts w:hint="eastAsia"/>
        </w:rPr>
        <w:t>初始</w:t>
      </w:r>
      <w:r>
        <w:t>掘进时应只使用下层液压缸掘进</w:t>
      </w:r>
      <w:r>
        <w:rPr>
          <w:rFonts w:hint="eastAsia"/>
        </w:rPr>
        <w:t>。</w:t>
      </w:r>
    </w:p>
    <w:p>
      <w:pPr>
        <w:ind w:firstLine="480" w:firstLineChars="200"/>
      </w:pPr>
      <w:r>
        <w:rPr>
          <w:rFonts w:hint="eastAsia"/>
        </w:rPr>
        <w:t>7</w:t>
      </w:r>
      <w:r>
        <w:t xml:space="preserve">  处于地下水较丰富的砂性土层时，应对洞口处土体进行固结处理</w:t>
      </w:r>
      <w:r>
        <w:rPr>
          <w:rFonts w:hint="eastAsia"/>
        </w:rPr>
        <w:t>。</w:t>
      </w:r>
    </w:p>
    <w:p>
      <w:r>
        <w:rPr>
          <w:rFonts w:hint="eastAsia"/>
          <w:b/>
          <w:bCs/>
        </w:rPr>
        <w:t>9</w:t>
      </w:r>
      <w:r>
        <w:rPr>
          <w:b/>
          <w:bCs/>
        </w:rPr>
        <w:t>.</w:t>
      </w:r>
      <w:r>
        <w:rPr>
          <w:rFonts w:hint="eastAsia"/>
          <w:b/>
          <w:bCs/>
        </w:rPr>
        <w:t>3</w:t>
      </w:r>
      <w:r>
        <w:rPr>
          <w:b/>
          <w:bCs/>
        </w:rPr>
        <w:t>.</w:t>
      </w:r>
      <w:r>
        <w:rPr>
          <w:rFonts w:hint="eastAsia"/>
          <w:b/>
          <w:bCs/>
        </w:rPr>
        <w:t>7</w:t>
      </w:r>
      <w:r>
        <w:rPr>
          <w:b/>
          <w:bCs/>
        </w:rPr>
        <w:t xml:space="preserve">  </w:t>
      </w:r>
      <w:r>
        <w:rPr>
          <w:rFonts w:hint="eastAsia"/>
        </w:rPr>
        <w:t>顶</w:t>
      </w:r>
      <w:r>
        <w:t>管</w:t>
      </w:r>
      <w:r>
        <w:rPr>
          <w:rFonts w:hint="eastAsia"/>
        </w:rPr>
        <w:t>接收</w:t>
      </w:r>
      <w:r>
        <w:t>应符合下列规定：</w:t>
      </w:r>
    </w:p>
    <w:p>
      <w:pPr>
        <w:ind w:firstLine="480" w:firstLineChars="200"/>
      </w:pPr>
      <w:r>
        <w:rPr>
          <w:rFonts w:hint="eastAsia"/>
        </w:rPr>
        <w:t>1</w:t>
      </w:r>
      <w:r>
        <w:t xml:space="preserve">  </w:t>
      </w:r>
      <w:r>
        <w:rPr>
          <w:rFonts w:hint="eastAsia"/>
        </w:rPr>
        <w:t>顶管机接近接收井洞口加固区前，应加强测量管线距离和管道偏差。</w:t>
      </w:r>
    </w:p>
    <w:p>
      <w:pPr>
        <w:ind w:firstLine="480" w:firstLineChars="200"/>
      </w:pPr>
      <w:r>
        <w:rPr>
          <w:rFonts w:hint="eastAsia"/>
        </w:rPr>
        <w:t>2</w:t>
      </w:r>
      <w:r>
        <w:t xml:space="preserve">  </w:t>
      </w:r>
      <w:r>
        <w:rPr>
          <w:rFonts w:hint="eastAsia"/>
        </w:rPr>
        <w:t>顶管机进入接收井洞口加固区时，</w:t>
      </w:r>
      <w:r>
        <w:t>应</w:t>
      </w:r>
      <w:r>
        <w:rPr>
          <w:rFonts w:hint="eastAsia"/>
        </w:rPr>
        <w:t>控制</w:t>
      </w:r>
      <w:r>
        <w:t>掘进速度在</w:t>
      </w:r>
      <w:r>
        <w:rPr>
          <w:rFonts w:hint="eastAsia"/>
        </w:rPr>
        <w:t>2 mm/min ~3mm/min</w:t>
      </w:r>
      <w:r>
        <w:t>，接近接收井洞口时</w:t>
      </w:r>
      <w:r>
        <w:rPr>
          <w:rFonts w:hint="eastAsia"/>
        </w:rPr>
        <w:t>，</w:t>
      </w:r>
      <w:r>
        <w:t>应将洞口封口墙拆除并清理洞口障碍物</w:t>
      </w:r>
      <w:r>
        <w:rPr>
          <w:rFonts w:hint="eastAsia"/>
        </w:rPr>
        <w:t>。</w:t>
      </w:r>
    </w:p>
    <w:p>
      <w:pPr>
        <w:ind w:firstLine="480" w:firstLineChars="200"/>
      </w:pPr>
      <w:r>
        <w:rPr>
          <w:rFonts w:hint="eastAsia"/>
        </w:rPr>
        <w:t>3</w:t>
      </w:r>
      <w:r>
        <w:t xml:space="preserve">  </w:t>
      </w:r>
      <w:r>
        <w:rPr>
          <w:rFonts w:hint="eastAsia"/>
        </w:rPr>
        <w:t>顶管机进入</w:t>
      </w:r>
      <w:r>
        <w:t>接收井后</w:t>
      </w:r>
      <w:r>
        <w:rPr>
          <w:rFonts w:hint="eastAsia"/>
        </w:rPr>
        <w:t>，</w:t>
      </w:r>
      <w:r>
        <w:t>应对管节与洞口间的</w:t>
      </w:r>
      <w:r>
        <w:rPr>
          <w:rFonts w:hint="eastAsia"/>
        </w:rPr>
        <w:t>空</w:t>
      </w:r>
      <w:r>
        <w:t>隙进行</w:t>
      </w:r>
      <w:r>
        <w:rPr>
          <w:rFonts w:hint="eastAsia"/>
        </w:rPr>
        <w:t>适当塞</w:t>
      </w:r>
      <w:r>
        <w:t>填</w:t>
      </w:r>
      <w:r>
        <w:rPr>
          <w:rFonts w:hint="eastAsia"/>
        </w:rPr>
        <w:t>，</w:t>
      </w:r>
      <w:r>
        <w:t>作止水处理</w:t>
      </w:r>
      <w:r>
        <w:rPr>
          <w:rFonts w:hint="eastAsia"/>
        </w:rPr>
        <w:t>。</w:t>
      </w:r>
    </w:p>
    <w:p>
      <w:pPr>
        <w:ind w:firstLine="480" w:firstLineChars="200"/>
      </w:pPr>
      <w:r>
        <w:rPr>
          <w:rFonts w:hint="eastAsia"/>
        </w:rPr>
        <w:t>4</w:t>
      </w:r>
      <w:r>
        <w:t xml:space="preserve">  接收井内可安装掘进机临时支架，防止</w:t>
      </w:r>
      <w:r>
        <w:rPr>
          <w:rFonts w:hint="eastAsia"/>
        </w:rPr>
        <w:t>顶管</w:t>
      </w:r>
      <w:r>
        <w:t>机下落</w:t>
      </w:r>
      <w:r>
        <w:rPr>
          <w:rFonts w:hint="eastAsia"/>
        </w:rPr>
        <w:t>。</w:t>
      </w:r>
    </w:p>
    <w:p>
      <w:pPr>
        <w:ind w:firstLine="480" w:firstLineChars="200"/>
      </w:pPr>
      <w:r>
        <w:rPr>
          <w:rFonts w:hint="eastAsia"/>
        </w:rPr>
        <w:t>5</w:t>
      </w:r>
      <w:r>
        <w:t xml:space="preserve">  </w:t>
      </w:r>
      <w:r>
        <w:rPr>
          <w:rFonts w:hint="eastAsia"/>
        </w:rPr>
        <w:t>当</w:t>
      </w:r>
      <w:r>
        <w:t>地下水位高时宜采用水下到达措施。</w:t>
      </w:r>
    </w:p>
    <w:p>
      <w:pPr>
        <w:rPr>
          <w:rFonts w:eastAsia="仿宋"/>
          <w:color w:val="0070C0"/>
        </w:rPr>
      </w:pPr>
      <w:r>
        <w:rPr>
          <w:rFonts w:eastAsia="仿宋"/>
          <w:b/>
          <w:bCs/>
        </w:rPr>
        <w:t xml:space="preserve">【条文说明】：9.3.7第5条  </w:t>
      </w:r>
      <w:r>
        <w:rPr>
          <w:rFonts w:eastAsia="仿宋"/>
        </w:rPr>
        <w:t>水（土）中接收是指在接收井内回填水（土），接收时矩形顶管机进入接收井回填的水（土）中。一般情况下，为减少回填水（土）的工作量，需建立封闭空间，空间应满足矩形顶管机接收需要的尺寸，且满足顶管机拆除的工作空间需要。封堵墙应专项设计，且满足抵抗隧道埋深的水土压力和抗渗的性能要求。水（土）中接收需要计算顶管机和隧道的抗浮安全系数，必要时可采取增加顶管机上方填土厚度、顶管机内压重等措施，同时加强顶管机姿态的测量工作。</w:t>
      </w:r>
    </w:p>
    <w:p>
      <w:r>
        <w:rPr>
          <w:rFonts w:hint="eastAsia"/>
          <w:b/>
          <w:bCs/>
        </w:rPr>
        <w:t>9</w:t>
      </w:r>
      <w:r>
        <w:rPr>
          <w:b/>
          <w:bCs/>
        </w:rPr>
        <w:t>.</w:t>
      </w:r>
      <w:r>
        <w:rPr>
          <w:rFonts w:hint="eastAsia"/>
          <w:b/>
          <w:bCs/>
        </w:rPr>
        <w:t>3</w:t>
      </w:r>
      <w:r>
        <w:rPr>
          <w:b/>
          <w:bCs/>
        </w:rPr>
        <w:t>.</w:t>
      </w:r>
      <w:r>
        <w:rPr>
          <w:rFonts w:hint="eastAsia"/>
          <w:b/>
          <w:bCs/>
        </w:rPr>
        <w:t>8</w:t>
      </w:r>
      <w:r>
        <w:rPr>
          <w:b/>
          <w:bCs/>
        </w:rPr>
        <w:t xml:space="preserve">  </w:t>
      </w:r>
      <w:r>
        <w:t>工作井洞口封门拆除应符合下列规定：</w:t>
      </w:r>
    </w:p>
    <w:p>
      <w:pPr>
        <w:ind w:firstLine="480" w:firstLineChars="200"/>
      </w:pPr>
      <w:r>
        <w:rPr>
          <w:rFonts w:hint="eastAsia"/>
        </w:rPr>
        <w:t>1</w:t>
      </w:r>
      <w:r>
        <w:t xml:space="preserve">  钢板桩工作井</w:t>
      </w:r>
      <w:r>
        <w:rPr>
          <w:rFonts w:hint="eastAsia"/>
        </w:rPr>
        <w:t>，</w:t>
      </w:r>
      <w:r>
        <w:t>可拔起或切割钢板桩露出洞口，并采取措施防止洞口上方的钢板桩下落</w:t>
      </w:r>
      <w:r>
        <w:rPr>
          <w:rFonts w:hint="eastAsia"/>
        </w:rPr>
        <w:t>。</w:t>
      </w:r>
    </w:p>
    <w:p>
      <w:pPr>
        <w:ind w:firstLine="480" w:firstLineChars="200"/>
      </w:pPr>
      <w:r>
        <w:rPr>
          <w:rFonts w:hint="eastAsia"/>
        </w:rPr>
        <w:t>2</w:t>
      </w:r>
      <w:r>
        <w:t xml:space="preserve">  </w:t>
      </w:r>
      <w:r>
        <w:rPr>
          <w:rFonts w:hint="eastAsia"/>
        </w:rPr>
        <w:t>沉井</w:t>
      </w:r>
      <w:r>
        <w:t>工作井应先拆除洞圈内侧的临时门，再拆除井壁外侧的封板或其他封填物</w:t>
      </w:r>
      <w:r>
        <w:rPr>
          <w:rFonts w:hint="eastAsia"/>
        </w:rPr>
        <w:t>。</w:t>
      </w:r>
    </w:p>
    <w:p>
      <w:pPr>
        <w:ind w:firstLine="480" w:firstLineChars="200"/>
      </w:pPr>
      <w:r>
        <w:rPr>
          <w:rFonts w:hint="eastAsia"/>
        </w:rPr>
        <w:t>3</w:t>
      </w:r>
      <w:r>
        <w:t xml:space="preserve">  在不稳定土层中掘进时，封门拆除后，顶管机应立即顶入土层并连续掘进，直至洞口及止水装置发挥作用为止</w:t>
      </w:r>
      <w:r>
        <w:rPr>
          <w:rFonts w:hint="eastAsia"/>
        </w:rPr>
        <w:t>。</w:t>
      </w:r>
    </w:p>
    <w:p>
      <w:pPr>
        <w:ind w:firstLine="480" w:firstLineChars="200"/>
      </w:pPr>
      <w:r>
        <w:rPr>
          <w:rFonts w:hint="eastAsia"/>
        </w:rPr>
        <w:t>4</w:t>
      </w:r>
      <w:r>
        <w:t xml:space="preserve">  在高地下水压环境下施工时，应</w:t>
      </w:r>
      <w:r>
        <w:rPr>
          <w:rFonts w:hint="eastAsia"/>
        </w:rPr>
        <w:t>采取技术措施</w:t>
      </w:r>
      <w:r>
        <w:t>防止封门在水压作业下突然倒塌造成人员伤亡，同时，利用顶管机头直接磨穿</w:t>
      </w:r>
      <w:r>
        <w:rPr>
          <w:rFonts w:hint="eastAsia"/>
        </w:rPr>
        <w:t>接收井</w:t>
      </w:r>
      <w:r>
        <w:t>封门，确保顶管机</w:t>
      </w:r>
      <w:r>
        <w:rPr>
          <w:rFonts w:hint="eastAsia"/>
        </w:rPr>
        <w:t>接收</w:t>
      </w:r>
      <w:r>
        <w:t>安全。</w:t>
      </w:r>
    </w:p>
    <w:p>
      <w:pPr>
        <w:ind w:firstLine="480" w:firstLineChars="200"/>
      </w:pPr>
    </w:p>
    <w:p>
      <w:pPr>
        <w:pStyle w:val="3"/>
      </w:pPr>
      <w:bookmarkStart w:id="265" w:name="_Toc18057075"/>
      <w:bookmarkStart w:id="266" w:name="_Toc24282"/>
      <w:r>
        <w:rPr>
          <w:rFonts w:hint="eastAsia"/>
        </w:rPr>
        <w:t>9</w:t>
      </w:r>
      <w:r>
        <w:t>.4  顶管</w:t>
      </w:r>
      <w:r>
        <w:rPr>
          <w:rFonts w:hint="eastAsia"/>
        </w:rPr>
        <w:t>掘</w:t>
      </w:r>
      <w:r>
        <w:t>进</w:t>
      </w:r>
      <w:bookmarkEnd w:id="265"/>
      <w:bookmarkEnd w:id="266"/>
    </w:p>
    <w:p>
      <w:r>
        <w:rPr>
          <w:rFonts w:hint="eastAsia"/>
          <w:b/>
          <w:bCs/>
        </w:rPr>
        <w:t>9</w:t>
      </w:r>
      <w:r>
        <w:rPr>
          <w:b/>
          <w:bCs/>
        </w:rPr>
        <w:t>.</w:t>
      </w:r>
      <w:r>
        <w:rPr>
          <w:rFonts w:hint="eastAsia"/>
          <w:b/>
          <w:bCs/>
        </w:rPr>
        <w:t>4</w:t>
      </w:r>
      <w:r>
        <w:rPr>
          <w:b/>
          <w:bCs/>
        </w:rPr>
        <w:t>.</w:t>
      </w:r>
      <w:r>
        <w:rPr>
          <w:rFonts w:hint="eastAsia"/>
          <w:b/>
          <w:bCs/>
        </w:rPr>
        <w:t>1</w:t>
      </w:r>
      <w:r>
        <w:rPr>
          <w:b/>
          <w:bCs/>
        </w:rPr>
        <w:t xml:space="preserve">  </w:t>
      </w:r>
      <w:r>
        <w:rPr>
          <w:rFonts w:hint="eastAsia"/>
        </w:rPr>
        <w:t>顶管机的选型可根据工程地质条件、水文地质条件、周边环境条件等因素综合确定，常用的矩形顶管机有土压平衡式、泥水平衡式和网格式。网格式顶管机为半封闭式顶管，矩形顶管施工中一般较少运用，本规程中不做详细阐述。</w:t>
      </w:r>
    </w:p>
    <w:p>
      <w:r>
        <w:rPr>
          <w:rFonts w:hint="eastAsia"/>
          <w:b/>
          <w:bCs/>
        </w:rPr>
        <w:t>9.4.2</w:t>
      </w:r>
      <w:r>
        <w:rPr>
          <w:b/>
          <w:bCs/>
        </w:rPr>
        <w:t xml:space="preserve">  </w:t>
      </w:r>
      <w:r>
        <w:rPr>
          <w:rFonts w:hint="eastAsia"/>
        </w:rPr>
        <w:t xml:space="preserve">土压平衡矩形顶管掘进施工应符合下列规定： </w:t>
      </w:r>
    </w:p>
    <w:p>
      <w:pPr>
        <w:ind w:firstLine="480" w:firstLineChars="200"/>
      </w:pPr>
      <w:r>
        <w:rPr>
          <w:rFonts w:hint="eastAsia"/>
        </w:rPr>
        <w:t>1</w:t>
      </w:r>
      <w:r>
        <w:t xml:space="preserve">  </w:t>
      </w:r>
      <w:r>
        <w:rPr>
          <w:rFonts w:hint="eastAsia"/>
        </w:rPr>
        <w:t>掘进前，应根据顶进管道覆土厚度、土体性质、地下水埋深等因素确定土舱压力控制值。</w:t>
      </w:r>
    </w:p>
    <w:p>
      <w:pPr>
        <w:ind w:firstLine="480" w:firstLineChars="200"/>
      </w:pPr>
      <w:r>
        <w:rPr>
          <w:rFonts w:hint="eastAsia"/>
        </w:rPr>
        <w:t>2</w:t>
      </w:r>
      <w:r>
        <w:t xml:space="preserve">  </w:t>
      </w:r>
      <w:r>
        <w:rPr>
          <w:rFonts w:hint="eastAsia"/>
        </w:rPr>
        <w:t>掘进中，根据土舱压力的变化，调节排土速度与顶进速度，使土舱压力始终保持在预设范围内。</w:t>
      </w:r>
    </w:p>
    <w:p>
      <w:pPr>
        <w:ind w:firstLine="480" w:firstLineChars="200"/>
      </w:pPr>
      <w:r>
        <w:rPr>
          <w:rFonts w:hint="eastAsia"/>
        </w:rPr>
        <w:t>3</w:t>
      </w:r>
      <w:r>
        <w:t xml:space="preserve">  </w:t>
      </w:r>
      <w:r>
        <w:rPr>
          <w:rFonts w:hint="eastAsia"/>
        </w:rPr>
        <w:t>应根据不同的土质采取不同的土体改良方法。</w:t>
      </w:r>
    </w:p>
    <w:p>
      <w:pPr>
        <w:ind w:firstLine="480" w:firstLineChars="200"/>
      </w:pPr>
      <w:r>
        <w:rPr>
          <w:rFonts w:hint="eastAsia"/>
        </w:rPr>
        <w:t>4</w:t>
      </w:r>
      <w:r>
        <w:t xml:space="preserve">  </w:t>
      </w:r>
      <w:r>
        <w:rPr>
          <w:rFonts w:hint="eastAsia"/>
        </w:rPr>
        <w:t>开顶时，应先启动刀盘转动，再启动油缸推进；停顶时，应先停止油缸推进，再停止刀盘转动。</w:t>
      </w:r>
    </w:p>
    <w:p>
      <w:pPr>
        <w:ind w:firstLine="480" w:firstLineChars="200"/>
      </w:pPr>
      <w:r>
        <w:rPr>
          <w:rFonts w:hint="eastAsia"/>
        </w:rPr>
        <w:t>5</w:t>
      </w:r>
      <w:r>
        <w:t xml:space="preserve">  </w:t>
      </w:r>
      <w:r>
        <w:rPr>
          <w:rFonts w:hint="eastAsia"/>
        </w:rPr>
        <w:t>掘进中，须同步向管外壁注入减阻泥浆，并应根据泥浆的损失适当补充注浆。</w:t>
      </w:r>
    </w:p>
    <w:p>
      <w:pPr>
        <w:ind w:firstLine="480" w:firstLineChars="200"/>
      </w:pPr>
      <w:r>
        <w:rPr>
          <w:rFonts w:hint="eastAsia"/>
        </w:rPr>
        <w:t>6</w:t>
      </w:r>
      <w:r>
        <w:t xml:space="preserve">  </w:t>
      </w:r>
      <w:r>
        <w:rPr>
          <w:rFonts w:hint="eastAsia"/>
        </w:rPr>
        <w:t>掘进过程中，应随时对掘进机位置进行测量定位，及时纠偏。</w:t>
      </w:r>
    </w:p>
    <w:p>
      <w:pPr>
        <w:ind w:firstLine="480" w:firstLineChars="200"/>
      </w:pPr>
      <w:r>
        <w:rPr>
          <w:rFonts w:hint="eastAsia"/>
        </w:rPr>
        <w:t>7</w:t>
      </w:r>
      <w:r>
        <w:t xml:space="preserve">  </w:t>
      </w:r>
      <w:r>
        <w:rPr>
          <w:rFonts w:hint="eastAsia"/>
        </w:rPr>
        <w:t>顶管贯通后，应向管外壁注入土体固结浆，置换减阻泥浆。</w:t>
      </w:r>
    </w:p>
    <w:p>
      <w:pPr>
        <w:ind w:firstLine="480" w:firstLineChars="200"/>
      </w:pPr>
      <w:r>
        <w:rPr>
          <w:rFonts w:hint="eastAsia"/>
        </w:rPr>
        <w:t>8</w:t>
      </w:r>
      <w:r>
        <w:t xml:space="preserve">  </w:t>
      </w:r>
      <w:r>
        <w:rPr>
          <w:rFonts w:hint="eastAsia"/>
        </w:rPr>
        <w:t>距离地下管线、地下和地上建（构）筑物较近时，应适当降低土舱压力。</w:t>
      </w:r>
    </w:p>
    <w:p>
      <w:pPr>
        <w:ind w:firstLine="480" w:firstLineChars="200"/>
      </w:pPr>
      <w:r>
        <w:rPr>
          <w:rFonts w:hint="eastAsia"/>
        </w:rPr>
        <w:t>9</w:t>
      </w:r>
      <w:r>
        <w:t xml:space="preserve">  </w:t>
      </w:r>
      <w:r>
        <w:rPr>
          <w:rFonts w:hint="eastAsia"/>
        </w:rPr>
        <w:t>当周边环境对土体变形要求严格时，应进行土体变形监测，根据监测数据随时调整顶进参数。</w:t>
      </w:r>
    </w:p>
    <w:p>
      <w:pPr>
        <w:ind w:firstLine="480" w:firstLineChars="200"/>
      </w:pPr>
      <w:r>
        <w:rPr>
          <w:rFonts w:hint="eastAsia"/>
        </w:rPr>
        <w:t>10</w:t>
      </w:r>
      <w:r>
        <w:t xml:space="preserve">  </w:t>
      </w:r>
      <w:r>
        <w:rPr>
          <w:rFonts w:hint="eastAsia"/>
        </w:rPr>
        <w:t>软土区掘进，应随时关闭排土闸门，防止土体喷出，导致土舱压力降低。</w:t>
      </w:r>
    </w:p>
    <w:p>
      <w:r>
        <w:rPr>
          <w:rFonts w:hint="eastAsia"/>
          <w:b/>
          <w:bCs/>
        </w:rPr>
        <w:t>9.4.3</w:t>
      </w:r>
      <w:r>
        <w:t xml:space="preserve">  </w:t>
      </w:r>
      <w:r>
        <w:rPr>
          <w:rFonts w:hint="eastAsia"/>
        </w:rPr>
        <w:t>泥水平衡矩形顶管掘进施工应符合下列规定：</w:t>
      </w:r>
    </w:p>
    <w:p>
      <w:pPr>
        <w:ind w:firstLine="480" w:firstLineChars="200"/>
      </w:pPr>
      <w:r>
        <w:rPr>
          <w:rFonts w:hint="eastAsia"/>
        </w:rPr>
        <w:t>1</w:t>
      </w:r>
      <w:r>
        <w:t xml:space="preserve">  </w:t>
      </w:r>
      <w:r>
        <w:rPr>
          <w:rFonts w:hint="eastAsia"/>
        </w:rPr>
        <w:t>掘进前，应根据顶管覆土厚度、土体性质、地下水埋深等因素确定泥水舱压力控制值。</w:t>
      </w:r>
    </w:p>
    <w:p>
      <w:pPr>
        <w:ind w:firstLine="480" w:firstLineChars="200"/>
      </w:pPr>
      <w:r>
        <w:rPr>
          <w:rFonts w:hint="eastAsia"/>
        </w:rPr>
        <w:t>2</w:t>
      </w:r>
      <w:r>
        <w:t xml:space="preserve">  </w:t>
      </w:r>
      <w:r>
        <w:rPr>
          <w:rFonts w:hint="eastAsia"/>
        </w:rPr>
        <w:t>掘进中，根据泥水舱压力的变化，调节进水速度、排泥速度与掘进速度，使泥水舱压力始终保持在预设范围以内。</w:t>
      </w:r>
    </w:p>
    <w:p>
      <w:pPr>
        <w:ind w:firstLine="480" w:firstLineChars="200"/>
      </w:pPr>
      <w:r>
        <w:rPr>
          <w:rFonts w:hint="eastAsia"/>
        </w:rPr>
        <w:t>3</w:t>
      </w:r>
      <w:r>
        <w:t xml:space="preserve">  </w:t>
      </w:r>
      <w:r>
        <w:rPr>
          <w:rFonts w:hint="eastAsia"/>
        </w:rPr>
        <w:t>开顶时，应先启动进、排泥泵，进行机内循环，然后进行机外循环，再启动刀盘转动，最后启动油缸推进；停顶时，应先停止油缸推进，然后进行机外循环，再停止刀盘转动，转到机内循环，最后关闭进、排泥泵。</w:t>
      </w:r>
    </w:p>
    <w:p>
      <w:pPr>
        <w:ind w:firstLine="480" w:firstLineChars="200"/>
      </w:pPr>
      <w:r>
        <w:rPr>
          <w:rFonts w:hint="eastAsia"/>
        </w:rPr>
        <w:t>4</w:t>
      </w:r>
      <w:r>
        <w:t xml:space="preserve">  </w:t>
      </w:r>
      <w:r>
        <w:rPr>
          <w:rFonts w:hint="eastAsia"/>
        </w:rPr>
        <w:t>使用面板式刀盘时，应根据地质条件确定刀盘开口的数量与面积。</w:t>
      </w:r>
    </w:p>
    <w:p>
      <w:pPr>
        <w:ind w:firstLine="480" w:firstLineChars="200"/>
      </w:pPr>
      <w:r>
        <w:rPr>
          <w:rFonts w:hint="eastAsia"/>
        </w:rPr>
        <w:t>5</w:t>
      </w:r>
      <w:r>
        <w:t xml:space="preserve">  </w:t>
      </w:r>
      <w:r>
        <w:rPr>
          <w:rFonts w:hint="eastAsia"/>
        </w:rPr>
        <w:t>对顶管机内进水阀、排泥阀、旁通阀操作时，不能将所有的阀同时处于“关”的状态；应按下列顺序进行：从机内循环转换到机外循环时，应先打开进水、排泥直通阀，然后再关闭转换阀；从机外循环状态转换到机内循环状态时，应先打开转换阀，再关闭进水、排泥阀。</w:t>
      </w:r>
    </w:p>
    <w:p>
      <w:pPr>
        <w:ind w:firstLine="480" w:firstLineChars="200"/>
      </w:pPr>
      <w:r>
        <w:rPr>
          <w:rFonts w:hint="eastAsia"/>
        </w:rPr>
        <w:t>6</w:t>
      </w:r>
      <w:r>
        <w:t xml:space="preserve">  </w:t>
      </w:r>
      <w:r>
        <w:rPr>
          <w:rFonts w:hint="eastAsia"/>
        </w:rPr>
        <w:t>掘进中，须同步向管外壁注入减阻泥浆，并应根据泥浆的损失适当补充注浆。</w:t>
      </w:r>
    </w:p>
    <w:p>
      <w:pPr>
        <w:ind w:firstLine="480" w:firstLineChars="200"/>
      </w:pPr>
      <w:r>
        <w:rPr>
          <w:rFonts w:hint="eastAsia"/>
        </w:rPr>
        <w:t>7</w:t>
      </w:r>
      <w:r>
        <w:t xml:space="preserve">  </w:t>
      </w:r>
      <w:r>
        <w:rPr>
          <w:rFonts w:hint="eastAsia"/>
        </w:rPr>
        <w:t>掘进过程中，应随时对顶管机位置进行测量定位，及时纠偏。</w:t>
      </w:r>
    </w:p>
    <w:p>
      <w:pPr>
        <w:ind w:firstLine="480" w:firstLineChars="200"/>
      </w:pPr>
      <w:r>
        <w:rPr>
          <w:rFonts w:hint="eastAsia"/>
        </w:rPr>
        <w:t>8</w:t>
      </w:r>
      <w:r>
        <w:t xml:space="preserve">  </w:t>
      </w:r>
      <w:r>
        <w:rPr>
          <w:rFonts w:hint="eastAsia"/>
        </w:rPr>
        <w:t>顶管贯通后，应向管外壁注入土体固结浆，置换减阻泥浆。</w:t>
      </w:r>
    </w:p>
    <w:p>
      <w:pPr>
        <w:ind w:firstLine="480" w:firstLineChars="200"/>
      </w:pPr>
      <w:r>
        <w:rPr>
          <w:rFonts w:hint="eastAsia"/>
        </w:rPr>
        <w:t>9</w:t>
      </w:r>
      <w:r>
        <w:t xml:space="preserve">  </w:t>
      </w:r>
      <w:r>
        <w:rPr>
          <w:rFonts w:hint="eastAsia"/>
        </w:rPr>
        <w:t>距离地下管线、地下和地上建（构）筑物较近时，应适当降低泥水舱压力。</w:t>
      </w:r>
    </w:p>
    <w:p>
      <w:pPr>
        <w:ind w:firstLine="480" w:firstLineChars="200"/>
      </w:pPr>
      <w:r>
        <w:rPr>
          <w:rFonts w:hint="eastAsia"/>
        </w:rPr>
        <w:t>10</w:t>
      </w:r>
      <w:r>
        <w:t xml:space="preserve">  </w:t>
      </w:r>
      <w:r>
        <w:rPr>
          <w:rFonts w:hint="eastAsia"/>
        </w:rPr>
        <w:t>当周边环境对土体变形要求严格时，应进行土体变形监测，根据监测数据随时调整顶进参数。</w:t>
      </w:r>
    </w:p>
    <w:p>
      <w:r>
        <w:rPr>
          <w:rFonts w:hint="eastAsia"/>
          <w:b/>
          <w:bCs/>
        </w:rPr>
        <w:t>9</w:t>
      </w:r>
      <w:r>
        <w:rPr>
          <w:b/>
          <w:bCs/>
        </w:rPr>
        <w:t>.</w:t>
      </w:r>
      <w:r>
        <w:rPr>
          <w:rFonts w:hint="eastAsia"/>
          <w:b/>
          <w:bCs/>
        </w:rPr>
        <w:t>4</w:t>
      </w:r>
      <w:r>
        <w:rPr>
          <w:b/>
          <w:bCs/>
        </w:rPr>
        <w:t>.</w:t>
      </w:r>
      <w:r>
        <w:rPr>
          <w:rFonts w:hint="eastAsia"/>
          <w:b/>
          <w:bCs/>
        </w:rPr>
        <w:t>4</w:t>
      </w:r>
      <w:r>
        <w:rPr>
          <w:b/>
          <w:bCs/>
        </w:rPr>
        <w:t xml:space="preserve">  </w:t>
      </w:r>
      <w:r>
        <w:rPr>
          <w:rFonts w:hint="eastAsia"/>
        </w:rPr>
        <w:t>顶</w:t>
      </w:r>
      <w:r>
        <w:t>管掘进</w:t>
      </w:r>
      <w:r>
        <w:rPr>
          <w:rFonts w:hint="eastAsia"/>
        </w:rPr>
        <w:t>过程</w:t>
      </w:r>
      <w:r>
        <w:t>应符合下列规定：</w:t>
      </w:r>
    </w:p>
    <w:p>
      <w:pPr>
        <w:ind w:firstLine="480" w:firstLineChars="200"/>
      </w:pPr>
      <w:r>
        <w:rPr>
          <w:rFonts w:hint="eastAsia"/>
        </w:rPr>
        <w:t>1</w:t>
      </w:r>
      <w:r>
        <w:t xml:space="preserve">  </w:t>
      </w:r>
      <w:r>
        <w:rPr>
          <w:rFonts w:hint="eastAsia"/>
        </w:rPr>
        <w:t>掘</w:t>
      </w:r>
      <w:r>
        <w:t>进前应对成品管</w:t>
      </w:r>
      <w:r>
        <w:rPr>
          <w:rFonts w:hint="eastAsia"/>
        </w:rPr>
        <w:t>节</w:t>
      </w:r>
      <w:r>
        <w:t>、钢套环、橡胶密封及衬垫材料作检测和验收</w:t>
      </w:r>
      <w:r>
        <w:rPr>
          <w:rFonts w:hint="eastAsia"/>
        </w:rPr>
        <w:t>。</w:t>
      </w:r>
    </w:p>
    <w:p>
      <w:pPr>
        <w:ind w:firstLine="480" w:firstLineChars="200"/>
      </w:pPr>
      <w:r>
        <w:rPr>
          <w:rFonts w:hint="eastAsia"/>
        </w:rPr>
        <w:t>2</w:t>
      </w:r>
      <w:r>
        <w:t xml:space="preserve">  钢套环应按设计要求进行防腐处理，刃口无疵点，焊接处应平整</w:t>
      </w:r>
      <w:r>
        <w:rPr>
          <w:rFonts w:hint="eastAsia"/>
        </w:rPr>
        <w:t>。</w:t>
      </w:r>
    </w:p>
    <w:p>
      <w:pPr>
        <w:ind w:firstLine="480" w:firstLineChars="200"/>
      </w:pPr>
      <w:r>
        <w:rPr>
          <w:rFonts w:hint="eastAsia"/>
        </w:rPr>
        <w:t>3</w:t>
      </w:r>
      <w:r>
        <w:t xml:space="preserve">  管节承插前，应</w:t>
      </w:r>
      <w:r>
        <w:rPr>
          <w:rFonts w:hint="eastAsia"/>
        </w:rPr>
        <w:t>采</w:t>
      </w:r>
      <w:r>
        <w:t>用粘结剂将橡胶圈正确固定在槽内，并涂抹对橡胶无腐蚀作用的润滑剂，承插时外力应均匀，承插后橡胶圈应不移位、不翻转</w:t>
      </w:r>
      <w:r>
        <w:rPr>
          <w:rFonts w:hint="eastAsia"/>
        </w:rPr>
        <w:t>。</w:t>
      </w:r>
    </w:p>
    <w:p>
      <w:r>
        <w:rPr>
          <w:rFonts w:hint="eastAsia"/>
          <w:b/>
          <w:bCs/>
        </w:rPr>
        <w:t>9</w:t>
      </w:r>
      <w:r>
        <w:rPr>
          <w:b/>
          <w:bCs/>
        </w:rPr>
        <w:t>.</w:t>
      </w:r>
      <w:r>
        <w:rPr>
          <w:rFonts w:hint="eastAsia"/>
          <w:b/>
          <w:bCs/>
        </w:rPr>
        <w:t>4</w:t>
      </w:r>
      <w:r>
        <w:rPr>
          <w:b/>
          <w:bCs/>
        </w:rPr>
        <w:t>.</w:t>
      </w:r>
      <w:r>
        <w:rPr>
          <w:rFonts w:hint="eastAsia"/>
          <w:b/>
          <w:bCs/>
        </w:rPr>
        <w:t>5</w:t>
      </w:r>
      <w:r>
        <w:rPr>
          <w:b/>
          <w:bCs/>
        </w:rPr>
        <w:t xml:space="preserve">  </w:t>
      </w:r>
      <w:r>
        <w:rPr>
          <w:rFonts w:hint="eastAsia"/>
        </w:rPr>
        <w:t>顶管</w:t>
      </w:r>
      <w:r>
        <w:t>掘进时应符合下列规定：</w:t>
      </w:r>
    </w:p>
    <w:p>
      <w:pPr>
        <w:ind w:firstLine="480" w:firstLineChars="200"/>
      </w:pPr>
      <w:r>
        <w:rPr>
          <w:rFonts w:hint="eastAsia"/>
        </w:rPr>
        <w:t>1</w:t>
      </w:r>
      <w:r>
        <w:t xml:space="preserve">  初始</w:t>
      </w:r>
      <w:r>
        <w:rPr>
          <w:rFonts w:hint="eastAsia"/>
        </w:rPr>
        <w:t>掘</w:t>
      </w:r>
      <w:r>
        <w:t>进速度宜控制在5mm～10mm/min</w:t>
      </w:r>
      <w:r>
        <w:rPr>
          <w:rFonts w:hint="eastAsia"/>
        </w:rPr>
        <w:t>。</w:t>
      </w:r>
    </w:p>
    <w:p>
      <w:pPr>
        <w:ind w:firstLine="480" w:firstLineChars="200"/>
      </w:pPr>
      <w:r>
        <w:rPr>
          <w:rFonts w:hint="eastAsia"/>
        </w:rPr>
        <w:t>2</w:t>
      </w:r>
      <w:r>
        <w:t xml:space="preserve">  正常</w:t>
      </w:r>
      <w:r>
        <w:rPr>
          <w:rFonts w:hint="eastAsia"/>
        </w:rPr>
        <w:t>掘</w:t>
      </w:r>
      <w:r>
        <w:t>进时</w:t>
      </w:r>
      <w:r>
        <w:rPr>
          <w:rFonts w:hint="eastAsia"/>
        </w:rPr>
        <w:t>，</w:t>
      </w:r>
      <w:r>
        <w:t>掘进速度宜控制在10mm～20mm/min</w:t>
      </w:r>
      <w:r>
        <w:rPr>
          <w:rFonts w:hint="eastAsia"/>
        </w:rPr>
        <w:t>；在掘进时应对掘进速度作不断调整，找出掘进速度、正面土压力（泥水压力）、出渣量（出泥量）的最佳匹配值。</w:t>
      </w:r>
    </w:p>
    <w:p>
      <w:pPr>
        <w:ind w:firstLine="480" w:firstLineChars="200"/>
      </w:pPr>
      <w:r>
        <w:rPr>
          <w:rFonts w:hint="eastAsia"/>
        </w:rPr>
        <w:t>3</w:t>
      </w:r>
      <w:r>
        <w:t xml:space="preserve">  </w:t>
      </w:r>
      <w:r>
        <w:rPr>
          <w:rFonts w:hint="eastAsia"/>
        </w:rPr>
        <w:t>土压力值的确定应根据选用顶管机型式确定。土压平衡式顶管，实际上就是把顶管机土舱内的土压力控制在顶管机所处土层的主动土压力与被动土压力之间，也即：</w:t>
      </w:r>
    </w:p>
    <w:p>
      <w:pPr>
        <w:ind w:firstLine="480" w:firstLineChars="200"/>
        <w:jc w:val="right"/>
      </w:pPr>
      <w:r>
        <w:rPr>
          <w:position w:val="-14"/>
        </w:rPr>
        <w:object>
          <v:shape id="_x0000_i1323" o:spt="75" type="#_x0000_t75" style="height:18.35pt;width:59.75pt;" o:ole="t" filled="f" o:preferrelative="t" stroked="f" coordsize="21600,21600">
            <v:path/>
            <v:fill on="f" focussize="0,0"/>
            <v:stroke on="f" joinstyle="miter"/>
            <v:imagedata r:id="rId530" o:title=""/>
            <o:lock v:ext="edit" aspectratio="t"/>
            <w10:wrap type="none"/>
            <w10:anchorlock/>
          </v:shape>
          <o:OLEObject Type="Embed" ProgID="Equation.3" ShapeID="_x0000_i1323" DrawAspect="Content" ObjectID="_1468076021" r:id="rId529">
            <o:LockedField>false</o:LockedField>
          </o:OLEObject>
        </w:object>
      </w:r>
      <w:r>
        <w:t xml:space="preserve">                          (9.4.5-1)</w:t>
      </w:r>
    </w:p>
    <w:p>
      <w:pPr>
        <w:ind w:firstLine="480" w:firstLineChars="200"/>
        <w:jc w:val="right"/>
      </w:pPr>
      <w:r>
        <w:rPr>
          <w:position w:val="-12"/>
        </w:rPr>
        <w:object>
          <v:shape id="_x0000_i1324" o:spt="75" type="#_x0000_t75" style="height:18.35pt;width:56.4pt;" o:ole="t" filled="f" o:preferrelative="t" stroked="f" coordsize="21600,21600">
            <v:path/>
            <v:fill on="f" focussize="0,0"/>
            <v:stroke on="f" joinstyle="miter"/>
            <v:imagedata r:id="rId532" o:title=""/>
            <o:lock v:ext="edit" aspectratio="t"/>
            <w10:wrap type="none"/>
            <w10:anchorlock/>
          </v:shape>
          <o:OLEObject Type="Embed" ProgID="Equation.3" ShapeID="_x0000_i1324" DrawAspect="Content" ObjectID="_1468076022" r:id="rId531">
            <o:LockedField>false</o:LockedField>
          </o:OLEObject>
        </w:object>
      </w:r>
      <w:r>
        <w:t xml:space="preserve">                           (9.4.5-2)</w:t>
      </w:r>
    </w:p>
    <w:p>
      <w:pPr>
        <w:ind w:firstLine="480" w:firstLineChars="200"/>
        <w:jc w:val="right"/>
      </w:pPr>
      <w:r>
        <w:rPr>
          <w:position w:val="-12"/>
        </w:rPr>
        <w:object>
          <v:shape id="_x0000_i1325" o:spt="75" type="#_x0000_t75" style="height:18.35pt;width:52.3pt;" o:ole="t" filled="f" o:preferrelative="t" stroked="f" coordsize="21600,21600">
            <v:path/>
            <v:fill on="f" focussize="0,0"/>
            <v:stroke on="f" joinstyle="miter"/>
            <v:imagedata r:id="rId534" o:title=""/>
            <o:lock v:ext="edit" aspectratio="t"/>
            <w10:wrap type="none"/>
            <w10:anchorlock/>
          </v:shape>
          <o:OLEObject Type="Embed" ProgID="Equation.DSMT4" ShapeID="_x0000_i1325" DrawAspect="Content" ObjectID="_1468076023" r:id="rId533">
            <o:LockedField>false</o:LockedField>
          </o:OLEObject>
        </w:object>
      </w:r>
      <w:r>
        <w:t xml:space="preserve">                            (9.4.5-3)</w:t>
      </w:r>
    </w:p>
    <w:p>
      <w:pPr>
        <w:ind w:firstLine="480" w:firstLineChars="200"/>
        <w:jc w:val="right"/>
        <w:rPr>
          <w:b/>
          <w:bCs/>
          <w:i/>
          <w:iCs/>
        </w:rPr>
      </w:pPr>
      <w:r>
        <w:rPr>
          <w:position w:val="-14"/>
        </w:rPr>
        <w:object>
          <v:shape id="_x0000_i1326" o:spt="75" type="#_x0000_t75" style="height:19.7pt;width:238.4pt;" o:ole="t" filled="f" o:preferrelative="t" stroked="f" coordsize="21600,21600">
            <v:path/>
            <v:fill on="f" focussize="0,0"/>
            <v:stroke on="f" joinstyle="miter"/>
            <v:imagedata r:id="rId536" o:title=""/>
            <o:lock v:ext="edit" aspectratio="t"/>
            <w10:wrap type="none"/>
            <w10:anchorlock/>
          </v:shape>
          <o:OLEObject Type="Embed" ProgID="Equation.DSMT4" ShapeID="_x0000_i1326" DrawAspect="Content" ObjectID="_1468076024" r:id="rId535">
            <o:LockedField>false</o:LockedField>
          </o:OLEObject>
        </w:object>
      </w:r>
      <w:r>
        <w:t xml:space="preserve">            (9.4.5-4)</w:t>
      </w:r>
    </w:p>
    <w:p>
      <w:pPr>
        <w:ind w:firstLine="480" w:firstLineChars="200"/>
        <w:jc w:val="right"/>
        <w:rPr>
          <w:b/>
          <w:bCs/>
          <w:i/>
          <w:iCs/>
        </w:rPr>
      </w:pPr>
      <w:r>
        <w:rPr>
          <w:position w:val="-14"/>
        </w:rPr>
        <w:object>
          <v:shape id="_x0000_i1327" o:spt="75" type="#_x0000_t75" style="height:19.7pt;width:239.1pt;" o:ole="t" filled="f" o:preferrelative="t" stroked="f" coordsize="21600,21600">
            <v:path/>
            <v:fill on="f" focussize="0,0"/>
            <v:stroke on="f" joinstyle="miter"/>
            <v:imagedata r:id="rId538" o:title=""/>
            <o:lock v:ext="edit" aspectratio="t"/>
            <w10:wrap type="none"/>
            <w10:anchorlock/>
          </v:shape>
          <o:OLEObject Type="Embed" ProgID="Equation.DSMT4" ShapeID="_x0000_i1327" DrawAspect="Content" ObjectID="_1468076025" r:id="rId537">
            <o:LockedField>false</o:LockedField>
          </o:OLEObject>
        </w:object>
      </w:r>
      <w:r>
        <w:t xml:space="preserve">             (9.4.5-5)</w:t>
      </w:r>
    </w:p>
    <w:p>
      <w:pPr>
        <w:ind w:firstLine="480"/>
      </w:pPr>
      <w:r>
        <w:rPr>
          <w:rFonts w:hint="eastAsia"/>
        </w:rPr>
        <w:t xml:space="preserve">式中： </w:t>
      </w:r>
      <w:r>
        <w:rPr>
          <w:position w:val="-12"/>
        </w:rPr>
        <w:object>
          <v:shape id="_x0000_i1328" o:spt="75" type="#_x0000_t75" style="height:18.35pt;width:13.6pt;" o:ole="t" filled="f" o:preferrelative="t" stroked="f" coordsize="21600,21600">
            <v:path/>
            <v:fill on="f" focussize="0,0"/>
            <v:stroke on="f" joinstyle="miter"/>
            <v:imagedata r:id="rId33" o:title=""/>
            <o:lock v:ext="edit" aspectratio="t"/>
            <w10:wrap type="none"/>
            <w10:anchorlock/>
          </v:shape>
          <o:OLEObject Type="Embed" ProgID="Equation.DSMT4" ShapeID="_x0000_i1328" DrawAspect="Content" ObjectID="_1468076026" r:id="rId539">
            <o:LockedField>false</o:LockedField>
          </o:OLEObject>
        </w:object>
      </w:r>
      <w:r>
        <w:t>——</w:t>
      </w:r>
      <w:r>
        <w:rPr>
          <w:rFonts w:hint="eastAsia"/>
        </w:rPr>
        <w:t>主动土压力（</w:t>
      </w:r>
      <w:r>
        <w:t>kPa</w:t>
      </w:r>
      <w:r>
        <w:rPr>
          <w:rFonts w:hint="eastAsia"/>
        </w:rPr>
        <w:t>）；</w:t>
      </w:r>
    </w:p>
    <w:p>
      <w:pPr>
        <w:ind w:firstLine="1200" w:firstLineChars="500"/>
      </w:pPr>
      <w:r>
        <w:rPr>
          <w:position w:val="-4"/>
        </w:rPr>
        <w:object>
          <v:shape id="_x0000_i1329" o:spt="75" type="#_x0000_t75" style="height:12.9pt;width:12.9pt;" o:ole="t" filled="f" o:preferrelative="t" stroked="f" coordsize="21600,21600">
            <v:path/>
            <v:fill on="f" focussize="0,0"/>
            <v:stroke on="f" joinstyle="miter"/>
            <v:imagedata r:id="rId29" o:title=""/>
            <o:lock v:ext="edit" aspectratio="t"/>
            <w10:wrap type="none"/>
            <w10:anchorlock/>
          </v:shape>
          <o:OLEObject Type="Embed" ProgID="Equation.DSMT4" ShapeID="_x0000_i1329" DrawAspect="Content" ObjectID="_1468076027" r:id="rId540">
            <o:LockedField>false</o:LockedField>
          </o:OLEObject>
        </w:object>
      </w:r>
      <w:r>
        <w:t>——</w:t>
      </w:r>
      <w:r>
        <w:rPr>
          <w:rFonts w:hint="eastAsia"/>
        </w:rPr>
        <w:t>控制土压力（</w:t>
      </w:r>
      <w:r>
        <w:t>kPa</w:t>
      </w:r>
      <w:r>
        <w:rPr>
          <w:rFonts w:hint="eastAsia"/>
        </w:rPr>
        <w:t>）；</w:t>
      </w:r>
    </w:p>
    <w:p>
      <w:pPr>
        <w:ind w:firstLine="1200" w:firstLineChars="500"/>
      </w:pPr>
      <w:r>
        <w:rPr>
          <w:position w:val="-14"/>
        </w:rPr>
        <w:object>
          <v:shape id="_x0000_i1330" o:spt="75" type="#_x0000_t75" style="height:19.7pt;width:14.25pt;" o:ole="t" filled="f" o:preferrelative="t" stroked="f" coordsize="21600,21600">
            <v:path/>
            <v:fill on="f" focussize="0,0"/>
            <v:stroke on="f" joinstyle="miter"/>
            <v:imagedata r:id="rId39" o:title=""/>
            <o:lock v:ext="edit" aspectratio="t"/>
            <w10:wrap type="none"/>
            <w10:anchorlock/>
          </v:shape>
          <o:OLEObject Type="Embed" ProgID="Equation.DSMT4" ShapeID="_x0000_i1330" DrawAspect="Content" ObjectID="_1468076028" r:id="rId541">
            <o:LockedField>false</o:LockedField>
          </o:OLEObject>
        </w:object>
      </w:r>
      <w:r>
        <w:t>——</w:t>
      </w:r>
      <w:r>
        <w:rPr>
          <w:rFonts w:hint="eastAsia"/>
        </w:rPr>
        <w:t>被动土压力（</w:t>
      </w:r>
      <w:r>
        <w:t>kPa</w:t>
      </w:r>
      <w:r>
        <w:rPr>
          <w:rFonts w:hint="eastAsia"/>
        </w:rPr>
        <w:t>）；</w:t>
      </w:r>
    </w:p>
    <w:p>
      <w:pPr>
        <w:ind w:firstLine="1200" w:firstLineChars="500"/>
      </w:pPr>
      <w:r>
        <w:rPr>
          <w:position w:val="-12"/>
        </w:rPr>
        <w:object>
          <v:shape id="_x0000_i1331" o:spt="75" type="#_x0000_t75" style="height:18.35pt;width:17pt;" o:ole="t" filled="f" o:preferrelative="t" stroked="f" coordsize="21600,21600">
            <v:path/>
            <v:fill on="f" focussize="0,0"/>
            <v:stroke on="f" joinstyle="miter"/>
            <v:imagedata r:id="rId113" o:title=""/>
            <o:lock v:ext="edit" aspectratio="t"/>
            <w10:wrap type="none"/>
            <w10:anchorlock/>
          </v:shape>
          <o:OLEObject Type="Embed" ProgID="Equation.DSMT4" ShapeID="_x0000_i1331" DrawAspect="Content" ObjectID="_1468076029" r:id="rId542">
            <o:LockedField>false</o:LockedField>
          </o:OLEObject>
        </w:object>
      </w:r>
      <w:r>
        <w:t>——</w:t>
      </w:r>
      <w:r>
        <w:rPr>
          <w:rFonts w:hint="eastAsia"/>
        </w:rPr>
        <w:t>静土压系数，在砂性土中可取</w:t>
      </w:r>
      <w:r>
        <w:t>0.25~0.33</w:t>
      </w:r>
      <w:r>
        <w:rPr>
          <w:rFonts w:hint="eastAsia"/>
        </w:rPr>
        <w:t>之间，在粘性图中可取</w:t>
      </w:r>
      <w:r>
        <w:t>0.33~0.7</w:t>
      </w:r>
      <w:r>
        <w:rPr>
          <w:rFonts w:hint="eastAsia"/>
        </w:rPr>
        <w:t>之间；</w:t>
      </w:r>
    </w:p>
    <w:p>
      <w:pPr>
        <w:ind w:firstLine="1200" w:firstLineChars="500"/>
      </w:pPr>
      <w:r>
        <w:rPr>
          <w:position w:val="-12"/>
        </w:rPr>
        <w:object>
          <v:shape id="_x0000_i1332" o:spt="75" type="#_x0000_t75" style="height:18.35pt;width:13.6pt;" o:ole="t" filled="f" o:preferrelative="t" stroked="f" coordsize="21600,21600">
            <v:path/>
            <v:fill on="f" focussize="0,0"/>
            <v:stroke on="f" joinstyle="miter"/>
            <v:imagedata r:id="rId31" o:title=""/>
            <o:lock v:ext="edit" aspectratio="t"/>
            <w10:wrap type="none"/>
            <w10:anchorlock/>
          </v:shape>
          <o:OLEObject Type="Embed" ProgID="Equation.DSMT4" ShapeID="_x0000_i1332" DrawAspect="Content" ObjectID="_1468076030" r:id="rId543">
            <o:LockedField>false</o:LockedField>
          </o:OLEObject>
        </w:object>
      </w:r>
      <w:r>
        <w:t>——</w:t>
      </w:r>
      <w:r>
        <w:rPr>
          <w:rFonts w:hint="eastAsia"/>
        </w:rPr>
        <w:t>静止土压力（</w:t>
      </w:r>
      <w:r>
        <w:t>kPa</w:t>
      </w:r>
      <w:r>
        <w:rPr>
          <w:rFonts w:hint="eastAsia"/>
        </w:rPr>
        <w:t>）；</w:t>
      </w:r>
    </w:p>
    <w:p>
      <w:pPr>
        <w:ind w:left="420" w:firstLine="720" w:firstLineChars="300"/>
      </w:pPr>
      <w:r>
        <w:rPr>
          <w:position w:val="-10"/>
        </w:rPr>
        <w:object>
          <v:shape id="_x0000_i1333" o:spt="75" type="#_x0000_t75" style="height:12.9pt;width:10.85pt;" o:ole="t" filled="f" o:preferrelative="t" stroked="f" coordsize="21600,21600">
            <v:path/>
            <v:fill on="f" focussize="0,0"/>
            <v:stroke on="f" joinstyle="miter"/>
            <v:imagedata r:id="rId545" o:title=""/>
            <o:lock v:ext="edit" aspectratio="t"/>
            <w10:wrap type="none"/>
            <w10:anchorlock/>
          </v:shape>
          <o:OLEObject Type="Embed" ProgID="Equation.DSMT4" ShapeID="_x0000_i1333" DrawAspect="Content" ObjectID="_1468076031" r:id="rId544">
            <o:LockedField>false</o:LockedField>
          </o:OLEObject>
        </w:object>
      </w:r>
      <w:r>
        <w:t>——</w:t>
      </w:r>
      <w:r>
        <w:rPr>
          <w:rFonts w:hint="eastAsia"/>
        </w:rPr>
        <w:t>土的重度（</w:t>
      </w:r>
      <w:r>
        <w:t>KN/m</w:t>
      </w:r>
      <w:r>
        <w:rPr>
          <w:rFonts w:hint="eastAsia"/>
        </w:rPr>
        <w:t>³）；</w:t>
      </w:r>
    </w:p>
    <w:p>
      <w:pPr>
        <w:ind w:firstLine="960" w:firstLineChars="400"/>
      </w:pPr>
      <w:r>
        <w:rPr>
          <w:position w:val="-12"/>
        </w:rPr>
        <w:object>
          <v:shape id="_x0000_i1334" o:spt="75" type="#_x0000_t75" style="height:18.35pt;width:17pt;" o:ole="t" filled="f" o:preferrelative="t" stroked="f" coordsize="21600,21600">
            <v:path/>
            <v:fill on="f" focussize="0,0"/>
            <v:stroke on="f" joinstyle="miter"/>
            <v:imagedata r:id="rId547" o:title=""/>
            <o:lock v:ext="edit" aspectratio="t"/>
            <w10:wrap type="none"/>
            <w10:anchorlock/>
          </v:shape>
          <o:OLEObject Type="Embed" ProgID="Equation.DSMT4" ShapeID="_x0000_i1334" DrawAspect="Content" ObjectID="_1468076032" r:id="rId546">
            <o:LockedField>false</o:LockedField>
          </o:OLEObject>
        </w:object>
      </w:r>
      <w:r>
        <w:rPr>
          <w:rFonts w:hint="eastAsia"/>
        </w:rPr>
        <w:t>——管顶至原状土地面的覆土深度（m）；</w:t>
      </w:r>
    </w:p>
    <w:p>
      <w:pPr>
        <w:ind w:firstLine="1080" w:firstLineChars="450"/>
      </w:pPr>
      <w:r>
        <w:rPr>
          <w:position w:val="-10"/>
        </w:rPr>
        <w:object>
          <v:shape id="_x0000_i1335" o:spt="75" type="#_x0000_t75" style="height:12.9pt;width:11.55pt;" o:ole="t" filled="f" o:preferrelative="t" stroked="f" coordsize="21600,21600">
            <v:path/>
            <v:fill on="f" focussize="0,0"/>
            <v:stroke on="f" joinstyle="miter"/>
            <v:imagedata r:id="rId63" o:title=""/>
            <o:lock v:ext="edit" aspectratio="t"/>
            <w10:wrap type="none"/>
            <w10:anchorlock/>
          </v:shape>
          <o:OLEObject Type="Embed" ProgID="Equation.DSMT4" ShapeID="_x0000_i1335" DrawAspect="Content" ObjectID="_1468076033" r:id="rId548">
            <o:LockedField>false</o:LockedField>
          </o:OLEObject>
        </w:object>
      </w:r>
      <w:r>
        <w:t>——</w:t>
      </w:r>
      <w:r>
        <w:rPr>
          <w:rFonts w:hint="eastAsia"/>
        </w:rPr>
        <w:t>土的摩擦角（</w:t>
      </w:r>
      <w:r>
        <w:rPr>
          <w:rFonts w:hint="eastAsia" w:ascii="宋体" w:hAnsi="宋体"/>
        </w:rPr>
        <w:t>゜</w:t>
      </w:r>
      <w:r>
        <w:rPr>
          <w:rFonts w:hint="eastAsia"/>
        </w:rPr>
        <w:t>）；</w:t>
      </w:r>
    </w:p>
    <w:p>
      <w:pPr>
        <w:ind w:firstLine="1080" w:firstLineChars="450"/>
      </w:pPr>
      <w:r>
        <w:rPr>
          <w:position w:val="-6"/>
        </w:rPr>
        <w:object>
          <v:shape id="_x0000_i1336" o:spt="75" type="#_x0000_t75" style="height:14.25pt;width:12.9pt;" o:ole="t" filled="f" o:preferrelative="t" stroked="f" coordsize="21600,21600">
            <v:path/>
            <v:fill on="f" focussize="0,0"/>
            <v:stroke on="f" joinstyle="miter"/>
            <v:imagedata r:id="rId55" o:title=""/>
            <o:lock v:ext="edit" aspectratio="t"/>
            <w10:wrap type="none"/>
            <w10:anchorlock/>
          </v:shape>
          <o:OLEObject Type="Embed" ProgID="Equation.DSMT4" ShapeID="_x0000_i1336" DrawAspect="Content" ObjectID="_1468076034" r:id="rId549">
            <o:LockedField>false</o:LockedField>
          </o:OLEObject>
        </w:object>
      </w:r>
      <w:r>
        <w:t>——</w:t>
      </w:r>
      <w:r>
        <w:rPr>
          <w:rFonts w:hint="eastAsia"/>
        </w:rPr>
        <w:t>土的内聚力（</w:t>
      </w:r>
      <w:r>
        <w:t>kPa</w:t>
      </w:r>
      <w:r>
        <w:rPr>
          <w:rFonts w:hint="eastAsia"/>
        </w:rPr>
        <w:t>）；</w:t>
      </w:r>
    </w:p>
    <w:p>
      <w:pPr>
        <w:ind w:firstLine="480" w:firstLineChars="200"/>
      </w:pPr>
      <w:r>
        <w:rPr>
          <w:rFonts w:hint="eastAsia"/>
        </w:rPr>
        <w:t xml:space="preserve">4 </w:t>
      </w:r>
      <w:r>
        <w:t xml:space="preserve"> </w:t>
      </w:r>
      <w:r>
        <w:rPr>
          <w:rFonts w:hint="eastAsia"/>
        </w:rPr>
        <w:t>控制土压力除了计算以外还需在顶进时实测，将实测值与计算值做比较，修正计算值。</w:t>
      </w:r>
    </w:p>
    <w:p>
      <w:pPr>
        <w:ind w:firstLine="480" w:firstLineChars="200"/>
        <w:rPr>
          <w:rFonts w:eastAsiaTheme="minorEastAsia"/>
        </w:rPr>
      </w:pPr>
      <w:r>
        <w:t>5</w:t>
      </w:r>
      <w:r>
        <w:rPr>
          <w:rFonts w:hint="eastAsia"/>
        </w:rPr>
        <w:t xml:space="preserve"> </w:t>
      </w:r>
      <w:r>
        <w:t xml:space="preserve"> </w:t>
      </w:r>
      <w:r>
        <w:rPr>
          <w:rFonts w:hint="eastAsia"/>
        </w:rPr>
        <w:t>泥水平衡式顶管机正面泥水压力宜控制在比水土压力高出</w:t>
      </w:r>
      <w:r>
        <w:rPr>
          <w:rFonts w:hint="eastAsia" w:eastAsiaTheme="minorEastAsia"/>
        </w:rPr>
        <w:t>0.01MPa~0.03 MPa。</w:t>
      </w:r>
    </w:p>
    <w:p>
      <w:pPr>
        <w:ind w:firstLine="480" w:firstLineChars="200"/>
      </w:pPr>
      <w:r>
        <w:rPr>
          <w:rFonts w:hint="eastAsia" w:eastAsiaTheme="minorEastAsia"/>
        </w:rPr>
        <w:t>6</w:t>
      </w:r>
      <w:r>
        <w:rPr>
          <w:rFonts w:eastAsiaTheme="minorEastAsia"/>
        </w:rPr>
        <w:t xml:space="preserve">  </w:t>
      </w:r>
      <w:r>
        <w:rPr>
          <w:rFonts w:hint="eastAsia" w:eastAsiaTheme="minorEastAsia"/>
        </w:rPr>
        <w:t>应统计每节管节的出土量（出泥量），并应与理论出土量（出泥量）保持一致。</w:t>
      </w:r>
    </w:p>
    <w:p>
      <w:pPr>
        <w:rPr>
          <w:rFonts w:eastAsia="仿宋"/>
          <w:b/>
          <w:bCs/>
        </w:rPr>
      </w:pPr>
      <w:r>
        <w:rPr>
          <w:rFonts w:eastAsia="仿宋"/>
          <w:b/>
          <w:bCs/>
        </w:rPr>
        <w:t xml:space="preserve">【条文说明】：9.4.5  </w:t>
      </w:r>
      <w:r>
        <w:rPr>
          <w:rFonts w:eastAsia="仿宋"/>
        </w:rPr>
        <w:t>本条款补充说明下列：</w:t>
      </w:r>
    </w:p>
    <w:p>
      <w:pPr>
        <w:ind w:firstLine="480" w:firstLineChars="200"/>
        <w:rPr>
          <w:rFonts w:eastAsia="仿宋"/>
        </w:rPr>
      </w:pPr>
      <w:r>
        <w:rPr>
          <w:rFonts w:eastAsia="仿宋"/>
        </w:rPr>
        <w:t>1</w:t>
      </w:r>
      <w:r>
        <w:rPr>
          <w:rFonts w:eastAsia="仿宋"/>
          <w:b/>
          <w:bCs/>
        </w:rPr>
        <w:t xml:space="preserve">  </w:t>
      </w:r>
      <w:r>
        <w:rPr>
          <w:rFonts w:eastAsia="仿宋"/>
        </w:rPr>
        <w:t>顶管初始掘进时应控制掘进速度，不宜过快，在此过程中应摸索掘进的相关数据，为正常掘进提供依据。</w:t>
      </w:r>
    </w:p>
    <w:p>
      <w:pPr>
        <w:ind w:firstLine="480" w:firstLineChars="200"/>
        <w:rPr>
          <w:rFonts w:eastAsia="仿宋"/>
        </w:rPr>
      </w:pPr>
      <w:r>
        <w:rPr>
          <w:rFonts w:eastAsia="仿宋"/>
        </w:rPr>
        <w:t>2  顶管正常掘进应控制开挖量与出土量的平衡。</w:t>
      </w:r>
    </w:p>
    <w:p>
      <w:pPr>
        <w:ind w:firstLine="480" w:firstLineChars="200"/>
        <w:rPr>
          <w:rFonts w:eastAsia="仿宋"/>
        </w:rPr>
      </w:pPr>
      <w:r>
        <w:rPr>
          <w:rFonts w:eastAsia="仿宋"/>
        </w:rPr>
        <w:t>3  控制土舱内压力的方法有三种：</w:t>
      </w:r>
    </w:p>
    <w:p>
      <w:pPr>
        <w:ind w:firstLine="480" w:firstLineChars="200"/>
        <w:rPr>
          <w:rFonts w:eastAsia="仿宋"/>
        </w:rPr>
      </w:pPr>
      <w:r>
        <w:rPr>
          <w:rFonts w:eastAsia="仿宋"/>
        </w:rPr>
        <w:t>1）用主顶油缸或第一个中继间的推进速度来调节，在排土量不变的条件下，推进速度快，则土压力上升，反之则下降。</w:t>
      </w:r>
    </w:p>
    <w:p>
      <w:pPr>
        <w:ind w:firstLine="480" w:firstLineChars="200"/>
        <w:rPr>
          <w:rFonts w:eastAsia="仿宋"/>
        </w:rPr>
      </w:pPr>
      <w:r>
        <w:rPr>
          <w:rFonts w:eastAsia="仿宋"/>
        </w:rPr>
        <w:t>2）利用调节螺旋输送机转速和快慢来调节土压力。在推进速度保持不变的条件下，螺旋输送机的转速较快，排土量则越大，土舱内的压力就下降，反之则上升。</w:t>
      </w:r>
    </w:p>
    <w:p>
      <w:pPr>
        <w:ind w:firstLine="480" w:firstLineChars="200"/>
      </w:pPr>
      <w:r>
        <w:rPr>
          <w:rFonts w:eastAsia="仿宋"/>
        </w:rPr>
        <w:t>3）利用顶管机后的主推装置和调速螺旋输送机共同来控制土舱内土压力，用这种调节方法最好，但施工成本高。</w:t>
      </w:r>
    </w:p>
    <w:p>
      <w:r>
        <w:rPr>
          <w:rFonts w:hint="eastAsia"/>
          <w:b/>
          <w:bCs/>
        </w:rPr>
        <w:t>9</w:t>
      </w:r>
      <w:r>
        <w:rPr>
          <w:b/>
          <w:bCs/>
        </w:rPr>
        <w:t>.</w:t>
      </w:r>
      <w:r>
        <w:rPr>
          <w:rFonts w:hint="eastAsia"/>
          <w:b/>
          <w:bCs/>
        </w:rPr>
        <w:t>4</w:t>
      </w:r>
      <w:r>
        <w:rPr>
          <w:b/>
          <w:bCs/>
        </w:rPr>
        <w:t>.</w:t>
      </w:r>
      <w:r>
        <w:rPr>
          <w:rFonts w:hint="eastAsia"/>
          <w:b/>
          <w:bCs/>
        </w:rPr>
        <w:t>6</w:t>
      </w:r>
      <w:r>
        <w:rPr>
          <w:b/>
          <w:bCs/>
        </w:rPr>
        <w:t xml:space="preserve">  </w:t>
      </w:r>
      <w:r>
        <w:rPr>
          <w:rFonts w:hint="eastAsia"/>
        </w:rPr>
        <w:t>距离</w:t>
      </w:r>
      <w:r>
        <w:t>工作井洞口</w:t>
      </w:r>
      <w:r>
        <w:rPr>
          <w:rFonts w:hint="eastAsia"/>
        </w:rPr>
        <w:t>一定长度</w:t>
      </w:r>
      <w:r>
        <w:t>宜作为试验段，通过现场实测调整施工参数范围和匹配关系。</w:t>
      </w:r>
    </w:p>
    <w:p>
      <w:r>
        <w:rPr>
          <w:rFonts w:hint="eastAsia"/>
          <w:b/>
          <w:bCs/>
        </w:rPr>
        <w:t>9</w:t>
      </w:r>
      <w:r>
        <w:rPr>
          <w:b/>
          <w:bCs/>
        </w:rPr>
        <w:t>.</w:t>
      </w:r>
      <w:r>
        <w:rPr>
          <w:rFonts w:hint="eastAsia"/>
          <w:b/>
          <w:bCs/>
        </w:rPr>
        <w:t>4</w:t>
      </w:r>
      <w:r>
        <w:rPr>
          <w:b/>
          <w:bCs/>
        </w:rPr>
        <w:t>.</w:t>
      </w:r>
      <w:r>
        <w:rPr>
          <w:rFonts w:hint="eastAsia"/>
          <w:b/>
          <w:bCs/>
        </w:rPr>
        <w:t>7</w:t>
      </w:r>
      <w:r>
        <w:rPr>
          <w:b/>
          <w:bCs/>
        </w:rPr>
        <w:t xml:space="preserve">  </w:t>
      </w:r>
      <w:r>
        <w:rPr>
          <w:rFonts w:hint="eastAsia"/>
        </w:rPr>
        <w:t>顶管</w:t>
      </w:r>
      <w:r>
        <w:t>掘进中为防止机头下沉、机尾上翘的现象，可采取下列措施：</w:t>
      </w:r>
    </w:p>
    <w:p>
      <w:pPr>
        <w:ind w:firstLine="480" w:firstLineChars="200"/>
      </w:pPr>
      <w:r>
        <w:rPr>
          <w:rFonts w:hint="eastAsia"/>
        </w:rPr>
        <w:t>1</w:t>
      </w:r>
      <w:r>
        <w:t xml:space="preserve">  调整后</w:t>
      </w:r>
      <w:r>
        <w:rPr>
          <w:rFonts w:hint="eastAsia"/>
        </w:rPr>
        <w:t>座</w:t>
      </w:r>
      <w:r>
        <w:t>主推</w:t>
      </w:r>
      <w:r>
        <w:rPr>
          <w:rFonts w:hint="eastAsia"/>
        </w:rPr>
        <w:t>油缸</w:t>
      </w:r>
      <w:r>
        <w:t>的合力中心，用后座</w:t>
      </w:r>
      <w:r>
        <w:rPr>
          <w:rFonts w:hint="eastAsia"/>
        </w:rPr>
        <w:t>油缸</w:t>
      </w:r>
      <w:r>
        <w:t>进行纠偏；</w:t>
      </w:r>
    </w:p>
    <w:p>
      <w:pPr>
        <w:ind w:firstLine="480" w:firstLineChars="200"/>
      </w:pPr>
      <w:r>
        <w:rPr>
          <w:rFonts w:hint="eastAsia"/>
        </w:rPr>
        <w:t>2</w:t>
      </w:r>
      <w:r>
        <w:t xml:space="preserve">  宜将</w:t>
      </w:r>
      <w:r>
        <w:rPr>
          <w:rFonts w:hint="eastAsia"/>
        </w:rPr>
        <w:t>顶管管节</w:t>
      </w:r>
      <w:r>
        <w:t>前3～5节用</w:t>
      </w:r>
      <w:r>
        <w:rPr>
          <w:rFonts w:hint="eastAsia"/>
        </w:rPr>
        <w:t>型钢</w:t>
      </w:r>
      <w:r>
        <w:t>焊接相</w:t>
      </w:r>
      <w:r>
        <w:rPr>
          <w:rFonts w:hint="eastAsia"/>
        </w:rPr>
        <w:t>连</w:t>
      </w:r>
      <w:r>
        <w:t>；</w:t>
      </w:r>
    </w:p>
    <w:p>
      <w:pPr>
        <w:ind w:firstLine="480" w:firstLineChars="200"/>
      </w:pPr>
      <w:r>
        <w:rPr>
          <w:rFonts w:hint="eastAsia"/>
        </w:rPr>
        <w:t>3</w:t>
      </w:r>
      <w:r>
        <w:t xml:space="preserve">  对洞口土体进行加固处理；</w:t>
      </w:r>
    </w:p>
    <w:p>
      <w:pPr>
        <w:ind w:firstLine="480" w:firstLineChars="200"/>
      </w:pPr>
      <w:r>
        <w:rPr>
          <w:rFonts w:hint="eastAsia"/>
        </w:rPr>
        <w:t>4</w:t>
      </w:r>
      <w:r>
        <w:t xml:space="preserve">  加强洞口密封可靠性，防止或及时封堵顶管始发和接收时的水土流失。</w:t>
      </w:r>
    </w:p>
    <w:p>
      <w:pPr>
        <w:rPr>
          <w:rFonts w:eastAsia="仿宋"/>
          <w:b/>
          <w:bCs/>
        </w:rPr>
      </w:pPr>
      <w:r>
        <w:rPr>
          <w:rFonts w:eastAsia="仿宋"/>
          <w:b/>
          <w:bCs/>
        </w:rPr>
        <w:t xml:space="preserve">【条文说明】：9.4.7  </w:t>
      </w:r>
      <w:r>
        <w:rPr>
          <w:rFonts w:eastAsia="仿宋"/>
        </w:rPr>
        <w:t>由于工作井施工时周围土体被扰动，顶管机出洞时，洞外土体易流失，同时顶管机自重太重，因此要采取防“磕头”措施。</w:t>
      </w:r>
    </w:p>
    <w:p>
      <w:r>
        <w:rPr>
          <w:rFonts w:hint="eastAsia"/>
          <w:b/>
          <w:bCs/>
        </w:rPr>
        <w:t>9</w:t>
      </w:r>
      <w:r>
        <w:rPr>
          <w:b/>
          <w:bCs/>
        </w:rPr>
        <w:t>.</w:t>
      </w:r>
      <w:r>
        <w:rPr>
          <w:rFonts w:hint="eastAsia"/>
          <w:b/>
          <w:bCs/>
        </w:rPr>
        <w:t>4</w:t>
      </w:r>
      <w:r>
        <w:rPr>
          <w:b/>
          <w:bCs/>
        </w:rPr>
        <w:t>.</w:t>
      </w:r>
      <w:r>
        <w:rPr>
          <w:rFonts w:hint="eastAsia"/>
          <w:b/>
          <w:bCs/>
        </w:rPr>
        <w:t>8</w:t>
      </w:r>
      <w:r>
        <w:rPr>
          <w:b/>
          <w:bCs/>
        </w:rPr>
        <w:t xml:space="preserve">  </w:t>
      </w:r>
      <w:r>
        <w:t>当采用中继间技术时，应对中继间进行编组控制，从</w:t>
      </w:r>
      <w:r>
        <w:rPr>
          <w:rFonts w:hint="eastAsia"/>
        </w:rPr>
        <w:t>矩形</w:t>
      </w:r>
      <w:r>
        <w:t>顶管机头向后按次序依次将每段管节向前推移，当一组中继间伸出时，其它中继间应保持不动，在所有中继间依次完成作业后，主顶工作站完成该掘进循环的最后掘进作业。</w:t>
      </w:r>
    </w:p>
    <w:p>
      <w:r>
        <w:rPr>
          <w:rFonts w:hint="eastAsia"/>
          <w:b/>
          <w:bCs/>
        </w:rPr>
        <w:t>9</w:t>
      </w:r>
      <w:r>
        <w:rPr>
          <w:b/>
          <w:bCs/>
        </w:rPr>
        <w:t>.</w:t>
      </w:r>
      <w:r>
        <w:rPr>
          <w:rFonts w:hint="eastAsia"/>
          <w:b/>
          <w:bCs/>
        </w:rPr>
        <w:t>4</w:t>
      </w:r>
      <w:r>
        <w:rPr>
          <w:b/>
          <w:bCs/>
        </w:rPr>
        <w:t>.</w:t>
      </w:r>
      <w:r>
        <w:rPr>
          <w:rFonts w:hint="eastAsia"/>
          <w:b/>
          <w:bCs/>
        </w:rPr>
        <w:t>9</w:t>
      </w:r>
      <w:r>
        <w:rPr>
          <w:b/>
          <w:bCs/>
        </w:rPr>
        <w:t xml:space="preserve">  </w:t>
      </w:r>
      <w:r>
        <w:t>施工参数记录</w:t>
      </w:r>
      <w:r>
        <w:rPr>
          <w:rFonts w:hint="eastAsia"/>
        </w:rPr>
        <w:t>应符合下列规定</w:t>
      </w:r>
      <w:r>
        <w:t>：</w:t>
      </w:r>
    </w:p>
    <w:p>
      <w:pPr>
        <w:ind w:firstLine="480" w:firstLineChars="200"/>
      </w:pPr>
      <w:r>
        <w:rPr>
          <w:rFonts w:hint="eastAsia"/>
        </w:rPr>
        <w:t>1</w:t>
      </w:r>
      <w:r>
        <w:t xml:space="preserve">  顶管始发前应测</w:t>
      </w:r>
      <w:r>
        <w:rPr>
          <w:rFonts w:hint="eastAsia"/>
        </w:rPr>
        <w:t>量</w:t>
      </w:r>
      <w:r>
        <w:t>顶管机头的轴线和标高，并将测量数据及时反馈进行调整</w:t>
      </w:r>
      <w:r>
        <w:rPr>
          <w:rFonts w:hint="eastAsia"/>
        </w:rPr>
        <w:t>。</w:t>
      </w:r>
    </w:p>
    <w:p>
      <w:pPr>
        <w:ind w:firstLine="480" w:firstLineChars="200"/>
      </w:pPr>
      <w:r>
        <w:rPr>
          <w:rFonts w:hint="eastAsia"/>
        </w:rPr>
        <w:t>2</w:t>
      </w:r>
      <w:r>
        <w:t xml:space="preserve">  掘进施工中的原始数据记录应连续、真实、完整</w:t>
      </w:r>
      <w:r>
        <w:rPr>
          <w:rFonts w:hint="eastAsia"/>
        </w:rPr>
        <w:t>。</w:t>
      </w:r>
    </w:p>
    <w:p>
      <w:pPr>
        <w:ind w:firstLine="480" w:firstLineChars="200"/>
      </w:pPr>
      <w:r>
        <w:rPr>
          <w:rFonts w:hint="eastAsia"/>
        </w:rPr>
        <w:t>3</w:t>
      </w:r>
      <w:r>
        <w:t xml:space="preserve">  原始记录和测量分析资料应完整存档。</w:t>
      </w:r>
    </w:p>
    <w:p>
      <w:r>
        <w:rPr>
          <w:rFonts w:hint="eastAsia"/>
          <w:b/>
          <w:bCs/>
        </w:rPr>
        <w:t>9</w:t>
      </w:r>
      <w:r>
        <w:rPr>
          <w:b/>
          <w:bCs/>
        </w:rPr>
        <w:t>.</w:t>
      </w:r>
      <w:r>
        <w:rPr>
          <w:rFonts w:hint="eastAsia"/>
          <w:b/>
          <w:bCs/>
        </w:rPr>
        <w:t>4</w:t>
      </w:r>
      <w:r>
        <w:rPr>
          <w:b/>
          <w:bCs/>
        </w:rPr>
        <w:t>.</w:t>
      </w:r>
      <w:r>
        <w:rPr>
          <w:rFonts w:hint="eastAsia"/>
          <w:b/>
          <w:bCs/>
        </w:rPr>
        <w:t>10</w:t>
      </w:r>
      <w:r>
        <w:rPr>
          <w:b/>
          <w:bCs/>
        </w:rPr>
        <w:t xml:space="preserve">  </w:t>
      </w:r>
      <w:r>
        <w:t>加接管</w:t>
      </w:r>
      <w:r>
        <w:rPr>
          <w:rFonts w:hint="eastAsia"/>
        </w:rPr>
        <w:t>节</w:t>
      </w:r>
      <w:r>
        <w:t>时，主推</w:t>
      </w:r>
      <w:r>
        <w:rPr>
          <w:rFonts w:hint="eastAsia"/>
        </w:rPr>
        <w:t>油缸</w:t>
      </w:r>
      <w:r>
        <w:t>在缩回前应对已掘进的管</w:t>
      </w:r>
      <w:r>
        <w:rPr>
          <w:rFonts w:hint="eastAsia"/>
        </w:rPr>
        <w:t>节采取止退措施</w:t>
      </w:r>
      <w:r>
        <w:t>。</w:t>
      </w:r>
    </w:p>
    <w:p>
      <w:r>
        <w:rPr>
          <w:rFonts w:hint="eastAsia"/>
          <w:b/>
          <w:bCs/>
        </w:rPr>
        <w:t>9</w:t>
      </w:r>
      <w:r>
        <w:rPr>
          <w:b/>
          <w:bCs/>
        </w:rPr>
        <w:t>.</w:t>
      </w:r>
      <w:r>
        <w:rPr>
          <w:rFonts w:hint="eastAsia"/>
          <w:b/>
          <w:bCs/>
        </w:rPr>
        <w:t>4</w:t>
      </w:r>
      <w:r>
        <w:rPr>
          <w:b/>
          <w:bCs/>
        </w:rPr>
        <w:t>.</w:t>
      </w:r>
      <w:r>
        <w:rPr>
          <w:rFonts w:hint="eastAsia"/>
          <w:b/>
          <w:bCs/>
        </w:rPr>
        <w:t>11</w:t>
      </w:r>
      <w:r>
        <w:rPr>
          <w:b/>
          <w:bCs/>
        </w:rPr>
        <w:t xml:space="preserve">  </w:t>
      </w:r>
      <w:r>
        <w:t>掘进过程应连续</w:t>
      </w:r>
      <w:r>
        <w:rPr>
          <w:rFonts w:hint="eastAsia"/>
        </w:rPr>
        <w:t>进行</w:t>
      </w:r>
      <w:r>
        <w:t>，如遇下列情况之一时，应暂停掘进，及时处理，并应采取防止顶管机前方塌方的措施：</w:t>
      </w:r>
    </w:p>
    <w:p>
      <w:pPr>
        <w:ind w:firstLine="480" w:firstLineChars="200"/>
      </w:pPr>
      <w:r>
        <w:rPr>
          <w:rFonts w:hint="eastAsia"/>
        </w:rPr>
        <w:t>1</w:t>
      </w:r>
      <w:r>
        <w:t xml:space="preserve">  顶管机前方遇到</w:t>
      </w:r>
      <w:r>
        <w:rPr>
          <w:rFonts w:hint="eastAsia"/>
        </w:rPr>
        <w:t>不明</w:t>
      </w:r>
      <w:r>
        <w:t>障碍物；</w:t>
      </w:r>
    </w:p>
    <w:p>
      <w:pPr>
        <w:ind w:firstLine="480" w:firstLineChars="200"/>
      </w:pPr>
      <w:r>
        <w:rPr>
          <w:rFonts w:hint="eastAsia"/>
        </w:rPr>
        <w:t>2</w:t>
      </w:r>
      <w:r>
        <w:t xml:space="preserve">  后背墙变形严重；</w:t>
      </w:r>
    </w:p>
    <w:p>
      <w:pPr>
        <w:ind w:firstLine="480" w:firstLineChars="200"/>
      </w:pPr>
      <w:r>
        <w:rPr>
          <w:rFonts w:hint="eastAsia"/>
        </w:rPr>
        <w:t>3</w:t>
      </w:r>
      <w:r>
        <w:t xml:space="preserve">  顶铁发生扭曲现象；</w:t>
      </w:r>
    </w:p>
    <w:p>
      <w:pPr>
        <w:ind w:firstLine="480" w:firstLineChars="200"/>
      </w:pPr>
      <w:r>
        <w:rPr>
          <w:rFonts w:hint="eastAsia"/>
        </w:rPr>
        <w:t>4</w:t>
      </w:r>
      <w:r>
        <w:t xml:space="preserve">  管位偏差过大且纠偏无效；</w:t>
      </w:r>
    </w:p>
    <w:p>
      <w:pPr>
        <w:ind w:firstLine="480" w:firstLineChars="200"/>
      </w:pPr>
      <w:r>
        <w:rPr>
          <w:rFonts w:hint="eastAsia"/>
        </w:rPr>
        <w:t>5</w:t>
      </w:r>
      <w:r>
        <w:t xml:space="preserve">  </w:t>
      </w:r>
      <w:r>
        <w:rPr>
          <w:rFonts w:hint="eastAsia"/>
        </w:rPr>
        <w:t>顶推</w:t>
      </w:r>
      <w:r>
        <w:t>力超过管材的允许</w:t>
      </w:r>
      <w:r>
        <w:rPr>
          <w:rFonts w:hint="eastAsia"/>
        </w:rPr>
        <w:t>推</w:t>
      </w:r>
      <w:r>
        <w:t>力；</w:t>
      </w:r>
    </w:p>
    <w:p>
      <w:pPr>
        <w:ind w:firstLine="480" w:firstLineChars="200"/>
      </w:pPr>
      <w:r>
        <w:rPr>
          <w:rFonts w:hint="eastAsia"/>
        </w:rPr>
        <w:t>6</w:t>
      </w:r>
      <w:r>
        <w:t xml:space="preserve">  油泵、油路发生异常现象；</w:t>
      </w:r>
    </w:p>
    <w:p>
      <w:pPr>
        <w:ind w:firstLine="480" w:firstLineChars="200"/>
      </w:pPr>
      <w:r>
        <w:rPr>
          <w:rFonts w:hint="eastAsia"/>
        </w:rPr>
        <w:t>7</w:t>
      </w:r>
      <w:r>
        <w:t xml:space="preserve">  管节接缝、中继间渗漏泥水、泥浆；</w:t>
      </w:r>
    </w:p>
    <w:p>
      <w:pPr>
        <w:ind w:firstLine="480" w:firstLineChars="200"/>
      </w:pPr>
      <w:r>
        <w:rPr>
          <w:rFonts w:hint="eastAsia"/>
        </w:rPr>
        <w:t>8</w:t>
      </w:r>
      <w:r>
        <w:t xml:space="preserve">  地层、邻近建（构）筑物、管线等周围环境的</w:t>
      </w:r>
      <w:r>
        <w:rPr>
          <w:rFonts w:hint="eastAsia"/>
        </w:rPr>
        <w:t>沉降</w:t>
      </w:r>
      <w:r>
        <w:t>量超出控制允许值。</w:t>
      </w:r>
    </w:p>
    <w:p>
      <w:r>
        <w:rPr>
          <w:rFonts w:hint="eastAsia"/>
          <w:b/>
          <w:bCs/>
        </w:rPr>
        <w:t>9</w:t>
      </w:r>
      <w:r>
        <w:rPr>
          <w:b/>
          <w:bCs/>
        </w:rPr>
        <w:t>.</w:t>
      </w:r>
      <w:r>
        <w:rPr>
          <w:rFonts w:hint="eastAsia"/>
          <w:b/>
          <w:bCs/>
        </w:rPr>
        <w:t>4</w:t>
      </w:r>
      <w:r>
        <w:rPr>
          <w:b/>
          <w:bCs/>
        </w:rPr>
        <w:t>.</w:t>
      </w:r>
      <w:r>
        <w:rPr>
          <w:rFonts w:hint="eastAsia"/>
          <w:b/>
          <w:bCs/>
        </w:rPr>
        <w:t>12</w:t>
      </w:r>
      <w:r>
        <w:rPr>
          <w:rFonts w:hint="eastAsia"/>
        </w:rPr>
        <w:t xml:space="preserve"> </w:t>
      </w:r>
      <w:r>
        <w:t xml:space="preserve"> 制定应急预案，在发生下列紧急情况时应及时采取应对措施，防止事态发展，减少损失： </w:t>
      </w:r>
    </w:p>
    <w:p>
      <w:pPr>
        <w:ind w:firstLine="480" w:firstLineChars="200"/>
      </w:pPr>
      <w:r>
        <w:rPr>
          <w:rFonts w:hint="eastAsia"/>
        </w:rPr>
        <w:t>1</w:t>
      </w:r>
      <w:r>
        <w:t xml:space="preserve">  顶管机穿越众多管线引起管线沉降偏大的风险</w:t>
      </w:r>
      <w:r>
        <w:rPr>
          <w:rFonts w:hint="eastAsia"/>
        </w:rPr>
        <w:t>；</w:t>
      </w:r>
    </w:p>
    <w:p>
      <w:pPr>
        <w:ind w:firstLine="480" w:firstLineChars="200"/>
      </w:pPr>
      <w:r>
        <w:rPr>
          <w:rFonts w:hint="eastAsia"/>
        </w:rPr>
        <w:t>2</w:t>
      </w:r>
      <w:r>
        <w:t xml:space="preserve">  施工期间存在突然停电、停水等影响工程质量的风险</w:t>
      </w:r>
      <w:r>
        <w:rPr>
          <w:rFonts w:hint="eastAsia"/>
        </w:rPr>
        <w:t>；</w:t>
      </w:r>
    </w:p>
    <w:p>
      <w:pPr>
        <w:ind w:firstLine="480" w:firstLineChars="200"/>
      </w:pPr>
      <w:r>
        <w:rPr>
          <w:rFonts w:hint="eastAsia"/>
        </w:rPr>
        <w:t>3</w:t>
      </w:r>
      <w:r>
        <w:t xml:space="preserve">  施工期间存在不</w:t>
      </w:r>
      <w:r>
        <w:rPr>
          <w:rFonts w:hint="eastAsia"/>
        </w:rPr>
        <w:t>可预见</w:t>
      </w:r>
      <w:r>
        <w:t>恶劣水文气候条件对工程产生不利影响的风险</w:t>
      </w:r>
      <w:r>
        <w:rPr>
          <w:rFonts w:hint="eastAsia"/>
        </w:rPr>
        <w:t>；</w:t>
      </w:r>
    </w:p>
    <w:p>
      <w:pPr>
        <w:ind w:firstLine="480" w:firstLineChars="200"/>
      </w:pPr>
      <w:r>
        <w:rPr>
          <w:rFonts w:hint="eastAsia"/>
        </w:rPr>
        <w:t>4</w:t>
      </w:r>
      <w:r>
        <w:t xml:space="preserve">  各种意外事件对工程施工工期如期完成构成</w:t>
      </w:r>
      <w:r>
        <w:rPr>
          <w:rFonts w:hint="eastAsia"/>
        </w:rPr>
        <w:t>的</w:t>
      </w:r>
      <w:r>
        <w:t>风险</w:t>
      </w:r>
      <w:r>
        <w:rPr>
          <w:rFonts w:hint="eastAsia"/>
        </w:rPr>
        <w:t>；</w:t>
      </w:r>
    </w:p>
    <w:p>
      <w:pPr>
        <w:ind w:firstLine="480" w:firstLineChars="200"/>
      </w:pPr>
      <w:r>
        <w:rPr>
          <w:rFonts w:hint="eastAsia"/>
        </w:rPr>
        <w:t>5</w:t>
      </w:r>
      <w:r>
        <w:t xml:space="preserve">  施工现场机械设备产生故障的风险</w:t>
      </w:r>
      <w:r>
        <w:rPr>
          <w:rFonts w:hint="eastAsia"/>
        </w:rPr>
        <w:t>；</w:t>
      </w:r>
    </w:p>
    <w:p>
      <w:pPr>
        <w:ind w:firstLine="480" w:firstLineChars="200"/>
      </w:pPr>
      <w:r>
        <w:rPr>
          <w:rFonts w:hint="eastAsia"/>
        </w:rPr>
        <w:t>6</w:t>
      </w:r>
      <w:r>
        <w:t xml:space="preserve">  施工现场的火灾风险</w:t>
      </w:r>
      <w:r>
        <w:rPr>
          <w:rFonts w:hint="eastAsia"/>
        </w:rPr>
        <w:t>；</w:t>
      </w:r>
    </w:p>
    <w:p>
      <w:pPr>
        <w:ind w:firstLine="480" w:firstLineChars="200"/>
      </w:pPr>
      <w:r>
        <w:rPr>
          <w:rFonts w:hint="eastAsia"/>
        </w:rPr>
        <w:t>7</w:t>
      </w:r>
      <w:r>
        <w:t xml:space="preserve">  工程项目的实际成本超出计划预算</w:t>
      </w:r>
      <w:r>
        <w:rPr>
          <w:rFonts w:hint="eastAsia"/>
        </w:rPr>
        <w:t>太多</w:t>
      </w:r>
      <w:r>
        <w:t>的风险</w:t>
      </w:r>
      <w:r>
        <w:rPr>
          <w:rFonts w:hint="eastAsia"/>
        </w:rPr>
        <w:t>。</w:t>
      </w:r>
    </w:p>
    <w:p>
      <w:pPr>
        <w:ind w:firstLine="480" w:firstLineChars="200"/>
      </w:pPr>
    </w:p>
    <w:p>
      <w:pPr>
        <w:pStyle w:val="3"/>
      </w:pPr>
      <w:bookmarkStart w:id="267" w:name="_Toc18057076"/>
      <w:bookmarkStart w:id="268" w:name="_Toc27902"/>
      <w:r>
        <w:rPr>
          <w:rFonts w:hint="eastAsia"/>
        </w:rPr>
        <w:t xml:space="preserve">9.5  </w:t>
      </w:r>
      <w:r>
        <w:t>注浆减阻</w:t>
      </w:r>
      <w:bookmarkEnd w:id="267"/>
      <w:bookmarkEnd w:id="268"/>
    </w:p>
    <w:p>
      <w:bookmarkStart w:id="269" w:name="_Toc508009062"/>
      <w:r>
        <w:rPr>
          <w:rFonts w:hint="eastAsia"/>
          <w:b/>
          <w:bCs/>
        </w:rPr>
        <w:t>9</w:t>
      </w:r>
      <w:r>
        <w:rPr>
          <w:b/>
          <w:bCs/>
        </w:rPr>
        <w:t>.</w:t>
      </w:r>
      <w:r>
        <w:rPr>
          <w:rFonts w:hint="eastAsia"/>
          <w:b/>
          <w:bCs/>
        </w:rPr>
        <w:t>5</w:t>
      </w:r>
      <w:r>
        <w:rPr>
          <w:b/>
          <w:bCs/>
        </w:rPr>
        <w:t>.</w:t>
      </w:r>
      <w:r>
        <w:rPr>
          <w:rFonts w:hint="eastAsia"/>
          <w:b/>
          <w:bCs/>
        </w:rPr>
        <w:t>1</w:t>
      </w:r>
      <w:r>
        <w:rPr>
          <w:b/>
          <w:bCs/>
        </w:rPr>
        <w:t xml:space="preserve">  </w:t>
      </w:r>
      <w:r>
        <w:rPr>
          <w:rFonts w:hint="eastAsia"/>
        </w:rPr>
        <w:t>施工现场应建立泥浆池，满足顶管工程所需不同泥浆的配置需求。</w:t>
      </w:r>
      <w:bookmarkEnd w:id="269"/>
    </w:p>
    <w:p>
      <w:pPr>
        <w:rPr>
          <w:highlight w:val="yellow"/>
        </w:rPr>
      </w:pPr>
      <w:r>
        <w:rPr>
          <w:rFonts w:hint="eastAsia"/>
          <w:b/>
          <w:bCs/>
        </w:rPr>
        <w:t>9</w:t>
      </w:r>
      <w:r>
        <w:rPr>
          <w:b/>
          <w:bCs/>
        </w:rPr>
        <w:t>.</w:t>
      </w:r>
      <w:r>
        <w:rPr>
          <w:rFonts w:hint="eastAsia"/>
          <w:b/>
          <w:bCs/>
        </w:rPr>
        <w:t>5</w:t>
      </w:r>
      <w:r>
        <w:rPr>
          <w:b/>
          <w:bCs/>
        </w:rPr>
        <w:t>.</w:t>
      </w:r>
      <w:r>
        <w:rPr>
          <w:rFonts w:hint="eastAsia"/>
          <w:b/>
          <w:bCs/>
        </w:rPr>
        <w:t>2</w:t>
      </w:r>
      <w:r>
        <w:rPr>
          <w:b/>
          <w:bCs/>
        </w:rPr>
        <w:t xml:space="preserve">  </w:t>
      </w:r>
      <w:r>
        <w:t>触变泥浆应符合下列规定：</w:t>
      </w:r>
    </w:p>
    <w:p>
      <w:pPr>
        <w:ind w:firstLine="480" w:firstLineChars="200"/>
        <w:rPr>
          <w:highlight w:val="yellow"/>
        </w:rPr>
      </w:pPr>
      <w:r>
        <w:rPr>
          <w:rFonts w:hint="eastAsia"/>
        </w:rPr>
        <w:t>1</w:t>
      </w:r>
      <w:r>
        <w:t xml:space="preserve">  在管道外壁应压注触变泥浆，在管道四周形成一圈</w:t>
      </w:r>
      <w:r>
        <w:rPr>
          <w:rFonts w:hint="eastAsia"/>
        </w:rPr>
        <w:t>稳定的</w:t>
      </w:r>
      <w:r>
        <w:t>泥浆套，要求施工期间泥浆不失水，不沉淀</w:t>
      </w:r>
      <w:r>
        <w:rPr>
          <w:rFonts w:hint="eastAsia"/>
        </w:rPr>
        <w:t>，</w:t>
      </w:r>
      <w:r>
        <w:t>不固结</w:t>
      </w:r>
      <w:r>
        <w:rPr>
          <w:rFonts w:hint="eastAsia"/>
        </w:rPr>
        <w:t>；</w:t>
      </w:r>
    </w:p>
    <w:p>
      <w:pPr>
        <w:ind w:firstLine="480" w:firstLineChars="200"/>
      </w:pPr>
      <w:r>
        <w:rPr>
          <w:rFonts w:hint="eastAsia"/>
        </w:rPr>
        <w:t>2</w:t>
      </w:r>
      <w:r>
        <w:t xml:space="preserve">  管道最前的3节管每节管应设置触变泥浆管，其他管节宜每隔 2～4 节管设置一道，可按实际需要调整泥浆管的间距</w:t>
      </w:r>
      <w:r>
        <w:rPr>
          <w:rFonts w:hint="eastAsia"/>
        </w:rPr>
        <w:t>；</w:t>
      </w:r>
    </w:p>
    <w:p>
      <w:pPr>
        <w:ind w:firstLine="480" w:firstLineChars="200"/>
        <w:rPr>
          <w:highlight w:val="yellow"/>
        </w:rPr>
      </w:pPr>
      <w:r>
        <w:rPr>
          <w:rFonts w:hint="eastAsia"/>
        </w:rPr>
        <w:t>3</w:t>
      </w:r>
      <w:r>
        <w:t xml:space="preserve">  触变泥浆制作后应静置12h以上</w:t>
      </w:r>
      <w:r>
        <w:rPr>
          <w:rFonts w:hint="eastAsia"/>
        </w:rPr>
        <w:t>；</w:t>
      </w:r>
    </w:p>
    <w:p>
      <w:pPr>
        <w:ind w:firstLine="480" w:firstLineChars="200"/>
        <w:rPr>
          <w:highlight w:val="yellow"/>
        </w:rPr>
      </w:pPr>
      <w:r>
        <w:rPr>
          <w:rFonts w:hint="eastAsia"/>
        </w:rPr>
        <w:t>4</w:t>
      </w:r>
      <w:r>
        <w:t xml:space="preserve">  压浆压力宜控制在比地下水的水压力高 0.02Mpa～0.04Mpa</w:t>
      </w:r>
      <w:r>
        <w:rPr>
          <w:rFonts w:hint="eastAsia"/>
        </w:rPr>
        <w:t>；</w:t>
      </w:r>
    </w:p>
    <w:p>
      <w:pPr>
        <w:ind w:firstLine="480" w:firstLineChars="200"/>
      </w:pPr>
      <w:r>
        <w:rPr>
          <w:rFonts w:hint="eastAsia"/>
        </w:rPr>
        <w:t>5</w:t>
      </w:r>
      <w:r>
        <w:t xml:space="preserve">  注浆量</w:t>
      </w:r>
      <w:r>
        <w:rPr>
          <w:rFonts w:hint="eastAsia"/>
        </w:rPr>
        <w:t>不</w:t>
      </w:r>
      <w:r>
        <w:t>应</w:t>
      </w:r>
      <w:r>
        <w:rPr>
          <w:rFonts w:hint="eastAsia"/>
        </w:rPr>
        <w:t>低于</w:t>
      </w:r>
      <w:r>
        <w:t>理论值的2倍。</w:t>
      </w:r>
    </w:p>
    <w:p>
      <w:r>
        <w:rPr>
          <w:rFonts w:hint="eastAsia"/>
          <w:b/>
          <w:bCs/>
        </w:rPr>
        <w:t>9</w:t>
      </w:r>
      <w:r>
        <w:rPr>
          <w:b/>
          <w:bCs/>
        </w:rPr>
        <w:t>.</w:t>
      </w:r>
      <w:r>
        <w:rPr>
          <w:rFonts w:hint="eastAsia"/>
          <w:b/>
          <w:bCs/>
        </w:rPr>
        <w:t>5</w:t>
      </w:r>
      <w:r>
        <w:rPr>
          <w:b/>
          <w:bCs/>
        </w:rPr>
        <w:t>.</w:t>
      </w:r>
      <w:r>
        <w:rPr>
          <w:rFonts w:hint="eastAsia"/>
          <w:b/>
          <w:bCs/>
        </w:rPr>
        <w:t>3</w:t>
      </w:r>
      <w:r>
        <w:rPr>
          <w:b/>
          <w:bCs/>
        </w:rPr>
        <w:t xml:space="preserve">  </w:t>
      </w:r>
      <w:r>
        <w:t>顶管</w:t>
      </w:r>
      <w:r>
        <w:rPr>
          <w:rFonts w:hint="eastAsia"/>
        </w:rPr>
        <w:t>掘进</w:t>
      </w:r>
      <w:r>
        <w:t>过程中</w:t>
      </w:r>
      <w:r>
        <w:rPr>
          <w:rFonts w:hint="eastAsia"/>
        </w:rPr>
        <w:t>应</w:t>
      </w:r>
      <w:r>
        <w:t>采取措施</w:t>
      </w:r>
      <w:r>
        <w:rPr>
          <w:rFonts w:hint="eastAsia"/>
        </w:rPr>
        <w:t>减小管壁摩擦阻力</w:t>
      </w:r>
      <w:r>
        <w:t>，</w:t>
      </w:r>
      <w:r>
        <w:rPr>
          <w:rFonts w:hint="eastAsia"/>
        </w:rPr>
        <w:t>宜采用</w:t>
      </w:r>
      <w:r>
        <w:t>向管外壁与土体间注入润滑</w:t>
      </w:r>
      <w:r>
        <w:rPr>
          <w:rFonts w:hint="eastAsia"/>
        </w:rPr>
        <w:t>泥</w:t>
      </w:r>
      <w:r>
        <w:t>浆的方</w:t>
      </w:r>
      <w:r>
        <w:rPr>
          <w:rFonts w:hint="eastAsia"/>
        </w:rPr>
        <w:t>式</w:t>
      </w:r>
      <w:r>
        <w:t>减阻。注浆减阻应满足下列要求：</w:t>
      </w:r>
    </w:p>
    <w:p>
      <w:pPr>
        <w:ind w:firstLine="480" w:firstLineChars="200"/>
      </w:pPr>
      <w:r>
        <w:rPr>
          <w:rFonts w:hint="eastAsia"/>
        </w:rPr>
        <w:t>1</w:t>
      </w:r>
      <w:r>
        <w:t xml:space="preserve">  选择优质的触变泥浆材料，对膨润土造浆率、失水量和动塑比进行取样测试</w:t>
      </w:r>
      <w:r>
        <w:rPr>
          <w:rFonts w:hint="eastAsia"/>
        </w:rPr>
        <w:t>；</w:t>
      </w:r>
    </w:p>
    <w:p>
      <w:pPr>
        <w:ind w:firstLine="480" w:firstLineChars="200"/>
      </w:pPr>
      <w:r>
        <w:rPr>
          <w:rFonts w:hint="eastAsia"/>
        </w:rPr>
        <w:t>2</w:t>
      </w:r>
      <w:r>
        <w:t xml:space="preserve">  在</w:t>
      </w:r>
      <w:r>
        <w:rPr>
          <w:rFonts w:hint="eastAsia"/>
        </w:rPr>
        <w:t>矩形顶管</w:t>
      </w:r>
      <w:r>
        <w:t>上预设压浆孔，压浆孔的设置要确保掘进时管外壁和土体之间的间隙能形成稳定、连续的泥浆套</w:t>
      </w:r>
      <w:r>
        <w:rPr>
          <w:rFonts w:hint="eastAsia"/>
        </w:rPr>
        <w:t>；</w:t>
      </w:r>
    </w:p>
    <w:p>
      <w:pPr>
        <w:ind w:firstLine="480" w:firstLineChars="200"/>
      </w:pPr>
      <w:r>
        <w:rPr>
          <w:rFonts w:hint="eastAsia"/>
        </w:rPr>
        <w:t>3</w:t>
      </w:r>
      <w:r>
        <w:t xml:space="preserve">  膨润土的储藏及浆液配制、搅拌、水化时间应按照产品的性能要求进行，使用前应先进行试验</w:t>
      </w:r>
      <w:r>
        <w:rPr>
          <w:rFonts w:hint="eastAsia"/>
        </w:rPr>
        <w:t>；</w:t>
      </w:r>
    </w:p>
    <w:p>
      <w:pPr>
        <w:ind w:firstLine="480" w:firstLineChars="200"/>
      </w:pPr>
      <w:r>
        <w:rPr>
          <w:rFonts w:hint="eastAsia"/>
        </w:rPr>
        <w:t>4</w:t>
      </w:r>
      <w:r>
        <w:t xml:space="preserve">  注浆应遵循“同步注浆与补浆相结合”和“先注后顶、随顶随注、及时补浆”的原则</w:t>
      </w:r>
      <w:r>
        <w:rPr>
          <w:rFonts w:hint="eastAsia"/>
        </w:rPr>
        <w:t>；</w:t>
      </w:r>
    </w:p>
    <w:p>
      <w:pPr>
        <w:ind w:firstLine="480" w:firstLineChars="200"/>
      </w:pPr>
      <w:r>
        <w:rPr>
          <w:rFonts w:hint="eastAsia"/>
        </w:rPr>
        <w:t>5</w:t>
      </w:r>
      <w:r>
        <w:t xml:space="preserve">  注浆设备和管路应可靠，应具有足够的耐压和良好的密封性能</w:t>
      </w:r>
      <w:r>
        <w:rPr>
          <w:rFonts w:hint="eastAsia"/>
        </w:rPr>
        <w:t>；</w:t>
      </w:r>
    </w:p>
    <w:p>
      <w:pPr>
        <w:ind w:firstLine="480" w:firstLineChars="200"/>
      </w:pPr>
      <w:r>
        <w:rPr>
          <w:rFonts w:hint="eastAsia"/>
        </w:rPr>
        <w:t>6</w:t>
      </w:r>
      <w:r>
        <w:t xml:space="preserve">  长距离顶管的</w:t>
      </w:r>
      <w:r>
        <w:rPr>
          <w:rFonts w:hint="eastAsia"/>
        </w:rPr>
        <w:t>注</w:t>
      </w:r>
      <w:r>
        <w:t>浆与补浆应分别设独立的注浆系统，</w:t>
      </w:r>
      <w:r>
        <w:rPr>
          <w:rFonts w:hint="eastAsia"/>
        </w:rPr>
        <w:t>注</w:t>
      </w:r>
      <w:r>
        <w:t>浆宜使用低压力、大流量的注浆泵，补浆可使用高压力、小流量的注浆泵。</w:t>
      </w:r>
    </w:p>
    <w:p>
      <w:pPr>
        <w:rPr>
          <w:rFonts w:eastAsia="仿宋"/>
        </w:rPr>
      </w:pPr>
      <w:r>
        <w:rPr>
          <w:rFonts w:eastAsia="仿宋"/>
          <w:b/>
          <w:bCs/>
        </w:rPr>
        <w:t xml:space="preserve">【条文说明】：9.5.3  </w:t>
      </w:r>
      <w:r>
        <w:rPr>
          <w:rFonts w:eastAsia="仿宋"/>
        </w:rPr>
        <w:t>触变泥浆注浆要求是保证掘进管道外壁与土体之间形成稳定的、连续的泥浆套，其效果可通过掘进力降低程度来验证。</w:t>
      </w:r>
    </w:p>
    <w:p>
      <w:pPr>
        <w:rPr>
          <w:rFonts w:eastAsia="仿宋"/>
        </w:rPr>
      </w:pPr>
      <w:r>
        <w:rPr>
          <w:rFonts w:eastAsia="仿宋"/>
          <w:b/>
          <w:bCs/>
        </w:rPr>
        <w:t>【条文说明】：9.5.3 第4条</w:t>
      </w:r>
      <w:r>
        <w:rPr>
          <w:rFonts w:eastAsia="仿宋"/>
        </w:rPr>
        <w:t xml:space="preserve">  在掘进过程中要经常检查各掘进段的浆液形成情况。</w:t>
      </w:r>
    </w:p>
    <w:p>
      <w:pPr>
        <w:rPr>
          <w:rFonts w:eastAsia="仿宋"/>
        </w:rPr>
      </w:pPr>
      <w:r>
        <w:rPr>
          <w:rFonts w:eastAsia="仿宋"/>
          <w:b/>
          <w:bCs/>
        </w:rPr>
        <w:t>【条文说明】：9.5.3 第5条</w:t>
      </w:r>
      <w:r>
        <w:rPr>
          <w:rFonts w:eastAsia="仿宋"/>
        </w:rPr>
        <w:t xml:space="preserve">  在注浆孔中设置一个单向阀，使注浆管外的土不能倒灌而堵塞注浆孔，从而影响注浆效果。</w:t>
      </w:r>
    </w:p>
    <w:p>
      <w:r>
        <w:rPr>
          <w:rFonts w:hint="eastAsia"/>
          <w:b/>
          <w:bCs/>
        </w:rPr>
        <w:t>9</w:t>
      </w:r>
      <w:r>
        <w:rPr>
          <w:b/>
          <w:bCs/>
        </w:rPr>
        <w:t>.</w:t>
      </w:r>
      <w:r>
        <w:rPr>
          <w:rFonts w:hint="eastAsia"/>
          <w:b/>
          <w:bCs/>
        </w:rPr>
        <w:t>5</w:t>
      </w:r>
      <w:r>
        <w:rPr>
          <w:b/>
          <w:bCs/>
        </w:rPr>
        <w:t>.</w:t>
      </w:r>
      <w:r>
        <w:rPr>
          <w:rFonts w:hint="eastAsia"/>
          <w:b/>
          <w:bCs/>
        </w:rPr>
        <w:t>4</w:t>
      </w:r>
      <w:r>
        <w:rPr>
          <w:b/>
          <w:bCs/>
        </w:rPr>
        <w:t xml:space="preserve">  </w:t>
      </w:r>
      <w:r>
        <w:t>注浆浆液选择应符合下列规定：</w:t>
      </w:r>
    </w:p>
    <w:p>
      <w:pPr>
        <w:ind w:firstLine="480" w:firstLineChars="200"/>
      </w:pPr>
      <w:r>
        <w:rPr>
          <w:rFonts w:hint="eastAsia"/>
        </w:rPr>
        <w:t>1</w:t>
      </w:r>
      <w:r>
        <w:t xml:space="preserve">  触变泥浆可用于粘性土、粉质土和渗透系数不大于10</w:t>
      </w:r>
      <w:r>
        <w:rPr>
          <w:vertAlign w:val="superscript"/>
        </w:rPr>
        <w:t>-3</w:t>
      </w:r>
      <w:r>
        <w:t>cm/s的砂性土。渗透系数</w:t>
      </w:r>
      <w:r>
        <w:rPr>
          <w:rFonts w:hint="eastAsia"/>
        </w:rPr>
        <w:t>大于10</w:t>
      </w:r>
      <w:r>
        <w:rPr>
          <w:vertAlign w:val="superscript"/>
        </w:rPr>
        <w:t>-</w:t>
      </w:r>
      <w:r>
        <w:rPr>
          <w:rFonts w:hint="eastAsia"/>
          <w:vertAlign w:val="superscript"/>
        </w:rPr>
        <w:t>5</w:t>
      </w:r>
      <w:r>
        <w:rPr>
          <w:rFonts w:hint="eastAsia"/>
        </w:rPr>
        <w:t>cm/s</w:t>
      </w:r>
      <w:r>
        <w:t>时应另添加化学稳定剂</w:t>
      </w:r>
      <w:r>
        <w:rPr>
          <w:rFonts w:hint="eastAsia"/>
        </w:rPr>
        <w:t>；</w:t>
      </w:r>
    </w:p>
    <w:p>
      <w:pPr>
        <w:ind w:firstLine="480" w:firstLineChars="200"/>
      </w:pPr>
      <w:r>
        <w:rPr>
          <w:rFonts w:hint="eastAsia"/>
        </w:rPr>
        <w:t>2</w:t>
      </w:r>
      <w:r>
        <w:t xml:space="preserve">  渗透系数大于或等于</w:t>
      </w:r>
      <w:r>
        <w:rPr>
          <w:rFonts w:hint="eastAsia"/>
        </w:rPr>
        <w:t>10</w:t>
      </w:r>
      <w:r>
        <w:rPr>
          <w:rFonts w:hint="eastAsia"/>
          <w:vertAlign w:val="superscript"/>
        </w:rPr>
        <w:t>-2</w:t>
      </w:r>
      <w:r>
        <w:t>cm/s的粗砂和砂砾层宜采用高分子化学泥浆</w:t>
      </w:r>
      <w:r>
        <w:rPr>
          <w:rFonts w:hint="eastAsia"/>
        </w:rPr>
        <w:t>；</w:t>
      </w:r>
    </w:p>
    <w:p>
      <w:pPr>
        <w:ind w:firstLine="480" w:firstLineChars="200"/>
      </w:pPr>
      <w:r>
        <w:rPr>
          <w:rFonts w:hint="eastAsia"/>
        </w:rPr>
        <w:t>3</w:t>
      </w:r>
      <w:r>
        <w:t xml:space="preserve">  石蜡、废油脂等非亲水减阻剂可用于无地下水的硬土层</w:t>
      </w:r>
      <w:r>
        <w:rPr>
          <w:rFonts w:hint="eastAsia"/>
        </w:rPr>
        <w:t>；</w:t>
      </w:r>
    </w:p>
    <w:p>
      <w:pPr>
        <w:ind w:firstLine="480" w:firstLineChars="200"/>
      </w:pPr>
      <w:r>
        <w:rPr>
          <w:rFonts w:hint="eastAsia"/>
        </w:rPr>
        <w:t>4</w:t>
      </w:r>
      <w:r>
        <w:t xml:space="preserve">  </w:t>
      </w:r>
      <w:r>
        <w:rPr>
          <w:rFonts w:hint="eastAsia"/>
        </w:rPr>
        <w:t>沿海地质条件下宜使用抗盐澎润土。</w:t>
      </w:r>
    </w:p>
    <w:p>
      <w:r>
        <w:rPr>
          <w:rFonts w:hint="eastAsia"/>
          <w:b/>
          <w:bCs/>
        </w:rPr>
        <w:t>9</w:t>
      </w:r>
      <w:r>
        <w:rPr>
          <w:b/>
          <w:bCs/>
        </w:rPr>
        <w:t>.</w:t>
      </w:r>
      <w:r>
        <w:rPr>
          <w:rFonts w:hint="eastAsia"/>
          <w:b/>
          <w:bCs/>
        </w:rPr>
        <w:t>5</w:t>
      </w:r>
      <w:r>
        <w:rPr>
          <w:b/>
          <w:bCs/>
        </w:rPr>
        <w:t>.</w:t>
      </w:r>
      <w:r>
        <w:rPr>
          <w:rFonts w:hint="eastAsia"/>
          <w:b/>
          <w:bCs/>
        </w:rPr>
        <w:t>5</w:t>
      </w:r>
      <w:r>
        <w:rPr>
          <w:b/>
          <w:bCs/>
        </w:rPr>
        <w:t xml:space="preserve">  </w:t>
      </w:r>
      <w:r>
        <w:t>触变泥浆注浆系统应符合下列规定：</w:t>
      </w:r>
    </w:p>
    <w:p>
      <w:pPr>
        <w:ind w:firstLine="480" w:firstLineChars="200"/>
      </w:pPr>
      <w:r>
        <w:rPr>
          <w:rFonts w:hint="eastAsia"/>
        </w:rPr>
        <w:t>1</w:t>
      </w:r>
      <w:r>
        <w:t xml:space="preserve">  制浆装置容积应满足形成泥浆套的需要</w:t>
      </w:r>
      <w:r>
        <w:rPr>
          <w:rFonts w:hint="eastAsia"/>
        </w:rPr>
        <w:t>；</w:t>
      </w:r>
    </w:p>
    <w:p>
      <w:pPr>
        <w:ind w:firstLine="480" w:firstLineChars="200"/>
      </w:pPr>
      <w:r>
        <w:rPr>
          <w:rFonts w:hint="eastAsia"/>
        </w:rPr>
        <w:t>2</w:t>
      </w:r>
      <w:r>
        <w:t xml:space="preserve">  注浆泵宜选用液压泵、活塞泵或螺杆泵</w:t>
      </w:r>
      <w:r>
        <w:rPr>
          <w:rFonts w:hint="eastAsia"/>
        </w:rPr>
        <w:t>；</w:t>
      </w:r>
    </w:p>
    <w:p>
      <w:pPr>
        <w:ind w:firstLine="480" w:firstLineChars="200"/>
      </w:pPr>
      <w:r>
        <w:rPr>
          <w:rFonts w:hint="eastAsia"/>
        </w:rPr>
        <w:t>3</w:t>
      </w:r>
      <w:r>
        <w:t xml:space="preserve">  注浆管分为主管和支管两种，应根据顶管长度和注浆孔位置设置。主管道宜选用直径为40</w:t>
      </w:r>
      <w:r>
        <w:rPr>
          <w:rFonts w:hint="eastAsia"/>
        </w:rPr>
        <w:t>mm</w:t>
      </w:r>
      <w:r>
        <w:t>～50mm的钢管，支管可选用25</w:t>
      </w:r>
      <w:r>
        <w:rPr>
          <w:rFonts w:hint="eastAsia"/>
        </w:rPr>
        <w:t>mm</w:t>
      </w:r>
      <w:r>
        <w:t>～30mm的橡胶管。管接头拆卸方便且在工作压力下无渗漏现象</w:t>
      </w:r>
      <w:r>
        <w:rPr>
          <w:rFonts w:hint="eastAsia"/>
        </w:rPr>
        <w:t>；</w:t>
      </w:r>
    </w:p>
    <w:p>
      <w:pPr>
        <w:ind w:firstLine="480" w:firstLineChars="200"/>
      </w:pPr>
      <w:r>
        <w:rPr>
          <w:rFonts w:hint="eastAsia"/>
        </w:rPr>
        <w:t>4</w:t>
      </w:r>
      <w:r>
        <w:t xml:space="preserve">  </w:t>
      </w:r>
      <w:r>
        <w:rPr>
          <w:rFonts w:hint="eastAsia"/>
        </w:rPr>
        <w:t>补</w:t>
      </w:r>
      <w:r>
        <w:t>浆孔的布置：混凝土管每3～5管节应设一组</w:t>
      </w:r>
      <w:r>
        <w:rPr>
          <w:rFonts w:hint="eastAsia"/>
        </w:rPr>
        <w:t>补</w:t>
      </w:r>
      <w:r>
        <w:t>浆孔，每组</w:t>
      </w:r>
      <w:r>
        <w:rPr>
          <w:rFonts w:hint="eastAsia"/>
        </w:rPr>
        <w:t>补</w:t>
      </w:r>
      <w:r>
        <w:t>浆孔轴向间距一般为10</w:t>
      </w:r>
      <w:r>
        <w:rPr>
          <w:rFonts w:hint="eastAsia"/>
        </w:rPr>
        <w:t>m</w:t>
      </w:r>
      <w:r>
        <w:t>～25m；</w:t>
      </w:r>
      <w:r>
        <w:rPr>
          <w:rFonts w:hint="eastAsia"/>
        </w:rPr>
        <w:t>补浆孔的间距可按下式估算：</w:t>
      </w:r>
    </w:p>
    <w:p>
      <w:pPr>
        <w:ind w:firstLine="1920" w:firstLineChars="800"/>
      </w:pPr>
      <w:r>
        <w:object>
          <v:shape id="_x0000_i1337" o:spt="75" type="#_x0000_t75" style="height:20.4pt;width:56.4pt;" o:ole="t" filled="f" o:preferrelative="t" stroked="f" coordsize="21600,21600">
            <v:path/>
            <v:fill on="f" focussize="0,0"/>
            <v:stroke on="f" joinstyle="miter"/>
            <v:imagedata r:id="rId551" o:title=""/>
            <o:lock v:ext="edit" aspectratio="t"/>
            <w10:wrap type="none"/>
            <w10:anchorlock/>
          </v:shape>
          <o:OLEObject Type="Embed" ProgID="Equation.DSMT4" ShapeID="_x0000_i1337" DrawAspect="Content" ObjectID="_1468076035" r:id="rId550">
            <o:LockedField>false</o:LockedField>
          </o:OLEObject>
        </w:object>
      </w:r>
      <w:r>
        <w:rPr>
          <w:rFonts w:hint="eastAsia"/>
        </w:rPr>
        <w:t xml:space="preserve">                                       （9. 5.5）</w:t>
      </w:r>
    </w:p>
    <w:p>
      <w:pPr>
        <w:ind w:firstLine="480" w:firstLineChars="200"/>
      </w:pPr>
      <w:r>
        <w:t>式中</w:t>
      </w:r>
      <w:r>
        <w:rPr>
          <w:rFonts w:hint="eastAsia"/>
        </w:rPr>
        <w:t>：</w:t>
      </w:r>
      <w:r>
        <w:rPr>
          <w:rFonts w:hint="eastAsia"/>
          <w:i/>
          <w:iCs/>
        </w:rPr>
        <w:t>L</w:t>
      </w:r>
      <w:r>
        <w:rPr>
          <w:rFonts w:hint="eastAsia"/>
          <w:i/>
          <w:iCs/>
          <w:vertAlign w:val="subscript"/>
        </w:rPr>
        <w:t>m</w:t>
      </w:r>
      <w:r>
        <w:t>——</w:t>
      </w:r>
      <w:r>
        <w:rPr>
          <w:rFonts w:hint="eastAsia"/>
        </w:rPr>
        <w:t>补浆孔间距（m）；</w:t>
      </w:r>
    </w:p>
    <w:p>
      <w:pPr>
        <w:ind w:firstLine="1200" w:firstLineChars="500"/>
      </w:pPr>
      <w:r>
        <w:rPr>
          <w:rFonts w:hint="eastAsia"/>
          <w:i/>
          <w:iCs/>
        </w:rPr>
        <w:t>T</w:t>
      </w:r>
      <w:r>
        <w:t>——</w:t>
      </w:r>
      <w:r>
        <w:rPr>
          <w:rFonts w:hint="eastAsia"/>
        </w:rPr>
        <w:t>减阻泥浆失效期（d）</w:t>
      </w:r>
      <w:r>
        <w:t>，</w:t>
      </w:r>
      <w:r>
        <w:rPr>
          <w:rFonts w:hint="eastAsia"/>
        </w:rPr>
        <w:t>可取</w:t>
      </w:r>
      <w:r>
        <w:rPr>
          <w:rFonts w:hint="eastAsia"/>
          <w:i/>
          <w:iCs/>
        </w:rPr>
        <w:t>T</w:t>
      </w:r>
      <w:r>
        <w:rPr>
          <w:rFonts w:hint="eastAsia"/>
        </w:rPr>
        <w:t xml:space="preserve"> = 6～10d</w:t>
      </w:r>
      <w:r>
        <w:t>；</w:t>
      </w:r>
    </w:p>
    <w:p>
      <w:pPr>
        <w:ind w:firstLine="1080" w:firstLineChars="450"/>
      </w:pPr>
      <w:r>
        <w:rPr>
          <w:rFonts w:hint="eastAsia"/>
          <w:i/>
          <w:iCs/>
        </w:rPr>
        <w:t>V</w:t>
      </w:r>
      <w:r>
        <w:t>——</w:t>
      </w:r>
      <w:r>
        <w:rPr>
          <w:rFonts w:hint="eastAsia"/>
        </w:rPr>
        <w:t>每天平均掘进速度</w:t>
      </w:r>
      <w:r>
        <w:t>（</w:t>
      </w:r>
      <w:r>
        <w:rPr>
          <w:rFonts w:hint="eastAsia"/>
        </w:rPr>
        <w:t>m/d</w:t>
      </w:r>
      <w:r>
        <w:t>）</w:t>
      </w:r>
      <w:r>
        <w:rPr>
          <w:rFonts w:hint="eastAsia"/>
        </w:rPr>
        <w:t>。</w:t>
      </w:r>
    </w:p>
    <w:p>
      <w:pPr>
        <w:ind w:firstLine="480" w:firstLineChars="200"/>
      </w:pPr>
      <w:r>
        <w:rPr>
          <w:rFonts w:hint="eastAsia"/>
        </w:rPr>
        <w:t>5</w:t>
      </w:r>
      <w:r>
        <w:t xml:space="preserve">  注浆孔的布置按顶管断面尺寸确定，每个断面可设置</w:t>
      </w:r>
      <w:r>
        <w:rPr>
          <w:rFonts w:hint="eastAsia"/>
        </w:rPr>
        <w:t>8</w:t>
      </w:r>
      <w:r>
        <w:t>～</w:t>
      </w:r>
      <w:r>
        <w:rPr>
          <w:rFonts w:hint="eastAsia"/>
        </w:rPr>
        <w:t>10</w:t>
      </w:r>
      <w:r>
        <w:t>个；相邻断面上的注浆孔可平行布置或交错布置</w:t>
      </w:r>
      <w:r>
        <w:rPr>
          <w:rFonts w:hint="eastAsia"/>
        </w:rPr>
        <w:t>；注浆孔宜有排气功能，</w:t>
      </w:r>
      <w:r>
        <w:t>每个注浆孔宜安装球阀，在顶管机尾部和其他适当位置的注浆孔管道上应设置压力表</w:t>
      </w:r>
      <w:r>
        <w:rPr>
          <w:rFonts w:hint="eastAsia"/>
        </w:rPr>
        <w:t>；</w:t>
      </w:r>
    </w:p>
    <w:p>
      <w:pPr>
        <w:ind w:firstLine="480" w:firstLineChars="200"/>
      </w:pPr>
      <w:r>
        <w:rPr>
          <w:rFonts w:hint="eastAsia"/>
        </w:rPr>
        <w:t>6</w:t>
      </w:r>
      <w:r>
        <w:t xml:space="preserve">  </w:t>
      </w:r>
      <w:r>
        <w:rPr>
          <w:rFonts w:hint="eastAsia"/>
        </w:rPr>
        <w:t>每套中继间应单独设注浆孔，</w:t>
      </w:r>
      <w:r>
        <w:t>中继间</w:t>
      </w:r>
      <w:r>
        <w:rPr>
          <w:rFonts w:hint="eastAsia"/>
        </w:rPr>
        <w:t>的注浆应与</w:t>
      </w:r>
      <w:r>
        <w:t>中继间启动同步</w:t>
      </w:r>
      <w:r>
        <w:rPr>
          <w:rFonts w:hint="eastAsia"/>
        </w:rPr>
        <w:t>，在运行中连续注浆；</w:t>
      </w:r>
    </w:p>
    <w:p>
      <w:pPr>
        <w:ind w:firstLine="480" w:firstLineChars="200"/>
      </w:pPr>
      <w:r>
        <w:rPr>
          <w:rFonts w:hint="eastAsia"/>
        </w:rPr>
        <w:t xml:space="preserve">7 </w:t>
      </w:r>
      <w:r>
        <w:t xml:space="preserve"> 注浆前，应检查注浆装置水密性；注浆时压力应逐步升至控制压力；注浆遇有机械故障、管路堵塞、接头渗漏等情况时，经处理后方可继续掘进。</w:t>
      </w:r>
    </w:p>
    <w:p>
      <w:pPr>
        <w:jc w:val="left"/>
        <w:rPr>
          <w:rFonts w:eastAsia="仿宋"/>
          <w:b/>
          <w:bCs/>
        </w:rPr>
      </w:pPr>
      <w:r>
        <w:rPr>
          <w:rFonts w:eastAsia="仿宋"/>
          <w:b/>
          <w:bCs/>
        </w:rPr>
        <w:t xml:space="preserve">【条文说明】：9.5.5 第1条  </w:t>
      </w:r>
      <w:r>
        <w:rPr>
          <w:rFonts w:eastAsia="仿宋"/>
        </w:rPr>
        <w:t>注浆装置容积计算宜按5倍~10倍管道外壁与周围土层之间的环形间隙的体积来设置拌浆装置、注浆装置；对于浆液难以到达的区域，可以在切削刀盘位置或顶管机尾部进行注浆；对于浆液容易到达的区域，可通过管节上的注浆孔进行注浆，注浆结束后应对注浆孔进行密封。</w:t>
      </w:r>
    </w:p>
    <w:p>
      <w:pPr>
        <w:rPr>
          <w:rFonts w:eastAsia="仿宋"/>
          <w:b/>
          <w:bCs/>
        </w:rPr>
      </w:pPr>
      <w:r>
        <w:rPr>
          <w:rFonts w:eastAsia="仿宋"/>
        </w:rPr>
        <w:t>为保障注浆减阻效果，地层和管道之间的环状间隙要足够大，在松散地层不宜小于20mm，并要求在整个施工过程中和整个施工管段都要保持这样的间隙。注浆材料在任何施工阶段都应保持其流动性，不宜通过孔壁漏失到地层中，如有渗漏应及时补充。</w:t>
      </w:r>
    </w:p>
    <w:p>
      <w:r>
        <w:rPr>
          <w:rFonts w:hint="eastAsia"/>
          <w:b/>
          <w:bCs/>
        </w:rPr>
        <w:t>9</w:t>
      </w:r>
      <w:r>
        <w:rPr>
          <w:b/>
          <w:bCs/>
        </w:rPr>
        <w:t>.</w:t>
      </w:r>
      <w:r>
        <w:rPr>
          <w:rFonts w:hint="eastAsia"/>
          <w:b/>
          <w:bCs/>
        </w:rPr>
        <w:t>5</w:t>
      </w:r>
      <w:r>
        <w:rPr>
          <w:b/>
          <w:bCs/>
        </w:rPr>
        <w:t>.</w:t>
      </w:r>
      <w:r>
        <w:rPr>
          <w:rFonts w:hint="eastAsia"/>
          <w:b/>
          <w:bCs/>
        </w:rPr>
        <w:t>6</w:t>
      </w:r>
      <w:r>
        <w:rPr>
          <w:b/>
          <w:bCs/>
        </w:rPr>
        <w:t xml:space="preserve"> </w:t>
      </w:r>
      <w:r>
        <w:rPr>
          <w:rFonts w:hint="eastAsia"/>
        </w:rPr>
        <w:t xml:space="preserve"> 触变泥浆的配合比，应根据顶管穿越地层的特性、地下水条件、触变泥浆的技术指标等综合确定。</w:t>
      </w:r>
    </w:p>
    <w:p>
      <w:pPr>
        <w:ind w:firstLine="422" w:firstLineChars="200"/>
        <w:jc w:val="center"/>
        <w:rPr>
          <w:rFonts w:ascii="宋体" w:hAnsi="宋体" w:cs="黑体"/>
          <w:b/>
          <w:sz w:val="21"/>
          <w:szCs w:val="18"/>
        </w:rPr>
      </w:pPr>
      <w:r>
        <w:rPr>
          <w:rFonts w:hint="eastAsia" w:ascii="宋体" w:hAnsi="宋体" w:cs="黑体"/>
          <w:b/>
          <w:sz w:val="21"/>
          <w:szCs w:val="18"/>
        </w:rPr>
        <w:t>表</w:t>
      </w:r>
      <w:r>
        <w:rPr>
          <w:b/>
          <w:sz w:val="21"/>
          <w:szCs w:val="18"/>
        </w:rPr>
        <w:t xml:space="preserve">9.5.6 </w:t>
      </w:r>
      <w:r>
        <w:rPr>
          <w:rFonts w:hint="eastAsia" w:ascii="宋体" w:hAnsi="宋体" w:cs="黑体"/>
          <w:b/>
          <w:sz w:val="21"/>
          <w:szCs w:val="18"/>
        </w:rPr>
        <w:t xml:space="preserve"> 触变泥浆技术指标</w:t>
      </w:r>
    </w:p>
    <w:tbl>
      <w:tblPr>
        <w:tblStyle w:val="36"/>
        <w:tblW w:w="93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01"/>
        <w:gridCol w:w="1357"/>
        <w:gridCol w:w="1266"/>
        <w:gridCol w:w="1553"/>
        <w:gridCol w:w="1554"/>
        <w:gridCol w:w="1480"/>
        <w:gridCol w:w="13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01" w:type="dxa"/>
            <w:vAlign w:val="center"/>
          </w:tcPr>
          <w:p>
            <w:pPr>
              <w:spacing w:line="240" w:lineRule="auto"/>
              <w:jc w:val="center"/>
              <w:rPr>
                <w:sz w:val="21"/>
                <w:szCs w:val="18"/>
              </w:rPr>
            </w:pPr>
            <w:r>
              <w:rPr>
                <w:sz w:val="21"/>
                <w:szCs w:val="18"/>
              </w:rPr>
              <w:t>粘度</w:t>
            </w:r>
          </w:p>
        </w:tc>
        <w:tc>
          <w:tcPr>
            <w:tcW w:w="1357" w:type="dxa"/>
            <w:vAlign w:val="center"/>
          </w:tcPr>
          <w:p>
            <w:pPr>
              <w:spacing w:line="240" w:lineRule="auto"/>
              <w:jc w:val="center"/>
              <w:rPr>
                <w:sz w:val="21"/>
                <w:szCs w:val="18"/>
              </w:rPr>
            </w:pPr>
            <w:r>
              <w:rPr>
                <w:sz w:val="21"/>
                <w:szCs w:val="18"/>
              </w:rPr>
              <w:t>滤失量（cm</w:t>
            </w:r>
            <w:r>
              <w:rPr>
                <w:sz w:val="21"/>
                <w:szCs w:val="18"/>
                <w:vertAlign w:val="superscript"/>
              </w:rPr>
              <w:t>3</w:t>
            </w:r>
            <w:r>
              <w:rPr>
                <w:sz w:val="21"/>
                <w:szCs w:val="18"/>
              </w:rPr>
              <w:t>/30min）</w:t>
            </w:r>
          </w:p>
        </w:tc>
        <w:tc>
          <w:tcPr>
            <w:tcW w:w="1266" w:type="dxa"/>
            <w:vAlign w:val="center"/>
          </w:tcPr>
          <w:p>
            <w:pPr>
              <w:spacing w:line="240" w:lineRule="auto"/>
              <w:jc w:val="center"/>
              <w:rPr>
                <w:sz w:val="21"/>
                <w:szCs w:val="18"/>
              </w:rPr>
            </w:pPr>
            <w:r>
              <w:rPr>
                <w:sz w:val="21"/>
                <w:szCs w:val="18"/>
              </w:rPr>
              <w:t>比重</w:t>
            </w:r>
          </w:p>
          <w:p>
            <w:pPr>
              <w:spacing w:line="240" w:lineRule="auto"/>
              <w:jc w:val="center"/>
              <w:rPr>
                <w:sz w:val="21"/>
                <w:szCs w:val="18"/>
              </w:rPr>
            </w:pPr>
            <w:r>
              <w:rPr>
                <w:sz w:val="21"/>
                <w:szCs w:val="18"/>
              </w:rPr>
              <w:t>（g/cm</w:t>
            </w:r>
            <w:r>
              <w:rPr>
                <w:sz w:val="21"/>
                <w:szCs w:val="18"/>
                <w:vertAlign w:val="superscript"/>
              </w:rPr>
              <w:t>3</w:t>
            </w:r>
            <w:r>
              <w:rPr>
                <w:sz w:val="21"/>
                <w:szCs w:val="18"/>
              </w:rPr>
              <w:t>）</w:t>
            </w:r>
          </w:p>
        </w:tc>
        <w:tc>
          <w:tcPr>
            <w:tcW w:w="1553" w:type="dxa"/>
            <w:vAlign w:val="center"/>
          </w:tcPr>
          <w:p>
            <w:pPr>
              <w:spacing w:line="240" w:lineRule="auto"/>
              <w:jc w:val="center"/>
              <w:rPr>
                <w:sz w:val="21"/>
                <w:szCs w:val="18"/>
              </w:rPr>
            </w:pPr>
            <w:r>
              <w:rPr>
                <w:sz w:val="21"/>
                <w:szCs w:val="18"/>
              </w:rPr>
              <w:t>PH值</w:t>
            </w:r>
          </w:p>
        </w:tc>
        <w:tc>
          <w:tcPr>
            <w:tcW w:w="1554" w:type="dxa"/>
            <w:vAlign w:val="center"/>
          </w:tcPr>
          <w:p>
            <w:pPr>
              <w:spacing w:line="240" w:lineRule="auto"/>
              <w:jc w:val="center"/>
              <w:rPr>
                <w:sz w:val="21"/>
                <w:szCs w:val="18"/>
              </w:rPr>
            </w:pPr>
            <w:r>
              <w:rPr>
                <w:sz w:val="21"/>
                <w:szCs w:val="18"/>
              </w:rPr>
              <w:t>含沙量（%）</w:t>
            </w:r>
          </w:p>
        </w:tc>
        <w:tc>
          <w:tcPr>
            <w:tcW w:w="1480" w:type="dxa"/>
            <w:vAlign w:val="center"/>
          </w:tcPr>
          <w:p>
            <w:pPr>
              <w:spacing w:line="240" w:lineRule="auto"/>
              <w:jc w:val="center"/>
              <w:rPr>
                <w:sz w:val="21"/>
                <w:szCs w:val="18"/>
              </w:rPr>
            </w:pPr>
            <w:r>
              <w:rPr>
                <w:sz w:val="21"/>
                <w:szCs w:val="18"/>
              </w:rPr>
              <w:t>稳定性</w:t>
            </w:r>
          </w:p>
        </w:tc>
        <w:tc>
          <w:tcPr>
            <w:tcW w:w="1319" w:type="dxa"/>
            <w:vAlign w:val="center"/>
          </w:tcPr>
          <w:p>
            <w:pPr>
              <w:spacing w:line="240" w:lineRule="auto"/>
              <w:jc w:val="center"/>
              <w:rPr>
                <w:sz w:val="21"/>
                <w:szCs w:val="18"/>
              </w:rPr>
            </w:pPr>
            <w:r>
              <w:rPr>
                <w:sz w:val="21"/>
                <w:szCs w:val="18"/>
              </w:rPr>
              <w:t>静切力（Pa）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01" w:type="dxa"/>
            <w:vAlign w:val="center"/>
          </w:tcPr>
          <w:p>
            <w:pPr>
              <w:spacing w:line="240" w:lineRule="auto"/>
              <w:jc w:val="center"/>
              <w:rPr>
                <w:sz w:val="21"/>
                <w:szCs w:val="18"/>
              </w:rPr>
            </w:pPr>
            <w:r>
              <w:rPr>
                <w:sz w:val="21"/>
                <w:szCs w:val="18"/>
              </w:rPr>
              <w:t>&gt;30s</w:t>
            </w:r>
          </w:p>
        </w:tc>
        <w:tc>
          <w:tcPr>
            <w:tcW w:w="1357" w:type="dxa"/>
            <w:vAlign w:val="center"/>
          </w:tcPr>
          <w:p>
            <w:pPr>
              <w:spacing w:line="240" w:lineRule="auto"/>
              <w:jc w:val="center"/>
              <w:rPr>
                <w:sz w:val="21"/>
                <w:szCs w:val="18"/>
              </w:rPr>
            </w:pPr>
            <w:r>
              <w:rPr>
                <w:sz w:val="21"/>
                <w:szCs w:val="18"/>
              </w:rPr>
              <w:t>&lt;25</w:t>
            </w:r>
          </w:p>
        </w:tc>
        <w:tc>
          <w:tcPr>
            <w:tcW w:w="1266" w:type="dxa"/>
            <w:vAlign w:val="center"/>
          </w:tcPr>
          <w:p>
            <w:pPr>
              <w:spacing w:line="240" w:lineRule="auto"/>
              <w:jc w:val="center"/>
              <w:rPr>
                <w:sz w:val="21"/>
                <w:szCs w:val="18"/>
              </w:rPr>
            </w:pPr>
            <w:r>
              <w:rPr>
                <w:sz w:val="21"/>
                <w:szCs w:val="18"/>
              </w:rPr>
              <w:t>1.1-1.15g/cm</w:t>
            </w:r>
            <w:r>
              <w:rPr>
                <w:sz w:val="21"/>
                <w:szCs w:val="18"/>
                <w:vertAlign w:val="superscript"/>
              </w:rPr>
              <w:t>3</w:t>
            </w:r>
          </w:p>
        </w:tc>
        <w:tc>
          <w:tcPr>
            <w:tcW w:w="1553" w:type="dxa"/>
            <w:vAlign w:val="center"/>
          </w:tcPr>
          <w:p>
            <w:pPr>
              <w:spacing w:line="240" w:lineRule="auto"/>
              <w:jc w:val="center"/>
              <w:rPr>
                <w:sz w:val="21"/>
                <w:szCs w:val="18"/>
              </w:rPr>
            </w:pPr>
            <w:r>
              <w:rPr>
                <w:sz w:val="21"/>
                <w:szCs w:val="18"/>
              </w:rPr>
              <w:t>8~10</w:t>
            </w:r>
          </w:p>
        </w:tc>
        <w:tc>
          <w:tcPr>
            <w:tcW w:w="1554" w:type="dxa"/>
            <w:vAlign w:val="center"/>
          </w:tcPr>
          <w:p>
            <w:pPr>
              <w:spacing w:line="240" w:lineRule="auto"/>
              <w:jc w:val="center"/>
              <w:rPr>
                <w:sz w:val="21"/>
                <w:szCs w:val="18"/>
              </w:rPr>
            </w:pPr>
            <w:r>
              <w:rPr>
                <w:sz w:val="21"/>
                <w:szCs w:val="18"/>
              </w:rPr>
              <w:t>≤3</w:t>
            </w:r>
          </w:p>
        </w:tc>
        <w:tc>
          <w:tcPr>
            <w:tcW w:w="1480" w:type="dxa"/>
            <w:vAlign w:val="center"/>
          </w:tcPr>
          <w:p>
            <w:pPr>
              <w:spacing w:line="240" w:lineRule="auto"/>
              <w:jc w:val="center"/>
              <w:rPr>
                <w:sz w:val="21"/>
                <w:szCs w:val="18"/>
              </w:rPr>
            </w:pPr>
            <w:r>
              <w:rPr>
                <w:sz w:val="21"/>
                <w:szCs w:val="18"/>
              </w:rPr>
              <w:t>静止24h无析水</w:t>
            </w:r>
          </w:p>
        </w:tc>
        <w:tc>
          <w:tcPr>
            <w:tcW w:w="1319" w:type="dxa"/>
            <w:vAlign w:val="center"/>
          </w:tcPr>
          <w:p>
            <w:pPr>
              <w:spacing w:line="240" w:lineRule="auto"/>
              <w:jc w:val="center"/>
              <w:rPr>
                <w:sz w:val="21"/>
                <w:szCs w:val="18"/>
              </w:rPr>
            </w:pPr>
            <w:r>
              <w:rPr>
                <w:sz w:val="21"/>
                <w:szCs w:val="18"/>
              </w:rPr>
              <w:t>100左右</w:t>
            </w:r>
          </w:p>
        </w:tc>
      </w:tr>
    </w:tbl>
    <w:p>
      <w:pPr>
        <w:rPr>
          <w:rFonts w:eastAsia="仿宋"/>
        </w:rPr>
      </w:pPr>
      <w:r>
        <w:rPr>
          <w:rFonts w:eastAsia="仿宋"/>
          <w:b/>
          <w:bCs/>
        </w:rPr>
        <w:t xml:space="preserve">【条文说明】：9.5.6  </w:t>
      </w:r>
      <w:r>
        <w:rPr>
          <w:rFonts w:eastAsia="仿宋"/>
        </w:rPr>
        <w:t>一般情况下，在现场按配合比进行泥浆的配置，所用的主要材料包括：膨润土、水、Na</w:t>
      </w:r>
      <w:r>
        <w:rPr>
          <w:rFonts w:eastAsia="仿宋"/>
          <w:vertAlign w:val="subscript"/>
        </w:rPr>
        <w:t>2</w:t>
      </w:r>
      <w:r>
        <w:rPr>
          <w:rFonts w:eastAsia="仿宋"/>
        </w:rPr>
        <w:t>CO</w:t>
      </w:r>
      <w:r>
        <w:rPr>
          <w:rFonts w:eastAsia="仿宋"/>
          <w:vertAlign w:val="subscript"/>
        </w:rPr>
        <w:t>3</w:t>
      </w:r>
      <w:r>
        <w:rPr>
          <w:rFonts w:eastAsia="仿宋"/>
        </w:rPr>
        <w:t>和CMC，有时也可以加入其他掺和剂，如废机油、粉煤灰和其他高分子化合物等。材料的配比通常为：</w:t>
      </w:r>
    </w:p>
    <w:p>
      <w:pPr>
        <w:ind w:firstLine="480" w:firstLineChars="200"/>
        <w:rPr>
          <w:rFonts w:eastAsia="仿宋"/>
        </w:rPr>
      </w:pPr>
      <w:r>
        <w:rPr>
          <w:rFonts w:eastAsia="仿宋"/>
        </w:rPr>
        <w:t>水：土=（4~5）：1</w:t>
      </w:r>
    </w:p>
    <w:p>
      <w:pPr>
        <w:ind w:firstLine="480" w:firstLineChars="200"/>
        <w:rPr>
          <w:rFonts w:eastAsia="仿宋"/>
        </w:rPr>
      </w:pPr>
      <w:r>
        <w:rPr>
          <w:rFonts w:eastAsia="仿宋"/>
        </w:rPr>
        <w:t>土：掺和剂=（20~30）：1</w:t>
      </w:r>
    </w:p>
    <w:p>
      <w:r>
        <w:rPr>
          <w:rFonts w:hint="eastAsia"/>
          <w:b/>
          <w:bCs/>
        </w:rPr>
        <w:t>9</w:t>
      </w:r>
      <w:r>
        <w:rPr>
          <w:b/>
          <w:bCs/>
        </w:rPr>
        <w:t>.</w:t>
      </w:r>
      <w:r>
        <w:rPr>
          <w:rFonts w:hint="eastAsia"/>
          <w:b/>
          <w:bCs/>
        </w:rPr>
        <w:t>5</w:t>
      </w:r>
      <w:r>
        <w:rPr>
          <w:b/>
          <w:bCs/>
        </w:rPr>
        <w:t>.</w:t>
      </w:r>
      <w:r>
        <w:rPr>
          <w:rFonts w:hint="eastAsia"/>
          <w:b/>
          <w:bCs/>
        </w:rPr>
        <w:t>7</w:t>
      </w:r>
      <w:r>
        <w:rPr>
          <w:b/>
          <w:bCs/>
        </w:rPr>
        <w:t xml:space="preserve">  </w:t>
      </w:r>
      <w:r>
        <w:t>注浆孔的实际注浆量，对于粘性土和粉土不应大于理论注浆量的1.5～3倍，对于中粗砂层应大于理论压浆量的3倍以上。</w:t>
      </w:r>
    </w:p>
    <w:p>
      <w:r>
        <w:rPr>
          <w:rFonts w:hint="eastAsia"/>
          <w:b/>
          <w:bCs/>
        </w:rPr>
        <w:t>9</w:t>
      </w:r>
      <w:r>
        <w:rPr>
          <w:b/>
          <w:bCs/>
        </w:rPr>
        <w:t>.</w:t>
      </w:r>
      <w:r>
        <w:rPr>
          <w:rFonts w:hint="eastAsia"/>
          <w:b/>
          <w:bCs/>
        </w:rPr>
        <w:t>5</w:t>
      </w:r>
      <w:r>
        <w:rPr>
          <w:b/>
          <w:bCs/>
        </w:rPr>
        <w:t>.</w:t>
      </w:r>
      <w:r>
        <w:rPr>
          <w:rFonts w:hint="eastAsia"/>
          <w:b/>
          <w:bCs/>
        </w:rPr>
        <w:t>8</w:t>
      </w:r>
      <w:r>
        <w:rPr>
          <w:b/>
          <w:bCs/>
        </w:rPr>
        <w:t xml:space="preserve">  </w:t>
      </w:r>
      <w:r>
        <w:t>在注浆过程中，应根据减阻</w:t>
      </w:r>
      <w:r>
        <w:rPr>
          <w:rFonts w:hint="eastAsia"/>
        </w:rPr>
        <w:t>效果</w:t>
      </w:r>
      <w:r>
        <w:t>和控制地面变形的实际监测数据，及时调整注浆流量和注浆压力等工艺参数。注浆压力</w:t>
      </w:r>
      <w:r>
        <w:rPr>
          <w:rFonts w:hint="eastAsia"/>
        </w:rPr>
        <w:t>可</w:t>
      </w:r>
      <w:r>
        <w:t>按</w:t>
      </w:r>
      <w:r>
        <w:rPr>
          <w:rFonts w:hint="eastAsia"/>
        </w:rPr>
        <w:t>下列公式计算，注浆压力取最大值</w:t>
      </w:r>
    </w:p>
    <w:p>
      <w:r>
        <w:rPr>
          <w:rFonts w:hint="eastAsia"/>
        </w:rPr>
        <w:t xml:space="preserve">                        </w:t>
      </w:r>
      <w:r>
        <w:t xml:space="preserve">  </w:t>
      </w:r>
      <w:r>
        <w:rPr>
          <w:rFonts w:hint="eastAsia"/>
        </w:rPr>
        <w:t xml:space="preserve"> </w:t>
      </w:r>
      <w:r>
        <w:rPr>
          <w:position w:val="-12"/>
        </w:rPr>
        <w:object>
          <v:shape id="_x0000_i1338" o:spt="75" type="#_x0000_t75" style="height:18.35pt;width:78.8pt;" o:ole="t" filled="f" o:preferrelative="t" stroked="f" coordsize="21600,21600">
            <v:path/>
            <v:fill on="f" focussize="0,0"/>
            <v:stroke on="f" joinstyle="miter"/>
            <v:imagedata r:id="rId553" o:title=""/>
            <o:lock v:ext="edit" aspectratio="t"/>
            <w10:wrap type="none"/>
            <w10:anchorlock/>
          </v:shape>
          <o:OLEObject Type="Embed" ProgID="Equation.DSMT4" ShapeID="_x0000_i1338" DrawAspect="Content" ObjectID="_1468076036" r:id="rId552">
            <o:LockedField>false</o:LockedField>
          </o:OLEObject>
        </w:object>
      </w:r>
      <w:r>
        <w:rPr>
          <w:rFonts w:hint="eastAsia"/>
        </w:rPr>
        <w:t xml:space="preserve">                        (9.5.8-1)</w:t>
      </w:r>
    </w:p>
    <w:p>
      <w:r>
        <w:pict>
          <v:shape id="_x0000_s1043" o:spid="_x0000_s1043" o:spt="75" type="#_x0000_t75" style="position:absolute;left:0pt;margin-left:154.6pt;margin-top:4.75pt;height:18.6pt;width:80.4pt;z-index:-251657216;mso-width-relative:page;mso-height-relative:page;" o:ole="t" filled="f" o:preferrelative="t" stroked="f" coordsize="21600,21600">
            <v:path/>
            <v:fill on="f" focussize="0,0"/>
            <v:stroke on="f" joinstyle="miter"/>
            <v:imagedata r:id="rId555" o:title=""/>
            <o:lock v:ext="edit" aspectratio="t"/>
          </v:shape>
          <o:OLEObject Type="Embed" ProgID="Equation.DSMT4" ShapeID="_x0000_s1043" DrawAspect="Content" ObjectID="_1468076037" r:id="rId554">
            <o:LockedField>false</o:LockedField>
          </o:OLEObject>
        </w:pict>
      </w:r>
      <w:r>
        <w:rPr>
          <w:rFonts w:hint="eastAsia"/>
        </w:rPr>
        <w:t xml:space="preserve">                                                                  (9.5.8-2)</w:t>
      </w:r>
    </w:p>
    <w:p>
      <w:pPr>
        <w:ind w:firstLine="1920" w:firstLineChars="800"/>
      </w:pPr>
      <w:r>
        <w:rPr>
          <w:position w:val="-28"/>
        </w:rPr>
        <w:object>
          <v:shape id="_x0000_i1339" o:spt="75" type="#_x0000_t75" style="height:33.3pt;width:251.3pt;" o:ole="t" filled="f" o:preferrelative="t" stroked="f" coordsize="21600,21600">
            <v:path/>
            <v:fill on="f" focussize="0,0"/>
            <v:stroke on="f" joinstyle="miter"/>
            <v:imagedata r:id="rId557" o:title=""/>
            <o:lock v:ext="edit" aspectratio="t"/>
            <w10:wrap type="none"/>
            <w10:anchorlock/>
          </v:shape>
          <o:OLEObject Type="Embed" ProgID="Equation.DSMT4" ShapeID="_x0000_i1339" DrawAspect="Content" ObjectID="_1468076038" r:id="rId556">
            <o:LockedField>false</o:LockedField>
          </o:OLEObject>
        </w:object>
      </w:r>
      <w:r>
        <w:rPr>
          <w:rFonts w:hint="eastAsia"/>
        </w:rPr>
        <w:t xml:space="preserve">  </w:t>
      </w:r>
      <w:r>
        <w:t xml:space="preserve">    </w:t>
      </w:r>
      <w:r>
        <w:rPr>
          <w:rFonts w:hint="eastAsia"/>
        </w:rPr>
        <w:t xml:space="preserve"> (9.5.8-3)</w:t>
      </w:r>
    </w:p>
    <w:p>
      <w:pPr>
        <w:ind w:firstLine="480" w:firstLineChars="200"/>
      </w:pPr>
      <w:r>
        <w:t>或存在卸力拱时：</w:t>
      </w:r>
    </w:p>
    <w:p>
      <w:pPr>
        <w:ind w:firstLine="480" w:firstLineChars="200"/>
      </w:pPr>
      <w:r>
        <w:rPr>
          <w:rFonts w:hint="eastAsia"/>
        </w:rPr>
        <w:t xml:space="preserve">                </w:t>
      </w:r>
      <w:r>
        <w:t xml:space="preserve">   </w:t>
      </w:r>
      <w:r>
        <w:rPr>
          <w:position w:val="-12"/>
        </w:rPr>
        <w:object>
          <v:shape id="_x0000_i1340" o:spt="75" type="#_x0000_t75" style="height:18.35pt;width:84.9pt;" o:ole="t" filled="f" o:preferrelative="t" stroked="f" coordsize="21600,21600">
            <v:path/>
            <v:fill on="f" focussize="0,0"/>
            <v:stroke on="f" joinstyle="miter"/>
            <v:imagedata r:id="rId559" o:title=""/>
            <o:lock v:ext="edit" aspectratio="t"/>
            <w10:wrap type="none"/>
            <w10:anchorlock/>
          </v:shape>
          <o:OLEObject Type="Embed" ProgID="Equation.DSMT4" ShapeID="_x0000_i1340" DrawAspect="Content" ObjectID="_1468076039" r:id="rId558">
            <o:LockedField>false</o:LockedField>
          </o:OLEObject>
        </w:object>
      </w:r>
      <w:r>
        <w:rPr>
          <w:rFonts w:hint="eastAsia"/>
        </w:rPr>
        <w:t xml:space="preserve">                            (9.5.8-4)</w:t>
      </w:r>
    </w:p>
    <w:p>
      <w:pPr>
        <w:ind w:firstLine="480" w:firstLineChars="200"/>
      </w:pPr>
      <w:r>
        <w:pict>
          <v:shape id="_x0000_s1046" o:spid="_x0000_s1046" o:spt="75" type="#_x0000_t75" style="position:absolute;left:0pt;margin-left:158.35pt;margin-top:12.55pt;height:51.9pt;width:132pt;z-index:-251654144;mso-width-relative:page;mso-height-relative:page;" o:ole="t" filled="f" o:preferrelative="t" stroked="f" coordsize="21600,21600">
            <v:path/>
            <v:fill on="f" focussize="0,0"/>
            <v:stroke on="f" joinstyle="miter"/>
            <v:imagedata r:id="rId561" o:title=""/>
            <o:lock v:ext="edit" aspectratio="t"/>
          </v:shape>
          <o:OLEObject Type="Embed" ProgID="Equation.3" ShapeID="_x0000_s1046" DrawAspect="Content" ObjectID="_1468076040" r:id="rId560">
            <o:LockedField>false</o:LockedField>
          </o:OLEObject>
        </w:pict>
      </w:r>
    </w:p>
    <w:p>
      <w:pPr>
        <w:ind w:firstLine="480" w:firstLineChars="200"/>
      </w:pPr>
      <w:r>
        <w:rPr>
          <w:rFonts w:hint="eastAsia"/>
        </w:rPr>
        <w:t xml:space="preserve">                                                             (9.5.8-5)</w:t>
      </w:r>
    </w:p>
    <w:p>
      <w:pPr>
        <w:ind w:firstLine="480" w:firstLineChars="200"/>
      </w:pPr>
    </w:p>
    <w:p>
      <w:pPr>
        <w:ind w:firstLine="480" w:firstLineChars="200"/>
      </w:pPr>
      <w:r>
        <w:rPr>
          <w:rFonts w:hint="eastAsia"/>
        </w:rPr>
        <w:t>式中：</w:t>
      </w:r>
      <w:r>
        <w:rPr>
          <w:position w:val="-12"/>
        </w:rPr>
        <w:object>
          <v:shape id="_x0000_i1341" o:spt="75" type="#_x0000_t75" style="height:18.35pt;width:14.95pt;" o:ole="t" filled="f" o:preferrelative="t" stroked="f" coordsize="21600,21600">
            <v:path/>
            <v:fill on="f" focussize="0,0"/>
            <v:stroke on="f" joinstyle="miter"/>
            <v:imagedata r:id="rId563" o:title=""/>
            <o:lock v:ext="edit" aspectratio="t"/>
            <w10:wrap type="none"/>
            <w10:anchorlock/>
          </v:shape>
          <o:OLEObject Type="Embed" ProgID="Equation.DSMT4" ShapeID="_x0000_i1341" DrawAspect="Content" ObjectID="_1468076041" r:id="rId562">
            <o:LockedField>false</o:LockedField>
          </o:OLEObject>
        </w:object>
      </w:r>
      <w:r>
        <w:t>——泥浆套顶部的水压力和主动土压力（kPa）；</w:t>
      </w:r>
    </w:p>
    <w:p>
      <w:pPr>
        <w:ind w:firstLine="1200" w:firstLineChars="500"/>
      </w:pPr>
      <w:r>
        <w:rPr>
          <w:position w:val="-10"/>
        </w:rPr>
        <w:object>
          <v:shape id="_x0000_i1342" o:spt="75" type="#_x0000_t75" style="height:12.9pt;width:10.2pt;" o:ole="t" filled="f" o:preferrelative="t" stroked="f" coordsize="21600,21600">
            <v:path/>
            <v:fill on="f" focussize="0,0"/>
            <v:stroke on="f" joinstyle="miter"/>
            <v:imagedata r:id="rId565" o:title=""/>
            <o:lock v:ext="edit" aspectratio="t"/>
            <w10:wrap type="none"/>
            <w10:anchorlock/>
          </v:shape>
          <o:OLEObject Type="Embed" ProgID="Equation.DSMT4" ShapeID="_x0000_i1342" DrawAspect="Content" ObjectID="_1468076042" r:id="rId564">
            <o:LockedField>false</o:LockedField>
          </o:OLEObject>
        </w:object>
      </w:r>
      <w:r>
        <w:t>——土的重度（kN/m</w:t>
      </w:r>
      <w:r>
        <w:rPr>
          <w:vertAlign w:val="superscript"/>
        </w:rPr>
        <w:t>3</w:t>
      </w:r>
      <w:r>
        <w:t>）；</w:t>
      </w:r>
    </w:p>
    <w:p>
      <w:pPr>
        <w:ind w:firstLine="1200" w:firstLineChars="500"/>
      </w:pPr>
      <w:r>
        <w:rPr>
          <w:position w:val="-12"/>
        </w:rPr>
        <w:object>
          <v:shape id="_x0000_i1343" o:spt="75" type="#_x0000_t75" style="height:18.35pt;width:14.95pt;" o:ole="t" filled="f" o:preferrelative="t" stroked="f" coordsize="21600,21600">
            <v:path/>
            <v:fill on="f" focussize="0,0"/>
            <v:stroke on="f" joinstyle="miter"/>
            <v:imagedata r:id="rId567" o:title=""/>
            <o:lock v:ext="edit" aspectratio="t"/>
            <w10:wrap type="none"/>
            <w10:anchorlock/>
          </v:shape>
          <o:OLEObject Type="Embed" ProgID="Equation.DSMT4" ShapeID="_x0000_i1343" DrawAspect="Content" ObjectID="_1468076043" r:id="rId566">
            <o:LockedField>false</o:LockedField>
          </o:OLEObject>
        </w:object>
      </w:r>
      <w:r>
        <w:t>——水的重度（kN/m</w:t>
      </w:r>
      <w:r>
        <w:rPr>
          <w:vertAlign w:val="superscript"/>
        </w:rPr>
        <w:t>3</w:t>
      </w:r>
      <w:r>
        <w:t>）；</w:t>
      </w:r>
    </w:p>
    <w:p>
      <w:pPr>
        <w:ind w:firstLine="1200" w:firstLineChars="500"/>
      </w:pPr>
      <w:r>
        <w:rPr>
          <w:position w:val="-12"/>
        </w:rPr>
        <w:object>
          <v:shape id="_x0000_i1344" o:spt="75" type="#_x0000_t75" style="height:18.35pt;width:19pt;" o:ole="t" filled="f" o:preferrelative="t" stroked="f" coordsize="21600,21600">
            <v:path/>
            <v:fill on="f" focussize="0,0"/>
            <v:stroke on="f" joinstyle="miter"/>
            <v:imagedata r:id="rId103" o:title=""/>
            <o:lock v:ext="edit" aspectratio="t"/>
            <w10:wrap type="none"/>
            <w10:anchorlock/>
          </v:shape>
          <o:OLEObject Type="Embed" ProgID="Equation.DSMT4" ShapeID="_x0000_i1344" DrawAspect="Content" ObjectID="_1468076044" r:id="rId568">
            <o:LockedField>false</o:LockedField>
          </o:OLEObject>
        </w:object>
      </w:r>
      <w:r>
        <w:t>——工作面或卸力拱以上的水柱高度（m）；</w:t>
      </w:r>
    </w:p>
    <w:p>
      <w:pPr>
        <w:ind w:firstLine="1200" w:firstLineChars="500"/>
        <w:rPr>
          <w:rFonts w:ascii="宋体" w:hAnsi="宋体" w:cs="宋体"/>
          <w:kern w:val="24"/>
        </w:rPr>
      </w:pPr>
      <w:r>
        <w:rPr>
          <w:position w:val="-12"/>
        </w:rPr>
        <w:object>
          <v:shape id="_x0000_i1345" o:spt="75" type="#_x0000_t75" style="height:15.6pt;width:15.6pt;" o:ole="t" filled="f" o:preferrelative="t" stroked="f" coordsize="21600,21600">
            <v:path/>
            <v:fill on="f" focussize="0,0"/>
            <v:stroke on="f" joinstyle="miter"/>
            <v:imagedata r:id="rId95" o:title=""/>
            <o:lock v:ext="edit" aspectratio="t"/>
            <w10:wrap type="none"/>
            <w10:anchorlock/>
          </v:shape>
          <o:OLEObject Type="Embed" ProgID="Equation.DSMT4" ShapeID="_x0000_i1345" DrawAspect="Content" ObjectID="_1468076045" r:id="rId569">
            <o:LockedField>false</o:LockedField>
          </o:OLEObject>
        </w:object>
      </w:r>
      <w:r>
        <w:rPr>
          <w:lang w:bidi="ar"/>
        </w:rPr>
        <w:t>——</w:t>
      </w:r>
      <w:r>
        <w:rPr>
          <w:rFonts w:hint="eastAsia"/>
        </w:rPr>
        <w:t>管顶至原状土地面覆土层厚度（m）；</w:t>
      </w:r>
    </w:p>
    <w:p>
      <w:pPr>
        <w:ind w:firstLine="1200" w:firstLineChars="500"/>
      </w:pPr>
      <w:r>
        <w:object>
          <v:shape id="_x0000_i1346" o:spt="75" type="#_x0000_t75" style="height:11.55pt;width:11.55pt;" o:ole="t" filled="f" o:preferrelative="t" stroked="f" coordsize="21600,21600">
            <v:path/>
            <v:fill on="f" focussize="0,0"/>
            <v:stroke on="f" joinstyle="miter"/>
            <v:imagedata r:id="rId571" o:title=""/>
            <o:lock v:ext="edit" aspectratio="t"/>
            <w10:wrap type="none"/>
            <w10:anchorlock/>
          </v:shape>
          <o:OLEObject Type="Embed" ProgID="Equation.DSMT4" ShapeID="_x0000_i1346" DrawAspect="Content" ObjectID="_1468076046" r:id="rId570">
            <o:LockedField>false</o:LockedField>
          </o:OLEObject>
        </w:object>
      </w:r>
      <w:r>
        <w:t>——</w:t>
      </w:r>
      <w:r>
        <w:rPr>
          <w:rFonts w:hint="eastAsia"/>
        </w:rPr>
        <w:t>顶管</w:t>
      </w:r>
      <w:r>
        <w:t>所处土层的内摩擦角（°）；</w:t>
      </w:r>
    </w:p>
    <w:p>
      <w:pPr>
        <w:ind w:firstLine="1080" w:firstLineChars="450"/>
      </w:pPr>
      <w:r>
        <w:rPr>
          <w:position w:val="-12"/>
        </w:rPr>
        <w:object>
          <v:shape id="_x0000_i1347" o:spt="75" type="#_x0000_t75" style="height:18.35pt;width:12.9pt;" o:ole="t" filled="f" o:preferrelative="t" stroked="f" coordsize="21600,21600">
            <v:path/>
            <v:fill on="f" focussize="0,0"/>
            <v:stroke on="f" joinstyle="miter"/>
            <v:imagedata r:id="rId573" o:title=""/>
            <o:lock v:ext="edit" aspectratio="t"/>
            <w10:wrap type="none"/>
            <w10:anchorlock/>
          </v:shape>
          <o:OLEObject Type="Embed" ProgID="Equation.DSMT4" ShapeID="_x0000_i1347" DrawAspect="Content" ObjectID="_1468076047" r:id="rId572">
            <o:LockedField>false</o:LockedField>
          </o:OLEObject>
        </w:object>
      </w:r>
      <w:r>
        <w:t>——卸力拱的高度（m）；</w:t>
      </w:r>
    </w:p>
    <w:p>
      <w:pPr>
        <w:ind w:firstLine="1080" w:firstLineChars="450"/>
      </w:pPr>
      <w:r>
        <w:object>
          <v:shape id="_x0000_i1348" o:spt="75" type="#_x0000_t75" style="height:15.6pt;width:11.55pt;" o:ole="t" filled="f" o:preferrelative="t" stroked="f" coordsize="21600,21600">
            <v:path/>
            <v:fill on="f" focussize="0,0"/>
            <v:stroke on="f" joinstyle="miter"/>
            <v:imagedata r:id="rId575" o:title=""/>
            <o:lock v:ext="edit" aspectratio="t"/>
            <w10:wrap type="none"/>
            <w10:anchorlock/>
          </v:shape>
          <o:OLEObject Type="Embed" ProgID="Equation.DSMT4" ShapeID="_x0000_i1348" DrawAspect="Content" ObjectID="_1468076048" r:id="rId574">
            <o:LockedField>false</o:LockedField>
          </o:OLEObject>
        </w:object>
      </w:r>
      <w:r>
        <w:t>——土的粘聚力（kPa）。</w:t>
      </w:r>
    </w:p>
    <w:p>
      <w:pPr>
        <w:rPr>
          <w:rFonts w:eastAsia="仿宋"/>
          <w:b/>
          <w:bCs/>
        </w:rPr>
      </w:pPr>
      <w:r>
        <w:rPr>
          <w:rFonts w:eastAsia="仿宋"/>
          <w:b/>
          <w:bCs/>
        </w:rPr>
        <w:t xml:space="preserve">【条文说明】：9.5.8  </w:t>
      </w:r>
      <w:r>
        <w:rPr>
          <w:rFonts w:eastAsia="仿宋"/>
        </w:rPr>
        <w:t>本条是指补浆量的控制和注浆压力的控制。一般情况下是以注浆压力为控制目标。在注浆过程中，应注意注浆孔堵塞与否，要使得管外壁形成完整的触变泥浆润滑套，防止单侧有泥浆，形成制动效应。</w:t>
      </w:r>
    </w:p>
    <w:p>
      <w:r>
        <w:rPr>
          <w:rFonts w:hint="eastAsia"/>
          <w:b/>
          <w:bCs/>
        </w:rPr>
        <w:t>9</w:t>
      </w:r>
      <w:r>
        <w:rPr>
          <w:b/>
          <w:bCs/>
        </w:rPr>
        <w:t>.</w:t>
      </w:r>
      <w:r>
        <w:rPr>
          <w:rFonts w:hint="eastAsia"/>
          <w:b/>
          <w:bCs/>
        </w:rPr>
        <w:t>5</w:t>
      </w:r>
      <w:r>
        <w:rPr>
          <w:b/>
          <w:bCs/>
        </w:rPr>
        <w:t>.</w:t>
      </w:r>
      <w:r>
        <w:rPr>
          <w:rFonts w:hint="eastAsia"/>
          <w:b/>
          <w:bCs/>
        </w:rPr>
        <w:t>9</w:t>
      </w:r>
      <w:r>
        <w:rPr>
          <w:rFonts w:hint="eastAsia"/>
        </w:rPr>
        <w:t xml:space="preserve"> </w:t>
      </w:r>
      <w:r>
        <w:t xml:space="preserve"> 注浆管出口应设单向阀，出口压力应大于地下水压力</w:t>
      </w:r>
      <w:r>
        <w:rPr>
          <w:rFonts w:hint="eastAsia"/>
        </w:rPr>
        <w:t>，在砂性土中掘进时，单向阀宜加装在注浆孔的管道外侧</w:t>
      </w:r>
      <w:r>
        <w:t>。</w:t>
      </w:r>
    </w:p>
    <w:p/>
    <w:p>
      <w:pPr>
        <w:pStyle w:val="3"/>
      </w:pPr>
      <w:bookmarkStart w:id="270" w:name="_Toc18057077"/>
      <w:bookmarkStart w:id="271" w:name="_Toc31430"/>
      <w:r>
        <w:t>9.6</w:t>
      </w:r>
      <w:r>
        <w:rPr>
          <w:rFonts w:hint="eastAsia"/>
        </w:rPr>
        <w:t xml:space="preserve"> </w:t>
      </w:r>
      <w:r>
        <w:t xml:space="preserve"> 土体改良</w:t>
      </w:r>
      <w:bookmarkEnd w:id="270"/>
      <w:bookmarkEnd w:id="271"/>
    </w:p>
    <w:p>
      <w:r>
        <w:rPr>
          <w:rFonts w:hint="eastAsia"/>
          <w:b/>
          <w:bCs/>
        </w:rPr>
        <w:t>9</w:t>
      </w:r>
      <w:r>
        <w:rPr>
          <w:b/>
          <w:bCs/>
        </w:rPr>
        <w:t>.</w:t>
      </w:r>
      <w:r>
        <w:rPr>
          <w:rFonts w:hint="eastAsia"/>
          <w:b/>
          <w:bCs/>
        </w:rPr>
        <w:t>6</w:t>
      </w:r>
      <w:r>
        <w:rPr>
          <w:b/>
          <w:bCs/>
        </w:rPr>
        <w:t>.</w:t>
      </w:r>
      <w:r>
        <w:rPr>
          <w:rFonts w:hint="eastAsia"/>
          <w:b/>
          <w:bCs/>
        </w:rPr>
        <w:t>1</w:t>
      </w:r>
      <w:r>
        <w:rPr>
          <w:b/>
          <w:bCs/>
        </w:rPr>
        <w:t xml:space="preserve">  </w:t>
      </w:r>
      <w:r>
        <w:rPr>
          <w:rFonts w:hint="eastAsia"/>
        </w:rPr>
        <w:t>土压平衡</w:t>
      </w:r>
      <w:r>
        <w:t>顶管机在</w:t>
      </w:r>
      <w:r>
        <w:rPr>
          <w:rFonts w:hint="eastAsia"/>
        </w:rPr>
        <w:t>遇到</w:t>
      </w:r>
      <w:r>
        <w:t>不良地层</w:t>
      </w:r>
      <w:r>
        <w:rPr>
          <w:rFonts w:hint="eastAsia"/>
        </w:rPr>
        <w:t>（中粗砂、砂卵石层等）</w:t>
      </w:r>
      <w:r>
        <w:t>时，应通过设在顶管机</w:t>
      </w:r>
      <w:r>
        <w:rPr>
          <w:rFonts w:hint="eastAsia"/>
        </w:rPr>
        <w:t>刀盘和胸板上</w:t>
      </w:r>
      <w:r>
        <w:t>的注浆孔向土</w:t>
      </w:r>
      <w:r>
        <w:rPr>
          <w:rFonts w:hint="eastAsia"/>
        </w:rPr>
        <w:t>舱</w:t>
      </w:r>
      <w:r>
        <w:t>内注入改良用的粘土等作泥材料制成的浆液，以改善</w:t>
      </w:r>
      <w:r>
        <w:rPr>
          <w:rFonts w:hint="eastAsia"/>
        </w:rPr>
        <w:t>不良土体的</w:t>
      </w:r>
      <w:r>
        <w:t>流动性、塑性和止水性能，保证开挖舱的水土压力与开挖面平衡。</w:t>
      </w:r>
    </w:p>
    <w:p>
      <w:pPr>
        <w:ind w:firstLine="480" w:firstLineChars="200"/>
      </w:pPr>
      <w:r>
        <w:rPr>
          <w:rFonts w:hint="eastAsia"/>
        </w:rPr>
        <w:t>1</w:t>
      </w:r>
      <w:r>
        <w:t xml:space="preserve">  作泥材料所配成的泥浆应具有较大的粘度，</w:t>
      </w:r>
      <w:r>
        <w:rPr>
          <w:rFonts w:hint="eastAsia"/>
        </w:rPr>
        <w:t>粘度值在8000s~10000s之间，</w:t>
      </w:r>
      <w:r>
        <w:t>比重在1.30~1.50之间，参考配比为：膨润土</w:t>
      </w:r>
      <w:r>
        <w:rPr>
          <w:rFonts w:hint="eastAsia"/>
        </w:rPr>
        <w:t>98</w:t>
      </w:r>
      <w:r>
        <w:t>kg、</w:t>
      </w:r>
      <w:r>
        <w:rPr>
          <w:rFonts w:hint="eastAsia"/>
        </w:rPr>
        <w:t>粘土392kg、</w:t>
      </w:r>
      <w:r>
        <w:t>水</w:t>
      </w:r>
      <w:r>
        <w:rPr>
          <w:rFonts w:hint="eastAsia"/>
        </w:rPr>
        <w:t>892</w:t>
      </w:r>
      <w:r>
        <w:t>kg</w:t>
      </w:r>
      <w:r>
        <w:rPr>
          <w:rFonts w:hint="eastAsia"/>
        </w:rPr>
        <w:t>；</w:t>
      </w:r>
    </w:p>
    <w:p>
      <w:pPr>
        <w:ind w:firstLine="480" w:firstLineChars="200"/>
      </w:pPr>
      <w:r>
        <w:rPr>
          <w:rFonts w:hint="eastAsia"/>
        </w:rPr>
        <w:t>2</w:t>
      </w:r>
      <w:r>
        <w:t xml:space="preserve">  泥浆的注入量</w:t>
      </w:r>
      <w:r>
        <w:rPr>
          <w:rFonts w:hint="eastAsia"/>
        </w:rPr>
        <w:t>宜为</w:t>
      </w:r>
      <w:r>
        <w:t>15%～30%，应根据螺旋输送机所排</w:t>
      </w:r>
      <w:r>
        <w:rPr>
          <w:rFonts w:hint="eastAsia"/>
        </w:rPr>
        <w:t>渣</w:t>
      </w:r>
      <w:r>
        <w:t>土的状况</w:t>
      </w:r>
      <w:r>
        <w:rPr>
          <w:rFonts w:hint="eastAsia"/>
        </w:rPr>
        <w:t>确定</w:t>
      </w:r>
      <w:r>
        <w:rPr>
          <w:rFonts w:hint="eastAsia" w:ascii="Dotum" w:hAnsi="Dotum" w:eastAsia="仿宋_GB2312"/>
          <w:sz w:val="28"/>
          <w:szCs w:val="28"/>
        </w:rPr>
        <w:t>，</w:t>
      </w:r>
      <w:r>
        <w:rPr>
          <w:rFonts w:hint="eastAsia"/>
        </w:rPr>
        <w:t>改良后的土体应具有良好的塑性、流动性以及止水性；</w:t>
      </w:r>
    </w:p>
    <w:p>
      <w:pPr>
        <w:ind w:firstLine="480" w:firstLineChars="200"/>
      </w:pPr>
      <w:r>
        <w:rPr>
          <w:rFonts w:hint="eastAsia"/>
        </w:rPr>
        <w:t>3</w:t>
      </w:r>
      <w:r>
        <w:t xml:space="preserve">  </w:t>
      </w:r>
      <w:r>
        <w:rPr>
          <w:rFonts w:hint="eastAsia"/>
        </w:rPr>
        <w:t>对不同的土质应选用不同的泥浆配比、注入不同的泥浆量；</w:t>
      </w:r>
    </w:p>
    <w:p>
      <w:pPr>
        <w:ind w:firstLine="480" w:firstLineChars="200"/>
      </w:pPr>
      <w:r>
        <w:rPr>
          <w:rFonts w:hint="eastAsia"/>
        </w:rPr>
        <w:t>4</w:t>
      </w:r>
      <w:r>
        <w:t xml:space="preserve">  </w:t>
      </w:r>
      <w:r>
        <w:rPr>
          <w:rFonts w:hint="eastAsia"/>
        </w:rPr>
        <w:t>对注入泥浆的科学管理应引起足够的重视；</w:t>
      </w:r>
    </w:p>
    <w:p>
      <w:pPr>
        <w:ind w:firstLine="480" w:firstLineChars="200"/>
      </w:pPr>
      <w:r>
        <w:rPr>
          <w:rFonts w:hint="eastAsia"/>
        </w:rPr>
        <w:t>5</w:t>
      </w:r>
      <w:r>
        <w:t xml:space="preserve">  </w:t>
      </w:r>
      <w:r>
        <w:rPr>
          <w:rFonts w:hint="eastAsia"/>
        </w:rPr>
        <w:t>泥浆注入应有专人负责，对注入压力、注入量、泥浆配比等应有详细的记录，应通过初始推进阶段试验以后再决定。</w:t>
      </w:r>
    </w:p>
    <w:p>
      <w:pPr>
        <w:rPr>
          <w:rFonts w:eastAsia="仿宋"/>
        </w:rPr>
      </w:pPr>
      <w:r>
        <w:rPr>
          <w:rFonts w:eastAsia="仿宋"/>
          <w:b/>
          <w:bCs/>
        </w:rPr>
        <w:t xml:space="preserve">【条文说明】：9.6.1  </w:t>
      </w:r>
      <w:r>
        <w:rPr>
          <w:rFonts w:eastAsia="仿宋"/>
        </w:rPr>
        <w:t>顶管机遇到不良土体时，由于土体流动性差，给出土造成很大困难，应通过注浆对土体进行改良，以便控制开挖量与出土量的平衡，加快掘进速度。</w:t>
      </w:r>
    </w:p>
    <w:p>
      <w:r>
        <w:rPr>
          <w:rFonts w:hint="eastAsia"/>
          <w:b/>
          <w:bCs/>
        </w:rPr>
        <w:t>9</w:t>
      </w:r>
      <w:r>
        <w:rPr>
          <w:b/>
          <w:bCs/>
        </w:rPr>
        <w:t>.</w:t>
      </w:r>
      <w:r>
        <w:rPr>
          <w:rFonts w:hint="eastAsia"/>
          <w:b/>
          <w:bCs/>
        </w:rPr>
        <w:t>6</w:t>
      </w:r>
      <w:r>
        <w:rPr>
          <w:b/>
          <w:bCs/>
        </w:rPr>
        <w:t>.</w:t>
      </w:r>
      <w:r>
        <w:rPr>
          <w:rFonts w:hint="eastAsia"/>
          <w:b/>
          <w:bCs/>
        </w:rPr>
        <w:t>2</w:t>
      </w:r>
      <w:r>
        <w:rPr>
          <w:b/>
          <w:bCs/>
        </w:rPr>
        <w:t xml:space="preserve">  </w:t>
      </w:r>
      <w:r>
        <w:t>开挖</w:t>
      </w:r>
      <w:r>
        <w:rPr>
          <w:rFonts w:hint="eastAsia"/>
        </w:rPr>
        <w:t>舱</w:t>
      </w:r>
      <w:r>
        <w:t>土压力</w:t>
      </w:r>
      <w:r>
        <w:rPr>
          <w:rFonts w:hint="eastAsia"/>
        </w:rPr>
        <w:t>应符合下列规定：</w:t>
      </w:r>
    </w:p>
    <w:p>
      <w:pPr>
        <w:ind w:firstLine="480" w:firstLineChars="200"/>
      </w:pPr>
      <w:r>
        <w:rPr>
          <w:rFonts w:hint="eastAsia"/>
        </w:rPr>
        <w:t>1</w:t>
      </w:r>
      <w:r>
        <w:t xml:space="preserve">  始发阶段顶管机进入原状土后，为防止机头“磕头”，宜适当提高掘进速度，使正面土压力稍大于理论计算值</w:t>
      </w:r>
      <w:r>
        <w:rPr>
          <w:rFonts w:hint="eastAsia"/>
        </w:rPr>
        <w:t>；</w:t>
      </w:r>
    </w:p>
    <w:p>
      <w:pPr>
        <w:ind w:firstLine="480" w:firstLineChars="200"/>
      </w:pPr>
      <w:r>
        <w:rPr>
          <w:rFonts w:hint="eastAsia"/>
        </w:rPr>
        <w:t>2</w:t>
      </w:r>
      <w:r>
        <w:t xml:space="preserve">  在顶管</w:t>
      </w:r>
      <w:r>
        <w:rPr>
          <w:rFonts w:hint="eastAsia"/>
        </w:rPr>
        <w:t>掌子面</w:t>
      </w:r>
      <w:r>
        <w:t>进入接收井洞口加固区域时，应适当减慢掘进速度，调整出土量，逐渐减小机头正面土压力，以确保顶管机设备完好和洞口结构稳定</w:t>
      </w:r>
      <w:r>
        <w:rPr>
          <w:rFonts w:hint="eastAsia"/>
        </w:rPr>
        <w:t>；</w:t>
      </w:r>
    </w:p>
    <w:p>
      <w:pPr>
        <w:ind w:firstLine="480" w:firstLineChars="200"/>
      </w:pPr>
      <w:r>
        <w:rPr>
          <w:rFonts w:hint="eastAsia"/>
        </w:rPr>
        <w:t>3</w:t>
      </w:r>
      <w:r>
        <w:t xml:space="preserve">  密切关注顶管机的土压力参数，随时掌握顶管机掌子面的压力数值。</w:t>
      </w:r>
    </w:p>
    <w:p>
      <w:r>
        <w:rPr>
          <w:rFonts w:hint="eastAsia" w:eastAsiaTheme="minorEastAsia"/>
          <w:b/>
          <w:bCs/>
        </w:rPr>
        <w:t>9</w:t>
      </w:r>
      <w:r>
        <w:rPr>
          <w:b/>
          <w:bCs/>
        </w:rPr>
        <w:t>.</w:t>
      </w:r>
      <w:r>
        <w:rPr>
          <w:rFonts w:hint="eastAsia" w:eastAsiaTheme="minorEastAsia"/>
          <w:b/>
          <w:bCs/>
        </w:rPr>
        <w:t>6</w:t>
      </w:r>
      <w:r>
        <w:rPr>
          <w:b/>
          <w:bCs/>
        </w:rPr>
        <w:t>.</w:t>
      </w:r>
      <w:r>
        <w:rPr>
          <w:rFonts w:hint="eastAsia" w:eastAsiaTheme="minorEastAsia"/>
          <w:b/>
          <w:bCs/>
        </w:rPr>
        <w:t>3</w:t>
      </w:r>
      <w:r>
        <w:rPr>
          <w:rFonts w:eastAsiaTheme="minorEastAsia"/>
          <w:b/>
          <w:bCs/>
        </w:rPr>
        <w:t xml:space="preserve">  </w:t>
      </w:r>
      <w:r>
        <w:t>土体改良后的效果及作用应满足下列要求：</w:t>
      </w:r>
    </w:p>
    <w:p>
      <w:pPr>
        <w:adjustRightInd w:val="0"/>
        <w:snapToGrid w:val="0"/>
        <w:ind w:firstLine="480" w:firstLineChars="200"/>
        <w:rPr>
          <w:color w:val="000000"/>
        </w:rPr>
      </w:pPr>
      <w:r>
        <w:t>1  土体改良后的渣土成流塑状或牙膏状，能够平稳控制土压，开挖面不出现大的隆起或沉降。</w:t>
      </w:r>
    </w:p>
    <w:p>
      <w:pPr>
        <w:adjustRightInd w:val="0"/>
        <w:snapToGrid w:val="0"/>
        <w:ind w:firstLine="480" w:firstLineChars="200"/>
        <w:rPr>
          <w:color w:val="000000"/>
        </w:rPr>
      </w:pPr>
      <w:r>
        <w:t>2  降低土体的内摩擦角，增加土体的流动性，减小土体对刀具、面板、土仓、螺旋机的磨损。</w:t>
      </w:r>
    </w:p>
    <w:p>
      <w:pPr>
        <w:adjustRightInd w:val="0"/>
        <w:snapToGrid w:val="0"/>
        <w:ind w:firstLine="480" w:firstLineChars="200"/>
      </w:pPr>
      <w:r>
        <w:t>3  将改良剂加注到刀盘前方，切削土体经过刀盘及搅拌棒的搅拌，土仓内的土体通过刀盘充分搅拌后能达到较好的流塑性，能顺利</w:t>
      </w:r>
      <w:r>
        <w:rPr>
          <w:rFonts w:hint="eastAsia" w:asciiTheme="minorEastAsia" w:hAnsiTheme="minorEastAsia" w:eastAsiaTheme="minorEastAsia"/>
        </w:rPr>
        <w:t>地</w:t>
      </w:r>
      <w:r>
        <w:t>从螺旋机口排出。</w:t>
      </w:r>
    </w:p>
    <w:p>
      <w:r>
        <w:rPr>
          <w:b/>
          <w:bCs/>
        </w:rPr>
        <w:t>9.6.</w:t>
      </w:r>
      <w:r>
        <w:rPr>
          <w:rFonts w:eastAsiaTheme="minorEastAsia"/>
          <w:b/>
          <w:bCs/>
        </w:rPr>
        <w:t xml:space="preserve">4  </w:t>
      </w:r>
      <w:r>
        <w:rPr>
          <w:rFonts w:hint="eastAsia"/>
        </w:rPr>
        <w:t>土压平衡矩形顶管机掌子面防结泥饼应采取下列措施：</w:t>
      </w:r>
    </w:p>
    <w:p>
      <w:pPr>
        <w:ind w:firstLine="480" w:firstLineChars="200"/>
      </w:pPr>
      <w:r>
        <w:t xml:space="preserve">1  </w:t>
      </w:r>
      <w:r>
        <w:rPr>
          <w:rFonts w:hint="eastAsia"/>
        </w:rPr>
        <w:t>在顶管机刀盘和胸板上</w:t>
      </w:r>
      <w:r>
        <w:rPr>
          <w:rFonts w:hint="eastAsia" w:asciiTheme="minorEastAsia" w:hAnsiTheme="minorEastAsia" w:eastAsiaTheme="minorEastAsia"/>
        </w:rPr>
        <w:t>加强</w:t>
      </w:r>
      <w:r>
        <w:rPr>
          <w:rFonts w:hint="eastAsia"/>
        </w:rPr>
        <w:t>高压喷嘴注浆；</w:t>
      </w:r>
    </w:p>
    <w:p>
      <w:pPr>
        <w:ind w:firstLine="480" w:firstLineChars="200"/>
      </w:pPr>
      <w:r>
        <w:t xml:space="preserve">2  </w:t>
      </w:r>
      <w:r>
        <w:rPr>
          <w:rFonts w:hint="eastAsia"/>
        </w:rPr>
        <w:t>在顶管机掌子面前方注入具有减粘</w:t>
      </w:r>
      <w:r>
        <w:rPr>
          <w:rFonts w:hint="eastAsia" w:asciiTheme="minorEastAsia" w:hAnsiTheme="minorEastAsia" w:eastAsiaTheme="minorEastAsia"/>
        </w:rPr>
        <w:t>性</w:t>
      </w:r>
      <w:r>
        <w:rPr>
          <w:rFonts w:hint="eastAsia"/>
        </w:rPr>
        <w:t>和强润滑</w:t>
      </w:r>
      <w:r>
        <w:rPr>
          <w:rFonts w:hint="eastAsia" w:asciiTheme="minorEastAsia" w:hAnsiTheme="minorEastAsia" w:eastAsiaTheme="minorEastAsia"/>
        </w:rPr>
        <w:t>性</w:t>
      </w:r>
      <w:r>
        <w:rPr>
          <w:rFonts w:hint="eastAsia"/>
        </w:rPr>
        <w:t>的改良浆液；</w:t>
      </w:r>
    </w:p>
    <w:p>
      <w:pPr>
        <w:ind w:firstLine="480" w:firstLineChars="200"/>
      </w:pPr>
      <w:r>
        <w:t xml:space="preserve">3  </w:t>
      </w:r>
      <w:r>
        <w:rPr>
          <w:rFonts w:hint="eastAsia"/>
        </w:rPr>
        <w:t>在机头前方适当</w:t>
      </w:r>
      <w:r>
        <w:rPr>
          <w:rFonts w:hint="eastAsia" w:asciiTheme="minorEastAsia" w:hAnsiTheme="minorEastAsia" w:eastAsiaTheme="minorEastAsia"/>
        </w:rPr>
        <w:t>加大</w:t>
      </w:r>
      <w:r>
        <w:rPr>
          <w:rFonts w:hint="eastAsia"/>
        </w:rPr>
        <w:t>土体改良剂的用量，改善顶管机头处土体的流动性；</w:t>
      </w:r>
    </w:p>
    <w:p>
      <w:pPr>
        <w:ind w:firstLine="480" w:firstLineChars="200"/>
      </w:pPr>
      <w:r>
        <w:t xml:space="preserve">4  </w:t>
      </w:r>
      <w:r>
        <w:rPr>
          <w:rFonts w:hint="eastAsia" w:asciiTheme="minorEastAsia" w:hAnsiTheme="minorEastAsia" w:eastAsiaTheme="minorEastAsia"/>
        </w:rPr>
        <w:t>可适当调高刀盘转速</w:t>
      </w:r>
      <w:r>
        <w:rPr>
          <w:rFonts w:hint="eastAsia"/>
        </w:rPr>
        <w:t>。</w:t>
      </w:r>
    </w:p>
    <w:p>
      <w:r>
        <w:rPr>
          <w:rFonts w:hint="eastAsia"/>
          <w:b/>
          <w:bCs/>
        </w:rPr>
        <w:t>9</w:t>
      </w:r>
      <w:r>
        <w:rPr>
          <w:b/>
          <w:bCs/>
        </w:rPr>
        <w:t>.</w:t>
      </w:r>
      <w:r>
        <w:rPr>
          <w:rFonts w:hint="eastAsia"/>
          <w:b/>
          <w:bCs/>
        </w:rPr>
        <w:t>6</w:t>
      </w:r>
      <w:r>
        <w:rPr>
          <w:b/>
          <w:bCs/>
        </w:rPr>
        <w:t>.</w:t>
      </w:r>
      <w:r>
        <w:rPr>
          <w:rFonts w:hint="eastAsia" w:eastAsiaTheme="minorEastAsia"/>
          <w:b/>
          <w:bCs/>
        </w:rPr>
        <w:t>5</w:t>
      </w:r>
      <w:r>
        <w:rPr>
          <w:rFonts w:eastAsiaTheme="minorEastAsia"/>
          <w:b/>
          <w:bCs/>
        </w:rPr>
        <w:t xml:space="preserve">  </w:t>
      </w:r>
      <w:r>
        <w:rPr>
          <w:rFonts w:hint="eastAsia"/>
        </w:rPr>
        <w:t>泥水平衡矩形顶管机排渣应符合下列规定：</w:t>
      </w:r>
    </w:p>
    <w:p>
      <w:pPr>
        <w:ind w:firstLine="420"/>
      </w:pPr>
      <w:r>
        <w:t xml:space="preserve">1  </w:t>
      </w:r>
      <w:r>
        <w:rPr>
          <w:rFonts w:hint="eastAsia"/>
        </w:rPr>
        <w:t>泥水循环排土时，宜采用泥水分离器分离混合泥浆中的渣土；</w:t>
      </w:r>
    </w:p>
    <w:p>
      <w:pPr>
        <w:ind w:firstLine="420"/>
      </w:pPr>
      <w:r>
        <w:rPr>
          <w:rFonts w:hint="eastAsia"/>
        </w:rPr>
        <w:t>2</w:t>
      </w:r>
      <w:r>
        <w:t xml:space="preserve">  </w:t>
      </w:r>
      <w:r>
        <w:rPr>
          <w:rFonts w:hint="eastAsia"/>
        </w:rPr>
        <w:t>每段管节正常顶进完成后，在停机前宜对进排浆</w:t>
      </w:r>
      <w:r>
        <w:rPr>
          <w:rFonts w:hint="eastAsia" w:asciiTheme="minorEastAsia" w:hAnsiTheme="minorEastAsia" w:eastAsiaTheme="minorEastAsia"/>
        </w:rPr>
        <w:t>管</w:t>
      </w:r>
      <w:r>
        <w:rPr>
          <w:rFonts w:hint="eastAsia"/>
        </w:rPr>
        <w:t>内的泥浆进行内循环</w:t>
      </w:r>
      <w:r>
        <w:rPr>
          <w:rFonts w:hint="eastAsia" w:asciiTheme="minorEastAsia" w:hAnsiTheme="minorEastAsia" w:eastAsiaTheme="minorEastAsia"/>
        </w:rPr>
        <w:t>，</w:t>
      </w:r>
      <w:r>
        <w:rPr>
          <w:rFonts w:hint="eastAsia"/>
        </w:rPr>
        <w:t>以便将管内泥渣全部排出；</w:t>
      </w:r>
    </w:p>
    <w:p>
      <w:pPr>
        <w:ind w:firstLine="420"/>
      </w:pPr>
      <w:r>
        <w:rPr>
          <w:rFonts w:hint="eastAsia"/>
        </w:rPr>
        <w:t>3</w:t>
      </w:r>
      <w:r>
        <w:t xml:space="preserve">  </w:t>
      </w:r>
      <w:r>
        <w:rPr>
          <w:rFonts w:hint="eastAsia"/>
        </w:rPr>
        <w:t>拆卸泥浆管时，应关闭</w:t>
      </w:r>
      <w:r>
        <w:rPr>
          <w:rFonts w:hint="eastAsia" w:asciiTheme="minorEastAsia" w:hAnsiTheme="minorEastAsia" w:eastAsiaTheme="minorEastAsia"/>
        </w:rPr>
        <w:t>顶管机</w:t>
      </w:r>
      <w:r>
        <w:rPr>
          <w:rFonts w:hint="eastAsia"/>
        </w:rPr>
        <w:t>泥水循环截止阀；</w:t>
      </w:r>
    </w:p>
    <w:p>
      <w:pPr>
        <w:ind w:firstLine="420"/>
      </w:pPr>
      <w:r>
        <w:t xml:space="preserve">4  </w:t>
      </w:r>
      <w:r>
        <w:rPr>
          <w:rFonts w:hint="eastAsia" w:asciiTheme="minorEastAsia" w:hAnsiTheme="minorEastAsia" w:eastAsiaTheme="minorEastAsia"/>
        </w:rPr>
        <w:t>根据</w:t>
      </w:r>
      <w:r>
        <w:rPr>
          <w:rFonts w:hint="eastAsia"/>
        </w:rPr>
        <w:t>进排浆泵的泵送能力</w:t>
      </w:r>
      <w:r>
        <w:rPr>
          <w:rFonts w:hint="eastAsia" w:asciiTheme="minorEastAsia" w:hAnsiTheme="minorEastAsia" w:eastAsiaTheme="minorEastAsia"/>
        </w:rPr>
        <w:t>，</w:t>
      </w:r>
      <w:r>
        <w:rPr>
          <w:rFonts w:hint="eastAsia"/>
        </w:rPr>
        <w:t>在一定距离配备中继泵；</w:t>
      </w:r>
    </w:p>
    <w:p>
      <w:pPr>
        <w:ind w:firstLine="420"/>
      </w:pPr>
      <w:r>
        <w:t xml:space="preserve">5  </w:t>
      </w:r>
      <w:r>
        <w:rPr>
          <w:rFonts w:hint="eastAsia"/>
        </w:rPr>
        <w:t>在粉细砂层掘进时，应</w:t>
      </w:r>
      <w:r>
        <w:rPr>
          <w:rFonts w:hint="eastAsia" w:asciiTheme="minorEastAsia" w:hAnsiTheme="minorEastAsia" w:eastAsiaTheme="minorEastAsia"/>
        </w:rPr>
        <w:t>增加</w:t>
      </w:r>
      <w:r>
        <w:rPr>
          <w:rFonts w:hint="eastAsia"/>
        </w:rPr>
        <w:t>循环泥</w:t>
      </w:r>
      <w:r>
        <w:rPr>
          <w:rFonts w:hint="eastAsia" w:asciiTheme="minorEastAsia" w:hAnsiTheme="minorEastAsia" w:eastAsiaTheme="minorEastAsia"/>
        </w:rPr>
        <w:t>浆</w:t>
      </w:r>
      <w:r>
        <w:rPr>
          <w:rFonts w:hint="eastAsia"/>
        </w:rPr>
        <w:t>的浓度，过滤掉粒径大于20mm的砂砾。</w:t>
      </w:r>
    </w:p>
    <w:p>
      <w:r>
        <w:rPr>
          <w:rFonts w:hint="eastAsia"/>
          <w:b/>
          <w:bCs/>
        </w:rPr>
        <w:t>9</w:t>
      </w:r>
      <w:r>
        <w:rPr>
          <w:b/>
          <w:bCs/>
        </w:rPr>
        <w:t>.</w:t>
      </w:r>
      <w:r>
        <w:rPr>
          <w:rFonts w:hint="eastAsia"/>
          <w:b/>
          <w:bCs/>
        </w:rPr>
        <w:t>6</w:t>
      </w:r>
      <w:r>
        <w:rPr>
          <w:b/>
          <w:bCs/>
        </w:rPr>
        <w:t>.</w:t>
      </w:r>
      <w:r>
        <w:rPr>
          <w:rFonts w:hint="eastAsia"/>
          <w:b/>
          <w:bCs/>
        </w:rPr>
        <w:t>6</w:t>
      </w:r>
      <w:r>
        <w:rPr>
          <w:b/>
          <w:bCs/>
        </w:rPr>
        <w:t xml:space="preserve">  </w:t>
      </w:r>
      <w:r>
        <w:t>管内</w:t>
      </w:r>
      <w:r>
        <w:rPr>
          <w:rFonts w:hint="eastAsia"/>
        </w:rPr>
        <w:t>渣</w:t>
      </w:r>
      <w:r>
        <w:t>土的运输</w:t>
      </w:r>
      <w:r>
        <w:rPr>
          <w:rFonts w:hint="eastAsia"/>
        </w:rPr>
        <w:t>长距离</w:t>
      </w:r>
      <w:r>
        <w:t>宜采用泵送式为主，</w:t>
      </w:r>
      <w:r>
        <w:rPr>
          <w:rFonts w:hint="eastAsia"/>
        </w:rPr>
        <w:t>短距离宜采用</w:t>
      </w:r>
      <w:r>
        <w:t>斗车轨道运输为</w:t>
      </w:r>
      <w:r>
        <w:rPr>
          <w:rFonts w:hint="eastAsia"/>
        </w:rPr>
        <w:t>主</w:t>
      </w:r>
      <w:r>
        <w:t>的方法。</w:t>
      </w:r>
    </w:p>
    <w:p>
      <w:pPr>
        <w:rPr>
          <w:rFonts w:eastAsia="仿宋"/>
          <w:color w:val="0070C0"/>
        </w:rPr>
      </w:pPr>
      <w:r>
        <w:rPr>
          <w:rFonts w:eastAsia="仿宋"/>
          <w:b/>
          <w:bCs/>
        </w:rPr>
        <w:t xml:space="preserve">【条文说明】：9.6.6  </w:t>
      </w:r>
      <w:r>
        <w:rPr>
          <w:rFonts w:eastAsia="仿宋"/>
        </w:rPr>
        <w:t>渣土运输分为管内运输和场内地面运输两种。可参考使用的运土方法有下列几种：土压平衡矩形顶管机由螺旋输送机控制出土，然后通过电瓶车，皮带输送机将弃土运输至始发井，再有垂直运输机械吊至地表，或者采用砂石泵直接从螺旋输送机将弃土泵送至地表。掘进距离较长的可采用砂石泵输送，掘进距离较短的可采用电瓶车运输。</w:t>
      </w:r>
    </w:p>
    <w:p>
      <w:r>
        <w:rPr>
          <w:rFonts w:hint="eastAsia"/>
          <w:b/>
          <w:bCs/>
        </w:rPr>
        <w:t>9</w:t>
      </w:r>
      <w:r>
        <w:rPr>
          <w:b/>
          <w:bCs/>
        </w:rPr>
        <w:t>.</w:t>
      </w:r>
      <w:r>
        <w:rPr>
          <w:rFonts w:hint="eastAsia"/>
          <w:b/>
          <w:bCs/>
        </w:rPr>
        <w:t>6</w:t>
      </w:r>
      <w:r>
        <w:rPr>
          <w:b/>
          <w:bCs/>
        </w:rPr>
        <w:t>.</w:t>
      </w:r>
      <w:r>
        <w:rPr>
          <w:rFonts w:hint="eastAsia"/>
          <w:b/>
          <w:bCs/>
        </w:rPr>
        <w:t>7</w:t>
      </w:r>
      <w:r>
        <w:rPr>
          <w:b/>
          <w:bCs/>
        </w:rPr>
        <w:t xml:space="preserve">  </w:t>
      </w:r>
      <w:r>
        <w:t>运输前的渣土应存放在施工场地内专用的渣土池中，禁止随意排放渣土中的渗水</w:t>
      </w:r>
      <w:r>
        <w:rPr>
          <w:rFonts w:hint="eastAsia"/>
        </w:rPr>
        <w:t>。</w:t>
      </w:r>
    </w:p>
    <w:p>
      <w:r>
        <w:rPr>
          <w:rFonts w:hint="eastAsia"/>
          <w:b/>
          <w:bCs/>
        </w:rPr>
        <w:t>9</w:t>
      </w:r>
      <w:r>
        <w:rPr>
          <w:b/>
          <w:bCs/>
        </w:rPr>
        <w:t>.</w:t>
      </w:r>
      <w:r>
        <w:rPr>
          <w:rFonts w:hint="eastAsia"/>
          <w:b/>
          <w:bCs/>
        </w:rPr>
        <w:t>6</w:t>
      </w:r>
      <w:r>
        <w:rPr>
          <w:b/>
          <w:bCs/>
        </w:rPr>
        <w:t>.</w:t>
      </w:r>
      <w:r>
        <w:rPr>
          <w:rFonts w:hint="eastAsia"/>
          <w:b/>
          <w:bCs/>
        </w:rPr>
        <w:t>8</w:t>
      </w:r>
      <w:r>
        <w:rPr>
          <w:rFonts w:hint="eastAsia"/>
        </w:rPr>
        <w:t xml:space="preserve"> </w:t>
      </w:r>
      <w:r>
        <w:t xml:space="preserve"> 废弃土方集中运至指定的渣土处理中心处理；废弃泥浆通过排污泵和排污管道用汽车外运至政府相关部门指定存放地点。</w:t>
      </w:r>
    </w:p>
    <w:p/>
    <w:p>
      <w:pPr>
        <w:pStyle w:val="3"/>
      </w:pPr>
      <w:bookmarkStart w:id="272" w:name="_Toc5507"/>
      <w:bookmarkStart w:id="273" w:name="_Toc18057078"/>
      <w:r>
        <w:rPr>
          <w:rFonts w:hint="eastAsia"/>
        </w:rPr>
        <w:t>9.</w:t>
      </w:r>
      <w:r>
        <w:t>7</w:t>
      </w:r>
      <w:r>
        <w:rPr>
          <w:rFonts w:hint="eastAsia"/>
        </w:rPr>
        <w:t xml:space="preserve">  测量和姿态控制</w:t>
      </w:r>
      <w:bookmarkEnd w:id="272"/>
      <w:bookmarkEnd w:id="273"/>
    </w:p>
    <w:p>
      <w:r>
        <w:rPr>
          <w:rFonts w:hint="eastAsia"/>
          <w:b/>
          <w:bCs/>
        </w:rPr>
        <w:t>9</w:t>
      </w:r>
      <w:r>
        <w:rPr>
          <w:b/>
          <w:bCs/>
        </w:rPr>
        <w:t>.</w:t>
      </w:r>
      <w:r>
        <w:rPr>
          <w:rFonts w:hint="eastAsia"/>
          <w:b/>
          <w:bCs/>
        </w:rPr>
        <w:t>7</w:t>
      </w:r>
      <w:r>
        <w:rPr>
          <w:b/>
          <w:bCs/>
        </w:rPr>
        <w:t>.</w:t>
      </w:r>
      <w:r>
        <w:rPr>
          <w:rFonts w:hint="eastAsia"/>
          <w:b/>
          <w:bCs/>
        </w:rPr>
        <w:t>1</w:t>
      </w:r>
      <w:r>
        <w:rPr>
          <w:b/>
          <w:bCs/>
        </w:rPr>
        <w:t xml:space="preserve">  </w:t>
      </w:r>
      <w:r>
        <w:t>顶管施工前，应围绕</w:t>
      </w:r>
      <w:r>
        <w:rPr>
          <w:rFonts w:hint="eastAsia"/>
        </w:rPr>
        <w:t>顶管</w:t>
      </w:r>
      <w:r>
        <w:t>设计中线和基坑建立地面、地下测量控制系统</w:t>
      </w:r>
      <w:r>
        <w:rPr>
          <w:rFonts w:hint="eastAsia"/>
        </w:rPr>
        <w:t>。</w:t>
      </w:r>
    </w:p>
    <w:p>
      <w:r>
        <w:rPr>
          <w:rFonts w:hint="eastAsia"/>
          <w:b/>
          <w:bCs/>
        </w:rPr>
        <w:t>9</w:t>
      </w:r>
      <w:r>
        <w:rPr>
          <w:b/>
          <w:bCs/>
        </w:rPr>
        <w:t>.</w:t>
      </w:r>
      <w:r>
        <w:rPr>
          <w:rFonts w:hint="eastAsia"/>
          <w:b/>
          <w:bCs/>
        </w:rPr>
        <w:t>7</w:t>
      </w:r>
      <w:r>
        <w:rPr>
          <w:b/>
          <w:bCs/>
        </w:rPr>
        <w:t>.</w:t>
      </w:r>
      <w:r>
        <w:rPr>
          <w:rFonts w:hint="eastAsia"/>
          <w:b/>
          <w:bCs/>
        </w:rPr>
        <w:t>2</w:t>
      </w:r>
      <w:r>
        <w:rPr>
          <w:b/>
          <w:bCs/>
        </w:rPr>
        <w:t xml:space="preserve">  </w:t>
      </w:r>
      <w:r>
        <w:t>控制点应设在不易扰动、视线清楚、方便校核的位置，并应采取保护措施。</w:t>
      </w:r>
    </w:p>
    <w:p>
      <w:r>
        <w:rPr>
          <w:rFonts w:hint="eastAsia"/>
          <w:b/>
          <w:bCs/>
        </w:rPr>
        <w:t>9</w:t>
      </w:r>
      <w:r>
        <w:rPr>
          <w:b/>
          <w:bCs/>
        </w:rPr>
        <w:t>.</w:t>
      </w:r>
      <w:r>
        <w:rPr>
          <w:rFonts w:hint="eastAsia"/>
          <w:b/>
          <w:bCs/>
        </w:rPr>
        <w:t>7</w:t>
      </w:r>
      <w:r>
        <w:rPr>
          <w:b/>
          <w:bCs/>
        </w:rPr>
        <w:t>.</w:t>
      </w:r>
      <w:r>
        <w:rPr>
          <w:rFonts w:hint="eastAsia"/>
          <w:b/>
          <w:bCs/>
        </w:rPr>
        <w:t>3</w:t>
      </w:r>
      <w:r>
        <w:rPr>
          <w:b/>
          <w:bCs/>
        </w:rPr>
        <w:t xml:space="preserve">  </w:t>
      </w:r>
      <w:r>
        <w:t>测量使用的仪器应经过检查校正，精度应符合现行国家标准。</w:t>
      </w:r>
    </w:p>
    <w:p>
      <w:r>
        <w:rPr>
          <w:rFonts w:hint="eastAsia"/>
          <w:b/>
          <w:bCs/>
        </w:rPr>
        <w:t>9</w:t>
      </w:r>
      <w:r>
        <w:rPr>
          <w:b/>
          <w:bCs/>
        </w:rPr>
        <w:t>.</w:t>
      </w:r>
      <w:r>
        <w:rPr>
          <w:rFonts w:hint="eastAsia"/>
          <w:b/>
          <w:bCs/>
        </w:rPr>
        <w:t>7</w:t>
      </w:r>
      <w:r>
        <w:rPr>
          <w:b/>
          <w:bCs/>
        </w:rPr>
        <w:t>.</w:t>
      </w:r>
      <w:r>
        <w:rPr>
          <w:rFonts w:hint="eastAsia"/>
          <w:b/>
          <w:bCs/>
        </w:rPr>
        <w:t>4</w:t>
      </w:r>
      <w:r>
        <w:rPr>
          <w:b/>
          <w:bCs/>
        </w:rPr>
        <w:t xml:space="preserve">  </w:t>
      </w:r>
      <w:r>
        <w:t>施工中应对掘进方向的</w:t>
      </w:r>
      <w:r>
        <w:rPr>
          <w:rFonts w:hint="eastAsia"/>
        </w:rPr>
        <w:t>高程</w:t>
      </w:r>
      <w:r>
        <w:t>偏差</w:t>
      </w:r>
      <w:r>
        <w:rPr>
          <w:rFonts w:hint="eastAsia"/>
        </w:rPr>
        <w:t>、轴线</w:t>
      </w:r>
      <w:r>
        <w:t>偏差</w:t>
      </w:r>
      <w:r>
        <w:rPr>
          <w:rFonts w:hint="eastAsia"/>
        </w:rPr>
        <w:t>、</w:t>
      </w:r>
      <w:r>
        <w:t>顶管</w:t>
      </w:r>
      <w:r>
        <w:rPr>
          <w:rFonts w:hint="eastAsia"/>
        </w:rPr>
        <w:t>掘</w:t>
      </w:r>
      <w:r>
        <w:t>进的姿态</w:t>
      </w:r>
      <w:r>
        <w:rPr>
          <w:rFonts w:hint="eastAsia"/>
        </w:rPr>
        <w:t>与</w:t>
      </w:r>
      <w:r>
        <w:t>掘进长度</w:t>
      </w:r>
      <w:r>
        <w:rPr>
          <w:rFonts w:hint="eastAsia"/>
        </w:rPr>
        <w:t>等参数</w:t>
      </w:r>
      <w:r>
        <w:t>进行测量：</w:t>
      </w:r>
    </w:p>
    <w:p>
      <w:r>
        <w:rPr>
          <w:rFonts w:hint="eastAsia"/>
          <w:b/>
          <w:bCs/>
        </w:rPr>
        <w:t>9.7</w:t>
      </w:r>
      <w:r>
        <w:rPr>
          <w:b/>
          <w:bCs/>
        </w:rPr>
        <w:t>.</w:t>
      </w:r>
      <w:r>
        <w:rPr>
          <w:rFonts w:hint="eastAsia"/>
          <w:b/>
          <w:bCs/>
        </w:rPr>
        <w:t>5</w:t>
      </w:r>
      <w:r>
        <w:rPr>
          <w:b/>
          <w:bCs/>
        </w:rPr>
        <w:t xml:space="preserve">  </w:t>
      </w:r>
      <w:r>
        <w:t>顶管定向测量应采用激光指向法，必要时应在管内设置测站，采用导线法转站测量</w:t>
      </w:r>
      <w:r>
        <w:rPr>
          <w:rFonts w:hint="eastAsia"/>
        </w:rPr>
        <w:t>。</w:t>
      </w:r>
    </w:p>
    <w:p>
      <w:pPr>
        <w:rPr>
          <w:rFonts w:eastAsia="仿宋"/>
        </w:rPr>
      </w:pPr>
      <w:r>
        <w:rPr>
          <w:rFonts w:eastAsia="仿宋"/>
          <w:b/>
          <w:bCs/>
        </w:rPr>
        <w:t xml:space="preserve">【条文说明】：9.7.5  </w:t>
      </w:r>
      <w:r>
        <w:rPr>
          <w:rFonts w:eastAsia="仿宋"/>
        </w:rPr>
        <w:t>顶管定向测量宜采用下列方法：</w:t>
      </w:r>
    </w:p>
    <w:p>
      <w:pPr>
        <w:ind w:firstLine="480" w:firstLineChars="200"/>
        <w:rPr>
          <w:rFonts w:eastAsia="仿宋"/>
        </w:rPr>
      </w:pPr>
      <w:r>
        <w:rPr>
          <w:rFonts w:eastAsia="仿宋"/>
        </w:rPr>
        <w:t>1  采用全站仪直接传递定向时，全站仪传递采用I级全站仪且传递倾角不应大于30°；</w:t>
      </w:r>
    </w:p>
    <w:p>
      <w:pPr>
        <w:ind w:firstLine="480" w:firstLineChars="200"/>
        <w:rPr>
          <w:rFonts w:eastAsia="仿宋"/>
        </w:rPr>
      </w:pPr>
      <w:r>
        <w:rPr>
          <w:rFonts w:eastAsia="仿宋"/>
        </w:rPr>
        <w:t>2  采用联系三角形定向时，联系三角形的图形应符合相关要求；</w:t>
      </w:r>
    </w:p>
    <w:p>
      <w:pPr>
        <w:ind w:firstLine="480" w:firstLineChars="200"/>
        <w:rPr>
          <w:rFonts w:eastAsia="仿宋"/>
        </w:rPr>
      </w:pPr>
      <w:r>
        <w:rPr>
          <w:rFonts w:eastAsia="仿宋"/>
        </w:rPr>
        <w:t>3  采用铅垂仪投点定向时，铅垂仪的投点精度应得到保证。</w:t>
      </w:r>
    </w:p>
    <w:p>
      <w:r>
        <w:rPr>
          <w:rFonts w:hint="eastAsia"/>
          <w:b/>
          <w:bCs/>
        </w:rPr>
        <w:t>9.7</w:t>
      </w:r>
      <w:r>
        <w:rPr>
          <w:b/>
          <w:bCs/>
        </w:rPr>
        <w:t>.</w:t>
      </w:r>
      <w:r>
        <w:rPr>
          <w:rFonts w:hint="eastAsia"/>
          <w:b/>
          <w:bCs/>
        </w:rPr>
        <w:t>6</w:t>
      </w:r>
      <w:r>
        <w:rPr>
          <w:b/>
          <w:bCs/>
        </w:rPr>
        <w:t xml:space="preserve">  </w:t>
      </w:r>
      <w:r>
        <w:t>顶管高程测量</w:t>
      </w:r>
      <w:r>
        <w:rPr>
          <w:rFonts w:hint="eastAsia"/>
        </w:rPr>
        <w:t>精度应符合下列规定</w:t>
      </w:r>
      <w:r>
        <w:t>：</w:t>
      </w:r>
    </w:p>
    <w:p>
      <w:pPr>
        <w:ind w:firstLine="480" w:firstLineChars="200"/>
      </w:pPr>
      <w:r>
        <w:rPr>
          <w:rFonts w:hint="eastAsia"/>
        </w:rPr>
        <w:t>1</w:t>
      </w:r>
      <w:r>
        <w:t xml:space="preserve">  水准测量，应达到四等水准测量的精度</w:t>
      </w:r>
      <w:r>
        <w:rPr>
          <w:rFonts w:hint="eastAsia"/>
        </w:rPr>
        <w:t>。</w:t>
      </w:r>
    </w:p>
    <w:p>
      <w:pPr>
        <w:ind w:firstLine="480" w:firstLineChars="200"/>
      </w:pPr>
      <w:r>
        <w:rPr>
          <w:rFonts w:hint="eastAsia"/>
        </w:rPr>
        <w:t>2</w:t>
      </w:r>
      <w:r>
        <w:t xml:space="preserve">  水准仪配合吊钢尺，每次应独立观测三测回，每测回均应变动仪器高度，三测回测得井上和井下水准点的高差应小于3mm</w:t>
      </w:r>
      <w:r>
        <w:rPr>
          <w:rFonts w:hint="eastAsia"/>
        </w:rPr>
        <w:t>。</w:t>
      </w:r>
    </w:p>
    <w:p>
      <w:pPr>
        <w:ind w:firstLine="480" w:firstLineChars="200"/>
      </w:pPr>
      <w:r>
        <w:rPr>
          <w:rFonts w:hint="eastAsia"/>
        </w:rPr>
        <w:t>3</w:t>
      </w:r>
      <w:r>
        <w:t xml:space="preserve">  三角高程测量，应达到四等水准测量的精度。</w:t>
      </w:r>
    </w:p>
    <w:p>
      <w:pPr>
        <w:rPr>
          <w:rFonts w:eastAsia="仿宋"/>
        </w:rPr>
      </w:pPr>
      <w:r>
        <w:rPr>
          <w:rFonts w:eastAsia="仿宋"/>
          <w:b/>
          <w:bCs/>
        </w:rPr>
        <w:t xml:space="preserve">【条文说明】：9.7.6  </w:t>
      </w:r>
      <w:r>
        <w:rPr>
          <w:rFonts w:eastAsia="仿宋"/>
        </w:rPr>
        <w:t>工作井竖井时可采用水准仪配合吊钢尺的方法传递高程。</w:t>
      </w:r>
    </w:p>
    <w:p>
      <w:r>
        <w:rPr>
          <w:rFonts w:hint="eastAsia"/>
          <w:b/>
          <w:bCs/>
        </w:rPr>
        <w:t>9.7</w:t>
      </w:r>
      <w:r>
        <w:rPr>
          <w:b/>
          <w:bCs/>
        </w:rPr>
        <w:t>.</w:t>
      </w:r>
      <w:r>
        <w:rPr>
          <w:rFonts w:hint="eastAsia"/>
          <w:b/>
          <w:bCs/>
        </w:rPr>
        <w:t>7</w:t>
      </w:r>
      <w:r>
        <w:rPr>
          <w:b/>
          <w:bCs/>
        </w:rPr>
        <w:t xml:space="preserve">  </w:t>
      </w:r>
      <w:r>
        <w:rPr>
          <w:rFonts w:hint="eastAsia"/>
        </w:rPr>
        <w:t>顶管</w:t>
      </w:r>
      <w:r>
        <w:t>掘进过程中，应遵循“勤测量、勤纠偏、微纠偏”的原则，控制</w:t>
      </w:r>
      <w:r>
        <w:rPr>
          <w:rFonts w:hint="eastAsia"/>
        </w:rPr>
        <w:t>矩形</w:t>
      </w:r>
      <w:r>
        <w:t>顶管机前进方</w:t>
      </w:r>
      <w:r>
        <w:rPr>
          <w:rFonts w:hint="eastAsia"/>
        </w:rPr>
        <w:t>向</w:t>
      </w:r>
      <w:r>
        <w:t>和姿态，并应根据测量结果分析偏差产生的原因和发展趋势，确定纠偏的措施。</w:t>
      </w:r>
    </w:p>
    <w:p>
      <w:r>
        <w:rPr>
          <w:rFonts w:hint="eastAsia"/>
          <w:b/>
          <w:bCs/>
        </w:rPr>
        <w:t>9.7</w:t>
      </w:r>
      <w:r>
        <w:rPr>
          <w:b/>
          <w:bCs/>
        </w:rPr>
        <w:t>.</w:t>
      </w:r>
      <w:r>
        <w:rPr>
          <w:rFonts w:hint="eastAsia"/>
          <w:b/>
          <w:bCs/>
        </w:rPr>
        <w:t>8</w:t>
      </w:r>
      <w:r>
        <w:rPr>
          <w:b/>
          <w:bCs/>
        </w:rPr>
        <w:t xml:space="preserve">  </w:t>
      </w:r>
      <w:r>
        <w:t>顶管</w:t>
      </w:r>
      <w:r>
        <w:rPr>
          <w:rFonts w:hint="eastAsia"/>
        </w:rPr>
        <w:t>掘进</w:t>
      </w:r>
      <w:r>
        <w:t>姿态控制应符合下列规定：</w:t>
      </w:r>
    </w:p>
    <w:p>
      <w:pPr>
        <w:ind w:firstLine="480" w:firstLineChars="200"/>
      </w:pPr>
      <w:r>
        <w:rPr>
          <w:rFonts w:hint="eastAsia"/>
        </w:rPr>
        <w:t>1</w:t>
      </w:r>
      <w:r>
        <w:t xml:space="preserve">  掘进施工过程中应对</w:t>
      </w:r>
      <w:r>
        <w:rPr>
          <w:rFonts w:hint="eastAsia"/>
        </w:rPr>
        <w:t>顶管</w:t>
      </w:r>
      <w:r>
        <w:t>水平轴线</w:t>
      </w:r>
      <w:r>
        <w:rPr>
          <w:rFonts w:hint="eastAsia"/>
        </w:rPr>
        <w:t>、</w:t>
      </w:r>
      <w:r>
        <w:t>高程、</w:t>
      </w:r>
      <w:r>
        <w:rPr>
          <w:rFonts w:hint="eastAsia"/>
        </w:rPr>
        <w:t>偏转、</w:t>
      </w:r>
      <w:r>
        <w:t>顶管机姿态等进行测量，并及时对测量控制基准点进行复核，发生偏差时应及时纠正</w:t>
      </w:r>
      <w:r>
        <w:rPr>
          <w:rFonts w:hint="eastAsia"/>
        </w:rPr>
        <w:t>。</w:t>
      </w:r>
    </w:p>
    <w:p>
      <w:pPr>
        <w:ind w:firstLine="480" w:firstLineChars="200"/>
      </w:pPr>
      <w:r>
        <w:rPr>
          <w:rFonts w:hint="eastAsia"/>
        </w:rPr>
        <w:t>2</w:t>
      </w:r>
      <w:r>
        <w:t xml:space="preserve">  掘</w:t>
      </w:r>
      <w:r>
        <w:rPr>
          <w:rFonts w:hint="eastAsia"/>
        </w:rPr>
        <w:t>进</w:t>
      </w:r>
      <w:r>
        <w:t>结束后应全线复测、绘制管道掘进轨迹图（含高程、方向、顶力曲线），并由施工技术人员检查复核。</w:t>
      </w:r>
    </w:p>
    <w:p>
      <w:pPr>
        <w:ind w:firstLine="480" w:firstLineChars="200"/>
      </w:pPr>
      <w:r>
        <w:rPr>
          <w:rFonts w:hint="eastAsia"/>
        </w:rPr>
        <w:t>3</w:t>
      </w:r>
      <w:r>
        <w:t xml:space="preserve">  </w:t>
      </w:r>
      <w:r>
        <w:rPr>
          <w:rFonts w:hint="eastAsia"/>
        </w:rPr>
        <w:t>长</w:t>
      </w:r>
      <w:r>
        <w:t>距离</w:t>
      </w:r>
      <w:r>
        <w:rPr>
          <w:rFonts w:hint="eastAsia"/>
        </w:rPr>
        <w:t>矩形</w:t>
      </w:r>
      <w:r>
        <w:t>顶管，宜采用计算机辅助导线法（自动测量导向系统）进行测量；在</w:t>
      </w:r>
      <w:r>
        <w:rPr>
          <w:rFonts w:hint="eastAsia"/>
        </w:rPr>
        <w:t>矩形顶管</w:t>
      </w:r>
      <w:r>
        <w:t>内增设中间测站进行常规人工测量时，宜采用少设测站的长导线法，每次测量</w:t>
      </w:r>
      <w:r>
        <w:rPr>
          <w:rFonts w:hint="eastAsia"/>
        </w:rPr>
        <w:t>前</w:t>
      </w:r>
      <w:r>
        <w:t>均应对中间测站进行复核</w:t>
      </w:r>
      <w:r>
        <w:rPr>
          <w:rFonts w:hint="eastAsia"/>
        </w:rPr>
        <w:t>。</w:t>
      </w:r>
    </w:p>
    <w:p>
      <w:r>
        <w:rPr>
          <w:rFonts w:hint="eastAsia"/>
          <w:b/>
          <w:bCs/>
        </w:rPr>
        <w:t>9.7</w:t>
      </w:r>
      <w:r>
        <w:rPr>
          <w:b/>
          <w:bCs/>
        </w:rPr>
        <w:t>.</w:t>
      </w:r>
      <w:r>
        <w:rPr>
          <w:rFonts w:hint="eastAsia"/>
          <w:b/>
          <w:bCs/>
        </w:rPr>
        <w:t>9</w:t>
      </w:r>
      <w:r>
        <w:rPr>
          <w:b/>
          <w:bCs/>
        </w:rPr>
        <w:t xml:space="preserve">  </w:t>
      </w:r>
      <w:r>
        <w:t>顶管</w:t>
      </w:r>
      <w:r>
        <w:rPr>
          <w:rFonts w:hint="eastAsia"/>
        </w:rPr>
        <w:t>掘进过程中防止矩形顶管机扭转应采用下列措施：</w:t>
      </w:r>
    </w:p>
    <w:p>
      <w:pPr>
        <w:ind w:firstLine="470" w:firstLineChars="196"/>
      </w:pPr>
      <w:r>
        <w:rPr>
          <w:rFonts w:hint="eastAsia"/>
        </w:rPr>
        <w:t>1</w:t>
      </w:r>
      <w:r>
        <w:t xml:space="preserve">  </w:t>
      </w:r>
      <w:r>
        <w:rPr>
          <w:rFonts w:hint="eastAsia"/>
        </w:rPr>
        <w:t>应在壳体两侧安装纠扭装置，根据需要将翼板伸出壳体插入土体内，在机头向前推进时，土体在翼板上产生一侧向分力，形成力偶使机头按所需的方向旋转，以达到纠扭目的。</w:t>
      </w:r>
    </w:p>
    <w:p>
      <w:pPr>
        <w:ind w:firstLine="470" w:firstLineChars="196"/>
      </w:pPr>
      <w:r>
        <w:rPr>
          <w:rFonts w:hint="eastAsia"/>
        </w:rPr>
        <w:t>2</w:t>
      </w:r>
      <w:r>
        <w:t xml:space="preserve">  </w:t>
      </w:r>
      <w:r>
        <w:rPr>
          <w:rFonts w:hint="eastAsia"/>
        </w:rPr>
        <w:t>应在壳体上安装压浆管注浆，将浆液分隔成四个区域，根据纠转方向的要求，选择适当的压浆点，使压出的浆液在机头形成力偶，使机头按所需的方向旋转，以达到纠扭目的。</w:t>
      </w:r>
    </w:p>
    <w:p>
      <w:pPr>
        <w:ind w:firstLine="480" w:firstLineChars="200"/>
      </w:pPr>
      <w:r>
        <w:rPr>
          <w:rFonts w:hint="eastAsia"/>
        </w:rPr>
        <w:t>3</w:t>
      </w:r>
      <w:r>
        <w:t xml:space="preserve">  </w:t>
      </w:r>
      <w:r>
        <w:rPr>
          <w:rFonts w:hint="eastAsia"/>
        </w:rPr>
        <w:t>偏差较大时应调整两个矩形刀盘同向旋转，并与机头的扭转方向一致，将产生反向力偶，以控制机头的姿态，达到纠转的目的。</w:t>
      </w:r>
    </w:p>
    <w:p>
      <w:r>
        <w:rPr>
          <w:rFonts w:hint="eastAsia"/>
          <w:b/>
          <w:bCs/>
        </w:rPr>
        <w:t>9.7</w:t>
      </w:r>
      <w:r>
        <w:rPr>
          <w:b/>
          <w:bCs/>
        </w:rPr>
        <w:t>.</w:t>
      </w:r>
      <w:r>
        <w:rPr>
          <w:rFonts w:hint="eastAsia"/>
          <w:b/>
          <w:bCs/>
        </w:rPr>
        <w:t>10</w:t>
      </w:r>
      <w:r>
        <w:rPr>
          <w:b/>
          <w:bCs/>
        </w:rPr>
        <w:t xml:space="preserve">  </w:t>
      </w:r>
      <w:r>
        <w:t>进入接收井前应提前进行</w:t>
      </w:r>
      <w:r>
        <w:rPr>
          <w:rFonts w:hint="eastAsia"/>
        </w:rPr>
        <w:t>矩形</w:t>
      </w:r>
      <w:r>
        <w:t>顶管机位置和姿态测量，并根据进口位置提前进行调整。</w:t>
      </w:r>
    </w:p>
    <w:p>
      <w:r>
        <w:rPr>
          <w:rFonts w:hint="eastAsia"/>
          <w:b/>
          <w:bCs/>
        </w:rPr>
        <w:t>9.7</w:t>
      </w:r>
      <w:r>
        <w:rPr>
          <w:b/>
          <w:bCs/>
        </w:rPr>
        <w:t>.</w:t>
      </w:r>
      <w:r>
        <w:rPr>
          <w:rFonts w:hint="eastAsia"/>
          <w:b/>
          <w:bCs/>
        </w:rPr>
        <w:t>11</w:t>
      </w:r>
      <w:r>
        <w:rPr>
          <w:b/>
          <w:bCs/>
        </w:rPr>
        <w:t xml:space="preserve">  </w:t>
      </w:r>
      <w:r>
        <w:t>在软土层中掘进混凝土管时，为防止管节</w:t>
      </w:r>
      <w:r>
        <w:rPr>
          <w:rFonts w:hint="eastAsia"/>
        </w:rPr>
        <w:t>漂</w:t>
      </w:r>
      <w:r>
        <w:t>移，宜将前3～5节管</w:t>
      </w:r>
      <w:r>
        <w:rPr>
          <w:rFonts w:hint="eastAsia"/>
        </w:rPr>
        <w:t>节</w:t>
      </w:r>
      <w:r>
        <w:t>与</w:t>
      </w:r>
      <w:r>
        <w:rPr>
          <w:rFonts w:hint="eastAsia"/>
        </w:rPr>
        <w:t>矩形</w:t>
      </w:r>
      <w:r>
        <w:t>顶管机联成一体。</w:t>
      </w:r>
    </w:p>
    <w:p>
      <w:r>
        <w:rPr>
          <w:rFonts w:hint="eastAsia"/>
          <w:b/>
          <w:bCs/>
        </w:rPr>
        <w:t>9.7</w:t>
      </w:r>
      <w:r>
        <w:rPr>
          <w:b/>
          <w:bCs/>
        </w:rPr>
        <w:t>.</w:t>
      </w:r>
      <w:r>
        <w:rPr>
          <w:rFonts w:hint="eastAsia"/>
          <w:b/>
          <w:bCs/>
        </w:rPr>
        <w:t>12</w:t>
      </w:r>
      <w:r>
        <w:rPr>
          <w:b/>
          <w:bCs/>
        </w:rPr>
        <w:t xml:space="preserve">  </w:t>
      </w:r>
      <w:r>
        <w:t>顶管施工的测量应符合下列规定：</w:t>
      </w:r>
    </w:p>
    <w:p>
      <w:pPr>
        <w:ind w:firstLine="480" w:firstLineChars="200"/>
      </w:pPr>
      <w:r>
        <w:rPr>
          <w:rFonts w:hint="eastAsia"/>
        </w:rPr>
        <w:t>1</w:t>
      </w:r>
      <w:r>
        <w:t xml:space="preserve">  掘进施工过程中应对</w:t>
      </w:r>
      <w:r>
        <w:rPr>
          <w:rFonts w:hint="eastAsia"/>
        </w:rPr>
        <w:t>顶管</w:t>
      </w:r>
      <w:r>
        <w:t>水平轴线</w:t>
      </w:r>
      <w:r>
        <w:rPr>
          <w:rFonts w:hint="eastAsia"/>
        </w:rPr>
        <w:t>、</w:t>
      </w:r>
      <w:r>
        <w:t>高程、</w:t>
      </w:r>
      <w:r>
        <w:rPr>
          <w:rFonts w:hint="eastAsia"/>
        </w:rPr>
        <w:t>偏转、</w:t>
      </w:r>
      <w:r>
        <w:t>顶管机姿态等进行测量，并及时对测量控制基准点进行复核，发生偏差时应及时纠正</w:t>
      </w:r>
      <w:r>
        <w:rPr>
          <w:rFonts w:hint="eastAsia"/>
        </w:rPr>
        <w:t>。</w:t>
      </w:r>
    </w:p>
    <w:p>
      <w:pPr>
        <w:ind w:firstLine="480" w:firstLineChars="200"/>
      </w:pPr>
      <w:r>
        <w:rPr>
          <w:rFonts w:hint="eastAsia"/>
        </w:rPr>
        <w:t>2</w:t>
      </w:r>
      <w:r>
        <w:t xml:space="preserve">  掘进施工过程中，每次测量前应对井内的测量控制基准点进行复核，发生工作井位移、沉降、变形时应及时对基准点进行调整</w:t>
      </w:r>
      <w:r>
        <w:rPr>
          <w:rFonts w:hint="eastAsia"/>
        </w:rPr>
        <w:t>。</w:t>
      </w:r>
    </w:p>
    <w:p>
      <w:pPr>
        <w:ind w:firstLine="480" w:firstLineChars="200"/>
      </w:pPr>
      <w:r>
        <w:rPr>
          <w:rFonts w:hint="eastAsia"/>
        </w:rPr>
        <w:t>3</w:t>
      </w:r>
      <w:r>
        <w:t xml:space="preserve">  </w:t>
      </w:r>
      <w:r>
        <w:rPr>
          <w:rFonts w:hint="eastAsia"/>
        </w:rPr>
        <w:t>掘进</w:t>
      </w:r>
      <w:r>
        <w:t>测量控制应符合下列规定：</w:t>
      </w:r>
    </w:p>
    <w:p>
      <w:pPr>
        <w:ind w:left="1253" w:leftChars="372" w:hanging="360" w:hangingChars="150"/>
      </w:pPr>
      <w:r>
        <w:rPr>
          <w:rFonts w:hint="eastAsia"/>
        </w:rPr>
        <w:t>1）</w:t>
      </w:r>
      <w:r>
        <w:t>矩形顶管机</w:t>
      </w:r>
      <w:r>
        <w:rPr>
          <w:rFonts w:hint="eastAsia"/>
        </w:rPr>
        <w:t>始发</w:t>
      </w:r>
      <w:r>
        <w:t>前应认真测定顶管机切口的轴线和标高，与洞口数值校核。掘进中原始数据、表格应连续真实填写清楚。</w:t>
      </w:r>
    </w:p>
    <w:p>
      <w:pPr>
        <w:ind w:firstLine="840" w:firstLineChars="350"/>
      </w:pPr>
      <w:r>
        <w:rPr>
          <w:rFonts w:hint="eastAsia"/>
        </w:rPr>
        <w:t>2）</w:t>
      </w:r>
      <w:r>
        <w:t>交接班时应交清测量记录，将仪器对中，并交清管道轨迹和纠偏措施。</w:t>
      </w:r>
    </w:p>
    <w:p>
      <w:pPr>
        <w:ind w:left="1200" w:leftChars="350" w:hanging="360" w:hangingChars="150"/>
      </w:pPr>
      <w:r>
        <w:rPr>
          <w:rFonts w:hint="eastAsia"/>
        </w:rPr>
        <w:t>3）</w:t>
      </w:r>
      <w:r>
        <w:t>顶程结束后应全线复测、绘制管道掘进轨迹图（含高程、方向、顶力曲线），并由施工技术人员检查复核。</w:t>
      </w:r>
    </w:p>
    <w:p>
      <w:pPr>
        <w:ind w:left="1200" w:leftChars="350" w:hanging="360" w:hangingChars="150"/>
      </w:pPr>
      <w:r>
        <w:rPr>
          <w:rFonts w:hint="eastAsia"/>
        </w:rPr>
        <w:t>4）</w:t>
      </w:r>
      <w:r>
        <w:t>在</w:t>
      </w:r>
      <w:r>
        <w:rPr>
          <w:rFonts w:hint="eastAsia"/>
        </w:rPr>
        <w:t>穿越</w:t>
      </w:r>
      <w:r>
        <w:t>道路时，应按建设单位的要求在指定地段进行施工监测</w:t>
      </w:r>
      <w:r>
        <w:rPr>
          <w:rFonts w:hint="eastAsia"/>
        </w:rPr>
        <w:t>点的</w:t>
      </w:r>
      <w:r>
        <w:t>布置，观测掘进过程中地表变形和土体位移情况，以便采取预防措施，避免影响道路正常运行。掘进结束后应绘制施工过程和竣工后的地面变形图。</w:t>
      </w:r>
    </w:p>
    <w:p>
      <w:pPr>
        <w:ind w:firstLine="480" w:firstLineChars="200"/>
      </w:pPr>
      <w:r>
        <w:rPr>
          <w:rFonts w:hint="eastAsia"/>
        </w:rPr>
        <w:t>4</w:t>
      </w:r>
      <w:r>
        <w:t xml:space="preserve">  </w:t>
      </w:r>
      <w:r>
        <w:rPr>
          <w:rFonts w:hint="eastAsia"/>
        </w:rPr>
        <w:t>顶管</w:t>
      </w:r>
      <w:r>
        <w:t>水平轴线和高程测量应符合下列规定：</w:t>
      </w:r>
    </w:p>
    <w:p>
      <w:pPr>
        <w:ind w:left="1253" w:leftChars="372" w:hanging="360" w:hangingChars="150"/>
      </w:pPr>
      <w:r>
        <w:rPr>
          <w:rFonts w:hint="eastAsia"/>
        </w:rPr>
        <w:t>1）</w:t>
      </w:r>
      <w:r>
        <w:t>顶管机</w:t>
      </w:r>
      <w:r>
        <w:rPr>
          <w:rFonts w:hint="eastAsia"/>
        </w:rPr>
        <w:t>始发</w:t>
      </w:r>
      <w:r>
        <w:t>出洞后进入土层时</w:t>
      </w:r>
      <w:r>
        <w:rPr>
          <w:rFonts w:hint="eastAsia"/>
        </w:rPr>
        <w:t>，</w:t>
      </w:r>
      <w:r>
        <w:t>每掘进</w:t>
      </w:r>
      <w:r>
        <w:rPr>
          <w:rFonts w:hint="eastAsia"/>
        </w:rPr>
        <w:t>300mm，测量不应少于1次；正常掘进时，每掘进1000mm，测量不应少于1次。</w:t>
      </w:r>
    </w:p>
    <w:p>
      <w:pPr>
        <w:ind w:firstLine="840" w:firstLineChars="350"/>
      </w:pPr>
      <w:r>
        <w:rPr>
          <w:rFonts w:hint="eastAsia"/>
        </w:rPr>
        <w:t>2）顶管</w:t>
      </w:r>
      <w:r>
        <w:t>机进入接收井前</w:t>
      </w:r>
      <w:r>
        <w:rPr>
          <w:rFonts w:hint="eastAsia"/>
        </w:rPr>
        <w:t>30m应增加测量，每掘进300mm，测量不应少于1次</w:t>
      </w:r>
      <w:r>
        <w:t>。</w:t>
      </w:r>
    </w:p>
    <w:p>
      <w:pPr>
        <w:ind w:left="1200" w:leftChars="350" w:hanging="360" w:hangingChars="150"/>
      </w:pPr>
      <w:r>
        <w:rPr>
          <w:rFonts w:hint="eastAsia"/>
        </w:rPr>
        <w:t>3）每节</w:t>
      </w:r>
      <w:r>
        <w:t>管道掘进结束后</w:t>
      </w:r>
      <w:r>
        <w:rPr>
          <w:rFonts w:hint="eastAsia"/>
        </w:rPr>
        <w:t>，</w:t>
      </w:r>
      <w:r>
        <w:t>应进行复测。</w:t>
      </w:r>
    </w:p>
    <w:p>
      <w:pPr>
        <w:ind w:left="1200" w:leftChars="350" w:hanging="360" w:hangingChars="150"/>
      </w:pPr>
      <w:r>
        <w:rPr>
          <w:rFonts w:hint="eastAsia"/>
        </w:rPr>
        <w:t>4）纠偏量</w:t>
      </w:r>
      <w:r>
        <w:t>较大或频繁纠偏时应增加测量次数。</w:t>
      </w:r>
    </w:p>
    <w:p>
      <w:pPr>
        <w:ind w:firstLine="480" w:firstLineChars="200"/>
      </w:pPr>
      <w:r>
        <w:rPr>
          <w:rFonts w:hint="eastAsia"/>
        </w:rPr>
        <w:t>5</w:t>
      </w:r>
      <w:r>
        <w:t xml:space="preserve">  </w:t>
      </w:r>
      <w:r>
        <w:rPr>
          <w:rFonts w:hint="eastAsia"/>
        </w:rPr>
        <w:t>长</w:t>
      </w:r>
      <w:r>
        <w:t>距离</w:t>
      </w:r>
      <w:r>
        <w:rPr>
          <w:rFonts w:hint="eastAsia"/>
        </w:rPr>
        <w:t>矩形</w:t>
      </w:r>
      <w:r>
        <w:t>顶管宜采用计算机辅助导线法（自动测量导向系统）进行测量；在</w:t>
      </w:r>
      <w:r>
        <w:rPr>
          <w:rFonts w:hint="eastAsia"/>
        </w:rPr>
        <w:t>矩形顶管</w:t>
      </w:r>
      <w:r>
        <w:t>内增设中间测站进行常规人工测量时，宜采用少设测站的长导线法，每次测量</w:t>
      </w:r>
      <w:r>
        <w:rPr>
          <w:rFonts w:hint="eastAsia"/>
        </w:rPr>
        <w:t>前</w:t>
      </w:r>
      <w:r>
        <w:t>均应对中间测站进行复核</w:t>
      </w:r>
      <w:r>
        <w:rPr>
          <w:rFonts w:hint="eastAsia"/>
        </w:rPr>
        <w:t>。</w:t>
      </w:r>
    </w:p>
    <w:p>
      <w:r>
        <w:rPr>
          <w:rFonts w:hint="eastAsia"/>
          <w:b/>
          <w:bCs/>
        </w:rPr>
        <w:t>9.7</w:t>
      </w:r>
      <w:r>
        <w:rPr>
          <w:b/>
          <w:bCs/>
        </w:rPr>
        <w:t>.</w:t>
      </w:r>
      <w:r>
        <w:rPr>
          <w:rFonts w:hint="eastAsia"/>
          <w:b/>
          <w:bCs/>
        </w:rPr>
        <w:t>13</w:t>
      </w:r>
      <w:r>
        <w:rPr>
          <w:b/>
          <w:bCs/>
        </w:rPr>
        <w:t xml:space="preserve">  </w:t>
      </w:r>
      <w:r>
        <w:t>顶管掘进纠偏应符合下列规定：</w:t>
      </w:r>
    </w:p>
    <w:p>
      <w:pPr>
        <w:ind w:firstLine="480" w:firstLineChars="200"/>
      </w:pPr>
      <w:r>
        <w:rPr>
          <w:rFonts w:hint="eastAsia"/>
        </w:rPr>
        <w:t xml:space="preserve">1 </w:t>
      </w:r>
      <w:r>
        <w:t xml:space="preserve"> 掘进过程中应</w:t>
      </w:r>
      <w:r>
        <w:rPr>
          <w:rFonts w:hint="eastAsia"/>
        </w:rPr>
        <w:t>及时</w:t>
      </w:r>
      <w:r>
        <w:t>绘制</w:t>
      </w:r>
      <w:r>
        <w:rPr>
          <w:rFonts w:hint="eastAsia"/>
        </w:rPr>
        <w:t>矩形</w:t>
      </w:r>
      <w:r>
        <w:t>顶管机水平与高程轨迹图、掘进力变化曲线图、管节编号图，随时掌握掘进方向和趋势</w:t>
      </w:r>
      <w:r>
        <w:rPr>
          <w:rFonts w:hint="eastAsia"/>
        </w:rPr>
        <w:t>。</w:t>
      </w:r>
    </w:p>
    <w:p>
      <w:pPr>
        <w:ind w:firstLine="480" w:firstLineChars="200"/>
      </w:pPr>
      <w:r>
        <w:rPr>
          <w:rFonts w:hint="eastAsia"/>
        </w:rPr>
        <w:t>2</w:t>
      </w:r>
      <w:r>
        <w:t xml:space="preserve">  纠偏须在</w:t>
      </w:r>
      <w:r>
        <w:rPr>
          <w:rFonts w:hint="eastAsia"/>
        </w:rPr>
        <w:t>矩形顶管</w:t>
      </w:r>
      <w:r>
        <w:t>推进和刀盘旋转的过程中进行</w:t>
      </w:r>
      <w:r>
        <w:rPr>
          <w:rFonts w:hint="eastAsia"/>
        </w:rPr>
        <w:t>。</w:t>
      </w:r>
    </w:p>
    <w:p>
      <w:pPr>
        <w:ind w:firstLine="480" w:firstLineChars="200"/>
      </w:pPr>
      <w:r>
        <w:rPr>
          <w:rFonts w:hint="eastAsia"/>
        </w:rPr>
        <w:t>3</w:t>
      </w:r>
      <w:r>
        <w:t xml:space="preserve">  严禁一次纠偏操作完成纠偏任务，采用小角度纠偏方式，反复、多次进行纠偏操作，使</w:t>
      </w:r>
      <w:r>
        <w:rPr>
          <w:rFonts w:hint="eastAsia"/>
        </w:rPr>
        <w:t>矩形顶管姿态</w:t>
      </w:r>
      <w:r>
        <w:t>逐渐趋近回归</w:t>
      </w:r>
      <w:r>
        <w:rPr>
          <w:rFonts w:hint="eastAsia"/>
        </w:rPr>
        <w:t>。</w:t>
      </w:r>
    </w:p>
    <w:p>
      <w:pPr>
        <w:ind w:firstLine="480" w:firstLineChars="200"/>
      </w:pPr>
      <w:r>
        <w:rPr>
          <w:rFonts w:hint="eastAsia"/>
        </w:rPr>
        <w:t>4</w:t>
      </w:r>
      <w:r>
        <w:t xml:space="preserve">  纠偏时开挖面土体应保持稳定；采用挖土纠偏方式时，超挖量应符合地层变形控制和施工设计要求</w:t>
      </w:r>
      <w:r>
        <w:rPr>
          <w:rFonts w:hint="eastAsia"/>
        </w:rPr>
        <w:t>。</w:t>
      </w:r>
    </w:p>
    <w:p>
      <w:pPr>
        <w:ind w:firstLine="480" w:firstLineChars="200"/>
      </w:pPr>
      <w:r>
        <w:rPr>
          <w:rFonts w:hint="eastAsia"/>
        </w:rPr>
        <w:t>5</w:t>
      </w:r>
      <w:r>
        <w:t xml:space="preserve">  刀盘式</w:t>
      </w:r>
      <w:r>
        <w:rPr>
          <w:rFonts w:hint="eastAsia"/>
        </w:rPr>
        <w:t>矩形</w:t>
      </w:r>
      <w:r>
        <w:t>顶管机应有纠正顶管机</w:t>
      </w:r>
      <w:r>
        <w:rPr>
          <w:rFonts w:hint="eastAsia"/>
        </w:rPr>
        <w:t>扭</w:t>
      </w:r>
      <w:r>
        <w:t>转</w:t>
      </w:r>
      <w:r>
        <w:rPr>
          <w:rFonts w:hint="eastAsia"/>
        </w:rPr>
        <w:t>的功能</w:t>
      </w:r>
      <w:r>
        <w:t>。</w:t>
      </w:r>
    </w:p>
    <w:p>
      <w:pPr>
        <w:jc w:val="left"/>
        <w:rPr>
          <w:color w:val="0070C0"/>
        </w:rPr>
      </w:pPr>
      <w:r>
        <w:rPr>
          <w:rFonts w:eastAsia="仿宋"/>
          <w:b/>
          <w:bCs/>
        </w:rPr>
        <w:t>【条文说明】：9.7.13</w:t>
      </w:r>
      <w:r>
        <w:rPr>
          <w:rFonts w:eastAsia="仿宋"/>
        </w:rPr>
        <w:t xml:space="preserve">  顶管机的姿态应包括其轴线空间位置、垂直方向倾角、水平方向偏转角、机身自转的转角；纠偏基本纲领：及时纠偏和小角度纠偏；挖土纠偏和调整合力方向的纠偏；刀盘式矩形顶管机纠偏时，可采用调整挖土方法、调整掘进合力方向、改变切削刀盘的转动方向、在管内相对于机头旋转的方向增加配重等措施。</w:t>
      </w:r>
    </w:p>
    <w:p>
      <w:pPr>
        <w:ind w:firstLine="1200" w:firstLineChars="500"/>
      </w:pPr>
    </w:p>
    <w:p>
      <w:pPr>
        <w:pStyle w:val="3"/>
      </w:pPr>
      <w:bookmarkStart w:id="274" w:name="_Toc29435"/>
      <w:bookmarkStart w:id="275" w:name="_Toc18057079"/>
      <w:r>
        <w:rPr>
          <w:rFonts w:hint="eastAsia"/>
        </w:rPr>
        <w:t>9.8</w:t>
      </w:r>
      <w:r>
        <w:t xml:space="preserve">  监测</w:t>
      </w:r>
      <w:r>
        <w:rPr>
          <w:rFonts w:hint="eastAsia"/>
        </w:rPr>
        <w:t>与变形控制</w:t>
      </w:r>
      <w:bookmarkEnd w:id="274"/>
      <w:bookmarkEnd w:id="275"/>
    </w:p>
    <w:p>
      <w:r>
        <w:rPr>
          <w:rFonts w:hint="eastAsia"/>
          <w:b/>
          <w:bCs/>
        </w:rPr>
        <w:t>9.8.1</w:t>
      </w:r>
      <w:r>
        <w:t xml:space="preserve">  </w:t>
      </w:r>
      <w:r>
        <w:rPr>
          <w:rFonts w:hint="eastAsia"/>
        </w:rPr>
        <w:t>通过运用科学合理的监测方法，获取矩形顶管施工过程中重要的监测数据，为顶管的设计和施工提供依据。通过数据反馈，及时调整施工参数，减小对地面、周边建（构）筑物及重要设施的影响；同时监测资料还可作为检验和评价支护结构稳定性的重要依据。</w:t>
      </w:r>
    </w:p>
    <w:p>
      <w:r>
        <w:rPr>
          <w:rFonts w:hint="eastAsia"/>
          <w:b/>
          <w:bCs/>
        </w:rPr>
        <w:t>9.8</w:t>
      </w:r>
      <w:r>
        <w:rPr>
          <w:b/>
          <w:bCs/>
        </w:rPr>
        <w:t>.</w:t>
      </w:r>
      <w:r>
        <w:rPr>
          <w:rFonts w:hint="eastAsia"/>
          <w:b/>
          <w:bCs/>
        </w:rPr>
        <w:t>2</w:t>
      </w:r>
      <w:r>
        <w:rPr>
          <w:b/>
          <w:bCs/>
        </w:rPr>
        <w:t xml:space="preserve">  </w:t>
      </w:r>
      <w:r>
        <w:rPr>
          <w:rFonts w:hint="eastAsia"/>
        </w:rPr>
        <w:t>矩形顶管施工监测应符合下列要求：</w:t>
      </w:r>
    </w:p>
    <w:p>
      <w:pPr>
        <w:tabs>
          <w:tab w:val="left" w:pos="979"/>
        </w:tabs>
        <w:ind w:firstLine="480" w:firstLineChars="200"/>
      </w:pPr>
      <w:r>
        <w:t xml:space="preserve">1  </w:t>
      </w:r>
      <w:r>
        <w:rPr>
          <w:rFonts w:hint="eastAsia"/>
        </w:rPr>
        <w:t>施工监测的范围应包括地上和地下两部分。地上应监测地面沉降、隆起和临近建筑物的竖向位移、水平位移等。地下应监测顶管施工扰动范围内的地下构筑物、地下管线的竖直、水平位移及漏水、漏气等。</w:t>
      </w:r>
    </w:p>
    <w:p>
      <w:pPr>
        <w:ind w:firstLine="480" w:firstLineChars="200"/>
      </w:pPr>
      <w:r>
        <w:rPr>
          <w:rFonts w:hint="eastAsia"/>
        </w:rPr>
        <w:t>2</w:t>
      </w:r>
      <w:r>
        <w:t xml:space="preserve">  施工监测等级按《建筑变形测量规范》JGJ 8中规定和要求，采用二级变形测量级别。</w:t>
      </w:r>
    </w:p>
    <w:p>
      <w:pPr>
        <w:ind w:firstLine="480" w:firstLineChars="200"/>
      </w:pPr>
      <w:r>
        <w:rPr>
          <w:rFonts w:hint="eastAsia"/>
        </w:rPr>
        <w:t>3</w:t>
      </w:r>
      <w:r>
        <w:rPr>
          <w:b/>
          <w:bCs/>
        </w:rPr>
        <w:t xml:space="preserve">  </w:t>
      </w:r>
      <w:r>
        <w:t>监测项目</w:t>
      </w:r>
    </w:p>
    <w:p>
      <w:pPr>
        <w:tabs>
          <w:tab w:val="left" w:pos="709"/>
          <w:tab w:val="left" w:pos="993"/>
        </w:tabs>
        <w:ind w:left="960" w:leftChars="300" w:hanging="240" w:hangingChars="100"/>
      </w:pPr>
      <w:r>
        <w:rPr>
          <w:rFonts w:hint="eastAsia"/>
        </w:rPr>
        <w:t>1）顶管管节结构监测，包括管节应力和外观监测，观察并记录裂缝的生成时间、裂缝的长度及宽度发展状况。</w:t>
      </w:r>
    </w:p>
    <w:p>
      <w:pPr>
        <w:tabs>
          <w:tab w:val="left" w:pos="851"/>
        </w:tabs>
        <w:ind w:left="1080" w:leftChars="300" w:hanging="360" w:hangingChars="150"/>
      </w:pPr>
      <w:r>
        <w:rPr>
          <w:rFonts w:hint="eastAsia"/>
        </w:rPr>
        <w:t>2）工作井支护结构宜采用目测巡视，主要检查支护结构成型质量，支护有无裂缝出现，施工过程中洞口有无涌土、涌砂等。此外，还需对围护墙与工作井顶部的水平和竖向位移、支撑内力等进行监测，并应满足《建筑基坑工程监测技术规范》</w:t>
      </w:r>
      <w:r>
        <w:t>GB 50497</w:t>
      </w:r>
      <w:r>
        <w:rPr>
          <w:rFonts w:hint="eastAsia"/>
        </w:rPr>
        <w:t>要求。</w:t>
      </w:r>
    </w:p>
    <w:p>
      <w:pPr>
        <w:ind w:firstLine="720" w:firstLineChars="300"/>
      </w:pPr>
      <w:r>
        <w:rPr>
          <w:rFonts w:hint="eastAsia"/>
        </w:rPr>
        <w:t>3）对顶管施工影响范围内的地面、路面进行水平及竖向位移监测，并按照国家相关测量标准执行。</w:t>
      </w:r>
    </w:p>
    <w:p>
      <w:pPr>
        <w:ind w:firstLine="720" w:firstLineChars="300"/>
      </w:pPr>
      <w:r>
        <w:rPr>
          <w:rFonts w:hint="eastAsia"/>
        </w:rPr>
        <w:t>4）对邻近建（构）筑物、堤岸及可能引起严重后果的其它重要设施进行监测。</w:t>
      </w:r>
    </w:p>
    <w:p>
      <w:pPr>
        <w:ind w:firstLine="720" w:firstLineChars="300"/>
      </w:pPr>
      <w:r>
        <w:rPr>
          <w:rFonts w:hint="eastAsia"/>
        </w:rPr>
        <w:t>5）对地铁、地下重要管线等的监测应满足相关规范要求。</w:t>
      </w:r>
    </w:p>
    <w:p>
      <w:pPr>
        <w:ind w:firstLine="480" w:firstLineChars="200"/>
      </w:pPr>
      <w:r>
        <w:rPr>
          <w:rFonts w:hint="eastAsia"/>
        </w:rPr>
        <w:t>4</w:t>
      </w:r>
      <w:r>
        <w:rPr>
          <w:b/>
          <w:bCs/>
        </w:rPr>
        <w:t xml:space="preserve">  </w:t>
      </w:r>
      <w:r>
        <w:t>测点</w:t>
      </w:r>
      <w:r>
        <w:rPr>
          <w:rFonts w:hint="eastAsia"/>
        </w:rPr>
        <w:t>布设</w:t>
      </w:r>
    </w:p>
    <w:p>
      <w:pPr>
        <w:ind w:firstLine="480" w:firstLineChars="200"/>
      </w:pPr>
      <w:r>
        <w:rPr>
          <w:rFonts w:hint="eastAsia"/>
        </w:rPr>
        <w:t>1）路面沉降测量点布设：横向应按顶管机刀盘切削面的</w:t>
      </w:r>
      <w:r>
        <w:t>45</w:t>
      </w:r>
      <w:r>
        <w:rPr>
          <w:rFonts w:hint="eastAsia"/>
        </w:rPr>
        <w:t>º角切线延伸到地面的范围进行布点，管道中心线正上方布设一点，</w:t>
      </w:r>
      <w:r>
        <w:t>45</w:t>
      </w:r>
      <w:r>
        <w:rPr>
          <w:rFonts w:hint="eastAsia"/>
        </w:rPr>
        <w:t>º角延伸切线与地平线交叉点布设一点，在其两点中间布设一点，共</w:t>
      </w:r>
      <w:r>
        <w:t>5</w:t>
      </w:r>
      <w:r>
        <w:rPr>
          <w:rFonts w:hint="eastAsia"/>
        </w:rPr>
        <w:t>点为一排监测点。</w:t>
      </w:r>
    </w:p>
    <w:p>
      <w:pPr>
        <w:ind w:left="1080" w:leftChars="300" w:hanging="360" w:hangingChars="150"/>
        <w:jc w:val="center"/>
        <w:rPr>
          <w:color w:val="FF0000"/>
        </w:rPr>
      </w:pPr>
      <w:r>
        <w:rPr>
          <w:rFonts w:hint="eastAsia"/>
          <w:color w:val="FF0000"/>
        </w:rPr>
        <w:drawing>
          <wp:inline distT="0" distB="0" distL="0" distR="0">
            <wp:extent cx="4319905" cy="1734185"/>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a:xfrm>
                      <a:off x="0" y="0"/>
                      <a:ext cx="4319905" cy="1734185"/>
                    </a:xfrm>
                    <a:prstGeom prst="rect">
                      <a:avLst/>
                    </a:prstGeom>
                    <a:noFill/>
                    <a:ln>
                      <a:noFill/>
                    </a:ln>
                  </pic:spPr>
                </pic:pic>
              </a:graphicData>
            </a:graphic>
          </wp:inline>
        </w:drawing>
      </w:r>
    </w:p>
    <w:p>
      <w:pPr>
        <w:jc w:val="center"/>
        <w:rPr>
          <w:b/>
          <w:bCs/>
          <w:kern w:val="0"/>
          <w:sz w:val="21"/>
          <w:szCs w:val="22"/>
        </w:rPr>
      </w:pPr>
      <w:r>
        <w:rPr>
          <w:rFonts w:hint="eastAsia"/>
          <w:b/>
          <w:bCs/>
          <w:kern w:val="0"/>
          <w:sz w:val="21"/>
          <w:szCs w:val="22"/>
        </w:rPr>
        <w:t>图</w:t>
      </w:r>
      <w:r>
        <w:rPr>
          <w:b/>
          <w:bCs/>
          <w:kern w:val="0"/>
          <w:sz w:val="21"/>
          <w:szCs w:val="22"/>
        </w:rPr>
        <w:t xml:space="preserve">9.8.2  </w:t>
      </w:r>
      <w:r>
        <w:rPr>
          <w:rFonts w:hint="eastAsia"/>
          <w:b/>
          <w:bCs/>
          <w:kern w:val="0"/>
          <w:sz w:val="21"/>
          <w:szCs w:val="22"/>
        </w:rPr>
        <w:t>监测点横向布置示意图</w:t>
      </w:r>
    </w:p>
    <w:p>
      <w:pPr>
        <w:ind w:firstLine="480" w:firstLineChars="200"/>
      </w:pPr>
      <w:r>
        <w:rPr>
          <w:rFonts w:hint="eastAsia"/>
        </w:rPr>
        <w:t>2）纵向应按掘进方向在距离始发井</w:t>
      </w:r>
      <w:r>
        <w:t>1m</w:t>
      </w:r>
      <w:r>
        <w:rPr>
          <w:rFonts w:hint="eastAsia"/>
        </w:rPr>
        <w:t>布设一排深度为</w:t>
      </w:r>
      <w:r>
        <w:t>0.5m</w:t>
      </w:r>
      <w:r>
        <w:rPr>
          <w:rFonts w:hint="eastAsia"/>
        </w:rPr>
        <w:t>深、且进入原状土的沉降监测点，按</w:t>
      </w:r>
      <w:r>
        <w:t>2m</w:t>
      </w:r>
      <w:r>
        <w:rPr>
          <w:rFonts w:hint="eastAsia"/>
        </w:rPr>
        <w:t>间距依次往接收井方向布设沉降监测点。</w:t>
      </w:r>
    </w:p>
    <w:p>
      <w:pPr>
        <w:ind w:left="120" w:leftChars="50" w:firstLine="360" w:firstLineChars="150"/>
      </w:pPr>
      <w:r>
        <w:rPr>
          <w:rFonts w:hint="eastAsia"/>
        </w:rPr>
        <w:t>3）掘进施工时，应在顶管机的中部按45º角往前延伸线与监测点交汇时开始监测。</w:t>
      </w:r>
    </w:p>
    <w:p>
      <w:pPr>
        <w:ind w:firstLine="480" w:firstLineChars="200"/>
      </w:pPr>
      <w:r>
        <w:rPr>
          <w:rFonts w:hint="eastAsia"/>
        </w:rPr>
        <w:t>5</w:t>
      </w:r>
      <w:r>
        <w:rPr>
          <w:b/>
          <w:bCs/>
        </w:rPr>
        <w:t xml:space="preserve">  </w:t>
      </w:r>
      <w:r>
        <w:t>变形报警值</w:t>
      </w:r>
      <w:r>
        <w:rPr>
          <w:rFonts w:hint="eastAsia"/>
        </w:rPr>
        <w:t>应</w:t>
      </w:r>
      <w:r>
        <w:t>根据施工等级</w:t>
      </w:r>
      <w:r>
        <w:rPr>
          <w:rFonts w:hint="eastAsia"/>
        </w:rPr>
        <w:t>等</w:t>
      </w:r>
      <w:r>
        <w:t>有关要求执行</w:t>
      </w:r>
      <w:r>
        <w:rPr>
          <w:rFonts w:hint="eastAsia"/>
        </w:rPr>
        <w:t>，</w:t>
      </w:r>
      <w:r>
        <w:t>报警参考值见表</w:t>
      </w:r>
      <w:r>
        <w:rPr>
          <w:rFonts w:hint="eastAsia"/>
        </w:rPr>
        <w:t>9.8</w:t>
      </w:r>
      <w:r>
        <w:t>.2</w:t>
      </w:r>
      <w:r>
        <w:rPr>
          <w:rFonts w:hint="eastAsia"/>
        </w:rPr>
        <w:t>。</w:t>
      </w:r>
    </w:p>
    <w:p>
      <w:pPr>
        <w:spacing w:line="240" w:lineRule="auto"/>
        <w:jc w:val="center"/>
        <w:rPr>
          <w:rFonts w:eastAsiaTheme="minorEastAsia"/>
          <w:b/>
          <w:sz w:val="21"/>
          <w:szCs w:val="18"/>
        </w:rPr>
      </w:pPr>
      <w:r>
        <w:rPr>
          <w:rFonts w:eastAsiaTheme="minorEastAsia"/>
          <w:b/>
          <w:sz w:val="21"/>
          <w:szCs w:val="18"/>
        </w:rPr>
        <w:t>表9.8.2  报警参考值</w:t>
      </w:r>
    </w:p>
    <w:tbl>
      <w:tblPr>
        <w:tblStyle w:val="36"/>
        <w:tblpPr w:leftFromText="91" w:rightFromText="91" w:vertAnchor="text" w:horzAnchor="page" w:tblpXSpec="center" w:tblpY="132"/>
        <w:tblW w:w="8075"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374"/>
        <w:gridCol w:w="2008"/>
        <w:gridCol w:w="26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374" w:type="dxa"/>
            <w:vMerge w:val="restart"/>
            <w:shd w:val="clear" w:color="auto" w:fill="auto"/>
            <w:vAlign w:val="center"/>
          </w:tcPr>
          <w:p>
            <w:pPr>
              <w:widowControl/>
              <w:spacing w:line="240" w:lineRule="auto"/>
              <w:jc w:val="center"/>
              <w:rPr>
                <w:kern w:val="0"/>
                <w:sz w:val="21"/>
                <w:szCs w:val="18"/>
              </w:rPr>
            </w:pPr>
            <w:r>
              <w:rPr>
                <w:kern w:val="0"/>
                <w:sz w:val="21"/>
                <w:szCs w:val="18"/>
              </w:rPr>
              <w:t>项目</w:t>
            </w:r>
          </w:p>
        </w:tc>
        <w:tc>
          <w:tcPr>
            <w:tcW w:w="4701" w:type="dxa"/>
            <w:gridSpan w:val="2"/>
            <w:shd w:val="clear" w:color="auto" w:fill="auto"/>
          </w:tcPr>
          <w:p>
            <w:pPr>
              <w:widowControl/>
              <w:spacing w:line="240" w:lineRule="auto"/>
              <w:jc w:val="center"/>
              <w:rPr>
                <w:kern w:val="0"/>
                <w:sz w:val="21"/>
                <w:szCs w:val="18"/>
              </w:rPr>
            </w:pPr>
            <w:r>
              <w:rPr>
                <w:kern w:val="0"/>
                <w:sz w:val="21"/>
                <w:szCs w:val="18"/>
              </w:rPr>
              <w:t>报警指标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374" w:type="dxa"/>
            <w:vMerge w:val="continue"/>
            <w:shd w:val="clear" w:color="auto" w:fill="auto"/>
          </w:tcPr>
          <w:p>
            <w:pPr>
              <w:widowControl/>
              <w:spacing w:line="240" w:lineRule="auto"/>
              <w:rPr>
                <w:kern w:val="0"/>
                <w:sz w:val="21"/>
                <w:szCs w:val="18"/>
              </w:rPr>
            </w:pPr>
          </w:p>
        </w:tc>
        <w:tc>
          <w:tcPr>
            <w:tcW w:w="2008" w:type="dxa"/>
            <w:shd w:val="clear" w:color="auto" w:fill="auto"/>
          </w:tcPr>
          <w:p>
            <w:pPr>
              <w:widowControl/>
              <w:spacing w:line="240" w:lineRule="auto"/>
              <w:jc w:val="center"/>
              <w:rPr>
                <w:kern w:val="0"/>
                <w:sz w:val="21"/>
                <w:szCs w:val="18"/>
              </w:rPr>
            </w:pPr>
            <w:r>
              <w:rPr>
                <w:kern w:val="0"/>
                <w:sz w:val="21"/>
                <w:szCs w:val="18"/>
              </w:rPr>
              <w:t>日变化量（mm）</w:t>
            </w:r>
          </w:p>
        </w:tc>
        <w:tc>
          <w:tcPr>
            <w:tcW w:w="2693" w:type="dxa"/>
            <w:shd w:val="clear" w:color="auto" w:fill="auto"/>
          </w:tcPr>
          <w:p>
            <w:pPr>
              <w:widowControl/>
              <w:spacing w:line="240" w:lineRule="auto"/>
              <w:jc w:val="center"/>
              <w:rPr>
                <w:kern w:val="0"/>
                <w:sz w:val="21"/>
                <w:szCs w:val="18"/>
              </w:rPr>
            </w:pPr>
            <w:r>
              <w:rPr>
                <w:kern w:val="0"/>
                <w:sz w:val="21"/>
                <w:szCs w:val="18"/>
              </w:rPr>
              <w:t>累计变化量（mm）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374" w:type="dxa"/>
            <w:shd w:val="clear" w:color="auto" w:fill="auto"/>
          </w:tcPr>
          <w:p>
            <w:pPr>
              <w:widowControl/>
              <w:spacing w:line="240" w:lineRule="auto"/>
              <w:rPr>
                <w:kern w:val="0"/>
                <w:sz w:val="21"/>
                <w:szCs w:val="18"/>
              </w:rPr>
            </w:pPr>
            <w:r>
              <w:rPr>
                <w:kern w:val="0"/>
                <w:sz w:val="21"/>
                <w:szCs w:val="18"/>
              </w:rPr>
              <w:t>顶管经过路面水平位移、沉降监测</w:t>
            </w:r>
          </w:p>
        </w:tc>
        <w:tc>
          <w:tcPr>
            <w:tcW w:w="2008" w:type="dxa"/>
            <w:shd w:val="clear" w:color="auto" w:fill="auto"/>
          </w:tcPr>
          <w:p>
            <w:pPr>
              <w:widowControl/>
              <w:spacing w:line="240" w:lineRule="auto"/>
              <w:jc w:val="center"/>
              <w:rPr>
                <w:kern w:val="0"/>
                <w:sz w:val="21"/>
                <w:szCs w:val="18"/>
              </w:rPr>
            </w:pPr>
            <w:r>
              <w:rPr>
                <w:kern w:val="0"/>
                <w:sz w:val="21"/>
                <w:szCs w:val="18"/>
              </w:rPr>
              <w:t>±2</w:t>
            </w:r>
          </w:p>
        </w:tc>
        <w:tc>
          <w:tcPr>
            <w:tcW w:w="2693" w:type="dxa"/>
            <w:shd w:val="clear" w:color="auto" w:fill="auto"/>
          </w:tcPr>
          <w:p>
            <w:pPr>
              <w:widowControl/>
              <w:spacing w:line="240" w:lineRule="auto"/>
              <w:jc w:val="center"/>
              <w:rPr>
                <w:kern w:val="0"/>
                <w:sz w:val="21"/>
                <w:szCs w:val="18"/>
              </w:rPr>
            </w:pPr>
            <w:r>
              <w:rPr>
                <w:kern w:val="0"/>
                <w:sz w:val="21"/>
                <w:szCs w:val="18"/>
              </w:rP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374" w:type="dxa"/>
            <w:shd w:val="clear" w:color="auto" w:fill="auto"/>
          </w:tcPr>
          <w:p>
            <w:pPr>
              <w:widowControl/>
              <w:spacing w:line="240" w:lineRule="auto"/>
              <w:rPr>
                <w:kern w:val="0"/>
                <w:sz w:val="21"/>
                <w:szCs w:val="18"/>
              </w:rPr>
            </w:pPr>
            <w:r>
              <w:rPr>
                <w:kern w:val="0"/>
                <w:sz w:val="21"/>
                <w:szCs w:val="18"/>
              </w:rPr>
              <w:t>周边既有建筑沉降、倾斜监测</w:t>
            </w:r>
          </w:p>
        </w:tc>
        <w:tc>
          <w:tcPr>
            <w:tcW w:w="2008" w:type="dxa"/>
            <w:shd w:val="clear" w:color="auto" w:fill="auto"/>
          </w:tcPr>
          <w:p>
            <w:pPr>
              <w:widowControl/>
              <w:spacing w:line="240" w:lineRule="auto"/>
              <w:jc w:val="center"/>
              <w:rPr>
                <w:kern w:val="0"/>
                <w:sz w:val="21"/>
                <w:szCs w:val="18"/>
              </w:rPr>
            </w:pPr>
            <w:r>
              <w:rPr>
                <w:kern w:val="0"/>
                <w:sz w:val="21"/>
                <w:szCs w:val="18"/>
              </w:rPr>
              <w:t>±3</w:t>
            </w:r>
          </w:p>
        </w:tc>
        <w:tc>
          <w:tcPr>
            <w:tcW w:w="2693" w:type="dxa"/>
            <w:shd w:val="clear" w:color="auto" w:fill="auto"/>
          </w:tcPr>
          <w:p>
            <w:pPr>
              <w:widowControl/>
              <w:spacing w:line="240" w:lineRule="auto"/>
              <w:jc w:val="center"/>
              <w:rPr>
                <w:kern w:val="0"/>
                <w:sz w:val="21"/>
                <w:szCs w:val="18"/>
              </w:rPr>
            </w:pPr>
            <w:r>
              <w:rPr>
                <w:kern w:val="0"/>
                <w:sz w:val="21"/>
                <w:szCs w:val="18"/>
              </w:rPr>
              <w:t>±20</w:t>
            </w:r>
          </w:p>
        </w:tc>
      </w:tr>
    </w:tbl>
    <w:p>
      <w:pPr>
        <w:ind w:firstLine="422" w:firstLineChars="200"/>
        <w:jc w:val="center"/>
        <w:rPr>
          <w:rFonts w:ascii="宋体" w:hAnsi="宋体" w:cs="黑体"/>
          <w:b/>
          <w:sz w:val="21"/>
          <w:szCs w:val="18"/>
        </w:rPr>
      </w:pPr>
    </w:p>
    <w:p>
      <w:pPr>
        <w:ind w:firstLine="360" w:firstLineChars="200"/>
        <w:rPr>
          <w:sz w:val="18"/>
          <w:szCs w:val="18"/>
          <w:highlight w:val="yellow"/>
        </w:rPr>
      </w:pPr>
    </w:p>
    <w:p>
      <w:pPr>
        <w:ind w:firstLine="360" w:firstLineChars="200"/>
        <w:rPr>
          <w:sz w:val="18"/>
          <w:szCs w:val="18"/>
          <w:highlight w:val="yellow"/>
        </w:rPr>
      </w:pPr>
    </w:p>
    <w:p>
      <w:pPr>
        <w:ind w:firstLine="360" w:firstLineChars="200"/>
        <w:rPr>
          <w:sz w:val="18"/>
          <w:szCs w:val="18"/>
          <w:highlight w:val="yellow"/>
        </w:rPr>
      </w:pPr>
    </w:p>
    <w:p>
      <w:pPr>
        <w:ind w:firstLine="360" w:firstLineChars="200"/>
        <w:rPr>
          <w:sz w:val="18"/>
          <w:szCs w:val="18"/>
          <w:highlight w:val="yellow"/>
        </w:rPr>
      </w:pPr>
    </w:p>
    <w:p>
      <w:pPr>
        <w:ind w:firstLine="360" w:firstLineChars="200"/>
        <w:rPr>
          <w:sz w:val="18"/>
          <w:szCs w:val="18"/>
          <w:highlight w:val="yellow"/>
        </w:rPr>
      </w:pPr>
    </w:p>
    <w:p>
      <w:pPr>
        <w:ind w:firstLine="420" w:firstLineChars="200"/>
        <w:rPr>
          <w:sz w:val="21"/>
        </w:rPr>
      </w:pPr>
      <w:r>
        <w:rPr>
          <w:sz w:val="21"/>
        </w:rPr>
        <w:t>注</w:t>
      </w:r>
      <w:r>
        <w:rPr>
          <w:rFonts w:hint="eastAsia"/>
          <w:sz w:val="21"/>
        </w:rPr>
        <w:t>：</w:t>
      </w:r>
      <w:r>
        <w:rPr>
          <w:sz w:val="21"/>
        </w:rPr>
        <w:t>可将以上警戒值的80%作为预警值。</w:t>
      </w:r>
    </w:p>
    <w:p>
      <w:r>
        <w:rPr>
          <w:rFonts w:hint="eastAsia"/>
          <w:b/>
          <w:bCs/>
        </w:rPr>
        <w:t>9.8.3</w:t>
      </w:r>
      <w:r>
        <w:rPr>
          <w:b/>
          <w:bCs/>
        </w:rPr>
        <w:t xml:space="preserve">  </w:t>
      </w:r>
      <w:r>
        <w:rPr>
          <w:rFonts w:hint="eastAsia"/>
        </w:rPr>
        <w:t>顶管机</w:t>
      </w:r>
      <w:r>
        <w:t>掘进中对地层变形的控制应符合下列</w:t>
      </w:r>
      <w:r>
        <w:rPr>
          <w:rFonts w:hint="eastAsia"/>
        </w:rPr>
        <w:t>规定</w:t>
      </w:r>
      <w:r>
        <w:t>：</w:t>
      </w:r>
    </w:p>
    <w:p>
      <w:pPr>
        <w:ind w:firstLine="480" w:firstLineChars="200"/>
      </w:pPr>
      <w:r>
        <w:t>1  进行实时监测和信息化施工，发生偏差应及时纠偏，优化掘进的控制参数，使地层变形最小</w:t>
      </w:r>
      <w:r>
        <w:rPr>
          <w:rFonts w:hint="eastAsia"/>
        </w:rPr>
        <w:t>。</w:t>
      </w:r>
    </w:p>
    <w:p>
      <w:pPr>
        <w:ind w:firstLine="480" w:firstLineChars="200"/>
      </w:pPr>
      <w:r>
        <w:t>2</w:t>
      </w:r>
      <w:r>
        <w:rPr>
          <w:b/>
          <w:bCs/>
        </w:rPr>
        <w:t xml:space="preserve">  </w:t>
      </w:r>
      <w:r>
        <w:t>采用同步注浆和补浆，及时填充管外壁与土体之间的施工间隙，避免</w:t>
      </w:r>
      <w:r>
        <w:rPr>
          <w:rFonts w:hint="eastAsia"/>
        </w:rPr>
        <w:t>顶管</w:t>
      </w:r>
      <w:r>
        <w:t>外壁土体扰动</w:t>
      </w:r>
      <w:r>
        <w:rPr>
          <w:rFonts w:hint="eastAsia"/>
        </w:rPr>
        <w:t>。</w:t>
      </w:r>
    </w:p>
    <w:p>
      <w:pPr>
        <w:ind w:firstLine="480" w:firstLineChars="200"/>
      </w:pPr>
      <w:r>
        <w:t>3  避免管节接口、中继间、工作井洞口及顶管机尾部等部位的水土流失和泥浆渗漏，并确保管节接口端面完好</w:t>
      </w:r>
      <w:r>
        <w:rPr>
          <w:rFonts w:hint="eastAsia"/>
        </w:rPr>
        <w:t>。</w:t>
      </w:r>
    </w:p>
    <w:p>
      <w:pPr>
        <w:ind w:firstLine="480" w:firstLineChars="200"/>
      </w:pPr>
      <w:r>
        <w:t>4  保持开挖量与出土量的平衡</w:t>
      </w:r>
      <w:r>
        <w:rPr>
          <w:rFonts w:hint="eastAsia"/>
        </w:rPr>
        <w:t>。</w:t>
      </w:r>
    </w:p>
    <w:p>
      <w:pPr>
        <w:ind w:firstLine="480" w:firstLineChars="200"/>
      </w:pPr>
      <w:r>
        <w:t>5  通过控制土压、水压平衡力来控制地面变形。</w:t>
      </w:r>
    </w:p>
    <w:p>
      <w:r>
        <w:rPr>
          <w:rFonts w:hint="eastAsia"/>
          <w:b/>
          <w:bCs/>
        </w:rPr>
        <w:t>9.8.4</w:t>
      </w:r>
      <w:r>
        <w:rPr>
          <w:b/>
          <w:bCs/>
        </w:rPr>
        <w:t xml:space="preserve">  </w:t>
      </w:r>
      <w:r>
        <w:t>地面变形应符合下列规定：</w:t>
      </w:r>
    </w:p>
    <w:p>
      <w:pPr>
        <w:ind w:firstLine="480" w:firstLineChars="200"/>
      </w:pPr>
      <w:r>
        <w:t>1</w:t>
      </w:r>
      <w:r>
        <w:rPr>
          <w:b/>
          <w:bCs/>
        </w:rPr>
        <w:t xml:space="preserve">  </w:t>
      </w:r>
      <w:r>
        <w:t>顶管造成的地面变形不应造成道路开裂，大堤及地下设施损坏和渗水</w:t>
      </w:r>
      <w:r>
        <w:rPr>
          <w:rFonts w:hint="eastAsia"/>
        </w:rPr>
        <w:t>。</w:t>
      </w:r>
    </w:p>
    <w:p>
      <w:pPr>
        <w:ind w:firstLine="480" w:firstLineChars="200"/>
      </w:pPr>
      <w:r>
        <w:t>2  顶管造成的地面变形量应符合下列规定：</w:t>
      </w:r>
    </w:p>
    <w:p>
      <w:pPr>
        <w:ind w:firstLine="480" w:firstLineChars="200"/>
      </w:pPr>
      <w:r>
        <w:rPr>
          <w:rFonts w:hint="eastAsia"/>
        </w:rPr>
        <w:t>1）</w:t>
      </w:r>
      <w:r>
        <w:t>土堤宜小于30mm，或根据具体工程要求而定；</w:t>
      </w:r>
    </w:p>
    <w:p>
      <w:pPr>
        <w:ind w:firstLine="480" w:firstLineChars="200"/>
      </w:pPr>
      <w:r>
        <w:rPr>
          <w:rFonts w:hint="eastAsia"/>
        </w:rPr>
        <w:t>2）</w:t>
      </w:r>
      <w:r>
        <w:t>公路宜小于20mm，或根据具体工程要求而定；</w:t>
      </w:r>
    </w:p>
    <w:p>
      <w:pPr>
        <w:ind w:firstLine="480" w:firstLineChars="200"/>
      </w:pPr>
      <w:r>
        <w:rPr>
          <w:rFonts w:hint="eastAsia"/>
        </w:rPr>
        <w:t>3）</w:t>
      </w:r>
      <w:r>
        <w:t>顶管穿越铁路或其它对变形敏感的地下设施时，累计变形量应符合国家相关规定或工程设计要求</w:t>
      </w:r>
      <w:r>
        <w:rPr>
          <w:rFonts w:hint="eastAsia"/>
        </w:rPr>
        <w:t>。</w:t>
      </w:r>
    </w:p>
    <w:p>
      <w:pPr>
        <w:ind w:firstLine="480" w:firstLineChars="200"/>
      </w:pPr>
      <w:r>
        <w:t>3</w:t>
      </w:r>
      <w:r>
        <w:rPr>
          <w:rFonts w:hint="eastAsia"/>
        </w:rPr>
        <w:t xml:space="preserve"> </w:t>
      </w:r>
      <w:r>
        <w:t xml:space="preserve"> 当检测数据达到变形限值</w:t>
      </w:r>
      <w:r>
        <w:rPr>
          <w:rFonts w:hint="eastAsia"/>
        </w:rPr>
        <w:t>80</w:t>
      </w:r>
      <w:r>
        <w:t>%时，应及时报警并适时启动应急事故处理方案。</w:t>
      </w:r>
    </w:p>
    <w:p>
      <w:pPr>
        <w:rPr>
          <w:rFonts w:eastAsia="仿宋"/>
        </w:rPr>
      </w:pPr>
      <w:r>
        <w:rPr>
          <w:rFonts w:eastAsia="仿宋"/>
          <w:b/>
          <w:bCs/>
        </w:rPr>
        <w:t xml:space="preserve">【条文说明】：9.8.4  </w:t>
      </w:r>
      <w:r>
        <w:rPr>
          <w:rFonts w:eastAsia="仿宋"/>
        </w:rPr>
        <w:t>顶管在路面下掘进，如果发生超量出泥的情况，路面不会立刻下沉，如果顶管施工时已经发生较大的坍塌，会使路面下方塌方严重，并产生孔洞。因此在路面下掘进应采取下列措施：</w:t>
      </w:r>
    </w:p>
    <w:p>
      <w:pPr>
        <w:ind w:firstLine="480" w:firstLineChars="200"/>
        <w:rPr>
          <w:rFonts w:eastAsia="仿宋"/>
        </w:rPr>
      </w:pPr>
      <w:r>
        <w:rPr>
          <w:rFonts w:eastAsia="仿宋"/>
        </w:rPr>
        <w:t>1  顶管机的迎面阻力宜取最大值，可将路面转换成等量土体高度计算迎面阻力。</w:t>
      </w:r>
    </w:p>
    <w:p>
      <w:pPr>
        <w:ind w:firstLine="480" w:firstLineChars="200"/>
        <w:rPr>
          <w:rFonts w:eastAsia="仿宋"/>
          <w:b/>
          <w:bCs/>
        </w:rPr>
      </w:pPr>
      <w:r>
        <w:rPr>
          <w:rFonts w:eastAsia="仿宋"/>
        </w:rPr>
        <w:t>2  加强地面沉降监测，严格控制地面下沉。</w:t>
      </w:r>
    </w:p>
    <w:p>
      <w:r>
        <w:rPr>
          <w:rFonts w:hint="eastAsia"/>
          <w:b/>
          <w:bCs/>
        </w:rPr>
        <w:t>9.8.5</w:t>
      </w:r>
      <w:r>
        <w:rPr>
          <w:b/>
          <w:bCs/>
        </w:rPr>
        <w:t xml:space="preserve">  </w:t>
      </w:r>
      <w:r>
        <w:t>地面</w:t>
      </w:r>
      <w:r>
        <w:rPr>
          <w:rFonts w:hint="eastAsia"/>
        </w:rPr>
        <w:t>变形</w:t>
      </w:r>
      <w:r>
        <w:t>控制</w:t>
      </w:r>
      <w:r>
        <w:rPr>
          <w:rFonts w:hint="eastAsia"/>
        </w:rPr>
        <w:t>应符合下列规定</w:t>
      </w:r>
      <w:r>
        <w:t>：</w:t>
      </w:r>
    </w:p>
    <w:p>
      <w:pPr>
        <w:ind w:firstLine="480" w:firstLineChars="200"/>
      </w:pPr>
      <w:r>
        <w:t xml:space="preserve">1  </w:t>
      </w:r>
      <w:r>
        <w:rPr>
          <w:rFonts w:hint="eastAsia"/>
        </w:rPr>
        <w:t>根据监测数据及时调整注浆量与注浆压力。</w:t>
      </w:r>
    </w:p>
    <w:p>
      <w:pPr>
        <w:ind w:firstLine="480" w:firstLineChars="200"/>
      </w:pPr>
      <w:r>
        <w:t>2  要严格遵守操作规程，及时进行测量，避免大</w:t>
      </w:r>
      <w:r>
        <w:rPr>
          <w:rFonts w:hint="eastAsia"/>
        </w:rPr>
        <w:t>幅度</w:t>
      </w:r>
      <w:r>
        <w:t>纠偏</w:t>
      </w:r>
      <w:r>
        <w:rPr>
          <w:rFonts w:hint="eastAsia"/>
        </w:rPr>
        <w:t>。</w:t>
      </w:r>
    </w:p>
    <w:p>
      <w:pPr>
        <w:ind w:firstLine="480" w:firstLineChars="200"/>
      </w:pPr>
      <w:r>
        <w:t>3  严格控制出泥量，不可</w:t>
      </w:r>
      <w:r>
        <w:rPr>
          <w:rFonts w:hint="eastAsia"/>
        </w:rPr>
        <w:t>超出设计出泥量范围。</w:t>
      </w:r>
    </w:p>
    <w:p>
      <w:pPr>
        <w:ind w:firstLine="480" w:firstLineChars="200"/>
      </w:pPr>
      <w:r>
        <w:t>4  在掘进时</w:t>
      </w:r>
      <w:r>
        <w:rPr>
          <w:rFonts w:hint="eastAsia"/>
        </w:rPr>
        <w:t>，</w:t>
      </w:r>
      <w:r>
        <w:t>应加强地面</w:t>
      </w:r>
      <w:r>
        <w:rPr>
          <w:rFonts w:hint="eastAsia"/>
        </w:rPr>
        <w:t>变形</w:t>
      </w:r>
      <w:r>
        <w:t>观测并做好记录</w:t>
      </w:r>
      <w:r>
        <w:rPr>
          <w:rFonts w:hint="eastAsia"/>
        </w:rPr>
        <w:t>。</w:t>
      </w:r>
    </w:p>
    <w:p>
      <w:pPr>
        <w:ind w:firstLine="480" w:firstLineChars="200"/>
      </w:pPr>
      <w:r>
        <w:rPr>
          <w:rFonts w:hint="eastAsia"/>
        </w:rPr>
        <w:t>5</w:t>
      </w:r>
      <w:r>
        <w:t xml:space="preserve">  顶管结束后应采用水泥浆置换减阻泥浆。</w:t>
      </w:r>
    </w:p>
    <w:p>
      <w:pPr>
        <w:ind w:firstLine="480" w:firstLineChars="200"/>
      </w:pPr>
    </w:p>
    <w:p>
      <w:pPr>
        <w:pStyle w:val="3"/>
      </w:pPr>
      <w:bookmarkStart w:id="276" w:name="_Toc18057080"/>
      <w:bookmarkStart w:id="277" w:name="_Toc9144"/>
      <w:r>
        <w:rPr>
          <w:rFonts w:hint="eastAsia"/>
        </w:rPr>
        <w:t xml:space="preserve">9.9 </w:t>
      </w:r>
      <w:r>
        <w:t xml:space="preserve"> </w:t>
      </w:r>
      <w:r>
        <w:rPr>
          <w:rFonts w:hint="eastAsia"/>
        </w:rPr>
        <w:t>顶管机拆解与吊出</w:t>
      </w:r>
      <w:bookmarkEnd w:id="276"/>
      <w:bookmarkEnd w:id="277"/>
    </w:p>
    <w:p>
      <w:pPr>
        <w:rPr>
          <w:rFonts w:ascii="宋体" w:hAnsi="宋体"/>
        </w:rPr>
      </w:pPr>
      <w:r>
        <w:rPr>
          <w:rFonts w:hint="eastAsia"/>
          <w:b/>
          <w:bCs/>
        </w:rPr>
        <w:t>9</w:t>
      </w:r>
      <w:r>
        <w:rPr>
          <w:b/>
          <w:bCs/>
        </w:rPr>
        <w:t>.</w:t>
      </w:r>
      <w:r>
        <w:rPr>
          <w:rFonts w:hint="eastAsia"/>
          <w:b/>
          <w:bCs/>
        </w:rPr>
        <w:t>9</w:t>
      </w:r>
      <w:r>
        <w:rPr>
          <w:b/>
          <w:bCs/>
        </w:rPr>
        <w:t>.1</w:t>
      </w:r>
      <w:r>
        <w:rPr>
          <w:rFonts w:hint="eastAsia" w:ascii="宋体" w:hAnsi="宋体"/>
          <w:b/>
          <w:bCs/>
        </w:rPr>
        <w:t xml:space="preserve"> </w:t>
      </w:r>
      <w:r>
        <w:rPr>
          <w:rFonts w:ascii="宋体" w:hAnsi="宋体"/>
          <w:b/>
          <w:bCs/>
        </w:rPr>
        <w:t xml:space="preserve"> </w:t>
      </w:r>
      <w:r>
        <w:rPr>
          <w:rFonts w:hint="eastAsia" w:ascii="宋体" w:hAnsi="宋体"/>
        </w:rPr>
        <w:t>矩形</w:t>
      </w:r>
      <w:r>
        <w:t>顶管机</w:t>
      </w:r>
      <w:r>
        <w:rPr>
          <w:rFonts w:hint="eastAsia"/>
        </w:rPr>
        <w:t>拆机吊装作业前，应当编制详细拆机方案，并与所有参与拆机、吊装的作业人员做技术交底。</w:t>
      </w:r>
    </w:p>
    <w:p>
      <w:r>
        <w:rPr>
          <w:rFonts w:hint="eastAsia"/>
          <w:b/>
          <w:bCs/>
        </w:rPr>
        <w:t>9</w:t>
      </w:r>
      <w:r>
        <w:rPr>
          <w:b/>
          <w:bCs/>
        </w:rPr>
        <w:t>.</w:t>
      </w:r>
      <w:r>
        <w:rPr>
          <w:rFonts w:hint="eastAsia"/>
          <w:b/>
          <w:bCs/>
        </w:rPr>
        <w:t>9</w:t>
      </w:r>
      <w:r>
        <w:rPr>
          <w:b/>
          <w:bCs/>
        </w:rPr>
        <w:t>.</w:t>
      </w:r>
      <w:r>
        <w:rPr>
          <w:rFonts w:hint="eastAsia"/>
          <w:b/>
          <w:bCs/>
        </w:rPr>
        <w:t xml:space="preserve">2 </w:t>
      </w:r>
      <w:r>
        <w:rPr>
          <w:b/>
          <w:bCs/>
        </w:rPr>
        <w:t xml:space="preserve"> </w:t>
      </w:r>
      <w:r>
        <w:t>顶管机拆卸场地准备应符合下列规定：</w:t>
      </w:r>
    </w:p>
    <w:p>
      <w:pPr>
        <w:ind w:firstLine="480" w:firstLineChars="200"/>
      </w:pPr>
      <w:r>
        <w:t>1  对于井下作业面，应保证</w:t>
      </w:r>
      <w:r>
        <w:rPr>
          <w:rFonts w:hint="eastAsia"/>
        </w:rPr>
        <w:t>具</w:t>
      </w:r>
      <w:r>
        <w:t>有足够的作业空间，接收导轨应按要求准确定位并牢靠固定，导轨不得出现错台、错缝、弯曲等现象</w:t>
      </w:r>
      <w:r>
        <w:rPr>
          <w:rFonts w:hint="eastAsia"/>
        </w:rPr>
        <w:t>，</w:t>
      </w:r>
      <w:r>
        <w:t>并确保接收导轨整体轴线与矩形顶管机轴线对齐。</w:t>
      </w:r>
    </w:p>
    <w:p>
      <w:pPr>
        <w:ind w:firstLine="480" w:firstLineChars="200"/>
      </w:pPr>
      <w:r>
        <w:t>2  对于井上作业面，应保证有足够的地基承载力，同时起吊设备和输送车辆等辅助设备的组装、作业空间应当充裕。</w:t>
      </w:r>
    </w:p>
    <w:p>
      <w:r>
        <w:rPr>
          <w:rFonts w:hint="eastAsia"/>
          <w:b/>
          <w:bCs/>
        </w:rPr>
        <w:t>9</w:t>
      </w:r>
      <w:r>
        <w:rPr>
          <w:b/>
          <w:bCs/>
        </w:rPr>
        <w:t>.</w:t>
      </w:r>
      <w:r>
        <w:rPr>
          <w:rFonts w:hint="eastAsia"/>
          <w:b/>
          <w:bCs/>
        </w:rPr>
        <w:t>9</w:t>
      </w:r>
      <w:r>
        <w:rPr>
          <w:b/>
          <w:bCs/>
        </w:rPr>
        <w:t>.</w:t>
      </w:r>
      <w:r>
        <w:rPr>
          <w:rFonts w:hint="eastAsia"/>
          <w:b/>
          <w:bCs/>
        </w:rPr>
        <w:t xml:space="preserve">3 </w:t>
      </w:r>
      <w:r>
        <w:rPr>
          <w:b/>
          <w:bCs/>
        </w:rPr>
        <w:t xml:space="preserve"> </w:t>
      </w:r>
      <w:r>
        <w:t>顶管机</w:t>
      </w:r>
      <w:r>
        <w:rPr>
          <w:rFonts w:hint="eastAsia"/>
        </w:rPr>
        <w:t>拆机</w:t>
      </w:r>
      <w:r>
        <w:t>应符合下列规定：</w:t>
      </w:r>
    </w:p>
    <w:p>
      <w:pPr>
        <w:ind w:firstLine="480" w:firstLineChars="200"/>
      </w:pPr>
      <w:r>
        <w:rPr>
          <w:rFonts w:hint="eastAsia"/>
        </w:rPr>
        <w:t>1</w:t>
      </w:r>
      <w:r>
        <w:t xml:space="preserve"> </w:t>
      </w:r>
      <w:r>
        <w:rPr>
          <w:rFonts w:hint="eastAsia"/>
        </w:rPr>
        <w:t xml:space="preserve"> 顶管机拆机前应进行清洁，并对各机械部件及电气、流体、液压管路做好</w:t>
      </w:r>
      <w:r>
        <w:rPr>
          <w:rFonts w:hint="eastAsia" w:ascii="宋体" w:hAnsi="宋体"/>
        </w:rPr>
        <w:t>标识</w:t>
      </w:r>
      <w:r>
        <w:rPr>
          <w:rFonts w:hint="eastAsia"/>
        </w:rPr>
        <w:t>。</w:t>
      </w:r>
    </w:p>
    <w:p>
      <w:pPr>
        <w:ind w:firstLine="480" w:firstLineChars="200"/>
      </w:pPr>
      <w:r>
        <w:rPr>
          <w:rFonts w:hint="eastAsia"/>
        </w:rPr>
        <w:t>2</w:t>
      </w:r>
      <w:r>
        <w:t xml:space="preserve">  </w:t>
      </w:r>
      <w:r>
        <w:rPr>
          <w:rFonts w:hint="eastAsia"/>
        </w:rPr>
        <w:t>顶管机拆机</w:t>
      </w:r>
      <w:r>
        <w:t>应本着由前向后、先</w:t>
      </w:r>
      <w:r>
        <w:rPr>
          <w:rFonts w:hint="eastAsia"/>
        </w:rPr>
        <w:t>上</w:t>
      </w:r>
      <w:r>
        <w:t>后</w:t>
      </w:r>
      <w:r>
        <w:rPr>
          <w:rFonts w:hint="eastAsia"/>
        </w:rPr>
        <w:t>下</w:t>
      </w:r>
      <w:r>
        <w:t>、先机械后液压电气的原则。</w:t>
      </w:r>
    </w:p>
    <w:p>
      <w:pPr>
        <w:ind w:firstLine="480" w:firstLineChars="200"/>
      </w:pPr>
      <w:r>
        <w:rPr>
          <w:rFonts w:hint="eastAsia"/>
        </w:rPr>
        <w:t>3</w:t>
      </w:r>
      <w:r>
        <w:t xml:space="preserve"> </w:t>
      </w:r>
      <w:r>
        <w:rPr>
          <w:rFonts w:hint="eastAsia"/>
        </w:rPr>
        <w:t xml:space="preserve"> 拆除刀盘、螺旋输送机等系统后，顶管机各连接部位应清洁干净并涂抹防锈油。</w:t>
      </w:r>
    </w:p>
    <w:p>
      <w:pPr>
        <w:ind w:firstLine="480" w:firstLineChars="200"/>
      </w:pPr>
      <w:r>
        <w:rPr>
          <w:rFonts w:hint="eastAsia"/>
        </w:rPr>
        <w:t xml:space="preserve">4 </w:t>
      </w:r>
      <w:r>
        <w:t xml:space="preserve"> </w:t>
      </w:r>
      <w:r>
        <w:rPr>
          <w:rFonts w:hint="eastAsia"/>
        </w:rPr>
        <w:t>对液压系统（阀、软管、油缸等）拆卸前应确定液压系统处于无压状态，拆除过程中为避免污染油液，应保持液压元器件周边的清洁。</w:t>
      </w:r>
    </w:p>
    <w:p>
      <w:pPr>
        <w:ind w:firstLine="480" w:firstLineChars="200"/>
      </w:pPr>
      <w:r>
        <w:rPr>
          <w:rFonts w:hint="eastAsia"/>
        </w:rPr>
        <w:t>5</w:t>
      </w:r>
      <w:r>
        <w:t xml:space="preserve">  </w:t>
      </w:r>
      <w:r>
        <w:rPr>
          <w:rFonts w:hint="eastAsia"/>
        </w:rPr>
        <w:t>拆除电气系统前，应确认电源已关闭，并安排专人防护，以防止被其他人员误启动。</w:t>
      </w:r>
    </w:p>
    <w:p>
      <w:pPr>
        <w:rPr>
          <w:rFonts w:eastAsia="仿宋"/>
          <w:b/>
        </w:rPr>
      </w:pPr>
      <w:r>
        <w:rPr>
          <w:rFonts w:eastAsia="仿宋"/>
          <w:b/>
          <w:bCs/>
        </w:rPr>
        <w:t xml:space="preserve">【条文说明】：9.9.3 第2条  </w:t>
      </w:r>
      <w:r>
        <w:rPr>
          <w:rFonts w:eastAsia="仿宋"/>
        </w:rPr>
        <w:t>本条款补充说明下列：</w:t>
      </w:r>
    </w:p>
    <w:p>
      <w:pPr>
        <w:ind w:firstLine="480" w:firstLineChars="200"/>
        <w:rPr>
          <w:rFonts w:eastAsia="仿宋"/>
        </w:rPr>
      </w:pPr>
      <w:r>
        <w:rPr>
          <w:rFonts w:eastAsia="仿宋"/>
        </w:rPr>
        <w:t>1  拆机过程中严禁踩踏扳动传感器、仪表、电磁阀、液压缸等易损部件。</w:t>
      </w:r>
    </w:p>
    <w:p>
      <w:pPr>
        <w:ind w:firstLine="480" w:firstLineChars="200"/>
        <w:rPr>
          <w:rFonts w:eastAsia="仿宋"/>
        </w:rPr>
      </w:pPr>
      <w:r>
        <w:rPr>
          <w:rFonts w:eastAsia="仿宋"/>
        </w:rPr>
        <w:t>2  常规矩形顶管机主机一般拆机步骤为：拆除刀盘→拆除螺旋输送机→通过纠偏液压缸将前盾与尾盾分离→拆除前盾→通过出洞液压缸将尾盾与管节分离→拆除尾盾。</w:t>
      </w:r>
    </w:p>
    <w:p>
      <w:pPr>
        <w:ind w:firstLine="480" w:firstLineChars="200"/>
        <w:rPr>
          <w:rFonts w:eastAsia="仿宋"/>
        </w:rPr>
      </w:pPr>
      <w:r>
        <w:rPr>
          <w:rFonts w:eastAsia="仿宋"/>
        </w:rPr>
        <w:t>3  采用多刀盘的矩形顶管机开挖系统拆除：按先前再后、先上再下、先中间再两边的顺序拆除刀盘。</w:t>
      </w:r>
    </w:p>
    <w:p>
      <w:pPr>
        <w:ind w:firstLine="480" w:firstLineChars="200"/>
      </w:pPr>
      <w:r>
        <w:rPr>
          <w:rFonts w:eastAsia="仿宋"/>
        </w:rPr>
        <w:t>4  前盾与尾盾脱离，不能直接依靠吊车起吊，应先将前盾与尾盾脱离后方可起吊。</w:t>
      </w:r>
    </w:p>
    <w:p>
      <w:r>
        <w:rPr>
          <w:rFonts w:hint="eastAsia"/>
          <w:b/>
          <w:bCs/>
        </w:rPr>
        <w:t>9</w:t>
      </w:r>
      <w:r>
        <w:rPr>
          <w:b/>
          <w:bCs/>
        </w:rPr>
        <w:t>.</w:t>
      </w:r>
      <w:r>
        <w:rPr>
          <w:rFonts w:hint="eastAsia"/>
          <w:b/>
          <w:bCs/>
        </w:rPr>
        <w:t>9</w:t>
      </w:r>
      <w:r>
        <w:rPr>
          <w:b/>
          <w:bCs/>
        </w:rPr>
        <w:t>.</w:t>
      </w:r>
      <w:r>
        <w:rPr>
          <w:rFonts w:hint="eastAsia"/>
          <w:b/>
          <w:bCs/>
        </w:rPr>
        <w:t xml:space="preserve">4 </w:t>
      </w:r>
      <w:r>
        <w:rPr>
          <w:b/>
          <w:bCs/>
        </w:rPr>
        <w:t xml:space="preserve"> </w:t>
      </w:r>
      <w:r>
        <w:rPr>
          <w:rFonts w:hint="eastAsia"/>
        </w:rPr>
        <w:t>各部件起吊前，应对起吊装置检查、安装，临时焊接的吊耳应按设计要求对焊缝进行探伤</w:t>
      </w:r>
      <w:r>
        <w:t>。</w:t>
      </w:r>
    </w:p>
    <w:p>
      <w:r>
        <w:rPr>
          <w:rFonts w:hint="eastAsia"/>
          <w:b/>
          <w:bCs/>
        </w:rPr>
        <w:t>9</w:t>
      </w:r>
      <w:r>
        <w:rPr>
          <w:b/>
          <w:bCs/>
        </w:rPr>
        <w:t>.9.</w:t>
      </w:r>
      <w:r>
        <w:rPr>
          <w:rFonts w:hint="eastAsia"/>
          <w:b/>
          <w:bCs/>
        </w:rPr>
        <w:t>5</w:t>
      </w:r>
      <w:r>
        <w:rPr>
          <w:b/>
          <w:bCs/>
        </w:rPr>
        <w:t xml:space="preserve">  </w:t>
      </w:r>
      <w:r>
        <w:rPr>
          <w:rFonts w:hint="eastAsia"/>
        </w:rPr>
        <w:t>矩形</w:t>
      </w:r>
      <w:r>
        <w:t>顶管机拆解与吊出</w:t>
      </w:r>
      <w:r>
        <w:rPr>
          <w:rFonts w:hint="eastAsia"/>
        </w:rPr>
        <w:t>应符合下列规定</w:t>
      </w:r>
      <w:r>
        <w:t>：</w:t>
      </w:r>
    </w:p>
    <w:p>
      <w:pPr>
        <w:ind w:firstLine="480" w:firstLineChars="200"/>
      </w:pPr>
      <w:r>
        <w:rPr>
          <w:rFonts w:hint="eastAsia"/>
        </w:rPr>
        <w:t>1</w:t>
      </w:r>
      <w:r>
        <w:t xml:space="preserve">  </w:t>
      </w:r>
      <w:r>
        <w:rPr>
          <w:rFonts w:hint="eastAsia"/>
        </w:rPr>
        <w:t>矩形</w:t>
      </w:r>
      <w:r>
        <w:t>顶管机到达接收井</w:t>
      </w:r>
      <w:r>
        <w:rPr>
          <w:rFonts w:hint="eastAsia"/>
        </w:rPr>
        <w:t>后</w:t>
      </w:r>
      <w:r>
        <w:t>进行顶管机拆解、吊出的顺序依次为刀盘、螺旋输送机</w:t>
      </w:r>
      <w:r>
        <w:rPr>
          <w:rFonts w:hint="eastAsia"/>
        </w:rPr>
        <w:t>、动力系统、前壳</w:t>
      </w:r>
      <w:r>
        <w:t>体上分体、前壳体下分体、中后壳体及其它部件。</w:t>
      </w:r>
    </w:p>
    <w:p>
      <w:pPr>
        <w:ind w:firstLine="480" w:firstLineChars="200"/>
      </w:pPr>
      <w:r>
        <w:rPr>
          <w:rFonts w:hint="eastAsia"/>
        </w:rPr>
        <w:t>2</w:t>
      </w:r>
      <w:r>
        <w:t xml:space="preserve">  拆解完成后</w:t>
      </w:r>
      <w:r>
        <w:rPr>
          <w:rFonts w:hint="eastAsia"/>
        </w:rPr>
        <w:t>应</w:t>
      </w:r>
      <w:r>
        <w:t>立即装车，采用大型液压平板拖车转运，运输前对运输线路进行实地考察。运输过程中，确保每个部件固定可靠，并做充分的防护措施。</w:t>
      </w:r>
    </w:p>
    <w:p>
      <w:pPr>
        <w:ind w:firstLine="480" w:firstLineChars="200"/>
        <w:rPr>
          <w:rFonts w:asciiTheme="minorEastAsia" w:hAnsiTheme="minorEastAsia" w:eastAsiaTheme="minorEastAsia"/>
        </w:rPr>
      </w:pPr>
      <w:r>
        <w:rPr>
          <w:rFonts w:hint="eastAsia" w:eastAsiaTheme="minorEastAsia"/>
        </w:rPr>
        <w:t>3</w:t>
      </w:r>
      <w:r>
        <w:rPr>
          <w:rFonts w:eastAsiaTheme="minorEastAsia"/>
        </w:rPr>
        <w:t xml:space="preserve">  </w:t>
      </w:r>
      <w:r>
        <w:t>顶管机在</w:t>
      </w:r>
      <w:r>
        <w:rPr>
          <w:rFonts w:hint="eastAsia" w:asciiTheme="minorEastAsia" w:hAnsiTheme="minorEastAsia" w:eastAsiaTheme="minorEastAsia"/>
        </w:rPr>
        <w:t>拆解</w:t>
      </w:r>
      <w:r>
        <w:rPr>
          <w:rFonts w:hint="eastAsia"/>
        </w:rPr>
        <w:t>过程中做好零部件的保护性措施</w:t>
      </w:r>
      <w:r>
        <w:rPr>
          <w:rFonts w:hint="eastAsia" w:asciiTheme="minorEastAsia" w:hAnsiTheme="minorEastAsia" w:eastAsiaTheme="minorEastAsia"/>
        </w:rPr>
        <w:t>，</w:t>
      </w:r>
      <w:r>
        <w:rPr>
          <w:rFonts w:hint="eastAsia"/>
        </w:rPr>
        <w:t>拆除完成后做好防腐防潮措施</w:t>
      </w:r>
      <w:r>
        <w:rPr>
          <w:rFonts w:hint="eastAsia" w:asciiTheme="minorEastAsia" w:hAnsiTheme="minorEastAsia" w:eastAsiaTheme="minorEastAsia"/>
        </w:rPr>
        <w:t>。</w:t>
      </w:r>
    </w:p>
    <w:p>
      <w:pPr>
        <w:rPr>
          <w:rFonts w:eastAsia="仿宋"/>
        </w:rPr>
      </w:pPr>
      <w:r>
        <w:rPr>
          <w:rFonts w:eastAsia="仿宋"/>
          <w:b/>
          <w:bCs/>
        </w:rPr>
        <w:t xml:space="preserve">【条文说明】：9.9.5  </w:t>
      </w:r>
      <w:r>
        <w:rPr>
          <w:rFonts w:eastAsia="仿宋"/>
        </w:rPr>
        <w:t>矩形顶管机的拆解与吊装应根据场地大小、构件重量大小、吊装费用等因素综合考虑选择性能匹配的吊装机械。</w:t>
      </w:r>
    </w:p>
    <w:p>
      <w:pPr>
        <w:ind w:firstLine="480" w:firstLineChars="200"/>
        <w:rPr>
          <w:rFonts w:ascii="仿宋" w:hAnsi="仿宋" w:eastAsia="仿宋"/>
        </w:rPr>
      </w:pPr>
    </w:p>
    <w:p>
      <w:pPr>
        <w:pStyle w:val="3"/>
      </w:pPr>
      <w:bookmarkStart w:id="278" w:name="_Toc18057081"/>
      <w:bookmarkStart w:id="279" w:name="_Toc32645"/>
      <w:r>
        <w:rPr>
          <w:rFonts w:hint="eastAsia"/>
        </w:rPr>
        <w:t>9.10</w:t>
      </w:r>
      <w:r>
        <w:t xml:space="preserve">  </w:t>
      </w:r>
      <w:r>
        <w:rPr>
          <w:rFonts w:hint="eastAsia"/>
        </w:rPr>
        <w:t>质量控制</w:t>
      </w:r>
      <w:bookmarkEnd w:id="278"/>
      <w:bookmarkEnd w:id="279"/>
    </w:p>
    <w:p>
      <w:pPr>
        <w:jc w:val="center"/>
        <w:rPr>
          <w:b/>
          <w:bCs/>
        </w:rPr>
      </w:pPr>
      <w:r>
        <w:rPr>
          <w:rFonts w:hint="eastAsia"/>
          <w:b/>
          <w:bCs/>
        </w:rPr>
        <w:t>主控项目</w:t>
      </w:r>
    </w:p>
    <w:p>
      <w:pPr>
        <w:rPr>
          <w:bCs/>
        </w:rPr>
      </w:pPr>
      <w:r>
        <w:rPr>
          <w:rFonts w:hint="eastAsia"/>
          <w:b/>
          <w:bCs/>
        </w:rPr>
        <w:t>9.10.1</w:t>
      </w:r>
      <w:r>
        <w:rPr>
          <w:rFonts w:hint="eastAsia"/>
          <w:bCs/>
        </w:rPr>
        <w:t xml:space="preserve"> </w:t>
      </w:r>
      <w:r>
        <w:rPr>
          <w:bCs/>
        </w:rPr>
        <w:t xml:space="preserve"> </w:t>
      </w:r>
      <w:r>
        <w:rPr>
          <w:rFonts w:hint="eastAsia"/>
          <w:bCs/>
        </w:rPr>
        <w:t>管节及附件等工程材料的产品质量应符合设计和本规程第6章以及现行国家标准的有关规定。</w:t>
      </w:r>
    </w:p>
    <w:p>
      <w:pPr>
        <w:ind w:firstLine="480" w:firstLineChars="200"/>
        <w:rPr>
          <w:bCs/>
        </w:rPr>
      </w:pPr>
      <w:r>
        <w:rPr>
          <w:bCs/>
        </w:rPr>
        <w:t>检查方法：检查产品质量合格证明书、各项性能检验报告，检查产品制造原材料质量保证资料；检查产品进场验收记录。</w:t>
      </w:r>
    </w:p>
    <w:p>
      <w:pPr>
        <w:rPr>
          <w:bCs/>
        </w:rPr>
      </w:pPr>
      <w:r>
        <w:rPr>
          <w:rFonts w:hint="eastAsia"/>
          <w:b/>
        </w:rPr>
        <w:t>9</w:t>
      </w:r>
      <w:r>
        <w:rPr>
          <w:b/>
        </w:rPr>
        <w:t xml:space="preserve">.10.2 </w:t>
      </w:r>
      <w:r>
        <w:rPr>
          <w:bCs/>
        </w:rPr>
        <w:t xml:space="preserve"> </w:t>
      </w:r>
      <w:r>
        <w:rPr>
          <w:rFonts w:hint="eastAsia"/>
          <w:bCs/>
        </w:rPr>
        <w:t>接口橡胶圈安装位置正确，无位移、脱落现象；</w:t>
      </w:r>
    </w:p>
    <w:p>
      <w:pPr>
        <w:ind w:firstLine="480" w:firstLineChars="200"/>
        <w:rPr>
          <w:bCs/>
        </w:rPr>
      </w:pPr>
      <w:r>
        <w:rPr>
          <w:bCs/>
        </w:rPr>
        <w:t>检查方法：逐个接口观察。</w:t>
      </w:r>
    </w:p>
    <w:p>
      <w:pPr>
        <w:rPr>
          <w:bCs/>
        </w:rPr>
      </w:pPr>
      <w:r>
        <w:rPr>
          <w:rFonts w:hint="eastAsia"/>
          <w:b/>
        </w:rPr>
        <w:t>9</w:t>
      </w:r>
      <w:r>
        <w:rPr>
          <w:b/>
        </w:rPr>
        <w:t xml:space="preserve">.10.3  </w:t>
      </w:r>
      <w:r>
        <w:rPr>
          <w:rFonts w:hint="eastAsia"/>
          <w:bCs/>
        </w:rPr>
        <w:t>管节及其</w:t>
      </w:r>
      <w:r>
        <w:rPr>
          <w:bCs/>
        </w:rPr>
        <w:t>接口应</w:t>
      </w:r>
      <w:r>
        <w:rPr>
          <w:rFonts w:hint="eastAsia"/>
          <w:bCs/>
        </w:rPr>
        <w:t>无破损、</w:t>
      </w:r>
      <w:r>
        <w:rPr>
          <w:bCs/>
        </w:rPr>
        <w:t>无裂缝</w:t>
      </w:r>
      <w:r>
        <w:rPr>
          <w:rFonts w:hint="eastAsia"/>
          <w:bCs/>
        </w:rPr>
        <w:t>；</w:t>
      </w:r>
    </w:p>
    <w:p>
      <w:pPr>
        <w:ind w:firstLine="480" w:firstLineChars="200"/>
        <w:rPr>
          <w:bCs/>
        </w:rPr>
      </w:pPr>
      <w:r>
        <w:rPr>
          <w:rFonts w:hint="eastAsia"/>
          <w:bCs/>
        </w:rPr>
        <w:t>检查方法：逐节观察。</w:t>
      </w:r>
    </w:p>
    <w:p>
      <w:pPr>
        <w:rPr>
          <w:bCs/>
        </w:rPr>
      </w:pPr>
      <w:r>
        <w:rPr>
          <w:rFonts w:hint="eastAsia"/>
          <w:b/>
        </w:rPr>
        <w:t>9</w:t>
      </w:r>
      <w:r>
        <w:rPr>
          <w:b/>
        </w:rPr>
        <w:t>.10.4</w:t>
      </w:r>
      <w:r>
        <w:rPr>
          <w:bCs/>
        </w:rPr>
        <w:t xml:space="preserve">  </w:t>
      </w:r>
      <w:r>
        <w:rPr>
          <w:rFonts w:hint="eastAsia"/>
          <w:bCs/>
        </w:rPr>
        <w:t>矩形顶管的隧道应无水珠、滴漏、线流。</w:t>
      </w:r>
    </w:p>
    <w:p>
      <w:pPr>
        <w:ind w:firstLine="480" w:firstLineChars="200"/>
        <w:rPr>
          <w:bCs/>
        </w:rPr>
      </w:pPr>
      <w:r>
        <w:rPr>
          <w:rFonts w:hint="eastAsia"/>
          <w:bCs/>
        </w:rPr>
        <w:t>检查方法：逐节观察，按表7</w:t>
      </w:r>
      <w:r>
        <w:rPr>
          <w:bCs/>
        </w:rPr>
        <w:t>.9.2-1</w:t>
      </w:r>
      <w:r>
        <w:rPr>
          <w:rFonts w:hint="eastAsia"/>
          <w:bCs/>
        </w:rPr>
        <w:t>执行。</w:t>
      </w:r>
    </w:p>
    <w:p>
      <w:pPr>
        <w:jc w:val="center"/>
        <w:rPr>
          <w:b/>
        </w:rPr>
      </w:pPr>
      <w:r>
        <w:rPr>
          <w:rFonts w:hint="eastAsia"/>
          <w:b/>
        </w:rPr>
        <w:t>一般项目</w:t>
      </w:r>
    </w:p>
    <w:p>
      <w:pPr>
        <w:rPr>
          <w:bCs/>
        </w:rPr>
      </w:pPr>
      <w:r>
        <w:rPr>
          <w:rFonts w:hint="eastAsia"/>
          <w:b/>
          <w:bCs/>
        </w:rPr>
        <w:t>9.10.</w:t>
      </w:r>
      <w:r>
        <w:rPr>
          <w:b/>
          <w:bCs/>
        </w:rPr>
        <w:t>5</w:t>
      </w:r>
      <w:r>
        <w:rPr>
          <w:rFonts w:hint="eastAsia"/>
          <w:bCs/>
        </w:rPr>
        <w:t xml:space="preserve"> </w:t>
      </w:r>
      <w:r>
        <w:rPr>
          <w:bCs/>
        </w:rPr>
        <w:t xml:space="preserve"> </w:t>
      </w:r>
      <w:r>
        <w:rPr>
          <w:rFonts w:hint="eastAsia"/>
          <w:bCs/>
        </w:rPr>
        <w:t>矩形顶管的隧道应无明显渗水现象。</w:t>
      </w:r>
    </w:p>
    <w:p>
      <w:pPr>
        <w:ind w:firstLine="480" w:firstLineChars="200"/>
        <w:rPr>
          <w:bCs/>
        </w:rPr>
      </w:pPr>
      <w:r>
        <w:rPr>
          <w:rFonts w:hint="eastAsia"/>
          <w:bCs/>
        </w:rPr>
        <w:t>检查方法：逐节观察，按表7</w:t>
      </w:r>
      <w:r>
        <w:rPr>
          <w:bCs/>
        </w:rPr>
        <w:t>.9.2-1</w:t>
      </w:r>
      <w:r>
        <w:rPr>
          <w:rFonts w:hint="eastAsia"/>
          <w:bCs/>
        </w:rPr>
        <w:t>执行。</w:t>
      </w:r>
    </w:p>
    <w:p>
      <w:pPr>
        <w:rPr>
          <w:bCs/>
        </w:rPr>
      </w:pPr>
      <w:r>
        <w:rPr>
          <w:b/>
        </w:rPr>
        <w:t xml:space="preserve">9.10.6  </w:t>
      </w:r>
      <w:r>
        <w:rPr>
          <w:rFonts w:hint="eastAsia"/>
          <w:bCs/>
        </w:rPr>
        <w:t>管节接口允许偏差应符合表9.10.6的规定。</w:t>
      </w:r>
    </w:p>
    <w:p>
      <w:pPr>
        <w:ind w:firstLine="480" w:firstLineChars="200"/>
        <w:rPr>
          <w:bCs/>
        </w:rPr>
      </w:pPr>
      <w:r>
        <w:rPr>
          <w:rFonts w:hint="eastAsia"/>
          <w:bCs/>
        </w:rPr>
        <w:t>检查数量：全数检查</w:t>
      </w:r>
    </w:p>
    <w:p>
      <w:pPr>
        <w:ind w:firstLine="480" w:firstLineChars="200"/>
      </w:pPr>
      <w:r>
        <w:rPr>
          <w:rFonts w:hint="eastAsia"/>
          <w:bCs/>
        </w:rPr>
        <w:t>检查方法：量测。</w:t>
      </w:r>
    </w:p>
    <w:p>
      <w:pPr>
        <w:ind w:firstLine="539"/>
        <w:jc w:val="center"/>
        <w:rPr>
          <w:rFonts w:eastAsiaTheme="minorEastAsia"/>
          <w:b/>
          <w:bCs/>
        </w:rPr>
      </w:pPr>
      <w:r>
        <w:rPr>
          <w:rFonts w:eastAsiaTheme="minorEastAsia"/>
          <w:b/>
          <w:bCs/>
          <w:sz w:val="21"/>
          <w:szCs w:val="18"/>
        </w:rPr>
        <w:t>表9.10.</w:t>
      </w:r>
      <w:r>
        <w:rPr>
          <w:rFonts w:hint="eastAsia" w:eastAsiaTheme="minorEastAsia"/>
          <w:b/>
          <w:bCs/>
          <w:sz w:val="21"/>
          <w:szCs w:val="18"/>
        </w:rPr>
        <w:t>6</w:t>
      </w:r>
      <w:r>
        <w:rPr>
          <w:rFonts w:eastAsiaTheme="minorEastAsia"/>
          <w:b/>
          <w:bCs/>
          <w:sz w:val="21"/>
          <w:szCs w:val="18"/>
        </w:rPr>
        <w:t xml:space="preserve">  </w:t>
      </w:r>
      <w:r>
        <w:rPr>
          <w:rFonts w:hint="eastAsia" w:eastAsiaTheme="minorEastAsia"/>
          <w:b/>
          <w:bCs/>
          <w:sz w:val="21"/>
          <w:szCs w:val="18"/>
        </w:rPr>
        <w:t>顶管贯通后管道接口允许偏差（mm）</w:t>
      </w:r>
    </w:p>
    <w:tbl>
      <w:tblPr>
        <w:tblStyle w:val="36"/>
        <w:tblW w:w="79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6"/>
        <w:gridCol w:w="3396"/>
        <w:gridCol w:w="1785"/>
        <w:gridCol w:w="15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56" w:type="dxa"/>
            <w:vAlign w:val="center"/>
          </w:tcPr>
          <w:p>
            <w:pPr>
              <w:spacing w:line="240" w:lineRule="auto"/>
              <w:jc w:val="center"/>
            </w:pPr>
            <w:r>
              <w:t>序</w:t>
            </w:r>
            <w:r>
              <w:rPr>
                <w:rFonts w:hint="eastAsia"/>
              </w:rPr>
              <w:t>号</w:t>
            </w:r>
          </w:p>
        </w:tc>
        <w:tc>
          <w:tcPr>
            <w:tcW w:w="5181" w:type="dxa"/>
            <w:gridSpan w:val="2"/>
            <w:vAlign w:val="center"/>
          </w:tcPr>
          <w:p>
            <w:pPr>
              <w:spacing w:line="240" w:lineRule="auto"/>
              <w:jc w:val="center"/>
            </w:pPr>
            <w:r>
              <w:t>项目</w:t>
            </w:r>
          </w:p>
        </w:tc>
        <w:tc>
          <w:tcPr>
            <w:tcW w:w="1597" w:type="dxa"/>
            <w:vAlign w:val="center"/>
          </w:tcPr>
          <w:p>
            <w:pPr>
              <w:spacing w:line="240" w:lineRule="auto"/>
              <w:jc w:val="center"/>
            </w:pPr>
            <w:r>
              <w:t>允许偏差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56" w:type="dxa"/>
            <w:vMerge w:val="restart"/>
            <w:vAlign w:val="center"/>
          </w:tcPr>
          <w:p>
            <w:pPr>
              <w:spacing w:line="240" w:lineRule="auto"/>
              <w:jc w:val="center"/>
            </w:pPr>
            <w:r>
              <w:t>1</w:t>
            </w:r>
          </w:p>
        </w:tc>
        <w:tc>
          <w:tcPr>
            <w:tcW w:w="3396" w:type="dxa"/>
            <w:vMerge w:val="restart"/>
            <w:vAlign w:val="center"/>
          </w:tcPr>
          <w:p>
            <w:pPr>
              <w:spacing w:line="240" w:lineRule="auto"/>
              <w:jc w:val="center"/>
            </w:pPr>
            <w:r>
              <w:t>相邻管间错口</w:t>
            </w:r>
          </w:p>
        </w:tc>
        <w:tc>
          <w:tcPr>
            <w:tcW w:w="1785" w:type="dxa"/>
            <w:vAlign w:val="center"/>
          </w:tcPr>
          <w:p>
            <w:pPr>
              <w:widowControl/>
              <w:spacing w:line="240" w:lineRule="auto"/>
              <w:jc w:val="left"/>
            </w:pPr>
            <w:r>
              <w:t>上下错口</w:t>
            </w:r>
          </w:p>
        </w:tc>
        <w:tc>
          <w:tcPr>
            <w:tcW w:w="1597" w:type="dxa"/>
            <w:vAlign w:val="center"/>
          </w:tcPr>
          <w:p>
            <w:pPr>
              <w:spacing w:line="240" w:lineRule="auto"/>
              <w:jc w:val="center"/>
            </w:pPr>
            <w:r>
              <w:t>0.5%H，且≤10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56" w:type="dxa"/>
            <w:vMerge w:val="continue"/>
            <w:vAlign w:val="center"/>
          </w:tcPr>
          <w:p>
            <w:pPr>
              <w:spacing w:line="240" w:lineRule="auto"/>
              <w:jc w:val="center"/>
            </w:pPr>
          </w:p>
        </w:tc>
        <w:tc>
          <w:tcPr>
            <w:tcW w:w="3396" w:type="dxa"/>
            <w:vMerge w:val="continue"/>
            <w:vAlign w:val="center"/>
          </w:tcPr>
          <w:p>
            <w:pPr>
              <w:spacing w:line="240" w:lineRule="auto"/>
              <w:jc w:val="center"/>
            </w:pPr>
          </w:p>
        </w:tc>
        <w:tc>
          <w:tcPr>
            <w:tcW w:w="1785" w:type="dxa"/>
            <w:vAlign w:val="center"/>
          </w:tcPr>
          <w:p>
            <w:pPr>
              <w:spacing w:line="240" w:lineRule="auto"/>
            </w:pPr>
            <w:r>
              <w:t>左右错口</w:t>
            </w:r>
          </w:p>
        </w:tc>
        <w:tc>
          <w:tcPr>
            <w:tcW w:w="1597" w:type="dxa"/>
            <w:vAlign w:val="center"/>
          </w:tcPr>
          <w:p>
            <w:pPr>
              <w:spacing w:line="240" w:lineRule="auto"/>
              <w:jc w:val="center"/>
            </w:pPr>
            <w:r>
              <w:t>0.5%B，且≤20</w:t>
            </w:r>
          </w:p>
        </w:tc>
      </w:tr>
    </w:tbl>
    <w:p>
      <w:pPr>
        <w:ind w:firstLine="480" w:firstLineChars="200"/>
      </w:pPr>
      <w:r>
        <w:t>注：</w:t>
      </w:r>
      <w:r>
        <w:rPr>
          <w:rFonts w:hint="eastAsia"/>
        </w:rPr>
        <w:t>H</w:t>
      </w:r>
      <w:r>
        <w:t>为</w:t>
      </w:r>
      <w:r>
        <w:rPr>
          <w:rFonts w:hint="eastAsia"/>
        </w:rPr>
        <w:t>管节高度</w:t>
      </w:r>
      <w:r>
        <w:t>（mm）</w:t>
      </w:r>
      <w:r>
        <w:rPr>
          <w:rFonts w:hint="eastAsia"/>
        </w:rPr>
        <w:t>，B</w:t>
      </w:r>
      <w:r>
        <w:t>为管</w:t>
      </w:r>
      <w:r>
        <w:rPr>
          <w:rFonts w:hint="eastAsia"/>
        </w:rPr>
        <w:t>节宽度</w:t>
      </w:r>
      <w:r>
        <w:t>（mm）</w:t>
      </w:r>
      <w:r>
        <w:rPr>
          <w:rFonts w:hint="eastAsia"/>
        </w:rPr>
        <w:t>。</w:t>
      </w:r>
    </w:p>
    <w:p>
      <w:pPr>
        <w:rPr>
          <w:bCs/>
        </w:rPr>
      </w:pPr>
      <w:r>
        <w:rPr>
          <w:rFonts w:hint="eastAsia"/>
          <w:b/>
          <w:bCs/>
        </w:rPr>
        <w:t>9.10.7</w:t>
      </w:r>
      <w:r>
        <w:rPr>
          <w:bCs/>
        </w:rPr>
        <w:t xml:space="preserve">  管道接口嵌缝的质量除应符合现行国家标准《地下防水工程质量验收规范》GB 50208的有关规定外，其厚度、表面粘结力的允许偏差还应符合表</w:t>
      </w:r>
      <w:r>
        <w:rPr>
          <w:rFonts w:hint="eastAsia"/>
          <w:bCs/>
        </w:rPr>
        <w:t>9</w:t>
      </w:r>
      <w:r>
        <w:rPr>
          <w:bCs/>
        </w:rPr>
        <w:t>.</w:t>
      </w:r>
      <w:r>
        <w:rPr>
          <w:rFonts w:hint="eastAsia"/>
          <w:bCs/>
        </w:rPr>
        <w:t>10</w:t>
      </w:r>
      <w:r>
        <w:rPr>
          <w:bCs/>
        </w:rPr>
        <w:t>.</w:t>
      </w:r>
      <w:r>
        <w:rPr>
          <w:rFonts w:hint="eastAsia"/>
          <w:bCs/>
        </w:rPr>
        <w:t>7</w:t>
      </w:r>
      <w:r>
        <w:rPr>
          <w:bCs/>
        </w:rPr>
        <w:t>的规定。</w:t>
      </w:r>
    </w:p>
    <w:p>
      <w:pPr>
        <w:ind w:firstLine="480" w:firstLineChars="200"/>
        <w:rPr>
          <w:bCs/>
        </w:rPr>
      </w:pPr>
      <w:r>
        <w:rPr>
          <w:rFonts w:hint="eastAsia"/>
          <w:bCs/>
        </w:rPr>
        <w:t>检查数量：全数检查</w:t>
      </w:r>
    </w:p>
    <w:p>
      <w:pPr>
        <w:ind w:firstLine="480" w:firstLineChars="200"/>
      </w:pPr>
      <w:r>
        <w:rPr>
          <w:rFonts w:hint="eastAsia"/>
          <w:bCs/>
        </w:rPr>
        <w:t>检查方法：量测。</w:t>
      </w:r>
    </w:p>
    <w:p>
      <w:pPr>
        <w:jc w:val="center"/>
        <w:rPr>
          <w:rFonts w:ascii="宋体" w:hAnsi="宋体"/>
          <w:b/>
          <w:bCs/>
          <w:sz w:val="21"/>
          <w:szCs w:val="18"/>
        </w:rPr>
      </w:pPr>
      <w:r>
        <w:rPr>
          <w:rFonts w:ascii="宋体" w:hAnsi="宋体"/>
          <w:b/>
          <w:bCs/>
          <w:sz w:val="21"/>
          <w:szCs w:val="18"/>
        </w:rPr>
        <w:t>表</w:t>
      </w:r>
      <w:r>
        <w:rPr>
          <w:b/>
          <w:bCs/>
          <w:sz w:val="21"/>
          <w:szCs w:val="18"/>
        </w:rPr>
        <w:t xml:space="preserve">9.10.7 </w:t>
      </w:r>
      <w:r>
        <w:rPr>
          <w:rFonts w:hint="eastAsia" w:ascii="宋体" w:hAnsi="宋体"/>
          <w:b/>
          <w:bCs/>
          <w:sz w:val="21"/>
          <w:szCs w:val="18"/>
        </w:rPr>
        <w:t xml:space="preserve"> </w:t>
      </w:r>
      <w:r>
        <w:rPr>
          <w:rFonts w:ascii="宋体" w:hAnsi="宋体"/>
          <w:b/>
          <w:bCs/>
          <w:sz w:val="21"/>
          <w:szCs w:val="18"/>
        </w:rPr>
        <w:t>管道接口嵌缝密封胶</w:t>
      </w:r>
      <w:r>
        <w:rPr>
          <w:rFonts w:hint="eastAsia" w:ascii="宋体" w:hAnsi="宋体"/>
          <w:b/>
          <w:bCs/>
          <w:sz w:val="21"/>
          <w:szCs w:val="18"/>
        </w:rPr>
        <w:t>施工的允许偏差</w:t>
      </w:r>
    </w:p>
    <w:tbl>
      <w:tblPr>
        <w:tblStyle w:val="36"/>
        <w:tblW w:w="76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4"/>
        <w:gridCol w:w="1770"/>
        <w:gridCol w:w="49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64" w:type="dxa"/>
            <w:vAlign w:val="center"/>
          </w:tcPr>
          <w:p>
            <w:pPr>
              <w:jc w:val="center"/>
              <w:rPr>
                <w:sz w:val="21"/>
                <w:szCs w:val="18"/>
              </w:rPr>
            </w:pPr>
            <w:r>
              <w:rPr>
                <w:sz w:val="21"/>
                <w:szCs w:val="18"/>
              </w:rPr>
              <w:t>序</w:t>
            </w:r>
            <w:r>
              <w:rPr>
                <w:rFonts w:hint="eastAsia"/>
                <w:sz w:val="21"/>
                <w:szCs w:val="18"/>
              </w:rPr>
              <w:t>号</w:t>
            </w:r>
          </w:p>
        </w:tc>
        <w:tc>
          <w:tcPr>
            <w:tcW w:w="1770" w:type="dxa"/>
            <w:vAlign w:val="center"/>
          </w:tcPr>
          <w:p>
            <w:pPr>
              <w:jc w:val="center"/>
              <w:rPr>
                <w:sz w:val="21"/>
                <w:szCs w:val="18"/>
              </w:rPr>
            </w:pPr>
            <w:r>
              <w:rPr>
                <w:sz w:val="21"/>
                <w:szCs w:val="18"/>
              </w:rPr>
              <w:t>项目</w:t>
            </w:r>
          </w:p>
        </w:tc>
        <w:tc>
          <w:tcPr>
            <w:tcW w:w="4961" w:type="dxa"/>
            <w:vAlign w:val="center"/>
          </w:tcPr>
          <w:p>
            <w:pPr>
              <w:jc w:val="center"/>
              <w:rPr>
                <w:sz w:val="21"/>
                <w:szCs w:val="18"/>
              </w:rPr>
            </w:pPr>
            <w:r>
              <w:rPr>
                <w:sz w:val="21"/>
                <w:szCs w:val="18"/>
              </w:rPr>
              <w:t>允许偏差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64" w:type="dxa"/>
            <w:vAlign w:val="center"/>
          </w:tcPr>
          <w:p>
            <w:pPr>
              <w:jc w:val="center"/>
              <w:rPr>
                <w:kern w:val="0"/>
                <w:sz w:val="21"/>
                <w:szCs w:val="18"/>
              </w:rPr>
            </w:pPr>
            <w:r>
              <w:rPr>
                <w:kern w:val="0"/>
                <w:sz w:val="21"/>
                <w:szCs w:val="18"/>
              </w:rPr>
              <w:t>1</w:t>
            </w:r>
          </w:p>
        </w:tc>
        <w:tc>
          <w:tcPr>
            <w:tcW w:w="1770" w:type="dxa"/>
            <w:vAlign w:val="center"/>
          </w:tcPr>
          <w:p>
            <w:pPr>
              <w:jc w:val="center"/>
              <w:rPr>
                <w:kern w:val="0"/>
                <w:sz w:val="21"/>
                <w:szCs w:val="18"/>
              </w:rPr>
            </w:pPr>
            <w:r>
              <w:rPr>
                <w:kern w:val="0"/>
                <w:sz w:val="21"/>
                <w:szCs w:val="18"/>
              </w:rPr>
              <w:t>厚度</w:t>
            </w:r>
          </w:p>
        </w:tc>
        <w:tc>
          <w:tcPr>
            <w:tcW w:w="4961" w:type="dxa"/>
            <w:vAlign w:val="center"/>
          </w:tcPr>
          <w:p>
            <w:pPr>
              <w:jc w:val="center"/>
              <w:rPr>
                <w:sz w:val="21"/>
                <w:szCs w:val="18"/>
              </w:rPr>
            </w:pPr>
            <w:r>
              <w:rPr>
                <w:kern w:val="0"/>
                <w:sz w:val="21"/>
                <w:szCs w:val="18"/>
              </w:rPr>
              <w:t>+3mm</w:t>
            </w:r>
          </w:p>
          <w:p>
            <w:pPr>
              <w:jc w:val="center"/>
              <w:rPr>
                <w:sz w:val="21"/>
                <w:szCs w:val="18"/>
              </w:rPr>
            </w:pPr>
            <w:r>
              <w:rPr>
                <w:sz w:val="21"/>
                <w:szCs w:val="1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64" w:type="dxa"/>
            <w:vAlign w:val="center"/>
          </w:tcPr>
          <w:p>
            <w:pPr>
              <w:jc w:val="center"/>
              <w:rPr>
                <w:kern w:val="0"/>
                <w:sz w:val="21"/>
                <w:szCs w:val="18"/>
              </w:rPr>
            </w:pPr>
            <w:r>
              <w:rPr>
                <w:kern w:val="0"/>
                <w:sz w:val="21"/>
                <w:szCs w:val="18"/>
              </w:rPr>
              <w:t>2</w:t>
            </w:r>
          </w:p>
        </w:tc>
        <w:tc>
          <w:tcPr>
            <w:tcW w:w="1770" w:type="dxa"/>
            <w:vAlign w:val="center"/>
          </w:tcPr>
          <w:p>
            <w:pPr>
              <w:jc w:val="center"/>
              <w:rPr>
                <w:kern w:val="0"/>
                <w:sz w:val="21"/>
                <w:szCs w:val="18"/>
              </w:rPr>
            </w:pPr>
            <w:r>
              <w:rPr>
                <w:kern w:val="0"/>
                <w:sz w:val="21"/>
                <w:szCs w:val="18"/>
              </w:rPr>
              <w:t>与砼表面粘结力</w:t>
            </w:r>
          </w:p>
        </w:tc>
        <w:tc>
          <w:tcPr>
            <w:tcW w:w="4961" w:type="dxa"/>
            <w:vAlign w:val="center"/>
          </w:tcPr>
          <w:p>
            <w:pPr>
              <w:rPr>
                <w:kern w:val="0"/>
                <w:sz w:val="21"/>
                <w:szCs w:val="18"/>
              </w:rPr>
            </w:pPr>
            <w:r>
              <w:rPr>
                <w:kern w:val="0"/>
                <w:sz w:val="21"/>
                <w:szCs w:val="18"/>
              </w:rPr>
              <w:t>将嵌缝密封胶在缝中切断，用手以90°从一端拉起，胶条断裂或粘结剥离有效面积比≥60%为合格</w:t>
            </w:r>
          </w:p>
        </w:tc>
      </w:tr>
    </w:tbl>
    <w:p>
      <w:pPr>
        <w:ind w:firstLine="482" w:firstLineChars="200"/>
      </w:pPr>
      <w:r>
        <w:rPr>
          <w:b/>
          <w:bCs/>
        </w:rPr>
        <w:t>注：</w:t>
      </w:r>
      <w:r>
        <w:t>粘结剥离有效面积比是指密封胶从槽中拉起时，两侧胶面扯裂面积加砼剥离附着面积之和与两侧总面积之比。</w:t>
      </w:r>
    </w:p>
    <w:p>
      <w:pPr>
        <w:rPr>
          <w:bCs/>
        </w:rPr>
      </w:pPr>
      <w:r>
        <w:rPr>
          <w:rFonts w:hint="eastAsia"/>
          <w:b/>
          <w:bCs/>
        </w:rPr>
        <w:t>9.10.8</w:t>
      </w:r>
      <w:r>
        <w:rPr>
          <w:b/>
          <w:bCs/>
        </w:rPr>
        <w:t xml:space="preserve"> </w:t>
      </w:r>
      <w:r>
        <w:rPr>
          <w:rFonts w:hint="eastAsia"/>
          <w:bCs/>
        </w:rPr>
        <w:t xml:space="preserve"> 矩形</w:t>
      </w:r>
      <w:r>
        <w:rPr>
          <w:bCs/>
        </w:rPr>
        <w:t>顶管的</w:t>
      </w:r>
      <w:r>
        <w:rPr>
          <w:rFonts w:hint="eastAsia"/>
          <w:bCs/>
        </w:rPr>
        <w:t>隧道轴线</w:t>
      </w:r>
      <w:r>
        <w:rPr>
          <w:bCs/>
        </w:rPr>
        <w:t>允许偏差应符合表</w:t>
      </w:r>
      <w:r>
        <w:rPr>
          <w:rFonts w:hint="eastAsia"/>
          <w:bCs/>
        </w:rPr>
        <w:t>9.10.</w:t>
      </w:r>
      <w:r>
        <w:rPr>
          <w:bCs/>
        </w:rPr>
        <w:t>8的规定。</w:t>
      </w:r>
    </w:p>
    <w:p>
      <w:pPr>
        <w:ind w:firstLine="480" w:firstLineChars="200"/>
        <w:rPr>
          <w:bCs/>
        </w:rPr>
      </w:pPr>
      <w:r>
        <w:rPr>
          <w:rFonts w:hint="eastAsia"/>
          <w:bCs/>
        </w:rPr>
        <w:t>检查数量：全数检查，每节1点。</w:t>
      </w:r>
    </w:p>
    <w:p>
      <w:pPr>
        <w:ind w:firstLine="480" w:firstLineChars="200"/>
      </w:pPr>
      <w:r>
        <w:rPr>
          <w:rFonts w:hint="eastAsia"/>
          <w:bCs/>
        </w:rPr>
        <w:t>检查方法：量测。</w:t>
      </w:r>
    </w:p>
    <w:p>
      <w:pPr>
        <w:ind w:right="240"/>
        <w:jc w:val="center"/>
        <w:rPr>
          <w:b/>
          <w:bCs/>
          <w:sz w:val="21"/>
          <w:szCs w:val="18"/>
        </w:rPr>
      </w:pPr>
      <w:r>
        <w:rPr>
          <w:b/>
          <w:bCs/>
          <w:sz w:val="21"/>
          <w:szCs w:val="18"/>
        </w:rPr>
        <w:t>表9.10.8  顶管管节允许偏差（mm）</w:t>
      </w:r>
    </w:p>
    <w:tbl>
      <w:tblPr>
        <w:tblStyle w:val="36"/>
        <w:tblW w:w="765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98"/>
        <w:gridCol w:w="1832"/>
        <w:gridCol w:w="1661"/>
        <w:gridCol w:w="1523"/>
        <w:gridCol w:w="16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98" w:type="dxa"/>
            <w:vAlign w:val="center"/>
          </w:tcPr>
          <w:p>
            <w:pPr>
              <w:jc w:val="center"/>
              <w:rPr>
                <w:sz w:val="21"/>
              </w:rPr>
            </w:pPr>
            <w:r>
              <w:rPr>
                <w:sz w:val="21"/>
              </w:rPr>
              <w:t>序</w:t>
            </w:r>
            <w:r>
              <w:rPr>
                <w:rFonts w:hint="eastAsia"/>
                <w:sz w:val="21"/>
              </w:rPr>
              <w:t>号</w:t>
            </w:r>
          </w:p>
        </w:tc>
        <w:tc>
          <w:tcPr>
            <w:tcW w:w="1832" w:type="dxa"/>
            <w:vAlign w:val="center"/>
          </w:tcPr>
          <w:p>
            <w:pPr>
              <w:jc w:val="center"/>
              <w:rPr>
                <w:sz w:val="21"/>
              </w:rPr>
            </w:pPr>
            <w:r>
              <w:rPr>
                <w:sz w:val="21"/>
              </w:rPr>
              <w:t>顶进长度L</w:t>
            </w:r>
          </w:p>
          <w:p>
            <w:pPr>
              <w:jc w:val="center"/>
              <w:rPr>
                <w:sz w:val="21"/>
              </w:rPr>
            </w:pPr>
            <w:r>
              <w:rPr>
                <w:sz w:val="21"/>
              </w:rPr>
              <w:t>（m）</w:t>
            </w:r>
          </w:p>
        </w:tc>
        <w:tc>
          <w:tcPr>
            <w:tcW w:w="1661" w:type="dxa"/>
            <w:vAlign w:val="center"/>
          </w:tcPr>
          <w:p>
            <w:pPr>
              <w:jc w:val="center"/>
              <w:rPr>
                <w:sz w:val="21"/>
              </w:rPr>
            </w:pPr>
            <w:r>
              <w:rPr>
                <w:rFonts w:hint="eastAsia"/>
                <w:sz w:val="21"/>
              </w:rPr>
              <w:t>顶管底面</w:t>
            </w:r>
            <w:r>
              <w:rPr>
                <w:sz w:val="21"/>
              </w:rPr>
              <w:t>高程</w:t>
            </w:r>
          </w:p>
        </w:tc>
        <w:tc>
          <w:tcPr>
            <w:tcW w:w="1523" w:type="dxa"/>
            <w:vAlign w:val="center"/>
          </w:tcPr>
          <w:p>
            <w:pPr>
              <w:jc w:val="center"/>
              <w:rPr>
                <w:sz w:val="21"/>
              </w:rPr>
            </w:pPr>
            <w:r>
              <w:rPr>
                <w:sz w:val="21"/>
              </w:rPr>
              <w:t>平面</w:t>
            </w:r>
          </w:p>
        </w:tc>
        <w:tc>
          <w:tcPr>
            <w:tcW w:w="1636" w:type="dxa"/>
            <w:vAlign w:val="center"/>
          </w:tcPr>
          <w:p>
            <w:pPr>
              <w:jc w:val="center"/>
              <w:rPr>
                <w:sz w:val="21"/>
              </w:rPr>
            </w:pPr>
            <w:r>
              <w:rPr>
                <w:rFonts w:hint="eastAsia"/>
                <w:sz w:val="21"/>
              </w:rPr>
              <w:t>管节旋转</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98" w:type="dxa"/>
            <w:vAlign w:val="center"/>
          </w:tcPr>
          <w:p>
            <w:pPr>
              <w:jc w:val="center"/>
              <w:rPr>
                <w:sz w:val="21"/>
              </w:rPr>
            </w:pPr>
            <w:r>
              <w:rPr>
                <w:sz w:val="21"/>
              </w:rPr>
              <w:t>1</w:t>
            </w:r>
          </w:p>
        </w:tc>
        <w:tc>
          <w:tcPr>
            <w:tcW w:w="1832" w:type="dxa"/>
            <w:vAlign w:val="center"/>
          </w:tcPr>
          <w:p>
            <w:pPr>
              <w:jc w:val="center"/>
              <w:rPr>
                <w:sz w:val="21"/>
              </w:rPr>
            </w:pPr>
            <w:r>
              <w:rPr>
                <w:sz w:val="21"/>
              </w:rPr>
              <w:t>&lt;100</w:t>
            </w:r>
          </w:p>
        </w:tc>
        <w:tc>
          <w:tcPr>
            <w:tcW w:w="1661" w:type="dxa"/>
            <w:vAlign w:val="center"/>
          </w:tcPr>
          <w:p>
            <w:pPr>
              <w:jc w:val="center"/>
              <w:rPr>
                <w:sz w:val="21"/>
              </w:rPr>
            </w:pPr>
            <w:r>
              <w:rPr>
                <w:sz w:val="21"/>
              </w:rPr>
              <w:t>±50</w:t>
            </w:r>
          </w:p>
        </w:tc>
        <w:tc>
          <w:tcPr>
            <w:tcW w:w="1523" w:type="dxa"/>
            <w:vAlign w:val="center"/>
          </w:tcPr>
          <w:p>
            <w:pPr>
              <w:jc w:val="center"/>
              <w:rPr>
                <w:sz w:val="21"/>
              </w:rPr>
            </w:pPr>
            <w:r>
              <w:rPr>
                <w:sz w:val="21"/>
              </w:rPr>
              <w:t>±80</w:t>
            </w:r>
          </w:p>
        </w:tc>
        <w:tc>
          <w:tcPr>
            <w:tcW w:w="1636" w:type="dxa"/>
            <w:vAlign w:val="center"/>
          </w:tcPr>
          <w:p>
            <w:pPr>
              <w:jc w:val="center"/>
              <w:rPr>
                <w:sz w:val="21"/>
              </w:rPr>
            </w:pPr>
            <w:r>
              <w:rPr>
                <w:sz w:val="21"/>
              </w:rPr>
              <w:t>±</w:t>
            </w:r>
            <w:r>
              <w:rPr>
                <w:rFonts w:hint="eastAsia"/>
                <w:sz w:val="21"/>
              </w:rPr>
              <w:t>8</w:t>
            </w:r>
            <w:r>
              <w:rPr>
                <w:sz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98" w:type="dxa"/>
            <w:vAlign w:val="center"/>
          </w:tcPr>
          <w:p>
            <w:pPr>
              <w:jc w:val="center"/>
              <w:rPr>
                <w:sz w:val="21"/>
              </w:rPr>
            </w:pPr>
            <w:r>
              <w:rPr>
                <w:sz w:val="21"/>
              </w:rPr>
              <w:t>2</w:t>
            </w:r>
          </w:p>
        </w:tc>
        <w:tc>
          <w:tcPr>
            <w:tcW w:w="1832" w:type="dxa"/>
            <w:vAlign w:val="center"/>
          </w:tcPr>
          <w:p>
            <w:pPr>
              <w:jc w:val="center"/>
              <w:rPr>
                <w:sz w:val="21"/>
              </w:rPr>
            </w:pPr>
            <w:r>
              <w:rPr>
                <w:sz w:val="21"/>
              </w:rPr>
              <w:t>100≤</w:t>
            </w:r>
            <w:r>
              <w:rPr>
                <w:i/>
                <w:sz w:val="21"/>
              </w:rPr>
              <w:t>L</w:t>
            </w:r>
            <w:r>
              <w:rPr>
                <w:sz w:val="21"/>
              </w:rPr>
              <w:t>≤</w:t>
            </w:r>
            <w:r>
              <w:rPr>
                <w:i/>
                <w:sz w:val="21"/>
              </w:rPr>
              <w:t>200</w:t>
            </w:r>
          </w:p>
        </w:tc>
        <w:tc>
          <w:tcPr>
            <w:tcW w:w="1661" w:type="dxa"/>
            <w:vAlign w:val="center"/>
          </w:tcPr>
          <w:p>
            <w:pPr>
              <w:jc w:val="center"/>
              <w:rPr>
                <w:sz w:val="21"/>
              </w:rPr>
            </w:pPr>
            <w:r>
              <w:rPr>
                <w:sz w:val="21"/>
              </w:rPr>
              <w:t>±80</w:t>
            </w:r>
          </w:p>
        </w:tc>
        <w:tc>
          <w:tcPr>
            <w:tcW w:w="1523" w:type="dxa"/>
            <w:vAlign w:val="center"/>
          </w:tcPr>
          <w:p>
            <w:pPr>
              <w:jc w:val="center"/>
              <w:rPr>
                <w:sz w:val="21"/>
              </w:rPr>
            </w:pPr>
            <w:r>
              <w:rPr>
                <w:sz w:val="21"/>
              </w:rPr>
              <w:t>±100</w:t>
            </w:r>
          </w:p>
        </w:tc>
        <w:tc>
          <w:tcPr>
            <w:tcW w:w="1636" w:type="dxa"/>
            <w:vAlign w:val="center"/>
          </w:tcPr>
          <w:p>
            <w:pPr>
              <w:jc w:val="center"/>
              <w:rPr>
                <w:sz w:val="21"/>
              </w:rPr>
            </w:pPr>
            <w:r>
              <w:rPr>
                <w:sz w:val="21"/>
              </w:rPr>
              <w:t>±</w:t>
            </w:r>
            <w:r>
              <w:rPr>
                <w:rFonts w:hint="eastAsia"/>
                <w:sz w:val="21"/>
              </w:rPr>
              <w:t>8</w:t>
            </w:r>
            <w:r>
              <w:rPr>
                <w:sz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98" w:type="dxa"/>
            <w:vAlign w:val="center"/>
          </w:tcPr>
          <w:p>
            <w:pPr>
              <w:jc w:val="center"/>
              <w:rPr>
                <w:sz w:val="21"/>
              </w:rPr>
            </w:pPr>
            <w:r>
              <w:rPr>
                <w:sz w:val="21"/>
              </w:rPr>
              <w:t>3</w:t>
            </w:r>
          </w:p>
        </w:tc>
        <w:tc>
          <w:tcPr>
            <w:tcW w:w="1832" w:type="dxa"/>
            <w:vAlign w:val="center"/>
          </w:tcPr>
          <w:p>
            <w:pPr>
              <w:jc w:val="center"/>
              <w:rPr>
                <w:sz w:val="21"/>
              </w:rPr>
            </w:pPr>
            <w:r>
              <w:rPr>
                <w:sz w:val="21"/>
              </w:rPr>
              <w:t>&gt;200</w:t>
            </w:r>
          </w:p>
        </w:tc>
        <w:tc>
          <w:tcPr>
            <w:tcW w:w="1661" w:type="dxa"/>
            <w:vAlign w:val="center"/>
          </w:tcPr>
          <w:p>
            <w:pPr>
              <w:jc w:val="center"/>
              <w:rPr>
                <w:sz w:val="21"/>
              </w:rPr>
            </w:pPr>
            <w:r>
              <w:rPr>
                <w:sz w:val="21"/>
              </w:rPr>
              <w:t>±80</w:t>
            </w:r>
          </w:p>
        </w:tc>
        <w:tc>
          <w:tcPr>
            <w:tcW w:w="1523" w:type="dxa"/>
            <w:vAlign w:val="center"/>
          </w:tcPr>
          <w:p>
            <w:pPr>
              <w:jc w:val="center"/>
              <w:rPr>
                <w:sz w:val="21"/>
              </w:rPr>
            </w:pPr>
            <w:r>
              <w:rPr>
                <w:sz w:val="21"/>
              </w:rPr>
              <w:t>±150</w:t>
            </w:r>
          </w:p>
        </w:tc>
        <w:tc>
          <w:tcPr>
            <w:tcW w:w="1636" w:type="dxa"/>
            <w:vAlign w:val="center"/>
          </w:tcPr>
          <w:p>
            <w:pPr>
              <w:jc w:val="center"/>
              <w:rPr>
                <w:sz w:val="21"/>
              </w:rPr>
            </w:pPr>
            <w:r>
              <w:rPr>
                <w:sz w:val="21"/>
              </w:rPr>
              <w:t>±</w:t>
            </w:r>
            <w:r>
              <w:rPr>
                <w:rFonts w:hint="eastAsia"/>
                <w:sz w:val="21"/>
              </w:rPr>
              <w:t>8</w:t>
            </w:r>
            <w:r>
              <w:rPr>
                <w:sz w:val="21"/>
              </w:rPr>
              <w:t>0</w:t>
            </w:r>
          </w:p>
        </w:tc>
      </w:tr>
    </w:tbl>
    <w:p>
      <w:pPr>
        <w:ind w:firstLine="480" w:firstLineChars="200"/>
      </w:pPr>
      <w:r>
        <w:rPr>
          <w:rFonts w:hint="eastAsia"/>
        </w:rPr>
        <w:t>注：管节旋转指截面底板顶面中线高程与单侧角点底板顶面高程差。</w:t>
      </w:r>
    </w:p>
    <w:p>
      <w:pPr>
        <w:sectPr>
          <w:pgSz w:w="12240" w:h="15840"/>
          <w:pgMar w:top="1440" w:right="1440" w:bottom="1440" w:left="1440" w:header="720" w:footer="720" w:gutter="0"/>
          <w:cols w:space="720" w:num="1"/>
          <w:docGrid w:linePitch="360" w:charSpace="0"/>
        </w:sectPr>
      </w:pPr>
    </w:p>
    <w:p>
      <w:pPr>
        <w:pStyle w:val="2"/>
      </w:pPr>
      <w:bookmarkStart w:id="280" w:name="_Toc1472"/>
      <w:bookmarkStart w:id="281" w:name="_Toc18057082"/>
      <w:r>
        <w:rPr>
          <w:rFonts w:hint="eastAsia"/>
        </w:rPr>
        <w:t xml:space="preserve">10 </w:t>
      </w:r>
      <w:r>
        <w:t xml:space="preserve"> </w:t>
      </w:r>
      <w:r>
        <w:rPr>
          <w:rFonts w:hint="eastAsia"/>
        </w:rPr>
        <w:t>工程验收</w:t>
      </w:r>
      <w:bookmarkEnd w:id="280"/>
      <w:bookmarkEnd w:id="281"/>
    </w:p>
    <w:p>
      <w:r>
        <w:rPr>
          <w:b/>
          <w:bCs/>
        </w:rPr>
        <w:t xml:space="preserve">10.0.1  </w:t>
      </w:r>
      <w:r>
        <w:rPr>
          <w:rFonts w:hint="eastAsia"/>
        </w:rPr>
        <w:t>工前，施工单位应会同建设单位、质监单位、监理单位确认构成建设项目的单位</w:t>
      </w:r>
      <w:r>
        <w:t>（</w:t>
      </w:r>
      <w:r>
        <w:rPr>
          <w:rFonts w:hint="eastAsia"/>
        </w:rPr>
        <w:t>子单位</w:t>
      </w:r>
      <w:r>
        <w:t>）</w:t>
      </w:r>
      <w:r>
        <w:rPr>
          <w:rFonts w:hint="eastAsia"/>
        </w:rPr>
        <w:t>工程、分部</w:t>
      </w:r>
      <w:r>
        <w:t>（</w:t>
      </w:r>
      <w:r>
        <w:rPr>
          <w:rFonts w:hint="eastAsia"/>
        </w:rPr>
        <w:t>子分部</w:t>
      </w:r>
      <w:r>
        <w:t>）</w:t>
      </w:r>
      <w:r>
        <w:rPr>
          <w:rFonts w:hint="eastAsia"/>
        </w:rPr>
        <w:t>工程、分项工程和检验批，作为施工质量检验、验收的基础。</w:t>
      </w:r>
    </w:p>
    <w:p>
      <w:pPr>
        <w:rPr>
          <w:rFonts w:eastAsiaTheme="minorEastAsia"/>
          <w:szCs w:val="22"/>
        </w:rPr>
      </w:pPr>
      <w:r>
        <w:rPr>
          <w:b/>
          <w:bCs/>
        </w:rPr>
        <w:t xml:space="preserve">10.0.2  </w:t>
      </w:r>
      <w:r>
        <w:rPr>
          <w:rFonts w:hint="eastAsia" w:eastAsiaTheme="minorEastAsia"/>
          <w:szCs w:val="22"/>
        </w:rPr>
        <w:t>单位(子单位)工程、分部(子分部)工程、分项工程和验收批的划分可按本规程附录A执行。</w:t>
      </w:r>
    </w:p>
    <w:p>
      <w:r>
        <w:rPr>
          <w:b/>
          <w:bCs/>
        </w:rPr>
        <w:t>10.</w:t>
      </w:r>
      <w:r>
        <w:rPr>
          <w:rFonts w:hint="eastAsia"/>
          <w:b/>
          <w:bCs/>
        </w:rPr>
        <w:t>0</w:t>
      </w:r>
      <w:r>
        <w:rPr>
          <w:b/>
          <w:bCs/>
        </w:rPr>
        <w:t>.</w:t>
      </w:r>
      <w:r>
        <w:rPr>
          <w:rFonts w:hint="eastAsia"/>
          <w:b/>
          <w:bCs/>
        </w:rPr>
        <w:t>3</w:t>
      </w:r>
      <w:r>
        <w:rPr>
          <w:b/>
          <w:bCs/>
        </w:rPr>
        <w:t xml:space="preserve"> </w:t>
      </w:r>
      <w:r>
        <w:rPr>
          <w:rFonts w:eastAsiaTheme="minorEastAsia"/>
          <w:szCs w:val="22"/>
        </w:rPr>
        <w:t xml:space="preserve"> </w:t>
      </w:r>
      <w:r>
        <w:rPr>
          <w:rFonts w:hint="eastAsia"/>
        </w:rPr>
        <w:t>工程施工质量验收应在施工单位自检基础上，按验收批、分项工程、分部(子分部)工程、单位(子单位)工程的顺序分别填写附录B记录表进行，并应符合下列规定：</w:t>
      </w:r>
    </w:p>
    <w:p>
      <w:pPr>
        <w:ind w:firstLine="480" w:firstLineChars="200"/>
      </w:pPr>
      <w:r>
        <w:rPr>
          <w:rFonts w:hint="eastAsia"/>
        </w:rPr>
        <w:t>1  工程施工质量应符合本规程和相关专业验收规程的规定；</w:t>
      </w:r>
    </w:p>
    <w:p>
      <w:pPr>
        <w:ind w:firstLine="480" w:firstLineChars="200"/>
      </w:pPr>
      <w:r>
        <w:rPr>
          <w:rFonts w:hint="eastAsia"/>
        </w:rPr>
        <w:t>2  工程施工质量应满足工程勘察、设计文件的要求；</w:t>
      </w:r>
    </w:p>
    <w:p>
      <w:pPr>
        <w:ind w:firstLine="480" w:firstLineChars="200"/>
      </w:pPr>
      <w:r>
        <w:rPr>
          <w:rFonts w:hint="eastAsia"/>
        </w:rPr>
        <w:t>3  参加工程施工质量验收的各方人员应具备相应的资格；</w:t>
      </w:r>
    </w:p>
    <w:p>
      <w:pPr>
        <w:ind w:firstLine="480" w:firstLineChars="200"/>
      </w:pPr>
      <w:r>
        <w:rPr>
          <w:rFonts w:hint="eastAsia"/>
        </w:rPr>
        <w:t>4  工程施工质量的验收应在施工单位自行检查，评定合格的基础上进行；</w:t>
      </w:r>
    </w:p>
    <w:p>
      <w:pPr>
        <w:ind w:firstLine="480" w:firstLineChars="200"/>
      </w:pPr>
      <w:r>
        <w:rPr>
          <w:rFonts w:hint="eastAsia"/>
        </w:rPr>
        <w:t>5  隐蔽工程在隐蔽前应由施工单位通知监理等单位进行验收，并形成验收文件；</w:t>
      </w:r>
    </w:p>
    <w:p>
      <w:pPr>
        <w:ind w:firstLine="480" w:firstLineChars="200"/>
      </w:pPr>
      <w:r>
        <w:rPr>
          <w:rFonts w:hint="eastAsia"/>
        </w:rPr>
        <w:t>6  涉及结构安全和使用功能的试块、试件和现场检测项目，应按规定进行平行检测或见证取样检测；</w:t>
      </w:r>
    </w:p>
    <w:p>
      <w:pPr>
        <w:ind w:firstLine="480" w:firstLineChars="200"/>
      </w:pPr>
      <w:r>
        <w:rPr>
          <w:rFonts w:hint="eastAsia"/>
        </w:rPr>
        <w:t>7  验收批的质量应按主控项目和一般项目进行验收；每个检查项目的检查数量，除本规程有关条款有明确规定外，应全数检查；</w:t>
      </w:r>
    </w:p>
    <w:p>
      <w:pPr>
        <w:ind w:firstLine="480" w:firstLineChars="200"/>
      </w:pPr>
      <w:r>
        <w:rPr>
          <w:rFonts w:hint="eastAsia"/>
        </w:rPr>
        <w:t>8  对涉及结构安全和使用功能的分部工程应进行试验或检测；</w:t>
      </w:r>
    </w:p>
    <w:p>
      <w:pPr>
        <w:ind w:firstLine="480" w:firstLineChars="200"/>
      </w:pPr>
      <w:r>
        <w:rPr>
          <w:rFonts w:hint="eastAsia"/>
        </w:rPr>
        <w:t>9  承担检测的单位应具有相应资质；</w:t>
      </w:r>
    </w:p>
    <w:p>
      <w:pPr>
        <w:ind w:firstLine="480" w:firstLineChars="200"/>
      </w:pPr>
      <w:r>
        <w:rPr>
          <w:rFonts w:hint="eastAsia"/>
        </w:rPr>
        <w:t>10  外观质量应由质量验收人员通过现场检查共同确认。</w:t>
      </w:r>
    </w:p>
    <w:p>
      <w:r>
        <w:rPr>
          <w:b/>
          <w:bCs/>
        </w:rPr>
        <w:t xml:space="preserve">10.0.4  </w:t>
      </w:r>
      <w:r>
        <w:rPr>
          <w:rFonts w:hint="eastAsia"/>
        </w:rPr>
        <w:t>验收批质量验收合格应符合下列规定：</w:t>
      </w:r>
    </w:p>
    <w:p>
      <w:pPr>
        <w:ind w:firstLine="480" w:firstLineChars="200"/>
      </w:pPr>
      <w:r>
        <w:rPr>
          <w:rFonts w:hint="eastAsia"/>
        </w:rPr>
        <w:t>1  主控项目的质量经抽样检验合格；</w:t>
      </w:r>
    </w:p>
    <w:p>
      <w:pPr>
        <w:ind w:firstLine="480" w:firstLineChars="200"/>
      </w:pPr>
      <w:r>
        <w:rPr>
          <w:rFonts w:hint="eastAsia"/>
        </w:rPr>
        <w:t>2  一般项目中的实测(允许偏差)项目抽样检验的合格率应达到80％，且超差点的最大偏差值应在允许偏差值的1.5倍范围内；</w:t>
      </w:r>
    </w:p>
    <w:p>
      <w:pPr>
        <w:ind w:firstLine="480" w:firstLineChars="200"/>
      </w:pPr>
      <w:r>
        <w:rPr>
          <w:rFonts w:hint="eastAsia"/>
        </w:rPr>
        <w:t>3  主要工程材料的进场验收和复验合格，试块、试件检验合格；</w:t>
      </w:r>
    </w:p>
    <w:p>
      <w:pPr>
        <w:ind w:firstLine="480" w:firstLineChars="200"/>
      </w:pPr>
      <w:r>
        <w:rPr>
          <w:rFonts w:hint="eastAsia"/>
        </w:rPr>
        <w:t>4  主要工程材料的质量保证资料以及相关试验检测资料齐全、正确；具有完整的施工操作依据和质量检查记录。</w:t>
      </w:r>
    </w:p>
    <w:p>
      <w:r>
        <w:rPr>
          <w:b/>
          <w:bCs/>
        </w:rPr>
        <w:t xml:space="preserve">10.0.5  </w:t>
      </w:r>
      <w:r>
        <w:rPr>
          <w:rFonts w:hint="eastAsia"/>
        </w:rPr>
        <w:t>分项工程质量验收合格应符合下列规定：</w:t>
      </w:r>
    </w:p>
    <w:p>
      <w:pPr>
        <w:ind w:firstLine="480" w:firstLineChars="200"/>
      </w:pPr>
      <w:r>
        <w:rPr>
          <w:rFonts w:hint="eastAsia"/>
        </w:rPr>
        <w:t>1  分项工程所含的验收批质量验收全部合格；</w:t>
      </w:r>
    </w:p>
    <w:p>
      <w:pPr>
        <w:ind w:firstLine="480" w:firstLineChars="200"/>
      </w:pPr>
      <w:r>
        <w:rPr>
          <w:rFonts w:hint="eastAsia"/>
        </w:rPr>
        <w:t>2  分项工程所含的验收批的质量验收记录应完整、正确；有关质量保证资料和试验检测资料应齐全、正确。</w:t>
      </w:r>
    </w:p>
    <w:p>
      <w:r>
        <w:rPr>
          <w:b/>
          <w:bCs/>
        </w:rPr>
        <w:t>10.0.6</w:t>
      </w:r>
      <w:r>
        <w:t xml:space="preserve">  </w:t>
      </w:r>
      <w:r>
        <w:rPr>
          <w:rFonts w:hint="eastAsia"/>
        </w:rPr>
        <w:t>分部(子分部)工程质量验收合格应符合下列规定：</w:t>
      </w:r>
    </w:p>
    <w:p>
      <w:pPr>
        <w:ind w:firstLine="480" w:firstLineChars="200"/>
      </w:pPr>
      <w:r>
        <w:rPr>
          <w:rFonts w:hint="eastAsia"/>
        </w:rPr>
        <w:t>1  分部(子分部)工程所含分项工程的质量验收全部合格；</w:t>
      </w:r>
    </w:p>
    <w:p>
      <w:pPr>
        <w:ind w:firstLine="480" w:firstLineChars="200"/>
      </w:pPr>
      <w:r>
        <w:rPr>
          <w:rFonts w:hint="eastAsia"/>
        </w:rPr>
        <w:t>2  质量控制资料应完整；</w:t>
      </w:r>
    </w:p>
    <w:p>
      <w:pPr>
        <w:ind w:firstLine="480" w:firstLineChars="200"/>
      </w:pPr>
      <w:r>
        <w:rPr>
          <w:rFonts w:hint="eastAsia"/>
        </w:rPr>
        <w:t>3  分部(子分部)工程中，地基基础处理、桩基础检测、混凝土强度、混凝土抗渗、管道接口连接、管道位置及高程、金属管道防腐层、水压试验、严密性试验、管道设备安装调试、阴极保护安装测试、回填压实等的检验和抽样检测结果应符合本规程的有关规定；</w:t>
      </w:r>
    </w:p>
    <w:p>
      <w:pPr>
        <w:ind w:firstLine="480" w:firstLineChars="200"/>
      </w:pPr>
      <w:r>
        <w:rPr>
          <w:rFonts w:hint="eastAsia"/>
        </w:rPr>
        <w:t>4  外观质量验收应满足要求。</w:t>
      </w:r>
    </w:p>
    <w:p>
      <w:r>
        <w:rPr>
          <w:b/>
          <w:bCs/>
        </w:rPr>
        <w:t xml:space="preserve">10.0.7  </w:t>
      </w:r>
      <w:r>
        <w:rPr>
          <w:rFonts w:hint="eastAsia"/>
        </w:rPr>
        <w:t>单位(子单位)工程质量验收合格应符合下列规定：</w:t>
      </w:r>
    </w:p>
    <w:p>
      <w:pPr>
        <w:ind w:firstLine="480" w:firstLineChars="200"/>
      </w:pPr>
      <w:r>
        <w:rPr>
          <w:rFonts w:hint="eastAsia"/>
        </w:rPr>
        <w:t>1  单位(子单位)工程所含分部(子分部)工程的质量验收全部合格；</w:t>
      </w:r>
    </w:p>
    <w:p>
      <w:pPr>
        <w:ind w:firstLine="480" w:firstLineChars="200"/>
      </w:pPr>
      <w:r>
        <w:rPr>
          <w:rFonts w:hint="eastAsia"/>
        </w:rPr>
        <w:t>2  质量控制资料应完整；</w:t>
      </w:r>
    </w:p>
    <w:p>
      <w:pPr>
        <w:ind w:firstLine="480" w:firstLineChars="200"/>
      </w:pPr>
      <w:r>
        <w:rPr>
          <w:rFonts w:hint="eastAsia"/>
        </w:rPr>
        <w:t>3  单位(子单位)工程所含分部(子分部)工程有关安全及使用功能的检测资料应完整；</w:t>
      </w:r>
    </w:p>
    <w:p>
      <w:pPr>
        <w:ind w:firstLine="480" w:firstLineChars="200"/>
      </w:pPr>
      <w:r>
        <w:rPr>
          <w:rFonts w:hint="eastAsia"/>
        </w:rPr>
        <w:t>4  涉及管道设备运行、管道位置及高程等的试验检测、抽查结果以及隧道使用功能试验应符合本规程规定；</w:t>
      </w:r>
    </w:p>
    <w:p>
      <w:pPr>
        <w:ind w:firstLine="480" w:firstLineChars="200"/>
      </w:pPr>
      <w:r>
        <w:rPr>
          <w:rFonts w:hint="eastAsia"/>
        </w:rPr>
        <w:t>5  外观质量验收应符合要求。</w:t>
      </w:r>
    </w:p>
    <w:p>
      <w:r>
        <w:rPr>
          <w:b/>
          <w:bCs/>
        </w:rPr>
        <w:t xml:space="preserve">10.0.8  </w:t>
      </w:r>
      <w:r>
        <w:rPr>
          <w:rFonts w:hint="eastAsia"/>
        </w:rPr>
        <w:t>工程质量验收不合格时，应按下列规定处理：</w:t>
      </w:r>
    </w:p>
    <w:p>
      <w:pPr>
        <w:ind w:firstLine="480" w:firstLineChars="200"/>
      </w:pPr>
      <w:r>
        <w:rPr>
          <w:rFonts w:hint="eastAsia"/>
        </w:rPr>
        <w:t>1  经返工重做的验收批，应重新进行验收；</w:t>
      </w:r>
    </w:p>
    <w:p>
      <w:pPr>
        <w:ind w:firstLine="480" w:firstLineChars="200"/>
      </w:pPr>
      <w:r>
        <w:rPr>
          <w:rFonts w:hint="eastAsia"/>
        </w:rPr>
        <w:t>2  经有相应资质的检测单位检测鉴定能够达到设计要求的验收批，应予以验收；</w:t>
      </w:r>
    </w:p>
    <w:p>
      <w:pPr>
        <w:ind w:firstLine="480" w:firstLineChars="200"/>
      </w:pPr>
      <w:r>
        <w:rPr>
          <w:rFonts w:hint="eastAsia"/>
        </w:rPr>
        <w:t>3  经有相应资质的检测单位检测鉴定达不到设计要求，但经原设计单位验算认可，能够满足结构安全和使用功能要求的验收批，可予以验收；</w:t>
      </w:r>
    </w:p>
    <w:p>
      <w:pPr>
        <w:ind w:firstLine="480" w:firstLineChars="200"/>
      </w:pPr>
      <w:r>
        <w:rPr>
          <w:rFonts w:hint="eastAsia"/>
        </w:rPr>
        <w:t>4  经返修或加固处理的分项工程、分部(子分部)工程，改变外形尺寸但仍能满足结构安全和使用功能要求，可按技术处理方案文件和协商文件进行验收。</w:t>
      </w:r>
    </w:p>
    <w:p>
      <w:r>
        <w:rPr>
          <w:b/>
          <w:bCs/>
        </w:rPr>
        <w:t xml:space="preserve">10.0.9  </w:t>
      </w:r>
      <w:r>
        <w:rPr>
          <w:rFonts w:hint="eastAsia"/>
        </w:rPr>
        <w:t>通过返修或加固处理仍不能满足结构安全或使用功能要求的分部(子分部)工程、单位(子单位)工程，严禁验收。</w:t>
      </w:r>
    </w:p>
    <w:p>
      <w:r>
        <w:rPr>
          <w:b/>
          <w:bCs/>
        </w:rPr>
        <w:t>10.0.10</w:t>
      </w:r>
      <w:r>
        <w:t xml:space="preserve">  </w:t>
      </w:r>
      <w:r>
        <w:rPr>
          <w:rFonts w:hint="eastAsia"/>
        </w:rPr>
        <w:t>验收批及分项工程应由专业监理工程师组织施工项目的技术负责人(专业质量检查员)等进行验收。</w:t>
      </w:r>
    </w:p>
    <w:p>
      <w:r>
        <w:rPr>
          <w:b/>
          <w:bCs/>
        </w:rPr>
        <w:t xml:space="preserve">10.0.11  </w:t>
      </w:r>
      <w:r>
        <w:rPr>
          <w:rFonts w:hint="eastAsia"/>
        </w:rPr>
        <w:t>分部(子分部)工程应由专业监理工程师组织施工项目质量负责人、设计和勘察单位工程项目负责人、施工单位技术质量部门负责人等进行验收。</w:t>
      </w:r>
    </w:p>
    <w:p>
      <w:r>
        <w:rPr>
          <w:b/>
          <w:bCs/>
        </w:rPr>
        <w:t xml:space="preserve">10.0.12 </w:t>
      </w:r>
      <w:r>
        <w:t xml:space="preserve"> </w:t>
      </w:r>
      <w:r>
        <w:rPr>
          <w:rFonts w:hint="eastAsia"/>
        </w:rPr>
        <w:t>单位工程经施工单位自行检验合格后，应由施工单位向建设单位提出验收申请。单位工程有分包单位施工时，分包单位对所承包的工程应按本规程的规定进行验收，验收时总承包单位应派人参加；分包工程完成后，应及时地将有关资料移交总承包单位。</w:t>
      </w:r>
    </w:p>
    <w:p>
      <w:r>
        <w:rPr>
          <w:b/>
          <w:bCs/>
        </w:rPr>
        <w:t xml:space="preserve">10.0.13 </w:t>
      </w:r>
      <w:r>
        <w:t xml:space="preserve"> </w:t>
      </w:r>
      <w:r>
        <w:rPr>
          <w:rFonts w:hint="eastAsia"/>
        </w:rPr>
        <w:t>对符合竣工验收条件的单位工程，应由建设单位按规定组织验收。施工、勘察、设计、监理等单位等有关负责人以及该工程的管理或使用单位有关人员应参加验收。</w:t>
      </w:r>
    </w:p>
    <w:p>
      <w:r>
        <w:rPr>
          <w:b/>
          <w:bCs/>
        </w:rPr>
        <w:t xml:space="preserve">10.0.14 </w:t>
      </w:r>
      <w:r>
        <w:t xml:space="preserve"> </w:t>
      </w:r>
      <w:r>
        <w:rPr>
          <w:rFonts w:hint="eastAsia"/>
        </w:rPr>
        <w:t>参加验收各方对工程质量验收意见不一致时，可由工程所在地建设行政主管部门或工程质量监督机构协调解决。</w:t>
      </w:r>
    </w:p>
    <w:p>
      <w:r>
        <w:rPr>
          <w:b/>
          <w:bCs/>
        </w:rPr>
        <w:t xml:space="preserve">10.0.15  </w:t>
      </w:r>
      <w:r>
        <w:rPr>
          <w:rFonts w:hint="eastAsia"/>
        </w:rPr>
        <w:t>单位工程质量验收合格后，建设单位应按规定将竣工验收报告和有关文件，报工程所在地建设行政主管部门备案。</w:t>
      </w:r>
    </w:p>
    <w:p>
      <w:r>
        <w:rPr>
          <w:b/>
          <w:bCs/>
        </w:rPr>
        <w:t xml:space="preserve">10.0.16  </w:t>
      </w:r>
      <w:r>
        <w:rPr>
          <w:rFonts w:hint="eastAsia"/>
        </w:rPr>
        <w:t>工程竣工验收后，建设单位应将有关文件和技术资料归档。</w:t>
      </w:r>
    </w:p>
    <w:p>
      <w:r>
        <w:rPr>
          <w:b/>
          <w:bCs/>
        </w:rPr>
        <w:t xml:space="preserve">10.0.17  </w:t>
      </w:r>
      <w:r>
        <w:rPr>
          <w:rFonts w:hint="eastAsia"/>
        </w:rPr>
        <w:t>工程应经过竣工验收合格后，方可投入使用。</w:t>
      </w:r>
    </w:p>
    <w:p>
      <w:pPr>
        <w:rPr>
          <w:rFonts w:eastAsiaTheme="minorEastAsia"/>
          <w:szCs w:val="22"/>
        </w:rPr>
        <w:sectPr>
          <w:pgSz w:w="12240" w:h="15840"/>
          <w:pgMar w:top="1440" w:right="1440" w:bottom="1440" w:left="1440" w:header="720" w:footer="720" w:gutter="0"/>
          <w:cols w:space="720" w:num="1"/>
          <w:docGrid w:linePitch="360" w:charSpace="0"/>
        </w:sectPr>
      </w:pPr>
    </w:p>
    <w:p>
      <w:pPr>
        <w:rPr>
          <w:rFonts w:eastAsiaTheme="minorEastAsia"/>
          <w:szCs w:val="22"/>
        </w:rPr>
      </w:pPr>
    </w:p>
    <w:p>
      <w:pPr>
        <w:jc w:val="center"/>
        <w:rPr>
          <w:b/>
          <w:sz w:val="28"/>
          <w:szCs w:val="22"/>
        </w:rPr>
      </w:pPr>
      <w:bookmarkStart w:id="282" w:name="_Toc448396209"/>
      <w:bookmarkStart w:id="283" w:name="_Toc340513510"/>
      <w:bookmarkStart w:id="284" w:name="_Toc455393095"/>
      <w:bookmarkStart w:id="285" w:name="_Toc335228796"/>
      <w:bookmarkStart w:id="286" w:name="_Toc303695548"/>
      <w:bookmarkStart w:id="287" w:name="_Toc463446196"/>
      <w:r>
        <w:rPr>
          <w:rFonts w:hint="eastAsia"/>
          <w:b/>
          <w:sz w:val="28"/>
          <w:szCs w:val="22"/>
        </w:rPr>
        <w:t xml:space="preserve">附录A </w:t>
      </w:r>
      <w:r>
        <w:rPr>
          <w:b/>
          <w:sz w:val="28"/>
          <w:szCs w:val="22"/>
        </w:rPr>
        <w:t xml:space="preserve"> </w:t>
      </w:r>
      <w:r>
        <w:rPr>
          <w:rFonts w:hint="eastAsia"/>
          <w:b/>
          <w:sz w:val="28"/>
          <w:szCs w:val="22"/>
        </w:rPr>
        <w:t>矩形顶管分部、分项工程和检验批划分</w:t>
      </w:r>
      <w:bookmarkEnd w:id="282"/>
      <w:r>
        <w:rPr>
          <w:rFonts w:hint="eastAsia"/>
          <w:b/>
          <w:sz w:val="28"/>
          <w:szCs w:val="22"/>
        </w:rPr>
        <w:t>表</w:t>
      </w:r>
    </w:p>
    <w:p>
      <w:pPr>
        <w:jc w:val="center"/>
        <w:rPr>
          <w:b/>
        </w:rPr>
      </w:pPr>
      <w:r>
        <w:rPr>
          <w:rFonts w:hint="eastAsia"/>
          <w:b/>
        </w:rPr>
        <w:t xml:space="preserve">表A </w:t>
      </w:r>
      <w:r>
        <w:rPr>
          <w:b/>
        </w:rPr>
        <w:t xml:space="preserve"> </w:t>
      </w:r>
      <w:r>
        <w:rPr>
          <w:rFonts w:hint="eastAsia"/>
          <w:b/>
        </w:rPr>
        <w:t>矩形顶管分部、分项工程和检验批划分表</w:t>
      </w:r>
    </w:p>
    <w:tbl>
      <w:tblPr>
        <w:tblStyle w:val="36"/>
        <w:tblpPr w:leftFromText="180" w:rightFromText="180" w:vertAnchor="text" w:horzAnchor="margin" w:tblpXSpec="center" w:tblpY="9"/>
        <w:tblW w:w="934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828"/>
        <w:gridCol w:w="2442"/>
        <w:gridCol w:w="2378"/>
        <w:gridCol w:w="26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828" w:type="dxa"/>
            <w:tcBorders>
              <w:right w:val="single" w:color="auto" w:sz="4" w:space="0"/>
            </w:tcBorders>
            <w:vAlign w:val="center"/>
          </w:tcPr>
          <w:p>
            <w:pPr>
              <w:widowControl/>
              <w:jc w:val="center"/>
              <w:rPr>
                <w:rFonts w:ascii="宋体" w:hAnsi="宋体"/>
                <w:sz w:val="21"/>
                <w:szCs w:val="18"/>
              </w:rPr>
            </w:pPr>
            <w:r>
              <w:rPr>
                <w:rFonts w:hint="eastAsia" w:ascii="宋体" w:hAnsi="宋体"/>
                <w:sz w:val="21"/>
                <w:szCs w:val="18"/>
              </w:rPr>
              <w:t>单位工程</w:t>
            </w:r>
          </w:p>
        </w:tc>
        <w:tc>
          <w:tcPr>
            <w:tcW w:w="2442" w:type="dxa"/>
            <w:tcBorders>
              <w:left w:val="single" w:color="auto" w:sz="4" w:space="0"/>
              <w:right w:val="single" w:color="auto" w:sz="4" w:space="0"/>
            </w:tcBorders>
            <w:vAlign w:val="center"/>
          </w:tcPr>
          <w:p>
            <w:pPr>
              <w:widowControl/>
              <w:jc w:val="center"/>
              <w:rPr>
                <w:rFonts w:ascii="宋体" w:hAnsi="宋体"/>
                <w:sz w:val="21"/>
                <w:szCs w:val="18"/>
              </w:rPr>
            </w:pPr>
            <w:r>
              <w:rPr>
                <w:rFonts w:hint="eastAsia" w:ascii="宋体" w:hAnsi="宋体"/>
                <w:sz w:val="21"/>
                <w:szCs w:val="18"/>
              </w:rPr>
              <w:t>分部工程（子分部工程）</w:t>
            </w:r>
          </w:p>
        </w:tc>
        <w:tc>
          <w:tcPr>
            <w:tcW w:w="2378" w:type="dxa"/>
            <w:tcBorders>
              <w:left w:val="single" w:color="auto" w:sz="4" w:space="0"/>
            </w:tcBorders>
            <w:vAlign w:val="center"/>
          </w:tcPr>
          <w:p>
            <w:pPr>
              <w:jc w:val="center"/>
              <w:rPr>
                <w:rFonts w:ascii="宋体" w:hAnsi="宋体"/>
                <w:sz w:val="21"/>
                <w:szCs w:val="18"/>
              </w:rPr>
            </w:pPr>
            <w:r>
              <w:rPr>
                <w:rFonts w:hint="eastAsia" w:ascii="宋体" w:hAnsi="宋体"/>
                <w:sz w:val="21"/>
                <w:szCs w:val="18"/>
              </w:rPr>
              <w:t>分项工程</w:t>
            </w:r>
          </w:p>
        </w:tc>
        <w:tc>
          <w:tcPr>
            <w:tcW w:w="2693" w:type="dxa"/>
            <w:vAlign w:val="center"/>
          </w:tcPr>
          <w:p>
            <w:pPr>
              <w:jc w:val="center"/>
              <w:rPr>
                <w:rFonts w:ascii="宋体" w:hAnsi="宋体"/>
                <w:sz w:val="21"/>
                <w:szCs w:val="18"/>
              </w:rPr>
            </w:pPr>
            <w:r>
              <w:rPr>
                <w:rFonts w:hint="eastAsia" w:ascii="宋体" w:hAnsi="宋体"/>
                <w:sz w:val="21"/>
                <w:szCs w:val="18"/>
              </w:rPr>
              <w:t>检验批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828" w:type="dxa"/>
            <w:vMerge w:val="restart"/>
            <w:vAlign w:val="center"/>
          </w:tcPr>
          <w:p>
            <w:pPr>
              <w:jc w:val="center"/>
              <w:rPr>
                <w:rFonts w:ascii="宋体" w:hAnsi="宋体"/>
                <w:sz w:val="21"/>
                <w:szCs w:val="18"/>
              </w:rPr>
            </w:pPr>
            <w:r>
              <w:rPr>
                <w:rFonts w:hint="eastAsia" w:ascii="宋体" w:hAnsi="宋体"/>
                <w:sz w:val="21"/>
                <w:szCs w:val="18"/>
              </w:rPr>
              <w:t>矩形顶管工程</w:t>
            </w:r>
          </w:p>
        </w:tc>
        <w:tc>
          <w:tcPr>
            <w:tcW w:w="2442" w:type="dxa"/>
            <w:vAlign w:val="center"/>
          </w:tcPr>
          <w:p>
            <w:pPr>
              <w:jc w:val="center"/>
              <w:rPr>
                <w:rFonts w:ascii="宋体" w:hAnsi="宋体"/>
                <w:sz w:val="21"/>
                <w:szCs w:val="18"/>
              </w:rPr>
            </w:pPr>
            <w:r>
              <w:rPr>
                <w:rFonts w:hint="eastAsia" w:ascii="宋体" w:hAnsi="宋体"/>
                <w:sz w:val="21"/>
                <w:szCs w:val="18"/>
              </w:rPr>
              <w:t>工作井</w:t>
            </w:r>
          </w:p>
        </w:tc>
        <w:tc>
          <w:tcPr>
            <w:tcW w:w="2378" w:type="dxa"/>
            <w:vAlign w:val="center"/>
          </w:tcPr>
          <w:p>
            <w:pPr>
              <w:jc w:val="center"/>
              <w:rPr>
                <w:rFonts w:ascii="宋体" w:hAnsi="宋体"/>
                <w:sz w:val="21"/>
                <w:szCs w:val="18"/>
              </w:rPr>
            </w:pPr>
            <w:r>
              <w:rPr>
                <w:rFonts w:hint="eastAsia" w:ascii="宋体" w:hAnsi="宋体"/>
                <w:sz w:val="21"/>
                <w:szCs w:val="18"/>
              </w:rPr>
              <w:t>工作井围护结构、工作井</w:t>
            </w:r>
          </w:p>
        </w:tc>
        <w:tc>
          <w:tcPr>
            <w:tcW w:w="2693" w:type="dxa"/>
            <w:vAlign w:val="center"/>
          </w:tcPr>
          <w:p>
            <w:pPr>
              <w:rPr>
                <w:rFonts w:ascii="宋体" w:hAnsi="宋体"/>
                <w:sz w:val="21"/>
                <w:szCs w:val="18"/>
              </w:rPr>
            </w:pPr>
            <w:r>
              <w:rPr>
                <w:rFonts w:hint="eastAsia" w:ascii="宋体" w:hAnsi="宋体"/>
                <w:sz w:val="21"/>
                <w:szCs w:val="18"/>
              </w:rPr>
              <w:t>每座井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828" w:type="dxa"/>
            <w:vMerge w:val="continue"/>
            <w:vAlign w:val="center"/>
          </w:tcPr>
          <w:p>
            <w:pPr>
              <w:jc w:val="center"/>
              <w:rPr>
                <w:rFonts w:ascii="宋体" w:hAnsi="宋体"/>
                <w:sz w:val="21"/>
                <w:szCs w:val="18"/>
              </w:rPr>
            </w:pPr>
          </w:p>
        </w:tc>
        <w:tc>
          <w:tcPr>
            <w:tcW w:w="2442" w:type="dxa"/>
            <w:vAlign w:val="center"/>
          </w:tcPr>
          <w:p>
            <w:pPr>
              <w:jc w:val="center"/>
              <w:rPr>
                <w:rFonts w:ascii="宋体" w:hAnsi="宋体"/>
                <w:sz w:val="21"/>
                <w:szCs w:val="18"/>
              </w:rPr>
            </w:pPr>
            <w:r>
              <w:rPr>
                <w:rFonts w:hint="eastAsia" w:ascii="宋体" w:hAnsi="宋体"/>
                <w:sz w:val="21"/>
                <w:szCs w:val="18"/>
              </w:rPr>
              <w:t>顶管</w:t>
            </w:r>
          </w:p>
        </w:tc>
        <w:tc>
          <w:tcPr>
            <w:tcW w:w="2378" w:type="dxa"/>
            <w:vAlign w:val="center"/>
          </w:tcPr>
          <w:p>
            <w:pPr>
              <w:jc w:val="center"/>
              <w:rPr>
                <w:rFonts w:ascii="宋体" w:hAnsi="宋体"/>
                <w:sz w:val="21"/>
                <w:szCs w:val="18"/>
              </w:rPr>
            </w:pPr>
            <w:r>
              <w:rPr>
                <w:rFonts w:hint="eastAsia" w:ascii="宋体" w:hAnsi="宋体"/>
                <w:sz w:val="21"/>
                <w:szCs w:val="18"/>
              </w:rPr>
              <w:t>管道接口连接、钢筋混凝土管管节</w:t>
            </w:r>
          </w:p>
        </w:tc>
        <w:tc>
          <w:tcPr>
            <w:tcW w:w="2693" w:type="dxa"/>
            <w:vAlign w:val="center"/>
          </w:tcPr>
          <w:p>
            <w:pPr>
              <w:rPr>
                <w:rFonts w:ascii="宋体" w:hAnsi="宋体"/>
                <w:sz w:val="21"/>
                <w:szCs w:val="18"/>
              </w:rPr>
            </w:pPr>
            <w:r>
              <w:rPr>
                <w:rFonts w:hint="eastAsia" w:ascii="宋体" w:hAnsi="宋体"/>
                <w:sz w:val="21"/>
                <w:szCs w:val="18"/>
              </w:rPr>
              <w:t>顶管顶进：每节段；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828" w:type="dxa"/>
            <w:vMerge w:val="continue"/>
            <w:vAlign w:val="center"/>
          </w:tcPr>
          <w:p>
            <w:pPr>
              <w:jc w:val="center"/>
              <w:rPr>
                <w:rFonts w:ascii="宋体" w:hAnsi="宋体"/>
                <w:sz w:val="21"/>
                <w:szCs w:val="18"/>
              </w:rPr>
            </w:pPr>
          </w:p>
        </w:tc>
        <w:tc>
          <w:tcPr>
            <w:tcW w:w="2442" w:type="dxa"/>
            <w:vAlign w:val="center"/>
          </w:tcPr>
          <w:p>
            <w:pPr>
              <w:jc w:val="center"/>
              <w:rPr>
                <w:rFonts w:ascii="宋体" w:hAnsi="宋体"/>
                <w:sz w:val="21"/>
                <w:szCs w:val="18"/>
              </w:rPr>
            </w:pPr>
            <w:r>
              <w:rPr>
                <w:rFonts w:hint="eastAsia" w:ascii="宋体" w:hAnsi="宋体"/>
                <w:sz w:val="21"/>
                <w:szCs w:val="18"/>
              </w:rPr>
              <w:t>混凝土压重工程</w:t>
            </w:r>
          </w:p>
        </w:tc>
        <w:tc>
          <w:tcPr>
            <w:tcW w:w="2378" w:type="dxa"/>
            <w:vAlign w:val="center"/>
          </w:tcPr>
          <w:p>
            <w:pPr>
              <w:jc w:val="center"/>
              <w:rPr>
                <w:rFonts w:ascii="宋体" w:hAnsi="宋体"/>
                <w:sz w:val="21"/>
                <w:szCs w:val="18"/>
              </w:rPr>
            </w:pPr>
            <w:r>
              <w:rPr>
                <w:rFonts w:hint="eastAsia" w:ascii="宋体" w:hAnsi="宋体"/>
                <w:sz w:val="21"/>
                <w:szCs w:val="18"/>
              </w:rPr>
              <w:t>混凝土浇筑</w:t>
            </w:r>
          </w:p>
        </w:tc>
        <w:tc>
          <w:tcPr>
            <w:tcW w:w="2693" w:type="dxa"/>
            <w:vAlign w:val="center"/>
          </w:tcPr>
          <w:p>
            <w:pPr>
              <w:rPr>
                <w:rFonts w:ascii="宋体" w:hAnsi="宋体"/>
                <w:sz w:val="21"/>
                <w:szCs w:val="18"/>
              </w:rPr>
            </w:pPr>
            <w:r>
              <w:rPr>
                <w:rFonts w:hint="eastAsia" w:ascii="宋体" w:hAnsi="宋体"/>
                <w:sz w:val="21"/>
                <w:szCs w:val="18"/>
              </w:rPr>
              <w:t>每一分段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828" w:type="dxa"/>
            <w:vMerge w:val="continue"/>
            <w:vAlign w:val="center"/>
          </w:tcPr>
          <w:p>
            <w:pPr>
              <w:jc w:val="center"/>
              <w:rPr>
                <w:rFonts w:ascii="宋体" w:hAnsi="宋体"/>
                <w:sz w:val="21"/>
                <w:szCs w:val="18"/>
              </w:rPr>
            </w:pPr>
          </w:p>
        </w:tc>
        <w:tc>
          <w:tcPr>
            <w:tcW w:w="2442" w:type="dxa"/>
            <w:vAlign w:val="center"/>
          </w:tcPr>
          <w:p>
            <w:pPr>
              <w:jc w:val="center"/>
              <w:rPr>
                <w:rFonts w:ascii="宋体" w:hAnsi="宋体"/>
                <w:sz w:val="21"/>
                <w:szCs w:val="18"/>
              </w:rPr>
            </w:pPr>
            <w:r>
              <w:rPr>
                <w:rFonts w:hint="eastAsia" w:ascii="宋体" w:hAnsi="宋体"/>
                <w:sz w:val="21"/>
                <w:szCs w:val="18"/>
              </w:rPr>
              <w:t>排水工程</w:t>
            </w:r>
          </w:p>
        </w:tc>
        <w:tc>
          <w:tcPr>
            <w:tcW w:w="2378" w:type="dxa"/>
            <w:vAlign w:val="center"/>
          </w:tcPr>
          <w:p>
            <w:pPr>
              <w:jc w:val="center"/>
              <w:rPr>
                <w:rFonts w:ascii="宋体" w:hAnsi="宋体"/>
                <w:sz w:val="21"/>
                <w:szCs w:val="18"/>
              </w:rPr>
            </w:pPr>
            <w:r>
              <w:rPr>
                <w:rFonts w:hint="eastAsia" w:ascii="宋体" w:hAnsi="宋体"/>
                <w:sz w:val="21"/>
                <w:szCs w:val="18"/>
              </w:rPr>
              <w:t>排水沟渠施工</w:t>
            </w:r>
          </w:p>
        </w:tc>
        <w:tc>
          <w:tcPr>
            <w:tcW w:w="2693" w:type="dxa"/>
            <w:vAlign w:val="center"/>
          </w:tcPr>
          <w:p>
            <w:pPr>
              <w:rPr>
                <w:rFonts w:ascii="宋体" w:hAnsi="宋体"/>
                <w:sz w:val="21"/>
                <w:szCs w:val="18"/>
              </w:rPr>
            </w:pPr>
            <w:r>
              <w:rPr>
                <w:rFonts w:hint="eastAsia" w:ascii="宋体" w:hAnsi="宋体"/>
                <w:sz w:val="21"/>
                <w:szCs w:val="18"/>
              </w:rPr>
              <w:t>每一分段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828" w:type="dxa"/>
            <w:vMerge w:val="continue"/>
            <w:vAlign w:val="center"/>
          </w:tcPr>
          <w:p>
            <w:pPr>
              <w:jc w:val="center"/>
              <w:rPr>
                <w:rFonts w:ascii="宋体" w:hAnsi="宋体"/>
                <w:sz w:val="21"/>
                <w:szCs w:val="18"/>
              </w:rPr>
            </w:pPr>
          </w:p>
        </w:tc>
        <w:tc>
          <w:tcPr>
            <w:tcW w:w="2442" w:type="dxa"/>
            <w:vAlign w:val="center"/>
          </w:tcPr>
          <w:p>
            <w:pPr>
              <w:jc w:val="center"/>
              <w:rPr>
                <w:rFonts w:ascii="宋体" w:hAnsi="宋体"/>
                <w:sz w:val="21"/>
                <w:szCs w:val="18"/>
              </w:rPr>
            </w:pPr>
            <w:r>
              <w:rPr>
                <w:rFonts w:hint="eastAsia" w:ascii="宋体" w:hAnsi="宋体"/>
                <w:sz w:val="21"/>
                <w:szCs w:val="18"/>
              </w:rPr>
              <w:t>沥青路面工程</w:t>
            </w:r>
          </w:p>
        </w:tc>
        <w:tc>
          <w:tcPr>
            <w:tcW w:w="2378" w:type="dxa"/>
            <w:vAlign w:val="center"/>
          </w:tcPr>
          <w:p>
            <w:pPr>
              <w:jc w:val="center"/>
              <w:rPr>
                <w:rFonts w:ascii="宋体" w:hAnsi="宋体"/>
                <w:sz w:val="21"/>
                <w:szCs w:val="18"/>
              </w:rPr>
            </w:pPr>
            <w:r>
              <w:rPr>
                <w:rFonts w:hint="eastAsia" w:ascii="宋体" w:hAnsi="宋体"/>
                <w:sz w:val="21"/>
                <w:szCs w:val="18"/>
              </w:rPr>
              <w:t>沥青路面施工</w:t>
            </w:r>
          </w:p>
        </w:tc>
        <w:tc>
          <w:tcPr>
            <w:tcW w:w="2693" w:type="dxa"/>
            <w:vAlign w:val="center"/>
          </w:tcPr>
          <w:p>
            <w:pPr>
              <w:rPr>
                <w:rFonts w:ascii="宋体" w:hAnsi="宋体"/>
                <w:sz w:val="21"/>
                <w:szCs w:val="18"/>
              </w:rPr>
            </w:pPr>
            <w:r>
              <w:rPr>
                <w:rFonts w:hint="eastAsia" w:ascii="宋体" w:hAnsi="宋体"/>
                <w:sz w:val="21"/>
                <w:szCs w:val="18"/>
              </w:rPr>
              <w:t>每一分段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828" w:type="dxa"/>
            <w:vMerge w:val="continue"/>
            <w:vAlign w:val="center"/>
          </w:tcPr>
          <w:p>
            <w:pPr>
              <w:jc w:val="center"/>
              <w:rPr>
                <w:rFonts w:ascii="宋体" w:hAnsi="宋体"/>
                <w:sz w:val="21"/>
                <w:szCs w:val="18"/>
              </w:rPr>
            </w:pPr>
          </w:p>
        </w:tc>
        <w:tc>
          <w:tcPr>
            <w:tcW w:w="2442" w:type="dxa"/>
            <w:vAlign w:val="center"/>
          </w:tcPr>
          <w:p>
            <w:pPr>
              <w:jc w:val="center"/>
              <w:rPr>
                <w:rFonts w:ascii="宋体" w:hAnsi="宋体"/>
                <w:sz w:val="21"/>
                <w:szCs w:val="18"/>
              </w:rPr>
            </w:pPr>
            <w:r>
              <w:rPr>
                <w:rFonts w:hint="eastAsia" w:ascii="宋体" w:hAnsi="宋体"/>
                <w:sz w:val="21"/>
                <w:szCs w:val="18"/>
              </w:rPr>
              <w:t>装饰工程</w:t>
            </w:r>
          </w:p>
        </w:tc>
        <w:tc>
          <w:tcPr>
            <w:tcW w:w="2378" w:type="dxa"/>
            <w:vAlign w:val="center"/>
          </w:tcPr>
          <w:p>
            <w:pPr>
              <w:jc w:val="center"/>
              <w:rPr>
                <w:rFonts w:ascii="宋体" w:hAnsi="宋体"/>
                <w:sz w:val="21"/>
                <w:szCs w:val="18"/>
              </w:rPr>
            </w:pPr>
            <w:r>
              <w:rPr>
                <w:rFonts w:hint="eastAsia" w:ascii="宋体" w:hAnsi="宋体"/>
                <w:sz w:val="21"/>
                <w:szCs w:val="18"/>
              </w:rPr>
              <w:t>装饰侧墙、顶板施工</w:t>
            </w:r>
          </w:p>
        </w:tc>
        <w:tc>
          <w:tcPr>
            <w:tcW w:w="2693" w:type="dxa"/>
            <w:vAlign w:val="center"/>
          </w:tcPr>
          <w:p>
            <w:pPr>
              <w:rPr>
                <w:rFonts w:ascii="宋体" w:hAnsi="宋体"/>
                <w:sz w:val="21"/>
                <w:szCs w:val="18"/>
              </w:rPr>
            </w:pPr>
            <w:r>
              <w:rPr>
                <w:rFonts w:hint="eastAsia" w:ascii="宋体" w:hAnsi="宋体"/>
                <w:sz w:val="21"/>
                <w:szCs w:val="18"/>
              </w:rPr>
              <w:t>每一分段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828" w:type="dxa"/>
            <w:vMerge w:val="continue"/>
            <w:vAlign w:val="center"/>
          </w:tcPr>
          <w:p>
            <w:pPr>
              <w:jc w:val="center"/>
              <w:rPr>
                <w:rFonts w:ascii="宋体" w:hAnsi="宋体"/>
                <w:sz w:val="21"/>
                <w:szCs w:val="18"/>
              </w:rPr>
            </w:pPr>
          </w:p>
        </w:tc>
        <w:tc>
          <w:tcPr>
            <w:tcW w:w="2442" w:type="dxa"/>
            <w:vAlign w:val="center"/>
          </w:tcPr>
          <w:p>
            <w:pPr>
              <w:jc w:val="center"/>
              <w:rPr>
                <w:rFonts w:ascii="宋体" w:hAnsi="宋体"/>
                <w:sz w:val="21"/>
                <w:szCs w:val="18"/>
              </w:rPr>
            </w:pPr>
            <w:r>
              <w:rPr>
                <w:rFonts w:hint="eastAsia" w:ascii="宋体" w:hAnsi="宋体"/>
                <w:sz w:val="21"/>
                <w:szCs w:val="18"/>
              </w:rPr>
              <w:t>机电工程</w:t>
            </w:r>
          </w:p>
        </w:tc>
        <w:tc>
          <w:tcPr>
            <w:tcW w:w="2378" w:type="dxa"/>
            <w:vAlign w:val="center"/>
          </w:tcPr>
          <w:p>
            <w:pPr>
              <w:jc w:val="center"/>
              <w:rPr>
                <w:rFonts w:ascii="宋体" w:hAnsi="宋体"/>
                <w:sz w:val="21"/>
                <w:szCs w:val="18"/>
              </w:rPr>
            </w:pPr>
            <w:r>
              <w:rPr>
                <w:rFonts w:hint="eastAsia" w:ascii="宋体" w:hAnsi="宋体"/>
                <w:sz w:val="21"/>
                <w:szCs w:val="18"/>
              </w:rPr>
              <w:t>机电安装</w:t>
            </w:r>
          </w:p>
        </w:tc>
        <w:tc>
          <w:tcPr>
            <w:tcW w:w="2693" w:type="dxa"/>
            <w:vAlign w:val="center"/>
          </w:tcPr>
          <w:p>
            <w:pPr>
              <w:rPr>
                <w:rFonts w:ascii="宋体" w:hAnsi="宋体"/>
                <w:sz w:val="21"/>
                <w:szCs w:val="18"/>
              </w:rPr>
            </w:pPr>
            <w:r>
              <w:rPr>
                <w:rFonts w:hint="eastAsia" w:ascii="宋体" w:hAnsi="宋体"/>
                <w:sz w:val="21"/>
                <w:szCs w:val="18"/>
              </w:rPr>
              <w:t>每一设备或设施</w:t>
            </w:r>
          </w:p>
        </w:tc>
      </w:tr>
    </w:tbl>
    <w:p>
      <w:pPr>
        <w:ind w:firstLine="480" w:firstLineChars="200"/>
      </w:pPr>
      <w:r>
        <w:t>注</w:t>
      </w:r>
      <w:r>
        <w:rPr>
          <w:rFonts w:hint="eastAsia"/>
        </w:rPr>
        <w:t>：</w:t>
      </w:r>
      <w:r>
        <w:t>1  地下铁道矩形顶管工程的排水工程可按现行国家标准《地下铁道工程施工标准》</w:t>
      </w:r>
      <w:r>
        <w:rPr>
          <w:rFonts w:hint="eastAsia"/>
        </w:rPr>
        <w:t>G</w:t>
      </w:r>
      <w:r>
        <w:t>B 51310相关规定执行。</w:t>
      </w:r>
    </w:p>
    <w:p>
      <w:pPr>
        <w:ind w:firstLine="960" w:firstLineChars="400"/>
      </w:pPr>
      <w:r>
        <w:t>2  人行地道矩形顶管工程的排水工程可按现行国家行业标准《城镇道路工程施工验收规范》CJJ 1的规定执行。</w:t>
      </w:r>
    </w:p>
    <w:p>
      <w:pPr>
        <w:ind w:firstLine="960" w:firstLineChars="400"/>
      </w:pPr>
      <w:r>
        <w:t>3 车行隧道矩形顶管工程的沥青路面工程可按现行国家行业标准《城镇道路工程施工验收规范》CJJ 1的规定执行。</w:t>
      </w:r>
    </w:p>
    <w:p>
      <w:pPr>
        <w:ind w:firstLine="960" w:firstLineChars="400"/>
      </w:pPr>
      <w:r>
        <w:t>4  装饰工程可按现行国家标准《建筑装饰装修工程施工质量验收规范》GB 50210 等相关规定执行。</w:t>
      </w:r>
    </w:p>
    <w:p>
      <w:pPr>
        <w:ind w:firstLine="960" w:firstLineChars="400"/>
      </w:pPr>
      <w:r>
        <w:t>5  机电工程可按现行相关国家、行业标准执行。</w:t>
      </w:r>
    </w:p>
    <w:p>
      <w:pPr>
        <w:rPr>
          <w:b/>
        </w:rPr>
      </w:pPr>
      <w:bookmarkStart w:id="288" w:name="_Toc448396210"/>
    </w:p>
    <w:p>
      <w:pPr>
        <w:rPr>
          <w:b/>
        </w:rPr>
      </w:pPr>
    </w:p>
    <w:p>
      <w:pPr>
        <w:rPr>
          <w:b/>
        </w:rPr>
        <w:sectPr>
          <w:pgSz w:w="12240" w:h="15840"/>
          <w:pgMar w:top="1440" w:right="1440" w:bottom="1440" w:left="1440" w:header="720" w:footer="720" w:gutter="0"/>
          <w:cols w:space="720" w:num="1"/>
          <w:docGrid w:linePitch="360" w:charSpace="0"/>
        </w:sectPr>
      </w:pPr>
    </w:p>
    <w:p>
      <w:pPr>
        <w:jc w:val="center"/>
        <w:rPr>
          <w:b/>
          <w:sz w:val="28"/>
          <w:szCs w:val="22"/>
        </w:rPr>
      </w:pPr>
      <w:r>
        <w:rPr>
          <w:rFonts w:hint="eastAsia"/>
          <w:b/>
          <w:sz w:val="28"/>
          <w:szCs w:val="22"/>
        </w:rPr>
        <w:t>附录B</w:t>
      </w:r>
      <w:r>
        <w:rPr>
          <w:b/>
          <w:sz w:val="28"/>
          <w:szCs w:val="22"/>
        </w:rPr>
        <w:t xml:space="preserve">  </w:t>
      </w:r>
      <w:r>
        <w:rPr>
          <w:rFonts w:hint="eastAsia"/>
          <w:b/>
          <w:sz w:val="28"/>
          <w:szCs w:val="22"/>
        </w:rPr>
        <w:t>质量验收记录</w:t>
      </w:r>
      <w:bookmarkEnd w:id="288"/>
    </w:p>
    <w:p>
      <w:pPr>
        <w:rPr>
          <w:rFonts w:ascii="宋体" w:hAnsi="宋体"/>
        </w:rPr>
      </w:pPr>
      <w:r>
        <w:rPr>
          <w:b/>
        </w:rPr>
        <w:t>B.0.1</w:t>
      </w:r>
      <w:r>
        <w:rPr>
          <w:rFonts w:hint="eastAsia" w:ascii="宋体" w:hAnsi="宋体"/>
          <w:b/>
        </w:rPr>
        <w:t xml:space="preserve"> </w:t>
      </w:r>
      <w:r>
        <w:rPr>
          <w:rFonts w:ascii="宋体" w:hAnsi="宋体"/>
          <w:b/>
        </w:rPr>
        <w:t xml:space="preserve"> </w:t>
      </w:r>
      <w:r>
        <w:t>检验批的质量验收记录由施工项目专业质量检查员填写，专业监理工程师（建设项目专业技术负责人）组织施工项目专业质量检查员、工长等进行验收，并按表B.0.1记录</w:t>
      </w:r>
      <w:r>
        <w:rPr>
          <w:rFonts w:ascii="宋体" w:hAnsi="宋体"/>
        </w:rPr>
        <w:t>。</w:t>
      </w:r>
    </w:p>
    <w:p>
      <w:pPr>
        <w:jc w:val="center"/>
        <w:rPr>
          <w:b/>
          <w:bCs/>
          <w:sz w:val="21"/>
          <w:szCs w:val="18"/>
        </w:rPr>
      </w:pPr>
      <w:r>
        <w:rPr>
          <w:b/>
          <w:bCs/>
          <w:sz w:val="21"/>
          <w:szCs w:val="18"/>
        </w:rPr>
        <w:t xml:space="preserve">表B.0.1 </w:t>
      </w:r>
      <w:r>
        <w:rPr>
          <w:rFonts w:hint="eastAsia"/>
          <w:b/>
          <w:bCs/>
          <w:sz w:val="21"/>
          <w:szCs w:val="18"/>
        </w:rPr>
        <w:t xml:space="preserve"> </w:t>
      </w:r>
      <w:r>
        <w:rPr>
          <w:b/>
          <w:sz w:val="21"/>
          <w:szCs w:val="18"/>
        </w:rPr>
        <w:t>分项工程（检验批）</w:t>
      </w:r>
      <w:r>
        <w:rPr>
          <w:b/>
          <w:bCs/>
          <w:sz w:val="21"/>
          <w:szCs w:val="18"/>
        </w:rPr>
        <w:t>质量验收记录表</w:t>
      </w:r>
    </w:p>
    <w:p>
      <w:pPr>
        <w:jc w:val="center"/>
        <w:rPr>
          <w:rFonts w:ascii="宋体" w:hAnsi="宋体"/>
          <w:bCs/>
          <w:sz w:val="21"/>
          <w:szCs w:val="18"/>
        </w:rPr>
      </w:pPr>
      <w:r>
        <w:rPr>
          <w:rFonts w:hint="eastAsia" w:ascii="宋体" w:hAnsi="宋体"/>
          <w:bCs/>
        </w:rPr>
        <w:t xml:space="preserve">                                                           </w:t>
      </w:r>
      <w:r>
        <w:rPr>
          <w:rFonts w:hint="eastAsia" w:ascii="宋体" w:hAnsi="宋体"/>
          <w:bCs/>
          <w:sz w:val="21"/>
          <w:szCs w:val="18"/>
        </w:rPr>
        <w:t xml:space="preserve">    编号:__________</w:t>
      </w:r>
    </w:p>
    <w:tbl>
      <w:tblPr>
        <w:tblStyle w:val="36"/>
        <w:tblW w:w="96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0"/>
        <w:gridCol w:w="1080"/>
        <w:gridCol w:w="300"/>
        <w:gridCol w:w="900"/>
        <w:gridCol w:w="348"/>
        <w:gridCol w:w="348"/>
        <w:gridCol w:w="348"/>
        <w:gridCol w:w="348"/>
        <w:gridCol w:w="348"/>
        <w:gridCol w:w="31"/>
        <w:gridCol w:w="317"/>
        <w:gridCol w:w="348"/>
        <w:gridCol w:w="348"/>
        <w:gridCol w:w="348"/>
        <w:gridCol w:w="288"/>
        <w:gridCol w:w="60"/>
        <w:gridCol w:w="348"/>
        <w:gridCol w:w="348"/>
        <w:gridCol w:w="324"/>
        <w:gridCol w:w="24"/>
        <w:gridCol w:w="348"/>
        <w:gridCol w:w="348"/>
        <w:gridCol w:w="720"/>
        <w:gridCol w:w="9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0" w:type="dxa"/>
            <w:gridSpan w:val="2"/>
            <w:vAlign w:val="center"/>
          </w:tcPr>
          <w:p>
            <w:pPr>
              <w:jc w:val="center"/>
              <w:rPr>
                <w:rFonts w:ascii="宋体" w:hAnsi="宋体"/>
                <w:sz w:val="21"/>
              </w:rPr>
            </w:pPr>
            <w:r>
              <w:rPr>
                <w:rFonts w:hint="eastAsia" w:ascii="宋体" w:hAnsi="宋体"/>
                <w:sz w:val="21"/>
              </w:rPr>
              <w:t>工程名称</w:t>
            </w:r>
          </w:p>
        </w:tc>
        <w:tc>
          <w:tcPr>
            <w:tcW w:w="2971" w:type="dxa"/>
            <w:gridSpan w:val="8"/>
            <w:vAlign w:val="center"/>
          </w:tcPr>
          <w:p>
            <w:pPr>
              <w:jc w:val="center"/>
              <w:rPr>
                <w:rFonts w:ascii="宋体" w:hAnsi="宋体"/>
                <w:sz w:val="21"/>
              </w:rPr>
            </w:pPr>
          </w:p>
        </w:tc>
        <w:tc>
          <w:tcPr>
            <w:tcW w:w="1649" w:type="dxa"/>
            <w:gridSpan w:val="5"/>
            <w:vAlign w:val="center"/>
          </w:tcPr>
          <w:p>
            <w:pPr>
              <w:jc w:val="center"/>
              <w:rPr>
                <w:rFonts w:ascii="宋体" w:hAnsi="宋体"/>
                <w:spacing w:val="-20"/>
                <w:sz w:val="21"/>
              </w:rPr>
            </w:pPr>
            <w:r>
              <w:rPr>
                <w:rFonts w:hint="eastAsia" w:ascii="宋体" w:hAnsi="宋体"/>
                <w:spacing w:val="-20"/>
                <w:sz w:val="21"/>
              </w:rPr>
              <w:t>分部工程名称</w:t>
            </w:r>
          </w:p>
        </w:tc>
        <w:tc>
          <w:tcPr>
            <w:tcW w:w="1080" w:type="dxa"/>
            <w:gridSpan w:val="4"/>
            <w:vAlign w:val="center"/>
          </w:tcPr>
          <w:p>
            <w:pPr>
              <w:jc w:val="center"/>
              <w:rPr>
                <w:rFonts w:ascii="宋体" w:hAnsi="宋体"/>
                <w:sz w:val="21"/>
              </w:rPr>
            </w:pPr>
          </w:p>
        </w:tc>
        <w:tc>
          <w:tcPr>
            <w:tcW w:w="1440" w:type="dxa"/>
            <w:gridSpan w:val="4"/>
            <w:vAlign w:val="center"/>
          </w:tcPr>
          <w:p>
            <w:pPr>
              <w:jc w:val="center"/>
              <w:rPr>
                <w:rFonts w:ascii="宋体" w:hAnsi="宋体"/>
                <w:spacing w:val="-20"/>
                <w:sz w:val="21"/>
              </w:rPr>
            </w:pPr>
            <w:r>
              <w:rPr>
                <w:rFonts w:hint="eastAsia" w:ascii="宋体" w:hAnsi="宋体"/>
                <w:spacing w:val="-20"/>
                <w:sz w:val="21"/>
              </w:rPr>
              <w:t>分项工程名称</w:t>
            </w:r>
          </w:p>
        </w:tc>
        <w:tc>
          <w:tcPr>
            <w:tcW w:w="900" w:type="dxa"/>
            <w:vAlign w:val="center"/>
          </w:tcPr>
          <w:p>
            <w:pPr>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0" w:type="dxa"/>
            <w:gridSpan w:val="2"/>
            <w:vAlign w:val="center"/>
          </w:tcPr>
          <w:p>
            <w:pPr>
              <w:jc w:val="center"/>
              <w:rPr>
                <w:rFonts w:ascii="宋体" w:hAnsi="宋体"/>
                <w:sz w:val="21"/>
              </w:rPr>
            </w:pPr>
            <w:r>
              <w:rPr>
                <w:rFonts w:hint="eastAsia" w:ascii="宋体" w:hAnsi="宋体"/>
                <w:sz w:val="21"/>
              </w:rPr>
              <w:t>施工单位</w:t>
            </w:r>
          </w:p>
        </w:tc>
        <w:tc>
          <w:tcPr>
            <w:tcW w:w="2971" w:type="dxa"/>
            <w:gridSpan w:val="8"/>
            <w:vAlign w:val="center"/>
          </w:tcPr>
          <w:p>
            <w:pPr>
              <w:jc w:val="center"/>
              <w:rPr>
                <w:rFonts w:ascii="宋体" w:hAnsi="宋体"/>
                <w:sz w:val="21"/>
              </w:rPr>
            </w:pPr>
          </w:p>
        </w:tc>
        <w:tc>
          <w:tcPr>
            <w:tcW w:w="1649" w:type="dxa"/>
            <w:gridSpan w:val="5"/>
            <w:vAlign w:val="center"/>
          </w:tcPr>
          <w:p>
            <w:pPr>
              <w:jc w:val="center"/>
              <w:rPr>
                <w:rFonts w:ascii="宋体" w:hAnsi="宋体"/>
                <w:sz w:val="21"/>
              </w:rPr>
            </w:pPr>
            <w:r>
              <w:rPr>
                <w:rFonts w:hint="eastAsia" w:ascii="宋体" w:hAnsi="宋体"/>
                <w:sz w:val="21"/>
              </w:rPr>
              <w:t>项目经理</w:t>
            </w:r>
          </w:p>
        </w:tc>
        <w:tc>
          <w:tcPr>
            <w:tcW w:w="1080" w:type="dxa"/>
            <w:gridSpan w:val="4"/>
            <w:vAlign w:val="center"/>
          </w:tcPr>
          <w:p>
            <w:pPr>
              <w:jc w:val="center"/>
              <w:rPr>
                <w:rFonts w:ascii="宋体" w:hAnsi="宋体"/>
                <w:sz w:val="21"/>
              </w:rPr>
            </w:pPr>
          </w:p>
        </w:tc>
        <w:tc>
          <w:tcPr>
            <w:tcW w:w="1440" w:type="dxa"/>
            <w:gridSpan w:val="4"/>
            <w:vAlign w:val="center"/>
          </w:tcPr>
          <w:p>
            <w:pPr>
              <w:jc w:val="center"/>
              <w:rPr>
                <w:rFonts w:ascii="宋体" w:hAnsi="宋体"/>
                <w:sz w:val="21"/>
              </w:rPr>
            </w:pPr>
            <w:r>
              <w:rPr>
                <w:rFonts w:hint="eastAsia" w:ascii="宋体" w:hAnsi="宋体"/>
                <w:sz w:val="21"/>
              </w:rPr>
              <w:t>专业工长</w:t>
            </w:r>
          </w:p>
        </w:tc>
        <w:tc>
          <w:tcPr>
            <w:tcW w:w="900" w:type="dxa"/>
            <w:vAlign w:val="center"/>
          </w:tcPr>
          <w:p>
            <w:pPr>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60" w:type="dxa"/>
            <w:gridSpan w:val="3"/>
            <w:vAlign w:val="center"/>
          </w:tcPr>
          <w:p>
            <w:pPr>
              <w:jc w:val="center"/>
              <w:rPr>
                <w:rFonts w:ascii="宋体" w:hAnsi="宋体"/>
                <w:sz w:val="21"/>
              </w:rPr>
            </w:pPr>
            <w:r>
              <w:rPr>
                <w:rFonts w:hint="eastAsia" w:ascii="宋体" w:hAnsi="宋体"/>
                <w:sz w:val="21"/>
              </w:rPr>
              <w:t>检验批名称、部位</w:t>
            </w:r>
          </w:p>
        </w:tc>
        <w:tc>
          <w:tcPr>
            <w:tcW w:w="7740" w:type="dxa"/>
            <w:gridSpan w:val="21"/>
            <w:vAlign w:val="center"/>
          </w:tcPr>
          <w:p>
            <w:pPr>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0" w:type="dxa"/>
            <w:gridSpan w:val="2"/>
            <w:vAlign w:val="center"/>
          </w:tcPr>
          <w:p>
            <w:pPr>
              <w:jc w:val="center"/>
              <w:rPr>
                <w:rFonts w:ascii="宋体" w:hAnsi="宋体"/>
                <w:sz w:val="21"/>
              </w:rPr>
            </w:pPr>
            <w:r>
              <w:rPr>
                <w:rFonts w:hint="eastAsia" w:ascii="宋体" w:hAnsi="宋体"/>
                <w:sz w:val="21"/>
              </w:rPr>
              <w:t>专业分包单位</w:t>
            </w:r>
          </w:p>
        </w:tc>
        <w:tc>
          <w:tcPr>
            <w:tcW w:w="2971" w:type="dxa"/>
            <w:gridSpan w:val="8"/>
            <w:vAlign w:val="center"/>
          </w:tcPr>
          <w:p>
            <w:pPr>
              <w:jc w:val="center"/>
              <w:rPr>
                <w:rFonts w:ascii="宋体" w:hAnsi="宋体"/>
                <w:sz w:val="21"/>
              </w:rPr>
            </w:pPr>
          </w:p>
        </w:tc>
        <w:tc>
          <w:tcPr>
            <w:tcW w:w="1649" w:type="dxa"/>
            <w:gridSpan w:val="5"/>
            <w:vAlign w:val="center"/>
          </w:tcPr>
          <w:p>
            <w:pPr>
              <w:jc w:val="center"/>
              <w:rPr>
                <w:rFonts w:ascii="宋体" w:hAnsi="宋体"/>
                <w:spacing w:val="-20"/>
                <w:sz w:val="21"/>
              </w:rPr>
            </w:pPr>
            <w:r>
              <w:rPr>
                <w:rFonts w:hint="eastAsia" w:ascii="宋体" w:hAnsi="宋体"/>
                <w:spacing w:val="-20"/>
                <w:sz w:val="21"/>
              </w:rPr>
              <w:t>专业分包项目经理</w:t>
            </w:r>
          </w:p>
        </w:tc>
        <w:tc>
          <w:tcPr>
            <w:tcW w:w="1080" w:type="dxa"/>
            <w:gridSpan w:val="4"/>
            <w:vAlign w:val="center"/>
          </w:tcPr>
          <w:p>
            <w:pPr>
              <w:jc w:val="center"/>
              <w:rPr>
                <w:rFonts w:ascii="宋体" w:hAnsi="宋体"/>
                <w:sz w:val="21"/>
              </w:rPr>
            </w:pPr>
          </w:p>
        </w:tc>
        <w:tc>
          <w:tcPr>
            <w:tcW w:w="1440" w:type="dxa"/>
            <w:gridSpan w:val="4"/>
            <w:vAlign w:val="center"/>
          </w:tcPr>
          <w:p>
            <w:pPr>
              <w:jc w:val="center"/>
              <w:rPr>
                <w:rFonts w:ascii="宋体" w:hAnsi="宋体"/>
                <w:sz w:val="21"/>
              </w:rPr>
            </w:pPr>
            <w:r>
              <w:rPr>
                <w:rFonts w:hint="eastAsia" w:ascii="宋体" w:hAnsi="宋体"/>
                <w:sz w:val="21"/>
              </w:rPr>
              <w:t>施工班组长</w:t>
            </w:r>
          </w:p>
        </w:tc>
        <w:tc>
          <w:tcPr>
            <w:tcW w:w="900" w:type="dxa"/>
            <w:vAlign w:val="center"/>
          </w:tcPr>
          <w:p>
            <w:pPr>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restart"/>
            <w:vAlign w:val="center"/>
          </w:tcPr>
          <w:p>
            <w:pPr>
              <w:rPr>
                <w:rFonts w:ascii="宋体" w:hAnsi="宋体"/>
                <w:sz w:val="21"/>
              </w:rPr>
            </w:pPr>
          </w:p>
          <w:p>
            <w:pPr>
              <w:jc w:val="center"/>
              <w:rPr>
                <w:rFonts w:ascii="宋体" w:hAnsi="宋体"/>
                <w:sz w:val="21"/>
              </w:rPr>
            </w:pPr>
            <w:r>
              <w:rPr>
                <w:rFonts w:hint="eastAsia" w:ascii="宋体" w:hAnsi="宋体"/>
                <w:sz w:val="21"/>
              </w:rPr>
              <w:t xml:space="preserve">主 </w:t>
            </w:r>
          </w:p>
          <w:p>
            <w:pPr>
              <w:jc w:val="center"/>
              <w:rPr>
                <w:rFonts w:ascii="宋体" w:hAnsi="宋体"/>
                <w:sz w:val="21"/>
              </w:rPr>
            </w:pPr>
          </w:p>
          <w:p>
            <w:pPr>
              <w:jc w:val="center"/>
              <w:rPr>
                <w:rFonts w:ascii="宋体" w:hAnsi="宋体"/>
                <w:sz w:val="21"/>
              </w:rPr>
            </w:pPr>
            <w:r>
              <w:rPr>
                <w:rFonts w:hint="eastAsia" w:ascii="宋体" w:hAnsi="宋体"/>
                <w:sz w:val="21"/>
              </w:rPr>
              <w:t>控</w:t>
            </w:r>
          </w:p>
          <w:p>
            <w:pPr>
              <w:jc w:val="center"/>
              <w:rPr>
                <w:rFonts w:ascii="宋体" w:hAnsi="宋体"/>
                <w:sz w:val="21"/>
              </w:rPr>
            </w:pPr>
          </w:p>
          <w:p>
            <w:pPr>
              <w:jc w:val="center"/>
              <w:rPr>
                <w:rFonts w:ascii="宋体" w:hAnsi="宋体"/>
                <w:sz w:val="21"/>
              </w:rPr>
            </w:pPr>
            <w:r>
              <w:rPr>
                <w:rFonts w:hint="eastAsia" w:ascii="宋体" w:hAnsi="宋体"/>
                <w:sz w:val="21"/>
              </w:rPr>
              <w:t>项</w:t>
            </w:r>
          </w:p>
          <w:p>
            <w:pPr>
              <w:jc w:val="center"/>
              <w:rPr>
                <w:rFonts w:ascii="宋体" w:hAnsi="宋体"/>
                <w:sz w:val="21"/>
              </w:rPr>
            </w:pPr>
          </w:p>
          <w:p>
            <w:pPr>
              <w:jc w:val="center"/>
              <w:rPr>
                <w:rFonts w:ascii="宋体" w:hAnsi="宋体"/>
                <w:sz w:val="21"/>
              </w:rPr>
            </w:pPr>
            <w:r>
              <w:rPr>
                <w:rFonts w:hint="eastAsia" w:ascii="宋体" w:hAnsi="宋体"/>
                <w:sz w:val="21"/>
              </w:rPr>
              <w:t>目</w:t>
            </w:r>
          </w:p>
        </w:tc>
        <w:tc>
          <w:tcPr>
            <w:tcW w:w="2280" w:type="dxa"/>
            <w:gridSpan w:val="3"/>
            <w:vAlign w:val="center"/>
          </w:tcPr>
          <w:p>
            <w:pPr>
              <w:jc w:val="center"/>
              <w:rPr>
                <w:rFonts w:ascii="宋体" w:hAnsi="宋体"/>
                <w:sz w:val="21"/>
              </w:rPr>
            </w:pPr>
            <w:r>
              <w:rPr>
                <w:rFonts w:hint="eastAsia" w:ascii="宋体" w:hAnsi="宋体"/>
                <w:sz w:val="21"/>
              </w:rPr>
              <w:t>质量验收规范规定的检查项目及验收标准</w:t>
            </w:r>
          </w:p>
        </w:tc>
        <w:tc>
          <w:tcPr>
            <w:tcW w:w="5220" w:type="dxa"/>
            <w:gridSpan w:val="18"/>
            <w:vAlign w:val="center"/>
          </w:tcPr>
          <w:p>
            <w:pPr>
              <w:jc w:val="center"/>
              <w:rPr>
                <w:rFonts w:ascii="宋体" w:hAnsi="宋体"/>
                <w:sz w:val="21"/>
              </w:rPr>
            </w:pPr>
            <w:r>
              <w:rPr>
                <w:rFonts w:hint="eastAsia" w:ascii="宋体" w:hAnsi="宋体"/>
                <w:sz w:val="21"/>
              </w:rPr>
              <w:t>施工单位检查评定记录</w:t>
            </w:r>
          </w:p>
        </w:tc>
        <w:tc>
          <w:tcPr>
            <w:tcW w:w="1620" w:type="dxa"/>
            <w:gridSpan w:val="2"/>
            <w:vAlign w:val="center"/>
          </w:tcPr>
          <w:p>
            <w:pPr>
              <w:jc w:val="center"/>
              <w:rPr>
                <w:rFonts w:ascii="宋体" w:hAnsi="宋体"/>
                <w:sz w:val="21"/>
              </w:rPr>
            </w:pPr>
            <w:r>
              <w:rPr>
                <w:rFonts w:hint="eastAsia" w:ascii="宋体" w:hAnsi="宋体"/>
                <w:sz w:val="21"/>
              </w:rPr>
              <w:t>监理(建设)</w:t>
            </w:r>
          </w:p>
          <w:p>
            <w:pPr>
              <w:jc w:val="center"/>
              <w:rPr>
                <w:rFonts w:ascii="宋体" w:hAnsi="宋体"/>
                <w:sz w:val="21"/>
              </w:rPr>
            </w:pPr>
            <w:r>
              <w:rPr>
                <w:rFonts w:hint="eastAsia" w:ascii="宋体" w:hAnsi="宋体"/>
                <w:sz w:val="21"/>
              </w:rPr>
              <w:t>单位验收记录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pStyle w:val="82"/>
              <w:rPr>
                <w:rFonts w:ascii="宋体" w:hAnsi="宋体"/>
                <w:sz w:val="21"/>
                <w:szCs w:val="21"/>
              </w:rPr>
            </w:pPr>
            <w:r>
              <w:rPr>
                <w:rFonts w:hint="eastAsia" w:ascii="宋体" w:hAnsi="宋体"/>
                <w:sz w:val="21"/>
                <w:szCs w:val="21"/>
              </w:rPr>
              <w:t>1</w:t>
            </w:r>
          </w:p>
        </w:tc>
        <w:tc>
          <w:tcPr>
            <w:tcW w:w="1200" w:type="dxa"/>
            <w:gridSpan w:val="2"/>
            <w:vAlign w:val="center"/>
          </w:tcPr>
          <w:p>
            <w:pPr>
              <w:jc w:val="center"/>
              <w:rPr>
                <w:rFonts w:ascii="宋体" w:hAnsi="宋体"/>
                <w:sz w:val="21"/>
              </w:rPr>
            </w:pPr>
          </w:p>
        </w:tc>
        <w:tc>
          <w:tcPr>
            <w:tcW w:w="5220" w:type="dxa"/>
            <w:gridSpan w:val="18"/>
            <w:vAlign w:val="center"/>
          </w:tcPr>
          <w:p>
            <w:pPr>
              <w:jc w:val="center"/>
              <w:rPr>
                <w:rFonts w:ascii="宋体" w:hAnsi="宋体"/>
                <w:sz w:val="21"/>
              </w:rPr>
            </w:pPr>
          </w:p>
        </w:tc>
        <w:tc>
          <w:tcPr>
            <w:tcW w:w="1620" w:type="dxa"/>
            <w:gridSpan w:val="2"/>
            <w:vMerge w:val="restart"/>
            <w:vAlign w:val="center"/>
          </w:tcPr>
          <w:p>
            <w:pPr>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rPr>
                <w:rFonts w:ascii="宋体" w:hAnsi="宋体"/>
                <w:sz w:val="21"/>
              </w:rPr>
            </w:pPr>
            <w:r>
              <w:rPr>
                <w:rFonts w:hint="eastAsia" w:ascii="宋体" w:hAnsi="宋体"/>
                <w:sz w:val="21"/>
              </w:rPr>
              <w:t>2</w:t>
            </w:r>
          </w:p>
        </w:tc>
        <w:tc>
          <w:tcPr>
            <w:tcW w:w="1200" w:type="dxa"/>
            <w:gridSpan w:val="2"/>
            <w:vAlign w:val="center"/>
          </w:tcPr>
          <w:p>
            <w:pPr>
              <w:jc w:val="center"/>
              <w:rPr>
                <w:rFonts w:ascii="宋体" w:hAnsi="宋体"/>
                <w:sz w:val="21"/>
              </w:rPr>
            </w:pPr>
          </w:p>
        </w:tc>
        <w:tc>
          <w:tcPr>
            <w:tcW w:w="5220" w:type="dxa"/>
            <w:gridSpan w:val="18"/>
            <w:vAlign w:val="center"/>
          </w:tcPr>
          <w:p>
            <w:pPr>
              <w:jc w:val="center"/>
              <w:rPr>
                <w:rFonts w:ascii="宋体" w:hAnsi="宋体"/>
                <w:sz w:val="21"/>
              </w:rPr>
            </w:pPr>
          </w:p>
        </w:tc>
        <w:tc>
          <w:tcPr>
            <w:tcW w:w="1620" w:type="dxa"/>
            <w:gridSpan w:val="2"/>
            <w:vMerge w:val="continue"/>
            <w:vAlign w:val="center"/>
          </w:tcPr>
          <w:p>
            <w:pPr>
              <w:widowControl/>
              <w:jc w:val="left"/>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rPr>
                <w:rFonts w:ascii="宋体" w:hAnsi="宋体"/>
                <w:sz w:val="21"/>
              </w:rPr>
            </w:pPr>
            <w:r>
              <w:rPr>
                <w:rFonts w:hint="eastAsia" w:ascii="宋体" w:hAnsi="宋体"/>
                <w:sz w:val="21"/>
              </w:rPr>
              <w:t>3</w:t>
            </w:r>
          </w:p>
        </w:tc>
        <w:tc>
          <w:tcPr>
            <w:tcW w:w="1200" w:type="dxa"/>
            <w:gridSpan w:val="2"/>
            <w:vAlign w:val="center"/>
          </w:tcPr>
          <w:p>
            <w:pPr>
              <w:jc w:val="center"/>
              <w:rPr>
                <w:rFonts w:ascii="宋体" w:hAnsi="宋体"/>
                <w:sz w:val="21"/>
              </w:rPr>
            </w:pPr>
          </w:p>
        </w:tc>
        <w:tc>
          <w:tcPr>
            <w:tcW w:w="5220" w:type="dxa"/>
            <w:gridSpan w:val="18"/>
            <w:vAlign w:val="center"/>
          </w:tcPr>
          <w:p>
            <w:pPr>
              <w:jc w:val="center"/>
              <w:rPr>
                <w:rFonts w:ascii="宋体" w:hAnsi="宋体"/>
                <w:sz w:val="21"/>
              </w:rPr>
            </w:pPr>
          </w:p>
        </w:tc>
        <w:tc>
          <w:tcPr>
            <w:tcW w:w="1620" w:type="dxa"/>
            <w:gridSpan w:val="2"/>
            <w:vMerge w:val="continue"/>
            <w:vAlign w:val="center"/>
          </w:tcPr>
          <w:p>
            <w:pPr>
              <w:widowControl/>
              <w:jc w:val="left"/>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rPr>
                <w:rFonts w:ascii="宋体" w:hAnsi="宋体"/>
                <w:sz w:val="21"/>
              </w:rPr>
            </w:pPr>
            <w:r>
              <w:rPr>
                <w:rFonts w:hint="eastAsia" w:ascii="宋体" w:hAnsi="宋体"/>
                <w:sz w:val="21"/>
              </w:rPr>
              <w:t>4</w:t>
            </w:r>
          </w:p>
        </w:tc>
        <w:tc>
          <w:tcPr>
            <w:tcW w:w="1200" w:type="dxa"/>
            <w:gridSpan w:val="2"/>
            <w:vAlign w:val="center"/>
          </w:tcPr>
          <w:p>
            <w:pPr>
              <w:jc w:val="center"/>
              <w:rPr>
                <w:rFonts w:ascii="宋体" w:hAnsi="宋体"/>
                <w:sz w:val="21"/>
              </w:rPr>
            </w:pPr>
          </w:p>
        </w:tc>
        <w:tc>
          <w:tcPr>
            <w:tcW w:w="5220" w:type="dxa"/>
            <w:gridSpan w:val="18"/>
            <w:vAlign w:val="center"/>
          </w:tcPr>
          <w:p>
            <w:pPr>
              <w:jc w:val="center"/>
              <w:rPr>
                <w:rFonts w:ascii="宋体" w:hAnsi="宋体"/>
                <w:sz w:val="21"/>
              </w:rPr>
            </w:pPr>
          </w:p>
        </w:tc>
        <w:tc>
          <w:tcPr>
            <w:tcW w:w="1620" w:type="dxa"/>
            <w:gridSpan w:val="2"/>
            <w:vMerge w:val="continue"/>
            <w:vAlign w:val="center"/>
          </w:tcPr>
          <w:p>
            <w:pPr>
              <w:widowControl/>
              <w:jc w:val="left"/>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rPr>
                <w:rFonts w:ascii="宋体" w:hAnsi="宋体"/>
                <w:sz w:val="21"/>
              </w:rPr>
            </w:pPr>
            <w:r>
              <w:rPr>
                <w:rFonts w:hint="eastAsia" w:ascii="宋体" w:hAnsi="宋体"/>
                <w:sz w:val="21"/>
              </w:rPr>
              <w:t>5</w:t>
            </w:r>
          </w:p>
        </w:tc>
        <w:tc>
          <w:tcPr>
            <w:tcW w:w="1200"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1620" w:type="dxa"/>
            <w:gridSpan w:val="2"/>
            <w:vAlign w:val="center"/>
          </w:tcPr>
          <w:p>
            <w:pPr>
              <w:widowControl/>
              <w:jc w:val="left"/>
              <w:rPr>
                <w:rFonts w:ascii="宋体" w:hAnsi="宋体"/>
                <w:sz w:val="21"/>
              </w:rPr>
            </w:pPr>
            <w:r>
              <w:rPr>
                <w:rFonts w:hint="eastAsia" w:ascii="宋体" w:hAnsi="宋体"/>
                <w:sz w:val="21"/>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pStyle w:val="82"/>
              <w:rPr>
                <w:rFonts w:ascii="宋体" w:hAnsi="宋体"/>
                <w:sz w:val="21"/>
                <w:szCs w:val="21"/>
              </w:rPr>
            </w:pPr>
            <w:r>
              <w:rPr>
                <w:rFonts w:hint="eastAsia" w:ascii="宋体" w:hAnsi="宋体"/>
                <w:sz w:val="21"/>
                <w:szCs w:val="21"/>
              </w:rPr>
              <w:t>6</w:t>
            </w:r>
          </w:p>
        </w:tc>
        <w:tc>
          <w:tcPr>
            <w:tcW w:w="1200"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1620" w:type="dxa"/>
            <w:gridSpan w:val="2"/>
            <w:vAlign w:val="center"/>
          </w:tcPr>
          <w:p>
            <w:pPr>
              <w:widowControl/>
              <w:jc w:val="left"/>
              <w:rPr>
                <w:rFonts w:ascii="宋体" w:hAnsi="宋体"/>
                <w:sz w:val="21"/>
              </w:rPr>
            </w:pPr>
            <w:r>
              <w:rPr>
                <w:rFonts w:hint="eastAsia" w:ascii="宋体" w:hAnsi="宋体"/>
                <w:sz w:val="21"/>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pStyle w:val="82"/>
              <w:rPr>
                <w:rFonts w:ascii="宋体" w:hAnsi="宋体"/>
                <w:sz w:val="21"/>
                <w:szCs w:val="21"/>
              </w:rPr>
            </w:pPr>
          </w:p>
        </w:tc>
        <w:tc>
          <w:tcPr>
            <w:tcW w:w="1200" w:type="dxa"/>
            <w:gridSpan w:val="2"/>
            <w:vAlign w:val="center"/>
          </w:tcPr>
          <w:p>
            <w:pPr>
              <w:jc w:val="center"/>
              <w:rPr>
                <w:rFonts w:ascii="宋体" w:hAnsi="宋体"/>
                <w:sz w:val="21"/>
              </w:rPr>
            </w:pPr>
          </w:p>
        </w:tc>
        <w:tc>
          <w:tcPr>
            <w:tcW w:w="5220" w:type="dxa"/>
            <w:gridSpan w:val="18"/>
            <w:vAlign w:val="center"/>
          </w:tcPr>
          <w:p>
            <w:pPr>
              <w:jc w:val="center"/>
              <w:rPr>
                <w:rFonts w:ascii="宋体" w:hAnsi="宋体"/>
                <w:sz w:val="21"/>
              </w:rPr>
            </w:pPr>
          </w:p>
        </w:tc>
        <w:tc>
          <w:tcPr>
            <w:tcW w:w="1620" w:type="dxa"/>
            <w:gridSpan w:val="2"/>
            <w:vAlign w:val="center"/>
          </w:tcPr>
          <w:p>
            <w:pPr>
              <w:widowControl/>
              <w:jc w:val="left"/>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restart"/>
            <w:vAlign w:val="center"/>
          </w:tcPr>
          <w:p>
            <w:pPr>
              <w:jc w:val="center"/>
              <w:rPr>
                <w:rFonts w:ascii="宋体" w:hAnsi="宋体"/>
                <w:sz w:val="21"/>
              </w:rPr>
            </w:pPr>
          </w:p>
          <w:p>
            <w:pPr>
              <w:jc w:val="center"/>
              <w:rPr>
                <w:rFonts w:ascii="宋体" w:hAnsi="宋体"/>
                <w:sz w:val="21"/>
              </w:rPr>
            </w:pPr>
            <w:r>
              <w:rPr>
                <w:rFonts w:hint="eastAsia" w:ascii="宋体" w:hAnsi="宋体"/>
                <w:sz w:val="21"/>
              </w:rPr>
              <w:t>一般项目</w:t>
            </w:r>
          </w:p>
        </w:tc>
        <w:tc>
          <w:tcPr>
            <w:tcW w:w="1080" w:type="dxa"/>
            <w:vAlign w:val="center"/>
          </w:tcPr>
          <w:p>
            <w:pPr>
              <w:rPr>
                <w:rFonts w:ascii="宋体" w:hAnsi="宋体"/>
                <w:sz w:val="21"/>
              </w:rPr>
            </w:pPr>
            <w:r>
              <w:rPr>
                <w:rFonts w:hint="eastAsia" w:ascii="宋体" w:hAnsi="宋体"/>
                <w:sz w:val="21"/>
              </w:rPr>
              <w:t>1</w:t>
            </w:r>
          </w:p>
        </w:tc>
        <w:tc>
          <w:tcPr>
            <w:tcW w:w="1200" w:type="dxa"/>
            <w:gridSpan w:val="2"/>
            <w:vAlign w:val="center"/>
          </w:tcPr>
          <w:p>
            <w:pPr>
              <w:jc w:val="center"/>
              <w:rPr>
                <w:rFonts w:ascii="宋体" w:hAnsi="宋体"/>
                <w:sz w:val="21"/>
              </w:rPr>
            </w:pPr>
          </w:p>
        </w:tc>
        <w:tc>
          <w:tcPr>
            <w:tcW w:w="5220" w:type="dxa"/>
            <w:gridSpan w:val="18"/>
            <w:vAlign w:val="center"/>
          </w:tcPr>
          <w:p>
            <w:pPr>
              <w:jc w:val="center"/>
              <w:rPr>
                <w:rFonts w:ascii="宋体" w:hAnsi="宋体"/>
                <w:sz w:val="21"/>
              </w:rPr>
            </w:pPr>
          </w:p>
        </w:tc>
        <w:tc>
          <w:tcPr>
            <w:tcW w:w="1620" w:type="dxa"/>
            <w:gridSpan w:val="2"/>
            <w:vMerge w:val="restart"/>
            <w:vAlign w:val="center"/>
          </w:tcPr>
          <w:p>
            <w:pPr>
              <w:widowControl/>
              <w:jc w:val="left"/>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pStyle w:val="82"/>
              <w:rPr>
                <w:rFonts w:ascii="宋体" w:hAnsi="宋体"/>
                <w:sz w:val="21"/>
                <w:szCs w:val="21"/>
              </w:rPr>
            </w:pPr>
            <w:r>
              <w:rPr>
                <w:rFonts w:hint="eastAsia" w:ascii="宋体" w:hAnsi="宋体"/>
                <w:sz w:val="21"/>
                <w:szCs w:val="21"/>
              </w:rPr>
              <w:t>2</w:t>
            </w:r>
          </w:p>
        </w:tc>
        <w:tc>
          <w:tcPr>
            <w:tcW w:w="1200" w:type="dxa"/>
            <w:gridSpan w:val="2"/>
            <w:vAlign w:val="center"/>
          </w:tcPr>
          <w:p>
            <w:pPr>
              <w:jc w:val="center"/>
              <w:rPr>
                <w:rFonts w:ascii="宋体" w:hAnsi="宋体"/>
                <w:sz w:val="21"/>
              </w:rPr>
            </w:pPr>
          </w:p>
        </w:tc>
        <w:tc>
          <w:tcPr>
            <w:tcW w:w="5220" w:type="dxa"/>
            <w:gridSpan w:val="18"/>
            <w:vAlign w:val="center"/>
          </w:tcPr>
          <w:p>
            <w:pPr>
              <w:jc w:val="center"/>
              <w:rPr>
                <w:rFonts w:ascii="宋体" w:hAnsi="宋体"/>
                <w:sz w:val="21"/>
              </w:rPr>
            </w:pPr>
          </w:p>
        </w:tc>
        <w:tc>
          <w:tcPr>
            <w:tcW w:w="1620" w:type="dxa"/>
            <w:gridSpan w:val="2"/>
            <w:vMerge w:val="continue"/>
            <w:vAlign w:val="center"/>
          </w:tcPr>
          <w:p>
            <w:pPr>
              <w:widowControl/>
              <w:jc w:val="left"/>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rPr>
                <w:rFonts w:ascii="宋体" w:hAnsi="宋体"/>
                <w:sz w:val="21"/>
              </w:rPr>
            </w:pPr>
            <w:r>
              <w:rPr>
                <w:rFonts w:hint="eastAsia" w:ascii="宋体" w:hAnsi="宋体"/>
                <w:sz w:val="21"/>
              </w:rPr>
              <w:t>3</w:t>
            </w:r>
          </w:p>
        </w:tc>
        <w:tc>
          <w:tcPr>
            <w:tcW w:w="1200" w:type="dxa"/>
            <w:gridSpan w:val="2"/>
            <w:vAlign w:val="center"/>
          </w:tcPr>
          <w:p>
            <w:pPr>
              <w:jc w:val="center"/>
              <w:rPr>
                <w:rFonts w:ascii="宋体" w:hAnsi="宋体"/>
                <w:sz w:val="21"/>
              </w:rPr>
            </w:pPr>
          </w:p>
        </w:tc>
        <w:tc>
          <w:tcPr>
            <w:tcW w:w="5220" w:type="dxa"/>
            <w:gridSpan w:val="18"/>
            <w:vAlign w:val="center"/>
          </w:tcPr>
          <w:p>
            <w:pPr>
              <w:jc w:val="center"/>
              <w:rPr>
                <w:rFonts w:ascii="宋体" w:hAnsi="宋体"/>
                <w:sz w:val="21"/>
              </w:rPr>
            </w:pPr>
          </w:p>
        </w:tc>
        <w:tc>
          <w:tcPr>
            <w:tcW w:w="1620" w:type="dxa"/>
            <w:gridSpan w:val="2"/>
            <w:vMerge w:val="continue"/>
            <w:vAlign w:val="center"/>
          </w:tcPr>
          <w:p>
            <w:pPr>
              <w:widowControl/>
              <w:jc w:val="left"/>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rPr>
                <w:rFonts w:ascii="宋体" w:hAnsi="宋体"/>
                <w:sz w:val="21"/>
              </w:rPr>
            </w:pPr>
            <w:r>
              <w:rPr>
                <w:rFonts w:hint="eastAsia" w:ascii="宋体" w:hAnsi="宋体"/>
                <w:sz w:val="21"/>
              </w:rPr>
              <w:t>4</w:t>
            </w:r>
          </w:p>
        </w:tc>
        <w:tc>
          <w:tcPr>
            <w:tcW w:w="1200"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1620" w:type="dxa"/>
            <w:gridSpan w:val="2"/>
            <w:vAlign w:val="center"/>
          </w:tcPr>
          <w:p>
            <w:pPr>
              <w:widowControl/>
              <w:rPr>
                <w:rFonts w:ascii="宋体" w:hAnsi="宋体"/>
                <w:sz w:val="21"/>
              </w:rPr>
            </w:pPr>
            <w:r>
              <w:rPr>
                <w:rFonts w:hint="eastAsia" w:ascii="宋体" w:hAnsi="宋体"/>
                <w:sz w:val="21"/>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rPr>
                <w:rFonts w:ascii="宋体" w:hAnsi="宋体"/>
                <w:sz w:val="21"/>
              </w:rPr>
            </w:pPr>
            <w:r>
              <w:rPr>
                <w:rFonts w:hint="eastAsia" w:ascii="宋体" w:hAnsi="宋体"/>
                <w:sz w:val="21"/>
              </w:rPr>
              <w:t>5</w:t>
            </w:r>
          </w:p>
        </w:tc>
        <w:tc>
          <w:tcPr>
            <w:tcW w:w="1200"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1620" w:type="dxa"/>
            <w:gridSpan w:val="2"/>
            <w:vAlign w:val="center"/>
          </w:tcPr>
          <w:p>
            <w:pPr>
              <w:widowControl/>
              <w:rPr>
                <w:rFonts w:ascii="宋体" w:hAnsi="宋体"/>
                <w:sz w:val="21"/>
              </w:rPr>
            </w:pPr>
            <w:r>
              <w:rPr>
                <w:rFonts w:hint="eastAsia" w:ascii="宋体" w:hAnsi="宋体"/>
                <w:sz w:val="21"/>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rPr>
                <w:rFonts w:ascii="宋体" w:hAnsi="宋体"/>
                <w:sz w:val="21"/>
              </w:rPr>
            </w:pPr>
            <w:r>
              <w:rPr>
                <w:rFonts w:hint="eastAsia" w:ascii="宋体" w:hAnsi="宋体"/>
                <w:sz w:val="21"/>
              </w:rPr>
              <w:t>6</w:t>
            </w:r>
          </w:p>
        </w:tc>
        <w:tc>
          <w:tcPr>
            <w:tcW w:w="1200"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gridSpan w:val="2"/>
            <w:vAlign w:val="center"/>
          </w:tcPr>
          <w:p>
            <w:pPr>
              <w:jc w:val="center"/>
              <w:rPr>
                <w:rFonts w:ascii="宋体" w:hAnsi="宋体"/>
                <w:sz w:val="21"/>
              </w:rPr>
            </w:pPr>
          </w:p>
        </w:tc>
        <w:tc>
          <w:tcPr>
            <w:tcW w:w="348" w:type="dxa"/>
            <w:vAlign w:val="center"/>
          </w:tcPr>
          <w:p>
            <w:pPr>
              <w:jc w:val="center"/>
              <w:rPr>
                <w:rFonts w:ascii="宋体" w:hAnsi="宋体"/>
                <w:sz w:val="21"/>
              </w:rPr>
            </w:pPr>
          </w:p>
        </w:tc>
        <w:tc>
          <w:tcPr>
            <w:tcW w:w="348" w:type="dxa"/>
            <w:vAlign w:val="center"/>
          </w:tcPr>
          <w:p>
            <w:pPr>
              <w:jc w:val="center"/>
              <w:rPr>
                <w:rFonts w:ascii="宋体" w:hAnsi="宋体"/>
                <w:sz w:val="21"/>
              </w:rPr>
            </w:pPr>
          </w:p>
        </w:tc>
        <w:tc>
          <w:tcPr>
            <w:tcW w:w="1620" w:type="dxa"/>
            <w:gridSpan w:val="2"/>
            <w:vAlign w:val="center"/>
          </w:tcPr>
          <w:p>
            <w:pPr>
              <w:rPr>
                <w:rFonts w:ascii="宋体" w:hAnsi="宋体"/>
                <w:sz w:val="21"/>
              </w:rPr>
            </w:pPr>
            <w:r>
              <w:rPr>
                <w:rFonts w:hint="eastAsia" w:ascii="宋体" w:hAnsi="宋体"/>
                <w:sz w:val="21"/>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widowControl/>
              <w:jc w:val="left"/>
              <w:rPr>
                <w:rFonts w:ascii="宋体" w:hAnsi="宋体"/>
                <w:sz w:val="21"/>
              </w:rPr>
            </w:pPr>
          </w:p>
        </w:tc>
        <w:tc>
          <w:tcPr>
            <w:tcW w:w="1080" w:type="dxa"/>
            <w:vAlign w:val="center"/>
          </w:tcPr>
          <w:p>
            <w:pPr>
              <w:rPr>
                <w:rFonts w:ascii="宋体" w:hAnsi="宋体"/>
                <w:sz w:val="21"/>
              </w:rPr>
            </w:pPr>
          </w:p>
        </w:tc>
        <w:tc>
          <w:tcPr>
            <w:tcW w:w="1200" w:type="dxa"/>
            <w:gridSpan w:val="2"/>
            <w:vAlign w:val="center"/>
          </w:tcPr>
          <w:p>
            <w:pPr>
              <w:jc w:val="center"/>
              <w:rPr>
                <w:rFonts w:ascii="宋体" w:hAnsi="宋体"/>
                <w:sz w:val="21"/>
              </w:rPr>
            </w:pPr>
          </w:p>
        </w:tc>
        <w:tc>
          <w:tcPr>
            <w:tcW w:w="5220" w:type="dxa"/>
            <w:gridSpan w:val="18"/>
            <w:vAlign w:val="center"/>
          </w:tcPr>
          <w:p>
            <w:pPr>
              <w:jc w:val="center"/>
              <w:rPr>
                <w:rFonts w:ascii="宋体" w:hAnsi="宋体"/>
                <w:sz w:val="21"/>
              </w:rPr>
            </w:pPr>
          </w:p>
        </w:tc>
        <w:tc>
          <w:tcPr>
            <w:tcW w:w="1620" w:type="dxa"/>
            <w:gridSpan w:val="2"/>
            <w:vAlign w:val="center"/>
          </w:tcPr>
          <w:p>
            <w:pPr>
              <w:widowControl/>
              <w:jc w:val="left"/>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0" w:type="dxa"/>
            <w:gridSpan w:val="2"/>
            <w:vAlign w:val="center"/>
          </w:tcPr>
          <w:p>
            <w:pPr>
              <w:rPr>
                <w:rFonts w:ascii="宋体" w:hAnsi="宋体"/>
                <w:sz w:val="21"/>
              </w:rPr>
            </w:pPr>
          </w:p>
          <w:p>
            <w:pPr>
              <w:jc w:val="center"/>
              <w:rPr>
                <w:rFonts w:ascii="宋体" w:hAnsi="宋体"/>
                <w:sz w:val="21"/>
              </w:rPr>
            </w:pPr>
            <w:r>
              <w:rPr>
                <w:rFonts w:hint="eastAsia" w:ascii="宋体" w:hAnsi="宋体"/>
                <w:sz w:val="21"/>
              </w:rPr>
              <w:t>施工单位</w:t>
            </w:r>
          </w:p>
          <w:p>
            <w:pPr>
              <w:jc w:val="center"/>
              <w:rPr>
                <w:rFonts w:ascii="宋体" w:hAnsi="宋体"/>
                <w:sz w:val="21"/>
              </w:rPr>
            </w:pPr>
            <w:r>
              <w:rPr>
                <w:rFonts w:hint="eastAsia" w:ascii="宋体" w:hAnsi="宋体"/>
                <w:sz w:val="21"/>
              </w:rPr>
              <w:t>检查评定</w:t>
            </w:r>
          </w:p>
          <w:p>
            <w:pPr>
              <w:jc w:val="center"/>
              <w:rPr>
                <w:rFonts w:ascii="宋体" w:hAnsi="宋体"/>
                <w:sz w:val="21"/>
              </w:rPr>
            </w:pPr>
            <w:r>
              <w:rPr>
                <w:rFonts w:hint="eastAsia" w:ascii="宋体" w:hAnsi="宋体"/>
                <w:sz w:val="21"/>
              </w:rPr>
              <w:t>结果</w:t>
            </w:r>
          </w:p>
          <w:p>
            <w:pPr>
              <w:rPr>
                <w:rFonts w:ascii="宋体" w:hAnsi="宋体"/>
                <w:sz w:val="21"/>
              </w:rPr>
            </w:pPr>
          </w:p>
        </w:tc>
        <w:tc>
          <w:tcPr>
            <w:tcW w:w="8040" w:type="dxa"/>
            <w:gridSpan w:val="22"/>
            <w:vAlign w:val="center"/>
          </w:tcPr>
          <w:p>
            <w:pPr>
              <w:jc w:val="center"/>
              <w:rPr>
                <w:rFonts w:ascii="宋体" w:hAnsi="宋体"/>
                <w:sz w:val="21"/>
              </w:rPr>
            </w:pPr>
          </w:p>
          <w:p>
            <w:pPr>
              <w:jc w:val="center"/>
              <w:rPr>
                <w:rFonts w:ascii="宋体" w:hAnsi="宋体"/>
                <w:sz w:val="21"/>
              </w:rPr>
            </w:pPr>
          </w:p>
          <w:p>
            <w:pPr>
              <w:jc w:val="center"/>
              <w:rPr>
                <w:rFonts w:ascii="宋体" w:hAnsi="宋体"/>
                <w:sz w:val="21"/>
              </w:rPr>
            </w:pPr>
          </w:p>
          <w:p>
            <w:pPr>
              <w:jc w:val="center"/>
              <w:rPr>
                <w:rFonts w:ascii="宋体" w:hAnsi="宋体"/>
                <w:sz w:val="21"/>
              </w:rPr>
            </w:pPr>
          </w:p>
          <w:p>
            <w:pPr>
              <w:ind w:firstLine="420" w:firstLineChars="200"/>
              <w:rPr>
                <w:rFonts w:ascii="宋体" w:hAnsi="宋体"/>
                <w:sz w:val="21"/>
              </w:rPr>
            </w:pPr>
            <w:r>
              <w:rPr>
                <w:rFonts w:hint="eastAsia" w:ascii="宋体" w:hAnsi="宋体"/>
                <w:sz w:val="21"/>
              </w:rPr>
              <w:t>工长（施工员）：</w:t>
            </w:r>
          </w:p>
          <w:p>
            <w:pPr>
              <w:ind w:firstLine="420" w:firstLineChars="200"/>
              <w:rPr>
                <w:rFonts w:ascii="宋体" w:hAnsi="宋体"/>
                <w:sz w:val="21"/>
              </w:rPr>
            </w:pPr>
            <w:r>
              <w:rPr>
                <w:rFonts w:hint="eastAsia" w:ascii="宋体" w:hAnsi="宋体"/>
                <w:sz w:val="21"/>
              </w:rPr>
              <w:t>项目专业质量检查员：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0" w:type="dxa"/>
            <w:gridSpan w:val="2"/>
            <w:vAlign w:val="center"/>
          </w:tcPr>
          <w:p>
            <w:pPr>
              <w:rPr>
                <w:rFonts w:ascii="宋体" w:hAnsi="宋体"/>
                <w:sz w:val="21"/>
              </w:rPr>
            </w:pPr>
          </w:p>
          <w:p>
            <w:pPr>
              <w:jc w:val="center"/>
              <w:rPr>
                <w:rFonts w:ascii="宋体" w:hAnsi="宋体"/>
                <w:sz w:val="21"/>
              </w:rPr>
            </w:pPr>
            <w:r>
              <w:rPr>
                <w:rFonts w:hint="eastAsia" w:ascii="宋体" w:hAnsi="宋体"/>
                <w:sz w:val="21"/>
              </w:rPr>
              <w:t>监理(建设)</w:t>
            </w:r>
          </w:p>
          <w:p>
            <w:pPr>
              <w:jc w:val="center"/>
              <w:rPr>
                <w:rFonts w:ascii="宋体" w:hAnsi="宋体"/>
                <w:sz w:val="21"/>
              </w:rPr>
            </w:pPr>
            <w:r>
              <w:rPr>
                <w:rFonts w:hint="eastAsia" w:ascii="宋体" w:hAnsi="宋体"/>
                <w:sz w:val="21"/>
              </w:rPr>
              <w:t>单位验收</w:t>
            </w:r>
          </w:p>
          <w:p>
            <w:pPr>
              <w:jc w:val="center"/>
              <w:rPr>
                <w:rFonts w:ascii="宋体" w:hAnsi="宋体"/>
                <w:sz w:val="21"/>
              </w:rPr>
            </w:pPr>
            <w:r>
              <w:rPr>
                <w:rFonts w:hint="eastAsia" w:ascii="宋体" w:hAnsi="宋体"/>
                <w:sz w:val="21"/>
              </w:rPr>
              <w:t>结论</w:t>
            </w:r>
          </w:p>
          <w:p>
            <w:pPr>
              <w:rPr>
                <w:rFonts w:ascii="宋体" w:hAnsi="宋体"/>
                <w:sz w:val="21"/>
              </w:rPr>
            </w:pPr>
          </w:p>
        </w:tc>
        <w:tc>
          <w:tcPr>
            <w:tcW w:w="8040" w:type="dxa"/>
            <w:gridSpan w:val="22"/>
            <w:vAlign w:val="center"/>
          </w:tcPr>
          <w:p>
            <w:pPr>
              <w:jc w:val="center"/>
              <w:rPr>
                <w:rFonts w:ascii="宋体" w:hAnsi="宋体"/>
                <w:sz w:val="21"/>
              </w:rPr>
            </w:pPr>
          </w:p>
          <w:p>
            <w:pPr>
              <w:jc w:val="center"/>
              <w:rPr>
                <w:rFonts w:ascii="宋体" w:hAnsi="宋体"/>
                <w:sz w:val="21"/>
              </w:rPr>
            </w:pPr>
          </w:p>
          <w:p>
            <w:pPr>
              <w:jc w:val="center"/>
              <w:rPr>
                <w:rFonts w:ascii="宋体" w:hAnsi="宋体"/>
                <w:sz w:val="21"/>
              </w:rPr>
            </w:pPr>
          </w:p>
          <w:p>
            <w:pPr>
              <w:rPr>
                <w:rFonts w:ascii="宋体" w:hAnsi="宋体"/>
                <w:sz w:val="21"/>
              </w:rPr>
            </w:pPr>
          </w:p>
          <w:p>
            <w:pPr>
              <w:ind w:firstLine="1260" w:firstLineChars="600"/>
              <w:rPr>
                <w:rFonts w:ascii="宋体" w:hAnsi="宋体"/>
                <w:sz w:val="21"/>
              </w:rPr>
            </w:pPr>
            <w:r>
              <w:rPr>
                <w:rFonts w:hint="eastAsia" w:ascii="宋体" w:hAnsi="宋体"/>
                <w:sz w:val="21"/>
              </w:rPr>
              <w:t>专业监理工程师</w:t>
            </w:r>
          </w:p>
          <w:p>
            <w:pPr>
              <w:ind w:firstLine="210" w:firstLineChars="100"/>
              <w:rPr>
                <w:rFonts w:ascii="宋体" w:hAnsi="宋体"/>
                <w:sz w:val="21"/>
              </w:rPr>
            </w:pPr>
            <w:r>
              <w:rPr>
                <w:rFonts w:hint="eastAsia" w:ascii="宋体" w:hAnsi="宋体"/>
                <w:sz w:val="21"/>
              </w:rPr>
              <w:t>（建设单位项目专业技术负责人）　　　　　　　年　　　月　　日</w:t>
            </w:r>
          </w:p>
        </w:tc>
      </w:tr>
    </w:tbl>
    <w:p>
      <w:pPr>
        <w:rPr>
          <w:rFonts w:ascii="宋体" w:hAnsi="宋体"/>
        </w:rPr>
      </w:pPr>
      <w:r>
        <w:rPr>
          <w:b/>
          <w:bCs/>
        </w:rPr>
        <w:t>B.0.2</w:t>
      </w:r>
      <w:r>
        <w:rPr>
          <w:rFonts w:hint="eastAsia" w:ascii="宋体" w:hAnsi="宋体"/>
          <w:b/>
          <w:bCs/>
        </w:rPr>
        <w:t xml:space="preserve"> </w:t>
      </w:r>
      <w:r>
        <w:rPr>
          <w:rFonts w:ascii="宋体" w:hAnsi="宋体"/>
          <w:b/>
          <w:bCs/>
        </w:rPr>
        <w:t xml:space="preserve"> </w:t>
      </w:r>
      <w:r>
        <w:t>分项工程质量应由专业监理工程师（建设项目专业技术负责人）组织施工项目专业技术负责人等进行验收，并按表B.0.2记录</w:t>
      </w:r>
      <w:r>
        <w:rPr>
          <w:rFonts w:ascii="宋体" w:hAnsi="宋体"/>
        </w:rPr>
        <w:t>。</w:t>
      </w:r>
    </w:p>
    <w:p>
      <w:pPr>
        <w:jc w:val="center"/>
        <w:rPr>
          <w:b/>
          <w:sz w:val="21"/>
          <w:szCs w:val="18"/>
        </w:rPr>
      </w:pPr>
      <w:r>
        <w:rPr>
          <w:b/>
          <w:sz w:val="21"/>
          <w:szCs w:val="18"/>
        </w:rPr>
        <w:t>表B.0.2</w:t>
      </w:r>
      <w:r>
        <w:rPr>
          <w:rFonts w:hint="eastAsia"/>
          <w:b/>
          <w:sz w:val="21"/>
          <w:szCs w:val="18"/>
        </w:rPr>
        <w:t xml:space="preserve"> </w:t>
      </w:r>
      <w:r>
        <w:rPr>
          <w:b/>
          <w:sz w:val="21"/>
          <w:szCs w:val="18"/>
        </w:rPr>
        <w:t xml:space="preserve"> 分项工程质量验收记录表</w:t>
      </w:r>
    </w:p>
    <w:p>
      <w:pPr>
        <w:tabs>
          <w:tab w:val="left" w:pos="8460"/>
        </w:tabs>
        <w:ind w:right="1344" w:rightChars="560"/>
        <w:jc w:val="right"/>
        <w:rPr>
          <w:rFonts w:ascii="宋体" w:hAnsi="宋体"/>
        </w:rPr>
      </w:pPr>
      <w:r>
        <w:rPr>
          <w:rFonts w:hint="eastAsia" w:ascii="宋体" w:hAnsi="宋体"/>
          <w:bCs/>
          <w:sz w:val="21"/>
          <w:szCs w:val="18"/>
        </w:rPr>
        <w:t>编号：</w:t>
      </w:r>
      <w:r>
        <w:rPr>
          <w:rFonts w:hint="eastAsia" w:ascii="宋体" w:hAnsi="宋体"/>
        </w:rPr>
        <w:t>　　　　　</w:t>
      </w:r>
    </w:p>
    <w:tbl>
      <w:tblPr>
        <w:tblStyle w:val="36"/>
        <w:tblW w:w="9693" w:type="dxa"/>
        <w:tblInd w:w="2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6"/>
        <w:gridCol w:w="1590"/>
        <w:gridCol w:w="1406"/>
        <w:gridCol w:w="1050"/>
        <w:gridCol w:w="426"/>
        <w:gridCol w:w="332"/>
        <w:gridCol w:w="1469"/>
        <w:gridCol w:w="1416"/>
        <w:gridCol w:w="1352"/>
        <w:gridCol w:w="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2186" w:type="dxa"/>
            <w:gridSpan w:val="2"/>
            <w:vAlign w:val="center"/>
          </w:tcPr>
          <w:p>
            <w:pPr>
              <w:jc w:val="center"/>
              <w:rPr>
                <w:sz w:val="21"/>
              </w:rPr>
            </w:pPr>
            <w:r>
              <w:rPr>
                <w:sz w:val="21"/>
              </w:rPr>
              <w:t>工程名称</w:t>
            </w:r>
          </w:p>
        </w:tc>
        <w:tc>
          <w:tcPr>
            <w:tcW w:w="1406" w:type="dxa"/>
            <w:vAlign w:val="center"/>
          </w:tcPr>
          <w:p>
            <w:pPr>
              <w:jc w:val="center"/>
              <w:rPr>
                <w:sz w:val="21"/>
              </w:rPr>
            </w:pPr>
          </w:p>
        </w:tc>
        <w:tc>
          <w:tcPr>
            <w:tcW w:w="1808" w:type="dxa"/>
            <w:gridSpan w:val="3"/>
            <w:vAlign w:val="center"/>
          </w:tcPr>
          <w:p>
            <w:pPr>
              <w:jc w:val="center"/>
              <w:rPr>
                <w:sz w:val="21"/>
              </w:rPr>
            </w:pPr>
            <w:r>
              <w:rPr>
                <w:sz w:val="21"/>
              </w:rPr>
              <w:t>分项工程名称</w:t>
            </w:r>
          </w:p>
        </w:tc>
        <w:tc>
          <w:tcPr>
            <w:tcW w:w="1469" w:type="dxa"/>
            <w:vAlign w:val="center"/>
          </w:tcPr>
          <w:p>
            <w:pPr>
              <w:jc w:val="center"/>
              <w:rPr>
                <w:sz w:val="21"/>
              </w:rPr>
            </w:pPr>
          </w:p>
        </w:tc>
        <w:tc>
          <w:tcPr>
            <w:tcW w:w="1416" w:type="dxa"/>
            <w:vAlign w:val="center"/>
          </w:tcPr>
          <w:p>
            <w:pPr>
              <w:jc w:val="center"/>
              <w:rPr>
                <w:sz w:val="21"/>
              </w:rPr>
            </w:pPr>
            <w:r>
              <w:rPr>
                <w:sz w:val="21"/>
              </w:rPr>
              <w:t>检验批数</w:t>
            </w:r>
          </w:p>
        </w:tc>
        <w:tc>
          <w:tcPr>
            <w:tcW w:w="1352" w:type="dxa"/>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2186" w:type="dxa"/>
            <w:gridSpan w:val="2"/>
            <w:vAlign w:val="center"/>
          </w:tcPr>
          <w:p>
            <w:pPr>
              <w:jc w:val="center"/>
              <w:rPr>
                <w:sz w:val="21"/>
              </w:rPr>
            </w:pPr>
            <w:r>
              <w:rPr>
                <w:sz w:val="21"/>
              </w:rPr>
              <w:t>施工单位</w:t>
            </w:r>
          </w:p>
        </w:tc>
        <w:tc>
          <w:tcPr>
            <w:tcW w:w="1406" w:type="dxa"/>
            <w:vAlign w:val="center"/>
          </w:tcPr>
          <w:p>
            <w:pPr>
              <w:jc w:val="center"/>
              <w:rPr>
                <w:sz w:val="21"/>
              </w:rPr>
            </w:pPr>
          </w:p>
        </w:tc>
        <w:tc>
          <w:tcPr>
            <w:tcW w:w="1808" w:type="dxa"/>
            <w:gridSpan w:val="3"/>
            <w:vAlign w:val="center"/>
          </w:tcPr>
          <w:p>
            <w:pPr>
              <w:jc w:val="center"/>
              <w:rPr>
                <w:sz w:val="21"/>
              </w:rPr>
            </w:pPr>
            <w:r>
              <w:rPr>
                <w:sz w:val="21"/>
              </w:rPr>
              <w:t>项目经理</w:t>
            </w:r>
          </w:p>
        </w:tc>
        <w:tc>
          <w:tcPr>
            <w:tcW w:w="1469" w:type="dxa"/>
            <w:vAlign w:val="center"/>
          </w:tcPr>
          <w:p>
            <w:pPr>
              <w:jc w:val="center"/>
              <w:rPr>
                <w:sz w:val="21"/>
              </w:rPr>
            </w:pPr>
          </w:p>
        </w:tc>
        <w:tc>
          <w:tcPr>
            <w:tcW w:w="1416" w:type="dxa"/>
            <w:vAlign w:val="center"/>
          </w:tcPr>
          <w:p>
            <w:pPr>
              <w:jc w:val="center"/>
              <w:rPr>
                <w:spacing w:val="-20"/>
                <w:sz w:val="21"/>
              </w:rPr>
            </w:pPr>
            <w:r>
              <w:rPr>
                <w:spacing w:val="-20"/>
                <w:sz w:val="21"/>
              </w:rPr>
              <w:t>项目技术负责人</w:t>
            </w:r>
          </w:p>
        </w:tc>
        <w:tc>
          <w:tcPr>
            <w:tcW w:w="1352" w:type="dxa"/>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2186" w:type="dxa"/>
            <w:gridSpan w:val="2"/>
            <w:vAlign w:val="center"/>
          </w:tcPr>
          <w:p>
            <w:pPr>
              <w:jc w:val="center"/>
              <w:rPr>
                <w:sz w:val="21"/>
              </w:rPr>
            </w:pPr>
            <w:r>
              <w:rPr>
                <w:rFonts w:hint="eastAsia"/>
                <w:sz w:val="21"/>
              </w:rPr>
              <w:t>专业</w:t>
            </w:r>
            <w:r>
              <w:rPr>
                <w:sz w:val="21"/>
              </w:rPr>
              <w:t>分包单位</w:t>
            </w:r>
          </w:p>
        </w:tc>
        <w:tc>
          <w:tcPr>
            <w:tcW w:w="1406" w:type="dxa"/>
            <w:vAlign w:val="center"/>
          </w:tcPr>
          <w:p>
            <w:pPr>
              <w:jc w:val="center"/>
              <w:rPr>
                <w:sz w:val="21"/>
              </w:rPr>
            </w:pPr>
          </w:p>
        </w:tc>
        <w:tc>
          <w:tcPr>
            <w:tcW w:w="1808" w:type="dxa"/>
            <w:gridSpan w:val="3"/>
            <w:vAlign w:val="center"/>
          </w:tcPr>
          <w:p>
            <w:pPr>
              <w:pStyle w:val="25"/>
              <w:pBdr>
                <w:bottom w:val="none" w:color="auto" w:sz="0" w:space="0"/>
              </w:pBdr>
              <w:tabs>
                <w:tab w:val="clear" w:pos="4153"/>
                <w:tab w:val="clear" w:pos="8306"/>
              </w:tabs>
              <w:snapToGrid/>
              <w:rPr>
                <w:spacing w:val="-20"/>
                <w:sz w:val="21"/>
                <w:szCs w:val="21"/>
              </w:rPr>
            </w:pPr>
            <w:r>
              <w:rPr>
                <w:rFonts w:hint="eastAsia"/>
                <w:spacing w:val="-20"/>
                <w:sz w:val="21"/>
                <w:szCs w:val="21"/>
              </w:rPr>
              <w:t>专业</w:t>
            </w:r>
            <w:r>
              <w:rPr>
                <w:spacing w:val="-20"/>
                <w:sz w:val="21"/>
                <w:szCs w:val="21"/>
              </w:rPr>
              <w:t>分包单位负责人</w:t>
            </w:r>
          </w:p>
        </w:tc>
        <w:tc>
          <w:tcPr>
            <w:tcW w:w="1469" w:type="dxa"/>
            <w:vAlign w:val="center"/>
          </w:tcPr>
          <w:p>
            <w:pPr>
              <w:jc w:val="center"/>
              <w:rPr>
                <w:sz w:val="21"/>
              </w:rPr>
            </w:pPr>
          </w:p>
        </w:tc>
        <w:tc>
          <w:tcPr>
            <w:tcW w:w="1416" w:type="dxa"/>
            <w:vAlign w:val="center"/>
          </w:tcPr>
          <w:p>
            <w:pPr>
              <w:jc w:val="center"/>
              <w:rPr>
                <w:sz w:val="21"/>
              </w:rPr>
            </w:pPr>
            <w:r>
              <w:rPr>
                <w:sz w:val="21"/>
              </w:rPr>
              <w:t>施工班组长</w:t>
            </w:r>
          </w:p>
        </w:tc>
        <w:tc>
          <w:tcPr>
            <w:tcW w:w="1352" w:type="dxa"/>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序号</w:t>
            </w:r>
          </w:p>
        </w:tc>
        <w:tc>
          <w:tcPr>
            <w:tcW w:w="1590" w:type="dxa"/>
            <w:vAlign w:val="center"/>
          </w:tcPr>
          <w:p>
            <w:pPr>
              <w:jc w:val="center"/>
              <w:rPr>
                <w:sz w:val="21"/>
              </w:rPr>
            </w:pPr>
            <w:r>
              <w:rPr>
                <w:sz w:val="21"/>
              </w:rPr>
              <w:t>检验批名称、部</w:t>
            </w:r>
          </w:p>
          <w:p>
            <w:pPr>
              <w:jc w:val="center"/>
              <w:rPr>
                <w:sz w:val="21"/>
              </w:rPr>
            </w:pPr>
            <w:r>
              <w:rPr>
                <w:sz w:val="21"/>
              </w:rPr>
              <w:t>位</w:t>
            </w:r>
          </w:p>
        </w:tc>
        <w:tc>
          <w:tcPr>
            <w:tcW w:w="2456" w:type="dxa"/>
            <w:gridSpan w:val="2"/>
            <w:vAlign w:val="center"/>
          </w:tcPr>
          <w:p>
            <w:pPr>
              <w:jc w:val="center"/>
              <w:rPr>
                <w:sz w:val="21"/>
              </w:rPr>
            </w:pPr>
            <w:r>
              <w:rPr>
                <w:sz w:val="21"/>
              </w:rPr>
              <w:t>施工单位检查</w:t>
            </w:r>
          </w:p>
          <w:p>
            <w:pPr>
              <w:jc w:val="center"/>
              <w:rPr>
                <w:sz w:val="21"/>
              </w:rPr>
            </w:pPr>
            <w:r>
              <w:rPr>
                <w:sz w:val="21"/>
              </w:rPr>
              <w:t>评定结果</w:t>
            </w:r>
          </w:p>
        </w:tc>
        <w:tc>
          <w:tcPr>
            <w:tcW w:w="4995" w:type="dxa"/>
            <w:gridSpan w:val="5"/>
            <w:vAlign w:val="center"/>
          </w:tcPr>
          <w:p>
            <w:pPr>
              <w:jc w:val="center"/>
              <w:rPr>
                <w:sz w:val="21"/>
              </w:rPr>
            </w:pPr>
            <w:r>
              <w:rPr>
                <w:sz w:val="21"/>
              </w:rPr>
              <w:t>监理(建设)单位验收结论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82"/>
              <w:jc w:val="center"/>
              <w:rPr>
                <w:sz w:val="21"/>
                <w:szCs w:val="21"/>
              </w:rPr>
            </w:pPr>
            <w:r>
              <w:rPr>
                <w:sz w:val="21"/>
                <w:szCs w:val="21"/>
              </w:rPr>
              <w:t>1</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2</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3</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4</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5</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6</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7</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8</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9</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10</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11</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r>
              <w:rPr>
                <w:sz w:val="21"/>
              </w:rPr>
              <w:t>12</w:t>
            </w:r>
          </w:p>
        </w:tc>
        <w:tc>
          <w:tcPr>
            <w:tcW w:w="1590" w:type="dxa"/>
            <w:vAlign w:val="center"/>
          </w:tcPr>
          <w:p>
            <w:pPr>
              <w:jc w:val="center"/>
              <w:rPr>
                <w:sz w:val="21"/>
              </w:rPr>
            </w:pPr>
          </w:p>
        </w:tc>
        <w:tc>
          <w:tcPr>
            <w:tcW w:w="2456" w:type="dxa"/>
            <w:gridSpan w:val="2"/>
            <w:vAlign w:val="center"/>
          </w:tcPr>
          <w:p>
            <w:pPr>
              <w:jc w:val="center"/>
              <w:rPr>
                <w:sz w:val="21"/>
              </w:rPr>
            </w:pPr>
          </w:p>
        </w:tc>
        <w:tc>
          <w:tcPr>
            <w:tcW w:w="4995" w:type="dxa"/>
            <w:gridSpan w:val="5"/>
            <w:vAlign w:val="center"/>
          </w:tcPr>
          <w:p>
            <w:pPr>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p>
        </w:tc>
        <w:tc>
          <w:tcPr>
            <w:tcW w:w="1590" w:type="dxa"/>
            <w:vAlign w:val="center"/>
          </w:tcPr>
          <w:p>
            <w:pPr>
              <w:ind w:firstLine="420" w:firstLineChars="200"/>
              <w:jc w:val="center"/>
              <w:rPr>
                <w:sz w:val="21"/>
              </w:rPr>
            </w:pPr>
          </w:p>
        </w:tc>
        <w:tc>
          <w:tcPr>
            <w:tcW w:w="2456" w:type="dxa"/>
            <w:gridSpan w:val="2"/>
            <w:vAlign w:val="center"/>
          </w:tcPr>
          <w:p>
            <w:pPr>
              <w:ind w:firstLine="420" w:firstLineChars="200"/>
              <w:jc w:val="center"/>
              <w:rPr>
                <w:sz w:val="21"/>
              </w:rPr>
            </w:pPr>
          </w:p>
        </w:tc>
        <w:tc>
          <w:tcPr>
            <w:tcW w:w="4995" w:type="dxa"/>
            <w:gridSpan w:val="5"/>
            <w:vAlign w:val="center"/>
          </w:tcPr>
          <w:p>
            <w:pPr>
              <w:ind w:firstLine="420" w:firstLineChars="20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jc w:val="center"/>
              <w:rPr>
                <w:sz w:val="21"/>
              </w:rPr>
            </w:pPr>
          </w:p>
        </w:tc>
        <w:tc>
          <w:tcPr>
            <w:tcW w:w="1590" w:type="dxa"/>
            <w:vAlign w:val="center"/>
          </w:tcPr>
          <w:p>
            <w:pPr>
              <w:ind w:firstLine="420" w:firstLineChars="200"/>
              <w:jc w:val="center"/>
              <w:rPr>
                <w:sz w:val="21"/>
              </w:rPr>
            </w:pPr>
          </w:p>
        </w:tc>
        <w:tc>
          <w:tcPr>
            <w:tcW w:w="2456" w:type="dxa"/>
            <w:gridSpan w:val="2"/>
            <w:vAlign w:val="center"/>
          </w:tcPr>
          <w:p>
            <w:pPr>
              <w:ind w:firstLine="420" w:firstLineChars="200"/>
              <w:jc w:val="center"/>
              <w:rPr>
                <w:sz w:val="21"/>
              </w:rPr>
            </w:pPr>
          </w:p>
        </w:tc>
        <w:tc>
          <w:tcPr>
            <w:tcW w:w="4995" w:type="dxa"/>
            <w:gridSpan w:val="5"/>
            <w:vAlign w:val="center"/>
          </w:tcPr>
          <w:p>
            <w:pPr>
              <w:ind w:firstLine="420" w:firstLineChars="20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6" w:type="dxa"/>
            <w:vAlign w:val="center"/>
          </w:tcPr>
          <w:p>
            <w:pPr>
              <w:jc w:val="center"/>
              <w:rPr>
                <w:sz w:val="21"/>
              </w:rPr>
            </w:pPr>
            <w:r>
              <w:rPr>
                <w:sz w:val="21"/>
              </w:rPr>
              <w:t>检</w:t>
            </w:r>
          </w:p>
          <w:p>
            <w:pPr>
              <w:jc w:val="center"/>
              <w:rPr>
                <w:sz w:val="21"/>
              </w:rPr>
            </w:pPr>
            <w:r>
              <w:rPr>
                <w:sz w:val="21"/>
              </w:rPr>
              <w:t>查</w:t>
            </w:r>
          </w:p>
          <w:p>
            <w:pPr>
              <w:jc w:val="center"/>
              <w:rPr>
                <w:sz w:val="21"/>
              </w:rPr>
            </w:pPr>
            <w:r>
              <w:rPr>
                <w:sz w:val="21"/>
              </w:rPr>
              <w:t>结</w:t>
            </w:r>
          </w:p>
          <w:p>
            <w:pPr>
              <w:jc w:val="center"/>
              <w:rPr>
                <w:sz w:val="21"/>
              </w:rPr>
            </w:pPr>
            <w:r>
              <w:rPr>
                <w:sz w:val="21"/>
              </w:rPr>
              <w:t>论</w:t>
            </w:r>
          </w:p>
          <w:p>
            <w:pPr>
              <w:jc w:val="center"/>
              <w:rPr>
                <w:sz w:val="21"/>
              </w:rPr>
            </w:pPr>
          </w:p>
        </w:tc>
        <w:tc>
          <w:tcPr>
            <w:tcW w:w="4046" w:type="dxa"/>
            <w:gridSpan w:val="3"/>
            <w:vAlign w:val="center"/>
          </w:tcPr>
          <w:p>
            <w:pPr>
              <w:ind w:left="-122" w:leftChars="-51"/>
              <w:jc w:val="center"/>
              <w:rPr>
                <w:sz w:val="21"/>
              </w:rPr>
            </w:pPr>
          </w:p>
          <w:p>
            <w:pPr>
              <w:ind w:left="-122" w:leftChars="-51"/>
              <w:jc w:val="center"/>
              <w:rPr>
                <w:sz w:val="21"/>
              </w:rPr>
            </w:pPr>
          </w:p>
          <w:p>
            <w:pPr>
              <w:ind w:left="-122" w:leftChars="-51"/>
              <w:jc w:val="center"/>
              <w:rPr>
                <w:sz w:val="21"/>
              </w:rPr>
            </w:pPr>
          </w:p>
          <w:p>
            <w:pPr>
              <w:ind w:left="-122" w:leftChars="-51"/>
              <w:jc w:val="center"/>
              <w:rPr>
                <w:sz w:val="21"/>
              </w:rPr>
            </w:pPr>
          </w:p>
          <w:p>
            <w:pPr>
              <w:ind w:left="-121" w:leftChars="-51" w:hanging="1"/>
              <w:jc w:val="center"/>
              <w:rPr>
                <w:sz w:val="21"/>
              </w:rPr>
            </w:pPr>
          </w:p>
          <w:p>
            <w:pPr>
              <w:ind w:left="-121" w:leftChars="-51" w:hanging="1"/>
              <w:jc w:val="center"/>
              <w:rPr>
                <w:sz w:val="21"/>
              </w:rPr>
            </w:pPr>
          </w:p>
          <w:p>
            <w:pPr>
              <w:ind w:left="-121" w:leftChars="-51" w:hanging="1"/>
              <w:jc w:val="center"/>
              <w:rPr>
                <w:sz w:val="21"/>
              </w:rPr>
            </w:pPr>
          </w:p>
          <w:p>
            <w:pPr>
              <w:ind w:left="-122" w:leftChars="-51"/>
              <w:jc w:val="center"/>
              <w:rPr>
                <w:sz w:val="21"/>
              </w:rPr>
            </w:pPr>
          </w:p>
          <w:p>
            <w:pPr>
              <w:ind w:firstLine="210" w:firstLineChars="100"/>
              <w:jc w:val="center"/>
              <w:rPr>
                <w:sz w:val="21"/>
              </w:rPr>
            </w:pPr>
            <w:r>
              <w:rPr>
                <w:sz w:val="21"/>
              </w:rPr>
              <w:t>施工员：</w:t>
            </w:r>
          </w:p>
          <w:p>
            <w:pPr>
              <w:ind w:firstLine="210" w:firstLineChars="100"/>
              <w:jc w:val="center"/>
              <w:rPr>
                <w:sz w:val="21"/>
              </w:rPr>
            </w:pPr>
            <w:r>
              <w:rPr>
                <w:sz w:val="21"/>
              </w:rPr>
              <w:t>项目专业质量员：</w:t>
            </w:r>
          </w:p>
          <w:p>
            <w:pPr>
              <w:jc w:val="center"/>
              <w:rPr>
                <w:sz w:val="21"/>
              </w:rPr>
            </w:pPr>
            <w:r>
              <w:rPr>
                <w:sz w:val="21"/>
              </w:rPr>
              <w:t>年　  月　  日</w:t>
            </w:r>
          </w:p>
        </w:tc>
        <w:tc>
          <w:tcPr>
            <w:tcW w:w="426" w:type="dxa"/>
            <w:vAlign w:val="center"/>
          </w:tcPr>
          <w:p>
            <w:pPr>
              <w:jc w:val="center"/>
              <w:rPr>
                <w:sz w:val="21"/>
              </w:rPr>
            </w:pPr>
            <w:r>
              <w:rPr>
                <w:sz w:val="21"/>
              </w:rPr>
              <w:t>验</w:t>
            </w:r>
          </w:p>
          <w:p>
            <w:pPr>
              <w:jc w:val="center"/>
              <w:rPr>
                <w:sz w:val="21"/>
              </w:rPr>
            </w:pPr>
            <w:r>
              <w:rPr>
                <w:sz w:val="21"/>
              </w:rPr>
              <w:t>收</w:t>
            </w:r>
          </w:p>
          <w:p>
            <w:pPr>
              <w:jc w:val="center"/>
              <w:rPr>
                <w:sz w:val="21"/>
              </w:rPr>
            </w:pPr>
            <w:r>
              <w:rPr>
                <w:sz w:val="21"/>
              </w:rPr>
              <w:t>结</w:t>
            </w:r>
          </w:p>
          <w:p>
            <w:pPr>
              <w:jc w:val="center"/>
              <w:rPr>
                <w:sz w:val="21"/>
              </w:rPr>
            </w:pPr>
            <w:r>
              <w:rPr>
                <w:sz w:val="21"/>
              </w:rPr>
              <w:t>论</w:t>
            </w:r>
          </w:p>
          <w:p>
            <w:pPr>
              <w:jc w:val="center"/>
              <w:rPr>
                <w:sz w:val="21"/>
              </w:rPr>
            </w:pPr>
          </w:p>
        </w:tc>
        <w:tc>
          <w:tcPr>
            <w:tcW w:w="4625" w:type="dxa"/>
            <w:gridSpan w:val="5"/>
            <w:vAlign w:val="center"/>
          </w:tcPr>
          <w:p>
            <w:pPr>
              <w:jc w:val="center"/>
              <w:rPr>
                <w:sz w:val="21"/>
              </w:rPr>
            </w:pPr>
          </w:p>
          <w:p>
            <w:pPr>
              <w:jc w:val="center"/>
              <w:rPr>
                <w:sz w:val="21"/>
              </w:rPr>
            </w:pPr>
          </w:p>
          <w:p>
            <w:pPr>
              <w:jc w:val="center"/>
              <w:rPr>
                <w:sz w:val="21"/>
              </w:rPr>
            </w:pPr>
          </w:p>
          <w:p>
            <w:pPr>
              <w:jc w:val="center"/>
              <w:rPr>
                <w:sz w:val="21"/>
              </w:rPr>
            </w:pPr>
          </w:p>
          <w:p>
            <w:pPr>
              <w:jc w:val="center"/>
              <w:rPr>
                <w:sz w:val="21"/>
              </w:rPr>
            </w:pPr>
          </w:p>
          <w:p>
            <w:pPr>
              <w:jc w:val="center"/>
              <w:rPr>
                <w:sz w:val="21"/>
              </w:rPr>
            </w:pPr>
          </w:p>
          <w:p>
            <w:pPr>
              <w:jc w:val="center"/>
              <w:rPr>
                <w:sz w:val="21"/>
              </w:rPr>
            </w:pPr>
          </w:p>
          <w:p>
            <w:pPr>
              <w:jc w:val="center"/>
              <w:rPr>
                <w:sz w:val="21"/>
              </w:rPr>
            </w:pPr>
          </w:p>
          <w:p>
            <w:pPr>
              <w:ind w:firstLine="1260" w:firstLineChars="600"/>
              <w:jc w:val="center"/>
              <w:rPr>
                <w:sz w:val="21"/>
              </w:rPr>
            </w:pPr>
            <w:r>
              <w:rPr>
                <w:sz w:val="21"/>
              </w:rPr>
              <w:t>专业监理工程师</w:t>
            </w:r>
          </w:p>
          <w:p>
            <w:pPr>
              <w:ind w:firstLine="210" w:firstLineChars="100"/>
              <w:jc w:val="center"/>
              <w:rPr>
                <w:sz w:val="21"/>
              </w:rPr>
            </w:pPr>
            <w:r>
              <w:rPr>
                <w:sz w:val="21"/>
              </w:rPr>
              <w:t xml:space="preserve">        （建设项目专业技术负责人）</w:t>
            </w:r>
          </w:p>
          <w:p>
            <w:pPr>
              <w:ind w:left="3540" w:leftChars="600" w:hanging="2100" w:hangingChars="1000"/>
              <w:jc w:val="center"/>
              <w:rPr>
                <w:sz w:val="21"/>
              </w:rPr>
            </w:pPr>
            <w:r>
              <w:rPr>
                <w:sz w:val="21"/>
              </w:rPr>
              <w:t>年　　月　　日</w:t>
            </w:r>
          </w:p>
        </w:tc>
      </w:tr>
    </w:tbl>
    <w:p>
      <w:r>
        <w:rPr>
          <w:b/>
          <w:bCs/>
        </w:rPr>
        <w:t>B.0.3</w:t>
      </w:r>
      <w:r>
        <w:rPr>
          <w:rFonts w:hint="eastAsia"/>
          <w:b/>
          <w:bCs/>
        </w:rPr>
        <w:t xml:space="preserve"> </w:t>
      </w:r>
      <w:r>
        <w:rPr>
          <w:b/>
          <w:bCs/>
        </w:rPr>
        <w:t xml:space="preserve"> </w:t>
      </w:r>
      <w:r>
        <w:t>分部（子分部）工程质量应由总监理工程师组织施工单位项目负责人和项目技术负责人以及有关单位的项目负责人进行验收，并按表B.0.3记录。</w:t>
      </w:r>
    </w:p>
    <w:p>
      <w:pPr>
        <w:jc w:val="center"/>
        <w:rPr>
          <w:bCs/>
          <w:sz w:val="21"/>
          <w:szCs w:val="18"/>
        </w:rPr>
      </w:pPr>
      <w:r>
        <w:rPr>
          <w:b/>
          <w:sz w:val="21"/>
          <w:szCs w:val="18"/>
        </w:rPr>
        <w:t>表B.0.3</w:t>
      </w:r>
      <w:r>
        <w:rPr>
          <w:rFonts w:hint="eastAsia"/>
          <w:b/>
          <w:sz w:val="21"/>
          <w:szCs w:val="18"/>
        </w:rPr>
        <w:t xml:space="preserve"> </w:t>
      </w:r>
      <w:r>
        <w:rPr>
          <w:b/>
          <w:sz w:val="21"/>
          <w:szCs w:val="18"/>
        </w:rPr>
        <w:t xml:space="preserve"> 分部（子分部）工程质量验收记录表</w:t>
      </w:r>
    </w:p>
    <w:p>
      <w:pPr>
        <w:wordWrap w:val="0"/>
        <w:ind w:firstLine="6435"/>
        <w:jc w:val="right"/>
        <w:rPr>
          <w:rFonts w:ascii="宋体" w:hAnsi="宋体"/>
          <w:bCs/>
          <w:sz w:val="21"/>
          <w:szCs w:val="18"/>
        </w:rPr>
      </w:pPr>
      <w:r>
        <w:rPr>
          <w:rFonts w:hint="eastAsia" w:ascii="宋体" w:hAnsi="宋体"/>
          <w:bCs/>
          <w:sz w:val="21"/>
          <w:szCs w:val="18"/>
        </w:rPr>
        <w:t>编号</w:t>
      </w:r>
      <w:r>
        <w:rPr>
          <w:rFonts w:ascii="宋体" w:hAnsi="宋体"/>
          <w:bCs/>
          <w:sz w:val="21"/>
          <w:szCs w:val="18"/>
        </w:rPr>
        <w:t>:</w:t>
      </w:r>
      <w:r>
        <w:rPr>
          <w:rFonts w:hint="eastAsia" w:ascii="宋体" w:hAnsi="宋体"/>
          <w:bCs/>
          <w:sz w:val="21"/>
          <w:szCs w:val="18"/>
        </w:rPr>
        <w:t>　　　　　</w:t>
      </w:r>
    </w:p>
    <w:tbl>
      <w:tblPr>
        <w:tblStyle w:val="36"/>
        <w:tblW w:w="96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7"/>
        <w:gridCol w:w="531"/>
        <w:gridCol w:w="1192"/>
        <w:gridCol w:w="1514"/>
        <w:gridCol w:w="1899"/>
        <w:gridCol w:w="1627"/>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8" w:type="dxa"/>
            <w:gridSpan w:val="2"/>
            <w:vAlign w:val="center"/>
          </w:tcPr>
          <w:p>
            <w:pPr>
              <w:jc w:val="center"/>
              <w:rPr>
                <w:rFonts w:ascii="宋体" w:hAnsi="宋体"/>
                <w:sz w:val="21"/>
              </w:rPr>
            </w:pPr>
            <w:r>
              <w:rPr>
                <w:rFonts w:hint="eastAsia" w:ascii="宋体" w:hAnsi="宋体"/>
                <w:sz w:val="21"/>
              </w:rPr>
              <w:t>工程名称</w:t>
            </w:r>
          </w:p>
        </w:tc>
        <w:tc>
          <w:tcPr>
            <w:tcW w:w="4605" w:type="dxa"/>
            <w:gridSpan w:val="3"/>
            <w:vAlign w:val="center"/>
          </w:tcPr>
          <w:p>
            <w:pPr>
              <w:jc w:val="center"/>
              <w:rPr>
                <w:rFonts w:ascii="宋体" w:hAnsi="宋体"/>
                <w:sz w:val="21"/>
              </w:rPr>
            </w:pPr>
          </w:p>
        </w:tc>
        <w:tc>
          <w:tcPr>
            <w:tcW w:w="1627" w:type="dxa"/>
            <w:vAlign w:val="center"/>
          </w:tcPr>
          <w:p>
            <w:pPr>
              <w:jc w:val="center"/>
              <w:rPr>
                <w:rFonts w:ascii="宋体" w:hAnsi="宋体"/>
                <w:sz w:val="21"/>
              </w:rPr>
            </w:pPr>
            <w:r>
              <w:rPr>
                <w:rFonts w:hint="eastAsia" w:ascii="宋体" w:hAnsi="宋体"/>
                <w:sz w:val="21"/>
              </w:rPr>
              <w:t>分部工程名称</w:t>
            </w:r>
          </w:p>
        </w:tc>
        <w:tc>
          <w:tcPr>
            <w:tcW w:w="2160" w:type="dxa"/>
            <w:vAlign w:val="center"/>
          </w:tcPr>
          <w:p>
            <w:pPr>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8" w:type="dxa"/>
            <w:gridSpan w:val="2"/>
            <w:vAlign w:val="center"/>
          </w:tcPr>
          <w:p>
            <w:pPr>
              <w:jc w:val="center"/>
              <w:rPr>
                <w:rFonts w:ascii="宋体" w:hAnsi="宋体"/>
                <w:sz w:val="21"/>
              </w:rPr>
            </w:pPr>
            <w:r>
              <w:rPr>
                <w:rFonts w:hint="eastAsia" w:ascii="宋体" w:hAnsi="宋体"/>
                <w:sz w:val="21"/>
              </w:rPr>
              <w:t>施工单位</w:t>
            </w:r>
          </w:p>
        </w:tc>
        <w:tc>
          <w:tcPr>
            <w:tcW w:w="1192" w:type="dxa"/>
            <w:vAlign w:val="center"/>
          </w:tcPr>
          <w:p>
            <w:pPr>
              <w:jc w:val="center"/>
              <w:rPr>
                <w:rFonts w:ascii="宋体" w:hAnsi="宋体"/>
                <w:sz w:val="21"/>
              </w:rPr>
            </w:pPr>
          </w:p>
        </w:tc>
        <w:tc>
          <w:tcPr>
            <w:tcW w:w="1514" w:type="dxa"/>
            <w:vAlign w:val="center"/>
          </w:tcPr>
          <w:p>
            <w:pPr>
              <w:pStyle w:val="25"/>
              <w:pBdr>
                <w:bottom w:val="none" w:color="auto" w:sz="0" w:space="0"/>
              </w:pBdr>
              <w:tabs>
                <w:tab w:val="clear" w:pos="4153"/>
                <w:tab w:val="clear" w:pos="8306"/>
              </w:tabs>
              <w:snapToGrid/>
              <w:rPr>
                <w:spacing w:val="-20"/>
                <w:sz w:val="21"/>
                <w:szCs w:val="21"/>
              </w:rPr>
            </w:pPr>
            <w:r>
              <w:rPr>
                <w:rFonts w:hint="eastAsia"/>
                <w:spacing w:val="-20"/>
                <w:sz w:val="21"/>
                <w:szCs w:val="21"/>
              </w:rPr>
              <w:t>技术部门负责人</w:t>
            </w:r>
          </w:p>
        </w:tc>
        <w:tc>
          <w:tcPr>
            <w:tcW w:w="1899" w:type="dxa"/>
            <w:vAlign w:val="center"/>
          </w:tcPr>
          <w:p>
            <w:pPr>
              <w:jc w:val="center"/>
              <w:rPr>
                <w:rFonts w:ascii="宋体" w:hAnsi="宋体"/>
                <w:sz w:val="21"/>
              </w:rPr>
            </w:pPr>
          </w:p>
        </w:tc>
        <w:tc>
          <w:tcPr>
            <w:tcW w:w="1627" w:type="dxa"/>
            <w:vAlign w:val="center"/>
          </w:tcPr>
          <w:p>
            <w:pPr>
              <w:jc w:val="center"/>
              <w:rPr>
                <w:rFonts w:ascii="宋体" w:hAnsi="宋体"/>
                <w:spacing w:val="-20"/>
                <w:sz w:val="21"/>
              </w:rPr>
            </w:pPr>
            <w:r>
              <w:rPr>
                <w:rFonts w:hint="eastAsia" w:ascii="宋体" w:hAnsi="宋体"/>
                <w:spacing w:val="-20"/>
                <w:sz w:val="21"/>
              </w:rPr>
              <w:t>质量部门负责人</w:t>
            </w:r>
          </w:p>
        </w:tc>
        <w:tc>
          <w:tcPr>
            <w:tcW w:w="2160" w:type="dxa"/>
            <w:vAlign w:val="center"/>
          </w:tcPr>
          <w:p>
            <w:pPr>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8" w:type="dxa"/>
            <w:gridSpan w:val="2"/>
            <w:vAlign w:val="center"/>
          </w:tcPr>
          <w:p>
            <w:pPr>
              <w:jc w:val="center"/>
              <w:rPr>
                <w:rFonts w:ascii="宋体" w:hAnsi="宋体"/>
                <w:sz w:val="21"/>
              </w:rPr>
            </w:pPr>
            <w:r>
              <w:rPr>
                <w:rFonts w:hint="eastAsia" w:ascii="宋体" w:hAnsi="宋体"/>
                <w:sz w:val="21"/>
              </w:rPr>
              <w:t>分包单位</w:t>
            </w:r>
          </w:p>
        </w:tc>
        <w:tc>
          <w:tcPr>
            <w:tcW w:w="1192" w:type="dxa"/>
            <w:vAlign w:val="center"/>
          </w:tcPr>
          <w:p>
            <w:pPr>
              <w:jc w:val="center"/>
              <w:rPr>
                <w:rFonts w:ascii="宋体" w:hAnsi="宋体"/>
                <w:sz w:val="21"/>
              </w:rPr>
            </w:pPr>
          </w:p>
        </w:tc>
        <w:tc>
          <w:tcPr>
            <w:tcW w:w="1514" w:type="dxa"/>
            <w:vAlign w:val="center"/>
          </w:tcPr>
          <w:p>
            <w:pPr>
              <w:jc w:val="center"/>
              <w:rPr>
                <w:rFonts w:ascii="宋体" w:hAnsi="宋体"/>
                <w:spacing w:val="-20"/>
                <w:sz w:val="21"/>
              </w:rPr>
            </w:pPr>
            <w:r>
              <w:rPr>
                <w:rFonts w:hint="eastAsia" w:ascii="宋体" w:hAnsi="宋体"/>
                <w:spacing w:val="-20"/>
                <w:sz w:val="21"/>
              </w:rPr>
              <w:t>分包单位负责人</w:t>
            </w:r>
          </w:p>
        </w:tc>
        <w:tc>
          <w:tcPr>
            <w:tcW w:w="1899" w:type="dxa"/>
            <w:vAlign w:val="center"/>
          </w:tcPr>
          <w:p>
            <w:pPr>
              <w:jc w:val="center"/>
              <w:rPr>
                <w:rFonts w:ascii="宋体" w:hAnsi="宋体"/>
                <w:sz w:val="21"/>
              </w:rPr>
            </w:pPr>
          </w:p>
        </w:tc>
        <w:tc>
          <w:tcPr>
            <w:tcW w:w="1627" w:type="dxa"/>
            <w:vAlign w:val="center"/>
          </w:tcPr>
          <w:p>
            <w:pPr>
              <w:jc w:val="center"/>
              <w:rPr>
                <w:rFonts w:ascii="宋体" w:hAnsi="宋体"/>
                <w:spacing w:val="-20"/>
                <w:sz w:val="21"/>
              </w:rPr>
            </w:pPr>
            <w:r>
              <w:rPr>
                <w:rFonts w:hint="eastAsia" w:ascii="宋体" w:hAnsi="宋体"/>
                <w:spacing w:val="-20"/>
                <w:sz w:val="21"/>
              </w:rPr>
              <w:t>分包技术负责人</w:t>
            </w:r>
          </w:p>
        </w:tc>
        <w:tc>
          <w:tcPr>
            <w:tcW w:w="2160" w:type="dxa"/>
            <w:vAlign w:val="center"/>
          </w:tcPr>
          <w:p>
            <w:pPr>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jc w:val="center"/>
              <w:rPr>
                <w:rFonts w:ascii="宋体" w:hAnsi="宋体"/>
                <w:sz w:val="21"/>
              </w:rPr>
            </w:pPr>
            <w:r>
              <w:rPr>
                <w:rFonts w:hint="eastAsia" w:ascii="宋体" w:hAnsi="宋体"/>
                <w:sz w:val="21"/>
              </w:rPr>
              <w:t>序号</w:t>
            </w:r>
          </w:p>
        </w:tc>
        <w:tc>
          <w:tcPr>
            <w:tcW w:w="1723" w:type="dxa"/>
            <w:gridSpan w:val="2"/>
            <w:vAlign w:val="center"/>
          </w:tcPr>
          <w:p>
            <w:pPr>
              <w:jc w:val="center"/>
              <w:rPr>
                <w:rFonts w:ascii="宋体" w:hAnsi="宋体"/>
                <w:sz w:val="21"/>
              </w:rPr>
            </w:pPr>
            <w:r>
              <w:rPr>
                <w:rFonts w:hint="eastAsia" w:ascii="宋体" w:hAnsi="宋体"/>
                <w:sz w:val="21"/>
              </w:rPr>
              <w:t>分项工程名称</w:t>
            </w:r>
          </w:p>
        </w:tc>
        <w:tc>
          <w:tcPr>
            <w:tcW w:w="1514" w:type="dxa"/>
            <w:vAlign w:val="center"/>
          </w:tcPr>
          <w:p>
            <w:pPr>
              <w:jc w:val="center"/>
              <w:rPr>
                <w:rFonts w:ascii="宋体" w:hAnsi="宋体"/>
                <w:sz w:val="21"/>
              </w:rPr>
            </w:pPr>
            <w:r>
              <w:rPr>
                <w:rFonts w:hint="eastAsia" w:ascii="宋体" w:hAnsi="宋体"/>
                <w:sz w:val="21"/>
              </w:rPr>
              <w:t>检验批数</w:t>
            </w:r>
          </w:p>
        </w:tc>
        <w:tc>
          <w:tcPr>
            <w:tcW w:w="1899" w:type="dxa"/>
            <w:vAlign w:val="center"/>
          </w:tcPr>
          <w:p>
            <w:pPr>
              <w:jc w:val="center"/>
              <w:rPr>
                <w:rFonts w:ascii="宋体" w:hAnsi="宋体"/>
                <w:sz w:val="21"/>
              </w:rPr>
            </w:pPr>
            <w:r>
              <w:rPr>
                <w:rFonts w:hint="eastAsia" w:ascii="宋体" w:hAnsi="宋体"/>
                <w:sz w:val="21"/>
              </w:rPr>
              <w:t>施工单位检查评定</w:t>
            </w:r>
          </w:p>
        </w:tc>
        <w:tc>
          <w:tcPr>
            <w:tcW w:w="3787" w:type="dxa"/>
            <w:gridSpan w:val="2"/>
            <w:vAlign w:val="center"/>
          </w:tcPr>
          <w:p>
            <w:pPr>
              <w:jc w:val="center"/>
              <w:rPr>
                <w:rFonts w:ascii="宋体" w:hAnsi="宋体"/>
                <w:sz w:val="21"/>
              </w:rPr>
            </w:pPr>
            <w:r>
              <w:rPr>
                <w:rFonts w:hint="eastAsia" w:ascii="宋体" w:hAnsi="宋体"/>
                <w:sz w:val="21"/>
              </w:rPr>
              <w:t>验　收　意　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pStyle w:val="82"/>
              <w:jc w:val="center"/>
              <w:rPr>
                <w:rFonts w:ascii="宋体" w:hAnsi="宋体"/>
                <w:sz w:val="21"/>
                <w:szCs w:val="21"/>
              </w:rPr>
            </w:pPr>
            <w:r>
              <w:rPr>
                <w:rFonts w:ascii="宋体" w:hAnsi="宋体"/>
                <w:sz w:val="21"/>
                <w:szCs w:val="21"/>
              </w:rPr>
              <w:t>1</w:t>
            </w:r>
          </w:p>
        </w:tc>
        <w:tc>
          <w:tcPr>
            <w:tcW w:w="1723" w:type="dxa"/>
            <w:gridSpan w:val="2"/>
            <w:vAlign w:val="center"/>
          </w:tcPr>
          <w:p>
            <w:pPr>
              <w:jc w:val="center"/>
              <w:rPr>
                <w:rFonts w:ascii="宋体" w:hAnsi="宋体"/>
                <w:sz w:val="21"/>
              </w:rPr>
            </w:pPr>
          </w:p>
        </w:tc>
        <w:tc>
          <w:tcPr>
            <w:tcW w:w="1514" w:type="dxa"/>
            <w:vAlign w:val="center"/>
          </w:tcPr>
          <w:p>
            <w:pPr>
              <w:pStyle w:val="25"/>
              <w:pBdr>
                <w:bottom w:val="none" w:color="auto" w:sz="0" w:space="0"/>
              </w:pBdr>
              <w:tabs>
                <w:tab w:val="clear" w:pos="4153"/>
                <w:tab w:val="clear" w:pos="8306"/>
              </w:tabs>
              <w:snapToGrid/>
              <w:rPr>
                <w:sz w:val="21"/>
                <w:szCs w:val="21"/>
              </w:rPr>
            </w:pPr>
          </w:p>
        </w:tc>
        <w:tc>
          <w:tcPr>
            <w:tcW w:w="1899" w:type="dxa"/>
            <w:vAlign w:val="center"/>
          </w:tcPr>
          <w:p>
            <w:pPr>
              <w:jc w:val="center"/>
              <w:rPr>
                <w:rFonts w:ascii="宋体" w:hAnsi="宋体"/>
                <w:sz w:val="21"/>
              </w:rPr>
            </w:pPr>
          </w:p>
        </w:tc>
        <w:tc>
          <w:tcPr>
            <w:tcW w:w="3787" w:type="dxa"/>
            <w:gridSpan w:val="2"/>
            <w:vMerge w:val="restart"/>
            <w:vAlign w:val="center"/>
          </w:tcPr>
          <w:p>
            <w:pPr>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jc w:val="center"/>
              <w:rPr>
                <w:rFonts w:ascii="宋体" w:hAnsi="宋体"/>
                <w:sz w:val="21"/>
              </w:rPr>
            </w:pPr>
            <w:r>
              <w:rPr>
                <w:rFonts w:ascii="宋体" w:hAnsi="宋体"/>
                <w:sz w:val="21"/>
              </w:rPr>
              <w:t>2</w:t>
            </w:r>
          </w:p>
        </w:tc>
        <w:tc>
          <w:tcPr>
            <w:tcW w:w="1723" w:type="dxa"/>
            <w:gridSpan w:val="2"/>
            <w:vAlign w:val="center"/>
          </w:tcPr>
          <w:p>
            <w:pPr>
              <w:jc w:val="center"/>
              <w:rPr>
                <w:rFonts w:ascii="宋体" w:hAnsi="宋体"/>
                <w:sz w:val="21"/>
              </w:rPr>
            </w:pPr>
          </w:p>
        </w:tc>
        <w:tc>
          <w:tcPr>
            <w:tcW w:w="1514" w:type="dxa"/>
            <w:vAlign w:val="center"/>
          </w:tcPr>
          <w:p>
            <w:pPr>
              <w:jc w:val="center"/>
              <w:rPr>
                <w:rFonts w:ascii="宋体" w:hAnsi="宋体"/>
                <w:sz w:val="21"/>
              </w:rPr>
            </w:pPr>
          </w:p>
        </w:tc>
        <w:tc>
          <w:tcPr>
            <w:tcW w:w="1899" w:type="dxa"/>
            <w:vAlign w:val="center"/>
          </w:tcPr>
          <w:p>
            <w:pPr>
              <w:jc w:val="center"/>
              <w:rPr>
                <w:rFonts w:ascii="宋体" w:hAnsi="宋体"/>
                <w:sz w:val="21"/>
              </w:rPr>
            </w:pPr>
          </w:p>
        </w:tc>
        <w:tc>
          <w:tcPr>
            <w:tcW w:w="3787" w:type="dxa"/>
            <w:gridSpan w:val="2"/>
            <w:vMerge w:val="continue"/>
            <w:vAlign w:val="center"/>
          </w:tcPr>
          <w:p>
            <w:pPr>
              <w:widowControl/>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jc w:val="center"/>
              <w:rPr>
                <w:rFonts w:ascii="宋体" w:hAnsi="宋体"/>
                <w:sz w:val="21"/>
              </w:rPr>
            </w:pPr>
            <w:r>
              <w:rPr>
                <w:rFonts w:ascii="宋体" w:hAnsi="宋体"/>
                <w:sz w:val="21"/>
              </w:rPr>
              <w:t>3</w:t>
            </w:r>
          </w:p>
        </w:tc>
        <w:tc>
          <w:tcPr>
            <w:tcW w:w="1723" w:type="dxa"/>
            <w:gridSpan w:val="2"/>
            <w:vAlign w:val="center"/>
          </w:tcPr>
          <w:p>
            <w:pPr>
              <w:jc w:val="center"/>
              <w:rPr>
                <w:rFonts w:ascii="宋体" w:hAnsi="宋体"/>
                <w:sz w:val="21"/>
              </w:rPr>
            </w:pPr>
          </w:p>
        </w:tc>
        <w:tc>
          <w:tcPr>
            <w:tcW w:w="1514" w:type="dxa"/>
            <w:vAlign w:val="center"/>
          </w:tcPr>
          <w:p>
            <w:pPr>
              <w:jc w:val="center"/>
              <w:rPr>
                <w:rFonts w:ascii="宋体" w:hAnsi="宋体"/>
                <w:sz w:val="21"/>
              </w:rPr>
            </w:pPr>
          </w:p>
        </w:tc>
        <w:tc>
          <w:tcPr>
            <w:tcW w:w="1899" w:type="dxa"/>
            <w:vAlign w:val="center"/>
          </w:tcPr>
          <w:p>
            <w:pPr>
              <w:jc w:val="center"/>
              <w:rPr>
                <w:rFonts w:ascii="宋体" w:hAnsi="宋体"/>
                <w:sz w:val="21"/>
              </w:rPr>
            </w:pPr>
          </w:p>
        </w:tc>
        <w:tc>
          <w:tcPr>
            <w:tcW w:w="3787" w:type="dxa"/>
            <w:gridSpan w:val="2"/>
            <w:vMerge w:val="continue"/>
            <w:vAlign w:val="center"/>
          </w:tcPr>
          <w:p>
            <w:pPr>
              <w:widowControl/>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jc w:val="center"/>
              <w:rPr>
                <w:rFonts w:ascii="宋体" w:hAnsi="宋体"/>
                <w:sz w:val="21"/>
              </w:rPr>
            </w:pPr>
            <w:r>
              <w:rPr>
                <w:rFonts w:ascii="宋体" w:hAnsi="宋体"/>
                <w:sz w:val="21"/>
              </w:rPr>
              <w:t>4</w:t>
            </w:r>
          </w:p>
        </w:tc>
        <w:tc>
          <w:tcPr>
            <w:tcW w:w="1723" w:type="dxa"/>
            <w:gridSpan w:val="2"/>
            <w:vAlign w:val="center"/>
          </w:tcPr>
          <w:p>
            <w:pPr>
              <w:jc w:val="center"/>
              <w:rPr>
                <w:rFonts w:ascii="宋体" w:hAnsi="宋体"/>
                <w:sz w:val="21"/>
              </w:rPr>
            </w:pPr>
          </w:p>
        </w:tc>
        <w:tc>
          <w:tcPr>
            <w:tcW w:w="1514" w:type="dxa"/>
            <w:vAlign w:val="center"/>
          </w:tcPr>
          <w:p>
            <w:pPr>
              <w:jc w:val="center"/>
              <w:rPr>
                <w:rFonts w:ascii="宋体" w:hAnsi="宋体"/>
                <w:sz w:val="21"/>
              </w:rPr>
            </w:pPr>
          </w:p>
        </w:tc>
        <w:tc>
          <w:tcPr>
            <w:tcW w:w="1899" w:type="dxa"/>
            <w:vAlign w:val="center"/>
          </w:tcPr>
          <w:p>
            <w:pPr>
              <w:jc w:val="center"/>
              <w:rPr>
                <w:rFonts w:ascii="宋体" w:hAnsi="宋体"/>
                <w:sz w:val="21"/>
              </w:rPr>
            </w:pPr>
          </w:p>
        </w:tc>
        <w:tc>
          <w:tcPr>
            <w:tcW w:w="3787" w:type="dxa"/>
            <w:gridSpan w:val="2"/>
            <w:vMerge w:val="continue"/>
            <w:vAlign w:val="center"/>
          </w:tcPr>
          <w:p>
            <w:pPr>
              <w:widowControl/>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jc w:val="center"/>
              <w:rPr>
                <w:rFonts w:ascii="宋体" w:hAnsi="宋体"/>
                <w:sz w:val="21"/>
              </w:rPr>
            </w:pPr>
            <w:r>
              <w:rPr>
                <w:rFonts w:ascii="宋体" w:hAnsi="宋体"/>
                <w:sz w:val="21"/>
              </w:rPr>
              <w:t>5</w:t>
            </w:r>
          </w:p>
        </w:tc>
        <w:tc>
          <w:tcPr>
            <w:tcW w:w="1723" w:type="dxa"/>
            <w:gridSpan w:val="2"/>
            <w:vAlign w:val="center"/>
          </w:tcPr>
          <w:p>
            <w:pPr>
              <w:jc w:val="center"/>
              <w:rPr>
                <w:rFonts w:ascii="宋体" w:hAnsi="宋体"/>
                <w:sz w:val="21"/>
              </w:rPr>
            </w:pPr>
          </w:p>
        </w:tc>
        <w:tc>
          <w:tcPr>
            <w:tcW w:w="1514" w:type="dxa"/>
            <w:vAlign w:val="center"/>
          </w:tcPr>
          <w:p>
            <w:pPr>
              <w:jc w:val="center"/>
              <w:rPr>
                <w:rFonts w:ascii="宋体" w:hAnsi="宋体"/>
                <w:sz w:val="21"/>
              </w:rPr>
            </w:pPr>
          </w:p>
        </w:tc>
        <w:tc>
          <w:tcPr>
            <w:tcW w:w="1899" w:type="dxa"/>
            <w:vAlign w:val="center"/>
          </w:tcPr>
          <w:p>
            <w:pPr>
              <w:jc w:val="center"/>
              <w:rPr>
                <w:rFonts w:ascii="宋体" w:hAnsi="宋体"/>
                <w:sz w:val="21"/>
              </w:rPr>
            </w:pPr>
          </w:p>
        </w:tc>
        <w:tc>
          <w:tcPr>
            <w:tcW w:w="3787" w:type="dxa"/>
            <w:gridSpan w:val="2"/>
            <w:vMerge w:val="continue"/>
            <w:vAlign w:val="center"/>
          </w:tcPr>
          <w:p>
            <w:pPr>
              <w:widowControl/>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0" w:type="dxa"/>
            <w:gridSpan w:val="3"/>
            <w:vAlign w:val="center"/>
          </w:tcPr>
          <w:p>
            <w:pPr>
              <w:jc w:val="center"/>
              <w:rPr>
                <w:rFonts w:ascii="宋体" w:hAnsi="宋体"/>
                <w:sz w:val="21"/>
              </w:rPr>
            </w:pPr>
            <w:r>
              <w:rPr>
                <w:rFonts w:hint="eastAsia" w:ascii="宋体" w:hAnsi="宋体"/>
                <w:sz w:val="21"/>
              </w:rPr>
              <w:t>质量控制资料</w:t>
            </w:r>
          </w:p>
        </w:tc>
        <w:tc>
          <w:tcPr>
            <w:tcW w:w="3413" w:type="dxa"/>
            <w:gridSpan w:val="2"/>
            <w:vAlign w:val="center"/>
          </w:tcPr>
          <w:p>
            <w:pPr>
              <w:jc w:val="center"/>
              <w:rPr>
                <w:rFonts w:ascii="宋体" w:hAnsi="宋体"/>
                <w:sz w:val="21"/>
              </w:rPr>
            </w:pPr>
          </w:p>
          <w:p>
            <w:pPr>
              <w:jc w:val="center"/>
              <w:rPr>
                <w:rFonts w:ascii="宋体" w:hAnsi="宋体"/>
                <w:sz w:val="21"/>
              </w:rPr>
            </w:pPr>
          </w:p>
        </w:tc>
        <w:tc>
          <w:tcPr>
            <w:tcW w:w="3787" w:type="dxa"/>
            <w:gridSpan w:val="2"/>
            <w:vAlign w:val="center"/>
          </w:tcPr>
          <w:p>
            <w:pPr>
              <w:jc w:val="center"/>
              <w:rPr>
                <w:rFonts w:ascii="宋体" w:hAnsi="宋体"/>
                <w:sz w:val="21"/>
              </w:rPr>
            </w:pPr>
          </w:p>
          <w:p>
            <w:pPr>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0" w:type="dxa"/>
            <w:gridSpan w:val="3"/>
            <w:vAlign w:val="center"/>
          </w:tcPr>
          <w:p>
            <w:pPr>
              <w:jc w:val="center"/>
              <w:rPr>
                <w:rFonts w:ascii="宋体" w:hAnsi="宋体"/>
                <w:sz w:val="21"/>
              </w:rPr>
            </w:pPr>
            <w:r>
              <w:rPr>
                <w:rFonts w:hint="eastAsia" w:ascii="宋体" w:hAnsi="宋体"/>
                <w:sz w:val="21"/>
              </w:rPr>
              <w:t>安全和功能检验</w:t>
            </w:r>
          </w:p>
          <w:p>
            <w:pPr>
              <w:jc w:val="center"/>
              <w:rPr>
                <w:rFonts w:ascii="宋体" w:hAnsi="宋体"/>
                <w:sz w:val="21"/>
              </w:rPr>
            </w:pPr>
            <w:r>
              <w:rPr>
                <w:rFonts w:hint="eastAsia" w:ascii="宋体" w:hAnsi="宋体"/>
                <w:sz w:val="21"/>
              </w:rPr>
              <w:t>（检测）报告</w:t>
            </w:r>
          </w:p>
        </w:tc>
        <w:tc>
          <w:tcPr>
            <w:tcW w:w="3413" w:type="dxa"/>
            <w:gridSpan w:val="2"/>
            <w:vAlign w:val="center"/>
          </w:tcPr>
          <w:p>
            <w:pPr>
              <w:jc w:val="center"/>
              <w:rPr>
                <w:rFonts w:ascii="宋体" w:hAnsi="宋体"/>
                <w:sz w:val="21"/>
              </w:rPr>
            </w:pPr>
          </w:p>
          <w:p>
            <w:pPr>
              <w:jc w:val="center"/>
              <w:rPr>
                <w:rFonts w:ascii="宋体" w:hAnsi="宋体"/>
                <w:sz w:val="21"/>
              </w:rPr>
            </w:pPr>
          </w:p>
        </w:tc>
        <w:tc>
          <w:tcPr>
            <w:tcW w:w="3787" w:type="dxa"/>
            <w:gridSpan w:val="2"/>
            <w:vAlign w:val="center"/>
          </w:tcPr>
          <w:p>
            <w:pPr>
              <w:jc w:val="center"/>
              <w:rPr>
                <w:rFonts w:ascii="宋体" w:hAnsi="宋体"/>
                <w:sz w:val="21"/>
              </w:rPr>
            </w:pPr>
          </w:p>
          <w:p>
            <w:pPr>
              <w:jc w:val="center"/>
              <w:rPr>
                <w:rFonts w:ascii="宋体" w:hAnsi="宋体"/>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0" w:type="dxa"/>
            <w:gridSpan w:val="3"/>
            <w:vAlign w:val="center"/>
          </w:tcPr>
          <w:p>
            <w:pPr>
              <w:jc w:val="center"/>
              <w:rPr>
                <w:rFonts w:ascii="宋体" w:hAnsi="宋体"/>
                <w:sz w:val="21"/>
              </w:rPr>
            </w:pPr>
            <w:r>
              <w:rPr>
                <w:rFonts w:hint="eastAsia" w:ascii="宋体" w:hAnsi="宋体"/>
                <w:sz w:val="21"/>
              </w:rPr>
              <w:t>观感质量验收</w:t>
            </w:r>
          </w:p>
        </w:tc>
        <w:tc>
          <w:tcPr>
            <w:tcW w:w="3413" w:type="dxa"/>
            <w:gridSpan w:val="2"/>
            <w:vAlign w:val="center"/>
          </w:tcPr>
          <w:p>
            <w:pPr>
              <w:jc w:val="center"/>
              <w:rPr>
                <w:rFonts w:ascii="宋体" w:hAnsi="宋体"/>
                <w:sz w:val="21"/>
              </w:rPr>
            </w:pPr>
          </w:p>
          <w:p>
            <w:pPr>
              <w:jc w:val="center"/>
              <w:rPr>
                <w:rFonts w:ascii="宋体" w:hAnsi="宋体"/>
                <w:sz w:val="21"/>
              </w:rPr>
            </w:pPr>
          </w:p>
        </w:tc>
        <w:tc>
          <w:tcPr>
            <w:tcW w:w="3787" w:type="dxa"/>
            <w:gridSpan w:val="2"/>
            <w:vAlign w:val="center"/>
          </w:tcPr>
          <w:p>
            <w:pPr>
              <w:pStyle w:val="82"/>
              <w:jc w:val="center"/>
              <w:rPr>
                <w:rFonts w:ascii="宋体" w:hAnsi="宋体"/>
                <w:sz w:val="21"/>
                <w:szCs w:val="21"/>
              </w:rPr>
            </w:pPr>
          </w:p>
          <w:p>
            <w:pPr>
              <w:pStyle w:val="82"/>
              <w:jc w:val="center"/>
              <w:rPr>
                <w:rFonts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Merge w:val="restart"/>
            <w:vAlign w:val="center"/>
          </w:tcPr>
          <w:p>
            <w:pPr>
              <w:jc w:val="center"/>
              <w:rPr>
                <w:rFonts w:ascii="宋体" w:hAnsi="宋体"/>
                <w:sz w:val="21"/>
              </w:rPr>
            </w:pPr>
            <w:r>
              <w:rPr>
                <w:rFonts w:hint="eastAsia" w:ascii="宋体" w:hAnsi="宋体"/>
                <w:sz w:val="21"/>
              </w:rPr>
              <w:t>验</w:t>
            </w:r>
          </w:p>
          <w:p>
            <w:pPr>
              <w:jc w:val="center"/>
              <w:rPr>
                <w:rFonts w:ascii="宋体" w:hAnsi="宋体"/>
                <w:sz w:val="21"/>
              </w:rPr>
            </w:pPr>
            <w:r>
              <w:rPr>
                <w:rFonts w:hint="eastAsia" w:ascii="宋体" w:hAnsi="宋体"/>
                <w:sz w:val="21"/>
              </w:rPr>
              <w:t>收</w:t>
            </w:r>
          </w:p>
          <w:p>
            <w:pPr>
              <w:jc w:val="center"/>
              <w:rPr>
                <w:rFonts w:ascii="宋体" w:hAnsi="宋体"/>
                <w:sz w:val="21"/>
              </w:rPr>
            </w:pPr>
            <w:r>
              <w:rPr>
                <w:rFonts w:hint="eastAsia" w:ascii="宋体" w:hAnsi="宋体"/>
                <w:sz w:val="21"/>
              </w:rPr>
              <w:t>单</w:t>
            </w:r>
          </w:p>
          <w:p>
            <w:pPr>
              <w:jc w:val="center"/>
              <w:rPr>
                <w:rFonts w:ascii="宋体" w:hAnsi="宋体"/>
                <w:sz w:val="21"/>
              </w:rPr>
            </w:pPr>
            <w:r>
              <w:rPr>
                <w:rFonts w:hint="eastAsia" w:ascii="宋体" w:hAnsi="宋体"/>
                <w:sz w:val="21"/>
              </w:rPr>
              <w:t>位</w:t>
            </w:r>
          </w:p>
        </w:tc>
        <w:tc>
          <w:tcPr>
            <w:tcW w:w="1723" w:type="dxa"/>
            <w:gridSpan w:val="2"/>
            <w:vAlign w:val="center"/>
          </w:tcPr>
          <w:p>
            <w:pPr>
              <w:jc w:val="center"/>
              <w:rPr>
                <w:rFonts w:ascii="宋体" w:hAnsi="宋体"/>
                <w:sz w:val="21"/>
              </w:rPr>
            </w:pPr>
            <w:r>
              <w:rPr>
                <w:rFonts w:hint="eastAsia" w:ascii="宋体" w:hAnsi="宋体"/>
                <w:sz w:val="21"/>
              </w:rPr>
              <w:t>分包单位</w:t>
            </w:r>
          </w:p>
        </w:tc>
        <w:tc>
          <w:tcPr>
            <w:tcW w:w="7200" w:type="dxa"/>
            <w:gridSpan w:val="4"/>
            <w:vAlign w:val="center"/>
          </w:tcPr>
          <w:p>
            <w:pPr>
              <w:jc w:val="center"/>
              <w:rPr>
                <w:rFonts w:ascii="宋体" w:hAnsi="宋体"/>
                <w:sz w:val="21"/>
              </w:rPr>
            </w:pPr>
            <w:r>
              <w:rPr>
                <w:rFonts w:hint="eastAsia" w:ascii="宋体" w:hAnsi="宋体"/>
                <w:sz w:val="21"/>
              </w:rPr>
              <w:t>项目经理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Merge w:val="continue"/>
            <w:vAlign w:val="center"/>
          </w:tcPr>
          <w:p>
            <w:pPr>
              <w:widowControl/>
              <w:jc w:val="center"/>
              <w:rPr>
                <w:rFonts w:ascii="宋体" w:hAnsi="宋体"/>
                <w:sz w:val="21"/>
              </w:rPr>
            </w:pPr>
          </w:p>
        </w:tc>
        <w:tc>
          <w:tcPr>
            <w:tcW w:w="1723" w:type="dxa"/>
            <w:gridSpan w:val="2"/>
            <w:vAlign w:val="center"/>
          </w:tcPr>
          <w:p>
            <w:pPr>
              <w:jc w:val="center"/>
              <w:rPr>
                <w:rFonts w:ascii="宋体" w:hAnsi="宋体"/>
                <w:sz w:val="21"/>
              </w:rPr>
            </w:pPr>
            <w:r>
              <w:rPr>
                <w:rFonts w:hint="eastAsia" w:ascii="宋体" w:hAnsi="宋体"/>
                <w:sz w:val="21"/>
              </w:rPr>
              <w:t>施工单位</w:t>
            </w:r>
          </w:p>
        </w:tc>
        <w:tc>
          <w:tcPr>
            <w:tcW w:w="7200" w:type="dxa"/>
            <w:gridSpan w:val="4"/>
            <w:vAlign w:val="center"/>
          </w:tcPr>
          <w:p>
            <w:pPr>
              <w:jc w:val="center"/>
              <w:rPr>
                <w:rFonts w:ascii="宋体" w:hAnsi="宋体"/>
                <w:sz w:val="21"/>
              </w:rPr>
            </w:pPr>
            <w:r>
              <w:rPr>
                <w:rFonts w:hint="eastAsia" w:ascii="宋体" w:hAnsi="宋体"/>
                <w:sz w:val="21"/>
              </w:rPr>
              <w:t>项目经理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Merge w:val="continue"/>
            <w:vAlign w:val="center"/>
          </w:tcPr>
          <w:p>
            <w:pPr>
              <w:widowControl/>
              <w:jc w:val="center"/>
              <w:rPr>
                <w:rFonts w:ascii="宋体" w:hAnsi="宋体"/>
                <w:sz w:val="21"/>
              </w:rPr>
            </w:pPr>
          </w:p>
        </w:tc>
        <w:tc>
          <w:tcPr>
            <w:tcW w:w="1723" w:type="dxa"/>
            <w:gridSpan w:val="2"/>
            <w:vAlign w:val="center"/>
          </w:tcPr>
          <w:p>
            <w:pPr>
              <w:jc w:val="center"/>
              <w:rPr>
                <w:rFonts w:ascii="宋体" w:hAnsi="宋体"/>
                <w:sz w:val="21"/>
              </w:rPr>
            </w:pPr>
            <w:r>
              <w:rPr>
                <w:rFonts w:hint="eastAsia" w:ascii="宋体" w:hAnsi="宋体"/>
                <w:sz w:val="21"/>
              </w:rPr>
              <w:t>设计单位</w:t>
            </w:r>
          </w:p>
        </w:tc>
        <w:tc>
          <w:tcPr>
            <w:tcW w:w="7200" w:type="dxa"/>
            <w:gridSpan w:val="4"/>
            <w:vAlign w:val="center"/>
          </w:tcPr>
          <w:p>
            <w:pPr>
              <w:jc w:val="center"/>
              <w:rPr>
                <w:rFonts w:ascii="宋体" w:hAnsi="宋体"/>
                <w:sz w:val="21"/>
              </w:rPr>
            </w:pPr>
            <w:r>
              <w:rPr>
                <w:rFonts w:hint="eastAsia" w:ascii="宋体" w:hAnsi="宋体"/>
                <w:sz w:val="21"/>
              </w:rPr>
              <w:t>项目负责人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Merge w:val="continue"/>
            <w:vAlign w:val="center"/>
          </w:tcPr>
          <w:p>
            <w:pPr>
              <w:widowControl/>
              <w:jc w:val="center"/>
              <w:rPr>
                <w:rFonts w:ascii="宋体" w:hAnsi="宋体"/>
                <w:sz w:val="21"/>
              </w:rPr>
            </w:pPr>
          </w:p>
        </w:tc>
        <w:tc>
          <w:tcPr>
            <w:tcW w:w="1723" w:type="dxa"/>
            <w:gridSpan w:val="2"/>
            <w:vAlign w:val="center"/>
          </w:tcPr>
          <w:p>
            <w:pPr>
              <w:jc w:val="center"/>
              <w:rPr>
                <w:rFonts w:ascii="宋体" w:hAnsi="宋体"/>
                <w:sz w:val="21"/>
              </w:rPr>
            </w:pPr>
            <w:r>
              <w:rPr>
                <w:rFonts w:hint="eastAsia" w:ascii="宋体" w:hAnsi="宋体"/>
                <w:sz w:val="21"/>
              </w:rPr>
              <w:t>勘察单位</w:t>
            </w:r>
          </w:p>
        </w:tc>
        <w:tc>
          <w:tcPr>
            <w:tcW w:w="7200" w:type="dxa"/>
            <w:gridSpan w:val="4"/>
            <w:vAlign w:val="center"/>
          </w:tcPr>
          <w:p>
            <w:pPr>
              <w:jc w:val="center"/>
              <w:rPr>
                <w:rFonts w:ascii="宋体" w:hAnsi="宋体"/>
                <w:sz w:val="21"/>
              </w:rPr>
            </w:pPr>
            <w:r>
              <w:rPr>
                <w:rFonts w:hint="eastAsia" w:ascii="宋体" w:hAnsi="宋体"/>
                <w:sz w:val="21"/>
              </w:rPr>
              <w:t>项目负责人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Merge w:val="continue"/>
            <w:vAlign w:val="center"/>
          </w:tcPr>
          <w:p>
            <w:pPr>
              <w:widowControl/>
              <w:jc w:val="center"/>
              <w:rPr>
                <w:rFonts w:ascii="宋体" w:hAnsi="宋体"/>
                <w:sz w:val="21"/>
              </w:rPr>
            </w:pPr>
          </w:p>
        </w:tc>
        <w:tc>
          <w:tcPr>
            <w:tcW w:w="1723" w:type="dxa"/>
            <w:gridSpan w:val="2"/>
            <w:vAlign w:val="center"/>
          </w:tcPr>
          <w:p>
            <w:pPr>
              <w:jc w:val="center"/>
              <w:rPr>
                <w:rFonts w:ascii="宋体" w:hAnsi="宋体"/>
                <w:sz w:val="21"/>
              </w:rPr>
            </w:pPr>
            <w:r>
              <w:rPr>
                <w:rFonts w:hint="eastAsia" w:ascii="宋体" w:hAnsi="宋体"/>
                <w:sz w:val="21"/>
              </w:rPr>
              <w:t>监理（建设）单位</w:t>
            </w:r>
          </w:p>
        </w:tc>
        <w:tc>
          <w:tcPr>
            <w:tcW w:w="7200" w:type="dxa"/>
            <w:gridSpan w:val="4"/>
            <w:vAlign w:val="center"/>
          </w:tcPr>
          <w:p>
            <w:pPr>
              <w:ind w:left="4620" w:hanging="4620" w:hangingChars="2200"/>
              <w:jc w:val="left"/>
              <w:rPr>
                <w:rFonts w:ascii="宋体" w:hAnsi="宋体"/>
                <w:sz w:val="21"/>
              </w:rPr>
            </w:pPr>
            <w:r>
              <w:rPr>
                <w:rFonts w:hint="eastAsia" w:ascii="宋体" w:hAnsi="宋体"/>
                <w:sz w:val="21"/>
              </w:rPr>
              <w:t>总监理工程师（项目负责人专业技术负责人）　　　                        年　　月　　日</w:t>
            </w:r>
          </w:p>
        </w:tc>
      </w:tr>
    </w:tbl>
    <w:p>
      <w:pPr>
        <w:jc w:val="center"/>
        <w:rPr>
          <w:rFonts w:ascii="宋体" w:hAnsi="宋体"/>
        </w:rPr>
        <w:sectPr>
          <w:pgSz w:w="12240" w:h="15840"/>
          <w:pgMar w:top="1440" w:right="1440" w:bottom="1440" w:left="1440" w:header="720" w:footer="720" w:gutter="0"/>
          <w:cols w:space="720" w:num="1"/>
          <w:docGrid w:linePitch="360" w:charSpace="0"/>
        </w:sectPr>
      </w:pPr>
    </w:p>
    <w:p>
      <w:pPr>
        <w:jc w:val="center"/>
        <w:rPr>
          <w:rFonts w:ascii="宋体" w:hAnsi="宋体"/>
        </w:rPr>
      </w:pPr>
    </w:p>
    <w:p>
      <w:pPr>
        <w:keepNext/>
        <w:keepLines/>
        <w:spacing w:before="340" w:after="330"/>
        <w:jc w:val="center"/>
        <w:outlineLvl w:val="0"/>
        <w:rPr>
          <w:rFonts w:eastAsia="Times New Roman"/>
          <w:b/>
          <w:bCs/>
          <w:kern w:val="44"/>
          <w:sz w:val="32"/>
          <w:szCs w:val="44"/>
        </w:rPr>
      </w:pPr>
      <w:bookmarkStart w:id="289" w:name="_Toc15134"/>
      <w:bookmarkStart w:id="290" w:name="_Toc18057083"/>
      <w:r>
        <w:rPr>
          <w:rFonts w:hint="eastAsia"/>
          <w:b/>
          <w:bCs/>
          <w:kern w:val="44"/>
          <w:sz w:val="32"/>
          <w:szCs w:val="44"/>
        </w:rPr>
        <w:t>本规程用词说明</w:t>
      </w:r>
      <w:bookmarkEnd w:id="283"/>
      <w:bookmarkEnd w:id="284"/>
      <w:bookmarkEnd w:id="285"/>
      <w:bookmarkEnd w:id="286"/>
      <w:bookmarkEnd w:id="287"/>
      <w:bookmarkEnd w:id="289"/>
      <w:bookmarkEnd w:id="290"/>
    </w:p>
    <w:p>
      <w:pPr>
        <w:snapToGrid w:val="0"/>
        <w:ind w:firstLine="482" w:firstLineChars="200"/>
        <w:rPr>
          <w:szCs w:val="22"/>
        </w:rPr>
      </w:pPr>
      <w:r>
        <w:rPr>
          <w:b/>
          <w:szCs w:val="22"/>
        </w:rPr>
        <w:t>1</w:t>
      </w:r>
      <w:r>
        <w:rPr>
          <w:rFonts w:hint="eastAsia"/>
          <w:szCs w:val="22"/>
        </w:rPr>
        <w:t>为便于在执行本规程条文时区别对待，对要求严格程度不同的用词说明下列：</w:t>
      </w:r>
    </w:p>
    <w:p>
      <w:pPr>
        <w:snapToGrid w:val="0"/>
        <w:ind w:firstLine="482" w:firstLineChars="200"/>
        <w:rPr>
          <w:szCs w:val="22"/>
        </w:rPr>
      </w:pPr>
      <w:r>
        <w:rPr>
          <w:b/>
          <w:szCs w:val="22"/>
        </w:rPr>
        <w:tab/>
      </w:r>
      <w:r>
        <w:rPr>
          <w:b/>
          <w:szCs w:val="22"/>
        </w:rPr>
        <w:t>1</w:t>
      </w:r>
      <w:r>
        <w:rPr>
          <w:rFonts w:hint="eastAsia"/>
          <w:szCs w:val="22"/>
        </w:rPr>
        <w:t>）表示很严格，非这样做不可的：</w:t>
      </w:r>
    </w:p>
    <w:p>
      <w:pPr>
        <w:snapToGrid w:val="0"/>
        <w:ind w:left="720"/>
        <w:rPr>
          <w:szCs w:val="22"/>
        </w:rPr>
      </w:pPr>
      <w:r>
        <w:rPr>
          <w:szCs w:val="22"/>
        </w:rPr>
        <w:tab/>
      </w:r>
      <w:r>
        <w:rPr>
          <w:rFonts w:hint="eastAsia"/>
          <w:szCs w:val="22"/>
        </w:rPr>
        <w:t>正面词采用</w:t>
      </w:r>
      <w:r>
        <w:rPr>
          <w:szCs w:val="22"/>
        </w:rPr>
        <w:t>“</w:t>
      </w:r>
      <w:r>
        <w:rPr>
          <w:rFonts w:hint="eastAsia"/>
          <w:szCs w:val="22"/>
        </w:rPr>
        <w:t>必须</w:t>
      </w:r>
      <w:r>
        <w:rPr>
          <w:szCs w:val="22"/>
        </w:rPr>
        <w:t>”</w:t>
      </w:r>
      <w:r>
        <w:rPr>
          <w:rFonts w:hint="eastAsia"/>
          <w:szCs w:val="22"/>
        </w:rPr>
        <w:t>，反面词采用</w:t>
      </w:r>
      <w:r>
        <w:rPr>
          <w:szCs w:val="22"/>
        </w:rPr>
        <w:t>“</w:t>
      </w:r>
      <w:r>
        <w:rPr>
          <w:rFonts w:hint="eastAsia"/>
          <w:szCs w:val="22"/>
        </w:rPr>
        <w:t>严禁</w:t>
      </w:r>
      <w:r>
        <w:rPr>
          <w:szCs w:val="22"/>
        </w:rPr>
        <w:t>”</w:t>
      </w:r>
      <w:r>
        <w:rPr>
          <w:rFonts w:hint="eastAsia"/>
          <w:szCs w:val="22"/>
        </w:rPr>
        <w:t>；</w:t>
      </w:r>
    </w:p>
    <w:p>
      <w:pPr>
        <w:snapToGrid w:val="0"/>
        <w:ind w:firstLine="482" w:firstLineChars="200"/>
        <w:rPr>
          <w:szCs w:val="22"/>
        </w:rPr>
      </w:pPr>
      <w:r>
        <w:rPr>
          <w:b/>
          <w:szCs w:val="22"/>
        </w:rPr>
        <w:tab/>
      </w:r>
      <w:r>
        <w:rPr>
          <w:b/>
          <w:szCs w:val="22"/>
        </w:rPr>
        <w:t>2</w:t>
      </w:r>
      <w:r>
        <w:rPr>
          <w:rFonts w:hint="eastAsia"/>
          <w:szCs w:val="22"/>
        </w:rPr>
        <w:t>）表示严格，在正常情况下均应这样做的：</w:t>
      </w:r>
    </w:p>
    <w:p>
      <w:pPr>
        <w:snapToGrid w:val="0"/>
        <w:ind w:left="720"/>
        <w:rPr>
          <w:szCs w:val="22"/>
        </w:rPr>
      </w:pPr>
      <w:r>
        <w:rPr>
          <w:rFonts w:hint="eastAsia"/>
          <w:szCs w:val="22"/>
        </w:rPr>
        <w:t>正面词采用</w:t>
      </w:r>
      <w:r>
        <w:rPr>
          <w:szCs w:val="22"/>
        </w:rPr>
        <w:t>“</w:t>
      </w:r>
      <w:r>
        <w:rPr>
          <w:rFonts w:hint="eastAsia"/>
          <w:szCs w:val="22"/>
        </w:rPr>
        <w:t>应</w:t>
      </w:r>
      <w:r>
        <w:rPr>
          <w:szCs w:val="22"/>
        </w:rPr>
        <w:t>”</w:t>
      </w:r>
      <w:r>
        <w:rPr>
          <w:rFonts w:hint="eastAsia"/>
          <w:szCs w:val="22"/>
        </w:rPr>
        <w:t>，反面词采用</w:t>
      </w:r>
      <w:r>
        <w:rPr>
          <w:szCs w:val="22"/>
        </w:rPr>
        <w:t>“</w:t>
      </w:r>
      <w:r>
        <w:rPr>
          <w:rFonts w:hint="eastAsia"/>
          <w:szCs w:val="22"/>
        </w:rPr>
        <w:t>不应</w:t>
      </w:r>
      <w:r>
        <w:rPr>
          <w:szCs w:val="22"/>
        </w:rPr>
        <w:t>”</w:t>
      </w:r>
      <w:r>
        <w:rPr>
          <w:rFonts w:hint="eastAsia"/>
          <w:szCs w:val="22"/>
        </w:rPr>
        <w:t>或</w:t>
      </w:r>
      <w:r>
        <w:rPr>
          <w:szCs w:val="22"/>
        </w:rPr>
        <w:t>“</w:t>
      </w:r>
      <w:r>
        <w:rPr>
          <w:rFonts w:hint="eastAsia"/>
          <w:szCs w:val="22"/>
        </w:rPr>
        <w:t>不得</w:t>
      </w:r>
      <w:r>
        <w:rPr>
          <w:szCs w:val="22"/>
        </w:rPr>
        <w:t>”</w:t>
      </w:r>
      <w:r>
        <w:rPr>
          <w:rFonts w:hint="eastAsia"/>
          <w:szCs w:val="22"/>
        </w:rPr>
        <w:t>；</w:t>
      </w:r>
    </w:p>
    <w:p>
      <w:pPr>
        <w:snapToGrid w:val="0"/>
        <w:ind w:firstLine="420"/>
        <w:rPr>
          <w:szCs w:val="22"/>
        </w:rPr>
      </w:pPr>
      <w:r>
        <w:rPr>
          <w:b/>
          <w:szCs w:val="22"/>
        </w:rPr>
        <w:tab/>
      </w:r>
      <w:r>
        <w:rPr>
          <w:b/>
          <w:szCs w:val="22"/>
        </w:rPr>
        <w:t>3</w:t>
      </w:r>
      <w:r>
        <w:rPr>
          <w:rFonts w:hint="eastAsia"/>
          <w:szCs w:val="22"/>
        </w:rPr>
        <w:t>）表示允许稍有选择，在条件许可时首先应这样做的：</w:t>
      </w:r>
    </w:p>
    <w:p>
      <w:pPr>
        <w:snapToGrid w:val="0"/>
        <w:ind w:left="720"/>
        <w:rPr>
          <w:szCs w:val="22"/>
        </w:rPr>
      </w:pPr>
      <w:r>
        <w:rPr>
          <w:rFonts w:hint="eastAsia"/>
          <w:szCs w:val="22"/>
        </w:rPr>
        <w:t>正面词采用</w:t>
      </w:r>
      <w:r>
        <w:rPr>
          <w:szCs w:val="22"/>
        </w:rPr>
        <w:t>“</w:t>
      </w:r>
      <w:r>
        <w:rPr>
          <w:rFonts w:hint="eastAsia"/>
          <w:szCs w:val="22"/>
        </w:rPr>
        <w:t>宜</w:t>
      </w:r>
      <w:r>
        <w:rPr>
          <w:szCs w:val="22"/>
        </w:rPr>
        <w:t>”</w:t>
      </w:r>
      <w:r>
        <w:rPr>
          <w:rFonts w:hint="eastAsia"/>
          <w:szCs w:val="22"/>
        </w:rPr>
        <w:t>，反面词采用</w:t>
      </w:r>
      <w:r>
        <w:rPr>
          <w:szCs w:val="22"/>
        </w:rPr>
        <w:t>“</w:t>
      </w:r>
      <w:r>
        <w:rPr>
          <w:rFonts w:hint="eastAsia"/>
          <w:szCs w:val="22"/>
        </w:rPr>
        <w:t>不宜</w:t>
      </w:r>
      <w:r>
        <w:rPr>
          <w:szCs w:val="22"/>
        </w:rPr>
        <w:t>”</w:t>
      </w:r>
      <w:r>
        <w:rPr>
          <w:rFonts w:hint="eastAsia"/>
          <w:szCs w:val="22"/>
        </w:rPr>
        <w:t>；</w:t>
      </w:r>
    </w:p>
    <w:p>
      <w:pPr>
        <w:snapToGrid w:val="0"/>
        <w:ind w:firstLine="482" w:firstLineChars="200"/>
        <w:rPr>
          <w:szCs w:val="22"/>
        </w:rPr>
      </w:pPr>
      <w:r>
        <w:rPr>
          <w:b/>
          <w:szCs w:val="22"/>
        </w:rPr>
        <w:tab/>
      </w:r>
      <w:r>
        <w:rPr>
          <w:b/>
          <w:szCs w:val="22"/>
        </w:rPr>
        <w:t>4</w:t>
      </w:r>
      <w:r>
        <w:rPr>
          <w:rFonts w:hint="eastAsia"/>
          <w:szCs w:val="22"/>
        </w:rPr>
        <w:t>）表示有选择，在一定条件下可以这样做的，采用</w:t>
      </w:r>
      <w:r>
        <w:rPr>
          <w:szCs w:val="22"/>
        </w:rPr>
        <w:t>“</w:t>
      </w:r>
      <w:r>
        <w:rPr>
          <w:rFonts w:hint="eastAsia"/>
          <w:szCs w:val="22"/>
        </w:rPr>
        <w:t>可</w:t>
      </w:r>
      <w:r>
        <w:rPr>
          <w:szCs w:val="22"/>
        </w:rPr>
        <w:t>”</w:t>
      </w:r>
      <w:r>
        <w:rPr>
          <w:rFonts w:hint="eastAsia"/>
          <w:szCs w:val="22"/>
        </w:rPr>
        <w:t>。</w:t>
      </w:r>
    </w:p>
    <w:p>
      <w:pPr>
        <w:snapToGrid w:val="0"/>
        <w:ind w:left="420"/>
        <w:rPr>
          <w:szCs w:val="22"/>
        </w:rPr>
      </w:pPr>
      <w:r>
        <w:rPr>
          <w:b/>
          <w:szCs w:val="22"/>
        </w:rPr>
        <w:t>2</w:t>
      </w:r>
      <w:r>
        <w:rPr>
          <w:rFonts w:hint="eastAsia"/>
          <w:szCs w:val="22"/>
        </w:rPr>
        <w:t>条文中指明应按其他有关标准执行的写法为：</w:t>
      </w:r>
      <w:r>
        <w:rPr>
          <w:szCs w:val="22"/>
        </w:rPr>
        <w:t>“</w:t>
      </w:r>
      <w:r>
        <w:rPr>
          <w:rFonts w:hint="eastAsia"/>
          <w:szCs w:val="22"/>
        </w:rPr>
        <w:t>应符合</w:t>
      </w:r>
      <w:r>
        <w:rPr>
          <w:szCs w:val="22"/>
        </w:rPr>
        <w:t>……</w:t>
      </w:r>
      <w:r>
        <w:rPr>
          <w:rFonts w:hint="eastAsia"/>
          <w:szCs w:val="22"/>
        </w:rPr>
        <w:t>的规定</w:t>
      </w:r>
      <w:r>
        <w:rPr>
          <w:szCs w:val="22"/>
        </w:rPr>
        <w:t>”</w:t>
      </w:r>
      <w:r>
        <w:rPr>
          <w:rFonts w:hint="eastAsia"/>
          <w:szCs w:val="22"/>
        </w:rPr>
        <w:t>或</w:t>
      </w:r>
      <w:r>
        <w:rPr>
          <w:szCs w:val="22"/>
        </w:rPr>
        <w:t>“</w:t>
      </w:r>
      <w:r>
        <w:rPr>
          <w:rFonts w:hint="eastAsia"/>
          <w:szCs w:val="22"/>
        </w:rPr>
        <w:t>应按</w:t>
      </w:r>
      <w:r>
        <w:rPr>
          <w:szCs w:val="22"/>
        </w:rPr>
        <w:t>……</w:t>
      </w:r>
      <w:r>
        <w:rPr>
          <w:rFonts w:hint="eastAsia"/>
          <w:szCs w:val="22"/>
        </w:rPr>
        <w:t>执行</w:t>
      </w:r>
      <w:r>
        <w:rPr>
          <w:szCs w:val="22"/>
        </w:rPr>
        <w:t>”</w:t>
      </w:r>
      <w:r>
        <w:rPr>
          <w:rFonts w:hint="eastAsia"/>
          <w:szCs w:val="22"/>
        </w:rPr>
        <w:t>。</w:t>
      </w:r>
    </w:p>
    <w:p>
      <w:pPr>
        <w:widowControl/>
        <w:jc w:val="left"/>
        <w:rPr>
          <w:b/>
          <w:szCs w:val="22"/>
        </w:rPr>
      </w:pPr>
      <w:r>
        <w:rPr>
          <w:b/>
          <w:szCs w:val="22"/>
        </w:rPr>
        <w:br w:type="page"/>
      </w:r>
    </w:p>
    <w:p>
      <w:pPr>
        <w:keepNext/>
        <w:keepLines/>
        <w:spacing w:before="340" w:after="330"/>
        <w:jc w:val="center"/>
        <w:outlineLvl w:val="0"/>
        <w:rPr>
          <w:rFonts w:eastAsia="Times New Roman"/>
          <w:b/>
          <w:bCs/>
          <w:kern w:val="44"/>
          <w:sz w:val="32"/>
          <w:szCs w:val="44"/>
        </w:rPr>
      </w:pPr>
      <w:bookmarkStart w:id="291" w:name="_Toc463446197"/>
      <w:bookmarkStart w:id="292" w:name="_Toc17415"/>
      <w:bookmarkStart w:id="293" w:name="_Toc18057084"/>
      <w:bookmarkStart w:id="294" w:name="_Toc455393096"/>
      <w:r>
        <w:rPr>
          <w:rFonts w:hint="eastAsia"/>
          <w:b/>
          <w:bCs/>
          <w:kern w:val="44"/>
          <w:sz w:val="32"/>
          <w:szCs w:val="44"/>
        </w:rPr>
        <w:t>引用标准名录</w:t>
      </w:r>
      <w:bookmarkEnd w:id="291"/>
      <w:bookmarkEnd w:id="292"/>
      <w:bookmarkEnd w:id="293"/>
      <w:bookmarkEnd w:id="294"/>
    </w:p>
    <w:p>
      <w:pPr>
        <w:numPr>
          <w:ilvl w:val="0"/>
          <w:numId w:val="4"/>
        </w:numPr>
        <w:ind w:firstLine="480" w:firstLineChars="200"/>
      </w:pPr>
      <w:r>
        <w:rPr>
          <w:rFonts w:hint="eastAsia"/>
        </w:rPr>
        <w:t>《混凝土结构设计规范》GB</w:t>
      </w:r>
      <w:r>
        <w:t xml:space="preserve"> </w:t>
      </w:r>
      <w:r>
        <w:rPr>
          <w:rFonts w:hint="eastAsia"/>
        </w:rPr>
        <w:t>5001</w:t>
      </w:r>
    </w:p>
    <w:p>
      <w:pPr>
        <w:numPr>
          <w:ilvl w:val="0"/>
          <w:numId w:val="4"/>
        </w:numPr>
        <w:ind w:firstLine="480" w:firstLineChars="200"/>
      </w:pPr>
      <w:r>
        <w:rPr>
          <w:rFonts w:hint="eastAsia"/>
        </w:rPr>
        <w:t>《建筑地基基础设计规范》GB 50007</w:t>
      </w:r>
    </w:p>
    <w:p>
      <w:pPr>
        <w:numPr>
          <w:ilvl w:val="0"/>
          <w:numId w:val="4"/>
        </w:numPr>
        <w:ind w:firstLine="480" w:firstLineChars="200"/>
      </w:pPr>
      <w:r>
        <w:rPr>
          <w:rFonts w:hint="eastAsia"/>
        </w:rPr>
        <w:t>《建筑结构荷载规范》 GB</w:t>
      </w:r>
      <w:r>
        <w:t xml:space="preserve"> </w:t>
      </w:r>
      <w:r>
        <w:rPr>
          <w:rFonts w:hint="eastAsia"/>
        </w:rPr>
        <w:t>50009</w:t>
      </w:r>
    </w:p>
    <w:p>
      <w:pPr>
        <w:numPr>
          <w:ilvl w:val="0"/>
          <w:numId w:val="4"/>
        </w:numPr>
        <w:ind w:firstLine="480" w:firstLineChars="200"/>
      </w:pPr>
      <w:r>
        <w:rPr>
          <w:rFonts w:hint="eastAsia"/>
        </w:rPr>
        <w:t>《岩土工程勘察设计规范》G</w:t>
      </w:r>
      <w:r>
        <w:t>B 50021</w:t>
      </w:r>
    </w:p>
    <w:p>
      <w:pPr>
        <w:numPr>
          <w:ilvl w:val="0"/>
          <w:numId w:val="4"/>
        </w:numPr>
        <w:ind w:firstLine="480" w:firstLineChars="200"/>
      </w:pPr>
      <w:r>
        <w:rPr>
          <w:rFonts w:hint="eastAsia"/>
        </w:rPr>
        <w:t>《混凝土强度检验评定标准》</w:t>
      </w:r>
      <w:r>
        <w:t>GB/T 50107</w:t>
      </w:r>
    </w:p>
    <w:p>
      <w:pPr>
        <w:numPr>
          <w:ilvl w:val="0"/>
          <w:numId w:val="4"/>
        </w:numPr>
        <w:ind w:firstLine="480" w:firstLineChars="200"/>
      </w:pPr>
      <w:r>
        <w:rPr>
          <w:rFonts w:hint="eastAsia"/>
        </w:rPr>
        <w:t>《给水排水构筑物工程施工及验收规范》GB 50141</w:t>
      </w:r>
    </w:p>
    <w:p>
      <w:pPr>
        <w:numPr>
          <w:ilvl w:val="0"/>
          <w:numId w:val="4"/>
        </w:numPr>
        <w:ind w:firstLine="480" w:firstLineChars="200"/>
      </w:pPr>
      <w:r>
        <w:rPr>
          <w:rFonts w:hint="eastAsia"/>
        </w:rPr>
        <w:t>《工程结构可靠性设计统一标准》GB</w:t>
      </w:r>
      <w:r>
        <w:t xml:space="preserve"> </w:t>
      </w:r>
      <w:r>
        <w:rPr>
          <w:rFonts w:hint="eastAsia"/>
        </w:rPr>
        <w:t>50153</w:t>
      </w:r>
    </w:p>
    <w:p>
      <w:pPr>
        <w:numPr>
          <w:ilvl w:val="0"/>
          <w:numId w:val="4"/>
        </w:numPr>
        <w:ind w:firstLine="480" w:firstLineChars="200"/>
      </w:pPr>
      <w:r>
        <w:rPr>
          <w:rFonts w:hint="eastAsia"/>
        </w:rPr>
        <w:t>《混凝土结构工程施工质量验收规范》GB</w:t>
      </w:r>
      <w:r>
        <w:t xml:space="preserve"> </w:t>
      </w:r>
      <w:r>
        <w:rPr>
          <w:rFonts w:hint="eastAsia"/>
        </w:rPr>
        <w:t>50204</w:t>
      </w:r>
    </w:p>
    <w:p>
      <w:pPr>
        <w:numPr>
          <w:ilvl w:val="0"/>
          <w:numId w:val="4"/>
        </w:numPr>
        <w:ind w:firstLine="480" w:firstLineChars="200"/>
      </w:pPr>
      <w:r>
        <w:rPr>
          <w:bCs/>
        </w:rPr>
        <w:t>《地下防水工程质量验收规范》GB 50208</w:t>
      </w:r>
    </w:p>
    <w:p>
      <w:pPr>
        <w:numPr>
          <w:ilvl w:val="0"/>
          <w:numId w:val="4"/>
        </w:numPr>
        <w:ind w:firstLine="480" w:firstLineChars="200"/>
      </w:pPr>
      <w:r>
        <w:t>《建筑装饰装修工程施工质量验收规范》GB 50210</w:t>
      </w:r>
    </w:p>
    <w:p>
      <w:pPr>
        <w:numPr>
          <w:ilvl w:val="0"/>
          <w:numId w:val="4"/>
        </w:numPr>
        <w:ind w:firstLine="480" w:firstLineChars="200"/>
      </w:pPr>
      <w:r>
        <w:rPr>
          <w:rFonts w:eastAsiaTheme="minorEastAsia"/>
        </w:rPr>
        <w:t>《</w:t>
      </w:r>
      <w:r>
        <w:fldChar w:fldCharType="begin"/>
      </w:r>
      <w:r>
        <w:instrText xml:space="preserve"> HYPERLINK "http://www.so.com/link?m=aMge5bd5I4Bsmv6REof8XZZ%2FC4CTK6I7fqx0%2FkBd%2BAswjJlpG5QxTweMSSRaECgqZ%2B2IYEBnHSz4CbPe5tvpG4B54eay2bicEkUlKR0%2F39yhkhA7PGaRAbeRgim6cHLjSYJXWjGodpiJeXG1mfgCjs1xCwfPwM49F9taWHA%3D%3D" \t "_blank" </w:instrText>
      </w:r>
      <w:r>
        <w:fldChar w:fldCharType="separate"/>
      </w:r>
      <w:r>
        <w:rPr>
          <w:rFonts w:eastAsiaTheme="minorEastAsia"/>
        </w:rPr>
        <w:t>建筑基坑工程监测技术规范》GB 50497</w:t>
      </w:r>
      <w:r>
        <w:rPr>
          <w:rFonts w:eastAsiaTheme="minorEastAsia"/>
        </w:rPr>
        <w:fldChar w:fldCharType="end"/>
      </w:r>
    </w:p>
    <w:p>
      <w:pPr>
        <w:numPr>
          <w:ilvl w:val="0"/>
          <w:numId w:val="4"/>
        </w:numPr>
        <w:ind w:firstLine="480" w:firstLineChars="200"/>
      </w:pPr>
      <w:r>
        <w:t>《地下铁道工程施工标准》</w:t>
      </w:r>
      <w:r>
        <w:rPr>
          <w:rFonts w:hint="eastAsia"/>
        </w:rPr>
        <w:t>G</w:t>
      </w:r>
      <w:r>
        <w:t>B 51310</w:t>
      </w:r>
    </w:p>
    <w:p>
      <w:pPr>
        <w:pStyle w:val="80"/>
        <w:numPr>
          <w:ilvl w:val="0"/>
          <w:numId w:val="4"/>
        </w:numPr>
        <w:ind w:firstLine="480"/>
      </w:pPr>
      <w:r>
        <w:rPr>
          <w:rFonts w:hint="eastAsia"/>
        </w:rPr>
        <w:t>《地下结构抗震设计标准》GB/T</w:t>
      </w:r>
      <w:r>
        <w:t xml:space="preserve"> </w:t>
      </w:r>
      <w:r>
        <w:rPr>
          <w:rFonts w:hint="eastAsia"/>
        </w:rPr>
        <w:t>51336</w:t>
      </w:r>
    </w:p>
    <w:p>
      <w:pPr>
        <w:pStyle w:val="80"/>
        <w:numPr>
          <w:ilvl w:val="0"/>
          <w:numId w:val="4"/>
        </w:numPr>
        <w:ind w:firstLine="480"/>
      </w:pPr>
      <w:r>
        <w:rPr>
          <w:rFonts w:hint="eastAsia"/>
        </w:rPr>
        <w:t>《沉井与气压沉箱施工规范》GB/T 51130</w:t>
      </w:r>
    </w:p>
    <w:p>
      <w:pPr>
        <w:numPr>
          <w:ilvl w:val="0"/>
          <w:numId w:val="4"/>
        </w:numPr>
        <w:ind w:firstLine="480" w:firstLineChars="200"/>
      </w:pPr>
      <w:r>
        <w:rPr>
          <w:rFonts w:hint="eastAsia"/>
        </w:rPr>
        <w:t>《通用硅酸盐水泥》GB 175</w:t>
      </w:r>
    </w:p>
    <w:p>
      <w:pPr>
        <w:numPr>
          <w:ilvl w:val="0"/>
          <w:numId w:val="4"/>
        </w:numPr>
        <w:ind w:firstLine="480" w:firstLineChars="200"/>
      </w:pPr>
      <w:r>
        <w:rPr>
          <w:rFonts w:hint="eastAsia"/>
        </w:rPr>
        <w:t>《抗硫酸盐硅酸盐水泥》GB 748</w:t>
      </w:r>
    </w:p>
    <w:p>
      <w:pPr>
        <w:numPr>
          <w:ilvl w:val="0"/>
          <w:numId w:val="4"/>
        </w:numPr>
        <w:ind w:firstLine="480" w:firstLineChars="200"/>
      </w:pPr>
      <w:r>
        <w:rPr>
          <w:rFonts w:hint="eastAsia"/>
        </w:rPr>
        <w:t>《钢筋混凝土用钢 第1部分：热轧光圆钢筋》GB</w:t>
      </w:r>
      <w:r>
        <w:t xml:space="preserve"> </w:t>
      </w:r>
      <w:r>
        <w:rPr>
          <w:rFonts w:hint="eastAsia"/>
        </w:rPr>
        <w:t>1499.1</w:t>
      </w:r>
    </w:p>
    <w:p>
      <w:pPr>
        <w:numPr>
          <w:ilvl w:val="0"/>
          <w:numId w:val="4"/>
        </w:numPr>
        <w:ind w:firstLine="480" w:firstLineChars="200"/>
      </w:pPr>
      <w:r>
        <w:rPr>
          <w:rFonts w:hint="eastAsia"/>
        </w:rPr>
        <w:t>《钢筋混凝土用钢 第2部分：热轧带肋钢筋》GB</w:t>
      </w:r>
      <w:r>
        <w:t xml:space="preserve"> </w:t>
      </w:r>
      <w:r>
        <w:rPr>
          <w:rFonts w:hint="eastAsia"/>
        </w:rPr>
        <w:t>1499.2</w:t>
      </w:r>
    </w:p>
    <w:p>
      <w:pPr>
        <w:numPr>
          <w:ilvl w:val="0"/>
          <w:numId w:val="4"/>
        </w:numPr>
        <w:ind w:firstLine="480" w:firstLineChars="200"/>
      </w:pPr>
      <w:r>
        <w:rPr>
          <w:rFonts w:hint="eastAsia"/>
        </w:rPr>
        <w:t>《混凝土外加剂》GB 8076</w:t>
      </w:r>
    </w:p>
    <w:p>
      <w:pPr>
        <w:numPr>
          <w:ilvl w:val="0"/>
          <w:numId w:val="4"/>
        </w:numPr>
        <w:ind w:firstLine="480" w:firstLineChars="200"/>
      </w:pPr>
      <w:bookmarkStart w:id="295" w:name="_Hlk17384638"/>
      <w:r>
        <w:rPr>
          <w:rFonts w:hint="eastAsia"/>
        </w:rPr>
        <w:t>《混凝土和钢筋混凝土排水管》</w:t>
      </w:r>
      <w:r>
        <w:t>GB/T 11836</w:t>
      </w:r>
      <w:bookmarkEnd w:id="295"/>
    </w:p>
    <w:p>
      <w:pPr>
        <w:numPr>
          <w:ilvl w:val="0"/>
          <w:numId w:val="4"/>
        </w:numPr>
        <w:ind w:firstLine="480" w:firstLineChars="200"/>
      </w:pPr>
      <w:r>
        <w:rPr>
          <w:rFonts w:hint="eastAsia"/>
        </w:rPr>
        <w:t>《冷轧带肋钢筋》GB 13788</w:t>
      </w:r>
    </w:p>
    <w:p>
      <w:pPr>
        <w:numPr>
          <w:ilvl w:val="0"/>
          <w:numId w:val="4"/>
        </w:numPr>
        <w:ind w:firstLine="480" w:firstLineChars="200"/>
      </w:pPr>
      <w:r>
        <w:rPr>
          <w:rFonts w:hint="eastAsia"/>
        </w:rPr>
        <w:t>《建设用砂》GB/T</w:t>
      </w:r>
      <w:r>
        <w:t xml:space="preserve"> </w:t>
      </w:r>
      <w:r>
        <w:rPr>
          <w:rFonts w:hint="eastAsia"/>
        </w:rPr>
        <w:t>14684</w:t>
      </w:r>
    </w:p>
    <w:p>
      <w:pPr>
        <w:numPr>
          <w:ilvl w:val="0"/>
          <w:numId w:val="4"/>
        </w:numPr>
        <w:ind w:firstLine="480" w:firstLineChars="200"/>
      </w:pPr>
      <w:r>
        <w:rPr>
          <w:rFonts w:hint="eastAsia"/>
        </w:rPr>
        <w:t>《建设用碎石卵石》GB/T</w:t>
      </w:r>
      <w:r>
        <w:t xml:space="preserve"> </w:t>
      </w:r>
      <w:r>
        <w:rPr>
          <w:rFonts w:hint="eastAsia"/>
        </w:rPr>
        <w:t>14685</w:t>
      </w:r>
    </w:p>
    <w:p>
      <w:pPr>
        <w:numPr>
          <w:ilvl w:val="0"/>
          <w:numId w:val="4"/>
        </w:numPr>
        <w:ind w:firstLine="480" w:firstLineChars="200"/>
      </w:pPr>
      <w:r>
        <w:t>《硫铝酸盐水泥》GB 20472</w:t>
      </w:r>
    </w:p>
    <w:p>
      <w:pPr>
        <w:numPr>
          <w:ilvl w:val="0"/>
          <w:numId w:val="4"/>
        </w:numPr>
        <w:ind w:firstLine="480" w:firstLineChars="200"/>
      </w:pPr>
      <w:r>
        <w:rPr>
          <w:rFonts w:hint="eastAsia"/>
        </w:rPr>
        <w:t xml:space="preserve"> 《</w:t>
      </w:r>
      <w:r>
        <w:t>全断面隧道掘进机土压平衡盾构机</w:t>
      </w:r>
      <w:r>
        <w:rPr>
          <w:rFonts w:hint="eastAsia"/>
        </w:rPr>
        <w:t>》</w:t>
      </w:r>
      <w:r>
        <w:t>GB/T 34651</w:t>
      </w:r>
    </w:p>
    <w:p>
      <w:pPr>
        <w:numPr>
          <w:ilvl w:val="0"/>
          <w:numId w:val="4"/>
        </w:numPr>
        <w:ind w:firstLine="480" w:firstLineChars="200"/>
      </w:pPr>
      <w:r>
        <w:t>《城镇道路工程施工验收规范》CJJ 1</w:t>
      </w:r>
    </w:p>
    <w:p>
      <w:pPr>
        <w:numPr>
          <w:ilvl w:val="0"/>
          <w:numId w:val="4"/>
        </w:numPr>
        <w:ind w:firstLine="480" w:firstLineChars="200"/>
      </w:pPr>
      <w:r>
        <w:t>《建筑变形测量规范》JGJ 8</w:t>
      </w:r>
    </w:p>
    <w:p>
      <w:pPr>
        <w:pStyle w:val="80"/>
        <w:numPr>
          <w:ilvl w:val="0"/>
          <w:numId w:val="4"/>
        </w:numPr>
        <w:ind w:firstLine="480"/>
      </w:pPr>
      <w:r>
        <w:rPr>
          <w:rFonts w:hint="eastAsia"/>
        </w:rPr>
        <w:t>《混凝土用水标准》JGJ</w:t>
      </w:r>
      <w:r>
        <w:t xml:space="preserve"> </w:t>
      </w:r>
      <w:r>
        <w:rPr>
          <w:rFonts w:hint="eastAsia"/>
        </w:rPr>
        <w:t>63</w:t>
      </w:r>
    </w:p>
    <w:p>
      <w:pPr>
        <w:pStyle w:val="80"/>
        <w:numPr>
          <w:ilvl w:val="0"/>
          <w:numId w:val="4"/>
        </w:numPr>
        <w:ind w:firstLine="480"/>
      </w:pPr>
      <w:r>
        <w:rPr>
          <w:rFonts w:hint="eastAsia"/>
        </w:rPr>
        <w:t>《冷轧带肋钢筋混凝土结构技术规程》JGJ</w:t>
      </w:r>
      <w:r>
        <w:t xml:space="preserve"> </w:t>
      </w:r>
      <w:r>
        <w:rPr>
          <w:rFonts w:hint="eastAsia"/>
        </w:rPr>
        <w:t>95</w:t>
      </w:r>
    </w:p>
    <w:p>
      <w:pPr>
        <w:numPr>
          <w:ilvl w:val="0"/>
          <w:numId w:val="4"/>
        </w:numPr>
        <w:ind w:firstLine="480" w:firstLineChars="200"/>
      </w:pPr>
      <w:r>
        <w:rPr>
          <w:rFonts w:hint="eastAsia"/>
        </w:rPr>
        <w:t>《建筑基坑支护</w:t>
      </w:r>
      <w:r>
        <w:t>技术规程</w:t>
      </w:r>
      <w:r>
        <w:rPr>
          <w:rFonts w:hint="eastAsia"/>
        </w:rPr>
        <w:t>》</w:t>
      </w:r>
      <w:r>
        <w:t>JGJ 120</w:t>
      </w:r>
    </w:p>
    <w:p>
      <w:pPr>
        <w:pStyle w:val="80"/>
        <w:numPr>
          <w:ilvl w:val="0"/>
          <w:numId w:val="4"/>
        </w:numPr>
        <w:ind w:firstLine="480"/>
      </w:pPr>
      <w:r>
        <w:rPr>
          <w:rFonts w:hint="eastAsia"/>
        </w:rPr>
        <w:t>《混凝土耐久性检验评定标准》</w:t>
      </w:r>
      <w:r>
        <w:t>JGJ/T 193</w:t>
      </w:r>
    </w:p>
    <w:p>
      <w:pPr>
        <w:pStyle w:val="80"/>
        <w:numPr>
          <w:ilvl w:val="0"/>
          <w:numId w:val="4"/>
        </w:numPr>
        <w:ind w:firstLine="480"/>
      </w:pPr>
      <w:r>
        <w:t>《型钢水泥土搅拌墙技术规程》JGJ/T 199</w:t>
      </w:r>
    </w:p>
    <w:p>
      <w:pPr>
        <w:numPr>
          <w:ilvl w:val="0"/>
          <w:numId w:val="4"/>
        </w:numPr>
        <w:ind w:firstLine="480" w:firstLineChars="200"/>
      </w:pPr>
      <w:r>
        <w:rPr>
          <w:rFonts w:hint="eastAsia"/>
        </w:rPr>
        <w:t>《混凝土制品用冷拔低碳钢丝》JC/T</w:t>
      </w:r>
      <w:r>
        <w:t xml:space="preserve"> </w:t>
      </w:r>
      <w:r>
        <w:rPr>
          <w:rFonts w:hint="eastAsia"/>
        </w:rPr>
        <w:t>540</w:t>
      </w:r>
    </w:p>
    <w:p>
      <w:pPr>
        <w:pStyle w:val="80"/>
        <w:numPr>
          <w:ilvl w:val="0"/>
          <w:numId w:val="4"/>
        </w:numPr>
        <w:ind w:firstLine="480"/>
      </w:pPr>
      <w:r>
        <w:rPr>
          <w:rFonts w:hint="eastAsia"/>
        </w:rPr>
        <w:t>《顶进施工法用钢筋混凝土排水管》</w:t>
      </w:r>
      <w:r>
        <w:t>JC/T 640</w:t>
      </w:r>
    </w:p>
    <w:p/>
    <w:p/>
    <w:p/>
    <w:p/>
    <w:p/>
    <w:p/>
    <w:p/>
    <w:p/>
    <w:p/>
    <w:p/>
    <w:p/>
    <w:p/>
    <w:p/>
    <w:p/>
    <w:p/>
    <w:p/>
    <w:p/>
    <w:p/>
    <w:p/>
    <w:p/>
    <w:p>
      <w:pPr>
        <w:widowControl/>
        <w:jc w:val="left"/>
      </w:pPr>
    </w:p>
    <w:p>
      <w:pPr>
        <w:jc w:val="center"/>
        <w:rPr>
          <w:rFonts w:eastAsiaTheme="minorEastAsia"/>
          <w:b/>
          <w:sz w:val="36"/>
          <w:szCs w:val="36"/>
        </w:rPr>
      </w:pPr>
      <w:r>
        <w:rPr>
          <w:rFonts w:eastAsiaTheme="minorEastAsia"/>
          <w:szCs w:val="22"/>
        </w:rPr>
        <w:drawing>
          <wp:inline distT="0" distB="0" distL="0" distR="0">
            <wp:extent cx="892175" cy="549910"/>
            <wp:effectExtent l="0" t="0" r="3175" b="2540"/>
            <wp:docPr id="24" name="图片 24" descr="http://www.tumuo.com/uploads/userup/1/1321244922-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www.tumuo.com/uploads/userup/1/1321244922-2b1.jpg"/>
                    <pic:cNvPicPr>
                      <a:picLocks noChangeAspect="1" noChangeArrowheads="1"/>
                    </pic:cNvPicPr>
                  </pic:nvPicPr>
                  <pic:blipFill>
                    <a:blip r:embed="rId5">
                      <a:extLst>
                        <a:ext uri="{28A0092B-C50C-407E-A947-70E740481C1C}">
                          <a14:useLocalDpi xmlns:a14="http://schemas.microsoft.com/office/drawing/2010/main" val="0"/>
                        </a:ext>
                      </a:extLst>
                    </a:blip>
                    <a:srcRect l="1849" t="2849" r="70432" b="71767"/>
                    <a:stretch>
                      <a:fillRect/>
                    </a:stretch>
                  </pic:blipFill>
                  <pic:spPr>
                    <a:xfrm>
                      <a:off x="0" y="0"/>
                      <a:ext cx="892175" cy="549910"/>
                    </a:xfrm>
                    <a:prstGeom prst="rect">
                      <a:avLst/>
                    </a:prstGeom>
                    <a:noFill/>
                    <a:ln>
                      <a:noFill/>
                    </a:ln>
                  </pic:spPr>
                </pic:pic>
              </a:graphicData>
            </a:graphic>
          </wp:inline>
        </w:drawing>
      </w:r>
      <w:r>
        <w:rPr>
          <w:rFonts w:hint="eastAsia" w:eastAsiaTheme="minorEastAsia"/>
          <w:b/>
          <w:sz w:val="32"/>
          <w:szCs w:val="32"/>
        </w:rPr>
        <w:t xml:space="preserve">                           </w:t>
      </w:r>
      <w:r>
        <w:rPr>
          <w:rFonts w:eastAsiaTheme="minorEastAsia"/>
          <w:b/>
          <w:sz w:val="32"/>
          <w:szCs w:val="32"/>
        </w:rPr>
        <w:t xml:space="preserve">CECS </w:t>
      </w:r>
      <w:r>
        <w:rPr>
          <w:rFonts w:eastAsiaTheme="minorEastAsia"/>
          <w:sz w:val="32"/>
          <w:szCs w:val="32"/>
        </w:rPr>
        <w:t>XXX</w:t>
      </w:r>
      <w:r>
        <w:rPr>
          <w:rFonts w:eastAsiaTheme="minorEastAsia"/>
          <w:b/>
          <w:sz w:val="32"/>
          <w:szCs w:val="32"/>
        </w:rPr>
        <w:t>：201X</w:t>
      </w:r>
    </w:p>
    <w:p>
      <w:pPr>
        <w:jc w:val="center"/>
        <w:rPr>
          <w:rFonts w:eastAsiaTheme="minorEastAsia"/>
          <w:b/>
          <w:sz w:val="36"/>
          <w:szCs w:val="36"/>
        </w:rPr>
      </w:pPr>
    </w:p>
    <w:p>
      <w:pPr>
        <w:jc w:val="center"/>
        <w:rPr>
          <w:rFonts w:eastAsiaTheme="minorEastAsia"/>
          <w:b/>
          <w:sz w:val="36"/>
          <w:szCs w:val="36"/>
        </w:rPr>
      </w:pPr>
    </w:p>
    <w:p>
      <w:pPr>
        <w:jc w:val="center"/>
        <w:rPr>
          <w:rFonts w:eastAsiaTheme="minorEastAsia"/>
          <w:b/>
          <w:sz w:val="30"/>
          <w:szCs w:val="30"/>
        </w:rPr>
      </w:pPr>
      <w:r>
        <w:rPr>
          <w:rFonts w:hint="eastAsia" w:eastAsiaTheme="minorEastAsia"/>
          <w:b/>
          <w:sz w:val="30"/>
          <w:szCs w:val="30"/>
        </w:rPr>
        <w:t>中国工程建设协会标准</w:t>
      </w:r>
    </w:p>
    <w:p>
      <w:pPr>
        <w:jc w:val="center"/>
        <w:rPr>
          <w:rFonts w:eastAsiaTheme="minorEastAsia"/>
          <w:b/>
          <w:sz w:val="36"/>
          <w:szCs w:val="36"/>
        </w:rPr>
      </w:pPr>
      <w:r>
        <w:rPr>
          <w:rFonts w:hint="eastAsia" w:eastAsiaTheme="minorEastAsia"/>
          <w:b/>
          <w:sz w:val="36"/>
          <w:szCs w:val="36"/>
        </w:rPr>
        <w:t>矩形顶管工程技术规程</w:t>
      </w:r>
    </w:p>
    <w:p>
      <w:pPr>
        <w:adjustRightInd w:val="0"/>
        <w:snapToGrid w:val="0"/>
        <w:jc w:val="center"/>
        <w:rPr>
          <w:rFonts w:eastAsiaTheme="minorEastAsia"/>
          <w:sz w:val="32"/>
          <w:szCs w:val="32"/>
        </w:rPr>
      </w:pPr>
    </w:p>
    <w:p>
      <w:pPr>
        <w:adjustRightInd w:val="0"/>
        <w:snapToGrid w:val="0"/>
        <w:jc w:val="center"/>
        <w:rPr>
          <w:rFonts w:eastAsiaTheme="minorEastAsia"/>
          <w:sz w:val="32"/>
          <w:szCs w:val="32"/>
        </w:rPr>
      </w:pPr>
      <w:r>
        <w:rPr>
          <w:rFonts w:eastAsiaTheme="minorEastAsia"/>
          <w:sz w:val="32"/>
          <w:szCs w:val="32"/>
        </w:rPr>
        <w:t>Technical specifications for pipe-jacking engineering with</w:t>
      </w:r>
    </w:p>
    <w:p>
      <w:pPr>
        <w:adjustRightInd w:val="0"/>
        <w:snapToGrid w:val="0"/>
        <w:jc w:val="center"/>
        <w:rPr>
          <w:rFonts w:eastAsiaTheme="minorEastAsia"/>
          <w:sz w:val="32"/>
          <w:szCs w:val="32"/>
        </w:rPr>
      </w:pPr>
      <w:r>
        <w:rPr>
          <w:rFonts w:eastAsiaTheme="minorEastAsia"/>
          <w:sz w:val="32"/>
          <w:szCs w:val="32"/>
        </w:rPr>
        <w:t xml:space="preserve"> rectangular cross section </w:t>
      </w:r>
    </w:p>
    <w:p>
      <w:pPr>
        <w:adjustRightInd w:val="0"/>
        <w:snapToGrid w:val="0"/>
        <w:jc w:val="center"/>
        <w:rPr>
          <w:rFonts w:eastAsiaTheme="minorEastAsia"/>
          <w:sz w:val="28"/>
          <w:szCs w:val="28"/>
        </w:rPr>
      </w:pPr>
    </w:p>
    <w:p>
      <w:pPr>
        <w:adjustRightInd w:val="0"/>
        <w:snapToGrid w:val="0"/>
        <w:jc w:val="center"/>
        <w:rPr>
          <w:rFonts w:eastAsiaTheme="minorEastAsia"/>
          <w:b/>
          <w:bCs/>
          <w:sz w:val="32"/>
          <w:szCs w:val="32"/>
        </w:rPr>
      </w:pPr>
      <w:r>
        <w:rPr>
          <w:rFonts w:hint="eastAsia" w:eastAsiaTheme="minorEastAsia"/>
          <w:b/>
          <w:bCs/>
          <w:sz w:val="32"/>
          <w:szCs w:val="32"/>
        </w:rPr>
        <w:t>条文说明</w:t>
      </w: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仿宋_GB2312"/>
          <w:sz w:val="32"/>
          <w:szCs w:val="32"/>
        </w:rPr>
      </w:pPr>
      <w:r>
        <w:rPr>
          <w:rFonts w:hint="eastAsia" w:eastAsia="仿宋_GB2312"/>
          <w:sz w:val="32"/>
          <w:szCs w:val="32"/>
        </w:rPr>
        <w:t>中国计划出版社</w:t>
      </w:r>
    </w:p>
    <w:p>
      <w:pPr>
        <w:adjustRightInd w:val="0"/>
        <w:snapToGrid w:val="0"/>
        <w:jc w:val="center"/>
        <w:rPr>
          <w:rFonts w:eastAsiaTheme="minorEastAsia"/>
          <w:sz w:val="28"/>
          <w:szCs w:val="28"/>
        </w:rPr>
      </w:pPr>
      <w:r>
        <w:rPr>
          <w:rFonts w:eastAsiaTheme="minorEastAsia"/>
          <w:sz w:val="28"/>
          <w:szCs w:val="28"/>
        </w:rPr>
        <w:t>2019.</w:t>
      </w:r>
      <w:r>
        <w:rPr>
          <w:rFonts w:hint="eastAsia" w:eastAsiaTheme="minorEastAsia"/>
          <w:sz w:val="28"/>
          <w:szCs w:val="28"/>
        </w:rPr>
        <w:t>9</w:t>
      </w:r>
    </w:p>
    <w:p>
      <w:pPr>
        <w:rPr>
          <w:rFonts w:eastAsiaTheme="minorEastAsia"/>
          <w:szCs w:val="22"/>
        </w:rPr>
      </w:pPr>
    </w:p>
    <w:p/>
    <w:p>
      <w:pPr>
        <w:pStyle w:val="2"/>
      </w:pPr>
      <w:bookmarkStart w:id="296" w:name="_Toc27310"/>
      <w:bookmarkStart w:id="297" w:name="_Toc18057085"/>
      <w:bookmarkStart w:id="298" w:name="_Toc5407"/>
      <w:bookmarkStart w:id="299" w:name="_Toc17364190"/>
      <w:bookmarkStart w:id="300" w:name="_Toc6951"/>
      <w:bookmarkStart w:id="301" w:name="_Toc1878"/>
      <w:r>
        <w:rPr>
          <w:rFonts w:hint="eastAsia"/>
        </w:rPr>
        <w:t>制 定 说 明</w:t>
      </w:r>
      <w:bookmarkEnd w:id="296"/>
      <w:bookmarkEnd w:id="297"/>
      <w:bookmarkEnd w:id="298"/>
      <w:bookmarkEnd w:id="299"/>
      <w:bookmarkEnd w:id="300"/>
      <w:bookmarkEnd w:id="301"/>
    </w:p>
    <w:p>
      <w:pPr>
        <w:ind w:firstLine="480" w:firstLineChars="200"/>
      </w:pPr>
      <w:r>
        <w:rPr>
          <w:rFonts w:hint="eastAsia"/>
          <w:highlight w:val="yellow"/>
        </w:rPr>
        <w:t>《矩形顶管工程技术规程》经中国工程建设协会    年    月   日  公告批准、发布。</w:t>
      </w:r>
    </w:p>
    <w:p>
      <w:pPr>
        <w:ind w:firstLine="480" w:firstLineChars="200"/>
      </w:pPr>
      <w:r>
        <w:rPr>
          <w:rFonts w:hint="eastAsia"/>
        </w:rPr>
        <w:t>本规程制定过程中，编制组进行了认真细致的调查研究，总结了我国矩形顶管工程设计与施工的实践经验，同时参考了现行国家标准及行业标准，为我国矩形顶管工程的设计、施工与验收提供依据。</w:t>
      </w:r>
    </w:p>
    <w:p>
      <w:pPr>
        <w:ind w:firstLine="480" w:firstLineChars="200"/>
      </w:pPr>
      <w:r>
        <w:rPr>
          <w:rFonts w:hint="eastAsia"/>
        </w:rPr>
        <w:t>为便于广大设计、施工、科研、学校等单位有关人员在使用本规程时能正确理解和执行条文规定，《矩形顶管工程技术规程》编制组按章、节、条顺序编制了本规程的条文说明供使用者参考，但是，本条文说明不具备与规程正文同等的法律效力，仅供使用者作为理解和把握标准规定的参考。</w:t>
      </w:r>
    </w:p>
    <w:p>
      <w:pPr>
        <w:rPr>
          <w:b/>
          <w:bCs/>
          <w:sz w:val="32"/>
          <w:szCs w:val="24"/>
        </w:rPr>
      </w:pPr>
    </w:p>
    <w:p/>
    <w:p/>
    <w:p>
      <w:pPr>
        <w:sectPr>
          <w:pgSz w:w="12240" w:h="15840"/>
          <w:pgMar w:top="1440" w:right="1440" w:bottom="1440" w:left="1440" w:header="720" w:footer="720" w:gutter="0"/>
          <w:cols w:space="720" w:num="1"/>
          <w:docGrid w:linePitch="360" w:charSpace="0"/>
        </w:sectPr>
      </w:pPr>
    </w:p>
    <w:p>
      <w:pPr>
        <w:jc w:val="center"/>
        <w:rPr>
          <w:b/>
          <w:bCs/>
          <w:sz w:val="32"/>
          <w:szCs w:val="24"/>
        </w:rPr>
      </w:pPr>
      <w:r>
        <w:rPr>
          <w:b/>
          <w:bCs/>
          <w:sz w:val="32"/>
          <w:szCs w:val="24"/>
        </w:rPr>
        <w:t>目  次</w:t>
      </w:r>
    </w:p>
    <w:p>
      <w:pPr>
        <w:pStyle w:val="26"/>
        <w:tabs>
          <w:tab w:val="right" w:leader="dot" w:pos="9350"/>
        </w:tabs>
        <w:rPr>
          <w:rFonts w:ascii="Times New Roman" w:hAnsi="Times New Roman" w:cs="Times New Roman" w:eastAsiaTheme="minorEastAsia"/>
          <w:b w:val="0"/>
          <w:bCs w:val="0"/>
          <w:caps w:val="0"/>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"1-2" \h \z \u </w:instrText>
      </w:r>
      <w:r>
        <w:rPr>
          <w:rFonts w:ascii="Times New Roman" w:hAnsi="Times New Roman" w:cs="Times New Roman"/>
          <w:sz w:val="24"/>
          <w:szCs w:val="24"/>
        </w:rPr>
        <w:fldChar w:fldCharType="separate"/>
      </w:r>
      <w:r>
        <w:fldChar w:fldCharType="begin"/>
      </w:r>
      <w:r>
        <w:instrText xml:space="preserve"> HYPERLINK \l "_Toc18057086" </w:instrText>
      </w:r>
      <w:r>
        <w:fldChar w:fldCharType="separate"/>
      </w:r>
      <w:r>
        <w:rPr>
          <w:rStyle w:val="44"/>
          <w:rFonts w:ascii="Times New Roman" w:hAnsi="Times New Roman" w:cs="Times New Roman"/>
          <w:sz w:val="24"/>
          <w:szCs w:val="24"/>
        </w:rPr>
        <w:t>1  总则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_Toc18057086 \h </w:instrText>
      </w:r>
      <w:r>
        <w:rPr>
          <w:rFonts w:ascii="Times New Roman" w:hAnsi="Times New Roman" w:cs="Times New Roman"/>
          <w:sz w:val="24"/>
          <w:szCs w:val="24"/>
        </w:rPr>
        <w:fldChar w:fldCharType="separate"/>
      </w:r>
      <w:r>
        <w:rPr>
          <w:rFonts w:ascii="Times New Roman" w:hAnsi="Times New Roman" w:cs="Times New Roman"/>
          <w:sz w:val="24"/>
          <w:szCs w:val="24"/>
        </w:rPr>
        <w:t>111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9350"/>
        </w:tabs>
        <w:rPr>
          <w:rFonts w:ascii="Times New Roman" w:hAnsi="Times New Roman" w:cs="Times New Roman" w:eastAsiaTheme="minorEastAsia"/>
          <w:b w:val="0"/>
          <w:bCs w:val="0"/>
          <w:caps w:val="0"/>
          <w:sz w:val="24"/>
          <w:szCs w:val="24"/>
        </w:rPr>
      </w:pPr>
      <w:r>
        <w:fldChar w:fldCharType="begin"/>
      </w:r>
      <w:r>
        <w:instrText xml:space="preserve"> HYPERLINK \l "_Toc18057087" </w:instrText>
      </w:r>
      <w:r>
        <w:fldChar w:fldCharType="separate"/>
      </w:r>
      <w:r>
        <w:rPr>
          <w:rStyle w:val="44"/>
          <w:rFonts w:ascii="Times New Roman" w:hAnsi="Times New Roman" w:cs="Times New Roman"/>
          <w:sz w:val="24"/>
          <w:szCs w:val="24"/>
        </w:rPr>
        <w:t>3  基本规定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_Toc18057087 \h </w:instrText>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9350"/>
        </w:tabs>
        <w:rPr>
          <w:rFonts w:ascii="Times New Roman" w:hAnsi="Times New Roman" w:cs="Times New Roman" w:eastAsiaTheme="minorEastAsia"/>
          <w:b w:val="0"/>
          <w:bCs w:val="0"/>
          <w:caps w:val="0"/>
          <w:sz w:val="24"/>
          <w:szCs w:val="24"/>
        </w:rPr>
      </w:pPr>
      <w:r>
        <w:fldChar w:fldCharType="begin"/>
      </w:r>
      <w:r>
        <w:instrText xml:space="preserve"> HYPERLINK \l "_Toc18057088" </w:instrText>
      </w:r>
      <w:r>
        <w:fldChar w:fldCharType="separate"/>
      </w:r>
      <w:r>
        <w:rPr>
          <w:rStyle w:val="44"/>
          <w:rFonts w:ascii="Times New Roman" w:hAnsi="Times New Roman" w:cs="Times New Roman"/>
          <w:sz w:val="24"/>
          <w:szCs w:val="24"/>
        </w:rPr>
        <w:t>4 工程勘察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_Toc18057088 \h </w:instrText>
      </w:r>
      <w:r>
        <w:rPr>
          <w:rFonts w:ascii="Times New Roman" w:hAnsi="Times New Roman" w:cs="Times New Roman"/>
          <w:sz w:val="24"/>
          <w:szCs w:val="24"/>
        </w:rPr>
        <w:fldChar w:fldCharType="separate"/>
      </w:r>
      <w:r>
        <w:rPr>
          <w:rFonts w:ascii="Times New Roman" w:hAnsi="Times New Roman" w:cs="Times New Roman"/>
          <w:sz w:val="24"/>
          <w:szCs w:val="24"/>
        </w:rPr>
        <w:t>113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"_Toc18057089" </w:instrText>
      </w:r>
      <w:r>
        <w:fldChar w:fldCharType="separate"/>
      </w:r>
      <w:r>
        <w:rPr>
          <w:rStyle w:val="44"/>
          <w:rFonts w:ascii="Times New Roman" w:hAnsi="Times New Roman" w:cs="Times New Roman"/>
          <w:sz w:val="24"/>
          <w:szCs w:val="24"/>
        </w:rPr>
        <w:t>4.1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_Toc18057089 \h </w:instrText>
      </w:r>
      <w:r>
        <w:rPr>
          <w:rFonts w:ascii="Times New Roman" w:hAnsi="Times New Roman" w:cs="Times New Roman"/>
          <w:sz w:val="24"/>
          <w:szCs w:val="24"/>
        </w:rPr>
        <w:fldChar w:fldCharType="separate"/>
      </w:r>
      <w:r>
        <w:rPr>
          <w:rFonts w:ascii="Times New Roman" w:hAnsi="Times New Roman" w:cs="Times New Roman"/>
          <w:sz w:val="24"/>
          <w:szCs w:val="24"/>
        </w:rPr>
        <w:t>113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"_Toc18057090" </w:instrText>
      </w:r>
      <w:r>
        <w:fldChar w:fldCharType="separate"/>
      </w:r>
      <w:r>
        <w:rPr>
          <w:rStyle w:val="44"/>
          <w:rFonts w:ascii="Times New Roman" w:hAnsi="Times New Roman" w:cs="Times New Roman"/>
          <w:sz w:val="24"/>
          <w:szCs w:val="24"/>
        </w:rPr>
        <w:t>4.5 地下管线和障碍物的探测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_Toc18057090 \h </w:instrText>
      </w:r>
      <w:r>
        <w:rPr>
          <w:rFonts w:ascii="Times New Roman" w:hAnsi="Times New Roman" w:cs="Times New Roman"/>
          <w:sz w:val="24"/>
          <w:szCs w:val="24"/>
        </w:rPr>
        <w:fldChar w:fldCharType="separate"/>
      </w:r>
      <w:r>
        <w:rPr>
          <w:rFonts w:ascii="Times New Roman" w:hAnsi="Times New Roman" w:cs="Times New Roman"/>
          <w:sz w:val="24"/>
          <w:szCs w:val="24"/>
        </w:rPr>
        <w:t>113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9350"/>
        </w:tabs>
        <w:rPr>
          <w:rFonts w:ascii="Times New Roman" w:hAnsi="Times New Roman" w:cs="Times New Roman" w:eastAsiaTheme="minorEastAsia"/>
          <w:b w:val="0"/>
          <w:bCs w:val="0"/>
          <w:caps w:val="0"/>
          <w:sz w:val="24"/>
          <w:szCs w:val="24"/>
        </w:rPr>
      </w:pPr>
      <w:r>
        <w:fldChar w:fldCharType="begin"/>
      </w:r>
      <w:r>
        <w:instrText xml:space="preserve"> HYPERLINK \l "_Toc18057091" </w:instrText>
      </w:r>
      <w:r>
        <w:fldChar w:fldCharType="separate"/>
      </w:r>
      <w:r>
        <w:rPr>
          <w:rStyle w:val="44"/>
          <w:rFonts w:ascii="Times New Roman" w:hAnsi="Times New Roman" w:cs="Times New Roman"/>
          <w:sz w:val="24"/>
          <w:szCs w:val="24"/>
        </w:rPr>
        <w:t>5 顶管设计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_Toc18057091 \h </w:instrText>
      </w:r>
      <w:r>
        <w:rPr>
          <w:rFonts w:ascii="Times New Roman" w:hAnsi="Times New Roman" w:cs="Times New Roman"/>
          <w:sz w:val="24"/>
          <w:szCs w:val="24"/>
        </w:rPr>
        <w:fldChar w:fldCharType="separate"/>
      </w:r>
      <w:r>
        <w:rPr>
          <w:rFonts w:ascii="Times New Roman" w:hAnsi="Times New Roman" w:cs="Times New Roman"/>
          <w:sz w:val="24"/>
          <w:szCs w:val="24"/>
        </w:rPr>
        <w:t>114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"_Toc18057092" </w:instrText>
      </w:r>
      <w:r>
        <w:fldChar w:fldCharType="separate"/>
      </w:r>
      <w:r>
        <w:rPr>
          <w:rStyle w:val="44"/>
          <w:rFonts w:ascii="Times New Roman" w:hAnsi="Times New Roman" w:cs="Times New Roman"/>
          <w:sz w:val="24"/>
          <w:szCs w:val="24"/>
        </w:rPr>
        <w:t>5.2 顶管管位设计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_Toc18057092 \h </w:instrText>
      </w:r>
      <w:r>
        <w:rPr>
          <w:rFonts w:ascii="Times New Roman" w:hAnsi="Times New Roman" w:cs="Times New Roman"/>
          <w:sz w:val="24"/>
          <w:szCs w:val="24"/>
        </w:rPr>
        <w:fldChar w:fldCharType="separate"/>
      </w:r>
      <w:r>
        <w:rPr>
          <w:rFonts w:ascii="Times New Roman" w:hAnsi="Times New Roman" w:cs="Times New Roman"/>
          <w:sz w:val="24"/>
          <w:szCs w:val="24"/>
        </w:rPr>
        <w:t>114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"_Toc18057093" </w:instrText>
      </w:r>
      <w:r>
        <w:fldChar w:fldCharType="separate"/>
      </w:r>
      <w:r>
        <w:rPr>
          <w:rStyle w:val="44"/>
          <w:rFonts w:ascii="Times New Roman" w:hAnsi="Times New Roman" w:cs="Times New Roman"/>
          <w:sz w:val="24"/>
          <w:szCs w:val="24"/>
        </w:rPr>
        <w:t>5.3 荷载与作用</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_Toc18057093 \h </w:instrText>
      </w:r>
      <w:r>
        <w:rPr>
          <w:rFonts w:ascii="Times New Roman" w:hAnsi="Times New Roman" w:cs="Times New Roman"/>
          <w:sz w:val="24"/>
          <w:szCs w:val="24"/>
        </w:rPr>
        <w:fldChar w:fldCharType="separate"/>
      </w:r>
      <w:r>
        <w:rPr>
          <w:rFonts w:ascii="Times New Roman" w:hAnsi="Times New Roman" w:cs="Times New Roman"/>
          <w:sz w:val="24"/>
          <w:szCs w:val="24"/>
        </w:rPr>
        <w:t>114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"_Toc18057094" </w:instrText>
      </w:r>
      <w:r>
        <w:fldChar w:fldCharType="separate"/>
      </w:r>
      <w:r>
        <w:rPr>
          <w:rStyle w:val="44"/>
          <w:rFonts w:ascii="Times New Roman" w:hAnsi="Times New Roman" w:cs="Times New Roman"/>
          <w:sz w:val="24"/>
          <w:szCs w:val="24"/>
        </w:rPr>
        <w:t>5.5 管节构造设计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_Toc18057094 \h </w:instrText>
      </w:r>
      <w:r>
        <w:rPr>
          <w:rFonts w:ascii="Times New Roman" w:hAnsi="Times New Roman" w:cs="Times New Roman"/>
          <w:sz w:val="24"/>
          <w:szCs w:val="24"/>
        </w:rPr>
        <w:fldChar w:fldCharType="separate"/>
      </w:r>
      <w:r>
        <w:rPr>
          <w:rFonts w:ascii="Times New Roman" w:hAnsi="Times New Roman" w:cs="Times New Roman"/>
          <w:sz w:val="24"/>
          <w:szCs w:val="24"/>
        </w:rPr>
        <w:t>114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"_Toc18057095" </w:instrText>
      </w:r>
      <w:r>
        <w:fldChar w:fldCharType="separate"/>
      </w:r>
      <w:r>
        <w:rPr>
          <w:rStyle w:val="44"/>
          <w:rFonts w:ascii="Times New Roman" w:hAnsi="Times New Roman" w:cs="Times New Roman"/>
          <w:sz w:val="24"/>
          <w:szCs w:val="24"/>
        </w:rPr>
        <w:t>5.7 顶管总顶力计算</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_Toc18057095 \h </w:instrText>
      </w:r>
      <w:r>
        <w:rPr>
          <w:rFonts w:ascii="Times New Roman" w:hAnsi="Times New Roman" w:cs="Times New Roman"/>
          <w:sz w:val="24"/>
          <w:szCs w:val="24"/>
        </w:rPr>
        <w:fldChar w:fldCharType="separate"/>
      </w:r>
      <w:r>
        <w:rPr>
          <w:rFonts w:ascii="Times New Roman" w:hAnsi="Times New Roman" w:cs="Times New Roman"/>
          <w:sz w:val="24"/>
          <w:szCs w:val="24"/>
        </w:rPr>
        <w:t>114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"_Toc18057096" </w:instrText>
      </w:r>
      <w:r>
        <w:fldChar w:fldCharType="separate"/>
      </w:r>
      <w:r>
        <w:rPr>
          <w:rStyle w:val="44"/>
          <w:rFonts w:ascii="Times New Roman" w:hAnsi="Times New Roman" w:cs="Times New Roman"/>
          <w:sz w:val="24"/>
          <w:szCs w:val="24"/>
        </w:rPr>
        <w:t>5.8 工作井设计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_Toc18057096 \h </w:instrText>
      </w:r>
      <w:r>
        <w:rPr>
          <w:rFonts w:ascii="Times New Roman" w:hAnsi="Times New Roman" w:cs="Times New Roman"/>
          <w:sz w:val="24"/>
          <w:szCs w:val="24"/>
        </w:rPr>
        <w:fldChar w:fldCharType="separate"/>
      </w:r>
      <w:r>
        <w:rPr>
          <w:rFonts w:ascii="Times New Roman" w:hAnsi="Times New Roman" w:cs="Times New Roman"/>
          <w:sz w:val="24"/>
          <w:szCs w:val="24"/>
        </w:rPr>
        <w:t>121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"_Toc18057097" </w:instrText>
      </w:r>
      <w:r>
        <w:fldChar w:fldCharType="separate"/>
      </w:r>
      <w:r>
        <w:rPr>
          <w:rStyle w:val="44"/>
          <w:rFonts w:ascii="Times New Roman" w:hAnsi="Times New Roman" w:cs="Times New Roman"/>
          <w:sz w:val="24"/>
          <w:szCs w:val="24"/>
        </w:rPr>
        <w:t>5.9 反力墙设计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_Toc18057097 \h </w:instrText>
      </w:r>
      <w:r>
        <w:rPr>
          <w:rFonts w:ascii="Times New Roman" w:hAnsi="Times New Roman" w:cs="Times New Roman"/>
          <w:sz w:val="24"/>
          <w:szCs w:val="24"/>
        </w:rPr>
        <w:fldChar w:fldCharType="separate"/>
      </w:r>
      <w:r>
        <w:rPr>
          <w:rFonts w:ascii="Times New Roman" w:hAnsi="Times New Roman" w:cs="Times New Roman"/>
          <w:sz w:val="24"/>
          <w:szCs w:val="24"/>
        </w:rPr>
        <w:t>121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9350"/>
        </w:tabs>
        <w:rPr>
          <w:rFonts w:ascii="Times New Roman" w:hAnsi="Times New Roman" w:cs="Times New Roman" w:eastAsiaTheme="minorEastAsia"/>
          <w:b w:val="0"/>
          <w:bCs w:val="0"/>
          <w:caps w:val="0"/>
          <w:sz w:val="24"/>
          <w:szCs w:val="24"/>
        </w:rPr>
      </w:pPr>
      <w:r>
        <w:fldChar w:fldCharType="begin"/>
      </w:r>
      <w:r>
        <w:instrText xml:space="preserve"> HYPERLINK \l "_Toc18057098" </w:instrText>
      </w:r>
      <w:r>
        <w:fldChar w:fldCharType="separate"/>
      </w:r>
      <w:r>
        <w:rPr>
          <w:rStyle w:val="44"/>
          <w:rFonts w:ascii="Times New Roman" w:hAnsi="Times New Roman" w:cs="Times New Roman"/>
          <w:sz w:val="24"/>
          <w:szCs w:val="24"/>
        </w:rPr>
        <w:t>6 管节制作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_Toc18057098 \h </w:instrText>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"_Toc18057099" </w:instrText>
      </w:r>
      <w:r>
        <w:fldChar w:fldCharType="separate"/>
      </w:r>
      <w:r>
        <w:rPr>
          <w:rStyle w:val="44"/>
          <w:rFonts w:ascii="Times New Roman" w:hAnsi="Times New Roman" w:cs="Times New Roman"/>
          <w:sz w:val="24"/>
          <w:szCs w:val="24"/>
        </w:rPr>
        <w:t>6.1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_Toc18057099 \h </w:instrText>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9350"/>
        </w:tabs>
        <w:rPr>
          <w:rFonts w:ascii="Times New Roman" w:hAnsi="Times New Roman" w:cs="Times New Roman" w:eastAsiaTheme="minorEastAsia"/>
          <w:b w:val="0"/>
          <w:bCs w:val="0"/>
          <w:caps w:val="0"/>
          <w:sz w:val="24"/>
          <w:szCs w:val="24"/>
        </w:rPr>
      </w:pPr>
      <w:r>
        <w:fldChar w:fldCharType="begin"/>
      </w:r>
      <w:r>
        <w:instrText xml:space="preserve"> HYPERLINK \l "_Toc18057100" </w:instrText>
      </w:r>
      <w:r>
        <w:fldChar w:fldCharType="separate"/>
      </w:r>
      <w:r>
        <w:rPr>
          <w:rStyle w:val="44"/>
          <w:rFonts w:ascii="Times New Roman" w:hAnsi="Times New Roman" w:cs="Times New Roman"/>
          <w:sz w:val="24"/>
          <w:szCs w:val="24"/>
        </w:rPr>
        <w:t>7  工作井施工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_Toc18057100 \h </w:instrText>
      </w:r>
      <w:r>
        <w:rPr>
          <w:rFonts w:ascii="Times New Roman" w:hAnsi="Times New Roman" w:cs="Times New Roman"/>
          <w:sz w:val="24"/>
          <w:szCs w:val="24"/>
        </w:rPr>
        <w:fldChar w:fldCharType="separate"/>
      </w:r>
      <w:r>
        <w:rPr>
          <w:rFonts w:ascii="Times New Roman" w:hAnsi="Times New Roman" w:cs="Times New Roman"/>
          <w:sz w:val="24"/>
          <w:szCs w:val="24"/>
        </w:rPr>
        <w:t>124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"_Toc18057101" </w:instrText>
      </w:r>
      <w:r>
        <w:fldChar w:fldCharType="separate"/>
      </w:r>
      <w:r>
        <w:rPr>
          <w:rStyle w:val="44"/>
          <w:rFonts w:ascii="Times New Roman" w:hAnsi="Times New Roman" w:cs="Times New Roman"/>
          <w:sz w:val="24"/>
          <w:szCs w:val="24"/>
        </w:rPr>
        <w:t>7.1  一般规定</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_Toc18057101 \h </w:instrText>
      </w:r>
      <w:r>
        <w:rPr>
          <w:rFonts w:ascii="Times New Roman" w:hAnsi="Times New Roman" w:cs="Times New Roman"/>
          <w:sz w:val="24"/>
          <w:szCs w:val="24"/>
        </w:rPr>
        <w:fldChar w:fldCharType="separate"/>
      </w:r>
      <w:r>
        <w:rPr>
          <w:rFonts w:ascii="Times New Roman" w:hAnsi="Times New Roman" w:cs="Times New Roman"/>
          <w:sz w:val="24"/>
          <w:szCs w:val="24"/>
        </w:rPr>
        <w:t>124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"_Toc18057102" </w:instrText>
      </w:r>
      <w:r>
        <w:fldChar w:fldCharType="separate"/>
      </w:r>
      <w:r>
        <w:rPr>
          <w:rStyle w:val="44"/>
          <w:rFonts w:ascii="Times New Roman" w:hAnsi="Times New Roman" w:cs="Times New Roman"/>
          <w:sz w:val="24"/>
          <w:szCs w:val="24"/>
        </w:rPr>
        <w:t>7.2  沉  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_Toc18057102 \h </w:instrText>
      </w:r>
      <w:r>
        <w:rPr>
          <w:rFonts w:ascii="Times New Roman" w:hAnsi="Times New Roman" w:cs="Times New Roman"/>
          <w:sz w:val="24"/>
          <w:szCs w:val="24"/>
        </w:rPr>
        <w:fldChar w:fldCharType="separate"/>
      </w:r>
      <w:r>
        <w:rPr>
          <w:rFonts w:ascii="Times New Roman" w:hAnsi="Times New Roman" w:cs="Times New Roman"/>
          <w:sz w:val="24"/>
          <w:szCs w:val="24"/>
        </w:rPr>
        <w:t>124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"_Toc18057103" </w:instrText>
      </w:r>
      <w:r>
        <w:fldChar w:fldCharType="separate"/>
      </w:r>
      <w:r>
        <w:rPr>
          <w:rStyle w:val="44"/>
          <w:rFonts w:ascii="Times New Roman" w:hAnsi="Times New Roman" w:cs="Times New Roman"/>
          <w:sz w:val="24"/>
          <w:szCs w:val="24"/>
        </w:rPr>
        <w:t>7.3  灌注桩排桩</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_Toc18057103 \h </w:instrText>
      </w:r>
      <w:r>
        <w:rPr>
          <w:rFonts w:ascii="Times New Roman" w:hAnsi="Times New Roman" w:cs="Times New Roman"/>
          <w:sz w:val="24"/>
          <w:szCs w:val="24"/>
        </w:rPr>
        <w:fldChar w:fldCharType="separate"/>
      </w:r>
      <w:r>
        <w:rPr>
          <w:rFonts w:ascii="Times New Roman" w:hAnsi="Times New Roman" w:cs="Times New Roman"/>
          <w:sz w:val="24"/>
          <w:szCs w:val="24"/>
        </w:rPr>
        <w:t>126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"_Toc18057104" </w:instrText>
      </w:r>
      <w:r>
        <w:fldChar w:fldCharType="separate"/>
      </w:r>
      <w:r>
        <w:rPr>
          <w:rStyle w:val="44"/>
          <w:rFonts w:ascii="Times New Roman" w:hAnsi="Times New Roman" w:cs="Times New Roman"/>
          <w:sz w:val="24"/>
          <w:szCs w:val="24"/>
        </w:rPr>
        <w:t>7.5  地下连续墙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_Toc18057104 \h </w:instrText>
      </w:r>
      <w:r>
        <w:rPr>
          <w:rFonts w:ascii="Times New Roman" w:hAnsi="Times New Roman" w:cs="Times New Roman"/>
          <w:sz w:val="24"/>
          <w:szCs w:val="24"/>
        </w:rPr>
        <w:fldChar w:fldCharType="separate"/>
      </w:r>
      <w:r>
        <w:rPr>
          <w:rFonts w:ascii="Times New Roman" w:hAnsi="Times New Roman" w:cs="Times New Roman"/>
          <w:sz w:val="24"/>
          <w:szCs w:val="24"/>
        </w:rPr>
        <w:t>126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"_Toc18057105" </w:instrText>
      </w:r>
      <w:r>
        <w:fldChar w:fldCharType="separate"/>
      </w:r>
      <w:r>
        <w:rPr>
          <w:rStyle w:val="44"/>
          <w:rFonts w:ascii="Times New Roman" w:hAnsi="Times New Roman" w:cs="Times New Roman"/>
          <w:sz w:val="24"/>
          <w:szCs w:val="24"/>
        </w:rPr>
        <w:t>7.6  型钢水泥土搅拌墙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_Toc18057105 \h </w:instrText>
      </w:r>
      <w:r>
        <w:rPr>
          <w:rFonts w:ascii="Times New Roman" w:hAnsi="Times New Roman" w:cs="Times New Roman"/>
          <w:sz w:val="24"/>
          <w:szCs w:val="24"/>
        </w:rPr>
        <w:fldChar w:fldCharType="separate"/>
      </w:r>
      <w:r>
        <w:rPr>
          <w:rFonts w:ascii="Times New Roman" w:hAnsi="Times New Roman" w:cs="Times New Roman"/>
          <w:sz w:val="24"/>
          <w:szCs w:val="24"/>
        </w:rPr>
        <w:t>128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"_Toc18057106" </w:instrText>
      </w:r>
      <w:r>
        <w:fldChar w:fldCharType="separate"/>
      </w:r>
      <w:r>
        <w:rPr>
          <w:rStyle w:val="44"/>
          <w:rFonts w:ascii="Times New Roman" w:hAnsi="Times New Roman" w:cs="Times New Roman"/>
          <w:sz w:val="24"/>
          <w:szCs w:val="24"/>
        </w:rPr>
        <w:t>7.8 土体加固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_Toc18057106 \h </w:instrText>
      </w:r>
      <w:r>
        <w:rPr>
          <w:rFonts w:ascii="Times New Roman" w:hAnsi="Times New Roman" w:cs="Times New Roman"/>
          <w:sz w:val="24"/>
          <w:szCs w:val="24"/>
        </w:rPr>
        <w:fldChar w:fldCharType="separate"/>
      </w:r>
      <w:r>
        <w:rPr>
          <w:rFonts w:ascii="Times New Roman" w:hAnsi="Times New Roman" w:cs="Times New Roman"/>
          <w:sz w:val="24"/>
          <w:szCs w:val="24"/>
        </w:rPr>
        <w:t>128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9350"/>
        </w:tabs>
        <w:rPr>
          <w:rFonts w:ascii="Times New Roman" w:hAnsi="Times New Roman" w:cs="Times New Roman" w:eastAsiaTheme="minorEastAsia"/>
          <w:b w:val="0"/>
          <w:bCs w:val="0"/>
          <w:caps w:val="0"/>
          <w:sz w:val="24"/>
          <w:szCs w:val="24"/>
        </w:rPr>
      </w:pPr>
      <w:r>
        <w:fldChar w:fldCharType="begin"/>
      </w:r>
      <w:r>
        <w:instrText xml:space="preserve"> HYPERLINK \l "_Toc18057107" </w:instrText>
      </w:r>
      <w:r>
        <w:fldChar w:fldCharType="separate"/>
      </w:r>
      <w:r>
        <w:rPr>
          <w:rStyle w:val="44"/>
          <w:rFonts w:ascii="Times New Roman" w:hAnsi="Times New Roman" w:cs="Times New Roman"/>
          <w:sz w:val="24"/>
          <w:szCs w:val="24"/>
        </w:rPr>
        <w:t>8 顶管设备及安装</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_Toc18057107 \h </w:instrText>
      </w:r>
      <w:r>
        <w:rPr>
          <w:rFonts w:ascii="Times New Roman" w:hAnsi="Times New Roman" w:cs="Times New Roman"/>
          <w:sz w:val="24"/>
          <w:szCs w:val="24"/>
        </w:rPr>
        <w:fldChar w:fldCharType="separate"/>
      </w:r>
      <w:r>
        <w:rPr>
          <w:rFonts w:ascii="Times New Roman" w:hAnsi="Times New Roman" w:cs="Times New Roman"/>
          <w:sz w:val="24"/>
          <w:szCs w:val="24"/>
        </w:rPr>
        <w:t>130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"_Toc18057108" </w:instrText>
      </w:r>
      <w:r>
        <w:fldChar w:fldCharType="separate"/>
      </w:r>
      <w:r>
        <w:rPr>
          <w:rStyle w:val="44"/>
          <w:rFonts w:ascii="Times New Roman" w:hAnsi="Times New Roman" w:cs="Times New Roman"/>
          <w:sz w:val="24"/>
          <w:szCs w:val="24"/>
        </w:rPr>
        <w:t>8.2 矩形顶管机设计与选型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_Toc18057108 \h </w:instrText>
      </w:r>
      <w:r>
        <w:rPr>
          <w:rFonts w:ascii="Times New Roman" w:hAnsi="Times New Roman" w:cs="Times New Roman"/>
          <w:sz w:val="24"/>
          <w:szCs w:val="24"/>
        </w:rPr>
        <w:fldChar w:fldCharType="separate"/>
      </w:r>
      <w:r>
        <w:rPr>
          <w:rFonts w:ascii="Times New Roman" w:hAnsi="Times New Roman" w:cs="Times New Roman"/>
          <w:sz w:val="24"/>
          <w:szCs w:val="24"/>
        </w:rPr>
        <w:t>130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"_Toc18057109" </w:instrText>
      </w:r>
      <w:r>
        <w:fldChar w:fldCharType="separate"/>
      </w:r>
      <w:r>
        <w:rPr>
          <w:rStyle w:val="44"/>
          <w:rFonts w:ascii="Times New Roman" w:hAnsi="Times New Roman" w:cs="Times New Roman"/>
          <w:sz w:val="24"/>
          <w:szCs w:val="24"/>
        </w:rPr>
        <w:t>8.4 导轨选择与安装</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_Toc18057109 \h </w:instrText>
      </w:r>
      <w:r>
        <w:rPr>
          <w:rFonts w:ascii="Times New Roman" w:hAnsi="Times New Roman" w:cs="Times New Roman"/>
          <w:sz w:val="24"/>
          <w:szCs w:val="24"/>
        </w:rPr>
        <w:fldChar w:fldCharType="separate"/>
      </w:r>
      <w:r>
        <w:rPr>
          <w:rFonts w:ascii="Times New Roman" w:hAnsi="Times New Roman" w:cs="Times New Roman"/>
          <w:sz w:val="24"/>
          <w:szCs w:val="24"/>
        </w:rPr>
        <w:t>133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"_Toc18057110" </w:instrText>
      </w:r>
      <w:r>
        <w:fldChar w:fldCharType="separate"/>
      </w:r>
      <w:r>
        <w:rPr>
          <w:rStyle w:val="44"/>
          <w:rFonts w:ascii="Times New Roman" w:hAnsi="Times New Roman" w:cs="Times New Roman"/>
          <w:sz w:val="24"/>
          <w:szCs w:val="24"/>
        </w:rPr>
        <w:t>8.5 顶管机安装和调试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_Toc18057110 \h </w:instrText>
      </w:r>
      <w:r>
        <w:rPr>
          <w:rFonts w:ascii="Times New Roman" w:hAnsi="Times New Roman" w:cs="Times New Roman"/>
          <w:sz w:val="24"/>
          <w:szCs w:val="24"/>
        </w:rPr>
        <w:fldChar w:fldCharType="separate"/>
      </w:r>
      <w:r>
        <w:rPr>
          <w:rFonts w:ascii="Times New Roman" w:hAnsi="Times New Roman" w:cs="Times New Roman"/>
          <w:sz w:val="24"/>
          <w:szCs w:val="24"/>
        </w:rPr>
        <w:t>133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26"/>
        <w:tabs>
          <w:tab w:val="right" w:leader="dot" w:pos="9350"/>
        </w:tabs>
        <w:rPr>
          <w:rFonts w:ascii="Times New Roman" w:hAnsi="Times New Roman" w:cs="Times New Roman" w:eastAsiaTheme="minorEastAsia"/>
          <w:b w:val="0"/>
          <w:bCs w:val="0"/>
          <w:caps w:val="0"/>
          <w:sz w:val="24"/>
          <w:szCs w:val="24"/>
        </w:rPr>
      </w:pPr>
      <w:r>
        <w:fldChar w:fldCharType="begin"/>
      </w:r>
      <w:r>
        <w:instrText xml:space="preserve"> HYPERLINK \l "_Toc18057111" </w:instrText>
      </w:r>
      <w:r>
        <w:fldChar w:fldCharType="separate"/>
      </w:r>
      <w:r>
        <w:rPr>
          <w:rStyle w:val="44"/>
          <w:rFonts w:ascii="Times New Roman" w:hAnsi="Times New Roman" w:cs="Times New Roman"/>
          <w:sz w:val="24"/>
          <w:szCs w:val="24"/>
        </w:rPr>
        <w:t>9 顶进施工</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_Toc18057111 \h </w:instrText>
      </w:r>
      <w:r>
        <w:rPr>
          <w:rFonts w:ascii="Times New Roman" w:hAnsi="Times New Roman" w:cs="Times New Roman"/>
          <w:sz w:val="24"/>
          <w:szCs w:val="24"/>
        </w:rPr>
        <w:fldChar w:fldCharType="separate"/>
      </w:r>
      <w:r>
        <w:rPr>
          <w:rFonts w:ascii="Times New Roman" w:hAnsi="Times New Roman" w:cs="Times New Roman"/>
          <w:sz w:val="24"/>
          <w:szCs w:val="24"/>
        </w:rPr>
        <w:t>135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"_Toc18057112" </w:instrText>
      </w:r>
      <w:r>
        <w:fldChar w:fldCharType="separate"/>
      </w:r>
      <w:r>
        <w:rPr>
          <w:rStyle w:val="44"/>
          <w:rFonts w:ascii="Times New Roman" w:hAnsi="Times New Roman" w:cs="Times New Roman"/>
          <w:sz w:val="24"/>
          <w:szCs w:val="24"/>
        </w:rPr>
        <w:t>9.2 施工组织设计</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_Toc18057112 \h </w:instrText>
      </w:r>
      <w:r>
        <w:rPr>
          <w:rFonts w:ascii="Times New Roman" w:hAnsi="Times New Roman" w:cs="Times New Roman"/>
          <w:sz w:val="24"/>
          <w:szCs w:val="24"/>
        </w:rPr>
        <w:fldChar w:fldCharType="separate"/>
      </w:r>
      <w:r>
        <w:rPr>
          <w:rFonts w:ascii="Times New Roman" w:hAnsi="Times New Roman" w:cs="Times New Roman"/>
          <w:sz w:val="24"/>
          <w:szCs w:val="24"/>
        </w:rPr>
        <w:t>135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"_Toc18057113" </w:instrText>
      </w:r>
      <w:r>
        <w:fldChar w:fldCharType="separate"/>
      </w:r>
      <w:r>
        <w:rPr>
          <w:rStyle w:val="44"/>
          <w:rFonts w:ascii="Times New Roman" w:hAnsi="Times New Roman" w:cs="Times New Roman"/>
          <w:sz w:val="24"/>
          <w:szCs w:val="24"/>
        </w:rPr>
        <w:t>9.3 顶管始发与接收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_Toc18057113 \h </w:instrText>
      </w:r>
      <w:r>
        <w:rPr>
          <w:rFonts w:ascii="Times New Roman" w:hAnsi="Times New Roman" w:cs="Times New Roman"/>
          <w:sz w:val="24"/>
          <w:szCs w:val="24"/>
        </w:rPr>
        <w:fldChar w:fldCharType="separate"/>
      </w:r>
      <w:r>
        <w:rPr>
          <w:rFonts w:ascii="Times New Roman" w:hAnsi="Times New Roman" w:cs="Times New Roman"/>
          <w:sz w:val="24"/>
          <w:szCs w:val="24"/>
        </w:rPr>
        <w:t>135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"_Toc18057114" </w:instrText>
      </w:r>
      <w:r>
        <w:fldChar w:fldCharType="separate"/>
      </w:r>
      <w:r>
        <w:rPr>
          <w:rStyle w:val="44"/>
          <w:rFonts w:ascii="Times New Roman" w:hAnsi="Times New Roman" w:cs="Times New Roman"/>
          <w:sz w:val="24"/>
          <w:szCs w:val="24"/>
        </w:rPr>
        <w:t>9.4 顶管掘进</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_Toc18057114 \h </w:instrText>
      </w:r>
      <w:r>
        <w:rPr>
          <w:rFonts w:ascii="Times New Roman" w:hAnsi="Times New Roman" w:cs="Times New Roman"/>
          <w:sz w:val="24"/>
          <w:szCs w:val="24"/>
        </w:rPr>
        <w:fldChar w:fldCharType="separate"/>
      </w:r>
      <w:r>
        <w:rPr>
          <w:rFonts w:ascii="Times New Roman" w:hAnsi="Times New Roman" w:cs="Times New Roman"/>
          <w:sz w:val="24"/>
          <w:szCs w:val="24"/>
        </w:rPr>
        <w:t>136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"_Toc18057115" </w:instrText>
      </w:r>
      <w:r>
        <w:fldChar w:fldCharType="separate"/>
      </w:r>
      <w:r>
        <w:rPr>
          <w:rStyle w:val="44"/>
          <w:rFonts w:ascii="Times New Roman" w:hAnsi="Times New Roman" w:cs="Times New Roman"/>
          <w:sz w:val="24"/>
          <w:szCs w:val="24"/>
        </w:rPr>
        <w:t>9.5  注浆减阻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_Toc18057115 \h </w:instrText>
      </w:r>
      <w:r>
        <w:rPr>
          <w:rFonts w:ascii="Times New Roman" w:hAnsi="Times New Roman" w:cs="Times New Roman"/>
          <w:sz w:val="24"/>
          <w:szCs w:val="24"/>
        </w:rPr>
        <w:fldChar w:fldCharType="separate"/>
      </w:r>
      <w:r>
        <w:rPr>
          <w:rFonts w:ascii="Times New Roman" w:hAnsi="Times New Roman" w:cs="Times New Roman"/>
          <w:sz w:val="24"/>
          <w:szCs w:val="24"/>
        </w:rPr>
        <w:t>136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"_Toc18057116" </w:instrText>
      </w:r>
      <w:r>
        <w:fldChar w:fldCharType="separate"/>
      </w:r>
      <w:r>
        <w:rPr>
          <w:rStyle w:val="44"/>
          <w:rFonts w:ascii="Times New Roman" w:hAnsi="Times New Roman" w:cs="Times New Roman"/>
          <w:sz w:val="24"/>
          <w:szCs w:val="24"/>
        </w:rPr>
        <w:t>9.6 土体改良</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_Toc18057116 \h </w:instrText>
      </w:r>
      <w:r>
        <w:rPr>
          <w:rFonts w:ascii="Times New Roman" w:hAnsi="Times New Roman" w:cs="Times New Roman"/>
          <w:sz w:val="24"/>
          <w:szCs w:val="24"/>
        </w:rPr>
        <w:fldChar w:fldCharType="separate"/>
      </w:r>
      <w:r>
        <w:rPr>
          <w:rFonts w:ascii="Times New Roman" w:hAnsi="Times New Roman" w:cs="Times New Roman"/>
          <w:sz w:val="24"/>
          <w:szCs w:val="24"/>
        </w:rPr>
        <w:t>137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"_Toc18057117" </w:instrText>
      </w:r>
      <w:r>
        <w:fldChar w:fldCharType="separate"/>
      </w:r>
      <w:r>
        <w:rPr>
          <w:rStyle w:val="44"/>
          <w:rFonts w:ascii="Times New Roman" w:hAnsi="Times New Roman" w:cs="Times New Roman"/>
          <w:sz w:val="24"/>
          <w:szCs w:val="24"/>
        </w:rPr>
        <w:t>9.7  测量和姿态控制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_Toc18057117 \h </w:instrText>
      </w:r>
      <w:r>
        <w:rPr>
          <w:rFonts w:ascii="Times New Roman" w:hAnsi="Times New Roman" w:cs="Times New Roman"/>
          <w:sz w:val="24"/>
          <w:szCs w:val="24"/>
        </w:rPr>
        <w:fldChar w:fldCharType="separate"/>
      </w:r>
      <w:r>
        <w:rPr>
          <w:rFonts w:ascii="Times New Roman" w:hAnsi="Times New Roman" w:cs="Times New Roman"/>
          <w:sz w:val="24"/>
          <w:szCs w:val="24"/>
        </w:rPr>
        <w:t>137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"_Toc18057118" </w:instrText>
      </w:r>
      <w:r>
        <w:fldChar w:fldCharType="separate"/>
      </w:r>
      <w:r>
        <w:rPr>
          <w:rStyle w:val="44"/>
          <w:rFonts w:ascii="Times New Roman" w:hAnsi="Times New Roman" w:cs="Times New Roman"/>
          <w:sz w:val="24"/>
          <w:szCs w:val="24"/>
        </w:rPr>
        <w:t>9.8 监测与变形控制</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_Toc18057118 \h </w:instrText>
      </w:r>
      <w:r>
        <w:rPr>
          <w:rFonts w:ascii="Times New Roman" w:hAnsi="Times New Roman" w:cs="Times New Roman"/>
          <w:sz w:val="24"/>
          <w:szCs w:val="24"/>
        </w:rPr>
        <w:fldChar w:fldCharType="separate"/>
      </w:r>
      <w:r>
        <w:rPr>
          <w:rFonts w:ascii="Times New Roman" w:hAnsi="Times New Roman" w:cs="Times New Roman"/>
          <w:sz w:val="24"/>
          <w:szCs w:val="24"/>
        </w:rPr>
        <w:t>138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31"/>
        <w:tabs>
          <w:tab w:val="right" w:leader="dot" w:pos="9350"/>
        </w:tabs>
        <w:rPr>
          <w:rFonts w:ascii="Times New Roman" w:hAnsi="Times New Roman" w:cs="Times New Roman" w:eastAsiaTheme="minorEastAsia"/>
          <w:smallCaps w:val="0"/>
          <w:sz w:val="24"/>
          <w:szCs w:val="24"/>
        </w:rPr>
      </w:pPr>
      <w:r>
        <w:fldChar w:fldCharType="begin"/>
      </w:r>
      <w:r>
        <w:instrText xml:space="preserve"> HYPERLINK \l "_Toc18057119" </w:instrText>
      </w:r>
      <w:r>
        <w:fldChar w:fldCharType="separate"/>
      </w:r>
      <w:r>
        <w:rPr>
          <w:rStyle w:val="44"/>
          <w:rFonts w:ascii="Times New Roman" w:hAnsi="Times New Roman" w:cs="Times New Roman"/>
          <w:sz w:val="24"/>
          <w:szCs w:val="24"/>
        </w:rPr>
        <w:t>9.9 顶管机拆解与吊出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_Toc18057119 \h </w:instrText>
      </w:r>
      <w:r>
        <w:rPr>
          <w:rFonts w:ascii="Times New Roman" w:hAnsi="Times New Roman" w:cs="Times New Roman"/>
          <w:sz w:val="24"/>
          <w:szCs w:val="24"/>
        </w:rPr>
        <w:fldChar w:fldCharType="separate"/>
      </w:r>
      <w:r>
        <w:rPr>
          <w:rFonts w:ascii="Times New Roman" w:hAnsi="Times New Roman" w:cs="Times New Roman"/>
          <w:sz w:val="24"/>
          <w:szCs w:val="24"/>
        </w:rPr>
        <w:t>138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jc w:val="center"/>
        <w:sectPr>
          <w:pgSz w:w="12240" w:h="15840"/>
          <w:pgMar w:top="1440" w:right="1440" w:bottom="1440" w:left="1440" w:header="720" w:footer="720" w:gutter="0"/>
          <w:cols w:space="720" w:num="1"/>
          <w:docGrid w:linePitch="360" w:charSpace="0"/>
        </w:sectPr>
      </w:pPr>
      <w:r>
        <w:rPr>
          <w:szCs w:val="24"/>
        </w:rPr>
        <w:fldChar w:fldCharType="end"/>
      </w:r>
    </w:p>
    <w:p>
      <w:pPr>
        <w:rPr>
          <w:b/>
          <w:bCs/>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09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Cambria Math">
    <w:panose1 w:val="02040503050406030204"/>
    <w:charset w:val="00"/>
    <w:family w:val="roman"/>
    <w:pitch w:val="default"/>
    <w:sig w:usb0="A00002EF" w:usb1="420020EB" w:usb2="00000000" w:usb3="00000000" w:csb0="2000009F" w:csb1="00000000"/>
  </w:font>
  <w:font w:name="Verdana">
    <w:panose1 w:val="020B0604030504040204"/>
    <w:charset w:val="00"/>
    <w:family w:val="swiss"/>
    <w:pitch w:val="default"/>
    <w:sig w:usb0="A10006FF" w:usb1="4000205B" w:usb2="00000010" w:usb3="00000000" w:csb0="2000019F" w:csb1="00000000"/>
  </w:font>
  <w:font w:name="ˎ̥">
    <w:altName w:val="Cambria"/>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Dotum">
    <w:altName w:val="KS P Mincho"/>
    <w:panose1 w:val="020B0600000101010101"/>
    <w:charset w:val="81"/>
    <w:family w:val="swiss"/>
    <w:pitch w:val="default"/>
    <w:sig w:usb0="00000000" w:usb1="00000000"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w:t>
    </w:r>
  </w:p>
  <w:p>
    <w:pPr>
      <w:pStyle w:val="2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5A70"/>
    <w:multiLevelType w:val="multilevel"/>
    <w:tmpl w:val="03F45A70"/>
    <w:lvl w:ilvl="0" w:tentative="0">
      <w:start w:val="1"/>
      <w:numFmt w:val="decimal"/>
      <w:pStyle w:val="9"/>
      <w:lvlText w:val="%1）"/>
      <w:lvlJc w:val="left"/>
      <w:pPr>
        <w:ind w:left="1446" w:hanging="397"/>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6CD6532"/>
    <w:multiLevelType w:val="multilevel"/>
    <w:tmpl w:val="16CD6532"/>
    <w:lvl w:ilvl="0" w:tentative="0">
      <w:start w:val="6"/>
      <w:numFmt w:val="decimal"/>
      <w:lvlText w:val="%1"/>
      <w:lvlJc w:val="left"/>
      <w:pPr>
        <w:tabs>
          <w:tab w:val="left" w:pos="660"/>
        </w:tabs>
        <w:ind w:left="660" w:hanging="660"/>
      </w:pPr>
      <w:rPr>
        <w:rFonts w:hint="eastAsia"/>
        <w:b w:val="0"/>
      </w:rPr>
    </w:lvl>
    <w:lvl w:ilvl="1" w:tentative="0">
      <w:start w:val="6"/>
      <w:numFmt w:val="decimal"/>
      <w:pStyle w:val="78"/>
      <w:lvlText w:val="%1.%2"/>
      <w:lvlJc w:val="left"/>
      <w:pPr>
        <w:tabs>
          <w:tab w:val="left" w:pos="720"/>
        </w:tabs>
        <w:ind w:left="720" w:hanging="720"/>
      </w:pPr>
      <w:rPr>
        <w:rFonts w:hint="eastAsia"/>
        <w:b/>
      </w:rPr>
    </w:lvl>
    <w:lvl w:ilvl="2" w:tentative="0">
      <w:start w:val="1"/>
      <w:numFmt w:val="decimal"/>
      <w:lvlText w:val="%1.%2.%3"/>
      <w:lvlJc w:val="left"/>
      <w:pPr>
        <w:tabs>
          <w:tab w:val="left" w:pos="720"/>
        </w:tabs>
        <w:ind w:left="720" w:hanging="720"/>
      </w:pPr>
      <w:rPr>
        <w:rFonts w:hint="eastAsia"/>
        <w:b w:val="0"/>
      </w:rPr>
    </w:lvl>
    <w:lvl w:ilvl="3" w:tentative="0">
      <w:start w:val="1"/>
      <w:numFmt w:val="decimal"/>
      <w:lvlText w:val="%1.%2.%3.%4"/>
      <w:lvlJc w:val="left"/>
      <w:pPr>
        <w:tabs>
          <w:tab w:val="left" w:pos="1080"/>
        </w:tabs>
        <w:ind w:left="1080" w:hanging="1080"/>
      </w:pPr>
      <w:rPr>
        <w:rFonts w:hint="eastAsia"/>
        <w:b w:val="0"/>
      </w:rPr>
    </w:lvl>
    <w:lvl w:ilvl="4" w:tentative="0">
      <w:start w:val="1"/>
      <w:numFmt w:val="decimal"/>
      <w:lvlText w:val="%1.%2.%3.%4.%5"/>
      <w:lvlJc w:val="left"/>
      <w:pPr>
        <w:tabs>
          <w:tab w:val="left" w:pos="1440"/>
        </w:tabs>
        <w:ind w:left="1440" w:hanging="1440"/>
      </w:pPr>
      <w:rPr>
        <w:rFonts w:hint="eastAsia"/>
        <w:b w:val="0"/>
      </w:rPr>
    </w:lvl>
    <w:lvl w:ilvl="5" w:tentative="0">
      <w:start w:val="1"/>
      <w:numFmt w:val="decimal"/>
      <w:lvlText w:val="%1.%2.%3.%4.%5.%6"/>
      <w:lvlJc w:val="left"/>
      <w:pPr>
        <w:tabs>
          <w:tab w:val="left" w:pos="1440"/>
        </w:tabs>
        <w:ind w:left="1440" w:hanging="1440"/>
      </w:pPr>
      <w:rPr>
        <w:rFonts w:hint="eastAsia"/>
        <w:b w:val="0"/>
      </w:rPr>
    </w:lvl>
    <w:lvl w:ilvl="6" w:tentative="0">
      <w:start w:val="1"/>
      <w:numFmt w:val="decimal"/>
      <w:lvlText w:val="%1.%2.%3.%4.%5.%6.%7"/>
      <w:lvlJc w:val="left"/>
      <w:pPr>
        <w:tabs>
          <w:tab w:val="left" w:pos="1800"/>
        </w:tabs>
        <w:ind w:left="1800" w:hanging="1800"/>
      </w:pPr>
      <w:rPr>
        <w:rFonts w:hint="eastAsia"/>
        <w:b w:val="0"/>
      </w:rPr>
    </w:lvl>
    <w:lvl w:ilvl="7" w:tentative="0">
      <w:start w:val="1"/>
      <w:numFmt w:val="decimal"/>
      <w:lvlText w:val="%1.%2.%3.%4.%5.%6.%7.%8"/>
      <w:lvlJc w:val="left"/>
      <w:pPr>
        <w:tabs>
          <w:tab w:val="left" w:pos="1800"/>
        </w:tabs>
        <w:ind w:left="1800" w:hanging="1800"/>
      </w:pPr>
      <w:rPr>
        <w:rFonts w:hint="eastAsia"/>
        <w:b w:val="0"/>
      </w:rPr>
    </w:lvl>
    <w:lvl w:ilvl="8" w:tentative="0">
      <w:start w:val="1"/>
      <w:numFmt w:val="decimal"/>
      <w:lvlText w:val="%1.%2.%3.%4.%5.%6.%7.%8.%9"/>
      <w:lvlJc w:val="left"/>
      <w:pPr>
        <w:tabs>
          <w:tab w:val="left" w:pos="2160"/>
        </w:tabs>
        <w:ind w:left="2160" w:hanging="2160"/>
      </w:pPr>
      <w:rPr>
        <w:rFonts w:hint="eastAsia"/>
        <w:b w:val="0"/>
      </w:rPr>
    </w:lvl>
  </w:abstractNum>
  <w:abstractNum w:abstractNumId="2">
    <w:nsid w:val="63F875B6"/>
    <w:multiLevelType w:val="multilevel"/>
    <w:tmpl w:val="63F875B6"/>
    <w:lvl w:ilvl="0" w:tentative="0">
      <w:start w:val="1"/>
      <w:numFmt w:val="decimal"/>
      <w:lvlText w:val="%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E0B5280"/>
    <w:multiLevelType w:val="multilevel"/>
    <w:tmpl w:val="7E0B5280"/>
    <w:lvl w:ilvl="0" w:tentative="0">
      <w:start w:val="1"/>
      <w:numFmt w:val="decimal"/>
      <w:pStyle w:val="7"/>
      <w:lvlText w:val="%1"/>
      <w:lvlJc w:val="left"/>
      <w:pPr>
        <w:ind w:left="737" w:hanging="317"/>
      </w:pPr>
      <w:rPr>
        <w:rFonts w:hint="default" w:ascii="Times New Roman" w:hAnsi="Times New Roman"/>
        <w:b/>
        <w:i w:val="0"/>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E6B"/>
    <w:rsid w:val="00000231"/>
    <w:rsid w:val="0000031E"/>
    <w:rsid w:val="00000540"/>
    <w:rsid w:val="00003A12"/>
    <w:rsid w:val="00007997"/>
    <w:rsid w:val="00011376"/>
    <w:rsid w:val="00014DB2"/>
    <w:rsid w:val="0002067A"/>
    <w:rsid w:val="00020BEA"/>
    <w:rsid w:val="00020EB6"/>
    <w:rsid w:val="000214C4"/>
    <w:rsid w:val="00024985"/>
    <w:rsid w:val="000306C4"/>
    <w:rsid w:val="00033B76"/>
    <w:rsid w:val="00034642"/>
    <w:rsid w:val="000419C4"/>
    <w:rsid w:val="00043F75"/>
    <w:rsid w:val="000441A0"/>
    <w:rsid w:val="00045267"/>
    <w:rsid w:val="00045E23"/>
    <w:rsid w:val="0005001B"/>
    <w:rsid w:val="00050604"/>
    <w:rsid w:val="00050C18"/>
    <w:rsid w:val="00051482"/>
    <w:rsid w:val="00056B02"/>
    <w:rsid w:val="00062486"/>
    <w:rsid w:val="0006444D"/>
    <w:rsid w:val="00064FD6"/>
    <w:rsid w:val="00067C65"/>
    <w:rsid w:val="00071196"/>
    <w:rsid w:val="00071E69"/>
    <w:rsid w:val="00073D1D"/>
    <w:rsid w:val="0007794E"/>
    <w:rsid w:val="000825C3"/>
    <w:rsid w:val="00082F59"/>
    <w:rsid w:val="0008476A"/>
    <w:rsid w:val="00085598"/>
    <w:rsid w:val="00085896"/>
    <w:rsid w:val="00086228"/>
    <w:rsid w:val="000971A6"/>
    <w:rsid w:val="000A08CF"/>
    <w:rsid w:val="000A1777"/>
    <w:rsid w:val="000A1D6E"/>
    <w:rsid w:val="000A2C91"/>
    <w:rsid w:val="000A3094"/>
    <w:rsid w:val="000A32D1"/>
    <w:rsid w:val="000A56D2"/>
    <w:rsid w:val="000A59D4"/>
    <w:rsid w:val="000A705D"/>
    <w:rsid w:val="000B4CB1"/>
    <w:rsid w:val="000B5D4C"/>
    <w:rsid w:val="000B6D9C"/>
    <w:rsid w:val="000B7264"/>
    <w:rsid w:val="000C0993"/>
    <w:rsid w:val="000C1B3C"/>
    <w:rsid w:val="000C21E5"/>
    <w:rsid w:val="000D0E38"/>
    <w:rsid w:val="000D1B00"/>
    <w:rsid w:val="000D54C0"/>
    <w:rsid w:val="000D6F2B"/>
    <w:rsid w:val="000E3C29"/>
    <w:rsid w:val="000F092A"/>
    <w:rsid w:val="000F2AAE"/>
    <w:rsid w:val="000F5E88"/>
    <w:rsid w:val="001016FB"/>
    <w:rsid w:val="00102A13"/>
    <w:rsid w:val="001114A0"/>
    <w:rsid w:val="00113A03"/>
    <w:rsid w:val="00115578"/>
    <w:rsid w:val="00121642"/>
    <w:rsid w:val="00122D4E"/>
    <w:rsid w:val="001269FC"/>
    <w:rsid w:val="00126CA4"/>
    <w:rsid w:val="001315D9"/>
    <w:rsid w:val="00131DD2"/>
    <w:rsid w:val="00132C1E"/>
    <w:rsid w:val="00133DEB"/>
    <w:rsid w:val="00134FF5"/>
    <w:rsid w:val="00137E6C"/>
    <w:rsid w:val="00137E86"/>
    <w:rsid w:val="00141879"/>
    <w:rsid w:val="001500B2"/>
    <w:rsid w:val="00153CC2"/>
    <w:rsid w:val="00153CFC"/>
    <w:rsid w:val="00157E8D"/>
    <w:rsid w:val="00160F3E"/>
    <w:rsid w:val="00161B50"/>
    <w:rsid w:val="00162FAE"/>
    <w:rsid w:val="00166D4F"/>
    <w:rsid w:val="00167382"/>
    <w:rsid w:val="00170A62"/>
    <w:rsid w:val="00171C09"/>
    <w:rsid w:val="00172445"/>
    <w:rsid w:val="00172E20"/>
    <w:rsid w:val="001735DE"/>
    <w:rsid w:val="00174B31"/>
    <w:rsid w:val="00174C2B"/>
    <w:rsid w:val="00175A07"/>
    <w:rsid w:val="00175C41"/>
    <w:rsid w:val="001840B8"/>
    <w:rsid w:val="00185BE9"/>
    <w:rsid w:val="001870EA"/>
    <w:rsid w:val="00194489"/>
    <w:rsid w:val="001944C0"/>
    <w:rsid w:val="001A05CF"/>
    <w:rsid w:val="001A1B82"/>
    <w:rsid w:val="001A1ECC"/>
    <w:rsid w:val="001A2008"/>
    <w:rsid w:val="001A5294"/>
    <w:rsid w:val="001A7DFB"/>
    <w:rsid w:val="001B21B5"/>
    <w:rsid w:val="001B2D97"/>
    <w:rsid w:val="001B3F3B"/>
    <w:rsid w:val="001B79CD"/>
    <w:rsid w:val="001D1625"/>
    <w:rsid w:val="001E39AC"/>
    <w:rsid w:val="001E5367"/>
    <w:rsid w:val="001E5379"/>
    <w:rsid w:val="001E57EA"/>
    <w:rsid w:val="001E74C3"/>
    <w:rsid w:val="001E7849"/>
    <w:rsid w:val="001E7917"/>
    <w:rsid w:val="001F0368"/>
    <w:rsid w:val="001F2557"/>
    <w:rsid w:val="001F3D6C"/>
    <w:rsid w:val="001F7606"/>
    <w:rsid w:val="0020065F"/>
    <w:rsid w:val="00200C79"/>
    <w:rsid w:val="00200CA4"/>
    <w:rsid w:val="0020137C"/>
    <w:rsid w:val="0020416E"/>
    <w:rsid w:val="002050A2"/>
    <w:rsid w:val="002062C8"/>
    <w:rsid w:val="0020638E"/>
    <w:rsid w:val="00210BD3"/>
    <w:rsid w:val="00214C08"/>
    <w:rsid w:val="00215C36"/>
    <w:rsid w:val="00224CF0"/>
    <w:rsid w:val="002253EE"/>
    <w:rsid w:val="00227468"/>
    <w:rsid w:val="00233CCD"/>
    <w:rsid w:val="00233D92"/>
    <w:rsid w:val="00234FFA"/>
    <w:rsid w:val="00240066"/>
    <w:rsid w:val="0024006A"/>
    <w:rsid w:val="00241455"/>
    <w:rsid w:val="002415F6"/>
    <w:rsid w:val="00245384"/>
    <w:rsid w:val="00246929"/>
    <w:rsid w:val="0024789D"/>
    <w:rsid w:val="0025000D"/>
    <w:rsid w:val="00250224"/>
    <w:rsid w:val="00253A08"/>
    <w:rsid w:val="00254163"/>
    <w:rsid w:val="00254ED7"/>
    <w:rsid w:val="00254FC3"/>
    <w:rsid w:val="00257FB6"/>
    <w:rsid w:val="002621DC"/>
    <w:rsid w:val="0027007F"/>
    <w:rsid w:val="002723EE"/>
    <w:rsid w:val="002739AF"/>
    <w:rsid w:val="00280153"/>
    <w:rsid w:val="002853A6"/>
    <w:rsid w:val="0028743E"/>
    <w:rsid w:val="002912AB"/>
    <w:rsid w:val="00291FC3"/>
    <w:rsid w:val="00294403"/>
    <w:rsid w:val="002A15A5"/>
    <w:rsid w:val="002A257A"/>
    <w:rsid w:val="002A7A80"/>
    <w:rsid w:val="002B0126"/>
    <w:rsid w:val="002B047B"/>
    <w:rsid w:val="002B323F"/>
    <w:rsid w:val="002B5F45"/>
    <w:rsid w:val="002C0116"/>
    <w:rsid w:val="002C5D87"/>
    <w:rsid w:val="002C6BFD"/>
    <w:rsid w:val="002D5680"/>
    <w:rsid w:val="002E132B"/>
    <w:rsid w:val="002E135D"/>
    <w:rsid w:val="002E22C2"/>
    <w:rsid w:val="002E4859"/>
    <w:rsid w:val="002F50F4"/>
    <w:rsid w:val="003014AD"/>
    <w:rsid w:val="00302C7E"/>
    <w:rsid w:val="00303212"/>
    <w:rsid w:val="003035CB"/>
    <w:rsid w:val="0030455B"/>
    <w:rsid w:val="00304BC3"/>
    <w:rsid w:val="00305194"/>
    <w:rsid w:val="00305468"/>
    <w:rsid w:val="00305C84"/>
    <w:rsid w:val="00306843"/>
    <w:rsid w:val="00306AFA"/>
    <w:rsid w:val="00311D87"/>
    <w:rsid w:val="00316470"/>
    <w:rsid w:val="00322931"/>
    <w:rsid w:val="00324E06"/>
    <w:rsid w:val="00327BEF"/>
    <w:rsid w:val="003319C6"/>
    <w:rsid w:val="0033343F"/>
    <w:rsid w:val="00337449"/>
    <w:rsid w:val="003417FB"/>
    <w:rsid w:val="00344A93"/>
    <w:rsid w:val="003478C3"/>
    <w:rsid w:val="003503CA"/>
    <w:rsid w:val="0035057F"/>
    <w:rsid w:val="003526A0"/>
    <w:rsid w:val="003541C8"/>
    <w:rsid w:val="00354DE9"/>
    <w:rsid w:val="00355170"/>
    <w:rsid w:val="00357E5B"/>
    <w:rsid w:val="00357EBA"/>
    <w:rsid w:val="0036064B"/>
    <w:rsid w:val="00363C69"/>
    <w:rsid w:val="003671D3"/>
    <w:rsid w:val="003732C0"/>
    <w:rsid w:val="00375D1A"/>
    <w:rsid w:val="003801E3"/>
    <w:rsid w:val="00384FA6"/>
    <w:rsid w:val="003878AB"/>
    <w:rsid w:val="003914BD"/>
    <w:rsid w:val="00395EF9"/>
    <w:rsid w:val="00395F93"/>
    <w:rsid w:val="003A0883"/>
    <w:rsid w:val="003A1EE9"/>
    <w:rsid w:val="003A67CA"/>
    <w:rsid w:val="003B2519"/>
    <w:rsid w:val="003B3F58"/>
    <w:rsid w:val="003C0B92"/>
    <w:rsid w:val="003C3400"/>
    <w:rsid w:val="003C3AF8"/>
    <w:rsid w:val="003D2219"/>
    <w:rsid w:val="003D565E"/>
    <w:rsid w:val="003D6497"/>
    <w:rsid w:val="003E0747"/>
    <w:rsid w:val="003E4751"/>
    <w:rsid w:val="003E5AC3"/>
    <w:rsid w:val="003F3647"/>
    <w:rsid w:val="003F55C6"/>
    <w:rsid w:val="003F5931"/>
    <w:rsid w:val="00400322"/>
    <w:rsid w:val="00401336"/>
    <w:rsid w:val="004044E4"/>
    <w:rsid w:val="0040545B"/>
    <w:rsid w:val="0041492C"/>
    <w:rsid w:val="00415E4D"/>
    <w:rsid w:val="00415FB2"/>
    <w:rsid w:val="00420742"/>
    <w:rsid w:val="00421956"/>
    <w:rsid w:val="00422227"/>
    <w:rsid w:val="00431B60"/>
    <w:rsid w:val="00432D03"/>
    <w:rsid w:val="00440C82"/>
    <w:rsid w:val="00441E4E"/>
    <w:rsid w:val="00444AFA"/>
    <w:rsid w:val="0044531D"/>
    <w:rsid w:val="00453EAF"/>
    <w:rsid w:val="00462AB9"/>
    <w:rsid w:val="0046405E"/>
    <w:rsid w:val="0047189C"/>
    <w:rsid w:val="00475A42"/>
    <w:rsid w:val="00476BE6"/>
    <w:rsid w:val="0048052D"/>
    <w:rsid w:val="00482CFF"/>
    <w:rsid w:val="00486AC9"/>
    <w:rsid w:val="004934C7"/>
    <w:rsid w:val="004959D4"/>
    <w:rsid w:val="00497878"/>
    <w:rsid w:val="00497C08"/>
    <w:rsid w:val="004B0984"/>
    <w:rsid w:val="004B0DAB"/>
    <w:rsid w:val="004B67EA"/>
    <w:rsid w:val="004B72E1"/>
    <w:rsid w:val="004C00DC"/>
    <w:rsid w:val="004C5B64"/>
    <w:rsid w:val="004D25BB"/>
    <w:rsid w:val="004E2AF4"/>
    <w:rsid w:val="004E3254"/>
    <w:rsid w:val="004F3DA4"/>
    <w:rsid w:val="00501AEF"/>
    <w:rsid w:val="005037A6"/>
    <w:rsid w:val="00517A38"/>
    <w:rsid w:val="00520127"/>
    <w:rsid w:val="005209D9"/>
    <w:rsid w:val="00520C70"/>
    <w:rsid w:val="005217C7"/>
    <w:rsid w:val="005234A0"/>
    <w:rsid w:val="00525F0E"/>
    <w:rsid w:val="00530B4A"/>
    <w:rsid w:val="005317C7"/>
    <w:rsid w:val="0053374E"/>
    <w:rsid w:val="005377C0"/>
    <w:rsid w:val="00537ABC"/>
    <w:rsid w:val="00542AF8"/>
    <w:rsid w:val="005432F9"/>
    <w:rsid w:val="00555507"/>
    <w:rsid w:val="00555E59"/>
    <w:rsid w:val="005566EF"/>
    <w:rsid w:val="00564DA7"/>
    <w:rsid w:val="00566F00"/>
    <w:rsid w:val="00575870"/>
    <w:rsid w:val="005801D4"/>
    <w:rsid w:val="00590B34"/>
    <w:rsid w:val="00590BB2"/>
    <w:rsid w:val="00594EF1"/>
    <w:rsid w:val="005A2705"/>
    <w:rsid w:val="005A27C4"/>
    <w:rsid w:val="005A5440"/>
    <w:rsid w:val="005A583D"/>
    <w:rsid w:val="005B09FC"/>
    <w:rsid w:val="005B1F4E"/>
    <w:rsid w:val="005B3085"/>
    <w:rsid w:val="005B4076"/>
    <w:rsid w:val="005B47AA"/>
    <w:rsid w:val="005C764F"/>
    <w:rsid w:val="005D47BB"/>
    <w:rsid w:val="005D5135"/>
    <w:rsid w:val="005E05DD"/>
    <w:rsid w:val="005F14FD"/>
    <w:rsid w:val="005F6100"/>
    <w:rsid w:val="006015A0"/>
    <w:rsid w:val="00601709"/>
    <w:rsid w:val="0060353D"/>
    <w:rsid w:val="00604975"/>
    <w:rsid w:val="00613A91"/>
    <w:rsid w:val="00614362"/>
    <w:rsid w:val="00614465"/>
    <w:rsid w:val="00621705"/>
    <w:rsid w:val="0062205A"/>
    <w:rsid w:val="00622496"/>
    <w:rsid w:val="00622599"/>
    <w:rsid w:val="00626662"/>
    <w:rsid w:val="00630818"/>
    <w:rsid w:val="006327FF"/>
    <w:rsid w:val="00633A60"/>
    <w:rsid w:val="00634F08"/>
    <w:rsid w:val="006359DA"/>
    <w:rsid w:val="00641A78"/>
    <w:rsid w:val="0064574B"/>
    <w:rsid w:val="00650972"/>
    <w:rsid w:val="0065743E"/>
    <w:rsid w:val="00660724"/>
    <w:rsid w:val="00664DB0"/>
    <w:rsid w:val="00666E61"/>
    <w:rsid w:val="006721FD"/>
    <w:rsid w:val="0067312B"/>
    <w:rsid w:val="00674E17"/>
    <w:rsid w:val="00677FA2"/>
    <w:rsid w:val="0068080F"/>
    <w:rsid w:val="00680824"/>
    <w:rsid w:val="00681E77"/>
    <w:rsid w:val="00682AC5"/>
    <w:rsid w:val="00687108"/>
    <w:rsid w:val="0069061B"/>
    <w:rsid w:val="006A17CC"/>
    <w:rsid w:val="006A17F3"/>
    <w:rsid w:val="006A20A5"/>
    <w:rsid w:val="006A242A"/>
    <w:rsid w:val="006A4AE0"/>
    <w:rsid w:val="006A519C"/>
    <w:rsid w:val="006A690C"/>
    <w:rsid w:val="006B4922"/>
    <w:rsid w:val="006B6E9A"/>
    <w:rsid w:val="006C157B"/>
    <w:rsid w:val="006C205E"/>
    <w:rsid w:val="006C2401"/>
    <w:rsid w:val="006C3253"/>
    <w:rsid w:val="006C5488"/>
    <w:rsid w:val="006C5E94"/>
    <w:rsid w:val="006C7AF4"/>
    <w:rsid w:val="006D1878"/>
    <w:rsid w:val="006D1E36"/>
    <w:rsid w:val="006D376B"/>
    <w:rsid w:val="006D3E1A"/>
    <w:rsid w:val="006D4213"/>
    <w:rsid w:val="006D6E31"/>
    <w:rsid w:val="006D769A"/>
    <w:rsid w:val="006E1491"/>
    <w:rsid w:val="006E33E6"/>
    <w:rsid w:val="006E6145"/>
    <w:rsid w:val="006F1750"/>
    <w:rsid w:val="006F337E"/>
    <w:rsid w:val="007029F4"/>
    <w:rsid w:val="007032C3"/>
    <w:rsid w:val="00711863"/>
    <w:rsid w:val="00713C48"/>
    <w:rsid w:val="00716B4E"/>
    <w:rsid w:val="00720059"/>
    <w:rsid w:val="00720B80"/>
    <w:rsid w:val="00720EB4"/>
    <w:rsid w:val="0072420E"/>
    <w:rsid w:val="00724E6B"/>
    <w:rsid w:val="0072601C"/>
    <w:rsid w:val="00731701"/>
    <w:rsid w:val="007336B7"/>
    <w:rsid w:val="00735275"/>
    <w:rsid w:val="00736DD3"/>
    <w:rsid w:val="00741C72"/>
    <w:rsid w:val="00744459"/>
    <w:rsid w:val="00746B53"/>
    <w:rsid w:val="0075019A"/>
    <w:rsid w:val="007507B4"/>
    <w:rsid w:val="00754B0B"/>
    <w:rsid w:val="00757A36"/>
    <w:rsid w:val="007600DA"/>
    <w:rsid w:val="007604F2"/>
    <w:rsid w:val="00761603"/>
    <w:rsid w:val="00763845"/>
    <w:rsid w:val="00765727"/>
    <w:rsid w:val="00765D86"/>
    <w:rsid w:val="0076685D"/>
    <w:rsid w:val="00766A17"/>
    <w:rsid w:val="00767876"/>
    <w:rsid w:val="007737BB"/>
    <w:rsid w:val="007761BD"/>
    <w:rsid w:val="00776AA2"/>
    <w:rsid w:val="00777048"/>
    <w:rsid w:val="00777179"/>
    <w:rsid w:val="00780555"/>
    <w:rsid w:val="007824F8"/>
    <w:rsid w:val="007852F9"/>
    <w:rsid w:val="00785F0B"/>
    <w:rsid w:val="00786516"/>
    <w:rsid w:val="007871CD"/>
    <w:rsid w:val="00787EE6"/>
    <w:rsid w:val="00791155"/>
    <w:rsid w:val="0079123D"/>
    <w:rsid w:val="0079158B"/>
    <w:rsid w:val="007924EB"/>
    <w:rsid w:val="007941D6"/>
    <w:rsid w:val="00795581"/>
    <w:rsid w:val="00796729"/>
    <w:rsid w:val="007A1398"/>
    <w:rsid w:val="007A384A"/>
    <w:rsid w:val="007A3933"/>
    <w:rsid w:val="007A719D"/>
    <w:rsid w:val="007A734F"/>
    <w:rsid w:val="007A7381"/>
    <w:rsid w:val="007B00BF"/>
    <w:rsid w:val="007B5272"/>
    <w:rsid w:val="007B61F9"/>
    <w:rsid w:val="007B7264"/>
    <w:rsid w:val="007C0B41"/>
    <w:rsid w:val="007C18CC"/>
    <w:rsid w:val="007C6C91"/>
    <w:rsid w:val="007C78DA"/>
    <w:rsid w:val="007D04F1"/>
    <w:rsid w:val="007D2C40"/>
    <w:rsid w:val="007D5CB2"/>
    <w:rsid w:val="007E14CE"/>
    <w:rsid w:val="007E387C"/>
    <w:rsid w:val="007E4E5B"/>
    <w:rsid w:val="007E6DCE"/>
    <w:rsid w:val="007F236C"/>
    <w:rsid w:val="007F3985"/>
    <w:rsid w:val="007F65CC"/>
    <w:rsid w:val="007F7DCD"/>
    <w:rsid w:val="008078D6"/>
    <w:rsid w:val="00814221"/>
    <w:rsid w:val="008154EB"/>
    <w:rsid w:val="008225EE"/>
    <w:rsid w:val="00822E63"/>
    <w:rsid w:val="0082312B"/>
    <w:rsid w:val="00824E01"/>
    <w:rsid w:val="0083301F"/>
    <w:rsid w:val="00833C4F"/>
    <w:rsid w:val="008341C0"/>
    <w:rsid w:val="00835FA6"/>
    <w:rsid w:val="00846F12"/>
    <w:rsid w:val="0085131C"/>
    <w:rsid w:val="00856783"/>
    <w:rsid w:val="00856A4E"/>
    <w:rsid w:val="00857E4A"/>
    <w:rsid w:val="008606CD"/>
    <w:rsid w:val="00861049"/>
    <w:rsid w:val="0086375A"/>
    <w:rsid w:val="008669CD"/>
    <w:rsid w:val="00867043"/>
    <w:rsid w:val="00871353"/>
    <w:rsid w:val="00871F56"/>
    <w:rsid w:val="00876330"/>
    <w:rsid w:val="0087744C"/>
    <w:rsid w:val="00884466"/>
    <w:rsid w:val="00886F2A"/>
    <w:rsid w:val="008870B3"/>
    <w:rsid w:val="00890067"/>
    <w:rsid w:val="008912B9"/>
    <w:rsid w:val="008923D7"/>
    <w:rsid w:val="0089301D"/>
    <w:rsid w:val="00893A4C"/>
    <w:rsid w:val="00895235"/>
    <w:rsid w:val="008961A4"/>
    <w:rsid w:val="008A0DD2"/>
    <w:rsid w:val="008A33E1"/>
    <w:rsid w:val="008A49CE"/>
    <w:rsid w:val="008A508B"/>
    <w:rsid w:val="008A5224"/>
    <w:rsid w:val="008A5E2C"/>
    <w:rsid w:val="008A5E6D"/>
    <w:rsid w:val="008A5E85"/>
    <w:rsid w:val="008B30DF"/>
    <w:rsid w:val="008B45F9"/>
    <w:rsid w:val="008C1257"/>
    <w:rsid w:val="008C553E"/>
    <w:rsid w:val="008D1E42"/>
    <w:rsid w:val="008D274A"/>
    <w:rsid w:val="008D2871"/>
    <w:rsid w:val="008D36DF"/>
    <w:rsid w:val="008D433F"/>
    <w:rsid w:val="008E5898"/>
    <w:rsid w:val="008E6612"/>
    <w:rsid w:val="008E69C1"/>
    <w:rsid w:val="008E77CC"/>
    <w:rsid w:val="008F25AD"/>
    <w:rsid w:val="008F4831"/>
    <w:rsid w:val="008F4E21"/>
    <w:rsid w:val="008F74B9"/>
    <w:rsid w:val="008F79A6"/>
    <w:rsid w:val="008F7F85"/>
    <w:rsid w:val="00900BB6"/>
    <w:rsid w:val="00902915"/>
    <w:rsid w:val="00907ACB"/>
    <w:rsid w:val="009110D4"/>
    <w:rsid w:val="00911FA7"/>
    <w:rsid w:val="009134A8"/>
    <w:rsid w:val="00914603"/>
    <w:rsid w:val="0093049A"/>
    <w:rsid w:val="009353F7"/>
    <w:rsid w:val="0093581B"/>
    <w:rsid w:val="00942592"/>
    <w:rsid w:val="0094679B"/>
    <w:rsid w:val="00947282"/>
    <w:rsid w:val="00950C85"/>
    <w:rsid w:val="00952273"/>
    <w:rsid w:val="00953BC4"/>
    <w:rsid w:val="009548F5"/>
    <w:rsid w:val="00954DCD"/>
    <w:rsid w:val="00955080"/>
    <w:rsid w:val="009562AE"/>
    <w:rsid w:val="00961DF2"/>
    <w:rsid w:val="00962181"/>
    <w:rsid w:val="00963B75"/>
    <w:rsid w:val="009665EB"/>
    <w:rsid w:val="00966AD5"/>
    <w:rsid w:val="009670F5"/>
    <w:rsid w:val="00970547"/>
    <w:rsid w:val="009708D8"/>
    <w:rsid w:val="00971728"/>
    <w:rsid w:val="009738FF"/>
    <w:rsid w:val="009744A7"/>
    <w:rsid w:val="0097485F"/>
    <w:rsid w:val="009762DC"/>
    <w:rsid w:val="00977259"/>
    <w:rsid w:val="0098030B"/>
    <w:rsid w:val="00981DA9"/>
    <w:rsid w:val="00983515"/>
    <w:rsid w:val="00987D63"/>
    <w:rsid w:val="00993E1A"/>
    <w:rsid w:val="00993FE5"/>
    <w:rsid w:val="00995F99"/>
    <w:rsid w:val="009A0EA9"/>
    <w:rsid w:val="009A2A0A"/>
    <w:rsid w:val="009A2C21"/>
    <w:rsid w:val="009A3C86"/>
    <w:rsid w:val="009A437C"/>
    <w:rsid w:val="009A500C"/>
    <w:rsid w:val="009A56BD"/>
    <w:rsid w:val="009B2366"/>
    <w:rsid w:val="009B32E0"/>
    <w:rsid w:val="009B38E0"/>
    <w:rsid w:val="009B78D8"/>
    <w:rsid w:val="009C1209"/>
    <w:rsid w:val="009C1E2E"/>
    <w:rsid w:val="009C22D6"/>
    <w:rsid w:val="009D24C7"/>
    <w:rsid w:val="009D312A"/>
    <w:rsid w:val="009D4B38"/>
    <w:rsid w:val="009D501E"/>
    <w:rsid w:val="009D56B1"/>
    <w:rsid w:val="009E0BC7"/>
    <w:rsid w:val="009E1E82"/>
    <w:rsid w:val="009E1F62"/>
    <w:rsid w:val="009E3DFC"/>
    <w:rsid w:val="009E65EE"/>
    <w:rsid w:val="009E65FD"/>
    <w:rsid w:val="009F2240"/>
    <w:rsid w:val="009F5615"/>
    <w:rsid w:val="009F6D37"/>
    <w:rsid w:val="009F6FFF"/>
    <w:rsid w:val="009F7B10"/>
    <w:rsid w:val="00A019CD"/>
    <w:rsid w:val="00A035DD"/>
    <w:rsid w:val="00A0497F"/>
    <w:rsid w:val="00A05536"/>
    <w:rsid w:val="00A06EE3"/>
    <w:rsid w:val="00A079B1"/>
    <w:rsid w:val="00A13C77"/>
    <w:rsid w:val="00A14D48"/>
    <w:rsid w:val="00A14D9F"/>
    <w:rsid w:val="00A15C02"/>
    <w:rsid w:val="00A1716F"/>
    <w:rsid w:val="00A22135"/>
    <w:rsid w:val="00A251E4"/>
    <w:rsid w:val="00A2644E"/>
    <w:rsid w:val="00A27AC4"/>
    <w:rsid w:val="00A30812"/>
    <w:rsid w:val="00A30910"/>
    <w:rsid w:val="00A31894"/>
    <w:rsid w:val="00A33052"/>
    <w:rsid w:val="00A33341"/>
    <w:rsid w:val="00A336E0"/>
    <w:rsid w:val="00A341B8"/>
    <w:rsid w:val="00A34DAA"/>
    <w:rsid w:val="00A368F8"/>
    <w:rsid w:val="00A3737F"/>
    <w:rsid w:val="00A37858"/>
    <w:rsid w:val="00A40D51"/>
    <w:rsid w:val="00A43BA4"/>
    <w:rsid w:val="00A447A4"/>
    <w:rsid w:val="00A47B89"/>
    <w:rsid w:val="00A5020F"/>
    <w:rsid w:val="00A50530"/>
    <w:rsid w:val="00A507DE"/>
    <w:rsid w:val="00A53C5B"/>
    <w:rsid w:val="00A54A70"/>
    <w:rsid w:val="00A5751E"/>
    <w:rsid w:val="00A61A8A"/>
    <w:rsid w:val="00A6238D"/>
    <w:rsid w:val="00A63957"/>
    <w:rsid w:val="00A63974"/>
    <w:rsid w:val="00A65905"/>
    <w:rsid w:val="00A674A6"/>
    <w:rsid w:val="00A73CB6"/>
    <w:rsid w:val="00A77E56"/>
    <w:rsid w:val="00A827CE"/>
    <w:rsid w:val="00A833F5"/>
    <w:rsid w:val="00A836CB"/>
    <w:rsid w:val="00A855E5"/>
    <w:rsid w:val="00A86BF5"/>
    <w:rsid w:val="00A87556"/>
    <w:rsid w:val="00A903E9"/>
    <w:rsid w:val="00A9187C"/>
    <w:rsid w:val="00A92154"/>
    <w:rsid w:val="00AA202B"/>
    <w:rsid w:val="00AA2958"/>
    <w:rsid w:val="00AA2A92"/>
    <w:rsid w:val="00AA5C29"/>
    <w:rsid w:val="00AA6D7F"/>
    <w:rsid w:val="00AB0983"/>
    <w:rsid w:val="00AB6EFD"/>
    <w:rsid w:val="00AC1773"/>
    <w:rsid w:val="00AC5CEF"/>
    <w:rsid w:val="00AC717C"/>
    <w:rsid w:val="00AD0A9C"/>
    <w:rsid w:val="00AD0EF8"/>
    <w:rsid w:val="00AD2D2F"/>
    <w:rsid w:val="00AD37F6"/>
    <w:rsid w:val="00AD3F25"/>
    <w:rsid w:val="00AD5699"/>
    <w:rsid w:val="00AE3E12"/>
    <w:rsid w:val="00AE7717"/>
    <w:rsid w:val="00AF000F"/>
    <w:rsid w:val="00AF0580"/>
    <w:rsid w:val="00AF333C"/>
    <w:rsid w:val="00AF5229"/>
    <w:rsid w:val="00AF52B6"/>
    <w:rsid w:val="00B000FD"/>
    <w:rsid w:val="00B02740"/>
    <w:rsid w:val="00B0714D"/>
    <w:rsid w:val="00B07238"/>
    <w:rsid w:val="00B075A1"/>
    <w:rsid w:val="00B10312"/>
    <w:rsid w:val="00B116E9"/>
    <w:rsid w:val="00B12084"/>
    <w:rsid w:val="00B13A73"/>
    <w:rsid w:val="00B1497E"/>
    <w:rsid w:val="00B14A3B"/>
    <w:rsid w:val="00B24371"/>
    <w:rsid w:val="00B263CD"/>
    <w:rsid w:val="00B272F1"/>
    <w:rsid w:val="00B3429E"/>
    <w:rsid w:val="00B41A8A"/>
    <w:rsid w:val="00B43AE0"/>
    <w:rsid w:val="00B44A6F"/>
    <w:rsid w:val="00B452CA"/>
    <w:rsid w:val="00B4663F"/>
    <w:rsid w:val="00B47253"/>
    <w:rsid w:val="00B55482"/>
    <w:rsid w:val="00B55BAC"/>
    <w:rsid w:val="00B5653D"/>
    <w:rsid w:val="00B56649"/>
    <w:rsid w:val="00B60CE2"/>
    <w:rsid w:val="00B63F58"/>
    <w:rsid w:val="00B704F6"/>
    <w:rsid w:val="00B72257"/>
    <w:rsid w:val="00B72DB5"/>
    <w:rsid w:val="00B76C26"/>
    <w:rsid w:val="00B76E6A"/>
    <w:rsid w:val="00B77059"/>
    <w:rsid w:val="00B814FC"/>
    <w:rsid w:val="00B82B74"/>
    <w:rsid w:val="00B86634"/>
    <w:rsid w:val="00B90323"/>
    <w:rsid w:val="00B91F04"/>
    <w:rsid w:val="00B959D7"/>
    <w:rsid w:val="00BA176F"/>
    <w:rsid w:val="00BA2D16"/>
    <w:rsid w:val="00BA384B"/>
    <w:rsid w:val="00BA42E8"/>
    <w:rsid w:val="00BA4537"/>
    <w:rsid w:val="00BA5686"/>
    <w:rsid w:val="00BB141F"/>
    <w:rsid w:val="00BB353D"/>
    <w:rsid w:val="00BB58D1"/>
    <w:rsid w:val="00BB5D19"/>
    <w:rsid w:val="00BB60AA"/>
    <w:rsid w:val="00BB7AFA"/>
    <w:rsid w:val="00BC043A"/>
    <w:rsid w:val="00BC6E93"/>
    <w:rsid w:val="00BC7A88"/>
    <w:rsid w:val="00BD0FB0"/>
    <w:rsid w:val="00BD3CDC"/>
    <w:rsid w:val="00BD6069"/>
    <w:rsid w:val="00BE075A"/>
    <w:rsid w:val="00BE1426"/>
    <w:rsid w:val="00BE391A"/>
    <w:rsid w:val="00BE7DF6"/>
    <w:rsid w:val="00BF186C"/>
    <w:rsid w:val="00BF501C"/>
    <w:rsid w:val="00C002C0"/>
    <w:rsid w:val="00C008E7"/>
    <w:rsid w:val="00C055CF"/>
    <w:rsid w:val="00C07790"/>
    <w:rsid w:val="00C10236"/>
    <w:rsid w:val="00C1072E"/>
    <w:rsid w:val="00C11CF1"/>
    <w:rsid w:val="00C1393B"/>
    <w:rsid w:val="00C16F0B"/>
    <w:rsid w:val="00C171A4"/>
    <w:rsid w:val="00C20AE1"/>
    <w:rsid w:val="00C2189A"/>
    <w:rsid w:val="00C35BBC"/>
    <w:rsid w:val="00C4059A"/>
    <w:rsid w:val="00C456C1"/>
    <w:rsid w:val="00C51E5B"/>
    <w:rsid w:val="00C64C28"/>
    <w:rsid w:val="00C67A47"/>
    <w:rsid w:val="00C70E80"/>
    <w:rsid w:val="00C740A0"/>
    <w:rsid w:val="00C74D2F"/>
    <w:rsid w:val="00C816BE"/>
    <w:rsid w:val="00C817E6"/>
    <w:rsid w:val="00C81BE9"/>
    <w:rsid w:val="00C81D4A"/>
    <w:rsid w:val="00C84668"/>
    <w:rsid w:val="00C867E9"/>
    <w:rsid w:val="00C903F9"/>
    <w:rsid w:val="00C918A6"/>
    <w:rsid w:val="00C91EC7"/>
    <w:rsid w:val="00C96646"/>
    <w:rsid w:val="00CA0D53"/>
    <w:rsid w:val="00CA1494"/>
    <w:rsid w:val="00CA1DA1"/>
    <w:rsid w:val="00CA4128"/>
    <w:rsid w:val="00CB5D94"/>
    <w:rsid w:val="00CB7C12"/>
    <w:rsid w:val="00CB7D8D"/>
    <w:rsid w:val="00CC3F65"/>
    <w:rsid w:val="00CD042D"/>
    <w:rsid w:val="00CD0488"/>
    <w:rsid w:val="00CD1520"/>
    <w:rsid w:val="00CD1B49"/>
    <w:rsid w:val="00CD314C"/>
    <w:rsid w:val="00CD3343"/>
    <w:rsid w:val="00CD38CF"/>
    <w:rsid w:val="00CD4CF9"/>
    <w:rsid w:val="00CD626D"/>
    <w:rsid w:val="00CE00E8"/>
    <w:rsid w:val="00CE1100"/>
    <w:rsid w:val="00CE15E3"/>
    <w:rsid w:val="00CE1655"/>
    <w:rsid w:val="00CE26C6"/>
    <w:rsid w:val="00CE334B"/>
    <w:rsid w:val="00CE3E0F"/>
    <w:rsid w:val="00CF1756"/>
    <w:rsid w:val="00CF3295"/>
    <w:rsid w:val="00CF357A"/>
    <w:rsid w:val="00CF7CB5"/>
    <w:rsid w:val="00D006EA"/>
    <w:rsid w:val="00D00EF2"/>
    <w:rsid w:val="00D02C79"/>
    <w:rsid w:val="00D03B7E"/>
    <w:rsid w:val="00D042C6"/>
    <w:rsid w:val="00D10C64"/>
    <w:rsid w:val="00D11985"/>
    <w:rsid w:val="00D1578E"/>
    <w:rsid w:val="00D15E45"/>
    <w:rsid w:val="00D15F71"/>
    <w:rsid w:val="00D207A4"/>
    <w:rsid w:val="00D22148"/>
    <w:rsid w:val="00D24A0B"/>
    <w:rsid w:val="00D25464"/>
    <w:rsid w:val="00D25711"/>
    <w:rsid w:val="00D25902"/>
    <w:rsid w:val="00D26014"/>
    <w:rsid w:val="00D26BFD"/>
    <w:rsid w:val="00D31349"/>
    <w:rsid w:val="00D349F7"/>
    <w:rsid w:val="00D361DF"/>
    <w:rsid w:val="00D37F45"/>
    <w:rsid w:val="00D409A8"/>
    <w:rsid w:val="00D411E7"/>
    <w:rsid w:val="00D419EC"/>
    <w:rsid w:val="00D44FB5"/>
    <w:rsid w:val="00D45DE2"/>
    <w:rsid w:val="00D52E2A"/>
    <w:rsid w:val="00D5622C"/>
    <w:rsid w:val="00D57CCF"/>
    <w:rsid w:val="00D6159D"/>
    <w:rsid w:val="00D62FD6"/>
    <w:rsid w:val="00D652F1"/>
    <w:rsid w:val="00D7085B"/>
    <w:rsid w:val="00D70DF1"/>
    <w:rsid w:val="00D71473"/>
    <w:rsid w:val="00D758BF"/>
    <w:rsid w:val="00D77A84"/>
    <w:rsid w:val="00D82E0A"/>
    <w:rsid w:val="00D855C7"/>
    <w:rsid w:val="00D85675"/>
    <w:rsid w:val="00D86212"/>
    <w:rsid w:val="00D87BA7"/>
    <w:rsid w:val="00D90423"/>
    <w:rsid w:val="00D908BE"/>
    <w:rsid w:val="00D90B93"/>
    <w:rsid w:val="00D9142C"/>
    <w:rsid w:val="00D972D8"/>
    <w:rsid w:val="00DA00C4"/>
    <w:rsid w:val="00DA2459"/>
    <w:rsid w:val="00DB4EB7"/>
    <w:rsid w:val="00DB561F"/>
    <w:rsid w:val="00DC2503"/>
    <w:rsid w:val="00DC4187"/>
    <w:rsid w:val="00DC50D2"/>
    <w:rsid w:val="00DC6C34"/>
    <w:rsid w:val="00DC7361"/>
    <w:rsid w:val="00DD130F"/>
    <w:rsid w:val="00DD1E48"/>
    <w:rsid w:val="00DD2D16"/>
    <w:rsid w:val="00DD7FDD"/>
    <w:rsid w:val="00DE0272"/>
    <w:rsid w:val="00DE0A1B"/>
    <w:rsid w:val="00DE2408"/>
    <w:rsid w:val="00DE255E"/>
    <w:rsid w:val="00DE3BB1"/>
    <w:rsid w:val="00DE5D9C"/>
    <w:rsid w:val="00DE75BA"/>
    <w:rsid w:val="00DF159C"/>
    <w:rsid w:val="00DF510F"/>
    <w:rsid w:val="00DF6517"/>
    <w:rsid w:val="00DF7FF1"/>
    <w:rsid w:val="00E00A05"/>
    <w:rsid w:val="00E06669"/>
    <w:rsid w:val="00E10D2B"/>
    <w:rsid w:val="00E118BF"/>
    <w:rsid w:val="00E11C2B"/>
    <w:rsid w:val="00E17B8E"/>
    <w:rsid w:val="00E22518"/>
    <w:rsid w:val="00E22D7C"/>
    <w:rsid w:val="00E275F2"/>
    <w:rsid w:val="00E33CD3"/>
    <w:rsid w:val="00E34177"/>
    <w:rsid w:val="00E3785A"/>
    <w:rsid w:val="00E409D8"/>
    <w:rsid w:val="00E41EA3"/>
    <w:rsid w:val="00E455DC"/>
    <w:rsid w:val="00E5379E"/>
    <w:rsid w:val="00E5412F"/>
    <w:rsid w:val="00E619D6"/>
    <w:rsid w:val="00E65BB7"/>
    <w:rsid w:val="00E66EFD"/>
    <w:rsid w:val="00E671EA"/>
    <w:rsid w:val="00E67C5A"/>
    <w:rsid w:val="00E719B9"/>
    <w:rsid w:val="00E7774B"/>
    <w:rsid w:val="00E802A5"/>
    <w:rsid w:val="00E849B5"/>
    <w:rsid w:val="00E915B9"/>
    <w:rsid w:val="00E916F7"/>
    <w:rsid w:val="00E93F0B"/>
    <w:rsid w:val="00E940FE"/>
    <w:rsid w:val="00E94144"/>
    <w:rsid w:val="00E95B48"/>
    <w:rsid w:val="00EA0CE7"/>
    <w:rsid w:val="00EA1905"/>
    <w:rsid w:val="00EA565F"/>
    <w:rsid w:val="00EA6D90"/>
    <w:rsid w:val="00EA7A94"/>
    <w:rsid w:val="00EB0523"/>
    <w:rsid w:val="00EB26EE"/>
    <w:rsid w:val="00EB3938"/>
    <w:rsid w:val="00EC5D3B"/>
    <w:rsid w:val="00ED069C"/>
    <w:rsid w:val="00ED1DAB"/>
    <w:rsid w:val="00ED3A8D"/>
    <w:rsid w:val="00ED5F92"/>
    <w:rsid w:val="00ED6940"/>
    <w:rsid w:val="00EE3568"/>
    <w:rsid w:val="00EE6072"/>
    <w:rsid w:val="00EF35A5"/>
    <w:rsid w:val="00EF4638"/>
    <w:rsid w:val="00EF6E3A"/>
    <w:rsid w:val="00EF71D9"/>
    <w:rsid w:val="00F01395"/>
    <w:rsid w:val="00F0330C"/>
    <w:rsid w:val="00F16FAC"/>
    <w:rsid w:val="00F17892"/>
    <w:rsid w:val="00F21B4F"/>
    <w:rsid w:val="00F21E29"/>
    <w:rsid w:val="00F23BD3"/>
    <w:rsid w:val="00F2406E"/>
    <w:rsid w:val="00F2444A"/>
    <w:rsid w:val="00F25B2E"/>
    <w:rsid w:val="00F25D94"/>
    <w:rsid w:val="00F269F0"/>
    <w:rsid w:val="00F32E32"/>
    <w:rsid w:val="00F33495"/>
    <w:rsid w:val="00F33717"/>
    <w:rsid w:val="00F356EE"/>
    <w:rsid w:val="00F40180"/>
    <w:rsid w:val="00F422C2"/>
    <w:rsid w:val="00F439C9"/>
    <w:rsid w:val="00F4480D"/>
    <w:rsid w:val="00F44F9A"/>
    <w:rsid w:val="00F51990"/>
    <w:rsid w:val="00F52558"/>
    <w:rsid w:val="00F54414"/>
    <w:rsid w:val="00F552C7"/>
    <w:rsid w:val="00F560ED"/>
    <w:rsid w:val="00F60DA1"/>
    <w:rsid w:val="00F61ABE"/>
    <w:rsid w:val="00F76364"/>
    <w:rsid w:val="00F777A6"/>
    <w:rsid w:val="00F811FD"/>
    <w:rsid w:val="00F8319C"/>
    <w:rsid w:val="00F84C6D"/>
    <w:rsid w:val="00F86D35"/>
    <w:rsid w:val="00F93298"/>
    <w:rsid w:val="00F95E13"/>
    <w:rsid w:val="00FA0839"/>
    <w:rsid w:val="00FA0D93"/>
    <w:rsid w:val="00FA6811"/>
    <w:rsid w:val="00FB0AFF"/>
    <w:rsid w:val="00FB3997"/>
    <w:rsid w:val="00FB3A9A"/>
    <w:rsid w:val="00FB6259"/>
    <w:rsid w:val="00FB6ED6"/>
    <w:rsid w:val="00FC4DCD"/>
    <w:rsid w:val="00FC4F7E"/>
    <w:rsid w:val="00FC660A"/>
    <w:rsid w:val="00FD014C"/>
    <w:rsid w:val="00FD50DA"/>
    <w:rsid w:val="00FE0242"/>
    <w:rsid w:val="00FE0E36"/>
    <w:rsid w:val="00FE429C"/>
    <w:rsid w:val="00FE53BE"/>
    <w:rsid w:val="00FE5DB4"/>
    <w:rsid w:val="00FE72CB"/>
    <w:rsid w:val="00FF24B4"/>
    <w:rsid w:val="00FF3B49"/>
    <w:rsid w:val="00FF4A2C"/>
    <w:rsid w:val="00FF4B6E"/>
    <w:rsid w:val="00FF4FB6"/>
    <w:rsid w:val="00FF5A33"/>
    <w:rsid w:val="022A4001"/>
    <w:rsid w:val="06BE7E09"/>
    <w:rsid w:val="07F45F97"/>
    <w:rsid w:val="0A526D8D"/>
    <w:rsid w:val="0D892CAE"/>
    <w:rsid w:val="0F24364C"/>
    <w:rsid w:val="0F74265F"/>
    <w:rsid w:val="160A4C3C"/>
    <w:rsid w:val="17A909DD"/>
    <w:rsid w:val="17B16ACD"/>
    <w:rsid w:val="18345CCE"/>
    <w:rsid w:val="192030D9"/>
    <w:rsid w:val="1B313749"/>
    <w:rsid w:val="1DA07700"/>
    <w:rsid w:val="1E451EC6"/>
    <w:rsid w:val="1E683DB2"/>
    <w:rsid w:val="2269581C"/>
    <w:rsid w:val="246611EB"/>
    <w:rsid w:val="24BF54C8"/>
    <w:rsid w:val="2649000C"/>
    <w:rsid w:val="29B246B2"/>
    <w:rsid w:val="2B2D0F70"/>
    <w:rsid w:val="2D866D80"/>
    <w:rsid w:val="2F0156FE"/>
    <w:rsid w:val="2F9300AC"/>
    <w:rsid w:val="31B42473"/>
    <w:rsid w:val="3249428A"/>
    <w:rsid w:val="3461676A"/>
    <w:rsid w:val="38F1425E"/>
    <w:rsid w:val="43D96399"/>
    <w:rsid w:val="45F67622"/>
    <w:rsid w:val="49CE007B"/>
    <w:rsid w:val="4C693FCD"/>
    <w:rsid w:val="58CB260F"/>
    <w:rsid w:val="59E5265E"/>
    <w:rsid w:val="63AF07F5"/>
    <w:rsid w:val="69791811"/>
    <w:rsid w:val="6A5E23FB"/>
    <w:rsid w:val="6B946E83"/>
    <w:rsid w:val="6F604C71"/>
    <w:rsid w:val="77AD00F2"/>
    <w:rsid w:val="7B510878"/>
    <w:rsid w:val="7D091D33"/>
    <w:rsid w:val="7EAB24AE"/>
    <w:rsid w:val="7EDD28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semiHidden="0"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nhideWhenUsed="0" w:uiPriority="0" w:name="Body Text 2"/>
    <w:lsdException w:qFormat="1" w:unhideWhenUsed="0" w:uiPriority="0" w:name="Body Text 3"/>
    <w:lsdException w:qFormat="1" w:unhideWhenUsed="0" w:uiPriority="0" w:name="Body Text Indent 2"/>
    <w:lsdException w:uiPriority="0" w:semiHidden="0"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46"/>
    <w:qFormat/>
    <w:uiPriority w:val="0"/>
    <w:pPr>
      <w:keepNext/>
      <w:keepLines/>
      <w:spacing w:before="340" w:after="330" w:line="578" w:lineRule="auto"/>
      <w:jc w:val="center"/>
      <w:outlineLvl w:val="0"/>
    </w:pPr>
    <w:rPr>
      <w:rFonts w:cstheme="minorBidi"/>
      <w:b/>
      <w:bCs/>
      <w:kern w:val="44"/>
      <w:sz w:val="32"/>
      <w:szCs w:val="44"/>
    </w:rPr>
  </w:style>
  <w:style w:type="paragraph" w:styleId="3">
    <w:name w:val="heading 2"/>
    <w:basedOn w:val="1"/>
    <w:next w:val="1"/>
    <w:link w:val="47"/>
    <w:unhideWhenUsed/>
    <w:qFormat/>
    <w:uiPriority w:val="0"/>
    <w:pPr>
      <w:keepNext/>
      <w:keepLines/>
      <w:jc w:val="center"/>
      <w:outlineLvl w:val="1"/>
    </w:pPr>
    <w:rPr>
      <w:rFonts w:cstheme="majorBidi"/>
      <w:b/>
      <w:bCs/>
      <w:sz w:val="28"/>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5">
    <w:name w:val="heading 4"/>
    <w:basedOn w:val="1"/>
    <w:next w:val="1"/>
    <w:link w:val="4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0"/>
    <w:semiHidden/>
    <w:unhideWhenUsed/>
    <w:qFormat/>
    <w:uiPriority w:val="9"/>
    <w:pPr>
      <w:keepNext/>
      <w:keepLines/>
      <w:spacing w:before="280" w:after="290" w:line="376" w:lineRule="auto"/>
      <w:outlineLvl w:val="4"/>
    </w:pPr>
    <w:rPr>
      <w:b/>
      <w:bCs/>
      <w:sz w:val="28"/>
      <w:szCs w:val="28"/>
    </w:rPr>
  </w:style>
  <w:style w:type="paragraph" w:styleId="7">
    <w:name w:val="heading 7"/>
    <w:next w:val="8"/>
    <w:link w:val="51"/>
    <w:unhideWhenUsed/>
    <w:qFormat/>
    <w:uiPriority w:val="9"/>
    <w:pPr>
      <w:numPr>
        <w:ilvl w:val="0"/>
        <w:numId w:val="1"/>
      </w:numPr>
      <w:outlineLvl w:val="6"/>
    </w:pPr>
    <w:rPr>
      <w:rFonts w:ascii="Times New Roman" w:hAnsi="Times New Roman" w:eastAsia="宋体" w:cstheme="minorBidi"/>
      <w:kern w:val="2"/>
      <w:sz w:val="21"/>
      <w:szCs w:val="21"/>
      <w:lang w:val="en-US" w:eastAsia="zh-CN" w:bidi="ar-SA"/>
    </w:rPr>
  </w:style>
  <w:style w:type="paragraph" w:styleId="9">
    <w:name w:val="heading 9"/>
    <w:basedOn w:val="8"/>
    <w:next w:val="8"/>
    <w:link w:val="52"/>
    <w:unhideWhenUsed/>
    <w:qFormat/>
    <w:uiPriority w:val="9"/>
    <w:pPr>
      <w:numPr>
        <w:ilvl w:val="0"/>
        <w:numId w:val="2"/>
      </w:numPr>
      <w:outlineLvl w:val="8"/>
    </w:pPr>
    <w:rPr>
      <w:rFonts w:ascii="Times New Roman" w:hAnsi="Times New Roman" w:cs="Times New Roman"/>
      <w:sz w:val="21"/>
      <w:szCs w:val="21"/>
    </w:rPr>
  </w:style>
  <w:style w:type="character" w:default="1" w:styleId="40">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10">
    <w:name w:val="toc 7"/>
    <w:basedOn w:val="1"/>
    <w:next w:val="1"/>
    <w:unhideWhenUsed/>
    <w:qFormat/>
    <w:uiPriority w:val="39"/>
    <w:pPr>
      <w:ind w:left="1440"/>
      <w:jc w:val="left"/>
    </w:pPr>
    <w:rPr>
      <w:rFonts w:asciiTheme="minorHAnsi" w:hAnsiTheme="minorHAnsi" w:cstheme="minorHAnsi"/>
      <w:sz w:val="18"/>
      <w:szCs w:val="18"/>
    </w:rPr>
  </w:style>
  <w:style w:type="paragraph" w:styleId="11">
    <w:name w:val="Normal Indent"/>
    <w:basedOn w:val="1"/>
    <w:link w:val="53"/>
    <w:qFormat/>
    <w:uiPriority w:val="0"/>
    <w:pPr>
      <w:spacing w:line="300" w:lineRule="auto"/>
      <w:ind w:firstLine="200" w:firstLineChars="200"/>
    </w:pPr>
    <w:rPr>
      <w:rFonts w:eastAsia="仿宋_GB2312"/>
      <w:szCs w:val="24"/>
    </w:rPr>
  </w:style>
  <w:style w:type="paragraph" w:styleId="12">
    <w:name w:val="Document Map"/>
    <w:basedOn w:val="1"/>
    <w:link w:val="54"/>
    <w:qFormat/>
    <w:uiPriority w:val="0"/>
    <w:pPr>
      <w:shd w:val="clear" w:color="auto" w:fill="000080"/>
    </w:pPr>
    <w:rPr>
      <w:szCs w:val="24"/>
    </w:rPr>
  </w:style>
  <w:style w:type="paragraph" w:styleId="13">
    <w:name w:val="annotation text"/>
    <w:basedOn w:val="1"/>
    <w:link w:val="55"/>
    <w:unhideWhenUsed/>
    <w:qFormat/>
    <w:uiPriority w:val="99"/>
    <w:pPr>
      <w:jc w:val="left"/>
    </w:pPr>
    <w:rPr>
      <w:rFonts w:asciiTheme="minorHAnsi" w:hAnsiTheme="minorHAnsi" w:eastAsiaTheme="minorEastAsia" w:cstheme="minorBidi"/>
      <w:szCs w:val="22"/>
    </w:rPr>
  </w:style>
  <w:style w:type="paragraph" w:styleId="14">
    <w:name w:val="Body Text 3"/>
    <w:basedOn w:val="1"/>
    <w:link w:val="56"/>
    <w:semiHidden/>
    <w:qFormat/>
    <w:uiPriority w:val="0"/>
    <w:rPr>
      <w:rFonts w:ascii="宋体" w:hAnsi="宋体"/>
      <w:color w:val="000000"/>
      <w:szCs w:val="28"/>
    </w:rPr>
  </w:style>
  <w:style w:type="paragraph" w:styleId="15">
    <w:name w:val="Body Text"/>
    <w:basedOn w:val="1"/>
    <w:link w:val="57"/>
    <w:qFormat/>
    <w:uiPriority w:val="0"/>
    <w:pPr>
      <w:spacing w:line="400" w:lineRule="atLeast"/>
      <w:jc w:val="center"/>
    </w:pPr>
    <w:rPr>
      <w:rFonts w:ascii="宋体" w:hAnsi="宋体"/>
      <w:sz w:val="28"/>
      <w:szCs w:val="24"/>
    </w:rPr>
  </w:style>
  <w:style w:type="paragraph" w:styleId="16">
    <w:name w:val="Body Text Indent"/>
    <w:basedOn w:val="1"/>
    <w:link w:val="58"/>
    <w:semiHidden/>
    <w:qFormat/>
    <w:uiPriority w:val="0"/>
    <w:pPr>
      <w:ind w:firstLine="420" w:firstLineChars="200"/>
    </w:pPr>
    <w:rPr>
      <w:rFonts w:ascii="宋体" w:hAnsi="宋体"/>
      <w:color w:val="000000"/>
      <w:szCs w:val="28"/>
    </w:rPr>
  </w:style>
  <w:style w:type="paragraph" w:styleId="17">
    <w:name w:val="toc 5"/>
    <w:basedOn w:val="1"/>
    <w:next w:val="1"/>
    <w:unhideWhenUsed/>
    <w:qFormat/>
    <w:uiPriority w:val="39"/>
    <w:pPr>
      <w:ind w:left="960"/>
      <w:jc w:val="left"/>
    </w:pPr>
    <w:rPr>
      <w:rFonts w:asciiTheme="minorHAnsi" w:hAnsiTheme="minorHAnsi" w:cstheme="minorHAnsi"/>
      <w:sz w:val="18"/>
      <w:szCs w:val="18"/>
    </w:rPr>
  </w:style>
  <w:style w:type="paragraph" w:styleId="18">
    <w:name w:val="toc 3"/>
    <w:basedOn w:val="1"/>
    <w:next w:val="1"/>
    <w:unhideWhenUsed/>
    <w:qFormat/>
    <w:uiPriority w:val="39"/>
    <w:pPr>
      <w:ind w:left="480"/>
      <w:jc w:val="left"/>
    </w:pPr>
    <w:rPr>
      <w:rFonts w:asciiTheme="minorHAnsi" w:hAnsiTheme="minorHAnsi" w:cstheme="minorHAnsi"/>
      <w:i/>
      <w:iCs/>
      <w:sz w:val="20"/>
      <w:szCs w:val="20"/>
    </w:rPr>
  </w:style>
  <w:style w:type="paragraph" w:styleId="19">
    <w:name w:val="Plain Text"/>
    <w:basedOn w:val="1"/>
    <w:link w:val="59"/>
    <w:semiHidden/>
    <w:qFormat/>
    <w:uiPriority w:val="0"/>
    <w:rPr>
      <w:rFonts w:ascii="宋体" w:hAnsi="Courier New" w:cs="Courier New"/>
    </w:rPr>
  </w:style>
  <w:style w:type="paragraph" w:styleId="20">
    <w:name w:val="toc 8"/>
    <w:basedOn w:val="1"/>
    <w:next w:val="1"/>
    <w:unhideWhenUsed/>
    <w:uiPriority w:val="39"/>
    <w:pPr>
      <w:ind w:left="1680"/>
      <w:jc w:val="left"/>
    </w:pPr>
    <w:rPr>
      <w:rFonts w:asciiTheme="minorHAnsi" w:hAnsiTheme="minorHAnsi" w:cstheme="minorHAnsi"/>
      <w:sz w:val="18"/>
      <w:szCs w:val="18"/>
    </w:rPr>
  </w:style>
  <w:style w:type="paragraph" w:styleId="21">
    <w:name w:val="Date"/>
    <w:basedOn w:val="1"/>
    <w:next w:val="1"/>
    <w:link w:val="60"/>
    <w:unhideWhenUsed/>
    <w:qFormat/>
    <w:uiPriority w:val="0"/>
    <w:pPr>
      <w:ind w:left="100" w:leftChars="2500"/>
    </w:pPr>
  </w:style>
  <w:style w:type="paragraph" w:styleId="22">
    <w:name w:val="Body Text Indent 2"/>
    <w:basedOn w:val="1"/>
    <w:link w:val="61"/>
    <w:semiHidden/>
    <w:qFormat/>
    <w:uiPriority w:val="0"/>
    <w:pPr>
      <w:ind w:firstLine="538" w:firstLineChars="192"/>
    </w:pPr>
    <w:rPr>
      <w:sz w:val="28"/>
      <w:szCs w:val="24"/>
    </w:rPr>
  </w:style>
  <w:style w:type="paragraph" w:styleId="23">
    <w:name w:val="Balloon Text"/>
    <w:basedOn w:val="1"/>
    <w:link w:val="62"/>
    <w:unhideWhenUsed/>
    <w:qFormat/>
    <w:uiPriority w:val="0"/>
    <w:rPr>
      <w:sz w:val="18"/>
      <w:szCs w:val="18"/>
    </w:rPr>
  </w:style>
  <w:style w:type="paragraph" w:styleId="24">
    <w:name w:val="footer"/>
    <w:basedOn w:val="1"/>
    <w:link w:val="63"/>
    <w:unhideWhenUsed/>
    <w:qFormat/>
    <w:uiPriority w:val="0"/>
    <w:pPr>
      <w:tabs>
        <w:tab w:val="center" w:pos="4153"/>
        <w:tab w:val="right" w:pos="8306"/>
      </w:tabs>
      <w:snapToGrid w:val="0"/>
      <w:jc w:val="left"/>
    </w:pPr>
    <w:rPr>
      <w:sz w:val="18"/>
      <w:szCs w:val="18"/>
    </w:rPr>
  </w:style>
  <w:style w:type="paragraph" w:styleId="25">
    <w:name w:val="header"/>
    <w:basedOn w:val="1"/>
    <w:link w:val="64"/>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pPr>
      <w:spacing w:before="120" w:after="120"/>
      <w:jc w:val="left"/>
    </w:pPr>
    <w:rPr>
      <w:rFonts w:asciiTheme="minorHAnsi" w:hAnsiTheme="minorHAnsi" w:cstheme="minorHAnsi"/>
      <w:b/>
      <w:bCs/>
      <w:caps/>
      <w:sz w:val="20"/>
      <w:szCs w:val="20"/>
    </w:rPr>
  </w:style>
  <w:style w:type="paragraph" w:styleId="27">
    <w:name w:val="toc 4"/>
    <w:basedOn w:val="1"/>
    <w:next w:val="1"/>
    <w:unhideWhenUsed/>
    <w:uiPriority w:val="39"/>
    <w:pPr>
      <w:ind w:left="720"/>
      <w:jc w:val="left"/>
    </w:pPr>
    <w:rPr>
      <w:rFonts w:asciiTheme="minorHAnsi" w:hAnsiTheme="minorHAnsi" w:cstheme="minorHAnsi"/>
      <w:sz w:val="18"/>
      <w:szCs w:val="18"/>
    </w:rPr>
  </w:style>
  <w:style w:type="paragraph" w:styleId="28">
    <w:name w:val="Subtitle"/>
    <w:basedOn w:val="1"/>
    <w:next w:val="1"/>
    <w:link w:val="65"/>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9">
    <w:name w:val="toc 6"/>
    <w:basedOn w:val="1"/>
    <w:next w:val="1"/>
    <w:unhideWhenUsed/>
    <w:qFormat/>
    <w:uiPriority w:val="39"/>
    <w:pPr>
      <w:ind w:left="1200"/>
      <w:jc w:val="left"/>
    </w:pPr>
    <w:rPr>
      <w:rFonts w:asciiTheme="minorHAnsi" w:hAnsiTheme="minorHAnsi" w:cstheme="minorHAnsi"/>
      <w:sz w:val="18"/>
      <w:szCs w:val="18"/>
    </w:rPr>
  </w:style>
  <w:style w:type="paragraph" w:styleId="30">
    <w:name w:val="Body Text Indent 3"/>
    <w:basedOn w:val="1"/>
    <w:link w:val="66"/>
    <w:unhideWhenUsed/>
    <w:uiPriority w:val="0"/>
    <w:pPr>
      <w:spacing w:after="120"/>
      <w:ind w:left="420" w:leftChars="200"/>
    </w:pPr>
    <w:rPr>
      <w:sz w:val="16"/>
      <w:szCs w:val="16"/>
    </w:rPr>
  </w:style>
  <w:style w:type="paragraph" w:styleId="31">
    <w:name w:val="toc 2"/>
    <w:basedOn w:val="1"/>
    <w:next w:val="1"/>
    <w:unhideWhenUsed/>
    <w:qFormat/>
    <w:uiPriority w:val="39"/>
    <w:pPr>
      <w:ind w:left="240"/>
      <w:jc w:val="left"/>
    </w:pPr>
    <w:rPr>
      <w:rFonts w:asciiTheme="minorHAnsi" w:hAnsiTheme="minorHAnsi" w:cstheme="minorHAnsi"/>
      <w:smallCaps/>
      <w:sz w:val="20"/>
      <w:szCs w:val="20"/>
    </w:rPr>
  </w:style>
  <w:style w:type="paragraph" w:styleId="32">
    <w:name w:val="toc 9"/>
    <w:basedOn w:val="1"/>
    <w:next w:val="1"/>
    <w:unhideWhenUsed/>
    <w:uiPriority w:val="39"/>
    <w:pPr>
      <w:ind w:left="1920"/>
      <w:jc w:val="left"/>
    </w:pPr>
    <w:rPr>
      <w:rFonts w:asciiTheme="minorHAnsi" w:hAnsiTheme="minorHAnsi" w:cstheme="minorHAnsi"/>
      <w:sz w:val="18"/>
      <w:szCs w:val="18"/>
    </w:rPr>
  </w:style>
  <w:style w:type="paragraph" w:styleId="33">
    <w:name w:val="Body Text 2"/>
    <w:basedOn w:val="1"/>
    <w:link w:val="67"/>
    <w:semiHidden/>
    <w:uiPriority w:val="0"/>
    <w:pPr>
      <w:spacing w:after="120" w:line="480" w:lineRule="auto"/>
    </w:pPr>
    <w:rPr>
      <w:rFonts w:ascii="宋体" w:hAnsi="宋体"/>
      <w:sz w:val="28"/>
      <w:szCs w:val="24"/>
    </w:rPr>
  </w:style>
  <w:style w:type="paragraph" w:styleId="34">
    <w:name w:val="Normal (Web)"/>
    <w:basedOn w:val="1"/>
    <w:qFormat/>
    <w:uiPriority w:val="99"/>
    <w:rPr>
      <w:rFonts w:ascii="宋体" w:hAnsi="宋体"/>
      <w:szCs w:val="24"/>
    </w:rPr>
  </w:style>
  <w:style w:type="paragraph" w:styleId="35">
    <w:name w:val="annotation subject"/>
    <w:basedOn w:val="13"/>
    <w:next w:val="13"/>
    <w:link w:val="68"/>
    <w:unhideWhenUsed/>
    <w:qFormat/>
    <w:uiPriority w:val="0"/>
    <w:rPr>
      <w:b/>
      <w:bCs/>
    </w:rPr>
  </w:style>
  <w:style w:type="table" w:styleId="37">
    <w:name w:val="Table Grid"/>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8">
    <w:name w:val="Light List Accent 6"/>
    <w:basedOn w:val="36"/>
    <w:uiPriority w:val="61"/>
    <w:rPr>
      <w:rFonts w:ascii="Times New Roman" w:hAnsi="Times New Roman" w:eastAsia="宋体" w:cs="Times New Roman"/>
    </w:rPr>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39">
    <w:name w:val="Light Grid Accent 3"/>
    <w:basedOn w:val="36"/>
    <w:uiPriority w:val="62"/>
    <w:rPr>
      <w:rFonts w:ascii="Times New Roman" w:hAnsi="Times New Roman" w:eastAsia="宋体" w:cs="Times New Roman"/>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ascii="Cambria" w:hAnsi="Cambria" w:eastAsia="宋体" w:cs="Times New Roman"/>
        <w:b/>
        <w:bCs/>
      </w:rPr>
      <w:tblPr/>
      <w:tcPr>
        <w:tcBorders>
          <w:top w:val="single" w:color="9BBB59" w:sz="8" w:space="0"/>
          <w:left w:val="single" w:color="9BBB59" w:sz="8" w:space="0"/>
          <w:bottom w:val="single" w:color="9BBB59" w:sz="18" w:space="0"/>
          <w:right w:val="single" w:color="9BBB59" w:sz="8" w:space="0"/>
          <w:insideH w:val="nil"/>
          <w:insideV w:val="single" w:sz="8" w:space="0"/>
        </w:tcBorders>
      </w:tcPr>
    </w:tblStylePr>
    <w:tblStylePr w:type="lastRow">
      <w:pPr>
        <w:spacing w:before="0" w:after="0" w:line="240" w:lineRule="auto"/>
      </w:pPr>
      <w:rPr>
        <w:rFonts w:ascii="Cambria" w:hAnsi="Cambria" w:eastAsia="宋体"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character" w:styleId="41">
    <w:name w:val="Strong"/>
    <w:qFormat/>
    <w:uiPriority w:val="0"/>
    <w:rPr>
      <w:b/>
      <w:bCs/>
    </w:rPr>
  </w:style>
  <w:style w:type="character" w:styleId="42">
    <w:name w:val="FollowedHyperlink"/>
    <w:basedOn w:val="40"/>
    <w:semiHidden/>
    <w:unhideWhenUsed/>
    <w:qFormat/>
    <w:uiPriority w:val="99"/>
    <w:rPr>
      <w:color w:val="800080"/>
      <w:u w:val="single"/>
    </w:rPr>
  </w:style>
  <w:style w:type="character" w:styleId="43">
    <w:name w:val="Emphasis"/>
    <w:basedOn w:val="40"/>
    <w:qFormat/>
    <w:uiPriority w:val="20"/>
    <w:rPr>
      <w:color w:val="CC0000"/>
      <w:sz w:val="24"/>
      <w:szCs w:val="24"/>
    </w:rPr>
  </w:style>
  <w:style w:type="character" w:styleId="44">
    <w:name w:val="Hyperlink"/>
    <w:unhideWhenUsed/>
    <w:qFormat/>
    <w:uiPriority w:val="99"/>
    <w:rPr>
      <w:color w:val="0000FF"/>
      <w:u w:val="single"/>
    </w:rPr>
  </w:style>
  <w:style w:type="character" w:styleId="45">
    <w:name w:val="annotation reference"/>
    <w:basedOn w:val="40"/>
    <w:unhideWhenUsed/>
    <w:qFormat/>
    <w:uiPriority w:val="0"/>
    <w:rPr>
      <w:sz w:val="21"/>
      <w:szCs w:val="21"/>
    </w:rPr>
  </w:style>
  <w:style w:type="character" w:customStyle="1" w:styleId="46">
    <w:name w:val="标题 1 字符"/>
    <w:basedOn w:val="40"/>
    <w:link w:val="2"/>
    <w:qFormat/>
    <w:uiPriority w:val="0"/>
    <w:rPr>
      <w:rFonts w:ascii="Times New Roman" w:hAnsi="Times New Roman" w:eastAsia="宋体"/>
      <w:b/>
      <w:bCs/>
      <w:kern w:val="44"/>
      <w:sz w:val="32"/>
      <w:szCs w:val="44"/>
    </w:rPr>
  </w:style>
  <w:style w:type="character" w:customStyle="1" w:styleId="47">
    <w:name w:val="标题 2 字符"/>
    <w:basedOn w:val="40"/>
    <w:link w:val="3"/>
    <w:qFormat/>
    <w:uiPriority w:val="0"/>
    <w:rPr>
      <w:rFonts w:ascii="Times New Roman" w:hAnsi="Times New Roman" w:eastAsia="宋体" w:cstheme="majorBidi"/>
      <w:b/>
      <w:bCs/>
      <w:kern w:val="2"/>
      <w:sz w:val="28"/>
      <w:szCs w:val="32"/>
    </w:rPr>
  </w:style>
  <w:style w:type="character" w:customStyle="1" w:styleId="48">
    <w:name w:val="标题 3 字符"/>
    <w:basedOn w:val="40"/>
    <w:link w:val="4"/>
    <w:qFormat/>
    <w:uiPriority w:val="9"/>
    <w:rPr>
      <w:b/>
      <w:bCs/>
      <w:sz w:val="32"/>
      <w:szCs w:val="32"/>
    </w:rPr>
  </w:style>
  <w:style w:type="character" w:customStyle="1" w:styleId="49">
    <w:name w:val="标题 4 字符"/>
    <w:basedOn w:val="40"/>
    <w:link w:val="5"/>
    <w:semiHidden/>
    <w:qFormat/>
    <w:uiPriority w:val="9"/>
    <w:rPr>
      <w:rFonts w:asciiTheme="majorHAnsi" w:hAnsiTheme="majorHAnsi" w:eastAsiaTheme="majorEastAsia" w:cstheme="majorBidi"/>
      <w:b/>
      <w:bCs/>
      <w:kern w:val="2"/>
      <w:sz w:val="28"/>
      <w:szCs w:val="28"/>
    </w:rPr>
  </w:style>
  <w:style w:type="character" w:customStyle="1" w:styleId="50">
    <w:name w:val="标题 5 字符"/>
    <w:basedOn w:val="40"/>
    <w:link w:val="6"/>
    <w:semiHidden/>
    <w:qFormat/>
    <w:uiPriority w:val="9"/>
    <w:rPr>
      <w:rFonts w:ascii="Times New Roman" w:hAnsi="Times New Roman" w:eastAsia="宋体" w:cs="Times New Roman"/>
      <w:b/>
      <w:bCs/>
      <w:kern w:val="2"/>
      <w:sz w:val="28"/>
      <w:szCs w:val="28"/>
    </w:rPr>
  </w:style>
  <w:style w:type="character" w:customStyle="1" w:styleId="51">
    <w:name w:val="标题 7 字符"/>
    <w:basedOn w:val="40"/>
    <w:link w:val="7"/>
    <w:qFormat/>
    <w:uiPriority w:val="9"/>
    <w:rPr>
      <w:rFonts w:ascii="Times New Roman" w:hAnsi="Times New Roman" w:eastAsia="宋体"/>
      <w:kern w:val="2"/>
      <w:sz w:val="21"/>
      <w:szCs w:val="21"/>
    </w:rPr>
  </w:style>
  <w:style w:type="character" w:customStyle="1" w:styleId="52">
    <w:name w:val="标题 9 字符"/>
    <w:basedOn w:val="40"/>
    <w:link w:val="9"/>
    <w:qFormat/>
    <w:uiPriority w:val="9"/>
    <w:rPr>
      <w:rFonts w:ascii="Times New Roman" w:hAnsi="Times New Roman" w:eastAsia="宋体" w:cs="Times New Roman"/>
      <w:color w:val="000000"/>
      <w:sz w:val="21"/>
      <w:szCs w:val="21"/>
    </w:rPr>
  </w:style>
  <w:style w:type="character" w:customStyle="1" w:styleId="53">
    <w:name w:val="正文缩进 字符"/>
    <w:link w:val="11"/>
    <w:qFormat/>
    <w:uiPriority w:val="0"/>
    <w:rPr>
      <w:rFonts w:ascii="Times New Roman" w:hAnsi="Times New Roman" w:eastAsia="仿宋_GB2312" w:cs="Times New Roman"/>
      <w:kern w:val="2"/>
      <w:sz w:val="24"/>
      <w:szCs w:val="24"/>
    </w:rPr>
  </w:style>
  <w:style w:type="character" w:customStyle="1" w:styleId="54">
    <w:name w:val="文档结构图 字符"/>
    <w:basedOn w:val="40"/>
    <w:link w:val="12"/>
    <w:qFormat/>
    <w:uiPriority w:val="0"/>
    <w:rPr>
      <w:rFonts w:ascii="Times New Roman" w:hAnsi="Times New Roman" w:eastAsia="宋体" w:cs="Times New Roman"/>
      <w:kern w:val="2"/>
      <w:sz w:val="24"/>
      <w:szCs w:val="24"/>
      <w:shd w:val="clear" w:color="auto" w:fill="000080"/>
    </w:rPr>
  </w:style>
  <w:style w:type="character" w:customStyle="1" w:styleId="55">
    <w:name w:val="批注文字 字符"/>
    <w:basedOn w:val="40"/>
    <w:link w:val="13"/>
    <w:qFormat/>
    <w:uiPriority w:val="99"/>
  </w:style>
  <w:style w:type="character" w:customStyle="1" w:styleId="56">
    <w:name w:val="正文文本 3 字符"/>
    <w:basedOn w:val="40"/>
    <w:link w:val="14"/>
    <w:semiHidden/>
    <w:qFormat/>
    <w:uiPriority w:val="0"/>
    <w:rPr>
      <w:rFonts w:ascii="宋体" w:hAnsi="宋体" w:eastAsia="宋体" w:cs="Times New Roman"/>
      <w:color w:val="000000"/>
      <w:kern w:val="2"/>
      <w:sz w:val="24"/>
      <w:szCs w:val="28"/>
    </w:rPr>
  </w:style>
  <w:style w:type="character" w:customStyle="1" w:styleId="57">
    <w:name w:val="正文文本 字符"/>
    <w:basedOn w:val="40"/>
    <w:link w:val="15"/>
    <w:qFormat/>
    <w:uiPriority w:val="0"/>
    <w:rPr>
      <w:rFonts w:ascii="宋体" w:hAnsi="宋体" w:eastAsia="宋体" w:cs="Times New Roman"/>
      <w:kern w:val="2"/>
      <w:sz w:val="28"/>
      <w:szCs w:val="24"/>
    </w:rPr>
  </w:style>
  <w:style w:type="character" w:customStyle="1" w:styleId="58">
    <w:name w:val="正文文本缩进 字符"/>
    <w:basedOn w:val="40"/>
    <w:link w:val="16"/>
    <w:semiHidden/>
    <w:uiPriority w:val="0"/>
    <w:rPr>
      <w:rFonts w:ascii="宋体" w:hAnsi="宋体" w:eastAsia="宋体" w:cs="Times New Roman"/>
      <w:color w:val="000000"/>
      <w:kern w:val="2"/>
      <w:sz w:val="24"/>
      <w:szCs w:val="28"/>
    </w:rPr>
  </w:style>
  <w:style w:type="character" w:customStyle="1" w:styleId="59">
    <w:name w:val="纯文本 字符"/>
    <w:basedOn w:val="40"/>
    <w:link w:val="19"/>
    <w:semiHidden/>
    <w:qFormat/>
    <w:uiPriority w:val="0"/>
    <w:rPr>
      <w:rFonts w:ascii="宋体" w:hAnsi="Courier New" w:eastAsia="宋体" w:cs="Courier New"/>
      <w:kern w:val="2"/>
      <w:sz w:val="24"/>
      <w:szCs w:val="21"/>
    </w:rPr>
  </w:style>
  <w:style w:type="character" w:customStyle="1" w:styleId="60">
    <w:name w:val="日期 字符"/>
    <w:basedOn w:val="40"/>
    <w:link w:val="21"/>
    <w:semiHidden/>
    <w:qFormat/>
    <w:uiPriority w:val="99"/>
    <w:rPr>
      <w:rFonts w:ascii="Times New Roman" w:hAnsi="Times New Roman" w:eastAsia="宋体" w:cs="Times New Roman"/>
      <w:szCs w:val="21"/>
    </w:rPr>
  </w:style>
  <w:style w:type="character" w:customStyle="1" w:styleId="61">
    <w:name w:val="正文文本缩进 2 字符"/>
    <w:basedOn w:val="40"/>
    <w:link w:val="22"/>
    <w:semiHidden/>
    <w:qFormat/>
    <w:uiPriority w:val="0"/>
    <w:rPr>
      <w:rFonts w:ascii="Times New Roman" w:hAnsi="Times New Roman" w:eastAsia="宋体" w:cs="Times New Roman"/>
      <w:kern w:val="2"/>
      <w:sz w:val="28"/>
      <w:szCs w:val="24"/>
    </w:rPr>
  </w:style>
  <w:style w:type="character" w:customStyle="1" w:styleId="62">
    <w:name w:val="批注框文本 字符"/>
    <w:basedOn w:val="40"/>
    <w:link w:val="23"/>
    <w:qFormat/>
    <w:uiPriority w:val="0"/>
    <w:rPr>
      <w:rFonts w:ascii="Times New Roman" w:hAnsi="Times New Roman" w:eastAsia="宋体" w:cs="Times New Roman"/>
      <w:sz w:val="18"/>
      <w:szCs w:val="18"/>
    </w:rPr>
  </w:style>
  <w:style w:type="character" w:customStyle="1" w:styleId="63">
    <w:name w:val="页脚 字符"/>
    <w:basedOn w:val="40"/>
    <w:link w:val="24"/>
    <w:qFormat/>
    <w:uiPriority w:val="0"/>
    <w:rPr>
      <w:rFonts w:ascii="Times New Roman" w:hAnsi="Times New Roman" w:eastAsia="宋体" w:cs="Times New Roman"/>
      <w:sz w:val="18"/>
      <w:szCs w:val="18"/>
    </w:rPr>
  </w:style>
  <w:style w:type="character" w:customStyle="1" w:styleId="64">
    <w:name w:val="页眉 字符"/>
    <w:basedOn w:val="40"/>
    <w:link w:val="25"/>
    <w:qFormat/>
    <w:uiPriority w:val="0"/>
    <w:rPr>
      <w:rFonts w:ascii="Times New Roman" w:hAnsi="Times New Roman" w:eastAsia="宋体" w:cs="Times New Roman"/>
      <w:sz w:val="18"/>
      <w:szCs w:val="18"/>
    </w:rPr>
  </w:style>
  <w:style w:type="character" w:customStyle="1" w:styleId="65">
    <w:name w:val="副标题 字符"/>
    <w:basedOn w:val="40"/>
    <w:link w:val="28"/>
    <w:qFormat/>
    <w:uiPriority w:val="11"/>
    <w:rPr>
      <w:rFonts w:eastAsia="宋体" w:asciiTheme="majorHAnsi" w:hAnsiTheme="majorHAnsi" w:cstheme="majorBidi"/>
      <w:b/>
      <w:bCs/>
      <w:kern w:val="28"/>
      <w:sz w:val="32"/>
      <w:szCs w:val="32"/>
    </w:rPr>
  </w:style>
  <w:style w:type="character" w:customStyle="1" w:styleId="66">
    <w:name w:val="正文文本缩进 3 字符"/>
    <w:basedOn w:val="40"/>
    <w:link w:val="30"/>
    <w:qFormat/>
    <w:uiPriority w:val="0"/>
    <w:rPr>
      <w:rFonts w:ascii="Times New Roman" w:hAnsi="Times New Roman" w:eastAsia="宋体" w:cs="Times New Roman"/>
      <w:kern w:val="2"/>
      <w:sz w:val="16"/>
      <w:szCs w:val="16"/>
    </w:rPr>
  </w:style>
  <w:style w:type="character" w:customStyle="1" w:styleId="67">
    <w:name w:val="正文文本 2 字符"/>
    <w:basedOn w:val="40"/>
    <w:link w:val="33"/>
    <w:semiHidden/>
    <w:qFormat/>
    <w:uiPriority w:val="0"/>
    <w:rPr>
      <w:rFonts w:ascii="宋体" w:hAnsi="宋体" w:eastAsia="宋体" w:cs="Times New Roman"/>
      <w:kern w:val="2"/>
      <w:sz w:val="28"/>
      <w:szCs w:val="24"/>
    </w:rPr>
  </w:style>
  <w:style w:type="character" w:customStyle="1" w:styleId="68">
    <w:name w:val="批注主题 字符"/>
    <w:basedOn w:val="55"/>
    <w:link w:val="35"/>
    <w:qFormat/>
    <w:uiPriority w:val="0"/>
    <w:rPr>
      <w:b/>
      <w:bCs/>
    </w:rPr>
  </w:style>
  <w:style w:type="paragraph" w:customStyle="1" w:styleId="69">
    <w:name w:val="列出段落1"/>
    <w:basedOn w:val="1"/>
    <w:qFormat/>
    <w:uiPriority w:val="0"/>
    <w:pPr>
      <w:ind w:left="720"/>
      <w:contextualSpacing/>
    </w:pPr>
  </w:style>
  <w:style w:type="character" w:customStyle="1" w:styleId="70">
    <w:name w:val="u11"/>
    <w:basedOn w:val="40"/>
    <w:qFormat/>
    <w:uiPriority w:val="0"/>
  </w:style>
  <w:style w:type="paragraph" w:customStyle="1" w:styleId="71">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table" w:customStyle="1" w:styleId="72">
    <w:name w:val="网格型1"/>
    <w:basedOn w:val="36"/>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3">
    <w:name w:val="txt Char"/>
    <w:qFormat/>
    <w:uiPriority w:val="0"/>
    <w:rPr>
      <w:rFonts w:ascii="宋体" w:hAnsi="宋体" w:eastAsia="宋体"/>
      <w:sz w:val="24"/>
      <w:szCs w:val="24"/>
      <w:lang w:val="en-US" w:eastAsia="zh-CN" w:bidi="ar-SA"/>
    </w:rPr>
  </w:style>
  <w:style w:type="character" w:styleId="74">
    <w:name w:val="Placeholder Text"/>
    <w:semiHidden/>
    <w:qFormat/>
    <w:uiPriority w:val="99"/>
    <w:rPr>
      <w:color w:val="808080"/>
    </w:rPr>
  </w:style>
  <w:style w:type="character" w:customStyle="1" w:styleId="75">
    <w:name w:val="txt1"/>
    <w:basedOn w:val="40"/>
    <w:qFormat/>
    <w:uiPriority w:val="0"/>
  </w:style>
  <w:style w:type="character" w:customStyle="1" w:styleId="76">
    <w:name w:val="标题 2 Char"/>
    <w:qFormat/>
    <w:uiPriority w:val="0"/>
    <w:rPr>
      <w:rFonts w:ascii="宋体" w:hAnsi="宋体" w:eastAsia="宋体"/>
      <w:b/>
      <w:spacing w:val="-10"/>
      <w:sz w:val="24"/>
      <w:szCs w:val="32"/>
      <w:lang w:val="en-US" w:eastAsia="zh-CN" w:bidi="ar-SA"/>
    </w:rPr>
  </w:style>
  <w:style w:type="paragraph" w:customStyle="1" w:styleId="77">
    <w:name w:val="二级条标题"/>
    <w:basedOn w:val="1"/>
    <w:next w:val="1"/>
    <w:qFormat/>
    <w:uiPriority w:val="0"/>
    <w:pPr>
      <w:widowControl/>
      <w:outlineLvl w:val="3"/>
    </w:pPr>
    <w:rPr>
      <w:rFonts w:ascii="黑体" w:eastAsia="黑体"/>
      <w:kern w:val="0"/>
      <w:szCs w:val="20"/>
    </w:rPr>
  </w:style>
  <w:style w:type="paragraph" w:customStyle="1" w:styleId="78">
    <w:name w:val="样式4"/>
    <w:basedOn w:val="3"/>
    <w:qFormat/>
    <w:uiPriority w:val="0"/>
    <w:pPr>
      <w:numPr>
        <w:ilvl w:val="1"/>
        <w:numId w:val="3"/>
      </w:numPr>
    </w:pPr>
    <w:rPr>
      <w:rFonts w:ascii="宋体" w:hAnsi="宋体" w:cs="Times New Roman"/>
      <w:color w:val="000000"/>
    </w:rPr>
  </w:style>
  <w:style w:type="paragraph" w:customStyle="1" w:styleId="79">
    <w:name w:val="txt"/>
    <w:basedOn w:val="1"/>
    <w:qFormat/>
    <w:uiPriority w:val="0"/>
    <w:pPr>
      <w:widowControl/>
      <w:spacing w:before="54" w:after="54" w:line="336" w:lineRule="auto"/>
      <w:ind w:left="14" w:right="14" w:firstLine="326"/>
      <w:jc w:val="left"/>
    </w:pPr>
    <w:rPr>
      <w:rFonts w:ascii="宋体" w:hAnsi="宋体"/>
      <w:kern w:val="0"/>
      <w:szCs w:val="24"/>
    </w:rPr>
  </w:style>
  <w:style w:type="paragraph" w:styleId="80">
    <w:name w:val="List Paragraph"/>
    <w:basedOn w:val="1"/>
    <w:qFormat/>
    <w:uiPriority w:val="34"/>
    <w:pPr>
      <w:ind w:firstLine="420" w:firstLineChars="200"/>
    </w:pPr>
    <w:rPr>
      <w:szCs w:val="24"/>
    </w:rPr>
  </w:style>
  <w:style w:type="paragraph" w:customStyle="1" w:styleId="81">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82">
    <w:name w:val="简单回函地址"/>
    <w:basedOn w:val="1"/>
    <w:qFormat/>
    <w:uiPriority w:val="0"/>
    <w:rPr>
      <w:szCs w:val="24"/>
    </w:rPr>
  </w:style>
  <w:style w:type="paragraph" w:customStyle="1" w:styleId="83">
    <w:name w:val="reader-word-layer"/>
    <w:basedOn w:val="1"/>
    <w:qFormat/>
    <w:uiPriority w:val="0"/>
    <w:pPr>
      <w:widowControl/>
      <w:spacing w:before="100" w:beforeAutospacing="1" w:after="100" w:afterAutospacing="1"/>
      <w:jc w:val="left"/>
    </w:pPr>
    <w:rPr>
      <w:rFonts w:ascii="宋体" w:hAnsi="宋体"/>
      <w:kern w:val="0"/>
      <w:szCs w:val="20"/>
    </w:rPr>
  </w:style>
  <w:style w:type="character" w:customStyle="1" w:styleId="84">
    <w:name w:val="apple-converted-space"/>
    <w:basedOn w:val="40"/>
    <w:qFormat/>
    <w:uiPriority w:val="0"/>
  </w:style>
  <w:style w:type="paragraph" w:customStyle="1" w:styleId="85">
    <w:name w:val="段"/>
    <w:link w:val="8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86">
    <w:name w:val="段 Char Char"/>
    <w:link w:val="85"/>
    <w:qFormat/>
    <w:uiPriority w:val="0"/>
    <w:rPr>
      <w:rFonts w:ascii="宋体" w:hAnsi="Times New Roman" w:eastAsia="宋体" w:cs="Times New Roman"/>
      <w:sz w:val="21"/>
    </w:rPr>
  </w:style>
  <w:style w:type="paragraph" w:customStyle="1" w:styleId="87">
    <w:name w:val="一级条标题"/>
    <w:next w:val="85"/>
    <w:qFormat/>
    <w:uiPriority w:val="0"/>
    <w:pPr>
      <w:spacing w:beforeLines="50" w:afterLines="50"/>
      <w:ind w:left="142"/>
      <w:outlineLvl w:val="2"/>
    </w:pPr>
    <w:rPr>
      <w:rFonts w:ascii="黑体" w:hAnsi="Times New Roman" w:eastAsia="黑体" w:cs="Times New Roman"/>
      <w:sz w:val="21"/>
      <w:szCs w:val="21"/>
      <w:lang w:val="en-US" w:eastAsia="zh-CN" w:bidi="ar-SA"/>
    </w:rPr>
  </w:style>
  <w:style w:type="paragraph" w:customStyle="1" w:styleId="88">
    <w:name w:val="章标题"/>
    <w:next w:val="85"/>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89">
    <w:name w:val="二级无"/>
    <w:basedOn w:val="77"/>
    <w:qFormat/>
    <w:uiPriority w:val="0"/>
    <w:pPr>
      <w:spacing w:before="50" w:after="50" w:line="240" w:lineRule="auto"/>
      <w:jc w:val="left"/>
    </w:pPr>
    <w:rPr>
      <w:rFonts w:ascii="宋体" w:eastAsia="宋体"/>
      <w:sz w:val="21"/>
      <w:szCs w:val="21"/>
    </w:rPr>
  </w:style>
  <w:style w:type="paragraph" w:customStyle="1" w:styleId="90">
    <w:name w:val="+正文"/>
    <w:basedOn w:val="1"/>
    <w:link w:val="91"/>
    <w:qFormat/>
    <w:uiPriority w:val="99"/>
    <w:pPr>
      <w:widowControl/>
      <w:ind w:firstLine="200" w:firstLineChars="200"/>
      <w:jc w:val="left"/>
    </w:pPr>
    <w:rPr>
      <w:rFonts w:ascii="Calibri" w:hAnsi="Calibri"/>
      <w:kern w:val="0"/>
      <w:szCs w:val="28"/>
      <w:lang w:val="zh-CN" w:eastAsia="en-US" w:bidi="en-US"/>
    </w:rPr>
  </w:style>
  <w:style w:type="character" w:customStyle="1" w:styleId="91">
    <w:name w:val="+正文 Char"/>
    <w:link w:val="90"/>
    <w:uiPriority w:val="99"/>
    <w:rPr>
      <w:rFonts w:ascii="Calibri" w:hAnsi="Calibri" w:eastAsia="宋体" w:cs="Times New Roman"/>
      <w:sz w:val="24"/>
      <w:szCs w:val="28"/>
      <w:lang w:val="zh-CN" w:eastAsia="en-US" w:bidi="en-US"/>
    </w:rPr>
  </w:style>
  <w:style w:type="character" w:customStyle="1" w:styleId="92">
    <w:name w:val="规范_正文_编号"/>
    <w:basedOn w:val="40"/>
    <w:qFormat/>
    <w:uiPriority w:val="0"/>
  </w:style>
  <w:style w:type="character" w:customStyle="1" w:styleId="93">
    <w:name w:val="未处理的提及1"/>
    <w:basedOn w:val="4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7.bin"/><Relationship Id="rId97" Type="http://schemas.openxmlformats.org/officeDocument/2006/relationships/image" Target="media/image47.wmf"/><Relationship Id="rId96" Type="http://schemas.openxmlformats.org/officeDocument/2006/relationships/oleObject" Target="embeddings/oleObject46.bin"/><Relationship Id="rId95" Type="http://schemas.openxmlformats.org/officeDocument/2006/relationships/image" Target="media/image46.wmf"/><Relationship Id="rId94" Type="http://schemas.openxmlformats.org/officeDocument/2006/relationships/oleObject" Target="embeddings/oleObject45.bin"/><Relationship Id="rId93" Type="http://schemas.openxmlformats.org/officeDocument/2006/relationships/image" Target="media/image45.wmf"/><Relationship Id="rId92" Type="http://schemas.openxmlformats.org/officeDocument/2006/relationships/oleObject" Target="embeddings/oleObject44.bin"/><Relationship Id="rId91" Type="http://schemas.openxmlformats.org/officeDocument/2006/relationships/image" Target="media/image44.wmf"/><Relationship Id="rId90" Type="http://schemas.openxmlformats.org/officeDocument/2006/relationships/oleObject" Target="embeddings/oleObject43.bin"/><Relationship Id="rId9" Type="http://schemas.openxmlformats.org/officeDocument/2006/relationships/image" Target="media/image3.wmf"/><Relationship Id="rId89" Type="http://schemas.openxmlformats.org/officeDocument/2006/relationships/image" Target="media/image43.wmf"/><Relationship Id="rId88" Type="http://schemas.openxmlformats.org/officeDocument/2006/relationships/oleObject" Target="embeddings/oleObject42.bin"/><Relationship Id="rId87" Type="http://schemas.openxmlformats.org/officeDocument/2006/relationships/image" Target="media/image42.wmf"/><Relationship Id="rId86" Type="http://schemas.openxmlformats.org/officeDocument/2006/relationships/oleObject" Target="embeddings/oleObject41.bin"/><Relationship Id="rId85" Type="http://schemas.openxmlformats.org/officeDocument/2006/relationships/image" Target="media/image41.wmf"/><Relationship Id="rId84" Type="http://schemas.openxmlformats.org/officeDocument/2006/relationships/oleObject" Target="embeddings/oleObject40.bin"/><Relationship Id="rId83" Type="http://schemas.openxmlformats.org/officeDocument/2006/relationships/image" Target="media/image40.wmf"/><Relationship Id="rId82" Type="http://schemas.openxmlformats.org/officeDocument/2006/relationships/oleObject" Target="embeddings/oleObject39.bin"/><Relationship Id="rId81" Type="http://schemas.openxmlformats.org/officeDocument/2006/relationships/image" Target="media/image39.wmf"/><Relationship Id="rId80" Type="http://schemas.openxmlformats.org/officeDocument/2006/relationships/oleObject" Target="embeddings/oleObject38.bin"/><Relationship Id="rId8" Type="http://schemas.openxmlformats.org/officeDocument/2006/relationships/oleObject" Target="embeddings/oleObject2.bin"/><Relationship Id="rId79" Type="http://schemas.openxmlformats.org/officeDocument/2006/relationships/image" Target="media/image38.wmf"/><Relationship Id="rId78" Type="http://schemas.openxmlformats.org/officeDocument/2006/relationships/oleObject" Target="embeddings/oleObject37.bin"/><Relationship Id="rId77" Type="http://schemas.openxmlformats.org/officeDocument/2006/relationships/image" Target="media/image37.wmf"/><Relationship Id="rId76" Type="http://schemas.openxmlformats.org/officeDocument/2006/relationships/oleObject" Target="embeddings/oleObject36.bin"/><Relationship Id="rId75" Type="http://schemas.openxmlformats.org/officeDocument/2006/relationships/image" Target="media/image36.wmf"/><Relationship Id="rId74" Type="http://schemas.openxmlformats.org/officeDocument/2006/relationships/oleObject" Target="embeddings/oleObject35.bin"/><Relationship Id="rId73" Type="http://schemas.openxmlformats.org/officeDocument/2006/relationships/image" Target="media/image35.wmf"/><Relationship Id="rId72" Type="http://schemas.openxmlformats.org/officeDocument/2006/relationships/oleObject" Target="embeddings/oleObject34.bin"/><Relationship Id="rId71" Type="http://schemas.openxmlformats.org/officeDocument/2006/relationships/image" Target="media/image34.wmf"/><Relationship Id="rId70" Type="http://schemas.openxmlformats.org/officeDocument/2006/relationships/oleObject" Target="embeddings/oleObject33.bin"/><Relationship Id="rId7" Type="http://schemas.openxmlformats.org/officeDocument/2006/relationships/image" Target="media/image2.wmf"/><Relationship Id="rId69" Type="http://schemas.openxmlformats.org/officeDocument/2006/relationships/image" Target="media/image33.wmf"/><Relationship Id="rId68" Type="http://schemas.openxmlformats.org/officeDocument/2006/relationships/oleObject" Target="embeddings/oleObject32.bin"/><Relationship Id="rId67" Type="http://schemas.openxmlformats.org/officeDocument/2006/relationships/image" Target="media/image32.wmf"/><Relationship Id="rId66" Type="http://schemas.openxmlformats.org/officeDocument/2006/relationships/oleObject" Target="embeddings/oleObject31.bin"/><Relationship Id="rId65" Type="http://schemas.openxmlformats.org/officeDocument/2006/relationships/image" Target="media/image31.wmf"/><Relationship Id="rId64" Type="http://schemas.openxmlformats.org/officeDocument/2006/relationships/oleObject" Target="embeddings/oleObject30.bin"/><Relationship Id="rId63" Type="http://schemas.openxmlformats.org/officeDocument/2006/relationships/image" Target="media/image30.wmf"/><Relationship Id="rId62" Type="http://schemas.openxmlformats.org/officeDocument/2006/relationships/oleObject" Target="embeddings/oleObject29.bin"/><Relationship Id="rId61" Type="http://schemas.openxmlformats.org/officeDocument/2006/relationships/image" Target="media/image29.w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8.wmf"/><Relationship Id="rId580" Type="http://schemas.openxmlformats.org/officeDocument/2006/relationships/fontTable" Target="fontTable.xml"/><Relationship Id="rId58" Type="http://schemas.openxmlformats.org/officeDocument/2006/relationships/oleObject" Target="embeddings/oleObject27.bin"/><Relationship Id="rId579" Type="http://schemas.openxmlformats.org/officeDocument/2006/relationships/customXml" Target="../customXml/item2.xml"/><Relationship Id="rId578" Type="http://schemas.openxmlformats.org/officeDocument/2006/relationships/numbering" Target="numbering.xml"/><Relationship Id="rId577" Type="http://schemas.openxmlformats.org/officeDocument/2006/relationships/customXml" Target="../customXml/item1.xml"/><Relationship Id="rId576" Type="http://schemas.openxmlformats.org/officeDocument/2006/relationships/image" Target="media/image248.png"/><Relationship Id="rId575" Type="http://schemas.openxmlformats.org/officeDocument/2006/relationships/image" Target="media/image247.wmf"/><Relationship Id="rId574" Type="http://schemas.openxmlformats.org/officeDocument/2006/relationships/oleObject" Target="embeddings/oleObject324.bin"/><Relationship Id="rId573" Type="http://schemas.openxmlformats.org/officeDocument/2006/relationships/image" Target="media/image246.wmf"/><Relationship Id="rId572" Type="http://schemas.openxmlformats.org/officeDocument/2006/relationships/oleObject" Target="embeddings/oleObject323.bin"/><Relationship Id="rId571" Type="http://schemas.openxmlformats.org/officeDocument/2006/relationships/image" Target="media/image245.wmf"/><Relationship Id="rId570" Type="http://schemas.openxmlformats.org/officeDocument/2006/relationships/oleObject" Target="embeddings/oleObject322.bin"/><Relationship Id="rId57" Type="http://schemas.openxmlformats.org/officeDocument/2006/relationships/image" Target="media/image27.wmf"/><Relationship Id="rId569" Type="http://schemas.openxmlformats.org/officeDocument/2006/relationships/oleObject" Target="embeddings/oleObject321.bin"/><Relationship Id="rId568" Type="http://schemas.openxmlformats.org/officeDocument/2006/relationships/oleObject" Target="embeddings/oleObject320.bin"/><Relationship Id="rId567" Type="http://schemas.openxmlformats.org/officeDocument/2006/relationships/image" Target="media/image244.wmf"/><Relationship Id="rId566" Type="http://schemas.openxmlformats.org/officeDocument/2006/relationships/oleObject" Target="embeddings/oleObject319.bin"/><Relationship Id="rId565" Type="http://schemas.openxmlformats.org/officeDocument/2006/relationships/image" Target="media/image243.wmf"/><Relationship Id="rId564" Type="http://schemas.openxmlformats.org/officeDocument/2006/relationships/oleObject" Target="embeddings/oleObject318.bin"/><Relationship Id="rId563" Type="http://schemas.openxmlformats.org/officeDocument/2006/relationships/image" Target="media/image242.wmf"/><Relationship Id="rId562" Type="http://schemas.openxmlformats.org/officeDocument/2006/relationships/oleObject" Target="embeddings/oleObject317.bin"/><Relationship Id="rId561" Type="http://schemas.openxmlformats.org/officeDocument/2006/relationships/image" Target="media/image241.wmf"/><Relationship Id="rId560" Type="http://schemas.openxmlformats.org/officeDocument/2006/relationships/oleObject" Target="embeddings/oleObject316.bin"/><Relationship Id="rId56" Type="http://schemas.openxmlformats.org/officeDocument/2006/relationships/oleObject" Target="embeddings/oleObject26.bin"/><Relationship Id="rId559" Type="http://schemas.openxmlformats.org/officeDocument/2006/relationships/image" Target="media/image240.wmf"/><Relationship Id="rId558" Type="http://schemas.openxmlformats.org/officeDocument/2006/relationships/oleObject" Target="embeddings/oleObject315.bin"/><Relationship Id="rId557" Type="http://schemas.openxmlformats.org/officeDocument/2006/relationships/image" Target="media/image239.wmf"/><Relationship Id="rId556" Type="http://schemas.openxmlformats.org/officeDocument/2006/relationships/oleObject" Target="embeddings/oleObject314.bin"/><Relationship Id="rId555" Type="http://schemas.openxmlformats.org/officeDocument/2006/relationships/image" Target="media/image238.wmf"/><Relationship Id="rId554" Type="http://schemas.openxmlformats.org/officeDocument/2006/relationships/oleObject" Target="embeddings/oleObject313.bin"/><Relationship Id="rId553" Type="http://schemas.openxmlformats.org/officeDocument/2006/relationships/image" Target="media/image237.wmf"/><Relationship Id="rId552" Type="http://schemas.openxmlformats.org/officeDocument/2006/relationships/oleObject" Target="embeddings/oleObject312.bin"/><Relationship Id="rId551" Type="http://schemas.openxmlformats.org/officeDocument/2006/relationships/image" Target="media/image236.wmf"/><Relationship Id="rId550" Type="http://schemas.openxmlformats.org/officeDocument/2006/relationships/oleObject" Target="embeddings/oleObject311.bin"/><Relationship Id="rId55" Type="http://schemas.openxmlformats.org/officeDocument/2006/relationships/image" Target="media/image26.wmf"/><Relationship Id="rId549" Type="http://schemas.openxmlformats.org/officeDocument/2006/relationships/oleObject" Target="embeddings/oleObject310.bin"/><Relationship Id="rId548" Type="http://schemas.openxmlformats.org/officeDocument/2006/relationships/oleObject" Target="embeddings/oleObject309.bin"/><Relationship Id="rId547" Type="http://schemas.openxmlformats.org/officeDocument/2006/relationships/image" Target="media/image235.wmf"/><Relationship Id="rId546" Type="http://schemas.openxmlformats.org/officeDocument/2006/relationships/oleObject" Target="embeddings/oleObject308.bin"/><Relationship Id="rId545" Type="http://schemas.openxmlformats.org/officeDocument/2006/relationships/image" Target="media/image234.wmf"/><Relationship Id="rId544" Type="http://schemas.openxmlformats.org/officeDocument/2006/relationships/oleObject" Target="embeddings/oleObject307.bin"/><Relationship Id="rId543" Type="http://schemas.openxmlformats.org/officeDocument/2006/relationships/oleObject" Target="embeddings/oleObject306.bin"/><Relationship Id="rId542" Type="http://schemas.openxmlformats.org/officeDocument/2006/relationships/oleObject" Target="embeddings/oleObject305.bin"/><Relationship Id="rId541" Type="http://schemas.openxmlformats.org/officeDocument/2006/relationships/oleObject" Target="embeddings/oleObject304.bin"/><Relationship Id="rId540" Type="http://schemas.openxmlformats.org/officeDocument/2006/relationships/oleObject" Target="embeddings/oleObject303.bin"/><Relationship Id="rId54" Type="http://schemas.openxmlformats.org/officeDocument/2006/relationships/oleObject" Target="embeddings/oleObject25.bin"/><Relationship Id="rId539" Type="http://schemas.openxmlformats.org/officeDocument/2006/relationships/oleObject" Target="embeddings/oleObject302.bin"/><Relationship Id="rId538" Type="http://schemas.openxmlformats.org/officeDocument/2006/relationships/image" Target="media/image233.wmf"/><Relationship Id="rId537" Type="http://schemas.openxmlformats.org/officeDocument/2006/relationships/oleObject" Target="embeddings/oleObject301.bin"/><Relationship Id="rId536" Type="http://schemas.openxmlformats.org/officeDocument/2006/relationships/image" Target="media/image232.wmf"/><Relationship Id="rId535" Type="http://schemas.openxmlformats.org/officeDocument/2006/relationships/oleObject" Target="embeddings/oleObject300.bin"/><Relationship Id="rId534" Type="http://schemas.openxmlformats.org/officeDocument/2006/relationships/image" Target="media/image231.wmf"/><Relationship Id="rId533" Type="http://schemas.openxmlformats.org/officeDocument/2006/relationships/oleObject" Target="embeddings/oleObject299.bin"/><Relationship Id="rId532" Type="http://schemas.openxmlformats.org/officeDocument/2006/relationships/image" Target="media/image230.wmf"/><Relationship Id="rId531" Type="http://schemas.openxmlformats.org/officeDocument/2006/relationships/oleObject" Target="embeddings/oleObject298.bin"/><Relationship Id="rId530" Type="http://schemas.openxmlformats.org/officeDocument/2006/relationships/image" Target="media/image229.wmf"/><Relationship Id="rId53" Type="http://schemas.openxmlformats.org/officeDocument/2006/relationships/image" Target="media/image25.wmf"/><Relationship Id="rId529" Type="http://schemas.openxmlformats.org/officeDocument/2006/relationships/oleObject" Target="embeddings/oleObject297.bin"/><Relationship Id="rId528" Type="http://schemas.openxmlformats.org/officeDocument/2006/relationships/image" Target="media/image228.emf"/><Relationship Id="rId527" Type="http://schemas.openxmlformats.org/officeDocument/2006/relationships/image" Target="media/image227.emf"/><Relationship Id="rId526" Type="http://schemas.openxmlformats.org/officeDocument/2006/relationships/image" Target="media/image226.jpeg"/><Relationship Id="rId525" Type="http://schemas.openxmlformats.org/officeDocument/2006/relationships/image" Target="media/image225.jpeg"/><Relationship Id="rId524" Type="http://schemas.openxmlformats.org/officeDocument/2006/relationships/image" Target="media/image224.emf"/><Relationship Id="rId523" Type="http://schemas.openxmlformats.org/officeDocument/2006/relationships/image" Target="media/image223.emf"/><Relationship Id="rId522" Type="http://schemas.openxmlformats.org/officeDocument/2006/relationships/oleObject" Target="embeddings/oleObject296.bin"/><Relationship Id="rId521" Type="http://schemas.openxmlformats.org/officeDocument/2006/relationships/oleObject" Target="embeddings/oleObject295.bin"/><Relationship Id="rId520" Type="http://schemas.openxmlformats.org/officeDocument/2006/relationships/image" Target="media/image222.wmf"/><Relationship Id="rId52" Type="http://schemas.openxmlformats.org/officeDocument/2006/relationships/oleObject" Target="embeddings/oleObject24.bin"/><Relationship Id="rId519" Type="http://schemas.openxmlformats.org/officeDocument/2006/relationships/oleObject" Target="embeddings/oleObject294.bin"/><Relationship Id="rId518" Type="http://schemas.openxmlformats.org/officeDocument/2006/relationships/image" Target="media/image221.wmf"/><Relationship Id="rId517" Type="http://schemas.openxmlformats.org/officeDocument/2006/relationships/oleObject" Target="embeddings/oleObject293.bin"/><Relationship Id="rId516" Type="http://schemas.openxmlformats.org/officeDocument/2006/relationships/oleObject" Target="embeddings/oleObject292.bin"/><Relationship Id="rId515" Type="http://schemas.openxmlformats.org/officeDocument/2006/relationships/oleObject" Target="embeddings/oleObject291.bin"/><Relationship Id="rId514" Type="http://schemas.openxmlformats.org/officeDocument/2006/relationships/image" Target="media/image220.wmf"/><Relationship Id="rId513" Type="http://schemas.openxmlformats.org/officeDocument/2006/relationships/oleObject" Target="embeddings/oleObject290.bin"/><Relationship Id="rId512" Type="http://schemas.openxmlformats.org/officeDocument/2006/relationships/image" Target="media/image219.wmf"/><Relationship Id="rId511" Type="http://schemas.openxmlformats.org/officeDocument/2006/relationships/oleObject" Target="embeddings/oleObject289.bin"/><Relationship Id="rId510" Type="http://schemas.openxmlformats.org/officeDocument/2006/relationships/oleObject" Target="embeddings/oleObject288.bin"/><Relationship Id="rId51" Type="http://schemas.openxmlformats.org/officeDocument/2006/relationships/image" Target="media/image24.wmf"/><Relationship Id="rId509" Type="http://schemas.openxmlformats.org/officeDocument/2006/relationships/image" Target="media/image218.wmf"/><Relationship Id="rId508" Type="http://schemas.openxmlformats.org/officeDocument/2006/relationships/oleObject" Target="embeddings/oleObject287.bin"/><Relationship Id="rId507" Type="http://schemas.openxmlformats.org/officeDocument/2006/relationships/image" Target="media/image217.wmf"/><Relationship Id="rId506" Type="http://schemas.openxmlformats.org/officeDocument/2006/relationships/oleObject" Target="embeddings/oleObject286.bin"/><Relationship Id="rId505" Type="http://schemas.openxmlformats.org/officeDocument/2006/relationships/image" Target="media/image216.wmf"/><Relationship Id="rId504" Type="http://schemas.openxmlformats.org/officeDocument/2006/relationships/oleObject" Target="embeddings/oleObject285.bin"/><Relationship Id="rId503" Type="http://schemas.openxmlformats.org/officeDocument/2006/relationships/image" Target="media/image215.wmf"/><Relationship Id="rId502" Type="http://schemas.openxmlformats.org/officeDocument/2006/relationships/oleObject" Target="embeddings/oleObject284.bin"/><Relationship Id="rId501" Type="http://schemas.openxmlformats.org/officeDocument/2006/relationships/oleObject" Target="embeddings/oleObject283.bin"/><Relationship Id="rId500" Type="http://schemas.openxmlformats.org/officeDocument/2006/relationships/image" Target="media/image214.wmf"/><Relationship Id="rId50" Type="http://schemas.openxmlformats.org/officeDocument/2006/relationships/oleObject" Target="embeddings/oleObject23.bin"/><Relationship Id="rId5" Type="http://schemas.openxmlformats.org/officeDocument/2006/relationships/image" Target="media/image1.jpeg"/><Relationship Id="rId499" Type="http://schemas.openxmlformats.org/officeDocument/2006/relationships/oleObject" Target="embeddings/oleObject282.bin"/><Relationship Id="rId498" Type="http://schemas.openxmlformats.org/officeDocument/2006/relationships/image" Target="media/image213.png"/><Relationship Id="rId497" Type="http://schemas.openxmlformats.org/officeDocument/2006/relationships/image" Target="media/image212.png"/><Relationship Id="rId496" Type="http://schemas.openxmlformats.org/officeDocument/2006/relationships/image" Target="media/image211.png"/><Relationship Id="rId495" Type="http://schemas.openxmlformats.org/officeDocument/2006/relationships/image" Target="media/image210.png"/><Relationship Id="rId494" Type="http://schemas.openxmlformats.org/officeDocument/2006/relationships/image" Target="media/image209.png"/><Relationship Id="rId493" Type="http://schemas.openxmlformats.org/officeDocument/2006/relationships/image" Target="media/image208.png"/><Relationship Id="rId492" Type="http://schemas.openxmlformats.org/officeDocument/2006/relationships/image" Target="media/image207.png"/><Relationship Id="rId491" Type="http://schemas.openxmlformats.org/officeDocument/2006/relationships/image" Target="media/image206.png"/><Relationship Id="rId490" Type="http://schemas.openxmlformats.org/officeDocument/2006/relationships/image" Target="media/image205.png"/><Relationship Id="rId49" Type="http://schemas.openxmlformats.org/officeDocument/2006/relationships/image" Target="media/image23.wmf"/><Relationship Id="rId489" Type="http://schemas.openxmlformats.org/officeDocument/2006/relationships/image" Target="media/image204.png"/><Relationship Id="rId488" Type="http://schemas.openxmlformats.org/officeDocument/2006/relationships/image" Target="media/image203.png"/><Relationship Id="rId487" Type="http://schemas.openxmlformats.org/officeDocument/2006/relationships/image" Target="media/image202.png"/><Relationship Id="rId486" Type="http://schemas.openxmlformats.org/officeDocument/2006/relationships/image" Target="media/image201.png"/><Relationship Id="rId485" Type="http://schemas.openxmlformats.org/officeDocument/2006/relationships/image" Target="media/image200.wmf"/><Relationship Id="rId484" Type="http://schemas.openxmlformats.org/officeDocument/2006/relationships/oleObject" Target="embeddings/oleObject281.bin"/><Relationship Id="rId483" Type="http://schemas.openxmlformats.org/officeDocument/2006/relationships/image" Target="media/image199.wmf"/><Relationship Id="rId482" Type="http://schemas.openxmlformats.org/officeDocument/2006/relationships/oleObject" Target="embeddings/oleObject280.bin"/><Relationship Id="rId481" Type="http://schemas.openxmlformats.org/officeDocument/2006/relationships/image" Target="media/image198.wmf"/><Relationship Id="rId480" Type="http://schemas.openxmlformats.org/officeDocument/2006/relationships/oleObject" Target="embeddings/oleObject279.bin"/><Relationship Id="rId48" Type="http://schemas.openxmlformats.org/officeDocument/2006/relationships/oleObject" Target="embeddings/oleObject22.bin"/><Relationship Id="rId479" Type="http://schemas.openxmlformats.org/officeDocument/2006/relationships/oleObject" Target="embeddings/oleObject278.bin"/><Relationship Id="rId478" Type="http://schemas.openxmlformats.org/officeDocument/2006/relationships/image" Target="media/image197.wmf"/><Relationship Id="rId477" Type="http://schemas.openxmlformats.org/officeDocument/2006/relationships/oleObject" Target="embeddings/oleObject277.bin"/><Relationship Id="rId476" Type="http://schemas.openxmlformats.org/officeDocument/2006/relationships/image" Target="media/image196.wmf"/><Relationship Id="rId475" Type="http://schemas.openxmlformats.org/officeDocument/2006/relationships/oleObject" Target="embeddings/oleObject276.bin"/><Relationship Id="rId474" Type="http://schemas.openxmlformats.org/officeDocument/2006/relationships/image" Target="media/image195.wmf"/><Relationship Id="rId473" Type="http://schemas.openxmlformats.org/officeDocument/2006/relationships/oleObject" Target="embeddings/oleObject275.bin"/><Relationship Id="rId472" Type="http://schemas.openxmlformats.org/officeDocument/2006/relationships/oleObject" Target="embeddings/oleObject274.bin"/><Relationship Id="rId471" Type="http://schemas.openxmlformats.org/officeDocument/2006/relationships/oleObject" Target="embeddings/oleObject273.bin"/><Relationship Id="rId470" Type="http://schemas.openxmlformats.org/officeDocument/2006/relationships/oleObject" Target="embeddings/oleObject272.bin"/><Relationship Id="rId47" Type="http://schemas.openxmlformats.org/officeDocument/2006/relationships/image" Target="media/image22.wmf"/><Relationship Id="rId469" Type="http://schemas.openxmlformats.org/officeDocument/2006/relationships/oleObject" Target="embeddings/oleObject271.bin"/><Relationship Id="rId468" Type="http://schemas.openxmlformats.org/officeDocument/2006/relationships/oleObject" Target="embeddings/oleObject270.bin"/><Relationship Id="rId467" Type="http://schemas.openxmlformats.org/officeDocument/2006/relationships/oleObject" Target="embeddings/oleObject269.bin"/><Relationship Id="rId466" Type="http://schemas.openxmlformats.org/officeDocument/2006/relationships/image" Target="media/image194.wmf"/><Relationship Id="rId465" Type="http://schemas.openxmlformats.org/officeDocument/2006/relationships/oleObject" Target="embeddings/oleObject268.bin"/><Relationship Id="rId464" Type="http://schemas.openxmlformats.org/officeDocument/2006/relationships/image" Target="media/image193.wmf"/><Relationship Id="rId463" Type="http://schemas.openxmlformats.org/officeDocument/2006/relationships/oleObject" Target="embeddings/oleObject267.bin"/><Relationship Id="rId462" Type="http://schemas.openxmlformats.org/officeDocument/2006/relationships/image" Target="media/image192.jpeg"/><Relationship Id="rId461" Type="http://schemas.openxmlformats.org/officeDocument/2006/relationships/oleObject" Target="embeddings/oleObject266.bin"/><Relationship Id="rId460" Type="http://schemas.openxmlformats.org/officeDocument/2006/relationships/image" Target="media/image191.wmf"/><Relationship Id="rId46" Type="http://schemas.openxmlformats.org/officeDocument/2006/relationships/oleObject" Target="embeddings/oleObject21.bin"/><Relationship Id="rId459" Type="http://schemas.openxmlformats.org/officeDocument/2006/relationships/oleObject" Target="embeddings/oleObject265.bin"/><Relationship Id="rId458" Type="http://schemas.openxmlformats.org/officeDocument/2006/relationships/image" Target="media/image190.wmf"/><Relationship Id="rId457" Type="http://schemas.openxmlformats.org/officeDocument/2006/relationships/oleObject" Target="embeddings/oleObject264.bin"/><Relationship Id="rId456" Type="http://schemas.openxmlformats.org/officeDocument/2006/relationships/image" Target="media/image189.wmf"/><Relationship Id="rId455" Type="http://schemas.openxmlformats.org/officeDocument/2006/relationships/oleObject" Target="embeddings/oleObject263.bin"/><Relationship Id="rId454" Type="http://schemas.openxmlformats.org/officeDocument/2006/relationships/image" Target="media/image188.wmf"/><Relationship Id="rId453" Type="http://schemas.openxmlformats.org/officeDocument/2006/relationships/oleObject" Target="embeddings/oleObject262.bin"/><Relationship Id="rId452" Type="http://schemas.openxmlformats.org/officeDocument/2006/relationships/oleObject" Target="embeddings/oleObject261.bin"/><Relationship Id="rId451" Type="http://schemas.openxmlformats.org/officeDocument/2006/relationships/image" Target="media/image187.wmf"/><Relationship Id="rId450" Type="http://schemas.openxmlformats.org/officeDocument/2006/relationships/oleObject" Target="embeddings/oleObject260.bin"/><Relationship Id="rId45" Type="http://schemas.openxmlformats.org/officeDocument/2006/relationships/image" Target="media/image21.wmf"/><Relationship Id="rId449" Type="http://schemas.openxmlformats.org/officeDocument/2006/relationships/oleObject" Target="embeddings/oleObject259.bin"/><Relationship Id="rId448" Type="http://schemas.openxmlformats.org/officeDocument/2006/relationships/image" Target="media/image186.wmf"/><Relationship Id="rId447" Type="http://schemas.openxmlformats.org/officeDocument/2006/relationships/oleObject" Target="embeddings/oleObject258.bin"/><Relationship Id="rId446" Type="http://schemas.openxmlformats.org/officeDocument/2006/relationships/image" Target="media/image185.wmf"/><Relationship Id="rId445" Type="http://schemas.openxmlformats.org/officeDocument/2006/relationships/oleObject" Target="embeddings/oleObject257.bin"/><Relationship Id="rId444" Type="http://schemas.openxmlformats.org/officeDocument/2006/relationships/image" Target="media/image184.wmf"/><Relationship Id="rId443" Type="http://schemas.openxmlformats.org/officeDocument/2006/relationships/oleObject" Target="embeddings/oleObject256.bin"/><Relationship Id="rId442" Type="http://schemas.openxmlformats.org/officeDocument/2006/relationships/image" Target="media/image183.wmf"/><Relationship Id="rId441" Type="http://schemas.openxmlformats.org/officeDocument/2006/relationships/oleObject" Target="embeddings/oleObject255.bin"/><Relationship Id="rId440" Type="http://schemas.openxmlformats.org/officeDocument/2006/relationships/image" Target="media/image182.wmf"/><Relationship Id="rId44" Type="http://schemas.openxmlformats.org/officeDocument/2006/relationships/oleObject" Target="embeddings/oleObject20.bin"/><Relationship Id="rId439" Type="http://schemas.openxmlformats.org/officeDocument/2006/relationships/oleObject" Target="embeddings/oleObject254.bin"/><Relationship Id="rId438" Type="http://schemas.openxmlformats.org/officeDocument/2006/relationships/image" Target="media/image181.wmf"/><Relationship Id="rId437" Type="http://schemas.openxmlformats.org/officeDocument/2006/relationships/oleObject" Target="embeddings/oleObject253.bin"/><Relationship Id="rId436" Type="http://schemas.openxmlformats.org/officeDocument/2006/relationships/oleObject" Target="embeddings/oleObject252.bin"/><Relationship Id="rId435" Type="http://schemas.openxmlformats.org/officeDocument/2006/relationships/image" Target="media/image180.wmf"/><Relationship Id="rId434" Type="http://schemas.openxmlformats.org/officeDocument/2006/relationships/oleObject" Target="embeddings/oleObject251.bin"/><Relationship Id="rId433" Type="http://schemas.openxmlformats.org/officeDocument/2006/relationships/image" Target="media/image179.wmf"/><Relationship Id="rId432" Type="http://schemas.openxmlformats.org/officeDocument/2006/relationships/oleObject" Target="embeddings/oleObject250.bin"/><Relationship Id="rId431" Type="http://schemas.openxmlformats.org/officeDocument/2006/relationships/image" Target="media/image178.wmf"/><Relationship Id="rId430" Type="http://schemas.openxmlformats.org/officeDocument/2006/relationships/oleObject" Target="embeddings/oleObject249.bin"/><Relationship Id="rId43" Type="http://schemas.openxmlformats.org/officeDocument/2006/relationships/image" Target="media/image20.wmf"/><Relationship Id="rId429" Type="http://schemas.openxmlformats.org/officeDocument/2006/relationships/oleObject" Target="embeddings/oleObject248.bin"/><Relationship Id="rId428" Type="http://schemas.openxmlformats.org/officeDocument/2006/relationships/image" Target="media/image177.wmf"/><Relationship Id="rId427" Type="http://schemas.openxmlformats.org/officeDocument/2006/relationships/oleObject" Target="embeddings/oleObject247.bin"/><Relationship Id="rId426" Type="http://schemas.openxmlformats.org/officeDocument/2006/relationships/image" Target="media/image176.wmf"/><Relationship Id="rId425" Type="http://schemas.openxmlformats.org/officeDocument/2006/relationships/oleObject" Target="embeddings/oleObject246.bin"/><Relationship Id="rId424" Type="http://schemas.openxmlformats.org/officeDocument/2006/relationships/image" Target="media/image175.wmf"/><Relationship Id="rId423" Type="http://schemas.openxmlformats.org/officeDocument/2006/relationships/oleObject" Target="embeddings/oleObject245.bin"/><Relationship Id="rId422" Type="http://schemas.openxmlformats.org/officeDocument/2006/relationships/oleObject" Target="embeddings/oleObject244.bin"/><Relationship Id="rId421" Type="http://schemas.openxmlformats.org/officeDocument/2006/relationships/image" Target="media/image174.wmf"/><Relationship Id="rId420" Type="http://schemas.openxmlformats.org/officeDocument/2006/relationships/oleObject" Target="embeddings/oleObject243.bin"/><Relationship Id="rId42" Type="http://schemas.openxmlformats.org/officeDocument/2006/relationships/oleObject" Target="embeddings/oleObject19.bin"/><Relationship Id="rId419" Type="http://schemas.openxmlformats.org/officeDocument/2006/relationships/oleObject" Target="embeddings/oleObject242.bin"/><Relationship Id="rId418" Type="http://schemas.openxmlformats.org/officeDocument/2006/relationships/oleObject" Target="embeddings/oleObject241.bin"/><Relationship Id="rId417" Type="http://schemas.openxmlformats.org/officeDocument/2006/relationships/image" Target="media/image173.wmf"/><Relationship Id="rId416" Type="http://schemas.openxmlformats.org/officeDocument/2006/relationships/oleObject" Target="embeddings/oleObject240.bin"/><Relationship Id="rId415" Type="http://schemas.openxmlformats.org/officeDocument/2006/relationships/oleObject" Target="embeddings/oleObject239.bin"/><Relationship Id="rId414" Type="http://schemas.openxmlformats.org/officeDocument/2006/relationships/oleObject" Target="embeddings/oleObject238.bin"/><Relationship Id="rId413" Type="http://schemas.openxmlformats.org/officeDocument/2006/relationships/image" Target="media/image172.wmf"/><Relationship Id="rId412" Type="http://schemas.openxmlformats.org/officeDocument/2006/relationships/oleObject" Target="embeddings/oleObject237.bin"/><Relationship Id="rId411" Type="http://schemas.openxmlformats.org/officeDocument/2006/relationships/image" Target="media/image171.wmf"/><Relationship Id="rId410" Type="http://schemas.openxmlformats.org/officeDocument/2006/relationships/oleObject" Target="embeddings/oleObject236.bin"/><Relationship Id="rId41" Type="http://schemas.openxmlformats.org/officeDocument/2006/relationships/image" Target="media/image19.wmf"/><Relationship Id="rId409" Type="http://schemas.openxmlformats.org/officeDocument/2006/relationships/image" Target="media/image170.wmf"/><Relationship Id="rId408" Type="http://schemas.openxmlformats.org/officeDocument/2006/relationships/oleObject" Target="embeddings/oleObject235.bin"/><Relationship Id="rId407" Type="http://schemas.openxmlformats.org/officeDocument/2006/relationships/image" Target="media/image169.wmf"/><Relationship Id="rId406" Type="http://schemas.openxmlformats.org/officeDocument/2006/relationships/oleObject" Target="embeddings/oleObject234.bin"/><Relationship Id="rId405" Type="http://schemas.openxmlformats.org/officeDocument/2006/relationships/image" Target="media/image168.wmf"/><Relationship Id="rId404" Type="http://schemas.openxmlformats.org/officeDocument/2006/relationships/oleObject" Target="embeddings/oleObject233.bin"/><Relationship Id="rId403" Type="http://schemas.openxmlformats.org/officeDocument/2006/relationships/image" Target="media/image167.wmf"/><Relationship Id="rId402" Type="http://schemas.openxmlformats.org/officeDocument/2006/relationships/oleObject" Target="embeddings/oleObject232.bin"/><Relationship Id="rId401" Type="http://schemas.openxmlformats.org/officeDocument/2006/relationships/image" Target="media/image166.wmf"/><Relationship Id="rId400" Type="http://schemas.openxmlformats.org/officeDocument/2006/relationships/oleObject" Target="embeddings/oleObject231.bin"/><Relationship Id="rId40" Type="http://schemas.openxmlformats.org/officeDocument/2006/relationships/oleObject" Target="embeddings/oleObject18.bin"/><Relationship Id="rId4" Type="http://schemas.openxmlformats.org/officeDocument/2006/relationships/theme" Target="theme/theme1.xml"/><Relationship Id="rId399" Type="http://schemas.openxmlformats.org/officeDocument/2006/relationships/image" Target="media/image165.wmf"/><Relationship Id="rId398" Type="http://schemas.openxmlformats.org/officeDocument/2006/relationships/oleObject" Target="embeddings/oleObject230.bin"/><Relationship Id="rId397" Type="http://schemas.openxmlformats.org/officeDocument/2006/relationships/image" Target="media/image164.wmf"/><Relationship Id="rId396" Type="http://schemas.openxmlformats.org/officeDocument/2006/relationships/oleObject" Target="embeddings/oleObject229.bin"/><Relationship Id="rId395" Type="http://schemas.openxmlformats.org/officeDocument/2006/relationships/image" Target="media/image163.wmf"/><Relationship Id="rId394" Type="http://schemas.openxmlformats.org/officeDocument/2006/relationships/oleObject" Target="embeddings/oleObject228.bin"/><Relationship Id="rId393" Type="http://schemas.openxmlformats.org/officeDocument/2006/relationships/image" Target="media/image162.wmf"/><Relationship Id="rId392" Type="http://schemas.openxmlformats.org/officeDocument/2006/relationships/oleObject" Target="embeddings/oleObject227.bin"/><Relationship Id="rId391" Type="http://schemas.openxmlformats.org/officeDocument/2006/relationships/oleObject" Target="embeddings/oleObject226.bin"/><Relationship Id="rId390" Type="http://schemas.openxmlformats.org/officeDocument/2006/relationships/image" Target="media/image161.wmf"/><Relationship Id="rId39" Type="http://schemas.openxmlformats.org/officeDocument/2006/relationships/image" Target="media/image18.wmf"/><Relationship Id="rId389" Type="http://schemas.openxmlformats.org/officeDocument/2006/relationships/oleObject" Target="embeddings/oleObject225.bin"/><Relationship Id="rId388" Type="http://schemas.openxmlformats.org/officeDocument/2006/relationships/oleObject" Target="embeddings/oleObject224.bin"/><Relationship Id="rId387" Type="http://schemas.openxmlformats.org/officeDocument/2006/relationships/image" Target="media/image160.wmf"/><Relationship Id="rId386" Type="http://schemas.openxmlformats.org/officeDocument/2006/relationships/oleObject" Target="embeddings/oleObject223.bin"/><Relationship Id="rId385" Type="http://schemas.openxmlformats.org/officeDocument/2006/relationships/image" Target="media/image159.wmf"/><Relationship Id="rId384" Type="http://schemas.openxmlformats.org/officeDocument/2006/relationships/oleObject" Target="embeddings/oleObject222.bin"/><Relationship Id="rId383" Type="http://schemas.openxmlformats.org/officeDocument/2006/relationships/image" Target="media/image158.wmf"/><Relationship Id="rId382" Type="http://schemas.openxmlformats.org/officeDocument/2006/relationships/oleObject" Target="embeddings/oleObject221.bin"/><Relationship Id="rId381" Type="http://schemas.openxmlformats.org/officeDocument/2006/relationships/oleObject" Target="embeddings/oleObject220.bin"/><Relationship Id="rId380" Type="http://schemas.openxmlformats.org/officeDocument/2006/relationships/image" Target="media/image157.wmf"/><Relationship Id="rId38" Type="http://schemas.openxmlformats.org/officeDocument/2006/relationships/oleObject" Target="embeddings/oleObject17.bin"/><Relationship Id="rId379" Type="http://schemas.openxmlformats.org/officeDocument/2006/relationships/oleObject" Target="embeddings/oleObject219.bin"/><Relationship Id="rId378" Type="http://schemas.openxmlformats.org/officeDocument/2006/relationships/oleObject" Target="embeddings/oleObject218.bin"/><Relationship Id="rId377" Type="http://schemas.openxmlformats.org/officeDocument/2006/relationships/image" Target="media/image156.wmf"/><Relationship Id="rId376" Type="http://schemas.openxmlformats.org/officeDocument/2006/relationships/oleObject" Target="embeddings/oleObject217.bin"/><Relationship Id="rId375" Type="http://schemas.openxmlformats.org/officeDocument/2006/relationships/image" Target="media/image155.wmf"/><Relationship Id="rId374" Type="http://schemas.openxmlformats.org/officeDocument/2006/relationships/oleObject" Target="embeddings/oleObject216.bin"/><Relationship Id="rId373" Type="http://schemas.openxmlformats.org/officeDocument/2006/relationships/image" Target="media/image154.wmf"/><Relationship Id="rId372" Type="http://schemas.openxmlformats.org/officeDocument/2006/relationships/oleObject" Target="embeddings/oleObject215.bin"/><Relationship Id="rId371" Type="http://schemas.openxmlformats.org/officeDocument/2006/relationships/oleObject" Target="embeddings/oleObject214.bin"/><Relationship Id="rId370" Type="http://schemas.openxmlformats.org/officeDocument/2006/relationships/image" Target="media/image153.wmf"/><Relationship Id="rId37" Type="http://schemas.openxmlformats.org/officeDocument/2006/relationships/image" Target="media/image17.wmf"/><Relationship Id="rId369" Type="http://schemas.openxmlformats.org/officeDocument/2006/relationships/oleObject" Target="embeddings/oleObject213.bin"/><Relationship Id="rId368" Type="http://schemas.openxmlformats.org/officeDocument/2006/relationships/image" Target="media/image152.wmf"/><Relationship Id="rId367" Type="http://schemas.openxmlformats.org/officeDocument/2006/relationships/oleObject" Target="embeddings/oleObject212.bin"/><Relationship Id="rId366" Type="http://schemas.openxmlformats.org/officeDocument/2006/relationships/image" Target="media/image151.wmf"/><Relationship Id="rId365" Type="http://schemas.openxmlformats.org/officeDocument/2006/relationships/oleObject" Target="embeddings/oleObject211.bin"/><Relationship Id="rId364" Type="http://schemas.openxmlformats.org/officeDocument/2006/relationships/oleObject" Target="embeddings/oleObject210.bin"/><Relationship Id="rId363" Type="http://schemas.openxmlformats.org/officeDocument/2006/relationships/image" Target="media/image150.wmf"/><Relationship Id="rId362" Type="http://schemas.openxmlformats.org/officeDocument/2006/relationships/oleObject" Target="embeddings/oleObject209.bin"/><Relationship Id="rId361" Type="http://schemas.openxmlformats.org/officeDocument/2006/relationships/image" Target="media/image149.wmf"/><Relationship Id="rId360" Type="http://schemas.openxmlformats.org/officeDocument/2006/relationships/oleObject" Target="embeddings/oleObject208.bin"/><Relationship Id="rId36" Type="http://schemas.openxmlformats.org/officeDocument/2006/relationships/oleObject" Target="embeddings/oleObject16.bin"/><Relationship Id="rId359" Type="http://schemas.openxmlformats.org/officeDocument/2006/relationships/image" Target="media/image148.wmf"/><Relationship Id="rId358" Type="http://schemas.openxmlformats.org/officeDocument/2006/relationships/oleObject" Target="embeddings/oleObject207.bin"/><Relationship Id="rId357" Type="http://schemas.openxmlformats.org/officeDocument/2006/relationships/image" Target="media/image147.wmf"/><Relationship Id="rId356" Type="http://schemas.openxmlformats.org/officeDocument/2006/relationships/oleObject" Target="embeddings/oleObject206.bin"/><Relationship Id="rId355" Type="http://schemas.openxmlformats.org/officeDocument/2006/relationships/image" Target="media/image146.wmf"/><Relationship Id="rId354" Type="http://schemas.openxmlformats.org/officeDocument/2006/relationships/oleObject" Target="embeddings/oleObject205.bin"/><Relationship Id="rId353" Type="http://schemas.openxmlformats.org/officeDocument/2006/relationships/image" Target="media/image145.wmf"/><Relationship Id="rId352" Type="http://schemas.openxmlformats.org/officeDocument/2006/relationships/oleObject" Target="embeddings/oleObject204.bin"/><Relationship Id="rId351" Type="http://schemas.openxmlformats.org/officeDocument/2006/relationships/image" Target="media/image144.wmf"/><Relationship Id="rId350" Type="http://schemas.openxmlformats.org/officeDocument/2006/relationships/oleObject" Target="embeddings/oleObject203.bin"/><Relationship Id="rId35" Type="http://schemas.openxmlformats.org/officeDocument/2006/relationships/image" Target="media/image16.wmf"/><Relationship Id="rId349" Type="http://schemas.openxmlformats.org/officeDocument/2006/relationships/image" Target="media/image143.wmf"/><Relationship Id="rId348" Type="http://schemas.openxmlformats.org/officeDocument/2006/relationships/oleObject" Target="embeddings/oleObject202.bin"/><Relationship Id="rId347" Type="http://schemas.openxmlformats.org/officeDocument/2006/relationships/image" Target="media/image142.wmf"/><Relationship Id="rId346" Type="http://schemas.openxmlformats.org/officeDocument/2006/relationships/oleObject" Target="embeddings/oleObject201.bin"/><Relationship Id="rId345" Type="http://schemas.openxmlformats.org/officeDocument/2006/relationships/image" Target="media/image141.wmf"/><Relationship Id="rId344" Type="http://schemas.openxmlformats.org/officeDocument/2006/relationships/oleObject" Target="embeddings/oleObject200.bin"/><Relationship Id="rId343" Type="http://schemas.openxmlformats.org/officeDocument/2006/relationships/image" Target="media/image140.wmf"/><Relationship Id="rId342" Type="http://schemas.openxmlformats.org/officeDocument/2006/relationships/oleObject" Target="embeddings/oleObject199.bin"/><Relationship Id="rId341" Type="http://schemas.openxmlformats.org/officeDocument/2006/relationships/image" Target="media/image139.wmf"/><Relationship Id="rId340" Type="http://schemas.openxmlformats.org/officeDocument/2006/relationships/oleObject" Target="embeddings/oleObject198.bin"/><Relationship Id="rId34" Type="http://schemas.openxmlformats.org/officeDocument/2006/relationships/oleObject" Target="embeddings/oleObject15.bin"/><Relationship Id="rId339" Type="http://schemas.openxmlformats.org/officeDocument/2006/relationships/image" Target="media/image138.wmf"/><Relationship Id="rId338" Type="http://schemas.openxmlformats.org/officeDocument/2006/relationships/oleObject" Target="embeddings/oleObject197.bin"/><Relationship Id="rId337" Type="http://schemas.openxmlformats.org/officeDocument/2006/relationships/image" Target="media/image137.wmf"/><Relationship Id="rId336" Type="http://schemas.openxmlformats.org/officeDocument/2006/relationships/oleObject" Target="embeddings/oleObject196.bin"/><Relationship Id="rId335" Type="http://schemas.openxmlformats.org/officeDocument/2006/relationships/image" Target="media/image136.wmf"/><Relationship Id="rId334" Type="http://schemas.openxmlformats.org/officeDocument/2006/relationships/oleObject" Target="embeddings/oleObject195.bin"/><Relationship Id="rId333" Type="http://schemas.openxmlformats.org/officeDocument/2006/relationships/image" Target="media/image135.wmf"/><Relationship Id="rId332" Type="http://schemas.openxmlformats.org/officeDocument/2006/relationships/oleObject" Target="embeddings/oleObject194.bin"/><Relationship Id="rId331" Type="http://schemas.openxmlformats.org/officeDocument/2006/relationships/image" Target="media/image134.wmf"/><Relationship Id="rId330" Type="http://schemas.openxmlformats.org/officeDocument/2006/relationships/oleObject" Target="embeddings/oleObject193.bin"/><Relationship Id="rId33" Type="http://schemas.openxmlformats.org/officeDocument/2006/relationships/image" Target="media/image15.wmf"/><Relationship Id="rId329" Type="http://schemas.openxmlformats.org/officeDocument/2006/relationships/image" Target="media/image133.wmf"/><Relationship Id="rId328" Type="http://schemas.openxmlformats.org/officeDocument/2006/relationships/oleObject" Target="embeddings/oleObject192.bin"/><Relationship Id="rId327" Type="http://schemas.openxmlformats.org/officeDocument/2006/relationships/image" Target="media/image132.wmf"/><Relationship Id="rId326" Type="http://schemas.openxmlformats.org/officeDocument/2006/relationships/oleObject" Target="embeddings/oleObject191.bin"/><Relationship Id="rId325" Type="http://schemas.openxmlformats.org/officeDocument/2006/relationships/image" Target="media/image131.wmf"/><Relationship Id="rId324" Type="http://schemas.openxmlformats.org/officeDocument/2006/relationships/oleObject" Target="embeddings/oleObject190.bin"/><Relationship Id="rId323" Type="http://schemas.openxmlformats.org/officeDocument/2006/relationships/image" Target="media/image130.wmf"/><Relationship Id="rId322" Type="http://schemas.openxmlformats.org/officeDocument/2006/relationships/oleObject" Target="embeddings/oleObject189.bin"/><Relationship Id="rId321" Type="http://schemas.openxmlformats.org/officeDocument/2006/relationships/image" Target="media/image129.wmf"/><Relationship Id="rId320" Type="http://schemas.openxmlformats.org/officeDocument/2006/relationships/oleObject" Target="embeddings/oleObject188.bin"/><Relationship Id="rId32" Type="http://schemas.openxmlformats.org/officeDocument/2006/relationships/oleObject" Target="embeddings/oleObject14.bin"/><Relationship Id="rId319" Type="http://schemas.openxmlformats.org/officeDocument/2006/relationships/image" Target="media/image128.wmf"/><Relationship Id="rId318" Type="http://schemas.openxmlformats.org/officeDocument/2006/relationships/oleObject" Target="embeddings/oleObject187.bin"/><Relationship Id="rId317" Type="http://schemas.openxmlformats.org/officeDocument/2006/relationships/image" Target="media/image127.wmf"/><Relationship Id="rId316" Type="http://schemas.openxmlformats.org/officeDocument/2006/relationships/oleObject" Target="embeddings/oleObject186.bin"/><Relationship Id="rId315" Type="http://schemas.openxmlformats.org/officeDocument/2006/relationships/image" Target="media/image126.wmf"/><Relationship Id="rId314" Type="http://schemas.openxmlformats.org/officeDocument/2006/relationships/oleObject" Target="embeddings/oleObject185.bin"/><Relationship Id="rId313" Type="http://schemas.openxmlformats.org/officeDocument/2006/relationships/oleObject" Target="embeddings/oleObject184.bin"/><Relationship Id="rId312" Type="http://schemas.openxmlformats.org/officeDocument/2006/relationships/oleObject" Target="embeddings/oleObject183.bin"/><Relationship Id="rId311" Type="http://schemas.openxmlformats.org/officeDocument/2006/relationships/image" Target="media/image125.wmf"/><Relationship Id="rId310" Type="http://schemas.openxmlformats.org/officeDocument/2006/relationships/oleObject" Target="embeddings/oleObject182.bin"/><Relationship Id="rId31" Type="http://schemas.openxmlformats.org/officeDocument/2006/relationships/image" Target="media/image14.wmf"/><Relationship Id="rId309" Type="http://schemas.openxmlformats.org/officeDocument/2006/relationships/image" Target="media/image124.wmf"/><Relationship Id="rId308" Type="http://schemas.openxmlformats.org/officeDocument/2006/relationships/oleObject" Target="embeddings/oleObject181.bin"/><Relationship Id="rId307" Type="http://schemas.openxmlformats.org/officeDocument/2006/relationships/image" Target="media/image123.wmf"/><Relationship Id="rId306" Type="http://schemas.openxmlformats.org/officeDocument/2006/relationships/oleObject" Target="embeddings/oleObject180.bin"/><Relationship Id="rId305" Type="http://schemas.openxmlformats.org/officeDocument/2006/relationships/image" Target="media/image122.wmf"/><Relationship Id="rId304" Type="http://schemas.openxmlformats.org/officeDocument/2006/relationships/oleObject" Target="embeddings/oleObject179.bin"/><Relationship Id="rId303" Type="http://schemas.openxmlformats.org/officeDocument/2006/relationships/image" Target="media/image121.wmf"/><Relationship Id="rId302" Type="http://schemas.openxmlformats.org/officeDocument/2006/relationships/oleObject" Target="embeddings/oleObject178.bin"/><Relationship Id="rId301" Type="http://schemas.openxmlformats.org/officeDocument/2006/relationships/image" Target="media/image120.wmf"/><Relationship Id="rId300" Type="http://schemas.openxmlformats.org/officeDocument/2006/relationships/oleObject" Target="embeddings/oleObject177.bin"/><Relationship Id="rId30" Type="http://schemas.openxmlformats.org/officeDocument/2006/relationships/oleObject" Target="embeddings/oleObject13.bin"/><Relationship Id="rId3" Type="http://schemas.openxmlformats.org/officeDocument/2006/relationships/footer" Target="footer1.xml"/><Relationship Id="rId299" Type="http://schemas.openxmlformats.org/officeDocument/2006/relationships/image" Target="media/image119.png"/><Relationship Id="rId298" Type="http://schemas.openxmlformats.org/officeDocument/2006/relationships/oleObject" Target="embeddings/oleObject176.bin"/><Relationship Id="rId297" Type="http://schemas.openxmlformats.org/officeDocument/2006/relationships/oleObject" Target="embeddings/oleObject175.bin"/><Relationship Id="rId296" Type="http://schemas.openxmlformats.org/officeDocument/2006/relationships/oleObject" Target="embeddings/oleObject174.bin"/><Relationship Id="rId295" Type="http://schemas.openxmlformats.org/officeDocument/2006/relationships/image" Target="media/image118.wmf"/><Relationship Id="rId294" Type="http://schemas.openxmlformats.org/officeDocument/2006/relationships/oleObject" Target="embeddings/oleObject173.bin"/><Relationship Id="rId293" Type="http://schemas.openxmlformats.org/officeDocument/2006/relationships/oleObject" Target="embeddings/oleObject172.bin"/><Relationship Id="rId292" Type="http://schemas.openxmlformats.org/officeDocument/2006/relationships/image" Target="media/image117.wmf"/><Relationship Id="rId291" Type="http://schemas.openxmlformats.org/officeDocument/2006/relationships/oleObject" Target="embeddings/oleObject171.bin"/><Relationship Id="rId290" Type="http://schemas.openxmlformats.org/officeDocument/2006/relationships/oleObject" Target="embeddings/oleObject170.bin"/><Relationship Id="rId29" Type="http://schemas.openxmlformats.org/officeDocument/2006/relationships/image" Target="media/image13.wmf"/><Relationship Id="rId289" Type="http://schemas.openxmlformats.org/officeDocument/2006/relationships/oleObject" Target="embeddings/oleObject169.bin"/><Relationship Id="rId288" Type="http://schemas.openxmlformats.org/officeDocument/2006/relationships/image" Target="media/image116.wmf"/><Relationship Id="rId287" Type="http://schemas.openxmlformats.org/officeDocument/2006/relationships/oleObject" Target="embeddings/oleObject168.bin"/><Relationship Id="rId286" Type="http://schemas.openxmlformats.org/officeDocument/2006/relationships/image" Target="media/image115.wmf"/><Relationship Id="rId285" Type="http://schemas.openxmlformats.org/officeDocument/2006/relationships/oleObject" Target="embeddings/oleObject167.bin"/><Relationship Id="rId284" Type="http://schemas.openxmlformats.org/officeDocument/2006/relationships/oleObject" Target="embeddings/oleObject166.bin"/><Relationship Id="rId283" Type="http://schemas.openxmlformats.org/officeDocument/2006/relationships/image" Target="media/image114.wmf"/><Relationship Id="rId282" Type="http://schemas.openxmlformats.org/officeDocument/2006/relationships/oleObject" Target="embeddings/oleObject165.bin"/><Relationship Id="rId281" Type="http://schemas.openxmlformats.org/officeDocument/2006/relationships/image" Target="media/image113.wmf"/><Relationship Id="rId280" Type="http://schemas.openxmlformats.org/officeDocument/2006/relationships/oleObject" Target="embeddings/oleObject164.bin"/><Relationship Id="rId28" Type="http://schemas.openxmlformats.org/officeDocument/2006/relationships/oleObject" Target="embeddings/oleObject12.bin"/><Relationship Id="rId279" Type="http://schemas.openxmlformats.org/officeDocument/2006/relationships/oleObject" Target="embeddings/oleObject163.bin"/><Relationship Id="rId278" Type="http://schemas.openxmlformats.org/officeDocument/2006/relationships/oleObject" Target="embeddings/oleObject162.bin"/><Relationship Id="rId277" Type="http://schemas.openxmlformats.org/officeDocument/2006/relationships/oleObject" Target="embeddings/oleObject161.bin"/><Relationship Id="rId276" Type="http://schemas.openxmlformats.org/officeDocument/2006/relationships/oleObject" Target="embeddings/oleObject160.bin"/><Relationship Id="rId275" Type="http://schemas.openxmlformats.org/officeDocument/2006/relationships/image" Target="media/image112.wmf"/><Relationship Id="rId274" Type="http://schemas.openxmlformats.org/officeDocument/2006/relationships/oleObject" Target="embeddings/oleObject159.bin"/><Relationship Id="rId273" Type="http://schemas.openxmlformats.org/officeDocument/2006/relationships/image" Target="media/image111.wmf"/><Relationship Id="rId272" Type="http://schemas.openxmlformats.org/officeDocument/2006/relationships/oleObject" Target="embeddings/oleObject158.bin"/><Relationship Id="rId271" Type="http://schemas.openxmlformats.org/officeDocument/2006/relationships/image" Target="media/image110.wmf"/><Relationship Id="rId270" Type="http://schemas.openxmlformats.org/officeDocument/2006/relationships/oleObject" Target="embeddings/oleObject157.bin"/><Relationship Id="rId27" Type="http://schemas.openxmlformats.org/officeDocument/2006/relationships/image" Target="media/image12.wmf"/><Relationship Id="rId269" Type="http://schemas.openxmlformats.org/officeDocument/2006/relationships/image" Target="media/image109.wmf"/><Relationship Id="rId268" Type="http://schemas.openxmlformats.org/officeDocument/2006/relationships/oleObject" Target="embeddings/oleObject156.bin"/><Relationship Id="rId267" Type="http://schemas.openxmlformats.org/officeDocument/2006/relationships/oleObject" Target="embeddings/oleObject155.bin"/><Relationship Id="rId266" Type="http://schemas.openxmlformats.org/officeDocument/2006/relationships/image" Target="media/image108.wmf"/><Relationship Id="rId265" Type="http://schemas.openxmlformats.org/officeDocument/2006/relationships/oleObject" Target="embeddings/oleObject154.bin"/><Relationship Id="rId264" Type="http://schemas.openxmlformats.org/officeDocument/2006/relationships/oleObject" Target="embeddings/oleObject153.bin"/><Relationship Id="rId263" Type="http://schemas.openxmlformats.org/officeDocument/2006/relationships/image" Target="media/image107.wmf"/><Relationship Id="rId262" Type="http://schemas.openxmlformats.org/officeDocument/2006/relationships/oleObject" Target="embeddings/oleObject152.bin"/><Relationship Id="rId261" Type="http://schemas.openxmlformats.org/officeDocument/2006/relationships/image" Target="media/image106.wmf"/><Relationship Id="rId260" Type="http://schemas.openxmlformats.org/officeDocument/2006/relationships/oleObject" Target="embeddings/oleObject151.bin"/><Relationship Id="rId26" Type="http://schemas.openxmlformats.org/officeDocument/2006/relationships/oleObject" Target="embeddings/oleObject11.bin"/><Relationship Id="rId259" Type="http://schemas.openxmlformats.org/officeDocument/2006/relationships/oleObject" Target="embeddings/oleObject150.bin"/><Relationship Id="rId258" Type="http://schemas.openxmlformats.org/officeDocument/2006/relationships/oleObject" Target="embeddings/oleObject149.bin"/><Relationship Id="rId257" Type="http://schemas.openxmlformats.org/officeDocument/2006/relationships/image" Target="media/image105.wmf"/><Relationship Id="rId256" Type="http://schemas.openxmlformats.org/officeDocument/2006/relationships/oleObject" Target="embeddings/oleObject148.bin"/><Relationship Id="rId255" Type="http://schemas.openxmlformats.org/officeDocument/2006/relationships/image" Target="media/image104.wmf"/><Relationship Id="rId254" Type="http://schemas.openxmlformats.org/officeDocument/2006/relationships/oleObject" Target="embeddings/oleObject147.bin"/><Relationship Id="rId253" Type="http://schemas.openxmlformats.org/officeDocument/2006/relationships/oleObject" Target="embeddings/oleObject146.bin"/><Relationship Id="rId252" Type="http://schemas.openxmlformats.org/officeDocument/2006/relationships/oleObject" Target="embeddings/oleObject145.bin"/><Relationship Id="rId251" Type="http://schemas.openxmlformats.org/officeDocument/2006/relationships/image" Target="media/image103.wmf"/><Relationship Id="rId250" Type="http://schemas.openxmlformats.org/officeDocument/2006/relationships/oleObject" Target="embeddings/oleObject144.bin"/><Relationship Id="rId25" Type="http://schemas.openxmlformats.org/officeDocument/2006/relationships/image" Target="media/image11.wmf"/><Relationship Id="rId249" Type="http://schemas.openxmlformats.org/officeDocument/2006/relationships/image" Target="media/image102.wmf"/><Relationship Id="rId248" Type="http://schemas.openxmlformats.org/officeDocument/2006/relationships/oleObject" Target="embeddings/oleObject143.bin"/><Relationship Id="rId247" Type="http://schemas.openxmlformats.org/officeDocument/2006/relationships/oleObject" Target="embeddings/oleObject142.bin"/><Relationship Id="rId246" Type="http://schemas.openxmlformats.org/officeDocument/2006/relationships/oleObject" Target="embeddings/oleObject141.bin"/><Relationship Id="rId245" Type="http://schemas.openxmlformats.org/officeDocument/2006/relationships/oleObject" Target="embeddings/oleObject140.bin"/><Relationship Id="rId244" Type="http://schemas.openxmlformats.org/officeDocument/2006/relationships/oleObject" Target="embeddings/oleObject139.bin"/><Relationship Id="rId243" Type="http://schemas.openxmlformats.org/officeDocument/2006/relationships/oleObject" Target="embeddings/oleObject138.bin"/><Relationship Id="rId242" Type="http://schemas.openxmlformats.org/officeDocument/2006/relationships/oleObject" Target="embeddings/oleObject137.bin"/><Relationship Id="rId241" Type="http://schemas.openxmlformats.org/officeDocument/2006/relationships/image" Target="media/image101.wmf"/><Relationship Id="rId240" Type="http://schemas.openxmlformats.org/officeDocument/2006/relationships/oleObject" Target="embeddings/oleObject136.bin"/><Relationship Id="rId24" Type="http://schemas.openxmlformats.org/officeDocument/2006/relationships/oleObject" Target="embeddings/oleObject10.bin"/><Relationship Id="rId239" Type="http://schemas.openxmlformats.org/officeDocument/2006/relationships/oleObject" Target="embeddings/oleObject135.bin"/><Relationship Id="rId238" Type="http://schemas.openxmlformats.org/officeDocument/2006/relationships/oleObject" Target="embeddings/oleObject134.bin"/><Relationship Id="rId237" Type="http://schemas.openxmlformats.org/officeDocument/2006/relationships/oleObject" Target="embeddings/oleObject133.bin"/><Relationship Id="rId236" Type="http://schemas.openxmlformats.org/officeDocument/2006/relationships/oleObject" Target="embeddings/oleObject132.bin"/><Relationship Id="rId235" Type="http://schemas.openxmlformats.org/officeDocument/2006/relationships/oleObject" Target="embeddings/oleObject131.bin"/><Relationship Id="rId234" Type="http://schemas.openxmlformats.org/officeDocument/2006/relationships/oleObject" Target="embeddings/oleObject130.bin"/><Relationship Id="rId233" Type="http://schemas.openxmlformats.org/officeDocument/2006/relationships/oleObject" Target="embeddings/oleObject129.bin"/><Relationship Id="rId232" Type="http://schemas.openxmlformats.org/officeDocument/2006/relationships/oleObject" Target="embeddings/oleObject128.bin"/><Relationship Id="rId231" Type="http://schemas.openxmlformats.org/officeDocument/2006/relationships/oleObject" Target="embeddings/oleObject127.bin"/><Relationship Id="rId230" Type="http://schemas.openxmlformats.org/officeDocument/2006/relationships/oleObject" Target="embeddings/oleObject126.bin"/><Relationship Id="rId23" Type="http://schemas.openxmlformats.org/officeDocument/2006/relationships/image" Target="media/image10.wmf"/><Relationship Id="rId229" Type="http://schemas.openxmlformats.org/officeDocument/2006/relationships/oleObject" Target="embeddings/oleObject125.bin"/><Relationship Id="rId228" Type="http://schemas.openxmlformats.org/officeDocument/2006/relationships/oleObject" Target="embeddings/oleObject124.bin"/><Relationship Id="rId227" Type="http://schemas.openxmlformats.org/officeDocument/2006/relationships/oleObject" Target="embeddings/oleObject123.bin"/><Relationship Id="rId226" Type="http://schemas.openxmlformats.org/officeDocument/2006/relationships/oleObject" Target="embeddings/oleObject122.bin"/><Relationship Id="rId225" Type="http://schemas.openxmlformats.org/officeDocument/2006/relationships/oleObject" Target="embeddings/oleObject121.bin"/><Relationship Id="rId224" Type="http://schemas.openxmlformats.org/officeDocument/2006/relationships/image" Target="media/image100.wmf"/><Relationship Id="rId223" Type="http://schemas.openxmlformats.org/officeDocument/2006/relationships/oleObject" Target="embeddings/oleObject120.bin"/><Relationship Id="rId222" Type="http://schemas.openxmlformats.org/officeDocument/2006/relationships/image" Target="media/image99.wmf"/><Relationship Id="rId221" Type="http://schemas.openxmlformats.org/officeDocument/2006/relationships/oleObject" Target="embeddings/oleObject119.bin"/><Relationship Id="rId220" Type="http://schemas.openxmlformats.org/officeDocument/2006/relationships/oleObject" Target="embeddings/oleObject118.bin"/><Relationship Id="rId22" Type="http://schemas.openxmlformats.org/officeDocument/2006/relationships/oleObject" Target="embeddings/oleObject9.bin"/><Relationship Id="rId219" Type="http://schemas.openxmlformats.org/officeDocument/2006/relationships/oleObject" Target="embeddings/oleObject117.bin"/><Relationship Id="rId218" Type="http://schemas.openxmlformats.org/officeDocument/2006/relationships/image" Target="media/image98.wmf"/><Relationship Id="rId217" Type="http://schemas.openxmlformats.org/officeDocument/2006/relationships/oleObject" Target="embeddings/oleObject116.bin"/><Relationship Id="rId216" Type="http://schemas.openxmlformats.org/officeDocument/2006/relationships/image" Target="media/image97.wmf"/><Relationship Id="rId215" Type="http://schemas.openxmlformats.org/officeDocument/2006/relationships/oleObject" Target="embeddings/oleObject115.bin"/><Relationship Id="rId214" Type="http://schemas.openxmlformats.org/officeDocument/2006/relationships/image" Target="media/image96.wmf"/><Relationship Id="rId213" Type="http://schemas.openxmlformats.org/officeDocument/2006/relationships/oleObject" Target="embeddings/oleObject114.bin"/><Relationship Id="rId212" Type="http://schemas.openxmlformats.org/officeDocument/2006/relationships/image" Target="media/image95.wmf"/><Relationship Id="rId211" Type="http://schemas.openxmlformats.org/officeDocument/2006/relationships/oleObject" Target="embeddings/oleObject113.bin"/><Relationship Id="rId210" Type="http://schemas.openxmlformats.org/officeDocument/2006/relationships/image" Target="media/image94.wmf"/><Relationship Id="rId21" Type="http://schemas.openxmlformats.org/officeDocument/2006/relationships/image" Target="media/image9.wmf"/><Relationship Id="rId209" Type="http://schemas.openxmlformats.org/officeDocument/2006/relationships/oleObject" Target="embeddings/oleObject112.bin"/><Relationship Id="rId208" Type="http://schemas.openxmlformats.org/officeDocument/2006/relationships/image" Target="media/image93.wmf"/><Relationship Id="rId207" Type="http://schemas.openxmlformats.org/officeDocument/2006/relationships/oleObject" Target="embeddings/oleObject111.bin"/><Relationship Id="rId206" Type="http://schemas.openxmlformats.org/officeDocument/2006/relationships/image" Target="media/image92.wmf"/><Relationship Id="rId205" Type="http://schemas.openxmlformats.org/officeDocument/2006/relationships/oleObject" Target="embeddings/oleObject110.bin"/><Relationship Id="rId204" Type="http://schemas.openxmlformats.org/officeDocument/2006/relationships/oleObject" Target="embeddings/oleObject109.bin"/><Relationship Id="rId203" Type="http://schemas.openxmlformats.org/officeDocument/2006/relationships/image" Target="media/image91.wmf"/><Relationship Id="rId202" Type="http://schemas.openxmlformats.org/officeDocument/2006/relationships/oleObject" Target="embeddings/oleObject108.bin"/><Relationship Id="rId201" Type="http://schemas.openxmlformats.org/officeDocument/2006/relationships/image" Target="media/image90.wmf"/><Relationship Id="rId200" Type="http://schemas.openxmlformats.org/officeDocument/2006/relationships/oleObject" Target="embeddings/oleObject107.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89.wmf"/><Relationship Id="rId198" Type="http://schemas.openxmlformats.org/officeDocument/2006/relationships/oleObject" Target="embeddings/oleObject106.bin"/><Relationship Id="rId197" Type="http://schemas.openxmlformats.org/officeDocument/2006/relationships/image" Target="media/image88.wmf"/><Relationship Id="rId196" Type="http://schemas.openxmlformats.org/officeDocument/2006/relationships/oleObject" Target="embeddings/oleObject105.bin"/><Relationship Id="rId195" Type="http://schemas.openxmlformats.org/officeDocument/2006/relationships/oleObject" Target="embeddings/oleObject104.bin"/><Relationship Id="rId194" Type="http://schemas.openxmlformats.org/officeDocument/2006/relationships/image" Target="media/image87.wmf"/><Relationship Id="rId193" Type="http://schemas.openxmlformats.org/officeDocument/2006/relationships/oleObject" Target="embeddings/oleObject103.bin"/><Relationship Id="rId192" Type="http://schemas.openxmlformats.org/officeDocument/2006/relationships/image" Target="media/image86.wmf"/><Relationship Id="rId191" Type="http://schemas.openxmlformats.org/officeDocument/2006/relationships/oleObject" Target="embeddings/oleObject102.bin"/><Relationship Id="rId190" Type="http://schemas.openxmlformats.org/officeDocument/2006/relationships/oleObject" Target="embeddings/oleObject101.bin"/><Relationship Id="rId19" Type="http://schemas.openxmlformats.org/officeDocument/2006/relationships/image" Target="media/image8.wmf"/><Relationship Id="rId189" Type="http://schemas.openxmlformats.org/officeDocument/2006/relationships/oleObject" Target="embeddings/oleObject100.bin"/><Relationship Id="rId188" Type="http://schemas.openxmlformats.org/officeDocument/2006/relationships/oleObject" Target="embeddings/oleObject99.bin"/><Relationship Id="rId187" Type="http://schemas.openxmlformats.org/officeDocument/2006/relationships/oleObject" Target="embeddings/oleObject98.bin"/><Relationship Id="rId186" Type="http://schemas.openxmlformats.org/officeDocument/2006/relationships/oleObject" Target="embeddings/oleObject97.bin"/><Relationship Id="rId185" Type="http://schemas.openxmlformats.org/officeDocument/2006/relationships/oleObject" Target="embeddings/oleObject96.bin"/><Relationship Id="rId184" Type="http://schemas.openxmlformats.org/officeDocument/2006/relationships/oleObject" Target="embeddings/oleObject95.bin"/><Relationship Id="rId183" Type="http://schemas.openxmlformats.org/officeDocument/2006/relationships/oleObject" Target="embeddings/oleObject94.bin"/><Relationship Id="rId182" Type="http://schemas.openxmlformats.org/officeDocument/2006/relationships/oleObject" Target="embeddings/oleObject93.bin"/><Relationship Id="rId181" Type="http://schemas.openxmlformats.org/officeDocument/2006/relationships/oleObject" Target="embeddings/oleObject92.bin"/><Relationship Id="rId180" Type="http://schemas.openxmlformats.org/officeDocument/2006/relationships/image" Target="media/image85.wmf"/><Relationship Id="rId18" Type="http://schemas.openxmlformats.org/officeDocument/2006/relationships/oleObject" Target="embeddings/oleObject7.bin"/><Relationship Id="rId179" Type="http://schemas.openxmlformats.org/officeDocument/2006/relationships/oleObject" Target="embeddings/oleObject91.bin"/><Relationship Id="rId178" Type="http://schemas.openxmlformats.org/officeDocument/2006/relationships/image" Target="media/image84.wmf"/><Relationship Id="rId177" Type="http://schemas.openxmlformats.org/officeDocument/2006/relationships/oleObject" Target="embeddings/oleObject90.bin"/><Relationship Id="rId176" Type="http://schemas.openxmlformats.org/officeDocument/2006/relationships/image" Target="media/image83.wmf"/><Relationship Id="rId175" Type="http://schemas.openxmlformats.org/officeDocument/2006/relationships/oleObject" Target="embeddings/oleObject89.bin"/><Relationship Id="rId174" Type="http://schemas.openxmlformats.org/officeDocument/2006/relationships/oleObject" Target="embeddings/oleObject88.bin"/><Relationship Id="rId173" Type="http://schemas.openxmlformats.org/officeDocument/2006/relationships/oleObject" Target="embeddings/oleObject87.bin"/><Relationship Id="rId172" Type="http://schemas.openxmlformats.org/officeDocument/2006/relationships/image" Target="media/image82.wmf"/><Relationship Id="rId171" Type="http://schemas.openxmlformats.org/officeDocument/2006/relationships/oleObject" Target="embeddings/oleObject86.bin"/><Relationship Id="rId170" Type="http://schemas.openxmlformats.org/officeDocument/2006/relationships/image" Target="media/image81.wmf"/><Relationship Id="rId17" Type="http://schemas.openxmlformats.org/officeDocument/2006/relationships/image" Target="media/image7.wmf"/><Relationship Id="rId169" Type="http://schemas.openxmlformats.org/officeDocument/2006/relationships/oleObject" Target="embeddings/oleObject85.bin"/><Relationship Id="rId168" Type="http://schemas.openxmlformats.org/officeDocument/2006/relationships/oleObject" Target="embeddings/oleObject84.bin"/><Relationship Id="rId167" Type="http://schemas.openxmlformats.org/officeDocument/2006/relationships/oleObject" Target="embeddings/oleObject83.bin"/><Relationship Id="rId166" Type="http://schemas.openxmlformats.org/officeDocument/2006/relationships/oleObject" Target="embeddings/oleObject82.bin"/><Relationship Id="rId165" Type="http://schemas.openxmlformats.org/officeDocument/2006/relationships/oleObject" Target="embeddings/oleObject81.bin"/><Relationship Id="rId164" Type="http://schemas.openxmlformats.org/officeDocument/2006/relationships/image" Target="media/image80.wmf"/><Relationship Id="rId163" Type="http://schemas.openxmlformats.org/officeDocument/2006/relationships/oleObject" Target="embeddings/oleObject80.bin"/><Relationship Id="rId162" Type="http://schemas.openxmlformats.org/officeDocument/2006/relationships/image" Target="media/image79.wmf"/><Relationship Id="rId161" Type="http://schemas.openxmlformats.org/officeDocument/2006/relationships/oleObject" Target="embeddings/oleObject79.bin"/><Relationship Id="rId160" Type="http://schemas.openxmlformats.org/officeDocument/2006/relationships/image" Target="media/image78.wmf"/><Relationship Id="rId16" Type="http://schemas.openxmlformats.org/officeDocument/2006/relationships/oleObject" Target="embeddings/oleObject6.bin"/><Relationship Id="rId159" Type="http://schemas.openxmlformats.org/officeDocument/2006/relationships/oleObject" Target="embeddings/oleObject78.bin"/><Relationship Id="rId158" Type="http://schemas.openxmlformats.org/officeDocument/2006/relationships/image" Target="media/image77.wmf"/><Relationship Id="rId157" Type="http://schemas.openxmlformats.org/officeDocument/2006/relationships/oleObject" Target="embeddings/oleObject77.bin"/><Relationship Id="rId156" Type="http://schemas.openxmlformats.org/officeDocument/2006/relationships/image" Target="media/image76.png"/><Relationship Id="rId155" Type="http://schemas.openxmlformats.org/officeDocument/2006/relationships/image" Target="media/image75.wmf"/><Relationship Id="rId154" Type="http://schemas.openxmlformats.org/officeDocument/2006/relationships/oleObject" Target="embeddings/oleObject76.bin"/><Relationship Id="rId153" Type="http://schemas.openxmlformats.org/officeDocument/2006/relationships/oleObject" Target="embeddings/oleObject75.bin"/><Relationship Id="rId152" Type="http://schemas.openxmlformats.org/officeDocument/2006/relationships/oleObject" Target="embeddings/oleObject74.bin"/><Relationship Id="rId151" Type="http://schemas.openxmlformats.org/officeDocument/2006/relationships/image" Target="media/image74.wmf"/><Relationship Id="rId150" Type="http://schemas.openxmlformats.org/officeDocument/2006/relationships/oleObject" Target="embeddings/oleObject73.bin"/><Relationship Id="rId15" Type="http://schemas.openxmlformats.org/officeDocument/2006/relationships/image" Target="media/image6.wmf"/><Relationship Id="rId149" Type="http://schemas.openxmlformats.org/officeDocument/2006/relationships/image" Target="media/image73.wmf"/><Relationship Id="rId148" Type="http://schemas.openxmlformats.org/officeDocument/2006/relationships/oleObject" Target="embeddings/oleObject72.bin"/><Relationship Id="rId147" Type="http://schemas.openxmlformats.org/officeDocument/2006/relationships/image" Target="media/image72.wmf"/><Relationship Id="rId146" Type="http://schemas.openxmlformats.org/officeDocument/2006/relationships/oleObject" Target="embeddings/oleObject71.bin"/><Relationship Id="rId145" Type="http://schemas.openxmlformats.org/officeDocument/2006/relationships/image" Target="media/image71.wmf"/><Relationship Id="rId144" Type="http://schemas.openxmlformats.org/officeDocument/2006/relationships/oleObject" Target="embeddings/oleObject70.bin"/><Relationship Id="rId143" Type="http://schemas.openxmlformats.org/officeDocument/2006/relationships/image" Target="media/image70.wmf"/><Relationship Id="rId142" Type="http://schemas.openxmlformats.org/officeDocument/2006/relationships/oleObject" Target="embeddings/oleObject69.bin"/><Relationship Id="rId141" Type="http://schemas.openxmlformats.org/officeDocument/2006/relationships/image" Target="media/image69.wmf"/><Relationship Id="rId140" Type="http://schemas.openxmlformats.org/officeDocument/2006/relationships/oleObject" Target="embeddings/oleObject68.bin"/><Relationship Id="rId14" Type="http://schemas.openxmlformats.org/officeDocument/2006/relationships/oleObject" Target="embeddings/oleObject5.bin"/><Relationship Id="rId139" Type="http://schemas.openxmlformats.org/officeDocument/2006/relationships/image" Target="media/image68.wmf"/><Relationship Id="rId138" Type="http://schemas.openxmlformats.org/officeDocument/2006/relationships/oleObject" Target="embeddings/oleObject67.bin"/><Relationship Id="rId137" Type="http://schemas.openxmlformats.org/officeDocument/2006/relationships/image" Target="media/image67.wmf"/><Relationship Id="rId136" Type="http://schemas.openxmlformats.org/officeDocument/2006/relationships/oleObject" Target="embeddings/oleObject66.bin"/><Relationship Id="rId135" Type="http://schemas.openxmlformats.org/officeDocument/2006/relationships/image" Target="media/image66.wmf"/><Relationship Id="rId134" Type="http://schemas.openxmlformats.org/officeDocument/2006/relationships/oleObject" Target="embeddings/oleObject65.bin"/><Relationship Id="rId133" Type="http://schemas.openxmlformats.org/officeDocument/2006/relationships/image" Target="media/image65.wmf"/><Relationship Id="rId132" Type="http://schemas.openxmlformats.org/officeDocument/2006/relationships/oleObject" Target="embeddings/oleObject64.bin"/><Relationship Id="rId131" Type="http://schemas.openxmlformats.org/officeDocument/2006/relationships/image" Target="media/image64.wmf"/><Relationship Id="rId130" Type="http://schemas.openxmlformats.org/officeDocument/2006/relationships/oleObject" Target="embeddings/oleObject63.bin"/><Relationship Id="rId13" Type="http://schemas.openxmlformats.org/officeDocument/2006/relationships/image" Target="media/image5.wmf"/><Relationship Id="rId129" Type="http://schemas.openxmlformats.org/officeDocument/2006/relationships/image" Target="media/image63.wmf"/><Relationship Id="rId128" Type="http://schemas.openxmlformats.org/officeDocument/2006/relationships/oleObject" Target="embeddings/oleObject62.bin"/><Relationship Id="rId127" Type="http://schemas.openxmlformats.org/officeDocument/2006/relationships/image" Target="media/image62.wmf"/><Relationship Id="rId126" Type="http://schemas.openxmlformats.org/officeDocument/2006/relationships/oleObject" Target="embeddings/oleObject61.bin"/><Relationship Id="rId125" Type="http://schemas.openxmlformats.org/officeDocument/2006/relationships/image" Target="media/image61.wmf"/><Relationship Id="rId124" Type="http://schemas.openxmlformats.org/officeDocument/2006/relationships/oleObject" Target="embeddings/oleObject60.bin"/><Relationship Id="rId123" Type="http://schemas.openxmlformats.org/officeDocument/2006/relationships/image" Target="media/image60.wmf"/><Relationship Id="rId122" Type="http://schemas.openxmlformats.org/officeDocument/2006/relationships/oleObject" Target="embeddings/oleObject59.bin"/><Relationship Id="rId121" Type="http://schemas.openxmlformats.org/officeDocument/2006/relationships/image" Target="media/image59.wmf"/><Relationship Id="rId120" Type="http://schemas.openxmlformats.org/officeDocument/2006/relationships/oleObject" Target="embeddings/oleObject58.bin"/><Relationship Id="rId12" Type="http://schemas.openxmlformats.org/officeDocument/2006/relationships/oleObject" Target="embeddings/oleObject4.bin"/><Relationship Id="rId119" Type="http://schemas.openxmlformats.org/officeDocument/2006/relationships/image" Target="media/image58.wmf"/><Relationship Id="rId118" Type="http://schemas.openxmlformats.org/officeDocument/2006/relationships/oleObject" Target="embeddings/oleObject57.bin"/><Relationship Id="rId117" Type="http://schemas.openxmlformats.org/officeDocument/2006/relationships/image" Target="media/image57.wmf"/><Relationship Id="rId116" Type="http://schemas.openxmlformats.org/officeDocument/2006/relationships/oleObject" Target="embeddings/oleObject56.bin"/><Relationship Id="rId115" Type="http://schemas.openxmlformats.org/officeDocument/2006/relationships/image" Target="media/image56.wmf"/><Relationship Id="rId114" Type="http://schemas.openxmlformats.org/officeDocument/2006/relationships/oleObject" Target="embeddings/oleObject55.bin"/><Relationship Id="rId113" Type="http://schemas.openxmlformats.org/officeDocument/2006/relationships/image" Target="media/image55.wmf"/><Relationship Id="rId112" Type="http://schemas.openxmlformats.org/officeDocument/2006/relationships/oleObject" Target="embeddings/oleObject54.bin"/><Relationship Id="rId111" Type="http://schemas.openxmlformats.org/officeDocument/2006/relationships/image" Target="media/image54.wmf"/><Relationship Id="rId110" Type="http://schemas.openxmlformats.org/officeDocument/2006/relationships/oleObject" Target="embeddings/oleObject53.bin"/><Relationship Id="rId11" Type="http://schemas.openxmlformats.org/officeDocument/2006/relationships/image" Target="media/image4.wmf"/><Relationship Id="rId109" Type="http://schemas.openxmlformats.org/officeDocument/2006/relationships/image" Target="media/image53.wmf"/><Relationship Id="rId108" Type="http://schemas.openxmlformats.org/officeDocument/2006/relationships/oleObject" Target="embeddings/oleObject52.bin"/><Relationship Id="rId107" Type="http://schemas.openxmlformats.org/officeDocument/2006/relationships/image" Target="media/image52.wmf"/><Relationship Id="rId106" Type="http://schemas.openxmlformats.org/officeDocument/2006/relationships/oleObject" Target="embeddings/oleObject51.bin"/><Relationship Id="rId105" Type="http://schemas.openxmlformats.org/officeDocument/2006/relationships/image" Target="media/image51.wmf"/><Relationship Id="rId104" Type="http://schemas.openxmlformats.org/officeDocument/2006/relationships/oleObject" Target="embeddings/oleObject50.bin"/><Relationship Id="rId103" Type="http://schemas.openxmlformats.org/officeDocument/2006/relationships/image" Target="media/image50.wmf"/><Relationship Id="rId102" Type="http://schemas.openxmlformats.org/officeDocument/2006/relationships/oleObject" Target="embeddings/oleObject49.bin"/><Relationship Id="rId101" Type="http://schemas.openxmlformats.org/officeDocument/2006/relationships/image" Target="media/image49.wmf"/><Relationship Id="rId100" Type="http://schemas.openxmlformats.org/officeDocument/2006/relationships/oleObject" Target="embeddings/oleObject48.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43"/>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2F204A-1C4A-4F76-940A-2AEB401AD7AF}">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131</Pages>
  <Words>14059</Words>
  <Characters>80139</Characters>
  <Lines>667</Lines>
  <Paragraphs>188</Paragraphs>
  <TotalTime>12</TotalTime>
  <ScaleCrop>false</ScaleCrop>
  <LinksUpToDate>false</LinksUpToDate>
  <CharactersWithSpaces>94010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2019-09-21T01:08:00Z</dcterms:created>
  <dc:creator>Sky123.Org</dc:creator>
  <cp:lastModifiedBy>Administrator</cp:lastModifiedBy>
  <cp:lastPrinted>2019-07-23T07:32:00Z</cp:lastPrinted>
  <dcterms:modified xsi:type="dcterms:W3CDTF">2019-11-27T02:16:26Z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74773afd-fb7e-4712-b7f7-a13dafa59b6a</vt:lpwstr>
  </property>
  <property fmtid="{D5CDD505-2E9C-101B-9397-08002B2CF9AE}" pid="3" name="DSMClassification">
    <vt:lpwstr>PUBLIC</vt:lpwstr>
  </property>
  <property fmtid="{D5CDD505-2E9C-101B-9397-08002B2CF9AE}" pid="4" name="KSOProductBuildVer">
    <vt:lpwstr>2052-11.1.0.9208</vt:lpwstr>
  </property>
</Properties>
</file>