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28"/>
          <w:szCs w:val="28"/>
          <w:u w:val="single"/>
        </w:rPr>
      </w:pPr>
      <w:bookmarkStart w:id="0" w:name="_Toc18493265"/>
      <w:r>
        <w:rPr>
          <w:rFonts w:ascii="黑体" w:hAnsi="黑体" w:eastAsia="黑体"/>
          <w:sz w:val="28"/>
          <w:szCs w:val="28"/>
          <w:u w:val="single"/>
        </w:rPr>
        <w:t>T C</w:t>
      </w:r>
      <w:r>
        <w:rPr>
          <w:rFonts w:hint="eastAsia" w:ascii="黑体" w:hAnsi="黑体" w:eastAsia="黑体"/>
          <w:sz w:val="28"/>
          <w:szCs w:val="28"/>
          <w:u w:val="single"/>
        </w:rPr>
        <w:t>ECS XXX</w:t>
      </w:r>
      <w:r>
        <w:rPr>
          <w:rFonts w:ascii="黑体" w:hAnsi="黑体" w:eastAsia="黑体"/>
          <w:sz w:val="28"/>
          <w:szCs w:val="28"/>
          <w:u w:val="single"/>
        </w:rPr>
        <w:t>-</w:t>
      </w:r>
      <w:r>
        <w:rPr>
          <w:rFonts w:hint="eastAsia" w:ascii="黑体" w:hAnsi="黑体" w:eastAsia="黑体"/>
          <w:sz w:val="28"/>
          <w:szCs w:val="28"/>
          <w:u w:val="single"/>
        </w:rPr>
        <w:t xml:space="preserve">2019                              </w:t>
      </w:r>
    </w:p>
    <w:p/>
    <w:p>
      <w:pPr>
        <w:pStyle w:val="2"/>
        <w:jc w:val="center"/>
        <w:rPr>
          <w:rFonts w:ascii="黑体" w:hAnsi="黑体" w:eastAsia="黑体"/>
          <w:sz w:val="32"/>
          <w:szCs w:val="32"/>
        </w:rPr>
      </w:pPr>
      <w:bookmarkStart w:id="1" w:name="_Toc18493968"/>
      <w:bookmarkStart w:id="2" w:name="_Toc28706867"/>
      <w:bookmarkStart w:id="3" w:name="_Toc18507177"/>
      <w:bookmarkStart w:id="4" w:name="_Toc18493246"/>
      <w:r>
        <w:rPr>
          <w:rFonts w:hint="eastAsia" w:ascii="黑体" w:hAnsi="黑体" w:eastAsia="黑体"/>
          <w:sz w:val="32"/>
          <w:szCs w:val="32"/>
        </w:rPr>
        <w:t>中国工程建设标准化协会标准</w:t>
      </w:r>
      <w:bookmarkEnd w:id="1"/>
      <w:bookmarkEnd w:id="2"/>
      <w:bookmarkEnd w:id="3"/>
      <w:bookmarkEnd w:id="4"/>
    </w:p>
    <w:p/>
    <w:p>
      <w:pPr>
        <w:pStyle w:val="2"/>
        <w:jc w:val="center"/>
        <w:rPr>
          <w:rFonts w:ascii="黑体" w:hAnsi="黑体" w:eastAsia="黑体"/>
        </w:rPr>
      </w:pPr>
      <w:bookmarkStart w:id="5" w:name="_Toc18507178"/>
      <w:bookmarkStart w:id="6" w:name="_Toc18493969"/>
      <w:bookmarkStart w:id="7" w:name="_Toc28706868"/>
      <w:bookmarkStart w:id="8" w:name="_Toc18493247"/>
      <w:r>
        <w:rPr>
          <w:rFonts w:hint="eastAsia" w:ascii="黑体" w:hAnsi="黑体" w:eastAsia="黑体"/>
        </w:rPr>
        <w:t>波纹钢组合框架结构技术规程</w:t>
      </w:r>
      <w:bookmarkEnd w:id="5"/>
      <w:bookmarkEnd w:id="6"/>
      <w:bookmarkEnd w:id="7"/>
      <w:bookmarkEnd w:id="8"/>
    </w:p>
    <w:p>
      <w:pPr>
        <w:jc w:val="center"/>
      </w:pPr>
      <w:r>
        <w:rPr>
          <w:rFonts w:hint="eastAsia"/>
          <w:b/>
          <w:bCs/>
          <w:sz w:val="32"/>
          <w:szCs w:val="32"/>
        </w:rPr>
        <w:t xml:space="preserve">    </w:t>
      </w:r>
      <w:r>
        <w:t>Technical Specification for Frame Structures with Corrugated</w:t>
      </w:r>
    </w:p>
    <w:p>
      <w:pPr>
        <w:jc w:val="center"/>
      </w:pPr>
      <w:r>
        <w:t>Steel Plate Components</w:t>
      </w:r>
    </w:p>
    <w:p>
      <w:pPr>
        <w:rPr>
          <w:sz w:val="32"/>
          <w:szCs w:val="32"/>
        </w:rPr>
      </w:pPr>
    </w:p>
    <w:p>
      <w:pPr>
        <w:jc w:val="center"/>
        <w:rPr>
          <w:rFonts w:ascii="黑体" w:hAnsi="黑体" w:eastAsia="黑体"/>
          <w:sz w:val="28"/>
          <w:szCs w:val="28"/>
        </w:rPr>
      </w:pPr>
      <w:r>
        <w:rPr>
          <w:rFonts w:hint="eastAsia" w:ascii="黑体" w:hAnsi="黑体" w:eastAsia="黑体"/>
          <w:sz w:val="28"/>
          <w:szCs w:val="28"/>
        </w:rPr>
        <w:t>(征求意见稿)</w:t>
      </w:r>
    </w:p>
    <w:p>
      <w:pPr>
        <w:widowControl/>
        <w:jc w:val="left"/>
        <w:rPr>
          <w:sz w:val="36"/>
          <w:szCs w:val="36"/>
        </w:rPr>
      </w:pPr>
      <w:r>
        <w:rPr>
          <w:sz w:val="36"/>
          <w:szCs w:val="36"/>
        </w:rPr>
        <w:br w:type="page"/>
      </w:r>
    </w:p>
    <w:p>
      <w:pPr>
        <w:jc w:val="center"/>
        <w:rPr>
          <w:rFonts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中国工程建设标准化协会标准</w:t>
      </w:r>
    </w:p>
    <w:p>
      <w:pPr>
        <w:jc w:val="center"/>
        <w:rPr>
          <w:rFonts w:ascii="黑体" w:hAnsi="黑体" w:eastAsia="黑体"/>
          <w:sz w:val="32"/>
          <w:szCs w:val="32"/>
        </w:rPr>
      </w:pPr>
      <w:r>
        <w:rPr>
          <w:rFonts w:hint="eastAsia" w:ascii="黑体" w:hAnsi="黑体" w:eastAsia="黑体"/>
          <w:sz w:val="32"/>
          <w:szCs w:val="32"/>
        </w:rPr>
        <w:t>波纹钢组合框架结构技术规程</w:t>
      </w:r>
    </w:p>
    <w:p>
      <w:pPr>
        <w:jc w:val="center"/>
      </w:pPr>
      <w:r>
        <w:t>Technical Specification for Frame Structures with Corrugated</w:t>
      </w:r>
    </w:p>
    <w:p>
      <w:pPr>
        <w:jc w:val="center"/>
      </w:pPr>
      <w:r>
        <w:t>Steel Plate Components</w:t>
      </w:r>
    </w:p>
    <w:p>
      <w:pPr>
        <w:jc w:val="center"/>
        <w:rPr>
          <w:rFonts w:ascii="黑体" w:hAnsi="黑体" w:eastAsia="黑体"/>
          <w:sz w:val="32"/>
          <w:szCs w:val="32"/>
        </w:rPr>
      </w:pPr>
    </w:p>
    <w:p>
      <w:pPr>
        <w:jc w:val="center"/>
        <w:rPr>
          <w:rFonts w:ascii="黑体" w:hAnsi="黑体" w:eastAsia="黑体"/>
          <w:szCs w:val="21"/>
        </w:rPr>
      </w:pPr>
      <w:r>
        <w:rPr>
          <w:rFonts w:hint="eastAsia" w:ascii="黑体" w:hAnsi="黑体" w:eastAsia="黑体"/>
          <w:szCs w:val="21"/>
        </w:rPr>
        <w:t>T</w:t>
      </w:r>
      <w:r>
        <w:rPr>
          <w:rFonts w:ascii="黑体" w:hAnsi="黑体" w:eastAsia="黑体"/>
          <w:szCs w:val="21"/>
        </w:rPr>
        <w:t>CECS XXX-2019</w:t>
      </w:r>
    </w:p>
    <w:p>
      <w:pPr>
        <w:jc w:val="center"/>
        <w:rPr>
          <w:rFonts w:ascii="黑体" w:hAnsi="黑体" w:eastAsia="黑体"/>
          <w:szCs w:val="21"/>
        </w:rPr>
      </w:pPr>
    </w:p>
    <w:p>
      <w:pPr>
        <w:ind w:firstLine="1470" w:firstLineChars="700"/>
        <w:rPr>
          <w:rFonts w:ascii="宋体" w:hAnsi="宋体" w:eastAsia="宋体"/>
          <w:szCs w:val="21"/>
        </w:rPr>
      </w:pPr>
      <w:r>
        <w:rPr>
          <w:rFonts w:hint="eastAsia" w:ascii="宋体" w:hAnsi="宋体" w:eastAsia="宋体"/>
          <w:szCs w:val="21"/>
        </w:rPr>
        <w:t>主编单位：上海欧本钢结构有限公司</w:t>
      </w:r>
    </w:p>
    <w:p>
      <w:pPr>
        <w:ind w:firstLine="1470" w:firstLineChars="700"/>
        <w:rPr>
          <w:rFonts w:ascii="宋体" w:hAnsi="宋体" w:eastAsia="宋体"/>
          <w:szCs w:val="21"/>
        </w:rPr>
      </w:pPr>
      <w:r>
        <w:rPr>
          <w:rFonts w:hint="eastAsia" w:ascii="宋体" w:hAnsi="宋体" w:eastAsia="宋体"/>
          <w:szCs w:val="21"/>
        </w:rPr>
        <w:t>批准部门：中国工程建设标准化协会</w:t>
      </w:r>
    </w:p>
    <w:p>
      <w:pPr>
        <w:ind w:firstLine="1470" w:firstLineChars="700"/>
        <w:rPr>
          <w:rFonts w:ascii="宋体" w:hAnsi="宋体" w:eastAsia="宋体"/>
          <w:szCs w:val="21"/>
        </w:rPr>
      </w:pPr>
      <w:r>
        <w:rPr>
          <w:rFonts w:hint="eastAsia" w:ascii="宋体" w:hAnsi="宋体" w:eastAsia="宋体"/>
          <w:szCs w:val="21"/>
        </w:rPr>
        <w:t>施行日期：X</w:t>
      </w:r>
      <w:r>
        <w:rPr>
          <w:rFonts w:ascii="宋体" w:hAnsi="宋体" w:eastAsia="宋体"/>
          <w:szCs w:val="21"/>
        </w:rPr>
        <w:t>XXX</w:t>
      </w:r>
      <w:r>
        <w:rPr>
          <w:rFonts w:hint="eastAsia" w:ascii="宋体" w:hAnsi="宋体" w:eastAsia="宋体"/>
          <w:szCs w:val="21"/>
        </w:rPr>
        <w:t>年X</w:t>
      </w:r>
      <w:r>
        <w:rPr>
          <w:rFonts w:ascii="宋体" w:hAnsi="宋体" w:eastAsia="宋体"/>
          <w:szCs w:val="21"/>
        </w:rPr>
        <w:t>X</w:t>
      </w:r>
      <w:r>
        <w:rPr>
          <w:rFonts w:hint="eastAsia" w:ascii="宋体" w:hAnsi="宋体" w:eastAsia="宋体"/>
          <w:szCs w:val="21"/>
        </w:rPr>
        <w:t>月X</w:t>
      </w:r>
      <w:r>
        <w:rPr>
          <w:rFonts w:ascii="宋体" w:hAnsi="宋体" w:eastAsia="宋体"/>
          <w:szCs w:val="21"/>
        </w:rPr>
        <w:t>X</w:t>
      </w:r>
      <w:r>
        <w:rPr>
          <w:rFonts w:hint="eastAsia" w:ascii="宋体" w:hAnsi="宋体" w:eastAsia="宋体"/>
          <w:szCs w:val="21"/>
        </w:rPr>
        <w:t>日</w:t>
      </w:r>
    </w:p>
    <w:p>
      <w:pPr>
        <w:widowControl/>
        <w:jc w:val="left"/>
        <w:rPr>
          <w:rFonts w:asciiTheme="minorEastAsia" w:hAnsiTheme="minorEastAsia"/>
          <w:sz w:val="28"/>
          <w:szCs w:val="28"/>
        </w:rPr>
      </w:pPr>
      <w:r>
        <w:rPr>
          <w:rFonts w:asciiTheme="minorEastAsia" w:hAnsiTheme="minorEastAsia"/>
          <w:sz w:val="28"/>
          <w:szCs w:val="28"/>
        </w:rPr>
        <w:br w:type="page"/>
      </w:r>
    </w:p>
    <w:p>
      <w:pPr>
        <w:pStyle w:val="21"/>
        <w:rPr>
          <w:rFonts w:ascii="黑体" w:hAnsi="黑体" w:eastAsia="黑体"/>
          <w:sz w:val="28"/>
          <w:szCs w:val="28"/>
        </w:rPr>
      </w:pPr>
      <w:bookmarkStart w:id="9" w:name="_Toc28706869"/>
      <w:bookmarkStart w:id="10" w:name="_Toc18493970"/>
      <w:bookmarkStart w:id="11" w:name="_Toc18507179"/>
      <w:bookmarkStart w:id="12" w:name="_Toc26202195"/>
      <w:bookmarkStart w:id="13" w:name="_Toc18493248"/>
      <w:r>
        <w:rPr>
          <w:rFonts w:hint="eastAsia" w:ascii="黑体" w:hAnsi="黑体" w:eastAsia="黑体"/>
          <w:sz w:val="28"/>
          <w:szCs w:val="28"/>
        </w:rPr>
        <w:t>前言</w:t>
      </w:r>
      <w:bookmarkEnd w:id="9"/>
      <w:bookmarkEnd w:id="10"/>
      <w:bookmarkEnd w:id="11"/>
      <w:bookmarkEnd w:id="12"/>
      <w:bookmarkEnd w:id="13"/>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为规范波纹钢板组合框架结构在建筑工程中的应用，规程编制组经过广泛调查研究，进行大量试验分析，参考了国内外近期的研究成果，认真总结工程实践经验，并在广泛征求意见的基础上制定了本规程。</w:t>
      </w:r>
    </w:p>
    <w:p>
      <w:pPr>
        <w:ind w:firstLine="420" w:firstLineChars="200"/>
        <w:rPr>
          <w:rFonts w:hint="eastAsia" w:asciiTheme="minorEastAsia" w:hAnsiTheme="minorEastAsia" w:cstheme="minorEastAsia"/>
          <w:szCs w:val="21"/>
        </w:rPr>
      </w:pPr>
      <w:r>
        <w:rPr>
          <w:rFonts w:hint="eastAsia" w:asciiTheme="minorEastAsia" w:hAnsiTheme="minorEastAsia"/>
          <w:szCs w:val="21"/>
        </w:rPr>
        <w:t>本规程主要技术内容包括：</w:t>
      </w:r>
      <w:r>
        <w:rPr>
          <w:rFonts w:hint="eastAsia" w:asciiTheme="minorEastAsia" w:hAnsiTheme="minorEastAsia" w:cstheme="minorEastAsia"/>
          <w:szCs w:val="21"/>
        </w:rPr>
        <w:t>1.总则；2.术语和符号；3.基本规定；4.结构分析；5.甲壳梁、优端梁设计；6.甲壳柱设计；7.构件及节点抗震设计；8.防护设计;9.制作与施工；10. 质量验收。</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本规程某些内容涉及专利，涉及专利的具体技术问题，使用者可直接与本规程的主编单位协商处理，本规程的发布机构不承担识别专利的责任。</w:t>
      </w:r>
    </w:p>
    <w:p>
      <w:pPr>
        <w:ind w:firstLine="409" w:firstLineChars="195"/>
        <w:rPr>
          <w:rFonts w:asciiTheme="minorEastAsia" w:hAnsiTheme="minorEastAsia" w:cstheme="minorEastAsia"/>
          <w:szCs w:val="21"/>
        </w:rPr>
      </w:pPr>
      <w:r>
        <w:rPr>
          <w:rFonts w:hint="eastAsia" w:asciiTheme="minorEastAsia" w:hAnsiTheme="minorEastAsia" w:cstheme="minorEastAsia"/>
          <w:szCs w:val="21"/>
        </w:rPr>
        <w:t>本规程由</w:t>
      </w:r>
      <w:r>
        <w:rPr>
          <w:rFonts w:hint="eastAsia" w:asciiTheme="minorEastAsia" w:hAnsiTheme="minorEastAsia" w:cstheme="minorEastAsia"/>
          <w:szCs w:val="21"/>
          <w:lang w:eastAsia="zh-CN"/>
        </w:rPr>
        <w:t>中国工程建设标准化协会归口</w:t>
      </w:r>
      <w:r>
        <w:rPr>
          <w:rFonts w:hint="eastAsia" w:asciiTheme="minorEastAsia" w:hAnsiTheme="minorEastAsia" w:cstheme="minorEastAsia"/>
          <w:szCs w:val="21"/>
        </w:rPr>
        <w:t>管理，由上海欧本钢结构有限公司负责具体技术内容的解释，使用过程中如有意见或建议，请寄送上海欧本钢结构有限公司（地址：上海市浦东新区茂兴路8</w:t>
      </w:r>
      <w:r>
        <w:rPr>
          <w:rFonts w:asciiTheme="minorEastAsia" w:hAnsiTheme="minorEastAsia" w:cstheme="minorEastAsia"/>
          <w:szCs w:val="21"/>
        </w:rPr>
        <w:t>8</w:t>
      </w:r>
      <w:r>
        <w:rPr>
          <w:rFonts w:hint="eastAsia" w:asciiTheme="minorEastAsia" w:hAnsiTheme="minorEastAsia" w:cstheme="minorEastAsia"/>
          <w:szCs w:val="21"/>
        </w:rPr>
        <w:t>号2楼，邮政编码：</w:t>
      </w:r>
      <w:r>
        <w:rPr>
          <w:rFonts w:asciiTheme="minorEastAsia" w:hAnsiTheme="minorEastAsia" w:cstheme="minorEastAsia"/>
          <w:szCs w:val="21"/>
        </w:rPr>
        <w:t>200127</w:t>
      </w:r>
      <w:r>
        <w:rPr>
          <w:rFonts w:hint="eastAsia" w:asciiTheme="minorEastAsia" w:hAnsiTheme="minorEastAsia" w:cstheme="minorEastAsia"/>
          <w:szCs w:val="21"/>
        </w:rPr>
        <w:t>）。</w:t>
      </w:r>
    </w:p>
    <w:p/>
    <w:p>
      <w:pPr>
        <w:ind w:firstLine="1050" w:firstLineChars="500"/>
        <w:rPr>
          <w:rFonts w:ascii="黑体" w:hAnsi="黑体" w:eastAsia="黑体"/>
          <w:szCs w:val="21"/>
        </w:rPr>
      </w:pPr>
      <w:r>
        <w:rPr>
          <w:rFonts w:hint="eastAsia" w:ascii="黑体" w:hAnsi="黑体" w:eastAsia="黑体"/>
          <w:szCs w:val="21"/>
        </w:rPr>
        <w:t xml:space="preserve">主编单位：上海欧本钢结构有限公司 </w:t>
      </w:r>
    </w:p>
    <w:p>
      <w:pPr>
        <w:rPr>
          <w:sz w:val="24"/>
          <w:szCs w:val="24"/>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江南大学</w:t>
      </w:r>
    </w:p>
    <w:p>
      <w:pPr>
        <w:ind w:firstLine="1050" w:firstLineChars="500"/>
        <w:rPr>
          <w:rFonts w:ascii="黑体" w:hAnsi="黑体" w:eastAsia="黑体"/>
          <w:szCs w:val="21"/>
        </w:rPr>
      </w:pPr>
      <w:r>
        <w:rPr>
          <w:rFonts w:hint="eastAsia" w:ascii="黑体" w:hAnsi="黑体" w:eastAsia="黑体"/>
          <w:szCs w:val="21"/>
        </w:rPr>
        <w:t>参编单位：上海应用技术大学</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 xml:space="preserve"> 郑州大学</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中国海诚工程科技股份有限公司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 xml:space="preserve"> 华东建筑设计研究总院</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同济大学建筑设计研究院</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 xml:space="preserve"> 中机中联工程有限公司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上海市机电设计研究院有限公司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中国建筑设计研究院有限公司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上海联境建筑工程设计有限公司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上海天华建筑设计有限公司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北京工业大学</w:t>
      </w:r>
    </w:p>
    <w:p>
      <w:pPr>
        <w:rPr>
          <w:rFonts w:hint="default" w:ascii="黑体" w:hAnsi="黑体" w:eastAsia="黑体"/>
          <w:szCs w:val="21"/>
          <w:lang w:val="en-US" w:eastAsia="zh-CN"/>
        </w:rPr>
      </w:pP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lang w:val="en-US" w:eastAsia="zh-CN"/>
        </w:rPr>
        <w:t xml:space="preserve"> </w:t>
      </w:r>
      <w:r>
        <w:rPr>
          <w:rFonts w:hint="eastAsia" w:ascii="黑体" w:hAnsi="黑体" w:eastAsia="黑体"/>
          <w:szCs w:val="21"/>
        </w:rPr>
        <w:t>上海联创设计</w:t>
      </w:r>
      <w:r>
        <w:rPr>
          <w:rFonts w:hint="eastAsia" w:ascii="黑体" w:hAnsi="黑体" w:eastAsia="黑体"/>
          <w:szCs w:val="21"/>
          <w:lang w:val="en-US" w:eastAsia="zh-CN"/>
        </w:rPr>
        <w:t>集团股份有限公司</w:t>
      </w:r>
    </w:p>
    <w:p>
      <w:pPr>
        <w:rPr>
          <w:rFonts w:ascii="黑体" w:hAnsi="黑体" w:eastAsia="黑体"/>
          <w:szCs w:val="21"/>
        </w:rPr>
      </w:pPr>
      <w:r>
        <w:rPr>
          <w:rFonts w:hint="eastAsia" w:ascii="黑体" w:hAnsi="黑体" w:eastAsia="黑体"/>
          <w:szCs w:val="21"/>
        </w:rPr>
        <w:t xml:space="preserve"> </w:t>
      </w:r>
      <w:r>
        <w:rPr>
          <w:rFonts w:ascii="黑体" w:hAnsi="黑体" w:eastAsia="黑体"/>
          <w:szCs w:val="21"/>
        </w:rPr>
        <w:t xml:space="preserve">                  </w:t>
      </w:r>
    </w:p>
    <w:p>
      <w:pPr>
        <w:ind w:left="1940" w:leftChars="174" w:hanging="1575" w:hangingChars="750"/>
        <w:jc w:val="center"/>
        <w:rPr>
          <w:rFonts w:ascii="黑体" w:hAnsi="黑体" w:eastAsia="黑体"/>
          <w:szCs w:val="21"/>
        </w:rPr>
      </w:pPr>
      <w:r>
        <w:rPr>
          <w:rFonts w:hint="eastAsia" w:ascii="黑体" w:hAnsi="黑体" w:eastAsia="黑体"/>
          <w:szCs w:val="21"/>
        </w:rPr>
        <w:t>主要起草人员：</w:t>
      </w:r>
      <w:bookmarkStart w:id="14" w:name="_Hlk26530291"/>
      <w:r>
        <w:rPr>
          <w:rFonts w:hint="eastAsia" w:ascii="黑体" w:hAnsi="黑体" w:eastAsia="黑体"/>
          <w:szCs w:val="21"/>
        </w:rPr>
        <w:t xml:space="preserve">邹 </w:t>
      </w:r>
      <w:r>
        <w:rPr>
          <w:rFonts w:ascii="黑体" w:hAnsi="黑体" w:eastAsia="黑体"/>
          <w:szCs w:val="21"/>
        </w:rPr>
        <w:t xml:space="preserve"> </w:t>
      </w:r>
      <w:r>
        <w:rPr>
          <w:rFonts w:hint="eastAsia" w:ascii="黑体" w:hAnsi="黑体" w:eastAsia="黑体"/>
          <w:szCs w:val="21"/>
        </w:rPr>
        <w:t>昀</w:t>
      </w:r>
      <w:bookmarkEnd w:id="14"/>
      <w:r>
        <w:rPr>
          <w:rFonts w:hint="eastAsia" w:ascii="黑体" w:hAnsi="黑体" w:eastAsia="黑体"/>
          <w:szCs w:val="21"/>
        </w:rPr>
        <w:t xml:space="preserve"> 陈 </w:t>
      </w:r>
      <w:r>
        <w:rPr>
          <w:rFonts w:ascii="黑体" w:hAnsi="黑体" w:eastAsia="黑体"/>
          <w:szCs w:val="21"/>
        </w:rPr>
        <w:t xml:space="preserve"> </w:t>
      </w:r>
      <w:r>
        <w:rPr>
          <w:rFonts w:hint="eastAsia" w:ascii="黑体" w:hAnsi="黑体" w:eastAsia="黑体"/>
          <w:szCs w:val="21"/>
        </w:rPr>
        <w:t xml:space="preserve">明 吴艺超 王城泉 胡大柱 </w:t>
      </w:r>
      <w:r>
        <w:rPr>
          <w:rFonts w:ascii="黑体" w:hAnsi="黑体" w:eastAsia="黑体"/>
          <w:szCs w:val="21"/>
        </w:rPr>
        <w:t xml:space="preserve"> </w:t>
      </w:r>
      <w:r>
        <w:rPr>
          <w:rFonts w:hint="eastAsia" w:ascii="黑体" w:hAnsi="黑体" w:eastAsia="黑体"/>
          <w:szCs w:val="21"/>
        </w:rPr>
        <w:t>张 哲</w:t>
      </w:r>
    </w:p>
    <w:p>
      <w:pPr>
        <w:ind w:left="1995" w:leftChars="950"/>
        <w:jc w:val="left"/>
        <w:rPr>
          <w:rFonts w:ascii="黑体" w:hAnsi="黑体" w:eastAsia="黑体"/>
          <w:szCs w:val="21"/>
        </w:rPr>
      </w:pPr>
      <w:r>
        <w:rPr>
          <w:rFonts w:hint="eastAsia" w:ascii="黑体" w:hAnsi="黑体" w:eastAsia="黑体"/>
          <w:szCs w:val="21"/>
        </w:rPr>
        <w:t>徐灵通 包联进 吴宏磊 向渊明 汪  崖 李天</w:t>
      </w:r>
      <w:r>
        <w:rPr>
          <w:rFonts w:hint="eastAsia" w:ascii="黑体" w:hAnsi="黑体" w:eastAsia="黑体"/>
          <w:szCs w:val="21"/>
          <w:lang w:eastAsia="zh-CN"/>
        </w:rPr>
        <w:t>祺</w:t>
      </w:r>
      <w:r>
        <w:rPr>
          <w:rFonts w:hint="eastAsia" w:ascii="黑体" w:hAnsi="黑体" w:eastAsia="黑体"/>
          <w:szCs w:val="21"/>
        </w:rPr>
        <w:t xml:space="preserve">梁淑萍 霍文营 曾朝杰 李伟兴 曹万林 魏丰登 </w:t>
      </w:r>
    </w:p>
    <w:p>
      <w:pPr>
        <w:ind w:left="1995" w:leftChars="950"/>
        <w:jc w:val="left"/>
        <w:rPr>
          <w:rFonts w:ascii="黑体" w:hAnsi="黑体" w:eastAsia="黑体"/>
          <w:szCs w:val="21"/>
        </w:rPr>
      </w:pPr>
      <w:r>
        <w:rPr>
          <w:rFonts w:hint="eastAsia" w:ascii="黑体" w:hAnsi="黑体" w:eastAsia="黑体"/>
          <w:szCs w:val="21"/>
        </w:rPr>
        <w:t>唐 鹏</w:t>
      </w:r>
    </w:p>
    <w:p>
      <w:pPr>
        <w:ind w:left="1930" w:leftChars="269" w:hanging="1365" w:hangingChars="650"/>
        <w:rPr>
          <w:rFonts w:ascii="黑体" w:hAnsi="黑体" w:eastAsia="黑体"/>
          <w:szCs w:val="21"/>
        </w:rPr>
      </w:pPr>
      <w:r>
        <w:rPr>
          <w:rFonts w:hint="eastAsia" w:ascii="黑体" w:hAnsi="黑体" w:eastAsia="黑体"/>
          <w:szCs w:val="21"/>
        </w:rPr>
        <w:t>主要审查人员：周绪红 李国强 汪大绥 王立军 余海群</w:t>
      </w:r>
      <w:r>
        <w:rPr>
          <w:rFonts w:ascii="黑体" w:hAnsi="黑体" w:eastAsia="黑体"/>
          <w:szCs w:val="21"/>
        </w:rPr>
        <w:t xml:space="preserve"> </w:t>
      </w:r>
      <w:r>
        <w:rPr>
          <w:rFonts w:hint="eastAsia" w:ascii="黑体" w:hAnsi="黑体" w:eastAsia="黑体"/>
          <w:szCs w:val="21"/>
        </w:rPr>
        <w:t>王玉银</w:t>
      </w:r>
    </w:p>
    <w:p>
      <w:pPr>
        <w:ind w:left="1930" w:leftChars="919" w:firstLine="105" w:firstLineChars="50"/>
        <w:rPr>
          <w:sz w:val="24"/>
          <w:szCs w:val="24"/>
        </w:rPr>
      </w:pPr>
      <w:r>
        <w:rPr>
          <w:rFonts w:hint="eastAsia" w:ascii="黑体" w:hAnsi="黑体" w:eastAsia="黑体"/>
          <w:szCs w:val="21"/>
        </w:rPr>
        <w:t xml:space="preserve">张 </w:t>
      </w:r>
      <w:r>
        <w:rPr>
          <w:rFonts w:ascii="黑体" w:hAnsi="黑体" w:eastAsia="黑体"/>
          <w:szCs w:val="21"/>
        </w:rPr>
        <w:t xml:space="preserve"> </w:t>
      </w:r>
      <w:r>
        <w:rPr>
          <w:rFonts w:hint="eastAsia" w:ascii="黑体" w:hAnsi="黑体" w:eastAsia="黑体"/>
          <w:szCs w:val="21"/>
        </w:rPr>
        <w:t xml:space="preserve">瑾 </w:t>
      </w:r>
    </w:p>
    <w:p>
      <w:pPr>
        <w:widowControl/>
        <w:jc w:val="left"/>
      </w:pPr>
      <w:r>
        <w:br w:type="page"/>
      </w:r>
    </w:p>
    <w:sdt>
      <w:sdtPr>
        <w:rPr>
          <w:rFonts w:asciiTheme="minorHAnsi" w:hAnsiTheme="minorHAnsi" w:eastAsiaTheme="minorEastAsia" w:cstheme="minorBidi"/>
          <w:color w:val="auto"/>
          <w:kern w:val="2"/>
          <w:sz w:val="21"/>
          <w:szCs w:val="22"/>
          <w:lang w:val="zh-CN"/>
        </w:rPr>
        <w:id w:val="86702347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40"/>
            <w:jc w:val="center"/>
          </w:pPr>
          <w:r>
            <w:rPr>
              <w:rFonts w:ascii="仿宋" w:hAnsi="仿宋" w:eastAsia="仿宋"/>
              <w:color w:val="auto"/>
              <w:sz w:val="28"/>
              <w:szCs w:val="28"/>
              <w:lang w:val="zh-CN"/>
            </w:rPr>
            <w:t>目</w:t>
          </w:r>
          <w:r>
            <w:rPr>
              <w:rFonts w:hint="eastAsia" w:ascii="仿宋" w:hAnsi="仿宋" w:eastAsia="仿宋"/>
              <w:color w:val="auto"/>
              <w:sz w:val="28"/>
              <w:szCs w:val="28"/>
              <w:lang w:val="zh-CN"/>
            </w:rPr>
            <w:t>次</w:t>
          </w:r>
          <w:r>
            <w:rPr>
              <w:rFonts w:ascii="宋体" w:hAnsi="宋体" w:eastAsia="宋体"/>
              <w:color w:val="auto"/>
              <w:sz w:val="21"/>
              <w:szCs w:val="21"/>
            </w:rPr>
            <w:fldChar w:fldCharType="begin"/>
          </w:r>
          <w:r>
            <w:rPr>
              <w:rFonts w:ascii="宋体" w:hAnsi="宋体" w:eastAsia="宋体"/>
              <w:color w:val="auto"/>
              <w:sz w:val="21"/>
              <w:szCs w:val="21"/>
            </w:rPr>
            <w:instrText xml:space="preserve"> TOC \o "1-3" \h \z \u </w:instrText>
          </w:r>
          <w:r>
            <w:rPr>
              <w:rFonts w:ascii="宋体" w:hAnsi="宋体" w:eastAsia="宋体"/>
              <w:color w:val="auto"/>
              <w:sz w:val="21"/>
              <w:szCs w:val="21"/>
            </w:rPr>
            <w:fldChar w:fldCharType="separate"/>
          </w:r>
        </w:p>
        <w:p>
          <w:pPr>
            <w:pStyle w:val="14"/>
            <w:tabs>
              <w:tab w:val="right" w:leader="dot" w:pos="6488"/>
            </w:tabs>
          </w:pPr>
          <w:r>
            <w:fldChar w:fldCharType="begin"/>
          </w:r>
          <w:r>
            <w:instrText xml:space="preserve"> HYPERLINK \l "_Toc28706870" </w:instrText>
          </w:r>
          <w:r>
            <w:fldChar w:fldCharType="separate"/>
          </w:r>
          <w:r>
            <w:rPr>
              <w:rStyle w:val="27"/>
              <w:rFonts w:ascii="黑体" w:hAnsi="黑体" w:eastAsia="黑体"/>
            </w:rPr>
            <w:t>1 总则</w:t>
          </w:r>
          <w:r>
            <w:tab/>
          </w:r>
          <w:r>
            <w:fldChar w:fldCharType="begin"/>
          </w:r>
          <w:r>
            <w:instrText xml:space="preserve"> PAGEREF _Toc28706870 \h </w:instrText>
          </w:r>
          <w:r>
            <w:fldChar w:fldCharType="separate"/>
          </w:r>
          <w:r>
            <w:t>1</w:t>
          </w:r>
          <w:r>
            <w:fldChar w:fldCharType="end"/>
          </w:r>
          <w:r>
            <w:fldChar w:fldCharType="end"/>
          </w:r>
        </w:p>
        <w:p>
          <w:pPr>
            <w:pStyle w:val="14"/>
            <w:tabs>
              <w:tab w:val="right" w:leader="dot" w:pos="6488"/>
            </w:tabs>
          </w:pPr>
          <w:r>
            <w:fldChar w:fldCharType="begin"/>
          </w:r>
          <w:r>
            <w:instrText xml:space="preserve"> HYPERLINK \l "_Toc28706871" </w:instrText>
          </w:r>
          <w:r>
            <w:fldChar w:fldCharType="separate"/>
          </w:r>
          <w:r>
            <w:rPr>
              <w:rStyle w:val="27"/>
              <w:rFonts w:ascii="黑体" w:hAnsi="黑体" w:eastAsia="黑体"/>
            </w:rPr>
            <w:t>2 术语和符号</w:t>
          </w:r>
          <w:r>
            <w:tab/>
          </w:r>
          <w:r>
            <w:fldChar w:fldCharType="begin"/>
          </w:r>
          <w:r>
            <w:instrText xml:space="preserve"> PAGEREF _Toc28706871 \h </w:instrText>
          </w:r>
          <w:r>
            <w:fldChar w:fldCharType="separate"/>
          </w:r>
          <w:r>
            <w:t>3</w:t>
          </w:r>
          <w:r>
            <w:fldChar w:fldCharType="end"/>
          </w:r>
          <w:r>
            <w:fldChar w:fldCharType="end"/>
          </w:r>
        </w:p>
        <w:p>
          <w:pPr>
            <w:pStyle w:val="18"/>
            <w:tabs>
              <w:tab w:val="right" w:leader="dot" w:pos="6488"/>
            </w:tabs>
          </w:pPr>
          <w:r>
            <w:fldChar w:fldCharType="begin"/>
          </w:r>
          <w:r>
            <w:instrText xml:space="preserve"> HYPERLINK \l "_Toc28706872" </w:instrText>
          </w:r>
          <w:r>
            <w:fldChar w:fldCharType="separate"/>
          </w:r>
          <w:r>
            <w:rPr>
              <w:rStyle w:val="27"/>
              <w:rFonts w:ascii="黑体" w:hAnsi="黑体" w:eastAsia="黑体"/>
            </w:rPr>
            <w:t>2.1 术语</w:t>
          </w:r>
          <w:r>
            <w:tab/>
          </w:r>
          <w:r>
            <w:fldChar w:fldCharType="begin"/>
          </w:r>
          <w:r>
            <w:instrText xml:space="preserve"> PAGEREF _Toc28706872 \h </w:instrText>
          </w:r>
          <w:r>
            <w:fldChar w:fldCharType="separate"/>
          </w:r>
          <w:r>
            <w:t>3</w:t>
          </w:r>
          <w:r>
            <w:fldChar w:fldCharType="end"/>
          </w:r>
          <w:r>
            <w:fldChar w:fldCharType="end"/>
          </w:r>
        </w:p>
        <w:p>
          <w:pPr>
            <w:pStyle w:val="18"/>
            <w:tabs>
              <w:tab w:val="right" w:leader="dot" w:pos="6488"/>
            </w:tabs>
          </w:pPr>
          <w:r>
            <w:fldChar w:fldCharType="begin"/>
          </w:r>
          <w:r>
            <w:instrText xml:space="preserve"> HYPERLINK \l "_Toc28706873" </w:instrText>
          </w:r>
          <w:r>
            <w:fldChar w:fldCharType="separate"/>
          </w:r>
          <w:r>
            <w:rPr>
              <w:rStyle w:val="27"/>
              <w:rFonts w:ascii="黑体" w:hAnsi="黑体" w:eastAsia="黑体"/>
            </w:rPr>
            <w:t>2.2  符号</w:t>
          </w:r>
          <w:r>
            <w:tab/>
          </w:r>
          <w:r>
            <w:fldChar w:fldCharType="begin"/>
          </w:r>
          <w:r>
            <w:instrText xml:space="preserve"> PAGEREF _Toc28706873 \h </w:instrText>
          </w:r>
          <w:r>
            <w:fldChar w:fldCharType="separate"/>
          </w:r>
          <w:r>
            <w:t>4</w:t>
          </w:r>
          <w:r>
            <w:fldChar w:fldCharType="end"/>
          </w:r>
          <w:r>
            <w:fldChar w:fldCharType="end"/>
          </w:r>
        </w:p>
        <w:p>
          <w:pPr>
            <w:pStyle w:val="14"/>
            <w:tabs>
              <w:tab w:val="right" w:leader="dot" w:pos="6488"/>
            </w:tabs>
          </w:pPr>
          <w:r>
            <w:fldChar w:fldCharType="begin"/>
          </w:r>
          <w:r>
            <w:instrText xml:space="preserve"> HYPERLINK \l "_Toc28706874" </w:instrText>
          </w:r>
          <w:r>
            <w:fldChar w:fldCharType="separate"/>
          </w:r>
          <w:r>
            <w:rPr>
              <w:rStyle w:val="27"/>
              <w:rFonts w:ascii="黑体" w:hAnsi="黑体" w:eastAsia="黑体"/>
            </w:rPr>
            <w:t>3 基本规定</w:t>
          </w:r>
          <w:r>
            <w:tab/>
          </w:r>
          <w:r>
            <w:fldChar w:fldCharType="begin"/>
          </w:r>
          <w:r>
            <w:instrText xml:space="preserve"> PAGEREF _Toc28706874 \h </w:instrText>
          </w:r>
          <w:r>
            <w:fldChar w:fldCharType="separate"/>
          </w:r>
          <w:r>
            <w:t>7</w:t>
          </w:r>
          <w:r>
            <w:fldChar w:fldCharType="end"/>
          </w:r>
          <w:r>
            <w:fldChar w:fldCharType="end"/>
          </w:r>
        </w:p>
        <w:p>
          <w:pPr>
            <w:pStyle w:val="18"/>
            <w:tabs>
              <w:tab w:val="right" w:leader="dot" w:pos="6488"/>
            </w:tabs>
          </w:pPr>
          <w:r>
            <w:fldChar w:fldCharType="begin"/>
          </w:r>
          <w:r>
            <w:instrText xml:space="preserve"> HYPERLINK \l "_Toc28706875" </w:instrText>
          </w:r>
          <w:r>
            <w:fldChar w:fldCharType="separate"/>
          </w:r>
          <w:r>
            <w:rPr>
              <w:rStyle w:val="27"/>
              <w:rFonts w:ascii="黑体" w:hAnsi="黑体" w:eastAsia="黑体" w:cstheme="minorEastAsia"/>
            </w:rPr>
            <w:t>3.1  一般规定</w:t>
          </w:r>
          <w:r>
            <w:tab/>
          </w:r>
          <w:r>
            <w:fldChar w:fldCharType="begin"/>
          </w:r>
          <w:r>
            <w:instrText xml:space="preserve"> PAGEREF _Toc28706875 \h </w:instrText>
          </w:r>
          <w:r>
            <w:fldChar w:fldCharType="separate"/>
          </w:r>
          <w:r>
            <w:t>7</w:t>
          </w:r>
          <w:r>
            <w:fldChar w:fldCharType="end"/>
          </w:r>
          <w:r>
            <w:fldChar w:fldCharType="end"/>
          </w:r>
        </w:p>
        <w:p>
          <w:pPr>
            <w:pStyle w:val="18"/>
            <w:tabs>
              <w:tab w:val="right" w:leader="dot" w:pos="6488"/>
            </w:tabs>
          </w:pPr>
          <w:r>
            <w:fldChar w:fldCharType="begin"/>
          </w:r>
          <w:r>
            <w:instrText xml:space="preserve"> HYPERLINK \l "_Toc28706876" </w:instrText>
          </w:r>
          <w:r>
            <w:fldChar w:fldCharType="separate"/>
          </w:r>
          <w:r>
            <w:rPr>
              <w:rStyle w:val="27"/>
              <w:rFonts w:ascii="黑体" w:hAnsi="黑体" w:eastAsia="黑体" w:cstheme="minorEastAsia"/>
            </w:rPr>
            <w:t>3.2  材 料</w:t>
          </w:r>
          <w:r>
            <w:tab/>
          </w:r>
          <w:r>
            <w:fldChar w:fldCharType="begin"/>
          </w:r>
          <w:r>
            <w:instrText xml:space="preserve"> PAGEREF _Toc28706876 \h </w:instrText>
          </w:r>
          <w:r>
            <w:fldChar w:fldCharType="separate"/>
          </w:r>
          <w:r>
            <w:t>15</w:t>
          </w:r>
          <w:r>
            <w:fldChar w:fldCharType="end"/>
          </w:r>
          <w:r>
            <w:fldChar w:fldCharType="end"/>
          </w:r>
        </w:p>
        <w:p>
          <w:pPr>
            <w:pStyle w:val="18"/>
            <w:tabs>
              <w:tab w:val="right" w:leader="dot" w:pos="6488"/>
            </w:tabs>
          </w:pPr>
          <w:r>
            <w:fldChar w:fldCharType="begin"/>
          </w:r>
          <w:r>
            <w:instrText xml:space="preserve"> HYPERLINK \l "_Toc28706877" </w:instrText>
          </w:r>
          <w:r>
            <w:fldChar w:fldCharType="separate"/>
          </w:r>
          <w:r>
            <w:rPr>
              <w:rStyle w:val="27"/>
              <w:rFonts w:ascii="黑体" w:hAnsi="黑体" w:eastAsia="黑体" w:cstheme="minorEastAsia"/>
            </w:rPr>
            <w:t>3.3 结构体系和规则性要求</w:t>
          </w:r>
          <w:r>
            <w:tab/>
          </w:r>
          <w:r>
            <w:fldChar w:fldCharType="begin"/>
          </w:r>
          <w:r>
            <w:instrText xml:space="preserve"> PAGEREF _Toc28706877 \h </w:instrText>
          </w:r>
          <w:r>
            <w:fldChar w:fldCharType="separate"/>
          </w:r>
          <w:r>
            <w:t>18</w:t>
          </w:r>
          <w:r>
            <w:fldChar w:fldCharType="end"/>
          </w:r>
          <w:r>
            <w:fldChar w:fldCharType="end"/>
          </w:r>
        </w:p>
        <w:p>
          <w:pPr>
            <w:pStyle w:val="18"/>
            <w:tabs>
              <w:tab w:val="right" w:leader="dot" w:pos="6488"/>
            </w:tabs>
          </w:pPr>
          <w:r>
            <w:fldChar w:fldCharType="begin"/>
          </w:r>
          <w:r>
            <w:instrText xml:space="preserve"> HYPERLINK \l "_Toc28706878" </w:instrText>
          </w:r>
          <w:r>
            <w:fldChar w:fldCharType="separate"/>
          </w:r>
          <w:r>
            <w:rPr>
              <w:rStyle w:val="27"/>
              <w:rFonts w:ascii="黑体" w:hAnsi="黑体" w:eastAsia="黑体" w:cstheme="minorEastAsia"/>
            </w:rPr>
            <w:t>3.4 水平位移和舒适度要求</w:t>
          </w:r>
          <w:r>
            <w:tab/>
          </w:r>
          <w:r>
            <w:fldChar w:fldCharType="begin"/>
          </w:r>
          <w:r>
            <w:instrText xml:space="preserve"> PAGEREF _Toc28706878 \h </w:instrText>
          </w:r>
          <w:r>
            <w:fldChar w:fldCharType="separate"/>
          </w:r>
          <w:r>
            <w:t>19</w:t>
          </w:r>
          <w:r>
            <w:fldChar w:fldCharType="end"/>
          </w:r>
          <w:r>
            <w:fldChar w:fldCharType="end"/>
          </w:r>
        </w:p>
        <w:p>
          <w:pPr>
            <w:pStyle w:val="18"/>
            <w:tabs>
              <w:tab w:val="right" w:leader="dot" w:pos="6488"/>
            </w:tabs>
          </w:pPr>
          <w:r>
            <w:fldChar w:fldCharType="begin"/>
          </w:r>
          <w:r>
            <w:instrText xml:space="preserve"> HYPERLINK \l "_Toc28706879" </w:instrText>
          </w:r>
          <w:r>
            <w:fldChar w:fldCharType="separate"/>
          </w:r>
          <w:r>
            <w:rPr>
              <w:rStyle w:val="27"/>
              <w:rFonts w:ascii="黑体" w:hAnsi="黑体" w:eastAsia="黑体" w:cstheme="minorEastAsia"/>
            </w:rPr>
            <w:t>3.5 构件承载力设计</w:t>
          </w:r>
          <w:r>
            <w:tab/>
          </w:r>
          <w:r>
            <w:fldChar w:fldCharType="begin"/>
          </w:r>
          <w:r>
            <w:instrText xml:space="preserve"> PAGEREF _Toc28706879 \h </w:instrText>
          </w:r>
          <w:r>
            <w:fldChar w:fldCharType="separate"/>
          </w:r>
          <w:r>
            <w:t>21</w:t>
          </w:r>
          <w:r>
            <w:fldChar w:fldCharType="end"/>
          </w:r>
          <w:r>
            <w:fldChar w:fldCharType="end"/>
          </w:r>
        </w:p>
        <w:p>
          <w:pPr>
            <w:pStyle w:val="18"/>
            <w:tabs>
              <w:tab w:val="right" w:leader="dot" w:pos="6488"/>
            </w:tabs>
          </w:pPr>
          <w:r>
            <w:fldChar w:fldCharType="begin"/>
          </w:r>
          <w:r>
            <w:instrText xml:space="preserve"> HYPERLINK \l "_Toc28706880" </w:instrText>
          </w:r>
          <w:r>
            <w:fldChar w:fldCharType="separate"/>
          </w:r>
          <w:r>
            <w:rPr>
              <w:rStyle w:val="27"/>
              <w:rFonts w:ascii="黑体" w:hAnsi="黑体" w:eastAsia="黑体" w:cstheme="minorEastAsia"/>
            </w:rPr>
            <w:t>3.6 甲壳梁、优端梁、优腹梁构造要求</w:t>
          </w:r>
          <w:r>
            <w:tab/>
          </w:r>
          <w:r>
            <w:fldChar w:fldCharType="begin"/>
          </w:r>
          <w:r>
            <w:instrText xml:space="preserve"> PAGEREF _Toc28706880 \h </w:instrText>
          </w:r>
          <w:r>
            <w:fldChar w:fldCharType="separate"/>
          </w:r>
          <w:r>
            <w:t>22</w:t>
          </w:r>
          <w:r>
            <w:fldChar w:fldCharType="end"/>
          </w:r>
          <w:r>
            <w:fldChar w:fldCharType="end"/>
          </w:r>
        </w:p>
        <w:p>
          <w:pPr>
            <w:pStyle w:val="18"/>
            <w:tabs>
              <w:tab w:val="right" w:leader="dot" w:pos="6488"/>
            </w:tabs>
          </w:pPr>
          <w:r>
            <w:fldChar w:fldCharType="begin"/>
          </w:r>
          <w:r>
            <w:instrText xml:space="preserve"> HYPERLINK \l "_Toc28706881" </w:instrText>
          </w:r>
          <w:r>
            <w:fldChar w:fldCharType="separate"/>
          </w:r>
          <w:r>
            <w:rPr>
              <w:rStyle w:val="27"/>
              <w:rFonts w:ascii="黑体" w:hAnsi="黑体" w:eastAsia="黑体" w:cstheme="minorEastAsia"/>
            </w:rPr>
            <w:t>3.7 甲壳柱构造要求</w:t>
          </w:r>
          <w:r>
            <w:tab/>
          </w:r>
          <w:r>
            <w:fldChar w:fldCharType="begin"/>
          </w:r>
          <w:r>
            <w:instrText xml:space="preserve"> PAGEREF _Toc28706881 \h </w:instrText>
          </w:r>
          <w:r>
            <w:fldChar w:fldCharType="separate"/>
          </w:r>
          <w:r>
            <w:t>25</w:t>
          </w:r>
          <w:r>
            <w:fldChar w:fldCharType="end"/>
          </w:r>
          <w:r>
            <w:fldChar w:fldCharType="end"/>
          </w:r>
        </w:p>
        <w:p>
          <w:pPr>
            <w:pStyle w:val="14"/>
            <w:tabs>
              <w:tab w:val="right" w:leader="dot" w:pos="6488"/>
            </w:tabs>
          </w:pPr>
          <w:r>
            <w:fldChar w:fldCharType="begin"/>
          </w:r>
          <w:r>
            <w:instrText xml:space="preserve"> HYPERLINK \l "_Toc28706882" </w:instrText>
          </w:r>
          <w:r>
            <w:fldChar w:fldCharType="separate"/>
          </w:r>
          <w:r>
            <w:rPr>
              <w:rStyle w:val="27"/>
              <w:rFonts w:ascii="黑体" w:hAnsi="黑体" w:eastAsia="黑体"/>
            </w:rPr>
            <w:t>4 结构分析</w:t>
          </w:r>
          <w:r>
            <w:tab/>
          </w:r>
          <w:r>
            <w:fldChar w:fldCharType="begin"/>
          </w:r>
          <w:r>
            <w:instrText xml:space="preserve"> PAGEREF _Toc28706882 \h </w:instrText>
          </w:r>
          <w:r>
            <w:fldChar w:fldCharType="separate"/>
          </w:r>
          <w:r>
            <w:t>28</w:t>
          </w:r>
          <w:r>
            <w:fldChar w:fldCharType="end"/>
          </w:r>
          <w:r>
            <w:fldChar w:fldCharType="end"/>
          </w:r>
        </w:p>
        <w:p>
          <w:pPr>
            <w:pStyle w:val="18"/>
            <w:tabs>
              <w:tab w:val="right" w:leader="dot" w:pos="6488"/>
            </w:tabs>
          </w:pPr>
          <w:r>
            <w:fldChar w:fldCharType="begin"/>
          </w:r>
          <w:r>
            <w:instrText xml:space="preserve"> HYPERLINK \l "_Toc28706883" </w:instrText>
          </w:r>
          <w:r>
            <w:fldChar w:fldCharType="separate"/>
          </w:r>
          <w:r>
            <w:rPr>
              <w:rStyle w:val="27"/>
              <w:rFonts w:ascii="黑体" w:hAnsi="黑体" w:eastAsia="黑体" w:cstheme="minorEastAsia"/>
            </w:rPr>
            <w:t>4.1 一般规定</w:t>
          </w:r>
          <w:r>
            <w:tab/>
          </w:r>
          <w:r>
            <w:fldChar w:fldCharType="begin"/>
          </w:r>
          <w:r>
            <w:instrText xml:space="preserve"> PAGEREF _Toc28706883 \h </w:instrText>
          </w:r>
          <w:r>
            <w:fldChar w:fldCharType="separate"/>
          </w:r>
          <w:r>
            <w:t>28</w:t>
          </w:r>
          <w:r>
            <w:fldChar w:fldCharType="end"/>
          </w:r>
          <w:r>
            <w:fldChar w:fldCharType="end"/>
          </w:r>
        </w:p>
        <w:p>
          <w:pPr>
            <w:pStyle w:val="18"/>
            <w:tabs>
              <w:tab w:val="right" w:leader="dot" w:pos="6488"/>
            </w:tabs>
          </w:pPr>
          <w:r>
            <w:fldChar w:fldCharType="begin"/>
          </w:r>
          <w:r>
            <w:instrText xml:space="preserve"> HYPERLINK \l "_Toc28706884" </w:instrText>
          </w:r>
          <w:r>
            <w:fldChar w:fldCharType="separate"/>
          </w:r>
          <w:r>
            <w:rPr>
              <w:rStyle w:val="27"/>
              <w:rFonts w:ascii="黑体" w:hAnsi="黑体" w:eastAsia="黑体" w:cstheme="minorEastAsia"/>
            </w:rPr>
            <w:t>4.2 计算原则</w:t>
          </w:r>
          <w:r>
            <w:tab/>
          </w:r>
          <w:r>
            <w:fldChar w:fldCharType="begin"/>
          </w:r>
          <w:r>
            <w:instrText xml:space="preserve"> PAGEREF _Toc28706884 \h </w:instrText>
          </w:r>
          <w:r>
            <w:fldChar w:fldCharType="separate"/>
          </w:r>
          <w:r>
            <w:t>29</w:t>
          </w:r>
          <w:r>
            <w:fldChar w:fldCharType="end"/>
          </w:r>
          <w:r>
            <w:fldChar w:fldCharType="end"/>
          </w:r>
        </w:p>
        <w:p>
          <w:pPr>
            <w:pStyle w:val="14"/>
            <w:tabs>
              <w:tab w:val="right" w:leader="dot" w:pos="6488"/>
            </w:tabs>
          </w:pPr>
          <w:r>
            <w:fldChar w:fldCharType="begin"/>
          </w:r>
          <w:r>
            <w:instrText xml:space="preserve"> HYPERLINK \l "_Toc28706885" </w:instrText>
          </w:r>
          <w:r>
            <w:fldChar w:fldCharType="separate"/>
          </w:r>
          <w:r>
            <w:rPr>
              <w:rStyle w:val="27"/>
              <w:rFonts w:ascii="黑体" w:hAnsi="黑体" w:eastAsia="黑体"/>
            </w:rPr>
            <w:t>5 甲壳梁、优端梁设计</w:t>
          </w:r>
          <w:r>
            <w:tab/>
          </w:r>
          <w:r>
            <w:fldChar w:fldCharType="begin"/>
          </w:r>
          <w:r>
            <w:instrText xml:space="preserve"> PAGEREF _Toc28706885 \h </w:instrText>
          </w:r>
          <w:r>
            <w:fldChar w:fldCharType="separate"/>
          </w:r>
          <w:r>
            <w:t>31</w:t>
          </w:r>
          <w:r>
            <w:fldChar w:fldCharType="end"/>
          </w:r>
          <w:r>
            <w:fldChar w:fldCharType="end"/>
          </w:r>
        </w:p>
        <w:p>
          <w:pPr>
            <w:pStyle w:val="18"/>
            <w:tabs>
              <w:tab w:val="right" w:leader="dot" w:pos="6488"/>
            </w:tabs>
          </w:pPr>
          <w:r>
            <w:fldChar w:fldCharType="begin"/>
          </w:r>
          <w:r>
            <w:instrText xml:space="preserve"> HYPERLINK \l "_Toc28706886" </w:instrText>
          </w:r>
          <w:r>
            <w:fldChar w:fldCharType="separate"/>
          </w:r>
          <w:r>
            <w:rPr>
              <w:rStyle w:val="27"/>
              <w:rFonts w:ascii="黑体" w:hAnsi="黑体" w:eastAsia="黑体" w:cstheme="minorEastAsia"/>
            </w:rPr>
            <w:t>5.1一般规定</w:t>
          </w:r>
          <w:r>
            <w:tab/>
          </w:r>
          <w:r>
            <w:fldChar w:fldCharType="begin"/>
          </w:r>
          <w:r>
            <w:instrText xml:space="preserve"> PAGEREF _Toc28706886 \h </w:instrText>
          </w:r>
          <w:r>
            <w:fldChar w:fldCharType="separate"/>
          </w:r>
          <w:r>
            <w:t>31</w:t>
          </w:r>
          <w:r>
            <w:fldChar w:fldCharType="end"/>
          </w:r>
          <w:r>
            <w:fldChar w:fldCharType="end"/>
          </w:r>
        </w:p>
        <w:p>
          <w:pPr>
            <w:pStyle w:val="18"/>
            <w:tabs>
              <w:tab w:val="right" w:leader="dot" w:pos="6488"/>
            </w:tabs>
          </w:pPr>
          <w:r>
            <w:fldChar w:fldCharType="begin"/>
          </w:r>
          <w:r>
            <w:instrText xml:space="preserve"> HYPERLINK \l "_Toc28706887" </w:instrText>
          </w:r>
          <w:r>
            <w:fldChar w:fldCharType="separate"/>
          </w:r>
          <w:r>
            <w:rPr>
              <w:rStyle w:val="27"/>
              <w:rFonts w:ascii="黑体" w:hAnsi="黑体" w:eastAsia="黑体" w:cstheme="minorEastAsia"/>
            </w:rPr>
            <w:t>5.2承载能力极限状态计算</w:t>
          </w:r>
          <w:r>
            <w:tab/>
          </w:r>
          <w:r>
            <w:fldChar w:fldCharType="begin"/>
          </w:r>
          <w:r>
            <w:instrText xml:space="preserve"> PAGEREF _Toc28706887 \h </w:instrText>
          </w:r>
          <w:r>
            <w:fldChar w:fldCharType="separate"/>
          </w:r>
          <w:r>
            <w:t>32</w:t>
          </w:r>
          <w:r>
            <w:fldChar w:fldCharType="end"/>
          </w:r>
          <w:r>
            <w:fldChar w:fldCharType="end"/>
          </w:r>
        </w:p>
        <w:p>
          <w:pPr>
            <w:pStyle w:val="18"/>
            <w:tabs>
              <w:tab w:val="right" w:leader="dot" w:pos="6488"/>
            </w:tabs>
          </w:pPr>
          <w:r>
            <w:fldChar w:fldCharType="begin"/>
          </w:r>
          <w:r>
            <w:instrText xml:space="preserve"> HYPERLINK \l "_Toc28706888" </w:instrText>
          </w:r>
          <w:r>
            <w:fldChar w:fldCharType="separate"/>
          </w:r>
          <w:r>
            <w:rPr>
              <w:rStyle w:val="27"/>
              <w:rFonts w:ascii="黑体" w:hAnsi="黑体" w:eastAsia="黑体" w:cstheme="minorEastAsia"/>
            </w:rPr>
            <w:t>5.3裂缝宽度验算</w:t>
          </w:r>
          <w:r>
            <w:tab/>
          </w:r>
          <w:r>
            <w:fldChar w:fldCharType="begin"/>
          </w:r>
          <w:r>
            <w:instrText xml:space="preserve"> PAGEREF _Toc28706888 \h </w:instrText>
          </w:r>
          <w:r>
            <w:fldChar w:fldCharType="separate"/>
          </w:r>
          <w:r>
            <w:t>36</w:t>
          </w:r>
          <w:r>
            <w:fldChar w:fldCharType="end"/>
          </w:r>
          <w:r>
            <w:fldChar w:fldCharType="end"/>
          </w:r>
        </w:p>
        <w:p>
          <w:pPr>
            <w:pStyle w:val="18"/>
            <w:tabs>
              <w:tab w:val="right" w:leader="dot" w:pos="6488"/>
            </w:tabs>
          </w:pPr>
          <w:r>
            <w:fldChar w:fldCharType="begin"/>
          </w:r>
          <w:r>
            <w:instrText xml:space="preserve"> HYPERLINK \l "_Toc28706889" </w:instrText>
          </w:r>
          <w:r>
            <w:fldChar w:fldCharType="separate"/>
          </w:r>
          <w:r>
            <w:rPr>
              <w:rStyle w:val="27"/>
              <w:rFonts w:ascii="黑体" w:hAnsi="黑体" w:eastAsia="黑体" w:cstheme="minorEastAsia"/>
            </w:rPr>
            <w:t>5.4挠度验算</w:t>
          </w:r>
          <w:r>
            <w:tab/>
          </w:r>
          <w:r>
            <w:fldChar w:fldCharType="begin"/>
          </w:r>
          <w:r>
            <w:instrText xml:space="preserve"> PAGEREF _Toc28706889 \h </w:instrText>
          </w:r>
          <w:r>
            <w:fldChar w:fldCharType="separate"/>
          </w:r>
          <w:r>
            <w:t>39</w:t>
          </w:r>
          <w:r>
            <w:fldChar w:fldCharType="end"/>
          </w:r>
          <w:r>
            <w:fldChar w:fldCharType="end"/>
          </w:r>
        </w:p>
        <w:p>
          <w:pPr>
            <w:pStyle w:val="14"/>
            <w:tabs>
              <w:tab w:val="right" w:leader="dot" w:pos="6488"/>
            </w:tabs>
          </w:pPr>
          <w:r>
            <w:fldChar w:fldCharType="begin"/>
          </w:r>
          <w:r>
            <w:instrText xml:space="preserve"> HYPERLINK \l "_Toc28706890" </w:instrText>
          </w:r>
          <w:r>
            <w:fldChar w:fldCharType="separate"/>
          </w:r>
          <w:r>
            <w:rPr>
              <w:rStyle w:val="27"/>
              <w:rFonts w:ascii="黑体" w:hAnsi="黑体" w:eastAsia="黑体"/>
            </w:rPr>
            <w:t>6甲壳柱设计</w:t>
          </w:r>
          <w:r>
            <w:tab/>
          </w:r>
          <w:r>
            <w:fldChar w:fldCharType="begin"/>
          </w:r>
          <w:r>
            <w:instrText xml:space="preserve"> PAGEREF _Toc28706890 \h </w:instrText>
          </w:r>
          <w:r>
            <w:fldChar w:fldCharType="separate"/>
          </w:r>
          <w:r>
            <w:t>41</w:t>
          </w:r>
          <w:r>
            <w:fldChar w:fldCharType="end"/>
          </w:r>
          <w:r>
            <w:fldChar w:fldCharType="end"/>
          </w:r>
        </w:p>
        <w:p>
          <w:pPr>
            <w:pStyle w:val="18"/>
            <w:tabs>
              <w:tab w:val="right" w:leader="dot" w:pos="6488"/>
            </w:tabs>
          </w:pPr>
          <w:r>
            <w:fldChar w:fldCharType="begin"/>
          </w:r>
          <w:r>
            <w:instrText xml:space="preserve"> HYPERLINK \l "_Toc28706891" </w:instrText>
          </w:r>
          <w:r>
            <w:fldChar w:fldCharType="separate"/>
          </w:r>
          <w:r>
            <w:rPr>
              <w:rStyle w:val="27"/>
              <w:rFonts w:ascii="黑体" w:hAnsi="黑体" w:eastAsia="黑体" w:cstheme="minorEastAsia"/>
            </w:rPr>
            <w:t>6.1一般规定</w:t>
          </w:r>
          <w:r>
            <w:tab/>
          </w:r>
          <w:r>
            <w:fldChar w:fldCharType="begin"/>
          </w:r>
          <w:r>
            <w:instrText xml:space="preserve"> PAGEREF _Toc28706891 \h </w:instrText>
          </w:r>
          <w:r>
            <w:fldChar w:fldCharType="separate"/>
          </w:r>
          <w:r>
            <w:t>41</w:t>
          </w:r>
          <w:r>
            <w:fldChar w:fldCharType="end"/>
          </w:r>
          <w:r>
            <w:fldChar w:fldCharType="end"/>
          </w:r>
        </w:p>
        <w:p>
          <w:pPr>
            <w:pStyle w:val="18"/>
            <w:tabs>
              <w:tab w:val="right" w:leader="dot" w:pos="6488"/>
            </w:tabs>
          </w:pPr>
          <w:r>
            <w:fldChar w:fldCharType="begin"/>
          </w:r>
          <w:r>
            <w:instrText xml:space="preserve"> HYPERLINK \l "_Toc28706892" </w:instrText>
          </w:r>
          <w:r>
            <w:fldChar w:fldCharType="separate"/>
          </w:r>
          <w:r>
            <w:rPr>
              <w:rStyle w:val="27"/>
              <w:rFonts w:ascii="黑体" w:hAnsi="黑体" w:eastAsia="黑体" w:cstheme="minorEastAsia"/>
            </w:rPr>
            <w:t>6.2承载能力极限状态计算</w:t>
          </w:r>
          <w:r>
            <w:tab/>
          </w:r>
          <w:r>
            <w:fldChar w:fldCharType="begin"/>
          </w:r>
          <w:r>
            <w:instrText xml:space="preserve"> PAGEREF _Toc28706892 \h </w:instrText>
          </w:r>
          <w:r>
            <w:fldChar w:fldCharType="separate"/>
          </w:r>
          <w:r>
            <w:t>42</w:t>
          </w:r>
          <w:r>
            <w:fldChar w:fldCharType="end"/>
          </w:r>
          <w:r>
            <w:fldChar w:fldCharType="end"/>
          </w:r>
        </w:p>
        <w:p>
          <w:pPr>
            <w:pStyle w:val="14"/>
            <w:tabs>
              <w:tab w:val="right" w:leader="dot" w:pos="6488"/>
            </w:tabs>
          </w:pPr>
          <w:r>
            <w:fldChar w:fldCharType="begin"/>
          </w:r>
          <w:r>
            <w:instrText xml:space="preserve"> HYPERLINK \l "_Toc28706893" </w:instrText>
          </w:r>
          <w:r>
            <w:fldChar w:fldCharType="separate"/>
          </w:r>
          <w:r>
            <w:rPr>
              <w:rStyle w:val="27"/>
              <w:rFonts w:ascii="黑体" w:hAnsi="黑体" w:eastAsia="黑体"/>
            </w:rPr>
            <w:t>7构件及节点抗震设计</w:t>
          </w:r>
          <w:r>
            <w:tab/>
          </w:r>
          <w:r>
            <w:fldChar w:fldCharType="begin"/>
          </w:r>
          <w:r>
            <w:instrText xml:space="preserve"> PAGEREF _Toc28706893 \h </w:instrText>
          </w:r>
          <w:r>
            <w:fldChar w:fldCharType="separate"/>
          </w:r>
          <w:r>
            <w:t>54</w:t>
          </w:r>
          <w:r>
            <w:fldChar w:fldCharType="end"/>
          </w:r>
          <w:r>
            <w:fldChar w:fldCharType="end"/>
          </w:r>
        </w:p>
        <w:p>
          <w:pPr>
            <w:pStyle w:val="18"/>
            <w:tabs>
              <w:tab w:val="right" w:leader="dot" w:pos="6488"/>
            </w:tabs>
          </w:pPr>
          <w:r>
            <w:fldChar w:fldCharType="begin"/>
          </w:r>
          <w:r>
            <w:instrText xml:space="preserve"> HYPERLINK \l "_Toc28706894" </w:instrText>
          </w:r>
          <w:r>
            <w:fldChar w:fldCharType="separate"/>
          </w:r>
          <w:r>
            <w:rPr>
              <w:rStyle w:val="27"/>
              <w:rFonts w:ascii="黑体" w:hAnsi="黑体" w:eastAsia="黑体" w:cstheme="minorEastAsia"/>
            </w:rPr>
            <w:t>7.1  甲壳梁</w:t>
          </w:r>
          <w:r>
            <w:tab/>
          </w:r>
          <w:r>
            <w:fldChar w:fldCharType="begin"/>
          </w:r>
          <w:r>
            <w:instrText xml:space="preserve"> PAGEREF _Toc28706894 \h </w:instrText>
          </w:r>
          <w:r>
            <w:fldChar w:fldCharType="separate"/>
          </w:r>
          <w:r>
            <w:t>54</w:t>
          </w:r>
          <w:r>
            <w:fldChar w:fldCharType="end"/>
          </w:r>
          <w:r>
            <w:fldChar w:fldCharType="end"/>
          </w:r>
        </w:p>
        <w:p>
          <w:pPr>
            <w:pStyle w:val="18"/>
            <w:tabs>
              <w:tab w:val="right" w:leader="dot" w:pos="6488"/>
            </w:tabs>
          </w:pPr>
          <w:r>
            <w:fldChar w:fldCharType="begin"/>
          </w:r>
          <w:r>
            <w:instrText xml:space="preserve"> HYPERLINK \l "_Toc28706895" </w:instrText>
          </w:r>
          <w:r>
            <w:fldChar w:fldCharType="separate"/>
          </w:r>
          <w:r>
            <w:rPr>
              <w:rStyle w:val="27"/>
              <w:rFonts w:ascii="黑体" w:hAnsi="黑体" w:eastAsia="黑体" w:cstheme="minorEastAsia"/>
            </w:rPr>
            <w:t>7.2  甲壳柱</w:t>
          </w:r>
          <w:r>
            <w:tab/>
          </w:r>
          <w:r>
            <w:fldChar w:fldCharType="begin"/>
          </w:r>
          <w:r>
            <w:instrText xml:space="preserve"> PAGEREF _Toc28706895 \h </w:instrText>
          </w:r>
          <w:r>
            <w:fldChar w:fldCharType="separate"/>
          </w:r>
          <w:r>
            <w:t>57</w:t>
          </w:r>
          <w:r>
            <w:fldChar w:fldCharType="end"/>
          </w:r>
          <w:r>
            <w:fldChar w:fldCharType="end"/>
          </w:r>
        </w:p>
        <w:p>
          <w:pPr>
            <w:pStyle w:val="18"/>
            <w:tabs>
              <w:tab w:val="right" w:leader="dot" w:pos="6488"/>
            </w:tabs>
          </w:pPr>
          <w:r>
            <w:fldChar w:fldCharType="begin"/>
          </w:r>
          <w:r>
            <w:instrText xml:space="preserve"> HYPERLINK \l "_Toc28706896" </w:instrText>
          </w:r>
          <w:r>
            <w:fldChar w:fldCharType="separate"/>
          </w:r>
          <w:r>
            <w:rPr>
              <w:rStyle w:val="27"/>
              <w:rFonts w:ascii="黑体" w:hAnsi="黑体" w:eastAsia="黑体" w:cstheme="minorEastAsia"/>
            </w:rPr>
            <w:t>7.3 柱脚节点设计及构造</w:t>
          </w:r>
          <w:r>
            <w:tab/>
          </w:r>
          <w:r>
            <w:fldChar w:fldCharType="begin"/>
          </w:r>
          <w:r>
            <w:instrText xml:space="preserve"> PAGEREF _Toc28706896 \h </w:instrText>
          </w:r>
          <w:r>
            <w:fldChar w:fldCharType="separate"/>
          </w:r>
          <w:r>
            <w:t>61</w:t>
          </w:r>
          <w:r>
            <w:fldChar w:fldCharType="end"/>
          </w:r>
          <w:r>
            <w:fldChar w:fldCharType="end"/>
          </w:r>
        </w:p>
        <w:p>
          <w:pPr>
            <w:pStyle w:val="18"/>
            <w:tabs>
              <w:tab w:val="right" w:leader="dot" w:pos="6488"/>
            </w:tabs>
          </w:pPr>
          <w:r>
            <w:fldChar w:fldCharType="begin"/>
          </w:r>
          <w:r>
            <w:instrText xml:space="preserve"> HYPERLINK \l "_Toc28706897" </w:instrText>
          </w:r>
          <w:r>
            <w:fldChar w:fldCharType="separate"/>
          </w:r>
          <w:r>
            <w:rPr>
              <w:rStyle w:val="27"/>
              <w:rFonts w:ascii="黑体" w:hAnsi="黑体" w:eastAsia="黑体" w:cstheme="minorEastAsia"/>
            </w:rPr>
            <w:t>7.4 梁柱节点设计及构造</w:t>
          </w:r>
          <w:r>
            <w:tab/>
          </w:r>
          <w:r>
            <w:fldChar w:fldCharType="begin"/>
          </w:r>
          <w:r>
            <w:instrText xml:space="preserve"> PAGEREF _Toc28706897 \h </w:instrText>
          </w:r>
          <w:r>
            <w:fldChar w:fldCharType="separate"/>
          </w:r>
          <w:r>
            <w:t>66</w:t>
          </w:r>
          <w:r>
            <w:fldChar w:fldCharType="end"/>
          </w:r>
          <w:r>
            <w:fldChar w:fldCharType="end"/>
          </w:r>
        </w:p>
        <w:p>
          <w:pPr>
            <w:pStyle w:val="14"/>
            <w:tabs>
              <w:tab w:val="right" w:leader="dot" w:pos="6488"/>
            </w:tabs>
          </w:pPr>
          <w:r>
            <w:fldChar w:fldCharType="begin"/>
          </w:r>
          <w:r>
            <w:instrText xml:space="preserve"> HYPERLINK \l "_Toc28706898" </w:instrText>
          </w:r>
          <w:r>
            <w:fldChar w:fldCharType="separate"/>
          </w:r>
          <w:r>
            <w:rPr>
              <w:rStyle w:val="27"/>
              <w:rFonts w:ascii="黑体" w:hAnsi="黑体" w:eastAsia="黑体"/>
            </w:rPr>
            <w:t>8防护设计</w:t>
          </w:r>
          <w:r>
            <w:tab/>
          </w:r>
          <w:r>
            <w:fldChar w:fldCharType="begin"/>
          </w:r>
          <w:r>
            <w:instrText xml:space="preserve"> PAGEREF _Toc28706898 \h </w:instrText>
          </w:r>
          <w:r>
            <w:fldChar w:fldCharType="separate"/>
          </w:r>
          <w:r>
            <w:t>74</w:t>
          </w:r>
          <w:r>
            <w:fldChar w:fldCharType="end"/>
          </w:r>
          <w:r>
            <w:fldChar w:fldCharType="end"/>
          </w:r>
        </w:p>
        <w:p>
          <w:pPr>
            <w:pStyle w:val="18"/>
            <w:tabs>
              <w:tab w:val="right" w:leader="dot" w:pos="6488"/>
            </w:tabs>
          </w:pPr>
          <w:r>
            <w:fldChar w:fldCharType="begin"/>
          </w:r>
          <w:r>
            <w:instrText xml:space="preserve"> HYPERLINK \l "_Toc28706899" </w:instrText>
          </w:r>
          <w:r>
            <w:fldChar w:fldCharType="separate"/>
          </w:r>
          <w:r>
            <w:rPr>
              <w:rStyle w:val="27"/>
              <w:rFonts w:ascii="黑体" w:hAnsi="黑体" w:eastAsia="黑体" w:cstheme="minorEastAsia"/>
            </w:rPr>
            <w:t>8.1防腐设计</w:t>
          </w:r>
          <w:r>
            <w:tab/>
          </w:r>
          <w:r>
            <w:fldChar w:fldCharType="begin"/>
          </w:r>
          <w:r>
            <w:instrText xml:space="preserve"> PAGEREF _Toc28706899 \h </w:instrText>
          </w:r>
          <w:r>
            <w:fldChar w:fldCharType="separate"/>
          </w:r>
          <w:r>
            <w:t>74</w:t>
          </w:r>
          <w:r>
            <w:fldChar w:fldCharType="end"/>
          </w:r>
          <w:r>
            <w:fldChar w:fldCharType="end"/>
          </w:r>
        </w:p>
        <w:p>
          <w:pPr>
            <w:pStyle w:val="18"/>
            <w:tabs>
              <w:tab w:val="right" w:leader="dot" w:pos="6488"/>
            </w:tabs>
          </w:pPr>
          <w:r>
            <w:fldChar w:fldCharType="begin"/>
          </w:r>
          <w:r>
            <w:instrText xml:space="preserve"> HYPERLINK \l "_Toc28706900" </w:instrText>
          </w:r>
          <w:r>
            <w:fldChar w:fldCharType="separate"/>
          </w:r>
          <w:r>
            <w:rPr>
              <w:rStyle w:val="27"/>
              <w:rFonts w:ascii="黑体" w:hAnsi="黑体" w:eastAsia="黑体" w:cstheme="minorEastAsia"/>
            </w:rPr>
            <w:t>8.2 防火设计</w:t>
          </w:r>
          <w:r>
            <w:tab/>
          </w:r>
          <w:r>
            <w:fldChar w:fldCharType="begin"/>
          </w:r>
          <w:r>
            <w:instrText xml:space="preserve"> PAGEREF _Toc28706900 \h </w:instrText>
          </w:r>
          <w:r>
            <w:fldChar w:fldCharType="separate"/>
          </w:r>
          <w:r>
            <w:t>76</w:t>
          </w:r>
          <w:r>
            <w:fldChar w:fldCharType="end"/>
          </w:r>
          <w:r>
            <w:fldChar w:fldCharType="end"/>
          </w:r>
        </w:p>
        <w:p>
          <w:pPr>
            <w:pStyle w:val="18"/>
            <w:tabs>
              <w:tab w:val="right" w:leader="dot" w:pos="6488"/>
            </w:tabs>
          </w:pPr>
          <w:r>
            <w:fldChar w:fldCharType="begin"/>
          </w:r>
          <w:r>
            <w:instrText xml:space="preserve"> HYPERLINK \l "_Toc28706901" </w:instrText>
          </w:r>
          <w:r>
            <w:fldChar w:fldCharType="separate"/>
          </w:r>
          <w:r>
            <w:rPr>
              <w:rStyle w:val="27"/>
              <w:rFonts w:ascii="黑体" w:hAnsi="黑体" w:eastAsia="黑体" w:cstheme="minorEastAsia"/>
            </w:rPr>
            <w:t>8.3 隔热设计</w:t>
          </w:r>
          <w:r>
            <w:tab/>
          </w:r>
          <w:r>
            <w:fldChar w:fldCharType="begin"/>
          </w:r>
          <w:r>
            <w:instrText xml:space="preserve"> PAGEREF _Toc28706901 \h </w:instrText>
          </w:r>
          <w:r>
            <w:fldChar w:fldCharType="separate"/>
          </w:r>
          <w:r>
            <w:t>77</w:t>
          </w:r>
          <w:r>
            <w:fldChar w:fldCharType="end"/>
          </w:r>
          <w:r>
            <w:fldChar w:fldCharType="end"/>
          </w:r>
        </w:p>
        <w:p>
          <w:pPr>
            <w:pStyle w:val="14"/>
            <w:tabs>
              <w:tab w:val="right" w:leader="dot" w:pos="6488"/>
            </w:tabs>
          </w:pPr>
          <w:r>
            <w:fldChar w:fldCharType="begin"/>
          </w:r>
          <w:r>
            <w:instrText xml:space="preserve"> HYPERLINK \l "_Toc28706902" </w:instrText>
          </w:r>
          <w:r>
            <w:fldChar w:fldCharType="separate"/>
          </w:r>
          <w:r>
            <w:rPr>
              <w:rStyle w:val="27"/>
              <w:rFonts w:ascii="黑体" w:hAnsi="黑体" w:eastAsia="黑体"/>
            </w:rPr>
            <w:t>9制作与施工</w:t>
          </w:r>
          <w:r>
            <w:tab/>
          </w:r>
          <w:r>
            <w:fldChar w:fldCharType="begin"/>
          </w:r>
          <w:r>
            <w:instrText xml:space="preserve"> PAGEREF _Toc28706902 \h </w:instrText>
          </w:r>
          <w:r>
            <w:fldChar w:fldCharType="separate"/>
          </w:r>
          <w:r>
            <w:t>79</w:t>
          </w:r>
          <w:r>
            <w:fldChar w:fldCharType="end"/>
          </w:r>
          <w:r>
            <w:fldChar w:fldCharType="end"/>
          </w:r>
        </w:p>
        <w:p>
          <w:pPr>
            <w:pStyle w:val="18"/>
            <w:tabs>
              <w:tab w:val="right" w:leader="dot" w:pos="6488"/>
            </w:tabs>
          </w:pPr>
          <w:r>
            <w:fldChar w:fldCharType="begin"/>
          </w:r>
          <w:r>
            <w:instrText xml:space="preserve"> HYPERLINK \l "_Toc28706903" </w:instrText>
          </w:r>
          <w:r>
            <w:fldChar w:fldCharType="separate"/>
          </w:r>
          <w:r>
            <w:rPr>
              <w:rStyle w:val="27"/>
              <w:rFonts w:ascii="黑体" w:hAnsi="黑体" w:eastAsia="黑体" w:cstheme="minorEastAsia"/>
            </w:rPr>
            <w:t>9.1 构件制作</w:t>
          </w:r>
          <w:r>
            <w:tab/>
          </w:r>
          <w:r>
            <w:fldChar w:fldCharType="begin"/>
          </w:r>
          <w:r>
            <w:instrText xml:space="preserve"> PAGEREF _Toc28706903 \h </w:instrText>
          </w:r>
          <w:r>
            <w:fldChar w:fldCharType="separate"/>
          </w:r>
          <w:r>
            <w:t>79</w:t>
          </w:r>
          <w:r>
            <w:fldChar w:fldCharType="end"/>
          </w:r>
          <w:r>
            <w:fldChar w:fldCharType="end"/>
          </w:r>
        </w:p>
        <w:p>
          <w:pPr>
            <w:pStyle w:val="18"/>
            <w:tabs>
              <w:tab w:val="right" w:leader="dot" w:pos="6488"/>
            </w:tabs>
          </w:pPr>
          <w:r>
            <w:fldChar w:fldCharType="begin"/>
          </w:r>
          <w:r>
            <w:instrText xml:space="preserve"> HYPERLINK \l "_Toc28706904" </w:instrText>
          </w:r>
          <w:r>
            <w:fldChar w:fldCharType="separate"/>
          </w:r>
          <w:r>
            <w:rPr>
              <w:rStyle w:val="27"/>
              <w:rFonts w:ascii="黑体" w:hAnsi="黑体" w:eastAsia="黑体" w:cstheme="minorEastAsia"/>
            </w:rPr>
            <w:t>9.2 钢甲壳安装与连接</w:t>
          </w:r>
          <w:r>
            <w:tab/>
          </w:r>
          <w:r>
            <w:fldChar w:fldCharType="begin"/>
          </w:r>
          <w:r>
            <w:instrText xml:space="preserve"> PAGEREF _Toc28706904 \h </w:instrText>
          </w:r>
          <w:r>
            <w:fldChar w:fldCharType="separate"/>
          </w:r>
          <w:r>
            <w:t>85</w:t>
          </w:r>
          <w:r>
            <w:fldChar w:fldCharType="end"/>
          </w:r>
          <w:r>
            <w:fldChar w:fldCharType="end"/>
          </w:r>
        </w:p>
        <w:p>
          <w:pPr>
            <w:pStyle w:val="18"/>
            <w:tabs>
              <w:tab w:val="right" w:leader="dot" w:pos="6488"/>
            </w:tabs>
          </w:pPr>
          <w:r>
            <w:fldChar w:fldCharType="begin"/>
          </w:r>
          <w:r>
            <w:instrText xml:space="preserve"> HYPERLINK \l "_Toc28706905" </w:instrText>
          </w:r>
          <w:r>
            <w:fldChar w:fldCharType="separate"/>
          </w:r>
          <w:r>
            <w:rPr>
              <w:rStyle w:val="27"/>
              <w:rFonts w:ascii="黑体" w:hAnsi="黑体" w:eastAsia="黑体" w:cstheme="minorEastAsia"/>
            </w:rPr>
            <w:t>9.3 混凝土施工及检测</w:t>
          </w:r>
          <w:r>
            <w:tab/>
          </w:r>
          <w:r>
            <w:fldChar w:fldCharType="begin"/>
          </w:r>
          <w:r>
            <w:instrText xml:space="preserve"> PAGEREF _Toc28706905 \h </w:instrText>
          </w:r>
          <w:r>
            <w:fldChar w:fldCharType="separate"/>
          </w:r>
          <w:r>
            <w:t>88</w:t>
          </w:r>
          <w:r>
            <w:fldChar w:fldCharType="end"/>
          </w:r>
          <w:r>
            <w:fldChar w:fldCharType="end"/>
          </w:r>
        </w:p>
        <w:p>
          <w:pPr>
            <w:pStyle w:val="14"/>
            <w:tabs>
              <w:tab w:val="right" w:leader="dot" w:pos="6488"/>
            </w:tabs>
          </w:pPr>
          <w:r>
            <w:fldChar w:fldCharType="begin"/>
          </w:r>
          <w:r>
            <w:instrText xml:space="preserve"> HYPERLINK \l "_Toc28706906" </w:instrText>
          </w:r>
          <w:r>
            <w:fldChar w:fldCharType="separate"/>
          </w:r>
          <w:r>
            <w:rPr>
              <w:rStyle w:val="27"/>
              <w:rFonts w:ascii="黑体" w:hAnsi="黑体" w:eastAsia="黑体"/>
            </w:rPr>
            <w:t>10质量验收</w:t>
          </w:r>
          <w:r>
            <w:tab/>
          </w:r>
          <w:r>
            <w:fldChar w:fldCharType="begin"/>
          </w:r>
          <w:r>
            <w:instrText xml:space="preserve"> PAGEREF _Toc28706906 \h </w:instrText>
          </w:r>
          <w:r>
            <w:fldChar w:fldCharType="separate"/>
          </w:r>
          <w:r>
            <w:t>92</w:t>
          </w:r>
          <w:r>
            <w:fldChar w:fldCharType="end"/>
          </w:r>
          <w:r>
            <w:fldChar w:fldCharType="end"/>
          </w:r>
        </w:p>
        <w:p>
          <w:pPr>
            <w:pStyle w:val="18"/>
            <w:tabs>
              <w:tab w:val="right" w:leader="dot" w:pos="6488"/>
            </w:tabs>
          </w:pPr>
          <w:r>
            <w:fldChar w:fldCharType="begin"/>
          </w:r>
          <w:r>
            <w:instrText xml:space="preserve"> HYPERLINK \l "_Toc28706907" </w:instrText>
          </w:r>
          <w:r>
            <w:fldChar w:fldCharType="separate"/>
          </w:r>
          <w:r>
            <w:rPr>
              <w:rStyle w:val="27"/>
              <w:rFonts w:ascii="黑体" w:hAnsi="黑体" w:eastAsia="黑体" w:cstheme="minorEastAsia"/>
            </w:rPr>
            <w:t>10.1 一般规定</w:t>
          </w:r>
          <w:r>
            <w:tab/>
          </w:r>
          <w:r>
            <w:fldChar w:fldCharType="begin"/>
          </w:r>
          <w:r>
            <w:instrText xml:space="preserve"> PAGEREF _Toc28706907 \h </w:instrText>
          </w:r>
          <w:r>
            <w:fldChar w:fldCharType="separate"/>
          </w:r>
          <w:r>
            <w:t>92</w:t>
          </w:r>
          <w:r>
            <w:fldChar w:fldCharType="end"/>
          </w:r>
          <w:r>
            <w:fldChar w:fldCharType="end"/>
          </w:r>
        </w:p>
        <w:p>
          <w:pPr>
            <w:pStyle w:val="18"/>
            <w:tabs>
              <w:tab w:val="right" w:leader="dot" w:pos="6488"/>
            </w:tabs>
          </w:pPr>
          <w:r>
            <w:fldChar w:fldCharType="begin"/>
          </w:r>
          <w:r>
            <w:instrText xml:space="preserve"> HYPERLINK \l "_Toc28706908" </w:instrText>
          </w:r>
          <w:r>
            <w:fldChar w:fldCharType="separate"/>
          </w:r>
          <w:r>
            <w:rPr>
              <w:rStyle w:val="27"/>
              <w:rFonts w:ascii="黑体" w:hAnsi="黑体" w:eastAsia="黑体" w:cstheme="minorEastAsia"/>
            </w:rPr>
            <w:t>10.2 甲壳柱、甲壳梁的验收</w:t>
          </w:r>
          <w:r>
            <w:tab/>
          </w:r>
          <w:r>
            <w:fldChar w:fldCharType="begin"/>
          </w:r>
          <w:r>
            <w:instrText xml:space="preserve"> PAGEREF _Toc28706908 \h </w:instrText>
          </w:r>
          <w:r>
            <w:fldChar w:fldCharType="separate"/>
          </w:r>
          <w:r>
            <w:t>94</w:t>
          </w:r>
          <w:r>
            <w:fldChar w:fldCharType="end"/>
          </w:r>
          <w:r>
            <w:fldChar w:fldCharType="end"/>
          </w:r>
        </w:p>
        <w:p>
          <w:pPr>
            <w:pStyle w:val="14"/>
            <w:tabs>
              <w:tab w:val="right" w:leader="dot" w:pos="6488"/>
            </w:tabs>
          </w:pPr>
          <w:r>
            <w:fldChar w:fldCharType="begin"/>
          </w:r>
          <w:r>
            <w:instrText xml:space="preserve"> HYPERLINK \l "_Toc28706909" </w:instrText>
          </w:r>
          <w:r>
            <w:fldChar w:fldCharType="separate"/>
          </w:r>
          <w:r>
            <w:rPr>
              <w:rStyle w:val="27"/>
              <w:rFonts w:ascii="黑体" w:hAnsi="黑体" w:eastAsia="黑体"/>
              <w:b/>
              <w:bCs/>
            </w:rPr>
            <w:t>附录A 甲壳柱、甲壳梁的组成</w:t>
          </w:r>
          <w:r>
            <w:tab/>
          </w:r>
          <w:r>
            <w:fldChar w:fldCharType="begin"/>
          </w:r>
          <w:r>
            <w:instrText xml:space="preserve"> PAGEREF _Toc28706909 \h </w:instrText>
          </w:r>
          <w:r>
            <w:fldChar w:fldCharType="separate"/>
          </w:r>
          <w:r>
            <w:t>96</w:t>
          </w:r>
          <w:r>
            <w:fldChar w:fldCharType="end"/>
          </w:r>
          <w:r>
            <w:fldChar w:fldCharType="end"/>
          </w:r>
        </w:p>
        <w:p>
          <w:pPr>
            <w:pStyle w:val="18"/>
            <w:tabs>
              <w:tab w:val="right" w:leader="dot" w:pos="6488"/>
            </w:tabs>
          </w:pPr>
          <w:r>
            <w:fldChar w:fldCharType="begin"/>
          </w:r>
          <w:r>
            <w:instrText xml:space="preserve"> HYPERLINK \l "_Toc28706910" </w:instrText>
          </w:r>
          <w:r>
            <w:fldChar w:fldCharType="separate"/>
          </w:r>
          <w:r>
            <w:rPr>
              <w:rStyle w:val="27"/>
              <w:rFonts w:ascii="黑体" w:hAnsi="黑体" w:eastAsia="黑体"/>
            </w:rPr>
            <w:t>A.1 甲壳柱</w:t>
          </w:r>
          <w:r>
            <w:tab/>
          </w:r>
          <w:r>
            <w:fldChar w:fldCharType="begin"/>
          </w:r>
          <w:r>
            <w:instrText xml:space="preserve"> PAGEREF _Toc28706910 \h </w:instrText>
          </w:r>
          <w:r>
            <w:fldChar w:fldCharType="separate"/>
          </w:r>
          <w:r>
            <w:t>96</w:t>
          </w:r>
          <w:r>
            <w:fldChar w:fldCharType="end"/>
          </w:r>
          <w:r>
            <w:fldChar w:fldCharType="end"/>
          </w:r>
        </w:p>
        <w:p>
          <w:pPr>
            <w:pStyle w:val="18"/>
            <w:tabs>
              <w:tab w:val="right" w:leader="dot" w:pos="6488"/>
            </w:tabs>
          </w:pPr>
          <w:r>
            <w:fldChar w:fldCharType="begin"/>
          </w:r>
          <w:r>
            <w:instrText xml:space="preserve"> HYPERLINK \l "_Toc28706911" </w:instrText>
          </w:r>
          <w:r>
            <w:fldChar w:fldCharType="separate"/>
          </w:r>
          <w:r>
            <w:rPr>
              <w:rStyle w:val="27"/>
              <w:rFonts w:ascii="黑体" w:hAnsi="黑体" w:eastAsia="黑体"/>
            </w:rPr>
            <w:t>A.2 甲壳梁</w:t>
          </w:r>
          <w:r>
            <w:tab/>
          </w:r>
          <w:r>
            <w:fldChar w:fldCharType="begin"/>
          </w:r>
          <w:r>
            <w:instrText xml:space="preserve"> PAGEREF _Toc28706911 \h </w:instrText>
          </w:r>
          <w:r>
            <w:fldChar w:fldCharType="separate"/>
          </w:r>
          <w:r>
            <w:t>99</w:t>
          </w:r>
          <w:r>
            <w:fldChar w:fldCharType="end"/>
          </w:r>
          <w:r>
            <w:fldChar w:fldCharType="end"/>
          </w:r>
        </w:p>
        <w:p>
          <w:pPr>
            <w:pStyle w:val="18"/>
            <w:tabs>
              <w:tab w:val="right" w:leader="dot" w:pos="6488"/>
            </w:tabs>
          </w:pPr>
          <w:r>
            <w:fldChar w:fldCharType="begin"/>
          </w:r>
          <w:r>
            <w:instrText xml:space="preserve"> HYPERLINK \l "_Toc28706912" </w:instrText>
          </w:r>
          <w:r>
            <w:fldChar w:fldCharType="separate"/>
          </w:r>
          <w:r>
            <w:rPr>
              <w:rStyle w:val="27"/>
              <w:rFonts w:ascii="黑体" w:hAnsi="黑体" w:eastAsia="黑体"/>
            </w:rPr>
            <w:t>A.3 节点</w:t>
          </w:r>
          <w:r>
            <w:tab/>
          </w:r>
          <w:r>
            <w:fldChar w:fldCharType="begin"/>
          </w:r>
          <w:r>
            <w:instrText xml:space="preserve"> PAGEREF _Toc28706912 \h </w:instrText>
          </w:r>
          <w:r>
            <w:fldChar w:fldCharType="separate"/>
          </w:r>
          <w:r>
            <w:t>100</w:t>
          </w:r>
          <w:r>
            <w:fldChar w:fldCharType="end"/>
          </w:r>
          <w:r>
            <w:fldChar w:fldCharType="end"/>
          </w:r>
        </w:p>
        <w:p>
          <w:pPr>
            <w:pStyle w:val="18"/>
            <w:tabs>
              <w:tab w:val="right" w:leader="dot" w:pos="6488"/>
            </w:tabs>
          </w:pPr>
          <w:r>
            <w:fldChar w:fldCharType="begin"/>
          </w:r>
          <w:r>
            <w:instrText xml:space="preserve"> HYPERLINK \l "_Toc28706913" </w:instrText>
          </w:r>
          <w:r>
            <w:fldChar w:fldCharType="separate"/>
          </w:r>
          <w:r>
            <w:rPr>
              <w:rStyle w:val="27"/>
              <w:rFonts w:ascii="黑体" w:hAnsi="黑体" w:eastAsia="黑体"/>
            </w:rPr>
            <w:t>A.4 优端梁</w:t>
          </w:r>
          <w:r>
            <w:tab/>
          </w:r>
          <w:r>
            <w:fldChar w:fldCharType="begin"/>
          </w:r>
          <w:r>
            <w:instrText xml:space="preserve"> PAGEREF _Toc28706913 \h </w:instrText>
          </w:r>
          <w:r>
            <w:fldChar w:fldCharType="separate"/>
          </w:r>
          <w:r>
            <w:t>102</w:t>
          </w:r>
          <w:r>
            <w:fldChar w:fldCharType="end"/>
          </w:r>
          <w:r>
            <w:fldChar w:fldCharType="end"/>
          </w:r>
        </w:p>
        <w:p>
          <w:pPr>
            <w:pStyle w:val="14"/>
            <w:tabs>
              <w:tab w:val="right" w:leader="dot" w:pos="6488"/>
            </w:tabs>
          </w:pPr>
          <w:r>
            <w:fldChar w:fldCharType="begin"/>
          </w:r>
          <w:r>
            <w:instrText xml:space="preserve"> HYPERLINK \l "_Toc28706914" </w:instrText>
          </w:r>
          <w:r>
            <w:fldChar w:fldCharType="separate"/>
          </w:r>
          <w:r>
            <w:rPr>
              <w:rStyle w:val="27"/>
              <w:rFonts w:ascii="黑体" w:hAnsi="黑体" w:eastAsia="黑体"/>
              <w:b/>
              <w:bCs/>
            </w:rPr>
            <w:t>附录B 甲壳柱钢甲壳截面特性</w:t>
          </w:r>
          <w:r>
            <w:tab/>
          </w:r>
          <w:r>
            <w:fldChar w:fldCharType="begin"/>
          </w:r>
          <w:r>
            <w:instrText xml:space="preserve"> PAGEREF _Toc28706914 \h </w:instrText>
          </w:r>
          <w:r>
            <w:fldChar w:fldCharType="separate"/>
          </w:r>
          <w:r>
            <w:t>103</w:t>
          </w:r>
          <w:r>
            <w:fldChar w:fldCharType="end"/>
          </w:r>
          <w:r>
            <w:fldChar w:fldCharType="end"/>
          </w:r>
        </w:p>
        <w:p>
          <w:pPr>
            <w:pStyle w:val="14"/>
            <w:tabs>
              <w:tab w:val="right" w:leader="dot" w:pos="6488"/>
            </w:tabs>
          </w:pPr>
          <w:r>
            <w:fldChar w:fldCharType="begin"/>
          </w:r>
          <w:r>
            <w:instrText xml:space="preserve"> HYPERLINK \l "_Toc28706916" </w:instrText>
          </w:r>
          <w:r>
            <w:fldChar w:fldCharType="separate"/>
          </w:r>
          <w:r>
            <w:rPr>
              <w:rStyle w:val="27"/>
              <w:rFonts w:ascii="黑体" w:hAnsi="黑体" w:eastAsia="黑体"/>
              <w:b/>
              <w:bCs/>
            </w:rPr>
            <w:t>附录C 甲壳梁钢甲壳截面特性</w:t>
          </w:r>
          <w:r>
            <w:tab/>
          </w:r>
          <w:r>
            <w:fldChar w:fldCharType="begin"/>
          </w:r>
          <w:r>
            <w:instrText xml:space="preserve"> PAGEREF _Toc28706916 \h </w:instrText>
          </w:r>
          <w:r>
            <w:fldChar w:fldCharType="separate"/>
          </w:r>
          <w:r>
            <w:t>106</w:t>
          </w:r>
          <w:r>
            <w:fldChar w:fldCharType="end"/>
          </w:r>
          <w:r>
            <w:fldChar w:fldCharType="end"/>
          </w:r>
        </w:p>
        <w:p>
          <w:pPr>
            <w:pStyle w:val="14"/>
            <w:tabs>
              <w:tab w:val="right" w:leader="dot" w:pos="6488"/>
            </w:tabs>
          </w:pPr>
          <w:r>
            <w:fldChar w:fldCharType="begin"/>
          </w:r>
          <w:r>
            <w:instrText xml:space="preserve"> HYPERLINK \l "_Toc28706919" </w:instrText>
          </w:r>
          <w:r>
            <w:fldChar w:fldCharType="separate"/>
          </w:r>
          <w:r>
            <w:rPr>
              <w:rStyle w:val="27"/>
              <w:rFonts w:ascii="黑体" w:hAnsi="黑体" w:eastAsia="黑体"/>
              <w:b/>
              <w:bCs/>
            </w:rPr>
            <w:t>引用标准名录</w:t>
          </w:r>
          <w:r>
            <w:tab/>
          </w:r>
          <w:r>
            <w:fldChar w:fldCharType="begin"/>
          </w:r>
          <w:r>
            <w:instrText xml:space="preserve"> PAGEREF _Toc28706919 \h </w:instrText>
          </w:r>
          <w:r>
            <w:fldChar w:fldCharType="separate"/>
          </w:r>
          <w:r>
            <w:t>109</w:t>
          </w:r>
          <w:r>
            <w:fldChar w:fldCharType="end"/>
          </w:r>
          <w:r>
            <w:fldChar w:fldCharType="end"/>
          </w:r>
        </w:p>
        <w:p>
          <w:pPr>
            <w:pStyle w:val="14"/>
            <w:tabs>
              <w:tab w:val="right" w:leader="dot" w:pos="6488"/>
            </w:tabs>
          </w:pPr>
          <w:r>
            <w:fldChar w:fldCharType="begin"/>
          </w:r>
          <w:r>
            <w:instrText xml:space="preserve"> HYPERLINK \l "_Toc28706920" </w:instrText>
          </w:r>
          <w:r>
            <w:fldChar w:fldCharType="separate"/>
          </w:r>
          <w:r>
            <w:rPr>
              <w:rStyle w:val="27"/>
              <w:rFonts w:ascii="黑体" w:hAnsi="黑体" w:eastAsia="黑体"/>
              <w:b/>
              <w:bCs/>
            </w:rPr>
            <w:t>条文说明</w:t>
          </w:r>
          <w:r>
            <w:tab/>
          </w:r>
          <w:r>
            <w:fldChar w:fldCharType="begin"/>
          </w:r>
          <w:r>
            <w:instrText xml:space="preserve"> PAGEREF _Toc28706920 \h </w:instrText>
          </w:r>
          <w:r>
            <w:fldChar w:fldCharType="separate"/>
          </w:r>
          <w:r>
            <w:t>109</w:t>
          </w:r>
          <w:r>
            <w:fldChar w:fldCharType="end"/>
          </w:r>
          <w:r>
            <w:fldChar w:fldCharType="end"/>
          </w:r>
        </w:p>
        <w:p>
          <w:pPr>
            <w:sectPr>
              <w:footerReference r:id="rId3" w:type="default"/>
              <w:pgSz w:w="7938" w:h="11510"/>
              <w:pgMar w:top="720" w:right="720" w:bottom="720" w:left="720" w:header="851" w:footer="992" w:gutter="0"/>
              <w:pgNumType w:start="0"/>
              <w:cols w:space="425" w:num="1"/>
              <w:docGrid w:type="lines" w:linePitch="312" w:charSpace="0"/>
            </w:sectPr>
          </w:pPr>
          <w:r>
            <w:rPr>
              <w:rFonts w:ascii="宋体" w:hAnsi="宋体" w:eastAsia="宋体"/>
              <w:szCs w:val="21"/>
              <w:lang w:val="zh-CN"/>
            </w:rPr>
            <w:fldChar w:fldCharType="end"/>
          </w:r>
        </w:p>
      </w:sdtContent>
    </w:sdt>
    <w:p>
      <w:pPr>
        <w:pStyle w:val="16"/>
        <w:spacing w:line="240" w:lineRule="auto"/>
        <w:outlineLvl w:val="0"/>
        <w:rPr>
          <w:rFonts w:ascii="黑体" w:hAnsi="黑体" w:eastAsia="黑体"/>
          <w:sz w:val="28"/>
          <w:szCs w:val="28"/>
        </w:rPr>
      </w:pPr>
      <w:bookmarkStart w:id="15" w:name="_Toc18493249"/>
      <w:bookmarkStart w:id="16" w:name="_Toc28706870"/>
      <w:r>
        <w:rPr>
          <w:rStyle w:val="35"/>
          <w:rFonts w:hint="eastAsia" w:ascii="黑体" w:hAnsi="黑体" w:eastAsia="黑体"/>
          <w:b w:val="0"/>
          <w:bCs w:val="0"/>
          <w:i w:val="0"/>
          <w:iCs w:val="0"/>
          <w:color w:val="auto"/>
          <w:sz w:val="28"/>
          <w:szCs w:val="28"/>
        </w:rPr>
        <w:t>1 总则</w:t>
      </w:r>
      <w:bookmarkEnd w:id="15"/>
      <w:bookmarkEnd w:id="16"/>
    </w:p>
    <w:p>
      <w:pPr>
        <w:pStyle w:val="31"/>
        <w:numPr>
          <w:ilvl w:val="2"/>
          <w:numId w:val="1"/>
        </w:numPr>
        <w:ind w:left="0" w:firstLine="0" w:firstLineChars="0"/>
        <w:jc w:val="left"/>
        <w:rPr>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为合理应用波纹钢板组合框架结构，做到</w:t>
      </w:r>
      <w:r>
        <w:rPr>
          <w:rFonts w:hint="eastAsia"/>
          <w:color w:val="000000" w:themeColor="text1"/>
          <w14:textFill>
            <w14:solidFill>
              <w14:schemeClr w14:val="tx1"/>
            </w14:solidFill>
          </w14:textFill>
        </w:rPr>
        <w:t>技术先进、安全适用、经济合理、施工方便、确保质量，制定本规程。</w:t>
      </w:r>
    </w:p>
    <w:p>
      <w:pPr>
        <w:pStyle w:val="31"/>
        <w:ind w:firstLine="420" w:firstLineChars="200"/>
        <w:jc w:val="left"/>
        <w:rPr>
          <w:color w:val="0070C0"/>
        </w:rPr>
      </w:pPr>
      <w:r>
        <w:rPr>
          <w:rFonts w:hint="eastAsia"/>
          <w:color w:val="0070C0"/>
        </w:rPr>
        <w:t>条文说明：</w:t>
      </w:r>
      <w:r>
        <w:rPr>
          <w:rFonts w:hint="eastAsia"/>
          <w:color w:val="0070C0"/>
          <w:lang w:val="en-US" w:eastAsia="zh-CN"/>
        </w:rPr>
        <w:t>1.0.1</w:t>
      </w:r>
      <w:r>
        <w:rPr>
          <w:rFonts w:hint="eastAsia"/>
          <w:color w:val="0070C0"/>
        </w:rPr>
        <w:t>随着老百姓购买方式的转变，国内对各种物流仓储建筑需求量巨大，而随着土地成本的增长，工业仓储建筑的层数越来越多，建筑高度越来越高，此类建筑的特点是：大跨、重载、层高高、构件重。现有的结构形式存在各种不足：混凝土现浇框架结构需要巨量的满堂脚手架,用工量大、工期长且施工安全隐患高；全钢框架结构用钢量大、建造成本高；装配式混凝土框架结构的施工困难、建造成本高且抗震性能弱。类似地，还有一些框架结构的公共建筑和工业建筑等，也具有上述的同样问题。</w:t>
      </w:r>
    </w:p>
    <w:p>
      <w:pPr>
        <w:pStyle w:val="31"/>
        <w:jc w:val="left"/>
        <w:rPr>
          <w:color w:val="0070C0"/>
        </w:rPr>
      </w:pPr>
      <w:r>
        <w:rPr>
          <w:rFonts w:hint="eastAsia"/>
          <w:color w:val="0070C0"/>
        </w:rPr>
        <w:t>波纹钢板组合框架结构由甲壳柱-甲壳梁或甲壳柱-钢梁组成，钢甲壳既是施工阶段的模板，又替代使用阶段的受力钢筋，施工方便，受力合理。经过大量的构件试验、节点试验和有限元分析，表明波纹钢板组合框架结构具有良好的承载能力和抗震性能，目前已有多个实际工程应用案例，具有良好的经济效益。</w:t>
      </w:r>
    </w:p>
    <w:p>
      <w:pPr>
        <w:pStyle w:val="31"/>
        <w:jc w:val="left"/>
        <w:rPr>
          <w:color w:val="0070C0"/>
        </w:rPr>
      </w:pPr>
      <w:r>
        <w:rPr>
          <w:rFonts w:hint="eastAsia"/>
          <w:color w:val="0070C0"/>
        </w:rPr>
        <w:t>为满足工程应用的需求，编制本规程。</w:t>
      </w:r>
    </w:p>
    <w:p>
      <w:pPr>
        <w:pStyle w:val="31"/>
        <w:numPr>
          <w:ilvl w:val="2"/>
          <w:numId w:val="1"/>
        </w:numPr>
        <w:ind w:left="0" w:firstLine="0" w:firstLineChars="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本规程适用于抗震设防烈度为6度至</w:t>
      </w:r>
      <w:r>
        <w:rPr>
          <w:rFonts w:ascii="宋体" w:hAnsi="宋体" w:eastAsia="宋体"/>
          <w:color w:val="000000" w:themeColor="text1"/>
          <w14:textFill>
            <w14:solidFill>
              <w14:schemeClr w14:val="tx1"/>
            </w14:solidFill>
          </w14:textFill>
        </w:rPr>
        <w:t>8</w:t>
      </w:r>
      <w:r>
        <w:rPr>
          <w:rFonts w:hint="eastAsia" w:ascii="宋体" w:hAnsi="宋体" w:eastAsia="宋体"/>
          <w:color w:val="000000" w:themeColor="text1"/>
          <w14:textFill>
            <w14:solidFill>
              <w14:schemeClr w14:val="tx1"/>
            </w14:solidFill>
          </w14:textFill>
        </w:rPr>
        <w:t>度地震区的</w:t>
      </w:r>
      <w:r>
        <w:rPr>
          <w:rFonts w:hint="eastAsia" w:ascii="宋体" w:hAnsi="宋体" w:eastAsia="宋体"/>
          <w:color w:val="000000" w:themeColor="text1"/>
          <w:lang w:val="en-US" w:eastAsia="zh-CN"/>
          <w14:textFill>
            <w14:solidFill>
              <w14:schemeClr w14:val="tx1"/>
            </w14:solidFill>
          </w14:textFill>
        </w:rPr>
        <w:t>工业与民用</w:t>
      </w:r>
      <w:r>
        <w:rPr>
          <w:rFonts w:hint="eastAsia" w:ascii="宋体" w:hAnsi="宋体" w:eastAsia="宋体"/>
          <w:color w:val="000000" w:themeColor="text1"/>
          <w14:textFill>
            <w14:solidFill>
              <w14:schemeClr w14:val="tx1"/>
            </w14:solidFill>
          </w14:textFill>
        </w:rPr>
        <w:t>建筑</w:t>
      </w:r>
      <w:r>
        <w:rPr>
          <w:rFonts w:hint="eastAsia" w:ascii="宋体" w:hAnsi="宋体" w:eastAsia="宋体"/>
          <w:color w:val="000000" w:themeColor="text1"/>
          <w:lang w:val="en-US" w:eastAsia="zh-CN"/>
          <w14:textFill>
            <w14:solidFill>
              <w14:schemeClr w14:val="tx1"/>
            </w14:solidFill>
          </w14:textFill>
        </w:rPr>
        <w:t>和</w:t>
      </w:r>
      <w:r>
        <w:rPr>
          <w:rFonts w:hint="eastAsia" w:ascii="宋体" w:hAnsi="宋体" w:eastAsia="宋体"/>
          <w:color w:val="000000" w:themeColor="text1"/>
          <w14:textFill>
            <w14:solidFill>
              <w14:schemeClr w14:val="tx1"/>
            </w14:solidFill>
          </w14:textFill>
        </w:rPr>
        <w:t>一般构筑物的波纹钢板组合框架结构的设计、制作、安装及验收。</w:t>
      </w:r>
    </w:p>
    <w:p>
      <w:pPr>
        <w:pStyle w:val="31"/>
        <w:ind w:firstLine="420" w:firstLineChars="200"/>
        <w:jc w:val="left"/>
        <w:rPr>
          <w:color w:val="0070C0"/>
        </w:rPr>
      </w:pPr>
      <w:r>
        <w:rPr>
          <w:rFonts w:hint="eastAsia"/>
          <w:color w:val="0070C0"/>
        </w:rPr>
        <w:t>条文说明：</w:t>
      </w:r>
      <w:r>
        <w:rPr>
          <w:rFonts w:hint="eastAsia"/>
          <w:color w:val="0070C0"/>
          <w:lang w:val="en-US" w:eastAsia="zh-CN"/>
        </w:rPr>
        <w:t>1.0.2</w:t>
      </w:r>
      <w:r>
        <w:rPr>
          <w:rFonts w:hint="eastAsia"/>
          <w:color w:val="0070C0"/>
        </w:rPr>
        <w:t>根据《</w:t>
      </w:r>
      <w:r>
        <w:rPr>
          <w:color w:val="0070C0"/>
        </w:rPr>
        <w:t>中国地震动参数区划图</w:t>
      </w:r>
      <w:r>
        <w:rPr>
          <w:rFonts w:hint="eastAsia"/>
          <w:color w:val="0070C0"/>
        </w:rPr>
        <w:t>》G</w:t>
      </w:r>
      <w:r>
        <w:rPr>
          <w:color w:val="0070C0"/>
        </w:rPr>
        <w:t>B18306-2015,</w:t>
      </w:r>
      <w:r>
        <w:rPr>
          <w:rFonts w:hint="eastAsia"/>
          <w:color w:val="0070C0"/>
        </w:rPr>
        <w:t>我国已无不抗震设防的地区，波纹钢板组合框架结构尚无9度区的应用经验，因此本规程的适用范围为抗震设防烈度6度至</w:t>
      </w:r>
      <w:r>
        <w:rPr>
          <w:color w:val="0070C0"/>
        </w:rPr>
        <w:t>8</w:t>
      </w:r>
      <w:r>
        <w:rPr>
          <w:rFonts w:hint="eastAsia"/>
          <w:color w:val="0070C0"/>
        </w:rPr>
        <w:t>度的地震区。</w:t>
      </w:r>
    </w:p>
    <w:p>
      <w:pPr>
        <w:pStyle w:val="31"/>
        <w:numPr>
          <w:ilvl w:val="2"/>
          <w:numId w:val="1"/>
        </w:numPr>
        <w:ind w:left="0" w:firstLine="0" w:firstLineChars="0"/>
        <w:jc w:val="left"/>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波纹钢板组合框架结构的设计与施工，除应符合本规程的规定外，尚应符合国家现行有关标准的规定。</w:t>
      </w:r>
    </w:p>
    <w:p>
      <w:pPr>
        <w:pStyle w:val="31"/>
        <w:ind w:firstLine="420" w:firstLineChars="200"/>
        <w:rPr>
          <w:color w:val="0070C0"/>
        </w:rPr>
      </w:pPr>
      <w:r>
        <w:rPr>
          <w:rFonts w:hint="eastAsia"/>
          <w:color w:val="0070C0"/>
        </w:rPr>
        <w:t>条文说明：</w:t>
      </w:r>
      <w:r>
        <w:rPr>
          <w:rFonts w:hint="eastAsia"/>
          <w:color w:val="0070C0"/>
          <w:lang w:val="en-US" w:eastAsia="zh-CN"/>
        </w:rPr>
        <w:t>1.0.3</w:t>
      </w:r>
      <w:r>
        <w:rPr>
          <w:color w:val="0070C0"/>
        </w:rPr>
        <w:t>本规</w:t>
      </w:r>
      <w:r>
        <w:rPr>
          <w:rFonts w:hint="eastAsia"/>
          <w:color w:val="0070C0"/>
          <w:lang w:val="en-US" w:eastAsia="zh-CN"/>
        </w:rPr>
        <w:t>程</w:t>
      </w:r>
      <w:r>
        <w:rPr>
          <w:color w:val="0070C0"/>
        </w:rPr>
        <w:t>中的很多参数，如材料和连接的强度等，都引用了国家现行有关标准的规定，因此，除本规范有明确的规定外，设计时还应遵守国家现行有关标准的规定。</w:t>
      </w:r>
    </w:p>
    <w:p>
      <w:pPr>
        <w:pStyle w:val="31"/>
        <w:ind w:firstLine="0" w:firstLineChars="0"/>
      </w:pPr>
    </w:p>
    <w:p>
      <w:pPr>
        <w:pStyle w:val="31"/>
        <w:ind w:firstLine="0" w:firstLineChars="0"/>
      </w:pPr>
    </w:p>
    <w:p>
      <w:pPr>
        <w:pStyle w:val="31"/>
        <w:ind w:firstLine="0" w:firstLineChars="0"/>
      </w:pPr>
      <w:r>
        <w:br w:type="page"/>
      </w:r>
    </w:p>
    <w:p>
      <w:pPr>
        <w:pStyle w:val="16"/>
        <w:spacing w:line="240" w:lineRule="auto"/>
        <w:outlineLvl w:val="0"/>
        <w:rPr>
          <w:rStyle w:val="35"/>
          <w:rFonts w:ascii="黑体" w:hAnsi="黑体" w:eastAsia="黑体"/>
          <w:b w:val="0"/>
          <w:bCs w:val="0"/>
          <w:i w:val="0"/>
          <w:iCs w:val="0"/>
          <w:color w:val="auto"/>
          <w:sz w:val="28"/>
          <w:szCs w:val="28"/>
        </w:rPr>
      </w:pPr>
      <w:bookmarkStart w:id="17" w:name="_Toc18493250"/>
      <w:bookmarkStart w:id="18" w:name="_Toc28706871"/>
      <w:r>
        <w:rPr>
          <w:rStyle w:val="35"/>
          <w:rFonts w:hint="eastAsia" w:ascii="黑体" w:hAnsi="黑体" w:eastAsia="黑体"/>
          <w:b w:val="0"/>
          <w:bCs w:val="0"/>
          <w:i w:val="0"/>
          <w:iCs w:val="0"/>
          <w:color w:val="auto"/>
          <w:sz w:val="28"/>
          <w:szCs w:val="28"/>
        </w:rPr>
        <w:t>2 术语和符号</w:t>
      </w:r>
      <w:bookmarkEnd w:id="17"/>
      <w:bookmarkEnd w:id="18"/>
    </w:p>
    <w:p>
      <w:pPr>
        <w:jc w:val="center"/>
        <w:outlineLvl w:val="1"/>
        <w:rPr>
          <w:rFonts w:ascii="黑体" w:hAnsi="黑体" w:eastAsia="黑体"/>
          <w:szCs w:val="21"/>
        </w:rPr>
      </w:pPr>
      <w:bookmarkStart w:id="19" w:name="_Toc18493251"/>
      <w:bookmarkStart w:id="20" w:name="_Toc28706872"/>
      <w:r>
        <w:rPr>
          <w:rFonts w:hint="eastAsia" w:ascii="黑体" w:hAnsi="黑体" w:eastAsia="黑体"/>
          <w:szCs w:val="21"/>
        </w:rPr>
        <w:t>2.1 术语</w:t>
      </w:r>
      <w:bookmarkEnd w:id="19"/>
      <w:bookmarkEnd w:id="20"/>
    </w:p>
    <w:p>
      <w:pPr>
        <w:jc w:val="left"/>
      </w:pPr>
      <w:r>
        <w:rPr>
          <w:rFonts w:hint="eastAsia" w:ascii="黑体" w:hAnsi="黑体" w:eastAsia="黑体"/>
          <w:szCs w:val="21"/>
        </w:rPr>
        <w:t>2.1.1</w:t>
      </w:r>
      <w:r>
        <w:rPr>
          <w:rFonts w:hint="eastAsia" w:asciiTheme="minorEastAsia" w:hAnsiTheme="minorEastAsia"/>
          <w:szCs w:val="21"/>
        </w:rPr>
        <w:t xml:space="preserve"> </w:t>
      </w:r>
      <w:r>
        <w:rPr>
          <w:rFonts w:hint="eastAsia"/>
        </w:rPr>
        <w:t xml:space="preserve">波纹钢板组合框架结构 </w:t>
      </w:r>
      <w:r>
        <w:t>frame structures with corrugated steel plate components</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由甲壳柱、甲壳梁、钢梁、优端梁等构件组成的预制装配整体式框架结构,</w:t>
      </w:r>
      <w:r>
        <w:rPr>
          <w:rFonts w:hint="eastAsia" w:asciiTheme="minorEastAsia" w:hAnsiTheme="minorEastAsia" w:cstheme="minorEastAsia"/>
          <w:color w:val="000000" w:themeColor="text1"/>
          <w:szCs w:val="21"/>
          <w14:textFill>
            <w14:solidFill>
              <w14:schemeClr w14:val="tx1"/>
            </w14:solidFill>
          </w14:textFill>
        </w:rPr>
        <w:t>包含框架结构体系和框架-支撑结构体系。</w:t>
      </w:r>
    </w:p>
    <w:p>
      <w:pPr>
        <w:ind w:firstLine="420" w:firstLineChars="200"/>
        <w:rPr>
          <w:color w:val="0070C0"/>
        </w:rPr>
      </w:pPr>
      <w:r>
        <w:rPr>
          <w:rFonts w:hint="eastAsia"/>
          <w:color w:val="0070C0"/>
        </w:rPr>
        <w:t>条文说明：</w:t>
      </w:r>
      <w:r>
        <w:rPr>
          <w:rFonts w:hint="eastAsia"/>
          <w:color w:val="0070C0"/>
          <w:lang w:val="en-US" w:eastAsia="zh-CN"/>
        </w:rPr>
        <w:t xml:space="preserve">2.1.1 </w:t>
      </w:r>
      <w:r>
        <w:rPr>
          <w:rFonts w:hint="eastAsia"/>
          <w:color w:val="0070C0"/>
        </w:rPr>
        <w:t>波纹钢板组合框架结构的形式，根据框架柱梁的组成构件的不同，分为以下几种形式：</w:t>
      </w:r>
    </w:p>
    <w:p>
      <w:pPr>
        <w:pStyle w:val="31"/>
        <w:numPr>
          <w:ilvl w:val="0"/>
          <w:numId w:val="2"/>
        </w:numPr>
        <w:ind w:firstLineChars="0"/>
        <w:rPr>
          <w:color w:val="0070C0"/>
        </w:rPr>
      </w:pPr>
      <w:r>
        <w:rPr>
          <w:rFonts w:hint="eastAsia"/>
          <w:color w:val="0070C0"/>
        </w:rPr>
        <w:t>甲壳柱-甲壳梁框架结构。</w:t>
      </w:r>
    </w:p>
    <w:p>
      <w:pPr>
        <w:pStyle w:val="31"/>
        <w:numPr>
          <w:ilvl w:val="0"/>
          <w:numId w:val="2"/>
        </w:numPr>
        <w:ind w:firstLineChars="0"/>
        <w:rPr>
          <w:color w:val="0070C0"/>
        </w:rPr>
      </w:pPr>
      <w:r>
        <w:rPr>
          <w:rFonts w:hint="eastAsia"/>
          <w:color w:val="0070C0"/>
        </w:rPr>
        <w:t>甲壳柱-钢梁框架结构。</w:t>
      </w:r>
    </w:p>
    <w:p>
      <w:pPr>
        <w:pStyle w:val="31"/>
        <w:numPr>
          <w:ilvl w:val="0"/>
          <w:numId w:val="2"/>
        </w:numPr>
        <w:ind w:firstLineChars="0"/>
        <w:rPr>
          <w:color w:val="0070C0"/>
        </w:rPr>
      </w:pPr>
      <w:r>
        <w:rPr>
          <w:rFonts w:hint="eastAsia"/>
          <w:color w:val="0070C0"/>
        </w:rPr>
        <w:t>甲壳柱-混凝土梁框架结构。</w:t>
      </w:r>
    </w:p>
    <w:p>
      <w:pPr>
        <w:pStyle w:val="31"/>
        <w:numPr>
          <w:ilvl w:val="0"/>
          <w:numId w:val="2"/>
        </w:numPr>
        <w:ind w:firstLineChars="0"/>
        <w:rPr>
          <w:color w:val="0070C0"/>
        </w:rPr>
      </w:pPr>
      <w:r>
        <w:rPr>
          <w:rFonts w:hint="eastAsia"/>
          <w:color w:val="0070C0"/>
        </w:rPr>
        <w:t>甲壳柱-优端梁框架结构。</w:t>
      </w:r>
    </w:p>
    <w:p>
      <w:pPr>
        <w:ind w:left="780"/>
      </w:pPr>
      <w:r>
        <w:rPr>
          <w:rFonts w:hint="eastAsia"/>
          <w:color w:val="0070C0"/>
        </w:rPr>
        <w:t>以上框架结构，可设置支撑，形成波纹钢板组合框架-支撑结构。</w:t>
      </w:r>
      <w:r>
        <w:t xml:space="preserve"> </w:t>
      </w:r>
    </w:p>
    <w:p>
      <w:pPr>
        <w:rPr>
          <w:rFonts w:asciiTheme="minorEastAsia" w:hAnsiTheme="minorEastAsia"/>
          <w:szCs w:val="21"/>
        </w:rPr>
      </w:pPr>
      <w:r>
        <w:rPr>
          <w:rFonts w:hint="eastAsia" w:ascii="黑体" w:hAnsi="黑体" w:eastAsia="黑体"/>
          <w:szCs w:val="21"/>
        </w:rPr>
        <w:t>2.1.2</w:t>
      </w:r>
      <w:r>
        <w:rPr>
          <w:rFonts w:hint="eastAsia" w:asciiTheme="minorEastAsia" w:hAnsiTheme="minorEastAsia"/>
          <w:szCs w:val="21"/>
        </w:rPr>
        <w:t xml:space="preserve"> 甲壳柱 </w:t>
      </w:r>
      <w:r>
        <w:rPr>
          <w:rFonts w:asciiTheme="minorEastAsia" w:hAnsiTheme="minorEastAsia"/>
          <w:szCs w:val="21"/>
        </w:rPr>
        <w:t>corrugated plate-concrete filled steel tubular columns</w:t>
      </w:r>
    </w:p>
    <w:p>
      <w:pPr>
        <w:rPr>
          <w:rFonts w:asciiTheme="minorEastAsia" w:hAnsiTheme="minorEastAsia"/>
          <w:color w:val="FF0000"/>
          <w:szCs w:val="21"/>
        </w:rPr>
      </w:pPr>
      <w:r>
        <w:rPr>
          <w:rFonts w:asciiTheme="minorEastAsia" w:hAnsiTheme="minorEastAsia"/>
          <w:szCs w:val="21"/>
        </w:rPr>
        <w:t xml:space="preserve">      </w:t>
      </w:r>
      <w:r>
        <w:rPr>
          <w:rFonts w:hint="eastAsia" w:asciiTheme="minorEastAsia" w:hAnsiTheme="minorEastAsia"/>
          <w:color w:val="000000" w:themeColor="text1"/>
          <w:szCs w:val="21"/>
          <w14:textFill>
            <w14:solidFill>
              <w14:schemeClr w14:val="tx1"/>
            </w14:solidFill>
          </w14:textFill>
        </w:rPr>
        <w:t>由四角钢管与侧</w:t>
      </w:r>
      <w:r>
        <w:rPr>
          <w:rFonts w:hint="eastAsia" w:asciiTheme="minorEastAsia" w:hAnsiTheme="minorEastAsia"/>
          <w:color w:val="000000" w:themeColor="text1"/>
          <w:szCs w:val="21"/>
          <w:lang w:val="en-US" w:eastAsia="zh-CN"/>
          <w14:textFill>
            <w14:solidFill>
              <w14:schemeClr w14:val="tx1"/>
            </w14:solidFill>
          </w14:textFill>
        </w:rPr>
        <w:t>壁</w:t>
      </w:r>
      <w:r>
        <w:rPr>
          <w:rFonts w:hint="eastAsia" w:asciiTheme="minorEastAsia" w:hAnsiTheme="minorEastAsia"/>
          <w:color w:val="000000" w:themeColor="text1"/>
          <w:szCs w:val="21"/>
          <w14:textFill>
            <w14:solidFill>
              <w14:schemeClr w14:val="tx1"/>
            </w14:solidFill>
          </w14:textFill>
        </w:rPr>
        <w:t>板焊接</w:t>
      </w:r>
      <w:r>
        <w:rPr>
          <w:rFonts w:hint="eastAsia" w:asciiTheme="minorEastAsia" w:hAnsiTheme="minorEastAsia" w:cstheme="minorEastAsia"/>
          <w:color w:val="000000" w:themeColor="text1"/>
          <w:szCs w:val="21"/>
          <w14:textFill>
            <w14:solidFill>
              <w14:schemeClr w14:val="tx1"/>
            </w14:solidFill>
          </w14:textFill>
        </w:rPr>
        <w:t>形成多腔体钢甲壳，并在腔体内填充混凝土，组合成整体受力</w:t>
      </w:r>
      <w:r>
        <w:rPr>
          <w:rFonts w:hint="eastAsia" w:asciiTheme="minorEastAsia" w:hAnsiTheme="minorEastAsia"/>
          <w:color w:val="000000" w:themeColor="text1"/>
          <w:szCs w:val="21"/>
          <w14:textFill>
            <w14:solidFill>
              <w14:schemeClr w14:val="tx1"/>
            </w14:solidFill>
          </w14:textFill>
        </w:rPr>
        <w:t>的钢-混凝土组合柱。</w:t>
      </w:r>
    </w:p>
    <w:p>
      <w:pPr>
        <w:ind w:firstLine="420" w:firstLineChars="200"/>
        <w:rPr>
          <w:color w:val="0070C0"/>
        </w:rPr>
      </w:pPr>
      <w:r>
        <w:rPr>
          <w:rFonts w:hint="eastAsia"/>
          <w:color w:val="0070C0"/>
        </w:rPr>
        <w:t>条文说明：</w:t>
      </w:r>
      <w:r>
        <w:rPr>
          <w:rFonts w:hint="eastAsia"/>
          <w:color w:val="0070C0"/>
          <w:lang w:val="en-US" w:eastAsia="zh-CN"/>
        </w:rPr>
        <w:t xml:space="preserve">2.1.2 </w:t>
      </w:r>
      <w:r>
        <w:rPr>
          <w:rFonts w:hint="eastAsia"/>
          <w:color w:val="0070C0"/>
        </w:rPr>
        <w:t>甲壳柱钢甲壳的截面构成特征为四角钢管与侧板焊接而成，四角钢管可为方管、矩形管；侧板可为横向波纹板或平钢板；当四角为方管或矩形管时，为防止混凝土浇筑时涨模，宜在柱高范围内间隔设置</w:t>
      </w:r>
      <w:r>
        <w:rPr>
          <w:color w:val="0070C0"/>
        </w:rPr>
        <w:t>”X”</w:t>
      </w:r>
      <w:r>
        <w:rPr>
          <w:rFonts w:hint="eastAsia"/>
          <w:color w:val="0070C0"/>
        </w:rPr>
        <w:t>形拉结板或“口”形拉结板，也可以在混凝土施工时设置临时外抱箍；当四面侧板均为波纹板时，按本规程规定进行设计；当两面侧板为平钢板或四面侧板均为平钢板时，侧板对截面抗弯、抗压、抗拉、抗剪的贡献同矩形钢管混凝土柱，且均不考虑截面套箍系数。</w:t>
      </w:r>
    </w:p>
    <w:p>
      <w:pPr>
        <w:rPr>
          <w:rFonts w:asciiTheme="minorEastAsia" w:hAnsiTheme="minorEastAsia"/>
          <w:szCs w:val="21"/>
        </w:rPr>
      </w:pPr>
      <w:r>
        <w:rPr>
          <w:rFonts w:ascii="黑体" w:hAnsi="黑体" w:eastAsia="黑体"/>
          <w:szCs w:val="21"/>
        </w:rPr>
        <w:t>2.1.3</w:t>
      </w:r>
      <w:r>
        <w:rPr>
          <w:rFonts w:hint="eastAsia" w:asciiTheme="minorEastAsia" w:hAnsiTheme="minorEastAsia"/>
          <w:szCs w:val="21"/>
        </w:rPr>
        <w:t xml:space="preserve"> 甲壳梁</w:t>
      </w:r>
      <w:r>
        <w:rPr>
          <w:rFonts w:asciiTheme="minorEastAsia" w:hAnsiTheme="minorEastAsia"/>
          <w:szCs w:val="21"/>
        </w:rPr>
        <w:t xml:space="preserve">steel-encased concrete composite beam with corrugated steel webs </w:t>
      </w:r>
    </w:p>
    <w:p>
      <w:pPr>
        <w:ind w:firstLine="525" w:firstLineChars="250"/>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由上下翼缘及双波纹腹板组成U形截面钢甲壳，内加普通钢筋，并填充混凝土的钢-混凝土组合梁。</w:t>
      </w:r>
    </w:p>
    <w:p>
      <w:pPr>
        <w:rPr>
          <w:rFonts w:asciiTheme="minorEastAsia" w:hAnsiTheme="minorEastAsia"/>
          <w:szCs w:val="21"/>
        </w:rPr>
      </w:pPr>
      <w:r>
        <w:rPr>
          <w:rFonts w:hint="eastAsia" w:ascii="黑体" w:hAnsi="黑体" w:eastAsia="黑体"/>
          <w:szCs w:val="21"/>
        </w:rPr>
        <w:t>2.1.4</w:t>
      </w:r>
      <w:r>
        <w:rPr>
          <w:rFonts w:hint="eastAsia" w:asciiTheme="minorEastAsia" w:hAnsiTheme="minorEastAsia"/>
          <w:szCs w:val="21"/>
        </w:rPr>
        <w:t xml:space="preserve"> 预应力甲壳梁 </w:t>
      </w:r>
      <w:r>
        <w:rPr>
          <w:rFonts w:asciiTheme="minorEastAsia" w:hAnsiTheme="minorEastAsia"/>
          <w:szCs w:val="21"/>
        </w:rPr>
        <w:t>prestressed</w:t>
      </w:r>
      <w:r>
        <w:t xml:space="preserve"> </w:t>
      </w:r>
      <w:r>
        <w:rPr>
          <w:rFonts w:asciiTheme="minorEastAsia" w:hAnsiTheme="minorEastAsia"/>
          <w:szCs w:val="21"/>
        </w:rPr>
        <w:t>steel-encased concrete composite beam with corrugated steel webs</w:t>
      </w:r>
    </w:p>
    <w:p>
      <w:pPr>
        <w:ind w:firstLine="525" w:firstLineChars="250"/>
        <w:rPr>
          <w:rFonts w:asciiTheme="minorEastAsia" w:hAnsiTheme="minorEastAsia"/>
          <w:szCs w:val="21"/>
        </w:rPr>
      </w:pPr>
      <w:r>
        <w:rPr>
          <w:rFonts w:hint="eastAsia" w:asciiTheme="minorEastAsia" w:hAnsiTheme="minorEastAsia"/>
          <w:szCs w:val="21"/>
        </w:rPr>
        <w:t>内设预应力</w:t>
      </w:r>
      <w:r>
        <w:rPr>
          <w:rFonts w:hint="eastAsia" w:asciiTheme="minorEastAsia" w:hAnsiTheme="minorEastAsia"/>
          <w:szCs w:val="21"/>
          <w:lang w:val="en-US" w:eastAsia="zh-CN"/>
        </w:rPr>
        <w:t>筋</w:t>
      </w:r>
      <w:r>
        <w:rPr>
          <w:rFonts w:hint="eastAsia" w:asciiTheme="minorEastAsia" w:hAnsiTheme="minorEastAsia"/>
          <w:szCs w:val="21"/>
        </w:rPr>
        <w:t>并施加预应力的甲壳梁。</w:t>
      </w:r>
    </w:p>
    <w:p>
      <w:pPr>
        <w:rPr>
          <w:rFonts w:asciiTheme="minorEastAsia" w:hAnsiTheme="minorEastAsia"/>
          <w:color w:val="000000" w:themeColor="text1"/>
          <w:szCs w:val="21"/>
          <w14:textFill>
            <w14:solidFill>
              <w14:schemeClr w14:val="tx1"/>
            </w14:solidFill>
          </w14:textFill>
        </w:rPr>
      </w:pPr>
      <w:r>
        <w:rPr>
          <w:rFonts w:hint="eastAsia" w:ascii="黑体" w:hAnsi="黑体" w:eastAsia="黑体"/>
          <w:szCs w:val="21"/>
        </w:rPr>
        <w:t>2.1.5</w:t>
      </w:r>
      <w:r>
        <w:rPr>
          <w:rFonts w:hint="eastAsia" w:asciiTheme="minorEastAsia" w:hAnsiTheme="minorEastAsia"/>
          <w:szCs w:val="21"/>
        </w:rPr>
        <w:t xml:space="preserve"> 优端梁 </w:t>
      </w:r>
      <w:r>
        <w:rPr>
          <w:rFonts w:asciiTheme="minorEastAsia" w:hAnsiTheme="minorEastAsia"/>
          <w:color w:val="000000" w:themeColor="text1"/>
          <w:szCs w:val="21"/>
          <w14:textFill>
            <w14:solidFill>
              <w14:schemeClr w14:val="tx1"/>
            </w14:solidFill>
          </w14:textFill>
        </w:rPr>
        <w:t xml:space="preserve">section steel </w:t>
      </w:r>
      <w:r>
        <w:rPr>
          <w:rFonts w:hint="eastAsia" w:asciiTheme="minorEastAsia" w:hAnsiTheme="minorEastAsia"/>
          <w:color w:val="000000" w:themeColor="text1"/>
          <w:szCs w:val="21"/>
          <w14:textFill>
            <w14:solidFill>
              <w14:schemeClr w14:val="tx1"/>
            </w14:solidFill>
          </w14:textFill>
        </w:rPr>
        <w:t xml:space="preserve">with </w:t>
      </w:r>
      <w:r>
        <w:rPr>
          <w:rFonts w:asciiTheme="minorEastAsia" w:hAnsiTheme="minorEastAsia"/>
          <w:color w:val="000000" w:themeColor="text1"/>
          <w:szCs w:val="21"/>
          <w14:textFill>
            <w14:solidFill>
              <w14:schemeClr w14:val="tx1"/>
            </w14:solidFill>
          </w14:textFill>
        </w:rPr>
        <w:t>corrugated steel sheet</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concrete composite</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beam</w:t>
      </w:r>
    </w:p>
    <w:p>
      <w:pPr>
        <w:rPr>
          <w:rFonts w:asciiTheme="minorEastAsia" w:hAnsiTheme="minorEastAsia"/>
          <w:szCs w:val="21"/>
        </w:rPr>
      </w:pPr>
      <w:r>
        <w:rPr>
          <w:rFonts w:hint="eastAsia" w:asciiTheme="minorEastAsia" w:hAnsiTheme="minorEastAsia"/>
          <w:szCs w:val="21"/>
        </w:rPr>
        <w:t xml:space="preserve">      两端为甲壳梁、中段为实腹式H型钢或波纹腹板H型钢的梁。</w:t>
      </w:r>
    </w:p>
    <w:p>
      <w:pPr>
        <w:rPr>
          <w:rFonts w:asciiTheme="minorEastAsia" w:hAnsiTheme="minorEastAsia"/>
          <w:szCs w:val="21"/>
        </w:rPr>
      </w:pPr>
      <w:r>
        <w:rPr>
          <w:rFonts w:hint="eastAsia" w:ascii="黑体" w:hAnsi="黑体" w:eastAsia="黑体"/>
          <w:szCs w:val="21"/>
        </w:rPr>
        <w:t>2.1.6</w:t>
      </w:r>
      <w:r>
        <w:rPr>
          <w:rFonts w:hint="eastAsia" w:asciiTheme="minorEastAsia" w:hAnsiTheme="minorEastAsia"/>
          <w:szCs w:val="21"/>
        </w:rPr>
        <w:t xml:space="preserve"> </w:t>
      </w:r>
      <w:r>
        <w:rPr>
          <w:rFonts w:hint="eastAsia"/>
        </w:rPr>
        <w:t xml:space="preserve">优腹梁 </w:t>
      </w:r>
      <w:r>
        <w:t xml:space="preserve"> </w:t>
      </w:r>
      <w:r>
        <w:rPr>
          <w:rFonts w:asciiTheme="minorEastAsia" w:hAnsiTheme="minorEastAsia"/>
          <w:szCs w:val="21"/>
        </w:rPr>
        <w:t>H-shape steel beam with corrugated web in the middle and flat web at both ends</w:t>
      </w:r>
    </w:p>
    <w:p>
      <w:pPr>
        <w:ind w:firstLine="630" w:firstLineChars="300"/>
        <w:rPr>
          <w:rFonts w:asciiTheme="minorEastAsia" w:hAnsiTheme="minorEastAsia"/>
          <w:szCs w:val="21"/>
        </w:rPr>
      </w:pPr>
      <w:r>
        <w:rPr>
          <w:rFonts w:hint="eastAsia" w:asciiTheme="minorEastAsia" w:hAnsiTheme="minorEastAsia"/>
          <w:szCs w:val="21"/>
        </w:rPr>
        <w:t>两端为平腹板、中段为波纹腹板的焊接H型钢梁。</w:t>
      </w:r>
    </w:p>
    <w:p>
      <w:r>
        <w:rPr>
          <w:rFonts w:hint="eastAsia" w:ascii="黑体" w:hAnsi="黑体" w:eastAsia="黑体"/>
          <w:szCs w:val="21"/>
        </w:rPr>
        <w:t>2.1.</w:t>
      </w:r>
      <w:r>
        <w:rPr>
          <w:rFonts w:ascii="黑体" w:hAnsi="黑体" w:eastAsia="黑体"/>
          <w:szCs w:val="21"/>
        </w:rPr>
        <w:t>7</w:t>
      </w:r>
      <w:r>
        <w:rPr>
          <w:rFonts w:hint="eastAsia" w:asciiTheme="minorEastAsia" w:hAnsiTheme="minorEastAsia"/>
          <w:szCs w:val="21"/>
        </w:rPr>
        <w:t xml:space="preserve"> </w:t>
      </w:r>
      <w:r>
        <w:rPr>
          <w:rFonts w:hint="eastAsia"/>
        </w:rPr>
        <w:t xml:space="preserve">免模免支撑板 </w:t>
      </w:r>
      <w:r>
        <w:t xml:space="preserve">floorslab without formwork and support </w:t>
      </w:r>
    </w:p>
    <w:p>
      <w:pPr>
        <w:ind w:firstLine="630" w:firstLineChars="300"/>
        <w:rPr>
          <w:rFonts w:asciiTheme="minorEastAsia" w:hAnsiTheme="minorEastAsia"/>
          <w:color w:val="FF0000"/>
          <w:szCs w:val="21"/>
        </w:rPr>
      </w:pPr>
      <w:r>
        <w:rPr>
          <w:rFonts w:hint="eastAsia" w:asciiTheme="minorEastAsia" w:hAnsiTheme="minorEastAsia"/>
          <w:color w:val="000000" w:themeColor="text1"/>
          <w:szCs w:val="21"/>
          <w14:textFill>
            <w14:solidFill>
              <w14:schemeClr w14:val="tx1"/>
            </w14:solidFill>
          </w14:textFill>
        </w:rPr>
        <w:t>施工期间无需模板和支撑的组合楼板，可为压型钢板组合楼板（开口型、缩口形、闭口型）、钢筋桁架组合楼板、优肋免拆模组合楼板等。</w:t>
      </w:r>
    </w:p>
    <w:p>
      <w:pPr>
        <w:ind w:firstLine="420" w:firstLineChars="200"/>
        <w:jc w:val="left"/>
        <w:rPr>
          <w:color w:val="0070C0"/>
        </w:rPr>
      </w:pPr>
      <w:r>
        <w:rPr>
          <w:rFonts w:hint="eastAsia"/>
          <w:color w:val="0070C0"/>
        </w:rPr>
        <w:t>条文说明：</w:t>
      </w:r>
      <w:r>
        <w:rPr>
          <w:rFonts w:hint="eastAsia"/>
          <w:color w:val="0070C0"/>
          <w:lang w:val="en-US" w:eastAsia="zh-CN"/>
        </w:rPr>
        <w:t xml:space="preserve">2.1.7 </w:t>
      </w:r>
      <w:r>
        <w:rPr>
          <w:rFonts w:hint="eastAsia"/>
          <w:color w:val="0070C0"/>
        </w:rPr>
        <w:t>优肋免拆模组合楼板是由预先制作的优肋组合模板、钢筋和后浇混凝土组成。优肋组合模板是将冷弯薄壁型钢肋与纤维增强水泥板采用平头钻尾螺钉在工厂装配连接为一体的组合模板，组合模板的纤维增强水泥板作为楼板的免拆底模，同时作为施工阶段的作业平台；</w:t>
      </w:r>
      <w:r>
        <w:rPr>
          <w:color w:val="0070C0"/>
        </w:rPr>
        <w:t>Z形肋可以代替肋方向的受力钢筋</w:t>
      </w:r>
      <w:r>
        <w:rPr>
          <w:rFonts w:hint="eastAsia"/>
          <w:color w:val="0070C0"/>
        </w:rPr>
        <w:t>。现场安装优肋组合模板，配置少量附加钢筋，浇筑混凝土即可完成楼板的施工，施工简单、便捷。</w:t>
      </w:r>
    </w:p>
    <w:p>
      <w:pPr>
        <w:rPr>
          <w:rFonts w:asciiTheme="minorEastAsia" w:hAnsiTheme="minorEastAsia"/>
          <w:szCs w:val="21"/>
        </w:rPr>
      </w:pPr>
    </w:p>
    <w:p>
      <w:pPr>
        <w:jc w:val="center"/>
        <w:outlineLvl w:val="1"/>
        <w:rPr>
          <w:rFonts w:ascii="黑体" w:hAnsi="黑体" w:eastAsia="黑体"/>
          <w:szCs w:val="21"/>
        </w:rPr>
      </w:pPr>
      <w:bookmarkStart w:id="21" w:name="_Toc18493252"/>
      <w:bookmarkStart w:id="22" w:name="_Toc28706873"/>
      <w:r>
        <w:rPr>
          <w:rFonts w:hint="eastAsia" w:ascii="黑体" w:hAnsi="黑体" w:eastAsia="黑体"/>
          <w:szCs w:val="21"/>
        </w:rPr>
        <w:t>2.2  符号</w:t>
      </w:r>
      <w:bookmarkEnd w:id="21"/>
      <w:bookmarkEnd w:id="22"/>
    </w:p>
    <w:p>
      <w:pPr>
        <w:spacing w:line="400" w:lineRule="exact"/>
        <w:rPr>
          <w:rFonts w:asciiTheme="minorEastAsia" w:hAnsiTheme="minorEastAsia" w:cstheme="minorEastAsia"/>
          <w:szCs w:val="21"/>
        </w:rPr>
      </w:pPr>
      <w:r>
        <w:rPr>
          <w:rFonts w:hint="eastAsia" w:ascii="黑体" w:hAnsi="黑体" w:eastAsia="黑体"/>
          <w:szCs w:val="21"/>
        </w:rPr>
        <w:t>2.2.1</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材料性能</w:t>
      </w:r>
    </w:p>
    <w:p>
      <w:pPr>
        <w:spacing w:line="400" w:lineRule="exact"/>
        <w:ind w:left="2100" w:leftChars="700" w:hanging="630" w:hangingChars="300"/>
        <w:jc w:val="left"/>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hint="eastAsia" w:ascii="Cambria Math" w:hAnsiTheme="minorEastAsia" w:cstheme="minorEastAsia"/>
                <w:szCs w:val="21"/>
              </w:rPr>
              <m:t>a</m:t>
            </m:r>
            <m:ctrlPr>
              <w:rPr>
                <w:rFonts w:ascii="Cambria Math" w:hAnsiTheme="minorEastAsia" w:cstheme="minorEastAsia"/>
                <w:iCs/>
                <w:szCs w:val="21"/>
              </w:rPr>
            </m:ctrlPr>
          </m:sub>
        </m:sSub>
      </m:oMath>
      <w:r>
        <w:rPr>
          <w:rFonts w:hint="eastAsia" w:asciiTheme="minorEastAsia" w:hAnsiTheme="minorEastAsia" w:cstheme="minorEastAsia"/>
          <w:szCs w:val="21"/>
        </w:rPr>
        <w:t>——型钢（钢管、钢板）弹性模量；</w:t>
      </w:r>
    </w:p>
    <w:p>
      <w:pPr>
        <w:spacing w:line="400" w:lineRule="exact"/>
        <w:ind w:left="2100" w:leftChars="700" w:hanging="630" w:hangingChars="3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ascii="Cambria Math" w:hAnsiTheme="minorEastAsia" w:cstheme="minorEastAsia"/>
                <w:szCs w:val="21"/>
              </w:rPr>
              <m:t>c</m:t>
            </m:r>
            <m:ctrlPr>
              <w:rPr>
                <w:rFonts w:ascii="Cambria Math" w:hAnsiTheme="minorEastAsia" w:cstheme="minorEastAsia"/>
                <w:iCs/>
                <w:szCs w:val="21"/>
              </w:rPr>
            </m:ctrlPr>
          </m:sub>
        </m:sSub>
      </m:oMath>
      <w:r>
        <w:rPr>
          <w:rFonts w:hint="eastAsia" w:asciiTheme="minorEastAsia" w:hAnsiTheme="minorEastAsia" w:cstheme="minorEastAsia"/>
          <w:szCs w:val="21"/>
        </w:rPr>
        <w:t>——混凝土弹性模量；</w:t>
      </w:r>
    </w:p>
    <w:p>
      <w:pPr>
        <w:spacing w:line="400" w:lineRule="exact"/>
        <w:ind w:left="2100" w:leftChars="700" w:hanging="630" w:hangingChars="3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ascii="Cambria Math" w:hAnsiTheme="minorEastAsia" w:cstheme="minorEastAsia"/>
                <w:szCs w:val="21"/>
              </w:rPr>
              <m:t>s</m:t>
            </m:r>
            <m:ctrlPr>
              <w:rPr>
                <w:rFonts w:ascii="Cambria Math" w:hAnsiTheme="minorEastAsia" w:cstheme="minorEastAsia"/>
                <w:iCs/>
                <w:szCs w:val="21"/>
              </w:rPr>
            </m:ctrlPr>
          </m:sub>
        </m:sSub>
      </m:oMath>
      <w:r>
        <w:rPr>
          <w:rFonts w:hint="eastAsia" w:asciiTheme="minorEastAsia" w:hAnsiTheme="minorEastAsia" w:cstheme="minorEastAsia"/>
          <w:szCs w:val="21"/>
        </w:rPr>
        <w:t>——钢筋弹性模量；</w:t>
      </w:r>
    </w:p>
    <w:p>
      <w:pPr>
        <w:spacing w:line="400" w:lineRule="exact"/>
        <w:ind w:firstLine="1050" w:firstLineChars="5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a</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ascii="Cambria Math" w:hAnsi="Cambria Math" w:cstheme="minorEastAsia"/>
                <w:szCs w:val="21"/>
              </w:rPr>
              <m:t>f</m:t>
            </m:r>
            <m:ctrlPr>
              <w:rPr>
                <w:rFonts w:ascii="Cambria Math" w:hAnsi="Cambria Math" w:cstheme="minorEastAsia"/>
                <w:iCs/>
                <w:szCs w:val="21"/>
              </w:rPr>
            </m:ctrlPr>
          </m:e>
          <m:sub>
            <m:r>
              <w:rPr>
                <w:rFonts w:ascii="Cambria Math" w:hAnsi="Cambria Math" w:cstheme="minorEastAsia"/>
                <w:szCs w:val="21"/>
              </w:rPr>
              <m:t>a</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——型钢（钢管、钢板）抗拉、抗压强度设计值；</w:t>
      </w:r>
    </w:p>
    <w:p>
      <w:pPr>
        <w:spacing w:line="400" w:lineRule="exact"/>
        <w:ind w:firstLine="840" w:firstLineChars="4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ak</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ascii="Cambria Math" w:hAnsi="Cambria Math" w:cstheme="minorEastAsia"/>
                <w:szCs w:val="21"/>
              </w:rPr>
              <m:t>f</m:t>
            </m:r>
            <m:ctrlPr>
              <w:rPr>
                <w:rFonts w:ascii="Cambria Math" w:hAnsi="Cambria Math" w:cstheme="minorEastAsia"/>
                <w:iCs/>
                <w:szCs w:val="21"/>
              </w:rPr>
            </m:ctrlPr>
          </m:e>
          <m:sub>
            <m:r>
              <w:rPr>
                <w:rFonts w:ascii="Cambria Math" w:hAnsi="Cambria Math" w:cstheme="minorEastAsia"/>
                <w:szCs w:val="21"/>
              </w:rPr>
              <m:t>ak</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——型钢（钢管、钢板）抗拉、抗压强度标准值；</w:t>
      </w:r>
    </w:p>
    <w:p>
      <w:pPr>
        <w:spacing w:line="400" w:lineRule="exact"/>
        <w:ind w:firstLine="945" w:firstLineChars="45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ck</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c</m:t>
            </m:r>
            <m:ctrlPr>
              <w:rPr>
                <w:rFonts w:ascii="Cambria Math" w:hAnsiTheme="minorEastAsia" w:cstheme="minorEastAsia"/>
                <w:iCs/>
                <w:szCs w:val="21"/>
              </w:rPr>
            </m:ctrlPr>
          </m:sub>
        </m:sSub>
      </m:oMath>
      <w:r>
        <w:rPr>
          <w:rFonts w:hint="eastAsia" w:asciiTheme="minorEastAsia" w:hAnsiTheme="minorEastAsia" w:cstheme="minorEastAsia"/>
          <w:szCs w:val="21"/>
        </w:rPr>
        <w:t>——混凝土轴心抗压强度标准值、设计值；</w:t>
      </w:r>
    </w:p>
    <w:p>
      <w:pPr>
        <w:spacing w:line="400" w:lineRule="exact"/>
        <w:ind w:firstLine="1470" w:firstLineChars="700"/>
        <w:jc w:val="left"/>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t</m:t>
            </m:r>
            <m:ctrlPr>
              <w:rPr>
                <w:rFonts w:ascii="Cambria Math" w:hAnsiTheme="minorEastAsia" w:cstheme="minorEastAsia"/>
                <w:iCs/>
                <w:szCs w:val="21"/>
              </w:rPr>
            </m:ctrlPr>
          </m:sub>
        </m:sSub>
      </m:oMath>
      <w:r>
        <w:rPr>
          <w:rFonts w:hint="eastAsia" w:asciiTheme="minorEastAsia" w:hAnsiTheme="minorEastAsia" w:cstheme="minorEastAsia"/>
          <w:szCs w:val="21"/>
        </w:rPr>
        <w:t>——混凝土轴心抗拉强度设计值；</w:t>
      </w:r>
    </w:p>
    <w:p>
      <w:pPr>
        <w:spacing w:line="400" w:lineRule="exact"/>
        <w:ind w:firstLine="1050" w:firstLineChars="5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f</m:t>
            </m:r>
            <m:ctrlPr>
              <w:rPr>
                <w:rFonts w:ascii="Cambria Math" w:hAnsiTheme="minorEastAsia" w:cstheme="minorEastAsia"/>
                <w:iCs/>
                <w:szCs w:val="21"/>
              </w:rPr>
            </m:ctrlPr>
          </m:e>
          <m:sub>
            <m:r>
              <w:rPr>
                <w:rFonts w:ascii="Cambria Math" w:hAnsiTheme="minorEastAsia" w:cstheme="minorEastAsia"/>
                <w:szCs w:val="21"/>
              </w:rPr>
              <m:t>y</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ascii="Cambria Math" w:hAnsi="Cambria Math" w:cstheme="minorEastAsia"/>
                <w:szCs w:val="21"/>
              </w:rPr>
              <m:t>f</m:t>
            </m:r>
            <m:ctrlPr>
              <w:rPr>
                <w:rFonts w:ascii="Cambria Math" w:hAnsi="Cambria Math" w:cstheme="minorEastAsia"/>
                <w:iCs/>
                <w:szCs w:val="21"/>
              </w:rPr>
            </m:ctrlPr>
          </m:e>
          <m:sub>
            <m:r>
              <w:rPr>
                <w:rFonts w:ascii="Cambria Math" w:hAnsi="Cambria Math" w:cstheme="minorEastAsia"/>
                <w:szCs w:val="21"/>
              </w:rPr>
              <m:t>y</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——钢筋抗拉、抗压强度设计值；</w:t>
      </w:r>
    </w:p>
    <w:p>
      <w:pPr>
        <w:spacing w:line="400" w:lineRule="exact"/>
        <w:ind w:firstLine="1260" w:firstLineChars="6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py</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——预应力筋的抗拉强度设计值；</w:t>
      </w:r>
    </w:p>
    <w:p>
      <w:pPr>
        <w:spacing w:line="400" w:lineRule="exact"/>
        <w:ind w:left="2100" w:hanging="2100" w:hangingChars="1000"/>
        <w:rPr>
          <w:rFonts w:asciiTheme="minorEastAsia" w:hAnsiTheme="minorEastAsia" w:cstheme="minorEastAsia"/>
          <w:szCs w:val="21"/>
        </w:rPr>
      </w:pPr>
      <w:r>
        <w:rPr>
          <w:rFonts w:hint="eastAsia" w:ascii="黑体" w:hAnsi="黑体" w:eastAsia="黑体"/>
          <w:szCs w:val="21"/>
        </w:rPr>
        <w:t>2.2.2</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作用和作用效应</w:t>
      </w:r>
    </w:p>
    <w:p>
      <w:pPr>
        <w:spacing w:line="400" w:lineRule="exact"/>
        <w:ind w:firstLine="1365" w:firstLineChars="650"/>
        <w:rPr>
          <w:rFonts w:asciiTheme="minorEastAsia" w:hAnsiTheme="minorEastAsia" w:cstheme="minorEastAsia"/>
          <w:szCs w:val="21"/>
        </w:rPr>
      </w:pPr>
      <m:oMath>
        <m:r>
          <w:rPr>
            <w:rFonts w:ascii="Cambria Math" w:hAnsiTheme="minorEastAsia" w:cstheme="minorEastAsia"/>
            <w:szCs w:val="21"/>
          </w:rPr>
          <m:t>M</m:t>
        </m:r>
      </m:oMath>
      <w:r>
        <w:rPr>
          <w:rFonts w:hint="eastAsia" w:asciiTheme="minorEastAsia" w:hAnsiTheme="minorEastAsia" w:cstheme="minorEastAsia"/>
          <w:szCs w:val="21"/>
        </w:rPr>
        <w:t>——弯矩设计值；</w:t>
      </w:r>
    </w:p>
    <w:p>
      <w:pPr>
        <w:spacing w:line="400" w:lineRule="exact"/>
        <w:ind w:firstLine="1365" w:firstLineChars="650"/>
        <w:rPr>
          <w:rFonts w:asciiTheme="minorEastAsia" w:hAnsiTheme="minorEastAsia" w:cstheme="minorEastAsia"/>
          <w:szCs w:val="21"/>
        </w:rPr>
      </w:pPr>
      <m:oMath>
        <m:r>
          <w:rPr>
            <w:rFonts w:ascii="Cambria Math" w:hAnsiTheme="minorEastAsia" w:cstheme="minorEastAsia"/>
            <w:szCs w:val="21"/>
          </w:rPr>
          <m:t>N</m:t>
        </m:r>
      </m:oMath>
      <w:r>
        <w:rPr>
          <w:rFonts w:hint="eastAsia" w:asciiTheme="minorEastAsia" w:hAnsiTheme="minorEastAsia" w:cstheme="minorEastAsia"/>
          <w:szCs w:val="21"/>
        </w:rPr>
        <w:t>——轴向力设计值；</w:t>
      </w:r>
    </w:p>
    <w:p>
      <w:pPr>
        <w:spacing w:line="400" w:lineRule="exact"/>
        <w:ind w:firstLine="1365" w:firstLineChars="650"/>
        <w:rPr>
          <w:rFonts w:asciiTheme="minorEastAsia" w:hAnsiTheme="minorEastAsia" w:cstheme="minorEastAsia"/>
          <w:szCs w:val="21"/>
        </w:rPr>
      </w:pPr>
      <m:oMath>
        <m:r>
          <w:rPr>
            <w:rFonts w:ascii="Cambria Math" w:hAnsiTheme="minorEastAsia" w:cstheme="minorEastAsia"/>
            <w:szCs w:val="21"/>
          </w:rPr>
          <m:t>V</m:t>
        </m:r>
      </m:oMath>
      <w:r>
        <w:rPr>
          <w:rFonts w:hint="eastAsia" w:asciiTheme="minorEastAsia" w:hAnsiTheme="minorEastAsia" w:cstheme="minorEastAsia"/>
          <w:szCs w:val="21"/>
        </w:rPr>
        <w:t>——剪力设计值；</w:t>
      </w:r>
    </w:p>
    <w:p>
      <w:pPr>
        <w:spacing w:line="400" w:lineRule="exact"/>
        <w:ind w:firstLine="945" w:firstLineChars="450"/>
        <w:rPr>
          <w:rFonts w:asciiTheme="minorEastAsia" w:hAnsiTheme="minorEastAsia" w:cstheme="minorEastAsia"/>
          <w:szCs w:val="21"/>
        </w:rPr>
      </w:pPr>
      <m:oMath>
        <m:sSub>
          <m:sSubPr>
            <m:ctrlPr>
              <w:rPr>
                <w:rFonts w:ascii="Cambria Math" w:hAnsiTheme="minorEastAsia" w:cstheme="minorEastAsia"/>
                <w:iCs/>
                <w:szCs w:val="21"/>
              </w:rPr>
            </m:ctrlPr>
          </m:sSubPr>
          <m:e>
            <m:r>
              <w:rPr>
                <w:rFonts w:hint="eastAsia" w:ascii="Cambria Math" w:hAnsiTheme="minorEastAsia" w:cstheme="minorEastAsia"/>
                <w:szCs w:val="21"/>
              </w:rPr>
              <m:t>σ</m:t>
            </m:r>
            <m:ctrlPr>
              <w:rPr>
                <w:rFonts w:ascii="Cambria Math" w:hAnsiTheme="minorEastAsia" w:cstheme="minorEastAsia"/>
                <w:iCs/>
                <w:szCs w:val="21"/>
              </w:rPr>
            </m:ctrlPr>
          </m:e>
          <m:sub>
            <m:r>
              <w:rPr>
                <w:rFonts w:ascii="Cambria Math" w:hAnsiTheme="minorEastAsia" w:cstheme="minorEastAsia"/>
                <w:szCs w:val="21"/>
              </w:rPr>
              <m:t>s</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hint="eastAsia" w:ascii="Cambria Math" w:hAnsi="Cambria Math" w:cstheme="minorEastAsia"/>
                <w:szCs w:val="21"/>
              </w:rPr>
              <m:t>σ</m:t>
            </m:r>
            <m:ctrlPr>
              <w:rPr>
                <w:rFonts w:ascii="Cambria Math" w:hAnsi="Cambria Math" w:cstheme="minorEastAsia"/>
                <w:iCs/>
                <w:szCs w:val="21"/>
              </w:rPr>
            </m:ctrlPr>
          </m:e>
          <m:sub>
            <m:r>
              <w:rPr>
                <w:rFonts w:ascii="Cambria Math" w:hAnsi="Cambria Math" w:cstheme="minorEastAsia"/>
                <w:szCs w:val="21"/>
              </w:rPr>
              <m:t>s</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——正截面承载力计算中纵向钢筋的受拉、受压应力；</w:t>
      </w:r>
    </w:p>
    <w:p>
      <w:pPr>
        <w:spacing w:line="400" w:lineRule="exact"/>
        <w:ind w:left="636" w:leftChars="303" w:firstLine="210" w:firstLineChars="100"/>
        <w:rPr>
          <w:rFonts w:asciiTheme="minorEastAsia" w:hAnsiTheme="minorEastAsia" w:cstheme="minorEastAsia"/>
          <w:szCs w:val="21"/>
        </w:rPr>
      </w:pPr>
      <m:oMath>
        <m:sSub>
          <m:sSubPr>
            <m:ctrlPr>
              <w:rPr>
                <w:rFonts w:ascii="Cambria Math" w:hAnsiTheme="minorEastAsia" w:cstheme="minorEastAsia"/>
                <w:iCs/>
                <w:szCs w:val="21"/>
              </w:rPr>
            </m:ctrlPr>
          </m:sSubPr>
          <m:e>
            <m:r>
              <w:rPr>
                <w:rFonts w:hint="eastAsia" w:ascii="Cambria Math" w:hAnsiTheme="minorEastAsia" w:cstheme="minorEastAsia"/>
                <w:szCs w:val="21"/>
              </w:rPr>
              <m:t>σ</m:t>
            </m:r>
            <m:ctrlPr>
              <w:rPr>
                <w:rFonts w:ascii="Cambria Math" w:hAnsiTheme="minorEastAsia" w:cstheme="minorEastAsia"/>
                <w:iCs/>
                <w:szCs w:val="21"/>
              </w:rPr>
            </m:ctrlPr>
          </m:e>
          <m:sub>
            <m:r>
              <w:rPr>
                <w:rFonts w:ascii="Cambria Math" w:hAnsiTheme="minorEastAsia" w:cstheme="minorEastAsia"/>
                <w:szCs w:val="21"/>
              </w:rPr>
              <m:t>a</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hint="eastAsia" w:ascii="Cambria Math" w:hAnsi="Cambria Math" w:cstheme="minorEastAsia"/>
                <w:szCs w:val="21"/>
              </w:rPr>
              <m:t>σ</m:t>
            </m:r>
            <m:ctrlPr>
              <w:rPr>
                <w:rFonts w:ascii="Cambria Math" w:hAnsi="Cambria Math" w:cstheme="minorEastAsia"/>
                <w:iCs/>
                <w:szCs w:val="21"/>
              </w:rPr>
            </m:ctrlPr>
          </m:e>
          <m:sub>
            <m:r>
              <w:rPr>
                <w:rFonts w:ascii="Cambria Math" w:hAnsi="Cambria Math" w:cstheme="minorEastAsia"/>
                <w:szCs w:val="21"/>
              </w:rPr>
              <m:t>a</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——正截面承载力计算中型钢翼缘的受拉、受压应力；</w:t>
      </w:r>
    </w:p>
    <w:p>
      <w:pPr>
        <w:spacing w:line="400" w:lineRule="exact"/>
        <w:ind w:firstLine="1050" w:firstLineChars="500"/>
        <w:rPr>
          <w:rFonts w:asciiTheme="minorEastAsia" w:hAnsiTheme="minorEastAsia" w:cstheme="minorEastAsia"/>
          <w:sz w:val="24"/>
          <w:szCs w:val="24"/>
        </w:rPr>
      </w:pPr>
      <m:oMath>
        <m:sSub>
          <m:sSubPr>
            <m:ctrlPr>
              <w:rPr>
                <w:rFonts w:ascii="Cambria Math" w:hAnsiTheme="minorEastAsia" w:cstheme="minorEastAsia"/>
                <w:iCs/>
                <w:szCs w:val="21"/>
              </w:rPr>
            </m:ctrlPr>
          </m:sSubPr>
          <m:e>
            <m:r>
              <w:rPr>
                <w:rFonts w:hint="eastAsia" w:ascii="Cambria Math" w:hAnsiTheme="minorEastAsia" w:cstheme="minorEastAsia"/>
                <w:szCs w:val="21"/>
              </w:rPr>
              <m:t>ω</m:t>
            </m:r>
            <m:ctrlPr>
              <w:rPr>
                <w:rFonts w:ascii="Cambria Math" w:hAnsiTheme="minorEastAsia" w:cstheme="minorEastAsia"/>
                <w:iCs/>
                <w:szCs w:val="21"/>
              </w:rPr>
            </m:ctrlPr>
          </m:e>
          <m:sub>
            <m:r>
              <w:rPr>
                <w:rFonts w:ascii="Cambria Math" w:hAnsiTheme="minorEastAsia" w:cstheme="minorEastAsia"/>
                <w:szCs w:val="21"/>
              </w:rPr>
              <m:t>max</m:t>
            </m:r>
            <m:ctrlPr>
              <w:rPr>
                <w:rFonts w:ascii="Cambria Math" w:hAnsiTheme="minorEastAsia" w:cstheme="minorEastAsia"/>
                <w:iCs/>
                <w:szCs w:val="21"/>
              </w:rPr>
            </m:ctrlPr>
          </m:sub>
        </m:sSub>
      </m:oMath>
      <w:r>
        <w:rPr>
          <w:rFonts w:hint="eastAsia" w:asciiTheme="minorEastAsia" w:hAnsiTheme="minorEastAsia" w:cstheme="minorEastAsia"/>
          <w:szCs w:val="21"/>
        </w:rPr>
        <w:t>——最大裂缝宽度。</w:t>
      </w:r>
    </w:p>
    <w:p>
      <w:pPr>
        <w:spacing w:line="400" w:lineRule="exact"/>
        <w:ind w:left="2100" w:hanging="2100" w:hangingChars="1000"/>
        <w:rPr>
          <w:rFonts w:asciiTheme="minorEastAsia" w:hAnsiTheme="minorEastAsia" w:cstheme="minorEastAsia"/>
          <w:szCs w:val="21"/>
        </w:rPr>
      </w:pPr>
      <w:r>
        <w:rPr>
          <w:rFonts w:hint="eastAsia" w:ascii="黑体" w:hAnsi="黑体" w:eastAsia="黑体"/>
          <w:szCs w:val="21"/>
        </w:rPr>
        <w:t>2.2.3</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几何参数</w:t>
      </w:r>
    </w:p>
    <w:p>
      <w:pPr>
        <w:spacing w:line="400" w:lineRule="exact"/>
        <w:ind w:left="82" w:leftChars="39" w:firstLine="420" w:firstLineChars="2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A</m:t>
            </m:r>
            <m:ctrlPr>
              <w:rPr>
                <w:rFonts w:ascii="Cambria Math" w:hAnsiTheme="minorEastAsia" w:cstheme="minorEastAsia"/>
                <w:iCs/>
                <w:szCs w:val="21"/>
              </w:rPr>
            </m:ctrlPr>
          </m:e>
          <m:sub>
            <m:r>
              <w:rPr>
                <w:rFonts w:ascii="Cambria Math" w:hAnsiTheme="minorEastAsia" w:cstheme="minorEastAsia"/>
                <w:szCs w:val="21"/>
              </w:rPr>
              <m:t>c</m:t>
            </m:r>
            <m:ctrlPr>
              <w:rPr>
                <w:rFonts w:ascii="Cambria Math" w:hAnsiTheme="minorEastAsia" w:cstheme="minorEastAsia"/>
                <w:iCs/>
                <w:szCs w:val="21"/>
              </w:rPr>
            </m:ctrlPr>
          </m:sub>
        </m:sSub>
        <m:r>
          <m:rPr>
            <m:sty m:val="p"/>
          </m:rPr>
          <w:rPr>
            <w:rFonts w:hint="eastAsia" w:ascii="Cambria Math" w:hAnsiTheme="minorEastAsia" w:cstheme="minorEastAsia"/>
            <w:szCs w:val="21"/>
          </w:rPr>
          <m:t>、</m:t>
        </m:r>
        <m:sSub>
          <m:sSubPr>
            <m:ctrlPr>
              <w:rPr>
                <w:rFonts w:ascii="Cambria Math" w:hAnsiTheme="minorEastAsia" w:cstheme="minorEastAsia"/>
                <w:iCs/>
                <w:szCs w:val="21"/>
              </w:rPr>
            </m:ctrlPr>
          </m:sSubPr>
          <m:e>
            <m:r>
              <w:rPr>
                <w:rFonts w:ascii="Cambria Math" w:hAnsiTheme="minorEastAsia" w:cstheme="minorEastAsia"/>
                <w:szCs w:val="21"/>
              </w:rPr>
              <m:t>A</m:t>
            </m:r>
            <m:ctrlPr>
              <w:rPr>
                <w:rFonts w:ascii="Cambria Math" w:hAnsiTheme="minorEastAsia" w:cstheme="minorEastAsia"/>
                <w:iCs/>
                <w:szCs w:val="21"/>
              </w:rPr>
            </m:ctrlPr>
          </m:e>
          <m:sub>
            <m:r>
              <w:rPr>
                <w:rFonts w:ascii="Cambria Math" w:hAnsiTheme="minorEastAsia" w:cstheme="minorEastAsia"/>
                <w:szCs w:val="21"/>
              </w:rPr>
              <m:t>a</m:t>
            </m:r>
            <m:ctrlPr>
              <w:rPr>
                <w:rFonts w:ascii="Cambria Math" w:hAnsiTheme="minorEastAsia" w:cstheme="minorEastAsia"/>
                <w:iCs/>
                <w:szCs w:val="21"/>
              </w:rPr>
            </m:ctrlPr>
          </m:sub>
        </m:sSub>
        <m:r>
          <w:rPr>
            <w:rFonts w:hint="eastAsia" w:ascii="Cambria Math" w:hAnsiTheme="minorEastAsia" w:cstheme="minorEastAsia"/>
            <w:szCs w:val="21"/>
          </w:rPr>
          <m:t>、</m:t>
        </m:r>
        <m:sSub>
          <m:sSubPr>
            <m:ctrlPr>
              <w:rPr>
                <w:rFonts w:ascii="Cambria Math" w:hAnsiTheme="minorEastAsia" w:cstheme="minorEastAsia"/>
                <w:iCs/>
                <w:szCs w:val="21"/>
              </w:rPr>
            </m:ctrlPr>
          </m:sSubPr>
          <m:e>
            <m:r>
              <w:rPr>
                <w:rFonts w:ascii="Cambria Math" w:hAnsiTheme="minorEastAsia" w:cstheme="minorEastAsia"/>
                <w:szCs w:val="21"/>
              </w:rPr>
              <m:t>A</m:t>
            </m:r>
            <m:ctrlPr>
              <w:rPr>
                <w:rFonts w:ascii="Cambria Math" w:hAnsiTheme="minorEastAsia" w:cstheme="minorEastAsia"/>
                <w:iCs/>
                <w:szCs w:val="21"/>
              </w:rPr>
            </m:ctrlPr>
          </m:e>
          <m:sub>
            <m:r>
              <w:rPr>
                <w:rFonts w:ascii="Cambria Math" w:hAnsiTheme="minorEastAsia" w:cstheme="minorEastAsia"/>
                <w:szCs w:val="21"/>
              </w:rPr>
              <m:t>s</m:t>
            </m:r>
            <m:ctrlPr>
              <w:rPr>
                <w:rFonts w:ascii="Cambria Math" w:hAnsiTheme="minorEastAsia" w:cstheme="minorEastAsia"/>
                <w:iCs/>
                <w:szCs w:val="21"/>
              </w:rPr>
            </m:ctrlPr>
          </m:sub>
        </m:sSub>
        <m: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ascii="Cambria Math" w:hAnsi="Cambria Math" w:cstheme="minorEastAsia"/>
                <w:szCs w:val="21"/>
              </w:rPr>
              <m:t>A</m:t>
            </m:r>
            <m:ctrlPr>
              <w:rPr>
                <w:rFonts w:ascii="Cambria Math" w:hAnsi="Cambria Math" w:cstheme="minorEastAsia"/>
                <w:iCs/>
                <w:szCs w:val="21"/>
              </w:rPr>
            </m:ctrlPr>
          </m:e>
          <m:sub>
            <m:r>
              <w:rPr>
                <w:rFonts w:ascii="Cambria Math" w:hAnsi="Cambria Math" w:cstheme="minorEastAsia"/>
                <w:szCs w:val="21"/>
              </w:rPr>
              <m:t>s</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oMath>
      <w:r>
        <w:rPr>
          <w:rFonts w:hint="eastAsia" w:asciiTheme="minorEastAsia" w:hAnsiTheme="minorEastAsia" w:cstheme="minorEastAsia"/>
          <w:szCs w:val="21"/>
        </w:rPr>
        <w:t>——混凝土全截面、型钢全截面、受拉钢筋总截面、受压钢筋总截面的面积；</w:t>
      </w:r>
    </w:p>
    <w:p>
      <w:pPr>
        <w:spacing w:line="300" w:lineRule="auto"/>
        <w:ind w:firstLine="1680" w:firstLineChars="8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szCs w:val="21"/>
              </w:rPr>
            </m:ctrlPr>
          </m:sSubPr>
          <m:e>
            <m:r>
              <w:rPr>
                <w:rFonts w:ascii="Cambria Math" w:hAnsi="Cambria Math" w:cstheme="minorEastAsia"/>
                <w:szCs w:val="21"/>
              </w:rPr>
              <m:t>A</m:t>
            </m:r>
            <m:ctrlPr>
              <w:rPr>
                <w:rFonts w:ascii="Cambria Math" w:hAnsi="Cambria Math" w:cstheme="minorEastAsia"/>
                <w:i/>
                <w:szCs w:val="21"/>
              </w:rPr>
            </m:ctrlPr>
          </m:e>
          <m:sub>
            <m:r>
              <w:rPr>
                <w:rFonts w:ascii="Cambria Math" w:hAnsi="Cambria Math" w:cstheme="minorEastAsia"/>
                <w:szCs w:val="21"/>
              </w:rPr>
              <m:t>a</m:t>
            </m:r>
            <m:r>
              <w:rPr>
                <w:rFonts w:hint="eastAsia" w:ascii="Cambria Math" w:hAnsi="Cambria Math" w:cstheme="minorEastAsia"/>
                <w:szCs w:val="21"/>
              </w:rPr>
              <m:t>w</m:t>
            </m:r>
            <m:ctrlPr>
              <w:rPr>
                <w:rFonts w:ascii="Cambria Math" w:hAnsi="Cambria Math" w:cstheme="minorEastAsia"/>
                <w:i/>
                <w:szCs w:val="21"/>
              </w:rPr>
            </m:ctrlPr>
          </m:sub>
        </m:sSub>
      </m:oMath>
      <w:r>
        <w:rPr>
          <w:rFonts w:hint="eastAsia" w:asciiTheme="minorEastAsia" w:hAnsiTheme="minorEastAsia" w:cstheme="minorEastAsia"/>
          <w:szCs w:val="21"/>
        </w:rPr>
        <w:t>——</w:t>
      </w:r>
      <w:r>
        <w:rPr>
          <w:rFonts w:hint="eastAsia" w:asciiTheme="minorEastAsia" w:hAnsiTheme="minorEastAsia" w:cstheme="minorEastAsia"/>
          <w:color w:val="000000" w:themeColor="text1"/>
          <w:szCs w:val="21"/>
          <w14:textFill>
            <w14:solidFill>
              <w14:schemeClr w14:val="tx1"/>
            </w14:solidFill>
          </w14:textFill>
        </w:rPr>
        <w:t>型钢（钢甲壳）波纹腹板截面总面积</w:t>
      </w:r>
    </w:p>
    <w:p>
      <w:pPr>
        <w:spacing w:line="300" w:lineRule="auto"/>
        <w:ind w:firstLine="1890" w:firstLineChars="9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——预应力筋面积；</w:t>
      </w:r>
    </w:p>
    <w:p>
      <w:pPr>
        <w:spacing w:line="400" w:lineRule="exact"/>
        <w:ind w:left="2520" w:leftChars="500" w:hanging="1470" w:hangingChars="7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a</m:t>
            </m:r>
            <m:ctrlPr>
              <w:rPr>
                <w:rFonts w:ascii="Cambria Math" w:hAnsiTheme="minorEastAsia" w:cstheme="minorEastAsia"/>
                <w:iCs/>
                <w:szCs w:val="21"/>
              </w:rPr>
            </m:ctrlPr>
          </m:e>
          <m:sub>
            <m:r>
              <w:rPr>
                <w:rFonts w:ascii="Cambria Math" w:hAnsiTheme="minorEastAsia" w:cstheme="minorEastAsia"/>
                <w:szCs w:val="21"/>
              </w:rPr>
              <m:t>s</m:t>
            </m:r>
            <m:ctrlPr>
              <w:rPr>
                <w:rFonts w:ascii="Cambria Math" w:hAnsiTheme="minorEastAsia" w:cstheme="minorEastAsia"/>
                <w:iCs/>
                <w:szCs w:val="21"/>
              </w:rPr>
            </m:ctrlPr>
          </m:sub>
        </m:sSub>
        <m:r>
          <w:rPr>
            <w:rFonts w:hint="eastAsia" w:ascii="Cambria Math" w:hAnsiTheme="minorEastAsia" w:cstheme="minorEastAsia"/>
            <w:szCs w:val="21"/>
          </w:rPr>
          <m:t>、</m:t>
        </m:r>
        <m:sSubSup>
          <m:sSubSupPr>
            <m:ctrlPr>
              <w:rPr>
                <w:rFonts w:ascii="Cambria Math" w:hAnsi="Cambria Math" w:cstheme="minorEastAsia"/>
                <w:iCs/>
                <w:szCs w:val="21"/>
              </w:rPr>
            </m:ctrlPr>
          </m:sSubSupPr>
          <m:e>
            <m:r>
              <w:rPr>
                <w:rFonts w:ascii="Cambria Math" w:hAnsi="Cambria Math" w:cstheme="minorEastAsia"/>
                <w:szCs w:val="21"/>
              </w:rPr>
              <m:t>a</m:t>
            </m:r>
            <m:ctrlPr>
              <w:rPr>
                <w:rFonts w:ascii="Cambria Math" w:hAnsi="Cambria Math" w:cstheme="minorEastAsia"/>
                <w:iCs/>
                <w:szCs w:val="21"/>
              </w:rPr>
            </m:ctrlPr>
          </m:e>
          <m:sub>
            <m:r>
              <w:rPr>
                <w:rFonts w:ascii="Cambria Math" w:hAnsi="Cambria Math" w:cstheme="minorEastAsia"/>
                <w:szCs w:val="21"/>
              </w:rPr>
              <m:t>s</m:t>
            </m:r>
            <m:ctrlPr>
              <w:rPr>
                <w:rFonts w:ascii="Cambria Math" w:hAnsi="Cambria Math" w:cstheme="minorEastAsia"/>
                <w:iCs/>
                <w:szCs w:val="21"/>
              </w:rPr>
            </m:ctrlPr>
          </m:sub>
          <m:sup>
            <m:r>
              <w:rPr>
                <w:rFonts w:ascii="Cambria Math" w:hAnsi="Cambria Math" w:cstheme="minorEastAsia"/>
                <w:szCs w:val="21"/>
              </w:rPr>
              <m:t>'</m:t>
            </m:r>
            <m:ctrlPr>
              <w:rPr>
                <w:rFonts w:ascii="Cambria Math" w:hAnsi="Cambria Math" w:cstheme="minorEastAsia"/>
                <w:iCs/>
                <w:szCs w:val="21"/>
              </w:rPr>
            </m:ctrlPr>
          </m:sup>
        </m:sSubSup>
        <m:r>
          <w:rPr>
            <w:rFonts w:hint="eastAsia" w:ascii="Cambria Math" w:hAnsi="Cambria Math" w:cstheme="minorEastAsia"/>
            <w:szCs w:val="21"/>
          </w:rPr>
          <m:t>、</m:t>
        </m:r>
        <m:sSub>
          <m:sSubPr>
            <m:ctrlPr>
              <w:rPr>
                <w:rFonts w:ascii="Cambria Math" w:hAnsiTheme="minorEastAsia" w:cstheme="minorEastAsia"/>
                <w:iCs/>
                <w:szCs w:val="21"/>
              </w:rPr>
            </m:ctrlPr>
          </m:sSubPr>
          <m:e>
            <m:r>
              <w:rPr>
                <w:rFonts w:ascii="Cambria Math" w:hAnsiTheme="minorEastAsia" w:cstheme="minorEastAsia"/>
                <w:szCs w:val="21"/>
              </w:rPr>
              <m:t>a</m:t>
            </m:r>
            <m:ctrlPr>
              <w:rPr>
                <w:rFonts w:ascii="Cambria Math" w:hAnsiTheme="minorEastAsia" w:cstheme="minorEastAsia"/>
                <w:iCs/>
                <w:szCs w:val="21"/>
              </w:rPr>
            </m:ctrlPr>
          </m:e>
          <m:sub>
            <m:r>
              <w:rPr>
                <w:rFonts w:ascii="Cambria Math" w:hAnsiTheme="minorEastAsia" w:cstheme="minorEastAsia"/>
                <w:szCs w:val="21"/>
              </w:rPr>
              <m:t>p</m:t>
            </m:r>
            <m:ctrlPr>
              <w:rPr>
                <w:rFonts w:ascii="Cambria Math" w:hAnsiTheme="minorEastAsia" w:cstheme="minorEastAsia"/>
                <w:iCs/>
                <w:szCs w:val="21"/>
              </w:rPr>
            </m:ctrlPr>
          </m:sub>
        </m:sSub>
      </m:oMath>
      <w:r>
        <w:rPr>
          <w:rFonts w:hint="eastAsia" w:asciiTheme="minorEastAsia" w:hAnsiTheme="minorEastAsia" w:cstheme="minorEastAsia"/>
          <w:szCs w:val="21"/>
        </w:rPr>
        <w:t>——纵向受拉钢筋合力点、纵向受压钢筋合力点、受拉预应力筋至混凝土截面近边的距离；</w:t>
      </w:r>
    </w:p>
    <w:p>
      <w:pPr>
        <w:spacing w:line="400" w:lineRule="exact"/>
        <w:ind w:firstLine="1890" w:firstLineChars="900"/>
        <w:rPr>
          <w:rFonts w:asciiTheme="minorEastAsia" w:hAnsiTheme="minorEastAsia" w:cstheme="minorEastAsia"/>
          <w:szCs w:val="21"/>
        </w:rPr>
      </w:pPr>
      <m:oMath>
        <m:r>
          <w:rPr>
            <w:rFonts w:ascii="Cambria Math" w:hAnsiTheme="minorEastAsia" w:cstheme="minorEastAsia"/>
            <w:szCs w:val="21"/>
          </w:rPr>
          <m:t>B</m:t>
        </m:r>
      </m:oMath>
      <w:r>
        <w:rPr>
          <w:rFonts w:hint="eastAsia" w:asciiTheme="minorEastAsia" w:hAnsiTheme="minorEastAsia" w:cstheme="minorEastAsia"/>
          <w:szCs w:val="21"/>
        </w:rPr>
        <w:t>——甲壳梁截面考虑长期作用影响的刚度；</w:t>
      </w:r>
    </w:p>
    <w:p>
      <w:pPr>
        <w:spacing w:line="400" w:lineRule="exact"/>
        <w:ind w:firstLine="1890" w:firstLineChars="9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B</m:t>
            </m:r>
            <m:ctrlPr>
              <w:rPr>
                <w:rFonts w:ascii="Cambria Math" w:hAnsiTheme="minorEastAsia" w:cstheme="minorEastAsia"/>
                <w:iCs/>
                <w:szCs w:val="21"/>
              </w:rPr>
            </m:ctrlPr>
          </m:e>
          <m:sub>
            <m:r>
              <w:rPr>
                <w:rFonts w:ascii="Cambria Math" w:hAnsiTheme="minorEastAsia" w:cstheme="minorEastAsia"/>
                <w:szCs w:val="21"/>
              </w:rPr>
              <m:t>s</m:t>
            </m:r>
            <m:ctrlPr>
              <w:rPr>
                <w:rFonts w:ascii="Cambria Math" w:hAnsiTheme="minorEastAsia" w:cstheme="minorEastAsia"/>
                <w:iCs/>
                <w:szCs w:val="21"/>
              </w:rPr>
            </m:ctrlPr>
          </m:sub>
        </m:sSub>
      </m:oMath>
      <w:r>
        <w:rPr>
          <w:rFonts w:hint="eastAsia" w:asciiTheme="minorEastAsia" w:hAnsiTheme="minorEastAsia" w:cstheme="minorEastAsia"/>
          <w:szCs w:val="21"/>
        </w:rPr>
        <w:t>——甲壳梁截面短期刚度；</w:t>
      </w:r>
    </w:p>
    <w:p>
      <w:pPr>
        <w:spacing w:line="400" w:lineRule="exact"/>
        <w:ind w:firstLine="1890" w:firstLineChars="900"/>
        <w:rPr>
          <w:rFonts w:asciiTheme="minorEastAsia" w:hAnsiTheme="minorEastAsia" w:cstheme="minorEastAsia"/>
          <w:szCs w:val="21"/>
        </w:rPr>
      </w:pPr>
      <m:oMath>
        <m:r>
          <w:rPr>
            <w:rFonts w:ascii="Cambria Math" w:hAnsiTheme="minorEastAsia" w:cstheme="minorEastAsia"/>
            <w:szCs w:val="21"/>
          </w:rPr>
          <m:t>b</m:t>
        </m:r>
      </m:oMath>
      <w:r>
        <w:rPr>
          <w:rFonts w:hint="eastAsia" w:asciiTheme="minorEastAsia" w:hAnsiTheme="minorEastAsia" w:cstheme="minorEastAsia"/>
          <w:szCs w:val="21"/>
        </w:rPr>
        <w:t>——混凝土矩形截面宽度；</w:t>
      </w:r>
    </w:p>
    <w:p>
      <w:pPr>
        <w:spacing w:line="400" w:lineRule="exact"/>
        <w:ind w:firstLine="2310" w:firstLineChars="11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b</m:t>
            </m:r>
            <m:ctrlPr>
              <w:rPr>
                <w:rFonts w:ascii="Cambria Math" w:hAnsiTheme="minorEastAsia" w:cstheme="minorEastAsia"/>
                <w:iCs/>
                <w:szCs w:val="21"/>
              </w:rPr>
            </m:ctrlPr>
          </m:e>
          <m:sub>
            <m:r>
              <w:rPr>
                <w:rFonts w:ascii="Cambria Math" w:hAnsiTheme="minorEastAsia" w:cstheme="minorEastAsia"/>
                <w:szCs w:val="21"/>
              </w:rPr>
              <m:t>f</m:t>
            </m:r>
            <m:ctrlPr>
              <w:rPr>
                <w:rFonts w:ascii="Cambria Math" w:hAnsiTheme="minorEastAsia" w:cstheme="minorEastAsia"/>
                <w:iCs/>
                <w:szCs w:val="21"/>
              </w:rPr>
            </m:ctrlPr>
          </m:sub>
        </m:sSub>
      </m:oMath>
      <w:r>
        <w:rPr>
          <w:rFonts w:hint="eastAsia" w:asciiTheme="minorEastAsia" w:hAnsiTheme="minorEastAsia" w:cstheme="minorEastAsia"/>
          <w:szCs w:val="21"/>
        </w:rPr>
        <w:t>——型钢（钢甲壳）翼缘宽度；</w:t>
      </w:r>
    </w:p>
    <w:p>
      <w:pPr>
        <w:spacing w:line="400" w:lineRule="exact"/>
        <w:ind w:firstLine="2310" w:firstLineChars="1100"/>
        <w:rPr>
          <w:rFonts w:asciiTheme="minorEastAsia" w:hAnsiTheme="minorEastAsia" w:cstheme="minorEastAsia"/>
          <w:szCs w:val="21"/>
        </w:rPr>
      </w:pPr>
      <m:oMath>
        <m:r>
          <w:rPr>
            <w:rFonts w:ascii="Cambria Math" w:hAnsiTheme="minorEastAsia" w:cstheme="minorEastAsia"/>
            <w:szCs w:val="21"/>
          </w:rPr>
          <m:t>c</m:t>
        </m:r>
      </m:oMath>
      <w:r>
        <w:rPr>
          <w:rFonts w:hint="eastAsia" w:asciiTheme="minorEastAsia" w:hAnsiTheme="minorEastAsia" w:cstheme="minorEastAsia"/>
          <w:szCs w:val="21"/>
        </w:rPr>
        <w:t>——混凝土保护层厚度；</w:t>
      </w:r>
    </w:p>
    <w:p>
      <w:pPr>
        <w:spacing w:line="400" w:lineRule="exact"/>
        <w:ind w:left="2123" w:leftChars="1011" w:firstLine="105" w:firstLineChars="50"/>
        <w:jc w:val="left"/>
        <w:rPr>
          <w:rFonts w:asciiTheme="minorEastAsia" w:hAnsiTheme="minorEastAsia" w:cstheme="minorEastAsia"/>
          <w:szCs w:val="21"/>
        </w:rPr>
      </w:pPr>
      <m:oMath>
        <m:r>
          <w:rPr>
            <w:rFonts w:ascii="Cambria Math" w:hAnsiTheme="minorEastAsia" w:cstheme="minorEastAsia"/>
            <w:szCs w:val="21"/>
          </w:rPr>
          <m:t>e</m:t>
        </m:r>
      </m:oMath>
      <w:r>
        <w:rPr>
          <w:rFonts w:hint="eastAsia" w:asciiTheme="minorEastAsia" w:hAnsiTheme="minorEastAsia" w:cstheme="minorEastAsia"/>
          <w:szCs w:val="21"/>
        </w:rPr>
        <w:t>——轴向力作用点至纵向受拉钢筋和型钢（钢管、钢板）受拉翼缘合力点之间的距离；</w:t>
      </w:r>
      <w:r>
        <w:rPr>
          <w:rFonts w:asciiTheme="minorEastAsia" w:hAnsiTheme="minorEastAsia" w:cstheme="minorEastAsia"/>
          <w:szCs w:val="21"/>
        </w:rPr>
        <w:t xml:space="preserve"> </w:t>
      </w:r>
    </w:p>
    <w:p>
      <w:pPr>
        <w:spacing w:line="400" w:lineRule="exact"/>
        <w:ind w:firstLine="2310" w:firstLineChars="11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ascii="Cambria Math" w:hAnsiTheme="minorEastAsia" w:cstheme="minorEastAsia"/>
                <w:szCs w:val="21"/>
              </w:rPr>
              <m:t>a</m:t>
            </m:r>
            <m:ctrlPr>
              <w:rPr>
                <w:rFonts w:ascii="Cambria Math" w:hAnsiTheme="minorEastAsia" w:cstheme="minorEastAsia"/>
                <w:iCs/>
                <w:szCs w:val="21"/>
              </w:rPr>
            </m:ctrlPr>
          </m:sub>
        </m:sSub>
      </m:oMath>
      <w:r>
        <w:rPr>
          <w:rFonts w:hint="eastAsia" w:asciiTheme="minorEastAsia" w:hAnsiTheme="minorEastAsia" w:cstheme="minorEastAsia"/>
          <w:szCs w:val="21"/>
        </w:rPr>
        <w:t>——附加偏心距；</w:t>
      </w:r>
    </w:p>
    <w:p>
      <w:pPr>
        <w:spacing w:line="400" w:lineRule="exact"/>
        <w:ind w:firstLine="2310" w:firstLineChars="11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ascii="Cambria Math" w:hAnsiTheme="minorEastAsia" w:cstheme="minorEastAsia"/>
                <w:szCs w:val="21"/>
              </w:rPr>
              <m:t>i</m:t>
            </m:r>
            <m:ctrlPr>
              <w:rPr>
                <w:rFonts w:ascii="Cambria Math" w:hAnsiTheme="minorEastAsia" w:cstheme="minorEastAsia"/>
                <w:iCs/>
                <w:szCs w:val="21"/>
              </w:rPr>
            </m:ctrlPr>
          </m:sub>
        </m:sSub>
      </m:oMath>
      <w:r>
        <w:rPr>
          <w:rFonts w:hint="eastAsia" w:asciiTheme="minorEastAsia" w:hAnsiTheme="minorEastAsia" w:cstheme="minorEastAsia"/>
          <w:szCs w:val="21"/>
        </w:rPr>
        <w:t>——初始偏心距；</w:t>
      </w:r>
    </w:p>
    <w:p>
      <w:pPr>
        <w:spacing w:line="400" w:lineRule="exact"/>
        <w:ind w:firstLine="2310" w:firstLineChars="11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e</m:t>
            </m:r>
            <m:ctrlPr>
              <w:rPr>
                <w:rFonts w:ascii="Cambria Math" w:hAnsiTheme="minorEastAsia" w:cstheme="minorEastAsia"/>
                <w:iCs/>
                <w:szCs w:val="21"/>
              </w:rPr>
            </m:ctrlPr>
          </m:e>
          <m:sub>
            <m:r>
              <w:rPr>
                <w:rFonts w:ascii="Cambria Math" w:hAnsiTheme="minorEastAsia" w:cstheme="minorEastAsia"/>
                <w:szCs w:val="21"/>
              </w:rPr>
              <m:t>0</m:t>
            </m:r>
            <m:ctrlPr>
              <w:rPr>
                <w:rFonts w:ascii="Cambria Math" w:hAnsiTheme="minorEastAsia" w:cstheme="minorEastAsia"/>
                <w:iCs/>
                <w:szCs w:val="21"/>
              </w:rPr>
            </m:ctrlPr>
          </m:sub>
        </m:sSub>
      </m:oMath>
      <w:r>
        <w:rPr>
          <w:rFonts w:hint="eastAsia" w:asciiTheme="minorEastAsia" w:hAnsiTheme="minorEastAsia" w:cstheme="minorEastAsia"/>
          <w:szCs w:val="21"/>
        </w:rPr>
        <w:t>——轴向力对截面重心的偏心距；</w:t>
      </w:r>
    </w:p>
    <w:p>
      <w:pPr>
        <w:spacing w:line="400" w:lineRule="exact"/>
        <w:ind w:firstLine="2310" w:firstLineChars="11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eastAsia="MS Gothic" w:cs="MS Gothic"/>
            <w:color w:val="000000" w:themeColor="text1"/>
            <w:szCs w:val="21"/>
            <w14:textFill>
              <w14:solidFill>
                <w14:schemeClr w14:val="tx1"/>
              </w14:solidFill>
            </w14:textFill>
          </w:rPr>
          <m:t>h</m:t>
        </m:r>
      </m:oMath>
      <w:r>
        <w:rPr>
          <w:rFonts w:hint="eastAsia" w:asciiTheme="minorEastAsia" w:hAnsiTheme="minorEastAsia" w:cstheme="minorEastAsia"/>
          <w:color w:val="000000" w:themeColor="text1"/>
          <w:szCs w:val="21"/>
          <w14:textFill>
            <w14:solidFill>
              <w14:schemeClr w14:val="tx1"/>
            </w14:solidFill>
          </w14:textFill>
        </w:rPr>
        <w:t>——混凝土截面高度；</w:t>
      </w:r>
    </w:p>
    <w:p>
      <w:pPr>
        <w:spacing w:line="400" w:lineRule="exact"/>
        <w:ind w:firstLine="2310" w:firstLineChars="11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——型钢(钢甲壳)截面高度；</w:t>
      </w:r>
    </w:p>
    <w:p>
      <w:pPr>
        <w:spacing w:line="400" w:lineRule="exact"/>
        <w:ind w:firstLine="2310" w:firstLineChars="11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——型钢（钢甲壳）受拉翼缘和纵向受拉钢筋合力点至混凝土截面受压边缘的距离；</w:t>
      </w:r>
    </w:p>
    <w:p>
      <w:pPr>
        <w:spacing w:line="400" w:lineRule="exact"/>
        <w:ind w:firstLine="2100" w:firstLineChars="10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0s</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0f</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——纵向受拉钢筋、型钢（钢甲壳）受拉翼缘截面重心到混凝土截面受压边缘的距离；</w:t>
      </w:r>
    </w:p>
    <w:p>
      <w:pPr>
        <w:spacing w:line="400" w:lineRule="exact"/>
        <w:ind w:firstLine="2310" w:firstLineChars="11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——型钢（钢甲壳）波纹腹板高度；</w:t>
      </w:r>
    </w:p>
    <w:p>
      <w:pPr>
        <w:spacing w:line="400" w:lineRule="exact"/>
        <w:ind w:firstLine="2520" w:firstLineChars="12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I</m:t>
            </m:r>
            <m:ctrlPr>
              <w:rPr>
                <w:rFonts w:ascii="Cambria Math" w:hAnsiTheme="minorEastAsia" w:cstheme="minorEastAsia"/>
                <w:iCs/>
                <w:szCs w:val="21"/>
              </w:rPr>
            </m:ctrlPr>
          </m:e>
          <m:sub>
            <m:r>
              <w:rPr>
                <w:rFonts w:ascii="Cambria Math" w:hAnsiTheme="minorEastAsia" w:cstheme="minorEastAsia"/>
                <w:szCs w:val="21"/>
              </w:rPr>
              <m:t>a</m:t>
            </m:r>
            <m:ctrlPr>
              <w:rPr>
                <w:rFonts w:ascii="Cambria Math" w:hAnsiTheme="minorEastAsia" w:cstheme="minorEastAsia"/>
                <w:iCs/>
                <w:szCs w:val="21"/>
              </w:rPr>
            </m:ctrlPr>
          </m:sub>
        </m:sSub>
      </m:oMath>
      <w:r>
        <w:rPr>
          <w:rFonts w:hint="eastAsia" w:asciiTheme="minorEastAsia" w:hAnsiTheme="minorEastAsia" w:cstheme="minorEastAsia"/>
          <w:szCs w:val="21"/>
        </w:rPr>
        <w:t>——型钢（钢甲壳）截面惯性矩；</w:t>
      </w:r>
    </w:p>
    <w:p>
      <w:pPr>
        <w:spacing w:line="400" w:lineRule="exact"/>
        <w:ind w:firstLine="2520" w:firstLineChars="120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I</m:t>
            </m:r>
            <m:ctrlPr>
              <w:rPr>
                <w:rFonts w:ascii="Cambria Math" w:hAnsiTheme="minorEastAsia" w:cstheme="minorEastAsia"/>
                <w:iCs/>
                <w:szCs w:val="21"/>
              </w:rPr>
            </m:ctrlPr>
          </m:e>
          <m:sub>
            <m:r>
              <w:rPr>
                <w:rFonts w:ascii="Cambria Math" w:hAnsiTheme="minorEastAsia" w:cstheme="minorEastAsia"/>
                <w:szCs w:val="21"/>
              </w:rPr>
              <m:t>c</m:t>
            </m:r>
            <m:ctrlPr>
              <w:rPr>
                <w:rFonts w:ascii="Cambria Math" w:hAnsiTheme="minorEastAsia" w:cstheme="minorEastAsia"/>
                <w:iCs/>
                <w:szCs w:val="21"/>
              </w:rPr>
            </m:ctrlPr>
          </m:sub>
        </m:sSub>
      </m:oMath>
      <w:r>
        <w:rPr>
          <w:rFonts w:hint="eastAsia" w:asciiTheme="minorEastAsia" w:hAnsiTheme="minorEastAsia" w:cstheme="minorEastAsia"/>
          <w:szCs w:val="21"/>
        </w:rPr>
        <w:t>——混凝土截面惯性矩；</w:t>
      </w:r>
    </w:p>
    <w:p>
      <w:pPr>
        <w:spacing w:line="400" w:lineRule="exact"/>
        <w:ind w:firstLine="2415" w:firstLineChars="115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t</m:t>
            </m:r>
            <m:ctrlPr>
              <w:rPr>
                <w:rFonts w:ascii="Cambria Math" w:hAnsiTheme="minorEastAsia" w:cstheme="minorEastAsia"/>
                <w:iCs/>
                <w:szCs w:val="21"/>
              </w:rPr>
            </m:ctrlPr>
          </m:e>
          <m:sub>
            <m:r>
              <w:rPr>
                <w:rFonts w:ascii="Cambria Math" w:hAnsiTheme="minorEastAsia" w:cstheme="minorEastAsia"/>
                <w:szCs w:val="21"/>
              </w:rPr>
              <m:t>f</m:t>
            </m:r>
            <m:ctrlPr>
              <w:rPr>
                <w:rFonts w:ascii="Cambria Math" w:hAnsiTheme="minorEastAsia" w:cstheme="minorEastAsia"/>
                <w:iCs/>
                <w:szCs w:val="21"/>
              </w:rPr>
            </m:ctrlPr>
          </m:sub>
        </m:sSub>
      </m:oMath>
      <w:r>
        <w:rPr>
          <w:rFonts w:hint="eastAsia" w:asciiTheme="minorEastAsia" w:hAnsiTheme="minorEastAsia" w:cstheme="minorEastAsia"/>
          <w:szCs w:val="21"/>
        </w:rPr>
        <w:t>——型钢（钢甲壳）翼缘厚度；</w:t>
      </w:r>
    </w:p>
    <w:p>
      <w:pPr>
        <w:spacing w:line="400" w:lineRule="exact"/>
        <w:ind w:firstLine="2415" w:firstLineChars="1150"/>
        <w:rPr>
          <w:rFonts w:asciiTheme="minorEastAsia" w:hAnsiTheme="minorEastAsia" w:cstheme="minorEastAsia"/>
          <w:szCs w:val="21"/>
        </w:rPr>
      </w:pPr>
      <m:oMath>
        <m:sSub>
          <m:sSubPr>
            <m:ctrlPr>
              <w:rPr>
                <w:rFonts w:ascii="Cambria Math" w:hAnsiTheme="minorEastAsia" w:cstheme="minorEastAsia"/>
                <w:iCs/>
                <w:szCs w:val="21"/>
              </w:rPr>
            </m:ctrlPr>
          </m:sSubPr>
          <m:e>
            <m:r>
              <w:rPr>
                <w:rFonts w:ascii="Cambria Math" w:hAnsiTheme="minorEastAsia" w:cstheme="minorEastAsia"/>
                <w:szCs w:val="21"/>
              </w:rPr>
              <m:t>t</m:t>
            </m:r>
            <m:ctrlPr>
              <w:rPr>
                <w:rFonts w:ascii="Cambria Math" w:hAnsiTheme="minorEastAsia" w:cstheme="minorEastAsia"/>
                <w:iCs/>
                <w:szCs w:val="21"/>
              </w:rPr>
            </m:ctrlPr>
          </m:e>
          <m:sub>
            <m:r>
              <w:rPr>
                <w:rFonts w:ascii="Cambria Math" w:hAnsiTheme="minorEastAsia" w:cstheme="minorEastAsia"/>
                <w:szCs w:val="21"/>
              </w:rPr>
              <m:t>w</m:t>
            </m:r>
            <m:ctrlPr>
              <w:rPr>
                <w:rFonts w:ascii="Cambria Math" w:hAnsiTheme="minorEastAsia" w:cstheme="minorEastAsia"/>
                <w:iCs/>
                <w:szCs w:val="21"/>
              </w:rPr>
            </m:ctrlPr>
          </m:sub>
        </m:sSub>
      </m:oMath>
      <w:r>
        <w:rPr>
          <w:rFonts w:hint="eastAsia" w:asciiTheme="minorEastAsia" w:hAnsiTheme="minorEastAsia" w:cstheme="minorEastAsia"/>
          <w:szCs w:val="21"/>
        </w:rPr>
        <w:t>——型钢（钢甲壳）腹板厚度；</w:t>
      </w:r>
    </w:p>
    <w:p>
      <w:pPr>
        <w:ind w:firstLine="2520" w:firstLineChars="1200"/>
        <w:rPr>
          <w:rFonts w:asciiTheme="minorEastAsia" w:hAnsiTheme="minorEastAsia" w:cstheme="minorEastAsia"/>
          <w:szCs w:val="21"/>
        </w:rPr>
      </w:pPr>
      <m:oMath>
        <m:r>
          <w:rPr>
            <w:rFonts w:ascii="Cambria Math" w:hAnsi="Cambria Math" w:cstheme="minorEastAsia"/>
            <w:szCs w:val="21"/>
          </w:rPr>
          <m:t>x</m:t>
        </m:r>
      </m:oMath>
      <w:r>
        <w:rPr>
          <w:rFonts w:hint="eastAsia" w:asciiTheme="minorEastAsia" w:hAnsiTheme="minorEastAsia" w:cstheme="minorEastAsia"/>
          <w:szCs w:val="21"/>
        </w:rPr>
        <w:t>——混凝土受压区高度。</w:t>
      </w:r>
    </w:p>
    <w:p>
      <w:pPr>
        <w:ind w:firstLine="2520" w:firstLineChars="1200"/>
        <w:rPr>
          <w:rFonts w:asciiTheme="minorEastAsia" w:hAnsiTheme="minorEastAsia" w:cstheme="minorEastAsia"/>
          <w:szCs w:val="21"/>
        </w:rPr>
      </w:pPr>
    </w:p>
    <w:p>
      <w:pPr>
        <w:spacing w:line="400" w:lineRule="exact"/>
        <w:rPr>
          <w:rFonts w:asciiTheme="minorEastAsia" w:hAnsiTheme="minorEastAsia" w:cstheme="minorEastAsia"/>
          <w:szCs w:val="21"/>
        </w:rPr>
      </w:pPr>
      <w:r>
        <w:rPr>
          <w:rFonts w:hint="eastAsia" w:ascii="黑体" w:hAnsi="黑体" w:eastAsia="黑体"/>
          <w:szCs w:val="21"/>
        </w:rPr>
        <w:t>2.2.4</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计算系数及其他</w:t>
      </w:r>
    </w:p>
    <w:p>
      <w:pPr>
        <w:spacing w:line="400" w:lineRule="exact"/>
        <w:ind w:firstLine="2446" w:firstLineChars="1165"/>
        <w:rPr>
          <w:rFonts w:asciiTheme="minorEastAsia" w:hAnsiTheme="minorEastAsia" w:cstheme="minorEastAsia"/>
          <w:szCs w:val="21"/>
        </w:rPr>
      </w:pPr>
      <m:oMath>
        <m:sSub>
          <m:sSubPr>
            <m:ctrlPr>
              <w:rPr>
                <w:rFonts w:ascii="Cambria Math" w:hAnsi="Cambria Math" w:cstheme="minorEastAsia"/>
                <w:i/>
                <w:szCs w:val="21"/>
              </w:rPr>
            </m:ctrlPr>
          </m:sSubPr>
          <m:e>
            <m:r>
              <w:rPr>
                <w:rFonts w:hint="eastAsia" w:ascii="Cambria Math" w:hAnsi="Cambria Math" w:cstheme="minorEastAsia"/>
                <w:szCs w:val="21"/>
              </w:rPr>
              <m:t>α</m:t>
            </m:r>
            <m:ctrlPr>
              <w:rPr>
                <w:rFonts w:ascii="Cambria Math" w:hAnsi="Cambria Math" w:cstheme="minorEastAsia"/>
                <w:i/>
                <w:szCs w:val="21"/>
              </w:rPr>
            </m:ctrlPr>
          </m:e>
          <m:sub>
            <m:r>
              <w:rPr>
                <w:rFonts w:ascii="Cambria Math" w:hAnsi="Cambria Math" w:cstheme="minorEastAsia"/>
                <w:szCs w:val="21"/>
              </w:rPr>
              <m:t>E</m:t>
            </m:r>
            <m:ctrlPr>
              <w:rPr>
                <w:rFonts w:ascii="Cambria Math" w:hAnsi="Cambria Math" w:cstheme="minorEastAsia"/>
                <w:i/>
                <w:szCs w:val="21"/>
              </w:rPr>
            </m:ctrlPr>
          </m:sub>
        </m:sSub>
      </m:oMath>
      <w:r>
        <w:rPr>
          <w:rFonts w:hint="eastAsia" w:asciiTheme="minorEastAsia" w:hAnsiTheme="minorEastAsia" w:cstheme="minorEastAsia"/>
          <w:szCs w:val="21"/>
        </w:rPr>
        <w:t>——钢与混凝土弹性模量之比；</w:t>
      </w:r>
    </w:p>
    <w:p>
      <w:pPr>
        <w:spacing w:line="400" w:lineRule="exact"/>
        <w:ind w:firstLine="2625" w:firstLineChars="1250"/>
        <w:rPr>
          <w:rFonts w:asciiTheme="minorEastAsia" w:hAnsiTheme="minorEastAsia" w:cstheme="minorEastAsia"/>
          <w:szCs w:val="21"/>
        </w:rPr>
      </w:pPr>
      <m:oMath>
        <m:r>
          <w:rPr>
            <w:rFonts w:ascii="Cambria Math" w:hAnsiTheme="minorEastAsia" w:cstheme="minorEastAsia"/>
            <w:szCs w:val="21"/>
          </w:rPr>
          <m:t>ξ</m:t>
        </m:r>
      </m:oMath>
      <w:r>
        <w:rPr>
          <w:rFonts w:hint="eastAsia" w:asciiTheme="minorEastAsia" w:hAnsiTheme="minorEastAsia" w:cstheme="minorEastAsia"/>
          <w:szCs w:val="21"/>
        </w:rPr>
        <w:t>——混凝土相对受压区高度；</w:t>
      </w:r>
    </w:p>
    <w:p>
      <w:pPr>
        <w:spacing w:line="400" w:lineRule="exact"/>
        <w:ind w:left="2520"/>
        <w:rPr>
          <w:rFonts w:asciiTheme="minorEastAsia" w:hAnsiTheme="minorEastAsia" w:cstheme="minorEastAsia"/>
          <w:szCs w:val="21"/>
        </w:rPr>
      </w:pPr>
      <m:oMath>
        <m:sSub>
          <m:sSubPr>
            <m:ctrlPr>
              <w:rPr>
                <w:rFonts w:ascii="Cambria Math" w:hAnsi="Cambria Math" w:cstheme="minorEastAsia"/>
                <w:i/>
                <w:szCs w:val="21"/>
              </w:rPr>
            </m:ctrlPr>
          </m:sSubPr>
          <m:e>
            <m:r>
              <w:rPr>
                <w:rFonts w:hint="eastAsia" w:ascii="Cambria Math" w:hAnsi="Cambria Math" w:cstheme="minorEastAsia"/>
                <w:szCs w:val="21"/>
              </w:rPr>
              <m:t>φ</m:t>
            </m:r>
            <m:ctrlPr>
              <w:rPr>
                <w:rFonts w:ascii="Cambria Math" w:hAnsi="Cambria Math" w:cstheme="minorEastAsia"/>
                <w:i/>
                <w:szCs w:val="21"/>
              </w:rPr>
            </m:ctrlPr>
          </m:e>
          <m:sub>
            <m:r>
              <w:rPr>
                <w:rFonts w:ascii="Cambria Math" w:hAnsi="Cambria Math" w:cstheme="minorEastAsia"/>
                <w:szCs w:val="21"/>
              </w:rPr>
              <m:t>e</m:t>
            </m:r>
            <m:ctrlPr>
              <w:rPr>
                <w:rFonts w:ascii="Cambria Math" w:hAnsi="Cambria Math" w:cstheme="minorEastAsia"/>
                <w:i/>
                <w:szCs w:val="21"/>
              </w:rPr>
            </m:ctrlPr>
          </m:sub>
        </m:sSub>
      </m:oMath>
      <w:r>
        <w:rPr>
          <w:rFonts w:hint="eastAsia" w:asciiTheme="minorEastAsia" w:hAnsiTheme="minorEastAsia" w:cstheme="minorEastAsia"/>
          <w:szCs w:val="21"/>
        </w:rPr>
        <w:t>——考虑偏心率影响的承载力折减系数；</w:t>
      </w:r>
    </w:p>
    <w:p>
      <w:pPr>
        <w:spacing w:line="400" w:lineRule="exact"/>
        <w:ind w:left="2520"/>
        <w:rPr>
          <w:rFonts w:asciiTheme="minorEastAsia" w:hAnsiTheme="minorEastAsia" w:cstheme="minorEastAsia"/>
          <w:szCs w:val="21"/>
        </w:rPr>
      </w:pPr>
      <m:oMath>
        <m:sSub>
          <m:sSubPr>
            <m:ctrlPr>
              <w:rPr>
                <w:rFonts w:ascii="Cambria Math" w:hAnsi="Cambria Math" w:cstheme="minorEastAsia"/>
                <w:i/>
                <w:szCs w:val="21"/>
              </w:rPr>
            </m:ctrlPr>
          </m:sSubPr>
          <m:e>
            <m:r>
              <w:rPr>
                <w:rFonts w:hint="eastAsia" w:ascii="Cambria Math" w:hAnsi="Cambria Math" w:cstheme="minorEastAsia"/>
                <w:szCs w:val="21"/>
              </w:rPr>
              <m:t>φ</m:t>
            </m:r>
            <m:ctrlPr>
              <w:rPr>
                <w:rFonts w:ascii="Cambria Math" w:hAnsi="Cambria Math" w:cstheme="minorEastAsia"/>
                <w:i/>
                <w:szCs w:val="21"/>
              </w:rPr>
            </m:ctrlPr>
          </m:e>
          <m:sub>
            <m:r>
              <w:rPr>
                <w:rFonts w:ascii="Cambria Math" w:hAnsi="Cambria Math" w:cstheme="minorEastAsia"/>
                <w:szCs w:val="21"/>
              </w:rPr>
              <m:t>l</m:t>
            </m:r>
            <m:ctrlPr>
              <w:rPr>
                <w:rFonts w:ascii="Cambria Math" w:hAnsi="Cambria Math" w:cstheme="minorEastAsia"/>
                <w:i/>
                <w:szCs w:val="21"/>
              </w:rPr>
            </m:ctrlPr>
          </m:sub>
        </m:sSub>
      </m:oMath>
      <w:r>
        <w:rPr>
          <w:rFonts w:hint="eastAsia" w:asciiTheme="minorEastAsia" w:hAnsiTheme="minorEastAsia" w:cstheme="minorEastAsia"/>
          <w:szCs w:val="21"/>
        </w:rPr>
        <w:t>——考虑长细比影响的承载力折减系数；</w:t>
      </w:r>
    </w:p>
    <w:p>
      <w:pPr>
        <w:spacing w:line="400" w:lineRule="exact"/>
        <w:ind w:left="252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θ</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——甲壳柱大腔内填充混凝土抗压强度套箍增强系数。</w:t>
      </w:r>
    </w:p>
    <w:p>
      <w:pPr>
        <w:spacing w:line="300" w:lineRule="auto"/>
        <w:ind w:left="2520" w:leftChars="12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θ</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——方钢管内填充混凝土抗压强度套箍增强系数。</w:t>
      </w:r>
    </w:p>
    <w:p>
      <w:pPr>
        <w:ind w:firstLine="420" w:firstLineChars="200"/>
        <w:rPr>
          <w:color w:val="0070C0"/>
        </w:rPr>
      </w:pPr>
      <w:r>
        <w:rPr>
          <w:rFonts w:hint="eastAsia"/>
          <w:color w:val="0070C0"/>
        </w:rPr>
        <w:t>条文说明：2</w:t>
      </w:r>
      <w:r>
        <w:rPr>
          <w:color w:val="0070C0"/>
        </w:rPr>
        <w:t>.2.1</w:t>
      </w:r>
      <w:r>
        <w:rPr>
          <w:rFonts w:hint="eastAsia"/>
          <w:color w:val="0070C0"/>
        </w:rPr>
        <w:t>~</w:t>
      </w:r>
      <w:r>
        <w:rPr>
          <w:color w:val="0070C0"/>
        </w:rPr>
        <w:t>2.2.4</w:t>
      </w:r>
      <w:r>
        <w:rPr>
          <w:rFonts w:hint="eastAsia"/>
          <w:color w:val="0070C0"/>
        </w:rPr>
        <w:t>符号</w:t>
      </w:r>
      <w:r>
        <w:rPr>
          <w:color w:val="0070C0"/>
        </w:rPr>
        <w:t>根据现行国家标准《工程结构设计基本术语和通用符号》GBJ 132、《建筑结构设计术语和符号标准》GB/T 50083并结合本规范的具体情况给出。</w:t>
      </w:r>
    </w:p>
    <w:p>
      <w:pPr>
        <w:pStyle w:val="21"/>
        <w:rPr>
          <w:rFonts w:ascii="黑体" w:hAnsi="黑体" w:eastAsia="黑体"/>
          <w:sz w:val="28"/>
          <w:szCs w:val="28"/>
        </w:rPr>
      </w:pPr>
      <w:bookmarkStart w:id="23" w:name="_Toc28706874"/>
      <w:bookmarkStart w:id="24" w:name="_Toc18493253"/>
      <w:r>
        <w:rPr>
          <w:rFonts w:hint="eastAsia" w:ascii="黑体" w:hAnsi="黑体" w:eastAsia="黑体"/>
          <w:sz w:val="28"/>
          <w:szCs w:val="28"/>
        </w:rPr>
        <w:t>3 基本规定</w:t>
      </w:r>
      <w:bookmarkEnd w:id="23"/>
      <w:bookmarkEnd w:id="24"/>
    </w:p>
    <w:p>
      <w:pPr>
        <w:jc w:val="center"/>
        <w:outlineLvl w:val="1"/>
        <w:rPr>
          <w:rFonts w:ascii="黑体" w:hAnsi="黑体" w:eastAsia="黑体" w:cstheme="minorEastAsia"/>
          <w:color w:val="000000" w:themeColor="text1"/>
          <w:szCs w:val="21"/>
          <w14:textFill>
            <w14:solidFill>
              <w14:schemeClr w14:val="tx1"/>
            </w14:solidFill>
          </w14:textFill>
        </w:rPr>
      </w:pPr>
      <w:bookmarkStart w:id="25" w:name="_Toc28706875"/>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.1  一般规定</w:t>
      </w:r>
      <w:bookmarkEnd w:id="25"/>
      <w:r>
        <w:rPr>
          <w:rFonts w:hint="eastAsia" w:ascii="黑体" w:hAnsi="黑体" w:eastAsia="黑体" w:cstheme="minorEastAsia"/>
          <w:color w:val="000000" w:themeColor="text1"/>
          <w:szCs w:val="21"/>
          <w14:textFill>
            <w14:solidFill>
              <w14:schemeClr w14:val="tx1"/>
            </w14:solidFill>
          </w14:textFill>
        </w:rPr>
        <w:t xml:space="preserve">   </w:t>
      </w:r>
    </w:p>
    <w:p>
      <w:pPr>
        <w:pStyle w:val="6"/>
        <w:jc w:val="both"/>
        <w:rPr>
          <w:rFonts w:asciiTheme="minorEastAsia" w:hAnsiTheme="minorEastAsia" w:cstheme="minorEastAsia"/>
          <w:color w:val="000000" w:themeColor="text1"/>
          <w:szCs w:val="21"/>
          <w14:textFill>
            <w14:solidFill>
              <w14:schemeClr w14:val="tx1"/>
            </w14:solidFill>
          </w14:textFill>
        </w:rPr>
      </w:pPr>
      <w:bookmarkStart w:id="26" w:name="_Toc18493254"/>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波纹钢板组合框架结构，除应符合本规程的要求外，尚应符合现行国家标准《建筑抗震设计规范》G</w:t>
      </w:r>
      <w:r>
        <w:rPr>
          <w:rFonts w:asciiTheme="minorEastAsia" w:hAnsiTheme="minorEastAsia" w:cstheme="minorEastAsia"/>
          <w:color w:val="000000" w:themeColor="text1"/>
          <w:szCs w:val="21"/>
          <w14:textFill>
            <w14:solidFill>
              <w14:schemeClr w14:val="tx1"/>
            </w14:solidFill>
          </w14:textFill>
        </w:rPr>
        <w:t>B50011</w:t>
      </w:r>
      <w:r>
        <w:rPr>
          <w:rFonts w:hint="eastAsia" w:asciiTheme="minorEastAsia" w:hAnsiTheme="minorEastAsia" w:cstheme="minorEastAsia"/>
          <w:color w:val="000000" w:themeColor="text1"/>
          <w:szCs w:val="21"/>
          <w14:textFill>
            <w14:solidFill>
              <w14:schemeClr w14:val="tx1"/>
            </w14:solidFill>
          </w14:textFill>
        </w:rPr>
        <w:t>规定的抗震设计原则。</w:t>
      </w:r>
    </w:p>
    <w:p>
      <w:pPr>
        <w:pStyle w:val="6"/>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3.1.2 </w:t>
      </w:r>
      <w:r>
        <w:rPr>
          <w:rFonts w:hint="eastAsia" w:asciiTheme="minorEastAsia" w:hAnsiTheme="minorEastAsia" w:cstheme="minorEastAsia"/>
          <w:color w:val="000000" w:themeColor="text1"/>
          <w:szCs w:val="21"/>
          <w14:textFill>
            <w14:solidFill>
              <w14:schemeClr w14:val="tx1"/>
            </w14:solidFill>
          </w14:textFill>
        </w:rPr>
        <w:t>波纹钢板组合框架结构的抗震设防烈度需按国家审批、颁发的文件确定；一般情况下，抗震设防烈度应采用根据中国地震动参数区划图确定的地震基本烈度。</w:t>
      </w: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.1.</w:t>
      </w:r>
      <w:r>
        <w:rPr>
          <w:rFonts w:ascii="黑体" w:hAnsi="黑体" w:eastAsia="黑体"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抗震设防的建筑，应按现行国家标准《建筑工程抗震设防分类标准》G</w:t>
      </w:r>
      <w:r>
        <w:rPr>
          <w:rFonts w:asciiTheme="minorEastAsia" w:hAnsiTheme="minorEastAsia" w:cstheme="minorEastAsia"/>
          <w:color w:val="000000" w:themeColor="text1"/>
          <w:szCs w:val="21"/>
          <w14:textFill>
            <w14:solidFill>
              <w14:schemeClr w14:val="tx1"/>
            </w14:solidFill>
          </w14:textFill>
        </w:rPr>
        <w:t>B50223</w:t>
      </w:r>
      <w:r>
        <w:rPr>
          <w:rFonts w:hint="eastAsia" w:asciiTheme="minorEastAsia" w:hAnsiTheme="minorEastAsia" w:cstheme="minorEastAsia"/>
          <w:color w:val="000000" w:themeColor="text1"/>
          <w:szCs w:val="21"/>
          <w14:textFill>
            <w14:solidFill>
              <w14:schemeClr w14:val="tx1"/>
            </w14:solidFill>
          </w14:textFill>
        </w:rPr>
        <w:t>确定其抗震设防类别和相应的抗震设防标准。</w:t>
      </w:r>
    </w:p>
    <w:p>
      <w:pPr>
        <w:ind w:firstLine="450"/>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注：本章甲类、乙类、丙类建筑分别为现行国家标准《建筑工程抗震设防分类标准》G</w:t>
      </w:r>
      <w:r>
        <w:rPr>
          <w:rFonts w:asciiTheme="minorEastAsia" w:hAnsiTheme="minorEastAsia" w:cstheme="minorEastAsia"/>
          <w:color w:val="000000" w:themeColor="text1"/>
          <w:sz w:val="18"/>
          <w:szCs w:val="18"/>
          <w14:textFill>
            <w14:solidFill>
              <w14:schemeClr w14:val="tx1"/>
            </w14:solidFill>
          </w14:textFill>
        </w:rPr>
        <w:t>B50223</w:t>
      </w:r>
      <w:r>
        <w:rPr>
          <w:rFonts w:hint="eastAsia" w:asciiTheme="minorEastAsia" w:hAnsiTheme="minorEastAsia" w:cstheme="minorEastAsia"/>
          <w:color w:val="000000" w:themeColor="text1"/>
          <w:sz w:val="18"/>
          <w:szCs w:val="18"/>
          <w14:textFill>
            <w14:solidFill>
              <w14:schemeClr w14:val="tx1"/>
            </w14:solidFill>
          </w14:textFill>
        </w:rPr>
        <w:t>中特殊设防类、重点设防类、标准设防类建筑的简称。</w:t>
      </w: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3.1.4 </w:t>
      </w:r>
      <w:r>
        <w:rPr>
          <w:rFonts w:hint="eastAsia" w:asciiTheme="minorEastAsia" w:hAnsiTheme="minorEastAsia" w:cstheme="minorEastAsia"/>
          <w:color w:val="000000" w:themeColor="text1"/>
          <w:szCs w:val="21"/>
          <w14:textFill>
            <w14:solidFill>
              <w14:schemeClr w14:val="tx1"/>
            </w14:solidFill>
          </w14:textFill>
        </w:rPr>
        <w:t>波纹钢板组合框架结构设计时，应按《建筑抗震设计规范》G</w:t>
      </w:r>
      <w:r>
        <w:rPr>
          <w:rFonts w:asciiTheme="minorEastAsia" w:hAnsiTheme="minorEastAsia" w:cstheme="minorEastAsia"/>
          <w:color w:val="000000" w:themeColor="text1"/>
          <w:szCs w:val="21"/>
          <w14:textFill>
            <w14:solidFill>
              <w14:schemeClr w14:val="tx1"/>
            </w14:solidFill>
          </w14:textFill>
        </w:rPr>
        <w:t>B50011</w:t>
      </w:r>
      <w:r>
        <w:rPr>
          <w:rFonts w:hint="eastAsia" w:asciiTheme="minorEastAsia" w:hAnsiTheme="minorEastAsia" w:cstheme="minorEastAsia"/>
          <w:color w:val="000000" w:themeColor="text1"/>
          <w:szCs w:val="21"/>
          <w14:textFill>
            <w14:solidFill>
              <w14:schemeClr w14:val="tx1"/>
            </w14:solidFill>
          </w14:textFill>
        </w:rPr>
        <w:t>确定房屋的地震作用。</w:t>
      </w:r>
    </w:p>
    <w:p>
      <w:pPr>
        <w:ind w:firstLine="420" w:firstLineChars="200"/>
        <w:rPr>
          <w:color w:val="0070C0"/>
        </w:rPr>
      </w:pPr>
      <w:r>
        <w:rPr>
          <w:rFonts w:hint="eastAsia"/>
          <w:color w:val="0070C0"/>
        </w:rPr>
        <w:t>条文说明：</w:t>
      </w:r>
      <w:r>
        <w:rPr>
          <w:color w:val="0070C0"/>
        </w:rPr>
        <w:t>3.1.1</w:t>
      </w:r>
      <w:r>
        <w:rPr>
          <w:rFonts w:hint="eastAsia"/>
          <w:color w:val="0070C0"/>
        </w:rPr>
        <w:t>~</w:t>
      </w:r>
      <w:r>
        <w:rPr>
          <w:color w:val="0070C0"/>
        </w:rPr>
        <w:t>3.1.4</w:t>
      </w:r>
      <w:r>
        <w:rPr>
          <w:rFonts w:hint="eastAsia"/>
          <w:color w:val="0070C0"/>
        </w:rPr>
        <w:t xml:space="preserve"> 根据《建筑抗震设计规范》</w:t>
      </w:r>
      <w:r>
        <w:rPr>
          <w:color w:val="0070C0"/>
        </w:rPr>
        <w:t xml:space="preserve"> </w:t>
      </w:r>
      <w:r>
        <w:rPr>
          <w:rFonts w:hint="eastAsia"/>
          <w:color w:val="0070C0"/>
        </w:rPr>
        <w:t>对波纹钢板组合框架结构的抗震设计原则、抗震设防烈度、设防类别、设防标准、地震作用进行规定。</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.1.5</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设置少量支撑的框架-支撑结构，在规定水平力作用下，当底层框架部分所承担的地震倾覆力矩大于结构总倾覆力矩的5</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%时，其最大适用高度、最大高宽比、抗震等级均</w:t>
      </w:r>
      <w:r>
        <w:rPr>
          <w:rFonts w:hint="eastAsia" w:asciiTheme="minorEastAsia" w:hAnsiTheme="minorEastAsia" w:cstheme="minorEastAsia"/>
          <w:color w:val="000000" w:themeColor="text1"/>
          <w:szCs w:val="21"/>
          <w:lang w:eastAsia="zh-CN"/>
          <w14:textFill>
            <w14:solidFill>
              <w14:schemeClr w14:val="tx1"/>
            </w14:solidFill>
          </w14:textFill>
        </w:rPr>
        <w:t>应</w:t>
      </w:r>
      <w:r>
        <w:rPr>
          <w:rFonts w:hint="eastAsia" w:asciiTheme="minorEastAsia" w:hAnsiTheme="minorEastAsia" w:cstheme="minorEastAsia"/>
          <w:color w:val="000000" w:themeColor="text1"/>
          <w:szCs w:val="21"/>
          <w14:textFill>
            <w14:solidFill>
              <w14:schemeClr w14:val="tx1"/>
            </w14:solidFill>
          </w14:textFill>
        </w:rPr>
        <w:t>按框架结构确定。</w:t>
      </w:r>
    </w:p>
    <w:p>
      <w:pPr>
        <w:ind w:firstLine="420" w:firstLineChars="200"/>
        <w:rPr>
          <w:rFonts w:hint="eastAsia" w:eastAsiaTheme="minorEastAsia"/>
          <w:color w:val="0070C0"/>
          <w:lang w:eastAsia="zh-CN"/>
        </w:rPr>
      </w:pPr>
      <w:r>
        <w:rPr>
          <w:rFonts w:hint="eastAsia"/>
          <w:color w:val="0070C0"/>
        </w:rPr>
        <w:t>条文说明：</w:t>
      </w:r>
      <w:r>
        <w:rPr>
          <w:color w:val="0070C0"/>
        </w:rPr>
        <w:t>3.1.</w:t>
      </w:r>
      <w:r>
        <w:rPr>
          <w:rFonts w:hint="eastAsia"/>
          <w:color w:val="0070C0"/>
          <w:lang w:val="en-US" w:eastAsia="zh-CN"/>
        </w:rPr>
        <w:t>5</w:t>
      </w:r>
      <w:r>
        <w:rPr>
          <w:rFonts w:hint="eastAsia"/>
          <w:color w:val="0070C0"/>
        </w:rPr>
        <w:t xml:space="preserve"> </w:t>
      </w:r>
      <w:r>
        <w:rPr>
          <w:rFonts w:hint="eastAsia"/>
          <w:color w:val="0070C0"/>
          <w:lang w:eastAsia="zh-CN"/>
        </w:rPr>
        <w:t>框架</w:t>
      </w:r>
      <w:r>
        <w:rPr>
          <w:rFonts w:hint="eastAsia"/>
          <w:color w:val="0070C0"/>
          <w:lang w:val="en-US" w:eastAsia="zh-CN"/>
        </w:rPr>
        <w:t>-支撑结构体系，底层支撑按刚度分配的地震倾覆力矩应大于结构总地震倾覆力矩的50%，</w:t>
      </w:r>
      <w:r>
        <w:rPr>
          <w:rFonts w:hint="eastAsia"/>
          <w:color w:val="0070C0"/>
          <w:lang w:eastAsia="zh-CN"/>
        </w:rPr>
        <w:t>实际</w:t>
      </w:r>
      <w:r>
        <w:rPr>
          <w:rFonts w:hint="eastAsia"/>
          <w:color w:val="0070C0"/>
          <w:lang w:val="en-US" w:eastAsia="zh-CN"/>
        </w:rPr>
        <w:t>工程</w:t>
      </w:r>
      <w:r>
        <w:rPr>
          <w:rFonts w:hint="eastAsia"/>
          <w:color w:val="0070C0"/>
          <w:lang w:eastAsia="zh-CN"/>
        </w:rPr>
        <w:t>应用中也有设置少量支撑的结构，此类结构应按框架结构的标准执行。</w:t>
      </w:r>
    </w:p>
    <w:p>
      <w:pPr>
        <w:rPr>
          <w:rFonts w:hint="eastAsia" w:asciiTheme="minorEastAsia" w:hAnsiTheme="minorEastAsia" w:cstheme="minorEastAsia"/>
          <w:color w:val="000000" w:themeColor="text1"/>
          <w:szCs w:val="21"/>
          <w14:textFill>
            <w14:solidFill>
              <w14:schemeClr w14:val="tx1"/>
            </w14:solidFill>
          </w14:textFill>
        </w:rPr>
      </w:pPr>
    </w:p>
    <w:p>
      <w:pPr>
        <w:jc w:val="left"/>
        <w:rPr>
          <w:rFonts w:asciiTheme="minorEastAsia" w:hAnsiTheme="minorEastAsia" w:cstheme="minorEastAsia"/>
          <w:color w:val="FF0000"/>
          <w:szCs w:val="21"/>
        </w:rPr>
      </w:pPr>
      <w:r>
        <w:rPr>
          <w:rFonts w:ascii="黑体" w:hAnsi="黑体" w:eastAsia="黑体" w:cstheme="minorEastAsia"/>
          <w:color w:val="000000" w:themeColor="text1"/>
          <w:szCs w:val="21"/>
          <w14:textFill>
            <w14:solidFill>
              <w14:schemeClr w14:val="tx1"/>
            </w14:solidFill>
          </w14:textFill>
        </w:rPr>
        <w:t>3.1.6</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抗震设防烈度为6度至8度的乙类和丙类建筑的最大适用高度应符合表 </w:t>
      </w:r>
      <w:r>
        <w:rPr>
          <w:rFonts w:asciiTheme="minorEastAsia" w:hAnsiTheme="minorEastAsia" w:cstheme="minorEastAsia"/>
          <w:color w:val="000000" w:themeColor="text1"/>
          <w:szCs w:val="21"/>
          <w14:textFill>
            <w14:solidFill>
              <w14:schemeClr w14:val="tx1"/>
            </w14:solidFill>
          </w14:textFill>
        </w:rPr>
        <w:t>3.1.6</w:t>
      </w:r>
      <w:r>
        <w:rPr>
          <w:rFonts w:hint="eastAsia" w:asciiTheme="minorEastAsia" w:hAnsiTheme="minorEastAsia" w:cstheme="minorEastAsia"/>
          <w:color w:val="000000" w:themeColor="text1"/>
          <w:szCs w:val="21"/>
          <w14:textFill>
            <w14:solidFill>
              <w14:schemeClr w14:val="tx1"/>
            </w14:solidFill>
          </w14:textFill>
        </w:rPr>
        <w:t xml:space="preserve"> 的规定。平面和竖向均不规则的波纹钢板组合框架结构的最大适用高度宜适当降低。</w:t>
      </w:r>
    </w:p>
    <w:p>
      <w:pPr>
        <w:spacing w:line="400" w:lineRule="exact"/>
        <w:jc w:val="center"/>
        <w:rPr>
          <w:rFonts w:ascii="黑体" w:hAnsi="黑体" w:eastAsia="黑体" w:cstheme="minorEastAsia"/>
          <w:sz w:val="18"/>
          <w:szCs w:val="18"/>
        </w:rPr>
      </w:pPr>
      <w:r>
        <w:rPr>
          <w:rFonts w:hint="eastAsia" w:ascii="黑体" w:hAnsi="黑体" w:eastAsia="黑体" w:cstheme="minorEastAsia"/>
          <w:sz w:val="18"/>
          <w:szCs w:val="18"/>
        </w:rPr>
        <w:t xml:space="preserve">表 </w:t>
      </w:r>
      <w:r>
        <w:rPr>
          <w:rFonts w:ascii="黑体" w:hAnsi="黑体" w:eastAsia="黑体" w:cstheme="minorEastAsia"/>
          <w:sz w:val="18"/>
          <w:szCs w:val="18"/>
        </w:rPr>
        <w:t>3</w:t>
      </w:r>
      <w:r>
        <w:rPr>
          <w:rFonts w:hint="eastAsia" w:ascii="黑体" w:hAnsi="黑体" w:eastAsia="黑体" w:cstheme="minorEastAsia"/>
          <w:sz w:val="18"/>
          <w:szCs w:val="18"/>
        </w:rPr>
        <w:t>.</w:t>
      </w:r>
      <w:r>
        <w:rPr>
          <w:rFonts w:ascii="黑体" w:hAnsi="黑体" w:eastAsia="黑体" w:cstheme="minorEastAsia"/>
          <w:sz w:val="18"/>
          <w:szCs w:val="18"/>
        </w:rPr>
        <w:t>1</w:t>
      </w:r>
      <w:r>
        <w:rPr>
          <w:rFonts w:hint="eastAsia" w:ascii="黑体" w:hAnsi="黑体" w:eastAsia="黑体" w:cstheme="minorEastAsia"/>
          <w:sz w:val="18"/>
          <w:szCs w:val="18"/>
        </w:rPr>
        <w:t>.</w:t>
      </w:r>
      <w:r>
        <w:rPr>
          <w:rFonts w:ascii="黑体" w:hAnsi="黑体" w:eastAsia="黑体" w:cstheme="minorEastAsia"/>
          <w:sz w:val="18"/>
          <w:szCs w:val="18"/>
        </w:rPr>
        <w:t>6</w:t>
      </w:r>
      <w:r>
        <w:rPr>
          <w:rFonts w:hint="eastAsia" w:ascii="黑体" w:hAnsi="黑体" w:eastAsia="黑体" w:cstheme="minorEastAsia"/>
          <w:sz w:val="18"/>
          <w:szCs w:val="18"/>
        </w:rPr>
        <w:t xml:space="preserve"> 波纹钢板组合框架结构的最大适用高度（m）</w:t>
      </w:r>
    </w:p>
    <w:tbl>
      <w:tblPr>
        <w:tblStyle w:val="23"/>
        <w:tblW w:w="5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016"/>
        <w:gridCol w:w="479"/>
        <w:gridCol w:w="479"/>
        <w:gridCol w:w="591"/>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907" w:type="dxa"/>
            <w:gridSpan w:val="2"/>
            <w:vMerge w:val="restart"/>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结构体系</w:t>
            </w:r>
          </w:p>
        </w:tc>
        <w:tc>
          <w:tcPr>
            <w:tcW w:w="2140" w:type="dxa"/>
            <w:gridSpan w:val="4"/>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907" w:type="dxa"/>
            <w:gridSpan w:val="2"/>
            <w:vMerge w:val="continue"/>
            <w:vAlign w:val="center"/>
          </w:tcPr>
          <w:p>
            <w:pPr>
              <w:jc w:val="center"/>
            </w:pPr>
          </w:p>
        </w:tc>
        <w:tc>
          <w:tcPr>
            <w:tcW w:w="479" w:type="dxa"/>
            <w:vMerge w:val="restart"/>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6度</w:t>
            </w:r>
          </w:p>
        </w:tc>
        <w:tc>
          <w:tcPr>
            <w:tcW w:w="479" w:type="dxa"/>
            <w:vMerge w:val="restart"/>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7度</w:t>
            </w:r>
          </w:p>
        </w:tc>
        <w:tc>
          <w:tcPr>
            <w:tcW w:w="1182" w:type="dxa"/>
            <w:gridSpan w:val="2"/>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907" w:type="dxa"/>
            <w:gridSpan w:val="2"/>
            <w:vMerge w:val="continue"/>
            <w:vAlign w:val="center"/>
          </w:tcPr>
          <w:p>
            <w:pPr>
              <w:jc w:val="center"/>
            </w:pPr>
          </w:p>
        </w:tc>
        <w:tc>
          <w:tcPr>
            <w:tcW w:w="479" w:type="dxa"/>
            <w:vMerge w:val="continue"/>
            <w:vAlign w:val="center"/>
          </w:tcPr>
          <w:p>
            <w:pPr>
              <w:spacing w:line="400" w:lineRule="exact"/>
              <w:jc w:val="center"/>
              <w:rPr>
                <w:rFonts w:asciiTheme="minorEastAsia" w:hAnsiTheme="minorEastAsia" w:cstheme="minorEastAsia"/>
                <w:sz w:val="15"/>
                <w:szCs w:val="15"/>
              </w:rPr>
            </w:pPr>
          </w:p>
        </w:tc>
        <w:tc>
          <w:tcPr>
            <w:tcW w:w="479" w:type="dxa"/>
            <w:vMerge w:val="continue"/>
            <w:vAlign w:val="center"/>
          </w:tcPr>
          <w:p>
            <w:pPr>
              <w:spacing w:line="400" w:lineRule="exact"/>
              <w:jc w:val="center"/>
              <w:rPr>
                <w:rFonts w:asciiTheme="minorEastAsia" w:hAnsiTheme="minorEastAsia" w:cstheme="minorEastAsia"/>
                <w:sz w:val="15"/>
                <w:szCs w:val="15"/>
              </w:rPr>
            </w:pPr>
          </w:p>
        </w:tc>
        <w:tc>
          <w:tcPr>
            <w:tcW w:w="591" w:type="dxa"/>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0.20g</w:t>
            </w:r>
          </w:p>
        </w:tc>
        <w:tc>
          <w:tcPr>
            <w:tcW w:w="591" w:type="dxa"/>
            <w:vAlign w:val="center"/>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0.30g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1" w:type="dxa"/>
            <w:vMerge w:val="restart"/>
            <w:vAlign w:val="center"/>
          </w:tcPr>
          <w:p>
            <w:pPr>
              <w:spacing w:line="400" w:lineRule="exact"/>
              <w:jc w:val="center"/>
            </w:pPr>
            <w:r>
              <w:rPr>
                <w:rFonts w:hint="eastAsia" w:asciiTheme="minorEastAsia" w:hAnsiTheme="minorEastAsia" w:cstheme="minorEastAsia"/>
                <w:sz w:val="15"/>
                <w:szCs w:val="15"/>
              </w:rPr>
              <w:t>框架结构</w:t>
            </w:r>
          </w:p>
        </w:tc>
        <w:tc>
          <w:tcPr>
            <w:tcW w:w="2016" w:type="dxa"/>
            <w:vAlign w:val="center"/>
          </w:tcPr>
          <w:p>
            <w:pPr>
              <w:spacing w:line="400" w:lineRule="exact"/>
              <w:jc w:val="center"/>
              <w:rPr>
                <w:rFonts w:hint="eastAsia" w:asciiTheme="minorEastAsia" w:hAnsiTheme="minorEastAsia" w:cstheme="minorEastAsia"/>
                <w:sz w:val="15"/>
                <w:szCs w:val="15"/>
                <w:lang w:val="en-US" w:eastAsia="zh-CN"/>
              </w:rPr>
            </w:pPr>
            <w:r>
              <w:rPr>
                <w:rFonts w:hint="eastAsia" w:asciiTheme="minorEastAsia" w:hAnsiTheme="minorEastAsia" w:cstheme="minorEastAsia"/>
                <w:sz w:val="15"/>
                <w:szCs w:val="15"/>
                <w:lang w:val="en-US" w:eastAsia="zh-CN"/>
              </w:rPr>
              <w:t>甲壳柱-甲壳梁，</w:t>
            </w:r>
          </w:p>
          <w:p>
            <w:pPr>
              <w:spacing w:line="400" w:lineRule="exact"/>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cstheme="minorEastAsia"/>
                <w:sz w:val="15"/>
                <w:szCs w:val="15"/>
                <w:lang w:val="en-US" w:eastAsia="zh-CN"/>
              </w:rPr>
              <w:t>甲壳柱-钢筋混凝土梁</w:t>
            </w:r>
          </w:p>
        </w:tc>
        <w:tc>
          <w:tcPr>
            <w:tcW w:w="479"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60</w:t>
            </w:r>
          </w:p>
        </w:tc>
        <w:tc>
          <w:tcPr>
            <w:tcW w:w="479"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50</w:t>
            </w:r>
          </w:p>
        </w:tc>
        <w:tc>
          <w:tcPr>
            <w:tcW w:w="591"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40</w:t>
            </w:r>
          </w:p>
        </w:tc>
        <w:tc>
          <w:tcPr>
            <w:tcW w:w="591"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1" w:type="dxa"/>
            <w:vMerge w:val="continue"/>
            <w:vAlign w:val="center"/>
          </w:tcPr>
          <w:p>
            <w:pPr>
              <w:spacing w:line="400" w:lineRule="exact"/>
              <w:jc w:val="center"/>
              <w:rPr>
                <w:rFonts w:hint="eastAsia" w:asciiTheme="minorEastAsia" w:hAnsiTheme="minorEastAsia" w:cstheme="minorEastAsia"/>
                <w:sz w:val="15"/>
                <w:szCs w:val="15"/>
              </w:rPr>
            </w:pPr>
          </w:p>
        </w:tc>
        <w:tc>
          <w:tcPr>
            <w:tcW w:w="2016" w:type="dxa"/>
            <w:vAlign w:val="center"/>
          </w:tcPr>
          <w:p>
            <w:pPr>
              <w:spacing w:line="400" w:lineRule="exact"/>
              <w:jc w:val="center"/>
              <w:rPr>
                <w:rFonts w:hint="default" w:asciiTheme="minorEastAsia" w:hAnsiTheme="minorEastAsia" w:eastAsiaTheme="minorEastAsia" w:cstheme="minorEastAsia"/>
                <w:sz w:val="15"/>
                <w:szCs w:val="15"/>
                <w:lang w:val="en-US" w:eastAsia="zh-CN"/>
              </w:rPr>
            </w:pPr>
            <w:r>
              <w:rPr>
                <w:rFonts w:hint="eastAsia" w:asciiTheme="minorEastAsia" w:hAnsiTheme="minorEastAsia" w:cstheme="minorEastAsia"/>
                <w:sz w:val="15"/>
                <w:szCs w:val="15"/>
                <w:lang w:val="en-US" w:eastAsia="zh-CN"/>
              </w:rPr>
              <w:t>甲壳柱-钢梁</w:t>
            </w:r>
          </w:p>
        </w:tc>
        <w:tc>
          <w:tcPr>
            <w:tcW w:w="479"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70</w:t>
            </w:r>
          </w:p>
        </w:tc>
        <w:tc>
          <w:tcPr>
            <w:tcW w:w="479"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60</w:t>
            </w:r>
          </w:p>
        </w:tc>
        <w:tc>
          <w:tcPr>
            <w:tcW w:w="591"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50</w:t>
            </w:r>
          </w:p>
        </w:tc>
        <w:tc>
          <w:tcPr>
            <w:tcW w:w="591"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91" w:type="dxa"/>
            <w:vMerge w:val="restart"/>
            <w:vAlign w:val="center"/>
          </w:tcPr>
          <w:p>
            <w:pPr>
              <w:spacing w:line="400" w:lineRule="exact"/>
              <w:jc w:val="left"/>
              <w:rPr>
                <w:rFonts w:asciiTheme="minorEastAsia" w:hAnsiTheme="minorEastAsia" w:cstheme="minorEastAsia"/>
                <w:sz w:val="15"/>
                <w:szCs w:val="15"/>
              </w:rPr>
            </w:pPr>
            <w:r>
              <w:rPr>
                <w:rFonts w:hint="eastAsia" w:asciiTheme="minorEastAsia" w:hAnsiTheme="minorEastAsia" w:cstheme="minorEastAsia"/>
                <w:sz w:val="15"/>
                <w:szCs w:val="15"/>
              </w:rPr>
              <w:t>框架-支撑</w:t>
            </w:r>
          </w:p>
          <w:p>
            <w:pPr>
              <w:spacing w:line="400" w:lineRule="exact"/>
              <w:jc w:val="left"/>
              <w:rPr>
                <w:rFonts w:asciiTheme="minorEastAsia" w:hAnsiTheme="minorEastAsia" w:cstheme="minorEastAsia"/>
                <w:sz w:val="15"/>
                <w:szCs w:val="15"/>
              </w:rPr>
            </w:pPr>
            <w:r>
              <w:rPr>
                <w:rFonts w:hint="eastAsia" w:asciiTheme="minorEastAsia" w:hAnsiTheme="minorEastAsia" w:cstheme="minorEastAsia"/>
                <w:sz w:val="15"/>
                <w:szCs w:val="15"/>
              </w:rPr>
              <w:t>结构</w:t>
            </w:r>
          </w:p>
        </w:tc>
        <w:tc>
          <w:tcPr>
            <w:tcW w:w="2016" w:type="dxa"/>
            <w:vAlign w:val="center"/>
          </w:tcPr>
          <w:p>
            <w:pPr>
              <w:spacing w:line="400" w:lineRule="exact"/>
              <w:jc w:val="left"/>
              <w:rPr>
                <w:rFonts w:hint="eastAsia" w:asciiTheme="minorEastAsia" w:hAnsiTheme="minorEastAsia" w:cstheme="minorEastAsia"/>
                <w:sz w:val="15"/>
                <w:szCs w:val="15"/>
                <w:lang w:eastAsia="zh-CN"/>
              </w:rPr>
            </w:pPr>
            <w:r>
              <w:rPr>
                <w:rFonts w:hint="eastAsia" w:asciiTheme="minorEastAsia" w:hAnsiTheme="minorEastAsia" w:cstheme="minorEastAsia"/>
                <w:sz w:val="15"/>
                <w:szCs w:val="15"/>
              </w:rPr>
              <w:t>甲壳柱-甲壳梁-支撑</w:t>
            </w:r>
            <w:r>
              <w:rPr>
                <w:rFonts w:hint="eastAsia" w:asciiTheme="minorEastAsia" w:hAnsiTheme="minorEastAsia" w:cstheme="minorEastAsia"/>
                <w:sz w:val="15"/>
                <w:szCs w:val="15"/>
                <w:lang w:eastAsia="zh-CN"/>
              </w:rPr>
              <w:t>，</w:t>
            </w:r>
          </w:p>
          <w:p>
            <w:pPr>
              <w:spacing w:line="400" w:lineRule="exact"/>
              <w:jc w:val="left"/>
              <w:rPr>
                <w:rFonts w:hint="default" w:asciiTheme="minorEastAsia" w:hAnsiTheme="minorEastAsia" w:cstheme="minorEastAsia"/>
                <w:sz w:val="15"/>
                <w:szCs w:val="15"/>
                <w:lang w:val="en-US" w:eastAsia="zh-CN"/>
              </w:rPr>
            </w:pPr>
            <w:r>
              <w:rPr>
                <w:rFonts w:hint="eastAsia" w:asciiTheme="minorEastAsia" w:hAnsiTheme="minorEastAsia" w:cstheme="minorEastAsia"/>
                <w:sz w:val="15"/>
                <w:szCs w:val="15"/>
                <w:lang w:val="en-US" w:eastAsia="zh-CN"/>
              </w:rPr>
              <w:t>甲壳柱-钢筋混凝土梁-支撑</w:t>
            </w:r>
          </w:p>
        </w:tc>
        <w:tc>
          <w:tcPr>
            <w:tcW w:w="479"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9</w:t>
            </w:r>
            <w:r>
              <w:rPr>
                <w:rFonts w:asciiTheme="minorEastAsia" w:hAnsiTheme="minorEastAsia" w:cstheme="minorEastAsia"/>
                <w:color w:val="000000" w:themeColor="text1"/>
                <w:sz w:val="15"/>
                <w:szCs w:val="15"/>
                <w14:textFill>
                  <w14:solidFill>
                    <w14:schemeClr w14:val="tx1"/>
                  </w14:solidFill>
                </w14:textFill>
              </w:rPr>
              <w:t>5</w:t>
            </w:r>
          </w:p>
        </w:tc>
        <w:tc>
          <w:tcPr>
            <w:tcW w:w="479"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8</w:t>
            </w:r>
            <w:r>
              <w:rPr>
                <w:rFonts w:asciiTheme="minorEastAsia" w:hAnsiTheme="minorEastAsia" w:cstheme="minorEastAsia"/>
                <w:color w:val="000000" w:themeColor="text1"/>
                <w:sz w:val="15"/>
                <w:szCs w:val="15"/>
                <w14:textFill>
                  <w14:solidFill>
                    <w14:schemeClr w14:val="tx1"/>
                  </w14:solidFill>
                </w14:textFill>
              </w:rPr>
              <w:t>5</w:t>
            </w:r>
          </w:p>
        </w:tc>
        <w:tc>
          <w:tcPr>
            <w:tcW w:w="591"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7</w:t>
            </w:r>
            <w:r>
              <w:rPr>
                <w:rFonts w:asciiTheme="minorEastAsia" w:hAnsiTheme="minorEastAsia" w:cstheme="minorEastAsia"/>
                <w:color w:val="000000" w:themeColor="text1"/>
                <w:sz w:val="15"/>
                <w:szCs w:val="15"/>
                <w14:textFill>
                  <w14:solidFill>
                    <w14:schemeClr w14:val="tx1"/>
                  </w14:solidFill>
                </w14:textFill>
              </w:rPr>
              <w:t>0</w:t>
            </w:r>
          </w:p>
        </w:tc>
        <w:tc>
          <w:tcPr>
            <w:tcW w:w="591"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5</w:t>
            </w:r>
            <w:r>
              <w:rPr>
                <w:rFonts w:asciiTheme="minorEastAsia" w:hAnsiTheme="minorEastAsia" w:cstheme="minorEastAsia"/>
                <w:color w:val="000000" w:themeColor="text1"/>
                <w:sz w:val="15"/>
                <w:szCs w:val="15"/>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91" w:type="dxa"/>
            <w:vMerge w:val="continue"/>
            <w:vAlign w:val="center"/>
          </w:tcPr>
          <w:p>
            <w:pPr>
              <w:spacing w:line="400" w:lineRule="exact"/>
              <w:jc w:val="left"/>
              <w:rPr>
                <w:rFonts w:asciiTheme="minorEastAsia" w:hAnsiTheme="minorEastAsia" w:cstheme="minorEastAsia"/>
                <w:sz w:val="15"/>
                <w:szCs w:val="15"/>
              </w:rPr>
            </w:pPr>
            <w:bookmarkStart w:id="27" w:name="_Hlk28697202"/>
          </w:p>
        </w:tc>
        <w:tc>
          <w:tcPr>
            <w:tcW w:w="2016" w:type="dxa"/>
            <w:vAlign w:val="center"/>
          </w:tcPr>
          <w:p>
            <w:pPr>
              <w:spacing w:line="400" w:lineRule="exact"/>
              <w:jc w:val="left"/>
              <w:rPr>
                <w:rFonts w:asciiTheme="minorEastAsia" w:hAnsiTheme="minorEastAsia" w:cstheme="minorEastAsia"/>
                <w:sz w:val="15"/>
                <w:szCs w:val="15"/>
              </w:rPr>
            </w:pPr>
            <w:r>
              <w:rPr>
                <w:rFonts w:hint="eastAsia" w:asciiTheme="minorEastAsia" w:hAnsiTheme="minorEastAsia" w:cstheme="minorEastAsia"/>
                <w:sz w:val="15"/>
                <w:szCs w:val="15"/>
              </w:rPr>
              <w:t>甲壳柱-钢梁-支撑</w:t>
            </w:r>
          </w:p>
        </w:tc>
        <w:tc>
          <w:tcPr>
            <w:tcW w:w="479"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2</w:t>
            </w:r>
            <w:r>
              <w:rPr>
                <w:rFonts w:asciiTheme="minorEastAsia" w:hAnsiTheme="minorEastAsia" w:cstheme="minorEastAsia"/>
                <w:color w:val="000000" w:themeColor="text1"/>
                <w:sz w:val="15"/>
                <w:szCs w:val="15"/>
                <w14:textFill>
                  <w14:solidFill>
                    <w14:schemeClr w14:val="tx1"/>
                  </w14:solidFill>
                </w14:textFill>
              </w:rPr>
              <w:t>20</w:t>
            </w:r>
          </w:p>
        </w:tc>
        <w:tc>
          <w:tcPr>
            <w:tcW w:w="479" w:type="dxa"/>
            <w:vAlign w:val="center"/>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200</w:t>
            </w:r>
          </w:p>
        </w:tc>
        <w:tc>
          <w:tcPr>
            <w:tcW w:w="591"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hint="eastAsia" w:asciiTheme="minorEastAsia" w:hAnsiTheme="minorEastAsia" w:cstheme="minorEastAsia"/>
                <w:color w:val="000000" w:themeColor="text1"/>
                <w:sz w:val="15"/>
                <w:szCs w:val="15"/>
                <w:lang w:val="en-US" w:eastAsia="zh-CN"/>
                <w14:textFill>
                  <w14:solidFill>
                    <w14:schemeClr w14:val="tx1"/>
                  </w14:solidFill>
                </w14:textFill>
              </w:rPr>
              <w:t>8</w:t>
            </w:r>
            <w:r>
              <w:rPr>
                <w:rFonts w:asciiTheme="minorEastAsia" w:hAnsiTheme="minorEastAsia" w:cstheme="minorEastAsia"/>
                <w:color w:val="000000" w:themeColor="text1"/>
                <w:sz w:val="15"/>
                <w:szCs w:val="15"/>
                <w14:textFill>
                  <w14:solidFill>
                    <w14:schemeClr w14:val="tx1"/>
                  </w14:solidFill>
                </w14:textFill>
              </w:rPr>
              <w:t>0</w:t>
            </w:r>
          </w:p>
        </w:tc>
        <w:tc>
          <w:tcPr>
            <w:tcW w:w="591" w:type="dxa"/>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hint="eastAsia" w:asciiTheme="minorEastAsia" w:hAnsiTheme="minorEastAsia" w:cstheme="minorEastAsia"/>
                <w:color w:val="000000" w:themeColor="text1"/>
                <w:sz w:val="15"/>
                <w:szCs w:val="15"/>
                <w:lang w:val="en-US" w:eastAsia="zh-CN"/>
                <w14:textFill>
                  <w14:solidFill>
                    <w14:schemeClr w14:val="tx1"/>
                  </w14:solidFill>
                </w14:textFill>
              </w:rPr>
              <w:t>5</w:t>
            </w:r>
            <w:r>
              <w:rPr>
                <w:rFonts w:asciiTheme="minorEastAsia" w:hAnsiTheme="minorEastAsia" w:cstheme="minorEastAsia"/>
                <w:color w:val="000000" w:themeColor="text1"/>
                <w:sz w:val="15"/>
                <w:szCs w:val="15"/>
                <w14:textFill>
                  <w14:solidFill>
                    <w14:schemeClr w14:val="tx1"/>
                  </w14:solidFill>
                </w14:textFill>
              </w:rPr>
              <w:t>0</w:t>
            </w:r>
          </w:p>
        </w:tc>
      </w:tr>
      <w:bookmarkEnd w:id="27"/>
    </w:tbl>
    <w:p>
      <w:pPr>
        <w:jc w:val="center"/>
        <w:rPr>
          <w:rFonts w:asciiTheme="minorEastAsia" w:hAnsiTheme="minorEastAsia" w:cstheme="minorEastAsia"/>
          <w:sz w:val="15"/>
          <w:szCs w:val="15"/>
        </w:rPr>
      </w:pPr>
      <w:r>
        <w:rPr>
          <w:rFonts w:hint="eastAsia" w:asciiTheme="minorEastAsia" w:hAnsiTheme="minorEastAsia" w:cstheme="minorEastAsia"/>
          <w:sz w:val="15"/>
          <w:szCs w:val="15"/>
        </w:rPr>
        <w:t>注：1</w:t>
      </w:r>
      <w:r>
        <w:rPr>
          <w:rFonts w:asciiTheme="minorEastAsia" w:hAnsiTheme="minorEastAsia" w:cstheme="minorEastAsia"/>
          <w:sz w:val="15"/>
          <w:szCs w:val="15"/>
        </w:rPr>
        <w:t xml:space="preserve"> </w:t>
      </w:r>
      <w:r>
        <w:rPr>
          <w:rFonts w:hint="eastAsia" w:asciiTheme="minorEastAsia" w:hAnsiTheme="minorEastAsia" w:cstheme="minorEastAsia"/>
          <w:sz w:val="15"/>
          <w:szCs w:val="15"/>
        </w:rPr>
        <w:t>房屋高度指室外地面到主要屋面板顶的高度（不包括局部突出屋顶部分）；</w:t>
      </w:r>
    </w:p>
    <w:p>
      <w:pPr>
        <w:ind w:left="990" w:leftChars="400" w:hanging="150" w:hangingChars="1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2</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超过表内高度的建筑或8度区的甲类建筑，应进行专门研究和论证，采取有效的加强措施；</w:t>
      </w:r>
    </w:p>
    <w:p>
      <w:pPr>
        <w:ind w:firstLine="825" w:firstLineChars="550"/>
        <w:rPr>
          <w:rFonts w:hint="eastAsia"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3</w:t>
      </w:r>
      <w:r>
        <w:rPr>
          <w:rFonts w:asciiTheme="minorEastAsia" w:hAnsiTheme="minorEastAsia" w:cstheme="minorEastAsia"/>
          <w:color w:val="000000" w:themeColor="text1"/>
          <w:sz w:val="15"/>
          <w:szCs w:val="15"/>
          <w14:textFill>
            <w14:solidFill>
              <w14:schemeClr w14:val="tx1"/>
            </w14:solidFill>
          </w14:textFill>
        </w:rPr>
        <w:t xml:space="preserve"> 6</w:t>
      </w:r>
      <w:r>
        <w:rPr>
          <w:rFonts w:hint="eastAsia" w:asciiTheme="minorEastAsia" w:hAnsiTheme="minorEastAsia" w:cstheme="minorEastAsia"/>
          <w:color w:val="000000" w:themeColor="text1"/>
          <w:sz w:val="15"/>
          <w:szCs w:val="15"/>
          <w14:textFill>
            <w14:solidFill>
              <w14:schemeClr w14:val="tx1"/>
            </w14:solidFill>
          </w14:textFill>
        </w:rPr>
        <w:t>度和</w:t>
      </w:r>
      <w:r>
        <w:rPr>
          <w:rFonts w:asciiTheme="minorEastAsia" w:hAnsiTheme="minorEastAsia" w:cstheme="minorEastAsia"/>
          <w:color w:val="000000" w:themeColor="text1"/>
          <w:sz w:val="15"/>
          <w:szCs w:val="15"/>
          <w14:textFill>
            <w14:solidFill>
              <w14:schemeClr w14:val="tx1"/>
            </w14:solidFill>
          </w14:textFill>
        </w:rPr>
        <w:t>7</w:t>
      </w:r>
      <w:r>
        <w:rPr>
          <w:rFonts w:hint="eastAsia" w:asciiTheme="minorEastAsia" w:hAnsiTheme="minorEastAsia" w:cstheme="minorEastAsia"/>
          <w:color w:val="000000" w:themeColor="text1"/>
          <w:sz w:val="15"/>
          <w:szCs w:val="15"/>
          <w14:textFill>
            <w14:solidFill>
              <w14:schemeClr w14:val="tx1"/>
            </w14:solidFill>
          </w14:textFill>
        </w:rPr>
        <w:t>度</w:t>
      </w:r>
      <w:r>
        <w:rPr>
          <w:rFonts w:asciiTheme="minorEastAsia" w:hAnsiTheme="minorEastAsia" w:cstheme="minorEastAsia"/>
          <w:color w:val="000000" w:themeColor="text1"/>
          <w:sz w:val="15"/>
          <w:szCs w:val="15"/>
          <w14:textFill>
            <w14:solidFill>
              <w14:schemeClr w14:val="tx1"/>
            </w14:solidFill>
          </w14:textFill>
        </w:rPr>
        <w:t>区的</w:t>
      </w:r>
      <w:r>
        <w:rPr>
          <w:rFonts w:hint="eastAsia" w:asciiTheme="minorEastAsia" w:hAnsiTheme="minorEastAsia" w:cstheme="minorEastAsia"/>
          <w:color w:val="000000" w:themeColor="text1"/>
          <w:sz w:val="15"/>
          <w:szCs w:val="15"/>
          <w14:textFill>
            <w14:solidFill>
              <w14:schemeClr w14:val="tx1"/>
            </w14:solidFill>
          </w14:textFill>
        </w:rPr>
        <w:t>甲类</w:t>
      </w:r>
      <w:r>
        <w:rPr>
          <w:rFonts w:asciiTheme="minorEastAsia" w:hAnsiTheme="minorEastAsia" w:cstheme="minorEastAsia"/>
          <w:color w:val="000000" w:themeColor="text1"/>
          <w:sz w:val="15"/>
          <w:szCs w:val="15"/>
          <w14:textFill>
            <w14:solidFill>
              <w14:schemeClr w14:val="tx1"/>
            </w14:solidFill>
          </w14:textFill>
        </w:rPr>
        <w:t>建筑</w:t>
      </w:r>
      <w:r>
        <w:rPr>
          <w:rFonts w:hint="eastAsia" w:asciiTheme="minorEastAsia" w:hAnsiTheme="minorEastAsia" w:cstheme="minorEastAsia"/>
          <w:color w:val="000000" w:themeColor="text1"/>
          <w:sz w:val="15"/>
          <w:szCs w:val="15"/>
          <w14:textFill>
            <w14:solidFill>
              <w14:schemeClr w14:val="tx1"/>
            </w14:solidFill>
          </w14:textFill>
        </w:rPr>
        <w:t>宜</w:t>
      </w:r>
      <w:r>
        <w:rPr>
          <w:rFonts w:asciiTheme="minorEastAsia" w:hAnsiTheme="minorEastAsia" w:cstheme="minorEastAsia"/>
          <w:color w:val="000000" w:themeColor="text1"/>
          <w:sz w:val="15"/>
          <w:szCs w:val="15"/>
          <w14:textFill>
            <w14:solidFill>
              <w14:schemeClr w14:val="tx1"/>
            </w14:solidFill>
          </w14:textFill>
        </w:rPr>
        <w:t>按本地区</w:t>
      </w:r>
      <w:r>
        <w:rPr>
          <w:rFonts w:hint="eastAsia" w:asciiTheme="minorEastAsia" w:hAnsiTheme="minorEastAsia" w:cstheme="minorEastAsia"/>
          <w:color w:val="000000" w:themeColor="text1"/>
          <w:sz w:val="15"/>
          <w:szCs w:val="15"/>
          <w14:textFill>
            <w14:solidFill>
              <w14:schemeClr w14:val="tx1"/>
            </w14:solidFill>
          </w14:textFill>
        </w:rPr>
        <w:t>抗震</w:t>
      </w:r>
      <w:r>
        <w:rPr>
          <w:rFonts w:asciiTheme="minorEastAsia" w:hAnsiTheme="minorEastAsia" w:cstheme="minorEastAsia"/>
          <w:color w:val="000000" w:themeColor="text1"/>
          <w:sz w:val="15"/>
          <w:szCs w:val="15"/>
          <w14:textFill>
            <w14:solidFill>
              <w14:schemeClr w14:val="tx1"/>
            </w14:solidFill>
          </w14:textFill>
        </w:rPr>
        <w:t>设防烈度提高</w:t>
      </w:r>
      <w:r>
        <w:rPr>
          <w:rFonts w:hint="eastAsia" w:asciiTheme="minorEastAsia" w:hAnsiTheme="minorEastAsia" w:cstheme="minorEastAsia"/>
          <w:color w:val="000000" w:themeColor="text1"/>
          <w:sz w:val="15"/>
          <w:szCs w:val="15"/>
          <w14:textFill>
            <w14:solidFill>
              <w14:schemeClr w14:val="tx1"/>
            </w14:solidFill>
          </w14:textFill>
        </w:rPr>
        <w:t>一度</w:t>
      </w:r>
      <w:r>
        <w:rPr>
          <w:rFonts w:asciiTheme="minorEastAsia" w:hAnsiTheme="minorEastAsia" w:cstheme="minorEastAsia"/>
          <w:color w:val="000000" w:themeColor="text1"/>
          <w:sz w:val="15"/>
          <w:szCs w:val="15"/>
          <w14:textFill>
            <w14:solidFill>
              <w14:schemeClr w14:val="tx1"/>
            </w14:solidFill>
          </w14:textFill>
        </w:rPr>
        <w:t>后确定其</w:t>
      </w:r>
      <w:r>
        <w:rPr>
          <w:rFonts w:hint="eastAsia" w:asciiTheme="minorEastAsia" w:hAnsiTheme="minorEastAsia" w:cstheme="minorEastAsia"/>
          <w:color w:val="000000" w:themeColor="text1"/>
          <w:sz w:val="15"/>
          <w:szCs w:val="15"/>
          <w14:textFill>
            <w14:solidFill>
              <w14:schemeClr w14:val="tx1"/>
            </w14:solidFill>
          </w14:textFill>
        </w:rPr>
        <w:t>最大适用高度。</w:t>
      </w:r>
    </w:p>
    <w:p>
      <w:pPr>
        <w:ind w:firstLine="420" w:firstLineChars="200"/>
        <w:rPr>
          <w:rFonts w:hint="eastAsia"/>
          <w:color w:val="0070C0"/>
          <w:lang w:val="en-US" w:eastAsia="zh-CN"/>
        </w:rPr>
      </w:pPr>
      <w:r>
        <w:rPr>
          <w:rFonts w:hint="eastAsia"/>
          <w:color w:val="0070C0"/>
        </w:rPr>
        <w:t>条文说明：</w:t>
      </w:r>
      <w:r>
        <w:rPr>
          <w:color w:val="0070C0"/>
        </w:rPr>
        <w:t>3.1.</w:t>
      </w:r>
      <w:r>
        <w:rPr>
          <w:rFonts w:hint="eastAsia"/>
          <w:color w:val="0070C0"/>
          <w:lang w:val="en-US" w:eastAsia="zh-CN"/>
        </w:rPr>
        <w:t>6</w:t>
      </w:r>
      <w:r>
        <w:rPr>
          <w:rFonts w:hint="eastAsia"/>
          <w:color w:val="0070C0"/>
        </w:rPr>
        <w:t xml:space="preserve"> </w:t>
      </w:r>
      <w:r>
        <w:rPr>
          <w:rFonts w:hint="eastAsia"/>
          <w:color w:val="0070C0"/>
          <w:lang w:eastAsia="zh-CN"/>
        </w:rPr>
        <w:t>波纹钢板组合框架结构的最大适用高度，框架</w:t>
      </w:r>
      <w:r>
        <w:rPr>
          <w:rFonts w:hint="eastAsia"/>
          <w:color w:val="0070C0"/>
          <w:lang w:val="en-US" w:eastAsia="zh-CN"/>
        </w:rPr>
        <w:t>结构及甲壳柱-钢梁-支撑结构按《钢管混凝土结构技术规范》GB50936执行，甲壳柱-甲壳梁-支撑结构按上海市工程建设规范《建筑抗震设计规程》DGJ08-9关于钢支撑-混凝土框架的规定执行，即不超过钢筋混凝土框架结构和钢筋混凝土框架-剪力墙结构二者适用高度的平均值。</w:t>
      </w: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ascii="黑体" w:hAnsi="黑体" w:eastAsia="黑体" w:cstheme="minorEastAsia"/>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1</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波纹钢板组合框架结构的高宽比不宜大于表</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 xml:space="preserve"> 的规定。</w:t>
      </w:r>
    </w:p>
    <w:p>
      <w:pPr>
        <w:ind w:firstLine="900" w:firstLineChars="500"/>
        <w:jc w:val="left"/>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 xml:space="preserve">表 </w:t>
      </w:r>
      <w:r>
        <w:rPr>
          <w:rFonts w:ascii="黑体" w:hAnsi="黑体" w:eastAsia="黑体" w:cstheme="minorEastAsia"/>
          <w:color w:val="000000" w:themeColor="text1"/>
          <w:sz w:val="18"/>
          <w:szCs w:val="18"/>
          <w14:textFill>
            <w14:solidFill>
              <w14:schemeClr w14:val="tx1"/>
            </w14:solidFill>
          </w14:textFill>
        </w:rPr>
        <w:t>3</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1</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7</w:t>
      </w:r>
      <w:r>
        <w:rPr>
          <w:rFonts w:hint="eastAsia" w:ascii="黑体" w:hAnsi="黑体" w:eastAsia="黑体" w:cstheme="minorEastAsia"/>
          <w:color w:val="000000" w:themeColor="text1"/>
          <w:sz w:val="18"/>
          <w:szCs w:val="18"/>
          <w14:textFill>
            <w14:solidFill>
              <w14:schemeClr w14:val="tx1"/>
            </w14:solidFill>
          </w14:textFill>
        </w:rPr>
        <w:t xml:space="preserve"> 波纹钢板组合框架结构适用的最大高宽比</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566"/>
        <w:gridCol w:w="479"/>
        <w:gridCol w:w="479"/>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0" w:type="auto"/>
            <w:gridSpan w:val="2"/>
            <w:vMerge w:val="restart"/>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结构类型</w:t>
            </w:r>
          </w:p>
        </w:tc>
        <w:tc>
          <w:tcPr>
            <w:tcW w:w="0" w:type="auto"/>
            <w:gridSpan w:val="3"/>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0" w:type="auto"/>
            <w:gridSpan w:val="2"/>
            <w:vMerge w:val="continue"/>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6度</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7度</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0" w:type="auto"/>
            <w:gridSpan w:val="2"/>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框架结构</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4</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400" w:lineRule="exact"/>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框架-支撑结构</w:t>
            </w:r>
          </w:p>
        </w:tc>
        <w:tc>
          <w:tcPr>
            <w:tcW w:w="0" w:type="auto"/>
            <w:vAlign w:val="center"/>
          </w:tcPr>
          <w:p>
            <w:pPr>
              <w:spacing w:line="400" w:lineRule="exact"/>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甲壳柱-甲壳梁-支撑</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6</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400" w:lineRule="exact"/>
              <w:jc w:val="left"/>
              <w:rPr>
                <w:rFonts w:asciiTheme="minorEastAsia" w:hAnsiTheme="minorEastAsia" w:cstheme="minorEastAsia"/>
                <w:color w:val="000000" w:themeColor="text1"/>
                <w:sz w:val="15"/>
                <w:szCs w:val="15"/>
                <w14:textFill>
                  <w14:solidFill>
                    <w14:schemeClr w14:val="tx1"/>
                  </w14:solidFill>
                </w14:textFill>
              </w:rPr>
            </w:pPr>
          </w:p>
        </w:tc>
        <w:tc>
          <w:tcPr>
            <w:tcW w:w="0" w:type="auto"/>
            <w:vAlign w:val="center"/>
          </w:tcPr>
          <w:p>
            <w:pPr>
              <w:spacing w:line="400" w:lineRule="exact"/>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甲壳柱-钢梁-支撑</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6</w:t>
            </w:r>
            <w:r>
              <w:rPr>
                <w:rFonts w:asciiTheme="minorEastAsia" w:hAnsiTheme="minorEastAsia" w:cstheme="minorEastAsia"/>
                <w:color w:val="000000" w:themeColor="text1"/>
                <w:sz w:val="15"/>
                <w:szCs w:val="15"/>
                <w14:textFill>
                  <w14:solidFill>
                    <w14:schemeClr w14:val="tx1"/>
                  </w14:solidFill>
                </w14:textFill>
              </w:rPr>
              <w:t>.5</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6</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w:t>
            </w:r>
          </w:p>
        </w:tc>
      </w:tr>
    </w:tbl>
    <w:p>
      <w:pPr>
        <w:ind w:left="1080" w:leftChars="300" w:hanging="450" w:hangingChars="300"/>
        <w:jc w:val="left"/>
        <w:rPr>
          <w:rFonts w:hint="eastAsia"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注：1</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计算高宽比的高度一般从室外地面算起，当塔形建筑底部有大底盘时，从大底盘顶部算起。</w:t>
      </w:r>
    </w:p>
    <w:p>
      <w:pPr>
        <w:ind w:firstLine="420" w:firstLineChars="200"/>
        <w:rPr>
          <w:rFonts w:hint="eastAsia"/>
          <w:color w:val="0070C0"/>
          <w:lang w:val="en-US" w:eastAsia="zh-CN"/>
        </w:rPr>
      </w:pPr>
      <w:r>
        <w:rPr>
          <w:rFonts w:hint="eastAsia"/>
          <w:color w:val="0070C0"/>
        </w:rPr>
        <w:t>条文说明：</w:t>
      </w:r>
      <w:r>
        <w:rPr>
          <w:color w:val="0070C0"/>
        </w:rPr>
        <w:t>3.1.</w:t>
      </w:r>
      <w:r>
        <w:rPr>
          <w:rFonts w:hint="eastAsia"/>
          <w:color w:val="0070C0"/>
          <w:lang w:val="en-US" w:eastAsia="zh-CN"/>
        </w:rPr>
        <w:t>7</w:t>
      </w:r>
      <w:r>
        <w:rPr>
          <w:rFonts w:hint="eastAsia"/>
          <w:color w:val="0070C0"/>
        </w:rPr>
        <w:t xml:space="preserve"> </w:t>
      </w:r>
      <w:r>
        <w:rPr>
          <w:rFonts w:hint="eastAsia"/>
          <w:color w:val="0070C0"/>
          <w:lang w:val="en-US" w:eastAsia="zh-CN"/>
        </w:rPr>
        <w:t>框架结构：6度区取《钢管混凝土结构技术规范》与《高层混凝土结构技术规程》规定的中间值，7、8度区取《高层混凝土结构技术规程》的规定值；甲壳柱-甲壳梁-支撑结构：6度区取《高层混凝土结构技术规程》中关于框架-剪力墙的规定值，7、8度区取《高层混凝土结构技术规程》中框架结构与框架-剪力墙结构的平均值；甲壳柱-钢梁-支撑结构：6度区取《钢管混凝土结构技术规范》与《民用建筑钢结构技术规程》的较小值，7度、8度取同《钢管混凝土结构技术规范》。</w:t>
      </w: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1</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8</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波纹钢板组合框架结构丙类建筑的抗震等级应按表 </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8</w:t>
      </w:r>
      <w:r>
        <w:rPr>
          <w:rFonts w:hint="eastAsia" w:asciiTheme="minorEastAsia" w:hAnsiTheme="minorEastAsia" w:cstheme="minorEastAsia"/>
          <w:color w:val="000000" w:themeColor="text1"/>
          <w:szCs w:val="21"/>
          <w14:textFill>
            <w14:solidFill>
              <w14:schemeClr w14:val="tx1"/>
            </w14:solidFill>
          </w14:textFill>
        </w:rPr>
        <w:t xml:space="preserve"> 确定。框架中的钢梁的抗震等级可按钢结构构件确定, </w:t>
      </w:r>
      <w:r>
        <w:rPr>
          <w:rFonts w:hint="eastAsia" w:asciiTheme="minorEastAsia" w:hAnsiTheme="minorEastAsia" w:cstheme="minorEastAsia"/>
          <w:color w:val="000000" w:themeColor="text1"/>
          <w:szCs w:val="21"/>
          <w:lang w:val="en-US" w:eastAsia="zh-CN"/>
          <w14:textFill>
            <w14:solidFill>
              <w14:schemeClr w14:val="tx1"/>
            </w14:solidFill>
          </w14:textFill>
        </w:rPr>
        <w:t>并</w:t>
      </w:r>
      <w:r>
        <w:rPr>
          <w:rFonts w:hint="eastAsia" w:asciiTheme="minorEastAsia" w:hAnsiTheme="minorEastAsia" w:cstheme="minorEastAsia"/>
          <w:color w:val="000000" w:themeColor="text1"/>
          <w:szCs w:val="21"/>
          <w14:textFill>
            <w14:solidFill>
              <w14:schemeClr w14:val="tx1"/>
            </w14:solidFill>
          </w14:textFill>
        </w:rPr>
        <w:t>应符合国家现行规范《建筑抗震设计规范》G</w:t>
      </w:r>
      <w:r>
        <w:rPr>
          <w:rFonts w:asciiTheme="minorEastAsia" w:hAnsiTheme="minorEastAsia" w:cstheme="minorEastAsia"/>
          <w:color w:val="000000" w:themeColor="text1"/>
          <w:szCs w:val="21"/>
          <w14:textFill>
            <w14:solidFill>
              <w14:schemeClr w14:val="tx1"/>
            </w14:solidFill>
          </w14:textFill>
        </w:rPr>
        <w:t>B 50011</w:t>
      </w:r>
      <w:r>
        <w:rPr>
          <w:rFonts w:hint="eastAsia" w:asciiTheme="minorEastAsia" w:hAnsiTheme="minorEastAsia" w:cstheme="minorEastAsia"/>
          <w:color w:val="000000" w:themeColor="text1"/>
          <w:szCs w:val="21"/>
          <w14:textFill>
            <w14:solidFill>
              <w14:schemeClr w14:val="tx1"/>
            </w14:solidFill>
          </w14:textFill>
        </w:rPr>
        <w:t>的相关要求。</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当建筑场地为Ⅲ类、Ⅳ类时，对设计基本加速度为0</w:t>
      </w:r>
      <w:r>
        <w:rPr>
          <w:rFonts w:asciiTheme="minorEastAsia" w:hAnsiTheme="minorEastAsia" w:cstheme="minorEastAsia"/>
          <w:color w:val="000000" w:themeColor="text1"/>
          <w:szCs w:val="21"/>
          <w14:textFill>
            <w14:solidFill>
              <w14:schemeClr w14:val="tx1"/>
            </w14:solidFill>
          </w14:textFill>
        </w:rPr>
        <w:t>.15g</w:t>
      </w:r>
      <w:r>
        <w:rPr>
          <w:rFonts w:hint="eastAsia" w:asciiTheme="minorEastAsia" w:hAnsiTheme="minorEastAsia" w:cstheme="minorEastAsia"/>
          <w:color w:val="000000" w:themeColor="text1"/>
          <w:szCs w:val="21"/>
          <w14:textFill>
            <w14:solidFill>
              <w14:schemeClr w14:val="tx1"/>
            </w14:solidFill>
          </w14:textFill>
        </w:rPr>
        <w:t>和0</w:t>
      </w:r>
      <w:r>
        <w:rPr>
          <w:rFonts w:asciiTheme="minorEastAsia" w:hAnsiTheme="minorEastAsia" w:cstheme="minorEastAsia"/>
          <w:color w:val="000000" w:themeColor="text1"/>
          <w:szCs w:val="21"/>
          <w14:textFill>
            <w14:solidFill>
              <w14:schemeClr w14:val="tx1"/>
            </w14:solidFill>
          </w14:textFill>
        </w:rPr>
        <w:t>.30g</w:t>
      </w:r>
      <w:r>
        <w:rPr>
          <w:rFonts w:hint="eastAsia" w:asciiTheme="minorEastAsia" w:hAnsiTheme="minorEastAsia" w:cstheme="minorEastAsia"/>
          <w:color w:val="000000" w:themeColor="text1"/>
          <w:szCs w:val="21"/>
          <w14:textFill>
            <w14:solidFill>
              <w14:schemeClr w14:val="tx1"/>
            </w14:solidFill>
          </w14:textFill>
        </w:rPr>
        <w:t>的地区，结构抗震构造措施宜提高一个抗震等级。</w:t>
      </w:r>
    </w:p>
    <w:p>
      <w:pPr>
        <w:jc w:val="cente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w:t>
      </w:r>
      <w:r>
        <w:rPr>
          <w:rFonts w:ascii="黑体" w:hAnsi="黑体" w:eastAsia="黑体" w:cstheme="minorEastAsia"/>
          <w:color w:val="000000" w:themeColor="text1"/>
          <w:sz w:val="18"/>
          <w:szCs w:val="18"/>
          <w14:textFill>
            <w14:solidFill>
              <w14:schemeClr w14:val="tx1"/>
            </w14:solidFill>
          </w14:textFill>
        </w:rPr>
        <w:t>3</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1</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8</w:t>
      </w:r>
      <w:r>
        <w:rPr>
          <w:rFonts w:hint="eastAsia" w:ascii="黑体" w:hAnsi="黑体" w:eastAsia="黑体" w:cstheme="minorEastAsia"/>
          <w:color w:val="000000" w:themeColor="text1"/>
          <w:sz w:val="18"/>
          <w:szCs w:val="18"/>
          <w14:textFill>
            <w14:solidFill>
              <w14:schemeClr w14:val="tx1"/>
            </w14:solidFill>
          </w14:textFill>
        </w:rPr>
        <w:t xml:space="preserve"> 波纹钢板组合框架结构房屋的抗震等级</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316"/>
        <w:gridCol w:w="516"/>
        <w:gridCol w:w="441"/>
        <w:gridCol w:w="516"/>
        <w:gridCol w:w="441"/>
        <w:gridCol w:w="786"/>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0" w:type="auto"/>
            <w:gridSpan w:val="2"/>
            <w:vMerge w:val="restart"/>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结构类型</w:t>
            </w:r>
          </w:p>
        </w:tc>
        <w:tc>
          <w:tcPr>
            <w:tcW w:w="0" w:type="auto"/>
            <w:gridSpan w:val="6"/>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0" w:type="auto"/>
            <w:gridSpan w:val="2"/>
            <w:vMerge w:val="continue"/>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6度</w:t>
            </w: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7度</w:t>
            </w: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0" w:type="auto"/>
            <w:vMerge w:val="restart"/>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房屋高度(m)</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24</w:t>
            </w:r>
            <w:r>
              <w:rPr>
                <w:rFonts w:asciiTheme="minorEastAsia" w:hAnsiTheme="minorEastAsia" w:cstheme="minorEastAsia"/>
                <w:color w:val="000000" w:themeColor="text1"/>
                <w:sz w:val="15"/>
                <w:szCs w:val="15"/>
                <w14:textFill>
                  <w14:solidFill>
                    <w14:schemeClr w14:val="tx1"/>
                  </w14:solidFill>
                </w14:textFill>
              </w:rPr>
              <w:t xml:space="preserve">  </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24</w:t>
            </w:r>
            <w:r>
              <w:rPr>
                <w:rFonts w:asciiTheme="minorEastAsia" w:hAnsiTheme="minorEastAsia" w:cstheme="minorEastAsia"/>
                <w:color w:val="000000" w:themeColor="text1"/>
                <w:sz w:val="15"/>
                <w:szCs w:val="15"/>
                <w14:textFill>
                  <w14:solidFill>
                    <w14:schemeClr w14:val="tx1"/>
                  </w14:solidFill>
                </w14:textFill>
              </w:rPr>
              <w:t xml:space="preserve">   </w:t>
            </w:r>
          </w:p>
        </w:tc>
        <w:tc>
          <w:tcPr>
            <w:tcW w:w="0" w:type="auto"/>
          </w:tcPr>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0" w:type="auto"/>
            <w:vMerge w:val="continue"/>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甲壳柱、甲壳梁</w:t>
            </w:r>
            <w:r>
              <w:rPr>
                <w:rFonts w:hint="eastAsia" w:asciiTheme="minorEastAsia" w:hAnsiTheme="minorEastAsia" w:cstheme="minorEastAsia"/>
                <w:color w:val="000000" w:themeColor="text1"/>
                <w:sz w:val="15"/>
                <w:szCs w:val="15"/>
                <w:lang w:eastAsia="zh-CN"/>
                <w14:textFill>
                  <w14:solidFill>
                    <w14:schemeClr w14:val="tx1"/>
                  </w14:solidFill>
                </w14:textFill>
              </w:rPr>
              <w:t>、</w:t>
            </w:r>
            <w:r>
              <w:rPr>
                <w:rFonts w:hint="eastAsia" w:asciiTheme="minorEastAsia" w:hAnsiTheme="minorEastAsia" w:cstheme="minorEastAsia"/>
                <w:color w:val="000000" w:themeColor="text1"/>
                <w:sz w:val="15"/>
                <w:szCs w:val="15"/>
                <w:lang w:val="en-US" w:eastAsia="zh-CN"/>
                <w14:textFill>
                  <w14:solidFill>
                    <w14:schemeClr w14:val="tx1"/>
                  </w14:solidFill>
                </w14:textFill>
              </w:rPr>
              <w:t>钢筋混凝土梁</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 xml:space="preserve">四 </w:t>
            </w:r>
            <w:r>
              <w:rPr>
                <w:rFonts w:asciiTheme="minorEastAsia" w:hAnsiTheme="minorEastAsia" w:cstheme="minorEastAsia"/>
                <w:color w:val="000000" w:themeColor="text1"/>
                <w:sz w:val="15"/>
                <w:szCs w:val="15"/>
                <w14:textFill>
                  <w14:solidFill>
                    <w14:schemeClr w14:val="tx1"/>
                  </w14:solidFill>
                </w14:textFill>
              </w:rPr>
              <w:t xml:space="preserve">  </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ind w:firstLine="300" w:firstLineChars="2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大跨度框架</w:t>
            </w: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gridSpan w:val="2"/>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restart"/>
          </w:tcPr>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w:t>
            </w:r>
          </w:p>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甲壳梁-</w:t>
            </w:r>
          </w:p>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支撑</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房屋高度(m)</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≤24   </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≤24</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tcPr>
          <w:p>
            <w:pPr>
              <w:spacing w:line="400" w:lineRule="exact"/>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四</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tcPr>
          <w:p>
            <w:pPr>
              <w:spacing w:line="400" w:lineRule="exact"/>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支撑框架、支撑</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特一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restart"/>
          </w:tcPr>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w:t>
            </w:r>
          </w:p>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钢梁-</w:t>
            </w:r>
          </w:p>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支撑</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房屋高度(m)</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≤50</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50</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≤50 </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5</w:t>
            </w:r>
            <w:r>
              <w:rPr>
                <w:rFonts w:hint="eastAsia" w:asciiTheme="minorEastAsia" w:hAnsiTheme="minorEastAsia" w:cstheme="minorEastAsia"/>
                <w:color w:val="000000" w:themeColor="text1"/>
                <w:sz w:val="15"/>
                <w:szCs w:val="15"/>
                <w14:textFill>
                  <w14:solidFill>
                    <w14:schemeClr w14:val="tx1"/>
                  </w14:solidFill>
                </w14:textFill>
              </w:rPr>
              <w:t>0</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≤50</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&gt;</w:t>
            </w:r>
            <w:r>
              <w:rPr>
                <w:rFonts w:asciiTheme="minorEastAsia" w:hAnsiTheme="minorEastAsia" w:cstheme="minorEastAsia"/>
                <w:color w:val="000000" w:themeColor="text1"/>
                <w:sz w:val="15"/>
                <w:szCs w:val="15"/>
                <w14:textFill>
                  <w14:solidFill>
                    <w14:schemeClr w14:val="tx1"/>
                  </w14:solidFill>
                </w14:textFill>
              </w:rPr>
              <w:t>5</w:t>
            </w:r>
            <w:r>
              <w:rPr>
                <w:rFonts w:hint="eastAsia" w:asciiTheme="minorEastAsia" w:hAnsiTheme="minorEastAsia" w:cstheme="minorEastAsia"/>
                <w:color w:val="000000" w:themeColor="text1"/>
                <w:sz w:val="15"/>
                <w:szCs w:val="15"/>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tcPr>
          <w:p>
            <w:pPr>
              <w:spacing w:line="400" w:lineRule="exact"/>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w:t>
            </w:r>
          </w:p>
        </w:tc>
        <w:tc>
          <w:tcPr>
            <w:tcW w:w="0" w:type="auto"/>
            <w:tcBorders>
              <w:tr2bl w:val="single" w:color="auto" w:sz="4" w:space="0"/>
            </w:tcBorders>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四</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四</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tcPr>
          <w:p>
            <w:pPr>
              <w:spacing w:line="400" w:lineRule="exact"/>
              <w:rPr>
                <w:rFonts w:asciiTheme="minorEastAsia" w:hAnsiTheme="minorEastAsia" w:cstheme="minorEastAsia"/>
                <w:color w:val="000000" w:themeColor="text1"/>
                <w:sz w:val="15"/>
                <w:szCs w:val="15"/>
                <w14:textFill>
                  <w14:solidFill>
                    <w14:schemeClr w14:val="tx1"/>
                  </w14:solidFill>
                </w14:textFill>
              </w:rPr>
            </w:pP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支撑框架、支撑</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四</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w:t>
            </w:r>
          </w:p>
        </w:tc>
        <w:tc>
          <w:tcPr>
            <w:tcW w:w="0" w:type="auto"/>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w:t>
            </w:r>
          </w:p>
        </w:tc>
      </w:tr>
    </w:tbl>
    <w:p>
      <w:pPr>
        <w:ind w:left="1080" w:leftChars="300" w:hanging="450" w:hangingChars="3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注：1</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建筑场地为I类时，除6度外允许按表内降低一度所对应的抗震等级采取抗震构造措施，但相应的计算要求不应降低。</w:t>
      </w:r>
    </w:p>
    <w:p>
      <w:pPr>
        <w:ind w:firstLine="975" w:firstLineChars="650"/>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2 </w:t>
      </w:r>
      <w:r>
        <w:rPr>
          <w:rFonts w:hint="eastAsia" w:asciiTheme="minorEastAsia" w:hAnsiTheme="minorEastAsia" w:cstheme="minorEastAsia"/>
          <w:color w:val="000000" w:themeColor="text1"/>
          <w:sz w:val="15"/>
          <w:szCs w:val="15"/>
          <w14:textFill>
            <w14:solidFill>
              <w14:schemeClr w14:val="tx1"/>
            </w14:solidFill>
          </w14:textFill>
        </w:rPr>
        <w:t>大跨度框架指跨度不小于18m的甲壳柱-甲壳梁框架。</w:t>
      </w:r>
    </w:p>
    <w:p>
      <w:pPr>
        <w:ind w:left="1068" w:leftChars="437" w:hanging="150" w:hangingChars="100"/>
        <w:jc w:val="left"/>
        <w:rPr>
          <w:rFonts w:hint="eastAsia"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3 </w:t>
      </w:r>
      <w:r>
        <w:rPr>
          <w:rFonts w:hint="eastAsia" w:asciiTheme="minorEastAsia" w:hAnsiTheme="minorEastAsia" w:cstheme="minorEastAsia"/>
          <w:color w:val="000000" w:themeColor="text1"/>
          <w:sz w:val="15"/>
          <w:szCs w:val="15"/>
          <w14:textFill>
            <w14:solidFill>
              <w14:schemeClr w14:val="tx1"/>
            </w14:solidFill>
          </w14:textFill>
        </w:rPr>
        <w:t>当地下室顶层作为上部结构的嵌固端时，地下一层相关范围的抗震等级应按上部结构采用， 地下一层以下抗震构造措施的抗震等级可逐层降低一级，但不应低于四级；地下室中超出上部主楼相关范围且无上部结构的部分，其抗震等级可根据具体情况采用三级或四级。</w:t>
      </w:r>
    </w:p>
    <w:p>
      <w:pPr>
        <w:ind w:firstLine="420" w:firstLineChars="200"/>
        <w:jc w:val="left"/>
        <w:rPr>
          <w:rFonts w:hint="default"/>
          <w:color w:val="0070C0"/>
          <w:lang w:val="en-US" w:eastAsia="zh-CN"/>
        </w:rPr>
      </w:pPr>
      <w:r>
        <w:rPr>
          <w:rFonts w:hint="eastAsia"/>
          <w:color w:val="0070C0"/>
        </w:rPr>
        <w:t>条文说明：</w:t>
      </w:r>
      <w:r>
        <w:rPr>
          <w:color w:val="0070C0"/>
        </w:rPr>
        <w:t>3.1.</w:t>
      </w:r>
      <w:r>
        <w:rPr>
          <w:rFonts w:hint="eastAsia"/>
          <w:color w:val="0070C0"/>
          <w:lang w:val="en-US" w:eastAsia="zh-CN"/>
        </w:rPr>
        <w:t>8</w:t>
      </w:r>
      <w:r>
        <w:rPr>
          <w:rFonts w:hint="eastAsia"/>
          <w:color w:val="0070C0"/>
        </w:rPr>
        <w:t xml:space="preserve"> 波纹钢板组合框架结构的抗震设计，应根据设防烈度、结构类型、房屋高度采用不同的抗震等级，并应符合相应的计算和构造措施规定</w:t>
      </w:r>
      <w:r>
        <w:rPr>
          <w:rFonts w:hint="eastAsia"/>
          <w:color w:val="0070C0"/>
          <w:lang w:eastAsia="zh-CN"/>
        </w:rPr>
        <w:t>。</w:t>
      </w:r>
      <w:r>
        <w:rPr>
          <w:rFonts w:hint="eastAsia"/>
          <w:color w:val="0070C0"/>
          <w:lang w:val="en-US" w:eastAsia="zh-CN"/>
        </w:rPr>
        <w:t>带甲壳梁、钢筋混凝土梁的框架结构及框架-支撑结构的抗震等级按《建筑抗震设计规范》中的钢筋混凝土框架结构进行取值，较严格。钢梁按钢结构构件确定。带钢梁的框架-支撑结构的抗震等级按《高层民用建筑钢结构技术规程》取值，</w:t>
      </w:r>
    </w:p>
    <w:p>
      <w:pPr>
        <w:jc w:val="left"/>
        <w:rPr>
          <w:rFonts w:hint="eastAsia"/>
          <w:color w:val="0070C0"/>
          <w:lang w:eastAsia="zh-CN"/>
        </w:rPr>
      </w:pPr>
    </w:p>
    <w:p>
      <w:pPr>
        <w:jc w:val="left"/>
        <w:rPr>
          <w:rFonts w:hint="eastAsia"/>
          <w:color w:val="0070C0"/>
          <w:lang w:eastAsia="zh-CN"/>
        </w:rPr>
      </w:pPr>
    </w:p>
    <w:p>
      <w:pPr>
        <w:jc w:val="left"/>
        <w:rPr>
          <w:rFonts w:hint="eastAsia"/>
          <w:color w:val="0070C0"/>
          <w:lang w:eastAsia="zh-CN"/>
        </w:rPr>
      </w:pPr>
    </w:p>
    <w:p>
      <w:pPr>
        <w:rPr>
          <w:rFonts w:asciiTheme="minorEastAsia" w:hAnsiTheme="minorEastAsia" w:cstheme="minorEastAsia"/>
          <w:szCs w:val="21"/>
        </w:rPr>
      </w:pPr>
      <w:r>
        <w:rPr>
          <w:rFonts w:ascii="黑体" w:hAnsi="黑体" w:eastAsia="黑体" w:cstheme="minorEastAsia"/>
          <w:szCs w:val="21"/>
        </w:rPr>
        <w:t>3</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rPr>
        <w:t>.</w:t>
      </w:r>
      <w:r>
        <w:rPr>
          <w:rFonts w:ascii="黑体" w:hAnsi="黑体" w:eastAsia="黑体" w:cstheme="minorEastAsia"/>
          <w:szCs w:val="21"/>
        </w:rPr>
        <w:t>9</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波纹钢板组合框架结构在多遇地震作用下的结构阻尼比可按表</w:t>
      </w:r>
      <w:r>
        <w:rPr>
          <w:rFonts w:asciiTheme="minorEastAsia" w:hAnsiTheme="minorEastAsia" w:cstheme="minorEastAsia"/>
          <w:szCs w:val="21"/>
        </w:rPr>
        <w:t>3</w:t>
      </w:r>
      <w:r>
        <w:rPr>
          <w:rFonts w:hint="eastAsia" w:asciiTheme="minorEastAsia" w:hAnsiTheme="minorEastAsia" w:cstheme="minorEastAsia"/>
          <w:szCs w:val="21"/>
        </w:rPr>
        <w:t>.</w:t>
      </w:r>
      <w:r>
        <w:rPr>
          <w:rFonts w:asciiTheme="minorEastAsia" w:hAnsiTheme="minorEastAsia" w:cstheme="minorEastAsia"/>
          <w:szCs w:val="21"/>
        </w:rPr>
        <w:t>1</w:t>
      </w:r>
      <w:r>
        <w:rPr>
          <w:rFonts w:hint="eastAsia" w:asciiTheme="minorEastAsia" w:hAnsiTheme="minorEastAsia" w:cstheme="minorEastAsia"/>
          <w:szCs w:val="21"/>
        </w:rPr>
        <w:t>.</w:t>
      </w:r>
      <w:r>
        <w:rPr>
          <w:rFonts w:asciiTheme="minorEastAsia" w:hAnsiTheme="minorEastAsia" w:cstheme="minorEastAsia"/>
          <w:szCs w:val="21"/>
        </w:rPr>
        <w:t>9</w:t>
      </w:r>
      <w:r>
        <w:rPr>
          <w:rFonts w:hint="eastAsia" w:asciiTheme="minorEastAsia" w:hAnsiTheme="minorEastAsia" w:cstheme="minorEastAsia"/>
          <w:szCs w:val="21"/>
        </w:rPr>
        <w:t>取值，在罕遇地震作用下的结构阻尼比可取0.050。风荷载作用下楼层位移验算和构件设计时，阻尼比可取O.02~0.04; 结构舒适度验算时的阻尼比可取O.0l ~0. 02 。</w:t>
      </w:r>
    </w:p>
    <w:p>
      <w:pPr>
        <w:jc w:val="center"/>
        <w:rPr>
          <w:rFonts w:ascii="黑体" w:hAnsi="黑体" w:eastAsia="黑体" w:cstheme="minorEastAsia"/>
          <w:sz w:val="18"/>
          <w:szCs w:val="18"/>
        </w:rPr>
      </w:pPr>
      <w:r>
        <w:rPr>
          <w:rFonts w:hint="eastAsia" w:ascii="黑体" w:hAnsi="黑体" w:eastAsia="黑体" w:cstheme="minorEastAsia"/>
          <w:sz w:val="18"/>
          <w:szCs w:val="18"/>
        </w:rPr>
        <w:t>表</w:t>
      </w:r>
      <w:r>
        <w:rPr>
          <w:rFonts w:ascii="黑体" w:hAnsi="黑体" w:eastAsia="黑体" w:cstheme="minorEastAsia"/>
          <w:sz w:val="18"/>
          <w:szCs w:val="18"/>
        </w:rPr>
        <w:t>3</w:t>
      </w:r>
      <w:r>
        <w:rPr>
          <w:rFonts w:hint="eastAsia" w:ascii="黑体" w:hAnsi="黑体" w:eastAsia="黑体" w:cstheme="minorEastAsia"/>
          <w:sz w:val="18"/>
          <w:szCs w:val="18"/>
        </w:rPr>
        <w:t>.</w:t>
      </w:r>
      <w:r>
        <w:rPr>
          <w:rFonts w:ascii="黑体" w:hAnsi="黑体" w:eastAsia="黑体" w:cstheme="minorEastAsia"/>
          <w:sz w:val="18"/>
          <w:szCs w:val="18"/>
        </w:rPr>
        <w:t>1</w:t>
      </w:r>
      <w:r>
        <w:rPr>
          <w:rFonts w:hint="eastAsia" w:ascii="黑体" w:hAnsi="黑体" w:eastAsia="黑体" w:cstheme="minorEastAsia"/>
          <w:sz w:val="18"/>
          <w:szCs w:val="18"/>
        </w:rPr>
        <w:t>.</w:t>
      </w:r>
      <w:r>
        <w:rPr>
          <w:rFonts w:ascii="黑体" w:hAnsi="黑体" w:eastAsia="黑体" w:cstheme="minorEastAsia"/>
          <w:sz w:val="18"/>
          <w:szCs w:val="18"/>
        </w:rPr>
        <w:t>9</w:t>
      </w:r>
      <w:r>
        <w:rPr>
          <w:rFonts w:hint="eastAsia" w:ascii="黑体" w:hAnsi="黑体" w:eastAsia="黑体" w:cstheme="minorEastAsia"/>
          <w:sz w:val="18"/>
          <w:szCs w:val="18"/>
        </w:rPr>
        <w:t xml:space="preserve"> 多遇地震下波纹钢板组合框架结构阻尼比</w:t>
      </w:r>
    </w:p>
    <w:tbl>
      <w:tblPr>
        <w:tblStyle w:val="23"/>
        <w:tblW w:w="6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166"/>
        <w:gridCol w:w="666"/>
        <w:gridCol w:w="134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7" w:type="dxa"/>
            <w:gridSpan w:val="2"/>
            <w:vMerge w:val="restart"/>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结构类型</w:t>
            </w:r>
          </w:p>
        </w:tc>
        <w:tc>
          <w:tcPr>
            <w:tcW w:w="3048" w:type="dxa"/>
            <w:gridSpan w:val="3"/>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结构高度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7" w:type="dxa"/>
            <w:gridSpan w:val="2"/>
            <w:vMerge w:val="continue"/>
          </w:tcPr>
          <w:p>
            <w:pPr>
              <w:spacing w:line="400" w:lineRule="exact"/>
              <w:jc w:val="center"/>
              <w:rPr>
                <w:rFonts w:asciiTheme="minorEastAsia" w:hAnsiTheme="minorEastAsia" w:cstheme="minorEastAsia"/>
                <w:sz w:val="15"/>
                <w:szCs w:val="15"/>
              </w:rPr>
            </w:pPr>
          </w:p>
        </w:tc>
        <w:tc>
          <w:tcPr>
            <w:tcW w:w="6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H</w:t>
            </w:r>
            <w:r>
              <w:rPr>
                <w:rFonts w:asciiTheme="minorEastAsia" w:hAnsiTheme="minorEastAsia" w:cstheme="minorEastAsia"/>
                <w:sz w:val="15"/>
                <w:szCs w:val="15"/>
              </w:rPr>
              <w:t>≤</w:t>
            </w:r>
            <w:r>
              <w:rPr>
                <w:rFonts w:hint="eastAsia" w:asciiTheme="minorEastAsia" w:hAnsiTheme="minorEastAsia" w:cstheme="minorEastAsia"/>
                <w:sz w:val="15"/>
                <w:szCs w:val="15"/>
              </w:rPr>
              <w:t>50m</w:t>
            </w:r>
          </w:p>
        </w:tc>
        <w:tc>
          <w:tcPr>
            <w:tcW w:w="13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 xml:space="preserve">50m </w:t>
            </w:r>
            <w:r>
              <w:rPr>
                <w:rFonts w:asciiTheme="minorEastAsia" w:hAnsiTheme="minorEastAsia" w:cstheme="minorEastAsia"/>
                <w:sz w:val="15"/>
                <w:szCs w:val="15"/>
              </w:rPr>
              <w:t>&lt;</w:t>
            </w:r>
            <w:r>
              <w:rPr>
                <w:rFonts w:hint="eastAsia" w:asciiTheme="minorEastAsia" w:hAnsiTheme="minorEastAsia" w:cstheme="minorEastAsia"/>
                <w:sz w:val="15"/>
                <w:szCs w:val="15"/>
              </w:rPr>
              <w:t xml:space="preserve"> H </w:t>
            </w:r>
            <w:r>
              <w:rPr>
                <w:rFonts w:asciiTheme="minorEastAsia" w:hAnsiTheme="minorEastAsia" w:cstheme="minorEastAsia"/>
                <w:sz w:val="15"/>
                <w:szCs w:val="15"/>
              </w:rPr>
              <w:t>≤</w:t>
            </w:r>
            <w:r>
              <w:rPr>
                <w:rFonts w:hint="eastAsia" w:asciiTheme="minorEastAsia" w:hAnsiTheme="minorEastAsia" w:cstheme="minorEastAsia"/>
                <w:sz w:val="15"/>
                <w:szCs w:val="15"/>
              </w:rPr>
              <w:t xml:space="preserve"> 100m</w:t>
            </w:r>
          </w:p>
        </w:tc>
        <w:tc>
          <w:tcPr>
            <w:tcW w:w="10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 xml:space="preserve">H </w:t>
            </w:r>
            <w:r>
              <w:rPr>
                <w:rFonts w:asciiTheme="minorEastAsia" w:hAnsiTheme="minorEastAsia" w:cstheme="minorEastAsia"/>
                <w:sz w:val="15"/>
                <w:szCs w:val="15"/>
              </w:rPr>
              <w:t>&gt;</w:t>
            </w:r>
            <w:r>
              <w:rPr>
                <w:rFonts w:hint="eastAsia" w:asciiTheme="minorEastAsia" w:hAnsiTheme="minorEastAsia" w:cstheme="minorEastAsia"/>
                <w:sz w:val="15"/>
                <w:szCs w:val="15"/>
              </w:rPr>
              <w:t xml:space="preserve"> </w:t>
            </w:r>
            <w:r>
              <w:rPr>
                <w:rFonts w:asciiTheme="minorEastAsia" w:hAnsiTheme="minorEastAsia" w:cstheme="minorEastAsia"/>
                <w:sz w:val="15"/>
                <w:szCs w:val="15"/>
              </w:rPr>
              <w:t>10</w:t>
            </w:r>
            <w:r>
              <w:rPr>
                <w:rFonts w:hint="eastAsia" w:asciiTheme="minorEastAsia" w:hAnsiTheme="minorEastAsia" w:cstheme="minorEastAsia"/>
                <w:sz w:val="15"/>
                <w:szCs w:val="15"/>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vMerge w:val="restart"/>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框架</w:t>
            </w:r>
          </w:p>
        </w:tc>
        <w:tc>
          <w:tcPr>
            <w:tcW w:w="21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甲壳柱-甲壳梁（钢梁）</w:t>
            </w:r>
          </w:p>
        </w:tc>
        <w:tc>
          <w:tcPr>
            <w:tcW w:w="6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0.04</w:t>
            </w:r>
            <w:r>
              <w:rPr>
                <w:rFonts w:asciiTheme="minorEastAsia" w:hAnsiTheme="minorEastAsia" w:cstheme="minorEastAsia"/>
                <w:sz w:val="15"/>
                <w:szCs w:val="15"/>
              </w:rPr>
              <w:t>0</w:t>
            </w:r>
          </w:p>
        </w:tc>
        <w:tc>
          <w:tcPr>
            <w:tcW w:w="13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35</w:t>
            </w:r>
          </w:p>
        </w:tc>
        <w:tc>
          <w:tcPr>
            <w:tcW w:w="1041" w:type="dxa"/>
            <w:vMerge w:val="restart"/>
            <w:tcBorders>
              <w:tr2bl w:val="single" w:color="auto" w:sz="4" w:space="0"/>
            </w:tcBorders>
          </w:tcPr>
          <w:p>
            <w:pPr>
              <w:spacing w:line="400" w:lineRule="exact"/>
              <w:rPr>
                <w:rFonts w:asciiTheme="minorEastAsia" w:hAnsiTheme="minorEastAsia" w:cs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vMerge w:val="continue"/>
          </w:tcPr>
          <w:p>
            <w:pPr>
              <w:spacing w:line="400" w:lineRule="exact"/>
              <w:jc w:val="center"/>
              <w:rPr>
                <w:rFonts w:asciiTheme="minorEastAsia" w:hAnsiTheme="minorEastAsia" w:cstheme="minorEastAsia"/>
                <w:sz w:val="15"/>
                <w:szCs w:val="15"/>
              </w:rPr>
            </w:pPr>
          </w:p>
        </w:tc>
        <w:tc>
          <w:tcPr>
            <w:tcW w:w="21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甲壳柱-钢筋混凝土梁</w:t>
            </w:r>
          </w:p>
        </w:tc>
        <w:tc>
          <w:tcPr>
            <w:tcW w:w="6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0.04</w:t>
            </w:r>
            <w:r>
              <w:rPr>
                <w:rFonts w:asciiTheme="minorEastAsia" w:hAnsiTheme="minorEastAsia" w:cstheme="minorEastAsia"/>
                <w:sz w:val="15"/>
                <w:szCs w:val="15"/>
              </w:rPr>
              <w:t>5</w:t>
            </w:r>
          </w:p>
        </w:tc>
        <w:tc>
          <w:tcPr>
            <w:tcW w:w="13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40</w:t>
            </w:r>
          </w:p>
        </w:tc>
        <w:tc>
          <w:tcPr>
            <w:tcW w:w="1041" w:type="dxa"/>
            <w:vMerge w:val="continue"/>
          </w:tcPr>
          <w:p>
            <w:pPr>
              <w:spacing w:line="400" w:lineRule="exact"/>
              <w:jc w:val="center"/>
              <w:rPr>
                <w:rFonts w:asciiTheme="minorEastAsia" w:hAnsiTheme="minorEastAsia" w:cs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91" w:type="dxa"/>
            <w:vMerge w:val="restart"/>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框架-支撑</w:t>
            </w:r>
          </w:p>
        </w:tc>
        <w:tc>
          <w:tcPr>
            <w:tcW w:w="21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甲壳柱-甲壳梁（钢梁）-支撑</w:t>
            </w:r>
          </w:p>
        </w:tc>
        <w:tc>
          <w:tcPr>
            <w:tcW w:w="6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0.04</w:t>
            </w:r>
            <w:r>
              <w:rPr>
                <w:rFonts w:asciiTheme="minorEastAsia" w:hAnsiTheme="minorEastAsia" w:cstheme="minorEastAsia"/>
                <w:sz w:val="15"/>
                <w:szCs w:val="15"/>
              </w:rPr>
              <w:t>0</w:t>
            </w:r>
          </w:p>
        </w:tc>
        <w:tc>
          <w:tcPr>
            <w:tcW w:w="13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35</w:t>
            </w:r>
          </w:p>
        </w:tc>
        <w:tc>
          <w:tcPr>
            <w:tcW w:w="10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30</w:t>
            </w:r>
            <w:r>
              <w:rPr>
                <w:rFonts w:hint="eastAsia" w:asciiTheme="minorEastAsia" w:hAnsiTheme="minorEastAsia" w:cstheme="minorEastAsia"/>
                <w:sz w:val="15"/>
                <w:szCs w:val="15"/>
              </w:rPr>
              <w:t>~0.0</w:t>
            </w:r>
            <w:r>
              <w:rPr>
                <w:rFonts w:asciiTheme="minorEastAsia" w:hAnsiTheme="minorEastAsia" w:cstheme="minorEastAsia"/>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91" w:type="dxa"/>
            <w:vMerge w:val="continue"/>
          </w:tcPr>
          <w:p>
            <w:pPr>
              <w:spacing w:line="400" w:lineRule="exact"/>
              <w:jc w:val="center"/>
              <w:rPr>
                <w:rFonts w:asciiTheme="minorEastAsia" w:hAnsiTheme="minorEastAsia" w:cstheme="minorEastAsia"/>
                <w:sz w:val="15"/>
                <w:szCs w:val="15"/>
              </w:rPr>
            </w:pPr>
          </w:p>
        </w:tc>
        <w:tc>
          <w:tcPr>
            <w:tcW w:w="21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甲壳柱-钢筋混凝土梁</w:t>
            </w:r>
            <w:r>
              <w:rPr>
                <w:rFonts w:asciiTheme="minorEastAsia" w:hAnsiTheme="minorEastAsia" w:cstheme="minorEastAsia"/>
                <w:sz w:val="15"/>
                <w:szCs w:val="15"/>
              </w:rPr>
              <w:t>-</w:t>
            </w:r>
            <w:r>
              <w:rPr>
                <w:rFonts w:hint="eastAsia" w:asciiTheme="minorEastAsia" w:hAnsiTheme="minorEastAsia" w:cstheme="minorEastAsia"/>
                <w:sz w:val="15"/>
                <w:szCs w:val="15"/>
              </w:rPr>
              <w:t>支撑</w:t>
            </w:r>
          </w:p>
        </w:tc>
        <w:tc>
          <w:tcPr>
            <w:tcW w:w="666"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45</w:t>
            </w:r>
          </w:p>
        </w:tc>
        <w:tc>
          <w:tcPr>
            <w:tcW w:w="13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40</w:t>
            </w:r>
          </w:p>
        </w:tc>
        <w:tc>
          <w:tcPr>
            <w:tcW w:w="1041" w:type="dxa"/>
          </w:tcPr>
          <w:p>
            <w:pPr>
              <w:spacing w:line="400" w:lineRule="exact"/>
              <w:jc w:val="center"/>
              <w:rPr>
                <w:rFonts w:asciiTheme="minorEastAsia" w:hAnsiTheme="minorEastAsia" w:cstheme="minorEastAsia"/>
                <w:sz w:val="15"/>
                <w:szCs w:val="15"/>
              </w:rPr>
            </w:pPr>
            <w:r>
              <w:rPr>
                <w:rFonts w:hint="eastAsia" w:asciiTheme="minorEastAsia" w:hAnsiTheme="minorEastAsia" w:cstheme="minorEastAsia"/>
                <w:sz w:val="15"/>
                <w:szCs w:val="15"/>
              </w:rPr>
              <w:t>0.0</w:t>
            </w:r>
            <w:r>
              <w:rPr>
                <w:rFonts w:asciiTheme="minorEastAsia" w:hAnsiTheme="minorEastAsia" w:cstheme="minorEastAsia"/>
                <w:sz w:val="15"/>
                <w:szCs w:val="15"/>
              </w:rPr>
              <w:t>35</w:t>
            </w:r>
            <w:r>
              <w:rPr>
                <w:rFonts w:hint="eastAsia" w:asciiTheme="minorEastAsia" w:hAnsiTheme="minorEastAsia" w:cstheme="minorEastAsia"/>
                <w:sz w:val="15"/>
                <w:szCs w:val="15"/>
              </w:rPr>
              <w:t>~0.0</w:t>
            </w:r>
            <w:r>
              <w:rPr>
                <w:rFonts w:asciiTheme="minorEastAsia" w:hAnsiTheme="minorEastAsia" w:cstheme="minorEastAsia"/>
                <w:sz w:val="15"/>
                <w:szCs w:val="15"/>
              </w:rPr>
              <w:t>25</w:t>
            </w:r>
          </w:p>
        </w:tc>
      </w:tr>
    </w:tbl>
    <w:p>
      <w:pPr>
        <w:ind w:left="300" w:hanging="300" w:hangingChars="200"/>
        <w:jc w:val="left"/>
        <w:rPr>
          <w:rFonts w:hint="eastAsia" w:asciiTheme="minorEastAsia" w:hAnsiTheme="minorEastAsia" w:cstheme="minorEastAsia"/>
          <w:sz w:val="15"/>
          <w:szCs w:val="15"/>
        </w:rPr>
      </w:pPr>
      <w:r>
        <w:rPr>
          <w:rFonts w:hint="eastAsia" w:asciiTheme="minorEastAsia" w:hAnsiTheme="minorEastAsia" w:cstheme="minorEastAsia"/>
          <w:sz w:val="15"/>
          <w:szCs w:val="15"/>
        </w:rPr>
        <w:t>注：当波纹钢板组合框架中设置减震构件时，结构阻尼比为表中阻尼比值与计算得到的附加阻尼比值之和。</w:t>
      </w:r>
    </w:p>
    <w:p>
      <w:pPr>
        <w:ind w:firstLine="420" w:firstLineChars="200"/>
        <w:jc w:val="left"/>
        <w:rPr>
          <w:rFonts w:hint="default" w:asciiTheme="minorEastAsia" w:hAnsiTheme="minorEastAsia" w:eastAsiaTheme="minorEastAsia" w:cstheme="minorEastAsia"/>
          <w:sz w:val="15"/>
          <w:szCs w:val="15"/>
          <w:lang w:val="en-US" w:eastAsia="zh-CN"/>
        </w:rPr>
      </w:pPr>
      <w:r>
        <w:rPr>
          <w:rFonts w:hint="eastAsia"/>
          <w:color w:val="0070C0"/>
        </w:rPr>
        <w:t>条文说明：3.1.</w:t>
      </w:r>
      <w:r>
        <w:rPr>
          <w:rFonts w:hint="eastAsia"/>
          <w:color w:val="0070C0"/>
          <w:lang w:val="en-US" w:eastAsia="zh-CN"/>
        </w:rPr>
        <w:t>9</w:t>
      </w:r>
      <w:r>
        <w:rPr>
          <w:rFonts w:hint="eastAsia"/>
          <w:color w:val="0070C0"/>
        </w:rPr>
        <w:t xml:space="preserve"> </w:t>
      </w:r>
      <w:r>
        <w:rPr>
          <w:rFonts w:hint="eastAsia"/>
          <w:color w:val="0070C0"/>
          <w:lang w:val="en-US" w:eastAsia="zh-CN"/>
        </w:rPr>
        <w:t>结构阻尼比按《钢管混凝土结构技术规范》取值，比《组合结构设计规范》的规定严格。</w:t>
      </w:r>
    </w:p>
    <w:p>
      <w:pPr>
        <w:ind w:left="420" w:hanging="420" w:hangingChars="200"/>
        <w:jc w:val="left"/>
        <w:rPr>
          <w:rFonts w:ascii="黑体" w:hAnsi="黑体" w:eastAsia="黑体" w:cstheme="minorEastAsia"/>
          <w:szCs w:val="21"/>
        </w:rPr>
      </w:pPr>
      <w:r>
        <w:rPr>
          <w:rFonts w:ascii="黑体" w:hAnsi="黑体" w:eastAsia="黑体" w:cstheme="minorEastAsia"/>
          <w:szCs w:val="21"/>
        </w:rPr>
        <w:t>3</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rPr>
        <w:t>.</w:t>
      </w:r>
      <w:r>
        <w:rPr>
          <w:rFonts w:ascii="黑体" w:hAnsi="黑体" w:eastAsia="黑体" w:cstheme="minorEastAsia"/>
          <w:szCs w:val="21"/>
        </w:rPr>
        <w:t>10</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结构的重力二阶效应及结构的整体稳定应符合下列规定：</w:t>
      </w:r>
    </w:p>
    <w:p>
      <w:pPr>
        <w:ind w:left="420" w:leftChars="200"/>
        <w:jc w:val="left"/>
        <w:rPr>
          <w:rFonts w:asciiTheme="minorEastAsia" w:hAnsiTheme="minorEastAsia" w:cstheme="minorEastAsia"/>
          <w:szCs w:val="21"/>
        </w:rPr>
      </w:pPr>
      <w:r>
        <w:rPr>
          <w:rFonts w:hint="eastAsia" w:asciiTheme="minorEastAsia" w:hAnsiTheme="minorEastAsia" w:cstheme="minorEastAsia"/>
          <w:szCs w:val="21"/>
        </w:rPr>
        <w:t>1</w:t>
      </w:r>
      <w:r>
        <w:rPr>
          <w:rFonts w:asciiTheme="minorEastAsia" w:hAnsiTheme="minorEastAsia" w:cstheme="minorEastAsia"/>
          <w:szCs w:val="21"/>
        </w:rPr>
        <w:t xml:space="preserve"> </w:t>
      </w:r>
      <w:r>
        <w:rPr>
          <w:rFonts w:hint="eastAsia" w:asciiTheme="minorEastAsia" w:hAnsiTheme="minorEastAsia" w:cstheme="minorEastAsia"/>
          <w:szCs w:val="21"/>
        </w:rPr>
        <w:t>当结构满足下列规定时，弹性计算分析时可不考虑重力二阶效</w:t>
      </w:r>
    </w:p>
    <w:p>
      <w:pPr>
        <w:jc w:val="left"/>
        <w:rPr>
          <w:rFonts w:asciiTheme="minorEastAsia" w:hAnsiTheme="minorEastAsia" w:cstheme="minorEastAsia"/>
          <w:szCs w:val="21"/>
        </w:rPr>
      </w:pPr>
      <w:r>
        <w:rPr>
          <w:rFonts w:hint="eastAsia" w:asciiTheme="minorEastAsia" w:hAnsiTheme="minorEastAsia" w:cstheme="minorEastAsia"/>
          <w:szCs w:val="21"/>
        </w:rPr>
        <w:t>应的不利影响</w:t>
      </w:r>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hint="eastAsia" w:asciiTheme="minorEastAsia" w:hAnsiTheme="minorEastAsia" w:cstheme="minorEastAsia"/>
          <w:szCs w:val="21"/>
        </w:rPr>
        <w:t>组成的框架结构：</w:t>
      </w:r>
    </w:p>
    <w:p>
      <w:pPr>
        <w:ind w:left="420" w:leftChars="200" w:firstLine="105" w:firstLineChars="50"/>
        <w:jc w:val="left"/>
        <w:rPr>
          <w:rFonts w:asciiTheme="minorEastAsia" w:hAnsiTheme="minorEastAsia" w:cstheme="minorEastAsia"/>
          <w:i/>
          <w:szCs w:val="21"/>
        </w:rPr>
      </w:pPr>
      <m:oMathPara>
        <m:oMath>
          <m:sSub>
            <m:sSubPr>
              <m:ctrlPr>
                <w:rPr>
                  <w:rFonts w:ascii="Cambria Math" w:hAnsi="Cambria Math" w:cstheme="minorEastAsia"/>
                  <w:szCs w:val="21"/>
                </w:rPr>
              </m:ctrlPr>
            </m:sSubPr>
            <m:e>
              <m:r>
                <w:rPr>
                  <w:rFonts w:ascii="Cambria Math" w:hAnsi="Cambria Math" w:cstheme="minorEastAsia"/>
                  <w:szCs w:val="21"/>
                </w:rPr>
                <m:t>D</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szCs w:val="21"/>
                </w:rPr>
              </m:ctrlPr>
            </m:sub>
          </m:sSub>
          <m:r>
            <m:rPr>
              <m:sty m:val="p"/>
            </m:rPr>
            <w:rPr>
              <w:rFonts w:ascii="Cambria Math" w:hAnsi="Cambria Math" w:cstheme="minorEastAsia"/>
              <w:szCs w:val="21"/>
            </w:rPr>
            <m:t>≥20</m:t>
          </m:r>
          <m:nary>
            <m:naryPr>
              <m:chr m:val="∑"/>
              <m:limLoc m:val="undOvr"/>
              <m:ctrlPr>
                <w:rPr>
                  <w:rFonts w:ascii="Cambria Math" w:hAnsi="Cambria Math" w:cstheme="minorEastAsia"/>
                  <w:szCs w:val="21"/>
                </w:rPr>
              </m:ctrlPr>
            </m:naryPr>
            <m:sub>
              <m:r>
                <w:rPr>
                  <w:rFonts w:ascii="Cambria Math" w:hAnsi="Cambria Math" w:cstheme="minorEastAsia"/>
                  <w:szCs w:val="21"/>
                </w:rPr>
                <m:t>j</m:t>
              </m:r>
              <m:r>
                <m:rPr>
                  <m:sty m:val="p"/>
                </m:rPr>
                <w:rPr>
                  <w:rFonts w:ascii="Cambria Math" w:hAnsi="Cambria Math" w:cstheme="minorEastAsia"/>
                  <w:szCs w:val="21"/>
                </w:rPr>
                <m:t>=</m:t>
              </m:r>
              <m:r>
                <w:rPr>
                  <w:rFonts w:ascii="Cambria Math" w:hAnsi="Cambria Math" w:cstheme="minorEastAsia"/>
                  <w:szCs w:val="21"/>
                </w:rPr>
                <m:t>i</m:t>
              </m:r>
              <m:ctrlPr>
                <w:rPr>
                  <w:rFonts w:ascii="Cambria Math" w:hAnsi="Cambria Math" w:cstheme="minorEastAsia"/>
                  <w:szCs w:val="21"/>
                </w:rPr>
              </m:ctrlPr>
            </m:sub>
            <m:sup>
              <m:r>
                <w:rPr>
                  <w:rFonts w:ascii="Cambria Math" w:hAnsi="Cambria Math" w:cstheme="minorEastAsia"/>
                  <w:szCs w:val="21"/>
                </w:rPr>
                <m:t>n</m:t>
              </m:r>
              <m:ctrlPr>
                <w:rPr>
                  <w:rFonts w:ascii="Cambria Math" w:hAnsi="Cambria Math" w:cstheme="minorEastAsia"/>
                  <w:szCs w:val="21"/>
                </w:rPr>
              </m:ctrlPr>
            </m:sup>
            <m:e>
              <m:f>
                <m:fPr>
                  <m:ctrlPr>
                    <w:rPr>
                      <w:rFonts w:ascii="Cambria Math" w:hAnsi="Cambria Math" w:cstheme="minorEastAsia"/>
                      <w:szCs w:val="21"/>
                    </w:rPr>
                  </m:ctrlPr>
                </m:fPr>
                <m:num>
                  <m:sSub>
                    <m:sSubPr>
                      <m:ctrlPr>
                        <w:rPr>
                          <w:rFonts w:ascii="Cambria Math" w:hAnsi="Cambria Math" w:cstheme="minorEastAsia"/>
                          <w:szCs w:val="21"/>
                        </w:rPr>
                      </m:ctrlPr>
                    </m:sSubPr>
                    <m:e>
                      <m:r>
                        <w:rPr>
                          <w:rFonts w:ascii="Cambria Math" w:hAnsi="Cambria Math" w:cstheme="minorEastAsia"/>
                          <w:szCs w:val="21"/>
                        </w:rPr>
                        <m:t>G</m:t>
                      </m:r>
                      <m:ctrlPr>
                        <w:rPr>
                          <w:rFonts w:ascii="Cambria Math" w:hAnsi="Cambria Math" w:cstheme="minorEastAsia"/>
                          <w:szCs w:val="21"/>
                        </w:rPr>
                      </m:ctrlPr>
                    </m:e>
                    <m:sub>
                      <m:r>
                        <w:rPr>
                          <w:rFonts w:hint="eastAsia" w:ascii="Cambria Math" w:hAnsi="Cambria Math" w:cstheme="minorEastAsia"/>
                          <w:szCs w:val="21"/>
                        </w:rPr>
                        <m:t>j</m:t>
                      </m:r>
                      <m:ctrlPr>
                        <w:rPr>
                          <w:rFonts w:ascii="Cambria Math" w:hAnsi="Cambria Math" w:cstheme="minorEastAsia"/>
                          <w:szCs w:val="21"/>
                        </w:rPr>
                      </m:ctrlPr>
                    </m:sub>
                  </m:sSub>
                  <m:ctrlPr>
                    <w:rPr>
                      <w:rFonts w:ascii="Cambria Math" w:hAnsi="Cambria Math" w:cstheme="minorEastAsia"/>
                      <w:szCs w:val="21"/>
                    </w:rPr>
                  </m:ctrlPr>
                </m:num>
                <m:den>
                  <m:sSub>
                    <m:sSubPr>
                      <m:ctrlPr>
                        <w:rPr>
                          <w:rFonts w:ascii="Cambria Math" w:hAnsi="Cambria Math" w:cstheme="minorEastAsia"/>
                          <w:szCs w:val="21"/>
                        </w:rPr>
                      </m:ctrlPr>
                    </m:sSubPr>
                    <m:e>
                      <m:r>
                        <w:rPr>
                          <w:rFonts w:ascii="Cambria Math" w:hAnsi="Cambria Math" w:cstheme="minorEastAsia"/>
                          <w:szCs w:val="21"/>
                        </w:rPr>
                        <m:t>h</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ctrlPr>
                    <w:rPr>
                      <w:rFonts w:ascii="Cambria Math" w:hAnsi="Cambria Math" w:cstheme="minorEastAsia"/>
                      <w:szCs w:val="21"/>
                    </w:rPr>
                  </m:ctrlPr>
                </m:den>
              </m:f>
              <m:ctrlPr>
                <w:rPr>
                  <w:rFonts w:ascii="Cambria Math" w:hAnsi="Cambria Math" w:cstheme="minorEastAsia"/>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m:t>
              </m:r>
              <m:ctrlPr>
                <w:rPr>
                  <w:rFonts w:ascii="Cambria Math" w:hAnsi="Cambria Math" w:cstheme="minorEastAsia"/>
                  <w:szCs w:val="21"/>
                </w:rPr>
              </m:ctrlPr>
            </m:e>
          </m:d>
        </m:oMath>
      </m:oMathPara>
    </w:p>
    <w:p>
      <w:pPr>
        <w:spacing w:line="600" w:lineRule="auto"/>
        <w:ind w:left="420" w:hanging="420" w:hangingChars="200"/>
        <w:jc w:val="left"/>
        <w:rPr>
          <w:rFonts w:asciiTheme="minorEastAsia" w:hAnsiTheme="minorEastAsia" w:cstheme="minorEastAsia"/>
          <w:szCs w:val="21"/>
        </w:rPr>
      </w:pPr>
      <w:r>
        <w:rPr>
          <w:rFonts w:hint="eastAsia" w:asciiTheme="minorEastAsia" w:hAnsiTheme="minorEastAsia" w:cstheme="minorEastAsia"/>
          <w:szCs w:val="21"/>
        </w:rPr>
        <w:t xml:space="preserve"> </w:t>
      </w:r>
      <w:r>
        <w:rPr>
          <w:rFonts w:asciiTheme="minorEastAsia" w:hAnsiTheme="minorEastAsia" w:cstheme="minorEastAsia"/>
          <w:szCs w:val="21"/>
        </w:rPr>
        <w:t xml:space="preserve">     </w:t>
      </w:r>
      <w:r>
        <w:rPr>
          <w:rFonts w:hint="eastAsia" w:asciiTheme="minorEastAsia" w:hAnsiTheme="minorEastAsia" w:cstheme="minorEastAsia"/>
          <w:szCs w:val="21"/>
        </w:rPr>
        <w:t>甲壳柱-钢梁组成的框架结构：</w:t>
      </w:r>
    </w:p>
    <w:p>
      <w:pPr>
        <w:spacing w:line="600" w:lineRule="auto"/>
        <w:ind w:left="420" w:hanging="420" w:hangingChars="200"/>
        <w:jc w:val="left"/>
        <w:rPr>
          <w:rFonts w:asciiTheme="minorEastAsia" w:hAnsiTheme="minorEastAsia" w:cstheme="minorEastAsia"/>
          <w:szCs w:val="21"/>
        </w:rPr>
      </w:pPr>
      <m:oMathPara>
        <m:oMath>
          <m:sSub>
            <m:sSubPr>
              <m:ctrlPr>
                <w:rPr>
                  <w:rFonts w:ascii="Cambria Math" w:hAnsi="Cambria Math" w:cstheme="minorEastAsia"/>
                  <w:szCs w:val="21"/>
                </w:rPr>
              </m:ctrlPr>
            </m:sSubPr>
            <m:e>
              <m:r>
                <w:rPr>
                  <w:rFonts w:ascii="Cambria Math" w:hAnsi="Cambria Math" w:cstheme="minorEastAsia"/>
                  <w:szCs w:val="21"/>
                </w:rPr>
                <m:t>D</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r>
            <m:rPr>
              <m:sty m:val="p"/>
            </m:rPr>
            <w:rPr>
              <w:rFonts w:ascii="Cambria Math" w:hAnsi="Cambria Math" w:cstheme="minorEastAsia"/>
              <w:szCs w:val="21"/>
            </w:rPr>
            <m:t>≥10</m:t>
          </m:r>
          <m:nary>
            <m:naryPr>
              <m:chr m:val="∑"/>
              <m:limLoc m:val="undOvr"/>
              <m:ctrlPr>
                <w:rPr>
                  <w:rFonts w:ascii="Cambria Math" w:hAnsi="Cambria Math" w:cstheme="minorEastAsia"/>
                  <w:szCs w:val="21"/>
                </w:rPr>
              </m:ctrlPr>
            </m:naryPr>
            <m:sub>
              <m:r>
                <w:rPr>
                  <w:rFonts w:ascii="Cambria Math" w:hAnsi="Cambria Math" w:cstheme="minorEastAsia"/>
                  <w:szCs w:val="21"/>
                </w:rPr>
                <m:t>j</m:t>
              </m:r>
              <m:r>
                <m:rPr>
                  <m:sty m:val="p"/>
                </m:rPr>
                <w:rPr>
                  <w:rFonts w:ascii="Cambria Math" w:hAnsi="Cambria Math" w:cstheme="minorEastAsia"/>
                  <w:szCs w:val="21"/>
                </w:rPr>
                <m:t>=</m:t>
              </m:r>
              <m:r>
                <w:rPr>
                  <w:rFonts w:ascii="Cambria Math" w:hAnsi="Cambria Math" w:cstheme="minorEastAsia"/>
                  <w:szCs w:val="21"/>
                </w:rPr>
                <m:t>i</m:t>
              </m:r>
              <m:ctrlPr>
                <w:rPr>
                  <w:rFonts w:ascii="Cambria Math" w:hAnsi="Cambria Math" w:cstheme="minorEastAsia"/>
                  <w:szCs w:val="21"/>
                </w:rPr>
              </m:ctrlPr>
            </m:sub>
            <m:sup>
              <m:r>
                <w:rPr>
                  <w:rFonts w:ascii="Cambria Math" w:hAnsi="Cambria Math" w:cstheme="minorEastAsia"/>
                  <w:szCs w:val="21"/>
                </w:rPr>
                <m:t>n</m:t>
              </m:r>
              <m:ctrlPr>
                <w:rPr>
                  <w:rFonts w:ascii="Cambria Math" w:hAnsi="Cambria Math" w:cstheme="minorEastAsia"/>
                  <w:szCs w:val="21"/>
                </w:rPr>
              </m:ctrlPr>
            </m:sup>
            <m:e>
              <m:f>
                <m:fPr>
                  <m:ctrlPr>
                    <w:rPr>
                      <w:rFonts w:ascii="Cambria Math" w:hAnsi="Cambria Math" w:cstheme="minorEastAsia"/>
                      <w:szCs w:val="21"/>
                    </w:rPr>
                  </m:ctrlPr>
                </m:fPr>
                <m:num>
                  <m:sSub>
                    <m:sSubPr>
                      <m:ctrlPr>
                        <w:rPr>
                          <w:rFonts w:ascii="Cambria Math" w:hAnsi="Cambria Math" w:cstheme="minorEastAsia"/>
                          <w:szCs w:val="21"/>
                        </w:rPr>
                      </m:ctrlPr>
                    </m:sSubPr>
                    <m:e>
                      <m:r>
                        <w:rPr>
                          <w:rFonts w:ascii="Cambria Math" w:hAnsi="Cambria Math" w:cstheme="minorEastAsia"/>
                          <w:szCs w:val="21"/>
                        </w:rPr>
                        <m:t>G</m:t>
                      </m:r>
                      <m:ctrlPr>
                        <w:rPr>
                          <w:rFonts w:ascii="Cambria Math" w:hAnsi="Cambria Math" w:cstheme="minorEastAsia"/>
                          <w:szCs w:val="21"/>
                        </w:rPr>
                      </m:ctrlPr>
                    </m:e>
                    <m:sub>
                      <m:r>
                        <w:rPr>
                          <w:rFonts w:ascii="Cambria Math" w:hAnsi="Cambria Math" w:cstheme="minorEastAsia"/>
                          <w:szCs w:val="21"/>
                        </w:rPr>
                        <m:t>j</m:t>
                      </m:r>
                      <m:ctrlPr>
                        <w:rPr>
                          <w:rFonts w:ascii="Cambria Math" w:hAnsi="Cambria Math" w:cstheme="minorEastAsia"/>
                          <w:szCs w:val="21"/>
                        </w:rPr>
                      </m:ctrlPr>
                    </m:sub>
                  </m:sSub>
                  <m:ctrlPr>
                    <w:rPr>
                      <w:rFonts w:ascii="Cambria Math" w:hAnsi="Cambria Math" w:cstheme="minorEastAsia"/>
                      <w:szCs w:val="21"/>
                    </w:rPr>
                  </m:ctrlPr>
                </m:num>
                <m:den>
                  <m:sSub>
                    <m:sSubPr>
                      <m:ctrlPr>
                        <w:rPr>
                          <w:rFonts w:ascii="Cambria Math" w:hAnsi="Cambria Math" w:cstheme="minorEastAsia"/>
                          <w:szCs w:val="21"/>
                        </w:rPr>
                      </m:ctrlPr>
                    </m:sSubPr>
                    <m:e>
                      <m:r>
                        <w:rPr>
                          <w:rFonts w:ascii="Cambria Math" w:hAnsi="Cambria Math" w:cstheme="minorEastAsia"/>
                          <w:szCs w:val="21"/>
                        </w:rPr>
                        <m:t>h</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ctrlPr>
                    <w:rPr>
                      <w:rFonts w:ascii="Cambria Math" w:hAnsi="Cambria Math" w:cstheme="minorEastAsia"/>
                      <w:szCs w:val="21"/>
                    </w:rPr>
                  </m:ctrlPr>
                </m:den>
              </m:f>
              <m:ctrlPr>
                <w:rPr>
                  <w:rFonts w:ascii="Cambria Math" w:hAnsi="Cambria Math" w:cstheme="minorEastAsia"/>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.1.10-2</m:t>
              </m:r>
              <m:ctrlPr>
                <w:rPr>
                  <w:rFonts w:ascii="Cambria Math" w:hAnsi="Cambria Math" w:cstheme="minorEastAsia"/>
                  <w:szCs w:val="21"/>
                </w:rPr>
              </m:ctrlPr>
            </m:e>
          </m:d>
        </m:oMath>
      </m:oMathPara>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asciiTheme="minorEastAsia" w:hAnsiTheme="minorEastAsia" w:cstheme="minorEastAsia"/>
          <w:szCs w:val="21"/>
        </w:rPr>
        <w:t>-</w:t>
      </w:r>
      <w:r>
        <w:rPr>
          <w:rFonts w:hint="eastAsia" w:asciiTheme="minorEastAsia" w:hAnsiTheme="minorEastAsia" w:cstheme="minorEastAsia"/>
          <w:szCs w:val="21"/>
        </w:rPr>
        <w:t>支撑组成的框架支撑结构：</w:t>
      </w:r>
    </w:p>
    <w:p>
      <w:pPr>
        <w:ind w:left="420" w:leftChars="200" w:firstLine="105" w:firstLineChars="50"/>
        <w:jc w:val="left"/>
        <w:rPr>
          <w:rFonts w:asciiTheme="minorEastAsia" w:hAnsiTheme="minorEastAsia" w:cstheme="minorEastAsia"/>
          <w:i/>
          <w:szCs w:val="21"/>
        </w:rPr>
      </w:pPr>
      <m:oMathPara>
        <m:oMathParaPr>
          <m:jc m:val="center"/>
        </m:oMathParaPr>
        <m:oMath>
          <m:r>
            <w:rPr>
              <w:rFonts w:ascii="Cambria Math" w:hAnsi="Cambria Math" w:cstheme="minorEastAsia"/>
              <w:szCs w:val="21"/>
            </w:rPr>
            <m:t>E</m:t>
          </m:r>
          <m:sSub>
            <m:sSubPr>
              <m:ctrlPr>
                <w:rPr>
                  <w:rFonts w:ascii="Cambria Math" w:hAnsi="Cambria Math" w:cstheme="minorEastAsia"/>
                  <w:i/>
                  <w:szCs w:val="21"/>
                </w:rPr>
              </m:ctrlPr>
            </m:sSubPr>
            <m:e>
              <m:r>
                <w:rPr>
                  <w:rFonts w:ascii="Cambria Math" w:hAnsi="Cambria Math" w:cstheme="minorEastAsia"/>
                  <w:szCs w:val="21"/>
                </w:rPr>
                <m:t>J</m:t>
              </m:r>
              <m:ctrlPr>
                <w:rPr>
                  <w:rFonts w:ascii="Cambria Math" w:hAnsi="Cambria Math" w:cstheme="minorEastAsia"/>
                  <w:i/>
                  <w:szCs w:val="21"/>
                </w:rPr>
              </m:ctrlPr>
            </m:e>
            <m:sub>
              <m:r>
                <w:rPr>
                  <w:rFonts w:hint="eastAsia" w:ascii="Cambria Math" w:hAnsi="Cambria Math" w:cstheme="minorEastAsia"/>
                  <w:szCs w:val="21"/>
                </w:rPr>
                <m:t>d</m:t>
              </m:r>
              <m:ctrlPr>
                <w:rPr>
                  <w:rFonts w:ascii="Cambria Math" w:hAnsi="Cambria Math" w:cstheme="minorEastAsia"/>
                  <w:i/>
                  <w:szCs w:val="21"/>
                </w:rPr>
              </m:ctrlPr>
            </m:sub>
          </m:sSub>
          <m:r>
            <w:rPr>
              <w:rFonts w:ascii="Cambria Math" w:hAnsi="Cambria Math" w:cstheme="minorEastAsia"/>
              <w:szCs w:val="21"/>
            </w:rPr>
            <m:t>≥2.7</m:t>
          </m:r>
          <m:sSup>
            <m:sSupPr>
              <m:ctrlPr>
                <w:rPr>
                  <w:rFonts w:ascii="Cambria Math" w:hAnsi="Cambria Math" w:cstheme="minorEastAsia"/>
                  <w:i/>
                  <w:szCs w:val="21"/>
                </w:rPr>
              </m:ctrlPr>
            </m:sSupPr>
            <m:e>
              <m:r>
                <w:rPr>
                  <w:rFonts w:ascii="Cambria Math" w:hAnsi="Cambria Math" w:cstheme="minorEastAsia"/>
                  <w:szCs w:val="21"/>
                </w:rPr>
                <m:t>H</m:t>
              </m:r>
              <m:ctrlPr>
                <w:rPr>
                  <w:rFonts w:ascii="Cambria Math" w:hAnsi="Cambria Math" w:cstheme="minorEastAsia"/>
                  <w:i/>
                  <w:szCs w:val="21"/>
                </w:rPr>
              </m:ctrlPr>
            </m:e>
            <m:sup>
              <m:r>
                <w:rPr>
                  <w:rFonts w:ascii="Cambria Math" w:hAnsi="Cambria Math" w:cstheme="minorEastAsia"/>
                  <w:szCs w:val="21"/>
                </w:rPr>
                <m:t>2</m:t>
              </m:r>
              <m:ctrlPr>
                <w:rPr>
                  <w:rFonts w:ascii="Cambria Math" w:hAnsi="Cambria Math" w:cstheme="minorEastAsia"/>
                  <w:i/>
                  <w:szCs w:val="21"/>
                </w:rPr>
              </m:ctrlPr>
            </m:sup>
          </m:sSup>
          <m:nary>
            <m:naryPr>
              <m:chr m:val="∑"/>
              <m:limLoc m:val="undOvr"/>
              <m:ctrlPr>
                <w:rPr>
                  <w:rFonts w:ascii="Cambria Math" w:hAnsi="Cambria Math" w:cstheme="minorEastAsia"/>
                  <w:i/>
                  <w:szCs w:val="21"/>
                </w:rPr>
              </m:ctrlPr>
            </m:naryPr>
            <m:sub>
              <m:r>
                <w:rPr>
                  <w:rFonts w:ascii="Cambria Math" w:hAnsi="Cambria Math" w:cstheme="minorEastAsia"/>
                  <w:szCs w:val="21"/>
                </w:rPr>
                <m:t>i=1</m:t>
              </m:r>
              <m:ctrlPr>
                <w:rPr>
                  <w:rFonts w:ascii="Cambria Math" w:hAnsi="Cambria Math" w:cstheme="minorEastAsia"/>
                  <w:i/>
                  <w:szCs w:val="21"/>
                </w:rPr>
              </m:ctrlPr>
            </m:sub>
            <m:sup>
              <m:r>
                <w:rPr>
                  <w:rFonts w:ascii="Cambria Math" w:hAnsi="Cambria Math" w:cstheme="minorEastAsia"/>
                  <w:szCs w:val="21"/>
                </w:rPr>
                <m:t>n</m:t>
              </m:r>
              <m:ctrlPr>
                <w:rPr>
                  <w:rFonts w:ascii="Cambria Math" w:hAnsi="Cambria Math" w:cstheme="minorEastAsia"/>
                  <w:i/>
                  <w:szCs w:val="21"/>
                </w:rPr>
              </m:ctrlPr>
            </m:sup>
            <m:e>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i/>
                      <w:szCs w:val="21"/>
                    </w:rPr>
                  </m:ctrlPr>
                </m:sub>
              </m:sSub>
              <m:ctrlPr>
                <w:rPr>
                  <w:rFonts w:ascii="Cambria Math" w:hAnsi="Cambria Math" w:cstheme="minorEastAsia"/>
                  <w:i/>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m:rPr>
                  <m:sty m:val="p"/>
                </m:rPr>
                <w:rPr>
                  <w:rFonts w:hint="eastAsia" w:ascii="Cambria Math" w:hAnsi="Cambria Math" w:cstheme="minorEastAsia"/>
                  <w:szCs w:val="21"/>
                </w:rPr>
                <m:t>3</m:t>
              </m:r>
              <m:r>
                <m:rPr>
                  <m:sty m:val="p"/>
                </m:rPr>
                <w:rPr>
                  <w:rFonts w:ascii="Cambria Math" w:hAnsi="Cambria Math" w:cstheme="minorEastAsia"/>
                  <w:szCs w:val="21"/>
                </w:rPr>
                <m:t>.1.10-3</m:t>
              </m:r>
              <m:ctrlPr>
                <w:rPr>
                  <w:rFonts w:ascii="Cambria Math" w:hAnsi="Cambria Math" w:cstheme="minorEastAsia"/>
                  <w:szCs w:val="21"/>
                </w:rPr>
              </m:ctrlPr>
            </m:e>
          </m:d>
        </m:oMath>
      </m:oMathPara>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甲壳柱-钢梁</w:t>
      </w:r>
      <w:r>
        <w:rPr>
          <w:rFonts w:asciiTheme="minorEastAsia" w:hAnsiTheme="minorEastAsia" w:cstheme="minorEastAsia"/>
          <w:szCs w:val="21"/>
        </w:rPr>
        <w:t>-</w:t>
      </w:r>
      <w:r>
        <w:rPr>
          <w:rFonts w:hint="eastAsia" w:asciiTheme="minorEastAsia" w:hAnsiTheme="minorEastAsia" w:cstheme="minorEastAsia"/>
          <w:szCs w:val="21"/>
        </w:rPr>
        <w:t>支撑组成的框架支撑结构：</w:t>
      </w:r>
    </w:p>
    <w:p>
      <w:pPr>
        <w:ind w:left="420" w:leftChars="200" w:firstLine="105" w:firstLineChars="50"/>
        <w:jc w:val="left"/>
        <w:rPr>
          <w:rFonts w:asciiTheme="minorEastAsia" w:hAnsiTheme="minorEastAsia" w:cstheme="minorEastAsia"/>
          <w:i/>
          <w:szCs w:val="21"/>
        </w:rPr>
      </w:pPr>
      <m:oMathPara>
        <m:oMath>
          <m:r>
            <w:rPr>
              <w:rFonts w:ascii="Cambria Math" w:hAnsi="Cambria Math" w:cstheme="minorEastAsia"/>
              <w:szCs w:val="21"/>
            </w:rPr>
            <m:t>E</m:t>
          </m:r>
          <m:sSub>
            <m:sSubPr>
              <m:ctrlPr>
                <w:rPr>
                  <w:rFonts w:ascii="Cambria Math" w:hAnsi="Cambria Math" w:cstheme="minorEastAsia"/>
                  <w:i/>
                  <w:szCs w:val="21"/>
                </w:rPr>
              </m:ctrlPr>
            </m:sSubPr>
            <m:e>
              <m:r>
                <w:rPr>
                  <w:rFonts w:ascii="Cambria Math" w:hAnsi="Cambria Math" w:cstheme="minorEastAsia"/>
                  <w:szCs w:val="21"/>
                </w:rPr>
                <m:t>J</m:t>
              </m:r>
              <m:ctrlPr>
                <w:rPr>
                  <w:rFonts w:ascii="Cambria Math" w:hAnsi="Cambria Math" w:cstheme="minorEastAsia"/>
                  <w:i/>
                  <w:szCs w:val="21"/>
                </w:rPr>
              </m:ctrlPr>
            </m:e>
            <m:sub>
              <m:r>
                <w:rPr>
                  <w:rFonts w:hint="eastAsia" w:ascii="Cambria Math" w:hAnsi="Cambria Math" w:cstheme="minorEastAsia"/>
                  <w:szCs w:val="21"/>
                </w:rPr>
                <m:t>d</m:t>
              </m:r>
              <m:ctrlPr>
                <w:rPr>
                  <w:rFonts w:ascii="Cambria Math" w:hAnsi="Cambria Math" w:cstheme="minorEastAsia"/>
                  <w:i/>
                  <w:szCs w:val="21"/>
                </w:rPr>
              </m:ctrlPr>
            </m:sub>
          </m:sSub>
          <m:r>
            <w:rPr>
              <w:rFonts w:ascii="Cambria Math" w:hAnsi="Cambria Math" w:cstheme="minorEastAsia"/>
              <w:szCs w:val="21"/>
            </w:rPr>
            <m:t>≥1.4</m:t>
          </m:r>
          <m:sSup>
            <m:sSupPr>
              <m:ctrlPr>
                <w:rPr>
                  <w:rFonts w:ascii="Cambria Math" w:hAnsi="Cambria Math" w:cstheme="minorEastAsia"/>
                  <w:i/>
                  <w:szCs w:val="21"/>
                </w:rPr>
              </m:ctrlPr>
            </m:sSupPr>
            <m:e>
              <m:r>
                <w:rPr>
                  <w:rFonts w:ascii="Cambria Math" w:hAnsi="Cambria Math" w:cstheme="minorEastAsia"/>
                  <w:szCs w:val="21"/>
                </w:rPr>
                <m:t>H</m:t>
              </m:r>
              <m:ctrlPr>
                <w:rPr>
                  <w:rFonts w:ascii="Cambria Math" w:hAnsi="Cambria Math" w:cstheme="minorEastAsia"/>
                  <w:i/>
                  <w:szCs w:val="21"/>
                </w:rPr>
              </m:ctrlPr>
            </m:e>
            <m:sup>
              <m:r>
                <w:rPr>
                  <w:rFonts w:ascii="Cambria Math" w:hAnsi="Cambria Math" w:cstheme="minorEastAsia"/>
                  <w:szCs w:val="21"/>
                </w:rPr>
                <m:t>2</m:t>
              </m:r>
              <m:ctrlPr>
                <w:rPr>
                  <w:rFonts w:ascii="Cambria Math" w:hAnsi="Cambria Math" w:cstheme="minorEastAsia"/>
                  <w:i/>
                  <w:szCs w:val="21"/>
                </w:rPr>
              </m:ctrlPr>
            </m:sup>
          </m:sSup>
          <m:nary>
            <m:naryPr>
              <m:chr m:val="∑"/>
              <m:limLoc m:val="undOvr"/>
              <m:ctrlPr>
                <w:rPr>
                  <w:rFonts w:ascii="Cambria Math" w:hAnsi="Cambria Math" w:cstheme="minorEastAsia"/>
                  <w:i/>
                  <w:szCs w:val="21"/>
                </w:rPr>
              </m:ctrlPr>
            </m:naryPr>
            <m:sub>
              <m:r>
                <w:rPr>
                  <w:rFonts w:ascii="Cambria Math" w:hAnsi="Cambria Math" w:cstheme="minorEastAsia"/>
                  <w:szCs w:val="21"/>
                </w:rPr>
                <m:t>i=1</m:t>
              </m:r>
              <m:ctrlPr>
                <w:rPr>
                  <w:rFonts w:ascii="Cambria Math" w:hAnsi="Cambria Math" w:cstheme="minorEastAsia"/>
                  <w:i/>
                  <w:szCs w:val="21"/>
                </w:rPr>
              </m:ctrlPr>
            </m:sub>
            <m:sup>
              <m:r>
                <w:rPr>
                  <w:rFonts w:ascii="Cambria Math" w:hAnsi="Cambria Math" w:cstheme="minorEastAsia"/>
                  <w:szCs w:val="21"/>
                </w:rPr>
                <m:t>n</m:t>
              </m:r>
              <m:ctrlPr>
                <w:rPr>
                  <w:rFonts w:ascii="Cambria Math" w:hAnsi="Cambria Math" w:cstheme="minorEastAsia"/>
                  <w:i/>
                  <w:szCs w:val="21"/>
                </w:rPr>
              </m:ctrlPr>
            </m:sup>
            <m:e>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i/>
                      <w:szCs w:val="21"/>
                    </w:rPr>
                  </m:ctrlPr>
                </m:sub>
              </m:sSub>
              <m:ctrlPr>
                <w:rPr>
                  <w:rFonts w:ascii="Cambria Math" w:hAnsi="Cambria Math" w:cstheme="minorEastAsia"/>
                  <w:i/>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m:rPr>
                  <m:sty m:val="p"/>
                </m:rPr>
                <w:rPr>
                  <w:rFonts w:hint="eastAsia" w:ascii="Cambria Math" w:hAnsi="Cambria Math" w:cstheme="minorEastAsia"/>
                  <w:szCs w:val="21"/>
                </w:rPr>
                <m:t>3</m:t>
              </m:r>
              <m:r>
                <m:rPr>
                  <m:sty m:val="p"/>
                </m:rPr>
                <w:rPr>
                  <w:rFonts w:ascii="Cambria Math" w:hAnsi="Cambria Math" w:cstheme="minorEastAsia"/>
                  <w:szCs w:val="21"/>
                </w:rPr>
                <m:t>.1.10-4</m:t>
              </m:r>
              <m:ctrlPr>
                <w:rPr>
                  <w:rFonts w:ascii="Cambria Math" w:hAnsi="Cambria Math" w:cstheme="minorEastAsia"/>
                  <w:szCs w:val="21"/>
                </w:rPr>
              </m:ctrlPr>
            </m:e>
          </m:d>
        </m:oMath>
      </m:oMathPara>
    </w:p>
    <w:p>
      <w:pPr>
        <w:ind w:left="1260" w:hanging="1260" w:hangingChars="600"/>
        <w:jc w:val="left"/>
        <w:rPr>
          <w:rFonts w:asciiTheme="minorEastAsia" w:hAnsiTheme="minorEastAsia" w:cstheme="minorEastAsia"/>
          <w:szCs w:val="21"/>
        </w:rPr>
      </w:pPr>
      <w:r>
        <w:rPr>
          <w:rFonts w:hint="eastAsia" w:asciiTheme="minorEastAsia" w:hAnsiTheme="minorEastAsia" w:cstheme="minorEastAsia"/>
          <w:szCs w:val="21"/>
        </w:rPr>
        <w:t>式中：</w:t>
      </w:r>
      <m:oMath>
        <m:sSub>
          <m:sSubPr>
            <m:ctrlPr>
              <w:rPr>
                <w:rFonts w:ascii="Cambria Math" w:hAnsi="Cambria Math" w:cstheme="minorEastAsia"/>
                <w:szCs w:val="21"/>
              </w:rPr>
            </m:ctrlPr>
          </m:sSubPr>
          <m:e>
            <m:r>
              <w:rPr>
                <w:rFonts w:ascii="Cambria Math" w:hAnsi="Cambria Math" w:cstheme="minorEastAsia"/>
                <w:szCs w:val="21"/>
              </w:rPr>
              <m:t>D</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oMath>
      <w:r>
        <w:rPr>
          <w:rFonts w:hint="eastAsia" w:asciiTheme="minorEastAsia" w:hAnsiTheme="minorEastAsia" w:cstheme="minorEastAsia"/>
          <w:szCs w:val="21"/>
        </w:rPr>
        <w:t>——第</w:t>
      </w:r>
      <m:oMath>
        <m:r>
          <w:rPr>
            <w:rFonts w:ascii="Cambria Math" w:hAnsi="Cambria Math" w:cstheme="minorEastAsia"/>
            <w:szCs w:val="21"/>
          </w:rPr>
          <m:t>i</m:t>
        </m:r>
      </m:oMath>
      <w:r>
        <w:rPr>
          <w:rFonts w:hint="eastAsia" w:asciiTheme="minorEastAsia" w:hAnsiTheme="minorEastAsia" w:cstheme="minorEastAsia"/>
          <w:szCs w:val="21"/>
        </w:rPr>
        <w:t>楼层的弹性等效侧向刚度，可取该层剪力与层间位移的比值；</w:t>
      </w:r>
    </w:p>
    <w:p>
      <w:pPr>
        <w:ind w:left="1365" w:leftChars="300" w:hanging="735" w:hangingChars="350"/>
        <w:jc w:val="left"/>
        <w:rPr>
          <w:rFonts w:asciiTheme="minorEastAsia" w:hAnsiTheme="minorEastAsia" w:cstheme="minorEastAsia"/>
          <w:szCs w:val="21"/>
        </w:rPr>
      </w:pPr>
      <m:oMath>
        <m:r>
          <w:rPr>
            <w:rFonts w:ascii="Cambria Math" w:hAnsi="Cambria Math" w:cstheme="minorEastAsia"/>
            <w:szCs w:val="21"/>
          </w:rPr>
          <m:t>E</m:t>
        </m:r>
        <m:sSub>
          <m:sSubPr>
            <m:ctrlPr>
              <w:rPr>
                <w:rFonts w:ascii="Cambria Math" w:hAnsi="Cambria Math" w:cstheme="minorEastAsia"/>
                <w:i/>
                <w:szCs w:val="21"/>
              </w:rPr>
            </m:ctrlPr>
          </m:sSubPr>
          <m:e>
            <m:r>
              <w:rPr>
                <w:rFonts w:ascii="Cambria Math" w:hAnsi="Cambria Math" w:cstheme="minorEastAsia"/>
                <w:szCs w:val="21"/>
              </w:rPr>
              <m:t>J</m:t>
            </m:r>
            <m:ctrlPr>
              <w:rPr>
                <w:rFonts w:ascii="Cambria Math" w:hAnsi="Cambria Math" w:cstheme="minorEastAsia"/>
                <w:i/>
                <w:szCs w:val="21"/>
              </w:rPr>
            </m:ctrlPr>
          </m:e>
          <m:sub>
            <m:r>
              <w:rPr>
                <w:rFonts w:hint="eastAsia" w:ascii="Cambria Math" w:hAnsi="Cambria Math" w:cstheme="minorEastAsia"/>
                <w:szCs w:val="21"/>
              </w:rPr>
              <m:t>d</m:t>
            </m:r>
            <m:ctrlPr>
              <w:rPr>
                <w:rFonts w:ascii="Cambria Math" w:hAnsi="Cambria Math" w:cstheme="minorEastAsia"/>
                <w:i/>
                <w:szCs w:val="21"/>
              </w:rPr>
            </m:ctrlPr>
          </m:sub>
        </m:sSub>
      </m:oMath>
      <w:r>
        <w:rPr>
          <w:rFonts w:hint="eastAsia" w:asciiTheme="minorEastAsia" w:hAnsiTheme="minorEastAsia" w:cstheme="minorEastAsia"/>
          <w:szCs w:val="21"/>
        </w:rPr>
        <w:t>——结构一个主轴方向的弹性等效侧向刚度，可按倒三角形分布荷载作用下结构顶点位移相等的原则，将结构的侧向刚度折算为竖向悬臂受弯构件的等效侧向刚度；</w:t>
      </w:r>
    </w:p>
    <w:p>
      <w:pPr>
        <w:ind w:firstLine="630" w:firstLineChars="300"/>
        <w:jc w:val="left"/>
        <w:rPr>
          <w:rFonts w:asciiTheme="minorEastAsia" w:hAnsiTheme="minorEastAsia" w:cstheme="minorEastAsia"/>
          <w:szCs w:val="21"/>
        </w:rPr>
      </w:pPr>
      <m:oMath>
        <m:sSub>
          <m:sSubPr>
            <m:ctrlPr>
              <w:rPr>
                <w:rFonts w:ascii="Cambria Math" w:hAnsi="Cambria Math" w:cstheme="minorEastAsia"/>
                <w:szCs w:val="21"/>
              </w:rPr>
            </m:ctrlPr>
          </m:sSubPr>
          <m:e>
            <m:r>
              <w:rPr>
                <w:rFonts w:ascii="Cambria Math" w:hAnsi="Cambria Math" w:cstheme="minorEastAsia"/>
                <w:szCs w:val="21"/>
              </w:rPr>
              <m:t>h</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oMath>
      <w:r>
        <w:rPr>
          <w:rFonts w:hint="eastAsia" w:asciiTheme="minorEastAsia" w:hAnsiTheme="minorEastAsia" w:cstheme="minorEastAsia"/>
          <w:szCs w:val="21"/>
        </w:rPr>
        <w:t>——第</w:t>
      </w:r>
      <m:oMath>
        <m:r>
          <w:rPr>
            <w:rFonts w:ascii="Cambria Math" w:hAnsi="Cambria Math" w:cstheme="minorEastAsia"/>
            <w:szCs w:val="21"/>
          </w:rPr>
          <m:t>i</m:t>
        </m:r>
      </m:oMath>
      <w:r>
        <w:rPr>
          <w:rFonts w:hint="eastAsia" w:asciiTheme="minorEastAsia" w:hAnsiTheme="minorEastAsia" w:cstheme="minorEastAsia"/>
          <w:szCs w:val="21"/>
        </w:rPr>
        <w:t>楼层层高；</w:t>
      </w:r>
    </w:p>
    <w:p>
      <w:pPr>
        <w:ind w:firstLine="630" w:firstLineChars="300"/>
        <w:jc w:val="left"/>
        <w:rPr>
          <w:rFonts w:asciiTheme="minorEastAsia" w:hAnsiTheme="minorEastAsia" w:cstheme="minorEastAsia"/>
          <w:szCs w:val="21"/>
        </w:rPr>
      </w:pPr>
      <m:oMath>
        <m:r>
          <w:rPr>
            <w:rFonts w:ascii="Cambria Math" w:hAnsi="Cambria Math" w:cstheme="minorEastAsia"/>
            <w:szCs w:val="21"/>
          </w:rPr>
          <m:t>n</m:t>
        </m:r>
      </m:oMath>
      <w:r>
        <w:rPr>
          <w:rFonts w:hint="eastAsia" w:asciiTheme="minorEastAsia" w:hAnsiTheme="minorEastAsia" w:cstheme="minorEastAsia"/>
          <w:szCs w:val="21"/>
        </w:rPr>
        <w:t>——结构计算总层数；</w:t>
      </w:r>
    </w:p>
    <w:p>
      <w:pPr>
        <w:ind w:firstLine="630" w:firstLineChars="300"/>
        <w:jc w:val="left"/>
        <w:rPr>
          <w:rFonts w:asciiTheme="minorEastAsia" w:hAnsiTheme="minorEastAsia" w:cstheme="minorEastAsia"/>
          <w:szCs w:val="21"/>
        </w:rPr>
      </w:pPr>
      <m:oMath>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i/>
                <w:szCs w:val="21"/>
              </w:rPr>
            </m:ctrlPr>
          </m:sub>
        </m:sSub>
        <m:r>
          <w:rPr>
            <w:rFonts w:hint="eastAsia" w:ascii="Cambria Math" w:hAnsi="Cambria Math" w:cstheme="minorEastAsia"/>
            <w:szCs w:val="21"/>
          </w:rPr>
          <m:t>、</m:t>
        </m:r>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hint="eastAsia" w:ascii="Cambria Math" w:hAnsi="Cambria Math" w:cstheme="minorEastAsia"/>
                <w:szCs w:val="21"/>
              </w:rPr>
              <m:t>j</m:t>
            </m:r>
            <m:ctrlPr>
              <w:rPr>
                <w:rFonts w:ascii="Cambria Math" w:hAnsi="Cambria Math" w:cstheme="minorEastAsia"/>
                <w:i/>
                <w:szCs w:val="21"/>
              </w:rPr>
            </m:ctrlPr>
          </m:sub>
        </m:sSub>
      </m:oMath>
      <w:r>
        <w:rPr>
          <w:rFonts w:hint="eastAsia" w:asciiTheme="minorEastAsia" w:hAnsiTheme="minorEastAsia" w:cstheme="minorEastAsia"/>
          <w:szCs w:val="21"/>
        </w:rPr>
        <w:t>——分别为第</w:t>
      </w:r>
      <m:oMath>
        <m:r>
          <w:rPr>
            <w:rFonts w:ascii="Cambria Math" w:hAnsi="Cambria Math" w:cstheme="minorEastAsia"/>
            <w:szCs w:val="21"/>
          </w:rPr>
          <m:t>i</m:t>
        </m:r>
        <m:r>
          <w:rPr>
            <w:rFonts w:hint="eastAsia" w:ascii="Cambria Math" w:hAnsi="Cambria Math" w:cstheme="minorEastAsia"/>
            <w:szCs w:val="21"/>
          </w:rPr>
          <m:t>、</m:t>
        </m:r>
        <m:r>
          <w:rPr>
            <w:rFonts w:ascii="Cambria Math" w:hAnsi="Cambria Math" w:cstheme="minorEastAsia"/>
            <w:szCs w:val="21"/>
          </w:rPr>
          <m:t>j</m:t>
        </m:r>
      </m:oMath>
      <w:r>
        <w:rPr>
          <w:rFonts w:hint="eastAsia" w:asciiTheme="minorEastAsia" w:hAnsiTheme="minorEastAsia" w:cstheme="minorEastAsia"/>
          <w:szCs w:val="21"/>
        </w:rPr>
        <w:t>楼层重力荷载设计值；</w:t>
      </w:r>
    </w:p>
    <w:p>
      <w:pPr>
        <w:ind w:firstLine="630" w:firstLineChars="300"/>
        <w:jc w:val="left"/>
        <w:rPr>
          <w:rFonts w:asciiTheme="minorEastAsia" w:hAnsiTheme="minorEastAsia" w:cstheme="minorEastAsia"/>
          <w:szCs w:val="21"/>
        </w:rPr>
      </w:pPr>
      <m:oMath>
        <m:r>
          <w:rPr>
            <w:rFonts w:ascii="Cambria Math" w:hAnsi="Cambria Math" w:cstheme="minorEastAsia"/>
            <w:szCs w:val="21"/>
          </w:rPr>
          <m:t>H</m:t>
        </m:r>
      </m:oMath>
      <w:r>
        <w:rPr>
          <w:rFonts w:hint="eastAsia" w:asciiTheme="minorEastAsia" w:hAnsiTheme="minorEastAsia" w:cstheme="minorEastAsia"/>
          <w:szCs w:val="21"/>
        </w:rPr>
        <w:t>——房屋高度；</w:t>
      </w:r>
    </w:p>
    <w:p>
      <w:pPr>
        <w:ind w:left="420" w:leftChars="200"/>
        <w:jc w:val="left"/>
        <w:rPr>
          <w:rFonts w:asciiTheme="minorEastAsia" w:hAnsiTheme="minorEastAsia" w:cstheme="minorEastAsia"/>
          <w:szCs w:val="21"/>
        </w:rPr>
      </w:pPr>
      <w:r>
        <w:rPr>
          <w:rFonts w:hint="eastAsia" w:asciiTheme="minorEastAsia" w:hAnsiTheme="minorEastAsia" w:cstheme="minorEastAsia"/>
          <w:szCs w:val="21"/>
        </w:rPr>
        <w:t>2</w:t>
      </w:r>
      <w:r>
        <w:rPr>
          <w:rFonts w:asciiTheme="minorEastAsia" w:hAnsiTheme="minorEastAsia" w:cstheme="minorEastAsia"/>
          <w:szCs w:val="21"/>
        </w:rPr>
        <w:t xml:space="preserve"> </w:t>
      </w:r>
      <w:r>
        <w:rPr>
          <w:rFonts w:hint="eastAsia" w:asciiTheme="minorEastAsia" w:hAnsiTheme="minorEastAsia" w:cstheme="minorEastAsia"/>
          <w:szCs w:val="21"/>
        </w:rPr>
        <w:t>当结构不满足上述第1条的规定时，结构弹性计算时应考虑重</w:t>
      </w:r>
    </w:p>
    <w:p>
      <w:pPr>
        <w:jc w:val="left"/>
        <w:rPr>
          <w:rFonts w:asciiTheme="minorEastAsia" w:hAnsiTheme="minorEastAsia" w:cstheme="minorEastAsia"/>
          <w:szCs w:val="21"/>
        </w:rPr>
      </w:pPr>
      <w:r>
        <w:rPr>
          <w:rFonts w:hint="eastAsia" w:asciiTheme="minorEastAsia" w:hAnsiTheme="minorEastAsia" w:cstheme="minorEastAsia"/>
          <w:szCs w:val="21"/>
        </w:rPr>
        <w:t>力二阶效应对水平力作用下结构内力和位移的不利影响。重力二阶效应可采用有限元法进行计算，也可以采用对未考虑二阶效应的计算结果乘以增大系数的方法近似考虑。近似考虑时，结构位移增大系数</w:t>
      </w:r>
      <m:oMath>
        <m:sSub>
          <m:sSubPr>
            <m:ctrlPr>
              <w:rPr>
                <w:rFonts w:ascii="Cambria Math" w:hAnsi="Cambria Math" w:cstheme="minorEastAsia"/>
                <w:szCs w:val="21"/>
              </w:rPr>
            </m:ctrlPr>
          </m:sSubPr>
          <m:e>
            <m:r>
              <w:rPr>
                <w:rFonts w:ascii="Cambria Math" w:hAnsi="Cambria Math" w:cstheme="minorEastAsia"/>
                <w:szCs w:val="21"/>
              </w:rPr>
              <m:t>F</m:t>
            </m:r>
            <m:ctrlPr>
              <w:rPr>
                <w:rFonts w:ascii="Cambria Math" w:hAnsi="Cambria Math" w:cstheme="minorEastAsia"/>
                <w:szCs w:val="21"/>
              </w:rPr>
            </m:ctrlPr>
          </m:e>
          <m:sub>
            <m:r>
              <w:rPr>
                <w:rFonts w:ascii="Cambria Math" w:hAnsi="Cambria Math" w:cstheme="minorEastAsia"/>
                <w:szCs w:val="21"/>
              </w:rPr>
              <m:t>1</m:t>
            </m:r>
            <m:ctrlPr>
              <w:rPr>
                <w:rFonts w:ascii="Cambria Math" w:hAnsi="Cambria Math" w:cstheme="minorEastAsia"/>
                <w:szCs w:val="21"/>
              </w:rPr>
            </m:ctrlPr>
          </m:sub>
        </m:sSub>
      </m:oMath>
      <w:r>
        <w:rPr>
          <w:rFonts w:hint="eastAsia" w:asciiTheme="minorEastAsia" w:hAnsiTheme="minorEastAsia" w:cstheme="minorEastAsia"/>
          <w:szCs w:val="21"/>
        </w:rPr>
        <w:t>、</w:t>
      </w:r>
      <m:oMath>
        <m:sSub>
          <m:sSubPr>
            <m:ctrlPr>
              <w:rPr>
                <w:rFonts w:ascii="Cambria Math" w:hAnsi="Cambria Math" w:cstheme="minorEastAsia"/>
                <w:szCs w:val="21"/>
              </w:rPr>
            </m:ctrlPr>
          </m:sSubPr>
          <m:e>
            <m:r>
              <w:rPr>
                <w:rFonts w:ascii="Cambria Math" w:hAnsi="Cambria Math" w:cstheme="minorEastAsia"/>
                <w:szCs w:val="21"/>
              </w:rPr>
              <m:t>F</m:t>
            </m:r>
            <m:ctrlPr>
              <w:rPr>
                <w:rFonts w:ascii="Cambria Math" w:hAnsi="Cambria Math" w:cstheme="minorEastAsia"/>
                <w:szCs w:val="21"/>
              </w:rPr>
            </m:ctrlPr>
          </m:e>
          <m:sub>
            <m:r>
              <w:rPr>
                <w:rFonts w:ascii="Cambria Math" w:hAnsi="Cambria Math" w:cstheme="minorEastAsia"/>
                <w:szCs w:val="21"/>
              </w:rPr>
              <m:t>1i</m:t>
            </m:r>
            <m:ctrlPr>
              <w:rPr>
                <w:rFonts w:ascii="Cambria Math" w:hAnsi="Cambria Math" w:cstheme="minorEastAsia"/>
                <w:szCs w:val="21"/>
              </w:rPr>
            </m:ctrlPr>
          </m:sub>
        </m:sSub>
      </m:oMath>
      <w:r>
        <w:rPr>
          <w:rFonts w:hint="eastAsia" w:asciiTheme="minorEastAsia" w:hAnsiTheme="minorEastAsia" w:cstheme="minorEastAsia"/>
          <w:szCs w:val="21"/>
        </w:rPr>
        <w:t>以及结构构件弯矩和剪力增大系数</w:t>
      </w:r>
      <m:oMath>
        <m:sSub>
          <m:sSubPr>
            <m:ctrlPr>
              <w:rPr>
                <w:rFonts w:ascii="Cambria Math" w:hAnsi="Cambria Math" w:cstheme="minorEastAsia"/>
                <w:szCs w:val="21"/>
              </w:rPr>
            </m:ctrlPr>
          </m:sSubPr>
          <m:e>
            <m:r>
              <w:rPr>
                <w:rFonts w:ascii="Cambria Math" w:hAnsi="Cambria Math" w:cstheme="minorEastAsia"/>
                <w:szCs w:val="21"/>
              </w:rPr>
              <m:t>F</m:t>
            </m:r>
            <m:ctrlPr>
              <w:rPr>
                <w:rFonts w:ascii="Cambria Math" w:hAnsi="Cambria Math" w:cstheme="minorEastAsia"/>
                <w:szCs w:val="21"/>
              </w:rPr>
            </m:ctrlPr>
          </m:e>
          <m:sub>
            <m:r>
              <w:rPr>
                <w:rFonts w:ascii="Cambria Math" w:hAnsi="Cambria Math" w:cstheme="minorEastAsia"/>
                <w:szCs w:val="21"/>
              </w:rPr>
              <m:t>2</m:t>
            </m:r>
            <m:ctrlPr>
              <w:rPr>
                <w:rFonts w:ascii="Cambria Math" w:hAnsi="Cambria Math" w:cstheme="minorEastAsia"/>
                <w:szCs w:val="21"/>
              </w:rPr>
            </m:ctrlPr>
          </m:sub>
        </m:sSub>
      </m:oMath>
      <w:r>
        <w:rPr>
          <w:rFonts w:hint="eastAsia" w:asciiTheme="minorEastAsia" w:hAnsiTheme="minorEastAsia" w:cstheme="minorEastAsia"/>
          <w:szCs w:val="21"/>
        </w:rPr>
        <w:t>、</w:t>
      </w:r>
      <m:oMath>
        <m:sSub>
          <m:sSubPr>
            <m:ctrlPr>
              <w:rPr>
                <w:rFonts w:ascii="Cambria Math" w:hAnsi="Cambria Math" w:cstheme="minorEastAsia"/>
                <w:szCs w:val="21"/>
              </w:rPr>
            </m:ctrlPr>
          </m:sSubPr>
          <m:e>
            <m:r>
              <w:rPr>
                <w:rFonts w:ascii="Cambria Math" w:hAnsi="Cambria Math" w:cstheme="minorEastAsia"/>
                <w:szCs w:val="21"/>
              </w:rPr>
              <m:t>F</m:t>
            </m:r>
            <m:ctrlPr>
              <w:rPr>
                <w:rFonts w:ascii="Cambria Math" w:hAnsi="Cambria Math" w:cstheme="minorEastAsia"/>
                <w:szCs w:val="21"/>
              </w:rPr>
            </m:ctrlPr>
          </m:e>
          <m:sub>
            <m:r>
              <w:rPr>
                <w:rFonts w:ascii="Cambria Math" w:hAnsi="Cambria Math" w:cstheme="minorEastAsia"/>
                <w:szCs w:val="21"/>
              </w:rPr>
              <m:t>2i</m:t>
            </m:r>
            <m:ctrlPr>
              <w:rPr>
                <w:rFonts w:ascii="Cambria Math" w:hAnsi="Cambria Math" w:cstheme="minorEastAsia"/>
                <w:szCs w:val="21"/>
              </w:rPr>
            </m:ctrlPr>
          </m:sub>
        </m:sSub>
      </m:oMath>
      <w:r>
        <w:rPr>
          <w:rFonts w:hint="eastAsia" w:asciiTheme="minorEastAsia" w:hAnsiTheme="minorEastAsia" w:cstheme="minorEastAsia"/>
          <w:szCs w:val="21"/>
        </w:rPr>
        <w:t>可分别按下列规定计算，位移计算结果仍应满足本规程第3</w:t>
      </w:r>
      <w:r>
        <w:rPr>
          <w:rFonts w:asciiTheme="minorEastAsia" w:hAnsiTheme="minorEastAsia" w:cstheme="minorEastAsia"/>
          <w:szCs w:val="21"/>
        </w:rPr>
        <w:t>.4.1</w:t>
      </w:r>
      <w:r>
        <w:rPr>
          <w:rFonts w:hint="eastAsia" w:asciiTheme="minorEastAsia" w:hAnsiTheme="minorEastAsia" w:cstheme="minorEastAsia"/>
          <w:szCs w:val="21"/>
        </w:rPr>
        <w:t>条的规定。</w:t>
      </w:r>
    </w:p>
    <w:p>
      <w:pPr>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对甲壳柱-甲壳梁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hint="eastAsia" w:asciiTheme="minorEastAsia" w:hAnsiTheme="minorEastAsia" w:cstheme="minorEastAsia"/>
          <w:szCs w:val="21"/>
        </w:rPr>
        <w:t>组成的框架结构，可按下列公式计算</w:t>
      </w:r>
    </w:p>
    <w:p>
      <w:pPr>
        <w:ind w:firstLine="420" w:firstLineChars="200"/>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1</m:t>
              </m:r>
              <m:r>
                <w:rPr>
                  <w:rFonts w:hint="eastAsia" w:ascii="Cambria Math" w:hAnsi="Cambria Math" w:eastAsia="黑体" w:cstheme="minorEastAsia"/>
                  <w:szCs w:val="21"/>
                </w:rPr>
                <m:t>i</m:t>
              </m:r>
              <m:ctrlPr>
                <w:rPr>
                  <w:rFonts w:ascii="Cambria Math" w:hAnsi="Cambria Math" w:eastAsia="黑体" w:cstheme="minorEastAsia"/>
                  <w:i/>
                  <w:szCs w:val="21"/>
                </w:rPr>
              </m:ctrlPr>
            </m:sub>
          </m:sSub>
          <m:r>
            <w:rPr>
              <w:rFonts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m:t>
              </m:r>
              <m:nary>
                <m:naryPr>
                  <m:chr m:val="∑"/>
                  <m:limLoc m:val="undOvr"/>
                  <m:ctrlPr>
                    <w:rPr>
                      <w:rFonts w:ascii="Cambria Math" w:hAnsi="Cambria Math" w:eastAsia="黑体" w:cstheme="minorEastAsia"/>
                      <w:i/>
                      <w:szCs w:val="21"/>
                    </w:rPr>
                  </m:ctrlPr>
                </m:naryPr>
                <m:sub>
                  <m:r>
                    <w:rPr>
                      <w:rFonts w:ascii="Cambria Math" w:hAnsi="Cambria Math" w:eastAsia="黑体" w:cstheme="minorEastAsia"/>
                      <w:szCs w:val="21"/>
                    </w:rPr>
                    <m:t>j=1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j</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D</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sSub>
                        <m:sSubPr>
                          <m:ctrlPr>
                            <w:rPr>
                              <w:rFonts w:ascii="Cambria Math" w:hAnsi="Cambria Math" w:eastAsia="黑体" w:cstheme="minorEastAsia"/>
                              <w:i/>
                              <w:szCs w:val="21"/>
                            </w:rPr>
                          </m:ctrlPr>
                        </m:sSubPr>
                        <m:e>
                          <m:r>
                            <w:rPr>
                              <w:rFonts w:ascii="Cambria Math" w:hAnsi="Cambria Math" w:eastAsia="黑体" w:cstheme="minorEastAsia"/>
                              <w:szCs w:val="21"/>
                            </w:rPr>
                            <m:t>h</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eastAsia="黑体"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eastAsia="黑体"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.1.10-5</m:t>
          </m:r>
          <m:r>
            <m:rPr>
              <m:sty m:val="p"/>
            </m:rPr>
            <w:rPr>
              <w:rFonts w:hint="eastAsia" w:ascii="Cambria Math" w:hAnsi="Cambria Math" w:cstheme="minorEastAsia"/>
              <w:szCs w:val="21"/>
            </w:rPr>
            <m:t>）</m:t>
          </m:r>
          <m:r>
            <w:rPr>
              <w:rFonts w:ascii="Cambria Math" w:hAnsi="Cambria Math" w:eastAsia="黑体" w:cstheme="minorEastAsia"/>
              <w:szCs w:val="21"/>
            </w:rPr>
            <m:t xml:space="preserve"> </m:t>
          </m:r>
        </m:oMath>
      </m:oMathPara>
    </w:p>
    <w:p>
      <w:pPr>
        <w:ind w:firstLine="420" w:firstLineChars="200"/>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2</m:t>
              </m:r>
              <m:r>
                <w:rPr>
                  <w:rFonts w:hint="eastAsia" w:ascii="Cambria Math" w:hAnsi="Cambria Math" w:eastAsia="黑体" w:cstheme="minorEastAsia"/>
                  <w:szCs w:val="21"/>
                </w:rPr>
                <m:t>i</m:t>
              </m:r>
              <m:ctrlPr>
                <w:rPr>
                  <w:rFonts w:ascii="Cambria Math" w:hAnsi="Cambria Math" w:eastAsia="黑体" w:cstheme="minorEastAsia"/>
                  <w:i/>
                  <w:szCs w:val="21"/>
                </w:rPr>
              </m:ctrlPr>
            </m:sub>
          </m:sSub>
          <m:r>
            <w:rPr>
              <w:rFonts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1-2</m:t>
              </m:r>
              <m:nary>
                <m:naryPr>
                  <m:chr m:val="∑"/>
                  <m:limLoc m:val="undOvr"/>
                  <m:ctrlPr>
                    <w:rPr>
                      <w:rFonts w:ascii="Cambria Math" w:hAnsi="Cambria Math" w:eastAsia="黑体" w:cstheme="minorEastAsia"/>
                      <w:i/>
                      <w:szCs w:val="21"/>
                    </w:rPr>
                  </m:ctrlPr>
                </m:naryPr>
                <m:sub>
                  <m:r>
                    <w:rPr>
                      <w:rFonts w:ascii="Cambria Math" w:hAnsi="Cambria Math" w:eastAsia="黑体" w:cstheme="minorEastAsia"/>
                      <w:szCs w:val="21"/>
                    </w:rPr>
                    <m:t>j=1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j</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D</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sSub>
                        <m:sSubPr>
                          <m:ctrlPr>
                            <w:rPr>
                              <w:rFonts w:ascii="Cambria Math" w:hAnsi="Cambria Math" w:eastAsia="黑体" w:cstheme="minorEastAsia"/>
                              <w:i/>
                              <w:szCs w:val="21"/>
                            </w:rPr>
                          </m:ctrlPr>
                        </m:sSubPr>
                        <m:e>
                          <m:r>
                            <w:rPr>
                              <w:rFonts w:ascii="Cambria Math" w:hAnsi="Cambria Math" w:eastAsia="黑体" w:cstheme="minorEastAsia"/>
                              <w:szCs w:val="21"/>
                            </w:rPr>
                            <m:t>h</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eastAsia="黑体"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.1.10-6</m:t>
          </m:r>
          <m:r>
            <m:rPr>
              <m:sty m:val="p"/>
            </m:rPr>
            <w:rPr>
              <w:rFonts w:hint="eastAsia" w:ascii="Cambria Math" w:hAnsi="Cambria Math" w:cstheme="minorEastAsia"/>
              <w:szCs w:val="21"/>
            </w:rPr>
            <m:t>）</m:t>
          </m:r>
        </m:oMath>
      </m:oMathPara>
    </w:p>
    <w:p>
      <w:pPr>
        <w:jc w:val="left"/>
        <w:rPr>
          <w:rFonts w:asciiTheme="minorEastAsia" w:hAnsiTheme="minorEastAsia" w:cstheme="minorEastAsia"/>
          <w:szCs w:val="21"/>
        </w:rPr>
      </w:pPr>
      <w:r>
        <w:rPr>
          <w:rFonts w:hint="eastAsia" w:asciiTheme="minorEastAsia" w:hAnsiTheme="minorEastAsia" w:cstheme="minorEastAsia"/>
          <w:szCs w:val="21"/>
        </w:rPr>
        <w:t xml:space="preserve"> </w:t>
      </w:r>
      <w:r>
        <w:rPr>
          <w:rFonts w:asciiTheme="minorEastAsia" w:hAnsiTheme="minorEastAsia" w:cstheme="minorEastAsia"/>
          <w:szCs w:val="21"/>
        </w:rPr>
        <w:t xml:space="preserve">    </w:t>
      </w:r>
      <w:r>
        <w:rPr>
          <w:rFonts w:hint="eastAsia" w:asciiTheme="minorEastAsia" w:hAnsiTheme="minorEastAsia" w:cstheme="minorEastAsia"/>
          <w:szCs w:val="21"/>
        </w:rPr>
        <w:t>对甲壳柱-钢梁组成的框架结构，可按下列公式计算</w:t>
      </w:r>
    </w:p>
    <w:p>
      <w:pPr>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1</m:t>
              </m:r>
              <m:r>
                <w:rPr>
                  <w:rFonts w:hint="eastAsia" w:ascii="Cambria Math" w:hAnsi="Cambria Math" w:eastAsia="黑体" w:cstheme="minorEastAsia"/>
                  <w:szCs w:val="21"/>
                </w:rPr>
                <m:t>i</m:t>
              </m:r>
              <m:ctrlPr>
                <w:rPr>
                  <w:rFonts w:ascii="Cambria Math" w:hAnsi="Cambria Math" w:eastAsia="黑体" w:cstheme="minorEastAsia"/>
                  <w:i/>
                  <w:szCs w:val="21"/>
                </w:rPr>
              </m:ctrlPr>
            </m:sub>
          </m:sSub>
          <m:r>
            <w:rPr>
              <w:rFonts w:ascii="Cambria Math" w:hAnsi="Cambria Math" w:eastAsia="黑体" w:cstheme="minorEastAsia"/>
              <w:szCs w:val="21"/>
            </w:rPr>
            <m:t>=</m:t>
          </m:r>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2</m:t>
              </m:r>
              <m:r>
                <w:rPr>
                  <w:rFonts w:hint="eastAsia" w:ascii="Cambria Math" w:hAnsi="Cambria Math" w:eastAsia="黑体" w:cstheme="minorEastAsia"/>
                  <w:szCs w:val="21"/>
                </w:rPr>
                <m:t>i</m:t>
              </m:r>
              <m:ctrlPr>
                <w:rPr>
                  <w:rFonts w:ascii="Cambria Math" w:hAnsi="Cambria Math" w:eastAsia="黑体" w:cstheme="minorEastAsia"/>
                  <w:i/>
                  <w:szCs w:val="21"/>
                </w:rPr>
              </m:ctrlPr>
            </m:sub>
          </m:sSub>
          <m:r>
            <w:rPr>
              <w:rFonts w:hint="eastAsia"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m:t>
              </m:r>
              <m:nary>
                <m:naryPr>
                  <m:chr m:val="∑"/>
                  <m:limLoc m:val="undOvr"/>
                  <m:ctrlPr>
                    <w:rPr>
                      <w:rFonts w:ascii="Cambria Math" w:hAnsi="Cambria Math" w:eastAsia="黑体" w:cstheme="minorEastAsia"/>
                      <w:i/>
                      <w:szCs w:val="21"/>
                    </w:rPr>
                  </m:ctrlPr>
                </m:naryPr>
                <m:sub>
                  <m:r>
                    <w:rPr>
                      <w:rFonts w:ascii="Cambria Math" w:hAnsi="Cambria Math" w:eastAsia="黑体" w:cstheme="minorEastAsia"/>
                      <w:szCs w:val="21"/>
                    </w:rPr>
                    <m:t>j=1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j</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D</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sSub>
                        <m:sSubPr>
                          <m:ctrlPr>
                            <w:rPr>
                              <w:rFonts w:ascii="Cambria Math" w:hAnsi="Cambria Math" w:eastAsia="黑体" w:cstheme="minorEastAsia"/>
                              <w:i/>
                              <w:szCs w:val="21"/>
                            </w:rPr>
                          </m:ctrlPr>
                        </m:sSubPr>
                        <m:e>
                          <m:r>
                            <w:rPr>
                              <w:rFonts w:ascii="Cambria Math" w:hAnsi="Cambria Math" w:eastAsia="黑体" w:cstheme="minorEastAsia"/>
                              <w:szCs w:val="21"/>
                            </w:rPr>
                            <m:t>h</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eastAsia="黑体"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.1.10-7</m:t>
          </m:r>
          <m:r>
            <m:rPr>
              <m:sty m:val="p"/>
            </m:rPr>
            <w:rPr>
              <w:rFonts w:hint="eastAsia" w:ascii="Cambria Math" w:hAnsi="Cambria Math" w:cstheme="minorEastAsia"/>
              <w:szCs w:val="21"/>
            </w:rPr>
            <m:t>）</m:t>
          </m:r>
        </m:oMath>
      </m:oMathPara>
    </w:p>
    <w:p>
      <w:pPr>
        <w:ind w:firstLine="630" w:firstLineChars="300"/>
        <w:jc w:val="left"/>
        <w:rPr>
          <w:rFonts w:asciiTheme="minorEastAsia" w:hAnsiTheme="minorEastAsia" w:cstheme="minorEastAsia"/>
          <w:szCs w:val="21"/>
        </w:rPr>
      </w:pPr>
      <w:r>
        <w:rPr>
          <w:rFonts w:hint="eastAsia" w:asciiTheme="minorEastAsia" w:hAnsiTheme="minorEastAsia" w:cstheme="minorEastAsia"/>
          <w:szCs w:val="21"/>
        </w:rPr>
        <w:t>对甲壳柱-甲壳梁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asciiTheme="minorEastAsia" w:hAnsiTheme="minorEastAsia" w:cstheme="minorEastAsia"/>
          <w:szCs w:val="21"/>
        </w:rPr>
        <w:t>-</w:t>
      </w:r>
      <w:r>
        <w:rPr>
          <w:rFonts w:hint="eastAsia" w:asciiTheme="minorEastAsia" w:hAnsiTheme="minorEastAsia" w:cstheme="minorEastAsia"/>
          <w:szCs w:val="21"/>
        </w:rPr>
        <w:t>支撑组成的框架支撑结构，可按下列公式计算</w:t>
      </w:r>
    </w:p>
    <w:p>
      <w:pPr>
        <w:ind w:firstLine="630" w:firstLineChars="300"/>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1</m:t>
              </m:r>
              <m:ctrlPr>
                <w:rPr>
                  <w:rFonts w:ascii="Cambria Math" w:hAnsi="Cambria Math" w:eastAsia="黑体" w:cstheme="minorEastAsia"/>
                  <w:i/>
                  <w:szCs w:val="21"/>
                </w:rPr>
              </m:ctrlPr>
            </m:sub>
          </m:sSub>
          <m:r>
            <w:rPr>
              <w:rFonts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1-0.14</m:t>
              </m:r>
              <m:sSup>
                <m:sSupPr>
                  <m:ctrlPr>
                    <w:rPr>
                      <w:rFonts w:ascii="Cambria Math" w:hAnsi="Cambria Math" w:eastAsia="黑体" w:cstheme="minorEastAsia"/>
                      <w:i/>
                      <w:szCs w:val="21"/>
                    </w:rPr>
                  </m:ctrlPr>
                </m:sSupPr>
                <m:e>
                  <m:r>
                    <w:rPr>
                      <w:rFonts w:ascii="Cambria Math" w:hAnsi="Cambria Math" w:eastAsia="黑体" w:cstheme="minorEastAsia"/>
                      <w:szCs w:val="21"/>
                    </w:rPr>
                    <m:t>H</m:t>
                  </m:r>
                  <m:ctrlPr>
                    <w:rPr>
                      <w:rFonts w:ascii="Cambria Math" w:hAnsi="Cambria Math" w:eastAsia="黑体" w:cstheme="minorEastAsia"/>
                      <w:i/>
                      <w:szCs w:val="21"/>
                    </w:rPr>
                  </m:ctrlPr>
                </m:e>
                <m:sup>
                  <m:r>
                    <w:rPr>
                      <w:rFonts w:ascii="Cambria Math" w:hAnsi="Cambria Math" w:eastAsia="黑体" w:cstheme="minorEastAsia"/>
                      <w:szCs w:val="21"/>
                    </w:rPr>
                    <m:t>2</m:t>
                  </m:r>
                  <m:ctrlPr>
                    <w:rPr>
                      <w:rFonts w:ascii="Cambria Math" w:hAnsi="Cambria Math" w:eastAsia="黑体" w:cstheme="minorEastAsia"/>
                      <w:i/>
                      <w:szCs w:val="21"/>
                    </w:rPr>
                  </m:ctrlPr>
                </m:sup>
              </m:sSup>
              <m:nary>
                <m:naryPr>
                  <m:chr m:val="∑"/>
                  <m:limLoc m:val="undOvr"/>
                  <m:ctrlPr>
                    <w:rPr>
                      <w:rFonts w:ascii="Cambria Math" w:hAnsi="Cambria Math" w:eastAsia="黑体" w:cstheme="minorEastAsia"/>
                      <w:i/>
                      <w:szCs w:val="21"/>
                    </w:rPr>
                  </m:ctrlPr>
                </m:naryPr>
                <m:sub>
                  <m:r>
                    <w:rPr>
                      <w:rFonts w:hint="eastAsia" w:ascii="Cambria Math" w:hAnsi="Cambria Math" w:eastAsia="黑体" w:cstheme="minorEastAsia"/>
                      <w:szCs w:val="21"/>
                    </w:rPr>
                    <m:t>i</m:t>
                  </m:r>
                  <m:r>
                    <w:rPr>
                      <w:rFonts w:ascii="Cambria Math" w:hAnsi="Cambria Math" w:eastAsia="黑体" w:cstheme="minorEastAsia"/>
                      <w:szCs w:val="21"/>
                    </w:rPr>
                    <m:t>=1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EJ</m:t>
                          </m:r>
                          <m:ctrlPr>
                            <w:rPr>
                              <w:rFonts w:ascii="Cambria Math" w:hAnsi="Cambria Math" w:eastAsia="黑体" w:cstheme="minorEastAsia"/>
                              <w:i/>
                              <w:szCs w:val="21"/>
                            </w:rPr>
                          </m:ctrlPr>
                        </m:e>
                        <m:sub>
                          <m:r>
                            <w:rPr>
                              <w:rFonts w:ascii="Cambria Math" w:hAnsi="Cambria Math" w:eastAsia="黑体" w:cstheme="minorEastAsia"/>
                              <w:szCs w:val="21"/>
                            </w:rPr>
                            <m:t>d</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eastAsia="黑体"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.1.10-8</m:t>
          </m:r>
          <m:r>
            <m:rPr>
              <m:sty m:val="p"/>
            </m:rPr>
            <w:rPr>
              <w:rFonts w:hint="eastAsia" w:ascii="Cambria Math" w:hAnsi="Cambria Math" w:cstheme="minorEastAsia"/>
              <w:szCs w:val="21"/>
            </w:rPr>
            <m:t>）</m:t>
          </m:r>
        </m:oMath>
      </m:oMathPara>
    </w:p>
    <w:p>
      <w:pPr>
        <w:ind w:firstLine="630" w:firstLineChars="300"/>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2</m:t>
              </m:r>
              <m:ctrlPr>
                <w:rPr>
                  <w:rFonts w:ascii="Cambria Math" w:hAnsi="Cambria Math" w:eastAsia="黑体" w:cstheme="minorEastAsia"/>
                  <w:i/>
                  <w:szCs w:val="21"/>
                </w:rPr>
              </m:ctrlPr>
            </m:sub>
          </m:sSub>
          <m:r>
            <w:rPr>
              <w:rFonts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1-0.28</m:t>
              </m:r>
              <m:sSup>
                <m:sSupPr>
                  <m:ctrlPr>
                    <w:rPr>
                      <w:rFonts w:ascii="Cambria Math" w:hAnsi="Cambria Math" w:eastAsia="黑体" w:cstheme="minorEastAsia"/>
                      <w:i/>
                      <w:szCs w:val="21"/>
                    </w:rPr>
                  </m:ctrlPr>
                </m:sSupPr>
                <m:e>
                  <m:r>
                    <w:rPr>
                      <w:rFonts w:ascii="Cambria Math" w:hAnsi="Cambria Math" w:eastAsia="黑体" w:cstheme="minorEastAsia"/>
                      <w:szCs w:val="21"/>
                    </w:rPr>
                    <m:t>H</m:t>
                  </m:r>
                  <m:ctrlPr>
                    <w:rPr>
                      <w:rFonts w:ascii="Cambria Math" w:hAnsi="Cambria Math" w:eastAsia="黑体" w:cstheme="minorEastAsia"/>
                      <w:i/>
                      <w:szCs w:val="21"/>
                    </w:rPr>
                  </m:ctrlPr>
                </m:e>
                <m:sup>
                  <m:r>
                    <w:rPr>
                      <w:rFonts w:ascii="Cambria Math" w:hAnsi="Cambria Math" w:eastAsia="黑体" w:cstheme="minorEastAsia"/>
                      <w:szCs w:val="21"/>
                    </w:rPr>
                    <m:t>2</m:t>
                  </m:r>
                  <m:ctrlPr>
                    <w:rPr>
                      <w:rFonts w:ascii="Cambria Math" w:hAnsi="Cambria Math" w:eastAsia="黑体" w:cstheme="minorEastAsia"/>
                      <w:i/>
                      <w:szCs w:val="21"/>
                    </w:rPr>
                  </m:ctrlPr>
                </m:sup>
              </m:sSup>
              <m:nary>
                <m:naryPr>
                  <m:chr m:val="∑"/>
                  <m:limLoc m:val="undOvr"/>
                  <m:ctrlPr>
                    <w:rPr>
                      <w:rFonts w:ascii="Cambria Math" w:hAnsi="Cambria Math" w:eastAsia="黑体" w:cstheme="minorEastAsia"/>
                      <w:i/>
                      <w:szCs w:val="21"/>
                    </w:rPr>
                  </m:ctrlPr>
                </m:naryPr>
                <m:sub>
                  <m:r>
                    <w:rPr>
                      <w:rFonts w:hint="eastAsia" w:ascii="Cambria Math" w:hAnsi="Cambria Math" w:eastAsia="黑体" w:cstheme="minorEastAsia"/>
                      <w:szCs w:val="21"/>
                    </w:rPr>
                    <m:t>i</m:t>
                  </m:r>
                  <m:r>
                    <w:rPr>
                      <w:rFonts w:ascii="Cambria Math" w:hAnsi="Cambria Math" w:eastAsia="黑体" w:cstheme="minorEastAsia"/>
                      <w:szCs w:val="21"/>
                    </w:rPr>
                    <m:t>=1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EJ</m:t>
                          </m:r>
                          <m:ctrlPr>
                            <w:rPr>
                              <w:rFonts w:ascii="Cambria Math" w:hAnsi="Cambria Math" w:eastAsia="黑体" w:cstheme="minorEastAsia"/>
                              <w:i/>
                              <w:szCs w:val="21"/>
                            </w:rPr>
                          </m:ctrlPr>
                        </m:e>
                        <m:sub>
                          <m:r>
                            <w:rPr>
                              <w:rFonts w:ascii="Cambria Math" w:hAnsi="Cambria Math" w:eastAsia="黑体" w:cstheme="minorEastAsia"/>
                              <w:szCs w:val="21"/>
                            </w:rPr>
                            <m:t>d</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eastAsia="黑体"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.1.10-9</m:t>
          </m:r>
          <m:r>
            <m:rPr>
              <m:sty m:val="p"/>
            </m:rPr>
            <w:rPr>
              <w:rFonts w:hint="eastAsia" w:ascii="Cambria Math" w:hAnsi="Cambria Math" w:cstheme="minorEastAsia"/>
              <w:szCs w:val="21"/>
            </w:rPr>
            <m:t>）</m:t>
          </m:r>
          <m:r>
            <w:rPr>
              <w:rFonts w:ascii="Cambria Math" w:hAnsi="Cambria Math" w:eastAsia="黑体" w:cstheme="minorEastAsia"/>
              <w:szCs w:val="21"/>
            </w:rPr>
            <m:t xml:space="preserve"> </m:t>
          </m:r>
        </m:oMath>
      </m:oMathPara>
    </w:p>
    <w:p>
      <w:pPr>
        <w:jc w:val="left"/>
        <w:rPr>
          <w:rFonts w:asciiTheme="minorEastAsia" w:hAnsiTheme="minorEastAsia" w:cstheme="minorEastAsia"/>
          <w:szCs w:val="21"/>
        </w:rPr>
      </w:pPr>
      <w:r>
        <w:rPr>
          <w:rFonts w:hint="eastAsia" w:asciiTheme="minorEastAsia" w:hAnsiTheme="minorEastAsia" w:cstheme="minorEastAsia"/>
          <w:szCs w:val="21"/>
        </w:rPr>
        <w:t>甲壳柱-钢梁</w:t>
      </w:r>
      <w:r>
        <w:rPr>
          <w:rFonts w:asciiTheme="minorEastAsia" w:hAnsiTheme="minorEastAsia" w:cstheme="minorEastAsia"/>
          <w:szCs w:val="21"/>
        </w:rPr>
        <w:t>-</w:t>
      </w:r>
      <w:r>
        <w:rPr>
          <w:rFonts w:hint="eastAsia" w:asciiTheme="minorEastAsia" w:hAnsiTheme="minorEastAsia" w:cstheme="minorEastAsia"/>
          <w:szCs w:val="21"/>
        </w:rPr>
        <w:t>支撑组成的框架支撑结构，可按下列公式计算</w:t>
      </w:r>
    </w:p>
    <w:p>
      <w:pPr>
        <w:jc w:val="left"/>
        <w:rPr>
          <w:rFonts w:asciiTheme="minorEastAsia" w:hAnsiTheme="minorEastAsia" w:cstheme="minorEastAsia"/>
          <w:szCs w:val="21"/>
        </w:rPr>
      </w:pPr>
      <m:oMathPara>
        <m:oMath>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1</m:t>
              </m:r>
              <m:ctrlPr>
                <w:rPr>
                  <w:rFonts w:ascii="Cambria Math" w:hAnsi="Cambria Math" w:eastAsia="黑体" w:cstheme="minorEastAsia"/>
                  <w:i/>
                  <w:szCs w:val="21"/>
                </w:rPr>
              </m:ctrlPr>
            </m:sub>
          </m:sSub>
          <m:r>
            <w:rPr>
              <w:rFonts w:ascii="Cambria Math" w:hAnsi="Cambria Math" w:eastAsia="黑体" w:cstheme="minorEastAsia"/>
              <w:szCs w:val="21"/>
            </w:rPr>
            <m:t>=</m:t>
          </m:r>
          <m:sSub>
            <m:sSubPr>
              <m:ctrlPr>
                <w:rPr>
                  <w:rFonts w:ascii="Cambria Math" w:hAnsi="Cambria Math" w:eastAsia="黑体" w:cstheme="minorEastAsia"/>
                  <w:i/>
                  <w:szCs w:val="21"/>
                </w:rPr>
              </m:ctrlPr>
            </m:sSubPr>
            <m:e>
              <m:r>
                <w:rPr>
                  <w:rFonts w:ascii="Cambria Math" w:hAnsi="Cambria Math" w:eastAsia="黑体" w:cstheme="minorEastAsia"/>
                  <w:szCs w:val="21"/>
                </w:rPr>
                <m:t>F</m:t>
              </m:r>
              <m:ctrlPr>
                <w:rPr>
                  <w:rFonts w:ascii="Cambria Math" w:hAnsi="Cambria Math" w:eastAsia="黑体" w:cstheme="minorEastAsia"/>
                  <w:i/>
                  <w:szCs w:val="21"/>
                </w:rPr>
              </m:ctrlPr>
            </m:e>
            <m:sub>
              <m:r>
                <w:rPr>
                  <w:rFonts w:ascii="Cambria Math" w:hAnsi="Cambria Math" w:eastAsia="黑体" w:cstheme="minorEastAsia"/>
                  <w:szCs w:val="21"/>
                </w:rPr>
                <m:t>2</m:t>
              </m:r>
              <m:ctrlPr>
                <w:rPr>
                  <w:rFonts w:ascii="Cambria Math" w:hAnsi="Cambria Math" w:eastAsia="黑体" w:cstheme="minorEastAsia"/>
                  <w:i/>
                  <w:szCs w:val="21"/>
                </w:rPr>
              </m:ctrlPr>
            </m:sub>
          </m:sSub>
          <m:r>
            <w:rPr>
              <w:rFonts w:hint="eastAsia" w:ascii="Cambria Math" w:hAnsi="Cambria Math" w:eastAsia="黑体" w:cstheme="minorEastAsia"/>
              <w:szCs w:val="21"/>
            </w:rPr>
            <m:t>=</m:t>
          </m:r>
          <m:f>
            <m:fPr>
              <m:ctrlPr>
                <w:rPr>
                  <w:rFonts w:ascii="Cambria Math" w:hAnsi="Cambria Math" w:eastAsia="黑体" w:cstheme="minorEastAsia"/>
                  <w:i/>
                  <w:szCs w:val="21"/>
                </w:rPr>
              </m:ctrlPr>
            </m:fPr>
            <m:num>
              <m:r>
                <w:rPr>
                  <w:rFonts w:ascii="Cambria Math" w:hAnsi="Cambria Math" w:eastAsia="黑体" w:cstheme="minorEastAsia"/>
                  <w:szCs w:val="21"/>
                </w:rPr>
                <m:t>1</m:t>
              </m:r>
              <m:ctrlPr>
                <w:rPr>
                  <w:rFonts w:ascii="Cambria Math" w:hAnsi="Cambria Math" w:eastAsia="黑体" w:cstheme="minorEastAsia"/>
                  <w:i/>
                  <w:szCs w:val="21"/>
                </w:rPr>
              </m:ctrlPr>
            </m:num>
            <m:den>
              <m:r>
                <w:rPr>
                  <w:rFonts w:ascii="Cambria Math" w:hAnsi="Cambria Math" w:eastAsia="黑体" w:cstheme="minorEastAsia"/>
                  <w:szCs w:val="21"/>
                </w:rPr>
                <m:t>1-0.14</m:t>
              </m:r>
              <m:sSup>
                <m:sSupPr>
                  <m:ctrlPr>
                    <w:rPr>
                      <w:rFonts w:ascii="Cambria Math" w:hAnsi="Cambria Math" w:eastAsia="黑体" w:cstheme="minorEastAsia"/>
                      <w:i/>
                      <w:szCs w:val="21"/>
                    </w:rPr>
                  </m:ctrlPr>
                </m:sSupPr>
                <m:e>
                  <m:r>
                    <w:rPr>
                      <w:rFonts w:ascii="Cambria Math" w:hAnsi="Cambria Math" w:eastAsia="黑体" w:cstheme="minorEastAsia"/>
                      <w:szCs w:val="21"/>
                    </w:rPr>
                    <m:t>H</m:t>
                  </m:r>
                  <m:ctrlPr>
                    <w:rPr>
                      <w:rFonts w:ascii="Cambria Math" w:hAnsi="Cambria Math" w:eastAsia="黑体" w:cstheme="minorEastAsia"/>
                      <w:i/>
                      <w:szCs w:val="21"/>
                    </w:rPr>
                  </m:ctrlPr>
                </m:e>
                <m:sup>
                  <m:r>
                    <w:rPr>
                      <w:rFonts w:ascii="Cambria Math" w:hAnsi="Cambria Math" w:eastAsia="黑体" w:cstheme="minorEastAsia"/>
                      <w:szCs w:val="21"/>
                    </w:rPr>
                    <m:t>2</m:t>
                  </m:r>
                  <m:ctrlPr>
                    <w:rPr>
                      <w:rFonts w:ascii="Cambria Math" w:hAnsi="Cambria Math" w:eastAsia="黑体" w:cstheme="minorEastAsia"/>
                      <w:i/>
                      <w:szCs w:val="21"/>
                    </w:rPr>
                  </m:ctrlPr>
                </m:sup>
              </m:sSup>
              <m:nary>
                <m:naryPr>
                  <m:chr m:val="∑"/>
                  <m:limLoc m:val="undOvr"/>
                  <m:ctrlPr>
                    <w:rPr>
                      <w:rFonts w:ascii="Cambria Math" w:hAnsi="Cambria Math" w:eastAsia="黑体" w:cstheme="minorEastAsia"/>
                      <w:i/>
                      <w:szCs w:val="21"/>
                    </w:rPr>
                  </m:ctrlPr>
                </m:naryPr>
                <m:sub>
                  <m:r>
                    <w:rPr>
                      <w:rFonts w:hint="eastAsia" w:ascii="Cambria Math" w:hAnsi="Cambria Math" w:eastAsia="黑体" w:cstheme="minorEastAsia"/>
                      <w:szCs w:val="21"/>
                    </w:rPr>
                    <m:t>i</m:t>
                  </m:r>
                  <m:r>
                    <w:rPr>
                      <w:rFonts w:ascii="Cambria Math" w:hAnsi="Cambria Math" w:eastAsia="黑体" w:cstheme="minorEastAsia"/>
                      <w:szCs w:val="21"/>
                    </w:rPr>
                    <m:t>=1</m:t>
                  </m:r>
                  <m:ctrlPr>
                    <w:rPr>
                      <w:rFonts w:ascii="Cambria Math" w:hAnsi="Cambria Math" w:eastAsia="黑体" w:cstheme="minorEastAsia"/>
                      <w:i/>
                      <w:szCs w:val="21"/>
                    </w:rPr>
                  </m:ctrlPr>
                </m:sub>
                <m:sup>
                  <m:r>
                    <w:rPr>
                      <w:rFonts w:ascii="Cambria Math" w:hAnsi="Cambria Math" w:eastAsia="黑体" w:cstheme="minorEastAsia"/>
                      <w:szCs w:val="21"/>
                    </w:rPr>
                    <m:t>n</m:t>
                  </m:r>
                  <m:ctrlPr>
                    <w:rPr>
                      <w:rFonts w:ascii="Cambria Math" w:hAnsi="Cambria Math" w:eastAsia="黑体" w:cstheme="minorEastAsia"/>
                      <w:i/>
                      <w:szCs w:val="21"/>
                    </w:rPr>
                  </m:ctrlPr>
                </m:sup>
                <m:e>
                  <m:f>
                    <m:fPr>
                      <m:ctrlPr>
                        <w:rPr>
                          <w:rFonts w:ascii="Cambria Math" w:hAnsi="Cambria Math" w:eastAsia="黑体" w:cstheme="minorEastAsia"/>
                          <w:i/>
                          <w:szCs w:val="21"/>
                        </w:rPr>
                      </m:ctrlPr>
                    </m:fPr>
                    <m:num>
                      <m:sSub>
                        <m:sSubPr>
                          <m:ctrlPr>
                            <w:rPr>
                              <w:rFonts w:ascii="Cambria Math" w:hAnsi="Cambria Math" w:eastAsia="黑体" w:cstheme="minorEastAsia"/>
                              <w:i/>
                              <w:szCs w:val="21"/>
                            </w:rPr>
                          </m:ctrlPr>
                        </m:sSubPr>
                        <m:e>
                          <m:r>
                            <w:rPr>
                              <w:rFonts w:ascii="Cambria Math" w:hAnsi="Cambria Math" w:eastAsia="黑体" w:cstheme="minorEastAsia"/>
                              <w:szCs w:val="21"/>
                            </w:rPr>
                            <m:t>G</m:t>
                          </m:r>
                          <m:ctrlPr>
                            <w:rPr>
                              <w:rFonts w:ascii="Cambria Math" w:hAnsi="Cambria Math" w:eastAsia="黑体" w:cstheme="minorEastAsia"/>
                              <w:i/>
                              <w:szCs w:val="21"/>
                            </w:rPr>
                          </m:ctrlPr>
                        </m:e>
                        <m:sub>
                          <m:r>
                            <w:rPr>
                              <w:rFonts w:ascii="Cambria Math" w:hAnsi="Cambria Math" w:eastAsia="黑体" w:cstheme="minorEastAsia"/>
                              <w:szCs w:val="21"/>
                            </w:rPr>
                            <m:t>i</m:t>
                          </m:r>
                          <m:ctrlPr>
                            <w:rPr>
                              <w:rFonts w:ascii="Cambria Math" w:hAnsi="Cambria Math" w:eastAsia="黑体" w:cstheme="minorEastAsia"/>
                              <w:i/>
                              <w:szCs w:val="21"/>
                            </w:rPr>
                          </m:ctrlPr>
                        </m:sub>
                      </m:sSub>
                      <m:ctrlPr>
                        <w:rPr>
                          <w:rFonts w:ascii="Cambria Math" w:hAnsi="Cambria Math" w:eastAsia="黑体" w:cstheme="minorEastAsia"/>
                          <w:i/>
                          <w:szCs w:val="21"/>
                        </w:rPr>
                      </m:ctrlPr>
                    </m:num>
                    <m:den>
                      <m:sSub>
                        <m:sSubPr>
                          <m:ctrlPr>
                            <w:rPr>
                              <w:rFonts w:ascii="Cambria Math" w:hAnsi="Cambria Math" w:eastAsia="黑体" w:cstheme="minorEastAsia"/>
                              <w:i/>
                              <w:szCs w:val="21"/>
                            </w:rPr>
                          </m:ctrlPr>
                        </m:sSubPr>
                        <m:e>
                          <m:r>
                            <w:rPr>
                              <w:rFonts w:ascii="Cambria Math" w:hAnsi="Cambria Math" w:eastAsia="黑体" w:cstheme="minorEastAsia"/>
                              <w:szCs w:val="21"/>
                            </w:rPr>
                            <m:t>EJ</m:t>
                          </m:r>
                          <m:ctrlPr>
                            <w:rPr>
                              <w:rFonts w:ascii="Cambria Math" w:hAnsi="Cambria Math" w:eastAsia="黑体" w:cstheme="minorEastAsia"/>
                              <w:i/>
                              <w:szCs w:val="21"/>
                            </w:rPr>
                          </m:ctrlPr>
                        </m:e>
                        <m:sub>
                          <m:r>
                            <w:rPr>
                              <w:rFonts w:ascii="Cambria Math" w:hAnsi="Cambria Math" w:eastAsia="黑体" w:cstheme="minorEastAsia"/>
                              <w:szCs w:val="21"/>
                            </w:rPr>
                            <m:t>d</m:t>
                          </m:r>
                          <m:ctrlPr>
                            <w:rPr>
                              <w:rFonts w:ascii="Cambria Math" w:hAnsi="Cambria Math" w:eastAsia="黑体" w:cstheme="minorEastAsia"/>
                              <w:i/>
                              <w:szCs w:val="21"/>
                            </w:rPr>
                          </m:ctrlPr>
                        </m:sub>
                      </m:sSub>
                      <m:ctrlPr>
                        <w:rPr>
                          <w:rFonts w:ascii="Cambria Math" w:hAnsi="Cambria Math" w:eastAsia="黑体" w:cstheme="minorEastAsia"/>
                          <w:i/>
                          <w:szCs w:val="21"/>
                        </w:rPr>
                      </m:ctrlPr>
                    </m:den>
                  </m:f>
                  <m:ctrlPr>
                    <w:rPr>
                      <w:rFonts w:ascii="Cambria Math" w:hAnsi="Cambria Math" w:eastAsia="黑体" w:cstheme="minorEastAsia"/>
                      <w:i/>
                      <w:szCs w:val="21"/>
                    </w:rPr>
                  </m:ctrlPr>
                </m:e>
              </m:nary>
              <m:ctrlPr>
                <w:rPr>
                  <w:rFonts w:ascii="Cambria Math" w:hAnsi="Cambria Math" w:eastAsia="黑体" w:cstheme="minorEastAsia"/>
                  <w:i/>
                  <w:szCs w:val="21"/>
                </w:rPr>
              </m:ctrlPr>
            </m:den>
          </m:f>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.1.10-10</m:t>
          </m:r>
          <m:r>
            <m:rPr>
              <m:sty m:val="p"/>
            </m:rPr>
            <w:rPr>
              <w:rFonts w:hint="eastAsia" w:ascii="Cambria Math" w:hAnsi="Cambria Math" w:cstheme="minorEastAsia"/>
              <w:szCs w:val="21"/>
            </w:rPr>
            <m:t>）</m:t>
          </m:r>
        </m:oMath>
      </m:oMathPara>
    </w:p>
    <w:p>
      <w:pPr>
        <w:jc w:val="left"/>
        <w:rPr>
          <w:rFonts w:ascii="黑体" w:hAnsi="黑体" w:eastAsia="黑体" w:cstheme="minorEastAsia"/>
          <w:szCs w:val="21"/>
        </w:rPr>
      </w:pPr>
    </w:p>
    <w:p>
      <w:pPr>
        <w:ind w:left="420" w:hanging="420" w:hangingChars="200"/>
        <w:jc w:val="left"/>
        <w:rPr>
          <w:rFonts w:asciiTheme="minorEastAsia" w:hAnsiTheme="minorEastAsia" w:cstheme="minorEastAsia"/>
          <w:szCs w:val="21"/>
        </w:rPr>
      </w:pPr>
      <w:r>
        <w:rPr>
          <w:rFonts w:hint="eastAsia" w:asciiTheme="minorEastAsia" w:hAnsiTheme="minorEastAsia" w:cstheme="minorEastAsia"/>
          <w:szCs w:val="21"/>
        </w:rPr>
        <w:t>3</w:t>
      </w:r>
      <w:r>
        <w:rPr>
          <w:rFonts w:asciiTheme="minorEastAsia" w:hAnsiTheme="minorEastAsia" w:cstheme="minorEastAsia"/>
          <w:szCs w:val="21"/>
        </w:rPr>
        <w:t xml:space="preserve"> </w:t>
      </w:r>
      <w:r>
        <w:rPr>
          <w:rFonts w:hint="eastAsia" w:asciiTheme="minorEastAsia" w:hAnsiTheme="minorEastAsia" w:cstheme="minorEastAsia"/>
          <w:szCs w:val="21"/>
        </w:rPr>
        <w:t>结构的整体稳定性应符合下列规定：</w:t>
      </w:r>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hint="eastAsia" w:asciiTheme="minorEastAsia" w:hAnsiTheme="minorEastAsia" w:cstheme="minorEastAsia"/>
          <w:szCs w:val="21"/>
        </w:rPr>
        <w:t>组成的框架结构：</w:t>
      </w:r>
    </w:p>
    <w:p>
      <w:pPr>
        <w:ind w:left="420" w:leftChars="200" w:firstLine="105" w:firstLineChars="50"/>
        <w:jc w:val="left"/>
        <w:rPr>
          <w:rFonts w:asciiTheme="minorEastAsia" w:hAnsiTheme="minorEastAsia" w:cstheme="minorEastAsia"/>
          <w:szCs w:val="21"/>
        </w:rPr>
      </w:pPr>
      <m:oMathPara>
        <m:oMath>
          <m:sSub>
            <m:sSubPr>
              <m:ctrlPr>
                <w:rPr>
                  <w:rFonts w:ascii="Cambria Math" w:hAnsi="Cambria Math" w:cstheme="minorEastAsia"/>
                  <w:szCs w:val="21"/>
                </w:rPr>
              </m:ctrlPr>
            </m:sSubPr>
            <m:e>
              <m:r>
                <w:rPr>
                  <w:rFonts w:ascii="Cambria Math" w:hAnsi="Cambria Math" w:cstheme="minorEastAsia"/>
                  <w:szCs w:val="21"/>
                </w:rPr>
                <m:t>D</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r>
            <m:rPr>
              <m:sty m:val="p"/>
            </m:rPr>
            <w:rPr>
              <w:rFonts w:ascii="Cambria Math" w:hAnsi="Cambria Math" w:cstheme="minorEastAsia"/>
              <w:szCs w:val="21"/>
            </w:rPr>
            <m:t>≥10</m:t>
          </m:r>
          <m:nary>
            <m:naryPr>
              <m:chr m:val="∑"/>
              <m:limLoc m:val="undOvr"/>
              <m:ctrlPr>
                <w:rPr>
                  <w:rFonts w:ascii="Cambria Math" w:hAnsi="Cambria Math" w:cstheme="minorEastAsia"/>
                  <w:szCs w:val="21"/>
                </w:rPr>
              </m:ctrlPr>
            </m:naryPr>
            <m:sub>
              <m:r>
                <w:rPr>
                  <w:rFonts w:ascii="Cambria Math" w:hAnsi="Cambria Math" w:cstheme="minorEastAsia"/>
                  <w:szCs w:val="21"/>
                </w:rPr>
                <m:t>j</m:t>
              </m:r>
              <m:r>
                <m:rPr>
                  <m:sty m:val="p"/>
                </m:rPr>
                <w:rPr>
                  <w:rFonts w:ascii="Cambria Math" w:hAnsi="Cambria Math" w:cstheme="minorEastAsia"/>
                  <w:szCs w:val="21"/>
                </w:rPr>
                <m:t>=</m:t>
              </m:r>
              <m:r>
                <w:rPr>
                  <w:rFonts w:ascii="Cambria Math" w:hAnsi="Cambria Math" w:cstheme="minorEastAsia"/>
                  <w:szCs w:val="21"/>
                </w:rPr>
                <m:t>i</m:t>
              </m:r>
              <m:ctrlPr>
                <w:rPr>
                  <w:rFonts w:ascii="Cambria Math" w:hAnsi="Cambria Math" w:cstheme="minorEastAsia"/>
                  <w:szCs w:val="21"/>
                </w:rPr>
              </m:ctrlPr>
            </m:sub>
            <m:sup>
              <m:r>
                <w:rPr>
                  <w:rFonts w:ascii="Cambria Math" w:hAnsi="Cambria Math" w:cstheme="minorEastAsia"/>
                  <w:szCs w:val="21"/>
                </w:rPr>
                <m:t>n</m:t>
              </m:r>
              <m:ctrlPr>
                <w:rPr>
                  <w:rFonts w:ascii="Cambria Math" w:hAnsi="Cambria Math" w:cstheme="minorEastAsia"/>
                  <w:szCs w:val="21"/>
                </w:rPr>
              </m:ctrlPr>
            </m:sup>
            <m:e>
              <m:f>
                <m:fPr>
                  <m:ctrlPr>
                    <w:rPr>
                      <w:rFonts w:ascii="Cambria Math" w:hAnsi="Cambria Math" w:cstheme="minorEastAsia"/>
                      <w:szCs w:val="21"/>
                    </w:rPr>
                  </m:ctrlPr>
                </m:fPr>
                <m:num>
                  <m:sSub>
                    <m:sSubPr>
                      <m:ctrlPr>
                        <w:rPr>
                          <w:rFonts w:ascii="Cambria Math" w:hAnsi="Cambria Math" w:cstheme="minorEastAsia"/>
                          <w:szCs w:val="21"/>
                        </w:rPr>
                      </m:ctrlPr>
                    </m:sSubPr>
                    <m:e>
                      <m:r>
                        <w:rPr>
                          <w:rFonts w:ascii="Cambria Math" w:hAnsi="Cambria Math" w:cstheme="minorEastAsia"/>
                          <w:szCs w:val="21"/>
                        </w:rPr>
                        <m:t>G</m:t>
                      </m:r>
                      <m:ctrlPr>
                        <w:rPr>
                          <w:rFonts w:ascii="Cambria Math" w:hAnsi="Cambria Math" w:cstheme="minorEastAsia"/>
                          <w:szCs w:val="21"/>
                        </w:rPr>
                      </m:ctrlPr>
                    </m:e>
                    <m:sub>
                      <m:r>
                        <w:rPr>
                          <w:rFonts w:ascii="Cambria Math" w:hAnsi="Cambria Math" w:cstheme="minorEastAsia"/>
                          <w:szCs w:val="21"/>
                        </w:rPr>
                        <m:t>j</m:t>
                      </m:r>
                      <m:ctrlPr>
                        <w:rPr>
                          <w:rFonts w:ascii="Cambria Math" w:hAnsi="Cambria Math" w:cstheme="minorEastAsia"/>
                          <w:szCs w:val="21"/>
                        </w:rPr>
                      </m:ctrlPr>
                    </m:sub>
                  </m:sSub>
                  <m:ctrlPr>
                    <w:rPr>
                      <w:rFonts w:ascii="Cambria Math" w:hAnsi="Cambria Math" w:cstheme="minorEastAsia"/>
                      <w:szCs w:val="21"/>
                    </w:rPr>
                  </m:ctrlPr>
                </m:num>
                <m:den>
                  <m:sSub>
                    <m:sSubPr>
                      <m:ctrlPr>
                        <w:rPr>
                          <w:rFonts w:ascii="Cambria Math" w:hAnsi="Cambria Math" w:cstheme="minorEastAsia"/>
                          <w:szCs w:val="21"/>
                        </w:rPr>
                      </m:ctrlPr>
                    </m:sSubPr>
                    <m:e>
                      <m:r>
                        <w:rPr>
                          <w:rFonts w:ascii="Cambria Math" w:hAnsi="Cambria Math" w:cstheme="minorEastAsia"/>
                          <w:szCs w:val="21"/>
                        </w:rPr>
                        <m:t>h</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ctrlPr>
                    <w:rPr>
                      <w:rFonts w:ascii="Cambria Math" w:hAnsi="Cambria Math" w:cstheme="minorEastAsia"/>
                      <w:szCs w:val="21"/>
                    </w:rPr>
                  </m:ctrlPr>
                </m:den>
              </m:f>
              <m:ctrlPr>
                <w:rPr>
                  <w:rFonts w:ascii="Cambria Math" w:hAnsi="Cambria Math" w:cstheme="minorEastAsia"/>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.1.10-11</m:t>
          </m:r>
          <m:r>
            <m:rPr>
              <m:sty m:val="p"/>
            </m:rPr>
            <w:rPr>
              <w:rFonts w:hint="eastAsia" w:ascii="Cambria Math" w:hAnsi="Cambria Math" w:cstheme="minorEastAsia"/>
              <w:szCs w:val="21"/>
            </w:rPr>
            <m:t>）</m:t>
          </m:r>
          <m:r>
            <w:rPr>
              <w:rFonts w:ascii="Cambria Math" w:hAnsi="Cambria Math" w:cstheme="minorEastAsia"/>
              <w:szCs w:val="21"/>
            </w:rPr>
            <m:t xml:space="preserve"> </m:t>
          </m:r>
        </m:oMath>
      </m:oMathPara>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甲壳柱-钢梁组成的框架结构：</w:t>
      </w:r>
    </w:p>
    <w:p>
      <w:pPr>
        <w:ind w:left="420" w:leftChars="200" w:firstLine="105" w:firstLineChars="50"/>
        <w:jc w:val="left"/>
        <w:rPr>
          <w:rFonts w:asciiTheme="minorEastAsia" w:hAnsiTheme="minorEastAsia" w:cstheme="minorEastAsia"/>
          <w:szCs w:val="21"/>
        </w:rPr>
      </w:pPr>
      <m:oMathPara>
        <m:oMath>
          <m:sSub>
            <m:sSubPr>
              <m:ctrlPr>
                <w:rPr>
                  <w:rFonts w:ascii="Cambria Math" w:hAnsi="Cambria Math" w:cstheme="minorEastAsia"/>
                  <w:szCs w:val="21"/>
                </w:rPr>
              </m:ctrlPr>
            </m:sSubPr>
            <m:e>
              <m:r>
                <w:rPr>
                  <w:rFonts w:ascii="Cambria Math" w:hAnsi="Cambria Math" w:cstheme="minorEastAsia"/>
                  <w:szCs w:val="21"/>
                </w:rPr>
                <m:t>D</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r>
            <m:rPr>
              <m:sty m:val="p"/>
            </m:rPr>
            <w:rPr>
              <w:rFonts w:ascii="Cambria Math" w:hAnsi="Cambria Math" w:cstheme="minorEastAsia"/>
              <w:szCs w:val="21"/>
            </w:rPr>
            <m:t>≥5</m:t>
          </m:r>
          <m:nary>
            <m:naryPr>
              <m:chr m:val="∑"/>
              <m:limLoc m:val="undOvr"/>
              <m:ctrlPr>
                <w:rPr>
                  <w:rFonts w:ascii="Cambria Math" w:hAnsi="Cambria Math" w:cstheme="minorEastAsia"/>
                  <w:szCs w:val="21"/>
                </w:rPr>
              </m:ctrlPr>
            </m:naryPr>
            <m:sub>
              <m:r>
                <w:rPr>
                  <w:rFonts w:ascii="Cambria Math" w:hAnsi="Cambria Math" w:cstheme="minorEastAsia"/>
                  <w:szCs w:val="21"/>
                </w:rPr>
                <m:t>j</m:t>
              </m:r>
              <m:r>
                <m:rPr>
                  <m:sty m:val="p"/>
                </m:rPr>
                <w:rPr>
                  <w:rFonts w:ascii="Cambria Math" w:hAnsi="Cambria Math" w:cstheme="minorEastAsia"/>
                  <w:szCs w:val="21"/>
                </w:rPr>
                <m:t>=</m:t>
              </m:r>
              <m:r>
                <w:rPr>
                  <w:rFonts w:ascii="Cambria Math" w:hAnsi="Cambria Math" w:cstheme="minorEastAsia"/>
                  <w:szCs w:val="21"/>
                </w:rPr>
                <m:t>i</m:t>
              </m:r>
              <m:ctrlPr>
                <w:rPr>
                  <w:rFonts w:ascii="Cambria Math" w:hAnsi="Cambria Math" w:cstheme="minorEastAsia"/>
                  <w:szCs w:val="21"/>
                </w:rPr>
              </m:ctrlPr>
            </m:sub>
            <m:sup>
              <m:r>
                <w:rPr>
                  <w:rFonts w:ascii="Cambria Math" w:hAnsi="Cambria Math" w:cstheme="minorEastAsia"/>
                  <w:szCs w:val="21"/>
                </w:rPr>
                <m:t>n</m:t>
              </m:r>
              <m:ctrlPr>
                <w:rPr>
                  <w:rFonts w:ascii="Cambria Math" w:hAnsi="Cambria Math" w:cstheme="minorEastAsia"/>
                  <w:szCs w:val="21"/>
                </w:rPr>
              </m:ctrlPr>
            </m:sup>
            <m:e>
              <m:f>
                <m:fPr>
                  <m:ctrlPr>
                    <w:rPr>
                      <w:rFonts w:ascii="Cambria Math" w:hAnsi="Cambria Math" w:cstheme="minorEastAsia"/>
                      <w:szCs w:val="21"/>
                    </w:rPr>
                  </m:ctrlPr>
                </m:fPr>
                <m:num>
                  <m:sSub>
                    <m:sSubPr>
                      <m:ctrlPr>
                        <w:rPr>
                          <w:rFonts w:ascii="Cambria Math" w:hAnsi="Cambria Math" w:cstheme="minorEastAsia"/>
                          <w:szCs w:val="21"/>
                        </w:rPr>
                      </m:ctrlPr>
                    </m:sSubPr>
                    <m:e>
                      <m:r>
                        <w:rPr>
                          <w:rFonts w:ascii="Cambria Math" w:hAnsi="Cambria Math" w:cstheme="minorEastAsia"/>
                          <w:szCs w:val="21"/>
                        </w:rPr>
                        <m:t>G</m:t>
                      </m:r>
                      <m:ctrlPr>
                        <w:rPr>
                          <w:rFonts w:ascii="Cambria Math" w:hAnsi="Cambria Math" w:cstheme="minorEastAsia"/>
                          <w:szCs w:val="21"/>
                        </w:rPr>
                      </m:ctrlPr>
                    </m:e>
                    <m:sub>
                      <m:r>
                        <w:rPr>
                          <w:rFonts w:ascii="Cambria Math" w:hAnsi="Cambria Math" w:cstheme="minorEastAsia"/>
                          <w:szCs w:val="21"/>
                        </w:rPr>
                        <m:t>j</m:t>
                      </m:r>
                      <m:ctrlPr>
                        <w:rPr>
                          <w:rFonts w:ascii="Cambria Math" w:hAnsi="Cambria Math" w:cstheme="minorEastAsia"/>
                          <w:szCs w:val="21"/>
                        </w:rPr>
                      </m:ctrlPr>
                    </m:sub>
                  </m:sSub>
                  <m:ctrlPr>
                    <w:rPr>
                      <w:rFonts w:ascii="Cambria Math" w:hAnsi="Cambria Math" w:cstheme="minorEastAsia"/>
                      <w:szCs w:val="21"/>
                    </w:rPr>
                  </m:ctrlPr>
                </m:num>
                <m:den>
                  <m:sSub>
                    <m:sSubPr>
                      <m:ctrlPr>
                        <w:rPr>
                          <w:rFonts w:ascii="Cambria Math" w:hAnsi="Cambria Math" w:cstheme="minorEastAsia"/>
                          <w:szCs w:val="21"/>
                        </w:rPr>
                      </m:ctrlPr>
                    </m:sSubPr>
                    <m:e>
                      <m:r>
                        <w:rPr>
                          <w:rFonts w:ascii="Cambria Math" w:hAnsi="Cambria Math" w:cstheme="minorEastAsia"/>
                          <w:szCs w:val="21"/>
                        </w:rPr>
                        <m:t>h</m:t>
                      </m:r>
                      <m:ctrlPr>
                        <w:rPr>
                          <w:rFonts w:ascii="Cambria Math" w:hAnsi="Cambria Math" w:cstheme="minorEastAsia"/>
                          <w:szCs w:val="21"/>
                        </w:rPr>
                      </m:ctrlPr>
                    </m:e>
                    <m:sub>
                      <m:r>
                        <w:rPr>
                          <w:rFonts w:ascii="Cambria Math" w:hAnsi="Cambria Math" w:cstheme="minorEastAsia"/>
                          <w:szCs w:val="21"/>
                        </w:rPr>
                        <m:t>i</m:t>
                      </m:r>
                      <m:ctrlPr>
                        <w:rPr>
                          <w:rFonts w:ascii="Cambria Math" w:hAnsi="Cambria Math" w:cstheme="minorEastAsia"/>
                          <w:szCs w:val="21"/>
                        </w:rPr>
                      </m:ctrlPr>
                    </m:sub>
                  </m:sSub>
                  <m:ctrlPr>
                    <w:rPr>
                      <w:rFonts w:ascii="Cambria Math" w:hAnsi="Cambria Math" w:cstheme="minorEastAsia"/>
                      <w:szCs w:val="21"/>
                    </w:rPr>
                  </m:ctrlPr>
                </m:den>
              </m:f>
              <m:ctrlPr>
                <w:rPr>
                  <w:rFonts w:ascii="Cambria Math" w:hAnsi="Cambria Math" w:cstheme="minorEastAsia"/>
                  <w:szCs w:val="21"/>
                </w:rPr>
              </m:ctrlPr>
            </m:e>
          </m:nary>
          <m:r>
            <w:rPr>
              <w:rFonts w:ascii="Cambria Math" w:hAnsi="Cambria Math" w:cstheme="minorEastAsia"/>
              <w:szCs w:val="21"/>
            </w:rPr>
            <m:t xml:space="preserve">      </m:t>
          </m:r>
          <m:d>
            <m:dPr>
              <m:ctrlPr>
                <w:rPr>
                  <w:rFonts w:ascii="Cambria Math" w:hAnsi="Cambria Math" w:cstheme="minorEastAsia"/>
                  <w:szCs w:val="21"/>
                </w:rPr>
              </m:ctrlPr>
            </m:dPr>
            <m:e>
              <m:r>
                <w:rPr>
                  <w:rFonts w:ascii="Cambria Math" w:hAnsi="Cambria Math" w:cstheme="minorEastAsia"/>
                  <w:szCs w:val="21"/>
                </w:rPr>
                <m:t>i</m:t>
              </m:r>
              <m:r>
                <m:rPr>
                  <m:sty m:val="p"/>
                </m:rPr>
                <w:rPr>
                  <w:rFonts w:ascii="Cambria Math" w:hAnsi="Cambria Math" w:cstheme="minorEastAsia"/>
                  <w:szCs w:val="21"/>
                </w:rPr>
                <m:t>=1,2,3…,</m:t>
              </m:r>
              <m:r>
                <w:rPr>
                  <w:rFonts w:ascii="Cambria Math" w:hAnsi="Cambria Math" w:cstheme="minorEastAsia"/>
                  <w:szCs w:val="21"/>
                </w:rPr>
                <m:t>n</m:t>
              </m:r>
              <m:ctrlPr>
                <w:rPr>
                  <w:rFonts w:ascii="Cambria Math" w:hAnsi="Cambria Math" w:cstheme="minorEastAsia"/>
                  <w:szCs w:val="21"/>
                </w:rPr>
              </m:ctrlPr>
            </m:e>
          </m:d>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.1.10-12</m:t>
          </m:r>
          <m:r>
            <m:rPr>
              <m:sty m:val="p"/>
            </m:rPr>
            <w:rPr>
              <w:rFonts w:hint="eastAsia" w:ascii="Cambria Math" w:hAnsi="Cambria Math" w:cstheme="minorEastAsia"/>
              <w:szCs w:val="21"/>
            </w:rPr>
            <m:t>）</m:t>
          </m:r>
        </m:oMath>
      </m:oMathPara>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甲壳柱-甲壳梁</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钢筋混凝土梁</w:t>
      </w:r>
      <w:r>
        <w:rPr>
          <w:rFonts w:hint="eastAsia" w:asciiTheme="minorEastAsia" w:hAnsiTheme="minorEastAsia" w:cstheme="minorEastAsia"/>
          <w:szCs w:val="21"/>
          <w:lang w:eastAsia="zh-CN"/>
        </w:rPr>
        <w:t>）</w:t>
      </w:r>
      <w:r>
        <w:rPr>
          <w:rFonts w:asciiTheme="minorEastAsia" w:hAnsiTheme="minorEastAsia" w:cstheme="minorEastAsia"/>
          <w:szCs w:val="21"/>
        </w:rPr>
        <w:t>-</w:t>
      </w:r>
      <w:r>
        <w:rPr>
          <w:rFonts w:hint="eastAsia" w:asciiTheme="minorEastAsia" w:hAnsiTheme="minorEastAsia" w:cstheme="minorEastAsia"/>
          <w:szCs w:val="21"/>
        </w:rPr>
        <w:t>支撑组成的框架支撑结构：</w:t>
      </w:r>
    </w:p>
    <w:p>
      <w:pPr>
        <w:ind w:left="420" w:leftChars="200" w:firstLine="105" w:firstLineChars="50"/>
        <w:jc w:val="left"/>
        <w:rPr>
          <w:rFonts w:asciiTheme="minorEastAsia" w:hAnsiTheme="minorEastAsia" w:cstheme="minorEastAsia"/>
          <w:szCs w:val="21"/>
        </w:rPr>
      </w:pPr>
      <m:oMathPara>
        <m:oMath>
          <m:r>
            <w:rPr>
              <w:rFonts w:ascii="Cambria Math" w:hAnsi="Cambria Math" w:cstheme="minorEastAsia"/>
              <w:szCs w:val="21"/>
            </w:rPr>
            <m:t>E</m:t>
          </m:r>
          <m:sSub>
            <m:sSubPr>
              <m:ctrlPr>
                <w:rPr>
                  <w:rFonts w:ascii="Cambria Math" w:hAnsi="Cambria Math" w:cstheme="minorEastAsia"/>
                  <w:i/>
                  <w:szCs w:val="21"/>
                </w:rPr>
              </m:ctrlPr>
            </m:sSubPr>
            <m:e>
              <m:r>
                <w:rPr>
                  <w:rFonts w:ascii="Cambria Math" w:hAnsi="Cambria Math" w:cstheme="minorEastAsia"/>
                  <w:szCs w:val="21"/>
                </w:rPr>
                <m:t>J</m:t>
              </m:r>
              <m:ctrlPr>
                <w:rPr>
                  <w:rFonts w:ascii="Cambria Math" w:hAnsi="Cambria Math" w:cstheme="minorEastAsia"/>
                  <w:i/>
                  <w:szCs w:val="21"/>
                </w:rPr>
              </m:ctrlPr>
            </m:e>
            <m:sub>
              <m:r>
                <w:rPr>
                  <w:rFonts w:hint="eastAsia" w:ascii="Cambria Math" w:hAnsi="Cambria Math" w:cstheme="minorEastAsia"/>
                  <w:szCs w:val="21"/>
                </w:rPr>
                <m:t>d</m:t>
              </m:r>
              <m:ctrlPr>
                <w:rPr>
                  <w:rFonts w:ascii="Cambria Math" w:hAnsi="Cambria Math" w:cstheme="minorEastAsia"/>
                  <w:i/>
                  <w:szCs w:val="21"/>
                </w:rPr>
              </m:ctrlPr>
            </m:sub>
          </m:sSub>
          <m:r>
            <w:rPr>
              <w:rFonts w:ascii="Cambria Math" w:hAnsi="Cambria Math" w:cstheme="minorEastAsia"/>
              <w:szCs w:val="21"/>
            </w:rPr>
            <m:t>≥1.4</m:t>
          </m:r>
          <m:sSup>
            <m:sSupPr>
              <m:ctrlPr>
                <w:rPr>
                  <w:rFonts w:ascii="Cambria Math" w:hAnsi="Cambria Math" w:cstheme="minorEastAsia"/>
                  <w:i/>
                  <w:szCs w:val="21"/>
                </w:rPr>
              </m:ctrlPr>
            </m:sSupPr>
            <m:e>
              <m:r>
                <w:rPr>
                  <w:rFonts w:ascii="Cambria Math" w:hAnsi="Cambria Math" w:cstheme="minorEastAsia"/>
                  <w:szCs w:val="21"/>
                </w:rPr>
                <m:t>H</m:t>
              </m:r>
              <m:ctrlPr>
                <w:rPr>
                  <w:rFonts w:ascii="Cambria Math" w:hAnsi="Cambria Math" w:cstheme="minorEastAsia"/>
                  <w:i/>
                  <w:szCs w:val="21"/>
                </w:rPr>
              </m:ctrlPr>
            </m:e>
            <m:sup>
              <m:r>
                <w:rPr>
                  <w:rFonts w:ascii="Cambria Math" w:hAnsi="Cambria Math" w:cstheme="minorEastAsia"/>
                  <w:szCs w:val="21"/>
                </w:rPr>
                <m:t>2</m:t>
              </m:r>
              <m:ctrlPr>
                <w:rPr>
                  <w:rFonts w:ascii="Cambria Math" w:hAnsi="Cambria Math" w:cstheme="minorEastAsia"/>
                  <w:i/>
                  <w:szCs w:val="21"/>
                </w:rPr>
              </m:ctrlPr>
            </m:sup>
          </m:sSup>
          <m:nary>
            <m:naryPr>
              <m:chr m:val="∑"/>
              <m:limLoc m:val="undOvr"/>
              <m:ctrlPr>
                <w:rPr>
                  <w:rFonts w:ascii="Cambria Math" w:hAnsi="Cambria Math" w:cstheme="minorEastAsia"/>
                  <w:i/>
                  <w:szCs w:val="21"/>
                </w:rPr>
              </m:ctrlPr>
            </m:naryPr>
            <m:sub>
              <m:r>
                <w:rPr>
                  <w:rFonts w:ascii="Cambria Math" w:hAnsi="Cambria Math" w:cstheme="minorEastAsia"/>
                  <w:szCs w:val="21"/>
                </w:rPr>
                <m:t>i=1</m:t>
              </m:r>
              <m:ctrlPr>
                <w:rPr>
                  <w:rFonts w:ascii="Cambria Math" w:hAnsi="Cambria Math" w:cstheme="minorEastAsia"/>
                  <w:i/>
                  <w:szCs w:val="21"/>
                </w:rPr>
              </m:ctrlPr>
            </m:sub>
            <m:sup>
              <m:r>
                <w:rPr>
                  <w:rFonts w:ascii="Cambria Math" w:hAnsi="Cambria Math" w:cstheme="minorEastAsia"/>
                  <w:szCs w:val="21"/>
                </w:rPr>
                <m:t>n</m:t>
              </m:r>
              <m:ctrlPr>
                <w:rPr>
                  <w:rFonts w:ascii="Cambria Math" w:hAnsi="Cambria Math" w:cstheme="minorEastAsia"/>
                  <w:i/>
                  <w:szCs w:val="21"/>
                </w:rPr>
              </m:ctrlPr>
            </m:sup>
            <m:e>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i/>
                      <w:szCs w:val="21"/>
                    </w:rPr>
                  </m:ctrlPr>
                </m:sub>
              </m:sSub>
              <m:ctrlPr>
                <w:rPr>
                  <w:rFonts w:ascii="Cambria Math" w:hAnsi="Cambria Math" w:cstheme="minorEastAsia"/>
                  <w:i/>
                  <w:szCs w:val="21"/>
                </w:rPr>
              </m:ctrlPr>
            </m:e>
          </m:nary>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.1.10-13</m:t>
          </m:r>
          <m:r>
            <m:rPr>
              <m:sty m:val="p"/>
            </m:rPr>
            <w:rPr>
              <w:rFonts w:hint="eastAsia" w:ascii="Cambria Math" w:hAnsi="Cambria Math" w:cstheme="minorEastAsia"/>
              <w:szCs w:val="21"/>
            </w:rPr>
            <m:t>）</m:t>
          </m:r>
        </m:oMath>
      </m:oMathPara>
    </w:p>
    <w:p>
      <w:pPr>
        <w:ind w:left="420" w:leftChars="200" w:firstLine="105" w:firstLineChars="50"/>
        <w:jc w:val="left"/>
        <w:rPr>
          <w:rFonts w:asciiTheme="minorEastAsia" w:hAnsiTheme="minorEastAsia" w:cstheme="minorEastAsia"/>
          <w:szCs w:val="21"/>
        </w:rPr>
      </w:pPr>
      <w:r>
        <w:rPr>
          <w:rFonts w:hint="eastAsia" w:asciiTheme="minorEastAsia" w:hAnsiTheme="minorEastAsia" w:cstheme="minorEastAsia"/>
          <w:szCs w:val="21"/>
        </w:rPr>
        <w:t>甲壳柱-钢梁</w:t>
      </w:r>
      <w:r>
        <w:rPr>
          <w:rFonts w:asciiTheme="minorEastAsia" w:hAnsiTheme="minorEastAsia" w:cstheme="minorEastAsia"/>
          <w:szCs w:val="21"/>
        </w:rPr>
        <w:t>-</w:t>
      </w:r>
      <w:r>
        <w:rPr>
          <w:rFonts w:hint="eastAsia" w:asciiTheme="minorEastAsia" w:hAnsiTheme="minorEastAsia" w:cstheme="minorEastAsia"/>
          <w:szCs w:val="21"/>
        </w:rPr>
        <w:t>支撑组成的框架支撑结构：</w:t>
      </w:r>
    </w:p>
    <w:p>
      <w:pPr>
        <w:ind w:left="420" w:leftChars="200" w:firstLine="105" w:firstLineChars="50"/>
        <w:jc w:val="left"/>
        <w:rPr>
          <w:rFonts w:hint="eastAsia" w:ascii="Cambria Math" w:hAnsi="Cambria Math" w:cstheme="minorEastAsia"/>
          <w:b w:val="0"/>
          <w:i w:val="0"/>
          <w:szCs w:val="21"/>
        </w:rPr>
      </w:pPr>
      <m:oMathPara>
        <m:oMath>
          <m:r>
            <w:rPr>
              <w:rFonts w:ascii="Cambria Math" w:hAnsi="Cambria Math" w:cstheme="minorEastAsia"/>
              <w:szCs w:val="21"/>
            </w:rPr>
            <m:t>E</m:t>
          </m:r>
          <m:sSub>
            <m:sSubPr>
              <m:ctrlPr>
                <w:rPr>
                  <w:rFonts w:ascii="Cambria Math" w:hAnsi="Cambria Math" w:cstheme="minorEastAsia"/>
                  <w:i/>
                  <w:szCs w:val="21"/>
                </w:rPr>
              </m:ctrlPr>
            </m:sSubPr>
            <m:e>
              <m:r>
                <w:rPr>
                  <w:rFonts w:ascii="Cambria Math" w:hAnsi="Cambria Math" w:cstheme="minorEastAsia"/>
                  <w:szCs w:val="21"/>
                </w:rPr>
                <m:t>J</m:t>
              </m:r>
              <m:ctrlPr>
                <w:rPr>
                  <w:rFonts w:ascii="Cambria Math" w:hAnsi="Cambria Math" w:cstheme="minorEastAsia"/>
                  <w:i/>
                  <w:szCs w:val="21"/>
                </w:rPr>
              </m:ctrlPr>
            </m:e>
            <m:sub>
              <m:r>
                <w:rPr>
                  <w:rFonts w:hint="eastAsia" w:ascii="Cambria Math" w:hAnsi="Cambria Math" w:cstheme="minorEastAsia"/>
                  <w:szCs w:val="21"/>
                </w:rPr>
                <m:t>d</m:t>
              </m:r>
              <m:ctrlPr>
                <w:rPr>
                  <w:rFonts w:ascii="Cambria Math" w:hAnsi="Cambria Math" w:cstheme="minorEastAsia"/>
                  <w:i/>
                  <w:szCs w:val="21"/>
                </w:rPr>
              </m:ctrlPr>
            </m:sub>
          </m:sSub>
          <m:r>
            <w:rPr>
              <w:rFonts w:ascii="Cambria Math" w:hAnsi="Cambria Math" w:cstheme="minorEastAsia"/>
              <w:szCs w:val="21"/>
            </w:rPr>
            <m:t>≥0.7</m:t>
          </m:r>
          <m:sSup>
            <m:sSupPr>
              <m:ctrlPr>
                <w:rPr>
                  <w:rFonts w:ascii="Cambria Math" w:hAnsi="Cambria Math" w:cstheme="minorEastAsia"/>
                  <w:i/>
                  <w:szCs w:val="21"/>
                </w:rPr>
              </m:ctrlPr>
            </m:sSupPr>
            <m:e>
              <m:r>
                <w:rPr>
                  <w:rFonts w:ascii="Cambria Math" w:hAnsi="Cambria Math" w:cstheme="minorEastAsia"/>
                  <w:szCs w:val="21"/>
                </w:rPr>
                <m:t>H</m:t>
              </m:r>
              <m:ctrlPr>
                <w:rPr>
                  <w:rFonts w:ascii="Cambria Math" w:hAnsi="Cambria Math" w:cstheme="minorEastAsia"/>
                  <w:i/>
                  <w:szCs w:val="21"/>
                </w:rPr>
              </m:ctrlPr>
            </m:e>
            <m:sup>
              <m:r>
                <w:rPr>
                  <w:rFonts w:ascii="Cambria Math" w:hAnsi="Cambria Math" w:cstheme="minorEastAsia"/>
                  <w:szCs w:val="21"/>
                </w:rPr>
                <m:t>2</m:t>
              </m:r>
              <m:ctrlPr>
                <w:rPr>
                  <w:rFonts w:ascii="Cambria Math" w:hAnsi="Cambria Math" w:cstheme="minorEastAsia"/>
                  <w:i/>
                  <w:szCs w:val="21"/>
                </w:rPr>
              </m:ctrlPr>
            </m:sup>
          </m:sSup>
          <m:nary>
            <m:naryPr>
              <m:chr m:val="∑"/>
              <m:limLoc m:val="undOvr"/>
              <m:ctrlPr>
                <w:rPr>
                  <w:rFonts w:ascii="Cambria Math" w:hAnsi="Cambria Math" w:cstheme="minorEastAsia"/>
                  <w:i/>
                  <w:szCs w:val="21"/>
                </w:rPr>
              </m:ctrlPr>
            </m:naryPr>
            <m:sub>
              <m:r>
                <w:rPr>
                  <w:rFonts w:ascii="Cambria Math" w:hAnsi="Cambria Math" w:cstheme="minorEastAsia"/>
                  <w:szCs w:val="21"/>
                </w:rPr>
                <m:t>i=1</m:t>
              </m:r>
              <m:ctrlPr>
                <w:rPr>
                  <w:rFonts w:ascii="Cambria Math" w:hAnsi="Cambria Math" w:cstheme="minorEastAsia"/>
                  <w:i/>
                  <w:szCs w:val="21"/>
                </w:rPr>
              </m:ctrlPr>
            </m:sub>
            <m:sup>
              <m:r>
                <w:rPr>
                  <w:rFonts w:ascii="Cambria Math" w:hAnsi="Cambria Math" w:cstheme="minorEastAsia"/>
                  <w:szCs w:val="21"/>
                </w:rPr>
                <m:t>n</m:t>
              </m:r>
              <m:ctrlPr>
                <w:rPr>
                  <w:rFonts w:ascii="Cambria Math" w:hAnsi="Cambria Math" w:cstheme="minorEastAsia"/>
                  <w:i/>
                  <w:szCs w:val="21"/>
                </w:rPr>
              </m:ctrlPr>
            </m:sup>
            <m:e>
              <m:sSub>
                <m:sSubPr>
                  <m:ctrlPr>
                    <w:rPr>
                      <w:rFonts w:ascii="Cambria Math" w:hAnsi="Cambria Math" w:cstheme="minorEastAsia"/>
                      <w:i/>
                      <w:szCs w:val="21"/>
                    </w:rPr>
                  </m:ctrlPr>
                </m:sSubPr>
                <m:e>
                  <m:r>
                    <w:rPr>
                      <w:rFonts w:ascii="Cambria Math" w:hAnsi="Cambria Math" w:cstheme="minorEastAsia"/>
                      <w:szCs w:val="21"/>
                    </w:rPr>
                    <m:t>G</m:t>
                  </m:r>
                  <m:ctrlPr>
                    <w:rPr>
                      <w:rFonts w:ascii="Cambria Math" w:hAnsi="Cambria Math" w:cstheme="minorEastAsia"/>
                      <w:i/>
                      <w:szCs w:val="21"/>
                    </w:rPr>
                  </m:ctrlPr>
                </m:e>
                <m:sub>
                  <m:r>
                    <w:rPr>
                      <w:rFonts w:ascii="Cambria Math" w:hAnsi="Cambria Math" w:cstheme="minorEastAsia"/>
                      <w:szCs w:val="21"/>
                    </w:rPr>
                    <m:t>i</m:t>
                  </m:r>
                  <m:ctrlPr>
                    <w:rPr>
                      <w:rFonts w:ascii="Cambria Math" w:hAnsi="Cambria Math" w:cstheme="minorEastAsia"/>
                      <w:i/>
                      <w:szCs w:val="21"/>
                    </w:rPr>
                  </m:ctrlPr>
                </m:sub>
              </m:sSub>
              <m:ctrlPr>
                <w:rPr>
                  <w:rFonts w:ascii="Cambria Math" w:hAnsi="Cambria Math" w:cstheme="minorEastAsia"/>
                  <w:i/>
                  <w:szCs w:val="21"/>
                </w:rPr>
              </m:ctrlPr>
            </m:e>
          </m:nary>
          <m:r>
            <w:rPr>
              <w:rFonts w:ascii="Cambria Math" w:hAnsi="Cambria Math" w:cstheme="minorEastAsia"/>
              <w:szCs w:val="21"/>
            </w:rPr>
            <m:t xml:space="preserve">                      </m:t>
          </m:r>
          <m:r>
            <m:rPr>
              <m:sty m:val="p"/>
            </m:rPr>
            <w:rPr>
              <w:rFonts w:hint="eastAsia" w:ascii="Cambria Math" w:hAnsi="Cambria Math" w:cstheme="minorEastAsia"/>
              <w:szCs w:val="21"/>
            </w:rPr>
            <m:t>（3</m:t>
          </m:r>
          <m:r>
            <m:rPr>
              <m:sty m:val="p"/>
            </m:rPr>
            <w:rPr>
              <w:rFonts w:ascii="Cambria Math" w:hAnsi="Cambria Math" w:cstheme="minorEastAsia"/>
              <w:szCs w:val="21"/>
            </w:rPr>
            <m:t>.1.10-14</m:t>
          </m:r>
          <m:r>
            <m:rPr>
              <m:sty m:val="p"/>
            </m:rPr>
            <w:rPr>
              <w:rFonts w:hint="eastAsia" w:ascii="Cambria Math" w:hAnsi="Cambria Math" w:cstheme="minorEastAsia"/>
              <w:szCs w:val="21"/>
            </w:rPr>
            <m:t>）</m:t>
          </m:r>
        </m:oMath>
      </m:oMathPara>
    </w:p>
    <w:p>
      <w:pPr>
        <w:ind w:left="420" w:leftChars="200" w:firstLine="315" w:firstLineChars="150"/>
        <w:jc w:val="left"/>
        <w:rPr>
          <w:rFonts w:hint="default" w:ascii="黑体" w:hAnsi="黑体" w:eastAsiaTheme="minorEastAsia" w:cstheme="minorEastAsia"/>
          <w:szCs w:val="21"/>
          <w:lang w:val="en-US" w:eastAsia="zh-CN"/>
        </w:rPr>
      </w:pPr>
      <w:r>
        <w:rPr>
          <w:rFonts w:hint="eastAsia"/>
          <w:color w:val="0070C0"/>
        </w:rPr>
        <w:t>条文说明：</w:t>
      </w:r>
      <w:r>
        <w:rPr>
          <w:color w:val="0070C0"/>
        </w:rPr>
        <w:t>3.1.</w:t>
      </w:r>
      <w:r>
        <w:rPr>
          <w:rFonts w:hint="eastAsia"/>
          <w:color w:val="0070C0"/>
          <w:lang w:val="en-US" w:eastAsia="zh-CN"/>
        </w:rPr>
        <w:t>10</w:t>
      </w:r>
      <w:r>
        <w:rPr>
          <w:rFonts w:hint="eastAsia"/>
          <w:color w:val="0070C0"/>
        </w:rPr>
        <w:t xml:space="preserve"> </w:t>
      </w:r>
      <w:r>
        <w:rPr>
          <w:rFonts w:hint="eastAsia"/>
          <w:color w:val="0070C0"/>
          <w:lang w:val="en-US" w:eastAsia="zh-CN"/>
        </w:rPr>
        <w:t>带甲壳梁或混凝土梁的框架结构及框架-支撑结构，其重力二阶效应及整体稳定按钢筋混凝土结构的框架及框架-支撑结构考虑，带钢梁的框架结构及框架-支撑结构，其重力二阶效应及整体稳定按钢结构的框架及框架-支撑结构考虑，</w:t>
      </w:r>
    </w:p>
    <w:p>
      <w:pPr>
        <w:ind w:left="420" w:hanging="420" w:hangingChars="200"/>
        <w:jc w:val="left"/>
        <w:rPr>
          <w:rFonts w:hint="eastAsia" w:asciiTheme="minorEastAsia" w:hAnsiTheme="minorEastAsia" w:cstheme="minorEastAsia"/>
          <w:szCs w:val="21"/>
          <w:lang w:val="en-US" w:eastAsia="zh-CN"/>
        </w:rPr>
      </w:pPr>
      <w:r>
        <w:rPr>
          <w:rFonts w:ascii="黑体" w:hAnsi="黑体" w:eastAsia="黑体" w:cstheme="minorEastAsia"/>
          <w:szCs w:val="21"/>
        </w:rPr>
        <w:t>3</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lang w:val="en-US" w:eastAsia="zh-CN"/>
        </w:rPr>
        <w:t>1</w:t>
      </w:r>
      <w:r>
        <w:rPr>
          <w:rFonts w:hint="eastAsia" w:asciiTheme="minorEastAsia" w:hAnsiTheme="minorEastAsia" w:cstheme="minorEastAsia"/>
          <w:sz w:val="24"/>
          <w:szCs w:val="24"/>
        </w:rPr>
        <w:t xml:space="preserve"> </w:t>
      </w:r>
      <w:r>
        <w:rPr>
          <w:rFonts w:hint="eastAsia" w:asciiTheme="minorEastAsia" w:hAnsiTheme="minorEastAsia" w:cstheme="minorEastAsia"/>
          <w:szCs w:val="21"/>
          <w:lang w:val="en-US" w:eastAsia="zh-CN"/>
        </w:rPr>
        <w:t>波纹钢板组合框架结构的防震缝设置，应符合现行国家标准《建筑抗震设计规范》GB 50011的相关要求，防震缝宽度应分别符合下列要求：</w:t>
      </w:r>
    </w:p>
    <w:p>
      <w:pPr>
        <w:ind w:firstLine="420" w:firstLineChars="200"/>
        <w:jc w:val="left"/>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1  对于甲壳柱-钢梁框架及甲壳柱-钢梁-支撑结构，当高度不超过15m时不应小于150mm；高度超过15m时，6度、7度、8度分别每增加高度5m、4m、3m，宜加宽30mm。</w:t>
      </w:r>
    </w:p>
    <w:p>
      <w:pPr>
        <w:ind w:firstLine="420" w:firstLineChars="200"/>
        <w:jc w:val="left"/>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2  对于甲壳柱-甲壳梁框架、甲壳柱-钢筋混凝土梁框架、甲壳柱-甲壳梁-支撑和甲壳柱-钢筋混凝土梁-支撑结构，当高度不超过15m时不应小于125mm；高度超过15m时，6度、7度、8度分别每增加高度5m、4m、3m，宜加宽25mm。</w:t>
      </w:r>
    </w:p>
    <w:p>
      <w:pPr>
        <w:ind w:firstLine="420" w:firstLineChars="200"/>
        <w:jc w:val="left"/>
        <w:rPr>
          <w:rFonts w:hint="default" w:asciiTheme="minorEastAsia" w:hAnsiTheme="minorEastAsia" w:cstheme="minorEastAsia"/>
          <w:szCs w:val="21"/>
          <w:lang w:val="en-US" w:eastAsia="zh-CN"/>
        </w:rPr>
      </w:pPr>
      <w:r>
        <w:rPr>
          <w:rFonts w:hint="eastAsia"/>
          <w:color w:val="0070C0"/>
        </w:rPr>
        <w:t>条文说明：</w:t>
      </w:r>
      <w:r>
        <w:rPr>
          <w:color w:val="0070C0"/>
        </w:rPr>
        <w:t>3.1.</w:t>
      </w:r>
      <w:r>
        <w:rPr>
          <w:rFonts w:hint="eastAsia"/>
          <w:color w:val="0070C0"/>
          <w:lang w:val="en-US" w:eastAsia="zh-CN"/>
        </w:rPr>
        <w:t>11</w:t>
      </w:r>
      <w:r>
        <w:rPr>
          <w:rFonts w:hint="eastAsia"/>
          <w:color w:val="0070C0"/>
        </w:rPr>
        <w:t xml:space="preserve"> </w:t>
      </w:r>
      <w:r>
        <w:rPr>
          <w:rFonts w:hint="eastAsia"/>
          <w:color w:val="0070C0"/>
          <w:lang w:val="en-US" w:eastAsia="zh-CN"/>
        </w:rPr>
        <w:t>甲壳柱-钢梁框架按钢结构控制，取钢筋混凝土框架的1.5倍，甲壳柱-甲壳梁和甲壳柱-混凝土梁框架，取钢筋混凝土结构与钢结构的中间值，即钢筋混凝土框架的1.25倍，与层间位移角的控制指标相对应。</w:t>
      </w:r>
    </w:p>
    <w:p>
      <w:pPr>
        <w:ind w:left="420" w:hanging="420" w:hangingChars="200"/>
        <w:jc w:val="left"/>
        <w:rPr>
          <w:rFonts w:hint="eastAsia" w:asciiTheme="minorEastAsia" w:hAnsiTheme="minorEastAsia" w:cstheme="minorEastAsia"/>
          <w:szCs w:val="21"/>
        </w:rPr>
      </w:pPr>
      <w:r>
        <w:rPr>
          <w:rFonts w:ascii="黑体" w:hAnsi="黑体" w:eastAsia="黑体" w:cstheme="minorEastAsia"/>
          <w:szCs w:val="21"/>
        </w:rPr>
        <w:t>3</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rPr>
        <w:t>.</w:t>
      </w:r>
      <w:r>
        <w:rPr>
          <w:rFonts w:ascii="黑体" w:hAnsi="黑体" w:eastAsia="黑体" w:cstheme="minorEastAsia"/>
          <w:szCs w:val="21"/>
        </w:rPr>
        <w:t>1</w:t>
      </w:r>
      <w:r>
        <w:rPr>
          <w:rFonts w:hint="eastAsia" w:ascii="黑体" w:hAnsi="黑体" w:eastAsia="黑体" w:cstheme="minorEastAsia"/>
          <w:szCs w:val="21"/>
          <w:lang w:val="en-US" w:eastAsia="zh-CN"/>
        </w:rPr>
        <w:t>2</w:t>
      </w:r>
      <w:r>
        <w:rPr>
          <w:rFonts w:hint="eastAsia" w:asciiTheme="minorEastAsia" w:hAnsiTheme="minorEastAsia" w:cstheme="minorEastAsia"/>
          <w:sz w:val="24"/>
          <w:szCs w:val="24"/>
        </w:rPr>
        <w:t xml:space="preserve"> </w:t>
      </w:r>
      <w:r>
        <w:rPr>
          <w:rFonts w:hint="eastAsia" w:asciiTheme="minorEastAsia" w:hAnsiTheme="minorEastAsia" w:cstheme="minorEastAsia"/>
          <w:szCs w:val="21"/>
        </w:rPr>
        <w:t>组合楼板的设计、施工、验收应符合现行行业标准《组合楼板设计与施工规范》C</w:t>
      </w:r>
      <w:r>
        <w:rPr>
          <w:rFonts w:asciiTheme="minorEastAsia" w:hAnsiTheme="minorEastAsia" w:cstheme="minorEastAsia"/>
          <w:szCs w:val="21"/>
        </w:rPr>
        <w:t>ECS 273</w:t>
      </w:r>
      <w:r>
        <w:rPr>
          <w:rFonts w:hint="eastAsia" w:asciiTheme="minorEastAsia" w:hAnsiTheme="minorEastAsia" w:cstheme="minorEastAsia"/>
          <w:szCs w:val="21"/>
        </w:rPr>
        <w:t>的相关规定。</w:t>
      </w:r>
    </w:p>
    <w:p>
      <w:pPr>
        <w:ind w:left="420" w:leftChars="200" w:firstLine="0" w:firstLineChars="0"/>
        <w:jc w:val="left"/>
        <w:rPr>
          <w:rFonts w:hint="eastAsia"/>
          <w:color w:val="0070C0"/>
          <w:lang w:val="en-US" w:eastAsia="zh-CN"/>
        </w:rPr>
      </w:pPr>
      <w:r>
        <w:rPr>
          <w:rFonts w:hint="eastAsia"/>
          <w:color w:val="0070C0"/>
        </w:rPr>
        <w:t>条文说明：</w:t>
      </w:r>
      <w:r>
        <w:rPr>
          <w:color w:val="0070C0"/>
        </w:rPr>
        <w:t>3.1.</w:t>
      </w:r>
      <w:r>
        <w:rPr>
          <w:rFonts w:hint="eastAsia"/>
          <w:color w:val="0070C0"/>
          <w:lang w:val="en-US" w:eastAsia="zh-CN"/>
        </w:rPr>
        <w:t>12</w:t>
      </w:r>
      <w:r>
        <w:rPr>
          <w:rFonts w:hint="eastAsia"/>
          <w:color w:val="0070C0"/>
        </w:rPr>
        <w:t xml:space="preserve"> </w:t>
      </w:r>
      <w:r>
        <w:rPr>
          <w:rFonts w:hint="eastAsia"/>
          <w:color w:val="0070C0"/>
          <w:lang w:val="en-US" w:eastAsia="zh-CN"/>
        </w:rPr>
        <w:t>免拆模优肋组合楼板的设计同现浇钢筋混凝土楼板，钢肋等强度代换为普通钢筋。组合楼板在施工阶段及使用阶段的强度及变形均需满足相关标准的要求。</w:t>
      </w:r>
    </w:p>
    <w:p>
      <w:pPr>
        <w:jc w:val="left"/>
        <w:rPr>
          <w:rFonts w:hint="default" w:ascii="宋体" w:hAnsi="宋体" w:eastAsia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lang w:val="en-US" w:eastAsia="zh-CN"/>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3波纹钢板组合框架结构的构件除进行使用阶段的计算和验算外，还应进行施工阶段的承载力及变形验算；</w:t>
      </w:r>
      <w:r>
        <w:rPr>
          <w:rFonts w:hint="eastAsia" w:ascii="宋体" w:hAnsi="宋体" w:eastAsia="宋体"/>
          <w:color w:val="000000" w:themeColor="text1"/>
          <w:szCs w:val="21"/>
          <w14:textFill>
            <w14:solidFill>
              <w14:schemeClr w14:val="tx1"/>
            </w14:solidFill>
          </w14:textFill>
        </w:rPr>
        <w:t>甲壳柱</w:t>
      </w:r>
      <w:r>
        <w:rPr>
          <w:rFonts w:hint="eastAsia" w:ascii="宋体" w:hAnsi="宋体" w:eastAsia="宋体"/>
          <w:color w:val="000000" w:themeColor="text1"/>
          <w:szCs w:val="21"/>
          <w:lang w:eastAsia="zh-CN"/>
          <w14:textFill>
            <w14:solidFill>
              <w14:schemeClr w14:val="tx1"/>
            </w14:solidFill>
          </w14:textFill>
        </w:rPr>
        <w:t>、</w:t>
      </w:r>
      <w:r>
        <w:rPr>
          <w:rFonts w:hint="eastAsia" w:ascii="宋体" w:hAnsi="宋体" w:eastAsia="宋体"/>
          <w:color w:val="000000" w:themeColor="text1"/>
          <w:szCs w:val="21"/>
          <w:lang w:val="en-US" w:eastAsia="zh-CN"/>
          <w14:textFill>
            <w14:solidFill>
              <w14:schemeClr w14:val="tx1"/>
            </w14:solidFill>
          </w14:textFill>
        </w:rPr>
        <w:t>甲壳梁的</w:t>
      </w:r>
      <w:r>
        <w:rPr>
          <w:rFonts w:hint="eastAsia" w:ascii="宋体" w:hAnsi="宋体" w:eastAsia="宋体"/>
          <w:color w:val="000000" w:themeColor="text1"/>
          <w:szCs w:val="21"/>
          <w14:textFill>
            <w14:solidFill>
              <w14:schemeClr w14:val="tx1"/>
            </w14:solidFill>
          </w14:textFill>
        </w:rPr>
        <w:t>钢甲壳在施工阶段作为模板，应进行施工阶段承载能力及变形验算，</w:t>
      </w:r>
      <w:r>
        <w:rPr>
          <w:rFonts w:hint="eastAsia" w:asciiTheme="minorEastAsia" w:hAnsiTheme="minorEastAsia" w:cstheme="minorEastAsia"/>
          <w:color w:val="000000" w:themeColor="text1"/>
          <w:szCs w:val="21"/>
          <w14:textFill>
            <w14:solidFill>
              <w14:schemeClr w14:val="tx1"/>
            </w14:solidFill>
          </w14:textFill>
        </w:rPr>
        <w:t>甲壳柱的四角钢管在施工竖向荷载作用下的应力不应大于钢管抗压强度设计值的0</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倍</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甲壳梁在施工阶段宜保持弹性变形状态。</w:t>
      </w:r>
    </w:p>
    <w:p>
      <w:pPr>
        <w:ind w:firstLine="420" w:firstLineChars="200"/>
        <w:rPr>
          <w:rFonts w:hint="default"/>
          <w:color w:val="0070C0"/>
          <w:lang w:val="en-US" w:eastAsia="zh-CN"/>
        </w:rPr>
      </w:pPr>
      <w:r>
        <w:rPr>
          <w:rFonts w:hint="eastAsia"/>
          <w:color w:val="0070C0"/>
          <w:lang w:val="en-US" w:eastAsia="zh-CN"/>
        </w:rPr>
        <w:t>条文说明：3.1.13 甲壳柱施工阶段主要验算波纹钢板和四角钢管在湿混凝土浇筑过程中涨模力作用下的承载力及变形。四角钢管通过设置十字拉板或“口”型拉板减小钢管的计算跨度，甲壳柱施工阶段的竖向应力限值取同钢管混凝土柱。甲壳梁主要验算钢甲壳在混凝土浇筑过程中混凝土自重引起的内力及挠度，挠度可按《波纹腹板钢结构技术规程》的相应公式进行计算。</w:t>
      </w:r>
    </w:p>
    <w:p>
      <w:pPr>
        <w:ind w:left="420" w:hanging="420" w:hangingChars="200"/>
        <w:jc w:val="left"/>
        <w:rPr>
          <w:rFonts w:hint="default"/>
          <w:color w:val="0070C0"/>
          <w:lang w:val="en-US" w:eastAsia="zh-CN"/>
        </w:rPr>
      </w:pPr>
    </w:p>
    <w:p>
      <w:pPr>
        <w:spacing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28" w:name="_Toc28706876"/>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 xml:space="preserve">  材 料</w:t>
      </w:r>
      <w:bookmarkEnd w:id="26"/>
      <w:bookmarkEnd w:id="28"/>
      <w:r>
        <w:rPr>
          <w:rFonts w:hint="eastAsia" w:ascii="黑体" w:hAnsi="黑体" w:eastAsia="黑体" w:cstheme="minorEastAsia"/>
          <w:color w:val="000000" w:themeColor="text1"/>
          <w:szCs w:val="21"/>
          <w14:textFill>
            <w14:solidFill>
              <w14:schemeClr w14:val="tx1"/>
            </w14:solidFill>
          </w14:textFill>
        </w:rPr>
        <w:t xml:space="preserve">   </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波纹钢板组合框架结构中钢材的</w:t>
      </w:r>
      <w:r>
        <w:rPr>
          <w:rFonts w:hint="eastAsia" w:asciiTheme="minorEastAsia" w:hAnsiTheme="minorEastAsia" w:cstheme="minorEastAsia"/>
          <w:color w:val="000000" w:themeColor="text1"/>
          <w:szCs w:val="21"/>
          <w:lang w:val="en-US" w:eastAsia="zh-CN"/>
          <w14:textFill>
            <w14:solidFill>
              <w14:schemeClr w14:val="tx1"/>
            </w14:solidFill>
          </w14:textFill>
        </w:rPr>
        <w:t>牌号及标准、材料</w:t>
      </w:r>
      <w:r>
        <w:rPr>
          <w:rFonts w:hint="eastAsia" w:asciiTheme="minorEastAsia" w:hAnsiTheme="minorEastAsia" w:cstheme="minorEastAsia"/>
          <w:color w:val="000000" w:themeColor="text1"/>
          <w:szCs w:val="21"/>
          <w14:textFill>
            <w14:solidFill>
              <w14:schemeClr w14:val="tx1"/>
            </w14:solidFill>
          </w14:textFill>
        </w:rPr>
        <w:t>选用</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设计指标和设计参数</w:t>
      </w:r>
      <w:r>
        <w:rPr>
          <w:rFonts w:hint="eastAsia" w:asciiTheme="minorEastAsia" w:hAnsiTheme="minorEastAsia" w:cstheme="minorEastAsia"/>
          <w:color w:val="000000" w:themeColor="text1"/>
          <w:szCs w:val="21"/>
          <w14:textFill>
            <w14:solidFill>
              <w14:schemeClr w14:val="tx1"/>
            </w14:solidFill>
          </w14:textFill>
        </w:rPr>
        <w:t>应符合</w:t>
      </w:r>
      <w:r>
        <w:rPr>
          <w:rFonts w:hint="eastAsia" w:asciiTheme="minorEastAsia" w:hAnsiTheme="minorEastAsia" w:cstheme="minorEastAsia"/>
          <w:color w:val="000000" w:themeColor="text1"/>
          <w:szCs w:val="21"/>
          <w:lang w:val="en-US" w:eastAsia="zh-CN"/>
          <w14:textFill>
            <w14:solidFill>
              <w14:schemeClr w14:val="tx1"/>
            </w14:solidFill>
          </w14:textFill>
        </w:rPr>
        <w:t>现行国家标准</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钢结构设计标准</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GB 50017的相关规定，并应符合</w:t>
      </w:r>
      <w:r>
        <w:rPr>
          <w:rFonts w:hint="eastAsia" w:asciiTheme="minorEastAsia" w:hAnsiTheme="minorEastAsia" w:cstheme="minorEastAsia"/>
          <w:color w:val="000000" w:themeColor="text1"/>
          <w:szCs w:val="21"/>
          <w14:textFill>
            <w14:solidFill>
              <w14:schemeClr w14:val="tx1"/>
            </w14:solidFill>
          </w14:textFill>
        </w:rPr>
        <w:t>下列规定：</w:t>
      </w:r>
    </w:p>
    <w:p>
      <w:pPr>
        <w:ind w:firstLine="420" w:firstLineChars="20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波纹钢板用钢材，不宜采用 Q420 及以上的高强度钢。</w:t>
      </w:r>
    </w:p>
    <w:p>
      <w:pPr>
        <w:ind w:firstLine="420" w:firstLineChars="20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 xml:space="preserve"> 矩形钢管可采用焊接钢管，也可采用冷成型矩形钢管，当采用冷成型矩形钢管时，应符合现行行业标准《建筑结构用冷弯矩形钢管》</w:t>
      </w:r>
      <w:r>
        <w:rPr>
          <w:rFonts w:asciiTheme="minorEastAsia" w:hAnsiTheme="minorEastAsia" w:cstheme="minorEastAsia"/>
          <w:color w:val="000000" w:themeColor="text1"/>
          <w:szCs w:val="21"/>
          <w14:textFill>
            <w14:solidFill>
              <w14:schemeClr w14:val="tx1"/>
            </w14:solidFill>
          </w14:textFill>
        </w:rPr>
        <w:t>JG/T 178</w:t>
      </w:r>
      <w:r>
        <w:rPr>
          <w:rFonts w:hint="eastAsia" w:asciiTheme="minorEastAsia" w:hAnsiTheme="minorEastAsia" w:cstheme="minorEastAsia"/>
          <w:color w:val="000000" w:themeColor="text1"/>
          <w:szCs w:val="21"/>
          <w14:textFill>
            <w14:solidFill>
              <w14:schemeClr w14:val="tx1"/>
            </w14:solidFill>
          </w14:textFill>
        </w:rPr>
        <w:t>中I级产品的规定。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冷弯型材，其力学性能指标应满足国家标准《冷弯型钢结构技术规范》GB50018 的相关规定。</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lang w:val="en-US" w:eastAsia="zh-CN"/>
          <w14:textFill>
            <w14:solidFill>
              <w14:schemeClr w14:val="tx1"/>
            </w14:solidFill>
          </w14:textFill>
        </w:rPr>
        <w:t>4</w:t>
      </w:r>
      <w:r>
        <w:rPr>
          <w:rFonts w:asciiTheme="minorEastAsia" w:hAnsiTheme="minorEastAsia" w:cstheme="minorEastAsia"/>
          <w:b/>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框架柱、框架梁及支撑所用</w:t>
      </w:r>
      <w:r>
        <w:rPr>
          <w:rFonts w:asciiTheme="minorEastAsia" w:hAnsiTheme="minorEastAsia" w:cstheme="minorEastAsia"/>
          <w:color w:val="000000" w:themeColor="text1"/>
          <w:szCs w:val="21"/>
          <w14:textFill>
            <w14:solidFill>
              <w14:schemeClr w14:val="tx1"/>
            </w14:solidFill>
          </w14:textFill>
        </w:rPr>
        <w:t>钢材</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屈服强度实测值与抗拉强度实测值的比值不应大于</w:t>
      </w:r>
      <w:r>
        <w:rPr>
          <w:rFonts w:hint="eastAsia" w:asciiTheme="minorEastAsia" w:hAnsiTheme="minorEastAsia" w:cstheme="minorEastAsia"/>
          <w:color w:val="000000" w:themeColor="text1"/>
          <w:szCs w:val="21"/>
          <w14:textFill>
            <w14:solidFill>
              <w14:schemeClr w14:val="tx1"/>
            </w14:solidFill>
          </w14:textFill>
        </w:rPr>
        <w:t>0</w:t>
      </w:r>
      <w:r>
        <w:rPr>
          <w:rFonts w:asciiTheme="minorEastAsia" w:hAnsiTheme="minorEastAsia" w:cstheme="minorEastAsia"/>
          <w:color w:val="000000" w:themeColor="text1"/>
          <w:szCs w:val="21"/>
          <w14:textFill>
            <w14:solidFill>
              <w14:schemeClr w14:val="tx1"/>
            </w14:solidFill>
          </w14:textFill>
        </w:rPr>
        <w:t>.85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应有明显的曲</w:t>
      </w:r>
      <w:r>
        <w:rPr>
          <w:rFonts w:hint="eastAsia" w:asciiTheme="minorEastAsia" w:hAnsiTheme="minorEastAsia" w:cstheme="minorEastAsia"/>
          <w:color w:val="000000" w:themeColor="text1"/>
          <w:szCs w:val="21"/>
          <w14:textFill>
            <w14:solidFill>
              <w14:schemeClr w14:val="tx1"/>
            </w14:solidFill>
          </w14:textFill>
        </w:rPr>
        <w:t>服</w:t>
      </w:r>
      <w:r>
        <w:rPr>
          <w:rFonts w:asciiTheme="minorEastAsia" w:hAnsiTheme="minorEastAsia" w:cstheme="minorEastAsia"/>
          <w:color w:val="000000" w:themeColor="text1"/>
          <w:szCs w:val="21"/>
          <w14:textFill>
            <w14:solidFill>
              <w14:schemeClr w14:val="tx1"/>
            </w14:solidFill>
          </w14:textFill>
        </w:rPr>
        <w:t>台阶，且伸长率不应小于</w:t>
      </w: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应有良好的焊接性和合格的冲击韧性。</w:t>
      </w:r>
    </w:p>
    <w:p>
      <w:pPr>
        <w:ind w:firstLine="42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lang w:val="en-US" w:eastAsia="zh-CN"/>
          <w14:textFill>
            <w14:solidFill>
              <w14:schemeClr w14:val="tx1"/>
            </w14:solidFill>
          </w14:textFill>
        </w:rPr>
        <w:t>5</w:t>
      </w:r>
      <w:r>
        <w:rPr>
          <w:color w:val="000000" w:themeColor="text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采用焊接连接的钢构件，当接头的焊接</w:t>
      </w:r>
      <w:r>
        <w:rPr>
          <w:rFonts w:hint="eastAsia" w:asciiTheme="minorEastAsia" w:hAnsiTheme="minorEastAsia" w:cstheme="minorEastAsia"/>
          <w:color w:val="000000" w:themeColor="text1"/>
          <w:szCs w:val="21"/>
          <w14:textFill>
            <w14:solidFill>
              <w14:schemeClr w14:val="tx1"/>
            </w14:solidFill>
          </w14:textFill>
        </w:rPr>
        <w:t>拘</w:t>
      </w:r>
      <w:r>
        <w:rPr>
          <w:rFonts w:asciiTheme="minorEastAsia" w:hAnsiTheme="minorEastAsia" w:cstheme="minorEastAsia"/>
          <w:color w:val="000000" w:themeColor="text1"/>
          <w:szCs w:val="21"/>
          <w14:textFill>
            <w14:solidFill>
              <w14:schemeClr w14:val="tx1"/>
            </w14:solidFill>
          </w14:textFill>
        </w:rPr>
        <w:t>束度较大、钢板厚度不小于</w:t>
      </w: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0mm且承受沿厚度方向的拉力时，钢板厚度方向截面收缩率不应小于国家标准《厚度方向性能钢板》</w:t>
      </w:r>
      <w:r>
        <w:rPr>
          <w:rFonts w:hint="eastAsia" w:asciiTheme="minorEastAsia" w:hAnsiTheme="minorEastAsia" w:cstheme="minorEastAsia"/>
          <w:color w:val="000000" w:themeColor="text1"/>
          <w:szCs w:val="21"/>
          <w14:textFill>
            <w14:solidFill>
              <w14:schemeClr w14:val="tx1"/>
            </w14:solidFill>
          </w14:textFill>
        </w:rPr>
        <w:t>G</w:t>
      </w:r>
      <w:r>
        <w:rPr>
          <w:rFonts w:asciiTheme="minorEastAsia" w:hAnsiTheme="minorEastAsia" w:cstheme="minorEastAsia"/>
          <w:color w:val="000000" w:themeColor="text1"/>
          <w:szCs w:val="21"/>
          <w14:textFill>
            <w14:solidFill>
              <w14:schemeClr w14:val="tx1"/>
            </w14:solidFill>
          </w14:textFill>
        </w:rPr>
        <w:t>B/T 5313</w:t>
      </w:r>
      <w:r>
        <w:rPr>
          <w:rFonts w:hint="eastAsia" w:asciiTheme="minorEastAsia" w:hAnsiTheme="minorEastAsia" w:cstheme="minorEastAsia"/>
          <w:color w:val="000000" w:themeColor="text1"/>
          <w:szCs w:val="21"/>
          <w14:textFill>
            <w14:solidFill>
              <w14:schemeClr w14:val="tx1"/>
            </w14:solidFill>
          </w14:textFill>
        </w:rPr>
        <w:t>关于Z</w:t>
      </w:r>
      <w:r>
        <w:rPr>
          <w:rFonts w:asciiTheme="minorEastAsia" w:hAnsiTheme="minorEastAsia" w:cstheme="minorEastAsia"/>
          <w:color w:val="000000" w:themeColor="text1"/>
          <w:szCs w:val="21"/>
          <w14:textFill>
            <w14:solidFill>
              <w14:schemeClr w14:val="tx1"/>
            </w14:solidFill>
          </w14:textFill>
        </w:rPr>
        <w:t>15</w:t>
      </w:r>
      <w:r>
        <w:rPr>
          <w:rFonts w:hint="eastAsia" w:asciiTheme="minorEastAsia" w:hAnsiTheme="minorEastAsia" w:cstheme="minorEastAsia"/>
          <w:color w:val="000000" w:themeColor="text1"/>
          <w:szCs w:val="21"/>
          <w14:textFill>
            <w14:solidFill>
              <w14:schemeClr w14:val="tx1"/>
            </w14:solidFill>
          </w14:textFill>
        </w:rPr>
        <w:t>级规定的容许值。</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b/>
          <w:bCs/>
          <w:color w:val="000000" w:themeColor="text1"/>
          <w:szCs w:val="21"/>
          <w:lang w:val="en-US" w:eastAsia="zh-CN"/>
          <w14:textFill>
            <w14:solidFill>
              <w14:schemeClr w14:val="tx1"/>
            </w14:solidFill>
          </w14:textFill>
        </w:rPr>
        <w:t>6</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压型钢板质量应符合现行国家标准《建筑用压型钢板》</w:t>
      </w:r>
      <w:r>
        <w:rPr>
          <w:rFonts w:asciiTheme="minorEastAsia" w:hAnsiTheme="minorEastAsia" w:cstheme="minorEastAsia"/>
          <w:color w:val="000000" w:themeColor="text1"/>
          <w:szCs w:val="21"/>
          <w14:textFill>
            <w14:solidFill>
              <w14:schemeClr w14:val="tx1"/>
            </w14:solidFill>
          </w14:textFill>
        </w:rPr>
        <w:t>GB/T 12755 的规定，压型钢板的基板应选用热浸镀</w:t>
      </w:r>
      <w:r>
        <w:rPr>
          <w:rFonts w:hint="eastAsia" w:asciiTheme="minorEastAsia" w:hAnsiTheme="minorEastAsia" w:cstheme="minorEastAsia"/>
          <w:color w:val="000000" w:themeColor="text1"/>
          <w:szCs w:val="21"/>
          <w14:textFill>
            <w14:solidFill>
              <w14:schemeClr w14:val="tx1"/>
            </w14:solidFill>
          </w14:textFill>
        </w:rPr>
        <w:t>锌</w:t>
      </w:r>
      <w:r>
        <w:rPr>
          <w:rFonts w:asciiTheme="minorEastAsia" w:hAnsiTheme="minorEastAsia" w:cstheme="minorEastAsia"/>
          <w:color w:val="000000" w:themeColor="text1"/>
          <w:szCs w:val="21"/>
          <w14:textFill>
            <w14:solidFill>
              <w14:schemeClr w14:val="tx1"/>
            </w14:solidFill>
          </w14:textFill>
        </w:rPr>
        <w:t>钢板，不</w:t>
      </w:r>
      <w:r>
        <w:rPr>
          <w:rFonts w:hint="eastAsia" w:asciiTheme="minorEastAsia" w:hAnsiTheme="minorEastAsia" w:cstheme="minorEastAsia"/>
          <w:color w:val="000000" w:themeColor="text1"/>
          <w:szCs w:val="21"/>
          <w14:textFill>
            <w14:solidFill>
              <w14:schemeClr w14:val="tx1"/>
            </w14:solidFill>
          </w14:textFill>
        </w:rPr>
        <w:t>宜选用镀铝锌板。镀锌层应符合现行国家标准《连续热镀锌薄钢板及钢带》</w:t>
      </w:r>
      <w:r>
        <w:rPr>
          <w:rFonts w:asciiTheme="minorEastAsia" w:hAnsiTheme="minorEastAsia" w:cstheme="minorEastAsia"/>
          <w:color w:val="000000" w:themeColor="text1"/>
          <w:szCs w:val="21"/>
          <w14:textFill>
            <w14:solidFill>
              <w14:schemeClr w14:val="tx1"/>
            </w14:solidFill>
          </w14:textFill>
        </w:rPr>
        <w:t xml:space="preserve"> GB/T 2518 的规定。</w:t>
      </w:r>
    </w:p>
    <w:p>
      <w:pPr>
        <w:ind w:firstLine="420"/>
        <w:rPr>
          <w:rFonts w:hint="default" w:asciiTheme="minorEastAsia" w:hAnsiTheme="minorEastAsia" w:cstheme="minorEastAsia"/>
          <w:color w:val="000000" w:themeColor="text1"/>
          <w:szCs w:val="21"/>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2.1</w:t>
      </w:r>
      <w:r>
        <w:rPr>
          <w:rFonts w:hint="eastAsia"/>
          <w:color w:val="0070C0"/>
        </w:rPr>
        <w:t xml:space="preserve"> </w:t>
      </w:r>
      <w:r>
        <w:rPr>
          <w:rFonts w:hint="eastAsia"/>
          <w:color w:val="0070C0"/>
          <w:lang w:val="en-US" w:eastAsia="zh-CN"/>
        </w:rPr>
        <w:t>波纹钢板采用Q420及以上的高强度钢时，难以加工成型。矩形钢管、冷弯型材、压型钢板及钢材的抗震要求在《钢结构设计标准》中未明确，加以补充。</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钢连接材料的型号及标准、材料选用、设计指标和设计参数</w:t>
      </w:r>
      <w:r>
        <w:rPr>
          <w:rFonts w:hint="eastAsia" w:asciiTheme="minorEastAsia" w:hAnsiTheme="minorEastAsia" w:cstheme="minorEastAsia"/>
          <w:color w:val="000000" w:themeColor="text1"/>
          <w:szCs w:val="21"/>
          <w14:textFill>
            <w14:solidFill>
              <w14:schemeClr w14:val="tx1"/>
            </w14:solidFill>
          </w14:textFill>
        </w:rPr>
        <w:t>应符合</w:t>
      </w:r>
      <w:r>
        <w:rPr>
          <w:rFonts w:hint="eastAsia" w:asciiTheme="minorEastAsia" w:hAnsiTheme="minorEastAsia" w:cstheme="minorEastAsia"/>
          <w:color w:val="000000" w:themeColor="text1"/>
          <w:szCs w:val="21"/>
          <w:lang w:val="en-US" w:eastAsia="zh-CN"/>
          <w14:textFill>
            <w14:solidFill>
              <w14:schemeClr w14:val="tx1"/>
            </w14:solidFill>
          </w14:textFill>
        </w:rPr>
        <w:t>现行国家标准</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钢结构设计标准</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GB 50017的相关规定。</w:t>
      </w:r>
    </w:p>
    <w:p>
      <w:pPr>
        <w:ind w:firstLine="420" w:firstLineChars="200"/>
        <w:rPr>
          <w:rFonts w:hint="default" w:eastAsiaTheme="minorEastAsia"/>
          <w:color w:val="0070C0"/>
          <w:lang w:val="en-US" w:eastAsia="zh-CN"/>
        </w:rPr>
      </w:pPr>
      <w:r>
        <w:rPr>
          <w:rFonts w:hint="eastAsia"/>
          <w:color w:val="0070C0"/>
        </w:rPr>
        <w:t>条文说明：</w:t>
      </w:r>
      <w:r>
        <w:rPr>
          <w:color w:val="0070C0"/>
        </w:rPr>
        <w:t>3.</w:t>
      </w:r>
      <w:r>
        <w:rPr>
          <w:rFonts w:hint="eastAsia"/>
          <w:color w:val="0070C0"/>
          <w:lang w:val="en-US" w:eastAsia="zh-CN"/>
        </w:rPr>
        <w:t>2.2</w:t>
      </w:r>
      <w:r>
        <w:rPr>
          <w:rFonts w:hint="eastAsia"/>
          <w:color w:val="0070C0"/>
        </w:rPr>
        <w:t xml:space="preserve"> </w:t>
      </w:r>
      <w:r>
        <w:rPr>
          <w:rFonts w:hint="eastAsia"/>
          <w:color w:val="0070C0"/>
          <w:lang w:val="en-US" w:eastAsia="zh-CN"/>
        </w:rPr>
        <w:t>波纹钢板组合框架结构中，连接形式主要为：螺栓连接、焊接连接、锚栓连接，其各项规定均按《钢结构设计标准》GB50017执行。</w:t>
      </w:r>
    </w:p>
    <w:p>
      <w:pPr>
        <w:ind w:left="105" w:leftChars="50" w:firstLine="360" w:firstLineChars="150"/>
        <w:rPr>
          <w:rFonts w:asciiTheme="minorEastAsia" w:hAnsiTheme="minorEastAsia" w:cstheme="minorEastAsia"/>
          <w:color w:val="000000" w:themeColor="text1"/>
          <w:sz w:val="24"/>
          <w:szCs w:val="24"/>
          <w14:textFill>
            <w14:solidFill>
              <w14:schemeClr w14:val="tx1"/>
            </w14:solidFill>
          </w14:textFill>
        </w:rPr>
      </w:pPr>
    </w:p>
    <w:p>
      <w:pPr>
        <w:rPr>
          <w:rFonts w:asciiTheme="minorEastAsia" w:hAnsiTheme="minorEastAsia" w:cstheme="minorEastAsia"/>
          <w:bCs/>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w:t>
      </w:r>
      <w:r>
        <w:rPr>
          <w:rFonts w:hint="eastAsia" w:ascii="黑体" w:hAnsi="黑体" w:eastAsia="黑体" w:cstheme="minorEastAsia"/>
          <w:color w:val="000000" w:themeColor="text1"/>
          <w:szCs w:val="21"/>
          <w:lang w:val="en-US" w:eastAsia="zh-CN"/>
          <w14:textFill>
            <w14:solidFill>
              <w14:schemeClr w14:val="tx1"/>
            </w14:solidFill>
          </w14:textFill>
        </w:rPr>
        <w:t>3</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波纹钢板组合框架结构中混凝土的选用应符合下列规定：</w:t>
      </w:r>
    </w:p>
    <w:p>
      <w:pPr>
        <w:ind w:firstLine="420" w:firstLineChars="20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混凝土的材料性能应按现行国家标准《混凝土结构设计规范》GB50010 执行；当采用 C80 以上高强混凝土时，应有可靠的依据。自密实混凝土的配合比设计、施工、质量检验和验收应符合现行行业标准《自密实混凝土应用技术规程》JGJ/T</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283 的规定。</w:t>
      </w:r>
    </w:p>
    <w:p>
      <w:pPr>
        <w:rPr>
          <w:rFonts w:asciiTheme="minorEastAsia" w:hAnsiTheme="minorEastAsia" w:cstheme="minorEastAsia"/>
          <w:bCs/>
          <w:color w:val="000000" w:themeColor="text1"/>
          <w:sz w:val="24"/>
          <w:szCs w:val="24"/>
          <w14:textFill>
            <w14:solidFill>
              <w14:schemeClr w14:val="tx1"/>
            </w14:solidFill>
          </w14:textFill>
        </w:rPr>
      </w:pPr>
      <w:r>
        <w:rPr>
          <w:rFonts w:hint="eastAsia" w:asciiTheme="minorEastAsia" w:hAnsiTheme="minorEastAsia" w:cstheme="minorEastAsia"/>
          <w:b/>
          <w:bCs/>
          <w:color w:val="000000" w:themeColor="text1"/>
          <w:sz w:val="24"/>
          <w:szCs w:val="24"/>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 xml:space="preserve"> 2 </w:t>
      </w:r>
      <w:r>
        <w:rPr>
          <w:rFonts w:hint="eastAsia" w:asciiTheme="minorEastAsia" w:hAnsiTheme="minorEastAsia" w:cstheme="minorEastAsia"/>
          <w:color w:val="000000" w:themeColor="text1"/>
          <w:szCs w:val="21"/>
          <w14:textFill>
            <w14:solidFill>
              <w14:schemeClr w14:val="tx1"/>
            </w14:solidFill>
          </w14:textFill>
        </w:rPr>
        <w:t>甲壳梁的混凝土强度等级不宜低于C30，不宜超过C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；预应力甲壳梁的混凝土强度等级不宜低于C40，不宜超过C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；甲壳柱的混凝土强度等级不宜低于C30,甲壳柱采用Q390、Q420钢管时，混凝土强度等级不宜低于C40；抗震设防烈度为</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度、7度时甲壳柱的混凝土强度等级不宜超过C80，抗震设防烈度为8度时甲壳柱的混凝土强度等级不宜超过C</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0；抗震等级为一级的框架梁柱及节点的混凝土强度等级不应低于C</w:t>
      </w:r>
      <w:r>
        <w:rPr>
          <w:rFonts w:asciiTheme="minorEastAsia" w:hAnsiTheme="minorEastAsia" w:cstheme="minorEastAsia"/>
          <w:color w:val="000000" w:themeColor="text1"/>
          <w:szCs w:val="21"/>
          <w14:textFill>
            <w14:solidFill>
              <w14:schemeClr w14:val="tx1"/>
            </w14:solidFill>
          </w14:textFill>
        </w:rPr>
        <w:t>30</w:t>
      </w:r>
      <w:r>
        <w:rPr>
          <w:rFonts w:hint="eastAsia" w:asciiTheme="minorEastAsia" w:hAnsiTheme="minorEastAsia" w:cstheme="minorEastAsia"/>
          <w:color w:val="000000" w:themeColor="text1"/>
          <w:szCs w:val="21"/>
          <w14:textFill>
            <w14:solidFill>
              <w14:schemeClr w14:val="tx1"/>
            </w14:solidFill>
          </w14:textFill>
        </w:rPr>
        <w:t>；免模免支撑板的混凝土强度等级不宜低于C25。</w:t>
      </w:r>
    </w:p>
    <w:p>
      <w:pPr>
        <w:ind w:firstLine="420" w:firstLineChars="200"/>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甲壳梁内填混凝土可采用普通混凝土；甲壳柱内填混凝土宜采用自密实混凝土，也可采用普通混凝土，当采用普通混凝土时，应采取减少收缩的技术措施，采用合适的配合比、塌落度并采取合理的施工措施保证密实性和施工质量。</w:t>
      </w:r>
    </w:p>
    <w:p>
      <w:pPr>
        <w:ind w:firstLine="420" w:firstLineChars="2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2.3</w:t>
      </w:r>
      <w:r>
        <w:rPr>
          <w:rFonts w:hint="eastAsia"/>
          <w:color w:val="0070C0"/>
        </w:rPr>
        <w:t xml:space="preserve"> </w:t>
      </w:r>
      <w:r>
        <w:rPr>
          <w:rFonts w:hint="eastAsia"/>
          <w:color w:val="0070C0"/>
          <w:lang w:val="en-US" w:eastAsia="zh-CN"/>
        </w:rPr>
        <w:t>甲壳梁的混凝土选用原则同钢筋混凝土梁，甲壳柱的混凝土选用需综合考虑地材特性和施工工艺，减少收缩并保证密实度。</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w:t>
      </w:r>
      <w:r>
        <w:rPr>
          <w:rFonts w:hint="eastAsia" w:ascii="黑体" w:hAnsi="黑体" w:eastAsia="黑体" w:cstheme="minorEastAsia"/>
          <w:color w:val="000000" w:themeColor="text1"/>
          <w:szCs w:val="21"/>
          <w:lang w:val="en-US" w:eastAsia="zh-CN"/>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波纹钢板组合框架结构中栓钉应符合现行国家标准《电弧螺柱焊用圆柱头焊钉》GB/T 10433的规定，其材料及力学性能应符合表3.</w:t>
      </w:r>
      <w:r>
        <w:rPr>
          <w:rFonts w:hint="eastAsia" w:asciiTheme="minorEastAsia" w:hAnsiTheme="minorEastAsia" w:cstheme="minorEastAsia"/>
          <w:color w:val="000000" w:themeColor="text1"/>
          <w:szCs w:val="21"/>
          <w:lang w:val="en-US" w:eastAsia="zh-CN"/>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规定。</w:t>
      </w:r>
    </w:p>
    <w:p>
      <w:pPr>
        <w:spacing w:line="400" w:lineRule="exact"/>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 3.</w:t>
      </w:r>
      <w:r>
        <w:rPr>
          <w:rFonts w:hint="eastAsia" w:ascii="黑体" w:hAnsi="黑体" w:eastAsia="黑体" w:cstheme="minorEastAsia"/>
          <w:color w:val="000000" w:themeColor="text1"/>
          <w:sz w:val="18"/>
          <w:szCs w:val="18"/>
          <w:lang w:val="en-US" w:eastAsia="zh-CN"/>
          <w14:textFill>
            <w14:solidFill>
              <w14:schemeClr w14:val="tx1"/>
            </w14:solidFill>
          </w14:textFill>
        </w:rPr>
        <w:t>2</w:t>
      </w:r>
      <w:r>
        <w:rPr>
          <w:rFonts w:hint="eastAsia" w:ascii="黑体" w:hAnsi="黑体" w:eastAsia="黑体" w:cstheme="minorEastAsia"/>
          <w:color w:val="000000" w:themeColor="text1"/>
          <w:sz w:val="18"/>
          <w:szCs w:val="18"/>
          <w14:textFill>
            <w14:solidFill>
              <w14:schemeClr w14:val="tx1"/>
            </w14:solidFill>
          </w14:textFill>
        </w:rPr>
        <w:t>.</w:t>
      </w:r>
      <w:r>
        <w:rPr>
          <w:rFonts w:hint="eastAsia" w:ascii="黑体" w:hAnsi="黑体" w:eastAsia="黑体" w:cstheme="minorEastAsia"/>
          <w:color w:val="000000" w:themeColor="text1"/>
          <w:sz w:val="18"/>
          <w:szCs w:val="18"/>
          <w:lang w:val="en-US" w:eastAsia="zh-CN"/>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 xml:space="preserve">  栓钉材料及力学性能</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070"/>
        <w:gridCol w:w="177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材料</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极限抗拉强度（N/</w:t>
            </w:r>
            <w:r>
              <w:rPr>
                <w:rFonts w:hint="eastAsia" w:asciiTheme="minorEastAsia" w:hAnsiTheme="minorEastAsia" w:cstheme="minorEastAsia"/>
                <w:color w:val="000000" w:themeColor="text1"/>
                <w:position w:val="-6"/>
                <w:sz w:val="15"/>
                <w:szCs w:val="15"/>
                <w14:textFill>
                  <w14:solidFill>
                    <w14:schemeClr w14:val="tx1"/>
                  </w14:solidFill>
                </w14:textFill>
              </w:rPr>
              <w:object>
                <v:shape id="_x0000_i1025" o:spt="75" type="#_x0000_t75" style="height:15.45pt;width:25.2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r>
              <w:rPr>
                <w:rFonts w:hint="eastAsia" w:asciiTheme="minorEastAsia" w:hAnsiTheme="minorEastAsia" w:cstheme="minorEastAsia"/>
                <w:color w:val="000000" w:themeColor="text1"/>
                <w:sz w:val="15"/>
                <w:szCs w:val="15"/>
                <w14:textFill>
                  <w14:solidFill>
                    <w14:schemeClr w14:val="tx1"/>
                  </w14:solidFill>
                </w14:textFill>
              </w:rPr>
              <w:t>）</w:t>
            </w:r>
          </w:p>
        </w:tc>
        <w:tc>
          <w:tcPr>
            <w:tcW w:w="0" w:type="auto"/>
            <w:vAlign w:val="center"/>
          </w:tcPr>
          <w:p>
            <w:pPr>
              <w:spacing w:line="400" w:lineRule="exac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屈服强度（N/</w:t>
            </w:r>
            <w:r>
              <w:rPr>
                <w:rFonts w:hint="eastAsia" w:asciiTheme="minorEastAsia" w:hAnsiTheme="minorEastAsia" w:cstheme="minorEastAsia"/>
                <w:color w:val="000000" w:themeColor="text1"/>
                <w:position w:val="-6"/>
                <w:sz w:val="15"/>
                <w:szCs w:val="15"/>
                <w14:textFill>
                  <w14:solidFill>
                    <w14:schemeClr w14:val="tx1"/>
                  </w14:solidFill>
                </w14:textFill>
              </w:rPr>
              <w:object>
                <v:shape id="_x0000_i1026" o:spt="75" type="#_x0000_t75" style="height:15.45pt;width:25.2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8">
                  <o:LockedField>false</o:LockedField>
                </o:OLEObject>
              </w:object>
            </w:r>
            <w:r>
              <w:rPr>
                <w:rFonts w:hint="eastAsia" w:asciiTheme="minorEastAsia" w:hAnsiTheme="minorEastAsia" w:cstheme="minorEastAsia"/>
                <w:color w:val="000000" w:themeColor="text1"/>
                <w:sz w:val="15"/>
                <w:szCs w:val="15"/>
                <w14:textFill>
                  <w14:solidFill>
                    <w14:schemeClr w14:val="tx1"/>
                  </w14:solidFill>
                </w14:textFill>
              </w:rPr>
              <w:t>）</w:t>
            </w:r>
          </w:p>
        </w:tc>
        <w:tc>
          <w:tcPr>
            <w:tcW w:w="0" w:type="auto"/>
            <w:vAlign w:val="center"/>
          </w:tcPr>
          <w:p>
            <w:pPr>
              <w:spacing w:line="400" w:lineRule="exact"/>
              <w:ind w:firstLine="150" w:firstLineChars="1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伸长率（%）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ML15、ML15A</w:t>
            </w:r>
            <w:r>
              <w:rPr>
                <w:rFonts w:asciiTheme="minorEastAsia" w:hAnsiTheme="minorEastAsia" w:cstheme="minorEastAsia"/>
                <w:color w:val="000000" w:themeColor="text1"/>
                <w:sz w:val="15"/>
                <w:szCs w:val="15"/>
                <w14:textFill>
                  <w14:solidFill>
                    <w14:schemeClr w14:val="tx1"/>
                  </w14:solidFill>
                </w14:textFill>
              </w:rPr>
              <w:t>l</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≥400</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≥320</w:t>
            </w:r>
          </w:p>
        </w:tc>
        <w:tc>
          <w:tcPr>
            <w:tcW w:w="0" w:type="auto"/>
            <w:vAlign w:val="center"/>
          </w:tcPr>
          <w:p>
            <w:pPr>
              <w:spacing w:line="400" w:lineRule="exact"/>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≥14</w:t>
            </w:r>
          </w:p>
        </w:tc>
      </w:tr>
    </w:tbl>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w:t>
      </w:r>
      <w:r>
        <w:rPr>
          <w:rFonts w:hint="eastAsia" w:ascii="黑体" w:hAnsi="黑体" w:eastAsia="黑体" w:cstheme="minorEastAsia"/>
          <w:color w:val="000000" w:themeColor="text1"/>
          <w:szCs w:val="21"/>
          <w:lang w:val="en-US" w:eastAsia="zh-CN"/>
          <w14:textFill>
            <w14:solidFill>
              <w14:schemeClr w14:val="tx1"/>
            </w14:solidFill>
          </w14:textFill>
        </w:rPr>
        <w:t>5</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一个圆柱头栓钉的抗剪承载力设计值应符合式3</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规定：</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p>
    <w:p>
      <w:pPr>
        <w:ind w:firstLine="1440" w:firstLineChars="6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 w:val="24"/>
                <w:szCs w:val="24"/>
                <w14:textFill>
                  <w14:solidFill>
                    <w14:schemeClr w14:val="tx1"/>
                  </w14:solidFill>
                </w14:textFill>
              </w:rPr>
            </m:ctrlPr>
          </m:sSubSupPr>
          <m:e>
            <m:r>
              <w:rPr>
                <w:rFonts w:ascii="Cambria Math" w:hAnsi="Cambria Math" w:cstheme="minorEastAsia"/>
                <w:color w:val="000000" w:themeColor="text1"/>
                <w:sz w:val="24"/>
                <w:szCs w:val="24"/>
                <w14:textFill>
                  <w14:solidFill>
                    <w14:schemeClr w14:val="tx1"/>
                  </w14:solidFill>
                </w14:textFill>
              </w:rPr>
              <m:t>N</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v</m:t>
            </m:r>
            <m:ctrlPr>
              <w:rPr>
                <w:rFonts w:ascii="Cambria Math" w:hAnsi="Cambria Math" w:cstheme="minorEastAsia"/>
                <w:i/>
                <w:color w:val="000000" w:themeColor="text1"/>
                <w:sz w:val="24"/>
                <w:szCs w:val="24"/>
                <w14:textFill>
                  <w14:solidFill>
                    <w14:schemeClr w14:val="tx1"/>
                  </w14:solidFill>
                </w14:textFill>
              </w:rPr>
            </m:ctrlPr>
          </m:sub>
          <m:sup>
            <m:r>
              <w:rPr>
                <w:rFonts w:ascii="Cambria Math" w:hAnsi="Cambria Math" w:cstheme="minorEastAsia"/>
                <w:color w:val="000000" w:themeColor="text1"/>
                <w:sz w:val="24"/>
                <w:szCs w:val="24"/>
                <w14:textFill>
                  <w14:solidFill>
                    <w14:schemeClr w14:val="tx1"/>
                  </w14:solidFill>
                </w14:textFill>
              </w:rPr>
              <m:t>c</m:t>
            </m:r>
            <m:ctrlPr>
              <w:rPr>
                <w:rFonts w:ascii="Cambria Math" w:hAnsi="Cambria Math" w:cstheme="minorEastAsia"/>
                <w:i/>
                <w:color w:val="000000" w:themeColor="text1"/>
                <w:sz w:val="24"/>
                <w:szCs w:val="24"/>
                <w14:textFill>
                  <w14:solidFill>
                    <w14:schemeClr w14:val="tx1"/>
                  </w14:solidFill>
                </w14:textFill>
              </w:rPr>
            </m:ctrlPr>
          </m:sup>
        </m:sSubSup>
        <m:r>
          <w:rPr>
            <w:rFonts w:ascii="Cambria Math" w:hAnsi="Cambria Math" w:cstheme="minorEastAsia"/>
            <w:color w:val="000000" w:themeColor="text1"/>
            <w:sz w:val="24"/>
            <w:szCs w:val="24"/>
            <w14:textFill>
              <w14:solidFill>
                <w14:schemeClr w14:val="tx1"/>
              </w14:solidFill>
            </w14:textFill>
          </w:rPr>
          <m:t>=0.43</m:t>
        </m:r>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A</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s</m:t>
            </m:r>
            <m:ctrlPr>
              <w:rPr>
                <w:rFonts w:ascii="Cambria Math" w:hAnsi="Cambria Math" w:cstheme="minorEastAsia"/>
                <w:i/>
                <w:color w:val="000000" w:themeColor="text1"/>
                <w:sz w:val="24"/>
                <w:szCs w:val="24"/>
                <w14:textFill>
                  <w14:solidFill>
                    <w14:schemeClr w14:val="tx1"/>
                  </w14:solidFill>
                </w14:textFill>
              </w:rPr>
            </m:ctrlPr>
          </m:sub>
        </m:sSub>
        <m:rad>
          <m:radPr>
            <m:degHide m:val="1"/>
            <m:ctrlPr>
              <w:rPr>
                <w:rFonts w:ascii="Cambria Math" w:hAnsi="Cambria Math" w:cstheme="minorEastAsia"/>
                <w:i/>
                <w:color w:val="000000" w:themeColor="text1"/>
                <w:sz w:val="24"/>
                <w:szCs w:val="24"/>
                <w14:textFill>
                  <w14:solidFill>
                    <w14:schemeClr w14:val="tx1"/>
                  </w14:solidFill>
                </w14:textFill>
              </w:rPr>
            </m:ctrlPr>
          </m:radPr>
          <m:deg>
            <m:ctrlPr>
              <w:rPr>
                <w:rFonts w:ascii="Cambria Math" w:hAnsi="Cambria Math" w:cstheme="minorEastAsia"/>
                <w:i/>
                <w:color w:val="000000" w:themeColor="text1"/>
                <w:sz w:val="24"/>
                <w:szCs w:val="24"/>
                <w14:textFill>
                  <w14:solidFill>
                    <w14:schemeClr w14:val="tx1"/>
                  </w14:solidFill>
                </w14:textFill>
              </w:rPr>
            </m:ctrlPr>
          </m:deg>
          <m:e>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E</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c</m:t>
                </m:r>
                <m:ctrlPr>
                  <w:rPr>
                    <w:rFonts w:ascii="Cambria Math" w:hAnsi="Cambria Math" w:cstheme="minorEastAsia"/>
                    <w:i/>
                    <w:color w:val="000000" w:themeColor="text1"/>
                    <w:sz w:val="24"/>
                    <w:szCs w:val="24"/>
                    <w14:textFill>
                      <w14:solidFill>
                        <w14:schemeClr w14:val="tx1"/>
                      </w14:solidFill>
                    </w14:textFill>
                  </w:rPr>
                </m:ctrlPr>
              </m:sub>
            </m:sSub>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f</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c</m:t>
                </m:r>
                <m:ctrlPr>
                  <w:rPr>
                    <w:rFonts w:ascii="Cambria Math" w:hAnsi="Cambria Math" w:cstheme="minorEastAsia"/>
                    <w:i/>
                    <w:color w:val="000000" w:themeColor="text1"/>
                    <w:sz w:val="24"/>
                    <w:szCs w:val="24"/>
                    <w14:textFill>
                      <w14:solidFill>
                        <w14:schemeClr w14:val="tx1"/>
                      </w14:solidFill>
                    </w14:textFill>
                  </w:rPr>
                </m:ctrlPr>
              </m:sub>
            </m:sSub>
            <m:ctrlPr>
              <w:rPr>
                <w:rFonts w:ascii="Cambria Math" w:hAnsi="Cambria Math" w:cstheme="minorEastAsia"/>
                <w:i/>
                <w:color w:val="000000" w:themeColor="text1"/>
                <w:sz w:val="24"/>
                <w:szCs w:val="24"/>
                <w14:textFill>
                  <w14:solidFill>
                    <w14:schemeClr w14:val="tx1"/>
                  </w14:solidFill>
                </w14:textFill>
              </w:rPr>
            </m:ctrlPr>
          </m:e>
        </m:rad>
        <m:r>
          <w:rPr>
            <w:rFonts w:ascii="Cambria Math" w:hAnsi="Cambria Math" w:cstheme="minorEastAsia"/>
            <w:color w:val="000000" w:themeColor="text1"/>
            <w:sz w:val="24"/>
            <w:szCs w:val="24"/>
            <w14:textFill>
              <w14:solidFill>
                <w14:schemeClr w14:val="tx1"/>
              </w14:solidFill>
            </w14:textFill>
          </w:rPr>
          <m:t>≤0.7</m:t>
        </m:r>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A</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s</m:t>
            </m:r>
            <m:ctrlPr>
              <w:rPr>
                <w:rFonts w:ascii="Cambria Math" w:hAnsi="Cambria Math" w:cstheme="minorEastAsia"/>
                <w:i/>
                <w:color w:val="000000" w:themeColor="text1"/>
                <w:sz w:val="24"/>
                <w:szCs w:val="24"/>
                <w14:textFill>
                  <w14:solidFill>
                    <w14:schemeClr w14:val="tx1"/>
                  </w14:solidFill>
                </w14:textFill>
              </w:rPr>
            </m:ctrlPr>
          </m:sub>
        </m:sSub>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f</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u</m:t>
            </m:r>
            <m:ctrlPr>
              <w:rPr>
                <w:rFonts w:ascii="Cambria Math" w:hAnsi="Cambria Math" w:cstheme="minorEastAsia"/>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 w:val="24"/>
          <w:szCs w:val="24"/>
          <w14:textFill>
            <w14:solidFill>
              <w14:schemeClr w14:val="tx1"/>
            </w14:solidFill>
          </w14:textFill>
        </w:rPr>
      </w:pPr>
    </w:p>
    <w:p>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式中：</w:t>
      </w:r>
      <m:oMath>
        <m:sSubSup>
          <m:sSubSupPr>
            <m:ctrlPr>
              <w:rPr>
                <w:rFonts w:ascii="Cambria Math" w:hAnsiTheme="minorEastAsia" w:cstheme="minorEastAsia"/>
                <w:i/>
                <w:iCs/>
                <w:color w:val="000000" w:themeColor="text1"/>
                <w:szCs w:val="21"/>
                <w14:textFill>
                  <w14:solidFill>
                    <w14:schemeClr w14:val="tx1"/>
                  </w14:solidFill>
                </w14:textFill>
              </w:rPr>
            </m:ctrlPr>
          </m:sSubSupPr>
          <m:e>
            <m:r>
              <w:rPr>
                <w:rFonts w:ascii="Cambria Math" w:hAnsiTheme="minorEastAsia" w:cstheme="minorEastAsia"/>
                <w:color w:val="000000" w:themeColor="text1"/>
                <w:szCs w:val="21"/>
                <w14:textFill>
                  <w14:solidFill>
                    <w14:schemeClr w14:val="tx1"/>
                  </w14:solidFill>
                </w14:textFill>
              </w:rPr>
              <m:t>N</m:t>
            </m:r>
            <m:ctrlPr>
              <w:rPr>
                <w:rFonts w:ascii="Cambria Math" w:hAnsiTheme="minorEastAsia" w:cstheme="minorEastAsia"/>
                <w:i/>
                <w:iCs/>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v</m:t>
            </m:r>
            <m:ctrlPr>
              <w:rPr>
                <w:rFonts w:ascii="Cambria Math" w:hAnsiTheme="minorEastAsia" w:cstheme="minorEastAsia"/>
                <w:i/>
                <w:iCs/>
                <w:color w:val="000000" w:themeColor="text1"/>
                <w:szCs w:val="21"/>
                <w14:textFill>
                  <w14:solidFill>
                    <w14:schemeClr w14:val="tx1"/>
                  </w14:solidFill>
                </w14:textFill>
              </w:rPr>
            </m:ctrlPr>
          </m:sub>
          <m:sup>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iCs/>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 w:val="24"/>
          <w:szCs w:val="24"/>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栓钉的抗剪承载力设计值；</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Ec</m:t>
        </m:r>
      </m:oMath>
      <w:r>
        <w:rPr>
          <w:rFonts w:hint="eastAsia" w:asciiTheme="minorEastAsia" w:hAnsiTheme="minorEastAsia" w:cstheme="minorEastAsia"/>
          <w:color w:val="000000" w:themeColor="text1"/>
          <w:sz w:val="24"/>
          <w:szCs w:val="24"/>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混凝土弹性模量；</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w:t>
      </w:r>
      <m:oMath>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f</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c</m:t>
            </m:r>
            <m:ctrlPr>
              <w:rPr>
                <w:rFonts w:ascii="Cambria Math" w:hAnsi="Cambria Math" w:cstheme="minorEastAsia"/>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 w:val="24"/>
          <w:szCs w:val="24"/>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混凝土受压强度设计值；</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w:t>
      </w:r>
      <m:oMath>
        <m:sSub>
          <m:sSubPr>
            <m:ctrlPr>
              <w:rPr>
                <w:rFonts w:ascii="Cambria Math" w:hAnsi="Cambria Math" w:cstheme="minorEastAsia"/>
                <w:i/>
                <w:color w:val="000000" w:themeColor="text1"/>
                <w:sz w:val="24"/>
                <w:szCs w:val="24"/>
                <w14:textFill>
                  <w14:solidFill>
                    <w14:schemeClr w14:val="tx1"/>
                  </w14:solidFill>
                </w14:textFill>
              </w:rPr>
            </m:ctrlPr>
          </m:sSubPr>
          <m:e>
            <m:r>
              <w:rPr>
                <w:rFonts w:ascii="Cambria Math" w:hAnsi="Cambria Math" w:cstheme="minorEastAsia"/>
                <w:color w:val="000000" w:themeColor="text1"/>
                <w:sz w:val="24"/>
                <w:szCs w:val="24"/>
                <w14:textFill>
                  <w14:solidFill>
                    <w14:schemeClr w14:val="tx1"/>
                  </w14:solidFill>
                </w14:textFill>
              </w:rPr>
              <m:t>A</m:t>
            </m:r>
            <m:ctrlPr>
              <w:rPr>
                <w:rFonts w:ascii="Cambria Math" w:hAnsi="Cambria Math" w:cstheme="minorEastAsia"/>
                <w:i/>
                <w:color w:val="000000" w:themeColor="text1"/>
                <w:sz w:val="24"/>
                <w:szCs w:val="24"/>
                <w14:textFill>
                  <w14:solidFill>
                    <w14:schemeClr w14:val="tx1"/>
                  </w14:solidFill>
                </w14:textFill>
              </w:rPr>
            </m:ctrlPr>
          </m:e>
          <m:sub>
            <m:r>
              <w:rPr>
                <w:rFonts w:ascii="Cambria Math" w:hAnsi="Cambria Math" w:cstheme="minorEastAsia"/>
                <w:color w:val="000000" w:themeColor="text1"/>
                <w:sz w:val="24"/>
                <w:szCs w:val="24"/>
                <w14:textFill>
                  <w14:solidFill>
                    <w14:schemeClr w14:val="tx1"/>
                  </w14:solidFill>
                </w14:textFill>
              </w:rPr>
              <m:t>s</m:t>
            </m:r>
            <m:ctrlPr>
              <w:rPr>
                <w:rFonts w:ascii="Cambria Math" w:hAnsi="Cambria Math" w:cstheme="minorEastAsia"/>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 w:val="24"/>
          <w:szCs w:val="24"/>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圆柱头栓钉钉杆截面面积；</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 xml:space="preserve">      </w:t>
      </w:r>
      <m:oMath>
        <m:sSub>
          <m:sSubPr>
            <m:ctrlPr>
              <w:rPr>
                <w:rFonts w:ascii="Cambria Math" w:hAnsiTheme="minorEastAsia" w:cstheme="minorEastAsia"/>
                <w:i/>
                <w:color w:val="000000" w:themeColor="text1"/>
                <w:sz w:val="24"/>
                <w:szCs w:val="24"/>
                <w14:textFill>
                  <w14:solidFill>
                    <w14:schemeClr w14:val="tx1"/>
                  </w14:solidFill>
                </w14:textFill>
              </w:rPr>
            </m:ctrlPr>
          </m:sSubPr>
          <m:e>
            <m:r>
              <w:rPr>
                <w:rFonts w:ascii="Cambria Math" w:hAnsiTheme="minorEastAsia" w:cstheme="minorEastAsia"/>
                <w:color w:val="000000" w:themeColor="text1"/>
                <w:sz w:val="24"/>
                <w:szCs w:val="24"/>
                <w14:textFill>
                  <w14:solidFill>
                    <w14:schemeClr w14:val="tx1"/>
                  </w14:solidFill>
                </w14:textFill>
              </w:rPr>
              <m:t>f</m:t>
            </m:r>
            <m:ctrlPr>
              <w:rPr>
                <w:rFonts w:ascii="Cambria Math" w:hAnsiTheme="minorEastAsia" w:cstheme="minorEastAsia"/>
                <w:i/>
                <w:color w:val="000000" w:themeColor="text1"/>
                <w:sz w:val="24"/>
                <w:szCs w:val="24"/>
                <w14:textFill>
                  <w14:solidFill>
                    <w14:schemeClr w14:val="tx1"/>
                  </w14:solidFill>
                </w14:textFill>
              </w:rPr>
            </m:ctrlPr>
          </m:e>
          <m:sub>
            <m:r>
              <w:rPr>
                <w:rFonts w:ascii="Cambria Math" w:hAnsiTheme="minorEastAsia" w:cstheme="minorEastAsia"/>
                <w:color w:val="000000" w:themeColor="text1"/>
                <w:sz w:val="24"/>
                <w:szCs w:val="24"/>
                <w14:textFill>
                  <w14:solidFill>
                    <w14:schemeClr w14:val="tx1"/>
                  </w14:solidFill>
                </w14:textFill>
              </w:rPr>
              <m:t>u</m:t>
            </m:r>
            <m:ctrlPr>
              <w:rPr>
                <w:rFonts w:ascii="Cambria Math" w:hAnsiTheme="minorEastAsia" w:cstheme="minorEastAsia"/>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 w:val="24"/>
          <w:szCs w:val="24"/>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圆柱头栓钉极限抗拉强度设计值，取360N/</w:t>
      </w:r>
      <m:oMath>
        <m:r>
          <w:rPr>
            <w:rFonts w:ascii="Cambria Math" w:hAnsiTheme="minorEastAsia" w:cstheme="minorEastAsia"/>
            <w:color w:val="000000" w:themeColor="text1"/>
            <w:szCs w:val="21"/>
            <w14:textFill>
              <w14:solidFill>
                <w14:schemeClr w14:val="tx1"/>
              </w14:solidFill>
            </w14:textFill>
          </w:rPr>
          <m:t>m</m:t>
        </m:r>
        <m:sSup>
          <m:sSupPr>
            <m:ctrlPr>
              <w:rPr>
                <w:rFonts w:ascii="Cambria Math" w:hAnsiTheme="minorEastAsia" w:cstheme="minorEastAsia"/>
                <w:i/>
                <w:color w:val="000000" w:themeColor="text1"/>
                <w:szCs w:val="21"/>
                <w14:textFill>
                  <w14:solidFill>
                    <w14:schemeClr w14:val="tx1"/>
                  </w14:solidFill>
                </w14:textFill>
              </w:rPr>
            </m:ctrlPr>
          </m:sSupPr>
          <m:e>
            <m:r>
              <w:rPr>
                <w:rFonts w:ascii="Cambria Math" w:hAnsiTheme="minorEastAsia" w:cstheme="minorEastAsia"/>
                <w:color w:val="000000" w:themeColor="text1"/>
                <w:szCs w:val="21"/>
                <w14:textFill>
                  <w14:solidFill>
                    <w14:schemeClr w14:val="tx1"/>
                  </w14:solidFill>
                </w14:textFill>
              </w:rPr>
              <m:t>m</m:t>
            </m:r>
            <m:ctrlPr>
              <w:rPr>
                <w:rFonts w:ascii="Cambria Math" w:hAnsiTheme="minorEastAsia" w:cstheme="minorEastAsia"/>
                <w:i/>
                <w:color w:val="000000" w:themeColor="text1"/>
                <w:szCs w:val="21"/>
                <w14:textFill>
                  <w14:solidFill>
                    <w14:schemeClr w14:val="tx1"/>
                  </w14:solidFill>
                </w14:textFill>
              </w:rPr>
            </m:ctrlPr>
          </m:e>
          <m:sup>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w:t>
      </w:r>
    </w:p>
    <w:p>
      <w:pPr>
        <w:rPr>
          <w:rFonts w:hint="eastAsia"/>
          <w:color w:val="0070C0"/>
        </w:rPr>
      </w:pPr>
    </w:p>
    <w:p>
      <w:pPr>
        <w:ind w:firstLine="420" w:firstLineChars="200"/>
        <w:rPr>
          <w:rFonts w:hint="eastAsia"/>
          <w:color w:val="0070C0"/>
          <w:lang w:val="en-US" w:eastAsia="zh-CN"/>
        </w:rPr>
      </w:pPr>
      <w:r>
        <w:rPr>
          <w:rFonts w:hint="eastAsia"/>
          <w:color w:val="0070C0"/>
        </w:rPr>
        <w:t>条文说明：</w:t>
      </w:r>
      <w:r>
        <w:rPr>
          <w:color w:val="0070C0"/>
        </w:rPr>
        <w:t>3.</w:t>
      </w:r>
      <w:r>
        <w:rPr>
          <w:rFonts w:hint="eastAsia"/>
          <w:color w:val="0070C0"/>
          <w:lang w:val="en-US" w:eastAsia="zh-CN"/>
        </w:rPr>
        <w:t>2.4~3.2.5 栓钉的材料选用及承载力计算按《组合结构设计规范》执行。</w:t>
      </w:r>
    </w:p>
    <w:p>
      <w:pPr>
        <w:ind w:firstLine="630" w:firstLineChars="300"/>
        <w:rPr>
          <w:rFonts w:hint="default"/>
          <w:color w:val="0070C0"/>
          <w:lang w:val="en-US" w:eastAsia="zh-CN"/>
        </w:rPr>
      </w:pP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w:t>
      </w:r>
      <w:r>
        <w:rPr>
          <w:rFonts w:hint="eastAsia" w:ascii="黑体" w:hAnsi="黑体" w:eastAsia="黑体" w:cstheme="minorEastAsia"/>
          <w:color w:val="000000" w:themeColor="text1"/>
          <w:szCs w:val="21"/>
          <w:lang w:val="en-US" w:eastAsia="zh-CN"/>
          <w14:textFill>
            <w14:solidFill>
              <w14:schemeClr w14:val="tx1"/>
            </w14:solidFill>
          </w14:textFill>
        </w:rPr>
        <w:t>6</w:t>
      </w:r>
      <w:r>
        <w:rPr>
          <w:rFonts w:hint="eastAsia" w:asciiTheme="minorEastAsia" w:hAnsiTheme="minorEastAsia" w:cstheme="minorEastAsia"/>
          <w:b/>
          <w:bCs/>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波纹钢板组合框架结构中钢筋的选用应符合下列规定：</w:t>
      </w:r>
    </w:p>
    <w:p>
      <w:pPr>
        <w:ind w:left="59" w:leftChars="28"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普通钢筋及预应力筋的材料性能应符合现行国家标准《混凝土结构设计规范》GB50010 的规定；预应力筋用锚具和连接器选用的规定应符合现行国家标准《预应力混凝土结构设计规范》JGJ369的相关规定。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普通钢筋宜采用热轧带肋钢筋，当采用现行国家标准《钢筋混凝土用钢 第2部分：热轧带肋钢筋》G</w:t>
      </w:r>
      <w:r>
        <w:rPr>
          <w:rFonts w:asciiTheme="minorEastAsia" w:hAnsiTheme="minorEastAsia" w:cstheme="minorEastAsia"/>
          <w:color w:val="000000" w:themeColor="text1"/>
          <w:szCs w:val="21"/>
          <w14:textFill>
            <w14:solidFill>
              <w14:schemeClr w14:val="tx1"/>
            </w14:solidFill>
          </w14:textFill>
        </w:rPr>
        <w:t>B1499.2</w:t>
      </w:r>
      <w:r>
        <w:rPr>
          <w:rFonts w:hint="eastAsia" w:asciiTheme="minorEastAsia" w:hAnsiTheme="minorEastAsia" w:cstheme="minorEastAsia"/>
          <w:color w:val="000000" w:themeColor="text1"/>
          <w:szCs w:val="21"/>
          <w14:textFill>
            <w14:solidFill>
              <w14:schemeClr w14:val="tx1"/>
            </w14:solidFill>
          </w14:textFill>
        </w:rPr>
        <w:t>中牌号带“E”的热轧带肋钢筋时，其强度和弹性模量应按《混凝土设计规范》G</w:t>
      </w:r>
      <w:r>
        <w:rPr>
          <w:rFonts w:asciiTheme="minorEastAsia" w:hAnsiTheme="minorEastAsia" w:cstheme="minorEastAsia"/>
          <w:color w:val="000000" w:themeColor="text1"/>
          <w:szCs w:val="21"/>
          <w14:textFill>
            <w14:solidFill>
              <w14:schemeClr w14:val="tx1"/>
            </w14:solidFill>
          </w14:textFill>
        </w:rPr>
        <w:t>B50010</w:t>
      </w:r>
      <w:r>
        <w:rPr>
          <w:rFonts w:hint="eastAsia" w:asciiTheme="minorEastAsia" w:hAnsiTheme="minorEastAsia" w:cstheme="minorEastAsia"/>
          <w:color w:val="000000" w:themeColor="text1"/>
          <w:szCs w:val="21"/>
          <w14:textFill>
            <w14:solidFill>
              <w14:schemeClr w14:val="tx1"/>
            </w14:solidFill>
          </w14:textFill>
        </w:rPr>
        <w:t>的有关规定采用。</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按一、二、三级抗震等级设计的框架和斜撑构件的纵向受力普通钢筋，其抗拉强度实测值与屈服强度实测值的比值不应小于1</w:t>
      </w:r>
      <w:r>
        <w:rPr>
          <w:rFonts w:asciiTheme="minorEastAsia" w:hAnsiTheme="minorEastAsia" w:cstheme="minorEastAsia"/>
          <w:color w:val="000000" w:themeColor="text1"/>
          <w:szCs w:val="21"/>
          <w14:textFill>
            <w14:solidFill>
              <w14:schemeClr w14:val="tx1"/>
            </w14:solidFill>
          </w14:textFill>
        </w:rPr>
        <w:t>.25</w:t>
      </w:r>
      <w:r>
        <w:rPr>
          <w:rFonts w:hint="eastAsia" w:asciiTheme="minorEastAsia" w:hAnsiTheme="minorEastAsia" w:cstheme="minorEastAsia"/>
          <w:color w:val="000000" w:themeColor="text1"/>
          <w:szCs w:val="21"/>
          <w14:textFill>
            <w14:solidFill>
              <w14:schemeClr w14:val="tx1"/>
            </w14:solidFill>
          </w14:textFill>
        </w:rPr>
        <w:t>，屈服强度实测值与屈服强度标准值的比值不应大于1</w:t>
      </w:r>
      <w:r>
        <w:rPr>
          <w:rFonts w:asciiTheme="minorEastAsia" w:hAnsiTheme="minorEastAsia" w:cstheme="minorEastAsia"/>
          <w:color w:val="000000" w:themeColor="text1"/>
          <w:szCs w:val="21"/>
          <w14:textFill>
            <w14:solidFill>
              <w14:schemeClr w14:val="tx1"/>
            </w14:solidFill>
          </w14:textFill>
        </w:rPr>
        <w:t>.30</w:t>
      </w:r>
      <w:r>
        <w:rPr>
          <w:rFonts w:hint="eastAsia" w:asciiTheme="minorEastAsia" w:hAnsiTheme="minorEastAsia" w:cstheme="minorEastAsia"/>
          <w:color w:val="000000" w:themeColor="text1"/>
          <w:szCs w:val="21"/>
          <w14:textFill>
            <w14:solidFill>
              <w14:schemeClr w14:val="tx1"/>
            </w14:solidFill>
          </w14:textFill>
        </w:rPr>
        <w:t>，最大拉力下的总伸长率实测值不应小于</w:t>
      </w:r>
      <w:r>
        <w:rPr>
          <w:rFonts w:asciiTheme="minorEastAsia" w:hAnsiTheme="minorEastAsia" w:cstheme="minorEastAsia"/>
          <w:color w:val="000000" w:themeColor="text1"/>
          <w:szCs w:val="21"/>
          <w14:textFill>
            <w14:solidFill>
              <w14:schemeClr w14:val="tx1"/>
            </w14:solidFill>
          </w14:textFill>
        </w:rPr>
        <w:t>9%。</w:t>
      </w:r>
    </w:p>
    <w:p>
      <w:pPr>
        <w:ind w:firstLine="420" w:firstLineChars="200"/>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2.6 钢筋的选用按《混凝土结构设计规范》执行。</w:t>
      </w:r>
    </w:p>
    <w:p>
      <w:pPr>
        <w:spacing w:before="156" w:beforeLines="50" w:after="156" w:afterLines="50" w:line="400" w:lineRule="exact"/>
        <w:jc w:val="center"/>
        <w:outlineLvl w:val="1"/>
        <w:rPr>
          <w:rFonts w:asciiTheme="minorEastAsia" w:hAnsiTheme="minorEastAsia"/>
          <w:color w:val="000000" w:themeColor="text1"/>
          <w:sz w:val="24"/>
          <w:szCs w:val="24"/>
          <w14:textFill>
            <w14:solidFill>
              <w14:schemeClr w14:val="tx1"/>
            </w14:solidFill>
          </w14:textFill>
        </w:rPr>
      </w:pPr>
      <w:bookmarkStart w:id="29" w:name="_Toc28706877"/>
      <w:bookmarkStart w:id="30" w:name="_Toc18493255"/>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 xml:space="preserve"> 结构体系和规则性要求</w:t>
      </w:r>
      <w:bookmarkEnd w:id="29"/>
      <w:bookmarkEnd w:id="30"/>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波纹钢板组合框架结构体系应与实际建筑功能相匹配。</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波纹钢板组合框架结构可与装配式混凝土结构、钢结构等预制装配系统同时使用。</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框架柱沿房屋高度宜采用同类结构构件。当采用不同类型结构构件时，应符合本规程有关柱与柱连接的构造的规定。</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 w:val="24"/>
          <w:szCs w:val="24"/>
          <w14:textFill>
            <w14:solidFill>
              <w14:schemeClr w14:val="tx1"/>
            </w14:solidFill>
          </w14:textFill>
        </w:rPr>
        <w:t xml:space="preserve"> </w:t>
      </w:r>
      <w:bookmarkStart w:id="31" w:name="_Hlk28603977"/>
      <w:r>
        <w:rPr>
          <w:rFonts w:hint="eastAsia" w:asciiTheme="minorEastAsia" w:hAnsiTheme="minorEastAsia" w:cstheme="minorEastAsia"/>
          <w:color w:val="000000" w:themeColor="text1"/>
          <w:szCs w:val="21"/>
          <w14:textFill>
            <w14:solidFill>
              <w14:schemeClr w14:val="tx1"/>
            </w14:solidFill>
          </w14:textFill>
        </w:rPr>
        <w:t>波纹钢板组合框架结构，当框架梁为钢梁时，部分柱可采用钢管混凝土柱，钢管混凝土柱及节点应符合现行国家标准《钢管混凝土结构技术规范》G</w:t>
      </w:r>
      <w:r>
        <w:rPr>
          <w:rFonts w:asciiTheme="minorEastAsia" w:hAnsiTheme="minorEastAsia" w:cstheme="minorEastAsia"/>
          <w:color w:val="000000" w:themeColor="text1"/>
          <w:szCs w:val="21"/>
          <w14:textFill>
            <w14:solidFill>
              <w14:schemeClr w14:val="tx1"/>
            </w14:solidFill>
          </w14:textFill>
        </w:rPr>
        <w:t>B 50936</w:t>
      </w:r>
      <w:r>
        <w:rPr>
          <w:rFonts w:hint="eastAsia" w:asciiTheme="minorEastAsia" w:hAnsiTheme="minorEastAsia" w:cstheme="minorEastAsia"/>
          <w:color w:val="000000" w:themeColor="text1"/>
          <w:szCs w:val="21"/>
          <w14:textFill>
            <w14:solidFill>
              <w14:schemeClr w14:val="tx1"/>
            </w14:solidFill>
          </w14:textFill>
        </w:rPr>
        <w:t>的规定。</w:t>
      </w:r>
      <w:bookmarkEnd w:id="31"/>
    </w:p>
    <w:p>
      <w:pPr>
        <w:ind w:firstLine="420" w:firstLineChars="200"/>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3.1~3.3.4 对于各种装配式结构，可根据建筑功能的需求灵活择优选用不同形式的构件及结构体系，打通各种结构形式之间的壁垒，同时需进行整体分析，注重结构抗侧力构件的竖向连贯性。</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波纹钢板组合框架结构的楼盖结构应具有良好的水平刚度和整体性，对转换层、加强层以及有大开洞楼层，宜采取有效技术措施确保水平力的可靠传递。</w:t>
      </w:r>
    </w:p>
    <w:p>
      <w:pPr>
        <w:ind w:firstLine="420" w:firstLineChars="200"/>
        <w:rPr>
          <w:rFonts w:asciiTheme="minorEastAsia" w:hAnsiTheme="minorEastAsia" w:cstheme="minorEastAsia"/>
          <w:color w:val="000000" w:themeColor="text1"/>
          <w:sz w:val="24"/>
          <w:szCs w:val="24"/>
          <w14:textFill>
            <w14:solidFill>
              <w14:schemeClr w14:val="tx1"/>
            </w14:solidFill>
          </w14:textFill>
        </w:rPr>
      </w:pPr>
      <w:r>
        <w:rPr>
          <w:rFonts w:hint="eastAsia"/>
          <w:color w:val="0070C0"/>
        </w:rPr>
        <w:t>条文说明：</w:t>
      </w:r>
      <w:r>
        <w:rPr>
          <w:rFonts w:hint="eastAsia"/>
          <w:color w:val="0070C0"/>
          <w:lang w:val="en-US" w:eastAsia="zh-CN"/>
        </w:rPr>
        <w:t xml:space="preserve">3.3.5 </w:t>
      </w:r>
      <w:r>
        <w:rPr>
          <w:rFonts w:hint="eastAsia"/>
          <w:color w:val="0070C0"/>
        </w:rPr>
        <w:t>对转换层、加强层以及有大开洞楼层，宜采用钢筋桁架组合楼板或优肋免拆模组合楼板，当采用压型钢板组合楼板（开口型、缩口形、闭口型）时，宜增加楼板的有效厚度。</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波纹钢板组合框架结构的建筑设计应根据抗震概念设计的要求，明确建筑形体的规则性；宜择优选用规则的形体；不规则的建筑方案应按现行国家标准《建筑抗震设计规范》G</w:t>
      </w:r>
      <w:r>
        <w:rPr>
          <w:rFonts w:asciiTheme="minorEastAsia" w:hAnsiTheme="minorEastAsia" w:cstheme="minorEastAsia"/>
          <w:color w:val="000000" w:themeColor="text1"/>
          <w:szCs w:val="21"/>
          <w14:textFill>
            <w14:solidFill>
              <w14:schemeClr w14:val="tx1"/>
            </w14:solidFill>
          </w14:textFill>
        </w:rPr>
        <w:t>B50011</w:t>
      </w:r>
      <w:r>
        <w:rPr>
          <w:rFonts w:hint="eastAsia" w:asciiTheme="minorEastAsia" w:hAnsiTheme="minorEastAsia" w:cstheme="minorEastAsia"/>
          <w:color w:val="000000" w:themeColor="text1"/>
          <w:szCs w:val="21"/>
          <w14:textFill>
            <w14:solidFill>
              <w14:schemeClr w14:val="tx1"/>
            </w14:solidFill>
          </w14:textFill>
        </w:rPr>
        <w:t>的规定采取加强措施；特别不规则的建筑方案，应进行专门研究和论证，采用特别的加强措施；严重不规则的方案不应采用。建筑形体及其结构布置的规则性判别原则应按《建筑抗震设计规范》G</w:t>
      </w:r>
      <w:r>
        <w:rPr>
          <w:rFonts w:asciiTheme="minorEastAsia" w:hAnsiTheme="minorEastAsia" w:cstheme="minorEastAsia"/>
          <w:color w:val="000000" w:themeColor="text1"/>
          <w:szCs w:val="21"/>
          <w14:textFill>
            <w14:solidFill>
              <w14:schemeClr w14:val="tx1"/>
            </w14:solidFill>
          </w14:textFill>
        </w:rPr>
        <w:t>B50011</w:t>
      </w:r>
      <w:r>
        <w:rPr>
          <w:rFonts w:hint="eastAsia" w:asciiTheme="minorEastAsia" w:hAnsiTheme="minorEastAsia" w:cstheme="minorEastAsia"/>
          <w:color w:val="000000" w:themeColor="text1"/>
          <w:szCs w:val="21"/>
          <w14:textFill>
            <w14:solidFill>
              <w14:schemeClr w14:val="tx1"/>
            </w14:solidFill>
          </w14:textFill>
        </w:rPr>
        <w:t>执行。</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7</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及其抗侧力结构的的平面布置宜规则、对称，并应具有良好的整体性；在满足建筑使用功能要求的条件下，应避免平面布置凸出或凹进所产生的传力中断现象；建筑的立面和竖向剖面宜规则，结构的侧向刚度沿竖向宜均匀变化，竖向抗侧力构件的截面尺寸和材料强度宜自下而上逐渐减小，应避免抗侧力结构的侧向刚度和承载力突变。</w:t>
      </w:r>
    </w:p>
    <w:p>
      <w:pPr>
        <w:ind w:firstLine="420" w:firstLineChars="200"/>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w:t>
      </w:r>
      <w:r>
        <w:rPr>
          <w:rFonts w:hint="eastAsia"/>
          <w:color w:val="0070C0"/>
          <w:lang w:val="en-US" w:eastAsia="zh-CN"/>
        </w:rPr>
        <w:t>3.3.6~3.3.7 按《抗震设计规范》的要求，对结构的规则性进行规定。</w:t>
      </w: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32" w:name="_Toc28706878"/>
      <w:bookmarkStart w:id="33" w:name="_Toc18493257"/>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水平位移和舒适度要求</w:t>
      </w:r>
      <w:bookmarkEnd w:id="32"/>
      <w:bookmarkEnd w:id="33"/>
    </w:p>
    <w:p>
      <w:pPr>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1</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波纹钢板组合框架结构在风荷载或多遇地震标准值作用下,按弹性分析方法计算所得的最大楼层层间位移与层高之比</w:t>
      </w:r>
      <m:oMath>
        <m:r>
          <w:rPr>
            <w:rFonts w:ascii="Cambria Math" w:hAnsi="Cambria Math" w:cstheme="minorEastAsia"/>
            <w:color w:val="000000" w:themeColor="text1"/>
            <w:szCs w:val="21"/>
            <w14:textFill>
              <w14:solidFill>
                <w14:schemeClr w14:val="tx1"/>
              </w14:solidFill>
            </w14:textFill>
          </w:rPr>
          <m:t>△u/h</m:t>
        </m:r>
      </m:oMath>
      <w:r>
        <w:rPr>
          <w:rFonts w:hint="eastAsia" w:asciiTheme="minorEastAsia" w:hAnsiTheme="minorEastAsia" w:cstheme="minorEastAsia"/>
          <w:color w:val="000000" w:themeColor="text1"/>
          <w:szCs w:val="21"/>
          <w14:textFill>
            <w14:solidFill>
              <w14:schemeClr w14:val="tx1"/>
            </w14:solidFill>
          </w14:textFill>
        </w:rPr>
        <w:t>不宜大于表3.4.</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的限值。</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表3.4.</w:t>
      </w:r>
      <w:r>
        <w:rPr>
          <w:rFonts w:ascii="黑体" w:hAnsi="黑体" w:eastAsia="黑体" w:cstheme="minorEastAsia"/>
          <w:color w:val="000000" w:themeColor="text1"/>
          <w:sz w:val="18"/>
          <w:szCs w:val="18"/>
          <w14:textFill>
            <w14:solidFill>
              <w14:schemeClr w14:val="tx1"/>
            </w14:solidFill>
          </w14:textFill>
        </w:rPr>
        <w:t>1</w:t>
      </w:r>
      <w:r>
        <w:rPr>
          <w:rFonts w:hint="eastAsia" w:ascii="黑体" w:hAnsi="黑体" w:eastAsia="黑体" w:cstheme="minorEastAsia"/>
          <w:color w:val="000000" w:themeColor="text1"/>
          <w:sz w:val="18"/>
          <w:szCs w:val="18"/>
          <w14:textFill>
            <w14:solidFill>
              <w14:schemeClr w14:val="tx1"/>
            </w14:solidFill>
          </w14:textFill>
        </w:rPr>
        <w:t xml:space="preserve"> 波纹钢板组合框架结构弹性层间位移与层高之比</w:t>
      </w:r>
      <m:oMath>
        <m:r>
          <w:rPr>
            <w:rFonts w:ascii="Cambria Math" w:hAnsi="Cambria Math" w:cstheme="minorEastAsia"/>
            <w:color w:val="000000" w:themeColor="text1"/>
            <w:szCs w:val="21"/>
            <w14:textFill>
              <w14:solidFill>
                <w14:schemeClr w14:val="tx1"/>
              </w14:solidFill>
            </w14:textFill>
          </w:rPr>
          <m:t>△u/h</m:t>
        </m:r>
      </m:oMath>
      <w:r>
        <w:rPr>
          <w:rFonts w:hint="eastAsia" w:ascii="黑体" w:hAnsi="黑体" w:eastAsia="黑体" w:cstheme="minorEastAsia"/>
          <w:color w:val="000000" w:themeColor="text1"/>
          <w:sz w:val="18"/>
          <w:szCs w:val="18"/>
          <w14:textFill>
            <w14:solidFill>
              <w14:schemeClr w14:val="tx1"/>
            </w14:solidFill>
          </w14:textFill>
        </w:rPr>
        <w:t>限值</w:t>
      </w:r>
    </w:p>
    <w:tbl>
      <w:tblPr>
        <w:tblStyle w:val="23"/>
        <w:tblW w:w="4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641"/>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451" w:type="dxa"/>
            <w:gridSpan w:val="2"/>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结构类型</w:t>
            </w:r>
          </w:p>
        </w:tc>
        <w:tc>
          <w:tcPr>
            <w:tcW w:w="59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810"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框架，框架-支撑</w:t>
            </w:r>
          </w:p>
        </w:tc>
        <w:tc>
          <w:tcPr>
            <w:tcW w:w="164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甲壳柱-钢梁</w:t>
            </w:r>
          </w:p>
        </w:tc>
        <w:tc>
          <w:tcPr>
            <w:tcW w:w="59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164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甲壳柱-甲壳梁</w:t>
            </w:r>
          </w:p>
        </w:tc>
        <w:tc>
          <w:tcPr>
            <w:tcW w:w="59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0"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164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甲壳柱-钢筋混凝土梁</w:t>
            </w:r>
          </w:p>
        </w:tc>
        <w:tc>
          <w:tcPr>
            <w:tcW w:w="59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1/450</w:t>
            </w:r>
          </w:p>
        </w:tc>
      </w:tr>
    </w:tbl>
    <w:p>
      <w:pPr>
        <w:ind w:firstLine="420" w:firstLineChars="200"/>
        <w:rPr>
          <w:rFonts w:hint="eastAsia"/>
          <w:color w:val="0070C0"/>
        </w:rPr>
      </w:pPr>
    </w:p>
    <w:p>
      <w:pPr>
        <w:ind w:firstLine="420" w:firstLineChars="200"/>
        <w:rPr>
          <w:rFonts w:hint="eastAsia"/>
          <w:color w:val="0070C0"/>
          <w:lang w:val="en-US" w:eastAsia="zh-CN"/>
        </w:rPr>
      </w:pPr>
      <w:r>
        <w:rPr>
          <w:rFonts w:hint="eastAsia"/>
          <w:color w:val="0070C0"/>
        </w:rPr>
        <w:t>条文说明：</w:t>
      </w:r>
      <w:r>
        <w:rPr>
          <w:rFonts w:hint="eastAsia"/>
          <w:color w:val="0070C0"/>
          <w:lang w:val="en-US" w:eastAsia="zh-CN"/>
        </w:rPr>
        <w:t>3.4.1 结构试验表明，甲壳柱-甲壳梁框架结构在层间位移角达到1/300前均保持弹性，甲壳柱-钢梁框架结构在层间位移角达到1/250前均保持弹性。3.4.1表中的限值，甲壳柱-钢梁按《钢管混凝土结构技术规范》取值，甲壳柱-甲壳梁取钢结构与混凝土结构的中间值，甲壳柱-混凝土梁取更严格。</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波纹钢板组合框架结构在罕遇地震作用下的薄弱层弹塑性位移与层高之比</w:t>
      </w:r>
      <m:oMath>
        <m:r>
          <w:rPr>
            <w:rFonts w:ascii="Cambria Math" w:hAnsi="Cambria Math" w:cstheme="minorEastAsia"/>
            <w:color w:val="000000" w:themeColor="text1"/>
            <w:szCs w:val="21"/>
            <w14:textFill>
              <w14:solidFill>
                <w14:schemeClr w14:val="tx1"/>
              </w14:solidFill>
            </w14:textFill>
          </w:rPr>
          <m:t>△u/h</m:t>
        </m:r>
      </m:oMath>
      <w:r>
        <w:rPr>
          <w:rFonts w:hint="eastAsia" w:asciiTheme="minorEastAsia" w:hAnsiTheme="minorEastAsia" w:cstheme="minorEastAsia"/>
          <w:color w:val="000000" w:themeColor="text1"/>
          <w:szCs w:val="21"/>
          <w14:textFill>
            <w14:solidFill>
              <w14:schemeClr w14:val="tx1"/>
            </w14:solidFill>
          </w14:textFill>
        </w:rPr>
        <w:t>，不应大于1</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w:t>
      </w:r>
    </w:p>
    <w:p>
      <w:pPr>
        <w:rPr>
          <w:rFonts w:hint="eastAsia"/>
          <w:color w:val="0070C0"/>
          <w:lang w:val="en-US" w:eastAsia="zh-CN"/>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hint="eastAsia"/>
          <w:color w:val="0070C0"/>
        </w:rPr>
        <w:t>条文说明：</w:t>
      </w:r>
      <w:r>
        <w:rPr>
          <w:rFonts w:hint="eastAsia"/>
          <w:color w:val="0070C0"/>
          <w:lang w:val="en-US" w:eastAsia="zh-CN"/>
        </w:rPr>
        <w:t>3.4.2 结构试验表明，甲壳柱-甲壳梁及甲壳柱-钢梁框架结构的破坏位移角，均大于1/40,本条规定与《建筑抗震设计规范》保持一致。</w:t>
      </w:r>
    </w:p>
    <w:p>
      <w:pPr>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波纹钢板组合框架结构应用于不小于1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0m的高层民用建筑结构时，应满足风振舒适度要求。在现行国家标准《建筑结构荷载规范》GB50009 规定的 10 年一遇的风荷载标准值作用下，结构顶点的顺风向和横风向振动最大加速度计算值不应大于表 3.</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的限值。结构顶点的顺风向和横风向振动最大加速度，可按现行国家标准《建筑结构荷载规范》GB50009 的有关规定计算，也可通过风洞试验结果判断确定</w:t>
      </w:r>
      <w:r>
        <w:rPr>
          <w:rFonts w:hint="eastAsia" w:asciiTheme="minorEastAsia" w:hAnsiTheme="minorEastAsia" w:cstheme="minorEastAsia"/>
          <w:color w:val="000000" w:themeColor="text1"/>
          <w:sz w:val="24"/>
          <w:szCs w:val="24"/>
          <w14:textFill>
            <w14:solidFill>
              <w14:schemeClr w14:val="tx1"/>
            </w14:solidFill>
          </w14:textFill>
        </w:rPr>
        <w:t>。</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w:t>
      </w:r>
      <w:r>
        <w:rPr>
          <w:rFonts w:ascii="黑体" w:hAnsi="黑体" w:eastAsia="黑体" w:cstheme="minorEastAsia"/>
          <w:color w:val="000000" w:themeColor="text1"/>
          <w:sz w:val="18"/>
          <w:szCs w:val="18"/>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3</w:t>
      </w:r>
      <w:r>
        <w:rPr>
          <w:rFonts w:hint="eastAsia" w:ascii="黑体" w:hAnsi="黑体" w:eastAsia="黑体" w:cstheme="minorEastAsia"/>
          <w:color w:val="000000" w:themeColor="text1"/>
          <w:sz w:val="18"/>
          <w:szCs w:val="18"/>
          <w14:textFill>
            <w14:solidFill>
              <w14:schemeClr w14:val="tx1"/>
            </w14:solidFill>
          </w14:textFill>
        </w:rPr>
        <w:t xml:space="preserve"> 波纹钢板组合框架结构顶点的顺风向和横风向风振加速度限值</w:t>
      </w:r>
    </w:p>
    <w:tbl>
      <w:tblPr>
        <w:tblStyle w:val="23"/>
        <w:tblW w:w="2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使用功能</w:t>
            </w:r>
          </w:p>
        </w:tc>
        <w:tc>
          <w:tcPr>
            <w:tcW w:w="18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风振加速度限值（m</w:t>
            </w:r>
            <w:r>
              <w:rPr>
                <w:rFonts w:asciiTheme="minorEastAsia" w:hAnsiTheme="minorEastAsia" w:cstheme="minorEastAsia"/>
                <w:color w:val="000000" w:themeColor="text1"/>
                <w:sz w:val="15"/>
                <w:szCs w:val="15"/>
                <w14:textFill>
                  <w14:solidFill>
                    <w14:schemeClr w14:val="tx1"/>
                  </w14:solidFill>
                </w14:textFill>
              </w:rPr>
              <w:t>/s²</w:t>
            </w:r>
            <w:r>
              <w:rPr>
                <w:rFonts w:hint="eastAsia" w:asciiTheme="minorEastAsia" w:hAnsiTheme="minorEastAsia" w:cstheme="minor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住宅、公寓</w:t>
            </w:r>
          </w:p>
        </w:tc>
        <w:tc>
          <w:tcPr>
            <w:tcW w:w="18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办公、旅馆</w:t>
            </w:r>
          </w:p>
        </w:tc>
        <w:tc>
          <w:tcPr>
            <w:tcW w:w="18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.28</w:t>
            </w:r>
          </w:p>
        </w:tc>
      </w:tr>
    </w:tbl>
    <w:p>
      <w:pPr>
        <w:rPr>
          <w:rFonts w:hint="eastAsia" w:ascii="黑体" w:hAnsi="黑体" w:eastAsia="黑体" w:cstheme="minorEastAsia"/>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波纹钢板组合框架结构中楼盖应具有适宜的舒适度。楼盖结构的竖向振动频率不宜小于 3Hz，竖向振动加速度峰值不应大于表3.</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 xml:space="preserve"> 的限值；</w:t>
      </w:r>
      <w:r>
        <w:rPr>
          <w:rFonts w:hint="eastAsia"/>
          <w:color w:val="000000" w:themeColor="text1"/>
          <w14:textFill>
            <w14:solidFill>
              <w14:schemeClr w14:val="tx1"/>
            </w14:solidFill>
          </w14:textFill>
        </w:rPr>
        <w:t>有特殊工艺要求的工业结构，尚应满足其工艺振动频率要求。</w:t>
      </w:r>
      <w:r>
        <w:rPr>
          <w:rFonts w:hint="eastAsia" w:asciiTheme="minorEastAsia" w:hAnsiTheme="minorEastAsia" w:cstheme="minorEastAsia"/>
          <w:color w:val="000000" w:themeColor="text1"/>
          <w:szCs w:val="21"/>
          <w14:textFill>
            <w14:solidFill>
              <w14:schemeClr w14:val="tx1"/>
            </w14:solidFill>
          </w14:textFill>
        </w:rPr>
        <w:t>楼盖结构竖向振动加速度可按现行行业标准《高层建筑混凝土结构技术规程》JGJ3 的有关规定计算。</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w:t>
      </w:r>
      <w:r>
        <w:rPr>
          <w:rFonts w:ascii="黑体" w:hAnsi="黑体" w:eastAsia="黑体" w:cstheme="minorEastAsia"/>
          <w:color w:val="000000" w:themeColor="text1"/>
          <w:sz w:val="18"/>
          <w:szCs w:val="18"/>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 xml:space="preserve"> 竖向振动加速度限值</w:t>
      </w:r>
    </w:p>
    <w:tbl>
      <w:tblPr>
        <w:tblStyle w:val="23"/>
        <w:tblW w:w="4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829"/>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66"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人员活动环境</w:t>
            </w:r>
          </w:p>
        </w:tc>
        <w:tc>
          <w:tcPr>
            <w:tcW w:w="3658" w:type="dxa"/>
            <w:gridSpan w:val="2"/>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峰值加速度限值（m</w:t>
            </w:r>
            <w:r>
              <w:rPr>
                <w:rFonts w:asciiTheme="minorEastAsia" w:hAnsiTheme="minorEastAsia" w:cstheme="minorEastAsia"/>
                <w:color w:val="000000" w:themeColor="text1"/>
                <w:sz w:val="15"/>
                <w:szCs w:val="15"/>
                <w14:textFill>
                  <w14:solidFill>
                    <w14:schemeClr w14:val="tx1"/>
                  </w14:solidFill>
                </w14:textFill>
              </w:rPr>
              <w:t>/s²</w:t>
            </w:r>
            <w:r>
              <w:rPr>
                <w:rFonts w:hint="eastAsia" w:asciiTheme="minorEastAsia" w:hAnsiTheme="minorEastAsia" w:cstheme="minor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66"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竖向自振频率不大于2</w:t>
            </w:r>
            <w:r>
              <w:rPr>
                <w:rFonts w:asciiTheme="minorEastAsia" w:hAnsiTheme="minorEastAsia" w:cstheme="minorEastAsia"/>
                <w:color w:val="000000" w:themeColor="text1"/>
                <w:sz w:val="15"/>
                <w:szCs w:val="15"/>
                <w14:textFill>
                  <w14:solidFill>
                    <w14:schemeClr w14:val="tx1"/>
                  </w14:solidFill>
                </w14:textFill>
              </w:rPr>
              <w:t>HZ</w:t>
            </w: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竖向自振频率不小于</w:t>
            </w:r>
            <w:r>
              <w:rPr>
                <w:rFonts w:asciiTheme="minorEastAsia" w:hAnsiTheme="minorEastAsia" w:cstheme="minorEastAsia"/>
                <w:color w:val="000000" w:themeColor="text1"/>
                <w:sz w:val="15"/>
                <w:szCs w:val="15"/>
                <w14:textFill>
                  <w14:solidFill>
                    <w14:schemeClr w14:val="tx1"/>
                  </w14:solidFill>
                </w14:textFill>
              </w:rPr>
              <w:t>4Hz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住宅、办公</w:t>
            </w: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.07</w:t>
            </w: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商场及室内连廊</w:t>
            </w: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.22</w:t>
            </w:r>
          </w:p>
        </w:tc>
        <w:tc>
          <w:tcPr>
            <w:tcW w:w="1829"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.15</w:t>
            </w:r>
          </w:p>
        </w:tc>
      </w:tr>
    </w:tbl>
    <w:p>
      <w:pPr>
        <w:jc w:val="center"/>
        <w:rPr>
          <w:rFonts w:hint="eastAsia"/>
          <w:color w:val="0070C0"/>
        </w:rPr>
      </w:pPr>
      <w:bookmarkStart w:id="34" w:name="_Toc18493258"/>
      <w:r>
        <w:rPr>
          <w:rFonts w:hint="eastAsia" w:asciiTheme="minorEastAsia" w:hAnsiTheme="minorEastAsia" w:cstheme="minorEastAsia"/>
          <w:sz w:val="15"/>
          <w:szCs w:val="15"/>
          <w:lang w:val="en-US" w:eastAsia="zh-CN"/>
        </w:rPr>
        <w:t>注：</w:t>
      </w:r>
      <w:r>
        <w:rPr>
          <w:rFonts w:hint="eastAsia" w:asciiTheme="minorEastAsia" w:hAnsiTheme="minorEastAsia" w:cstheme="minorEastAsia"/>
          <w:sz w:val="15"/>
          <w:szCs w:val="15"/>
        </w:rPr>
        <w:t>楼盖结构竖向频率为2Hz～4Hz 时，峰值加速度限值可按线性插值选取。</w:t>
      </w:r>
    </w:p>
    <w:p>
      <w:pPr>
        <w:jc w:val="left"/>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w:t>
      </w:r>
      <w:r>
        <w:rPr>
          <w:rFonts w:hint="eastAsia"/>
          <w:color w:val="0070C0"/>
          <w:lang w:val="en-US" w:eastAsia="zh-CN"/>
        </w:rPr>
        <w:t>3.4.3~3.4.4 按《高层民用建筑钢结构技术规程》规定取值。</w:t>
      </w:r>
    </w:p>
    <w:p>
      <w:pPr>
        <w:jc w:val="left"/>
        <w:rPr>
          <w:rFonts w:hint="eastAsia" w:asciiTheme="minorEastAsia" w:hAnsiTheme="minorEastAsia" w:cstheme="minorEastAsia"/>
          <w:color w:val="000000" w:themeColor="text1"/>
          <w:szCs w:val="21"/>
          <w14:textFill>
            <w14:solidFill>
              <w14:schemeClr w14:val="tx1"/>
            </w14:solidFill>
          </w14:textFill>
        </w:rPr>
      </w:pP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 xml:space="preserve"> 甲壳梁的最大挠度应按荷载效应的准永久组合，预应力甲壳梁的最大挠度应按荷载效应的标准组合，并均考虑长期作用的影响进行计算；甲壳梁施工阶段的最大挠度应按施工阶段恒荷载标准值计算，其计算值不得超过表3</w:t>
      </w:r>
      <w:r>
        <w:rPr>
          <w:rFonts w:asciiTheme="minorEastAsia" w:hAnsiTheme="minorEastAsia" w:cstheme="minorEastAsia"/>
          <w:color w:val="000000" w:themeColor="text1"/>
          <w:szCs w:val="21"/>
          <w14:textFill>
            <w14:solidFill>
              <w14:schemeClr w14:val="tx1"/>
            </w14:solidFill>
          </w14:textFill>
        </w:rPr>
        <w:t>.4.5</w:t>
      </w:r>
      <w:r>
        <w:rPr>
          <w:rFonts w:hint="eastAsia" w:asciiTheme="minorEastAsia" w:hAnsiTheme="minorEastAsia" w:cstheme="minorEastAsia"/>
          <w:color w:val="000000" w:themeColor="text1"/>
          <w:szCs w:val="21"/>
          <w14:textFill>
            <w14:solidFill>
              <w14:schemeClr w14:val="tx1"/>
            </w14:solidFill>
          </w14:textFill>
        </w:rPr>
        <w:t>规定的挠度限值。</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w:t>
      </w:r>
      <w:r>
        <w:rPr>
          <w:rFonts w:ascii="黑体" w:hAnsi="黑体" w:eastAsia="黑体" w:cstheme="minorEastAsia"/>
          <w:color w:val="000000" w:themeColor="text1"/>
          <w:sz w:val="18"/>
          <w:szCs w:val="18"/>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w:t>
      </w:r>
      <w:r>
        <w:rPr>
          <w:rFonts w:hint="eastAsia" w:ascii="黑体" w:hAnsi="黑体" w:eastAsia="黑体" w:cstheme="minorEastAsia"/>
          <w:color w:val="000000" w:themeColor="text1"/>
          <w:sz w:val="18"/>
          <w:szCs w:val="18"/>
          <w14:textFill>
            <w14:solidFill>
              <w14:schemeClr w14:val="tx1"/>
            </w14:solidFill>
          </w14:textFill>
        </w:rPr>
        <w:t xml:space="preserve"> 甲壳梁挠度限值</w:t>
      </w:r>
    </w:p>
    <w:tbl>
      <w:tblPr>
        <w:tblStyle w:val="23"/>
        <w:tblW w:w="4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跨度</w:t>
            </w:r>
          </w:p>
        </w:tc>
        <w:tc>
          <w:tcPr>
            <w:tcW w:w="241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挠度限值（以计算跨度</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＜7</w:t>
            </w:r>
            <w:r>
              <w:rPr>
                <w:rFonts w:asciiTheme="minorEastAsia" w:hAnsiTheme="minorEastAsia" w:cstheme="minorEastAsia"/>
                <w:color w:val="000000" w:themeColor="text1"/>
                <w:sz w:val="15"/>
                <w:szCs w:val="15"/>
                <w14:textFill>
                  <w14:solidFill>
                    <w14:schemeClr w14:val="tx1"/>
                  </w14:solidFill>
                </w14:textFill>
              </w:rPr>
              <w:t>m</w:t>
            </w:r>
          </w:p>
        </w:tc>
        <w:tc>
          <w:tcPr>
            <w:tcW w:w="241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200</w:t>
            </w:r>
            <w:r>
              <w:rPr>
                <w:rFonts w:hint="eastAsia" w:asciiTheme="minorEastAsia" w:hAnsiTheme="minorEastAsia" w:cstheme="minorEastAsia"/>
                <w:color w:val="000000" w:themeColor="text1"/>
                <w:sz w:val="15"/>
                <w:szCs w:val="15"/>
                <w14:textFill>
                  <w14:solidFill>
                    <w14:schemeClr w14:val="tx1"/>
                  </w14:solidFill>
                </w14:textFill>
              </w:rPr>
              <w:t>（</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250</w:t>
            </w:r>
            <w:r>
              <w:rPr>
                <w:rFonts w:hint="eastAsia" w:asciiTheme="minorEastAsia" w:hAnsiTheme="minorEastAsia" w:cstheme="minor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7m</w:t>
            </w:r>
            <w:r>
              <w:rPr>
                <w:rFonts w:hint="eastAsia"/>
                <w:color w:val="000000" w:themeColor="text1"/>
                <w:sz w:val="15"/>
                <w:szCs w:val="15"/>
                <w14:textFill>
                  <w14:solidFill>
                    <w14:schemeClr w14:val="tx1"/>
                  </w14:solidFill>
                </w14:textFill>
              </w:rPr>
              <w:t>≤</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≤9</w:t>
            </w:r>
            <w:r>
              <w:rPr>
                <w:rFonts w:asciiTheme="minorEastAsia" w:hAnsiTheme="minorEastAsia" w:cstheme="minorEastAsia"/>
                <w:color w:val="000000" w:themeColor="text1"/>
                <w:sz w:val="15"/>
                <w:szCs w:val="15"/>
                <w14:textFill>
                  <w14:solidFill>
                    <w14:schemeClr w14:val="tx1"/>
                  </w14:solidFill>
                </w14:textFill>
              </w:rPr>
              <w:t>m</w:t>
            </w:r>
          </w:p>
        </w:tc>
        <w:tc>
          <w:tcPr>
            <w:tcW w:w="241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250</w:t>
            </w:r>
            <w:r>
              <w:rPr>
                <w:rFonts w:hint="eastAsia" w:asciiTheme="minorEastAsia" w:hAnsiTheme="minorEastAsia" w:cstheme="minorEastAsia"/>
                <w:color w:val="000000" w:themeColor="text1"/>
                <w:sz w:val="15"/>
                <w:szCs w:val="15"/>
                <w14:textFill>
                  <w14:solidFill>
                    <w14:schemeClr w14:val="tx1"/>
                  </w14:solidFill>
                </w14:textFill>
              </w:rPr>
              <w:t>（</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300</w:t>
            </w:r>
            <w:r>
              <w:rPr>
                <w:rFonts w:hint="eastAsia" w:asciiTheme="minorEastAsia" w:hAnsiTheme="minorEastAsia" w:cstheme="minor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21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≥9</w:t>
            </w:r>
            <w:r>
              <w:rPr>
                <w:rFonts w:asciiTheme="minorEastAsia" w:hAnsiTheme="minorEastAsia" w:cstheme="minorEastAsia"/>
                <w:color w:val="000000" w:themeColor="text1"/>
                <w:sz w:val="15"/>
                <w:szCs w:val="15"/>
                <w14:textFill>
                  <w14:solidFill>
                    <w14:schemeClr w14:val="tx1"/>
                  </w14:solidFill>
                </w14:textFill>
              </w:rPr>
              <w:t>m</w:t>
            </w:r>
          </w:p>
        </w:tc>
        <w:tc>
          <w:tcPr>
            <w:tcW w:w="241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300</w:t>
            </w:r>
            <w:r>
              <w:rPr>
                <w:rFonts w:hint="eastAsia" w:asciiTheme="minorEastAsia" w:hAnsiTheme="minorEastAsia" w:cstheme="minorEastAsia"/>
                <w:color w:val="000000" w:themeColor="text1"/>
                <w:sz w:val="15"/>
                <w:szCs w:val="15"/>
                <w14:textFill>
                  <w14:solidFill>
                    <w14:schemeClr w14:val="tx1"/>
                  </w14:solidFill>
                </w14:textFill>
              </w:rPr>
              <w:t>（</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400</w:t>
            </w:r>
            <w:r>
              <w:rPr>
                <w:rFonts w:hint="eastAsia" w:asciiTheme="minorEastAsia" w:hAnsiTheme="minorEastAsia" w:cstheme="minorEastAsia"/>
                <w:color w:val="000000" w:themeColor="text1"/>
                <w:sz w:val="15"/>
                <w:szCs w:val="15"/>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2217" w:type="dxa"/>
            <w:vAlign w:val="center"/>
          </w:tcPr>
          <w:p>
            <w:pPr>
              <w:jc w:val="center"/>
              <w:rPr>
                <w:rFonts w:ascii="Calibri" w:hAnsi="Calibri" w:eastAsia="宋体" w:cs="Times New Roman"/>
                <w:color w:val="000000" w:themeColor="text1"/>
                <w:sz w:val="15"/>
                <w:szCs w:val="15"/>
                <w14:textFill>
                  <w14:solidFill>
                    <w14:schemeClr w14:val="tx1"/>
                  </w14:solidFill>
                </w14:textFill>
              </w:rPr>
            </w:pPr>
            <w:r>
              <w:rPr>
                <w:rFonts w:hint="eastAsia" w:ascii="Calibri" w:hAnsi="Calibri" w:eastAsia="宋体" w:cs="Times New Roman"/>
                <w:color w:val="000000" w:themeColor="text1"/>
                <w:sz w:val="15"/>
                <w:szCs w:val="15"/>
                <w14:textFill>
                  <w14:solidFill>
                    <w14:schemeClr w14:val="tx1"/>
                  </w14:solidFill>
                </w14:textFill>
              </w:rPr>
              <w:t>施工阶段</w:t>
            </w:r>
          </w:p>
        </w:tc>
        <w:tc>
          <w:tcPr>
            <w:tcW w:w="2412" w:type="dxa"/>
            <w:vAlign w:val="center"/>
          </w:tcPr>
          <w:p>
            <w:pPr>
              <w:jc w:val="center"/>
              <w:rPr>
                <w:rFonts w:ascii="宋体" w:hAnsi="宋体" w:eastAsia="宋体" w:cs="宋体"/>
                <w:color w:val="000000" w:themeColor="text1"/>
                <w:sz w:val="15"/>
                <w:szCs w:val="15"/>
                <w14:textFill>
                  <w14:solidFill>
                    <w14:schemeClr w14:val="tx1"/>
                  </w14:solidFill>
                </w14:textFill>
              </w:rPr>
            </w:pP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i/>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w:t>
            </w:r>
            <w:r>
              <w:rPr>
                <w:rFonts w:asciiTheme="minorEastAsia" w:hAnsiTheme="minorEastAsia" w:cstheme="minorEastAsia"/>
                <w:color w:val="000000" w:themeColor="text1"/>
                <w:sz w:val="15"/>
                <w:szCs w:val="15"/>
                <w14:textFill>
                  <w14:solidFill>
                    <w14:schemeClr w14:val="tx1"/>
                  </w14:solidFill>
                </w14:textFill>
              </w:rPr>
              <w:t>400</w:t>
            </w:r>
          </w:p>
        </w:tc>
      </w:tr>
    </w:tbl>
    <w:p>
      <w:pPr>
        <w:jc w:val="left"/>
        <w:rPr>
          <w:rFonts w:asciiTheme="minorEastAsia" w:hAnsiTheme="minorEastAsia" w:cstheme="minorEastAsia"/>
          <w:color w:val="000000" w:themeColor="text1"/>
          <w:sz w:val="15"/>
          <w:szCs w:val="15"/>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注：1</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表中的</w:t>
      </w:r>
      <m:oMath>
        <m:sSub>
          <m:sSubPr>
            <m:ctrlPr>
              <w:rPr>
                <w:rFonts w:ascii="Cambria Math" w:hAnsi="Cambria Math" w:cstheme="minorEastAsia"/>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color w:val="000000" w:themeColor="text1"/>
                <w:sz w:val="15"/>
                <w:szCs w:val="15"/>
                <w14:textFill>
                  <w14:solidFill>
                    <w14:schemeClr w14:val="tx1"/>
                  </w14:solidFill>
                </w14:textFill>
              </w:rPr>
            </m:ctrlPr>
          </m:e>
          <m:sub>
            <m:r>
              <m:rPr>
                <m:sty m:val="p"/>
              </m:rP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为构件的计算跨度，悬臂构件的</w:t>
      </w:r>
      <m:oMath>
        <m:sSub>
          <m:sSubPr>
            <m:ctrlPr>
              <w:rPr>
                <w:rFonts w:ascii="Cambria Math" w:hAnsi="Cambria Math" w:cstheme="minorEastAsia"/>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l</m:t>
            </m:r>
            <m:ctrlPr>
              <w:rPr>
                <w:rFonts w:ascii="Cambria Math" w:hAnsi="Cambria Math" w:cstheme="minorEastAsia"/>
                <w:color w:val="000000" w:themeColor="text1"/>
                <w:sz w:val="15"/>
                <w:szCs w:val="15"/>
                <w14:textFill>
                  <w14:solidFill>
                    <w14:schemeClr w14:val="tx1"/>
                  </w14:solidFill>
                </w14:textFill>
              </w:rPr>
            </m:ctrlPr>
          </m:e>
          <m:sub>
            <m:r>
              <m:rPr>
                <m:sty m:val="p"/>
              </m:rPr>
              <w:rPr>
                <w:rFonts w:ascii="Cambria Math" w:hAnsi="Cambria Math" w:cstheme="minorEastAsia"/>
                <w:color w:val="000000" w:themeColor="text1"/>
                <w:sz w:val="15"/>
                <w:szCs w:val="15"/>
                <w14:textFill>
                  <w14:solidFill>
                    <w14:schemeClr w14:val="tx1"/>
                  </w14:solidFill>
                </w14:textFill>
              </w:rPr>
              <m:t>0</m:t>
            </m:r>
            <m:ctrlPr>
              <w:rPr>
                <w:rFonts w:ascii="Cambria Math" w:hAnsi="Cambria Math" w:cstheme="minorEastAsia"/>
                <w:color w:val="000000" w:themeColor="text1"/>
                <w:sz w:val="15"/>
                <w:szCs w:val="15"/>
                <w14:textFill>
                  <w14:solidFill>
                    <w14:schemeClr w14:val="tx1"/>
                  </w14:solidFill>
                </w14:textFill>
              </w:rPr>
            </m:ctrlPr>
          </m:sub>
        </m:sSub>
      </m:oMath>
      <w:r>
        <w:rPr>
          <w:rFonts w:hint="eastAsia" w:asciiTheme="minorEastAsia" w:hAnsiTheme="minorEastAsia" w:cstheme="minorEastAsia"/>
          <w:color w:val="000000" w:themeColor="text1"/>
          <w:sz w:val="15"/>
          <w:szCs w:val="15"/>
          <w14:textFill>
            <w14:solidFill>
              <w14:schemeClr w14:val="tx1"/>
            </w14:solidFill>
          </w14:textFill>
        </w:rPr>
        <w:t>按实际悬臂长度的2倍采用；</w:t>
      </w:r>
    </w:p>
    <w:p>
      <w:pPr>
        <w:ind w:left="1050" w:leftChars="500"/>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2</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构件有起拱时，可将计算所得的挠度值减去起拱值；对预应力甲壳梁，尚可减去预应力所产生的的反拱值。</w:t>
      </w:r>
    </w:p>
    <w:p>
      <w:pPr>
        <w:ind w:firstLine="975" w:firstLineChars="650"/>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3</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表中括号中的数值适用于使用上对挠度较高要求的构件。</w:t>
      </w:r>
    </w:p>
    <w:p>
      <w:pPr>
        <w:ind w:left="1050" w:leftChars="500"/>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4</w:t>
      </w:r>
      <w:r>
        <w:rPr>
          <w:rFonts w:asciiTheme="minorEastAsia" w:hAnsiTheme="minorEastAsia" w:cstheme="minorEastAsia"/>
          <w:color w:val="000000" w:themeColor="text1"/>
          <w:sz w:val="15"/>
          <w:szCs w:val="15"/>
          <w14:textFill>
            <w14:solidFill>
              <w14:schemeClr w14:val="tx1"/>
            </w14:solidFill>
          </w14:textFill>
        </w:rPr>
        <w:t xml:space="preserve"> 构件制作时的起拱值和预加力所产生的反拱值，不宜超过构件在相应荷载组合作</w:t>
      </w:r>
      <w:r>
        <w:rPr>
          <w:rFonts w:hint="eastAsia" w:asciiTheme="minorEastAsia" w:hAnsiTheme="minorEastAsia" w:cstheme="minorEastAsia"/>
          <w:color w:val="000000" w:themeColor="text1"/>
          <w:sz w:val="15"/>
          <w:szCs w:val="15"/>
          <w14:textFill>
            <w14:solidFill>
              <w14:schemeClr w14:val="tx1"/>
            </w14:solidFill>
          </w14:textFill>
        </w:rPr>
        <w:t xml:space="preserve"> </w:t>
      </w:r>
      <w:r>
        <w:rPr>
          <w:rFonts w:asciiTheme="minorEastAsia" w:hAnsiTheme="minorEastAsia" w:cstheme="minorEastAsia"/>
          <w:color w:val="000000" w:themeColor="text1"/>
          <w:sz w:val="15"/>
          <w:szCs w:val="15"/>
          <w14:textFill>
            <w14:solidFill>
              <w14:schemeClr w14:val="tx1"/>
            </w14:solidFill>
          </w14:textFill>
        </w:rPr>
        <w:t>用下的计算挠度值。</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 xml:space="preserve"> 甲壳梁负弯矩区段按荷载效应的准永久组合，预应力甲壳梁负弯矩区段按荷载效应的标准组合，并均考虑长期作用的影响时，其混凝土的最大裂缝宽度不应超过表3</w:t>
      </w:r>
      <w:r>
        <w:rPr>
          <w:rFonts w:asciiTheme="minorEastAsia" w:hAnsiTheme="minorEastAsia" w:cstheme="minorEastAsia"/>
          <w:color w:val="000000" w:themeColor="text1"/>
          <w:szCs w:val="21"/>
          <w14:textFill>
            <w14:solidFill>
              <w14:schemeClr w14:val="tx1"/>
            </w14:solidFill>
          </w14:textFill>
        </w:rPr>
        <w:t>.4.6</w:t>
      </w:r>
      <w:r>
        <w:rPr>
          <w:rFonts w:hint="eastAsia" w:asciiTheme="minorEastAsia" w:hAnsiTheme="minorEastAsia" w:cstheme="minorEastAsia"/>
          <w:color w:val="000000" w:themeColor="text1"/>
          <w:szCs w:val="21"/>
          <w14:textFill>
            <w14:solidFill>
              <w14:schemeClr w14:val="tx1"/>
            </w14:solidFill>
          </w14:textFill>
        </w:rPr>
        <w:t>规定的最大裂缝宽度限值。</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w:t>
      </w:r>
      <w:r>
        <w:rPr>
          <w:rFonts w:ascii="黑体" w:hAnsi="黑体" w:eastAsia="黑体" w:cstheme="minorEastAsia"/>
          <w:color w:val="000000" w:themeColor="text1"/>
          <w:sz w:val="18"/>
          <w:szCs w:val="18"/>
          <w14:textFill>
            <w14:solidFill>
              <w14:schemeClr w14:val="tx1"/>
            </w14:solidFill>
          </w14:textFill>
        </w:rPr>
        <w:t>4</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6</w:t>
      </w:r>
      <w:r>
        <w:rPr>
          <w:rFonts w:hint="eastAsia" w:ascii="黑体" w:hAnsi="黑体" w:eastAsia="黑体" w:cstheme="minorEastAsia"/>
          <w:color w:val="000000" w:themeColor="text1"/>
          <w:sz w:val="18"/>
          <w:szCs w:val="18"/>
          <w14:textFill>
            <w14:solidFill>
              <w14:schemeClr w14:val="tx1"/>
            </w14:solidFill>
          </w14:textFill>
        </w:rPr>
        <w:t xml:space="preserve"> 甲壳梁负弯矩区段混凝土最大裂缝宽度限值</w:t>
      </w:r>
    </w:p>
    <w:tbl>
      <w:tblPr>
        <w:tblStyle w:val="23"/>
        <w:tblW w:w="5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34"/>
        <w:gridCol w:w="966"/>
        <w:gridCol w:w="122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48"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耐久性环境等级</w:t>
            </w:r>
          </w:p>
        </w:tc>
        <w:tc>
          <w:tcPr>
            <w:tcW w:w="2100" w:type="dxa"/>
            <w:gridSpan w:val="2"/>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无预应力甲壳梁</w:t>
            </w:r>
          </w:p>
        </w:tc>
        <w:tc>
          <w:tcPr>
            <w:tcW w:w="2666" w:type="dxa"/>
            <w:gridSpan w:val="2"/>
            <w:vAlign w:val="center"/>
          </w:tcPr>
          <w:p>
            <w:pPr>
              <w:jc w:val="center"/>
              <w:rPr>
                <w:rFonts w:asciiTheme="minorEastAsia" w:hAnsiTheme="minorEastAsia" w:cstheme="minorEastAsia"/>
                <w:i/>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有预应力甲壳梁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8"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1134" w:type="dxa"/>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裂缝控制等级</w:t>
            </w:r>
          </w:p>
        </w:tc>
        <w:tc>
          <w:tcPr>
            <w:tcW w:w="966" w:type="dxa"/>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m:oMathPara>
              <m:oMath>
                <m:sSub>
                  <m:sSubPr>
                    <m:ctrlPr>
                      <w:rPr>
                        <w:rFonts w:ascii="Cambria Math" w:hAnsi="Cambria Math" w:cstheme="minorEastAsia"/>
                        <w:i/>
                        <w:iCs/>
                        <w:color w:val="000000" w:themeColor="text1"/>
                        <w:sz w:val="15"/>
                        <w:szCs w:val="15"/>
                        <w14:textFill>
                          <w14:solidFill>
                            <w14:schemeClr w14:val="tx1"/>
                          </w14:solidFill>
                        </w14:textFill>
                      </w:rPr>
                    </m:ctrlPr>
                  </m:sSubPr>
                  <m:e>
                    <m:r>
                      <w:rPr>
                        <w:rFonts w:hint="eastAsia" w:ascii="Cambria Math" w:hAnsi="Cambria Math" w:cstheme="minorEastAsia"/>
                        <w:color w:val="000000" w:themeColor="text1"/>
                        <w:sz w:val="15"/>
                        <w:szCs w:val="15"/>
                        <w14:textFill>
                          <w14:solidFill>
                            <w14:schemeClr w14:val="tx1"/>
                          </w14:solidFill>
                        </w14:textFill>
                      </w:rPr>
                      <m:t>ω</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lim</m:t>
                    </m:r>
                    <m:ctrlPr>
                      <w:rPr>
                        <w:rFonts w:ascii="Cambria Math" w:hAnsi="Cambria Math" w:cstheme="minorEastAsia"/>
                        <w:i/>
                        <w:iCs/>
                        <w:color w:val="000000" w:themeColor="text1"/>
                        <w:sz w:val="15"/>
                        <w:szCs w:val="15"/>
                        <w14:textFill>
                          <w14:solidFill>
                            <w14:schemeClr w14:val="tx1"/>
                          </w14:solidFill>
                        </w14:textFill>
                      </w:rPr>
                    </m:ctrlPr>
                  </m:sub>
                </m:sSub>
              </m:oMath>
            </m:oMathPara>
          </w:p>
        </w:tc>
        <w:tc>
          <w:tcPr>
            <w:tcW w:w="1224" w:type="dxa"/>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裂缝控制等级</w:t>
            </w:r>
          </w:p>
        </w:tc>
        <w:tc>
          <w:tcPr>
            <w:tcW w:w="1442" w:type="dxa"/>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m:oMathPara>
              <m:oMath>
                <m:sSub>
                  <m:sSubPr>
                    <m:ctrlPr>
                      <w:rPr>
                        <w:rFonts w:ascii="Cambria Math" w:hAnsi="Cambria Math" w:cstheme="minorEastAsia"/>
                        <w:i/>
                        <w:iCs/>
                        <w:color w:val="000000" w:themeColor="text1"/>
                        <w:sz w:val="15"/>
                        <w:szCs w:val="15"/>
                        <w14:textFill>
                          <w14:solidFill>
                            <w14:schemeClr w14:val="tx1"/>
                          </w14:solidFill>
                        </w14:textFill>
                      </w:rPr>
                    </m:ctrlPr>
                  </m:sSubPr>
                  <m:e>
                    <m:r>
                      <w:rPr>
                        <w:rFonts w:hint="eastAsia" w:ascii="Cambria Math" w:hAnsi="Cambria Math" w:cstheme="minorEastAsia"/>
                        <w:color w:val="000000" w:themeColor="text1"/>
                        <w:sz w:val="15"/>
                        <w:szCs w:val="15"/>
                        <w14:textFill>
                          <w14:solidFill>
                            <w14:schemeClr w14:val="tx1"/>
                          </w14:solidFill>
                        </w14:textFill>
                      </w:rPr>
                      <m:t>ω</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lim</m:t>
                    </m:r>
                    <m:ctrlPr>
                      <w:rPr>
                        <w:rFonts w:ascii="Cambria Math" w:hAnsi="Cambria Math" w:cstheme="minorEastAsia"/>
                        <w:i/>
                        <w:iCs/>
                        <w:color w:val="000000" w:themeColor="text1"/>
                        <w:sz w:val="15"/>
                        <w:szCs w:val="15"/>
                        <w14:textFill>
                          <w14:solidFill>
                            <w14:schemeClr w14:val="tx1"/>
                          </w14:solidFill>
                        </w14:textFill>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8" w:type="dxa"/>
            <w:vAlign w:val="center"/>
          </w:tcPr>
          <w:p>
            <w:pPr>
              <w:jc w:val="center"/>
              <w:rPr>
                <w:rFonts w:asciiTheme="minorEastAsia" w:hAnsiTheme="minorEastAsia" w:cstheme="minorEastAsia"/>
                <w:b/>
                <w:bCs/>
                <w:iCs/>
                <w:color w:val="000000" w:themeColor="text1"/>
                <w:sz w:val="15"/>
                <w:szCs w:val="15"/>
                <w14:textFill>
                  <w14:solidFill>
                    <w14:schemeClr w14:val="tx1"/>
                  </w14:solidFill>
                </w14:textFill>
              </w:rPr>
            </w:pPr>
            <w:r>
              <w:rPr>
                <w:rFonts w:hint="eastAsia" w:asciiTheme="minorEastAsia" w:hAnsiTheme="minorEastAsia" w:cstheme="minorEastAsia"/>
                <w:b/>
                <w:bCs/>
                <w:iCs/>
                <w:color w:val="000000" w:themeColor="text1"/>
                <w:sz w:val="15"/>
                <w:szCs w:val="15"/>
                <w14:textFill>
                  <w14:solidFill>
                    <w14:schemeClr w14:val="tx1"/>
                  </w14:solidFill>
                </w14:textFill>
              </w:rPr>
              <w:t>一</w:t>
            </w:r>
          </w:p>
        </w:tc>
        <w:tc>
          <w:tcPr>
            <w:tcW w:w="1134"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三级</w:t>
            </w:r>
          </w:p>
        </w:tc>
        <w:tc>
          <w:tcPr>
            <w:tcW w:w="9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.30(0.40)</w:t>
            </w:r>
          </w:p>
        </w:tc>
        <w:tc>
          <w:tcPr>
            <w:tcW w:w="1224"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三级</w:t>
            </w:r>
          </w:p>
        </w:tc>
        <w:tc>
          <w:tcPr>
            <w:tcW w:w="144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8" w:type="dxa"/>
            <w:vAlign w:val="center"/>
          </w:tcPr>
          <w:p>
            <w:pPr>
              <w:jc w:val="center"/>
              <w:rPr>
                <w:rFonts w:asciiTheme="minorEastAsia" w:hAnsiTheme="minorEastAsia" w:cstheme="minorEastAsia"/>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二a</w:t>
            </w:r>
          </w:p>
        </w:tc>
        <w:tc>
          <w:tcPr>
            <w:tcW w:w="1134"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96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.20</w:t>
            </w:r>
          </w:p>
        </w:tc>
        <w:tc>
          <w:tcPr>
            <w:tcW w:w="1224"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1442"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.10</w:t>
            </w:r>
          </w:p>
        </w:tc>
      </w:tr>
    </w:tbl>
    <w:p>
      <w:pPr>
        <w:ind w:left="900" w:hanging="900" w:hangingChars="500"/>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注：1</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对处于年平均相对湿度小于6</w:t>
      </w:r>
      <w:r>
        <w:rPr>
          <w:rFonts w:asciiTheme="minorEastAsia" w:hAnsiTheme="minorEastAsia" w:cstheme="minorEastAsia"/>
          <w:color w:val="000000" w:themeColor="text1"/>
          <w:sz w:val="15"/>
          <w:szCs w:val="15"/>
          <w14:textFill>
            <w14:solidFill>
              <w14:schemeClr w14:val="tx1"/>
            </w14:solidFill>
          </w14:textFill>
        </w:rPr>
        <w:t>0</w:t>
      </w:r>
      <w:r>
        <w:rPr>
          <w:rFonts w:hint="eastAsia" w:asciiTheme="minorEastAsia" w:hAnsiTheme="minorEastAsia" w:cstheme="minorEastAsia"/>
          <w:color w:val="000000" w:themeColor="text1"/>
          <w:sz w:val="15"/>
          <w:szCs w:val="15"/>
          <w14:textFill>
            <w14:solidFill>
              <w14:schemeClr w14:val="tx1"/>
            </w14:solidFill>
          </w14:textFill>
        </w:rPr>
        <w:t>%地区一类环境下的受弯构件，其最大裂缝宽度限值可采用括号内的数值。</w:t>
      </w:r>
    </w:p>
    <w:p>
      <w:pPr>
        <w:ind w:firstLine="750" w:firstLineChars="500"/>
        <w:jc w:val="left"/>
        <w:rPr>
          <w:rFonts w:hint="eastAsia"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 2 </w:t>
      </w:r>
      <w:r>
        <w:rPr>
          <w:rFonts w:hint="eastAsia" w:asciiTheme="minorEastAsia" w:hAnsiTheme="minorEastAsia" w:cstheme="minorEastAsia"/>
          <w:color w:val="000000" w:themeColor="text1"/>
          <w:sz w:val="15"/>
          <w:szCs w:val="15"/>
          <w14:textFill>
            <w14:solidFill>
              <w14:schemeClr w14:val="tx1"/>
            </w14:solidFill>
          </w14:textFill>
        </w:rPr>
        <w:t>甲壳梁不宜用于二</w:t>
      </w:r>
      <w:r>
        <w:rPr>
          <w:rFonts w:asciiTheme="minorEastAsia" w:hAnsiTheme="minorEastAsia" w:cstheme="minorEastAsia"/>
          <w:color w:val="000000" w:themeColor="text1"/>
          <w:sz w:val="15"/>
          <w:szCs w:val="15"/>
          <w14:textFill>
            <w14:solidFill>
              <w14:schemeClr w14:val="tx1"/>
            </w14:solidFill>
          </w14:textFill>
        </w:rPr>
        <w:t>b</w:t>
      </w:r>
      <w:r>
        <w:rPr>
          <w:rFonts w:hint="eastAsia" w:asciiTheme="minorEastAsia" w:hAnsiTheme="minorEastAsia" w:cstheme="minorEastAsia"/>
          <w:color w:val="000000" w:themeColor="text1"/>
          <w:sz w:val="15"/>
          <w:szCs w:val="15"/>
          <w14:textFill>
            <w14:solidFill>
              <w14:schemeClr w14:val="tx1"/>
            </w14:solidFill>
          </w14:textFill>
        </w:rPr>
        <w:t>、三a、三</w:t>
      </w:r>
      <w:r>
        <w:rPr>
          <w:rFonts w:asciiTheme="minorEastAsia" w:hAnsiTheme="minorEastAsia" w:cstheme="minorEastAsia"/>
          <w:color w:val="000000" w:themeColor="text1"/>
          <w:sz w:val="15"/>
          <w:szCs w:val="15"/>
          <w14:textFill>
            <w14:solidFill>
              <w14:schemeClr w14:val="tx1"/>
            </w14:solidFill>
          </w14:textFill>
        </w:rPr>
        <w:t>b</w:t>
      </w:r>
      <w:r>
        <w:rPr>
          <w:rFonts w:hint="eastAsia" w:asciiTheme="minorEastAsia" w:hAnsiTheme="minorEastAsia" w:cstheme="minorEastAsia"/>
          <w:color w:val="000000" w:themeColor="text1"/>
          <w:sz w:val="15"/>
          <w:szCs w:val="15"/>
          <w14:textFill>
            <w14:solidFill>
              <w14:schemeClr w14:val="tx1"/>
            </w14:solidFill>
          </w14:textFill>
        </w:rPr>
        <w:t>、四、五类环境中。</w:t>
      </w:r>
    </w:p>
    <w:p>
      <w:pPr>
        <w:ind w:firstLine="420" w:firstLineChars="200"/>
        <w:jc w:val="left"/>
        <w:rPr>
          <w:rFonts w:hint="default" w:asciiTheme="minorEastAsia" w:hAnsiTheme="minorEastAsia" w:cstheme="minorEastAsia"/>
          <w:color w:val="000000" w:themeColor="text1"/>
          <w:sz w:val="15"/>
          <w:szCs w:val="15"/>
          <w:lang w:val="en-US"/>
          <w14:textFill>
            <w14:solidFill>
              <w14:schemeClr w14:val="tx1"/>
            </w14:solidFill>
          </w14:textFill>
        </w:rPr>
      </w:pPr>
      <w:r>
        <w:rPr>
          <w:rFonts w:hint="eastAsia"/>
          <w:color w:val="0070C0"/>
        </w:rPr>
        <w:t>条文说明：</w:t>
      </w:r>
      <w:r>
        <w:rPr>
          <w:rFonts w:hint="eastAsia"/>
          <w:color w:val="0070C0"/>
          <w:lang w:val="en-US" w:eastAsia="zh-CN"/>
        </w:rPr>
        <w:t>3.4.5~3.4.6 按《混凝土结构设计规范》规定取值，甲壳梁无需考虑正弯矩作用下的裂缝。</w:t>
      </w: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35" w:name="_Toc28706879"/>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5</w:t>
      </w:r>
      <w:r>
        <w:rPr>
          <w:rFonts w:hint="eastAsia" w:ascii="黑体" w:hAnsi="黑体" w:eastAsia="黑体" w:cstheme="minorEastAsia"/>
          <w:color w:val="000000" w:themeColor="text1"/>
          <w:szCs w:val="21"/>
          <w14:textFill>
            <w14:solidFill>
              <w14:schemeClr w14:val="tx1"/>
            </w14:solidFill>
          </w14:textFill>
        </w:rPr>
        <w:t xml:space="preserve"> 构件承载力设计</w:t>
      </w:r>
      <w:bookmarkEnd w:id="34"/>
      <w:bookmarkEnd w:id="35"/>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.1 波纹钢板组合框架结构的构件应按承载能力极限状态和正常使用极限状态进行设计。</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.2 波纹钢板组合框架结构的构件承载力应符合下列公式的规定：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 xml:space="preserve"> 持久、短暂设计状况</w:t>
      </w:r>
    </w:p>
    <w:p>
      <w:pPr>
        <w:ind w:firstLine="1890" w:firstLineChars="9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S≤R</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.2-1）</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 xml:space="preserve">地震设计状况 </w:t>
      </w:r>
    </w:p>
    <w:p>
      <w:pPr>
        <w:ind w:firstLine="1890" w:firstLineChars="9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S≤</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.2-2）</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式中</w:t>
      </w:r>
      <w:r>
        <w:rPr>
          <w:rFonts w:hint="eastAsia"/>
          <w:color w:val="000000" w:themeColor="text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 xml:space="preserve"> S</m:t>
        </m:r>
      </m:oMath>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构件内力组合设计值，应按现行国家标准《建筑结构荷载规范》G</w:t>
      </w:r>
      <w:r>
        <w:rPr>
          <w:color w:val="000000" w:themeColor="text1"/>
          <w14:textFill>
            <w14:solidFill>
              <w14:schemeClr w14:val="tx1"/>
            </w14:solidFill>
          </w14:textFill>
        </w:rPr>
        <w:t>B 50009</w:t>
      </w:r>
      <w:r>
        <w:rPr>
          <w:rFonts w:hint="eastAsia"/>
          <w:color w:val="000000" w:themeColor="text1"/>
          <w14:textFill>
            <w14:solidFill>
              <w14:schemeClr w14:val="tx1"/>
            </w14:solidFill>
          </w14:textFill>
        </w:rPr>
        <w:t>、《建筑抗震设计规范》G</w:t>
      </w:r>
      <w:r>
        <w:rPr>
          <w:color w:val="000000" w:themeColor="text1"/>
          <w14:textFill>
            <w14:solidFill>
              <w14:schemeClr w14:val="tx1"/>
            </w14:solidFill>
          </w14:textFill>
        </w:rPr>
        <w:t>B 50011</w:t>
      </w:r>
      <w:r>
        <w:rPr>
          <w:rFonts w:hint="eastAsia"/>
          <w:color w:val="000000" w:themeColor="text1"/>
          <w14:textFill>
            <w14:solidFill>
              <w14:schemeClr w14:val="tx1"/>
            </w14:solidFill>
          </w14:textFill>
        </w:rPr>
        <w:t>的规定进行计算；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构件的重要性系数，对安全等级为一级的结构构件不应小于1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，对安全等级为二级的结构构件不应小于1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p>
    <w:p>
      <w:pPr>
        <w:ind w:firstLine="630" w:firstLineChars="300"/>
        <w:rPr>
          <w:color w:val="000000" w:themeColor="text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R</m:t>
        </m:r>
      </m:oMath>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构件承载力设计值；</w:t>
      </w:r>
    </w:p>
    <w:p>
      <w:pPr>
        <w:ind w:firstLine="630" w:firstLineChars="300"/>
        <w:rPr>
          <w:color w:val="000000" w:themeColor="text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oMath>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承载力抗震调整系数，其值应按表3</w:t>
      </w:r>
      <w:r>
        <w:rPr>
          <w:color w:val="000000" w:themeColor="text1"/>
          <w14:textFill>
            <w14:solidFill>
              <w14:schemeClr w14:val="tx1"/>
            </w14:solidFill>
          </w14:textFill>
        </w:rPr>
        <w:t>.5.2</w:t>
      </w:r>
      <w:r>
        <w:rPr>
          <w:rFonts w:hint="eastAsia"/>
          <w:color w:val="000000" w:themeColor="text1"/>
          <w14:textFill>
            <w14:solidFill>
              <w14:schemeClr w14:val="tx1"/>
            </w14:solidFill>
          </w14:textFill>
        </w:rPr>
        <w:t>的规定采用。</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表3.</w:t>
      </w:r>
      <w:r>
        <w:rPr>
          <w:rFonts w:ascii="黑体" w:hAnsi="黑体" w:eastAsia="黑体" w:cstheme="minorEastAsia"/>
          <w:color w:val="000000" w:themeColor="text1"/>
          <w:sz w:val="18"/>
          <w:szCs w:val="18"/>
          <w14:textFill>
            <w14:solidFill>
              <w14:schemeClr w14:val="tx1"/>
            </w14:solidFill>
          </w14:textFill>
        </w:rPr>
        <w:t>5</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2</w:t>
      </w:r>
      <w:r>
        <w:rPr>
          <w:rFonts w:hint="eastAsia" w:ascii="黑体" w:hAnsi="黑体" w:eastAsia="黑体" w:cstheme="minorEastAsia"/>
          <w:color w:val="000000" w:themeColor="text1"/>
          <w:sz w:val="18"/>
          <w:szCs w:val="18"/>
          <w14:textFill>
            <w14:solidFill>
              <w14:schemeClr w14:val="tx1"/>
            </w14:solidFill>
          </w14:textFill>
        </w:rPr>
        <w:t xml:space="preserve"> 承载力抗震调整系数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oMath>
    </w:p>
    <w:tbl>
      <w:tblPr>
        <w:tblStyle w:val="23"/>
        <w:tblW w:w="6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516"/>
        <w:gridCol w:w="797"/>
        <w:gridCol w:w="851"/>
        <w:gridCol w:w="468"/>
        <w:gridCol w:w="677"/>
        <w:gridCol w:w="468"/>
        <w:gridCol w:w="516"/>
        <w:gridCol w:w="516"/>
        <w:gridCol w:w="730"/>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552" w:type="dxa"/>
            <w:vMerge w:val="restart"/>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构件类型</w:t>
            </w:r>
          </w:p>
        </w:tc>
        <w:tc>
          <w:tcPr>
            <w:tcW w:w="4809" w:type="dxa"/>
            <w:gridSpan w:val="8"/>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组合结构构件</w:t>
            </w:r>
          </w:p>
        </w:tc>
        <w:tc>
          <w:tcPr>
            <w:tcW w:w="1353" w:type="dxa"/>
            <w:gridSpan w:val="2"/>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钢构件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52" w:type="dxa"/>
            <w:vMerge w:val="continue"/>
            <w:vAlign w:val="center"/>
          </w:tcPr>
          <w:p>
            <w:pPr>
              <w:jc w:val="center"/>
              <w:rPr>
                <w:rFonts w:asciiTheme="minorEastAsia" w:hAnsiTheme="minorEastAsia" w:cstheme="minorEastAsia"/>
                <w:color w:val="000000" w:themeColor="text1"/>
                <w:sz w:val="15"/>
                <w:szCs w:val="15"/>
                <w14:textFill>
                  <w14:solidFill>
                    <w14:schemeClr w14:val="tx1"/>
                  </w14:solidFill>
                </w14:textFill>
              </w:rPr>
            </w:pPr>
          </w:p>
        </w:tc>
        <w:tc>
          <w:tcPr>
            <w:tcW w:w="51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梁</w:t>
            </w:r>
          </w:p>
        </w:tc>
        <w:tc>
          <w:tcPr>
            <w:tcW w:w="2793" w:type="dxa"/>
            <w:gridSpan w:val="4"/>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柱、支撑</w:t>
            </w:r>
          </w:p>
        </w:tc>
        <w:tc>
          <w:tcPr>
            <w:tcW w:w="984" w:type="dxa"/>
            <w:gridSpan w:val="2"/>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各类构件</w:t>
            </w:r>
          </w:p>
        </w:tc>
        <w:tc>
          <w:tcPr>
            <w:tcW w:w="51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节点</w:t>
            </w:r>
          </w:p>
        </w:tc>
        <w:tc>
          <w:tcPr>
            <w:tcW w:w="730"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梁、柱、支撑</w:t>
            </w:r>
          </w:p>
        </w:tc>
        <w:tc>
          <w:tcPr>
            <w:tcW w:w="623"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柱、支撑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52"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受力特性</w:t>
            </w:r>
          </w:p>
        </w:tc>
        <w:tc>
          <w:tcPr>
            <w:tcW w:w="516"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受弯</w:t>
            </w:r>
          </w:p>
        </w:tc>
        <w:tc>
          <w:tcPr>
            <w:tcW w:w="797"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偏压</w:t>
            </w:r>
          </w:p>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轴压比小于0</w:t>
            </w:r>
            <w:r>
              <w:rPr>
                <w:rFonts w:asciiTheme="minorEastAsia" w:hAnsiTheme="minorEastAsia" w:cstheme="minorEastAsia"/>
                <w:color w:val="000000" w:themeColor="text1"/>
                <w:sz w:val="15"/>
                <w:szCs w:val="15"/>
                <w14:textFill>
                  <w14:solidFill>
                    <w14:schemeClr w14:val="tx1"/>
                  </w14:solidFill>
                </w14:textFill>
              </w:rPr>
              <w:t>.15</w:t>
            </w:r>
          </w:p>
        </w:tc>
        <w:tc>
          <w:tcPr>
            <w:tcW w:w="851"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偏压</w:t>
            </w:r>
          </w:p>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轴压比不小于0</w:t>
            </w:r>
            <w:r>
              <w:rPr>
                <w:rFonts w:asciiTheme="minorEastAsia" w:hAnsiTheme="minorEastAsia" w:cstheme="minorEastAsia"/>
                <w:color w:val="000000" w:themeColor="text1"/>
                <w:sz w:val="15"/>
                <w:szCs w:val="15"/>
                <w14:textFill>
                  <w14:solidFill>
                    <w14:schemeClr w14:val="tx1"/>
                  </w14:solidFill>
                </w14:textFill>
              </w:rPr>
              <w:t>.15</w:t>
            </w:r>
          </w:p>
        </w:tc>
        <w:tc>
          <w:tcPr>
            <w:tcW w:w="468"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轴压</w:t>
            </w:r>
          </w:p>
        </w:tc>
        <w:tc>
          <w:tcPr>
            <w:tcW w:w="677"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lang w:val="en-US" w:eastAsia="zh-CN"/>
                <w14:textFill>
                  <w14:solidFill>
                    <w14:schemeClr w14:val="tx1"/>
                  </w14:solidFill>
                </w14:textFill>
              </w:rPr>
              <w:t>轴拉</w:t>
            </w:r>
            <w:r>
              <w:rPr>
                <w:rFonts w:hint="eastAsia" w:asciiTheme="minorEastAsia" w:hAnsiTheme="minorEastAsia" w:cstheme="minorEastAsia"/>
                <w:color w:val="000000" w:themeColor="text1"/>
                <w:sz w:val="15"/>
                <w:szCs w:val="15"/>
                <w14:textFill>
                  <w14:solidFill>
                    <w14:schemeClr w14:val="tx1"/>
                  </w14:solidFill>
                </w14:textFill>
              </w:rPr>
              <w:t>、偏拉</w:t>
            </w:r>
          </w:p>
        </w:tc>
        <w:tc>
          <w:tcPr>
            <w:tcW w:w="468"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局压</w:t>
            </w:r>
          </w:p>
        </w:tc>
        <w:tc>
          <w:tcPr>
            <w:tcW w:w="516"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受剪</w:t>
            </w:r>
          </w:p>
        </w:tc>
        <w:tc>
          <w:tcPr>
            <w:tcW w:w="516"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受剪</w:t>
            </w:r>
          </w:p>
        </w:tc>
        <w:tc>
          <w:tcPr>
            <w:tcW w:w="730"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强度</w:t>
            </w:r>
          </w:p>
        </w:tc>
        <w:tc>
          <w:tcPr>
            <w:tcW w:w="623" w:type="dxa"/>
            <w:vAlign w:val="center"/>
          </w:tcPr>
          <w:p>
            <w:pP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52" w:type="dxa"/>
            <w:vAlign w:val="center"/>
          </w:tcPr>
          <w:p>
            <w:pPr>
              <w:jc w:val="center"/>
              <w:rPr>
                <w:rFonts w:asciiTheme="minorEastAsia" w:hAnsiTheme="minorEastAsia" w:cstheme="minorEastAsia"/>
                <w:i/>
                <w:iCs/>
                <w:color w:val="000000" w:themeColor="text1"/>
                <w:sz w:val="15"/>
                <w:szCs w:val="15"/>
                <w14:textFill>
                  <w14:solidFill>
                    <w14:schemeClr w14:val="tx1"/>
                  </w14:solidFill>
                </w14:textFill>
              </w:rPr>
            </w:pPr>
            <m:oMathPara>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oMath>
            </m:oMathPara>
          </w:p>
        </w:tc>
        <w:tc>
          <w:tcPr>
            <w:tcW w:w="51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.75</w:t>
            </w:r>
          </w:p>
        </w:tc>
        <w:tc>
          <w:tcPr>
            <w:tcW w:w="79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.75</w:t>
            </w:r>
          </w:p>
        </w:tc>
        <w:tc>
          <w:tcPr>
            <w:tcW w:w="85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w:t>
            </w:r>
          </w:p>
        </w:tc>
        <w:tc>
          <w:tcPr>
            <w:tcW w:w="468"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w:t>
            </w:r>
          </w:p>
        </w:tc>
        <w:tc>
          <w:tcPr>
            <w:tcW w:w="677"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.85</w:t>
            </w:r>
          </w:p>
        </w:tc>
        <w:tc>
          <w:tcPr>
            <w:tcW w:w="468"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asciiTheme="minorEastAsia" w:hAnsiTheme="minorEastAsia" w:cstheme="minorEastAsia"/>
                <w:color w:val="000000" w:themeColor="text1"/>
                <w:sz w:val="15"/>
                <w:szCs w:val="15"/>
                <w14:textFill>
                  <w14:solidFill>
                    <w14:schemeClr w14:val="tx1"/>
                  </w14:solidFill>
                </w14:textFill>
              </w:rPr>
              <w:t>.0</w:t>
            </w:r>
          </w:p>
        </w:tc>
        <w:tc>
          <w:tcPr>
            <w:tcW w:w="51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.85</w:t>
            </w:r>
          </w:p>
        </w:tc>
        <w:tc>
          <w:tcPr>
            <w:tcW w:w="516"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.85</w:t>
            </w:r>
          </w:p>
        </w:tc>
        <w:tc>
          <w:tcPr>
            <w:tcW w:w="730"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.75</w:t>
            </w:r>
          </w:p>
        </w:tc>
        <w:tc>
          <w:tcPr>
            <w:tcW w:w="623"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0</w:t>
            </w:r>
            <w:r>
              <w:rPr>
                <w:rFonts w:asciiTheme="minorEastAsia" w:hAnsiTheme="minorEastAsia" w:cstheme="minorEastAsia"/>
                <w:color w:val="000000" w:themeColor="text1"/>
                <w:sz w:val="15"/>
                <w:szCs w:val="15"/>
                <w14:textFill>
                  <w14:solidFill>
                    <w14:schemeClr w14:val="tx1"/>
                  </w14:solidFill>
                </w14:textFill>
              </w:rPr>
              <w:t>.80</w:t>
            </w:r>
          </w:p>
        </w:tc>
      </w:tr>
    </w:tbl>
    <w:p>
      <w:pPr>
        <w:rPr>
          <w:rFonts w:hint="eastAsia" w:asciiTheme="minorEastAsia" w:hAnsiTheme="minorEastAsia" w:cstheme="minorEastAsia"/>
          <w:color w:val="000000" w:themeColor="text1"/>
          <w:szCs w:val="21"/>
          <w14:textFill>
            <w14:solidFill>
              <w14:schemeClr w14:val="tx1"/>
            </w14:solidFill>
          </w14:textFill>
        </w:rPr>
      </w:pPr>
    </w:p>
    <w:p>
      <w:pPr>
        <w:ind w:firstLine="420" w:firstLineChars="200"/>
        <w:jc w:val="left"/>
        <w:rPr>
          <w:rFonts w:hint="eastAsia"/>
          <w:color w:val="0070C0"/>
          <w:lang w:val="en-US" w:eastAsia="zh-CN"/>
        </w:rPr>
      </w:pPr>
      <w:r>
        <w:rPr>
          <w:rFonts w:hint="eastAsia"/>
          <w:color w:val="0070C0"/>
        </w:rPr>
        <w:t>条文说明：</w:t>
      </w:r>
      <w:r>
        <w:rPr>
          <w:rFonts w:hint="eastAsia"/>
          <w:color w:val="0070C0"/>
          <w:lang w:val="en-US" w:eastAsia="zh-CN"/>
        </w:rPr>
        <w:t>3.5.2 抗震调整系数按《建筑抗震设计规范》和《组合结构设计规范》的规定取值，</w:t>
      </w: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36" w:name="_Toc18493259"/>
      <w:bookmarkStart w:id="37" w:name="_Toc28706880"/>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 xml:space="preserve"> 甲壳梁、优端梁</w:t>
      </w:r>
      <w:bookmarkEnd w:id="36"/>
      <w:r>
        <w:rPr>
          <w:rFonts w:hint="eastAsia" w:ascii="黑体" w:hAnsi="黑体" w:eastAsia="黑体" w:cstheme="minorEastAsia"/>
          <w:color w:val="000000" w:themeColor="text1"/>
          <w:szCs w:val="21"/>
          <w14:textFill>
            <w14:solidFill>
              <w14:schemeClr w14:val="tx1"/>
            </w14:solidFill>
          </w14:textFill>
        </w:rPr>
        <w:t>、优腹梁构造要求</w:t>
      </w:r>
      <w:bookmarkEnd w:id="37"/>
    </w:p>
    <w:p>
      <w:pPr>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甲壳梁的钢甲壳由上翼缘、下翼缘、双波纹腹板组成，其截面如图3</w:t>
      </w:r>
      <w:r>
        <w:rPr>
          <w:rFonts w:asciiTheme="minorEastAsia" w:hAnsiTheme="minorEastAsia" w:cstheme="minorEastAsia"/>
          <w:color w:val="000000" w:themeColor="text1"/>
          <w:szCs w:val="21"/>
          <w14:textFill>
            <w14:solidFill>
              <w14:schemeClr w14:val="tx1"/>
            </w14:solidFill>
          </w14:textFill>
        </w:rPr>
        <w:t>.6.1</w:t>
      </w:r>
      <w:r>
        <w:rPr>
          <w:rFonts w:hint="eastAsia" w:asciiTheme="minorEastAsia" w:hAnsiTheme="minorEastAsia" w:cstheme="minorEastAsia"/>
          <w:color w:val="000000" w:themeColor="text1"/>
          <w:szCs w:val="21"/>
          <w14:textFill>
            <w14:solidFill>
              <w14:schemeClr w14:val="tx1"/>
            </w14:solidFill>
          </w14:textFill>
        </w:rPr>
        <w:t>所示，其零部件名称宜符合附录A</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的要求</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梁端腹板宜采用平钢板过渡；甲壳梁钢筋的构造要求及间距应满足现行国家标准《混凝土结构设计规范》GB 50010的要求，钢筋施工应符合现行国家标准《混凝土结构工程施工规范》GB 50666的相关要求。</w:t>
      </w:r>
    </w:p>
    <w:p>
      <w:pPr>
        <w:ind w:firstLine="1470" w:firstLineChars="7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954530" cy="15932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l="17053" t="1751" r="35234" b="6409"/>
                    <a:stretch>
                      <a:fillRect/>
                    </a:stretch>
                  </pic:blipFill>
                  <pic:spPr>
                    <a:xfrm>
                      <a:off x="0" y="0"/>
                      <a:ext cx="1954573" cy="1593366"/>
                    </a:xfrm>
                    <a:prstGeom prst="rect">
                      <a:avLst/>
                    </a:prstGeom>
                    <a:noFill/>
                    <a:ln>
                      <a:noFill/>
                    </a:ln>
                  </pic:spPr>
                </pic:pic>
              </a:graphicData>
            </a:graphic>
          </wp:inline>
        </w:drawing>
      </w:r>
    </w:p>
    <w:p>
      <w:pPr>
        <w:ind w:firstLine="2070" w:firstLineChars="1150"/>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图3.</w:t>
      </w:r>
      <w:r>
        <w:rPr>
          <w:rFonts w:ascii="黑体" w:hAnsi="黑体" w:eastAsia="黑体" w:cstheme="minorEastAsia"/>
          <w:color w:val="000000" w:themeColor="text1"/>
          <w:sz w:val="18"/>
          <w:szCs w:val="18"/>
          <w14:textFill>
            <w14:solidFill>
              <w14:schemeClr w14:val="tx1"/>
            </w14:solidFill>
          </w14:textFill>
        </w:rPr>
        <w:t>6</w:t>
      </w:r>
      <w:r>
        <w:rPr>
          <w:rFonts w:hint="eastAsia" w:ascii="黑体" w:hAnsi="黑体" w:eastAsia="黑体" w:cstheme="minorEastAsia"/>
          <w:color w:val="000000" w:themeColor="text1"/>
          <w:sz w:val="18"/>
          <w:szCs w:val="18"/>
          <w14:textFill>
            <w14:solidFill>
              <w14:schemeClr w14:val="tx1"/>
            </w14:solidFill>
          </w14:textFill>
        </w:rPr>
        <w:t>.1甲壳梁截面</w:t>
      </w:r>
    </w:p>
    <w:p>
      <w:pPr>
        <w:widowControl/>
        <w:spacing w:before="96" w:after="96"/>
        <w:ind w:firstLine="300" w:firstLineChars="200"/>
        <w:jc w:val="left"/>
        <w:rPr>
          <w:rFonts w:hint="eastAsia"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图中：</w:t>
      </w:r>
      <m:oMath>
        <m:r>
          <w:rPr>
            <w:rFonts w:ascii="Cambria Math" w:hAnsi="Cambria Math" w:cstheme="minorEastAsia"/>
            <w:color w:val="000000" w:themeColor="text1"/>
            <w:sz w:val="15"/>
            <w:szCs w:val="15"/>
            <w14:textFill>
              <w14:solidFill>
                <w14:schemeClr w14:val="tx1"/>
              </w14:solidFill>
            </w14:textFill>
          </w:rPr>
          <m:t>b</m:t>
        </m:r>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甲壳梁截面宽度;</w:t>
      </w:r>
      <m:oMath>
        <m:r>
          <w:rPr>
            <w:rFonts w:ascii="Cambria Math" w:hAnsi="Cambria Math" w:cstheme="minorEastAsia"/>
            <w:color w:val="000000" w:themeColor="text1"/>
            <w:sz w:val="15"/>
            <w:szCs w:val="15"/>
            <w14:textFill>
              <w14:solidFill>
                <w14:schemeClr w14:val="tx1"/>
              </w14:solidFill>
            </w14:textFill>
          </w:rPr>
          <m:t>h</m:t>
        </m:r>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甲壳梁截面高度;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a</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钢甲壳截面高度;</w:t>
      </w:r>
      <m:oMath>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w</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波纹腹板高度;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b</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d</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钢甲壳下翼缘截面宽度;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d</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钢甲壳下翼缘截面厚度;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b</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u</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钢甲壳上翼缘截面宽度;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u</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钢甲壳上翼缘截面厚度;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hint="eastAsia"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w</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波纹腹板壁厚;</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iCs/>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iCs/>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r</m:t>
            </m:r>
            <m:ctrlPr>
              <w:rPr>
                <w:rFonts w:ascii="Cambria Math" w:hAnsi="Cambria Math" w:cstheme="minorEastAsia"/>
                <w:i/>
                <w:iCs/>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波纹腹板波高。</w:t>
      </w:r>
    </w:p>
    <w:p>
      <w:pPr>
        <w:widowControl/>
        <w:spacing w:before="96" w:after="96"/>
        <w:ind w:firstLine="420" w:firstLineChars="200"/>
        <w:jc w:val="left"/>
        <w:rPr>
          <w:rFonts w:hint="default" w:asciiTheme="minorEastAsia" w:hAnsiTheme="minorEastAsia" w:eastAsiaTheme="minorEastAsia" w:cstheme="minorEastAsia"/>
          <w:color w:val="000000" w:themeColor="text1"/>
          <w:sz w:val="15"/>
          <w:szCs w:val="15"/>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6.1</w:t>
      </w:r>
      <w:r>
        <w:rPr>
          <w:rFonts w:hint="eastAsia"/>
          <w:color w:val="0070C0"/>
        </w:rPr>
        <w:t xml:space="preserve"> </w:t>
      </w:r>
      <w:r>
        <w:rPr>
          <w:rFonts w:hint="eastAsia"/>
          <w:color w:val="0070C0"/>
          <w:lang w:val="en-US" w:eastAsia="zh-CN"/>
        </w:rPr>
        <w:t>钢甲壳内的普通钢筋及预应力筋宜采用专用固定卡件进行定位及固定，也可采用点焊短钢筋的方式进行定位及固定。</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甲壳梁的上下翼缘宽厚比宜符合《波纹腹板钢结构技术规程》CECS291的规定，甲壳梁的上翼缘宽度不宜小于80mm，厚度不宜小于</w:t>
      </w:r>
      <w:r>
        <w:rPr>
          <w:rFonts w:asciiTheme="minorEastAsia" w:hAnsiTheme="minorEastAsia" w:cstheme="minorEastAsia"/>
          <w:color w:val="000000" w:themeColor="text1"/>
          <w:szCs w:val="21"/>
          <w14:textFill>
            <w14:solidFill>
              <w14:schemeClr w14:val="tx1"/>
            </w14:solidFill>
          </w14:textFill>
        </w:rPr>
        <w:t>8</w:t>
      </w:r>
      <w:r>
        <w:rPr>
          <w:rFonts w:hint="eastAsia" w:asciiTheme="minorEastAsia" w:hAnsiTheme="minorEastAsia" w:cstheme="minorEastAsia"/>
          <w:color w:val="000000" w:themeColor="text1"/>
          <w:szCs w:val="21"/>
          <w14:textFill>
            <w14:solidFill>
              <w14:schemeClr w14:val="tx1"/>
            </w14:solidFill>
          </w14:textFill>
        </w:rPr>
        <w:t>mm。波纹腹板厚度不宜小于1.5mm，波形宜采用图3.</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.2所示波形；波纹腹板的高厚比不宜大于600；甲壳梁上翼缘之间宜设置拉结</w:t>
      </w:r>
      <w:r>
        <w:rPr>
          <w:rFonts w:hint="eastAsia" w:asciiTheme="minorEastAsia" w:hAnsiTheme="minorEastAsia" w:cstheme="minorEastAsia"/>
          <w:color w:val="000000" w:themeColor="text1"/>
          <w:szCs w:val="21"/>
          <w:lang w:val="en-US" w:eastAsia="zh-CN"/>
          <w14:textFill>
            <w14:solidFill>
              <w14:schemeClr w14:val="tx1"/>
            </w14:solidFill>
          </w14:textFill>
        </w:rPr>
        <w:t>钢</w:t>
      </w:r>
      <w:r>
        <w:rPr>
          <w:rFonts w:hint="eastAsia" w:asciiTheme="minorEastAsia" w:hAnsiTheme="minorEastAsia" w:cstheme="minorEastAsia"/>
          <w:color w:val="000000" w:themeColor="text1"/>
          <w:szCs w:val="21"/>
          <w14:textFill>
            <w14:solidFill>
              <w14:schemeClr w14:val="tx1"/>
            </w14:solidFill>
          </w14:textFill>
        </w:rPr>
        <w:t>板，拉结</w:t>
      </w:r>
      <w:r>
        <w:rPr>
          <w:rFonts w:hint="eastAsia" w:asciiTheme="minorEastAsia" w:hAnsiTheme="minorEastAsia" w:cstheme="minorEastAsia"/>
          <w:color w:val="000000" w:themeColor="text1"/>
          <w:szCs w:val="21"/>
          <w:lang w:val="en-US" w:eastAsia="zh-CN"/>
          <w14:textFill>
            <w14:solidFill>
              <w14:schemeClr w14:val="tx1"/>
            </w14:solidFill>
          </w14:textFill>
        </w:rPr>
        <w:t>钢</w:t>
      </w:r>
      <w:r>
        <w:rPr>
          <w:rFonts w:hint="eastAsia" w:asciiTheme="minorEastAsia" w:hAnsiTheme="minorEastAsia" w:cstheme="minorEastAsia"/>
          <w:color w:val="000000" w:themeColor="text1"/>
          <w:szCs w:val="21"/>
          <w14:textFill>
            <w14:solidFill>
              <w14:schemeClr w14:val="tx1"/>
            </w14:solidFill>
          </w14:textFill>
        </w:rPr>
        <w:t>板间距不宜大于</w:t>
      </w:r>
      <w:r>
        <w:rPr>
          <w:rFonts w:asciiTheme="minorEastAsia" w:hAnsiTheme="minorEastAsia" w:cstheme="minorEastAsia"/>
          <w:color w:val="000000" w:themeColor="text1"/>
          <w:szCs w:val="21"/>
          <w14:textFill>
            <w14:solidFill>
              <w14:schemeClr w14:val="tx1"/>
            </w14:solidFill>
          </w14:textFill>
        </w:rPr>
        <w:t>1000mm</w:t>
      </w:r>
      <w:r>
        <w:rPr>
          <w:rFonts w:hint="eastAsia" w:asciiTheme="minorEastAsia" w:hAnsiTheme="minorEastAsia" w:cstheme="minorEastAsia"/>
          <w:color w:val="000000" w:themeColor="text1"/>
          <w:szCs w:val="21"/>
          <w14:textFill>
            <w14:solidFill>
              <w14:schemeClr w14:val="tx1"/>
            </w14:solidFill>
          </w14:textFill>
        </w:rPr>
        <w:t>，甲壳梁上翼缘与楼板应采用栓钉或抗剪键连接。</w:t>
      </w:r>
    </w:p>
    <w:p>
      <w:pPr>
        <w:ind w:firstLine="735" w:firstLineChars="35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733675" cy="69342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8552" t="24583" r="25142" b="35706"/>
                    <a:stretch>
                      <a:fillRect/>
                    </a:stretch>
                  </pic:blipFill>
                  <pic:spPr>
                    <a:xfrm>
                      <a:off x="0" y="0"/>
                      <a:ext cx="2735951" cy="693967"/>
                    </a:xfrm>
                    <a:prstGeom prst="rect">
                      <a:avLst/>
                    </a:prstGeom>
                    <a:noFill/>
                    <a:ln>
                      <a:noFill/>
                    </a:ln>
                  </pic:spPr>
                </pic:pic>
              </a:graphicData>
            </a:graphic>
          </wp:inline>
        </w:drawing>
      </w:r>
    </w:p>
    <w:p>
      <w:pPr>
        <w:ind w:firstLine="1980" w:firstLineChars="1100"/>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图3.</w:t>
      </w:r>
      <w:r>
        <w:rPr>
          <w:rFonts w:ascii="黑体" w:hAnsi="黑体" w:eastAsia="黑体" w:cstheme="minorEastAsia"/>
          <w:color w:val="000000" w:themeColor="text1"/>
          <w:sz w:val="18"/>
          <w:szCs w:val="18"/>
          <w14:textFill>
            <w14:solidFill>
              <w14:schemeClr w14:val="tx1"/>
            </w14:solidFill>
          </w14:textFill>
        </w:rPr>
        <w:t>6</w:t>
      </w:r>
      <w:r>
        <w:rPr>
          <w:rFonts w:hint="eastAsia" w:ascii="黑体" w:hAnsi="黑体" w:eastAsia="黑体" w:cstheme="minorEastAsia"/>
          <w:color w:val="000000" w:themeColor="text1"/>
          <w:sz w:val="18"/>
          <w:szCs w:val="18"/>
          <w14:textFill>
            <w14:solidFill>
              <w14:schemeClr w14:val="tx1"/>
            </w14:solidFill>
          </w14:textFill>
        </w:rPr>
        <w:t>.2</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波纹板的波形</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 xml:space="preserve"> 甲壳梁宽度超过3</w:t>
      </w:r>
      <w:r>
        <w:rPr>
          <w:rFonts w:asciiTheme="minorEastAsia" w:hAnsiTheme="minorEastAsia" w:cstheme="minorEastAsia"/>
          <w:color w:val="000000" w:themeColor="text1"/>
          <w:szCs w:val="21"/>
          <w14:textFill>
            <w14:solidFill>
              <w14:schemeClr w14:val="tx1"/>
            </w14:solidFill>
          </w14:textFill>
        </w:rPr>
        <w:t>00mm</w:t>
      </w:r>
      <w:r>
        <w:rPr>
          <w:rFonts w:hint="eastAsia" w:asciiTheme="minorEastAsia" w:hAnsiTheme="minorEastAsia" w:cstheme="minorEastAsia"/>
          <w:color w:val="000000" w:themeColor="text1"/>
          <w:szCs w:val="21"/>
          <w14:textFill>
            <w14:solidFill>
              <w14:schemeClr w14:val="tx1"/>
            </w14:solidFill>
          </w14:textFill>
        </w:rPr>
        <w:t>时，下翼缘上表面中部宜设置栓钉，栓钉与波纹腹板之间的间距及栓钉与栓钉之间的间距不宜大于</w:t>
      </w:r>
      <w:r>
        <w:rPr>
          <w:rFonts w:asciiTheme="minorEastAsia" w:hAnsiTheme="minorEastAsia" w:cstheme="minorEastAsia"/>
          <w:color w:val="000000" w:themeColor="text1"/>
          <w:szCs w:val="21"/>
          <w14:textFill>
            <w14:solidFill>
              <w14:schemeClr w14:val="tx1"/>
            </w14:solidFill>
          </w14:textFill>
        </w:rPr>
        <w:t>200mm</w:t>
      </w:r>
      <w:r>
        <w:rPr>
          <w:rFonts w:hint="eastAsia" w:asciiTheme="minorEastAsia" w:hAnsiTheme="minorEastAsia" w:cstheme="minorEastAsia"/>
          <w:color w:val="000000" w:themeColor="text1"/>
          <w:szCs w:val="21"/>
          <w14:textFill>
            <w14:solidFill>
              <w14:schemeClr w14:val="tx1"/>
            </w14:solidFill>
          </w14:textFill>
        </w:rPr>
        <w:t>，在甲壳梁端自柱边算起</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倍梁高的长度范围内，栓钉与波纹腹板之间的间距及栓钉与栓钉之间的间距不宜大于</w:t>
      </w:r>
      <w:r>
        <w:rPr>
          <w:rFonts w:asciiTheme="minorEastAsia" w:hAnsiTheme="minorEastAsia" w:cstheme="minorEastAsia"/>
          <w:color w:val="000000" w:themeColor="text1"/>
          <w:szCs w:val="21"/>
          <w14:textFill>
            <w14:solidFill>
              <w14:schemeClr w14:val="tx1"/>
            </w14:solidFill>
          </w14:textFill>
        </w:rPr>
        <w:t>100mm</w:t>
      </w:r>
      <w:r>
        <w:rPr>
          <w:rFonts w:hint="eastAsia" w:asciiTheme="minorEastAsia" w:hAnsiTheme="minorEastAsia" w:cstheme="minorEastAsia"/>
          <w:color w:val="000000" w:themeColor="text1"/>
          <w:szCs w:val="21"/>
          <w14:textFill>
            <w14:solidFill>
              <w14:schemeClr w14:val="tx1"/>
            </w14:solidFill>
          </w14:textFill>
        </w:rPr>
        <w:t>。甲壳梁上翼缘与混凝土板之间设置的栓钉宜达到</w:t>
      </w:r>
      <w:r>
        <w:rPr>
          <w:rFonts w:hint="eastAsia" w:asciiTheme="minorEastAsia" w:hAnsiTheme="minorEastAsia" w:cstheme="minorEastAsia"/>
          <w:color w:val="000000" w:themeColor="text1"/>
          <w:szCs w:val="21"/>
          <w:lang w:val="en-US" w:eastAsia="zh-CN"/>
          <w14:textFill>
            <w14:solidFill>
              <w14:schemeClr w14:val="tx1"/>
            </w14:solidFill>
          </w14:textFill>
        </w:rPr>
        <w:t>部分</w:t>
      </w:r>
      <w:r>
        <w:rPr>
          <w:rFonts w:hint="eastAsia" w:asciiTheme="minorEastAsia" w:hAnsiTheme="minorEastAsia" w:cstheme="minorEastAsia"/>
          <w:color w:val="000000" w:themeColor="text1"/>
          <w:szCs w:val="21"/>
          <w14:textFill>
            <w14:solidFill>
              <w14:schemeClr w14:val="tx1"/>
            </w14:solidFill>
          </w14:textFill>
        </w:rPr>
        <w:t>抗剪连接的要求。</w:t>
      </w:r>
    </w:p>
    <w:p>
      <w:pPr>
        <w:ind w:firstLine="420" w:firstLineChars="200"/>
        <w:jc w:val="both"/>
        <w:rPr>
          <w:rFonts w:hint="default" w:ascii="黑体" w:hAnsi="黑体" w:eastAsiaTheme="minorEastAsia" w:cstheme="minorEastAsia"/>
          <w:color w:val="000000" w:themeColor="text1"/>
          <w:sz w:val="18"/>
          <w:szCs w:val="18"/>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6.2~3.6.3</w:t>
      </w:r>
      <w:r>
        <w:rPr>
          <w:rFonts w:hint="eastAsia"/>
          <w:color w:val="0070C0"/>
        </w:rPr>
        <w:t xml:space="preserve"> </w:t>
      </w:r>
      <w:r>
        <w:rPr>
          <w:rFonts w:hint="eastAsia"/>
          <w:color w:val="0070C0"/>
          <w:lang w:val="en-US" w:eastAsia="zh-CN"/>
        </w:rPr>
        <w:t>为方便制作加工，波纹腹板的高度宜采用50mm的模数，当上翼缘的抗剪键采用栓钉时，上翼缘板厚宜满足《组合结构设计规范》的相关规定，为保证地震作用时甲壳梁具有足够延性，对梁端部下翼缘的栓钉进行加密。当甲壳梁的波纹腹板采用其它波形时，应通过试验确定，确保波纹腹板的屈服强度低于屈曲强度。</w:t>
      </w:r>
    </w:p>
    <w:p>
      <w:pPr>
        <w:rPr>
          <w:rFonts w:hint="default" w:ascii="黑体" w:hAnsi="黑体" w:eastAsia="黑体" w:cstheme="minorEastAsia"/>
          <w:color w:val="000000" w:themeColor="text1"/>
          <w:szCs w:val="21"/>
          <w:lang w:val="en-US"/>
          <w14:textFill>
            <w14:solidFill>
              <w14:schemeClr w14:val="tx1"/>
            </w14:solidFill>
          </w14:textFill>
        </w:rPr>
      </w:pPr>
    </w:p>
    <w:p>
      <w:pPr>
        <w:rPr>
          <w:rFonts w:hint="eastAsia" w:ascii="黑体" w:hAnsi="黑体" w:eastAsia="黑体" w:cstheme="minorEastAsia"/>
          <w:color w:val="000000" w:themeColor="text1"/>
          <w:szCs w:val="21"/>
          <w14:textFill>
            <w14:solidFill>
              <w14:schemeClr w14:val="tx1"/>
            </w14:solidFill>
          </w14:textFill>
        </w:rPr>
      </w:pP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 xml:space="preserve"> 优端梁的两端为甲壳梁，中间段为实腹式或波纹腹板H型钢梁，其零部件名称宜符合附录A</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的要求。优端梁甲壳部分的构造要求应符合甲壳梁的要求，H型钢梁部分的构造要求应符合钢梁的要求。</w:t>
      </w:r>
    </w:p>
    <w:p>
      <w:pPr>
        <w:ind w:firstLine="420" w:firstLineChars="2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6.4</w:t>
      </w:r>
      <w:r>
        <w:rPr>
          <w:rFonts w:hint="eastAsia"/>
          <w:color w:val="0070C0"/>
        </w:rPr>
        <w:t xml:space="preserve"> </w:t>
      </w:r>
      <w:r>
        <w:rPr>
          <w:rFonts w:hint="eastAsia"/>
          <w:color w:val="0070C0"/>
          <w:lang w:val="en-US" w:eastAsia="zh-CN"/>
        </w:rPr>
        <w:t>优端梁分段处的过渡，宜考虑内力的均匀变化，不宜有激烈的刚度突变和应力集中。</w:t>
      </w:r>
    </w:p>
    <w:p>
      <w:pPr>
        <w:rPr>
          <w:rFonts w:hint="default" w:asciiTheme="minorEastAsia" w:hAnsiTheme="minorEastAsia" w:cstheme="minorEastAsia"/>
          <w:color w:val="000000" w:themeColor="text1"/>
          <w:szCs w:val="21"/>
          <w:lang w:val="en-US" w:eastAsia="zh-CN"/>
          <w14:textFill>
            <w14:solidFill>
              <w14:schemeClr w14:val="tx1"/>
            </w14:solidFill>
          </w14:textFill>
        </w:rPr>
      </w:pPr>
    </w:p>
    <w:p>
      <w:pPr>
        <w:rPr>
          <w:rFonts w:hint="eastAsia"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3.6.5</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优腹梁的两端为实腹板H型钢梁，其构造要求应符合H型钢梁的要求，中间段为波纹腹板H型钢梁，其构造要求应符合波纹腹板H型钢梁的要求。</w:t>
      </w:r>
    </w:p>
    <w:p>
      <w:pPr>
        <w:ind w:firstLine="420" w:firstLineChars="2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6.5</w:t>
      </w:r>
      <w:r>
        <w:rPr>
          <w:rFonts w:hint="eastAsia"/>
          <w:color w:val="0070C0"/>
        </w:rPr>
        <w:t xml:space="preserve"> </w:t>
      </w:r>
      <w:r>
        <w:rPr>
          <w:rFonts w:hint="eastAsia"/>
          <w:color w:val="0070C0"/>
          <w:lang w:val="en-US" w:eastAsia="zh-CN"/>
        </w:rPr>
        <w:t>优腹梁分段处的波纹腹板与平腹板，宜沿腹板高度全长焊接。</w:t>
      </w:r>
    </w:p>
    <w:p>
      <w:pPr>
        <w:rPr>
          <w:rFonts w:hint="eastAsia" w:asciiTheme="minorEastAsia" w:hAnsiTheme="minorEastAsia" w:cstheme="minorEastAsia"/>
          <w:color w:val="000000" w:themeColor="text1"/>
          <w:szCs w:val="21"/>
          <w14:textFill>
            <w14:solidFill>
              <w14:schemeClr w14:val="tx1"/>
            </w14:solidFill>
          </w14:textFill>
        </w:rPr>
      </w:pPr>
    </w:p>
    <w:p>
      <w:pPr>
        <w:rPr>
          <w:rFonts w:hint="eastAsia" w:asciiTheme="minorEastAsia" w:hAnsiTheme="minorEastAsia" w:cstheme="minorEastAsia"/>
          <w:color w:val="000000" w:themeColor="text1"/>
          <w:szCs w:val="21"/>
          <w:lang w:val="en-US" w:eastAsia="zh-CN"/>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3.6.</w:t>
      </w:r>
      <w:r>
        <w:rPr>
          <w:rFonts w:hint="eastAsia" w:ascii="黑体" w:hAnsi="黑体" w:eastAsia="黑体" w:cstheme="minorEastAsia"/>
          <w:color w:val="000000" w:themeColor="text1"/>
          <w:szCs w:val="21"/>
          <w:lang w:val="en-US" w:eastAsia="zh-CN"/>
          <w14:textFill>
            <w14:solidFill>
              <w14:schemeClr w14:val="tx1"/>
            </w14:solidFill>
          </w14:textFill>
        </w:rPr>
        <w:t>6</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优端梁</w:t>
      </w:r>
      <w:r>
        <w:rPr>
          <w:rFonts w:hint="eastAsia" w:asciiTheme="minorEastAsia" w:hAnsiTheme="minorEastAsia" w:cstheme="minorEastAsia"/>
          <w:color w:val="000000" w:themeColor="text1"/>
          <w:szCs w:val="21"/>
          <w:lang w:val="en-US" w:eastAsia="zh-CN"/>
          <w14:textFill>
            <w14:solidFill>
              <w14:schemeClr w14:val="tx1"/>
            </w14:solidFill>
          </w14:textFill>
        </w:rPr>
        <w:t>及</w:t>
      </w:r>
      <w:r>
        <w:rPr>
          <w:rFonts w:hint="eastAsia" w:asciiTheme="minorEastAsia" w:hAnsiTheme="minorEastAsia" w:cstheme="minorEastAsia"/>
          <w:color w:val="000000" w:themeColor="text1"/>
          <w:szCs w:val="21"/>
          <w14:textFill>
            <w14:solidFill>
              <w14:schemeClr w14:val="tx1"/>
            </w14:solidFill>
          </w14:textFill>
        </w:rPr>
        <w:t>优腹梁</w:t>
      </w:r>
      <w:r>
        <w:rPr>
          <w:rFonts w:hint="eastAsia" w:asciiTheme="minorEastAsia" w:hAnsiTheme="minorEastAsia" w:cstheme="minorEastAsia"/>
          <w:color w:val="000000" w:themeColor="text1"/>
          <w:szCs w:val="21"/>
          <w:lang w:val="en-US" w:eastAsia="zh-CN"/>
          <w14:textFill>
            <w14:solidFill>
              <w14:schemeClr w14:val="tx1"/>
            </w14:solidFill>
          </w14:textFill>
        </w:rPr>
        <w:t>宜根据梁的承载及内力分布进行分段。</w:t>
      </w:r>
    </w:p>
    <w:p>
      <w:pPr>
        <w:ind w:firstLine="420" w:firstLineChars="200"/>
        <w:rPr>
          <w:rFonts w:hint="eastAsia"/>
          <w:color w:val="0070C0"/>
          <w:lang w:val="en-US" w:eastAsia="zh-CN"/>
        </w:rPr>
      </w:pPr>
      <w:r>
        <w:rPr>
          <w:rFonts w:hint="eastAsia"/>
          <w:color w:val="0070C0"/>
        </w:rPr>
        <w:t>条文说明：3.</w:t>
      </w:r>
      <w:r>
        <w:rPr>
          <w:rFonts w:hint="eastAsia"/>
          <w:color w:val="0070C0"/>
          <w:lang w:val="en-US" w:eastAsia="zh-CN"/>
        </w:rPr>
        <w:t>6.6</w:t>
      </w:r>
      <w:r>
        <w:rPr>
          <w:rFonts w:hint="eastAsia"/>
          <w:color w:val="0070C0"/>
        </w:rPr>
        <w:t xml:space="preserve"> </w:t>
      </w:r>
      <w:r>
        <w:rPr>
          <w:rFonts w:hint="eastAsia"/>
          <w:color w:val="0070C0"/>
          <w:lang w:val="en-US" w:eastAsia="zh-CN"/>
        </w:rPr>
        <w:t>梁端与跨中的分段，与梁的实际承载及内力相关，对于承受多个竖向集中荷载的主框架梁，一般在第一集中力作用处分段，对于承受均布竖向荷载的次方向框架梁，一般在距梁端1/6跨度处分段。考虑加工方便，分段数一般不超过3段。</w:t>
      </w: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3.6.</w:t>
      </w:r>
      <w:r>
        <w:rPr>
          <w:rFonts w:hint="eastAsia" w:ascii="黑体" w:hAnsi="黑体" w:eastAsia="黑体" w:cstheme="minorEastAsia"/>
          <w:color w:val="000000" w:themeColor="text1"/>
          <w:szCs w:val="21"/>
          <w:lang w:val="en-US" w:eastAsia="zh-CN"/>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甲壳梁与H型钢次梁通过连接板用高强度螺栓连接，连接板厚度等于次梁腹板厚度加2</w:t>
      </w:r>
      <w:r>
        <w:rPr>
          <w:rFonts w:asciiTheme="minorEastAsia" w:hAnsiTheme="minorEastAsia" w:cstheme="minorEastAsia"/>
          <w:color w:val="000000" w:themeColor="text1"/>
          <w:szCs w:val="21"/>
          <w14:textFill>
            <w14:solidFill>
              <w14:schemeClr w14:val="tx1"/>
            </w14:solidFill>
          </w14:textFill>
        </w:rPr>
        <w:t>mm</w:t>
      </w:r>
      <w:r>
        <w:rPr>
          <w:rFonts w:hint="eastAsia" w:asciiTheme="minorEastAsia" w:hAnsiTheme="minorEastAsia" w:cstheme="minorEastAsia"/>
          <w:color w:val="000000" w:themeColor="text1"/>
          <w:szCs w:val="21"/>
          <w14:textFill>
            <w14:solidFill>
              <w14:schemeClr w14:val="tx1"/>
            </w14:solidFill>
          </w14:textFill>
        </w:rPr>
        <w:t>，连接板穿过波纹腹板与上下翼缘及波纹腹板焊接，连接板在甲壳梁内设置栓钉，栓钉间距同螺栓间距。次梁端部的剪力全部由螺栓承担。具体构造见图</w:t>
      </w:r>
      <w:r>
        <w:rPr>
          <w:rFonts w:asciiTheme="minorEastAsia" w:hAnsiTheme="minorEastAsia" w:cstheme="minorEastAsia"/>
          <w:color w:val="000000" w:themeColor="text1"/>
          <w:szCs w:val="21"/>
          <w14:textFill>
            <w14:solidFill>
              <w14:schemeClr w14:val="tx1"/>
            </w14:solidFill>
          </w14:textFill>
        </w:rPr>
        <w:t>3.6.</w:t>
      </w:r>
      <w:r>
        <w:rPr>
          <w:rFonts w:hint="eastAsia" w:asciiTheme="minorEastAsia" w:hAnsiTheme="minorEastAsia" w:cstheme="minorEastAsia"/>
          <w:color w:val="000000" w:themeColor="text1"/>
          <w:szCs w:val="21"/>
          <w:lang w:val="en-US" w:eastAsia="zh-CN"/>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2272" behindDoc="0" locked="0" layoutInCell="1" allowOverlap="1">
            <wp:simplePos x="0" y="0"/>
            <wp:positionH relativeFrom="column">
              <wp:posOffset>2408555</wp:posOffset>
            </wp:positionH>
            <wp:positionV relativeFrom="paragraph">
              <wp:posOffset>180340</wp:posOffset>
            </wp:positionV>
            <wp:extent cx="1480185" cy="1515110"/>
            <wp:effectExtent l="0" t="0" r="5715" b="952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41921" t="46546" r="44605" b="21786"/>
                    <a:stretch>
                      <a:fillRect/>
                    </a:stretch>
                  </pic:blipFill>
                  <pic:spPr>
                    <a:xfrm>
                      <a:off x="0" y="0"/>
                      <a:ext cx="1484553" cy="1519077"/>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2176780" cy="16376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l="19604" t="30484" r="52634" b="21528"/>
                    <a:stretch>
                      <a:fillRect/>
                    </a:stretch>
                  </pic:blipFill>
                  <pic:spPr>
                    <a:xfrm>
                      <a:off x="0" y="0"/>
                      <a:ext cx="2176998" cy="1637731"/>
                    </a:xfrm>
                    <a:prstGeom prst="rect">
                      <a:avLst/>
                    </a:prstGeom>
                    <a:noFill/>
                    <a:ln>
                      <a:noFill/>
                    </a:ln>
                  </pic:spPr>
                </pic:pic>
              </a:graphicData>
            </a:graphic>
          </wp:inline>
        </w:drawing>
      </w:r>
    </w:p>
    <w:p>
      <w:pPr>
        <w:numPr>
          <w:ilvl w:val="0"/>
          <w:numId w:val="3"/>
        </w:numPr>
        <w:ind w:left="1785"/>
        <w:jc w:val="left"/>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lang w:val="en-US" w:eastAsia="zh-CN"/>
          <w14:textFill>
            <w14:solidFill>
              <w14:schemeClr w14:val="tx1"/>
            </w14:solidFill>
          </w14:textFill>
        </w:rPr>
        <w:t xml:space="preserve">                   (b) </w:t>
      </w:r>
    </w:p>
    <w:p>
      <w:pPr>
        <w:numPr>
          <w:ilvl w:val="0"/>
          <w:numId w:val="0"/>
        </w:numPr>
        <w:jc w:val="center"/>
        <w:rPr>
          <w:rFonts w:ascii="黑体" w:hAnsi="黑体" w:eastAsia="黑体"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2179320" cy="1464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l="27483" t="21759" r="33374" b="17854"/>
                    <a:stretch>
                      <a:fillRect/>
                    </a:stretch>
                  </pic:blipFill>
                  <pic:spPr>
                    <a:xfrm>
                      <a:off x="0" y="0"/>
                      <a:ext cx="2179826" cy="1464421"/>
                    </a:xfrm>
                    <a:prstGeom prst="rect">
                      <a:avLst/>
                    </a:prstGeom>
                    <a:noFill/>
                    <a:ln>
                      <a:noFill/>
                    </a:ln>
                  </pic:spPr>
                </pic:pic>
              </a:graphicData>
            </a:graphic>
          </wp:inline>
        </w:drawing>
      </w:r>
    </w:p>
    <w:p>
      <w:pPr>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lang w:val="en-US" w:eastAsia="zh-CN"/>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(c)</w:t>
      </w:r>
    </w:p>
    <w:p>
      <w:pPr>
        <w:ind w:firstLine="1440" w:firstLineChars="8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图3.6.</w:t>
      </w:r>
      <w:r>
        <w:rPr>
          <w:rFonts w:hint="eastAsia" w:ascii="黑体" w:hAnsi="黑体" w:eastAsia="黑体" w:cstheme="minorEastAsia"/>
          <w:color w:val="000000" w:themeColor="text1"/>
          <w:sz w:val="18"/>
          <w:szCs w:val="18"/>
          <w:lang w:val="en-US" w:eastAsia="zh-CN"/>
          <w14:textFill>
            <w14:solidFill>
              <w14:schemeClr w14:val="tx1"/>
            </w14:solidFill>
          </w14:textFill>
        </w:rPr>
        <w:t>7</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甲壳梁-</w:t>
      </w:r>
      <w:r>
        <w:rPr>
          <w:rFonts w:ascii="黑体" w:hAnsi="黑体" w:eastAsia="黑体" w:cstheme="minorEastAsia"/>
          <w:color w:val="000000" w:themeColor="text1"/>
          <w:sz w:val="18"/>
          <w:szCs w:val="18"/>
          <w14:textFill>
            <w14:solidFill>
              <w14:schemeClr w14:val="tx1"/>
            </w14:solidFill>
          </w14:textFill>
        </w:rPr>
        <w:t>H</w:t>
      </w:r>
      <w:r>
        <w:rPr>
          <w:rFonts w:hint="eastAsia" w:ascii="黑体" w:hAnsi="黑体" w:eastAsia="黑体" w:cstheme="minorEastAsia"/>
          <w:color w:val="000000" w:themeColor="text1"/>
          <w:sz w:val="18"/>
          <w:szCs w:val="18"/>
          <w14:textFill>
            <w14:solidFill>
              <w14:schemeClr w14:val="tx1"/>
            </w14:solidFill>
          </w14:textFill>
        </w:rPr>
        <w:t>型钢次梁连接节点构造</w:t>
      </w:r>
    </w:p>
    <w:p>
      <w:pPr>
        <w:numPr>
          <w:ilvl w:val="0"/>
          <w:numId w:val="4"/>
        </w:numPr>
        <w:ind w:firstLine="900" w:firstLineChars="500"/>
        <w:rPr>
          <w:rFonts w:hint="eastAsia"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两侧连次梁；(</w:t>
      </w:r>
      <w:r>
        <w:rPr>
          <w:rFonts w:ascii="黑体" w:hAnsi="黑体" w:eastAsia="黑体" w:cstheme="minorEastAsia"/>
          <w:color w:val="000000" w:themeColor="text1"/>
          <w:sz w:val="18"/>
          <w:szCs w:val="18"/>
          <w14:textFill>
            <w14:solidFill>
              <w14:schemeClr w14:val="tx1"/>
            </w14:solidFill>
          </w14:textFill>
        </w:rPr>
        <w:t>b)</w:t>
      </w:r>
      <w:r>
        <w:rPr>
          <w:rFonts w:hint="eastAsia" w:ascii="黑体" w:hAnsi="黑体" w:eastAsia="黑体" w:cstheme="minorEastAsia"/>
          <w:color w:val="000000" w:themeColor="text1"/>
          <w:sz w:val="18"/>
          <w:szCs w:val="18"/>
          <w14:textFill>
            <w14:solidFill>
              <w14:schemeClr w14:val="tx1"/>
            </w14:solidFill>
          </w14:textFill>
        </w:rPr>
        <w:t>单侧连次梁；(</w:t>
      </w:r>
      <w:r>
        <w:rPr>
          <w:rFonts w:ascii="黑体" w:hAnsi="黑体" w:eastAsia="黑体" w:cstheme="minorEastAsia"/>
          <w:color w:val="000000" w:themeColor="text1"/>
          <w:sz w:val="18"/>
          <w:szCs w:val="18"/>
          <w14:textFill>
            <w14:solidFill>
              <w14:schemeClr w14:val="tx1"/>
            </w14:solidFill>
          </w14:textFill>
        </w:rPr>
        <w:t>c)</w:t>
      </w:r>
      <w:r>
        <w:rPr>
          <w:rFonts w:hint="eastAsia" w:ascii="黑体" w:hAnsi="黑体" w:eastAsia="黑体" w:cstheme="minorEastAsia"/>
          <w:color w:val="000000" w:themeColor="text1"/>
          <w:sz w:val="18"/>
          <w:szCs w:val="18"/>
          <w14:textFill>
            <w14:solidFill>
              <w14:schemeClr w14:val="tx1"/>
            </w14:solidFill>
          </w14:textFill>
        </w:rPr>
        <w:t>两侧次梁标高不等</w:t>
      </w:r>
    </w:p>
    <w:p>
      <w:pPr>
        <w:numPr>
          <w:ilvl w:val="0"/>
          <w:numId w:val="0"/>
        </w:numPr>
        <w:rPr>
          <w:rFonts w:hint="eastAsia" w:ascii="黑体" w:hAnsi="黑体" w:eastAsia="黑体" w:cstheme="minorEastAsia"/>
          <w:color w:val="000000" w:themeColor="text1"/>
          <w:sz w:val="18"/>
          <w:szCs w:val="18"/>
          <w14:textFill>
            <w14:solidFill>
              <w14:schemeClr w14:val="tx1"/>
            </w14:solidFill>
          </w14:textFill>
        </w:rPr>
      </w:pPr>
    </w:p>
    <w:p>
      <w:pPr>
        <w:ind w:firstLine="420" w:firstLineChars="200"/>
        <w:rPr>
          <w:rFonts w:hint="eastAsia"/>
          <w:color w:val="0070C0"/>
          <w:lang w:val="en-US" w:eastAsia="zh-CN"/>
        </w:rPr>
      </w:pPr>
      <w:r>
        <w:rPr>
          <w:rFonts w:hint="eastAsia"/>
          <w:color w:val="0070C0"/>
        </w:rPr>
        <w:t>条文说明：</w:t>
      </w:r>
      <w:r>
        <w:rPr>
          <w:color w:val="0070C0"/>
        </w:rPr>
        <w:t>3.</w:t>
      </w:r>
      <w:r>
        <w:rPr>
          <w:rFonts w:hint="eastAsia"/>
          <w:color w:val="0070C0"/>
          <w:lang w:val="en-US" w:eastAsia="zh-CN"/>
        </w:rPr>
        <w:t>6.7</w:t>
      </w:r>
      <w:r>
        <w:rPr>
          <w:rFonts w:hint="eastAsia"/>
          <w:color w:val="0070C0"/>
        </w:rPr>
        <w:t xml:space="preserve"> </w:t>
      </w:r>
      <w:r>
        <w:rPr>
          <w:rFonts w:hint="eastAsia"/>
          <w:color w:val="0070C0"/>
          <w:lang w:val="en-US" w:eastAsia="zh-CN"/>
        </w:rPr>
        <w:t>虽然钢次梁端部按铰接连接设计，甲壳梁在钢次梁的连接处仍存在扭矩，需保证扭矩在甲壳梁内的有效传递。</w:t>
      </w:r>
    </w:p>
    <w:p>
      <w:pPr>
        <w:rPr>
          <w:rFonts w:hint="default"/>
          <w:color w:val="0070C0"/>
          <w:lang w:val="en-US" w:eastAsia="zh-CN"/>
        </w:rPr>
      </w:pPr>
    </w:p>
    <w:p>
      <w:pPr>
        <w:jc w:val="center"/>
        <w:outlineLvl w:val="1"/>
        <w:rPr>
          <w:rFonts w:ascii="黑体" w:hAnsi="黑体" w:eastAsia="黑体" w:cstheme="minorEastAsia"/>
          <w:color w:val="000000" w:themeColor="text1"/>
          <w:szCs w:val="21"/>
          <w14:textFill>
            <w14:solidFill>
              <w14:schemeClr w14:val="tx1"/>
            </w14:solidFill>
          </w14:textFill>
        </w:rPr>
      </w:pPr>
      <w:bookmarkStart w:id="38" w:name="_Toc18493260"/>
      <w:bookmarkStart w:id="39" w:name="_Toc28706881"/>
      <w:r>
        <w:rPr>
          <w:rFonts w:hint="eastAsia" w:ascii="黑体" w:hAnsi="黑体" w:eastAsia="黑体" w:cstheme="minorEastAsia"/>
          <w:color w:val="000000" w:themeColor="text1"/>
          <w:szCs w:val="21"/>
          <w14:textFill>
            <w14:solidFill>
              <w14:schemeClr w14:val="tx1"/>
            </w14:solidFill>
          </w14:textFill>
        </w:rPr>
        <w:t>3.</w:t>
      </w:r>
      <w:r>
        <w:rPr>
          <w:rFonts w:ascii="黑体" w:hAnsi="黑体" w:eastAsia="黑体" w:cstheme="minorEastAsia"/>
          <w:color w:val="000000" w:themeColor="text1"/>
          <w:szCs w:val="21"/>
          <w14:textFill>
            <w14:solidFill>
              <w14:schemeClr w14:val="tx1"/>
            </w14:solidFill>
          </w14:textFill>
        </w:rPr>
        <w:t>7</w:t>
      </w:r>
      <w:r>
        <w:rPr>
          <w:rFonts w:hint="eastAsia" w:ascii="黑体" w:hAnsi="黑体" w:eastAsia="黑体" w:cstheme="minorEastAsia"/>
          <w:color w:val="000000" w:themeColor="text1"/>
          <w:szCs w:val="21"/>
          <w14:textFill>
            <w14:solidFill>
              <w14:schemeClr w14:val="tx1"/>
            </w14:solidFill>
          </w14:textFill>
        </w:rPr>
        <w:t xml:space="preserve"> 甲壳柱</w:t>
      </w:r>
      <w:bookmarkEnd w:id="38"/>
      <w:r>
        <w:rPr>
          <w:rFonts w:hint="eastAsia" w:ascii="黑体" w:hAnsi="黑体" w:eastAsia="黑体" w:cstheme="minorEastAsia"/>
          <w:color w:val="000000" w:themeColor="text1"/>
          <w:szCs w:val="21"/>
          <w14:textFill>
            <w14:solidFill>
              <w14:schemeClr w14:val="tx1"/>
            </w14:solidFill>
          </w14:textFill>
        </w:rPr>
        <w:t>构造要求</w:t>
      </w:r>
      <w:bookmarkEnd w:id="39"/>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.1 甲壳柱的钢甲壳由四角钢管与波纹侧板组成，其截面如图3.</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.1所示，其零部件名称宜符合附录A</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的规定。</w:t>
      </w:r>
    </w:p>
    <w:p>
      <w:pPr>
        <w:ind w:firstLine="1680" w:firstLineChars="800"/>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1762760" cy="1723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cstate="print">
                      <a:extLst>
                        <a:ext uri="{28A0092B-C50C-407E-A947-70E740481C1C}">
                          <a14:useLocalDpi xmlns:a14="http://schemas.microsoft.com/office/drawing/2010/main" val="0"/>
                        </a:ext>
                      </a:extLst>
                    </a:blip>
                    <a:srcRect l="33119" t="19676" r="39832" b="15601"/>
                    <a:stretch>
                      <a:fillRect/>
                    </a:stretch>
                  </pic:blipFill>
                  <pic:spPr>
                    <a:xfrm>
                      <a:off x="0" y="0"/>
                      <a:ext cx="1763164" cy="1723452"/>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图3.</w:t>
      </w:r>
      <w:r>
        <w:rPr>
          <w:rFonts w:ascii="黑体" w:hAnsi="黑体" w:eastAsia="黑体" w:cstheme="minorEastAsia"/>
          <w:color w:val="000000" w:themeColor="text1"/>
          <w:sz w:val="18"/>
          <w:szCs w:val="18"/>
          <w14:textFill>
            <w14:solidFill>
              <w14:schemeClr w14:val="tx1"/>
            </w14:solidFill>
          </w14:textFill>
        </w:rPr>
        <w:t>7</w:t>
      </w:r>
      <w:r>
        <w:rPr>
          <w:rFonts w:hint="eastAsia" w:ascii="黑体" w:hAnsi="黑体" w:eastAsia="黑体" w:cstheme="minorEastAsia"/>
          <w:color w:val="000000" w:themeColor="text1"/>
          <w:sz w:val="18"/>
          <w:szCs w:val="18"/>
          <w14:textFill>
            <w14:solidFill>
              <w14:schemeClr w14:val="tx1"/>
            </w14:solidFill>
          </w14:textFill>
        </w:rPr>
        <w:t>.1 甲壳柱截面</w:t>
      </w:r>
    </w:p>
    <w:p>
      <w:pPr>
        <w:widowControl/>
        <w:spacing w:before="96" w:after="96"/>
        <w:jc w:val="left"/>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图中：</w:t>
      </w:r>
      <m:oMath>
        <m:r>
          <w:rPr>
            <w:rFonts w:ascii="Cambria Math" w:hAnsi="Cambria Math" w:cstheme="minorEastAsia"/>
            <w:color w:val="000000" w:themeColor="text1"/>
            <w:sz w:val="15"/>
            <w:szCs w:val="15"/>
            <w14:textFill>
              <w14:solidFill>
                <w14:schemeClr w14:val="tx1"/>
              </w14:solidFill>
            </w14:textFill>
          </w:rPr>
          <m:t>b</m:t>
        </m:r>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甲壳柱截面宽度;</w:t>
      </w:r>
      <m:oMath>
        <m:r>
          <w:rPr>
            <w:rFonts w:ascii="Cambria Math" w:hAnsi="Cambria Math" w:cstheme="minorEastAsia"/>
            <w:color w:val="000000" w:themeColor="text1"/>
            <w:sz w:val="15"/>
            <w:szCs w:val="15"/>
            <w14:textFill>
              <w14:solidFill>
                <w14:schemeClr w14:val="tx1"/>
              </w14:solidFill>
            </w14:textFill>
          </w:rPr>
          <m:t>h</m:t>
        </m:r>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甲壳柱截面高度;</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b</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四角钢管截面宽度;</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四角钢管截面高度;</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1</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四角钢管壁厚;</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b</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c</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波纹侧板宽度;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c</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波纹侧板高度;</w:t>
      </w:r>
      <m:oMath>
        <m:r>
          <w:rPr>
            <w:rFonts w:ascii="Cambria Math" w:hAnsi="Cambria Math" w:cstheme="minorEastAsia"/>
            <w:color w:val="000000" w:themeColor="text1"/>
            <w:sz w:val="15"/>
            <w:szCs w:val="15"/>
            <w14:textFill>
              <w14:solidFill>
                <w14:schemeClr w14:val="tx1"/>
              </w14:solidFill>
            </w14:textFill>
          </w:rPr>
          <m:t xml:space="preserve"> </m:t>
        </m:r>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t</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2</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波纹侧板壁厚;</w:t>
      </w:r>
      <m:oMath>
        <m:sSub>
          <m:sSubPr>
            <m:ctrlPr>
              <w:rPr>
                <w:rFonts w:ascii="Cambria Math" w:hAnsi="Cambria Math" w:cstheme="minorEastAsia"/>
                <w:i/>
                <w:color w:val="000000" w:themeColor="text1"/>
                <w:sz w:val="15"/>
                <w:szCs w:val="15"/>
                <w14:textFill>
                  <w14:solidFill>
                    <w14:schemeClr w14:val="tx1"/>
                  </w14:solidFill>
                </w14:textFill>
              </w:rPr>
            </m:ctrlPr>
          </m:sSubPr>
          <m:e>
            <m:r>
              <w:rPr>
                <w:rFonts w:ascii="Cambria Math" w:hAnsi="Cambria Math" w:cstheme="minorEastAsia"/>
                <w:color w:val="000000" w:themeColor="text1"/>
                <w:sz w:val="15"/>
                <w:szCs w:val="15"/>
                <w14:textFill>
                  <w14:solidFill>
                    <w14:schemeClr w14:val="tx1"/>
                  </w14:solidFill>
                </w14:textFill>
              </w:rPr>
              <m:t>h</m:t>
            </m:r>
            <m:ctrlPr>
              <w:rPr>
                <w:rFonts w:ascii="Cambria Math" w:hAnsi="Cambria Math" w:cstheme="minorEastAsia"/>
                <w:i/>
                <w:color w:val="000000" w:themeColor="text1"/>
                <w:sz w:val="15"/>
                <w:szCs w:val="15"/>
                <w14:textFill>
                  <w14:solidFill>
                    <w14:schemeClr w14:val="tx1"/>
                  </w14:solidFill>
                </w14:textFill>
              </w:rPr>
            </m:ctrlPr>
          </m:e>
          <m:sub>
            <m:r>
              <w:rPr>
                <w:rFonts w:ascii="Cambria Math" w:hAnsi="Cambria Math" w:cstheme="minorEastAsia"/>
                <w:color w:val="000000" w:themeColor="text1"/>
                <w:sz w:val="15"/>
                <w:szCs w:val="15"/>
                <w14:textFill>
                  <w14:solidFill>
                    <w14:schemeClr w14:val="tx1"/>
                  </w14:solidFill>
                </w14:textFill>
              </w:rPr>
              <m:t>r</m:t>
            </m:r>
            <m:ctrlPr>
              <w:rPr>
                <w:rFonts w:ascii="Cambria Math" w:hAnsi="Cambria Math" w:cstheme="minorEastAsia"/>
                <w:i/>
                <w:color w:val="000000" w:themeColor="text1"/>
                <w:sz w:val="15"/>
                <w:szCs w:val="15"/>
                <w14:textFill>
                  <w14:solidFill>
                    <w14:schemeClr w14:val="tx1"/>
                  </w14:solidFill>
                </w14:textFill>
              </w:rPr>
            </m:ctrlPr>
          </m:sub>
        </m:sSub>
      </m:oMath>
      <w:r>
        <w:rPr>
          <w:rFonts w:asciiTheme="minorEastAsia" w:hAnsiTheme="minorEastAsia" w:cstheme="minorEastAsia"/>
          <w:color w:val="000000" w:themeColor="text1"/>
          <w:sz w:val="15"/>
          <w:szCs w:val="15"/>
          <w14:textFill>
            <w14:solidFill>
              <w14:schemeClr w14:val="tx1"/>
            </w14:solidFill>
          </w14:textFill>
        </w:rPr>
        <w:t>-</w:t>
      </w:r>
      <w:r>
        <w:rPr>
          <w:rFonts w:hint="eastAsia" w:asciiTheme="minorEastAsia" w:hAnsiTheme="minorEastAsia" w:cstheme="minorEastAsia"/>
          <w:color w:val="000000" w:themeColor="text1"/>
          <w:sz w:val="15"/>
          <w:szCs w:val="15"/>
          <w14:textFill>
            <w14:solidFill>
              <w14:schemeClr w14:val="tx1"/>
            </w14:solidFill>
          </w14:textFill>
        </w:rPr>
        <w:t>波纹侧板的波高。</w:t>
      </w:r>
    </w:p>
    <w:p>
      <w:pPr>
        <w:ind w:firstLine="420" w:firstLineChars="2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7.1</w:t>
      </w:r>
      <w:r>
        <w:rPr>
          <w:rFonts w:hint="eastAsia"/>
          <w:color w:val="0070C0"/>
        </w:rPr>
        <w:t xml:space="preserve"> </w:t>
      </w:r>
      <w:r>
        <w:rPr>
          <w:rFonts w:hint="eastAsia"/>
          <w:color w:val="0070C0"/>
          <w:lang w:val="en-US" w:eastAsia="zh-CN"/>
        </w:rPr>
        <w:t>当甲壳柱截面较小时，为方便中间腔体内的混凝土浇筑，十字拉板可用“口”形拉板替代。</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.2 甲壳柱的截面可为方形或矩形；截面短边尺寸不宜小于400mm, 截面长边尺寸不宜超过1</w:t>
      </w:r>
      <w:r>
        <w:rPr>
          <w:rFonts w:asciiTheme="minorEastAsia" w:hAnsiTheme="minorEastAsia" w:cstheme="minorEastAsia"/>
          <w:color w:val="000000" w:themeColor="text1"/>
          <w:szCs w:val="21"/>
          <w14:textFill>
            <w14:solidFill>
              <w14:schemeClr w14:val="tx1"/>
            </w14:solidFill>
          </w14:textFill>
        </w:rPr>
        <w:t>200mm</w:t>
      </w:r>
      <w:r>
        <w:rPr>
          <w:rFonts w:hint="eastAsia" w:asciiTheme="minorEastAsia" w:hAnsiTheme="minorEastAsia" w:cstheme="minorEastAsia"/>
          <w:color w:val="000000" w:themeColor="text1"/>
          <w:szCs w:val="21"/>
          <w14:textFill>
            <w14:solidFill>
              <w14:schemeClr w14:val="tx1"/>
            </w14:solidFill>
          </w14:textFill>
        </w:rPr>
        <w:t>，截面长边尺寸与短边尺寸的比值不宜超过</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w:t>
      </w:r>
      <w:r>
        <w:rPr>
          <w:color w:val="0070C0"/>
        </w:rPr>
        <w:t>3.</w:t>
      </w:r>
      <w:r>
        <w:rPr>
          <w:rFonts w:hint="eastAsia"/>
          <w:color w:val="0070C0"/>
          <w:lang w:val="en-US" w:eastAsia="zh-CN"/>
        </w:rPr>
        <w:t>7.2</w:t>
      </w:r>
      <w:r>
        <w:rPr>
          <w:rFonts w:hint="eastAsia"/>
          <w:color w:val="0070C0"/>
        </w:rPr>
        <w:t xml:space="preserve"> </w:t>
      </w:r>
      <w:r>
        <w:rPr>
          <w:rFonts w:hint="eastAsia"/>
          <w:color w:val="0070C0"/>
          <w:lang w:val="en-US" w:eastAsia="zh-CN"/>
        </w:rPr>
        <w:t>当甲壳柱截面尺寸超过1200mm时，为抵抗混凝土浇筑时的涨模力，波纹侧板的波高及板厚宜加大，波形宜进行调整。</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.3 甲壳柱的四角钢管可为方管或矩形管，钢管截面的最小边长不宜小于7</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mm，钢管截面边长与同方向柱截面边长的比值不宜小于1/6，矩形钢管的截面长边与短边边长的比值不宜大于1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；钢管壁厚不宜小于2.5mm，钢管较大边长与钢管壁厚的比值不宜大于6</w:t>
      </w:r>
      <w:r>
        <w:rPr>
          <w:rFonts w:asciiTheme="minorEastAsia" w:hAnsiTheme="minorEastAsia" w:cstheme="minorEastAsia"/>
          <w:color w:val="000000" w:themeColor="text1"/>
          <w:szCs w:val="21"/>
          <w14:textFill>
            <w14:solidFill>
              <w14:schemeClr w14:val="tx1"/>
            </w14:solidFill>
          </w14:textFill>
        </w:rPr>
        <w:t>0</w:t>
      </w:r>
      <w:r>
        <w:rPr>
          <w:rFonts w:asciiTheme="majorHAnsi" w:hAnsiTheme="majorHAnsi" w:cstheme="minorEastAsia"/>
          <w:color w:val="000000" w:themeColor="text1"/>
          <w:sz w:val="24"/>
          <w:szCs w:val="24"/>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r>
        <w:rPr>
          <w:rFonts w:hint="eastAsia" w:asciiTheme="minorEastAsia" w:hAnsiTheme="minorEastAsia" w:cstheme="minorEastAsia"/>
          <w:color w:val="000000" w:themeColor="text1"/>
          <w:szCs w:val="21"/>
          <w14:textFill>
            <w14:solidFill>
              <w14:schemeClr w14:val="tx1"/>
            </w14:solidFill>
          </w14:textFill>
        </w:rPr>
        <w:t>，</w:t>
      </w:r>
      <w:r>
        <w:rPr>
          <w:rFonts w:asciiTheme="majorHAnsi" w:hAnsiTheme="majorHAnsi" w:cstheme="minorEastAsia"/>
          <w:color w:val="000000" w:themeColor="text1"/>
          <w:sz w:val="24"/>
          <w:szCs w:val="24"/>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r>
        <w:rPr>
          <w:rFonts w:hint="eastAsia" w:asciiTheme="minorEastAsia" w:hAnsiTheme="minorEastAsia" w:cstheme="minorEastAsia"/>
          <w:color w:val="000000" w:themeColor="text1"/>
          <w:szCs w:val="21"/>
          <w14:textFill>
            <w14:solidFill>
              <w14:schemeClr w14:val="tx1"/>
            </w14:solidFill>
          </w14:textFill>
        </w:rPr>
        <w:t>为钢号修正系数，其值为2</w:t>
      </w:r>
      <w:r>
        <w:rPr>
          <w:rFonts w:asciiTheme="minorEastAsia" w:hAnsiTheme="minorEastAsia" w:cstheme="minorEastAsia"/>
          <w:color w:val="000000" w:themeColor="text1"/>
          <w:szCs w:val="21"/>
          <w14:textFill>
            <w14:solidFill>
              <w14:schemeClr w14:val="tx1"/>
            </w14:solidFill>
          </w14:textFill>
        </w:rPr>
        <w:t>35</w:t>
      </w:r>
      <w:r>
        <w:rPr>
          <w:rFonts w:hint="eastAsia" w:asciiTheme="minorEastAsia" w:hAnsiTheme="minorEastAsia" w:cstheme="minorEastAsia"/>
          <w:color w:val="000000" w:themeColor="text1"/>
          <w:szCs w:val="21"/>
          <w14:textFill>
            <w14:solidFill>
              <w14:schemeClr w14:val="tx1"/>
            </w14:solidFill>
          </w14:textFill>
        </w:rPr>
        <w:t>与钢管的钢材牌号中屈服点数值的比值的平方根。</w:t>
      </w:r>
    </w:p>
    <w:p>
      <w:pPr>
        <w:rPr>
          <w:rFonts w:hint="eastAsia"/>
          <w:color w:val="0070C0"/>
        </w:rPr>
      </w:pPr>
    </w:p>
    <w:p>
      <w:pPr>
        <w:ind w:firstLine="420" w:firstLineChars="200"/>
        <w:rPr>
          <w:rFonts w:hint="eastAsia"/>
          <w:color w:val="0070C0"/>
          <w:lang w:val="en-US" w:eastAsia="zh-CN"/>
        </w:rPr>
      </w:pPr>
      <w:r>
        <w:rPr>
          <w:rFonts w:hint="eastAsia"/>
          <w:color w:val="0070C0"/>
        </w:rPr>
        <w:t>条文说明：</w:t>
      </w:r>
      <w:r>
        <w:rPr>
          <w:color w:val="0070C0"/>
        </w:rPr>
        <w:t>3.</w:t>
      </w:r>
      <w:r>
        <w:rPr>
          <w:rFonts w:hint="eastAsia"/>
          <w:color w:val="0070C0"/>
          <w:lang w:val="en-US" w:eastAsia="zh-CN"/>
        </w:rPr>
        <w:t>7.3</w:t>
      </w:r>
      <w:r>
        <w:rPr>
          <w:rFonts w:hint="eastAsia"/>
          <w:color w:val="0070C0"/>
        </w:rPr>
        <w:t xml:space="preserve"> </w:t>
      </w:r>
      <w:r>
        <w:rPr>
          <w:rFonts w:hint="eastAsia"/>
          <w:color w:val="0070C0"/>
          <w:lang w:val="en-US" w:eastAsia="zh-CN"/>
        </w:rPr>
        <w:t>甲壳柱钢管的宽厚比限值取同矩形钢管混凝土柱，为保证混凝土与钢管的变形协调，规定钢管边长与柱边长的最小比值。</w:t>
      </w:r>
    </w:p>
    <w:p>
      <w:pPr>
        <w:rPr>
          <w:rFonts w:hint="eastAsia"/>
          <w:color w:val="0070C0"/>
          <w:lang w:val="en-US" w:eastAsia="zh-CN"/>
        </w:rPr>
      </w:pPr>
    </w:p>
    <w:p>
      <w:pPr>
        <w:rPr>
          <w:rFonts w:hint="eastAsia"/>
          <w:color w:val="0070C0"/>
          <w:lang w:val="en-US" w:eastAsia="zh-CN"/>
        </w:rPr>
      </w:pPr>
    </w:p>
    <w:p>
      <w:pPr>
        <w:rPr>
          <w:rFonts w:hint="eastAsia"/>
          <w:color w:val="0070C0"/>
          <w:lang w:val="en-US" w:eastAsia="zh-CN"/>
        </w:rPr>
      </w:pP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.4 甲壳柱的波纹侧板与钢管应采用焊接，波纹侧板厚度不宜小于1.5mm，且不宜小于波纹板宽度(即钢管与钢管之间的净距）的1/300，波纹侧板的波形宜采用图3.</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.4所示波形。</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450590" cy="8267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l="8189" t="29586" r="8129" b="23049"/>
                    <a:stretch>
                      <a:fillRect/>
                    </a:stretch>
                  </pic:blipFill>
                  <pic:spPr>
                    <a:xfrm>
                      <a:off x="0" y="0"/>
                      <a:ext cx="3452808" cy="827400"/>
                    </a:xfrm>
                    <a:prstGeom prst="rect">
                      <a:avLst/>
                    </a:prstGeom>
                    <a:noFill/>
                    <a:ln>
                      <a:noFill/>
                    </a:ln>
                  </pic:spPr>
                </pic:pic>
              </a:graphicData>
            </a:graphic>
          </wp:inline>
        </w:drawing>
      </w:r>
    </w:p>
    <w:p>
      <w:pPr>
        <w:jc w:val="center"/>
        <w:rPr>
          <w:rFonts w:hint="eastAsia"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图3.</w:t>
      </w:r>
      <w:r>
        <w:rPr>
          <w:rFonts w:ascii="黑体" w:hAnsi="黑体" w:eastAsia="黑体" w:cstheme="minorEastAsia"/>
          <w:color w:val="000000" w:themeColor="text1"/>
          <w:sz w:val="18"/>
          <w:szCs w:val="18"/>
          <w14:textFill>
            <w14:solidFill>
              <w14:schemeClr w14:val="tx1"/>
            </w14:solidFill>
          </w14:textFill>
        </w:rPr>
        <w:t>7</w:t>
      </w:r>
      <w:r>
        <w:rPr>
          <w:rFonts w:hint="eastAsia" w:ascii="黑体" w:hAnsi="黑体" w:eastAsia="黑体" w:cstheme="minorEastAsia"/>
          <w:color w:val="000000" w:themeColor="text1"/>
          <w:sz w:val="18"/>
          <w:szCs w:val="18"/>
          <w14:textFill>
            <w14:solidFill>
              <w14:schemeClr w14:val="tx1"/>
            </w14:solidFill>
          </w14:textFill>
        </w:rPr>
        <w:t>.4</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波纹板的波形</w:t>
      </w:r>
    </w:p>
    <w:p>
      <w:pPr>
        <w:ind w:firstLine="420" w:firstLineChars="200"/>
        <w:jc w:val="both"/>
        <w:rPr>
          <w:rFonts w:hint="eastAsia"/>
          <w:color w:val="0070C0"/>
          <w:lang w:val="en-US" w:eastAsia="zh-CN"/>
        </w:rPr>
      </w:pPr>
      <w:r>
        <w:rPr>
          <w:rFonts w:hint="eastAsia"/>
          <w:color w:val="0070C0"/>
        </w:rPr>
        <w:t>条文说明：</w:t>
      </w:r>
      <w:r>
        <w:rPr>
          <w:color w:val="0070C0"/>
        </w:rPr>
        <w:t>3.</w:t>
      </w:r>
      <w:r>
        <w:rPr>
          <w:rFonts w:hint="eastAsia"/>
          <w:color w:val="0070C0"/>
          <w:lang w:val="en-US" w:eastAsia="zh-CN"/>
        </w:rPr>
        <w:t>7.4</w:t>
      </w:r>
      <w:r>
        <w:rPr>
          <w:rFonts w:hint="eastAsia"/>
          <w:color w:val="0070C0"/>
        </w:rPr>
        <w:t xml:space="preserve"> </w:t>
      </w:r>
      <w:r>
        <w:rPr>
          <w:rFonts w:hint="eastAsia"/>
          <w:color w:val="0070C0"/>
          <w:lang w:val="en-US" w:eastAsia="zh-CN"/>
        </w:rPr>
        <w:t>本规程提供2款波形，当采用其它波形时，应通过试验确定。</w:t>
      </w:r>
    </w:p>
    <w:p>
      <w:pPr>
        <w:jc w:val="left"/>
        <w:rPr>
          <w:rFonts w:asciiTheme="minorEastAsia" w:hAnsiTheme="minorEastAsia" w:cstheme="minorEastAsia"/>
          <w:color w:val="000000" w:themeColor="text1"/>
          <w:szCs w:val="21"/>
          <w14:textFill>
            <w14:solidFill>
              <w14:schemeClr w14:val="tx1"/>
            </w14:solidFill>
          </w14:textFill>
        </w:rPr>
      </w:pPr>
    </w:p>
    <w:p>
      <w:pPr>
        <w:jc w:val="both"/>
        <w:rPr>
          <w:rFonts w:hint="default"/>
          <w:color w:val="0070C0"/>
          <w:lang w:val="en-US" w:eastAsia="zh-CN"/>
        </w:rPr>
      </w:pPr>
    </w:p>
    <w:p>
      <w:pPr>
        <w:pStyle w:val="21"/>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bookmarkStart w:id="40" w:name="_Toc18493261"/>
      <w:bookmarkStart w:id="41" w:name="_Toc28706882"/>
      <w:r>
        <w:rPr>
          <w:rFonts w:hint="eastAsia" w:ascii="黑体" w:hAnsi="黑体" w:eastAsia="黑体"/>
          <w:color w:val="000000" w:themeColor="text1"/>
          <w:sz w:val="28"/>
          <w:szCs w:val="28"/>
          <w14:textFill>
            <w14:solidFill>
              <w14:schemeClr w14:val="tx1"/>
            </w14:solidFill>
          </w14:textFill>
        </w:rPr>
        <w:t>4 结构分析</w:t>
      </w:r>
      <w:bookmarkEnd w:id="40"/>
      <w:bookmarkEnd w:id="41"/>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42" w:name="_Toc28706883"/>
      <w:bookmarkStart w:id="43" w:name="_Toc18493262"/>
      <w:r>
        <w:rPr>
          <w:rFonts w:hint="eastAsia" w:ascii="黑体" w:hAnsi="黑体" w:eastAsia="黑体" w:cstheme="minorEastAsia"/>
          <w:color w:val="000000" w:themeColor="text1"/>
          <w:szCs w:val="21"/>
          <w14:textFill>
            <w14:solidFill>
              <w14:schemeClr w14:val="tx1"/>
            </w14:solidFill>
          </w14:textFill>
        </w:rPr>
        <w:t>4.1 一般规定</w:t>
      </w:r>
      <w:bookmarkEnd w:id="42"/>
      <w:bookmarkEnd w:id="43"/>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4.1.1 </w:t>
      </w:r>
      <w:r>
        <w:rPr>
          <w:rFonts w:hint="eastAsia" w:asciiTheme="minorEastAsia" w:hAnsiTheme="minorEastAsia" w:cstheme="minorEastAsia"/>
          <w:color w:val="000000" w:themeColor="text1"/>
          <w:szCs w:val="21"/>
          <w14:textFill>
            <w14:solidFill>
              <w14:schemeClr w14:val="tx1"/>
            </w14:solidFill>
          </w14:textFill>
        </w:rPr>
        <w:t>波纹钢板组合框架结构多高层建筑，结构分析计算原则应符合国家现行标准《建筑结构荷载规范》GB</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50009、《建筑抗震设计规范》GB 50011、《混凝土结构设计规范》GB 50010、《高层建筑混凝土结构技术规程》JGJ 3、《高层民用建筑钢结构技术规程》JGJ</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99、《钢结构设计标准》G</w:t>
      </w:r>
      <w:r>
        <w:rPr>
          <w:rFonts w:asciiTheme="minorEastAsia" w:hAnsiTheme="minorEastAsia" w:cstheme="minorEastAsia"/>
          <w:color w:val="000000" w:themeColor="text1"/>
          <w:szCs w:val="21"/>
          <w14:textFill>
            <w14:solidFill>
              <w14:schemeClr w14:val="tx1"/>
            </w14:solidFill>
          </w14:textFill>
        </w:rPr>
        <w:t>B 50017</w:t>
      </w:r>
      <w:r>
        <w:rPr>
          <w:rFonts w:hint="eastAsia" w:asciiTheme="minorEastAsia" w:hAnsiTheme="minorEastAsia" w:cstheme="minorEastAsia"/>
          <w:color w:val="000000" w:themeColor="text1"/>
          <w:szCs w:val="21"/>
          <w14:textFill>
            <w14:solidFill>
              <w14:schemeClr w14:val="tx1"/>
            </w14:solidFill>
          </w14:textFill>
        </w:rPr>
        <w:t>、《组合结构设计规范》J</w:t>
      </w:r>
      <w:r>
        <w:rPr>
          <w:rFonts w:asciiTheme="minorEastAsia" w:hAnsiTheme="minorEastAsia" w:cstheme="minorEastAsia"/>
          <w:color w:val="000000" w:themeColor="text1"/>
          <w:szCs w:val="21"/>
          <w14:textFill>
            <w14:solidFill>
              <w14:schemeClr w14:val="tx1"/>
            </w14:solidFill>
          </w14:textFill>
        </w:rPr>
        <w:t>GJ 138</w:t>
      </w:r>
      <w:r>
        <w:rPr>
          <w:rFonts w:hint="eastAsia" w:asciiTheme="minorEastAsia" w:hAnsiTheme="minorEastAsia" w:cstheme="minorEastAsia"/>
          <w:color w:val="000000" w:themeColor="text1"/>
          <w:szCs w:val="21"/>
          <w14:textFill>
            <w14:solidFill>
              <w14:schemeClr w14:val="tx1"/>
            </w14:solidFill>
          </w14:textFill>
        </w:rPr>
        <w:t>等相关规定。</w:t>
      </w:r>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4.1.2</w:t>
      </w:r>
      <w:r>
        <w:rPr>
          <w:rFonts w:hint="eastAsia" w:asciiTheme="minorEastAsia" w:hAnsiTheme="minorEastAsia" w:cstheme="minorEastAsia"/>
          <w:color w:val="000000" w:themeColor="text1"/>
          <w:szCs w:val="21"/>
          <w14:textFill>
            <w14:solidFill>
              <w14:schemeClr w14:val="tx1"/>
            </w14:solidFill>
          </w14:textFill>
        </w:rPr>
        <w:t>波纹钢板组合框架结构</w:t>
      </w:r>
      <w:r>
        <w:rPr>
          <w:rFonts w:hint="eastAsia" w:asciiTheme="minorEastAsia" w:hAnsiTheme="minorEastAsia" w:cstheme="minorEastAsia"/>
          <w:szCs w:val="21"/>
        </w:rPr>
        <w:t>应进行施工阶段和使用阶段</w:t>
      </w:r>
      <w:r>
        <w:rPr>
          <w:rFonts w:hint="eastAsia" w:asciiTheme="minorEastAsia" w:hAnsiTheme="minorEastAsia" w:cstheme="minorEastAsia"/>
          <w:color w:val="000000" w:themeColor="text1"/>
          <w:szCs w:val="21"/>
          <w14:textFill>
            <w14:solidFill>
              <w14:schemeClr w14:val="tx1"/>
            </w14:solidFill>
          </w14:textFill>
        </w:rPr>
        <w:t>下的结构分析。在</w:t>
      </w:r>
      <w:r>
        <w:rPr>
          <w:rFonts w:hint="eastAsia" w:asciiTheme="minorEastAsia" w:hAnsiTheme="minorEastAsia" w:cstheme="minorEastAsia"/>
          <w:color w:val="000000" w:themeColor="text1"/>
          <w:szCs w:val="21"/>
          <w:lang w:val="en-US" w:eastAsia="zh-CN"/>
          <w14:textFill>
            <w14:solidFill>
              <w14:schemeClr w14:val="tx1"/>
            </w14:solidFill>
          </w14:textFill>
        </w:rPr>
        <w:t>施工阶段的竖向荷载、风荷载、设备荷载及使用阶段的</w:t>
      </w:r>
      <w:r>
        <w:rPr>
          <w:rFonts w:hint="eastAsia" w:asciiTheme="minorEastAsia" w:hAnsiTheme="minorEastAsia" w:cstheme="minorEastAsia"/>
          <w:color w:val="000000" w:themeColor="text1"/>
          <w:szCs w:val="21"/>
          <w14:textFill>
            <w14:solidFill>
              <w14:schemeClr w14:val="tx1"/>
            </w14:solidFill>
          </w14:textFill>
        </w:rPr>
        <w:t>竖向荷载、风荷载、</w:t>
      </w:r>
      <w:r>
        <w:rPr>
          <w:rFonts w:hint="eastAsia" w:asciiTheme="minorEastAsia" w:hAnsiTheme="minorEastAsia" w:cstheme="minorEastAsia"/>
          <w:color w:val="000000" w:themeColor="text1"/>
          <w:szCs w:val="21"/>
          <w:lang w:val="en-US" w:eastAsia="zh-CN"/>
          <w14:textFill>
            <w14:solidFill>
              <w14:schemeClr w14:val="tx1"/>
            </w14:solidFill>
          </w14:textFill>
        </w:rPr>
        <w:t>温度荷载、设备荷载、</w:t>
      </w:r>
      <w:r>
        <w:rPr>
          <w:rFonts w:hint="eastAsia" w:asciiTheme="minorEastAsia" w:hAnsiTheme="minorEastAsia" w:cstheme="minorEastAsia"/>
          <w:color w:val="000000" w:themeColor="text1"/>
          <w:szCs w:val="21"/>
          <w14:textFill>
            <w14:solidFill>
              <w14:schemeClr w14:val="tx1"/>
            </w14:solidFill>
          </w14:textFill>
        </w:rPr>
        <w:t>多遇地震作用工况荷载组合下采用弹性分析方法进行内力计算和变形分析；不规则且具有明显薄弱部位可能导致重大地震破坏的结构应采用弹塑性分析方法进行罕遇地震作用下的分析计算。</w:t>
      </w:r>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4.1.</w:t>
      </w:r>
      <w:r>
        <w:rPr>
          <w:rFonts w:ascii="黑体" w:hAnsi="黑体" w:eastAsia="黑体" w:cstheme="minorEastAsia"/>
          <w:color w:val="000000" w:themeColor="text1"/>
          <w:szCs w:val="21"/>
          <w14:textFill>
            <w14:solidFill>
              <w14:schemeClr w14:val="tx1"/>
            </w14:solidFill>
          </w14:textFill>
        </w:rPr>
        <w:t>3</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波纹钢板组合框架结构弹性计算时，钢筋混凝土楼板与甲壳梁间应有可靠连接，可计入钢筋混凝土楼板对甲壳梁刚度的增大作用，两侧有楼板的甲壳梁其惯性矩可取为</w:t>
      </w:r>
      <w:r>
        <w:rPr>
          <w:rFonts w:asciiTheme="minorEastAsia" w:hAnsiTheme="minorEastAsia" w:cstheme="minorEastAsia"/>
          <w:color w:val="000000" w:themeColor="text1"/>
          <w:szCs w:val="21"/>
          <w14:textFill>
            <w14:solidFill>
              <w14:schemeClr w14:val="tx1"/>
            </w14:solidFill>
          </w14:textFill>
        </w:rPr>
        <w:t>2.0</w:t>
      </w:r>
      <w:r>
        <w:rPr>
          <w:rFonts w:hint="eastAsia" w:asciiTheme="minorEastAsia" w:hAnsiTheme="minorEastAsia" w:cstheme="minorEastAsia"/>
          <w:color w:val="000000" w:themeColor="text1"/>
          <w:szCs w:val="21"/>
          <w14:textFill>
            <w14:solidFill>
              <w14:schemeClr w14:val="tx1"/>
            </w14:solidFill>
          </w14:textFill>
        </w:rPr>
        <w:t>Ib，仅一侧有楼板的甲壳梁其惯性矩可取为 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Ib，Ib为甲壳梁截面惯性矩。弹塑性计算时，不应考虑楼板对甲壳梁惯性矩的增大作用。</w:t>
      </w:r>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4.1.</w:t>
      </w: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计算各振型地震影响系数所采用的结构自振周期，应考虑非承重填充墙体的刚度影响予以折减。当非承重墙体为填充轻质砌块、填充轻质墙板或外挂墙板时，框架结构的自振周期折减系数可取0.</w:t>
      </w:r>
      <w:r>
        <w:rPr>
          <w:rFonts w:asciiTheme="minorEastAsia" w:hAnsiTheme="minorEastAsia" w:cstheme="minorEastAsia"/>
          <w:color w:val="000000" w:themeColor="text1"/>
          <w:szCs w:val="21"/>
          <w14:textFill>
            <w14:solidFill>
              <w14:schemeClr w14:val="tx1"/>
            </w14:solidFill>
          </w14:textFill>
        </w:rPr>
        <w:t>9</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1.0</w:t>
      </w:r>
      <w:r>
        <w:rPr>
          <w:rFonts w:hint="eastAsia" w:asciiTheme="minorEastAsia" w:hAnsiTheme="minorEastAsia" w:cstheme="minorEastAsia"/>
          <w:color w:val="000000" w:themeColor="text1"/>
          <w:szCs w:val="21"/>
          <w14:textFill>
            <w14:solidFill>
              <w14:schemeClr w14:val="tx1"/>
            </w14:solidFill>
          </w14:textFill>
        </w:rPr>
        <w:t>；结构计算中不应计入非结构构件对结构承载力和刚度的有利作用。</w:t>
      </w:r>
    </w:p>
    <w:p>
      <w:pPr>
        <w:pStyle w:val="31"/>
        <w:ind w:firstLine="0" w:firstLineChars="0"/>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4.1.</w:t>
      </w:r>
      <w:r>
        <w:rPr>
          <w:rFonts w:ascii="黑体" w:hAnsi="黑体" w:eastAsia="黑体" w:cstheme="minorEastAsia"/>
          <w:color w:val="000000" w:themeColor="text1"/>
          <w:szCs w:val="21"/>
          <w14:textFill>
            <w14:solidFill>
              <w14:schemeClr w14:val="tx1"/>
            </w14:solidFill>
          </w14:textFill>
        </w:rPr>
        <w:t>5</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采用振型分解反应谱法时，计算振型数应使各振型参与质量之和不小于总质量的 90%。</w:t>
      </w:r>
    </w:p>
    <w:p>
      <w:pPr>
        <w:pStyle w:val="31"/>
        <w:ind w:firstLine="420" w:firstLineChars="200"/>
        <w:rPr>
          <w:rFonts w:hint="eastAsia"/>
          <w:color w:val="0070C0"/>
          <w:lang w:val="en-US" w:eastAsia="zh-CN"/>
        </w:rPr>
      </w:pPr>
      <w:r>
        <w:rPr>
          <w:rFonts w:hint="eastAsia"/>
          <w:color w:val="0070C0"/>
        </w:rPr>
        <w:t>条文说明：</w:t>
      </w:r>
      <w:r>
        <w:rPr>
          <w:rFonts w:hint="eastAsia"/>
          <w:color w:val="0070C0"/>
          <w:lang w:val="en-US" w:eastAsia="zh-CN"/>
        </w:rPr>
        <w:t>4.1.1~4.1.5 按现行国家标准，规定结构分析的方法。甲壳梁的刚度增大系数，按《高层混凝土结构技术规程》中的混凝土梁取值，当有可靠依据时，可加大。结构自振周期折减系数按《高层民用建筑钢结构技术规程》取值，也可以在结构建模时布置轻质隔墙，计算其对自振周期的影响，但不应考虑其对结构承载力和刚度的有利作用。振型参与质量的规定按《建筑抗震设计规范》。</w:t>
      </w:r>
    </w:p>
    <w:p>
      <w:pPr>
        <w:pStyle w:val="31"/>
        <w:ind w:firstLine="0" w:firstLineChars="0"/>
        <w:rPr>
          <w:rFonts w:hint="eastAsia"/>
          <w:color w:val="0070C0"/>
          <w:lang w:val="en-US" w:eastAsia="zh-CN"/>
        </w:rPr>
      </w:pP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44" w:name="_Toc18493263"/>
      <w:bookmarkStart w:id="45" w:name="_Toc28706884"/>
      <w:r>
        <w:rPr>
          <w:rFonts w:hint="eastAsia" w:ascii="黑体" w:hAnsi="黑体" w:eastAsia="黑体" w:cstheme="minorEastAsia"/>
          <w:color w:val="000000" w:themeColor="text1"/>
          <w:szCs w:val="21"/>
          <w14:textFill>
            <w14:solidFill>
              <w14:schemeClr w14:val="tx1"/>
            </w14:solidFill>
          </w14:textFill>
        </w:rPr>
        <w:t xml:space="preserve">4.2 </w:t>
      </w:r>
      <w:bookmarkEnd w:id="44"/>
      <w:r>
        <w:rPr>
          <w:rFonts w:hint="eastAsia" w:ascii="黑体" w:hAnsi="黑体" w:eastAsia="黑体" w:cstheme="minorEastAsia"/>
          <w:color w:val="000000" w:themeColor="text1"/>
          <w:szCs w:val="21"/>
          <w14:textFill>
            <w14:solidFill>
              <w14:schemeClr w14:val="tx1"/>
            </w14:solidFill>
          </w14:textFill>
        </w:rPr>
        <w:t>计算原则</w:t>
      </w:r>
      <w:bookmarkEnd w:id="45"/>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4.2.</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波纹钢板组合框架结构按弹性分析时，甲壳柱、甲壳梁、优端梁的截面刚度，可按下列公式计算：</w:t>
      </w:r>
    </w:p>
    <w:p>
      <w:pPr>
        <w:pStyle w:val="31"/>
        <w:ind w:firstLine="1575" w:firstLineChars="75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EI=</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(4.2.2-1)</w:t>
      </w:r>
    </w:p>
    <w:p>
      <w:pPr>
        <w:ind w:firstLine="1440" w:firstLineChars="6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 w:val="24"/>
          <w:szCs w:val="24"/>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EA=</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(4.2.2-</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ind w:firstLine="1575" w:firstLineChars="75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GA=</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G</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G</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(4.2.2-</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EI</m:t>
        </m:r>
      </m:oMath>
      <w:r>
        <w:rPr>
          <w:rFonts w:hint="eastAsia" w:asciiTheme="minorEastAsia" w:hAnsiTheme="minorEastAsia" w:cstheme="minorEastAsia"/>
          <w:i/>
          <w:iCs/>
          <w:color w:val="000000" w:themeColor="text1"/>
          <w:szCs w:val="2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EA</m:t>
        </m:r>
      </m:oMath>
      <w:r>
        <w:rPr>
          <w:rFonts w:hint="eastAsia" w:asciiTheme="minorEastAsia" w:hAnsiTheme="minorEastAsia" w:cstheme="minorEastAsia"/>
          <w:i/>
          <w:iCs/>
          <w:color w:val="000000" w:themeColor="text1"/>
          <w:szCs w:val="2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EA</m:t>
        </m:r>
      </m:oMath>
      <w:r>
        <w:rPr>
          <w:rFonts w:hint="eastAsia" w:asciiTheme="minorEastAsia" w:hAnsiTheme="minorEastAsia" w:cstheme="minorEastAsia"/>
          <w:color w:val="000000" w:themeColor="text1"/>
          <w:szCs w:val="21"/>
          <w14:textFill>
            <w14:solidFill>
              <w14:schemeClr w14:val="tx1"/>
            </w14:solidFill>
          </w14:textFill>
        </w:rPr>
        <w:t>——构件截面抗弯刚度、轴向刚度、剪切刚度；</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i/>
          <w:iCs/>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i/>
          <w:iCs/>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G</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——混凝土部分截面抗弯刚度、轴向刚度、剪切刚度；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i/>
          <w:iCs/>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i/>
          <w:iCs/>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G</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——钢甲壳的截面抗弯刚度、轴向刚度、剪切刚度。</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4.2.</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 xml:space="preserve"> 甲壳柱、甲壳梁按弹性分析时，波纹板内混凝土的等效截面宽度可取波纹板的波峰处宽度与波谷处宽度的平均值,如图4</w:t>
      </w:r>
      <w:r>
        <w:rPr>
          <w:rFonts w:asciiTheme="minorEastAsia" w:hAnsiTheme="minorEastAsia" w:cstheme="minorEastAsia"/>
          <w:color w:val="000000" w:themeColor="text1"/>
          <w:szCs w:val="21"/>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所示。计算截面抗弯刚度及轴向刚度时，不宜考虑波纹板的贡献。</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800475" cy="16154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l="16437" t="30707" r="37161" b="20971"/>
                    <a:stretch>
                      <a:fillRect/>
                    </a:stretch>
                  </pic:blipFill>
                  <pic:spPr>
                    <a:xfrm>
                      <a:off x="0" y="0"/>
                      <a:ext cx="3800475" cy="1615954"/>
                    </a:xfrm>
                    <a:prstGeom prst="rect">
                      <a:avLst/>
                    </a:prstGeom>
                    <a:noFill/>
                    <a:ln>
                      <a:noFill/>
                    </a:ln>
                  </pic:spPr>
                </pic:pic>
              </a:graphicData>
            </a:graphic>
          </wp:inline>
        </w:drawing>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862070" cy="1489710"/>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cstate="print">
                      <a:extLst>
                        <a:ext uri="{28A0092B-C50C-407E-A947-70E740481C1C}">
                          <a14:useLocalDpi xmlns:a14="http://schemas.microsoft.com/office/drawing/2010/main" val="0"/>
                        </a:ext>
                      </a:extLst>
                    </a:blip>
                    <a:srcRect l="12587" t="17797" r="15942" b="17046"/>
                    <a:stretch>
                      <a:fillRect/>
                    </a:stretch>
                  </pic:blipFill>
                  <pic:spPr>
                    <a:xfrm>
                      <a:off x="0" y="0"/>
                      <a:ext cx="3862388" cy="1489778"/>
                    </a:xfrm>
                    <a:prstGeom prst="rect">
                      <a:avLst/>
                    </a:prstGeom>
                    <a:noFill/>
                    <a:ln>
                      <a:noFill/>
                    </a:ln>
                  </pic:spPr>
                </pic:pic>
              </a:graphicData>
            </a:graphic>
          </wp:inline>
        </w:drawing>
      </w:r>
    </w:p>
    <w:p>
      <w:pPr>
        <w:ind w:firstLine="2070" w:firstLineChars="1150"/>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4.2.2</w:t>
      </w:r>
      <w:r>
        <w:rPr>
          <w:rFonts w:hint="eastAsia" w:ascii="黑体" w:hAnsi="黑体" w:eastAsia="黑体" w:cstheme="minorEastAsia"/>
          <w:color w:val="000000" w:themeColor="text1"/>
          <w:sz w:val="18"/>
          <w:szCs w:val="18"/>
          <w14:textFill>
            <w14:solidFill>
              <w14:schemeClr w14:val="tx1"/>
            </w14:solidFill>
          </w14:textFill>
        </w:rPr>
        <w:t xml:space="preserve"> 甲壳柱、甲壳梁等效截面</w:t>
      </w:r>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 xml:space="preserve"> 波纹钢板组合框架结构的弹塑性分析，当房屋高度不超过 100m时，可采用静力弹塑性分析法；高度超过 150m 时，应采用弹塑性时程分析法；高度为 100m~150m 时，可视结构不规则程度选择静力弹塑性分析法或弹塑性时程分析法。</w:t>
      </w:r>
    </w:p>
    <w:p>
      <w:pPr>
        <w:pStyle w:val="31"/>
        <w:ind w:firstLine="0" w:firstLineChars="0"/>
        <w:rPr>
          <w:rFonts w:asciiTheme="minorEastAsia" w:hAnsiTheme="minorEastAsia" w:cstheme="minorEastAsia"/>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结构的弹塑性分析宜遵循下列原则：</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 宜预先设定结构、构件的形状、尺寸、边界条件和材料性能等；</w:t>
      </w:r>
    </w:p>
    <w:p>
      <w:pPr>
        <w:pStyle w:val="31"/>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 材料的性能参数宜取平均值，并宜通过试验分析确定，也可按相关标准的规定确定；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 宜采用空间计算模型；</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 宜考虑结构二阶效应的不利影响；</w:t>
      </w:r>
    </w:p>
    <w:p>
      <w:pPr>
        <w:pStyle w:val="31"/>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 复杂结构宜首先进行施工模拟分析，以施工全过程完成后的状态作为弹塑性分析的初始状态；</w:t>
      </w:r>
    </w:p>
    <w:p>
      <w:pPr>
        <w:pStyle w:val="31"/>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6 结构构件上应作用重力荷载代表值，其效应应与地震作用效应组合，分项系数可取 1.0；</w:t>
      </w:r>
    </w:p>
    <w:p>
      <w:pPr>
        <w:widowControl/>
        <w:jc w:val="left"/>
        <w:rPr>
          <w:rFonts w:hint="eastAsia"/>
          <w:color w:val="0070C0"/>
        </w:rPr>
      </w:pPr>
    </w:p>
    <w:p>
      <w:pPr>
        <w:widowControl/>
        <w:ind w:firstLine="420" w:firstLineChars="200"/>
        <w:jc w:val="left"/>
        <w:rPr>
          <w:color w:val="000000" w:themeColor="text1"/>
          <w14:textFill>
            <w14:solidFill>
              <w14:schemeClr w14:val="tx1"/>
            </w14:solidFill>
          </w14:textFill>
        </w:rPr>
      </w:pPr>
      <w:r>
        <w:rPr>
          <w:rFonts w:hint="eastAsia"/>
          <w:color w:val="0070C0"/>
        </w:rPr>
        <w:t>条文说明：</w:t>
      </w:r>
      <w:r>
        <w:rPr>
          <w:rFonts w:hint="eastAsia"/>
          <w:color w:val="0070C0"/>
          <w:lang w:val="en-US" w:eastAsia="zh-CN"/>
        </w:rPr>
        <w:t>4.2.1~4.1.4 弹性分析时的截面刚度计算公式按《组合结构设计规范》，甲壳柱、甲壳梁均不考虑波纹板对截面抗弯刚度、轴向刚度的贡献，波纹板处的混凝土等效取1/2波高。超高层及《建筑抗震设计规范》中规定的特别不规则建筑宜采用弹塑性时程分析法。</w:t>
      </w:r>
      <w:r>
        <w:rPr>
          <w:color w:val="000000" w:themeColor="text1"/>
          <w14:textFill>
            <w14:solidFill>
              <w14:schemeClr w14:val="tx1"/>
            </w14:solidFill>
          </w14:textFill>
        </w:rPr>
        <w:br w:type="page"/>
      </w:r>
    </w:p>
    <w:p>
      <w:pPr>
        <w:pStyle w:val="21"/>
        <w:rPr>
          <w:rFonts w:ascii="黑体" w:hAnsi="黑体" w:eastAsia="黑体"/>
          <w:color w:val="000000" w:themeColor="text1"/>
          <w:sz w:val="28"/>
          <w:szCs w:val="28"/>
          <w14:textFill>
            <w14:solidFill>
              <w14:schemeClr w14:val="tx1"/>
            </w14:solidFill>
          </w14:textFill>
        </w:rPr>
      </w:pPr>
      <w:bookmarkStart w:id="46" w:name="_Toc28706885"/>
      <w:r>
        <w:rPr>
          <w:rFonts w:hint="eastAsia" w:ascii="黑体" w:hAnsi="黑体" w:eastAsia="黑体"/>
          <w:color w:val="000000" w:themeColor="text1"/>
          <w:sz w:val="28"/>
          <w:szCs w:val="28"/>
          <w14:textFill>
            <w14:solidFill>
              <w14:schemeClr w14:val="tx1"/>
            </w14:solidFill>
          </w14:textFill>
        </w:rPr>
        <w:t>5 甲壳梁、优端梁设计</w:t>
      </w:r>
      <w:bookmarkEnd w:id="0"/>
      <w:bookmarkEnd w:id="46"/>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47" w:name="_Toc28706886"/>
      <w:bookmarkStart w:id="48" w:name="_Toc18493266"/>
      <w:r>
        <w:rPr>
          <w:rFonts w:hint="eastAsia" w:ascii="黑体" w:hAnsi="黑体" w:eastAsia="黑体" w:cstheme="minorEastAsia"/>
          <w:color w:val="000000" w:themeColor="text1"/>
          <w:szCs w:val="21"/>
          <w14:textFill>
            <w14:solidFill>
              <w14:schemeClr w14:val="tx1"/>
            </w14:solidFill>
          </w14:textFill>
        </w:rPr>
        <w:t>5.1一般规定</w:t>
      </w:r>
      <w:bookmarkEnd w:id="47"/>
      <w:bookmarkEnd w:id="48"/>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5.1.1 </w:t>
      </w:r>
      <w:r>
        <w:rPr>
          <w:rFonts w:hint="eastAsia" w:asciiTheme="minorEastAsia" w:hAnsiTheme="minorEastAsia" w:cstheme="minorEastAsia"/>
          <w:color w:val="000000" w:themeColor="text1"/>
          <w:szCs w:val="21"/>
          <w14:textFill>
            <w14:solidFill>
              <w14:schemeClr w14:val="tx1"/>
            </w14:solidFill>
          </w14:textFill>
        </w:rPr>
        <w:t>甲壳梁和优端梁正截面承载力按下列基本假定进行计算：</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截面应变保持平面；</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不考虑混凝土的抗拉强度；</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混凝土受压的应力与应变关系按下列规定取用：</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w:t>
      </w:r>
    </w:p>
    <w:p>
      <w:pPr>
        <w:ind w:firstLine="1680" w:firstLineChars="8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d>
          <m:dPr>
            <m:begChr m:val="["/>
            <m:endChr m:val="]"/>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1-</m:t>
            </m:r>
            <m:sSup>
              <m:sSupPr>
                <m:ctrlPr>
                  <w:rPr>
                    <w:rFonts w:ascii="Cambria Math" w:hAnsi="Cambria Math" w:cstheme="minorEastAsia"/>
                    <w:i/>
                    <w:color w:val="000000" w:themeColor="text1"/>
                    <w:szCs w:val="21"/>
                    <w14:textFill>
                      <w14:solidFill>
                        <w14:schemeClr w14:val="tx1"/>
                      </w14:solidFill>
                    </w14:textFill>
                  </w:rPr>
                </m:ctrlPr>
              </m:sSupPr>
              <m:e>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1-</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ctrlPr>
                      <w:rPr>
                        <w:rFonts w:ascii="Cambria Math" w:hAnsi="Cambria Math" w:cstheme="minorEastAsia"/>
                        <w:i/>
                        <w:color w:val="000000" w:themeColor="text1"/>
                        <w:szCs w:val="21"/>
                        <w14:textFill>
                          <w14:solidFill>
                            <w14:schemeClr w14:val="tx1"/>
                          </w14:solidFill>
                        </w14:textFill>
                      </w:rPr>
                    </m:ctrlPr>
                  </m:e>
                </m:d>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p>
            </m:sSup>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5.1.1-1</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w:t>
      </w:r>
    </w:p>
    <w:p>
      <w:pPr>
        <w:pStyle w:val="31"/>
        <w:ind w:firstLine="1680" w:firstLineChars="8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5.1.1-2</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680" w:firstLineChars="8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n=2-</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60</m:t>
            </m:r>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5.1.1-3</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470" w:firstLine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=0.02+0.5</m:t>
        </m:r>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p>
          <m:sSupPr>
            <m:ctrlPr>
              <w:rPr>
                <w:rFonts w:ascii="Cambria Math" w:hAnsi="Cambria Math" w:cstheme="minorEastAsia"/>
                <w:i/>
                <w:color w:val="000000" w:themeColor="text1"/>
                <w:szCs w:val="21"/>
                <w14:textFill>
                  <w14:solidFill>
                    <w14:schemeClr w14:val="tx1"/>
                  </w14:solidFill>
                </w14:textFill>
              </w:rPr>
            </m:ctrlPr>
          </m:sSupPr>
          <m:e>
            <m:r>
              <w:rPr>
                <w:rFonts w:ascii="Cambria Math" w:hAnsi="Cambria Math" w:cstheme="minorEastAsia"/>
                <w:color w:val="000000" w:themeColor="text1"/>
                <w:szCs w:val="21"/>
                <w14:textFill>
                  <w14:solidFill>
                    <w14:schemeClr w14:val="tx1"/>
                  </w14:solidFill>
                </w14:textFill>
              </w:rPr>
              <m:t>10</m:t>
            </m:r>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-5</m:t>
            </m:r>
            <m:ctrlPr>
              <w:rPr>
                <w:rFonts w:ascii="Cambria Math" w:hAnsi="Cambria Math" w:cstheme="minorEastAsia"/>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5.1.1-4</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470" w:firstLine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=0.0033-</m:t>
        </m:r>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p>
          <m:sSupPr>
            <m:ctrlPr>
              <w:rPr>
                <w:rFonts w:ascii="Cambria Math" w:hAnsi="Cambria Math" w:cstheme="minorEastAsia"/>
                <w:i/>
                <w:color w:val="000000" w:themeColor="text1"/>
                <w:szCs w:val="21"/>
                <w14:textFill>
                  <w14:solidFill>
                    <w14:schemeClr w14:val="tx1"/>
                  </w14:solidFill>
                </w14:textFill>
              </w:rPr>
            </m:ctrlPr>
          </m:sSupPr>
          <m:e>
            <m:r>
              <w:rPr>
                <w:rFonts w:ascii="Cambria Math" w:hAnsi="Cambria Math" w:cstheme="minorEastAsia"/>
                <w:color w:val="000000" w:themeColor="text1"/>
                <w:szCs w:val="21"/>
                <w14:textFill>
                  <w14:solidFill>
                    <w14:schemeClr w14:val="tx1"/>
                  </w14:solidFill>
                </w14:textFill>
              </w:rPr>
              <m:t>10</m:t>
            </m:r>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-5</m:t>
            </m:r>
            <m:ctrlPr>
              <w:rPr>
                <w:rFonts w:ascii="Cambria Math" w:hAnsi="Cambria Math" w:cstheme="minorEastAsia"/>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5.1.1-5</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——混凝土压应变为</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时的混凝土压应力；</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——混凝土轴心抗压强度设计值；应按《混凝土结构设计规范》</w:t>
      </w:r>
    </w:p>
    <w:p>
      <w:pPr>
        <w:ind w:firstLine="1260" w:firstLine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G</w:t>
      </w:r>
      <w:r>
        <w:rPr>
          <w:rFonts w:asciiTheme="minorEastAsia" w:hAnsiTheme="minorEastAsia" w:cstheme="minorEastAsia"/>
          <w:color w:val="000000" w:themeColor="text1"/>
          <w:szCs w:val="21"/>
          <w14:textFill>
            <w14:solidFill>
              <w14:schemeClr w14:val="tx1"/>
            </w14:solidFill>
          </w14:textFill>
        </w:rPr>
        <w:t>B50010-2010</w:t>
      </w: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015</w:t>
      </w:r>
      <w:r>
        <w:rPr>
          <w:rFonts w:hint="eastAsia" w:asciiTheme="minorEastAsia" w:hAnsiTheme="minorEastAsia" w:cstheme="minorEastAsia"/>
          <w:color w:val="000000" w:themeColor="text1"/>
          <w:szCs w:val="21"/>
          <w14:textFill>
            <w14:solidFill>
              <w14:schemeClr w14:val="tx1"/>
            </w14:solidFill>
          </w14:textFill>
        </w:rPr>
        <w:t>年版）第4</w:t>
      </w:r>
      <w:r>
        <w:rPr>
          <w:rFonts w:asciiTheme="minorEastAsia" w:hAnsiTheme="minorEastAsia" w:cstheme="minorEastAsia"/>
          <w:color w:val="000000" w:themeColor="text1"/>
          <w:szCs w:val="21"/>
          <w14:textFill>
            <w14:solidFill>
              <w14:schemeClr w14:val="tx1"/>
            </w14:solidFill>
          </w14:textFill>
        </w:rPr>
        <w:t>.1.4</w:t>
      </w:r>
      <w:r>
        <w:rPr>
          <w:rFonts w:hint="eastAsia" w:asciiTheme="minorEastAsia" w:hAnsiTheme="minorEastAsia" w:cstheme="minorEastAsia"/>
          <w:color w:val="000000" w:themeColor="text1"/>
          <w:szCs w:val="21"/>
          <w14:textFill>
            <w14:solidFill>
              <w14:schemeClr w14:val="tx1"/>
            </w14:solidFill>
          </w14:textFill>
        </w:rPr>
        <w:t>条取值；</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——混凝土压应力达到</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时的混凝土压应变，当计算的</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值小于0</w:t>
      </w:r>
      <w:r>
        <w:rPr>
          <w:rFonts w:asciiTheme="minorEastAsia" w:hAnsiTheme="minorEastAsia" w:cstheme="minorEastAsia"/>
          <w:color w:val="000000" w:themeColor="text1"/>
          <w:szCs w:val="21"/>
          <w14:textFill>
            <w14:solidFill>
              <w14:schemeClr w14:val="tx1"/>
            </w14:solidFill>
          </w14:textFill>
        </w:rPr>
        <w:t>.002</w:t>
      </w:r>
      <w:r>
        <w:rPr>
          <w:rFonts w:hint="eastAsia" w:asciiTheme="minorEastAsia" w:hAnsiTheme="minorEastAsia" w:cstheme="minorEastAsia"/>
          <w:color w:val="000000" w:themeColor="text1"/>
          <w:szCs w:val="21"/>
          <w14:textFill>
            <w14:solidFill>
              <w14:schemeClr w14:val="tx1"/>
            </w14:solidFill>
          </w14:textFill>
        </w:rPr>
        <w:t>时，取为0</w:t>
      </w:r>
      <w:r>
        <w:rPr>
          <w:rFonts w:asciiTheme="minorEastAsia" w:hAnsiTheme="minorEastAsia" w:cstheme="minorEastAsia"/>
          <w:color w:val="000000" w:themeColor="text1"/>
          <w:szCs w:val="21"/>
          <w14:textFill>
            <w14:solidFill>
              <w14:schemeClr w14:val="tx1"/>
            </w14:solidFill>
          </w14:textFill>
        </w:rPr>
        <w:t>.002</w:t>
      </w:r>
      <w:r>
        <w:rPr>
          <w:rFonts w:hint="eastAsia" w:asciiTheme="minorEastAsia" w:hAnsiTheme="minorEastAsia" w:cstheme="minorEastAsia"/>
          <w:color w:val="000000" w:themeColor="text1"/>
          <w:szCs w:val="21"/>
          <w14:textFill>
            <w14:solidFill>
              <w14:schemeClr w14:val="tx1"/>
            </w14:solidFill>
          </w14:textFill>
        </w:rPr>
        <w:t>；</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——正截面的混凝土极限压应变，当处于非均匀受压且按公式（</w:t>
      </w:r>
      <w:r>
        <w:rPr>
          <w:rFonts w:asciiTheme="minorEastAsia" w:hAnsiTheme="minorEastAsia" w:cstheme="minorEastAsia"/>
          <w:color w:val="000000" w:themeColor="text1"/>
          <w:szCs w:val="21"/>
          <w14:textFill>
            <w14:solidFill>
              <w14:schemeClr w14:val="tx1"/>
            </w14:solidFill>
          </w14:textFill>
        </w:rPr>
        <w:t>5.1.1-5</w:t>
      </w:r>
      <w:r>
        <w:rPr>
          <w:rFonts w:hint="eastAsia" w:asciiTheme="minorEastAsia" w:hAnsiTheme="minorEastAsia" w:cstheme="minorEastAsia"/>
          <w:color w:val="000000" w:themeColor="text1"/>
          <w:szCs w:val="21"/>
          <w14:textFill>
            <w14:solidFill>
              <w14:schemeClr w14:val="tx1"/>
            </w14:solidFill>
          </w14:textFill>
        </w:rPr>
        <w:t>）计算的值大于0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时取为0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；当处于</w:t>
      </w:r>
    </w:p>
    <w:p>
      <w:pPr>
        <w:ind w:firstLine="1260" w:firstLine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轴心受压时取为</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ind w:left="1470" w:leftChars="300" w:hanging="840" w:hangingChars="4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——混凝土立方体抗压强度标准值，应按</w:t>
      </w:r>
      <w:r>
        <w:rPr>
          <w:rFonts w:hint="eastAsia" w:asciiTheme="minorEastAsia" w:hAnsiTheme="minorEastAsia" w:cstheme="minorEastAsia"/>
          <w:color w:val="000000" w:themeColor="text1"/>
          <w:szCs w:val="21"/>
          <w:lang w:val="en-US" w:eastAsia="zh-CN"/>
          <w14:textFill>
            <w14:solidFill>
              <w14:schemeClr w14:val="tx1"/>
            </w14:solidFill>
          </w14:textFill>
        </w:rPr>
        <w:t>现行国家标准</w:t>
      </w:r>
      <w:r>
        <w:rPr>
          <w:rFonts w:hint="eastAsia" w:asciiTheme="minorEastAsia" w:hAnsiTheme="minorEastAsia" w:cstheme="minorEastAsia"/>
          <w:color w:val="000000" w:themeColor="text1"/>
          <w:szCs w:val="21"/>
          <w14:textFill>
            <w14:solidFill>
              <w14:schemeClr w14:val="tx1"/>
            </w14:solidFill>
          </w14:textFill>
        </w:rPr>
        <w:t>《混凝土结构设计规范》G</w:t>
      </w:r>
      <w:r>
        <w:rPr>
          <w:rFonts w:asciiTheme="minorEastAsia" w:hAnsiTheme="minorEastAsia" w:cstheme="minorEastAsia"/>
          <w:color w:val="000000" w:themeColor="text1"/>
          <w:szCs w:val="21"/>
          <w14:textFill>
            <w14:solidFill>
              <w14:schemeClr w14:val="tx1"/>
            </w14:solidFill>
          </w14:textFill>
        </w:rPr>
        <w:t>B50010</w:t>
      </w:r>
      <w:r>
        <w:rPr>
          <w:rFonts w:hint="eastAsia" w:asciiTheme="minorEastAsia" w:hAnsiTheme="minorEastAsia" w:cstheme="minorEastAsia"/>
          <w:color w:val="000000" w:themeColor="text1"/>
          <w:szCs w:val="21"/>
          <w:lang w:val="en-US" w:eastAsia="zh-CN"/>
          <w14:textFill>
            <w14:solidFill>
              <w14:schemeClr w14:val="tx1"/>
            </w14:solidFill>
          </w14:textFill>
        </w:rPr>
        <w:t>取值</w:t>
      </w:r>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——系数，当计算的</w:t>
      </w: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值大于2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时，取为2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受压区混凝土的应力图形简化为等效的矩形应力图。</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矩形应力图的受压区高度</w:t>
      </w:r>
      <m:oMath>
        <m:r>
          <w:rPr>
            <w:rFonts w:ascii="Cambria Math" w:hAnsi="Cambria Math"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取按平截面假定所确定的中和轴高度乘以受压区混凝土应力图形影响系数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，当混凝土强度等级不超过C50时，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取为0.8，当混凝土强度等级为C80时，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取为0.74，其间按线性内插法确定。</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矩形应力图的应力值可由混凝土轴心抗压强度设计值</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乘以系数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确定，当混凝土强度不超过C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取1</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，当混凝土强度等级为C80时，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w:t>
      </w:r>
      <w:r>
        <w:rPr>
          <w:rFonts w:asciiTheme="minorEastAsia" w:hAnsiTheme="minorEastAsia" w:cstheme="minorEastAsia"/>
          <w:color w:val="000000" w:themeColor="text1"/>
          <w:szCs w:val="21"/>
          <w14:textFill>
            <w14:solidFill>
              <w14:schemeClr w14:val="tx1"/>
            </w14:solidFill>
          </w14:textFill>
        </w:rPr>
        <w:t>9</w:t>
      </w:r>
      <w:r>
        <w:rPr>
          <w:rFonts w:hint="eastAsia" w:asciiTheme="minorEastAsia" w:hAnsiTheme="minorEastAsia" w:cstheme="minorEastAsia"/>
          <w:color w:val="000000" w:themeColor="text1"/>
          <w:szCs w:val="21"/>
          <w14:textFill>
            <w14:solidFill>
              <w14:schemeClr w14:val="tx1"/>
            </w14:solidFill>
          </w14:textFill>
        </w:rPr>
        <w:t>4，其间按线性内插法确定。</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5</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纵向受拉钢筋和钢甲壳受拉翼缘的极限拉应变取0.01。</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钢筋、钢甲壳的应力等于钢筋、钢甲壳应变与其弹性模量的乘积，其绝对值不应大于其相应的强度设计值。</w:t>
      </w:r>
    </w:p>
    <w:p>
      <w:pPr>
        <w:pStyle w:val="31"/>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6</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不考虑波纹腹板的直接贡献。</w:t>
      </w:r>
    </w:p>
    <w:p>
      <w:pPr>
        <w:ind w:firstLine="525" w:firstLineChars="250"/>
        <w:rPr>
          <w:rFonts w:hint="default" w:eastAsiaTheme="minorEastAsia"/>
          <w:color w:val="0070C0"/>
          <w:lang w:val="en-US" w:eastAsia="zh-CN"/>
        </w:rPr>
      </w:pPr>
      <w:r>
        <w:rPr>
          <w:rFonts w:hint="eastAsia"/>
          <w:color w:val="0070C0"/>
        </w:rPr>
        <w:t>条文说明：</w:t>
      </w:r>
      <w:r>
        <w:rPr>
          <w:rFonts w:hint="eastAsia"/>
          <w:color w:val="0070C0"/>
          <w:lang w:val="en-US" w:eastAsia="zh-CN"/>
        </w:rPr>
        <w:t>5.1.1结构试验表明，甲壳梁符合本条所述的基本假定，</w:t>
      </w:r>
      <w:r>
        <w:rPr>
          <w:rFonts w:hint="eastAsia"/>
          <w:color w:val="0070C0"/>
        </w:rPr>
        <w:t>在正截面承载力计算时不考虑波纹腹板的强度及轴向刚度、抗弯刚度贡献</w:t>
      </w:r>
      <w:r>
        <w:rPr>
          <w:rFonts w:hint="eastAsia"/>
          <w:color w:val="0070C0"/>
          <w:lang w:eastAsia="zh-CN"/>
        </w:rPr>
        <w:t>，</w:t>
      </w:r>
      <w:r>
        <w:rPr>
          <w:rFonts w:hint="eastAsia"/>
          <w:color w:val="0070C0"/>
          <w:lang w:val="en-US" w:eastAsia="zh-CN"/>
        </w:rPr>
        <w:t>较安全。</w:t>
      </w: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49" w:name="_Toc18493267"/>
      <w:bookmarkStart w:id="50" w:name="_Toc28706887"/>
      <w:r>
        <w:rPr>
          <w:rFonts w:hint="eastAsia" w:ascii="黑体" w:hAnsi="黑体" w:eastAsia="黑体" w:cstheme="minorEastAsia"/>
          <w:color w:val="000000" w:themeColor="text1"/>
          <w:szCs w:val="21"/>
          <w14:textFill>
            <w14:solidFill>
              <w14:schemeClr w14:val="tx1"/>
            </w14:solidFill>
          </w14:textFill>
        </w:rPr>
        <w:t>5.2承载能力极限状态计算</w:t>
      </w:r>
      <w:bookmarkEnd w:id="49"/>
      <w:bookmarkEnd w:id="50"/>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.2.1</w:t>
      </w:r>
      <w:r>
        <w:rPr>
          <w:rFonts w:hint="eastAsia" w:asciiTheme="minorEastAsia" w:hAnsiTheme="minorEastAsia" w:cstheme="minorEastAsia"/>
          <w:color w:val="000000" w:themeColor="text1"/>
          <w:szCs w:val="21"/>
          <w14:textFill>
            <w14:solidFill>
              <w14:schemeClr w14:val="tx1"/>
            </w14:solidFill>
          </w14:textFill>
        </w:rPr>
        <w:t>甲壳梁在正弯矩作用下的承载力应符合下列规定：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根据甲壳梁在正弯矩作用下达到承载力极限状态时中和轴的位置分为中和轴在混凝土板内和中和轴在波纹腹板截面内两种情况。</w:t>
      </w:r>
    </w:p>
    <w:p>
      <w:pPr>
        <w:pStyle w:val="31"/>
        <w:ind w:firstLineChars="0"/>
        <w:rPr>
          <w:rFonts w:asciiTheme="minorEastAsia" w:hAnsiTheme="minorEastAsia" w:cstheme="minorEastAsia"/>
          <w:color w:val="000000" w:themeColor="text1"/>
          <w:szCs w:val="21"/>
          <w14:textFill>
            <w14:solidFill>
              <w14:schemeClr w14:val="tx1"/>
            </w14:solidFill>
          </w14:textFill>
        </w:rPr>
      </w:pPr>
      <w:bookmarkStart w:id="51" w:name="_Toc24195_WPSOffice_Level3"/>
      <w:bookmarkStart w:id="52" w:name="_Toc15757_WPSOffice_Level3"/>
      <w:bookmarkStart w:id="53" w:name="_Toc22217_WPSOffice_Level3"/>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中和轴在混凝土板内</w:t>
      </w:r>
      <w:bookmarkEnd w:id="51"/>
      <w:bookmarkEnd w:id="52"/>
      <w:bookmarkEnd w:id="53"/>
      <w:r>
        <w:rPr>
          <w:rFonts w:hint="eastAsia" w:asciiTheme="minorEastAsia" w:hAnsiTheme="minorEastAsia" w:cstheme="minorEastAsia"/>
          <w:color w:val="000000" w:themeColor="text1"/>
          <w:szCs w:val="21"/>
          <w14:textFill>
            <w14:solidFill>
              <w14:schemeClr w14:val="tx1"/>
            </w14:solidFill>
          </w14:textFill>
        </w:rPr>
        <w:t>，其承载力应符合下列规定（图</w:t>
      </w:r>
      <w:r>
        <w:rPr>
          <w:rFonts w:asciiTheme="minorEastAsia" w:hAnsiTheme="minorEastAsia" w:cstheme="minorEastAsia"/>
          <w:color w:val="000000" w:themeColor="text1"/>
          <w:szCs w:val="21"/>
          <w14:textFill>
            <w14:solidFill>
              <w14:schemeClr w14:val="tx1"/>
            </w14:solidFill>
          </w14:textFill>
        </w:rPr>
        <w:t>5.2.1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764280" cy="17583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l="7625" t="14956" r="28893" b="15001"/>
                    <a:stretch>
                      <a:fillRect/>
                    </a:stretch>
                  </pic:blipFill>
                  <pic:spPr>
                    <a:xfrm>
                      <a:off x="0" y="0"/>
                      <a:ext cx="3802405" cy="1776179"/>
                    </a:xfrm>
                    <a:prstGeom prst="rect">
                      <a:avLst/>
                    </a:prstGeom>
                    <a:noFill/>
                    <a:ln>
                      <a:noFill/>
                    </a:ln>
                  </pic:spPr>
                </pic:pic>
              </a:graphicData>
            </a:graphic>
          </wp:inline>
        </w:drawing>
      </w:r>
    </w:p>
    <w:p>
      <w:pPr>
        <w:ind w:firstLine="900" w:firstLineChars="500"/>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5.2.1-1</w:t>
      </w:r>
      <w:r>
        <w:rPr>
          <w:rFonts w:hint="eastAsia" w:ascii="黑体" w:hAnsi="黑体" w:eastAsia="黑体" w:cstheme="minorEastAsia"/>
          <w:color w:val="000000" w:themeColor="text1"/>
          <w:sz w:val="18"/>
          <w:szCs w:val="18"/>
          <w14:textFill>
            <w14:solidFill>
              <w14:schemeClr w14:val="tx1"/>
            </w14:solidFill>
          </w14:textFill>
        </w:rPr>
        <w:t xml:space="preserve"> 中和轴位于混凝土板时受弯承载力计算参数示意</w:t>
      </w:r>
    </w:p>
    <w:p>
      <w:pPr>
        <w:ind w:firstLine="1260" w:firstLineChars="6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M≤</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h</m:t>
            </m:r>
            <m:r>
              <w:rPr>
                <w:rFonts w:ascii="Cambria Math" w:hAnsi="Cambria Math" w:eastAsia="MS Gothic" w:cs="MS Gothic"/>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eastAsia="微软雅黑" w:cs="微软雅黑"/>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den>
            </m:f>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py</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eastAsia="MS Gothic" w:cs="MS Gothic"/>
                <w:color w:val="000000" w:themeColor="text1"/>
                <w:szCs w:val="21"/>
                <w14:textFill>
                  <w14:solidFill>
                    <w14:schemeClr w14:val="tx1"/>
                  </w14:solidFill>
                </w14:textFill>
              </w:rPr>
              <m:t>h</m:t>
            </m:r>
            <m:r>
              <w:rPr>
                <w:rFonts w:ascii="Cambria Math" w:hAnsi="Cambria Math" w:eastAsia="微软雅黑" w:cs="微软雅黑"/>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eastAsia="MS Gothic" w:cs="MS Gothic"/>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MS Gothic"/>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p>
    <w:p>
      <w:pPr>
        <w:ind w:left="5250" w:leftChars="850" w:hanging="3465" w:hangingChars="165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eastAsia="MS Gothic" w:cs="MS Gothic"/>
                <w:color w:val="000000" w:themeColor="text1"/>
                <w:szCs w:val="21"/>
                <w14:textFill>
                  <w14:solidFill>
                    <w14:schemeClr w14:val="tx1"/>
                  </w14:solidFill>
                </w14:textFill>
              </w:rPr>
              <m:t>h</m:t>
            </m:r>
            <m:r>
              <w:rPr>
                <w:rFonts w:ascii="Cambria Math" w:hAnsi="Cambria Math" w:eastAsia="微软雅黑" w:cs="微软雅黑"/>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eastAsia="MS Gothic" w:cs="MS Gothic"/>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MS Gothic"/>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oMath>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 xml:space="preserve">） </w:t>
      </w:r>
    </w:p>
    <w:p>
      <w:pPr>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s</m:t>
            </m:r>
            <m:ctrlPr>
              <w:rPr>
                <w:rFonts w:ascii="Cambria Math" w:hAnsiTheme="minorEastAsia" w:cstheme="minorEastAsia"/>
                <w:i/>
                <w:color w:val="000000" w:themeColor="text1"/>
                <w:szCs w:val="21"/>
                <w14:textFill>
                  <w14:solidFill>
                    <w14:schemeClr w14:val="tx1"/>
                  </w14:solidFill>
                </w14:textFill>
              </w:rPr>
            </m:ctrlPr>
          </m:sub>
        </m:sSub>
        <m:r>
          <w:rPr>
            <w:rFonts w:hint="eastAsia"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——钢材抗拉强度设计值；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py</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——预应力筋的抗拉强度设计值；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y</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——普通受拉钢筋的抗拉强度设计值；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h</m:t>
        </m:r>
      </m:oMath>
      <w:r>
        <w:rPr>
          <w:rFonts w:hint="eastAsia" w:asciiTheme="minorEastAsia" w:hAnsiTheme="minorEastAsia" w:cstheme="minorEastAsia"/>
          <w:color w:val="000000" w:themeColor="text1"/>
          <w:szCs w:val="21"/>
          <w14:textFill>
            <w14:solidFill>
              <w14:schemeClr w14:val="tx1"/>
            </w14:solidFill>
          </w14:textFill>
        </w:rPr>
        <w:t>——甲壳梁截面高度；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——钢甲壳上翼缘截面</w:t>
      </w:r>
      <w:r>
        <w:rPr>
          <w:rFonts w:asciiTheme="minorEastAsia" w:hAnsiTheme="minorEastAsia" w:cstheme="minorEastAsia"/>
          <w:color w:val="000000" w:themeColor="text1"/>
          <w:szCs w:val="21"/>
          <w14:textFill>
            <w14:solidFill>
              <w14:schemeClr w14:val="tx1"/>
            </w14:solidFill>
          </w14:textFill>
        </w:rPr>
        <w:t>宽度</w:t>
      </w:r>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——钢甲壳上翼缘截面厚度；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——钢甲壳下翼缘截面宽度；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——钢甲壳下翼缘截面厚度；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——预应力筋面积；</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w:t>
      </w:r>
      <w:r>
        <w:rPr>
          <w:rFonts w:asciiTheme="minorEastAsia" w:hAnsiTheme="minorEastAsia" w:cstheme="minorEastAsia"/>
          <w:color w:val="000000" w:themeColor="text1"/>
          <w:szCs w:val="21"/>
          <w14:textFill>
            <w14:solidFill>
              <w14:schemeClr w14:val="tx1"/>
            </w14:solidFill>
          </w14:textFill>
        </w:rPr>
        <w:t>5.1.1</w:t>
      </w:r>
      <w:r>
        <w:rPr>
          <w:rFonts w:hint="eastAsia" w:asciiTheme="minorEastAsia" w:hAnsiTheme="minorEastAsia" w:cstheme="minorEastAsia"/>
          <w:color w:val="000000" w:themeColor="text1"/>
          <w:szCs w:val="21"/>
          <w14:textFill>
            <w14:solidFill>
              <w14:schemeClr w14:val="tx1"/>
            </w14:solidFill>
          </w14:textFill>
        </w:rPr>
        <w:t>条取值；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hint="eastAsia"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——混凝土的抗压强度设计值；</w:t>
      </w:r>
    </w:p>
    <w:p>
      <w:pPr>
        <w:ind w:firstLine="630" w:firstLineChars="3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——混凝土板宽度</w:t>
      </w:r>
      <w:r>
        <w:rPr>
          <w:rFonts w:hint="eastAsia" w:asciiTheme="minorEastAsia" w:hAnsiTheme="minorEastAsia" w:cstheme="minorEastAsia"/>
          <w:color w:val="000000" w:themeColor="text1"/>
          <w:szCs w:val="21"/>
          <w:lang w:val="en-US" w:eastAsia="zh-CN"/>
          <w14:textFill>
            <w14:solidFill>
              <w14:schemeClr w14:val="tx1"/>
            </w14:solidFill>
          </w14:textFill>
        </w:rPr>
        <w:t>,应按现行国家标准《混凝土结构设计规范》GB 50010规定取值。</w:t>
      </w:r>
    </w:p>
    <w:p>
      <w:pPr>
        <w:ind w:firstLine="630" w:firstLineChars="3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——混凝土板厚度</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当为压型钢板组合楼板时，不考虑压型钢板肋的高度。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——极限抗弯承载力；</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h</m:t>
        </m:r>
      </m:oMath>
      <w:r>
        <w:rPr>
          <w:rFonts w:hint="eastAsia" w:asciiTheme="minorEastAsia" w:hAnsiTheme="minorEastAsia" w:cstheme="minorEastAsia"/>
          <w:color w:val="000000" w:themeColor="text1"/>
          <w:szCs w:val="21"/>
          <w14:textFill>
            <w14:solidFill>
              <w14:schemeClr w14:val="tx1"/>
            </w14:solidFill>
          </w14:textFill>
        </w:rPr>
        <w:t>——甲壳梁截面高度；</w:t>
      </w:r>
    </w:p>
    <w:p>
      <w:pPr>
        <w:ind w:firstLine="600" w:firstLineChars="25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w:rPr>
                <w:rFonts w:asci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w:rPr>
                <w:rFonts w:asci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——纵向普通受拉钢筋合力点至截面受拉区边缘的距离；</w:t>
      </w:r>
    </w:p>
    <w:p>
      <w:pPr>
        <w:ind w:firstLine="600" w:firstLineChars="25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 w:val="24"/>
                <w:szCs w:val="24"/>
                <w14:textFill>
                  <w14:solidFill>
                    <w14:schemeClr w14:val="tx1"/>
                  </w14:solidFill>
                </w14:textFill>
              </w:rPr>
            </m:ctrlPr>
          </m:sSubPr>
          <m:e>
            <m:r>
              <w:rPr>
                <w:rFonts w:ascii="Cambria Math" w:hAnsi="Cambria Math" w:cs="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w:rPr>
                <w:rFonts w:ascii="Cambria Math"/>
                <w:color w:val="000000" w:themeColor="text1"/>
                <w:sz w:val="24"/>
                <w:szCs w:val="24"/>
                <w14:textFill>
                  <w14:solidFill>
                    <w14:schemeClr w14:val="tx1"/>
                  </w14:solidFill>
                </w14:textFill>
              </w:rPr>
              <m:t>p</m:t>
            </m:r>
            <m:ctrlPr>
              <w:rPr>
                <w:rFonts w:ascii="Cambria Math" w:hAnsi="Cambria Math"/>
                <w:i/>
                <w:color w:val="000000" w:themeColor="text1"/>
                <w:sz w:val="24"/>
                <w:szCs w:val="24"/>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——受拉预应力筋合力点至截面受拉区边缘的距离；</w:t>
      </w:r>
    </w:p>
    <w:p>
      <w:pPr>
        <w:ind w:firstLine="525" w:firstLineChars="250"/>
        <w:rPr>
          <w:rFonts w:asciiTheme="minorEastAsia" w:hAnsiTheme="minorEastAsia" w:cstheme="minorEastAsia"/>
          <w:color w:val="000000" w:themeColor="text1"/>
          <w:szCs w:val="21"/>
          <w14:textFill>
            <w14:solidFill>
              <w14:schemeClr w14:val="tx1"/>
            </w14:solidFill>
          </w14:textFill>
        </w:rPr>
      </w:pPr>
    </w:p>
    <w:p>
      <w:pPr>
        <w:ind w:firstLine="525" w:firstLineChars="250"/>
        <w:rPr>
          <w:rFonts w:hint="default"/>
          <w:color w:val="0070C0"/>
          <w:lang w:val="en-US" w:eastAsia="zh-CN"/>
        </w:rPr>
      </w:pPr>
      <w:r>
        <w:rPr>
          <w:rFonts w:hint="eastAsia"/>
          <w:color w:val="0070C0"/>
        </w:rPr>
        <w:t>条文说明：5.2.1</w:t>
      </w:r>
      <w:r>
        <w:rPr>
          <w:rFonts w:hint="eastAsia"/>
          <w:color w:val="0070C0"/>
          <w:lang w:val="en-US" w:eastAsia="zh-CN"/>
        </w:rPr>
        <w:t>本公式适用于钢甲壳与混凝土板采用完全抗剪连接的情况，当钢甲壳与混凝土板之间设置的抗剪连接件达不到完全抗剪的要求时，可增设箍筋。</w:t>
      </w:r>
    </w:p>
    <w:p>
      <w:pPr>
        <w:pStyle w:val="31"/>
        <w:rPr>
          <w:rFonts w:asciiTheme="minorEastAsia" w:hAnsiTheme="minorEastAsia" w:cstheme="minorEastAsia"/>
          <w:color w:val="000000" w:themeColor="text1"/>
          <w:szCs w:val="21"/>
          <w14:textFill>
            <w14:solidFill>
              <w14:schemeClr w14:val="tx1"/>
            </w14:solidFill>
          </w14:textFill>
        </w:rPr>
      </w:pPr>
      <w:bookmarkStart w:id="54" w:name="_Toc16504_WPSOffice_Level3"/>
      <w:bookmarkStart w:id="55" w:name="_Toc3893_WPSOffice_Level3"/>
      <w:bookmarkStart w:id="56" w:name="_Toc16253_WPSOffice_Level3"/>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中和轴位于波纹腹板内</w:t>
      </w:r>
      <w:bookmarkEnd w:id="54"/>
      <w:bookmarkEnd w:id="55"/>
      <w:bookmarkEnd w:id="56"/>
      <w:r>
        <w:rPr>
          <w:rFonts w:hint="eastAsia" w:asciiTheme="minorEastAsia" w:hAnsiTheme="minorEastAsia" w:cstheme="minorEastAsia"/>
          <w:color w:val="000000" w:themeColor="text1"/>
          <w:szCs w:val="21"/>
          <w14:textFill>
            <w14:solidFill>
              <w14:schemeClr w14:val="tx1"/>
            </w14:solidFill>
          </w14:textFill>
        </w:rPr>
        <w:t>，其承载力应符合下列规定（图</w:t>
      </w:r>
      <w:r>
        <w:rPr>
          <w:rFonts w:asciiTheme="minorEastAsia" w:hAnsiTheme="minorEastAsia" w:cstheme="minorEastAsia"/>
          <w:color w:val="000000" w:themeColor="text1"/>
          <w:szCs w:val="21"/>
          <w14:textFill>
            <w14:solidFill>
              <w14:schemeClr w14:val="tx1"/>
            </w14:solidFill>
          </w14:textFill>
        </w:rPr>
        <w:t>5.2.1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pStyle w:val="31"/>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709670" cy="14484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rcRect l="29787" t="33650" r="21556" b="21466"/>
                    <a:stretch>
                      <a:fillRect/>
                    </a:stretch>
                  </pic:blipFill>
                  <pic:spPr>
                    <a:xfrm>
                      <a:off x="0" y="0"/>
                      <a:ext cx="3749999" cy="1464496"/>
                    </a:xfrm>
                    <a:prstGeom prst="rect">
                      <a:avLst/>
                    </a:prstGeom>
                    <a:noFill/>
                    <a:ln>
                      <a:noFill/>
                    </a:ln>
                  </pic:spPr>
                </pic:pic>
              </a:graphicData>
            </a:graphic>
          </wp:inline>
        </w:drawing>
      </w:r>
    </w:p>
    <w:p>
      <w:pPr>
        <w:pStyle w:val="41"/>
        <w:spacing w:after="156" w:line="240" w:lineRule="auto"/>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5.2.1</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2</w:t>
      </w:r>
      <w:r>
        <w:rPr>
          <w:rFonts w:hint="eastAsia" w:ascii="黑体" w:hAnsi="黑体" w:eastAsia="黑体" w:cstheme="minorEastAsia"/>
          <w:color w:val="000000" w:themeColor="text1"/>
          <w:sz w:val="18"/>
          <w:szCs w:val="18"/>
          <w14:textFill>
            <w14:solidFill>
              <w14:schemeClr w14:val="tx1"/>
            </w14:solidFill>
          </w14:textFill>
        </w:rPr>
        <w:t xml:space="preserve"> 中和轴位于波纹腹板内时受弯承载力计算参数示意</w:t>
      </w:r>
    </w:p>
    <w:p>
      <w:pPr>
        <w:pStyle w:val="41"/>
        <w:spacing w:after="156" w:line="240" w:lineRule="auto"/>
        <w:ind w:left="1050" w:hanging="1050" w:hangingChars="500"/>
        <w:jc w:val="left"/>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M</m:t>
        </m:r>
        <m:r>
          <w:rPr>
            <w:rFonts w:ascii="Cambria Math" w:hAnsi="Cambria Math"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den>
        </m:f>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den>
        </m:f>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(b</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sub>
        </m:sSub>
        <m:sSup>
          <m:sSupPr>
            <m:ctrlPr>
              <w:rPr>
                <w:rFonts w:ascii="Cambria Math" w:hAnsiTheme="minorEastAsia" w:cstheme="minorEastAsia"/>
                <w:i/>
                <w:color w:val="000000" w:themeColor="text1"/>
                <w:szCs w:val="21"/>
                <w14:textFill>
                  <w14:solidFill>
                    <w14:schemeClr w14:val="tx1"/>
                  </w14:solidFill>
                </w14:textFill>
              </w:rPr>
            </m:ctrlPr>
          </m:sSupPr>
          <m:e>
            <m:r>
              <w:rPr>
                <w:rFonts w:ascii="Cambria Math" w:hAnsiTheme="minorEastAsia" w:cstheme="minorEastAsia"/>
                <w:color w:val="000000" w:themeColor="text1"/>
                <w:szCs w:val="21"/>
                <w14:textFill>
                  <w14:solidFill>
                    <w14:schemeClr w14:val="tx1"/>
                  </w14:solidFill>
                </w14:textFill>
              </w:rPr>
              <m:t>)</m:t>
            </m:r>
            <m:ctrlPr>
              <w:rPr>
                <w:rFonts w:ascii="Cambria Math" w:hAnsiTheme="minorEastAsia" w:cstheme="minorEastAsia"/>
                <w:i/>
                <w:color w:val="000000" w:themeColor="text1"/>
                <w:szCs w:val="21"/>
                <w14:textFill>
                  <w14:solidFill>
                    <w14:schemeClr w14:val="tx1"/>
                  </w14:solidFill>
                </w14:textFill>
              </w:rPr>
            </m:ctrlPr>
          </m:e>
          <m:sup>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p>
        </m:sSup>
        <m:r>
          <m:rPr>
            <m:sty m:val="p"/>
          </m:rPr>
          <w:rPr>
            <w:rFonts w:ascii="Cambria Math" w:hAnsiTheme="minorEastAsia" w:cstheme="minorEastAsia"/>
            <w:color w:val="000000" w:themeColor="text1"/>
            <w:szCs w:val="21"/>
            <w14:textFill>
              <w14:solidFill>
                <w14:schemeClr w14:val="tx1"/>
              </w14:solidFill>
            </w14:textFill>
          </w:rPr>
          <w:br w:type="textWrapping"/>
        </m:r>
      </m:oMath>
      <w:r>
        <w:rPr>
          <w:rFonts w:hint="eastAsia" w:asciiTheme="minorEastAsia" w:hAnsiTheme="minorEastAsia" w:eastAsiaTheme="minorEastAsia" w:cstheme="minorEastAsia"/>
          <w:color w:val="000000" w:themeColor="text1"/>
          <w:szCs w:val="21"/>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+2</m:t>
        </m:r>
        <m:sSubSup>
          <m:sSubSupPr>
            <m:ctrlPr>
              <w:rPr>
                <w:rFonts w:ascii="Cambria Math" w:hAnsiTheme="minorEastAsia" w:cstheme="minorEastAsia"/>
                <w:i/>
                <w:color w:val="000000" w:themeColor="text1"/>
                <w:szCs w:val="21"/>
                <w14:textFill>
                  <w14:solidFill>
                    <w14:schemeClr w14:val="tx1"/>
                  </w14:solidFill>
                </w14:textFill>
              </w:rPr>
            </m:ctrlPr>
          </m:sSubSupPr>
          <m:e>
            <m:r>
              <w:rPr>
                <w:rFonts w:hint="eastAsia"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up>
            <m:r>
              <w:rPr>
                <w:rFonts w:ascii="Cambria Math" w:hAnsiTheme="minorEastAsia" w:cstheme="minorEastAsia"/>
                <w:color w:val="000000" w:themeColor="text1"/>
                <w:szCs w:val="21"/>
                <w14:textFill>
                  <w14:solidFill>
                    <w14:schemeClr w14:val="tx1"/>
                  </w14:solidFill>
                </w14:textFill>
              </w:rPr>
              <m:t>'</m:t>
            </m:r>
            <m:ctrlPr>
              <w:rPr>
                <w:rFonts w:ascii="Cambria Math" w:hAnsiTheme="minorEastAsia" w:cstheme="minorEastAsia"/>
                <w:i/>
                <w:color w:val="000000" w:themeColor="text1"/>
                <w:szCs w:val="21"/>
                <w14:textFill>
                  <w14:solidFill>
                    <w14:schemeClr w14:val="tx1"/>
                  </w14:solidFill>
                </w14:textFill>
              </w:rPr>
            </m:ctrlPr>
          </m:sup>
        </m:sSubSup>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u</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u</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sub>
            </m:sSub>
            <m:r>
              <w:rPr>
                <w:rFonts w:hint="eastAsia" w:ascii="微软雅黑" w:hAnsi="微软雅黑" w:eastAsia="微软雅黑" w:cs="微软雅黑"/>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u</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den>
            </m:f>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h</m:t>
            </m:r>
            <m:r>
              <w:rPr>
                <w:rFonts w:hint="eastAsia" w:ascii="微软雅黑" w:hAnsi="微软雅黑" w:eastAsia="微软雅黑" w:cs="微软雅黑"/>
                <w:color w:val="000000" w:themeColor="text1"/>
                <w:szCs w:val="21"/>
                <w14:textFill>
                  <w14:solidFill>
                    <w14:schemeClr w14:val="tx1"/>
                  </w14:solidFill>
                </w14:textFill>
              </w:rPr>
              <m:t>-</m:t>
            </m:r>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den>
            </m:f>
            <m:ctrlPr>
              <w:rPr>
                <w:rFonts w:ascii="Cambria Math" w:hAnsiTheme="minorEastAsia" w:cstheme="minorEastAsia"/>
                <w:i/>
                <w:color w:val="000000" w:themeColor="text1"/>
                <w:szCs w:val="21"/>
                <w14:textFill>
                  <w14:solidFill>
                    <w14:schemeClr w14:val="tx1"/>
                  </w14:solidFill>
                </w14:textFill>
              </w:rPr>
            </m:ctrlPr>
          </m:e>
        </m:d>
      </m:oMath>
    </w:p>
    <w:p>
      <w:pPr>
        <w:pStyle w:val="41"/>
        <w:spacing w:after="156" w:line="240" w:lineRule="auto"/>
        <w:jc w:val="left"/>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h</m:t>
            </m:r>
            <m:r>
              <w:rPr>
                <w:rFonts w:hint="eastAsia" w:ascii="MS Gothic" w:hAnsi="MS Gothic" w:eastAsia="MS Gothic" w:cs="MS Gothic"/>
                <w:color w:val="000000" w:themeColor="text1"/>
                <w:szCs w:val="21"/>
                <w14:textFill>
                  <w14:solidFill>
                    <w14:schemeClr w14:val="tx1"/>
                  </w14:solidFill>
                </w14:textFill>
              </w:rPr>
              <m:t>-</m:t>
            </m:r>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s</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h</m:t>
            </m:r>
            <m:r>
              <w:rPr>
                <w:rFonts w:hint="eastAsia" w:ascii="MS Gothic" w:hAnsi="MS Gothic" w:eastAsia="MS Gothic" w:cs="MS Gothic"/>
                <w:color w:val="000000" w:themeColor="text1"/>
                <w:szCs w:val="21"/>
                <w14:textFill>
                  <w14:solidFill>
                    <w14:schemeClr w14:val="tx1"/>
                  </w14:solidFill>
                </w14:textFill>
              </w:rPr>
              <m:t>-</m:t>
            </m:r>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oMath>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asciiTheme="minorEastAsia" w:hAnsiTheme="minorEastAsia" w:eastAsiaTheme="minorEastAsia" w:cstheme="minorEastAsia"/>
          <w:color w:val="000000" w:themeColor="text1"/>
          <w:szCs w:val="21"/>
          <w14:textFill>
            <w14:solidFill>
              <w14:schemeClr w14:val="tx1"/>
            </w14:solidFill>
          </w14:textFill>
        </w:rPr>
        <w:t>5.2.1-3</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 xml:space="preserve">                      </w:t>
      </w:r>
    </w:p>
    <w:p>
      <w:pPr>
        <w:ind w:firstLine="210" w:firstLineChars="100"/>
        <w:rPr>
          <w:rFonts w:asciiTheme="minorEastAsia" w:hAnsiTheme="minorEastAsia" w:cstheme="minorEastAsia"/>
          <w:color w:val="000000" w:themeColor="text1"/>
          <w:szCs w:val="21"/>
          <w14:textFill>
            <w14:solidFill>
              <w14:schemeClr w14:val="tx1"/>
            </w14:solidFill>
          </w14:textFill>
        </w:rPr>
      </w:pPr>
      <m:oMathPara>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d</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p</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y</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s</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=2</m:t>
          </m:r>
          <m:sSubSup>
            <m:sSubSupPr>
              <m:ctrlPr>
                <w:rPr>
                  <w:rFonts w:ascii="Cambria Math" w:eastAsia="宋体" w:hAnsiTheme="minorEastAsia" w:cstheme="minorEastAsia"/>
                  <w:i/>
                  <w:color w:val="000000" w:themeColor="text1"/>
                  <w:szCs w:val="21"/>
                  <w14:textFill>
                    <w14:solidFill>
                      <w14:schemeClr w14:val="tx1"/>
                    </w14:solidFill>
                  </w14:textFill>
                </w:rPr>
              </m:ctrlPr>
            </m:sSubSupPr>
            <m:e>
              <m:r>
                <w:rPr>
                  <w:rFonts w:hint="eastAsia" w:ascii="Cambria Math" w:hAnsiTheme="minorEastAsia" w:cstheme="minorEastAsia"/>
                  <w:color w:val="000000" w:themeColor="text1"/>
                  <w:szCs w:val="21"/>
                  <w14:textFill>
                    <w14:solidFill>
                      <w14:schemeClr w14:val="tx1"/>
                    </w14:solidFill>
                  </w14:textFill>
                </w:rPr>
                <m:t>f</m:t>
              </m:r>
              <m:ctrlPr>
                <w:rPr>
                  <w:rFonts w:ascii="Cambria Math" w:eastAsia="宋体"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eastAsia="宋体" w:hAnsiTheme="minorEastAsia" w:cstheme="minorEastAsia"/>
                  <w:i/>
                  <w:color w:val="000000" w:themeColor="text1"/>
                  <w:szCs w:val="21"/>
                  <w14:textFill>
                    <w14:solidFill>
                      <w14:schemeClr w14:val="tx1"/>
                    </w14:solidFill>
                  </w14:textFill>
                </w:rPr>
              </m:ctrlPr>
            </m:sub>
            <m:sup>
              <m:r>
                <w:rPr>
                  <w:rFonts w:ascii="Cambria Math" w:hAnsiTheme="minorEastAsia" w:cstheme="minorEastAsia"/>
                  <w:color w:val="000000" w:themeColor="text1"/>
                  <w:szCs w:val="21"/>
                  <w14:textFill>
                    <w14:solidFill>
                      <w14:schemeClr w14:val="tx1"/>
                    </w14:solidFill>
                  </w14:textFill>
                </w:rPr>
                <m:t>'</m:t>
              </m:r>
              <m:ctrlPr>
                <w:rPr>
                  <w:rFonts w:ascii="Cambria Math" w:eastAsia="宋体" w:hAnsiTheme="minorEastAsia" w:cstheme="minorEastAsia"/>
                  <w:i/>
                  <w:color w:val="000000" w:themeColor="text1"/>
                  <w:szCs w:val="21"/>
                  <w14:textFill>
                    <w14:solidFill>
                      <w14:schemeClr w14:val="tx1"/>
                    </w14:solidFill>
                  </w14:textFill>
                </w:rPr>
              </m:ctrlPr>
            </m:sup>
          </m:sSubSup>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u</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u</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Cambria Math" w:eastAsia="宋体"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eastAsia="宋体"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α</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Theme="minorEastAsia" w:cstheme="minorEastAsia"/>
                  <w:color w:val="000000" w:themeColor="text1"/>
                  <w:szCs w:val="21"/>
                  <w14:textFill>
                    <w14:solidFill>
                      <w14:schemeClr w14:val="tx1"/>
                    </w14:solidFill>
                  </w14:textFill>
                </w:rPr>
                <m:t>b</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eastAsia="宋体"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eastAsia="宋体"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d>
            <m:dPr>
              <m:ctrlPr>
                <w:rPr>
                  <w:rFonts w:ascii="Cambria Math" w:hAnsiTheme="minorEastAsia" w:cstheme="minorEastAsia"/>
                  <w:i/>
                  <w:color w:val="000000" w:themeColor="text1"/>
                  <w:szCs w:val="21"/>
                  <w14:textFill>
                    <w14:solidFill>
                      <w14:schemeClr w14:val="tx1"/>
                    </w14:solidFill>
                  </w14:textFill>
                </w:rPr>
              </m:ctrlPr>
            </m:dPr>
            <m:e>
              <m:r>
                <w:rPr>
                  <w:rFonts w:ascii="Cambria Math" w:hAnsiTheme="minorEastAsia" w:cstheme="minorEastAsia"/>
                  <w:color w:val="000000" w:themeColor="text1"/>
                  <w:szCs w:val="21"/>
                  <w14:textFill>
                    <w14:solidFill>
                      <w14:schemeClr w14:val="tx1"/>
                    </w14:solidFill>
                  </w14:textFill>
                </w:rPr>
                <m:t>x</m:t>
              </m:r>
              <m:r>
                <w:rPr>
                  <w:rFonts w:hint="eastAsia" w:ascii="微软雅黑" w:hAnsi="微软雅黑" w:eastAsia="微软雅黑" w:cs="微软雅黑"/>
                  <w:color w:val="000000" w:themeColor="text1"/>
                  <w:szCs w:val="21"/>
                  <w14:textFill>
                    <w14:solidFill>
                      <w14:schemeClr w14:val="tx1"/>
                    </w14:solidFill>
                  </w14:textFill>
                </w:rPr>
                <m:t>-</m:t>
              </m:r>
              <m:sSub>
                <m:sSubPr>
                  <m:ctrlPr>
                    <w:rPr>
                      <w:rFonts w:ascii="Cambria Math" w:hAnsi="Cambria Math" w:eastAsia="宋体"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f</m:t>
                  </m:r>
                  <m:ctrlPr>
                    <w:rPr>
                      <w:rFonts w:ascii="Cambria Math" w:hAnsi="Cambria Math" w:eastAsia="宋体"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oMath>
      </m:oMathPara>
    </w:p>
    <w:p>
      <w:pPr>
        <w:jc w:val="center"/>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5.2.1-4</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r>
        <w:rPr>
          <w:rFonts w:hint="eastAsia" w:ascii="Italic" w:hAnsi="Italic" w:cs="Italic"/>
          <w:color w:val="000000" w:themeColor="text1"/>
          <w:szCs w:val="21"/>
          <w14:textFill>
            <w14:solidFill>
              <w14:schemeClr w14:val="tx1"/>
            </w14:solidFill>
          </w14:textFill>
        </w:rPr>
        <w:t>：</w:t>
      </w:r>
      <m:oMath>
        <m:r>
          <w:rPr>
            <w:rFonts w:ascii="Cambria Math" w:hAnsiTheme="minorEastAsia" w:cstheme="minorEastAsia"/>
            <w:color w:val="000000" w:themeColor="text1"/>
            <w:szCs w:val="21"/>
            <w14:textFill>
              <w14:solidFill>
                <w14:schemeClr w14:val="tx1"/>
              </w14:solidFill>
            </w14:textFill>
          </w:rPr>
          <m:t>b</m:t>
        </m:r>
      </m:oMath>
      <w:r>
        <w:rPr>
          <w:rFonts w:hint="eastAsia" w:asciiTheme="minorEastAsia" w:hAnsiTheme="minorEastAsia" w:cstheme="minorEastAsia"/>
          <w:color w:val="000000" w:themeColor="text1"/>
          <w:szCs w:val="21"/>
          <w14:textFill>
            <w14:solidFill>
              <w14:schemeClr w14:val="tx1"/>
            </w14:solidFill>
          </w14:textFill>
        </w:rPr>
        <w:t>——甲壳梁截面宽度；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eastAsia="宋体"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——波纹腹板的波高；</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eastAsia="宋体" w:hAnsiTheme="minorEastAsia" w:cstheme="minorEastAsia"/>
                <w:i/>
                <w:color w:val="000000" w:themeColor="text1"/>
                <w:szCs w:val="21"/>
                <w14:textFill>
                  <w14:solidFill>
                    <w14:schemeClr w14:val="tx1"/>
                  </w14:solidFill>
                </w14:textFill>
              </w:rPr>
            </m:ctrlPr>
          </m:sSubSupPr>
          <m:e>
            <m:r>
              <w:rPr>
                <w:rFonts w:hint="eastAsia" w:ascii="Cambria Math" w:hAnsiTheme="minorEastAsia" w:cstheme="minorEastAsia"/>
                <w:color w:val="000000" w:themeColor="text1"/>
                <w:szCs w:val="21"/>
                <w14:textFill>
                  <w14:solidFill>
                    <w14:schemeClr w14:val="tx1"/>
                  </w14:solidFill>
                </w14:textFill>
              </w:rPr>
              <m:t>f</m:t>
            </m:r>
            <m:ctrlPr>
              <w:rPr>
                <w:rFonts w:ascii="Cambria Math" w:eastAsia="宋体"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eastAsia="宋体" w:hAnsiTheme="minorEastAsia" w:cstheme="minorEastAsia"/>
                <w:i/>
                <w:color w:val="000000" w:themeColor="text1"/>
                <w:szCs w:val="21"/>
                <w14:textFill>
                  <w14:solidFill>
                    <w14:schemeClr w14:val="tx1"/>
                  </w14:solidFill>
                </w14:textFill>
              </w:rPr>
            </m:ctrlPr>
          </m:sub>
          <m:sup>
            <m:r>
              <w:rPr>
                <w:rFonts w:ascii="Cambria Math" w:hAnsiTheme="minorEastAsia" w:cstheme="minorEastAsia"/>
                <w:color w:val="000000" w:themeColor="text1"/>
                <w:szCs w:val="21"/>
                <w14:textFill>
                  <w14:solidFill>
                    <w14:schemeClr w14:val="tx1"/>
                  </w14:solidFill>
                </w14:textFill>
              </w:rPr>
              <m:t>'</m:t>
            </m:r>
            <m:ctrlPr>
              <w:rPr>
                <w:rFonts w:ascii="Cambria Math" w:eastAsia="宋体" w:hAnsiTheme="minorEastAsia"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——钢材抗压强度设计值；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甲壳梁在负弯矩作用下的承载力应符合下列规定（图</w:t>
      </w:r>
      <w:r>
        <w:rPr>
          <w:rFonts w:asciiTheme="minorEastAsia" w:hAnsiTheme="minorEastAsia" w:cstheme="minorEastAsia"/>
          <w:color w:val="000000" w:themeColor="text1"/>
          <w:szCs w:val="21"/>
          <w14:textFill>
            <w14:solidFill>
              <w14:schemeClr w14:val="tx1"/>
            </w14:solidFill>
          </w14:textFill>
        </w:rPr>
        <w:t>5.2.2</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546475" cy="1517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l="19418" t="22018" r="20323" b="17078"/>
                    <a:stretch>
                      <a:fillRect/>
                    </a:stretch>
                  </pic:blipFill>
                  <pic:spPr>
                    <a:xfrm>
                      <a:off x="0" y="0"/>
                      <a:ext cx="3615629" cy="1547674"/>
                    </a:xfrm>
                    <a:prstGeom prst="rect">
                      <a:avLst/>
                    </a:prstGeom>
                    <a:noFill/>
                    <a:ln>
                      <a:noFill/>
                    </a:ln>
                  </pic:spPr>
                </pic:pic>
              </a:graphicData>
            </a:graphic>
          </wp:inline>
        </w:drawing>
      </w:r>
    </w:p>
    <w:p>
      <w:pPr>
        <w:pStyle w:val="41"/>
        <w:spacing w:after="156" w:line="240" w:lineRule="auto"/>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5.2.2</w:t>
      </w:r>
      <w:r>
        <w:rPr>
          <w:rFonts w:hint="eastAsia" w:ascii="黑体" w:hAnsi="黑体" w:eastAsia="黑体" w:cstheme="minorEastAsia"/>
          <w:color w:val="000000" w:themeColor="text1"/>
          <w:sz w:val="18"/>
          <w:szCs w:val="18"/>
          <w14:textFill>
            <w14:solidFill>
              <w14:schemeClr w14:val="tx1"/>
            </w14:solidFill>
          </w14:textFill>
        </w:rPr>
        <w:t xml:space="preserve"> 负弯矩作用下受弯承载力计算参数示意</w:t>
      </w:r>
    </w:p>
    <w:p>
      <w:pPr>
        <w:jc w:val="right"/>
        <w:rPr>
          <w:rFonts w:asciiTheme="majorHAnsi" w:hAnsiTheme="majorHAnsi" w:cstheme="minorEastAsia"/>
          <w:color w:val="000000" w:themeColor="text1"/>
          <w:szCs w:val="21"/>
          <w14:textFill>
            <w14:solidFill>
              <w14:schemeClr w14:val="tx1"/>
            </w14:solidFill>
          </w14:textFill>
        </w:rPr>
      </w:pPr>
      <m:oMathPara>
        <m:oMath>
          <m:r>
            <w:rPr>
              <w:rFonts w:ascii="Cambria Math" w:hAnsi="Cambria Math" w:cstheme="minorEastAsia"/>
              <w:color w:val="000000" w:themeColor="text1"/>
              <w:szCs w:val="21"/>
              <w14:textFill>
                <w14:solidFill>
                  <w14:schemeClr w14:val="tx1"/>
                </w14:solidFill>
              </w14:textFill>
            </w:rPr>
            <m:t>M≤</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2f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s="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Cs/>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ctrlPr>
                    <w:rPr>
                      <w:rFonts w:ascii="Cambria Math" w:hAnsi="Cambria Math"/>
                      <w:iCs/>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Cs/>
                      <w:color w:val="000000" w:themeColor="text1"/>
                      <w:szCs w:val="21"/>
                      <w14:textFill>
                        <w14:solidFill>
                          <w14:schemeClr w14:val="tx1"/>
                        </w14:solidFill>
                      </w14:textFill>
                    </w:rPr>
                  </m:ctrlPr>
                </m:den>
              </m:f>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h-</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s="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m:oMathPara>
    </w:p>
    <w:p>
      <w:pPr>
        <w:ind w:left="5280" w:hanging="5280" w:hangingChars="2200"/>
        <w:jc w:val="left"/>
        <w:rPr>
          <w:rFonts w:asciiTheme="minorEastAsia" w:hAnsiTheme="minorEastAsia" w:cstheme="minorEastAsia"/>
          <w:color w:val="000000" w:themeColor="text1"/>
          <w:sz w:val="24"/>
          <w:szCs w:val="24"/>
          <w14:textFill>
            <w14:solidFill>
              <w14:schemeClr w14:val="tx1"/>
            </w14:solidFill>
          </w14:textFill>
        </w:rPr>
      </w:pPr>
      <w:r>
        <w:rPr>
          <w:rFonts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 w:val="24"/>
          <w:szCs w:val="24"/>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 xml:space="preserve">+ </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s</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s="Cambria Math"/>
                <w:color w:val="000000" w:themeColor="text1"/>
                <w:szCs w:val="21"/>
                <w14:textFill>
                  <w14:solidFill>
                    <w14:schemeClr w14:val="tx1"/>
                  </w14:solidFill>
                </w14:textFill>
              </w:rPr>
              <m:t>h</m:t>
            </m:r>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m:rPr>
                <m:sty m:val="p"/>
              </m:rPr>
              <w:rPr>
                <w:rFonts w:ascii="Cambria Math" w:hAnsi="Cambria Math" w:eastAsia="微软雅黑" w:cs="微软雅黑"/>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s</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 xml:space="preserve">+  </m:t>
        </m:r>
        <m:sSubSup>
          <m:sSubSupPr>
            <m:ctrlPr>
              <w:rPr>
                <w:rFonts w:ascii="Cambria Math" w:hAnsi="Cambria Math" w:eastAsia="宋体"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f</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eastAsia="宋体"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m:t>
            </m:r>
            <m:ctrlPr>
              <w:rPr>
                <w:rFonts w:ascii="Cambria Math" w:hAnsi="Cambria Math" w:eastAsia="宋体" w:cstheme="minorEastAsia"/>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5.2.2-1</w:t>
      </w:r>
      <w:r>
        <w:rPr>
          <w:rFonts w:hint="eastAsia" w:asciiTheme="minorEastAsia" w:hAnsiTheme="minorEastAsia" w:cstheme="minorEastAsia"/>
          <w:color w:val="000000" w:themeColor="text1"/>
          <w:szCs w:val="21"/>
          <w14:textFill>
            <w14:solidFill>
              <w14:schemeClr w14:val="tx1"/>
            </w14:solidFill>
          </w14:textFill>
        </w:rPr>
        <w:t>）</w:t>
      </w:r>
      <w:r>
        <w:rPr>
          <w:color w:val="000000" w:themeColor="text1"/>
          <w:sz w:val="24"/>
          <w:szCs w:val="24"/>
          <w14:textFill>
            <w14:solidFill>
              <w14:schemeClr w14:val="tx1"/>
            </w14:solidFill>
          </w14:textFill>
        </w:rPr>
        <w:t xml:space="preserve">                </w:t>
      </w:r>
    </w:p>
    <w:p>
      <w:pPr>
        <w:ind w:firstLine="420" w:firstLineChars="200"/>
        <w:rPr>
          <w:rFonts w:asciiTheme="majorHAnsi" w:hAnsiTheme="majorHAnsi" w:cstheme="minorEastAsia"/>
          <w:color w:val="000000" w:themeColor="text1"/>
          <w:szCs w:val="21"/>
          <w14:textFill>
            <w14:solidFill>
              <w14:schemeClr w14:val="tx1"/>
            </w14:solidFill>
          </w14:textFill>
        </w:rPr>
      </w:pPr>
      <m:oMathPara>
        <m:oMath>
          <m:sSub>
            <m:sSubPr>
              <m:ctrlPr>
                <w:rPr>
                  <w:rFonts w:ascii="Cambria Math" w:hAnsi="Cambria Math"/>
                  <w:i/>
                  <w:color w:val="000000" w:themeColor="text1"/>
                  <w:szCs w:val="21"/>
                  <w14:textFill>
                    <w14:solidFill>
                      <w14:schemeClr w14:val="tx1"/>
                    </w14:solidFill>
                  </w14:textFill>
                </w:rPr>
              </m:ctrlPr>
            </m:sSubPr>
            <m:e>
              <m:sSubSup>
                <m:sSubSupPr>
                  <m:ctrlPr>
                    <w:rPr>
                      <w:rFonts w:ascii="Cambria Math" w:hAnsi="Cambria Math" w:eastAsia="宋体"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f</m:t>
                  </m:r>
                  <m:ctrlPr>
                    <w:rPr>
                      <w:rFonts w:ascii="Cambria Math" w:hAnsi="Cambria Math" w:eastAsia="宋体"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eastAsia="宋体"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m:t>
                  </m:r>
                  <m:ctrlPr>
                    <w:rPr>
                      <w:rFonts w:ascii="Cambria Math" w:hAnsi="Cambria Math" w:eastAsia="宋体" w:cstheme="minorEastAsia"/>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b-</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s="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x=</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s</m:t>
              </m:r>
              <m:ctrlPr>
                <w:rPr>
                  <w:rFonts w:ascii="Cambria Math" w:hAnsi="Cambria Math"/>
                  <w:i/>
                  <w:color w:val="000000" w:themeColor="text1"/>
                  <w:szCs w:val="21"/>
                  <w14:textFill>
                    <w14:solidFill>
                      <w14:schemeClr w14:val="tx1"/>
                    </w14:solidFill>
                  </w14:textFill>
                </w:rPr>
              </m:ctrlPr>
            </m:sub>
          </m:sSub>
        </m:oMath>
      </m:oMathPara>
    </w:p>
    <w:p>
      <w:pPr>
        <w:ind w:right="210" w:firstLine="420" w:firstLineChars="200"/>
        <w:jc w:val="right"/>
        <w:rPr>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5.2.2-2</w:t>
      </w:r>
      <w:r>
        <w:rPr>
          <w:rFonts w:hint="eastAsia" w:asciiTheme="minorEastAsia" w:hAnsiTheme="minorEastAsia" w:cstheme="minorEastAsia"/>
          <w:color w:val="000000" w:themeColor="text1"/>
          <w:szCs w:val="21"/>
          <w14:textFill>
            <w14:solidFill>
              <w14:schemeClr w14:val="tx1"/>
            </w14:solidFill>
          </w14:textFill>
        </w:rPr>
        <w:t>）</w:t>
      </w:r>
      <w:r>
        <w:rPr>
          <w:color w:val="000000" w:themeColor="text1"/>
          <w:sz w:val="24"/>
          <w:szCs w:val="24"/>
          <w14:textFill>
            <w14:solidFill>
              <w14:schemeClr w14:val="tx1"/>
            </w14:solidFill>
          </w14:textFill>
        </w:rPr>
        <w:t xml:space="preserve">  </w:t>
      </w:r>
    </w:p>
    <w:p>
      <w:pPr>
        <w:jc w:val="left"/>
        <w:rPr>
          <w:color w:val="000000" w:themeColor="text1"/>
          <w:sz w:val="24"/>
          <w:szCs w:val="24"/>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r>
        <w:rPr>
          <w:rFonts w:hint="eastAsia" w:ascii="Italic" w:hAnsi="Italic" w:cs="Italic"/>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eastAsia="宋体"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a</m:t>
            </m:r>
            <m:ctrlPr>
              <w:rPr>
                <w:rFonts w:ascii="Cambria Math" w:hAnsi="Cambria Math" w:eastAsia="宋体"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甲壳梁钢甲壳高度；</w:t>
      </w:r>
      <w:r>
        <w:rPr>
          <w:color w:val="000000" w:themeColor="text1"/>
          <w:sz w:val="24"/>
          <w:szCs w:val="24"/>
          <w14:textFill>
            <w14:solidFill>
              <w14:schemeClr w14:val="tx1"/>
            </w14:solidFill>
          </w14:textFill>
        </w:rPr>
        <w:t xml:space="preserve">   </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当按式（</w:t>
      </w:r>
      <w:r>
        <w:rPr>
          <w:rFonts w:asciiTheme="minorEastAsia" w:hAnsiTheme="minorEastAsia" w:cstheme="minorEastAsia"/>
          <w:color w:val="000000" w:themeColor="text1"/>
          <w:szCs w:val="21"/>
          <w14:textFill>
            <w14:solidFill>
              <w14:schemeClr w14:val="tx1"/>
            </w14:solidFill>
          </w14:textFill>
        </w:rPr>
        <w:t>5.2.2-2</w:t>
      </w:r>
      <w:r>
        <w:rPr>
          <w:rFonts w:hint="eastAsia" w:asciiTheme="minorEastAsia" w:hAnsiTheme="minorEastAsia" w:cstheme="minorEastAsia"/>
          <w:color w:val="000000" w:themeColor="text1"/>
          <w:szCs w:val="21"/>
          <w14:textFill>
            <w14:solidFill>
              <w14:schemeClr w14:val="tx1"/>
            </w14:solidFill>
          </w14:textFill>
        </w:rPr>
        <w:t>）计算的</w:t>
      </w:r>
      <m:oMath>
        <m:r>
          <w:rPr>
            <w:rFonts w:ascii="Cambria Math" w:hAnsiTheme="minorEastAsia" w:cstheme="minorEastAsia"/>
            <w:color w:val="000000" w:themeColor="text1"/>
            <w:szCs w:val="21"/>
            <w14:textFill>
              <w14:solidFill>
                <w14:schemeClr w14:val="tx1"/>
              </w14:solidFill>
            </w14:textFill>
          </w:rPr>
          <m:t>x</m:t>
        </m:r>
        <m:r>
          <m:rPr>
            <m:sty m:val="p"/>
          </m:rPr>
          <w:rPr>
            <w:rFonts w:ascii="Cambria Math" w:hAnsi="Cambria Math" w:cstheme="minorEastAsia"/>
            <w:color w:val="000000" w:themeColor="text1"/>
            <w:szCs w:val="21"/>
            <w14:textFill>
              <w14:solidFill>
                <w14:schemeClr w14:val="tx1"/>
              </w14:solidFill>
            </w14:textFill>
          </w:rPr>
          <m:t>≤</m:t>
        </m:r>
        <m:r>
          <m:rPr>
            <m:sty m:val="p"/>
          </m:rPr>
          <w:rPr>
            <w:rFonts w:ascii="Cambria Math" w:hAnsiTheme="minorEastAsia" w:cstheme="minorEastAsia"/>
            <w:color w:val="000000" w:themeColor="text1"/>
            <w:szCs w:val="21"/>
            <w14:textFill>
              <w14:solidFill>
                <w14:schemeClr w14:val="tx1"/>
              </w14:solidFill>
            </w14:textFill>
          </w:rPr>
          <m:t>0</m:t>
        </m:r>
      </m:oMath>
      <w:r>
        <w:rPr>
          <w:rFonts w:hint="eastAsia" w:asciiTheme="minorEastAsia" w:hAnsiTheme="minorEastAsia" w:cstheme="minorEastAsia"/>
          <w:color w:val="000000" w:themeColor="text1"/>
          <w:szCs w:val="21"/>
          <w14:textFill>
            <w14:solidFill>
              <w14:schemeClr w14:val="tx1"/>
            </w14:solidFill>
          </w14:textFill>
        </w:rPr>
        <w:t>时，正截面受弯承载力应符合下列规定：</w:t>
      </w:r>
    </w:p>
    <w:p>
      <w:pPr>
        <w:jc w:val="right"/>
        <w:rPr>
          <w:rFonts w:asciiTheme="majorHAnsi" w:hAnsiTheme="majorHAnsi" w:cstheme="minorEastAsia"/>
          <w:color w:val="000000" w:themeColor="text1"/>
          <w:szCs w:val="21"/>
          <w14:textFill>
            <w14:solidFill>
              <w14:schemeClr w14:val="tx1"/>
            </w14:solidFill>
          </w14:textFill>
        </w:rPr>
      </w:pPr>
      <m:oMathPara>
        <m:oMath>
          <m:r>
            <w:rPr>
              <w:rFonts w:ascii="Cambria Math" w:hAnsi="Cambria Math" w:cstheme="minorEastAsia"/>
              <w:color w:val="000000" w:themeColor="text1"/>
              <w:szCs w:val="21"/>
              <w14:textFill>
                <w14:solidFill>
                  <w14:schemeClr w14:val="tx1"/>
                </w14:solidFill>
              </w14:textFill>
            </w:rPr>
            <m:t>M≤</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2f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s="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Cs/>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ctrlPr>
                    <w:rPr>
                      <w:rFonts w:ascii="Cambria Math" w:hAnsi="Cambria Math"/>
                      <w:iCs/>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Cs/>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Cs/>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u</m:t>
                      </m:r>
                      <m:ctrlPr>
                        <w:rPr>
                          <w:rFonts w:ascii="Cambria Math" w:hAnsi="Cambria Math"/>
                          <w:i/>
                          <w:color w:val="000000" w:themeColor="text1"/>
                          <w:szCs w:val="21"/>
                          <w14:textFill>
                            <w14:solidFill>
                              <w14:schemeClr w14:val="tx1"/>
                            </w14:solidFill>
                          </w14:textFill>
                        </w:rPr>
                      </m:ctrlPr>
                    </m:sub>
                  </m:sSub>
                  <m:ctrlPr>
                    <w:rPr>
                      <w:rFonts w:ascii="Cambria Math" w:hAnsi="Cambria Math"/>
                      <w:iCs/>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Cs/>
                      <w:color w:val="000000" w:themeColor="text1"/>
                      <w:szCs w:val="21"/>
                      <w14:textFill>
                        <w14:solidFill>
                          <w14:schemeClr w14:val="tx1"/>
                        </w14:solidFill>
                      </w14:textFill>
                    </w:rPr>
                  </m:ctrlPr>
                </m:den>
              </m:f>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h-</m:t>
              </m:r>
              <m:f>
                <m:fPr>
                  <m:ctrlPr>
                    <w:rPr>
                      <w:rFonts w:ascii="Cambria Math" w:hAnsi="Cambria Math"/>
                      <w:iCs/>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ctrlPr>
                    <w:rPr>
                      <w:rFonts w:ascii="Cambria Math" w:hAnsi="Cambria Math"/>
                      <w:iCs/>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Cs/>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s="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p</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m:oMathPara>
    </w:p>
    <w:p>
      <w:pPr>
        <w:jc w:val="left"/>
        <w:rPr>
          <w:color w:val="000000" w:themeColor="text1"/>
          <w:sz w:val="24"/>
          <w:szCs w:val="24"/>
          <w14:textFill>
            <w14:solidFill>
              <w14:schemeClr w14:val="tx1"/>
            </w14:solidFill>
          </w14:textFill>
        </w:rPr>
      </w:pPr>
      <w:r>
        <w:rPr>
          <w:rFonts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 w:val="24"/>
          <w:szCs w:val="24"/>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 xml:space="preserve">+ </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y</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s</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h-</m:t>
            </m:r>
            <m:f>
              <m:fPr>
                <m:ctrlPr>
                  <w:rPr>
                    <w:rFonts w:ascii="Cambria Math" w:hAnsi="Cambria Math"/>
                    <w:iCs/>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d</m:t>
                    </m:r>
                    <m:ctrlPr>
                      <w:rPr>
                        <w:rFonts w:ascii="Cambria Math" w:hAnsi="Cambria Math"/>
                        <w:i/>
                        <w:color w:val="000000" w:themeColor="text1"/>
                        <w:szCs w:val="21"/>
                        <w14:textFill>
                          <w14:solidFill>
                            <w14:schemeClr w14:val="tx1"/>
                          </w14:solidFill>
                        </w14:textFill>
                      </w:rPr>
                    </m:ctrlPr>
                  </m:sub>
                </m:sSub>
                <m:ctrlPr>
                  <w:rPr>
                    <w:rFonts w:ascii="Cambria Math" w:hAnsi="Cambria Math"/>
                    <w:iCs/>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Cs/>
                    <w:color w:val="000000" w:themeColor="text1"/>
                    <w:szCs w:val="21"/>
                    <w14:textFill>
                      <w14:solidFill>
                        <w14:schemeClr w14:val="tx1"/>
                      </w14:solidFill>
                    </w14:textFill>
                  </w:rPr>
                </m:ctrlPr>
              </m:den>
            </m:f>
            <m:r>
              <m:rPr>
                <m:sty m:val="p"/>
              </m:rPr>
              <w:rPr>
                <w:rFonts w:ascii="Cambria Math" w:hAnsi="Cambria Math" w:eastAsia="微软雅黑" w:cs="微软雅黑"/>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s</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 w:val="24"/>
          <w:szCs w:val="24"/>
          <w14:textFill>
            <w14:solidFill>
              <w14:schemeClr w14:val="tx1"/>
            </w14:solidFill>
          </w14:textFill>
        </w:rPr>
        <w:t xml:space="preserve"> </w:t>
      </w:r>
      <w:r>
        <w:rPr>
          <w:rFonts w:asciiTheme="minorEastAsia" w:hAnsi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5.2.2-3</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.2.3</w:t>
      </w:r>
      <w:r>
        <w:rPr>
          <w:rFonts w:hint="eastAsia" w:asciiTheme="minorEastAsia" w:hAnsiTheme="minorEastAsia" w:cstheme="minorEastAsia"/>
          <w:color w:val="000000" w:themeColor="text1"/>
          <w:szCs w:val="21"/>
          <w14:textFill>
            <w14:solidFill>
              <w14:schemeClr w14:val="tx1"/>
            </w14:solidFill>
          </w14:textFill>
        </w:rPr>
        <w:t>甲壳梁的斜截面承载力应符合下列规定：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甲壳梁的受剪截面应符合下列条件：</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w:t>
      </w:r>
      <m:oMath>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den>
        </m:f>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4</m:t>
        </m:r>
      </m:oMath>
      <w:r>
        <w:rPr>
          <w:rFonts w:hint="eastAsia" w:asciiTheme="minorEastAsia" w:hAnsiTheme="minorEastAsia" w:cstheme="minorEastAsia"/>
          <w:color w:val="000000" w:themeColor="text1"/>
          <w:szCs w:val="21"/>
          <w14:textFill>
            <w14:solidFill>
              <w14:schemeClr w14:val="tx1"/>
            </w14:solidFill>
          </w14:textFill>
        </w:rPr>
        <w:t xml:space="preserve">时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V</m:t>
        </m:r>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0.35</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d>
              <m:dPr>
                <m:ctrlPr>
                  <w:rPr>
                    <w:rFonts w:ascii="Cambria Math" w:hAnsi="Cambria Math" w:cstheme="minorEastAsia"/>
                    <w:i/>
                    <w:color w:val="000000" w:themeColor="text1"/>
                    <w:szCs w:val="21"/>
                    <w14:textFill>
                      <w14:solidFill>
                        <w14:schemeClr w14:val="tx1"/>
                      </w14:solidFill>
                    </w14:textFill>
                  </w:rPr>
                </m:ctrlPr>
              </m:dPr>
              <m:e>
                <m:r>
                  <w:rPr>
                    <w:rFonts w:hint="eastAsia" w:ascii="Cambria Math" w:hAnsi="Cambria Math" w:cstheme="minorEastAsia"/>
                    <w:color w:val="000000" w:themeColor="text1"/>
                    <w:szCs w:val="21"/>
                    <w14:textFill>
                      <w14:solidFill>
                        <w14:schemeClr w14:val="tx1"/>
                      </w14:solidFill>
                    </w14:textFill>
                  </w:rPr>
                  <m:t>b</m:t>
                </m:r>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5.2.3-1</w:t>
      </w:r>
      <w:r>
        <w:rPr>
          <w:rFonts w:hint="eastAsia" w:asciiTheme="minorEastAsia" w:hAnsiTheme="minorEastAsia" w:cstheme="minorEastAsia"/>
          <w:color w:val="000000" w:themeColor="text1"/>
          <w:szCs w:val="21"/>
          <w14:textFill>
            <w14:solidFill>
              <w14:schemeClr w14:val="tx1"/>
            </w14:solidFill>
          </w14:textFill>
        </w:rPr>
        <w:t>）</w:t>
      </w:r>
    </w:p>
    <w:p>
      <w:pPr>
        <w:ind w:firstLine="945" w:firstLineChars="45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w:t>
      </w:r>
      <m:oMath>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den>
        </m:f>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6</m:t>
        </m:r>
      </m:oMath>
      <w:r>
        <w:rPr>
          <w:rFonts w:hint="eastAsia" w:asciiTheme="minorEastAsia" w:hAnsiTheme="minorEastAsia" w:cstheme="minorEastAsia"/>
          <w:color w:val="000000" w:themeColor="text1"/>
          <w:szCs w:val="21"/>
          <w14:textFill>
            <w14:solidFill>
              <w14:schemeClr w14:val="tx1"/>
            </w14:solidFill>
          </w14:textFill>
        </w:rPr>
        <w:t xml:space="preserve">时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V</m:t>
        </m:r>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0.30</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d>
              <m:dPr>
                <m:ctrlPr>
                  <w:rPr>
                    <w:rFonts w:ascii="Cambria Math" w:hAnsi="Cambria Math" w:cstheme="minorEastAsia"/>
                    <w:i/>
                    <w:color w:val="000000" w:themeColor="text1"/>
                    <w:szCs w:val="21"/>
                    <w14:textFill>
                      <w14:solidFill>
                        <w14:schemeClr w14:val="tx1"/>
                      </w14:solidFill>
                    </w14:textFill>
                  </w:rPr>
                </m:ctrlPr>
              </m:dPr>
              <m:e>
                <m:r>
                  <w:rPr>
                    <w:rFonts w:hint="eastAsia" w:ascii="Cambria Math" w:hAnsi="Cambria Math" w:cstheme="minorEastAsia"/>
                    <w:color w:val="000000" w:themeColor="text1"/>
                    <w:szCs w:val="21"/>
                    <w14:textFill>
                      <w14:solidFill>
                        <w14:schemeClr w14:val="tx1"/>
                      </w14:solidFill>
                    </w14:textFill>
                  </w:rPr>
                  <m:t>b</m:t>
                </m:r>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5.2.3-2</w:t>
      </w:r>
      <w:r>
        <w:rPr>
          <w:rFonts w:hint="eastAsia" w:asciiTheme="minorEastAsia" w:hAnsiTheme="minorEastAsia" w:cstheme="minorEastAsia"/>
          <w:color w:val="000000" w:themeColor="text1"/>
          <w:szCs w:val="21"/>
          <w14:textFill>
            <w14:solidFill>
              <w14:schemeClr w14:val="tx1"/>
            </w14:solidFill>
          </w14:textFill>
        </w:rPr>
        <w:t>）</w:t>
      </w:r>
    </w:p>
    <w:p>
      <w:pPr>
        <w:ind w:firstLine="1050" w:firstLineChars="5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当4≤</w:t>
      </w:r>
      <m:oMath>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≤6时，按线性内插法确定。</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stheme="minorEastAsia"/>
            <w:color w:val="000000" w:themeColor="text1"/>
            <w:szCs w:val="21"/>
            <w14:textFill>
              <w14:solidFill>
                <w14:schemeClr w14:val="tx1"/>
              </w14:solidFill>
            </w14:textFill>
          </w:rPr>
          <m:t>V</m:t>
        </m:r>
      </m:oMath>
      <w:r>
        <w:rPr>
          <w:rFonts w:hint="eastAsia" w:asciiTheme="minorEastAsia" w:hAnsiTheme="minorEastAsia" w:cstheme="minorEastAsia"/>
          <w:color w:val="000000" w:themeColor="text1"/>
          <w:szCs w:val="21"/>
          <w14:textFill>
            <w14:solidFill>
              <w14:schemeClr w14:val="tx1"/>
            </w14:solidFill>
          </w14:textFill>
        </w:rPr>
        <w:t>——构件斜截面上的最大剪力设计值；</w:t>
      </w:r>
    </w:p>
    <w:p>
      <w:pPr>
        <w:ind w:left="126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——混凝土强度影响系数：当混凝土强度等级不超过C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；当混凝土强度等级为C</w:t>
      </w:r>
      <w:r>
        <w:rPr>
          <w:rFonts w:asciiTheme="minorEastAsia" w:hAnsiTheme="minorEastAsia" w:cstheme="minorEastAsia"/>
          <w:color w:val="000000" w:themeColor="text1"/>
          <w:szCs w:val="21"/>
          <w14:textFill>
            <w14:solidFill>
              <w14:schemeClr w14:val="tx1"/>
            </w14:solidFill>
          </w14:textFill>
        </w:rPr>
        <w:t>80</w:t>
      </w:r>
      <w:r>
        <w:rPr>
          <w:rFonts w:hint="eastAsia" w:asciiTheme="minorEastAsia" w:hAnsiTheme="minorEastAsia" w:cstheme="minorEastAsia"/>
          <w:color w:val="000000" w:themeColor="text1"/>
          <w:szCs w:val="21"/>
          <w14:textFill>
            <w14:solidFill>
              <w14:schemeClr w14:val="tx1"/>
            </w14:solidFill>
          </w14:textFill>
        </w:rPr>
        <w:t>时取0</w:t>
      </w:r>
      <w:r>
        <w:rPr>
          <w:rFonts w:asciiTheme="minorEastAsia" w:hAnsiTheme="minorEastAsia" w:cstheme="minorEastAsia"/>
          <w:color w:val="000000" w:themeColor="text1"/>
          <w:szCs w:val="21"/>
          <w14:textFill>
            <w14:solidFill>
              <w14:schemeClr w14:val="tx1"/>
            </w14:solidFill>
          </w14:textFill>
        </w:rPr>
        <w:t>.8</w:t>
      </w:r>
      <w:r>
        <w:rPr>
          <w:rFonts w:hint="eastAsia" w:asciiTheme="minorEastAsia" w:hAnsiTheme="minorEastAsia" w:cstheme="minorEastAsia"/>
          <w:color w:val="000000" w:themeColor="text1"/>
          <w:szCs w:val="21"/>
          <w14:textFill>
            <w14:solidFill>
              <w14:schemeClr w14:val="tx1"/>
            </w14:solidFill>
          </w14:textFill>
        </w:rPr>
        <w:t>，其间按线性内插法确定。</w:t>
      </w:r>
    </w:p>
    <w:p>
      <w:pPr>
        <w:ind w:left="126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——截面的有效高度，受拉区纵向普通钢筋、预应力筋及上翼缘钢板合力点至截面受压区截面边缘的距离；</w:t>
      </w:r>
    </w:p>
    <w:p>
      <w:pPr>
        <w:ind w:left="126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——截面的腹板高度：矩形截面，取有效高度；T形截面，取有效高度减去翼缘高度。</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甲壳梁的抗剪承载力应符合下列规定：</w:t>
      </w:r>
    </w:p>
    <w:p>
      <w:pPr>
        <w:ind w:firstLine="420" w:firstLineChars="200"/>
        <w:jc w:val="righ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V≤</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5.2.3-4</w:t>
      </w:r>
      <w:r>
        <w:rPr>
          <w:rFonts w:hint="eastAsia" w:asciiTheme="minorEastAsia" w:hAnsiTheme="minorEastAsia" w:cstheme="minorEastAsia"/>
          <w:color w:val="000000" w:themeColor="text1"/>
          <w:szCs w:val="21"/>
          <w14:textFill>
            <w14:solidFill>
              <w14:schemeClr w14:val="tx1"/>
            </w14:solidFill>
          </w14:textFill>
        </w:rPr>
        <w:t>）</w:t>
      </w:r>
    </w:p>
    <w:p>
      <w:pPr>
        <w:ind w:left="1680" w:hanging="1680" w:hangingChars="8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b-</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d>
          <m:dPr>
            <m:ctrlPr>
              <w:rPr>
                <w:rFonts w:ascii="Cambria Math" w:hAnsi="Cambria Math" w:eastAsia="MS Gothic" w:cs="MS Gothic"/>
                <w:i/>
                <w:color w:val="000000" w:themeColor="text1"/>
                <w:szCs w:val="21"/>
                <w14:textFill>
                  <w14:solidFill>
                    <w14:schemeClr w14:val="tx1"/>
                  </w14:solidFill>
                </w14:textFill>
              </w:rPr>
            </m:ctrlPr>
          </m:dPr>
          <m:e>
            <m:r>
              <w:rPr>
                <w:rFonts w:ascii="Cambria Math" w:hAnsi="Cambria Math" w:eastAsia="MS Gothic" w:cs="MS Gothic"/>
                <w:color w:val="000000" w:themeColor="text1"/>
                <w:szCs w:val="21"/>
                <w14:textFill>
                  <w14:solidFill>
                    <w14:schemeClr w14:val="tx1"/>
                  </w14:solidFill>
                </w14:textFill>
              </w:rPr>
              <m:t>h-</m:t>
            </m:r>
            <m:sSub>
              <m:sSubPr>
                <m:ctrlPr>
                  <w:rPr>
                    <w:rFonts w:ascii="Cambria Math" w:hAnsi="Cambria Math"/>
                    <w:i/>
                    <w:color w:val="000000" w:themeColor="text1"/>
                    <w:sz w:val="24"/>
                    <w:szCs w:val="24"/>
                    <w14:textFill>
                      <w14:solidFill>
                        <w14:schemeClr w14:val="tx1"/>
                      </w14:solidFill>
                    </w14:textFill>
                  </w:rPr>
                </m:ctrlPr>
              </m:sSubPr>
              <m:e>
                <m:r>
                  <w:rPr>
                    <w:rFonts w:ascii="Cambria Math"/>
                    <w:color w:val="000000" w:themeColor="text1"/>
                    <w:sz w:val="24"/>
                    <w:szCs w:val="24"/>
                    <w14:textFill>
                      <w14:solidFill>
                        <w14:schemeClr w14:val="tx1"/>
                      </w14:solidFill>
                    </w14:textFill>
                  </w:rPr>
                  <m:t>t</m:t>
                </m:r>
                <m:ctrlPr>
                  <w:rPr>
                    <w:rFonts w:ascii="Cambria Math" w:hAnsi="Cambria Math"/>
                    <w:i/>
                    <w:color w:val="000000" w:themeColor="text1"/>
                    <w:sz w:val="24"/>
                    <w:szCs w:val="24"/>
                    <w14:textFill>
                      <w14:solidFill>
                        <w14:schemeClr w14:val="tx1"/>
                      </w14:solidFill>
                    </w14:textFill>
                  </w:rPr>
                </m:ctrlPr>
              </m:e>
              <m:sub>
                <m:r>
                  <w:rPr>
                    <w:rFonts w:ascii="Cambria Math"/>
                    <w:color w:val="000000" w:themeColor="text1"/>
                    <w:sz w:val="24"/>
                    <w:szCs w:val="24"/>
                    <w14:textFill>
                      <w14:solidFill>
                        <w14:schemeClr w14:val="tx1"/>
                      </w14:solidFill>
                    </w14:textFill>
                  </w:rPr>
                  <m:t>d</m:t>
                </m:r>
                <m:ctrlPr>
                  <w:rPr>
                    <w:rFonts w:ascii="Cambria Math" w:hAnsi="Cambria Math"/>
                    <w:i/>
                    <w:color w:val="000000" w:themeColor="text1"/>
                    <w:sz w:val="24"/>
                    <w:szCs w:val="24"/>
                    <w14:textFill>
                      <w14:solidFill>
                        <w14:schemeClr w14:val="tx1"/>
                      </w14:solidFill>
                    </w14:textFill>
                  </w:rPr>
                </m:ctrlPr>
              </m:sub>
            </m:sSub>
            <m:ctrlPr>
              <w:rPr>
                <w:rFonts w:ascii="Cambria Math" w:hAnsi="Cambria Math" w:eastAsia="MS Gothic" w:cs="MS Gothic"/>
                <w:i/>
                <w:color w:val="000000" w:themeColor="text1"/>
                <w:szCs w:val="21"/>
                <w14:textFill>
                  <w14:solidFill>
                    <w14:schemeClr w14:val="tx1"/>
                  </w14:solidFill>
                </w14:textFill>
              </w:rPr>
            </m:ctrlPr>
          </m:e>
        </m:d>
      </m:oMath>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5.2.3-5</w:t>
      </w:r>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5.2.3-6</w:t>
      </w:r>
      <w:r>
        <w:rPr>
          <w:rFonts w:hint="eastAsia" w:asciiTheme="minorEastAsia" w:hAnsiTheme="minorEastAsia" w:cstheme="minorEastAsia"/>
          <w:color w:val="000000" w:themeColor="text1"/>
          <w:szCs w:val="21"/>
          <w14:textFill>
            <w14:solidFill>
              <w14:schemeClr w14:val="tx1"/>
            </w14:solidFill>
          </w14:textFill>
        </w:rPr>
        <w:t>）</w:t>
      </w:r>
    </w:p>
    <w:p>
      <w:pPr>
        <w:ind w:firstLine="105" w:firstLineChars="5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——混凝土的抗剪承载力设计值；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——波纹腹板的受剪承载力设计值；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r>
              <w:rPr>
                <w:rFonts w:hint="eastAsia"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——甲壳梁双侧波纹腹板截面面积之和；</w:t>
      </w:r>
    </w:p>
    <w:p>
      <w:pPr>
        <w:ind w:left="1470" w:hanging="1470" w:hangingChars="700"/>
        <w:rPr>
          <w:rFonts w:asciiTheme="minorEastAsia" w:hAnsiTheme="minorEastAsia" w:cstheme="minorEastAsia"/>
          <w:i/>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——斜截面混凝土受剪承载力系数,对于一般的受弯构件取0</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，对集中荷载作用下（包括作用有多种荷载，其中集中荷载对支座截面或节点边缘所产生的剪力值占总剪力的7</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%以上的情况）的独立梁，取</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为</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1.75</m:t>
            </m:r>
            <m:ctrlPr>
              <w:rPr>
                <w:rFonts w:ascii="Cambria Math" w:hAnsi="Cambria Math" w:cstheme="minorEastAsia"/>
                <w:i/>
                <w:color w:val="000000" w:themeColor="text1"/>
                <w:szCs w:val="21"/>
                <w14:textFill>
                  <w14:solidFill>
                    <w14:schemeClr w14:val="tx1"/>
                  </w14:solidFill>
                </w14:textFill>
              </w:rPr>
            </m:ctrlPr>
          </m:num>
          <m:den>
            <m:r>
              <w:rPr>
                <w:rFonts w:hint="eastAsia" w:ascii="Cambria Math" w:hAnsi="Cambria Math" w:cstheme="minorEastAsia"/>
                <w:color w:val="000000" w:themeColor="text1"/>
                <w:szCs w:val="21"/>
                <w14:textFill>
                  <w14:solidFill>
                    <w14:schemeClr w14:val="tx1"/>
                  </w14:solidFill>
                </w14:textFill>
              </w:rPr>
              <m:t>λ</m:t>
            </m:r>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，λ为计算截面的剪跨比，可取λ=</w:t>
      </w:r>
      <m:oMath>
        <m:r>
          <w:rPr>
            <w:rFonts w:ascii="Cambria Math" w:hAnsi="Cambria Math" w:cstheme="minorEastAsia"/>
            <w:color w:val="000000" w:themeColor="text1"/>
            <w:szCs w:val="21"/>
            <w14:textFill>
              <w14:solidFill>
                <w14:schemeClr w14:val="tx1"/>
              </w14:solidFill>
            </w14:textFill>
          </w:rPr>
          <m:t>a</m:t>
        </m:r>
      </m:oMath>
      <w:r>
        <w:rPr>
          <w:rFonts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,当λ小于1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，当λ大于3时取3，</w:t>
      </w:r>
      <m:oMath>
        <m:r>
          <w:rPr>
            <w:rFonts w:ascii="Cambria Math" w:hAnsi="Cambria Math" w:cstheme="minorEastAsia"/>
            <w:color w:val="000000" w:themeColor="text1"/>
            <w:szCs w:val="21"/>
            <w14:textFill>
              <w14:solidFill>
                <w14:schemeClr w14:val="tx1"/>
              </w14:solidFill>
            </w14:textFill>
          </w:rPr>
          <m:t>a</m:t>
        </m:r>
      </m:oMath>
      <w:r>
        <w:rPr>
          <w:rFonts w:hint="eastAsia" w:asciiTheme="minorEastAsia" w:hAnsiTheme="minorEastAsia" w:cstheme="minorEastAsia"/>
          <w:color w:val="000000" w:themeColor="text1"/>
          <w:szCs w:val="21"/>
          <w14:textFill>
            <w14:solidFill>
              <w14:schemeClr w14:val="tx1"/>
            </w14:solidFill>
          </w14:textFill>
        </w:rPr>
        <w:t>取集中荷载作用点至支座截面或节点边缘的距离。</w:t>
      </w:r>
    </w:p>
    <w:p>
      <w:pPr>
        <w:ind w:firstLine="420" w:firstLineChars="200"/>
        <w:outlineLvl w:val="1"/>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rPr>
        <w:t>条文说明：5.2.</w:t>
      </w:r>
      <w:r>
        <w:rPr>
          <w:rFonts w:hint="eastAsia"/>
          <w:color w:val="0070C0"/>
          <w:lang w:val="en-US" w:eastAsia="zh-CN"/>
        </w:rPr>
        <w:t>3 公式对应非地震组合时的斜截面承载力计算。结构试验表明，甲壳梁的剪压比达到0.45仍未出现剪压破坏，本公式的剪压比要求偏安全。</w:t>
      </w:r>
    </w:p>
    <w:p>
      <w:pPr>
        <w:jc w:val="center"/>
        <w:outlineLvl w:val="1"/>
        <w:rPr>
          <w:rFonts w:ascii="黑体" w:hAnsi="黑体" w:eastAsia="黑体" w:cstheme="minorEastAsia"/>
          <w:color w:val="000000" w:themeColor="text1"/>
          <w:szCs w:val="21"/>
          <w14:textFill>
            <w14:solidFill>
              <w14:schemeClr w14:val="tx1"/>
            </w14:solidFill>
          </w14:textFill>
        </w:rPr>
      </w:pPr>
      <w:bookmarkStart w:id="57" w:name="_Toc18493268"/>
      <w:bookmarkStart w:id="58" w:name="_Toc28706888"/>
      <w:bookmarkStart w:id="59" w:name="_Hlk24098608"/>
      <w:r>
        <w:rPr>
          <w:rFonts w:hint="eastAsia" w:ascii="黑体" w:hAnsi="黑体" w:eastAsia="黑体" w:cstheme="minorEastAsia"/>
          <w:color w:val="000000" w:themeColor="text1"/>
          <w:szCs w:val="21"/>
          <w14:textFill>
            <w14:solidFill>
              <w14:schemeClr w14:val="tx1"/>
            </w14:solidFill>
          </w14:textFill>
        </w:rPr>
        <w:t>5.3裂缝宽度验算</w:t>
      </w:r>
      <w:bookmarkEnd w:id="57"/>
      <w:bookmarkEnd w:id="58"/>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.3.1</w:t>
      </w:r>
      <w:r>
        <w:rPr>
          <w:rFonts w:hint="eastAsia" w:asciiTheme="minorEastAsia" w:hAnsiTheme="minorEastAsia" w:cstheme="minorEastAsia"/>
          <w:color w:val="000000" w:themeColor="text1"/>
          <w:szCs w:val="21"/>
          <w14:textFill>
            <w14:solidFill>
              <w14:schemeClr w14:val="tx1"/>
            </w14:solidFill>
          </w14:textFill>
        </w:rPr>
        <w:t>甲壳梁梁端负弯矩处应进行裂缝宽度验算。最大裂缝宽度限值应满足本规程第3</w:t>
      </w:r>
      <w:r>
        <w:rPr>
          <w:rFonts w:asciiTheme="minorEastAsia" w:hAnsiTheme="minorEastAsia" w:cstheme="minorEastAsia"/>
          <w:color w:val="000000" w:themeColor="text1"/>
          <w:szCs w:val="21"/>
          <w14:textFill>
            <w14:solidFill>
              <w14:schemeClr w14:val="tx1"/>
            </w14:solidFill>
          </w14:textFill>
        </w:rPr>
        <w:t>.4.6</w:t>
      </w:r>
      <w:r>
        <w:rPr>
          <w:rFonts w:hint="eastAsia" w:asciiTheme="minorEastAsia" w:hAnsiTheme="minorEastAsia" w:cstheme="minorEastAsia"/>
          <w:color w:val="000000" w:themeColor="text1"/>
          <w:szCs w:val="21"/>
          <w14:textFill>
            <w14:solidFill>
              <w14:schemeClr w14:val="tx1"/>
            </w14:solidFill>
          </w14:textFill>
        </w:rPr>
        <w:t>条要求。配置预应力钢筋的甲壳梁最大裂缝宽度应按荷载的标准组合并考虑长期作用的影响、无预应力筋的普通甲壳梁最大裂缝宽度应按荷载的准永久组合并考虑长期作用的影响</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按下列公式</w:t>
      </w:r>
      <w:r>
        <w:rPr>
          <w:rFonts w:hint="eastAsia" w:asciiTheme="minorEastAsia" w:hAnsiTheme="minorEastAsia" w:cstheme="minorEastAsia"/>
          <w:color w:val="000000" w:themeColor="text1"/>
          <w:szCs w:val="21"/>
          <w14:textFill>
            <w14:solidFill>
              <w14:schemeClr w14:val="tx1"/>
            </w14:solidFill>
          </w14:textFill>
        </w:rPr>
        <w:t>进行计算。</w:t>
      </w:r>
    </w:p>
    <w:p>
      <w:pPr>
        <w:ind w:left="1890" w:hanging="1890" w:hangingChars="9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.3.2</w:t>
      </w:r>
      <w:r>
        <w:rPr>
          <w:rFonts w:hint="eastAsia" w:asciiTheme="minorEastAsia" w:hAnsiTheme="minorEastAsia" w:cstheme="minorEastAsia"/>
          <w:color w:val="000000" w:themeColor="text1"/>
          <w:szCs w:val="21"/>
          <w14:textFill>
            <w14:solidFill>
              <w14:schemeClr w14:val="tx1"/>
            </w14:solidFill>
          </w14:textFill>
        </w:rPr>
        <w:t>甲壳梁梁端负弯矩处最大裂缝宽度按下列公式计算。</w:t>
      </w:r>
    </w:p>
    <w:p>
      <w:pPr>
        <w:ind w:left="1890" w:leftChars="400" w:hanging="1050" w:hangingChars="5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 xml:space="preserve">  ω</m:t>
            </m:r>
            <m:ctrlPr>
              <w:rPr>
                <w:rFonts w:ascii="Cambria Math" w:hAnsi="Cambria Math" w:eastAsia="黑体" w:cstheme="minorEastAsia"/>
                <w:i/>
                <w:color w:val="000000" w:themeColor="text1"/>
                <w:szCs w:val="21"/>
                <w14:textFill>
                  <w14:solidFill>
                    <w14:schemeClr w14:val="tx1"/>
                  </w14:solidFill>
                </w14:textFill>
              </w:rPr>
            </m:ctrlPr>
          </m:e>
          <m:sub>
            <m:r>
              <m:rPr>
                <m:nor/>
                <m:sty m:val="p"/>
              </m:rPr>
              <w:rPr>
                <w:rFonts w:eastAsia="黑体" w:asciiTheme="majorHAnsi" w:hAnsiTheme="majorHAnsi" w:cstheme="minorEastAsia"/>
                <w:b w:val="0"/>
                <w:i w:val="0"/>
                <w:color w:val="000000" w:themeColor="text1"/>
                <w:szCs w:val="21"/>
                <w14:textFill>
                  <w14:solidFill>
                    <w14:schemeClr w14:val="tx1"/>
                  </w14:solidFill>
                </w14:textFill>
              </w:rPr>
              <m:t>max</m:t>
            </m:r>
            <m:ctrlPr>
              <w:rPr>
                <w:rFonts w:ascii="Cambria Math" w:hAnsi="Cambria Math" w:eastAsia="黑体" w:cstheme="minorEastAsia"/>
                <w:i/>
                <w:color w:val="000000" w:themeColor="text1"/>
                <w:szCs w:val="21"/>
                <w14:textFill>
                  <w14:solidFill>
                    <w14:schemeClr w14:val="tx1"/>
                  </w14:solidFill>
                </w14:textFill>
              </w:rPr>
            </m:ctrlPr>
          </m:sub>
        </m:sSub>
        <m:r>
          <m:rPr>
            <m:nor/>
            <m:sty m:val="p"/>
          </m:rPr>
          <w:rPr>
            <w:rFonts w:eastAsia="黑体" w:asciiTheme="majorHAnsi" w:hAnsiTheme="majorHAnsi" w:cstheme="minorEastAsia"/>
            <w:b w:val="0"/>
            <w:i w:val="0"/>
            <w:color w:val="000000" w:themeColor="text1"/>
            <w:szCs w:val="21"/>
            <w14:textFill>
              <w14:solidFill>
                <w14:schemeClr w14:val="tx1"/>
              </w14:solidFill>
            </w14:textFill>
          </w:rPr>
          <m:t>=</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α</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cr</m:t>
            </m:r>
            <m:ctrlPr>
              <w:rPr>
                <w:rFonts w:ascii="Cambria Math" w:hAnsi="Cambria Math" w:eastAsia="黑体" w:cstheme="minorEastAsia"/>
                <w:i/>
                <w:color w:val="000000" w:themeColor="text1"/>
                <w:szCs w:val="21"/>
                <w14:textFill>
                  <w14:solidFill>
                    <w14:schemeClr w14:val="tx1"/>
                  </w14:solidFill>
                </w14:textFill>
              </w:rPr>
            </m:ctrlPr>
          </m:sub>
        </m:sSub>
        <m:r>
          <m:rPr>
            <m:nor/>
            <m:sty m:val="p"/>
          </m:rPr>
          <w:rPr>
            <w:rFonts w:eastAsia="黑体" w:asciiTheme="majorHAnsi" w:hAnsiTheme="majorHAnsi" w:cstheme="minorEastAsia"/>
            <w:b w:val="0"/>
            <w:i w:val="0"/>
            <w:color w:val="000000" w:themeColor="text1"/>
            <w:szCs w:val="21"/>
            <w14:textFill>
              <w14:solidFill>
                <w14:schemeClr w14:val="tx1"/>
              </w14:solidFill>
            </w14:textFill>
          </w:rPr>
          <m:t>ψ</m:t>
        </m:r>
        <m:f>
          <m:fPr>
            <m:ctrlPr>
              <w:rPr>
                <w:rFonts w:ascii="Cambria Math" w:hAnsi="Cambria Math" w:eastAsia="黑体" w:cstheme="minorEastAsia"/>
                <w:i/>
                <w:color w:val="000000" w:themeColor="text1"/>
                <w:szCs w:val="21"/>
                <w14:textFill>
                  <w14:solidFill>
                    <w14:schemeClr w14:val="tx1"/>
                  </w14:solidFill>
                </w14:textFill>
              </w:rPr>
            </m:ctrlPr>
          </m:fPr>
          <m:num>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σ</m:t>
                </m:r>
                <m:ctrlPr>
                  <w:rPr>
                    <w:rFonts w:ascii="Cambria Math" w:hAnsi="Cambria Math" w:eastAsia="黑体" w:cstheme="minorEastAsia"/>
                    <w:i/>
                    <w:color w:val="000000" w:themeColor="text1"/>
                    <w:szCs w:val="21"/>
                    <w14:textFill>
                      <w14:solidFill>
                        <w14:schemeClr w14:val="tx1"/>
                      </w14:solidFill>
                    </w14:textFill>
                  </w:rPr>
                </m:ctrlPr>
              </m:e>
              <m:sub>
                <m:r>
                  <m:rPr>
                    <m:nor/>
                    <m:sty m:val="p"/>
                  </m:rPr>
                  <w:rPr>
                    <w:rFonts w:eastAsia="黑体" w:asciiTheme="majorHAnsi" w:hAnsiTheme="majorHAnsi" w:cstheme="minorEastAsia"/>
                    <w:b w:val="0"/>
                    <w:i w:val="0"/>
                    <w:color w:val="000000" w:themeColor="text1"/>
                    <w:szCs w:val="21"/>
                    <w14:textFill>
                      <w14:solidFill>
                        <w14:schemeClr w14:val="tx1"/>
                      </w14:solidFill>
                    </w14:textFill>
                  </w:rPr>
                  <m:t>s</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num>
          <m:den>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E</m:t>
                </m:r>
                <m:ctrlPr>
                  <w:rPr>
                    <w:rFonts w:ascii="Cambria Math" w:hAnsi="Cambria Math" w:eastAsia="黑体" w:cstheme="minorEastAsia"/>
                    <w:i/>
                    <w:color w:val="000000" w:themeColor="text1"/>
                    <w:szCs w:val="21"/>
                    <w14:textFill>
                      <w14:solidFill>
                        <w14:schemeClr w14:val="tx1"/>
                      </w14:solidFill>
                    </w14:textFill>
                  </w:rPr>
                </m:ctrlPr>
              </m:e>
              <m:sub>
                <m:r>
                  <m:rPr>
                    <m:nor/>
                    <m:sty m:val="p"/>
                  </m:rPr>
                  <w:rPr>
                    <w:rFonts w:eastAsia="黑体" w:asciiTheme="majorHAnsi" w:hAnsiTheme="majorHAnsi" w:cstheme="minorEastAsia"/>
                    <w:b w:val="0"/>
                    <w:i w:val="0"/>
                    <w:color w:val="000000" w:themeColor="text1"/>
                    <w:szCs w:val="21"/>
                    <w14:textFill>
                      <w14:solidFill>
                        <w14:schemeClr w14:val="tx1"/>
                      </w14:solidFill>
                    </w14:textFill>
                  </w:rPr>
                  <m:t>S</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den>
        </m:f>
        <m:d>
          <m:dPr>
            <m:ctrlPr>
              <w:rPr>
                <w:rFonts w:ascii="Cambria Math" w:hAnsi="Cambria Math" w:eastAsia="黑体" w:cstheme="minorEastAsia"/>
                <w:i/>
                <w:color w:val="000000" w:themeColor="text1"/>
                <w:szCs w:val="21"/>
                <w14:textFill>
                  <w14:solidFill>
                    <w14:schemeClr w14:val="tx1"/>
                  </w14:solidFill>
                </w14:textFill>
              </w:rPr>
            </m:ctrlPr>
          </m:dPr>
          <m:e>
            <m:r>
              <m:rPr>
                <m:nor/>
                <m:sty m:val="p"/>
              </m:rPr>
              <w:rPr>
                <w:rFonts w:eastAsia="黑体" w:asciiTheme="majorHAnsi" w:hAnsiTheme="majorHAnsi" w:cstheme="minorEastAsia"/>
                <w:b w:val="0"/>
                <w:i w:val="0"/>
                <w:color w:val="000000" w:themeColor="text1"/>
                <w:szCs w:val="21"/>
                <w14:textFill>
                  <w14:solidFill>
                    <w14:schemeClr w14:val="tx1"/>
                  </w14:solidFill>
                </w14:textFill>
              </w:rPr>
              <m:t>1.9</m:t>
            </m:r>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c</m:t>
                </m:r>
                <m:ctrlPr>
                  <w:rPr>
                    <w:rFonts w:ascii="Cambria Math" w:hAnsi="Cambria Math" w:eastAsia="黑体" w:cstheme="minorEastAsia"/>
                    <w:i/>
                    <w:color w:val="000000" w:themeColor="text1"/>
                    <w:szCs w:val="21"/>
                    <w14:textFill>
                      <w14:solidFill>
                        <w14:schemeClr w14:val="tx1"/>
                      </w14:solidFill>
                    </w14:textFill>
                  </w:rPr>
                </m:ctrlPr>
              </m:e>
              <m:sub>
                <m:r>
                  <m:rPr>
                    <m:nor/>
                    <m:sty m:val="p"/>
                  </m:rPr>
                  <w:rPr>
                    <w:rFonts w:eastAsia="黑体" w:asciiTheme="majorHAnsi" w:hAnsiTheme="majorHAnsi" w:cstheme="minorEastAsia"/>
                    <w:b w:val="0"/>
                    <w:i w:val="0"/>
                    <w:color w:val="000000" w:themeColor="text1"/>
                    <w:szCs w:val="21"/>
                    <w14:textFill>
                      <w14:solidFill>
                        <w14:schemeClr w14:val="tx1"/>
                      </w14:solidFill>
                    </w14:textFill>
                  </w:rPr>
                  <m:t>s</m:t>
                </m:r>
                <m:ctrlPr>
                  <w:rPr>
                    <w:rFonts w:ascii="Cambria Math" w:hAnsi="Cambria Math" w:eastAsia="黑体" w:cstheme="minorEastAsia"/>
                    <w:i/>
                    <w:color w:val="000000" w:themeColor="text1"/>
                    <w:szCs w:val="21"/>
                    <w14:textFill>
                      <w14:solidFill>
                        <w14:schemeClr w14:val="tx1"/>
                      </w14:solidFill>
                    </w14:textFill>
                  </w:rPr>
                </m:ctrlPr>
              </m:sub>
            </m:sSub>
            <m:r>
              <m:rPr>
                <m:nor/>
                <m:sty m:val="p"/>
              </m:rPr>
              <w:rPr>
                <w:rFonts w:eastAsia="黑体" w:asciiTheme="majorHAnsi" w:hAnsiTheme="majorHAnsi" w:cstheme="minorEastAsia"/>
                <w:b w:val="0"/>
                <w:i w:val="0"/>
                <w:color w:val="000000" w:themeColor="text1"/>
                <w:szCs w:val="21"/>
                <w14:textFill>
                  <w14:solidFill>
                    <w14:schemeClr w14:val="tx1"/>
                  </w14:solidFill>
                </w14:textFill>
              </w:rPr>
              <m:t>+0.08</m:t>
            </m:r>
            <m:f>
              <m:fPr>
                <m:ctrlPr>
                  <w:rPr>
                    <w:rFonts w:ascii="Cambria Math" w:hAnsi="Cambria Math" w:eastAsia="黑体" w:cstheme="minorEastAsia"/>
                    <w:i/>
                    <w:color w:val="000000" w:themeColor="text1"/>
                    <w:szCs w:val="21"/>
                    <w14:textFill>
                      <w14:solidFill>
                        <w14:schemeClr w14:val="tx1"/>
                      </w14:solidFill>
                    </w14:textFill>
                  </w:rPr>
                </m:ctrlPr>
              </m:fPr>
              <m:num>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d</m:t>
                    </m:r>
                    <m:ctrlPr>
                      <w:rPr>
                        <w:rFonts w:ascii="Cambria Math" w:hAnsi="Cambria Math" w:eastAsia="黑体" w:cstheme="minorEastAsia"/>
                        <w:i/>
                        <w:color w:val="000000" w:themeColor="text1"/>
                        <w:szCs w:val="21"/>
                        <w14:textFill>
                          <w14:solidFill>
                            <w14:schemeClr w14:val="tx1"/>
                          </w14:solidFill>
                        </w14:textFill>
                      </w:rPr>
                    </m:ctrlPr>
                  </m:e>
                  <m:sub>
                    <m:r>
                      <m:rPr>
                        <m:nor/>
                        <m:sty m:val="p"/>
                      </m:rPr>
                      <w:rPr>
                        <w:rFonts w:eastAsia="黑体" w:asciiTheme="majorHAnsi" w:hAnsiTheme="majorHAnsi" w:cstheme="minorEastAsia"/>
                        <w:b w:val="0"/>
                        <w:i w:val="0"/>
                        <w:color w:val="000000" w:themeColor="text1"/>
                        <w:szCs w:val="21"/>
                        <w14:textFill>
                          <w14:solidFill>
                            <w14:schemeClr w14:val="tx1"/>
                          </w14:solidFill>
                        </w14:textFill>
                      </w:rPr>
                      <m:t>e</m:t>
                    </m:r>
                    <m:r>
                      <m:rPr>
                        <m:nor/>
                        <m:sty m:val="p"/>
                      </m:rPr>
                      <w:rPr>
                        <w:rFonts w:hint="eastAsia" w:ascii="Cambria Math" w:eastAsia="黑体" w:hAnsiTheme="majorHAnsi" w:cstheme="minorEastAsia"/>
                        <w:b w:val="0"/>
                        <w:i w:val="0"/>
                        <w:color w:val="000000" w:themeColor="text1"/>
                        <w:szCs w:val="21"/>
                        <w14:textFill>
                          <w14:solidFill>
                            <w14:schemeClr w14:val="tx1"/>
                          </w14:solidFill>
                        </w14:textFill>
                      </w:rPr>
                      <m:t>q</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num>
              <m:den>
                <m:sSub>
                  <m:sSubPr>
                    <m:ctrlPr>
                      <w:rPr>
                        <w:rFonts w:ascii="Cambria Math" w:hAnsi="Cambria Math" w:eastAsia="黑体" w:cstheme="minorEastAsia"/>
                        <w:i/>
                        <w:color w:val="000000" w:themeColor="text1"/>
                        <w:szCs w:val="21"/>
                        <w14:textFill>
                          <w14:solidFill>
                            <w14:schemeClr w14:val="tx1"/>
                          </w14:solidFill>
                        </w14:textFill>
                      </w:rPr>
                    </m:ctrlPr>
                  </m:sSubPr>
                  <m:e>
                    <m:r>
                      <m:rPr>
                        <m:nor/>
                        <m:sty m:val="p"/>
                      </m:rPr>
                      <w:rPr>
                        <w:rFonts w:eastAsia="黑体" w:asciiTheme="majorHAnsi" w:hAnsiTheme="majorHAnsi" w:cstheme="minorEastAsia"/>
                        <w:b w:val="0"/>
                        <w:i w:val="0"/>
                        <w:color w:val="000000" w:themeColor="text1"/>
                        <w:szCs w:val="21"/>
                        <w14:textFill>
                          <w14:solidFill>
                            <w14:schemeClr w14:val="tx1"/>
                          </w14:solidFill>
                        </w14:textFill>
                      </w:rPr>
                      <m:t>ρ</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te</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den>
            </m:f>
            <m:ctrlPr>
              <w:rPr>
                <w:rFonts w:ascii="Cambria Math" w:hAnsi="Cambria Math" w:eastAsia="黑体" w:cstheme="minorEastAsia"/>
                <w:i/>
                <w:color w:val="000000" w:themeColor="text1"/>
                <w:szCs w:val="21"/>
                <w14:textFill>
                  <w14:solidFill>
                    <w14:schemeClr w14:val="tx1"/>
                  </w14:solidFill>
                </w14:textFill>
              </w:rPr>
            </m:ctrlPr>
          </m:e>
        </m:d>
      </m:oMath>
      <w:r>
        <w:rPr>
          <w:rFonts w:hint="eastAsia" w:ascii="黑体" w:hAnsi="黑体" w:eastAsia="黑体" w:cstheme="minorEastAsia"/>
          <w:color w:val="000000" w:themeColor="text1"/>
          <w:sz w:val="18"/>
          <w:szCs w:val="18"/>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5.3.2-1</w:t>
      </w:r>
      <w:r>
        <w:rPr>
          <w:rFonts w:hint="eastAsia" w:ascii="黑体" w:hAnsi="黑体" w:eastAsia="黑体" w:cstheme="minorEastAsia"/>
          <w:color w:val="000000" w:themeColor="text1"/>
          <w:sz w:val="18"/>
          <w:szCs w:val="18"/>
          <w14:textFill>
            <w14:solidFill>
              <w14:schemeClr w14:val="tx1"/>
            </w14:solidFill>
          </w14:textFill>
        </w:rPr>
        <w:t>）</w:t>
      </w:r>
    </w:p>
    <w:p>
      <w:pPr>
        <w:ind w:firstLine="900" w:firstLineChars="500"/>
        <w:jc w:val="left"/>
        <w:rPr>
          <w:rFonts w:ascii="黑体" w:hAnsi="黑体" w:eastAsia="黑体" w:cstheme="minorEastAsia"/>
          <w:color w:val="000000" w:themeColor="text1"/>
          <w:sz w:val="18"/>
          <w:szCs w:val="18"/>
          <w14:textFill>
            <w14:solidFill>
              <w14:schemeClr w14:val="tx1"/>
            </w14:solidFill>
          </w14:textFill>
        </w:rPr>
      </w:pPr>
      <m:oMath>
        <m:r>
          <w:rPr>
            <w:rFonts w:ascii="Cambria Math" w:hAnsi="Cambria Math" w:eastAsia="黑体" w:cstheme="minorEastAsia"/>
            <w:color w:val="000000" w:themeColor="text1"/>
            <w:sz w:val="18"/>
            <w:szCs w:val="18"/>
            <w14:textFill>
              <w14:solidFill>
                <w14:schemeClr w14:val="tx1"/>
              </w14:solidFill>
            </w14:textFill>
          </w:rPr>
          <m:t xml:space="preserve"> </m:t>
        </m:r>
        <m:r>
          <w:rPr>
            <w:rFonts w:hint="eastAsia" w:ascii="Cambria Math" w:hAnsi="Cambria Math" w:eastAsia="黑体" w:cstheme="minorEastAsia"/>
            <w:color w:val="000000" w:themeColor="text1"/>
            <w:sz w:val="18"/>
            <w:szCs w:val="18"/>
            <w14:textFill>
              <w14:solidFill>
                <w14:schemeClr w14:val="tx1"/>
              </w14:solidFill>
            </w14:textFill>
          </w:rPr>
          <m:t>ψ=</m:t>
        </m:r>
        <m:r>
          <w:rPr>
            <w:rFonts w:ascii="Cambria Math" w:hAnsi="Cambria Math" w:eastAsia="黑体" w:cstheme="minorEastAsia"/>
            <w:color w:val="000000" w:themeColor="text1"/>
            <w:sz w:val="18"/>
            <w:szCs w:val="18"/>
            <w14:textFill>
              <w14:solidFill>
                <w14:schemeClr w14:val="tx1"/>
              </w14:solidFill>
            </w14:textFill>
          </w:rPr>
          <m:t>1.1</m:t>
        </m:r>
        <m:r>
          <m:rPr>
            <m:sty m:val="p"/>
          </m:rPr>
          <w:rPr>
            <w:rFonts w:ascii="Cambria Math" w:hAnsi="Cambria Math" w:eastAsia="黑体" w:cstheme="minorEastAsia"/>
            <w:color w:val="000000" w:themeColor="text1"/>
            <w:sz w:val="18"/>
            <w:szCs w:val="18"/>
            <w14:textFill>
              <w14:solidFill>
                <w14:schemeClr w14:val="tx1"/>
              </w14:solidFill>
            </w14:textFill>
          </w:rPr>
          <m:t>-0.65</m:t>
        </m:r>
        <m:f>
          <m:fPr>
            <m:ctrlPr>
              <w:rPr>
                <w:rFonts w:ascii="Cambria Math" w:hAnsi="Cambria Math" w:eastAsia="黑体" w:cstheme="minorEastAsia"/>
                <w:iCs/>
                <w:color w:val="000000" w:themeColor="text1"/>
                <w:sz w:val="18"/>
                <w:szCs w:val="18"/>
                <w14:textFill>
                  <w14:solidFill>
                    <w14:schemeClr w14:val="tx1"/>
                  </w14:solidFill>
                </w14:textFill>
              </w:rPr>
            </m:ctrlPr>
          </m:fPr>
          <m:num>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f</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tk</m:t>
                </m:r>
                <m:ctrlPr>
                  <w:rPr>
                    <w:rFonts w:ascii="Cambria Math" w:hAnsi="Cambria Math" w:eastAsia="黑体" w:cstheme="minorEastAsia"/>
                    <w:i/>
                    <w:iCs/>
                    <w:color w:val="000000" w:themeColor="text1"/>
                    <w:sz w:val="18"/>
                    <w:szCs w:val="18"/>
                    <w14:textFill>
                      <w14:solidFill>
                        <w14:schemeClr w14:val="tx1"/>
                      </w14:solidFill>
                    </w14:textFill>
                  </w:rPr>
                </m:ctrlPr>
              </m:sub>
            </m:sSub>
            <m:ctrlPr>
              <w:rPr>
                <w:rFonts w:ascii="Cambria Math" w:hAnsi="Cambria Math" w:eastAsia="黑体" w:cstheme="minorEastAsia"/>
                <w:iCs/>
                <w:color w:val="000000" w:themeColor="text1"/>
                <w:sz w:val="18"/>
                <w:szCs w:val="18"/>
                <w14:textFill>
                  <w14:solidFill>
                    <w14:schemeClr w14:val="tx1"/>
                  </w14:solidFill>
                </w14:textFill>
              </w:rPr>
            </m:ctrlPr>
          </m:num>
          <m:den>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ρ</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iCs/>
                    <w:color w:val="000000" w:themeColor="text1"/>
                    <w:sz w:val="18"/>
                    <w:szCs w:val="18"/>
                    <w14:textFill>
                      <w14:solidFill>
                        <w14:schemeClr w14:val="tx1"/>
                      </w14:solidFill>
                    </w14:textFill>
                  </w:rPr>
                </m:ctrlPr>
              </m:sub>
            </m:sSub>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σ</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s</m:t>
                </m:r>
                <m:ctrlPr>
                  <w:rPr>
                    <w:rFonts w:ascii="Cambria Math" w:hAnsi="Cambria Math" w:eastAsia="黑体" w:cstheme="minorEastAsia"/>
                    <w:i/>
                    <w:iCs/>
                    <w:color w:val="000000" w:themeColor="text1"/>
                    <w:sz w:val="18"/>
                    <w:szCs w:val="18"/>
                    <w14:textFill>
                      <w14:solidFill>
                        <w14:schemeClr w14:val="tx1"/>
                      </w14:solidFill>
                    </w14:textFill>
                  </w:rPr>
                </m:ctrlPr>
              </m:sub>
            </m:sSub>
            <m:ctrlPr>
              <w:rPr>
                <w:rFonts w:ascii="Cambria Math" w:hAnsi="Cambria Math" w:eastAsia="黑体" w:cstheme="minorEastAsia"/>
                <w:iCs/>
                <w:color w:val="000000" w:themeColor="text1"/>
                <w:sz w:val="18"/>
                <w:szCs w:val="18"/>
                <w14:textFill>
                  <w14:solidFill>
                    <w14:schemeClr w14:val="tx1"/>
                  </w14:solidFill>
                </w14:textFill>
              </w:rPr>
            </m:ctrlPr>
          </m:den>
        </m:f>
      </m:oMath>
      <w:r>
        <w:rPr>
          <w:rFonts w:hint="eastAsia" w:ascii="黑体" w:hAnsi="黑体" w:eastAsia="黑体" w:cstheme="minorEastAsia"/>
          <w:iCs/>
          <w:color w:val="000000" w:themeColor="text1"/>
          <w:sz w:val="18"/>
          <w:szCs w:val="18"/>
          <w14:textFill>
            <w14:solidFill>
              <w14:schemeClr w14:val="tx1"/>
            </w14:solidFill>
          </w14:textFill>
        </w:rPr>
        <w:t xml:space="preserve"> </w:t>
      </w:r>
      <w:r>
        <w:rPr>
          <w:rFonts w:ascii="黑体" w:hAnsi="黑体" w:eastAsia="黑体" w:cstheme="minorEastAsia"/>
          <w:iCs/>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5.3.2-2</w:t>
      </w:r>
      <w:r>
        <w:rPr>
          <w:rFonts w:hint="eastAsia" w:ascii="黑体" w:hAnsi="黑体" w:eastAsia="黑体" w:cstheme="minorEastAsia"/>
          <w:color w:val="000000" w:themeColor="text1"/>
          <w:sz w:val="18"/>
          <w:szCs w:val="18"/>
          <w14:textFill>
            <w14:solidFill>
              <w14:schemeClr w14:val="tx1"/>
            </w14:solidFill>
          </w14:textFill>
        </w:rPr>
        <w:t>）</w:t>
      </w:r>
    </w:p>
    <w:p>
      <w:pPr>
        <w:ind w:firstLine="1260" w:firstLineChars="600"/>
        <w:jc w:val="left"/>
        <w:rPr>
          <w:rFonts w:ascii="黑体" w:hAnsi="黑体" w:eastAsia="黑体" w:cstheme="minorEastAsia"/>
          <w:color w:val="000000" w:themeColor="text1"/>
          <w:sz w:val="18"/>
          <w:szCs w:val="18"/>
          <w14:textFill>
            <w14:solidFill>
              <w14:schemeClr w14:val="tx1"/>
            </w14:solidFill>
          </w14:textFill>
        </w:rPr>
      </w:pPr>
      <m:oMath>
        <m:sSub>
          <m:sSubPr>
            <m:ctrlPr>
              <w:rPr>
                <w:rFonts w:ascii="Cambria Math" w:hAnsi="Cambria Math" w:eastAsia="黑体" w:cstheme="minorEastAsia"/>
                <w:i/>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eq</m:t>
            </m:r>
            <m:ctrlPr>
              <w:rPr>
                <w:rFonts w:ascii="Cambria Math" w:hAnsi="Cambria Math" w:eastAsia="黑体" w:cstheme="minorEastAsia"/>
                <w:i/>
                <w:iCs/>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f>
          <m:fPr>
            <m:ctrlPr>
              <w:rPr>
                <w:rFonts w:ascii="Cambria Math" w:hAnsi="Cambria Math" w:eastAsia="黑体" w:cstheme="minorEastAsia"/>
                <w:color w:val="000000" w:themeColor="text1"/>
                <w:szCs w:val="21"/>
                <w14:textFill>
                  <w14:solidFill>
                    <w14:schemeClr w14:val="tx1"/>
                  </w14:solidFill>
                </w14:textFill>
              </w:rPr>
            </m:ctrlPr>
          </m:fPr>
          <m:num>
            <m:r>
              <w:rPr>
                <w:rFonts w:ascii="Cambria Math" w:hAnsi="Cambria Math" w:eastAsia="黑体" w:cstheme="minorEastAsia"/>
                <w:color w:val="000000" w:themeColor="text1"/>
                <w:szCs w:val="21"/>
                <w14:textFill>
                  <w14:solidFill>
                    <w14:schemeClr w14:val="tx1"/>
                  </w14:solidFill>
                </w14:textFill>
              </w:rPr>
              <m:t>∑</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n</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i</m:t>
                </m:r>
                <m:ctrlPr>
                  <w:rPr>
                    <w:rFonts w:ascii="Cambria Math" w:hAnsi="Cambria Math" w:eastAsia="黑体" w:cstheme="minorEastAsia"/>
                    <w:i/>
                    <w:color w:val="000000" w:themeColor="text1"/>
                    <w:szCs w:val="21"/>
                    <w14:textFill>
                      <w14:solidFill>
                        <w14:schemeClr w14:val="tx1"/>
                      </w14:solidFill>
                    </w14:textFill>
                  </w:rPr>
                </m:ctrlPr>
              </m:sub>
            </m:sSub>
            <m:sSubSup>
              <m:sSubSupPr>
                <m:ctrlPr>
                  <w:rPr>
                    <w:rFonts w:ascii="Cambria Math" w:hAnsi="Cambria Math" w:eastAsia="黑体" w:cstheme="minorEastAsia"/>
                    <w:i/>
                    <w:color w:val="000000" w:themeColor="text1"/>
                    <w:szCs w:val="21"/>
                    <w14:textFill>
                      <w14:solidFill>
                        <w14:schemeClr w14:val="tx1"/>
                      </w14:solidFill>
                    </w14:textFill>
                  </w:rPr>
                </m:ctrlPr>
              </m:sSubSup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i</m:t>
                </m:r>
                <m:ctrlPr>
                  <w:rPr>
                    <w:rFonts w:ascii="Cambria Math" w:hAnsi="Cambria Math" w:eastAsia="黑体" w:cstheme="minorEastAsia"/>
                    <w:i/>
                    <w:color w:val="000000" w:themeColor="text1"/>
                    <w:szCs w:val="21"/>
                    <w14:textFill>
                      <w14:solidFill>
                        <w14:schemeClr w14:val="tx1"/>
                      </w14:solidFill>
                    </w14:textFill>
                  </w:rPr>
                </m:ctrlPr>
              </m:sub>
              <m:sup>
                <m:r>
                  <w:rPr>
                    <w:rFonts w:ascii="Cambria Math" w:hAnsi="Cambria Math" w:eastAsia="黑体" w:cstheme="minorEastAsia"/>
                    <w:color w:val="000000" w:themeColor="text1"/>
                    <w:szCs w:val="21"/>
                    <w14:textFill>
                      <w14:solidFill>
                        <w14:schemeClr w14:val="tx1"/>
                      </w14:solidFill>
                    </w14:textFill>
                  </w:rPr>
                  <m:t>2</m:t>
                </m:r>
                <m:ctrlPr>
                  <w:rPr>
                    <w:rFonts w:ascii="Cambria Math" w:hAnsi="Cambria Math" w:eastAsia="黑体" w:cstheme="minorEastAsia"/>
                    <w:i/>
                    <w:color w:val="000000" w:themeColor="text1"/>
                    <w:szCs w:val="21"/>
                    <w14:textFill>
                      <w14:solidFill>
                        <w14:schemeClr w14:val="tx1"/>
                      </w14:solidFill>
                    </w14:textFill>
                  </w:rPr>
                </m:ctrlPr>
              </m:sup>
            </m:sSubSup>
            <m:r>
              <w:rPr>
                <w:rFonts w:ascii="Cambria Math" w:hAnsi="Cambria Math" w:eastAsia="黑体" w:cstheme="minorEastAsia"/>
                <w:color w:val="000000" w:themeColor="text1"/>
                <w:szCs w:val="21"/>
                <w14:textFill>
                  <w14:solidFill>
                    <w14:schemeClr w14:val="tx1"/>
                  </w14:solidFill>
                </w14:textFill>
              </w:rPr>
              <m:t>+ 2</m:t>
            </m:r>
            <m:sSubSup>
              <m:sSubSupPr>
                <m:ctrlPr>
                  <w:rPr>
                    <w:rFonts w:ascii="Cambria Math" w:hAnsi="Cambria Math" w:eastAsia="黑体" w:cstheme="minorEastAsia"/>
                    <w:i/>
                    <w:color w:val="000000" w:themeColor="text1"/>
                    <w:szCs w:val="21"/>
                    <w14:textFill>
                      <w14:solidFill>
                        <w14:schemeClr w14:val="tx1"/>
                      </w14:solidFill>
                    </w14:textFill>
                  </w:rPr>
                </m:ctrlPr>
              </m:sSubSup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1u</m:t>
                </m:r>
                <m:ctrlPr>
                  <w:rPr>
                    <w:rFonts w:ascii="Cambria Math" w:hAnsi="Cambria Math" w:eastAsia="黑体" w:cstheme="minorEastAsia"/>
                    <w:i/>
                    <w:color w:val="000000" w:themeColor="text1"/>
                    <w:szCs w:val="21"/>
                    <w14:textFill>
                      <w14:solidFill>
                        <w14:schemeClr w14:val="tx1"/>
                      </w14:solidFill>
                    </w14:textFill>
                  </w:rPr>
                </m:ctrlPr>
              </m:sub>
              <m:sup>
                <m:r>
                  <w:rPr>
                    <w:rFonts w:ascii="Cambria Math" w:hAnsi="Cambria Math" w:eastAsia="黑体" w:cstheme="minorEastAsia"/>
                    <w:color w:val="000000" w:themeColor="text1"/>
                    <w:szCs w:val="21"/>
                    <w14:textFill>
                      <w14:solidFill>
                        <w14:schemeClr w14:val="tx1"/>
                      </w14:solidFill>
                    </w14:textFill>
                  </w:rPr>
                  <m:t>2</m:t>
                </m:r>
                <m:ctrlPr>
                  <w:rPr>
                    <w:rFonts w:ascii="Cambria Math" w:hAnsi="Cambria Math" w:eastAsia="黑体" w:cstheme="minorEastAsia"/>
                    <w:i/>
                    <w:color w:val="000000" w:themeColor="text1"/>
                    <w:szCs w:val="21"/>
                    <w14:textFill>
                      <w14:solidFill>
                        <w14:schemeClr w14:val="tx1"/>
                      </w14:solidFill>
                    </w14:textFill>
                  </w:rPr>
                </m:ctrlPr>
              </m:sup>
            </m:sSubSup>
            <m:r>
              <w:rPr>
                <w:rFonts w:ascii="Cambria Math" w:hAnsi="Cambria Math" w:eastAsia="黑体" w:cstheme="minorEastAsia"/>
                <w:color w:val="000000" w:themeColor="text1"/>
                <w:szCs w:val="21"/>
                <w14:textFill>
                  <w14:solidFill>
                    <w14:schemeClr w14:val="tx1"/>
                  </w14:solidFill>
                </w14:textFill>
              </w:rPr>
              <m:t xml:space="preserve">       </m:t>
            </m:r>
            <m:ctrlPr>
              <w:rPr>
                <w:rFonts w:ascii="Cambria Math" w:hAnsi="Cambria Math" w:eastAsia="黑体" w:cstheme="minorEastAsia"/>
                <w:color w:val="000000" w:themeColor="text1"/>
                <w:szCs w:val="21"/>
                <w14:textFill>
                  <w14:solidFill>
                    <w14:schemeClr w14:val="tx1"/>
                  </w14:solidFill>
                </w14:textFill>
              </w:rPr>
            </m:ctrlPr>
          </m:num>
          <m:den>
            <m:r>
              <w:rPr>
                <w:rFonts w:ascii="Cambria Math" w:hAnsi="Cambria Math" w:eastAsia="黑体" w:cstheme="minorEastAsia"/>
                <w:color w:val="000000" w:themeColor="text1"/>
                <w:szCs w:val="21"/>
                <w14:textFill>
                  <w14:solidFill>
                    <w14:schemeClr w14:val="tx1"/>
                  </w14:solidFill>
                </w14:textFill>
              </w:rPr>
              <m:t>∑</m:t>
            </m:r>
            <m:sSub>
              <m:sSubPr>
                <m:ctrlPr>
                  <w:rPr>
                    <w:rFonts w:ascii="Cambria Math" w:hAnsi="Cambria Math" w:eastAsia="黑体" w:cstheme="minorEastAsia"/>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n</m:t>
                </m:r>
                <m:ctrlPr>
                  <w:rPr>
                    <w:rFonts w:ascii="Cambria Math" w:hAnsi="Cambria Math" w:eastAsia="黑体" w:cstheme="minorEastAsia"/>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i</m:t>
                </m:r>
                <m:ctrlPr>
                  <w:rPr>
                    <w:rFonts w:ascii="Cambria Math" w:hAnsi="Cambria Math" w:eastAsia="黑体" w:cstheme="minorEastAsia"/>
                    <w:iCs/>
                    <w:color w:val="000000" w:themeColor="text1"/>
                    <w:szCs w:val="21"/>
                    <w14:textFill>
                      <w14:solidFill>
                        <w14:schemeClr w14:val="tx1"/>
                      </w14:solidFill>
                    </w14:textFill>
                  </w:rPr>
                </m:ctrlPr>
              </m:sub>
            </m:sSub>
            <m:sSub>
              <m:sSubPr>
                <m:ctrlPr>
                  <w:rPr>
                    <w:rFonts w:ascii="Cambria Math" w:hAnsi="Cambria Math" w:eastAsia="黑体" w:cstheme="minorEastAsia"/>
                    <w:i/>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ν</m:t>
                </m:r>
                <m:ctrlPr>
                  <w:rPr>
                    <w:rFonts w:ascii="Cambria Math" w:hAnsi="Cambria Math" w:eastAsia="黑体" w:cstheme="minorEastAsia"/>
                    <w:i/>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i</m:t>
                </m:r>
                <m:ctrlPr>
                  <w:rPr>
                    <w:rFonts w:ascii="Cambria Math" w:hAnsi="Cambria Math" w:eastAsia="黑体" w:cstheme="minorEastAsia"/>
                    <w:i/>
                    <w:iCs/>
                    <w:color w:val="000000" w:themeColor="text1"/>
                    <w:szCs w:val="21"/>
                    <w14:textFill>
                      <w14:solidFill>
                        <w14:schemeClr w14:val="tx1"/>
                      </w14:solidFill>
                    </w14:textFill>
                  </w:rPr>
                </m:ctrlPr>
              </m:sub>
            </m:sSub>
            <m:sSub>
              <m:sSubPr>
                <m:ctrlPr>
                  <w:rPr>
                    <w:rFonts w:ascii="Cambria Math" w:hAnsi="Cambria Math" w:eastAsia="黑体" w:cstheme="minorEastAsia"/>
                    <w:i/>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i</m:t>
                </m:r>
                <m:ctrlPr>
                  <w:rPr>
                    <w:rFonts w:ascii="Cambria Math" w:hAnsi="Cambria Math" w:eastAsia="黑体" w:cstheme="minorEastAsia"/>
                    <w:i/>
                    <w:iCs/>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r>
              <m:rPr>
                <m:sty m:val="p"/>
              </m:rPr>
              <w:rPr>
                <w:rFonts w:ascii="Cambria Math" w:hAnsi="Cambria Math" w:eastAsia="黑体" w:cstheme="minorEastAsia"/>
                <w:color w:val="000000" w:themeColor="text1"/>
                <w:szCs w:val="21"/>
                <w14:textFill>
                  <w14:solidFill>
                    <w14:schemeClr w14:val="tx1"/>
                  </w14:solidFill>
                </w14:textFill>
              </w:rPr>
              <m:t>2</m:t>
            </m:r>
            <m:sSub>
              <m:sSubPr>
                <m:ctrlPr>
                  <w:rPr>
                    <w:rFonts w:ascii="Cambria Math" w:hAnsi="Cambria Math" w:eastAsia="黑体" w:cstheme="minorEastAsia"/>
                    <w:i/>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ν</m:t>
                </m:r>
                <m:ctrlPr>
                  <w:rPr>
                    <w:rFonts w:ascii="Cambria Math" w:hAnsi="Cambria Math" w:eastAsia="黑体" w:cstheme="minorEastAsia"/>
                    <w:i/>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1u</m:t>
                </m:r>
                <m:ctrlPr>
                  <w:rPr>
                    <w:rFonts w:ascii="Cambria Math" w:hAnsi="Cambria Math" w:eastAsia="黑体" w:cstheme="minorEastAsia"/>
                    <w:i/>
                    <w:iCs/>
                    <w:color w:val="000000" w:themeColor="text1"/>
                    <w:szCs w:val="21"/>
                    <w14:textFill>
                      <w14:solidFill>
                        <w14:schemeClr w14:val="tx1"/>
                      </w14:solidFill>
                    </w14:textFill>
                  </w:rPr>
                </m:ctrlPr>
              </m:sub>
            </m:sSub>
            <m:sSub>
              <m:sSubPr>
                <m:ctrlPr>
                  <w:rPr>
                    <w:rFonts w:ascii="Cambria Math" w:hAnsi="Cambria Math" w:eastAsia="黑体" w:cstheme="minorEastAsia"/>
                    <w:i/>
                    <w:iCs/>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iCs/>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1u</m:t>
                </m:r>
                <m:ctrlPr>
                  <w:rPr>
                    <w:rFonts w:ascii="Cambria Math" w:hAnsi="Cambria Math" w:eastAsia="黑体" w:cstheme="minorEastAsia"/>
                    <w:i/>
                    <w:iCs/>
                    <w:color w:val="000000" w:themeColor="text1"/>
                    <w:szCs w:val="21"/>
                    <w14:textFill>
                      <w14:solidFill>
                        <w14:schemeClr w14:val="tx1"/>
                      </w14:solidFill>
                    </w14:textFill>
                  </w:rPr>
                </m:ctrlPr>
              </m:sub>
            </m:sSub>
            <m:ctrlPr>
              <w:rPr>
                <w:rFonts w:ascii="Cambria Math" w:hAnsi="Cambria Math" w:eastAsia="黑体" w:cstheme="minorEastAsia"/>
                <w:color w:val="000000" w:themeColor="text1"/>
                <w:szCs w:val="21"/>
                <w14:textFill>
                  <w14:solidFill>
                    <w14:schemeClr w14:val="tx1"/>
                  </w14:solidFill>
                </w14:textFill>
              </w:rPr>
            </m:ctrlPr>
          </m:den>
        </m:f>
      </m:oMath>
      <w:r>
        <w:rPr>
          <w:rFonts w:hint="eastAsia" w:ascii="黑体" w:hAnsi="黑体" w:eastAsia="黑体" w:cstheme="minorEastAsia"/>
          <w:color w:val="000000" w:themeColor="text1"/>
          <w:sz w:val="18"/>
          <w:szCs w:val="18"/>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5.3.2-3</w:t>
      </w:r>
      <w:r>
        <w:rPr>
          <w:rFonts w:hint="eastAsia" w:ascii="黑体" w:hAnsi="黑体" w:eastAsia="黑体" w:cstheme="minorEastAsia"/>
          <w:color w:val="000000" w:themeColor="text1"/>
          <w:sz w:val="18"/>
          <w:szCs w:val="18"/>
          <w14:textFill>
            <w14:solidFill>
              <w14:schemeClr w14:val="tx1"/>
            </w14:solidFill>
          </w14:textFill>
        </w:rPr>
        <w:t>）</w:t>
      </w:r>
    </w:p>
    <w:p>
      <w:pPr>
        <w:jc w:val="left"/>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d</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1u</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(b</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u</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t</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u</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r>
          <w:rPr>
            <w:rFonts w:hint="eastAsia" w:ascii="Cambria Math" w:hAnsi="Cambria Math" w:eastAsia="黑体" w:cstheme="minorEastAsia"/>
            <w:color w:val="000000" w:themeColor="text1"/>
            <w:szCs w:val="21"/>
            <w14:textFill>
              <w14:solidFill>
                <w14:schemeClr w14:val="tx1"/>
              </w14:solidFill>
            </w14:textFill>
          </w:rPr>
          <m:t>π</m:t>
        </m:r>
      </m:oMath>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5.3.2-4</w:t>
      </w:r>
      <w:r>
        <w:rPr>
          <w:rFonts w:hint="eastAsia" w:ascii="黑体" w:hAnsi="黑体" w:eastAsia="黑体" w:cstheme="minorEastAsia"/>
          <w:color w:val="000000" w:themeColor="text1"/>
          <w:sz w:val="18"/>
          <w:szCs w:val="18"/>
          <w14:textFill>
            <w14:solidFill>
              <w14:schemeClr w14:val="tx1"/>
            </w14:solidFill>
          </w14:textFill>
        </w:rPr>
        <w:t>）</w:t>
      </w:r>
    </w:p>
    <w:p>
      <w:pPr>
        <w:ind w:firstLine="1260" w:firstLineChars="600"/>
        <w:jc w:val="left"/>
        <w:rPr>
          <w:rFonts w:ascii="黑体" w:hAnsi="黑体" w:eastAsia="黑体" w:cstheme="minorEastAsia"/>
          <w:color w:val="000000" w:themeColor="text1"/>
          <w:szCs w:val="21"/>
          <w14:textFill>
            <w14:solidFill>
              <w14:schemeClr w14:val="tx1"/>
            </w14:solidFill>
          </w14:textFill>
        </w:rPr>
      </w:pPr>
      <m:oMath>
        <m:r>
          <w:rPr>
            <w:rFonts w:ascii="Cambria Math" w:hAnsi="Cambria Math" w:eastAsia="黑体" w:cstheme="minorEastAsia"/>
            <w:color w:val="000000" w:themeColor="text1"/>
            <w:szCs w:val="21"/>
            <w14:textFill>
              <w14:solidFill>
                <w14:schemeClr w14:val="tx1"/>
              </w14:solidFill>
            </w14:textFill>
          </w:rPr>
          <m:t xml:space="preserve"> </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hint="eastAsia" w:ascii="Cambria Math" w:hAnsi="Cambria Math" w:eastAsia="黑体" w:cstheme="minorEastAsia"/>
                <w:color w:val="000000" w:themeColor="text1"/>
                <w:szCs w:val="21"/>
                <w14:textFill>
                  <w14:solidFill>
                    <w14:schemeClr w14:val="tx1"/>
                  </w14:solidFill>
                </w14:textFill>
              </w:rPr>
              <m:t>ρ</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te</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f>
          <m:fPr>
            <m:ctrlPr>
              <w:rPr>
                <w:rFonts w:ascii="Cambria Math" w:hAnsi="Cambria Math" w:eastAsia="黑体" w:cstheme="minorEastAsia"/>
                <w:i/>
                <w:color w:val="000000" w:themeColor="text1"/>
                <w:szCs w:val="21"/>
                <w14:textFill>
                  <w14:solidFill>
                    <w14:schemeClr w14:val="tx1"/>
                  </w14:solidFill>
                </w14:textFill>
              </w:rPr>
            </m:ctrlPr>
          </m:fPr>
          <m:num>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A</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s</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A</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p</m:t>
                </m:r>
                <m:ctrlPr>
                  <w:rPr>
                    <w:rFonts w:ascii="Cambria Math" w:hAnsi="Cambria Math" w:eastAsia="黑体" w:cstheme="minorEastAsia"/>
                    <w:i/>
                    <w:color w:val="000000" w:themeColor="text1"/>
                    <w:szCs w:val="21"/>
                    <w14:textFill>
                      <w14:solidFill>
                        <w14:schemeClr w14:val="tx1"/>
                      </w14:solidFill>
                    </w14:textFill>
                  </w:rPr>
                </m:ctrlPr>
              </m:sub>
            </m:sSub>
            <m:r>
              <w:rPr>
                <w:rFonts w:ascii="Cambria Math" w:hAnsi="Cambria Math" w:eastAsia="黑体" w:cstheme="minorEastAsia"/>
                <w:color w:val="000000" w:themeColor="text1"/>
                <w:szCs w:val="21"/>
                <w14:textFill>
                  <w14:solidFill>
                    <w14:schemeClr w14:val="tx1"/>
                  </w14:solidFill>
                </w14:textFill>
              </w:rPr>
              <m:t>+2</m:t>
            </m:r>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b</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u</m:t>
                </m:r>
                <m:ctrlPr>
                  <w:rPr>
                    <w:rFonts w:ascii="Cambria Math" w:hAnsi="Cambria Math" w:eastAsia="黑体" w:cstheme="minorEastAsia"/>
                    <w:i/>
                    <w:color w:val="000000" w:themeColor="text1"/>
                    <w:szCs w:val="21"/>
                    <w14:textFill>
                      <w14:solidFill>
                        <w14:schemeClr w14:val="tx1"/>
                      </w14:solidFill>
                    </w14:textFill>
                  </w:rPr>
                </m:ctrlPr>
              </m:sub>
            </m:sSub>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t</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u</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num>
          <m:den>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A</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te</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den>
        </m:f>
      </m:oMath>
      <w:r>
        <w:rPr>
          <w:rFonts w:hint="eastAsia" w:ascii="黑体" w:hAnsi="黑体" w:eastAsia="黑体" w:cstheme="minorEastAsia"/>
          <w:color w:val="000000" w:themeColor="text1"/>
          <w:sz w:val="18"/>
          <w:szCs w:val="18"/>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               </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5.3.2-5</w:t>
      </w:r>
      <w:r>
        <w:rPr>
          <w:rFonts w:hint="eastAsia" w:ascii="黑体" w:hAnsi="黑体" w:eastAsia="黑体" w:cstheme="minorEastAsia"/>
          <w:color w:val="000000" w:themeColor="text1"/>
          <w:sz w:val="18"/>
          <w:szCs w:val="18"/>
          <w14:textFill>
            <w14:solidFill>
              <w14:schemeClr w14:val="tx1"/>
            </w14:solidFill>
          </w14:textFill>
        </w:rPr>
        <w:t>）</w:t>
      </w:r>
    </w:p>
    <w:p>
      <w:pPr>
        <w:ind w:left="1260" w:hanging="1260" w:hangingChars="6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cr</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——构件受力特征系数，无预应力甲壳梁取为1</w:t>
      </w:r>
      <w:r>
        <w:rPr>
          <w:rFonts w:asciiTheme="minorEastAsia" w:hAnsiTheme="minorEastAsia" w:cstheme="minorEastAsia"/>
          <w:color w:val="000000" w:themeColor="text1"/>
          <w:szCs w:val="21"/>
          <w14:textFill>
            <w14:solidFill>
              <w14:schemeClr w14:val="tx1"/>
            </w14:solidFill>
          </w14:textFill>
        </w:rPr>
        <w:t>.9</w:t>
      </w:r>
      <w:r>
        <w:rPr>
          <w:rFonts w:hint="eastAsia" w:asciiTheme="minorEastAsia" w:hAnsiTheme="minorEastAsia" w:cstheme="minorEastAsia"/>
          <w:color w:val="000000" w:themeColor="text1"/>
          <w:szCs w:val="21"/>
          <w14:textFill>
            <w14:solidFill>
              <w14:schemeClr w14:val="tx1"/>
            </w14:solidFill>
          </w14:textFill>
        </w:rPr>
        <w:t>，有预应力甲壳梁取为1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w:t>
      </w:r>
    </w:p>
    <w:p>
      <w:pPr>
        <w:ind w:firstLine="720" w:firstLineChars="400"/>
        <w:jc w:val="left"/>
        <w:rPr>
          <w:rFonts w:asciiTheme="minorEastAsia" w:hAnsiTheme="minorEastAsia" w:cstheme="minorEastAsia"/>
          <w:color w:val="000000" w:themeColor="text1"/>
          <w:sz w:val="18"/>
          <w:szCs w:val="18"/>
          <w14:textFill>
            <w14:solidFill>
              <w14:schemeClr w14:val="tx1"/>
            </w14:solidFill>
          </w14:textFill>
        </w:rPr>
      </w:pPr>
      <m:oMath>
        <m:r>
          <w:rPr>
            <w:rFonts w:hint="eastAsia" w:ascii="Cambria Math" w:hAnsi="Cambria Math" w:eastAsia="黑体" w:cstheme="minorEastAsia"/>
            <w:color w:val="000000" w:themeColor="text1"/>
            <w:sz w:val="18"/>
            <w:szCs w:val="18"/>
            <w14:textFill>
              <w14:solidFill>
                <w14:schemeClr w14:val="tx1"/>
              </w14:solidFill>
            </w14:textFill>
          </w:rPr>
          <m:t>ψ</m:t>
        </m:r>
      </m:oMath>
      <w:r>
        <w:rPr>
          <w:rFonts w:hint="eastAsia" w:asciiTheme="minorEastAsia" w:hAnsiTheme="minorEastAsia" w:cstheme="minorEastAsia"/>
          <w:color w:val="000000" w:themeColor="text1"/>
          <w:sz w:val="18"/>
          <w:szCs w:val="18"/>
          <w14:textFill>
            <w14:solidFill>
              <w14:schemeClr w14:val="tx1"/>
            </w14:solidFill>
          </w14:textFill>
        </w:rPr>
        <w:t>——裂缝间纵向受拉钢筋应变不均匀系数：当</w:t>
      </w:r>
      <m:oMath>
        <m:r>
          <w:rPr>
            <w:rFonts w:hint="eastAsia" w:ascii="Cambria Math" w:hAnsi="Cambria Math" w:eastAsia="黑体" w:cstheme="minorEastAsia"/>
            <w:color w:val="000000" w:themeColor="text1"/>
            <w:sz w:val="18"/>
            <w:szCs w:val="18"/>
            <w14:textFill>
              <w14:solidFill>
                <w14:schemeClr w14:val="tx1"/>
              </w14:solidFill>
            </w14:textFill>
          </w:rPr>
          <m:t>ψ</m:t>
        </m:r>
      </m:oMath>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.2</w:t>
      </w:r>
      <w:r>
        <w:rPr>
          <w:rFonts w:hint="eastAsia" w:asciiTheme="minorEastAsia" w:hAnsiTheme="minorEastAsia" w:cstheme="minorEastAsia"/>
          <w:color w:val="000000" w:themeColor="text1"/>
          <w:sz w:val="18"/>
          <w:szCs w:val="18"/>
          <w14:textFill>
            <w14:solidFill>
              <w14:schemeClr w14:val="tx1"/>
            </w14:solidFill>
          </w14:textFill>
        </w:rPr>
        <w:t>时，取0</w:t>
      </w:r>
      <w:r>
        <w:rPr>
          <w:rFonts w:asciiTheme="minorEastAsia" w:hAnsiTheme="minorEastAsia" w:cstheme="minorEastAsia"/>
          <w:color w:val="000000" w:themeColor="text1"/>
          <w:sz w:val="18"/>
          <w:szCs w:val="18"/>
          <w14:textFill>
            <w14:solidFill>
              <w14:schemeClr w14:val="tx1"/>
            </w14:solidFill>
          </w14:textFill>
        </w:rPr>
        <w:t>.2</w:t>
      </w:r>
      <w:r>
        <w:rPr>
          <w:rFonts w:hint="eastAsia" w:asciiTheme="minorEastAsia" w:hAnsiTheme="minorEastAsia" w:cstheme="minorEastAsia"/>
          <w:color w:val="000000" w:themeColor="text1"/>
          <w:sz w:val="18"/>
          <w:szCs w:val="18"/>
          <w14:textFill>
            <w14:solidFill>
              <w14:schemeClr w14:val="tx1"/>
            </w14:solidFill>
          </w14:textFill>
        </w:rPr>
        <w:t>；</w:t>
      </w:r>
    </w:p>
    <w:p>
      <w:pPr>
        <w:ind w:firstLine="1260" w:firstLineChars="7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当</w:t>
      </w:r>
      <m:oMath>
        <m:r>
          <w:rPr>
            <w:rFonts w:hint="eastAsia" w:ascii="Cambria Math" w:hAnsi="Cambria Math" w:eastAsia="黑体" w:cstheme="minorEastAsia"/>
            <w:color w:val="000000" w:themeColor="text1"/>
            <w:sz w:val="18"/>
            <w:szCs w:val="18"/>
            <w14:textFill>
              <w14:solidFill>
                <w14:schemeClr w14:val="tx1"/>
              </w14:solidFill>
            </w14:textFill>
          </w:rPr>
          <m:t>ψ</m:t>
        </m:r>
      </m:oMath>
      <w:r>
        <w:rPr>
          <w:rFonts w:hint="eastAsia" w:asciiTheme="minorEastAsia" w:hAnsiTheme="minorEastAsia" w:cstheme="minorEastAsia"/>
          <w:color w:val="000000" w:themeColor="text1"/>
          <w:sz w:val="18"/>
          <w:szCs w:val="18"/>
          <w14:textFill>
            <w14:solidFill>
              <w14:schemeClr w14:val="tx1"/>
            </w14:solidFill>
          </w14:textFill>
        </w:rPr>
        <w:t>＞1</w:t>
      </w:r>
      <w:r>
        <w:rPr>
          <w:rFonts w:asciiTheme="minorEastAsia" w:hAnsiTheme="minorEastAsia" w:cstheme="minorEastAsia"/>
          <w:color w:val="000000" w:themeColor="text1"/>
          <w:sz w:val="18"/>
          <w:szCs w:val="18"/>
          <w14:textFill>
            <w14:solidFill>
              <w14:schemeClr w14:val="tx1"/>
            </w14:solidFill>
          </w14:textFill>
        </w:rPr>
        <w:t>.0</w:t>
      </w:r>
      <w:r>
        <w:rPr>
          <w:rFonts w:hint="eastAsia" w:asciiTheme="minorEastAsia" w:hAnsiTheme="minorEastAsia" w:cstheme="minorEastAsia"/>
          <w:color w:val="000000" w:themeColor="text1"/>
          <w:sz w:val="18"/>
          <w:szCs w:val="18"/>
          <w14:textFill>
            <w14:solidFill>
              <w14:schemeClr w14:val="tx1"/>
            </w14:solidFill>
          </w14:textFill>
        </w:rPr>
        <w:t>时，取1</w:t>
      </w:r>
      <w:r>
        <w:rPr>
          <w:rFonts w:asciiTheme="minorEastAsia" w:hAnsiTheme="minorEastAsia" w:cstheme="minorEastAsia"/>
          <w:color w:val="000000" w:themeColor="text1"/>
          <w:sz w:val="18"/>
          <w:szCs w:val="18"/>
          <w14:textFill>
            <w14:solidFill>
              <w14:schemeClr w14:val="tx1"/>
            </w14:solidFill>
          </w14:textFill>
        </w:rPr>
        <w:t>.0</w:t>
      </w:r>
      <w:r>
        <w:rPr>
          <w:rFonts w:hint="eastAsia" w:asciiTheme="minorEastAsia" w:hAnsiTheme="minorEastAsia" w:cstheme="minorEastAsia"/>
          <w:color w:val="000000" w:themeColor="text1"/>
          <w:sz w:val="18"/>
          <w:szCs w:val="18"/>
          <w14:textFill>
            <w14:solidFill>
              <w14:schemeClr w14:val="tx1"/>
            </w14:solidFill>
          </w14:textFill>
        </w:rPr>
        <w:t>；对直接承受重复荷载的构件，取</w:t>
      </w:r>
      <m:oMath>
        <m:r>
          <w:rPr>
            <w:rFonts w:hint="eastAsia" w:ascii="Cambria Math" w:hAnsi="Cambria Math" w:eastAsia="黑体" w:cstheme="minorEastAsia"/>
            <w:color w:val="000000" w:themeColor="text1"/>
            <w:sz w:val="18"/>
            <w:szCs w:val="18"/>
            <w14:textFill>
              <w14:solidFill>
                <w14:schemeClr w14:val="tx1"/>
              </w14:solidFill>
            </w14:textFill>
          </w:rPr>
          <m:t>ψ=</m:t>
        </m:r>
        <m:r>
          <w:rPr>
            <w:rFonts w:ascii="Cambria Math" w:hAnsi="Cambria Math" w:eastAsia="黑体" w:cstheme="minorEastAsia"/>
            <w:color w:val="000000" w:themeColor="text1"/>
            <w:sz w:val="18"/>
            <w:szCs w:val="18"/>
            <w14:textFill>
              <w14:solidFill>
                <w14:schemeClr w14:val="tx1"/>
              </w14:solidFill>
            </w14:textFill>
          </w:rPr>
          <m:t>1.0</m:t>
        </m:r>
      </m:oMath>
      <w:r>
        <w:rPr>
          <w:rFonts w:hint="eastAsia" w:asciiTheme="minorEastAsia" w:hAnsiTheme="minorEastAsia" w:cstheme="minorEastAsia"/>
          <w:color w:val="000000" w:themeColor="text1"/>
          <w:sz w:val="18"/>
          <w:szCs w:val="18"/>
          <w14:textFill>
            <w14:solidFill>
              <w14:schemeClr w14:val="tx1"/>
            </w14:solidFill>
          </w14:textFill>
        </w:rPr>
        <w:t>。</w:t>
      </w:r>
    </w:p>
    <w:p>
      <w:pPr>
        <w:ind w:left="1260" w:hanging="1260" w:hangingChars="700"/>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σ</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s</m:t>
            </m:r>
            <m:ctrlPr>
              <w:rPr>
                <w:rFonts w:ascii="Cambria Math" w:hAnsi="Cambria Math" w:eastAsia="黑体"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——按荷载准永久组合计算的钢筋混凝土构件纵向受拉普通钢筋或按标准组合计算的预应力混凝土构件纵向受拉钢筋的等效应力。</w:t>
      </w:r>
    </w:p>
    <w:p>
      <w:pPr>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 xml:space="preserve"> </w:t>
      </w:r>
      <w:r>
        <w:rPr>
          <w:rFonts w:asciiTheme="minorEastAsia" w:hAnsiTheme="minorEastAsia" w:cstheme="minorEastAsia"/>
          <w:iCs/>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E</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——钢筋的弹性模量；</w:t>
      </w:r>
    </w:p>
    <w:p>
      <w:pPr>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C</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——最外层纵向受拉钢筋外边缘至受拉区底边的距离(mm</w:t>
      </w:r>
      <w:r>
        <w:rPr>
          <w:rFonts w:asciiTheme="minorEastAsia" w:hAnsiTheme="minorEastAsia" w:cstheme="minorEastAsia"/>
          <w:color w:val="000000" w:themeColor="text1"/>
          <w:sz w:val="18"/>
          <w:szCs w:val="18"/>
          <w14:textFill>
            <w14:solidFill>
              <w14:schemeClr w14:val="tx1"/>
            </w14:solidFill>
          </w14:textFill>
        </w:rPr>
        <w:t>):</w:t>
      </w:r>
    </w:p>
    <w:p>
      <w:pPr>
        <w:ind w:firstLine="1260" w:firstLineChars="700"/>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当</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c</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＜2</w:t>
      </w:r>
      <w:r>
        <w:rPr>
          <w:rFonts w:asciiTheme="minorEastAsia" w:hAnsiTheme="minorEastAsia" w:cstheme="minorEastAsia"/>
          <w:color w:val="000000" w:themeColor="text1"/>
          <w:sz w:val="18"/>
          <w:szCs w:val="18"/>
          <w14:textFill>
            <w14:solidFill>
              <w14:schemeClr w14:val="tx1"/>
            </w14:solidFill>
          </w14:textFill>
        </w:rPr>
        <w:t>0</w:t>
      </w:r>
      <w:r>
        <w:rPr>
          <w:rFonts w:hint="eastAsia" w:asciiTheme="minorEastAsia" w:hAnsiTheme="minorEastAsia" w:cstheme="minorEastAsia"/>
          <w:color w:val="000000" w:themeColor="text1"/>
          <w:sz w:val="18"/>
          <w:szCs w:val="18"/>
          <w14:textFill>
            <w14:solidFill>
              <w14:schemeClr w14:val="tx1"/>
            </w14:solidFill>
          </w14:textFill>
        </w:rPr>
        <w:t>时，取</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c</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=2</w:t>
      </w:r>
      <w:r>
        <w:rPr>
          <w:rFonts w:asciiTheme="minorEastAsia" w:hAnsiTheme="minorEastAsia" w:cstheme="minorEastAsia"/>
          <w:color w:val="000000" w:themeColor="text1"/>
          <w:sz w:val="18"/>
          <w:szCs w:val="18"/>
          <w14:textFill>
            <w14:solidFill>
              <w14:schemeClr w14:val="tx1"/>
            </w14:solidFill>
          </w14:textFill>
        </w:rPr>
        <w:t>0</w:t>
      </w:r>
      <w:r>
        <w:rPr>
          <w:rFonts w:hint="eastAsia" w:asciiTheme="minorEastAsia" w:hAnsiTheme="minorEastAsia" w:cstheme="minorEastAsia"/>
          <w:color w:val="000000" w:themeColor="text1"/>
          <w:sz w:val="18"/>
          <w:szCs w:val="18"/>
          <w14:textFill>
            <w14:solidFill>
              <w14:schemeClr w14:val="tx1"/>
            </w14:solidFill>
          </w14:textFill>
        </w:rPr>
        <w:t>；当</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c</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＞6</w:t>
      </w:r>
      <w:r>
        <w:rPr>
          <w:rFonts w:asciiTheme="minorEastAsia" w:hAnsiTheme="minorEastAsia" w:cstheme="minorEastAsia"/>
          <w:color w:val="000000" w:themeColor="text1"/>
          <w:sz w:val="18"/>
          <w:szCs w:val="18"/>
          <w14:textFill>
            <w14:solidFill>
              <w14:schemeClr w14:val="tx1"/>
            </w14:solidFill>
          </w14:textFill>
        </w:rPr>
        <w:t>5</w:t>
      </w:r>
      <w:r>
        <w:rPr>
          <w:rFonts w:hint="eastAsia" w:asciiTheme="minorEastAsia" w:hAnsiTheme="minorEastAsia" w:cstheme="minorEastAsia"/>
          <w:color w:val="000000" w:themeColor="text1"/>
          <w:sz w:val="18"/>
          <w:szCs w:val="18"/>
          <w14:textFill>
            <w14:solidFill>
              <w14:schemeClr w14:val="tx1"/>
            </w14:solidFill>
          </w14:textFill>
        </w:rPr>
        <w:t>时，取</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m:rPr>
                <m:nor/>
                <m:sty m:val="p"/>
              </m:rPr>
              <w:rPr>
                <w:rFonts w:ascii="Cambria Math" w:hAnsi="Cambria Math" w:eastAsia="黑体" w:cstheme="minorEastAsia"/>
                <w:b w:val="0"/>
                <w:i w:val="0"/>
                <w:color w:val="000000" w:themeColor="text1"/>
                <w:sz w:val="18"/>
                <w:szCs w:val="18"/>
                <w14:textFill>
                  <w14:solidFill>
                    <w14:schemeClr w14:val="tx1"/>
                  </w14:solidFill>
                </w14:textFill>
              </w:rPr>
              <m:t>c</m:t>
            </m:r>
            <m:ctrlPr>
              <w:rPr>
                <w:rFonts w:ascii="Cambria Math" w:hAnsi="Cambria Math" w:eastAsia="黑体" w:cstheme="minorEastAsia"/>
                <w:i/>
                <w:color w:val="000000" w:themeColor="text1"/>
                <w:sz w:val="18"/>
                <w:szCs w:val="18"/>
                <w14:textFill>
                  <w14:solidFill>
                    <w14:schemeClr w14:val="tx1"/>
                  </w14:solidFill>
                </w14:textFill>
              </w:rPr>
            </m:ctrlPr>
          </m:e>
          <m:sub>
            <m:r>
              <m:rPr>
                <m:nor/>
                <m:sty m:val="p"/>
              </m:rPr>
              <w:rPr>
                <w:rFonts w:ascii="Cambria Math" w:hAnsi="Cambria Math" w:eastAsia="黑体" w:cstheme="minorEastAsia"/>
                <w:b w:val="0"/>
                <w:i w:val="0"/>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=6</w:t>
      </w:r>
      <w:r>
        <w:rPr>
          <w:rFonts w:asciiTheme="minorEastAsia" w:hAnsiTheme="minorEastAsia" w:cstheme="minorEastAsia"/>
          <w:color w:val="000000" w:themeColor="text1"/>
          <w:sz w:val="18"/>
          <w:szCs w:val="18"/>
          <w14:textFill>
            <w14:solidFill>
              <w14:schemeClr w14:val="tx1"/>
            </w14:solidFill>
          </w14:textFill>
        </w:rPr>
        <w:t>5</w:t>
      </w:r>
      <w:r>
        <w:rPr>
          <w:rFonts w:hint="eastAsia" w:asciiTheme="minorEastAsia" w:hAnsiTheme="minorEastAsia" w:cstheme="minorEastAsia"/>
          <w:color w:val="000000" w:themeColor="text1"/>
          <w:sz w:val="18"/>
          <w:szCs w:val="18"/>
          <w14:textFill>
            <w14:solidFill>
              <w14:schemeClr w14:val="tx1"/>
            </w14:solidFill>
          </w14:textFill>
        </w:rPr>
        <w:t>。</w:t>
      </w:r>
    </w:p>
    <w:p>
      <w:pPr>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ρ</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——按有效受拉混凝土截面面积计算的纵向受拉钢筋配筋率，</w:t>
      </w:r>
    </w:p>
    <w:p>
      <w:pPr>
        <w:ind w:firstLine="1260" w:firstLineChars="700"/>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当</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ρ</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.01</w:t>
      </w:r>
      <w:r>
        <w:rPr>
          <w:rFonts w:hint="eastAsia" w:asciiTheme="minorEastAsia" w:hAnsiTheme="minorEastAsia" w:cstheme="minorEastAsia"/>
          <w:color w:val="000000" w:themeColor="text1"/>
          <w:sz w:val="18"/>
          <w:szCs w:val="18"/>
          <w14:textFill>
            <w14:solidFill>
              <w14:schemeClr w14:val="tx1"/>
            </w14:solidFill>
          </w14:textFill>
        </w:rPr>
        <w:t>时，取</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ρ</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.01</w:t>
      </w:r>
      <w:r>
        <w:rPr>
          <w:rFonts w:hint="eastAsia" w:asciiTheme="minorEastAsia" w:hAnsiTheme="minorEastAsia" w:cstheme="minorEastAsia"/>
          <w:color w:val="000000" w:themeColor="text1"/>
          <w:sz w:val="18"/>
          <w:szCs w:val="18"/>
          <w14:textFill>
            <w14:solidFill>
              <w14:schemeClr w14:val="tx1"/>
            </w14:solidFill>
          </w14:textFill>
        </w:rPr>
        <w:t>。</w:t>
      </w:r>
    </w:p>
    <w:p>
      <w:pPr>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A</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——有效受拉区混凝土截面面积：</w:t>
      </w:r>
    </w:p>
    <w:p>
      <w:pPr>
        <w:ind w:firstLine="1260" w:firstLineChars="700"/>
        <w:jc w:val="left"/>
        <w:rPr>
          <w:rFonts w:asciiTheme="minorEastAsia" w:hAnsiTheme="minorEastAsia" w:cstheme="minorEastAsia"/>
          <w:color w:val="000000" w:themeColor="text1"/>
          <w:sz w:val="18"/>
          <w:szCs w:val="18"/>
          <w14:textFill>
            <w14:solidFill>
              <w14:schemeClr w14:val="tx1"/>
            </w14:solidFill>
          </w14:textFill>
        </w:rPr>
      </w:pP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A</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te</m:t>
            </m:r>
            <m:ctrlPr>
              <w:rPr>
                <w:rFonts w:ascii="Cambria Math" w:hAnsi="Cambria Math" w:eastAsia="黑体" w:cstheme="minorEastAsia"/>
                <w:i/>
                <w:color w:val="000000" w:themeColor="text1"/>
                <w:sz w:val="18"/>
                <w:szCs w:val="18"/>
                <w14:textFill>
                  <w14:solidFill>
                    <w14:schemeClr w14:val="tx1"/>
                  </w14:solidFill>
                </w14:textFill>
              </w:rPr>
            </m:ctrlPr>
          </m:sub>
        </m:sSub>
        <m:r>
          <w:rPr>
            <w:rFonts w:hint="eastAsia" w:ascii="Cambria Math" w:hAnsi="Cambria Math" w:eastAsia="黑体" w:cstheme="minorEastAsia"/>
            <w:color w:val="000000" w:themeColor="text1"/>
            <w:sz w:val="18"/>
            <w:szCs w:val="18"/>
            <w14:textFill>
              <w14:solidFill>
                <w14:schemeClr w14:val="tx1"/>
              </w14:solidFill>
            </w14:textFill>
          </w:rPr>
          <m:t>=</m:t>
        </m:r>
        <m:r>
          <w:rPr>
            <w:rFonts w:ascii="Cambria Math" w:hAnsi="Cambria Math" w:eastAsia="黑体" w:cstheme="minorEastAsia"/>
            <w:color w:val="000000" w:themeColor="text1"/>
            <w:sz w:val="18"/>
            <w:szCs w:val="18"/>
            <w14:textFill>
              <w14:solidFill>
                <w14:schemeClr w14:val="tx1"/>
              </w14:solidFill>
            </w14:textFill>
          </w:rPr>
          <m:t>0.5</m:t>
        </m:r>
        <m:d>
          <m:dPr>
            <m:ctrlPr>
              <w:rPr>
                <w:rFonts w:ascii="Cambria Math" w:hAnsi="Cambria Math" w:eastAsia="黑体" w:cstheme="minorEastAsia"/>
                <w:i/>
                <w:color w:val="000000" w:themeColor="text1"/>
                <w:sz w:val="18"/>
                <w:szCs w:val="18"/>
                <w14:textFill>
                  <w14:solidFill>
                    <w14:schemeClr w14:val="tx1"/>
                  </w14:solidFill>
                </w14:textFill>
              </w:rPr>
            </m:ctrlPr>
          </m:dPr>
          <m:e>
            <m:r>
              <w:rPr>
                <w:rFonts w:hint="eastAsia" w:ascii="Cambria Math" w:hAnsi="Cambria Math" w:eastAsia="黑体" w:cstheme="minorEastAsia"/>
                <w:color w:val="000000" w:themeColor="text1"/>
                <w:sz w:val="18"/>
                <w:szCs w:val="18"/>
                <w14:textFill>
                  <w14:solidFill>
                    <w14:schemeClr w14:val="tx1"/>
                  </w14:solidFill>
                </w14:textFill>
              </w:rPr>
              <m:t>b</m:t>
            </m:r>
            <m:r>
              <w:rPr>
                <w:rFonts w:ascii="Cambria Math" w:hAnsi="Cambria Math" w:eastAsia="黑体" w:cstheme="minorEastAsia"/>
                <w:color w:val="000000" w:themeColor="text1"/>
                <w:sz w:val="18"/>
                <w:szCs w:val="18"/>
                <w14:textFill>
                  <w14:solidFill>
                    <w14:schemeClr w14:val="tx1"/>
                  </w14:solidFill>
                </w14:textFill>
              </w:rPr>
              <m:t>-</m:t>
            </m:r>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h</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r</m:t>
                </m:r>
                <m:ctrlPr>
                  <w:rPr>
                    <w:rFonts w:ascii="Cambria Math" w:hAnsi="Cambria Math" w:eastAsia="黑体" w:cstheme="minorEastAsia"/>
                    <w:i/>
                    <w:color w:val="000000" w:themeColor="text1"/>
                    <w:sz w:val="18"/>
                    <w:szCs w:val="18"/>
                    <w14:textFill>
                      <w14:solidFill>
                        <w14:schemeClr w14:val="tx1"/>
                      </w14:solidFill>
                    </w14:textFill>
                  </w:rPr>
                </m:ctrlPr>
              </m:sub>
            </m:sSub>
            <m:ctrlPr>
              <w:rPr>
                <w:rFonts w:ascii="Cambria Math" w:hAnsi="Cambria Math" w:eastAsia="黑体" w:cstheme="minorEastAsia"/>
                <w:i/>
                <w:color w:val="000000" w:themeColor="text1"/>
                <w:sz w:val="18"/>
                <w:szCs w:val="18"/>
                <w14:textFill>
                  <w14:solidFill>
                    <w14:schemeClr w14:val="tx1"/>
                  </w14:solidFill>
                </w14:textFill>
              </w:rPr>
            </m:ctrlPr>
          </m:e>
        </m:d>
        <m:r>
          <w:rPr>
            <w:rFonts w:ascii="Cambria Math" w:hAnsi="Cambria Math" w:eastAsia="黑体" w:cstheme="minorEastAsia"/>
            <w:color w:val="000000" w:themeColor="text1"/>
            <w:sz w:val="18"/>
            <w:szCs w:val="18"/>
            <w14:textFill>
              <w14:solidFill>
                <w14:schemeClr w14:val="tx1"/>
              </w14:solidFill>
            </w14:textFill>
          </w:rPr>
          <m:t>h+</m:t>
        </m:r>
        <m:d>
          <m:dPr>
            <m:ctrlPr>
              <w:rPr>
                <w:rFonts w:ascii="Cambria Math" w:hAnsi="Cambria Math" w:eastAsia="黑体" w:cstheme="minorEastAsia"/>
                <w:i/>
                <w:color w:val="000000" w:themeColor="text1"/>
                <w:sz w:val="18"/>
                <w:szCs w:val="18"/>
                <w14:textFill>
                  <w14:solidFill>
                    <w14:schemeClr w14:val="tx1"/>
                  </w14:solidFill>
                </w14:textFill>
              </w:rPr>
            </m:ctrlPr>
          </m:dPr>
          <m:e>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b</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f</m:t>
                </m:r>
                <m:ctrlPr>
                  <w:rPr>
                    <w:rFonts w:ascii="Cambria Math" w:hAnsi="Cambria Math" w:eastAsia="黑体" w:cstheme="minorEastAsia"/>
                    <w:i/>
                    <w:color w:val="000000" w:themeColor="text1"/>
                    <w:sz w:val="18"/>
                    <w:szCs w:val="18"/>
                    <w14:textFill>
                      <w14:solidFill>
                        <w14:schemeClr w14:val="tx1"/>
                      </w14:solidFill>
                    </w14:textFill>
                  </w:rPr>
                </m:ctrlPr>
              </m:sub>
            </m:sSub>
            <m:r>
              <w:rPr>
                <w:rFonts w:ascii="Cambria Math" w:hAnsi="Cambria Math" w:eastAsia="黑体" w:cstheme="minorEastAsia"/>
                <w:color w:val="000000" w:themeColor="text1"/>
                <w:sz w:val="18"/>
                <w:szCs w:val="18"/>
                <w14:textFill>
                  <w14:solidFill>
                    <w14:schemeClr w14:val="tx1"/>
                  </w14:solidFill>
                </w14:textFill>
              </w:rPr>
              <m:t>-b+</m:t>
            </m:r>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h</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r</m:t>
                </m:r>
                <m:ctrlPr>
                  <w:rPr>
                    <w:rFonts w:ascii="Cambria Math" w:hAnsi="Cambria Math" w:eastAsia="黑体" w:cstheme="minorEastAsia"/>
                    <w:i/>
                    <w:color w:val="000000" w:themeColor="text1"/>
                    <w:sz w:val="18"/>
                    <w:szCs w:val="18"/>
                    <w14:textFill>
                      <w14:solidFill>
                        <w14:schemeClr w14:val="tx1"/>
                      </w14:solidFill>
                    </w14:textFill>
                  </w:rPr>
                </m:ctrlPr>
              </m:sub>
            </m:sSub>
            <m:ctrlPr>
              <w:rPr>
                <w:rFonts w:ascii="Cambria Math" w:hAnsi="Cambria Math" w:eastAsia="黑体" w:cstheme="minorEastAsia"/>
                <w:i/>
                <w:color w:val="000000" w:themeColor="text1"/>
                <w:sz w:val="18"/>
                <w:szCs w:val="18"/>
                <w14:textFill>
                  <w14:solidFill>
                    <w14:schemeClr w14:val="tx1"/>
                  </w14:solidFill>
                </w14:textFill>
              </w:rPr>
            </m:ctrlPr>
          </m:e>
        </m:d>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h</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f</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w:t>
      </w:r>
    </w:p>
    <w:p>
      <w:pPr>
        <w:ind w:firstLine="1260" w:firstLineChars="700"/>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此处</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b</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f</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h</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f</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为受拉翼缘的宽度、高度。</w:t>
      </w:r>
    </w:p>
    <w:p>
      <w:pPr>
        <w:jc w:val="left"/>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A</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s</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——受拉区纵向普通钢筋截面面积；</w:t>
      </w:r>
    </w:p>
    <w:p>
      <w:pPr>
        <w:ind w:firstLine="720" w:firstLineChars="400"/>
        <w:jc w:val="left"/>
        <w:rPr>
          <w:rFonts w:asciiTheme="minorEastAsia" w:hAnsiTheme="minorEastAsia" w:cstheme="minorEastAsia"/>
          <w:color w:val="000000" w:themeColor="text1"/>
          <w:sz w:val="18"/>
          <w:szCs w:val="18"/>
          <w14:textFill>
            <w14:solidFill>
              <w14:schemeClr w14:val="tx1"/>
            </w14:solidFill>
          </w14:textFill>
        </w:rPr>
      </w:pP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A</m:t>
            </m:r>
            <m:ctrlPr>
              <w:rPr>
                <w:rFonts w:ascii="Cambria Math" w:hAnsi="Cambria Math" w:eastAsia="黑体" w:cstheme="minorEastAsia"/>
                <w:i/>
                <w:color w:val="000000" w:themeColor="text1"/>
                <w:sz w:val="18"/>
                <w:szCs w:val="18"/>
                <w14:textFill>
                  <w14:solidFill>
                    <w14:schemeClr w14:val="tx1"/>
                  </w14:solidFill>
                </w14:textFill>
              </w:rPr>
            </m:ctrlPr>
          </m:e>
          <m:sub>
            <m:r>
              <w:rPr>
                <w:rFonts w:hint="eastAsia" w:ascii="Cambria Math" w:hAnsi="Cambria Math" w:eastAsia="黑体" w:cstheme="minorEastAsia"/>
                <w:color w:val="000000" w:themeColor="text1"/>
                <w:sz w:val="18"/>
                <w:szCs w:val="18"/>
                <w14:textFill>
                  <w14:solidFill>
                    <w14:schemeClr w14:val="tx1"/>
                  </w14:solidFill>
                </w14:textFill>
              </w:rPr>
              <m:t>p</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——受拉区纵向预应力钢筋截面面积；</w:t>
      </w:r>
    </w:p>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d</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eq</m:t>
            </m:r>
            <m:ctrlPr>
              <w:rPr>
                <w:rFonts w:ascii="Cambria Math" w:hAnsi="Cambria Math" w:eastAsia="黑体"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——受拉区纵向钢筋的等效直径（m</w:t>
      </w:r>
      <w:r>
        <w:rPr>
          <w:rFonts w:asciiTheme="minorEastAsia" w:hAnsiTheme="minorEastAsia" w:cstheme="minorEastAsia"/>
          <w:iCs/>
          <w:color w:val="000000" w:themeColor="text1"/>
          <w:sz w:val="18"/>
          <w:szCs w:val="18"/>
          <w14:textFill>
            <w14:solidFill>
              <w14:schemeClr w14:val="tx1"/>
            </w14:solidFill>
          </w14:textFill>
        </w:rPr>
        <w:t>m</w:t>
      </w:r>
      <w:r>
        <w:rPr>
          <w:rFonts w:hint="eastAsia" w:asciiTheme="minorEastAsia" w:hAnsiTheme="minorEastAsia" w:cstheme="minorEastAsia"/>
          <w:iCs/>
          <w:color w:val="000000" w:themeColor="text1"/>
          <w:sz w:val="18"/>
          <w:szCs w:val="18"/>
          <w14:textFill>
            <w14:solidFill>
              <w14:schemeClr w14:val="tx1"/>
            </w14:solidFill>
          </w14:textFill>
        </w:rPr>
        <w:t>）；</w:t>
      </w:r>
    </w:p>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 xml:space="preserve">       </w:t>
      </w:r>
      <m:oMath>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d</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1u</m:t>
            </m:r>
            <m:ctrlPr>
              <w:rPr>
                <w:rFonts w:ascii="Cambria Math" w:hAnsi="Cambria Math" w:eastAsia="黑体"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——一块上翼缘钢板的等效直径（m</w:t>
      </w:r>
      <w:r>
        <w:rPr>
          <w:rFonts w:asciiTheme="minorEastAsia" w:hAnsiTheme="minorEastAsia" w:cstheme="minorEastAsia"/>
          <w:iCs/>
          <w:color w:val="000000" w:themeColor="text1"/>
          <w:sz w:val="18"/>
          <w:szCs w:val="18"/>
          <w14:textFill>
            <w14:solidFill>
              <w14:schemeClr w14:val="tx1"/>
            </w14:solidFill>
          </w14:textFill>
        </w:rPr>
        <w:t>m</w:t>
      </w:r>
      <w:r>
        <w:rPr>
          <w:rFonts w:hint="eastAsia" w:asciiTheme="minorEastAsia" w:hAnsiTheme="minorEastAsia" w:cstheme="minorEastAsia"/>
          <w:iCs/>
          <w:color w:val="000000" w:themeColor="text1"/>
          <w:sz w:val="18"/>
          <w:szCs w:val="18"/>
          <w14:textFill>
            <w14:solidFill>
              <w14:schemeClr w14:val="tx1"/>
            </w14:solidFill>
          </w14:textFill>
        </w:rPr>
        <w:t>）；</w:t>
      </w:r>
    </w:p>
    <w:p>
      <w:pPr>
        <w:ind w:left="1260" w:leftChars="343" w:hanging="540" w:hangingChars="300"/>
        <w:jc w:val="left"/>
        <w:rPr>
          <w:rFonts w:asciiTheme="minorEastAsia" w:hAnsiTheme="minorEastAsia" w:cstheme="minorEastAsia"/>
          <w:iCs/>
          <w:color w:val="000000" w:themeColor="text1"/>
          <w:sz w:val="18"/>
          <w:szCs w:val="18"/>
          <w14:textFill>
            <w14:solidFill>
              <w14:schemeClr w14:val="tx1"/>
            </w14:solidFill>
          </w14:textFill>
        </w:rPr>
      </w:pPr>
      <m:oMath>
        <m:sSub>
          <m:sSubPr>
            <m:ctrlPr>
              <w:rPr>
                <w:rFonts w:ascii="Cambria Math" w:hAnsi="Cambria Math" w:eastAsia="黑体" w:cstheme="minorEastAsia"/>
                <w:i/>
                <w:iCs/>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d</m:t>
            </m:r>
            <m:ctrlPr>
              <w:rPr>
                <w:rFonts w:ascii="Cambria Math" w:hAnsi="Cambria Math" w:eastAsia="黑体" w:cstheme="minorEastAsia"/>
                <w:i/>
                <w:iCs/>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i</m:t>
            </m:r>
            <m:ctrlPr>
              <w:rPr>
                <w:rFonts w:ascii="Cambria Math" w:hAnsi="Cambria Math" w:eastAsia="黑体"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——受拉区第</w:t>
      </w:r>
      <m:oMath>
        <m:r>
          <w:rPr>
            <w:rFonts w:hint="eastAsia" w:ascii="Cambria Math" w:hAnsi="Cambria Math" w:cstheme="minorEastAsia"/>
            <w:color w:val="000000" w:themeColor="text1"/>
            <w:sz w:val="18"/>
            <w:szCs w:val="18"/>
            <w14:textFill>
              <w14:solidFill>
                <w14:schemeClr w14:val="tx1"/>
              </w14:solidFill>
            </w14:textFill>
          </w:rPr>
          <m:t>i</m:t>
        </m:r>
      </m:oMath>
      <w:r>
        <w:rPr>
          <w:rFonts w:hint="eastAsia" w:asciiTheme="minorEastAsia" w:hAnsiTheme="minorEastAsia" w:cstheme="minorEastAsia"/>
          <w:iCs/>
          <w:color w:val="000000" w:themeColor="text1"/>
          <w:sz w:val="18"/>
          <w:szCs w:val="18"/>
          <w14:textFill>
            <w14:solidFill>
              <w14:schemeClr w14:val="tx1"/>
            </w14:solidFill>
          </w14:textFill>
        </w:rPr>
        <w:t xml:space="preserve">种纵向钢筋的公称直径；对于有粘结预应力钢绞线束的 </w:t>
      </w:r>
      <w:r>
        <w:rPr>
          <w:rFonts w:asciiTheme="minorEastAsia" w:hAnsiTheme="minorEastAsia" w:cstheme="minorEastAsia"/>
          <w:iCs/>
          <w:color w:val="000000" w:themeColor="text1"/>
          <w:sz w:val="18"/>
          <w:szCs w:val="18"/>
          <w14:textFill>
            <w14:solidFill>
              <w14:schemeClr w14:val="tx1"/>
            </w14:solidFill>
          </w14:textFill>
        </w:rPr>
        <w:t xml:space="preserve">    </w:t>
      </w:r>
      <w:r>
        <w:rPr>
          <w:rFonts w:hint="eastAsia" w:asciiTheme="minorEastAsia" w:hAnsiTheme="minorEastAsia" w:cstheme="minorEastAsia"/>
          <w:iCs/>
          <w:color w:val="000000" w:themeColor="text1"/>
          <w:sz w:val="18"/>
          <w:szCs w:val="18"/>
          <w14:textFill>
            <w14:solidFill>
              <w14:schemeClr w14:val="tx1"/>
            </w14:solidFill>
          </w14:textFill>
        </w:rPr>
        <w:t>直径取为</w:t>
      </w:r>
      <m:oMath>
        <m:rad>
          <m:radPr>
            <m:degHide m:val="1"/>
            <m:ctrlPr>
              <w:rPr>
                <w:rFonts w:ascii="Cambria Math" w:hAnsi="Cambria Math" w:cstheme="minorEastAsia"/>
                <w:i/>
                <w:iCs/>
                <w:color w:val="000000" w:themeColor="text1"/>
                <w:sz w:val="18"/>
                <w:szCs w:val="18"/>
                <w14:textFill>
                  <w14:solidFill>
                    <w14:schemeClr w14:val="tx1"/>
                  </w14:solidFill>
                </w14:textFill>
              </w:rPr>
            </m:ctrlPr>
          </m:radPr>
          <m:deg>
            <m:ctrlPr>
              <w:rPr>
                <w:rFonts w:ascii="Cambria Math" w:hAnsi="Cambria Math" w:cstheme="minorEastAsia"/>
                <w:i/>
                <w:iCs/>
                <w:color w:val="000000" w:themeColor="text1"/>
                <w:sz w:val="18"/>
                <w:szCs w:val="18"/>
                <w14:textFill>
                  <w14:solidFill>
                    <w14:schemeClr w14:val="tx1"/>
                  </w14:solidFill>
                </w14:textFill>
              </w:rPr>
            </m:ctrlPr>
          </m:deg>
          <m:e>
            <m:sSub>
              <m:sSubPr>
                <m:ctrlPr>
                  <w:rPr>
                    <w:rFonts w:ascii="Cambria Math" w:hAnsi="Cambria Math" w:cstheme="minorEastAsia"/>
                    <w:i/>
                    <w:iCs/>
                    <w:color w:val="000000" w:themeColor="text1"/>
                    <w:sz w:val="18"/>
                    <w:szCs w:val="18"/>
                    <w14:textFill>
                      <w14:solidFill>
                        <w14:schemeClr w14:val="tx1"/>
                      </w14:solidFill>
                    </w14:textFill>
                  </w:rPr>
                </m:ctrlPr>
              </m:sSubPr>
              <m:e>
                <m:r>
                  <w:rPr>
                    <w:rFonts w:hint="eastAsia" w:ascii="Cambria Math" w:hAnsi="Cambria Math" w:cstheme="minorEastAsia"/>
                    <w:color w:val="000000" w:themeColor="text1"/>
                    <w:sz w:val="18"/>
                    <w:szCs w:val="18"/>
                    <w14:textFill>
                      <w14:solidFill>
                        <w14:schemeClr w14:val="tx1"/>
                      </w14:solidFill>
                    </w14:textFill>
                  </w:rPr>
                  <m:t>n</m:t>
                </m:r>
                <m:ctrlPr>
                  <w:rPr>
                    <w:rFonts w:ascii="Cambria Math" w:hAnsi="Cambria Math" w:cstheme="minorEastAsia"/>
                    <w:i/>
                    <w:iCs/>
                    <w:color w:val="000000" w:themeColor="text1"/>
                    <w:sz w:val="18"/>
                    <w:szCs w:val="18"/>
                    <w14:textFill>
                      <w14:solidFill>
                        <w14:schemeClr w14:val="tx1"/>
                      </w14:solidFill>
                    </w14:textFill>
                  </w:rPr>
                </m:ctrlPr>
              </m:e>
              <m:sub>
                <m:r>
                  <w:rPr>
                    <w:rFonts w:ascii="Cambria Math" w:hAnsi="Cambria Math" w:cstheme="minorEastAsia"/>
                    <w:color w:val="000000" w:themeColor="text1"/>
                    <w:sz w:val="18"/>
                    <w:szCs w:val="18"/>
                    <w14:textFill>
                      <w14:solidFill>
                        <w14:schemeClr w14:val="tx1"/>
                      </w14:solidFill>
                    </w14:textFill>
                  </w:rPr>
                  <m:t>1</m:t>
                </m:r>
                <m:ctrlPr>
                  <w:rPr>
                    <w:rFonts w:ascii="Cambria Math" w:hAnsi="Cambria Math" w:cstheme="minorEastAsia"/>
                    <w:i/>
                    <w:iCs/>
                    <w:color w:val="000000" w:themeColor="text1"/>
                    <w:sz w:val="18"/>
                    <w:szCs w:val="18"/>
                    <w14:textFill>
                      <w14:solidFill>
                        <w14:schemeClr w14:val="tx1"/>
                      </w14:solidFill>
                    </w14:textFill>
                  </w:rPr>
                </m:ctrlPr>
              </m:sub>
            </m:sSub>
            <m:ctrlPr>
              <w:rPr>
                <w:rFonts w:ascii="Cambria Math" w:hAnsi="Cambria Math" w:cstheme="minorEastAsia"/>
                <w:i/>
                <w:iCs/>
                <w:color w:val="000000" w:themeColor="text1"/>
                <w:sz w:val="18"/>
                <w:szCs w:val="18"/>
                <w14:textFill>
                  <w14:solidFill>
                    <w14:schemeClr w14:val="tx1"/>
                  </w14:solidFill>
                </w14:textFill>
              </w:rPr>
            </m:ctrlPr>
          </m:e>
        </m:rad>
        <m:sSub>
          <m:sSubPr>
            <m:ctrlPr>
              <w:rPr>
                <w:rFonts w:ascii="Cambria Math" w:hAnsi="Cambria Math" w:cstheme="minorEastAsia"/>
                <w:i/>
                <w:iCs/>
                <w:color w:val="000000" w:themeColor="text1"/>
                <w:sz w:val="18"/>
                <w:szCs w:val="18"/>
                <w14:textFill>
                  <w14:solidFill>
                    <w14:schemeClr w14:val="tx1"/>
                  </w14:solidFill>
                </w14:textFill>
              </w:rPr>
            </m:ctrlPr>
          </m:sSubPr>
          <m:e>
            <m:r>
              <w:rPr>
                <w:rFonts w:ascii="Cambria Math" w:hAnsi="Cambria Math" w:cstheme="minorEastAsia"/>
                <w:color w:val="000000" w:themeColor="text1"/>
                <w:sz w:val="18"/>
                <w:szCs w:val="18"/>
                <w14:textFill>
                  <w14:solidFill>
                    <w14:schemeClr w14:val="tx1"/>
                  </w14:solidFill>
                </w14:textFill>
              </w:rPr>
              <m:t>d</m:t>
            </m:r>
            <m:ctrlPr>
              <w:rPr>
                <w:rFonts w:ascii="Cambria Math" w:hAnsi="Cambria Math" w:cstheme="minorEastAsia"/>
                <w:i/>
                <w:iCs/>
                <w:color w:val="000000" w:themeColor="text1"/>
                <w:sz w:val="18"/>
                <w:szCs w:val="18"/>
                <w14:textFill>
                  <w14:solidFill>
                    <w14:schemeClr w14:val="tx1"/>
                  </w14:solidFill>
                </w14:textFill>
              </w:rPr>
            </m:ctrlPr>
          </m:e>
          <m:sub>
            <m:r>
              <w:rPr>
                <w:rFonts w:ascii="Cambria Math" w:hAnsi="Cambria Math" w:cstheme="minorEastAsia"/>
                <w:color w:val="000000" w:themeColor="text1"/>
                <w:sz w:val="18"/>
                <w:szCs w:val="18"/>
                <w14:textFill>
                  <w14:solidFill>
                    <w14:schemeClr w14:val="tx1"/>
                  </w14:solidFill>
                </w14:textFill>
              </w:rPr>
              <m:t>p1</m:t>
            </m:r>
            <m:ctrlPr>
              <w:rPr>
                <w:rFonts w:ascii="Cambria Math" w:hAnsi="Cambria Math"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,其中，</w:t>
      </w:r>
      <m:oMath>
        <m:sSub>
          <m:sSubPr>
            <m:ctrlPr>
              <w:rPr>
                <w:rFonts w:ascii="Cambria Math" w:hAnsi="Cambria Math" w:cstheme="minorEastAsia"/>
                <w:i/>
                <w:iCs/>
                <w:color w:val="000000" w:themeColor="text1"/>
                <w:sz w:val="18"/>
                <w:szCs w:val="18"/>
                <w14:textFill>
                  <w14:solidFill>
                    <w14:schemeClr w14:val="tx1"/>
                  </w14:solidFill>
                </w14:textFill>
              </w:rPr>
            </m:ctrlPr>
          </m:sSubPr>
          <m:e>
            <m:r>
              <w:rPr>
                <w:rFonts w:ascii="Cambria Math" w:hAnsi="Cambria Math" w:cstheme="minorEastAsia"/>
                <w:color w:val="000000" w:themeColor="text1"/>
                <w:sz w:val="18"/>
                <w:szCs w:val="18"/>
                <w14:textFill>
                  <w14:solidFill>
                    <w14:schemeClr w14:val="tx1"/>
                  </w14:solidFill>
                </w14:textFill>
              </w:rPr>
              <m:t>d</m:t>
            </m:r>
            <m:ctrlPr>
              <w:rPr>
                <w:rFonts w:ascii="Cambria Math" w:hAnsi="Cambria Math" w:cstheme="minorEastAsia"/>
                <w:i/>
                <w:iCs/>
                <w:color w:val="000000" w:themeColor="text1"/>
                <w:sz w:val="18"/>
                <w:szCs w:val="18"/>
                <w14:textFill>
                  <w14:solidFill>
                    <w14:schemeClr w14:val="tx1"/>
                  </w14:solidFill>
                </w14:textFill>
              </w:rPr>
            </m:ctrlPr>
          </m:e>
          <m:sub>
            <m:r>
              <w:rPr>
                <w:rFonts w:ascii="Cambria Math" w:hAnsi="Cambria Math" w:cstheme="minorEastAsia"/>
                <w:color w:val="000000" w:themeColor="text1"/>
                <w:sz w:val="18"/>
                <w:szCs w:val="18"/>
                <w14:textFill>
                  <w14:solidFill>
                    <w14:schemeClr w14:val="tx1"/>
                  </w14:solidFill>
                </w14:textFill>
              </w:rPr>
              <m:t>p1</m:t>
            </m:r>
            <m:ctrlPr>
              <w:rPr>
                <w:rFonts w:ascii="Cambria Math" w:hAnsi="Cambria Math"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为单根钢绞线的公称直径，</w:t>
      </w:r>
      <m:oMath>
        <m:sSub>
          <m:sSubPr>
            <m:ctrlPr>
              <w:rPr>
                <w:rFonts w:ascii="Cambria Math" w:hAnsi="Cambria Math" w:cstheme="minorEastAsia"/>
                <w:i/>
                <w:iCs/>
                <w:color w:val="000000" w:themeColor="text1"/>
                <w:sz w:val="18"/>
                <w:szCs w:val="18"/>
                <w14:textFill>
                  <w14:solidFill>
                    <w14:schemeClr w14:val="tx1"/>
                  </w14:solidFill>
                </w14:textFill>
              </w:rPr>
            </m:ctrlPr>
          </m:sSubPr>
          <m:e>
            <m:r>
              <w:rPr>
                <w:rFonts w:hint="eastAsia" w:ascii="Cambria Math" w:hAnsi="Cambria Math" w:cstheme="minorEastAsia"/>
                <w:color w:val="000000" w:themeColor="text1"/>
                <w:sz w:val="18"/>
                <w:szCs w:val="18"/>
                <w14:textFill>
                  <w14:solidFill>
                    <w14:schemeClr w14:val="tx1"/>
                  </w14:solidFill>
                </w14:textFill>
              </w:rPr>
              <m:t>n</m:t>
            </m:r>
            <m:ctrlPr>
              <w:rPr>
                <w:rFonts w:ascii="Cambria Math" w:hAnsi="Cambria Math" w:cstheme="minorEastAsia"/>
                <w:i/>
                <w:iCs/>
                <w:color w:val="000000" w:themeColor="text1"/>
                <w:sz w:val="18"/>
                <w:szCs w:val="18"/>
                <w14:textFill>
                  <w14:solidFill>
                    <w14:schemeClr w14:val="tx1"/>
                  </w14:solidFill>
                </w14:textFill>
              </w:rPr>
            </m:ctrlPr>
          </m:e>
          <m:sub>
            <m:r>
              <w:rPr>
                <w:rFonts w:ascii="Cambria Math" w:hAnsi="Cambria Math" w:cstheme="minorEastAsia"/>
                <w:color w:val="000000" w:themeColor="text1"/>
                <w:sz w:val="18"/>
                <w:szCs w:val="18"/>
                <w14:textFill>
                  <w14:solidFill>
                    <w14:schemeClr w14:val="tx1"/>
                  </w14:solidFill>
                </w14:textFill>
              </w:rPr>
              <m:t>1</m:t>
            </m:r>
            <m:ctrlPr>
              <w:rPr>
                <w:rFonts w:ascii="Cambria Math" w:hAnsi="Cambria Math" w:cstheme="minorEastAsia"/>
                <w:i/>
                <w:iCs/>
                <w:color w:val="000000" w:themeColor="text1"/>
                <w:sz w:val="18"/>
                <w:szCs w:val="18"/>
                <w14:textFill>
                  <w14:solidFill>
                    <w14:schemeClr w14:val="tx1"/>
                  </w14:solidFill>
                </w14:textFill>
              </w:rPr>
            </m:ctrlPr>
          </m:sub>
        </m:sSub>
      </m:oMath>
      <w:r>
        <w:rPr>
          <w:rFonts w:hint="eastAsia" w:asciiTheme="minorEastAsia" w:hAnsiTheme="minorEastAsia" w:cstheme="minorEastAsia"/>
          <w:iCs/>
          <w:color w:val="000000" w:themeColor="text1"/>
          <w:sz w:val="18"/>
          <w:szCs w:val="18"/>
          <w14:textFill>
            <w14:solidFill>
              <w14:schemeClr w14:val="tx1"/>
            </w14:solidFill>
          </w14:textFill>
        </w:rPr>
        <w:t>为单束钢绞线的根数。</w:t>
      </w:r>
    </w:p>
    <w:p>
      <w:pPr>
        <w:ind w:left="1380" w:leftChars="400" w:hanging="540" w:hangingChars="300"/>
        <w:jc w:val="left"/>
        <w:rPr>
          <w:rFonts w:asciiTheme="minorEastAsia" w:hAnsiTheme="minorEastAsia" w:cstheme="minorEastAsia"/>
          <w:iCs/>
          <w:color w:val="000000" w:themeColor="text1"/>
          <w:sz w:val="18"/>
          <w:szCs w:val="18"/>
          <w14:textFill>
            <w14:solidFill>
              <w14:schemeClr w14:val="tx1"/>
            </w14:solidFill>
          </w14:textFill>
        </w:rPr>
      </w:pP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ascii="Cambria Math" w:hAnsi="Cambria Math" w:eastAsia="黑体" w:cstheme="minorEastAsia"/>
                <w:color w:val="000000" w:themeColor="text1"/>
                <w:sz w:val="18"/>
                <w:szCs w:val="18"/>
                <w14:textFill>
                  <w14:solidFill>
                    <w14:schemeClr w14:val="tx1"/>
                  </w14:solidFill>
                </w14:textFill>
              </w:rPr>
              <m:t>n</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i</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——受拉区第</w:t>
      </w:r>
      <m:oMath>
        <m:r>
          <w:rPr>
            <w:rFonts w:hint="eastAsia" w:ascii="Cambria Math" w:hAnsi="Cambria Math" w:cstheme="minorEastAsia"/>
            <w:color w:val="000000" w:themeColor="text1"/>
            <w:sz w:val="18"/>
            <w:szCs w:val="18"/>
            <w14:textFill>
              <w14:solidFill>
                <w14:schemeClr w14:val="tx1"/>
              </w14:solidFill>
            </w14:textFill>
          </w:rPr>
          <m:t>i</m:t>
        </m:r>
      </m:oMath>
      <w:r>
        <w:rPr>
          <w:rFonts w:hint="eastAsia" w:asciiTheme="minorEastAsia" w:hAnsiTheme="minorEastAsia" w:cstheme="minorEastAsia"/>
          <w:iCs/>
          <w:color w:val="000000" w:themeColor="text1"/>
          <w:sz w:val="18"/>
          <w:szCs w:val="18"/>
          <w14:textFill>
            <w14:solidFill>
              <w14:schemeClr w14:val="tx1"/>
            </w14:solidFill>
          </w14:textFill>
        </w:rPr>
        <w:t>种纵向钢筋的根数，对于有粘结预应力钢绞线，取为钢绞线束数。</w:t>
      </w:r>
    </w:p>
    <w:p>
      <w:pPr>
        <w:ind w:firstLine="720" w:firstLineChars="400"/>
        <w:jc w:val="left"/>
        <w:rPr>
          <w:rFonts w:asciiTheme="minorEastAsia" w:hAnsiTheme="minorEastAsia" w:cstheme="minorEastAsia"/>
          <w:iCs/>
          <w:color w:val="000000" w:themeColor="text1"/>
          <w:sz w:val="18"/>
          <w:szCs w:val="18"/>
          <w14:textFill>
            <w14:solidFill>
              <w14:schemeClr w14:val="tx1"/>
            </w14:solidFill>
          </w14:textFill>
        </w:rPr>
      </w:pPr>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ν</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i</m:t>
            </m:r>
            <m:ctrlPr>
              <w:rPr>
                <w:rFonts w:ascii="Cambria Math" w:hAnsi="Cambria Math" w:eastAsia="黑体" w:cstheme="minorEastAsia"/>
                <w:i/>
                <w:color w:val="000000" w:themeColor="text1"/>
                <w:sz w:val="18"/>
                <w:szCs w:val="18"/>
                <w14:textFill>
                  <w14:solidFill>
                    <w14:schemeClr w14:val="tx1"/>
                  </w14:solidFill>
                </w14:textFill>
              </w:rPr>
            </m:ctrlPr>
          </m:sub>
        </m:sSub>
      </m:oMath>
      <w:r>
        <w:rPr>
          <w:rFonts w:hint="eastAsia" w:asciiTheme="minorEastAsia" w:hAnsiTheme="minorEastAsia" w:cstheme="minorEastAsia"/>
          <w:color w:val="000000" w:themeColor="text1"/>
          <w:sz w:val="18"/>
          <w:szCs w:val="18"/>
          <w14:textFill>
            <w14:solidFill>
              <w14:schemeClr w14:val="tx1"/>
            </w14:solidFill>
          </w14:textFill>
        </w:rPr>
        <w:t>——受拉区第</w:t>
      </w:r>
      <m:oMath>
        <m:r>
          <w:rPr>
            <w:rFonts w:hint="eastAsia" w:ascii="Cambria Math" w:hAnsi="Cambria Math" w:cstheme="minorEastAsia"/>
            <w:color w:val="000000" w:themeColor="text1"/>
            <w:sz w:val="18"/>
            <w:szCs w:val="18"/>
            <w14:textFill>
              <w14:solidFill>
                <w14:schemeClr w14:val="tx1"/>
              </w14:solidFill>
            </w14:textFill>
          </w:rPr>
          <m:t>i</m:t>
        </m:r>
      </m:oMath>
      <w:r>
        <w:rPr>
          <w:rFonts w:hint="eastAsia" w:asciiTheme="minorEastAsia" w:hAnsiTheme="minorEastAsia" w:cstheme="minorEastAsia"/>
          <w:iCs/>
          <w:color w:val="000000" w:themeColor="text1"/>
          <w:sz w:val="18"/>
          <w:szCs w:val="18"/>
          <w14:textFill>
            <w14:solidFill>
              <w14:schemeClr w14:val="tx1"/>
            </w14:solidFill>
          </w14:textFill>
        </w:rPr>
        <w:t>种纵向钢筋的相对粘结特性系数，按表</w:t>
      </w:r>
      <w:r>
        <w:rPr>
          <w:rFonts w:asciiTheme="minorEastAsia" w:hAnsiTheme="minorEastAsia" w:cstheme="minorEastAsia"/>
          <w:iCs/>
          <w:color w:val="000000" w:themeColor="text1"/>
          <w:sz w:val="18"/>
          <w:szCs w:val="18"/>
          <w14:textFill>
            <w14:solidFill>
              <w14:schemeClr w14:val="tx1"/>
            </w14:solidFill>
          </w14:textFill>
        </w:rPr>
        <w:t>5.3.2</w:t>
      </w:r>
      <w:r>
        <w:rPr>
          <w:rFonts w:hint="eastAsia" w:asciiTheme="minorEastAsia" w:hAnsiTheme="minorEastAsia" w:cstheme="minorEastAsia"/>
          <w:iCs/>
          <w:color w:val="000000" w:themeColor="text1"/>
          <w:sz w:val="18"/>
          <w:szCs w:val="18"/>
          <w14:textFill>
            <w14:solidFill>
              <w14:schemeClr w14:val="tx1"/>
            </w14:solidFill>
          </w14:textFill>
        </w:rPr>
        <w:t>采用。</w:t>
      </w:r>
    </w:p>
    <w:p>
      <w:pPr>
        <w:ind w:firstLine="1260" w:firstLineChars="700"/>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表</w:t>
      </w:r>
      <w:r>
        <w:rPr>
          <w:rFonts w:asciiTheme="minorEastAsia" w:hAnsiTheme="minorEastAsia" w:cstheme="minorEastAsia"/>
          <w:iCs/>
          <w:color w:val="000000" w:themeColor="text1"/>
          <w:sz w:val="18"/>
          <w:szCs w:val="18"/>
          <w14:textFill>
            <w14:solidFill>
              <w14:schemeClr w14:val="tx1"/>
            </w14:solidFill>
          </w14:textFill>
        </w:rPr>
        <w:t xml:space="preserve">5.3.2 </w:t>
      </w:r>
      <w:r>
        <w:rPr>
          <w:rFonts w:hint="eastAsia" w:asciiTheme="minorEastAsia" w:hAnsiTheme="minorEastAsia" w:cstheme="minorEastAsia"/>
          <w:iCs/>
          <w:color w:val="000000" w:themeColor="text1"/>
          <w:sz w:val="18"/>
          <w:szCs w:val="18"/>
          <w14:textFill>
            <w14:solidFill>
              <w14:schemeClr w14:val="tx1"/>
            </w14:solidFill>
          </w14:textFill>
        </w:rPr>
        <w:t>钢筋及钢板的相对粘结特性系数</w:t>
      </w:r>
    </w:p>
    <w:tbl>
      <w:tblPr>
        <w:tblStyle w:val="23"/>
        <w:tblW w:w="5417"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624"/>
        <w:gridCol w:w="624"/>
        <w:gridCol w:w="1063"/>
        <w:gridCol w:w="1070"/>
        <w:gridCol w:w="80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Merge w:val="restart"/>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钢筋类别</w:t>
            </w:r>
          </w:p>
        </w:tc>
        <w:tc>
          <w:tcPr>
            <w:tcW w:w="1248" w:type="dxa"/>
            <w:gridSpan w:val="2"/>
          </w:tcPr>
          <w:p>
            <w:pPr>
              <w:jc w:val="center"/>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钢筋</w:t>
            </w:r>
          </w:p>
        </w:tc>
        <w:tc>
          <w:tcPr>
            <w:tcW w:w="1063" w:type="dxa"/>
          </w:tcPr>
          <w:p>
            <w:pPr>
              <w:jc w:val="center"/>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钢板</w:t>
            </w:r>
          </w:p>
        </w:tc>
        <w:tc>
          <w:tcPr>
            <w:tcW w:w="2495" w:type="dxa"/>
            <w:gridSpan w:val="3"/>
          </w:tcPr>
          <w:p>
            <w:pPr>
              <w:jc w:val="center"/>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后张法预应力筋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Merge w:val="continue"/>
          </w:tcPr>
          <w:p>
            <w:pPr>
              <w:jc w:val="left"/>
              <w:rPr>
                <w:rFonts w:asciiTheme="minorEastAsia" w:hAnsiTheme="minorEastAsia" w:cstheme="minorEastAsia"/>
                <w:iCs/>
                <w:color w:val="000000" w:themeColor="text1"/>
                <w:sz w:val="18"/>
                <w:szCs w:val="18"/>
                <w14:textFill>
                  <w14:solidFill>
                    <w14:schemeClr w14:val="tx1"/>
                  </w14:solidFill>
                </w14:textFill>
              </w:rPr>
            </w:pPr>
          </w:p>
        </w:tc>
        <w:tc>
          <w:tcPr>
            <w:tcW w:w="624"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光圆钢筋</w:t>
            </w:r>
          </w:p>
        </w:tc>
        <w:tc>
          <w:tcPr>
            <w:tcW w:w="624"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带肋钢筋</w:t>
            </w:r>
          </w:p>
        </w:tc>
        <w:tc>
          <w:tcPr>
            <w:tcW w:w="1063" w:type="dxa"/>
          </w:tcPr>
          <w:p>
            <w:pPr>
              <w:jc w:val="center"/>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w:t>
            </w:r>
          </w:p>
        </w:tc>
        <w:tc>
          <w:tcPr>
            <w:tcW w:w="1070"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带肋钢筋</w:t>
            </w:r>
          </w:p>
        </w:tc>
        <w:tc>
          <w:tcPr>
            <w:tcW w:w="801"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钢绞线</w:t>
            </w:r>
          </w:p>
        </w:tc>
        <w:tc>
          <w:tcPr>
            <w:tcW w:w="624"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光面钢丝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tcPr>
          <w:p>
            <w:pPr>
              <w:jc w:val="left"/>
              <w:rPr>
                <w:rFonts w:asciiTheme="minorEastAsia" w:hAnsiTheme="minorEastAsia" w:cstheme="minorEastAsia"/>
                <w:iCs/>
                <w:color w:val="000000" w:themeColor="text1"/>
                <w:sz w:val="18"/>
                <w:szCs w:val="18"/>
                <w14:textFill>
                  <w14:solidFill>
                    <w14:schemeClr w14:val="tx1"/>
                  </w14:solidFill>
                </w14:textFill>
              </w:rPr>
            </w:pPr>
            <m:oMathPara>
              <m:oMath>
                <m:sSub>
                  <m:sSubPr>
                    <m:ctrlPr>
                      <w:rPr>
                        <w:rFonts w:ascii="Cambria Math" w:hAnsi="Cambria Math" w:eastAsia="黑体" w:cstheme="minorEastAsia"/>
                        <w:i/>
                        <w:color w:val="000000" w:themeColor="text1"/>
                        <w:sz w:val="18"/>
                        <w:szCs w:val="18"/>
                        <w14:textFill>
                          <w14:solidFill>
                            <w14:schemeClr w14:val="tx1"/>
                          </w14:solidFill>
                        </w14:textFill>
                      </w:rPr>
                    </m:ctrlPr>
                  </m:sSubPr>
                  <m:e>
                    <m:r>
                      <w:rPr>
                        <w:rFonts w:hint="eastAsia" w:ascii="Cambria Math" w:hAnsi="Cambria Math" w:eastAsia="黑体" w:cstheme="minorEastAsia"/>
                        <w:color w:val="000000" w:themeColor="text1"/>
                        <w:sz w:val="18"/>
                        <w:szCs w:val="18"/>
                        <w14:textFill>
                          <w14:solidFill>
                            <w14:schemeClr w14:val="tx1"/>
                          </w14:solidFill>
                        </w14:textFill>
                      </w:rPr>
                      <m:t>ν</m:t>
                    </m:r>
                    <m:ctrlPr>
                      <w:rPr>
                        <w:rFonts w:ascii="Cambria Math" w:hAnsi="Cambria Math" w:eastAsia="黑体" w:cstheme="minorEastAsia"/>
                        <w:i/>
                        <w:color w:val="000000" w:themeColor="text1"/>
                        <w:sz w:val="18"/>
                        <w:szCs w:val="18"/>
                        <w14:textFill>
                          <w14:solidFill>
                            <w14:schemeClr w14:val="tx1"/>
                          </w14:solidFill>
                        </w14:textFill>
                      </w:rPr>
                    </m:ctrlPr>
                  </m:e>
                  <m:sub>
                    <m:r>
                      <w:rPr>
                        <w:rFonts w:ascii="Cambria Math" w:hAnsi="Cambria Math" w:eastAsia="黑体" w:cstheme="minorEastAsia"/>
                        <w:color w:val="000000" w:themeColor="text1"/>
                        <w:sz w:val="18"/>
                        <w:szCs w:val="18"/>
                        <w14:textFill>
                          <w14:solidFill>
                            <w14:schemeClr w14:val="tx1"/>
                          </w14:solidFill>
                        </w14:textFill>
                      </w:rPr>
                      <m:t>i</m:t>
                    </m:r>
                    <m:ctrlPr>
                      <w:rPr>
                        <w:rFonts w:ascii="Cambria Math" w:hAnsi="Cambria Math" w:eastAsia="黑体" w:cstheme="minorEastAsia"/>
                        <w:i/>
                        <w:color w:val="000000" w:themeColor="text1"/>
                        <w:sz w:val="18"/>
                        <w:szCs w:val="18"/>
                        <w14:textFill>
                          <w14:solidFill>
                            <w14:schemeClr w14:val="tx1"/>
                          </w14:solidFill>
                        </w14:textFill>
                      </w:rPr>
                    </m:ctrlPr>
                  </m:sub>
                </m:sSub>
              </m:oMath>
            </m:oMathPara>
          </w:p>
        </w:tc>
        <w:tc>
          <w:tcPr>
            <w:tcW w:w="624"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0</w:t>
            </w:r>
            <w:r>
              <w:rPr>
                <w:rFonts w:asciiTheme="minorEastAsia" w:hAnsiTheme="minorEastAsia" w:cstheme="minorEastAsia"/>
                <w:iCs/>
                <w:color w:val="000000" w:themeColor="text1"/>
                <w:sz w:val="18"/>
                <w:szCs w:val="18"/>
                <w14:textFill>
                  <w14:solidFill>
                    <w14:schemeClr w14:val="tx1"/>
                  </w14:solidFill>
                </w14:textFill>
              </w:rPr>
              <w:t>.7</w:t>
            </w:r>
          </w:p>
        </w:tc>
        <w:tc>
          <w:tcPr>
            <w:tcW w:w="624" w:type="dxa"/>
          </w:tcPr>
          <w:p>
            <w:pPr>
              <w:jc w:val="center"/>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1</w:t>
            </w:r>
            <w:r>
              <w:rPr>
                <w:rFonts w:asciiTheme="minorEastAsia" w:hAnsiTheme="minorEastAsia" w:cstheme="minorEastAsia"/>
                <w:iCs/>
                <w:color w:val="000000" w:themeColor="text1"/>
                <w:sz w:val="18"/>
                <w:szCs w:val="18"/>
                <w14:textFill>
                  <w14:solidFill>
                    <w14:schemeClr w14:val="tx1"/>
                  </w14:solidFill>
                </w14:textFill>
              </w:rPr>
              <w:t>.0</w:t>
            </w:r>
          </w:p>
        </w:tc>
        <w:tc>
          <w:tcPr>
            <w:tcW w:w="1063" w:type="dxa"/>
          </w:tcPr>
          <w:p>
            <w:pPr>
              <w:ind w:firstLine="360" w:firstLineChars="200"/>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0</w:t>
            </w:r>
            <w:r>
              <w:rPr>
                <w:rFonts w:asciiTheme="minorEastAsia" w:hAnsiTheme="minorEastAsia" w:cstheme="minorEastAsia"/>
                <w:iCs/>
                <w:color w:val="000000" w:themeColor="text1"/>
                <w:sz w:val="18"/>
                <w:szCs w:val="18"/>
                <w14:textFill>
                  <w14:solidFill>
                    <w14:schemeClr w14:val="tx1"/>
                  </w14:solidFill>
                </w14:textFill>
              </w:rPr>
              <w:t>.7</w:t>
            </w:r>
          </w:p>
        </w:tc>
        <w:tc>
          <w:tcPr>
            <w:tcW w:w="1070"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0</w:t>
            </w:r>
            <w:r>
              <w:rPr>
                <w:rFonts w:asciiTheme="minorEastAsia" w:hAnsiTheme="minorEastAsia" w:cstheme="minorEastAsia"/>
                <w:iCs/>
                <w:color w:val="000000" w:themeColor="text1"/>
                <w:sz w:val="18"/>
                <w:szCs w:val="18"/>
                <w14:textFill>
                  <w14:solidFill>
                    <w14:schemeClr w14:val="tx1"/>
                  </w14:solidFill>
                </w14:textFill>
              </w:rPr>
              <w:t>.8</w:t>
            </w:r>
          </w:p>
        </w:tc>
        <w:tc>
          <w:tcPr>
            <w:tcW w:w="801"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0</w:t>
            </w:r>
            <w:r>
              <w:rPr>
                <w:rFonts w:asciiTheme="minorEastAsia" w:hAnsiTheme="minorEastAsia" w:cstheme="minorEastAsia"/>
                <w:iCs/>
                <w:color w:val="000000" w:themeColor="text1"/>
                <w:sz w:val="18"/>
                <w:szCs w:val="18"/>
                <w14:textFill>
                  <w14:solidFill>
                    <w14:schemeClr w14:val="tx1"/>
                  </w14:solidFill>
                </w14:textFill>
              </w:rPr>
              <w:t>.5</w:t>
            </w:r>
          </w:p>
        </w:tc>
        <w:tc>
          <w:tcPr>
            <w:tcW w:w="624" w:type="dxa"/>
          </w:tcPr>
          <w:p>
            <w:pPr>
              <w:jc w:val="left"/>
              <w:rPr>
                <w:rFonts w:asciiTheme="minorEastAsia" w:hAnsiTheme="minorEastAsia" w:cstheme="minorEastAsia"/>
                <w:iCs/>
                <w:color w:val="000000" w:themeColor="text1"/>
                <w:sz w:val="18"/>
                <w:szCs w:val="18"/>
                <w14:textFill>
                  <w14:solidFill>
                    <w14:schemeClr w14:val="tx1"/>
                  </w14:solidFill>
                </w14:textFill>
              </w:rPr>
            </w:pPr>
            <w:r>
              <w:rPr>
                <w:rFonts w:hint="eastAsia" w:asciiTheme="minorEastAsia" w:hAnsiTheme="minorEastAsia" w:cstheme="minorEastAsia"/>
                <w:iCs/>
                <w:color w:val="000000" w:themeColor="text1"/>
                <w:sz w:val="18"/>
                <w:szCs w:val="18"/>
                <w14:textFill>
                  <w14:solidFill>
                    <w14:schemeClr w14:val="tx1"/>
                  </w14:solidFill>
                </w14:textFill>
              </w:rPr>
              <w:t>0</w:t>
            </w:r>
            <w:r>
              <w:rPr>
                <w:rFonts w:asciiTheme="minorEastAsia" w:hAnsiTheme="minorEastAsia" w:cstheme="minorEastAsia"/>
                <w:iCs/>
                <w:color w:val="000000" w:themeColor="text1"/>
                <w:sz w:val="18"/>
                <w:szCs w:val="18"/>
                <w14:textFill>
                  <w14:solidFill>
                    <w14:schemeClr w14:val="tx1"/>
                  </w14:solidFill>
                </w14:textFill>
              </w:rPr>
              <w:t>.4</w:t>
            </w:r>
          </w:p>
        </w:tc>
      </w:tr>
    </w:tbl>
    <w:p>
      <w:pPr>
        <w:ind w:firstLine="450" w:firstLineChars="300"/>
        <w:jc w:val="left"/>
        <w:rPr>
          <w:rFonts w:asciiTheme="minorEastAsia" w:hAnsiTheme="minorEastAsia" w:cstheme="minorEastAsia"/>
          <w:iCs/>
          <w:color w:val="000000" w:themeColor="text1"/>
          <w:sz w:val="15"/>
          <w:szCs w:val="15"/>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注：对环氧树脂涂层带肋钢筋，其相对粘结特性系数按表中系数的8</w:t>
      </w:r>
      <w:r>
        <w:rPr>
          <w:rFonts w:asciiTheme="minorEastAsia" w:hAnsiTheme="minorEastAsia" w:cstheme="minorEastAsia"/>
          <w:iCs/>
          <w:color w:val="000000" w:themeColor="text1"/>
          <w:sz w:val="15"/>
          <w:szCs w:val="15"/>
          <w14:textFill>
            <w14:solidFill>
              <w14:schemeClr w14:val="tx1"/>
            </w14:solidFill>
          </w14:textFill>
        </w:rPr>
        <w:t>0</w:t>
      </w:r>
      <w:r>
        <w:rPr>
          <w:rFonts w:hint="eastAsia" w:asciiTheme="minorEastAsia" w:hAnsiTheme="minorEastAsia" w:cstheme="minorEastAsia"/>
          <w:iCs/>
          <w:color w:val="000000" w:themeColor="text1"/>
          <w:sz w:val="15"/>
          <w:szCs w:val="15"/>
          <w14:textFill>
            <w14:solidFill>
              <w14:schemeClr w14:val="tx1"/>
            </w14:solidFill>
          </w14:textFill>
        </w:rPr>
        <w:t>%取用。</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 xml:space="preserve">.3.3 </w:t>
      </w:r>
      <w:r>
        <w:rPr>
          <w:rFonts w:hint="eastAsia" w:asciiTheme="minorEastAsia" w:hAnsiTheme="minorEastAsia" w:cstheme="minorEastAsia"/>
          <w:color w:val="000000" w:themeColor="text1"/>
          <w:szCs w:val="21"/>
          <w14:textFill>
            <w14:solidFill>
              <w14:schemeClr w14:val="tx1"/>
            </w14:solidFill>
          </w14:textFill>
        </w:rPr>
        <w:t>在荷载准永久组合或标准组合下，甲壳梁开裂截面处受压边缘混凝土压应力、不同位置处钢筋的拉应力及预应力筋的等效应力宜按下列假定计算：</w:t>
      </w:r>
    </w:p>
    <w:p>
      <w:pPr>
        <w:ind w:left="420" w:left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截面应变保持平面；</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2 </w:t>
      </w:r>
      <w:r>
        <w:rPr>
          <w:rFonts w:hint="eastAsia" w:asciiTheme="minorEastAsia" w:hAnsiTheme="minorEastAsia" w:cstheme="minorEastAsia"/>
          <w:color w:val="000000" w:themeColor="text1"/>
          <w:szCs w:val="21"/>
          <w14:textFill>
            <w14:solidFill>
              <w14:schemeClr w14:val="tx1"/>
            </w14:solidFill>
          </w14:textFill>
        </w:rPr>
        <w:t>受压区混凝土的法向应力图取为三角形；</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3 </w:t>
      </w:r>
      <w:r>
        <w:rPr>
          <w:rFonts w:hint="eastAsia" w:asciiTheme="minorEastAsia" w:hAnsiTheme="minorEastAsia" w:cstheme="minorEastAsia"/>
          <w:color w:val="000000" w:themeColor="text1"/>
          <w:szCs w:val="21"/>
          <w14:textFill>
            <w14:solidFill>
              <w14:schemeClr w14:val="tx1"/>
            </w14:solidFill>
          </w14:textFill>
        </w:rPr>
        <w:t>不考虑受拉区混凝土的抗拉强度；</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4 </w:t>
      </w:r>
      <w:r>
        <w:rPr>
          <w:rFonts w:hint="eastAsia" w:asciiTheme="minorEastAsia" w:hAnsiTheme="minorEastAsia" w:cstheme="minorEastAsia"/>
          <w:color w:val="000000" w:themeColor="text1"/>
          <w:szCs w:val="21"/>
          <w14:textFill>
            <w14:solidFill>
              <w14:schemeClr w14:val="tx1"/>
            </w14:solidFill>
          </w14:textFill>
        </w:rPr>
        <w:t>采用换算截面。</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 xml:space="preserve">.3.4 </w:t>
      </w:r>
      <w:r>
        <w:rPr>
          <w:rFonts w:hint="eastAsia" w:asciiTheme="minorEastAsia" w:hAnsiTheme="minorEastAsia" w:cstheme="minorEastAsia"/>
          <w:color w:val="000000" w:themeColor="text1"/>
          <w:szCs w:val="21"/>
          <w14:textFill>
            <w14:solidFill>
              <w14:schemeClr w14:val="tx1"/>
            </w14:solidFill>
          </w14:textFill>
        </w:rPr>
        <w:t>在荷载准永久组合或标准组合下，甲壳梁纵向普通钢筋的应力或预应力甲壳梁受拉区纵向钢筋的等效应力可以按下列公式计算：</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无预应力甲壳梁受拉区纵向普通钢筋的应力</w:t>
      </w:r>
    </w:p>
    <w:p>
      <w:pPr>
        <w:ind w:firstLine="375"/>
        <w:jc w:val="left"/>
        <w:rPr>
          <w:rFonts w:ascii="黑体" w:hAnsi="黑体" w:eastAsia="黑体"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m:t>
            </m:r>
            <m:r>
              <w:rPr>
                <w:rFonts w:ascii="Cambria Math" w:hAnsi="Cambria Math" w:cstheme="minorEastAsia"/>
                <w:color w:val="000000" w:themeColor="text1"/>
                <w:szCs w:val="21"/>
                <w14:textFill>
                  <w14:solidFill>
                    <w14:schemeClr w14:val="tx1"/>
                  </w14:solidFill>
                </w14:textFill>
              </w:rPr>
              <m:t>q</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q</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0.87</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.3.4-1</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q</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——按荷载效应准永久组合计算的弯矩值；</w:t>
      </w:r>
      <w:r>
        <w:rPr>
          <w:rFonts w:asciiTheme="minorEastAsia" w:hAnsiTheme="minorEastAsia" w:cstheme="minorEastAsia"/>
          <w:color w:val="000000" w:themeColor="text1"/>
          <w:szCs w:val="21"/>
          <w14:textFill>
            <w14:solidFill>
              <w14:schemeClr w14:val="tx1"/>
            </w14:solidFill>
          </w14:textFill>
        </w:rPr>
        <w:t xml:space="preserve"> </w:t>
      </w:r>
    </w:p>
    <w:p>
      <w:pPr>
        <w:ind w:left="2100" w:leftChars="100" w:hanging="1890" w:hangingChars="9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r>
              <w:rPr>
                <w:rFonts w:hint="eastAsia"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——纵向受拉钢筋、受拉上翼缘钢板截面重心至</w:t>
      </w:r>
    </w:p>
    <w:p>
      <w:pPr>
        <w:ind w:left="2100" w:leftChars="900" w:hanging="210" w:hangingChars="100"/>
        <w:jc w:val="left"/>
        <w:rPr>
          <w:rFonts w:ascii="黑体" w:hAnsi="黑体" w:eastAsia="黑体"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梁截面受压边缘的距离；</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2 </w:t>
      </w:r>
      <w:r>
        <w:rPr>
          <w:rFonts w:hint="eastAsia" w:asciiTheme="minorEastAsia" w:hAnsiTheme="minorEastAsia" w:cstheme="minorEastAsia"/>
          <w:color w:val="000000" w:themeColor="text1"/>
          <w:szCs w:val="21"/>
          <w14:textFill>
            <w14:solidFill>
              <w14:schemeClr w14:val="tx1"/>
            </w14:solidFill>
          </w14:textFill>
        </w:rPr>
        <w:t>预应力甲壳梁受拉区纵向钢筋的等效应力</w:t>
      </w:r>
    </w:p>
    <w:p>
      <w:pPr>
        <w:jc w:val="center"/>
        <w:rPr>
          <w:rFonts w:ascii="黑体" w:hAnsi="黑体" w:eastAsia="黑体"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p0</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z-</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ctrlPr>
              <w:rPr>
                <w:rFonts w:ascii="Cambria Math" w:hAnsi="Cambria Math" w:cstheme="minorEastAsia"/>
                <w:i/>
                <w:color w:val="000000" w:themeColor="text1"/>
                <w:szCs w:val="21"/>
                <w14:textFill>
                  <w14:solidFill>
                    <w14:schemeClr w14:val="tx1"/>
                  </w14:solidFill>
                </w14:textFill>
              </w:rPr>
            </m:ctrlPr>
          </m:num>
          <m:den>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z</m:t>
            </m:r>
            <m:ctrlPr>
              <w:rPr>
                <w:rFonts w:ascii="Cambria Math" w:hAnsi="Cambria Math" w:cstheme="minorEastAsia"/>
                <w:i/>
                <w:color w:val="000000" w:themeColor="text1"/>
                <w:szCs w:val="21"/>
                <w14:textFill>
                  <w14:solidFill>
                    <w14:schemeClr w14:val="tx1"/>
                  </w14:solidFill>
                </w14:textFill>
              </w:rPr>
            </m:ctrlPr>
          </m:den>
        </m:f>
      </m:oMath>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.3.4-2</w:t>
      </w:r>
      <w:r>
        <w:rPr>
          <w:rFonts w:hint="eastAsia" w:asciiTheme="minorEastAsia" w:hAnsiTheme="minorEastAsia" w:cstheme="minorEastAsia"/>
          <w:color w:val="000000" w:themeColor="text1"/>
          <w:szCs w:val="21"/>
          <w14:textFill>
            <w14:solidFill>
              <w14:schemeClr w14:val="tx1"/>
            </w14:solidFill>
          </w14:textFill>
        </w:rPr>
        <w:t>）</w:t>
      </w:r>
    </w:p>
    <w:p>
      <w:pPr>
        <w:ind w:firstLine="1050" w:firstLineChars="500"/>
        <w:jc w:val="left"/>
        <w:rPr>
          <w:rFonts w:asciiTheme="minorEastAsia" w:hAnsiTheme="minorEastAsia" w:cstheme="minorEastAsia"/>
          <w:color w:val="000000" w:themeColor="text1"/>
          <w:szCs w:val="21"/>
          <w14:textFill>
            <w14:solidFill>
              <w14:schemeClr w14:val="tx1"/>
            </w14:solidFill>
          </w14:textFill>
        </w:rPr>
      </w:pPr>
      <m:oMath>
        <m:r>
          <w:rPr>
            <w:rFonts w:ascii="Cambria Math" w:hAnsi="Cambria Math" w:eastAsia="黑体" w:cstheme="minorEastAsia"/>
            <w:color w:val="000000" w:themeColor="text1"/>
            <w:szCs w:val="21"/>
            <w14:textFill>
              <w14:solidFill>
                <w14:schemeClr w14:val="tx1"/>
              </w14:solidFill>
            </w14:textFill>
          </w:rPr>
          <m:t xml:space="preserve"> z=</m:t>
        </m:r>
        <m:d>
          <m:dPr>
            <m:begChr m:val="["/>
            <m:endChr m:val="]"/>
            <m:ctrlPr>
              <w:rPr>
                <w:rFonts w:ascii="Cambria Math" w:hAnsi="Cambria Math" w:eastAsia="黑体" w:cstheme="minorEastAsia"/>
                <w:i/>
                <w:color w:val="000000" w:themeColor="text1"/>
                <w:szCs w:val="21"/>
                <w14:textFill>
                  <w14:solidFill>
                    <w14:schemeClr w14:val="tx1"/>
                  </w14:solidFill>
                </w14:textFill>
              </w:rPr>
            </m:ctrlPr>
          </m:dPr>
          <m:e>
            <m:r>
              <w:rPr>
                <w:rFonts w:ascii="Cambria Math" w:hAnsi="Cambria Math" w:eastAsia="黑体" w:cstheme="minorEastAsia"/>
                <w:color w:val="000000" w:themeColor="text1"/>
                <w:szCs w:val="21"/>
                <w14:textFill>
                  <w14:solidFill>
                    <w14:schemeClr w14:val="tx1"/>
                  </w14:solidFill>
                </w14:textFill>
              </w:rPr>
              <m:t>0.87-0.12</m:t>
            </m:r>
            <m:sSup>
              <m:sSupPr>
                <m:ctrlPr>
                  <w:rPr>
                    <w:rFonts w:ascii="Cambria Math" w:hAnsi="Cambria Math" w:eastAsia="黑体" w:cstheme="minorEastAsia"/>
                    <w:i/>
                    <w:color w:val="000000" w:themeColor="text1"/>
                    <w:szCs w:val="21"/>
                    <w14:textFill>
                      <w14:solidFill>
                        <w14:schemeClr w14:val="tx1"/>
                      </w14:solidFill>
                    </w14:textFill>
                  </w:rPr>
                </m:ctrlPr>
              </m:sSupPr>
              <m:e>
                <m:d>
                  <m:dPr>
                    <m:ctrlPr>
                      <w:rPr>
                        <w:rFonts w:ascii="Cambria Math" w:hAnsi="Cambria Math" w:eastAsia="黑体" w:cstheme="minorEastAsia"/>
                        <w:i/>
                        <w:color w:val="000000" w:themeColor="text1"/>
                        <w:szCs w:val="21"/>
                        <w14:textFill>
                          <w14:solidFill>
                            <w14:schemeClr w14:val="tx1"/>
                          </w14:solidFill>
                        </w14:textFill>
                      </w:rPr>
                    </m:ctrlPr>
                  </m:dPr>
                  <m:e>
                    <m:f>
                      <m:fPr>
                        <m:ctrlPr>
                          <w:rPr>
                            <w:rFonts w:ascii="Cambria Math" w:hAnsi="Cambria Math" w:eastAsia="黑体" w:cstheme="minorEastAsia"/>
                            <w:i/>
                            <w:color w:val="000000" w:themeColor="text1"/>
                            <w:szCs w:val="21"/>
                            <w14:textFill>
                              <w14:solidFill>
                                <w14:schemeClr w14:val="tx1"/>
                              </w14:solidFill>
                            </w14:textFill>
                          </w:rPr>
                        </m:ctrlPr>
                      </m:fPr>
                      <m:num>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h</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0</m:t>
                            </m:r>
                            <m:ctrlPr>
                              <w:rPr>
                                <w:rFonts w:ascii="Cambria Math" w:hAnsi="Cambria Math" w:eastAsia="黑体" w:cstheme="minorEastAsia"/>
                                <w:i/>
                                <w:color w:val="000000" w:themeColor="text1"/>
                                <w:szCs w:val="21"/>
                                <w14:textFill>
                                  <w14:solidFill>
                                    <w14:schemeClr w14:val="tx1"/>
                                  </w14:solidFill>
                                </w14:textFill>
                              </w:rPr>
                            </m:ctrlPr>
                          </m:sub>
                        </m:sSub>
                        <m:ctrlPr>
                          <w:rPr>
                            <w:rFonts w:ascii="Cambria Math" w:hAnsi="Cambria Math" w:eastAsia="黑体" w:cstheme="minorEastAsia"/>
                            <w:i/>
                            <w:color w:val="000000" w:themeColor="text1"/>
                            <w:szCs w:val="21"/>
                            <w14:textFill>
                              <w14:solidFill>
                                <w14:schemeClr w14:val="tx1"/>
                              </w14:solidFill>
                            </w14:textFill>
                          </w:rPr>
                        </m:ctrlPr>
                      </m:num>
                      <m:den>
                        <m:r>
                          <w:rPr>
                            <w:rFonts w:ascii="Cambria Math" w:hAnsi="Cambria Math" w:eastAsia="黑体" w:cstheme="minorEastAsia"/>
                            <w:color w:val="000000" w:themeColor="text1"/>
                            <w:szCs w:val="21"/>
                            <w14:textFill>
                              <w14:solidFill>
                                <w14:schemeClr w14:val="tx1"/>
                              </w14:solidFill>
                            </w14:textFill>
                          </w:rPr>
                          <m:t>e</m:t>
                        </m:r>
                        <m:ctrlPr>
                          <w:rPr>
                            <w:rFonts w:ascii="Cambria Math" w:hAnsi="Cambria Math" w:eastAsia="黑体" w:cstheme="minorEastAsia"/>
                            <w:i/>
                            <w:color w:val="000000" w:themeColor="text1"/>
                            <w:szCs w:val="21"/>
                            <w14:textFill>
                              <w14:solidFill>
                                <w14:schemeClr w14:val="tx1"/>
                              </w14:solidFill>
                            </w14:textFill>
                          </w:rPr>
                        </m:ctrlPr>
                      </m:den>
                    </m:f>
                    <m:ctrlPr>
                      <w:rPr>
                        <w:rFonts w:ascii="Cambria Math" w:hAnsi="Cambria Math" w:eastAsia="黑体" w:cstheme="minorEastAsia"/>
                        <w:i/>
                        <w:color w:val="000000" w:themeColor="text1"/>
                        <w:szCs w:val="21"/>
                        <w14:textFill>
                          <w14:solidFill>
                            <w14:schemeClr w14:val="tx1"/>
                          </w14:solidFill>
                        </w14:textFill>
                      </w:rPr>
                    </m:ctrlPr>
                  </m:e>
                </m:d>
                <m:ctrlPr>
                  <w:rPr>
                    <w:rFonts w:ascii="Cambria Math" w:hAnsi="Cambria Math" w:eastAsia="黑体" w:cstheme="minorEastAsia"/>
                    <w:i/>
                    <w:color w:val="000000" w:themeColor="text1"/>
                    <w:szCs w:val="21"/>
                    <w14:textFill>
                      <w14:solidFill>
                        <w14:schemeClr w14:val="tx1"/>
                      </w14:solidFill>
                    </w14:textFill>
                  </w:rPr>
                </m:ctrlPr>
              </m:e>
              <m:sup>
                <m:r>
                  <w:rPr>
                    <w:rFonts w:ascii="Cambria Math" w:hAnsi="Cambria Math" w:eastAsia="黑体" w:cstheme="minorEastAsia"/>
                    <w:color w:val="000000" w:themeColor="text1"/>
                    <w:szCs w:val="21"/>
                    <w14:textFill>
                      <w14:solidFill>
                        <w14:schemeClr w14:val="tx1"/>
                      </w14:solidFill>
                    </w14:textFill>
                  </w:rPr>
                  <m:t>2</m:t>
                </m:r>
                <m:ctrlPr>
                  <w:rPr>
                    <w:rFonts w:ascii="Cambria Math" w:hAnsi="Cambria Math" w:eastAsia="黑体" w:cstheme="minorEastAsia"/>
                    <w:i/>
                    <w:color w:val="000000" w:themeColor="text1"/>
                    <w:szCs w:val="21"/>
                    <w14:textFill>
                      <w14:solidFill>
                        <w14:schemeClr w14:val="tx1"/>
                      </w14:solidFill>
                    </w14:textFill>
                  </w:rPr>
                </m:ctrlPr>
              </m:sup>
            </m:sSup>
            <m:ctrlPr>
              <w:rPr>
                <w:rFonts w:ascii="Cambria Math" w:hAnsi="Cambria Math" w:eastAsia="黑体" w:cstheme="minorEastAsia"/>
                <w:i/>
                <w:color w:val="000000" w:themeColor="text1"/>
                <w:szCs w:val="21"/>
                <w14:textFill>
                  <w14:solidFill>
                    <w14:schemeClr w14:val="tx1"/>
                  </w14:solidFill>
                </w14:textFill>
              </w:rPr>
            </m:ctrlPr>
          </m:e>
        </m:d>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h</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0</m:t>
            </m:r>
            <m:ctrlPr>
              <w:rPr>
                <w:rFonts w:ascii="Cambria Math" w:hAnsi="Cambria Math" w:eastAsia="黑体" w:cstheme="minorEastAsia"/>
                <w:i/>
                <w:color w:val="000000" w:themeColor="text1"/>
                <w:szCs w:val="21"/>
                <w14:textFill>
                  <w14:solidFill>
                    <w14:schemeClr w14:val="tx1"/>
                  </w14:solidFill>
                </w14:textFill>
              </w:rPr>
            </m:ctrlPr>
          </m:sub>
        </m:sSub>
      </m:oMath>
      <w:r>
        <w:rPr>
          <w:rFonts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.3.4-3</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e=</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 xml:space="preserve"> </m:t>
                </m:r>
                <m:r>
                  <w:rPr>
                    <w:rFonts w:hint="eastAsia"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.3.4-4</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黑体" w:hAnsi="黑体" w:eastAsia="黑体"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 xml:space="preserve">   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y</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.3.4-4</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——按荷载效应标准组合计算的弯矩值；</w:t>
      </w:r>
    </w:p>
    <w:p>
      <w:pPr>
        <w:ind w:left="1050" w:leftChars="300" w:hanging="420" w:hangingChars="2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p</m:t>
            </m:r>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——计算截面上混凝土法向预应力等于零时的预加力，按《混凝土结构设计规范》第1</w:t>
      </w:r>
      <w:r>
        <w:rPr>
          <w:rFonts w:asciiTheme="minorEastAsia" w:hAnsiTheme="minorEastAsia" w:cstheme="minorEastAsia"/>
          <w:color w:val="000000" w:themeColor="text1"/>
          <w:szCs w:val="21"/>
          <w14:textFill>
            <w14:solidFill>
              <w14:schemeClr w14:val="tx1"/>
            </w14:solidFill>
          </w14:textFill>
        </w:rPr>
        <w:t>0.1.13</w:t>
      </w:r>
      <w:r>
        <w:rPr>
          <w:rFonts w:hint="eastAsia" w:asciiTheme="minorEastAsia" w:hAnsiTheme="minorEastAsia" w:cstheme="minorEastAsia"/>
          <w:color w:val="000000" w:themeColor="text1"/>
          <w:szCs w:val="21"/>
          <w14:textFill>
            <w14:solidFill>
              <w14:schemeClr w14:val="tx1"/>
            </w14:solidFill>
          </w14:textFill>
        </w:rPr>
        <w:t>条的规定计算。</w:t>
      </w:r>
    </w:p>
    <w:p>
      <w:pPr>
        <w:ind w:left="1260" w:leftChars="300" w:hanging="630" w:hanging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黑体" w:cstheme="minorEastAsia"/>
                <w:i/>
                <w:color w:val="000000" w:themeColor="text1"/>
                <w:szCs w:val="21"/>
                <w14:textFill>
                  <w14:solidFill>
                    <w14:schemeClr w14:val="tx1"/>
                  </w14:solidFill>
                </w14:textFill>
              </w:rPr>
            </m:ctrlPr>
          </m:sSubPr>
          <m:e>
            <m:r>
              <w:rPr>
                <w:rFonts w:ascii="Cambria Math" w:hAnsi="Cambria Math" w:eastAsia="黑体" w:cstheme="minorEastAsia"/>
                <w:color w:val="000000" w:themeColor="text1"/>
                <w:szCs w:val="21"/>
                <w14:textFill>
                  <w14:solidFill>
                    <w14:schemeClr w14:val="tx1"/>
                  </w14:solidFill>
                </w14:textFill>
              </w:rPr>
              <m:t>h</m:t>
            </m:r>
            <m:ctrlPr>
              <w:rPr>
                <w:rFonts w:ascii="Cambria Math" w:hAnsi="Cambria Math" w:eastAsia="黑体" w:cstheme="minorEastAsia"/>
                <w:i/>
                <w:color w:val="000000" w:themeColor="text1"/>
                <w:szCs w:val="21"/>
                <w14:textFill>
                  <w14:solidFill>
                    <w14:schemeClr w14:val="tx1"/>
                  </w14:solidFill>
                </w14:textFill>
              </w:rPr>
            </m:ctrlPr>
          </m:e>
          <m:sub>
            <m:r>
              <w:rPr>
                <w:rFonts w:ascii="Cambria Math" w:hAnsi="Cambria Math" w:eastAsia="黑体" w:cstheme="minorEastAsia"/>
                <w:color w:val="000000" w:themeColor="text1"/>
                <w:szCs w:val="21"/>
                <w14:textFill>
                  <w14:solidFill>
                    <w14:schemeClr w14:val="tx1"/>
                  </w14:solidFill>
                </w14:textFill>
              </w:rPr>
              <m:t>0</m:t>
            </m:r>
            <m:ctrlPr>
              <w:rPr>
                <w:rFonts w:ascii="Cambria Math" w:hAnsi="Cambria Math" w:eastAsia="黑体"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——受拉区纵向普通钢筋、预应力筋及上翼缘钢板合力点至截面受压区截面边缘的距离；</w:t>
      </w:r>
    </w:p>
    <w:p>
      <w:pPr>
        <w:ind w:left="2100" w:leftChars="100" w:hanging="1890" w:hangingChars="9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y</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——受拉区纵向预应力筋和普通钢筋合力点的偏心距；</w:t>
      </w:r>
    </w:p>
    <w:p>
      <w:pPr>
        <w:ind w:left="1260" w:leftChars="100" w:hanging="1050" w:hangingChars="50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p</m:t>
            </m:r>
            <m:r>
              <m:rPr>
                <m:sty m:val="p"/>
              </m:rP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——计算截面上混凝土法向预应力等于零时的预加力</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p</m:t>
            </m:r>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作用点的偏心距，按《混凝土结构设计规范》第1</w:t>
      </w:r>
      <w:r>
        <w:rPr>
          <w:rFonts w:asciiTheme="minorEastAsia" w:hAnsiTheme="minorEastAsia" w:cstheme="minorEastAsia"/>
          <w:color w:val="000000" w:themeColor="text1"/>
          <w:szCs w:val="21"/>
          <w14:textFill>
            <w14:solidFill>
              <w14:schemeClr w14:val="tx1"/>
            </w14:solidFill>
          </w14:textFill>
        </w:rPr>
        <w:t>0.1.13</w:t>
      </w:r>
      <w:r>
        <w:rPr>
          <w:rFonts w:hint="eastAsia" w:asciiTheme="minorEastAsia" w:hAnsiTheme="minorEastAsia" w:cstheme="minorEastAsia"/>
          <w:color w:val="000000" w:themeColor="text1"/>
          <w:szCs w:val="21"/>
          <w14:textFill>
            <w14:solidFill>
              <w14:schemeClr w14:val="tx1"/>
            </w14:solidFill>
          </w14:textFill>
        </w:rPr>
        <w:t>条的规定计算。</w:t>
      </w:r>
    </w:p>
    <w:p>
      <w:pPr>
        <w:ind w:left="1260" w:leftChars="100" w:hanging="1050" w:hangingChars="500"/>
        <w:jc w:val="left"/>
        <w:rPr>
          <w:rFonts w:hint="eastAsia" w:asciiTheme="minorEastAsia" w:hAnsiTheme="minorEastAsia" w:cstheme="minorEastAsia"/>
          <w:color w:val="000000" w:themeColor="text1"/>
          <w:szCs w:val="21"/>
          <w14:textFill>
            <w14:solidFill>
              <w14:schemeClr w14:val="tx1"/>
            </w14:solidFill>
          </w14:textFill>
        </w:rPr>
      </w:pPr>
    </w:p>
    <w:bookmarkEnd w:id="59"/>
    <w:p>
      <w:pPr>
        <w:ind w:firstLine="420" w:firstLineChars="200"/>
        <w:outlineLvl w:val="1"/>
        <w:rPr>
          <w:rFonts w:hint="default"/>
          <w:color w:val="0070C0"/>
          <w:lang w:val="en-US"/>
        </w:rPr>
      </w:pPr>
      <w:r>
        <w:rPr>
          <w:rFonts w:hint="eastAsia"/>
          <w:color w:val="0070C0"/>
        </w:rPr>
        <w:t>条文说明：5.</w:t>
      </w:r>
      <w:r>
        <w:rPr>
          <w:rFonts w:hint="eastAsia"/>
          <w:color w:val="0070C0"/>
          <w:lang w:val="en-US" w:eastAsia="zh-CN"/>
        </w:rPr>
        <w:t>3.1~5.3.4 负弯矩作用下，甲壳梁裂缝宽度计算公式参考《混凝土结构设计规范》进行编制。当设计考虑弯矩调幅时，可按调幅后的内力值进行裂缝宽度计算。</w:t>
      </w: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60" w:name="_Toc18493269"/>
      <w:bookmarkStart w:id="61" w:name="_Toc28706889"/>
      <w:r>
        <w:rPr>
          <w:rFonts w:hint="eastAsia" w:ascii="黑体" w:hAnsi="黑体" w:eastAsia="黑体" w:cstheme="minorEastAsia"/>
          <w:color w:val="000000" w:themeColor="text1"/>
          <w:szCs w:val="21"/>
          <w14:textFill>
            <w14:solidFill>
              <w14:schemeClr w14:val="tx1"/>
            </w14:solidFill>
          </w14:textFill>
        </w:rPr>
        <w:t>5.4</w:t>
      </w:r>
      <w:bookmarkEnd w:id="60"/>
      <w:r>
        <w:rPr>
          <w:rFonts w:hint="eastAsia" w:ascii="黑体" w:hAnsi="黑体" w:eastAsia="黑体" w:cstheme="minorEastAsia"/>
          <w:color w:val="000000" w:themeColor="text1"/>
          <w:szCs w:val="21"/>
          <w14:textFill>
            <w14:solidFill>
              <w14:schemeClr w14:val="tx1"/>
            </w14:solidFill>
          </w14:textFill>
        </w:rPr>
        <w:t>挠度验算</w:t>
      </w:r>
      <w:bookmarkEnd w:id="61"/>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.4.1</w:t>
      </w:r>
      <w:r>
        <w:rPr>
          <w:rFonts w:hint="eastAsia" w:asciiTheme="minorEastAsia" w:hAnsiTheme="minorEastAsia" w:cstheme="minorEastAsia"/>
          <w:color w:val="000000" w:themeColor="text1"/>
          <w:szCs w:val="21"/>
          <w14:textFill>
            <w14:solidFill>
              <w14:schemeClr w14:val="tx1"/>
            </w14:solidFill>
          </w14:textFill>
        </w:rPr>
        <w:t>甲壳梁的挠度可按照结构力学的方法计算，且不应超过本规程表3</w:t>
      </w:r>
      <w:r>
        <w:rPr>
          <w:rFonts w:asciiTheme="minorEastAsia" w:hAnsiTheme="minorEastAsia" w:cstheme="minorEastAsia"/>
          <w:color w:val="000000" w:themeColor="text1"/>
          <w:szCs w:val="21"/>
          <w14:textFill>
            <w14:solidFill>
              <w14:schemeClr w14:val="tx1"/>
            </w14:solidFill>
          </w14:textFill>
        </w:rPr>
        <w:t>.4.5</w:t>
      </w:r>
      <w:r>
        <w:rPr>
          <w:rFonts w:hint="eastAsia" w:asciiTheme="minorEastAsia" w:hAnsiTheme="minorEastAsia" w:cstheme="minorEastAsia"/>
          <w:color w:val="000000" w:themeColor="text1"/>
          <w:szCs w:val="21"/>
          <w14:textFill>
            <w14:solidFill>
              <w14:schemeClr w14:val="tx1"/>
            </w14:solidFill>
          </w14:textFill>
        </w:rPr>
        <w:t>规定的限值；甲壳梁的截面刚度可按跨中最大弯矩处截面的刚度取用；甲壳梁挠度计算时根据实际施工情况进行荷载取值及分阶段挠度计算。</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 xml:space="preserve">.4.2 </w:t>
      </w:r>
      <w:r>
        <w:rPr>
          <w:rFonts w:hint="eastAsia" w:asciiTheme="minorEastAsia" w:hAnsiTheme="minorEastAsia" w:cstheme="minorEastAsia"/>
          <w:color w:val="000000" w:themeColor="text1"/>
          <w:szCs w:val="21"/>
          <w14:textFill>
            <w14:solidFill>
              <w14:schemeClr w14:val="tx1"/>
            </w14:solidFill>
          </w14:textFill>
        </w:rPr>
        <w:t>甲壳梁考虑荷载长期作用影响的刚度B可按下列规定计算：</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无预应力甲壳梁，采用荷载准永久组合计算</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B=</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θ</m:t>
            </m:r>
            <m:ctrlPr>
              <w:rPr>
                <w:rFonts w:ascii="Cambria Math" w:hAnsi="Cambria Math" w:cstheme="minorEastAsia"/>
                <w:i/>
                <w:color w:val="000000" w:themeColor="text1"/>
                <w:szCs w:val="21"/>
                <w14:textFill>
                  <w14:solidFill>
                    <w14:schemeClr w14:val="tx1"/>
                  </w14:solidFill>
                </w14:textFill>
              </w:rPr>
            </m:ctrlPr>
          </m:den>
        </m:f>
      </m:oMath>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.4.2-1</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有预应梁，采用荷载标准组合计算</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B=</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q</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hint="eastAsia" w:ascii="Cambria Math" w:hAnsi="Cambria Math" w:cstheme="minorEastAsia"/>
                    <w:color w:val="000000" w:themeColor="text1"/>
                    <w:szCs w:val="21"/>
                    <w14:textFill>
                      <w14:solidFill>
                        <w14:schemeClr w14:val="tx1"/>
                      </w14:solidFill>
                    </w14:textFill>
                  </w:rPr>
                  <m:t>θ</m:t>
                </m:r>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.4.2-2</w:t>
      </w:r>
      <w:r>
        <w:rPr>
          <w:rFonts w:hint="eastAsia" w:asciiTheme="minorEastAsia" w:hAnsiTheme="minorEastAsia"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 xml:space="preserve">                    </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——按荷载效应标准组合计算的弯矩值；</w:t>
      </w:r>
      <w:r>
        <w:rPr>
          <w:rFonts w:asciiTheme="minorEastAsia" w:hAnsiTheme="minorEastAsia" w:cstheme="minorEastAsia"/>
          <w:color w:val="000000" w:themeColor="text1"/>
          <w:szCs w:val="21"/>
          <w14:textFill>
            <w14:solidFill>
              <w14:schemeClr w14:val="tx1"/>
            </w14:solidFill>
          </w14:textFill>
        </w:rPr>
        <w:t xml:space="preserve"> </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q</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——按荷载效应准永久组合计算的弯矩值；</w:t>
      </w:r>
      <w:r>
        <w:rPr>
          <w:rFonts w:asciiTheme="minorEastAsia" w:hAnsiTheme="minorEastAsia" w:cstheme="minorEastAsia"/>
          <w:color w:val="000000" w:themeColor="text1"/>
          <w:szCs w:val="21"/>
          <w14:textFill>
            <w14:solidFill>
              <w14:schemeClr w14:val="tx1"/>
            </w14:solidFill>
          </w14:textFill>
        </w:rPr>
        <w:t xml:space="preserve"> </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——甲壳梁的短期刚度；</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r>
          <w:rPr>
            <w:rFonts w:hint="eastAsia" w:ascii="Cambria Math" w:hAnsi="Cambria Math" w:cstheme="minorEastAsia"/>
            <w:color w:val="000000" w:themeColor="text1"/>
            <w:szCs w:val="21"/>
            <w14:textFill>
              <w14:solidFill>
                <w14:schemeClr w14:val="tx1"/>
              </w14:solidFill>
            </w14:textFill>
          </w:rPr>
          <m:t>θ</m:t>
        </m:r>
      </m:oMath>
      <w:r>
        <w:rPr>
          <w:rFonts w:hint="eastAsia" w:asciiTheme="minorEastAsia" w:hAnsiTheme="minorEastAsia" w:cstheme="minorEastAsia"/>
          <w:color w:val="000000" w:themeColor="text1"/>
          <w:szCs w:val="21"/>
          <w14:textFill>
            <w14:solidFill>
              <w14:schemeClr w14:val="tx1"/>
            </w14:solidFill>
          </w14:textFill>
        </w:rPr>
        <w:t>——考虑荷载长期作用对挠度增大的影响系数。</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 xml:space="preserve">.4.3 </w:t>
      </w:r>
      <w:r>
        <w:rPr>
          <w:rFonts w:hint="eastAsia" w:asciiTheme="minorEastAsia" w:hAnsiTheme="minorEastAsia" w:cstheme="minorEastAsia"/>
          <w:color w:val="000000" w:themeColor="text1"/>
          <w:szCs w:val="21"/>
          <w14:textFill>
            <w14:solidFill>
              <w14:schemeClr w14:val="tx1"/>
            </w14:solidFill>
          </w14:textFill>
        </w:rPr>
        <w:t>甲壳梁的短期刚度可按下列公式计算：</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无预应力甲壳梁</w:t>
      </w:r>
    </w:p>
    <w:p>
      <w:pPr>
        <w:ind w:firstLine="495"/>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=0.50</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.4.3-1</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有预应甲壳梁</w:t>
      </w:r>
    </w:p>
    <w:p>
      <w:pPr>
        <w:ind w:firstLine="495"/>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=0.85</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.4.3-2</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——混凝土的弹性模量；</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——钢甲壳的弹性模量；</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——按截面尺寸计算的混凝土截面惯性矩；</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——钢甲壳的截面惯性矩，不考虑波纹腹板的贡献；</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 xml:space="preserve">.4.4 </w:t>
      </w:r>
      <w:r>
        <w:rPr>
          <w:rFonts w:hint="eastAsia" w:asciiTheme="minorEastAsia" w:hAnsiTheme="minorEastAsia" w:cstheme="minorEastAsia"/>
          <w:color w:val="000000" w:themeColor="text1"/>
          <w:szCs w:val="21"/>
          <w14:textFill>
            <w14:solidFill>
              <w14:schemeClr w14:val="tx1"/>
            </w14:solidFill>
          </w14:textFill>
        </w:rPr>
        <w:t>考虑荷载长期作用对挠度增大的影响系数</w:t>
      </w:r>
      <m:oMath>
        <m:r>
          <w:rPr>
            <w:rFonts w:hint="eastAsia" w:ascii="Cambria Math" w:hAnsi="Cambria Math" w:cstheme="minorEastAsia"/>
            <w:color w:val="000000" w:themeColor="text1"/>
            <w:szCs w:val="21"/>
            <w14:textFill>
              <w14:solidFill>
                <w14:schemeClr w14:val="tx1"/>
              </w14:solidFill>
            </w14:textFill>
          </w:rPr>
          <m:t>θ</m:t>
        </m:r>
      </m:oMath>
      <w:r>
        <w:rPr>
          <w:rFonts w:hint="eastAsia" w:asciiTheme="minorEastAsia" w:hAnsiTheme="minorEastAsia" w:cstheme="minorEastAsia"/>
          <w:color w:val="000000" w:themeColor="text1"/>
          <w:szCs w:val="21"/>
          <w14:textFill>
            <w14:solidFill>
              <w14:schemeClr w14:val="tx1"/>
            </w14:solidFill>
          </w14:textFill>
        </w:rPr>
        <w:t>可按下列规定取用：</w:t>
      </w:r>
    </w:p>
    <w:p>
      <w:pPr>
        <w:ind w:firstLine="495"/>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无预应力甲壳梁</w:t>
      </w:r>
    </w:p>
    <w:p>
      <w:pPr>
        <w:ind w:firstLine="1470" w:firstLineChars="700"/>
        <w:jc w:val="left"/>
        <w:rPr>
          <w:rFonts w:asciiTheme="minorEastAsia" w:hAnsiTheme="minorEastAsia" w:cstheme="minorEastAsia"/>
          <w:color w:val="000000" w:themeColor="text1"/>
          <w:szCs w:val="21"/>
          <w14:textFill>
            <w14:solidFill>
              <w14:schemeClr w14:val="tx1"/>
            </w14:solidFill>
          </w14:textFill>
        </w:rPr>
      </w:pPr>
      <m:oMath>
        <m:r>
          <w:rPr>
            <w:rFonts w:hint="eastAsia" w:ascii="Cambria Math" w:hAnsi="Cambria Math" w:cstheme="minorEastAsia"/>
            <w:color w:val="000000" w:themeColor="text1"/>
            <w:szCs w:val="21"/>
            <w14:textFill>
              <w14:solidFill>
                <w14:schemeClr w14:val="tx1"/>
              </w14:solidFill>
            </w14:textFill>
          </w:rPr>
          <m:t>θ</m:t>
        </m:r>
        <m:r>
          <w:rPr>
            <w:rFonts w:ascii="Cambria Math" w:hAnsi="Cambria Math" w:cstheme="minorEastAsia"/>
            <w:color w:val="000000" w:themeColor="text1"/>
            <w:szCs w:val="21"/>
            <w14:textFill>
              <w14:solidFill>
                <w14:schemeClr w14:val="tx1"/>
              </w14:solidFill>
            </w14:textFill>
          </w:rPr>
          <m:t>=2.0-0.4</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hint="eastAsia" w:ascii="Cambria Math" w:hAnsi="Cambria Math" w:cstheme="minorEastAsia"/>
                    <w:color w:val="000000" w:themeColor="text1"/>
                    <w:szCs w:val="21"/>
                    <w14:textFill>
                      <w14:solidFill>
                        <w14:schemeClr w14:val="tx1"/>
                      </w14:solidFill>
                    </w14:textFill>
                  </w:rPr>
                  <m:t>ρ</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sa</m:t>
                </m:r>
                <m:ctrlPr>
                  <w:rPr>
                    <w:rFonts w:ascii="Cambria Math" w:hAnsi="Cambria Math" w:cstheme="minorEastAsia"/>
                    <w:i/>
                    <w:color w:val="000000" w:themeColor="text1"/>
                    <w:szCs w:val="21"/>
                    <w14:textFill>
                      <w14:solidFill>
                        <w14:schemeClr w14:val="tx1"/>
                      </w14:solidFill>
                    </w14:textFill>
                  </w:rPr>
                </m:ctrlPr>
              </m:sub>
              <m:sup>
                <m:r>
                  <w:rPr>
                    <w:rFonts w:hint="eastAsia" w:ascii="Cambria Math" w:hAnsi="Cambria Math" w:cstheme="minorEastAsia"/>
                    <w:color w:val="000000" w:themeColor="text1"/>
                    <w:szCs w:val="21"/>
                    <w14:textFill>
                      <w14:solidFill>
                        <w14:schemeClr w14:val="tx1"/>
                      </w14:solidFill>
                    </w14:textFill>
                  </w:rPr>
                  <m:t>'</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ρ</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sa</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.4.3-3</w:t>
      </w:r>
      <w:r>
        <w:rPr>
          <w:rFonts w:hint="eastAsia" w:asciiTheme="minorEastAsia" w:hAnsiTheme="minorEastAsia" w:cstheme="minorEastAsia"/>
          <w:color w:val="000000" w:themeColor="text1"/>
          <w:szCs w:val="21"/>
          <w14:textFill>
            <w14:solidFill>
              <w14:schemeClr w14:val="tx1"/>
            </w14:solidFill>
          </w14:textFill>
        </w:rPr>
        <w:t>）</w:t>
      </w:r>
    </w:p>
    <w:p>
      <w:pPr>
        <w:ind w:left="1470" w:hanging="1470" w:hangingChars="7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ρ</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——梁截面受拉区配置的纵向受拉钢筋和下翼缘受拉钢板面</w:t>
      </w:r>
    </w:p>
    <w:p>
      <w:pPr>
        <w:ind w:left="1470" w:leftChars="600" w:hanging="210" w:hangingChars="1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积之和的截面配筋率；</w:t>
      </w:r>
    </w:p>
    <w:p>
      <w:pPr>
        <w:ind w:left="1470" w:leftChars="300" w:hanging="840" w:hangingChars="400"/>
        <w:jc w:val="left"/>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Cs w:val="21"/>
                <w14:textFill>
                  <w14:solidFill>
                    <w14:schemeClr w14:val="tx1"/>
                  </w14:solidFill>
                </w14:textFill>
              </w:rPr>
            </m:ctrlPr>
          </m:sSubSupPr>
          <m:e>
            <m:r>
              <w:rPr>
                <w:rFonts w:hint="eastAsia" w:ascii="Cambria Math" w:hAnsi="Cambria Math" w:cstheme="minorEastAsia"/>
                <w:color w:val="000000" w:themeColor="text1"/>
                <w:szCs w:val="21"/>
                <w14:textFill>
                  <w14:solidFill>
                    <w14:schemeClr w14:val="tx1"/>
                  </w14:solidFill>
                </w14:textFill>
              </w:rPr>
              <m:t>ρ</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sa</m:t>
            </m:r>
            <m:ctrlPr>
              <w:rPr>
                <w:rFonts w:ascii="Cambria Math" w:hAnsi="Cambria Math" w:cstheme="minorEastAsia"/>
                <w:i/>
                <w:color w:val="000000" w:themeColor="text1"/>
                <w:szCs w:val="21"/>
                <w14:textFill>
                  <w14:solidFill>
                    <w14:schemeClr w14:val="tx1"/>
                  </w14:solidFill>
                </w14:textFill>
              </w:rPr>
            </m:ctrlPr>
          </m:sub>
          <m:sup>
            <m:r>
              <w:rPr>
                <w:rFonts w:hint="eastAsia" w:ascii="Cambria Math" w:hAnsi="Cambria Math" w:cstheme="minorEastAsia"/>
                <w:color w:val="000000" w:themeColor="text1"/>
                <w:szCs w:val="21"/>
                <w14:textFill>
                  <w14:solidFill>
                    <w14:schemeClr w14:val="tx1"/>
                  </w14:solidFill>
                </w14:textFill>
              </w:rPr>
              <m:t>'</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——梁截面受压区配置的纵向受压钢筋和上翼缘受压钢板面</w:t>
      </w:r>
    </w:p>
    <w:p>
      <w:pPr>
        <w:ind w:left="1470" w:leftChars="600" w:hanging="210" w:hangingChars="1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积之和的截面配筋率；</w:t>
      </w:r>
    </w:p>
    <w:p>
      <w:pPr>
        <w:ind w:firstLine="495"/>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预应力甲壳梁取</w:t>
      </w:r>
      <m:oMath>
        <m:r>
          <w:rPr>
            <w:rFonts w:hint="eastAsia" w:ascii="Cambria Math" w:hAnsi="Cambria Math" w:cstheme="minorEastAsia"/>
            <w:color w:val="000000" w:themeColor="text1"/>
            <w:szCs w:val="21"/>
            <w14:textFill>
              <w14:solidFill>
                <w14:schemeClr w14:val="tx1"/>
              </w14:solidFill>
            </w14:textFill>
          </w:rPr>
          <m:t>θ</m:t>
        </m:r>
      </m:oMath>
      <w:r>
        <w:rPr>
          <w:rFonts w:asciiTheme="minorEastAsia" w:hAnsiTheme="minorEastAsia" w:cstheme="minorEastAsia"/>
          <w:color w:val="000000" w:themeColor="text1"/>
          <w:szCs w:val="21"/>
          <w14:textFill>
            <w14:solidFill>
              <w14:schemeClr w14:val="tx1"/>
            </w14:solidFill>
          </w14:textFill>
        </w:rPr>
        <w:t>=2.0</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hint="default"/>
          <w:color w:val="4F81BD" w:themeColor="accent1"/>
          <w:lang w:val="en-US"/>
          <w14:textFill>
            <w14:solidFill>
              <w14:schemeClr w14:val="accent1"/>
            </w14:solidFill>
          </w14:textFill>
        </w:rPr>
      </w:pPr>
      <w:r>
        <w:rPr>
          <w:rFonts w:hint="eastAsia"/>
          <w:color w:val="0070C0"/>
          <w:lang w:val="en-US" w:eastAsia="zh-CN"/>
        </w:rPr>
        <w:t>条文说明：5.4.1~5.4.4甲壳梁的挠度计算公式，参考《混凝土结构设计规范》进行制定。荷载短期作用时，钢甲壳部分不考虑刚度退化,，混凝土考虑开裂后的刚度退化。荷载长期时，考虑混凝土的徐变、裂缝发展、内力重分布等因素，整体考虑刚度退化。</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.4.5</w:t>
      </w:r>
      <w:r>
        <w:rPr>
          <w:rFonts w:hint="eastAsia" w:asciiTheme="minorEastAsia" w:hAnsiTheme="minorEastAsia" w:cstheme="minorEastAsia"/>
          <w:color w:val="000000" w:themeColor="text1"/>
          <w:szCs w:val="21"/>
          <w14:textFill>
            <w14:solidFill>
              <w14:schemeClr w14:val="tx1"/>
            </w14:solidFill>
          </w14:textFill>
        </w:rPr>
        <w:t>甲壳梁在使用阶段的预应力反拱值，可</w:t>
      </w:r>
      <w:r>
        <w:rPr>
          <w:rFonts w:hint="eastAsia" w:asciiTheme="minorEastAsia" w:hAnsiTheme="minorEastAsia" w:cstheme="minorEastAsia"/>
          <w:color w:val="000000" w:themeColor="text1"/>
          <w:szCs w:val="21"/>
          <w:lang w:val="en-US" w:eastAsia="zh-CN"/>
          <w14:textFill>
            <w14:solidFill>
              <w14:schemeClr w14:val="tx1"/>
            </w14:solidFill>
          </w14:textFill>
        </w:rPr>
        <w:t>用</w:t>
      </w:r>
      <w:r>
        <w:rPr>
          <w:rFonts w:hint="eastAsia" w:asciiTheme="minorEastAsia" w:hAnsiTheme="minorEastAsia" w:cstheme="minorEastAsia"/>
          <w:color w:val="000000" w:themeColor="text1"/>
          <w:szCs w:val="21"/>
          <w14:textFill>
            <w14:solidFill>
              <w14:schemeClr w14:val="tx1"/>
            </w14:solidFill>
          </w14:textFill>
        </w:rPr>
        <w:t>结构力学的方法按刚度</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I</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进行计算，并应考虑预压力长期作用的影响，计算中预应力筋的应力应扣除全部预应力损失。简化计算时，可将计算的反拱值乘以增大系数2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5</w:t>
      </w:r>
      <w:r>
        <w:rPr>
          <w:rFonts w:asciiTheme="minorEastAsia" w:hAnsiTheme="minorEastAsia" w:cstheme="minorEastAsia"/>
          <w:color w:val="000000" w:themeColor="text1"/>
          <w:szCs w:val="21"/>
          <w14:textFill>
            <w14:solidFill>
              <w14:schemeClr w14:val="tx1"/>
            </w14:solidFill>
          </w14:textFill>
        </w:rPr>
        <w:t>.4.6</w:t>
      </w:r>
      <w:r>
        <w:rPr>
          <w:rFonts w:hint="eastAsia" w:asciiTheme="minorEastAsia" w:hAnsiTheme="minorEastAsia" w:cstheme="minorEastAsia"/>
          <w:color w:val="000000" w:themeColor="text1"/>
          <w:szCs w:val="21"/>
          <w14:textFill>
            <w14:solidFill>
              <w14:schemeClr w14:val="tx1"/>
            </w14:solidFill>
          </w14:textFill>
        </w:rPr>
        <w:t xml:space="preserve"> 对甲壳梁应采取措施控制反拱和挠度，并宜符下列规定：</w:t>
      </w:r>
    </w:p>
    <w:p>
      <w:pPr>
        <w:ind w:firstLine="493"/>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当考虑反拱后计算的构件长期挠度不符合规范第3</w:t>
      </w:r>
      <w:r>
        <w:rPr>
          <w:rFonts w:asciiTheme="minorEastAsia" w:hAnsiTheme="minorEastAsia" w:cstheme="minorEastAsia"/>
          <w:color w:val="000000" w:themeColor="text1"/>
          <w:szCs w:val="21"/>
          <w14:textFill>
            <w14:solidFill>
              <w14:schemeClr w14:val="tx1"/>
            </w14:solidFill>
          </w14:textFill>
        </w:rPr>
        <w:t>.4.5</w:t>
      </w:r>
      <w:r>
        <w:rPr>
          <w:rFonts w:hint="eastAsia" w:asciiTheme="minorEastAsia" w:hAnsiTheme="minorEastAsia" w:cstheme="minorEastAsia"/>
          <w:color w:val="000000" w:themeColor="text1"/>
          <w:szCs w:val="21"/>
          <w14:textFill>
            <w14:solidFill>
              <w14:schemeClr w14:val="tx1"/>
            </w14:solidFill>
          </w14:textFill>
        </w:rPr>
        <w:t>规定的限值时，可采取施工预先起拱等方式控制挠度。</w:t>
      </w:r>
    </w:p>
    <w:p>
      <w:pPr>
        <w:ind w:firstLine="493"/>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对永久荷载相对于可变荷载较小的预应力甲壳梁，应考虑反拱过大对正常使用的不利影响，并应采取相应的设计和施工措施。</w:t>
      </w:r>
    </w:p>
    <w:p>
      <w:pPr>
        <w:ind w:firstLine="420" w:firstLineChars="200"/>
        <w:rPr>
          <w:rFonts w:hint="eastAsia"/>
          <w:color w:val="0070C0"/>
          <w:lang w:val="en-US" w:eastAsia="zh-CN"/>
        </w:rPr>
      </w:pPr>
      <w:r>
        <w:rPr>
          <w:rFonts w:hint="eastAsia"/>
          <w:color w:val="0070C0"/>
          <w:lang w:val="en-US" w:eastAsia="zh-CN"/>
        </w:rPr>
        <w:t>条文说明：5.4.6横向受力构件可预先起拱，起拱大小应视实际需要而定，可取恒载标准值加1/2 活载标准值所产生的挠度值。当仅为改善外观条件时，构件挠度应取在恒荷载和活荷载标准值作用下的挠度计算值减去起拱值。</w:t>
      </w:r>
    </w:p>
    <w:p>
      <w:pPr>
        <w:pStyle w:val="21"/>
        <w:jc w:val="center"/>
        <w:rPr>
          <w:rFonts w:ascii="黑体" w:hAnsi="黑体" w:eastAsia="黑体"/>
          <w:color w:val="000000" w:themeColor="text1"/>
          <w:sz w:val="28"/>
          <w:szCs w:val="28"/>
          <w14:textFill>
            <w14:solidFill>
              <w14:schemeClr w14:val="tx1"/>
            </w14:solidFill>
          </w14:textFill>
        </w:rPr>
      </w:pPr>
      <w:bookmarkStart w:id="62" w:name="_Toc18493270"/>
      <w:bookmarkStart w:id="63" w:name="_Toc28706890"/>
      <w:r>
        <w:rPr>
          <w:rFonts w:hint="eastAsia" w:ascii="黑体" w:hAnsi="黑体" w:eastAsia="黑体"/>
          <w:color w:val="000000" w:themeColor="text1"/>
          <w:sz w:val="28"/>
          <w:szCs w:val="28"/>
          <w14:textFill>
            <w14:solidFill>
              <w14:schemeClr w14:val="tx1"/>
            </w14:solidFill>
          </w14:textFill>
        </w:rPr>
        <w:t>6甲壳柱设计</w:t>
      </w:r>
      <w:bookmarkEnd w:id="62"/>
      <w:bookmarkEnd w:id="63"/>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64" w:name="_Toc18493271"/>
      <w:bookmarkStart w:id="65" w:name="_Toc28706891"/>
      <w:r>
        <w:rPr>
          <w:rFonts w:hint="eastAsia" w:ascii="黑体" w:hAnsi="黑体" w:eastAsia="黑体" w:cstheme="minorEastAsia"/>
          <w:color w:val="000000" w:themeColor="text1"/>
          <w:szCs w:val="21"/>
          <w14:textFill>
            <w14:solidFill>
              <w14:schemeClr w14:val="tx1"/>
            </w14:solidFill>
          </w14:textFill>
        </w:rPr>
        <w:t>6.1一般规定</w:t>
      </w:r>
      <w:bookmarkEnd w:id="64"/>
      <w:bookmarkEnd w:id="65"/>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 xml:space="preserve">.1.1 </w:t>
      </w:r>
      <w:r>
        <w:rPr>
          <w:rFonts w:hint="eastAsia" w:asciiTheme="minorEastAsia" w:hAnsiTheme="minorEastAsia" w:cstheme="minorEastAsia"/>
          <w:color w:val="000000" w:themeColor="text1"/>
          <w:szCs w:val="21"/>
          <w14:textFill>
            <w14:solidFill>
              <w14:schemeClr w14:val="tx1"/>
            </w14:solidFill>
          </w14:textFill>
        </w:rPr>
        <w:t>甲壳柱正截面承载力按下列基本假定进行计算：</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截面应变保持平面；</w:t>
      </w:r>
    </w:p>
    <w:p>
      <w:pPr>
        <w:pStyle w:val="31"/>
        <w:ind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不考虑混凝土的抗拉强度；</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混凝土受压的应力与应变关系按下列规定取用：</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w:t>
      </w:r>
    </w:p>
    <w:p>
      <w:pPr>
        <w:ind w:firstLine="1680" w:firstLineChars="8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d>
          <m:dPr>
            <m:begChr m:val="["/>
            <m:endChr m:val="]"/>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1-</m:t>
            </m:r>
            <m:sSup>
              <m:sSupPr>
                <m:ctrlPr>
                  <w:rPr>
                    <w:rFonts w:ascii="Cambria Math" w:hAnsi="Cambria Math" w:cstheme="minorEastAsia"/>
                    <w:i/>
                    <w:color w:val="000000" w:themeColor="text1"/>
                    <w:szCs w:val="21"/>
                    <w14:textFill>
                      <w14:solidFill>
                        <w14:schemeClr w14:val="tx1"/>
                      </w14:solidFill>
                    </w14:textFill>
                  </w:rPr>
                </m:ctrlPr>
              </m:sSupPr>
              <m:e>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1-</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ctrlPr>
                      <w:rPr>
                        <w:rFonts w:ascii="Cambria Math" w:hAnsi="Cambria Math" w:cstheme="minorEastAsia"/>
                        <w:i/>
                        <w:color w:val="000000" w:themeColor="text1"/>
                        <w:szCs w:val="21"/>
                        <w14:textFill>
                          <w14:solidFill>
                            <w14:schemeClr w14:val="tx1"/>
                          </w14:solidFill>
                        </w14:textFill>
                      </w:rPr>
                    </m:ctrlPr>
                  </m:e>
                </m:d>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p>
            </m:sSup>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6.1.1-1</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w:t>
      </w:r>
    </w:p>
    <w:p>
      <w:pPr>
        <w:pStyle w:val="31"/>
        <w:ind w:firstLine="1680" w:firstLineChars="8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6.1.1-2</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680" w:firstLineChars="8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n=2-</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60</m:t>
            </m:r>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6.1.1-3</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470" w:firstLine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=0.02+0.5</m:t>
        </m:r>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p>
          <m:sSupPr>
            <m:ctrlPr>
              <w:rPr>
                <w:rFonts w:ascii="Cambria Math" w:hAnsi="Cambria Math" w:cstheme="minorEastAsia"/>
                <w:i/>
                <w:color w:val="000000" w:themeColor="text1"/>
                <w:szCs w:val="21"/>
                <w14:textFill>
                  <w14:solidFill>
                    <w14:schemeClr w14:val="tx1"/>
                  </w14:solidFill>
                </w14:textFill>
              </w:rPr>
            </m:ctrlPr>
          </m:sSupPr>
          <m:e>
            <m:r>
              <w:rPr>
                <w:rFonts w:ascii="Cambria Math" w:hAnsi="Cambria Math" w:cstheme="minorEastAsia"/>
                <w:color w:val="000000" w:themeColor="text1"/>
                <w:szCs w:val="21"/>
                <w14:textFill>
                  <w14:solidFill>
                    <w14:schemeClr w14:val="tx1"/>
                  </w14:solidFill>
                </w14:textFill>
              </w:rPr>
              <m:t>10</m:t>
            </m:r>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-5</m:t>
            </m:r>
            <m:ctrlPr>
              <w:rPr>
                <w:rFonts w:ascii="Cambria Math" w:hAnsi="Cambria Math" w:cstheme="minorEastAsia"/>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6.1.1-4</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1470" w:firstLine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=0.0033-</m:t>
        </m:r>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-50</m:t>
            </m:r>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m:t>
        </m:r>
        <m:sSup>
          <m:sSupPr>
            <m:ctrlPr>
              <w:rPr>
                <w:rFonts w:ascii="Cambria Math" w:hAnsi="Cambria Math" w:cstheme="minorEastAsia"/>
                <w:i/>
                <w:color w:val="000000" w:themeColor="text1"/>
                <w:szCs w:val="21"/>
                <w14:textFill>
                  <w14:solidFill>
                    <w14:schemeClr w14:val="tx1"/>
                  </w14:solidFill>
                </w14:textFill>
              </w:rPr>
            </m:ctrlPr>
          </m:sSupPr>
          <m:e>
            <m:r>
              <w:rPr>
                <w:rFonts w:ascii="Cambria Math" w:hAnsi="Cambria Math" w:cstheme="minorEastAsia"/>
                <w:color w:val="000000" w:themeColor="text1"/>
                <w:szCs w:val="21"/>
                <w14:textFill>
                  <w14:solidFill>
                    <w14:schemeClr w14:val="tx1"/>
                  </w14:solidFill>
                </w14:textFill>
              </w:rPr>
              <m:t>10</m:t>
            </m:r>
            <m:ctrlPr>
              <w:rPr>
                <w:rFonts w:ascii="Cambria Math" w:hAnsi="Cambria Math" w:cstheme="minorEastAsia"/>
                <w:i/>
                <w:color w:val="000000" w:themeColor="text1"/>
                <w:szCs w:val="21"/>
                <w14:textFill>
                  <w14:solidFill>
                    <w14:schemeClr w14:val="tx1"/>
                  </w14:solidFill>
                </w14:textFill>
              </w:rPr>
            </m:ctrlPr>
          </m:e>
          <m:sup>
            <m:r>
              <w:rPr>
                <w:rFonts w:ascii="Cambria Math" w:hAnsi="Cambria Math" w:cstheme="minorEastAsia"/>
                <w:color w:val="000000" w:themeColor="text1"/>
                <w:szCs w:val="21"/>
                <w14:textFill>
                  <w14:solidFill>
                    <w14:schemeClr w14:val="tx1"/>
                  </w14:solidFill>
                </w14:textFill>
              </w:rPr>
              <m:t>-5</m:t>
            </m:r>
            <m:ctrlPr>
              <w:rPr>
                <w:rFonts w:ascii="Cambria Math" w:hAnsi="Cambria Math" w:cstheme="minorEastAsia"/>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6.1.1-5</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σ</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——混凝土压应变为</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时的混凝土压应力；</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——混凝土轴心抗压强度设计值；按《混凝土结构设计规范》G</w:t>
      </w:r>
      <w:r>
        <w:rPr>
          <w:rFonts w:asciiTheme="minorEastAsia" w:hAnsiTheme="minorEastAsia" w:cstheme="minorEastAsia"/>
          <w:color w:val="000000" w:themeColor="text1"/>
          <w:szCs w:val="21"/>
          <w14:textFill>
            <w14:solidFill>
              <w14:schemeClr w14:val="tx1"/>
            </w14:solidFill>
          </w14:textFill>
        </w:rPr>
        <w:t>B50010-2010</w:t>
      </w: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015</w:t>
      </w:r>
      <w:r>
        <w:rPr>
          <w:rFonts w:hint="eastAsia" w:asciiTheme="minorEastAsia" w:hAnsiTheme="minorEastAsia" w:cstheme="minorEastAsia"/>
          <w:color w:val="000000" w:themeColor="text1"/>
          <w:szCs w:val="21"/>
          <w14:textFill>
            <w14:solidFill>
              <w14:schemeClr w14:val="tx1"/>
            </w14:solidFill>
          </w14:textFill>
        </w:rPr>
        <w:t>年版）第4</w:t>
      </w:r>
      <w:r>
        <w:rPr>
          <w:rFonts w:asciiTheme="minorEastAsia" w:hAnsiTheme="minorEastAsia" w:cstheme="minorEastAsia"/>
          <w:color w:val="000000" w:themeColor="text1"/>
          <w:szCs w:val="21"/>
          <w14:textFill>
            <w14:solidFill>
              <w14:schemeClr w14:val="tx1"/>
            </w14:solidFill>
          </w14:textFill>
        </w:rPr>
        <w:t>.1.4</w:t>
      </w:r>
      <w:r>
        <w:rPr>
          <w:rFonts w:hint="eastAsia" w:asciiTheme="minorEastAsia" w:hAnsiTheme="minorEastAsia" w:cstheme="minorEastAsia"/>
          <w:color w:val="000000" w:themeColor="text1"/>
          <w:szCs w:val="21"/>
          <w14:textFill>
            <w14:solidFill>
              <w14:schemeClr w14:val="tx1"/>
            </w14:solidFill>
          </w14:textFill>
        </w:rPr>
        <w:t>条取值；</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——混凝土压应力达到</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时的混凝土压应变，当计算的</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值小于0</w:t>
      </w:r>
      <w:r>
        <w:rPr>
          <w:rFonts w:asciiTheme="minorEastAsia" w:hAnsiTheme="minorEastAsia" w:cstheme="minorEastAsia"/>
          <w:color w:val="000000" w:themeColor="text1"/>
          <w:szCs w:val="21"/>
          <w14:textFill>
            <w14:solidFill>
              <w14:schemeClr w14:val="tx1"/>
            </w14:solidFill>
          </w14:textFill>
        </w:rPr>
        <w:t>.002</w:t>
      </w:r>
      <w:r>
        <w:rPr>
          <w:rFonts w:hint="eastAsia" w:asciiTheme="minorEastAsia" w:hAnsiTheme="minorEastAsia" w:cstheme="minorEastAsia"/>
          <w:color w:val="000000" w:themeColor="text1"/>
          <w:szCs w:val="21"/>
          <w14:textFill>
            <w14:solidFill>
              <w14:schemeClr w14:val="tx1"/>
            </w14:solidFill>
          </w14:textFill>
        </w:rPr>
        <w:t>时，取为0</w:t>
      </w:r>
      <w:r>
        <w:rPr>
          <w:rFonts w:asciiTheme="minorEastAsia" w:hAnsiTheme="minorEastAsia" w:cstheme="minorEastAsia"/>
          <w:color w:val="000000" w:themeColor="text1"/>
          <w:szCs w:val="21"/>
          <w14:textFill>
            <w14:solidFill>
              <w14:schemeClr w14:val="tx1"/>
            </w14:solidFill>
          </w14:textFill>
        </w:rPr>
        <w:t>.002</w:t>
      </w:r>
      <w:r>
        <w:rPr>
          <w:rFonts w:hint="eastAsia" w:asciiTheme="minorEastAsia" w:hAnsiTheme="minorEastAsia" w:cstheme="minorEastAsia"/>
          <w:color w:val="000000" w:themeColor="text1"/>
          <w:szCs w:val="21"/>
          <w14:textFill>
            <w14:solidFill>
              <w14:schemeClr w14:val="tx1"/>
            </w14:solidFill>
          </w14:textFill>
        </w:rPr>
        <w:t>；</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cu</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——正截面的混凝土极限压应变，当处于非均匀受压且按公式（</w:t>
      </w:r>
      <w:r>
        <w:rPr>
          <w:rFonts w:asciiTheme="minorEastAsia" w:hAnsiTheme="minorEastAsia" w:cstheme="minorEastAsia"/>
          <w:color w:val="000000" w:themeColor="text1"/>
          <w:szCs w:val="21"/>
          <w14:textFill>
            <w14:solidFill>
              <w14:schemeClr w14:val="tx1"/>
            </w14:solidFill>
          </w14:textFill>
        </w:rPr>
        <w:t>6.1.1-5</w:t>
      </w:r>
      <w:r>
        <w:rPr>
          <w:rFonts w:hint="eastAsia" w:asciiTheme="minorEastAsia" w:hAnsiTheme="minorEastAsia" w:cstheme="minorEastAsia"/>
          <w:color w:val="000000" w:themeColor="text1"/>
          <w:szCs w:val="21"/>
          <w14:textFill>
            <w14:solidFill>
              <w14:schemeClr w14:val="tx1"/>
            </w14:solidFill>
          </w14:textFill>
        </w:rPr>
        <w:t>）计算的值大于0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时取为0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；当处于轴心受压时取为</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ε</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——混凝土立方体抗压强度标准值，按</w:t>
      </w:r>
      <w:r>
        <w:rPr>
          <w:rFonts w:hint="eastAsia" w:asciiTheme="minorEastAsia" w:hAnsiTheme="minorEastAsia" w:cstheme="minorEastAsia"/>
          <w:color w:val="000000" w:themeColor="text1"/>
          <w:szCs w:val="21"/>
          <w:lang w:val="en-US" w:eastAsia="zh-CN"/>
          <w14:textFill>
            <w14:solidFill>
              <w14:schemeClr w14:val="tx1"/>
            </w14:solidFill>
          </w14:textFill>
        </w:rPr>
        <w:t>现行国家标准</w:t>
      </w:r>
      <w:r>
        <w:rPr>
          <w:rFonts w:hint="eastAsia" w:asciiTheme="minorEastAsia" w:hAnsiTheme="minorEastAsia" w:cstheme="minorEastAsia"/>
          <w:color w:val="000000" w:themeColor="text1"/>
          <w:szCs w:val="21"/>
          <w14:textFill>
            <w14:solidFill>
              <w14:schemeClr w14:val="tx1"/>
            </w14:solidFill>
          </w14:textFill>
        </w:rPr>
        <w:t>《混凝土结构设计规范》G</w:t>
      </w:r>
      <w:r>
        <w:rPr>
          <w:rFonts w:asciiTheme="minorEastAsia" w:hAnsiTheme="minorEastAsia" w:cstheme="minorEastAsia"/>
          <w:color w:val="000000" w:themeColor="text1"/>
          <w:szCs w:val="21"/>
          <w14:textFill>
            <w14:solidFill>
              <w14:schemeClr w14:val="tx1"/>
            </w14:solidFill>
          </w14:textFill>
        </w:rPr>
        <w:t>B50010</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确定；</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——系数，当计算的</w:t>
      </w: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值大于2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时，取为2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4</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受压区混凝土的应力图形可简化为等效的矩形应力图。</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矩形应力图的受压区高度</w:t>
      </w:r>
      <m:oMath>
        <m:r>
          <w:rPr>
            <w:rFonts w:ascii="Cambria Math" w:hAnsi="Cambria Math"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取按平截面假定所确定的中和轴高度乘以受压区混凝土应力图形影响系数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，当混凝土强度等级不超过C50时，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取为0.8，当混凝土强度等级为C80时，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取为0.74，其间按线性内插法确定。</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矩形应力图的应力值可由混凝土轴心抗压强度设计值</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乘以系数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确定，当混凝土强度不超过C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取1</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，当混凝土强度等级为C80时，</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取为0.</w:t>
      </w:r>
      <w:r>
        <w:rPr>
          <w:rFonts w:asciiTheme="minorEastAsia" w:hAnsiTheme="minorEastAsia" w:cstheme="minorEastAsia"/>
          <w:color w:val="000000" w:themeColor="text1"/>
          <w:szCs w:val="21"/>
          <w14:textFill>
            <w14:solidFill>
              <w14:schemeClr w14:val="tx1"/>
            </w14:solidFill>
          </w14:textFill>
        </w:rPr>
        <w:t>9</w:t>
      </w:r>
      <w:r>
        <w:rPr>
          <w:rFonts w:hint="eastAsia" w:asciiTheme="minorEastAsia" w:hAnsiTheme="minorEastAsia" w:cstheme="minorEastAsia"/>
          <w:color w:val="000000" w:themeColor="text1"/>
          <w:szCs w:val="21"/>
          <w14:textFill>
            <w14:solidFill>
              <w14:schemeClr w14:val="tx1"/>
            </w14:solidFill>
          </w14:textFill>
        </w:rPr>
        <w:t>4，其间按线性内插法确定。</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5</w:t>
      </w:r>
      <w:r>
        <w:rPr>
          <w:rFonts w:hint="eastAsia" w:ascii="黑体" w:hAnsi="黑体" w:eastAsia="黑体"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钢甲壳的应力图形为拉压梯形应力图形，计算时简化为等效矩形应力图形；</w:t>
      </w:r>
      <w:bookmarkStart w:id="66" w:name="_Toc18493272"/>
      <w:r>
        <w:rPr>
          <w:rFonts w:hint="eastAsia" w:asciiTheme="minorEastAsia" w:hAnsiTheme="minorEastAsia" w:cstheme="minorEastAsia"/>
          <w:color w:val="000000" w:themeColor="text1"/>
          <w:szCs w:val="21"/>
          <w14:textFill>
            <w14:solidFill>
              <w14:schemeClr w14:val="tx1"/>
            </w14:solidFill>
          </w14:textFill>
        </w:rPr>
        <w:t>钢甲壳的应力等于钢甲壳应变与其弹性模量的乘积，其绝对值不应大于其相应的强度设计值；纵向受拉钢筋和钢甲壳受拉翼缘的极限拉应变取0.01。</w:t>
      </w:r>
    </w:p>
    <w:p>
      <w:pPr>
        <w:pStyle w:val="31"/>
        <w:ind w:firstLineChars="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6 </w:t>
      </w:r>
      <w:r>
        <w:rPr>
          <w:rFonts w:hint="eastAsia" w:asciiTheme="minorEastAsia" w:hAnsiTheme="minorEastAsia" w:cstheme="minorEastAsia"/>
          <w:color w:val="000000" w:themeColor="text1"/>
          <w:szCs w:val="21"/>
          <w14:textFill>
            <w14:solidFill>
              <w14:schemeClr w14:val="tx1"/>
            </w14:solidFill>
          </w14:textFill>
        </w:rPr>
        <w:t>不考虑波纹侧板的直接贡献。</w:t>
      </w:r>
    </w:p>
    <w:p>
      <w:pPr>
        <w:jc w:val="left"/>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.1.</w:t>
      </w:r>
      <w:r>
        <w:rPr>
          <w:rFonts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计算偏心</w:t>
      </w:r>
      <w:r>
        <w:rPr>
          <w:rFonts w:asciiTheme="minorEastAsia" w:hAnsiTheme="minorEastAsia" w:cstheme="minorEastAsia"/>
          <w:color w:val="000000" w:themeColor="text1"/>
          <w:szCs w:val="21"/>
          <w14:textFill>
            <w14:solidFill>
              <w14:schemeClr w14:val="tx1"/>
            </w14:solidFill>
          </w14:textFill>
        </w:rPr>
        <w:t>受压</w:t>
      </w:r>
      <w:r>
        <w:rPr>
          <w:rFonts w:hint="eastAsia" w:asciiTheme="minorEastAsia" w:hAnsiTheme="minorEastAsia" w:cstheme="minorEastAsia"/>
          <w:color w:val="000000" w:themeColor="text1"/>
          <w:szCs w:val="21"/>
          <w14:textFill>
            <w14:solidFill>
              <w14:schemeClr w14:val="tx1"/>
            </w14:solidFill>
          </w14:textFill>
        </w:rPr>
        <w:t>甲壳</w:t>
      </w:r>
      <w:r>
        <w:rPr>
          <w:rFonts w:asciiTheme="minorEastAsia" w:hAnsiTheme="minorEastAsia" w:cstheme="minorEastAsia"/>
          <w:color w:val="000000" w:themeColor="text1"/>
          <w:szCs w:val="21"/>
          <w14:textFill>
            <w14:solidFill>
              <w14:schemeClr w14:val="tx1"/>
            </w14:solidFill>
          </w14:textFill>
        </w:rPr>
        <w:t>柱</w:t>
      </w:r>
      <w:r>
        <w:rPr>
          <w:rFonts w:hint="eastAsia" w:asciiTheme="minorEastAsia" w:hAnsiTheme="minorEastAsia" w:cstheme="minorEastAsia"/>
          <w:color w:val="000000" w:themeColor="text1"/>
          <w:szCs w:val="21"/>
          <w14:textFill>
            <w14:solidFill>
              <w14:schemeClr w14:val="tx1"/>
            </w14:solidFill>
          </w14:textFill>
        </w:rPr>
        <w:t>的正截面</w:t>
      </w:r>
      <w:r>
        <w:rPr>
          <w:rFonts w:asciiTheme="minorEastAsia" w:hAnsiTheme="minorEastAsia" w:cstheme="minorEastAsia"/>
          <w:color w:val="000000" w:themeColor="text1"/>
          <w:szCs w:val="21"/>
          <w14:textFill>
            <w14:solidFill>
              <w14:schemeClr w14:val="tx1"/>
            </w14:solidFill>
          </w14:textFill>
        </w:rPr>
        <w:t>承载力</w:t>
      </w:r>
      <w:r>
        <w:rPr>
          <w:rFonts w:hint="eastAsia" w:asciiTheme="minorEastAsia" w:hAnsiTheme="minorEastAsia" w:cstheme="minorEastAsia"/>
          <w:color w:val="000000" w:themeColor="text1"/>
          <w:szCs w:val="21"/>
          <w14:textFill>
            <w14:solidFill>
              <w14:schemeClr w14:val="tx1"/>
            </w14:solidFill>
          </w14:textFill>
        </w:rPr>
        <w:t>时</w:t>
      </w:r>
      <w:r>
        <w:rPr>
          <w:rFonts w:asciiTheme="minorEastAsia" w:hAnsiTheme="minorEastAsia" w:cstheme="minorEastAsia"/>
          <w:color w:val="000000" w:themeColor="text1"/>
          <w:szCs w:val="21"/>
          <w14:textFill>
            <w14:solidFill>
              <w14:schemeClr w14:val="tx1"/>
            </w14:solidFill>
          </w14:textFill>
        </w:rPr>
        <w:t>，应</w:t>
      </w:r>
      <w:r>
        <w:rPr>
          <w:rFonts w:hint="eastAsia" w:asciiTheme="minorEastAsia" w:hAnsiTheme="minorEastAsia" w:cstheme="minorEastAsia"/>
          <w:color w:val="000000" w:themeColor="text1"/>
          <w:szCs w:val="21"/>
          <w14:textFill>
            <w14:solidFill>
              <w14:schemeClr w14:val="tx1"/>
            </w14:solidFill>
          </w14:textFill>
        </w:rPr>
        <w:t>计入</w:t>
      </w:r>
      <w:r>
        <w:rPr>
          <w:rFonts w:asciiTheme="minorEastAsia" w:hAnsiTheme="minorEastAsia" w:cstheme="minorEastAsia"/>
          <w:color w:val="000000" w:themeColor="text1"/>
          <w:szCs w:val="21"/>
          <w14:textFill>
            <w14:solidFill>
              <w14:schemeClr w14:val="tx1"/>
            </w14:solidFill>
          </w14:textFill>
        </w:rPr>
        <w:t>轴向压力在偏心方向存在的附加偏心距</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oMath>
      <w:r>
        <w:rPr>
          <w:rFonts w:asciiTheme="minorEastAsia" w:hAnsiTheme="minorEastAsia" w:cstheme="minorEastAsia"/>
          <w:color w:val="000000" w:themeColor="text1"/>
          <w:szCs w:val="21"/>
          <w14:textFill>
            <w14:solidFill>
              <w14:schemeClr w14:val="tx1"/>
            </w14:solidFill>
          </w14:textFill>
        </w:rPr>
        <w:t>，其值</w:t>
      </w:r>
      <w:r>
        <w:rPr>
          <w:rFonts w:hint="eastAsia" w:asciiTheme="minorEastAsia" w:hAnsiTheme="minorEastAsia" w:cstheme="minorEastAsia"/>
          <w:color w:val="000000" w:themeColor="text1"/>
          <w:szCs w:val="21"/>
          <w14:textFill>
            <w14:solidFill>
              <w14:schemeClr w14:val="tx1"/>
            </w14:solidFill>
          </w14:textFill>
        </w:rPr>
        <w:t>应</w:t>
      </w:r>
      <w:r>
        <w:rPr>
          <w:rFonts w:asciiTheme="minorEastAsia" w:hAnsiTheme="minorEastAsia" w:cstheme="minorEastAsia"/>
          <w:color w:val="000000" w:themeColor="text1"/>
          <w:szCs w:val="21"/>
          <w14:textFill>
            <w14:solidFill>
              <w14:schemeClr w14:val="tx1"/>
            </w14:solidFill>
          </w14:textFill>
        </w:rPr>
        <w:t>取20mm和偏心方向截面尺寸的1/30两者中的较大</w:t>
      </w:r>
      <w:r>
        <w:rPr>
          <w:rFonts w:hint="eastAsia" w:asciiTheme="minorEastAsia" w:hAnsiTheme="minorEastAsia" w:cstheme="minorEastAsia"/>
          <w:color w:val="000000" w:themeColor="text1"/>
          <w:szCs w:val="21"/>
          <w14:textFill>
            <w14:solidFill>
              <w14:schemeClr w14:val="tx1"/>
            </w14:solidFill>
          </w14:textFill>
        </w:rPr>
        <w:t>值</w:t>
      </w:r>
      <w:r>
        <w:rPr>
          <w:rFonts w:asciiTheme="minorEastAsia" w:hAnsiTheme="minorEastAsia" w:cstheme="minorEastAsia"/>
          <w:color w:val="000000" w:themeColor="text1"/>
          <w:szCs w:val="21"/>
          <w14:textFill>
            <w14:solidFill>
              <w14:schemeClr w14:val="tx1"/>
            </w14:solidFill>
          </w14:textFill>
        </w:rPr>
        <w:t>。</w:t>
      </w:r>
    </w:p>
    <w:p>
      <w:pPr>
        <w:ind w:firstLine="420" w:firstLineChars="200"/>
        <w:jc w:val="left"/>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lang w:val="en-US" w:eastAsia="zh-CN"/>
        </w:rPr>
        <w:t>条文说明：6.1.1~6.1.2 结构试验表明，甲壳柱符合本条所述的基本假定，考虑构件制作及安装误差，附加偏心距按《混凝土结构设计规范》规定取值。</w:t>
      </w:r>
    </w:p>
    <w:p>
      <w:pPr>
        <w:spacing w:before="156" w:beforeLines="50" w:after="156" w:afterLines="50"/>
        <w:jc w:val="center"/>
        <w:outlineLvl w:val="1"/>
        <w:rPr>
          <w:rFonts w:ascii="黑体" w:hAnsi="黑体" w:eastAsia="黑体" w:cstheme="minorEastAsia"/>
          <w:color w:val="000000" w:themeColor="text1"/>
          <w:szCs w:val="21"/>
          <w14:textFill>
            <w14:solidFill>
              <w14:schemeClr w14:val="tx1"/>
            </w14:solidFill>
          </w14:textFill>
        </w:rPr>
      </w:pPr>
      <w:bookmarkStart w:id="67" w:name="_Toc28706892"/>
      <w:r>
        <w:rPr>
          <w:rFonts w:hint="eastAsia" w:ascii="黑体" w:hAnsi="黑体" w:eastAsia="黑体" w:cstheme="minorEastAsia"/>
          <w:color w:val="000000" w:themeColor="text1"/>
          <w:szCs w:val="21"/>
          <w14:textFill>
            <w14:solidFill>
              <w14:schemeClr w14:val="tx1"/>
            </w14:solidFill>
          </w14:textFill>
        </w:rPr>
        <w:t>6.2承载能力极限状态计算</w:t>
      </w:r>
      <w:bookmarkEnd w:id="66"/>
      <w:bookmarkEnd w:id="67"/>
      <w:r>
        <w:rPr>
          <w:rFonts w:ascii="黑体" w:hAnsi="黑体" w:eastAsia="黑体" w:cstheme="minorEastAsia"/>
          <w:color w:val="000000" w:themeColor="text1"/>
          <w:szCs w:val="21"/>
          <w14:textFill>
            <w14:solidFill>
              <w14:schemeClr w14:val="tx1"/>
            </w14:solidFill>
          </w14:textFill>
        </w:rPr>
        <w:t xml:space="preserve"> </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6</w:t>
      </w:r>
      <w:r>
        <w:rPr>
          <w:rFonts w:ascii="黑体" w:hAnsi="黑体" w:eastAsia="黑体" w:cstheme="minorEastAsia"/>
          <w:color w:val="000000" w:themeColor="text1"/>
          <w:szCs w:val="21"/>
          <w14:textFill>
            <w14:solidFill>
              <w14:schemeClr w14:val="tx1"/>
            </w14:solidFill>
          </w14:textFill>
        </w:rPr>
        <w:t>.2.1</w:t>
      </w:r>
      <w:r>
        <w:rPr>
          <w:rFonts w:hint="eastAsia" w:asciiTheme="minorEastAsia" w:hAnsiTheme="minorEastAsia" w:cstheme="minorEastAsia"/>
          <w:color w:val="000000" w:themeColor="text1"/>
          <w:szCs w:val="21"/>
          <w14:textFill>
            <w14:solidFill>
              <w14:schemeClr w14:val="tx1"/>
            </w14:solidFill>
          </w14:textFill>
        </w:rPr>
        <w:t>甲壳柱轴心受压承载力应符合下列规定（图6</w:t>
      </w:r>
      <w:r>
        <w:rPr>
          <w:rFonts w:asciiTheme="minorEastAsia" w:hAnsiTheme="minorEastAsia" w:cstheme="minorEastAsia"/>
          <w:color w:val="000000" w:themeColor="text1"/>
          <w:szCs w:val="21"/>
          <w14:textFill>
            <w14:solidFill>
              <w14:schemeClr w14:val="tx1"/>
            </w14:solidFill>
          </w14:textFill>
        </w:rPr>
        <w:t>.2.1</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p>
    <w:p>
      <w:pPr>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782060" cy="16027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l="23169" t="29233" r="28604" b="22481"/>
                    <a:stretch>
                      <a:fillRect/>
                    </a:stretch>
                  </pic:blipFill>
                  <pic:spPr>
                    <a:xfrm>
                      <a:off x="0" y="0"/>
                      <a:ext cx="3840759" cy="1628024"/>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bookmarkStart w:id="68" w:name="OLE_LINK4"/>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6.2.1</w:t>
      </w:r>
      <w:r>
        <w:rPr>
          <w:rFonts w:hint="eastAsia" w:ascii="黑体" w:hAnsi="黑体" w:eastAsia="黑体" w:cstheme="minorEastAsia"/>
          <w:color w:val="000000" w:themeColor="text1"/>
          <w:sz w:val="18"/>
          <w:szCs w:val="18"/>
          <w14:textFill>
            <w14:solidFill>
              <w14:schemeClr w14:val="tx1"/>
            </w14:solidFill>
          </w14:textFill>
        </w:rPr>
        <w:t xml:space="preserve"> 轴心受压柱受压承载力计算参数示意图</w:t>
      </w:r>
      <w:bookmarkEnd w:id="68"/>
      <w:bookmarkStart w:id="69" w:name="OLE_LINK5"/>
    </w:p>
    <w:p>
      <w:pPr>
        <w:jc w:val="center"/>
        <w:rPr>
          <w:rFonts w:asciiTheme="minorEastAsia" w:hAnsiTheme="minorEastAsia" w:cstheme="minorEastAsia"/>
          <w:color w:val="000000" w:themeColor="text1"/>
          <w:szCs w:val="21"/>
          <w14:textFill>
            <w14:solidFill>
              <w14:schemeClr w14:val="tx1"/>
            </w14:solidFill>
          </w14:textFill>
        </w:rPr>
      </w:pPr>
    </w:p>
    <w:p>
      <w:pPr>
        <w:jc w:val="center"/>
        <w:rPr>
          <w:color w:val="000000" w:themeColor="text1"/>
          <w:sz w:val="24"/>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 xml:space="preserve">   N≤</m:t>
        </m:r>
        <m:r>
          <w:rPr>
            <w:rFonts w:hint="eastAsia" w:ascii="Cambria Math" w:hAnsi="Cambria Math"/>
            <w:color w:val="000000" w:themeColor="text1"/>
            <w:szCs w:val="21"/>
            <w14:textFill>
              <w14:solidFill>
                <w14:schemeClr w14:val="tx1"/>
              </w14:solidFill>
            </w14:textFill>
          </w:rPr>
          <m:t>φ</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6.2.1</w:t>
      </w:r>
      <w:r>
        <w:rPr>
          <w:rFonts w:hint="eastAsia" w:asciiTheme="minorEastAsia" w:hAnsiTheme="minorEastAsia"/>
          <w:color w:val="000000" w:themeColor="text1"/>
          <w:szCs w:val="21"/>
          <w14:textFill>
            <w14:solidFill>
              <w14:schemeClr w14:val="tx1"/>
            </w14:solidFill>
          </w14:textFill>
        </w:rPr>
        <w:t xml:space="preserve">-1)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p>
    <w:p>
      <w:pPr>
        <w:jc w:val="center"/>
        <w:rPr>
          <w:rFonts w:ascii="黑体" w:hAnsi="黑体" w:eastAsia="黑体" w:cstheme="minorEastAsia"/>
          <w:color w:val="000000" w:themeColor="text1"/>
          <w:sz w:val="18"/>
          <w:szCs w:val="18"/>
          <w14:textFill>
            <w14:solidFill>
              <w14:schemeClr w14:val="tx1"/>
            </w14:solidFill>
          </w14:textFill>
        </w:rPr>
      </w:pPr>
      <w:r>
        <w:rPr>
          <w:color w:val="000000" w:themeColor="text1"/>
          <w:sz w:val="24"/>
          <w14:textFill>
            <w14:solidFill>
              <w14:schemeClr w14:val="tx1"/>
            </w14:solidFill>
          </w14:textFill>
        </w:rPr>
        <w:t xml:space="preserve">  </w:t>
      </w:r>
      <w:bookmarkEnd w:id="69"/>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其中，</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=bh</m:t>
        </m:r>
        <m:r>
          <w:rPr>
            <w:rFonts w:ascii="Cambria Math" w:hAnsi="Cambria Math" w:eastAsia="微软雅黑" w:cs="微软雅黑"/>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p>
    <w:p>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6.2.1</w:t>
      </w:r>
      <w:r>
        <w:rPr>
          <w:rFonts w:hint="eastAsia" w:asciiTheme="minorEastAsia" w:hAnsiTheme="minorEastAsia"/>
          <w:color w:val="000000" w:themeColor="text1"/>
          <w:szCs w:val="21"/>
          <w14:textFill>
            <w14:solidFill>
              <w14:schemeClr w14:val="tx1"/>
            </w14:solidFill>
          </w14:textFill>
        </w:rPr>
        <w:t>-1)</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p>
    <w:p>
      <w:pPr>
        <w:ind w:firstLine="1470" w:firstLineChars="7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=4</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6.2.1</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3</w:t>
      </w:r>
      <w:r>
        <w:rPr>
          <w:rFonts w:hint="eastAsia" w:asciiTheme="minorEastAsia" w:hAnsi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=8</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6.2.1</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——甲壳柱轴向压力设计值；</w:t>
      </w:r>
    </w:p>
    <w:p>
      <w:pPr>
        <w:ind w:right="48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——受压钢管面积</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θ</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——波纹侧板腔体内填充混凝土抗压强度套箍增强系数，按式（</w:t>
      </w:r>
      <w:r>
        <w:rPr>
          <w:rFonts w:asciiTheme="minorEastAsia" w:hAnsiTheme="minorEastAsia" w:cstheme="minorEastAsia"/>
          <w:color w:val="000000" w:themeColor="text1"/>
          <w:szCs w:val="21"/>
          <w14:textFill>
            <w14:solidFill>
              <w14:schemeClr w14:val="tx1"/>
            </w14:solidFill>
          </w14:textFill>
        </w:rPr>
        <w:t>6.2.1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）计算；当计算值小于1</w:t>
      </w:r>
      <w:r>
        <w:rPr>
          <w:rFonts w:asciiTheme="minorEastAsia" w:hAnsiTheme="minorEastAsia" w:cstheme="minorEastAsia"/>
          <w:color w:val="000000" w:themeColor="text1"/>
          <w:szCs w:val="21"/>
          <w14:textFill>
            <w14:solidFill>
              <w14:schemeClr w14:val="tx1"/>
            </w14:solidFill>
          </w14:textFill>
        </w:rPr>
        <w:t>.12</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.12</w:t>
      </w:r>
      <w:r>
        <w:rPr>
          <w:rFonts w:hint="eastAsia" w:asciiTheme="minorEastAsia" w:hAnsiTheme="minorEastAsia" w:cstheme="minorEastAsia"/>
          <w:color w:val="000000" w:themeColor="text1"/>
          <w:szCs w:val="21"/>
          <w14:textFill>
            <w14:solidFill>
              <w14:schemeClr w14:val="tx1"/>
            </w14:solidFill>
          </w14:textFill>
        </w:rPr>
        <w:t>，大于1</w:t>
      </w:r>
      <w:r>
        <w:rPr>
          <w:rFonts w:asciiTheme="minorEastAsia" w:hAnsiTheme="minorEastAsia" w:cstheme="minorEastAsia"/>
          <w:color w:val="000000" w:themeColor="text1"/>
          <w:szCs w:val="21"/>
          <w14:textFill>
            <w14:solidFill>
              <w14:schemeClr w14:val="tx1"/>
            </w14:solidFill>
          </w14:textFill>
        </w:rPr>
        <w:t>.17</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.17</w:t>
      </w:r>
      <w:r>
        <w:rPr>
          <w:rFonts w:hint="eastAsia" w:asciiTheme="minorEastAsia" w:hAnsiTheme="minorEastAsia" w:cstheme="minorEastAsia"/>
          <w:color w:val="000000" w:themeColor="text1"/>
          <w:szCs w:val="21"/>
          <w14:textFill>
            <w14:solidFill>
              <w14:schemeClr w14:val="tx1"/>
            </w14:solidFill>
          </w14:textFill>
        </w:rPr>
        <w:t>。当截面为矩形截面是，公式中的</w:t>
      </w:r>
      <m:oMath>
        <m:r>
          <w:rPr>
            <w:rFonts w:hint="eastAsia" w:ascii="Cambria Math" w:hAnsi="Cambria Math" w:cstheme="minorEastAsia"/>
            <w:color w:val="000000" w:themeColor="text1"/>
            <w:szCs w:val="21"/>
            <w14:textFill>
              <w14:solidFill>
                <w14:schemeClr w14:val="tx1"/>
              </w14:solidFill>
            </w14:textFill>
          </w:rPr>
          <m:t>b</m:t>
        </m:r>
      </m:oMath>
      <w:r>
        <w:rPr>
          <w:rFonts w:hint="eastAsia" w:asciiTheme="minorEastAsia" w:hAnsiTheme="minorEastAsia" w:cstheme="minorEastAsia"/>
          <w:color w:val="000000" w:themeColor="text1"/>
          <w:szCs w:val="21"/>
          <w14:textFill>
            <w14:solidFill>
              <w14:schemeClr w14:val="tx1"/>
            </w14:solidFill>
          </w14:textFill>
        </w:rPr>
        <w:t>取</w:t>
      </w:r>
      <m:oMath>
        <m:r>
          <w:rPr>
            <w:rFonts w:hint="eastAsia" w:ascii="Cambria Math" w:hAnsi="Cambria Math" w:cstheme="minorEastAsia"/>
            <w:color w:val="000000" w:themeColor="text1"/>
            <w:szCs w:val="21"/>
            <w14:textFill>
              <w14:solidFill>
                <w14:schemeClr w14:val="tx1"/>
              </w14:solidFill>
            </w14:textFill>
          </w:rPr>
          <m:t>b</m:t>
        </m:r>
      </m:oMath>
      <w:r>
        <w:rPr>
          <w:rFonts w:hint="eastAsia" w:asciiTheme="minorEastAsia" w:hAnsiTheme="minorEastAsia" w:cstheme="minorEastAsia"/>
          <w:color w:val="000000" w:themeColor="text1"/>
          <w:szCs w:val="21"/>
          <w14:textFill>
            <w14:solidFill>
              <w14:schemeClr w14:val="tx1"/>
            </w14:solidFill>
          </w14:textFill>
        </w:rPr>
        <w:t>与</w:t>
      </w:r>
      <m:oMath>
        <m:r>
          <w:rPr>
            <w:rFonts w:ascii="Cambria Math" w:hAnsi="Cambria Math" w:eastAsia="MS Gothic" w:cs="MS Gothic"/>
            <w:color w:val="000000" w:themeColor="text1"/>
            <w:szCs w:val="21"/>
            <w14:textFill>
              <w14:solidFill>
                <w14:schemeClr w14:val="tx1"/>
              </w14:solidFill>
            </w14:textFill>
          </w:rPr>
          <m:t>h</m:t>
        </m:r>
      </m:oMath>
      <w:r>
        <w:rPr>
          <w:rFonts w:hint="eastAsia" w:asciiTheme="minorEastAsia" w:hAnsiTheme="minorEastAsia" w:cstheme="minorEastAsia"/>
          <w:color w:val="000000" w:themeColor="text1"/>
          <w:szCs w:val="21"/>
          <w14:textFill>
            <w14:solidFill>
              <w14:schemeClr w14:val="tx1"/>
            </w14:solidFill>
          </w14:textFill>
        </w:rPr>
        <w:t>的较大值。</w:t>
      </w:r>
    </w:p>
    <w:p>
      <w:pPr>
        <w:ind w:firstLine="1890" w:firstLineChars="9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θ</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=0.1</m:t>
        </m:r>
        <m:func>
          <m:funcPr>
            <m:ctrlPr>
              <w:rPr>
                <w:rFonts w:ascii="Cambria Math" w:hAnsi="Cambria Math" w:cstheme="minorEastAsia"/>
                <w:i/>
                <w:color w:val="000000" w:themeColor="text1"/>
                <w:szCs w:val="21"/>
                <w14:textFill>
                  <w14:solidFill>
                    <w14:schemeClr w14:val="tx1"/>
                  </w14:solidFill>
                </w14:textFill>
              </w:rPr>
            </m:ctrlPr>
          </m:funcPr>
          <m:fName>
            <m:r>
              <m:rPr>
                <m:sty m:val="p"/>
              </m:rPr>
              <w:rPr>
                <w:rFonts w:ascii="Cambria Math" w:hAnsi="Cambria Math" w:cstheme="minorEastAsia"/>
                <w:color w:val="000000" w:themeColor="text1"/>
                <w:szCs w:val="21"/>
                <w14:textFill>
                  <w14:solidFill>
                    <w14:schemeClr w14:val="tx1"/>
                  </w14:solidFill>
                </w14:textFill>
              </w:rPr>
              <m:t>ln</m:t>
            </m:r>
            <m:ctrlPr>
              <w:rPr>
                <w:rFonts w:ascii="Cambria Math" w:hAnsi="Cambria Math" w:cstheme="minorEastAsia"/>
                <w:i/>
                <w:color w:val="000000" w:themeColor="text1"/>
                <w:szCs w:val="21"/>
                <w14:textFill>
                  <w14:solidFill>
                    <w14:schemeClr w14:val="tx1"/>
                  </w14:solidFill>
                </w14:textFill>
              </w:rPr>
            </m:ctrlPr>
          </m:fName>
          <m:e>
            <m:d>
              <m:dPr>
                <m:ctrlPr>
                  <w:rPr>
                    <w:rFonts w:ascii="Cambria Math" w:hAnsi="Cambria Math" w:cstheme="minorEastAsia"/>
                    <w:i/>
                    <w:color w:val="000000" w:themeColor="text1"/>
                    <w:szCs w:val="21"/>
                    <w14:textFill>
                      <w14:solidFill>
                        <w14:schemeClr w14:val="tx1"/>
                      </w14:solidFill>
                    </w14:textFill>
                  </w:rPr>
                </m:ctrlPr>
              </m:dPr>
              <m:e>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14</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3b</m:t>
                    </m:r>
                    <m:ctrlPr>
                      <w:rPr>
                        <w:rFonts w:ascii="Cambria Math" w:hAnsi="Cambria Math" w:cstheme="minorEastAsia"/>
                        <w:i/>
                        <w:color w:val="000000" w:themeColor="text1"/>
                        <w:szCs w:val="21"/>
                        <w14:textFill>
                          <w14:solidFill>
                            <w14:schemeClr w14:val="tx1"/>
                          </w14:solidFill>
                        </w14:textFill>
                      </w:rPr>
                    </m:ctrlPr>
                  </m:den>
                </m:f>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+1.1</m:t>
            </m:r>
            <m:ctrlPr>
              <w:rPr>
                <w:rFonts w:ascii="Cambria Math" w:hAnsi="Cambria Math" w:cstheme="minorEastAsia"/>
                <w:i/>
                <w:color w:val="000000" w:themeColor="text1"/>
                <w:szCs w:val="21"/>
                <w14:textFill>
                  <w14:solidFill>
                    <w14:schemeClr w14:val="tx1"/>
                  </w14:solidFill>
                </w14:textFill>
              </w:rPr>
            </m:ctrlPr>
          </m:e>
        </m:func>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(6.2.1-5)</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hint="eastAsia" w:ascii="Cambria Math" w:hAnsiTheme="minorEastAsia" w:cstheme="minorEastAsia"/>
                <w:color w:val="000000" w:themeColor="text1"/>
                <w:szCs w:val="21"/>
                <w14:textFill>
                  <w14:solidFill>
                    <w14:schemeClr w14:val="tx1"/>
                  </w14:solidFill>
                </w14:textFill>
              </w:rPr>
              <m:t>θ</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——方钢管内填充混凝土抗压强度套箍增强系数，取1.</w:t>
      </w:r>
      <w:r>
        <w:rPr>
          <w:rFonts w:asciiTheme="minorEastAsia" w:hAnsiTheme="minorEastAsia" w:cstheme="minorEastAsia"/>
          <w:color w:val="000000" w:themeColor="text1"/>
          <w:szCs w:val="21"/>
          <w14:textFill>
            <w14:solidFill>
              <w14:schemeClr w14:val="tx1"/>
            </w14:solidFill>
          </w14:textFill>
        </w:rPr>
        <w:t>15</w:t>
      </w:r>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——波纹侧板腔体内填充混凝土抗压强度设计值；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c2</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——方钢管内填充混凝土抗压强度设计值；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——钢管抗压强度设计值；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b</m:t>
        </m:r>
      </m:oMath>
      <w:r>
        <w:rPr>
          <w:rFonts w:hint="eastAsia" w:asciiTheme="minorEastAsia" w:hAnsiTheme="minorEastAsia" w:cstheme="minorEastAsia"/>
          <w:color w:val="000000" w:themeColor="text1"/>
          <w:szCs w:val="21"/>
          <w14:textFill>
            <w14:solidFill>
              <w14:schemeClr w14:val="tx1"/>
            </w14:solidFill>
          </w14:textFill>
        </w:rPr>
        <w:t>、</w:t>
      </w:r>
      <m:oMath>
        <m:r>
          <w:rPr>
            <w:rFonts w:ascii="Cambria Math" w:hAnsi="Cambria Math" w:eastAsia="MS Gothic" w:cs="MS Gothic"/>
            <w:color w:val="000000" w:themeColor="text1"/>
            <w:szCs w:val="21"/>
            <w14:textFill>
              <w14:solidFill>
                <w14:schemeClr w14:val="tx1"/>
              </w14:solidFill>
            </w14:textFill>
          </w:rPr>
          <m:t>h</m:t>
        </m:r>
      </m:oMath>
      <w:r>
        <w:rPr>
          <w:rFonts w:hint="eastAsia" w:asciiTheme="minorEastAsia" w:hAnsiTheme="minorEastAsia" w:cstheme="minorEastAsia"/>
          <w:color w:val="000000" w:themeColor="text1"/>
          <w:szCs w:val="21"/>
          <w14:textFill>
            <w14:solidFill>
              <w14:schemeClr w14:val="tx1"/>
            </w14:solidFill>
          </w14:textFill>
        </w:rPr>
        <w:t>——柱截面宽度、高度；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——波纹侧板波高；</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t</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——方钢管内混凝土截面宽度、高度；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——方钢管管壁厚度；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——波纹侧板厚度；</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r>
          <w:rPr>
            <w:rFonts w:hint="eastAsia" w:ascii="Cambria Math" w:hAnsi="Cambria Math"/>
            <w:color w:val="000000" w:themeColor="text1"/>
            <w:szCs w:val="21"/>
            <w14:textFill>
              <w14:solidFill>
                <w14:schemeClr w14:val="tx1"/>
              </w14:solidFill>
            </w14:textFill>
          </w:rPr>
          <m:t>φ</m:t>
        </m:r>
      </m:oMath>
      <w:r>
        <w:rPr>
          <w:rFonts w:hint="eastAsia" w:asciiTheme="minorEastAsia" w:hAnsiTheme="minorEastAsia" w:cstheme="minorEastAsia"/>
          <w:color w:val="000000" w:themeColor="text1"/>
          <w:szCs w:val="21"/>
          <w14:textFill>
            <w14:solidFill>
              <w14:schemeClr w14:val="tx1"/>
            </w14:solidFill>
          </w14:textFill>
        </w:rPr>
        <w:t xml:space="preserve">——考虑长细比对极限承载力影响的折减系数， </w:t>
      </w:r>
      <w:r>
        <w:rPr>
          <w:rFonts w:asciiTheme="minorEastAsia" w:hAnsiTheme="minorEastAsia" w:cstheme="minorEastAsia"/>
          <w:color w:val="000000" w:themeColor="text1"/>
          <w:szCs w:val="21"/>
          <w14:textFill>
            <w14:solidFill>
              <w14:schemeClr w14:val="tx1"/>
            </w14:solidFill>
          </w14:textFill>
        </w:rPr>
        <w:t xml:space="preserve"> </w:t>
      </w:r>
    </w:p>
    <w:p>
      <w:pPr>
        <w:ind w:left="1260" w:left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按公式(</w:t>
      </w:r>
      <w:r>
        <w:rPr>
          <w:rFonts w:asciiTheme="minorEastAsia" w:hAnsiTheme="minorEastAsia" w:cstheme="minorEastAsia"/>
          <w:color w:val="000000" w:themeColor="text1"/>
          <w:szCs w:val="21"/>
          <w14:textFill>
            <w14:solidFill>
              <w14:schemeClr w14:val="tx1"/>
            </w14:solidFill>
          </w14:textFill>
        </w:rPr>
        <w:t>6.2.1</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w:t>
      </w:r>
      <w:r>
        <w:rPr>
          <w:rFonts w:hint="eastAsia" w:asciiTheme="minorEastAsia" w:hAnsiTheme="minorEastAsia" w:cstheme="minorEastAsia"/>
          <w:color w:val="000000" w:themeColor="text1"/>
          <w:szCs w:val="21"/>
          <w14:textFill>
            <w14:solidFill>
              <w14:schemeClr w14:val="tx1"/>
            </w14:solidFill>
          </w14:textFill>
        </w:rPr>
        <w:t>)计算，当计算值大于1</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jc w:val="center"/>
        <w:textAlignment w:val="center"/>
        <w:rPr>
          <w:rFonts w:asciiTheme="minorEastAsia" w:hAnsiTheme="minorEastAsia"/>
          <w:color w:val="000000" w:themeColor="text1"/>
          <w:szCs w:val="21"/>
          <w14:textFill>
            <w14:solidFill>
              <w14:schemeClr w14:val="tx1"/>
            </w14:solidFill>
          </w14:textFill>
        </w:rPr>
      </w:pPr>
      <m:oMath>
        <m:r>
          <w:rPr>
            <w:rFonts w:hint="eastAsia" w:ascii="Cambria Math" w:hAnsi="Cambria Math"/>
            <w:color w:val="000000" w:themeColor="text1"/>
            <w:szCs w:val="21"/>
            <w14:textFill>
              <w14:solidFill>
                <w14:schemeClr w14:val="tx1"/>
              </w14:solidFill>
            </w14:textFill>
          </w:rPr>
          <m:t>φ</m:t>
        </m:r>
        <m:r>
          <w:rPr>
            <w:rFonts w:ascii="Cambria Math" w:hAnsi="Cambria Math"/>
            <w:color w:val="000000" w:themeColor="text1"/>
            <w:szCs w:val="21"/>
            <w14:textFill>
              <w14:solidFill>
                <w14:schemeClr w14:val="tx1"/>
              </w14:solidFill>
            </w14:textFill>
          </w:rPr>
          <m:t>=1.18-0.02</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l</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den>
        </m:f>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w:t>
      </w:r>
      <w:r>
        <w:rPr>
          <w:rFonts w:hint="eastAsia" w:asciiTheme="minorEastAsia" w:hAnsiTheme="minorEastAsia"/>
          <w:color w:val="000000" w:themeColor="text1"/>
          <w:szCs w:val="21"/>
          <w14:textFill>
            <w14:solidFill>
              <w14:schemeClr w14:val="tx1"/>
            </w14:solidFill>
          </w14:textFill>
        </w:rPr>
        <w:t>.1-</w:t>
      </w:r>
      <w:r>
        <w:rPr>
          <w:rFonts w:asciiTheme="minorEastAsia" w:hAnsiTheme="minorEastAsia"/>
          <w:color w:val="000000" w:themeColor="text1"/>
          <w:szCs w:val="21"/>
          <w14:textFill>
            <w14:solidFill>
              <w14:schemeClr w14:val="tx1"/>
            </w14:solidFill>
          </w14:textFill>
        </w:rPr>
        <w:t>6</w:t>
      </w:r>
      <w:r>
        <w:rPr>
          <w:rFonts w:hint="eastAsia" w:asciiTheme="minorEastAsia" w:hAnsiTheme="minorEastAsia"/>
          <w:color w:val="000000" w:themeColor="text1"/>
          <w:szCs w:val="21"/>
          <w14:textFill>
            <w14:solidFill>
              <w14:schemeClr w14:val="tx1"/>
            </w14:solidFill>
          </w14:textFill>
        </w:rPr>
        <w:t>)</w:t>
      </w:r>
    </w:p>
    <w:p>
      <w:pPr>
        <w:ind w:left="1260" w:left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——柱计算长度，按《混凝土结构设计规范》G</w:t>
      </w:r>
      <w:r>
        <w:rPr>
          <w:rFonts w:asciiTheme="minorEastAsia" w:hAnsiTheme="minorEastAsia" w:cstheme="minorEastAsia"/>
          <w:color w:val="000000" w:themeColor="text1"/>
          <w:szCs w:val="21"/>
          <w14:textFill>
            <w14:solidFill>
              <w14:schemeClr w14:val="tx1"/>
            </w14:solidFill>
          </w14:textFill>
        </w:rPr>
        <w:t>B50010-2010</w:t>
      </w: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015</w:t>
      </w:r>
      <w:r>
        <w:rPr>
          <w:rFonts w:hint="eastAsia" w:asciiTheme="minorEastAsia" w:hAnsiTheme="minorEastAsia" w:cstheme="minorEastAsia"/>
          <w:color w:val="000000" w:themeColor="text1"/>
          <w:szCs w:val="21"/>
          <w14:textFill>
            <w14:solidFill>
              <w14:schemeClr w14:val="tx1"/>
            </w14:solidFill>
          </w14:textFill>
        </w:rPr>
        <w:t>年版）第6</w:t>
      </w:r>
      <w:r>
        <w:rPr>
          <w:rFonts w:asciiTheme="minorEastAsia" w:hAnsiTheme="minorEastAsia" w:cstheme="minorEastAsia"/>
          <w:color w:val="000000" w:themeColor="text1"/>
          <w:szCs w:val="21"/>
          <w14:textFill>
            <w14:solidFill>
              <w14:schemeClr w14:val="tx1"/>
            </w14:solidFill>
          </w14:textFill>
        </w:rPr>
        <w:t>.2.20</w:t>
      </w:r>
      <w:r>
        <w:rPr>
          <w:rFonts w:hint="eastAsia" w:asciiTheme="minorEastAsia" w:hAnsiTheme="minorEastAsia" w:cstheme="minorEastAsia"/>
          <w:color w:val="000000" w:themeColor="text1"/>
          <w:szCs w:val="21"/>
          <w14:textFill>
            <w14:solidFill>
              <w14:schemeClr w14:val="tx1"/>
            </w14:solidFill>
          </w14:textFill>
        </w:rPr>
        <w:t>条确定。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6</w:t>
      </w:r>
      <w:r>
        <w:rPr>
          <w:rFonts w:hint="eastAsia" w:ascii="黑体" w:hAnsi="黑体" w:eastAsia="黑体" w:cstheme="minorEastAsia"/>
          <w:color w:val="000000" w:themeColor="text1"/>
          <w:szCs w:val="21"/>
          <w14:textFill>
            <w14:solidFill>
              <w14:schemeClr w14:val="tx1"/>
            </w14:solidFill>
          </w14:textFill>
        </w:rPr>
        <w:t>.2.</w:t>
      </w:r>
      <w:r>
        <w:rPr>
          <w:rFonts w:ascii="黑体" w:hAnsi="黑体" w:eastAsia="黑体"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大偏心受压的甲壳柱, 当</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≤x≤</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ξ</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时，正截面承载力应符合下列规定（图6</w:t>
      </w:r>
      <w:r>
        <w:rPr>
          <w:rFonts w:asciiTheme="minorEastAsia" w:hAnsiTheme="minorEastAsia" w:cstheme="minorEastAsia"/>
          <w:color w:val="000000" w:themeColor="text1"/>
          <w:szCs w:val="21"/>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807460" cy="16205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cstate="print">
                      <a:extLst>
                        <a:ext uri="{28A0092B-C50C-407E-A947-70E740481C1C}">
                          <a14:useLocalDpi xmlns:a14="http://schemas.microsoft.com/office/drawing/2010/main" val="0"/>
                        </a:ext>
                      </a:extLst>
                    </a:blip>
                    <a:srcRect l="11944" t="20054" r="23119" b="14646"/>
                    <a:stretch>
                      <a:fillRect/>
                    </a:stretch>
                  </pic:blipFill>
                  <pic:spPr>
                    <a:xfrm>
                      <a:off x="0" y="0"/>
                      <a:ext cx="3829353" cy="1630234"/>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图6.2.2</w:t>
      </w:r>
      <w:r>
        <w:rPr>
          <w:rFonts w:hint="eastAsia" w:ascii="黑体" w:hAnsi="黑体" w:eastAsia="黑体" w:cstheme="minorEastAsia"/>
          <w:color w:val="000000" w:themeColor="text1"/>
          <w:sz w:val="18"/>
          <w:szCs w:val="18"/>
          <w14:textFill>
            <w14:solidFill>
              <w14:schemeClr w14:val="tx1"/>
            </w14:solidFill>
          </w14:textFill>
        </w:rPr>
        <w:t>大偏心受压柱</w:t>
      </w:r>
      <w:r>
        <w:rPr>
          <w:rFonts w:ascii="黑体" w:hAnsi="黑体" w:eastAsia="黑体" w:cstheme="minorEastAsia"/>
          <w:color w:val="000000" w:themeColor="text1"/>
          <w:sz w:val="18"/>
          <w:szCs w:val="18"/>
          <w14:textFill>
            <w14:solidFill>
              <w14:schemeClr w14:val="tx1"/>
            </w14:solidFill>
          </w14:textFill>
        </w:rPr>
        <w:t>计算参数示意图</w:t>
      </w:r>
    </w:p>
    <w:p>
      <w:pPr>
        <w:jc w:val="center"/>
        <w:rPr>
          <w:rFonts w:ascii="黑体" w:hAnsi="黑体" w:eastAsia="黑体" w:cstheme="minorEastAsia"/>
          <w:color w:val="000000" w:themeColor="text1"/>
          <w:sz w:val="18"/>
          <w:szCs w:val="18"/>
          <w14:textFill>
            <w14:solidFill>
              <w14:schemeClr w14:val="tx1"/>
            </w14:solidFill>
          </w14:textFill>
        </w:rPr>
      </w:pPr>
    </w:p>
    <w:p>
      <w:pPr>
        <w:ind w:left="5250" w:leftChars="550" w:hanging="4095" w:hangingChars="1950"/>
        <w:jc w:val="left"/>
        <w:rPr>
          <w:rFonts w:asciiTheme="majorEastAsia" w:hAnsiTheme="majorEastAsia" w:eastAsiaTheme="majorEastAsia"/>
          <w:color w:val="000000" w:themeColor="text1"/>
          <w:position w:val="-12"/>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color w:val="000000" w:themeColor="text1"/>
          <w:position w:val="-12"/>
          <w:sz w:val="28"/>
          <w:szCs w:val="28"/>
          <w14:textFill>
            <w14:solidFill>
              <w14:schemeClr w14:val="tx1"/>
            </w14:solidFill>
          </w14:textFill>
        </w:rPr>
        <w:t xml:space="preserve"> </w:t>
      </w:r>
      <w:r>
        <w:rPr>
          <w:rFonts w:hint="eastAsia" w:asciiTheme="majorEastAsia" w:hAnsiTheme="majorEastAsia" w:eastAsiaTheme="maj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(6.2.2-1)</w:t>
      </w:r>
    </w:p>
    <w:p>
      <w:pPr>
        <w:ind w:firstLine="1050" w:firstLineChars="500"/>
        <w:jc w:val="left"/>
        <w:rPr>
          <w:rFonts w:asciiTheme="majorEastAsia" w:hAnsiTheme="majorEastAsia" w:eastAsiaTheme="maj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 xml:space="preserve">  Ne≤</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3</m:t>
            </m:r>
            <m:ctrlPr>
              <w:rPr>
                <w:rFonts w:ascii="Cambria Math" w:hAnsi="Cambria Math"/>
                <w:i/>
                <w:color w:val="000000" w:themeColor="text1"/>
                <w:szCs w:val="21"/>
                <w14:textFill>
                  <w14:solidFill>
                    <w14:schemeClr w14:val="tx1"/>
                  </w14:solidFill>
                </w14:textFill>
              </w:rPr>
            </m:ctrlPr>
          </m:sub>
        </m:sSub>
      </m:oMath>
      <w:r>
        <w:rPr>
          <w:rFonts w:hint="eastAsia" w:asciiTheme="majorEastAsia" w:hAnsiTheme="majorEastAsia" w:eastAsiaTheme="majorEastAsia"/>
          <w:color w:val="000000" w:themeColor="text1"/>
          <w:szCs w:val="21"/>
          <w14:textFill>
            <w14:solidFill>
              <w14:schemeClr w14:val="tx1"/>
            </w14:solidFill>
          </w14:textFill>
        </w:rPr>
        <w:t xml:space="preserve"> </w:t>
      </w:r>
      <w:r>
        <w:rPr>
          <w:rFonts w:asciiTheme="majorEastAsia" w:hAnsiTheme="majorEastAsia" w:eastAsiaTheme="majorEastAsia"/>
          <w:color w:val="000000" w:themeColor="text1"/>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(6.2.2-2)</w:t>
      </w:r>
    </w:p>
    <w:p>
      <w:pPr>
        <w:ind w:right="480"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其中，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=b</m:t>
        </m:r>
        <m:r>
          <w:rPr>
            <w:rFonts w:hint="eastAsia" w:ascii="Cambria Math" w:hAnsi="Cambria Math"/>
            <w:color w:val="000000" w:themeColor="text1"/>
            <w:szCs w:val="21"/>
            <w14:textFill>
              <w14:solidFill>
                <w14:schemeClr w14:val="tx1"/>
              </w14:solidFill>
            </w14:textFill>
          </w:rPr>
          <m:t>x</m:t>
        </m:r>
        <m:r>
          <w:rPr>
            <w:rFonts w:ascii="Cambria Math" w:hAnsi="Cambria Math" w:eastAsia="微软雅黑" w:cs="微软雅黑"/>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2</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-0.5</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p>
    <w:p>
      <w:pPr>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m:t>
        </m:r>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x-</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6.2.2</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3</w:t>
      </w:r>
      <w:r>
        <w:rPr>
          <w:rFonts w:hint="eastAsia" w:asciiTheme="minorEastAsia" w:hAnsiTheme="minorEastAsia"/>
          <w:color w:val="000000" w:themeColor="text1"/>
          <w:szCs w:val="21"/>
          <w14:textFill>
            <w14:solidFill>
              <w14:schemeClr w14:val="tx1"/>
            </w14:solidFill>
          </w14:textFill>
        </w:rPr>
        <w:t xml:space="preserve">)  </w:t>
      </w:r>
    </w:p>
    <w:p>
      <w:pPr>
        <w:jc w:val="center"/>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p>
    <w:p>
      <w:pPr>
        <w:ind w:firstLine="1470" w:firstLine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6.2.2</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ind w:firstLine="1470" w:firstLineChars="7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6.2.2</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ind w:firstLine="1575" w:firstLineChars="750"/>
        <w:jc w:val="left"/>
        <w:rPr>
          <w:rFonts w:asciiTheme="minorEastAsia" w:hAnsiTheme="min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e=</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24"/>
          <w:sz w:val="28"/>
          <w:szCs w:val="28"/>
          <w14:textFill>
            <w14:solidFill>
              <w14:schemeClr w14:val="tx1"/>
            </w14:solidFill>
          </w14:textFill>
        </w:rPr>
        <w:t xml:space="preserve">   </w:t>
      </w:r>
      <w:r>
        <w:rPr>
          <w:rFonts w:hint="eastAsia" w:asciiTheme="minorEastAsia" w:hAnsiTheme="minorEastAsia"/>
          <w:color w:val="000000" w:themeColor="text1"/>
          <w:position w:val="-24"/>
          <w:szCs w:val="21"/>
          <w14:textFill>
            <w14:solidFill>
              <w14:schemeClr w14:val="tx1"/>
            </w14:solidFill>
          </w14:textFill>
        </w:rPr>
        <w:t xml:space="preserve"> </w:t>
      </w:r>
      <w:r>
        <w:rPr>
          <w:rFonts w:asciiTheme="minorEastAsia" w:hAnsiTheme="minorEastAsia"/>
          <w:color w:val="000000" w:themeColor="text1"/>
          <w:position w:val="-24"/>
          <w:szCs w:val="21"/>
          <w14:textFill>
            <w14:solidFill>
              <w14:schemeClr w14:val="tx1"/>
            </w14:solidFill>
          </w14:textFill>
        </w:rPr>
        <w:t xml:space="preserve">      </w:t>
      </w:r>
      <w:r>
        <w:rPr>
          <w:rFonts w:hint="eastAsia" w:asciiTheme="minorEastAsia" w:hAnsiTheme="minorEastAsia"/>
          <w:color w:val="000000" w:themeColor="text1"/>
          <w:position w:val="-24"/>
          <w:szCs w:val="21"/>
          <w14:textFill>
            <w14:solidFill>
              <w14:schemeClr w14:val="tx1"/>
            </w14:solidFill>
          </w14:textFill>
        </w:rPr>
        <w:t xml:space="preserve"> </w:t>
      </w:r>
      <w:r>
        <w:rPr>
          <w:rFonts w:asciiTheme="minorEastAsia" w:hAnsiTheme="minorEastAsia"/>
          <w:color w:val="000000" w:themeColor="text1"/>
          <w:position w:val="-24"/>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6.2.2-6</w:t>
      </w:r>
      <w:r>
        <w:rPr>
          <w:rFonts w:hint="eastAsia" w:asciiTheme="minorEastAsia" w:hAnsiTheme="minorEastAsia"/>
          <w:color w:val="000000" w:themeColor="text1"/>
          <w:szCs w:val="21"/>
          <w14:textFill>
            <w14:solidFill>
              <w14:schemeClr w14:val="tx1"/>
            </w14:solidFill>
          </w14:textFill>
        </w:rPr>
        <w:t>)</w:t>
      </w:r>
    </w:p>
    <w:p>
      <w:pPr>
        <w:jc w:val="left"/>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m:rPr>
                <m:sty m:val="p"/>
              </m:rPr>
              <w:rPr>
                <w:rFonts w:asci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6.2.2-7</w:t>
      </w:r>
      <w:r>
        <w:rPr>
          <w:rFonts w:hint="eastAsia" w:asciiTheme="minorEastAsia" w:hAnsiTheme="minorEastAsia"/>
          <w:color w:val="000000" w:themeColor="text1"/>
          <w:szCs w:val="21"/>
          <w14:textFill>
            <w14:solidFill>
              <w14:schemeClr w14:val="tx1"/>
            </w14:solidFill>
          </w14:textFill>
        </w:rPr>
        <w:t>)</w:t>
      </w:r>
    </w:p>
    <w:p>
      <w:pPr>
        <w:jc w:val="left"/>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den>
        </m:f>
      </m:oMath>
      <w:r>
        <w:rPr>
          <w:rFonts w:hint="eastAsia"/>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6.2.2-8</w:t>
      </w:r>
      <w:r>
        <w:rPr>
          <w:rFonts w:hint="eastAsia" w:asciiTheme="minorEastAsia" w:hAnsiTheme="minorEastAsia"/>
          <w:color w:val="000000" w:themeColor="text1"/>
          <w:szCs w:val="21"/>
          <w14:textFill>
            <w14:solidFill>
              <w14:schemeClr w14:val="tx1"/>
            </w14:solidFill>
          </w14:textFill>
        </w:rPr>
        <w:t>)</w:t>
      </w:r>
      <w:r>
        <w:rPr>
          <w:rFonts w:hint="eastAsia" w:asciiTheme="minorEastAsia" w:hAnsiTheme="minorEastAsia"/>
          <w:color w:val="000000" w:themeColor="text1"/>
          <w:position w:val="-12"/>
          <w:szCs w:val="21"/>
          <w14:textFill>
            <w14:solidFill>
              <w14:schemeClr w14:val="tx1"/>
            </w14:solidFill>
          </w14:textFill>
        </w:rPr>
        <w:t xml:space="preserve">         </w:t>
      </w:r>
    </w:p>
    <w:p>
      <w:pPr>
        <w:ind w:right="48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——波纹侧板腔体内受压混凝土面积</w:t>
      </w:r>
    </w:p>
    <w:p>
      <w:pPr>
        <w:ind w:right="48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——方钢管内受压混凝土面积</w:t>
      </w:r>
    </w:p>
    <w:p>
      <w:pPr>
        <w:ind w:right="480"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——受压钢管面积</w:t>
      </w:r>
    </w:p>
    <w:p>
      <w:pPr>
        <w:ind w:right="480"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e</m:t>
        </m:r>
      </m:oMath>
      <w:r>
        <w:rPr>
          <w:rFonts w:hint="eastAsia" w:asciiTheme="minorEastAsia" w:hAnsiTheme="minorEastAsia" w:cstheme="minorEastAsia"/>
          <w:color w:val="000000" w:themeColor="text1"/>
          <w:szCs w:val="21"/>
          <w14:textFill>
            <w14:solidFill>
              <w14:schemeClr w14:val="tx1"/>
            </w14:solidFill>
          </w14:textFill>
        </w:rPr>
        <w:t>——轴力作用点至甲壳柱受拉钢管截面中心的距离；</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0</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——轴力对截面重心的偏心距；</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——附加偏心距，按本规程第6</w:t>
      </w:r>
      <w:r>
        <w:rPr>
          <w:rFonts w:asciiTheme="minorEastAsia" w:hAnsiTheme="minorEastAsia" w:cstheme="minorEastAsia"/>
          <w:color w:val="000000" w:themeColor="text1"/>
          <w:szCs w:val="21"/>
          <w14:textFill>
            <w14:solidFill>
              <w14:schemeClr w14:val="tx1"/>
            </w14:solidFill>
          </w14:textFill>
        </w:rPr>
        <w:t>.1.2</w:t>
      </w:r>
      <w:r>
        <w:rPr>
          <w:rFonts w:hint="eastAsia" w:asciiTheme="minorEastAsia" w:hAnsiTheme="minorEastAsia" w:cstheme="minorEastAsia"/>
          <w:color w:val="000000" w:themeColor="text1"/>
          <w:szCs w:val="21"/>
          <w14:textFill>
            <w14:solidFill>
              <w14:schemeClr w14:val="tx1"/>
            </w14:solidFill>
          </w14:textFill>
        </w:rPr>
        <w:t>条确定。</w:t>
      </w:r>
    </w:p>
    <w:p>
      <w:pPr>
        <w:ind w:left="1470" w:leftChars="300" w:hanging="840" w:hangingChars="4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M</m:t>
        </m:r>
      </m:oMath>
      <w:r>
        <w:rPr>
          <w:rFonts w:hint="eastAsia" w:asciiTheme="minorEastAsia" w:hAnsiTheme="minorEastAsia" w:cstheme="minorEastAsia"/>
          <w:color w:val="000000" w:themeColor="text1"/>
          <w:szCs w:val="21"/>
          <w14:textFill>
            <w14:solidFill>
              <w14:schemeClr w14:val="tx1"/>
            </w14:solidFill>
          </w14:textFill>
        </w:rPr>
        <w:t>——柱端较大弯矩设计值，当考虑挠曲产生的二阶效应时，柱端弯矩M应按现行国家标准《混凝土结构设计规范》GB50010的规定确定；</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——与弯矩设计值M相对应的轴向压力设计值；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——混凝土等效受压区高度；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ξ</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——相对界限受压区高度；</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ξ</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——界限受压区高度；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——受拉钢管中心到受压钢管边缘的距离；</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left="2100" w:leftChars="300" w:hanging="1470" w:hanging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3</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——分别为受压区波纹侧板腔体内混凝土合力中心点、方钢管内混凝土合力中心点、受压方钢管合力中心点到受拉钢管中心的距离。</w:t>
      </w:r>
    </w:p>
    <w:p>
      <w:pPr>
        <w:rPr>
          <w:color w:val="000000" w:themeColor="text1"/>
          <w:sz w:val="24"/>
          <w:szCs w:val="24"/>
          <w14:textFill>
            <w14:solidFill>
              <w14:schemeClr w14:val="tx1"/>
            </w14:solidFill>
          </w14:textFill>
        </w:rPr>
      </w:pPr>
      <w:bookmarkStart w:id="70" w:name="_Toc17556"/>
      <w:bookmarkStart w:id="71" w:name="_Toc22175"/>
      <w:bookmarkStart w:id="72" w:name="_Toc20786"/>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.2.3</w:t>
      </w:r>
      <w:r>
        <w:rPr>
          <w:rFonts w:hint="eastAsia" w:asciiTheme="minorEastAsia" w:hAnsiTheme="minorEastAsia" w:cstheme="minorEastAsia"/>
          <w:color w:val="000000" w:themeColor="text1"/>
          <w:szCs w:val="21"/>
          <w14:textFill>
            <w14:solidFill>
              <w14:schemeClr w14:val="tx1"/>
            </w14:solidFill>
          </w14:textFill>
        </w:rPr>
        <w:t>大偏心受压的甲壳柱,当</w:t>
      </w:r>
      <m:oMath>
        <m:r>
          <w:rPr>
            <w:rFonts w:ascii="Cambria Math" w:hAnsi="Cambria Math" w:cstheme="minorEastAsia"/>
            <w:color w:val="000000" w:themeColor="text1"/>
            <w:szCs w:val="21"/>
            <w14:textFill>
              <w14:solidFill>
                <w14:schemeClr w14:val="tx1"/>
              </w14:solidFill>
            </w14:textFill>
          </w:rPr>
          <m:t>x&lt;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时，正截面受压承载力应符合下列规定（图6</w:t>
      </w:r>
      <w:r>
        <w:rPr>
          <w:rFonts w:asciiTheme="minorEastAsia" w:hAnsiTheme="minorEastAsia" w:cstheme="minorEastAsia"/>
          <w:color w:val="000000" w:themeColor="text1"/>
          <w:szCs w:val="21"/>
          <w14:textFill>
            <w14:solidFill>
              <w14:schemeClr w14:val="tx1"/>
            </w14:solidFill>
          </w14:textFill>
        </w:rPr>
        <w:t>.2.3</w:t>
      </w:r>
      <w:r>
        <w:rPr>
          <w:rFonts w:hint="eastAsia" w:asciiTheme="minorEastAsia" w:hAnsiTheme="minorEastAsia" w:cstheme="minorEastAsia"/>
          <w:color w:val="000000" w:themeColor="text1"/>
          <w:szCs w:val="21"/>
          <w14:textFill>
            <w14:solidFill>
              <w14:schemeClr w14:val="tx1"/>
            </w14:solidFill>
          </w14:textFill>
        </w:rPr>
        <w:t>）：</w:t>
      </w:r>
    </w:p>
    <w:p>
      <w:pPr>
        <w:jc w:val="center"/>
        <w:rPr>
          <w:rFonts w:ascii="宋体" w:hAnsi="宋体" w:cs="宋体"/>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824605" cy="16325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cstate="print">
                      <a:extLst>
                        <a:ext uri="{28A0092B-C50C-407E-A947-70E740481C1C}">
                          <a14:useLocalDpi xmlns:a14="http://schemas.microsoft.com/office/drawing/2010/main" val="0"/>
                        </a:ext>
                      </a:extLst>
                    </a:blip>
                    <a:srcRect l="12089" t="23114" r="25857" b="14311"/>
                    <a:stretch>
                      <a:fillRect/>
                    </a:stretch>
                  </pic:blipFill>
                  <pic:spPr>
                    <a:xfrm>
                      <a:off x="0" y="0"/>
                      <a:ext cx="3874924" cy="1654260"/>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图6.2.3</w:t>
      </w:r>
      <w:r>
        <w:rPr>
          <w:rFonts w:hint="eastAsia" w:ascii="黑体" w:hAnsi="黑体" w:eastAsia="黑体" w:cstheme="minorEastAsia"/>
          <w:color w:val="000000" w:themeColor="text1"/>
          <w:sz w:val="18"/>
          <w:szCs w:val="18"/>
          <w14:textFill>
            <w14:solidFill>
              <w14:schemeClr w14:val="tx1"/>
            </w14:solidFill>
          </w14:textFill>
        </w:rPr>
        <w:t>大偏心受压柱(受弯)</w:t>
      </w:r>
      <w:r>
        <w:rPr>
          <w:rFonts w:ascii="黑体" w:hAnsi="黑体" w:eastAsia="黑体" w:cstheme="minorEastAsia"/>
          <w:color w:val="000000" w:themeColor="text1"/>
          <w:sz w:val="18"/>
          <w:szCs w:val="18"/>
          <w14:textFill>
            <w14:solidFill>
              <w14:schemeClr w14:val="tx1"/>
            </w14:solidFill>
          </w14:textFill>
        </w:rPr>
        <w:t>计算参数示意图</w:t>
      </w:r>
    </w:p>
    <w:p>
      <w:pPr>
        <w:ind w:left="5250" w:leftChars="250" w:hanging="4725" w:hangingChars="2250"/>
        <w:jc w:val="left"/>
        <w:rPr>
          <w:rFonts w:asciiTheme="majorEastAsia" w:hAnsiTheme="majorEastAsia" w:eastAsiaTheme="majorEastAsia"/>
          <w:color w:val="000000" w:themeColor="text1"/>
          <w:position w:val="-12"/>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12"/>
          <w:sz w:val="28"/>
          <w:szCs w:val="28"/>
          <w14:textFill>
            <w14:solidFill>
              <w14:schemeClr w14:val="tx1"/>
            </w14:solidFill>
          </w14:textFill>
        </w:rPr>
        <w:t xml:space="preserve"> </w:t>
      </w:r>
      <w:r>
        <w:rPr>
          <w:color w:val="000000" w:themeColor="text1"/>
          <w:position w:val="-12"/>
          <w:sz w:val="28"/>
          <w:szCs w:val="28"/>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(6.2.3-1)</w:t>
      </w:r>
    </w:p>
    <w:p>
      <w:pPr>
        <w:ind w:left="5250" w:leftChars="250" w:hanging="4725" w:hangingChars="2250"/>
        <w:jc w:val="left"/>
        <w:rPr>
          <w:rFonts w:asciiTheme="majorEastAsia" w:hAnsiTheme="majorEastAsia" w:eastAsiaTheme="maj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Ne≤</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3</m:t>
            </m:r>
            <m:ctrlPr>
              <w:rPr>
                <w:rFonts w:ascii="Cambria Math" w:hAnsi="Cambria Math"/>
                <w:i/>
                <w:color w:val="000000" w:themeColor="text1"/>
                <w:szCs w:val="21"/>
                <w14:textFill>
                  <w14:solidFill>
                    <w14:schemeClr w14:val="tx1"/>
                  </w14:solidFill>
                </w14:textFill>
              </w:rPr>
            </m:ctrlPr>
          </m:sub>
        </m:sSub>
      </m:oMath>
      <w:r>
        <w:rPr>
          <w:rFonts w:hint="eastAsia" w:asciiTheme="majorEastAsia" w:hAnsiTheme="majorEastAsia" w:eastAsiaTheme="majorEastAsia"/>
          <w:color w:val="000000" w:themeColor="text1"/>
          <w:szCs w:val="21"/>
          <w14:textFill>
            <w14:solidFill>
              <w14:schemeClr w14:val="tx1"/>
            </w14:solidFill>
          </w14:textFill>
        </w:rPr>
        <w:t xml:space="preserve"> </w:t>
      </w:r>
      <w:r>
        <w:rPr>
          <w:rFonts w:asciiTheme="majorEastAsia" w:hAnsiTheme="majorEastAsia" w:eastAsiaTheme="majorEastAsia"/>
          <w:color w:val="000000" w:themeColor="text1"/>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(6.2.3-2)</w:t>
      </w:r>
    </w:p>
    <w:p>
      <w:pPr>
        <w:ind w:right="480" w:firstLine="420" w:firstLineChars="200"/>
        <w:rPr>
          <w:rFonts w:asciiTheme="minorEastAsia" w:hAnsiTheme="minorEastAsia"/>
          <w:color w:val="000000" w:themeColor="text1"/>
          <w:szCs w:val="21"/>
          <w14:textFill>
            <w14:solidFill>
              <w14:schemeClr w14:val="tx1"/>
            </w14:solidFill>
          </w14:textFill>
        </w:rPr>
      </w:pPr>
      <w:r>
        <w:rPr>
          <w:rFonts w:hint="eastAsia" w:asciiTheme="majorEastAsia" w:hAnsiTheme="majorEastAsia" w:eastAsiaTheme="majorEastAsia"/>
          <w:color w:val="000000" w:themeColor="text1"/>
          <w:szCs w:val="21"/>
          <w14:textFill>
            <w14:solidFill>
              <w14:schemeClr w14:val="tx1"/>
            </w14:solidFill>
          </w14:textFill>
        </w:rPr>
        <w:t xml:space="preserve">其中，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hint="eastAsia"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hint="eastAsia" w:ascii="Cambria Math" w:hAnsi="Cambria Math"/>
                <w:color w:val="000000" w:themeColor="text1"/>
                <w:szCs w:val="21"/>
                <w14:textFill>
                  <w14:solidFill>
                    <w14:schemeClr w14:val="tx1"/>
                  </w14:solidFill>
                </w14:textFill>
              </w:rPr>
              <m:t>x</m:t>
            </m:r>
            <m:r>
              <w:rPr>
                <w:rFonts w:ascii="Cambria Math" w:hAnsi="Cambria Math"/>
                <w:color w:val="000000" w:themeColor="text1"/>
                <w:szCs w:val="21"/>
                <w14:textFill>
                  <w14:solidFill>
                    <w14:schemeClr w14:val="tx1"/>
                  </w14:solidFill>
                </w14:textFill>
              </w:rPr>
              <m:t>-0.5</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p>
    <w:p>
      <w:pPr>
        <w:ind w:firstLine="1260" w:firstLineChars="6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(x-t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=2</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r>
              <w:rPr>
                <w:rFonts w:hint="eastAsia"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ind w:firstLine="1260" w:firstLineChars="6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w:t>
      </w:r>
      <w:r>
        <w:rPr>
          <w:rFonts w:hint="eastAsia" w:asciiTheme="minorEastAsia" w:hAnsiTheme="minorEastAsia"/>
          <w:color w:val="000000" w:themeColor="text1"/>
          <w:szCs w:val="21"/>
          <w14:textFill>
            <w14:solidFill>
              <w14:schemeClr w14:val="tx1"/>
            </w14:solidFill>
          </w14:textFill>
        </w:rPr>
        <w:t>)</w:t>
      </w:r>
    </w:p>
    <w:p>
      <w:pPr>
        <w:ind w:firstLine="1680" w:firstLineChars="800"/>
        <w:jc w:val="left"/>
        <w:rPr>
          <w:rFonts w:asciiTheme="minorEastAsia" w:hAnsiTheme="min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e=</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24"/>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t xml:space="preserve"> </w:t>
      </w:r>
      <w:r>
        <w:rPr>
          <w:rFonts w:hint="eastAsia"/>
          <w:color w:val="000000" w:themeColor="text1"/>
          <w:position w:val="-24"/>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6.2.3-7</w:t>
      </w:r>
      <w:r>
        <w:rPr>
          <w:rFonts w:hint="eastAsia" w:asciiTheme="minorEastAsia" w:hAnsiTheme="minorEastAsia"/>
          <w:color w:val="000000" w:themeColor="text1"/>
          <w:szCs w:val="21"/>
          <w14:textFill>
            <w14:solidFill>
              <w14:schemeClr w14:val="tx1"/>
            </w14:solidFill>
          </w14:textFill>
        </w:rPr>
        <w:t>)</w:t>
      </w:r>
    </w:p>
    <w:p>
      <w:pPr>
        <w:ind w:right="42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m:rPr>
                <m:sty m:val="p"/>
              </m:rPr>
              <w:rPr>
                <w:rFonts w:asci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6.2.3-8</w:t>
      </w:r>
      <w:r>
        <w:rPr>
          <w:rFonts w:hint="eastAsia" w:asciiTheme="minorEastAsia" w:hAnsiTheme="minorEastAsia"/>
          <w:color w:val="000000" w:themeColor="text1"/>
          <w:szCs w:val="21"/>
          <w14:textFill>
            <w14:solidFill>
              <w14:schemeClr w14:val="tx1"/>
            </w14:solidFill>
          </w14:textFill>
        </w:rPr>
        <w:t>)</w:t>
      </w:r>
    </w:p>
    <w:p>
      <w:pPr>
        <w:ind w:right="42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den>
        </m:f>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6.2.3-9</w:t>
      </w:r>
      <w:r>
        <w:rPr>
          <w:rFonts w:hint="eastAsia" w:asciiTheme="minorEastAsia" w:hAnsiTheme="minorEastAsia"/>
          <w:color w:val="000000" w:themeColor="text1"/>
          <w:szCs w:val="21"/>
          <w14:textFill>
            <w14:solidFill>
              <w14:schemeClr w14:val="tx1"/>
            </w14:solidFill>
          </w14:textFill>
        </w:rPr>
        <w:t>)</w:t>
      </w:r>
    </w:p>
    <w:p>
      <w:pPr>
        <w:ind w:right="48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——受拉钢管面积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——受压钢管面积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e</m:t>
        </m:r>
      </m:oMath>
      <w:r>
        <w:rPr>
          <w:rFonts w:hint="eastAsia" w:asciiTheme="minorEastAsia" w:hAnsiTheme="minorEastAsia" w:cstheme="minorEastAsia"/>
          <w:color w:val="000000" w:themeColor="text1"/>
          <w:szCs w:val="21"/>
          <w14:textFill>
            <w14:solidFill>
              <w14:schemeClr w14:val="tx1"/>
            </w14:solidFill>
          </w14:textFill>
        </w:rPr>
        <w:t>——轴力作用点至甲壳柱受拉钢管截面中心的距离；</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0</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——轴力对截面重心的偏心距；</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——附加偏心距，按本规程第6</w:t>
      </w:r>
      <w:r>
        <w:rPr>
          <w:rFonts w:asciiTheme="minorEastAsia" w:hAnsiTheme="minorEastAsia" w:cstheme="minorEastAsia"/>
          <w:color w:val="000000" w:themeColor="text1"/>
          <w:szCs w:val="21"/>
          <w14:textFill>
            <w14:solidFill>
              <w14:schemeClr w14:val="tx1"/>
            </w14:solidFill>
          </w14:textFill>
        </w:rPr>
        <w:t>.1.2</w:t>
      </w:r>
      <w:r>
        <w:rPr>
          <w:rFonts w:hint="eastAsia" w:asciiTheme="minorEastAsia" w:hAnsiTheme="minorEastAsia" w:cstheme="minorEastAsia"/>
          <w:color w:val="000000" w:themeColor="text1"/>
          <w:szCs w:val="21"/>
          <w14:textFill>
            <w14:solidFill>
              <w14:schemeClr w14:val="tx1"/>
            </w14:solidFill>
          </w14:textFill>
        </w:rPr>
        <w:t>条确定。</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M</m:t>
        </m:r>
      </m:oMath>
      <w:r>
        <w:rPr>
          <w:rFonts w:hint="eastAsia" w:asciiTheme="minorEastAsia" w:hAnsiTheme="minorEastAsia" w:cstheme="minorEastAsia"/>
          <w:color w:val="000000" w:themeColor="text1"/>
          <w:szCs w:val="21"/>
          <w14:textFill>
            <w14:solidFill>
              <w14:schemeClr w14:val="tx1"/>
            </w14:solidFill>
          </w14:textFill>
        </w:rPr>
        <w:t>——柱端较大弯矩设计值，当考虑挠曲产生的二阶效应时，</w:t>
      </w:r>
    </w:p>
    <w:p>
      <w:pPr>
        <w:ind w:left="1260" w:left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柱端弯矩M应按现行国家标准《混凝土结构设计规范》GB50010的规定确定；</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——与弯矩设计值M相对应的轴向压力设计值；</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——混凝土等效受压区高度；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ξ</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——相对界限受压区高度；</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ξ</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——界限受压区高度；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——受拉钢管中心到受压钢管边缘的距离；</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left="2100" w:leftChars="300" w:hanging="1470" w:hanging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3</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——分别为受压区波纹侧板腔体内混凝土合力中心点、方钢管内混凝土合力中心点、受压方钢管合力中心点到受拉钢管中心的距离。</w:t>
      </w:r>
    </w:p>
    <w:bookmarkEnd w:id="70"/>
    <w:bookmarkEnd w:id="71"/>
    <w:bookmarkEnd w:id="72"/>
    <w:p>
      <w:pPr>
        <w:jc w:val="left"/>
        <w:rPr>
          <w:rFonts w:asciiTheme="minorEastAsia" w:hAnsiTheme="minorEastAsia" w:cstheme="minorEastAsia"/>
          <w:color w:val="000000" w:themeColor="text1"/>
          <w:szCs w:val="21"/>
          <w14:textFill>
            <w14:solidFill>
              <w14:schemeClr w14:val="tx1"/>
            </w14:solidFill>
          </w14:textFill>
        </w:rPr>
      </w:pP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w:t>
      </w:r>
      <m:oMath>
        <m:r>
          <w:rPr>
            <w:rFonts w:ascii="Cambria Math" w:hAnsi="Cambria Math" w:cstheme="minorEastAsia"/>
            <w:color w:val="000000" w:themeColor="text1"/>
            <w:szCs w:val="21"/>
            <w14:textFill>
              <w14:solidFill>
                <w14:schemeClr w14:val="tx1"/>
              </w14:solidFill>
            </w14:textFill>
          </w:rPr>
          <m:t>x&gt;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ξ</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，为小偏心受压，甲壳柱正截面承载力应符合下列规定（图6</w:t>
      </w:r>
      <w:r>
        <w:rPr>
          <w:rFonts w:asciiTheme="minorEastAsia" w:hAnsiTheme="minorEastAsia" w:cstheme="minorEastAsia"/>
          <w:color w:val="000000" w:themeColor="text1"/>
          <w:szCs w:val="21"/>
          <w14:textFill>
            <w14:solidFill>
              <w14:schemeClr w14:val="tx1"/>
            </w14:solidFill>
          </w14:textFill>
        </w:rPr>
        <w:t>.2.4</w:t>
      </w:r>
      <w:r>
        <w:rPr>
          <w:rFonts w:hint="eastAsia" w:asciiTheme="minorEastAsia" w:hAnsiTheme="minorEastAsia" w:cstheme="minorEastAsia"/>
          <w:color w:val="000000" w:themeColor="text1"/>
          <w:szCs w:val="21"/>
          <w14:textFill>
            <w14:solidFill>
              <w14:schemeClr w14:val="tx1"/>
            </w14:solidFill>
          </w14:textFill>
        </w:rPr>
        <w:t>）:</w:t>
      </w:r>
    </w:p>
    <w:p>
      <w:pPr>
        <w:jc w:val="left"/>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4043045" cy="16465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4" cstate="print">
                      <a:extLst>
                        <a:ext uri="{28A0092B-C50C-407E-A947-70E740481C1C}">
                          <a14:useLocalDpi xmlns:a14="http://schemas.microsoft.com/office/drawing/2010/main" val="0"/>
                        </a:ext>
                      </a:extLst>
                    </a:blip>
                    <a:srcRect l="11944" t="7139" r="9611" b="17385"/>
                    <a:stretch>
                      <a:fillRect/>
                    </a:stretch>
                  </pic:blipFill>
                  <pic:spPr>
                    <a:xfrm>
                      <a:off x="0" y="0"/>
                      <a:ext cx="4061620" cy="1654457"/>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图6.2.4</w:t>
      </w:r>
      <w:r>
        <w:rPr>
          <w:rFonts w:hint="eastAsia" w:ascii="黑体" w:hAnsi="黑体" w:eastAsia="黑体" w:cstheme="minorEastAsia"/>
          <w:color w:val="000000" w:themeColor="text1"/>
          <w:sz w:val="18"/>
          <w:szCs w:val="18"/>
          <w14:textFill>
            <w14:solidFill>
              <w14:schemeClr w14:val="tx1"/>
            </w14:solidFill>
          </w14:textFill>
        </w:rPr>
        <w:t>小偏心受压柱</w:t>
      </w:r>
      <w:r>
        <w:rPr>
          <w:rFonts w:ascii="黑体" w:hAnsi="黑体" w:eastAsia="黑体" w:cstheme="minorEastAsia"/>
          <w:color w:val="000000" w:themeColor="text1"/>
          <w:sz w:val="18"/>
          <w:szCs w:val="18"/>
          <w14:textFill>
            <w14:solidFill>
              <w14:schemeClr w14:val="tx1"/>
            </w14:solidFill>
          </w14:textFill>
        </w:rPr>
        <w:t>计算参数示意图</w:t>
      </w:r>
    </w:p>
    <w:p>
      <w:pPr>
        <w:ind w:left="5250" w:leftChars="250" w:hanging="4725" w:hangingChars="2250"/>
        <w:jc w:val="left"/>
        <w:rPr>
          <w:rFonts w:asciiTheme="majorEastAsia" w:hAnsiTheme="majorEastAsia" w:eastAsiaTheme="majorEastAsia"/>
          <w:color w:val="000000" w:themeColor="text1"/>
          <w:position w:val="-12"/>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σ</m:t>
            </m:r>
            <m:ctrlPr>
              <w:rPr>
                <w:rFonts w:ascii="Cambria Math" w:hAnsi="Cambria Math"/>
                <w:i/>
                <w:color w:val="000000" w:themeColor="text1"/>
                <w:szCs w:val="21"/>
                <w14:textFill>
                  <w14:solidFill>
                    <w14:schemeClr w14:val="tx1"/>
                  </w14:solidFill>
                </w14:textFill>
              </w:rPr>
            </m:ctrlPr>
          </m:e>
          <m:sub>
            <m:r>
              <w:rPr>
                <w:rFonts w:hint="eastAsia"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12"/>
          <w:sz w:val="28"/>
          <w:szCs w:val="28"/>
          <w14:textFill>
            <w14:solidFill>
              <w14:schemeClr w14:val="tx1"/>
            </w14:solidFill>
          </w14:textFill>
        </w:rPr>
        <w:t xml:space="preserve"> </w:t>
      </w:r>
      <w:r>
        <w:rPr>
          <w:color w:val="000000" w:themeColor="text1"/>
          <w:position w:val="-12"/>
          <w:sz w:val="28"/>
          <w:szCs w:val="28"/>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(6.2.4-1)</w:t>
      </w:r>
    </w:p>
    <w:p>
      <w:pPr>
        <w:ind w:left="5250" w:leftChars="250" w:hanging="4725" w:hangingChars="2250"/>
        <w:jc w:val="left"/>
        <w:rPr>
          <w:rFonts w:asciiTheme="majorEastAsia" w:hAnsiTheme="majorEastAsia" w:eastAsiaTheme="maj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Ne≤</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3</m:t>
            </m:r>
            <m:ctrlPr>
              <w:rPr>
                <w:rFonts w:ascii="Cambria Math" w:hAnsi="Cambria Math"/>
                <w:i/>
                <w:color w:val="000000" w:themeColor="text1"/>
                <w:szCs w:val="21"/>
                <w14:textFill>
                  <w14:solidFill>
                    <w14:schemeClr w14:val="tx1"/>
                  </w14:solidFill>
                </w14:textFill>
              </w:rPr>
            </m:ctrlPr>
          </m:sub>
        </m:sSub>
      </m:oMath>
      <w:r>
        <w:rPr>
          <w:rFonts w:hint="eastAsia" w:asciiTheme="majorEastAsia" w:hAnsiTheme="majorEastAsia" w:eastAsiaTheme="majorEastAsia"/>
          <w:color w:val="000000" w:themeColor="text1"/>
          <w:szCs w:val="21"/>
          <w14:textFill>
            <w14:solidFill>
              <w14:schemeClr w14:val="tx1"/>
            </w14:solidFill>
          </w14:textFill>
        </w:rPr>
        <w:t xml:space="preserve"> </w:t>
      </w:r>
      <w:r>
        <w:rPr>
          <w:rFonts w:asciiTheme="majorEastAsia" w:hAnsiTheme="majorEastAsia" w:eastAsiaTheme="majorEastAsia"/>
          <w:color w:val="000000" w:themeColor="text1"/>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(6.2.4-2)</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其中</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=b</m:t>
        </m:r>
        <m:r>
          <w:rPr>
            <w:rFonts w:hint="eastAsia" w:ascii="Cambria Math" w:hAnsi="Cambria Math"/>
            <w:color w:val="000000" w:themeColor="text1"/>
            <w:szCs w:val="21"/>
            <w14:textFill>
              <w14:solidFill>
                <w14:schemeClr w14:val="tx1"/>
              </w14:solidFill>
            </w14:textFill>
          </w:rPr>
          <m:t>x</m:t>
        </m:r>
        <m:r>
          <w:rPr>
            <w:rFonts w:ascii="Cambria Math" w:hAnsi="Cambria Math" w:eastAsia="微软雅黑" w:cs="微软雅黑"/>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2</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-0.5</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p>
    <w:p>
      <w:pPr>
        <w:jc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m:t>
        </m:r>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x-</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6.2.4</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p>
    <w:p>
      <w:pPr>
        <w:ind w:firstLine="1470" w:firstLineChars="7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6.2.4</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ind w:firstLine="1470" w:firstLineChars="7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6.2.4</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σ</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ξ</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β</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den>
        </m:f>
        <m:d>
          <m:dPr>
            <m:ctrlPr>
              <w:rPr>
                <w:rFonts w:ascii="Cambria Math" w:hAnsi="Cambria Math"/>
                <w:i/>
                <w:color w:val="000000" w:themeColor="text1"/>
                <w:szCs w:val="21"/>
                <w14:textFill>
                  <w14:solidFill>
                    <w14:schemeClr w14:val="tx1"/>
                  </w14:solidFill>
                </w14:textFill>
              </w:rPr>
            </m:ctrlPr>
          </m:dPr>
          <m:e>
            <m:f>
              <m:fPr>
                <m:ctrlPr>
                  <w:rPr>
                    <w:rFonts w:ascii="Cambria Math" w:hAnsi="Cambria Math"/>
                    <w:i/>
                    <w:color w:val="000000" w:themeColor="text1"/>
                    <w:szCs w:val="21"/>
                    <w14:textFill>
                      <w14:solidFill>
                        <w14:schemeClr w14:val="tx1"/>
                      </w14:solidFill>
                    </w14:textFill>
                  </w:rPr>
                </m:ctrlPr>
              </m:fPr>
              <m:num>
                <m: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β</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color w:val="000000" w:themeColor="text1"/>
          <w:position w:val="-32"/>
          <w:sz w:val="28"/>
          <w:szCs w:val="28"/>
          <w14:textFill>
            <w14:solidFill>
              <w14:schemeClr w14:val="tx1"/>
            </w14:solidFill>
          </w14:textFill>
        </w:rPr>
        <w:t xml:space="preserve">     </w:t>
      </w:r>
      <w:r>
        <w:rPr>
          <w:color w:val="000000" w:themeColor="text1"/>
          <w:position w:val="-32"/>
          <w:sz w:val="28"/>
          <w:szCs w:val="28"/>
          <w14:textFill>
            <w14:solidFill>
              <w14:schemeClr w14:val="tx1"/>
            </w14:solidFill>
          </w14:textFill>
        </w:rPr>
        <w:t xml:space="preserve">   </w:t>
      </w:r>
      <w:r>
        <w:rPr>
          <w:rFonts w:hint="eastAsia"/>
          <w:color w:val="000000" w:themeColor="text1"/>
          <w:position w:val="-32"/>
          <w:sz w:val="28"/>
          <w:szCs w:val="28"/>
          <w14:textFill>
            <w14:solidFill>
              <w14:schemeClr w14:val="tx1"/>
            </w14:solidFill>
          </w14:textFill>
        </w:rPr>
        <w:t xml:space="preserve"> </w:t>
      </w:r>
      <w:r>
        <w:rPr>
          <w:color w:val="000000" w:themeColor="text1"/>
          <w:position w:val="-32"/>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6.2.4-6</w:t>
      </w:r>
      <w:r>
        <w:rPr>
          <w:rFonts w:hint="eastAsia" w:asciiTheme="minorEastAsia" w:hAnsiTheme="minorEastAsia"/>
          <w:color w:val="000000" w:themeColor="text1"/>
          <w:szCs w:val="21"/>
          <w14:textFill>
            <w14:solidFill>
              <w14:schemeClr w14:val="tx1"/>
            </w14:solidFill>
          </w14:textFill>
        </w:rPr>
        <w:t>)</w:t>
      </w:r>
    </w:p>
    <w:p>
      <w:pPr>
        <w:ind w:right="280" w:firstLine="1400" w:firstLineChars="500"/>
        <w:jc w:val="left"/>
        <w:rPr>
          <w:rFonts w:asciiTheme="minorEastAsia" w:hAnsiTheme="minorEastAsia"/>
          <w:color w:val="000000" w:themeColor="text1"/>
          <w:szCs w:val="21"/>
          <w14:textFill>
            <w14:solidFill>
              <w14:schemeClr w14:val="tx1"/>
            </w14:solidFill>
          </w14:textFill>
        </w:rPr>
      </w:pPr>
      <w:r>
        <w:rPr>
          <w:color w:val="000000" w:themeColor="text1"/>
          <w:sz w:val="28"/>
          <w:szCs w:val="28"/>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ξ</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β</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1+</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ε</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cu</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den>
            </m:f>
            <m:ctrlPr>
              <w:rPr>
                <w:rFonts w:ascii="Cambria Math" w:hAnsi="Cambria Math"/>
                <w:i/>
                <w:color w:val="000000" w:themeColor="text1"/>
                <w:szCs w:val="21"/>
                <w14:textFill>
                  <w14:solidFill>
                    <w14:schemeClr w14:val="tx1"/>
                  </w14:solidFill>
                </w14:textFill>
              </w:rPr>
            </m:ctrlPr>
          </m:den>
        </m:f>
      </m:oMath>
      <w:r>
        <w:rPr>
          <w:rFonts w:hint="eastAsia"/>
          <w:color w:val="000000" w:themeColor="text1"/>
          <w:position w:val="-60"/>
          <w:sz w:val="28"/>
          <w:szCs w:val="28"/>
          <w14:textFill>
            <w14:solidFill>
              <w14:schemeClr w14:val="tx1"/>
            </w14:solidFill>
          </w14:textFill>
        </w:rPr>
        <w:t xml:space="preserve">        </w:t>
      </w:r>
      <w:r>
        <w:rPr>
          <w:color w:val="000000" w:themeColor="text1"/>
          <w:position w:val="-60"/>
          <w:sz w:val="28"/>
          <w:szCs w:val="28"/>
          <w14:textFill>
            <w14:solidFill>
              <w14:schemeClr w14:val="tx1"/>
            </w14:solidFill>
          </w14:textFill>
        </w:rPr>
        <w:t xml:space="preserve"> </w:t>
      </w:r>
      <w:r>
        <w:rPr>
          <w:rFonts w:hint="eastAsia"/>
          <w:color w:val="000000" w:themeColor="text1"/>
          <w:position w:val="-60"/>
          <w:sz w:val="28"/>
          <w:szCs w:val="28"/>
          <w14:textFill>
            <w14:solidFill>
              <w14:schemeClr w14:val="tx1"/>
            </w14:solidFill>
          </w14:textFill>
        </w:rPr>
        <w:t xml:space="preserve">    </w:t>
      </w:r>
      <w:r>
        <w:rPr>
          <w:color w:val="000000" w:themeColor="text1"/>
          <w:position w:val="-60"/>
          <w:sz w:val="28"/>
          <w:szCs w:val="28"/>
          <w14:textFill>
            <w14:solidFill>
              <w14:schemeClr w14:val="tx1"/>
            </w14:solidFill>
          </w14:textFill>
        </w:rPr>
        <w:t xml:space="preserve">  </w:t>
      </w:r>
      <w:r>
        <w:rPr>
          <w:rFonts w:hint="eastAsia"/>
          <w:color w:val="000000" w:themeColor="text1"/>
          <w:position w:val="-60"/>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6.2.4-7</w:t>
      </w:r>
      <w:r>
        <w:rPr>
          <w:rFonts w:hint="eastAsia" w:asciiTheme="minorEastAsia" w:hAnsiTheme="minorEastAsia"/>
          <w:color w:val="000000" w:themeColor="text1"/>
          <w:szCs w:val="21"/>
          <w14:textFill>
            <w14:solidFill>
              <w14:schemeClr w14:val="tx1"/>
            </w14:solidFill>
          </w14:textFill>
        </w:rPr>
        <w:t>)</w:t>
      </w:r>
    </w:p>
    <w:p>
      <w:pPr>
        <w:ind w:left="1680" w:hanging="1680" w:hangingChars="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m:oMath>
        <m:r>
          <w:rPr>
            <w:rFonts w:ascii="Cambria Math" w:hAnsi="Cambria Math" w:cstheme="minorHAnsi"/>
            <w:color w:val="000000" w:themeColor="text1"/>
            <w:szCs w:val="21"/>
            <w14:textFill>
              <w14:solidFill>
                <w14:schemeClr w14:val="tx1"/>
              </w14:solidFill>
            </w14:textFill>
          </w:rPr>
          <m:t>e=</m:t>
        </m:r>
        <m:sSub>
          <m:sSubPr>
            <m:ctrlPr>
              <w:rPr>
                <w:rFonts w:ascii="Cambria Math" w:hAnsi="Cambria Math" w:cstheme="minorHAnsi"/>
                <w:i/>
                <w:color w:val="000000" w:themeColor="text1"/>
                <w:szCs w:val="21"/>
                <w14:textFill>
                  <w14:solidFill>
                    <w14:schemeClr w14:val="tx1"/>
                  </w14:solidFill>
                </w14:textFill>
              </w:rPr>
            </m:ctrlPr>
          </m:sSubPr>
          <m:e>
            <m:r>
              <w:rPr>
                <w:rFonts w:ascii="Cambria Math" w:hAnsi="Cambria Math" w:cstheme="minorHAnsi"/>
                <w:color w:val="000000" w:themeColor="text1"/>
                <w:szCs w:val="21"/>
                <w14:textFill>
                  <w14:solidFill>
                    <w14:schemeClr w14:val="tx1"/>
                  </w14:solidFill>
                </w14:textFill>
              </w:rPr>
              <m:t>e</m:t>
            </m:r>
            <m:ctrlPr>
              <w:rPr>
                <w:rFonts w:ascii="Cambria Math" w:hAnsi="Cambria Math" w:cstheme="minorHAnsi"/>
                <w:i/>
                <w:color w:val="000000" w:themeColor="text1"/>
                <w:szCs w:val="21"/>
                <w14:textFill>
                  <w14:solidFill>
                    <w14:schemeClr w14:val="tx1"/>
                  </w14:solidFill>
                </w14:textFill>
              </w:rPr>
            </m:ctrlPr>
          </m:e>
          <m:sub>
            <m:r>
              <w:rPr>
                <w:rFonts w:ascii="Cambria Math" w:hAnsi="Cambria Math" w:cstheme="minorHAnsi"/>
                <w:color w:val="000000" w:themeColor="text1"/>
                <w:szCs w:val="21"/>
                <w14:textFill>
                  <w14:solidFill>
                    <w14:schemeClr w14:val="tx1"/>
                  </w14:solidFill>
                </w14:textFill>
              </w:rPr>
              <m:t>i</m:t>
            </m:r>
            <m:ctrlPr>
              <w:rPr>
                <w:rFonts w:ascii="Cambria Math" w:hAnsi="Cambria Math" w:cstheme="minorHAnsi"/>
                <w:i/>
                <w:color w:val="000000" w:themeColor="text1"/>
                <w:szCs w:val="21"/>
                <w14:textFill>
                  <w14:solidFill>
                    <w14:schemeClr w14:val="tx1"/>
                  </w14:solidFill>
                </w14:textFill>
              </w:rPr>
            </m:ctrlPr>
          </m:sub>
        </m:sSub>
        <m:r>
          <w:rPr>
            <w:rFonts w:ascii="Cambria Math" w:hAnsi="Cambria Math" w:cstheme="minorHAnsi"/>
            <w:color w:val="000000" w:themeColor="text1"/>
            <w:szCs w:val="21"/>
            <w14:textFill>
              <w14:solidFill>
                <w14:schemeClr w14:val="tx1"/>
              </w14:solidFill>
            </w14:textFill>
          </w:rPr>
          <m:t>+</m:t>
        </m:r>
        <m:f>
          <m:fPr>
            <m:ctrlPr>
              <w:rPr>
                <w:rFonts w:ascii="Cambria Math" w:hAnsi="Cambria Math" w:cstheme="minorHAnsi"/>
                <w:i/>
                <w:color w:val="000000" w:themeColor="text1"/>
                <w:szCs w:val="21"/>
                <w14:textFill>
                  <w14:solidFill>
                    <w14:schemeClr w14:val="tx1"/>
                  </w14:solidFill>
                </w14:textFill>
              </w:rPr>
            </m:ctrlPr>
          </m:fPr>
          <m:num>
            <m:r>
              <w:rPr>
                <w:rFonts w:ascii="Cambria Math" w:hAnsi="Cambria Math" w:eastAsia="MS Gothic" w:cstheme="minorHAnsi"/>
                <w:color w:val="000000" w:themeColor="text1"/>
                <w:szCs w:val="21"/>
                <w14:textFill>
                  <w14:solidFill>
                    <w14:schemeClr w14:val="tx1"/>
                  </w14:solidFill>
                </w14:textFill>
              </w:rPr>
              <m:t>h</m:t>
            </m:r>
            <m:ctrlPr>
              <w:rPr>
                <w:rFonts w:ascii="Cambria Math" w:hAnsi="Cambria Math" w:cstheme="minorHAnsi"/>
                <w:i/>
                <w:color w:val="000000" w:themeColor="text1"/>
                <w:szCs w:val="21"/>
                <w14:textFill>
                  <w14:solidFill>
                    <w14:schemeClr w14:val="tx1"/>
                  </w14:solidFill>
                </w14:textFill>
              </w:rPr>
            </m:ctrlPr>
          </m:num>
          <m:den>
            <m:r>
              <w:rPr>
                <w:rFonts w:ascii="Cambria Math" w:hAnsi="Cambria Math" w:cstheme="minorHAnsi"/>
                <w:color w:val="000000" w:themeColor="text1"/>
                <w:szCs w:val="21"/>
                <w14:textFill>
                  <w14:solidFill>
                    <w14:schemeClr w14:val="tx1"/>
                  </w14:solidFill>
                </w14:textFill>
              </w:rPr>
              <m:t>2</m:t>
            </m:r>
            <m:ctrlPr>
              <w:rPr>
                <w:rFonts w:ascii="Cambria Math" w:hAnsi="Cambria Math" w:cstheme="minorHAnsi"/>
                <w:i/>
                <w:color w:val="000000" w:themeColor="text1"/>
                <w:szCs w:val="21"/>
                <w14:textFill>
                  <w14:solidFill>
                    <w14:schemeClr w14:val="tx1"/>
                  </w14:solidFill>
                </w14:textFill>
              </w:rPr>
            </m:ctrlPr>
          </m:den>
        </m:f>
        <m:r>
          <w:rPr>
            <w:rFonts w:ascii="Cambria Math" w:hAnsi="Cambria Math" w:cstheme="minorHAnsi"/>
            <w:color w:val="000000" w:themeColor="text1"/>
            <w:szCs w:val="21"/>
            <w14:textFill>
              <w14:solidFill>
                <w14:schemeClr w14:val="tx1"/>
              </w14:solidFill>
            </w14:textFill>
          </w:rPr>
          <m:t>-</m:t>
        </m:r>
        <m:f>
          <m:fPr>
            <m:ctrlPr>
              <w:rPr>
                <w:rFonts w:ascii="Cambria Math" w:hAnsi="Cambria Math" w:cstheme="minorHAnsi"/>
                <w:i/>
                <w:color w:val="000000" w:themeColor="text1"/>
                <w:szCs w:val="21"/>
                <w14:textFill>
                  <w14:solidFill>
                    <w14:schemeClr w14:val="tx1"/>
                  </w14:solidFill>
                </w14:textFill>
              </w:rPr>
            </m:ctrlPr>
          </m:fPr>
          <m:num>
            <m:sSub>
              <m:sSubPr>
                <m:ctrlPr>
                  <w:rPr>
                    <w:rFonts w:ascii="Cambria Math" w:hAnsi="Cambria Math" w:cstheme="minorHAnsi"/>
                    <w:i/>
                    <w:color w:val="000000" w:themeColor="text1"/>
                    <w:szCs w:val="21"/>
                    <w14:textFill>
                      <w14:solidFill>
                        <w14:schemeClr w14:val="tx1"/>
                      </w14:solidFill>
                    </w14:textFill>
                  </w:rPr>
                </m:ctrlPr>
              </m:sSubPr>
              <m:e>
                <m:r>
                  <w:rPr>
                    <w:rFonts w:ascii="Cambria Math" w:hAnsi="Cambria Math" w:eastAsia="MS Gothic" w:cstheme="minorHAnsi"/>
                    <w:color w:val="000000" w:themeColor="text1"/>
                    <w:szCs w:val="21"/>
                    <w14:textFill>
                      <w14:solidFill>
                        <w14:schemeClr w14:val="tx1"/>
                      </w14:solidFill>
                    </w14:textFill>
                  </w:rPr>
                  <m:t>h</m:t>
                </m:r>
                <m:ctrlPr>
                  <w:rPr>
                    <w:rFonts w:ascii="Cambria Math" w:hAnsi="Cambria Math" w:cstheme="minorHAnsi"/>
                    <w:i/>
                    <w:color w:val="000000" w:themeColor="text1"/>
                    <w:szCs w:val="21"/>
                    <w14:textFill>
                      <w14:solidFill>
                        <w14:schemeClr w14:val="tx1"/>
                      </w14:solidFill>
                    </w14:textFill>
                  </w:rPr>
                </m:ctrlPr>
              </m:e>
              <m:sub>
                <m:r>
                  <w:rPr>
                    <w:rFonts w:ascii="Cambria Math" w:hAnsi="Cambria Math" w:cstheme="minorHAnsi"/>
                    <w:color w:val="000000" w:themeColor="text1"/>
                    <w:szCs w:val="21"/>
                    <w14:textFill>
                      <w14:solidFill>
                        <w14:schemeClr w14:val="tx1"/>
                      </w14:solidFill>
                    </w14:textFill>
                  </w:rPr>
                  <m:t>t</m:t>
                </m:r>
                <m:ctrlPr>
                  <w:rPr>
                    <w:rFonts w:ascii="Cambria Math" w:hAnsi="Cambria Math" w:cstheme="minorHAnsi"/>
                    <w:i/>
                    <w:color w:val="000000" w:themeColor="text1"/>
                    <w:szCs w:val="21"/>
                    <w14:textFill>
                      <w14:solidFill>
                        <w14:schemeClr w14:val="tx1"/>
                      </w14:solidFill>
                    </w14:textFill>
                  </w:rPr>
                </m:ctrlPr>
              </m:sub>
            </m:sSub>
            <m:ctrlPr>
              <w:rPr>
                <w:rFonts w:ascii="Cambria Math" w:hAnsi="Cambria Math" w:cstheme="minorHAnsi"/>
                <w:i/>
                <w:color w:val="000000" w:themeColor="text1"/>
                <w:szCs w:val="21"/>
                <w14:textFill>
                  <w14:solidFill>
                    <w14:schemeClr w14:val="tx1"/>
                  </w14:solidFill>
                </w14:textFill>
              </w:rPr>
            </m:ctrlPr>
          </m:num>
          <m:den>
            <m:r>
              <w:rPr>
                <w:rFonts w:ascii="Cambria Math" w:hAnsi="Cambria Math" w:cstheme="minorHAnsi"/>
                <w:color w:val="000000" w:themeColor="text1"/>
                <w:szCs w:val="21"/>
                <w14:textFill>
                  <w14:solidFill>
                    <w14:schemeClr w14:val="tx1"/>
                  </w14:solidFill>
                </w14:textFill>
              </w:rPr>
              <m:t>2</m:t>
            </m:r>
            <m:ctrlPr>
              <w:rPr>
                <w:rFonts w:ascii="Cambria Math" w:hAnsi="Cambria Math" w:cstheme="minorHAnsi"/>
                <w:i/>
                <w:color w:val="000000" w:themeColor="text1"/>
                <w:szCs w:val="21"/>
                <w14:textFill>
                  <w14:solidFill>
                    <w14:schemeClr w14:val="tx1"/>
                  </w14:solidFill>
                </w14:textFill>
              </w:rPr>
            </m:ctrlPr>
          </m:den>
        </m:f>
        <m:r>
          <w:rPr>
            <w:rFonts w:ascii="Cambria Math" w:hAnsi="Cambria Math" w:cstheme="minorHAnsi"/>
            <w:color w:val="000000" w:themeColor="text1"/>
            <w:szCs w:val="21"/>
            <w14:textFill>
              <w14:solidFill>
                <w14:schemeClr w14:val="tx1"/>
              </w14:solidFill>
            </w14:textFill>
          </w:rPr>
          <m:t>-</m:t>
        </m:r>
        <m:sSub>
          <m:sSubPr>
            <m:ctrlPr>
              <w:rPr>
                <w:rFonts w:ascii="Cambria Math" w:hAnsi="Cambria Math" w:cstheme="minorHAnsi"/>
                <w:i/>
                <w:color w:val="000000" w:themeColor="text1"/>
                <w:szCs w:val="21"/>
                <w14:textFill>
                  <w14:solidFill>
                    <w14:schemeClr w14:val="tx1"/>
                  </w14:solidFill>
                </w14:textFill>
              </w:rPr>
            </m:ctrlPr>
          </m:sSubPr>
          <m:e>
            <m:r>
              <w:rPr>
                <w:rFonts w:ascii="Cambria Math" w:hAnsi="Cambria Math" w:cstheme="minorHAnsi"/>
                <w:color w:val="000000" w:themeColor="text1"/>
                <w:szCs w:val="21"/>
                <w14:textFill>
                  <w14:solidFill>
                    <w14:schemeClr w14:val="tx1"/>
                  </w14:solidFill>
                </w14:textFill>
              </w:rPr>
              <m:t>t</m:t>
            </m:r>
            <m:ctrlPr>
              <w:rPr>
                <w:rFonts w:ascii="Cambria Math" w:hAnsi="Cambria Math" w:cstheme="minorHAnsi"/>
                <w:i/>
                <w:color w:val="000000" w:themeColor="text1"/>
                <w:szCs w:val="21"/>
                <w14:textFill>
                  <w14:solidFill>
                    <w14:schemeClr w14:val="tx1"/>
                  </w14:solidFill>
                </w14:textFill>
              </w:rPr>
            </m:ctrlPr>
          </m:e>
          <m:sub>
            <m:r>
              <w:rPr>
                <w:rFonts w:ascii="Cambria Math" w:hAnsi="Cambria Math" w:cstheme="minorHAnsi"/>
                <w:color w:val="000000" w:themeColor="text1"/>
                <w:szCs w:val="21"/>
                <w14:textFill>
                  <w14:solidFill>
                    <w14:schemeClr w14:val="tx1"/>
                  </w14:solidFill>
                </w14:textFill>
              </w:rPr>
              <m:t>1</m:t>
            </m:r>
            <m:ctrlPr>
              <w:rPr>
                <w:rFonts w:ascii="Cambria Math" w:hAnsi="Cambria Math" w:cstheme="minorHAnsi"/>
                <w:i/>
                <w:color w:val="000000" w:themeColor="text1"/>
                <w:szCs w:val="21"/>
                <w14:textFill>
                  <w14:solidFill>
                    <w14:schemeClr w14:val="tx1"/>
                  </w14:solidFill>
                </w14:textFill>
              </w:rPr>
            </m:ctrlPr>
          </m:sub>
        </m:sSub>
      </m:oMath>
      <w:r>
        <w:rPr>
          <w:rFonts w:hint="eastAsia"/>
          <w:color w:val="000000" w:themeColor="text1"/>
          <w:position w:val="-24"/>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6.2.4-8</w:t>
      </w:r>
      <w:r>
        <w:rPr>
          <w:rFonts w:hint="eastAsia" w:asciiTheme="minorEastAsia" w:hAnsiTheme="minorEastAsia"/>
          <w:color w:val="000000" w:themeColor="text1"/>
          <w:szCs w:val="21"/>
          <w14:textFill>
            <w14:solidFill>
              <w14:schemeClr w14:val="tx1"/>
            </w14:solidFill>
          </w14:textFill>
        </w:rPr>
        <w:t>)</w:t>
      </w:r>
      <w:r>
        <w:rPr>
          <w:rFonts w:hint="eastAsia"/>
          <w:color w:val="000000" w:themeColor="text1"/>
          <w:position w:val="-24"/>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t xml:space="preserve">   </w:t>
      </w:r>
      <w:r>
        <w:rPr>
          <w:rFonts w:hint="eastAsia"/>
          <w:color w:val="000000" w:themeColor="text1"/>
          <w:position w:val="-24"/>
          <w:sz w:val="28"/>
          <w:szCs w:val="28"/>
          <w14:textFill>
            <w14:solidFill>
              <w14:schemeClr w14:val="tx1"/>
            </w14:solidFill>
          </w14:textFill>
        </w:rPr>
        <w:t xml:space="preserve">   </w:t>
      </w:r>
      <w:r>
        <w:rPr>
          <w:color w:val="000000" w:themeColor="text1"/>
          <w:position w:val="-24"/>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12"/>
          <w:sz w:val="28"/>
          <w:szCs w:val="28"/>
          <w14:textFill>
            <w14:solidFill>
              <w14:schemeClr w14:val="tx1"/>
            </w14:solidFill>
          </w14:textFill>
        </w:rPr>
        <w:t xml:space="preserve">       </w:t>
      </w:r>
      <w:r>
        <w:rPr>
          <w:color w:val="000000" w:themeColor="text1"/>
          <w:position w:val="-12"/>
          <w:sz w:val="28"/>
          <w:szCs w:val="28"/>
          <w14:textFill>
            <w14:solidFill>
              <w14:schemeClr w14:val="tx1"/>
            </w14:solidFill>
          </w14:textFill>
        </w:rPr>
        <w:t xml:space="preserve">   </w:t>
      </w:r>
      <w:r>
        <w:rPr>
          <w:rFonts w:hint="eastAsia"/>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6.2.4-9</w:t>
      </w:r>
      <w:r>
        <w:rPr>
          <w:rFonts w:hint="eastAsia" w:asciiTheme="minorEastAsia" w:hAnsiTheme="minorEastAsia"/>
          <w:color w:val="000000" w:themeColor="text1"/>
          <w:szCs w:val="21"/>
          <w14:textFill>
            <w14:solidFill>
              <w14:schemeClr w14:val="tx1"/>
            </w14:solidFill>
          </w14:textFill>
        </w:rPr>
        <w:t>)</w:t>
      </w:r>
    </w:p>
    <w:p>
      <w:pPr>
        <w:ind w:firstLine="1680" w:firstLineChars="800"/>
        <w:jc w:val="left"/>
        <w:rPr>
          <w:color w:val="000000" w:themeColor="text1"/>
          <w:sz w:val="28"/>
          <w:szCs w:val="28"/>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den>
        </m:f>
      </m:oMath>
      <w:r>
        <w:rPr>
          <w:rFonts w:hint="eastAsia"/>
          <w:color w:val="000000" w:themeColor="text1"/>
          <w:position w:val="-12"/>
          <w:sz w:val="28"/>
          <w:szCs w:val="28"/>
          <w14:textFill>
            <w14:solidFill>
              <w14:schemeClr w14:val="tx1"/>
            </w14:solidFill>
          </w14:textFill>
        </w:rPr>
        <w:t xml:space="preserve">               </w:t>
      </w:r>
      <w:r>
        <w:rPr>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6.2.4-10</w:t>
      </w:r>
      <w:r>
        <w:rPr>
          <w:rFonts w:hint="eastAsia" w:asciiTheme="minorEastAsia" w:hAnsiTheme="minorEastAsia"/>
          <w:color w:val="000000" w:themeColor="text1"/>
          <w:szCs w:val="21"/>
          <w14:textFill>
            <w14:solidFill>
              <w14:schemeClr w14:val="tx1"/>
            </w14:solidFill>
          </w14:textFill>
        </w:rPr>
        <w:t>)</w:t>
      </w:r>
    </w:p>
    <w:p>
      <w:pPr>
        <w:ind w:right="48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——受压钢管面积</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e</m:t>
        </m:r>
      </m:oMath>
      <w:r>
        <w:rPr>
          <w:rFonts w:hint="eastAsia" w:asciiTheme="minorEastAsia" w:hAnsiTheme="minorEastAsia" w:cstheme="minorEastAsia"/>
          <w:color w:val="000000" w:themeColor="text1"/>
          <w:szCs w:val="21"/>
          <w14:textFill>
            <w14:solidFill>
              <w14:schemeClr w14:val="tx1"/>
            </w14:solidFill>
          </w14:textFill>
        </w:rPr>
        <w:t>——轴力作用点至甲壳柱受拉钢管截面中心的距离；</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0</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——轴力对截面重心的偏心距；</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——附加偏心距，取</w:t>
      </w:r>
      <w:r>
        <w:rPr>
          <w:rFonts w:asciiTheme="minorEastAsia" w:hAnsiTheme="minorEastAsia" w:cstheme="minorEastAsia"/>
          <w:color w:val="000000" w:themeColor="text1"/>
          <w:szCs w:val="21"/>
          <w14:textFill>
            <w14:solidFill>
              <w14:schemeClr w14:val="tx1"/>
            </w14:solidFill>
          </w14:textFill>
        </w:rPr>
        <w:t>20mm和偏心方向截面尺寸的1/30两者中的较大者</w:t>
      </w:r>
      <w:r>
        <w:rPr>
          <w:rFonts w:hint="eastAsia" w:asciiTheme="minorEastAsia" w:hAnsiTheme="minorEastAsia" w:cstheme="minorEastAsia"/>
          <w:color w:val="000000" w:themeColor="text1"/>
          <w:szCs w:val="21"/>
          <w14:textFill>
            <w14:solidFill>
              <w14:schemeClr w14:val="tx1"/>
            </w14:solidFill>
          </w14:textFill>
        </w:rPr>
        <w:t>；</w:t>
      </w:r>
    </w:p>
    <w:p>
      <w:pPr>
        <w:ind w:left="1470" w:leftChars="300" w:hanging="840" w:hangingChars="4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M</m:t>
        </m:r>
      </m:oMath>
      <w:r>
        <w:rPr>
          <w:rFonts w:hint="eastAsia" w:asciiTheme="minorEastAsia" w:hAnsiTheme="minorEastAsia" w:cstheme="minorEastAsia"/>
          <w:color w:val="000000" w:themeColor="text1"/>
          <w:szCs w:val="21"/>
          <w14:textFill>
            <w14:solidFill>
              <w14:schemeClr w14:val="tx1"/>
            </w14:solidFill>
          </w14:textFill>
        </w:rPr>
        <w:t>——柱端较大弯矩设计值，当考虑挠曲产生的二阶效应时，柱</w:t>
      </w:r>
    </w:p>
    <w:p>
      <w:pPr>
        <w:ind w:left="1260" w:left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端弯矩M应按现行国家标准《混凝土结构设计规范》GB50010的规定确定；</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——与弯矩设计值M相对应的轴向压力设计值；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——混凝土等效受压区高度；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ξ</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b</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——相对界限受压区高度；</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ξ</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——界限受压区高度；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——受拉钢管中心到受压钢管边缘的距离；</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σ</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——受拉钢管应力；</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ε</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cu</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——混凝土极限压应变,按公式（</w:t>
      </w:r>
      <w:r>
        <w:rPr>
          <w:rFonts w:asciiTheme="minorEastAsia" w:hAnsiTheme="minorEastAsia" w:cstheme="minorEastAsia"/>
          <w:color w:val="000000" w:themeColor="text1"/>
          <w:szCs w:val="21"/>
          <w14:textFill>
            <w14:solidFill>
              <w14:schemeClr w14:val="tx1"/>
            </w14:solidFill>
          </w14:textFill>
        </w:rPr>
        <w:t>6.1.1-5</w:t>
      </w:r>
      <w:r>
        <w:rPr>
          <w:rFonts w:hint="eastAsia" w:asciiTheme="minorEastAsia" w:hAnsiTheme="minorEastAsia" w:cstheme="minorEastAsia"/>
          <w:color w:val="000000" w:themeColor="text1"/>
          <w:szCs w:val="21"/>
          <w14:textFill>
            <w14:solidFill>
              <w14:schemeClr w14:val="tx1"/>
            </w14:solidFill>
          </w14:textFill>
        </w:rPr>
        <w:t>）计算，当计算的值大于0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时取为0</w:t>
      </w:r>
      <w:r>
        <w:rPr>
          <w:rFonts w:asciiTheme="minorEastAsia" w:hAnsiTheme="minorEastAsia" w:cstheme="minorEastAsia"/>
          <w:color w:val="000000" w:themeColor="text1"/>
          <w:szCs w:val="21"/>
          <w14:textFill>
            <w14:solidFill>
              <w14:schemeClr w14:val="tx1"/>
            </w14:solidFill>
          </w14:textFill>
        </w:rPr>
        <w:t>.0033</w:t>
      </w:r>
      <w:r>
        <w:rPr>
          <w:rFonts w:hint="eastAsia" w:asciiTheme="minorEastAsia" w:hAnsiTheme="minorEastAsia" w:cstheme="minorEastAsia"/>
          <w:color w:val="000000" w:themeColor="text1"/>
          <w:szCs w:val="21"/>
          <w14:textFill>
            <w14:solidFill>
              <w14:schemeClr w14:val="tx1"/>
            </w14:solidFill>
          </w14:textFill>
        </w:rPr>
        <w:t>；</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——钢管弹性模量；</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β</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——受压区混凝土应力图形影响系数，当混凝土强度等级不超过C50时，</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β</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取0.8，当混凝土强度等级为C80时，</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β</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取0.74，其间按线性内插法确定。</w:t>
      </w:r>
    </w:p>
    <w:p>
      <w:pPr>
        <w:ind w:left="2100" w:leftChars="300" w:hanging="1470" w:hanging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3</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——分别为受压区波纹侧板腔体内混凝土合力中心点、方钢管内混凝土合力中心点、受压方钢管合力中心点到受拉钢管中心的距离。</w:t>
      </w:r>
    </w:p>
    <w:p>
      <w:pPr>
        <w:rPr>
          <w:rFonts w:asciiTheme="minorEastAsia" w:hAnsiTheme="minorEastAsia" w:cstheme="minorEastAsia"/>
          <w:color w:val="000000" w:themeColor="text1"/>
          <w:szCs w:val="21"/>
          <w14:textFill>
            <w14:solidFill>
              <w14:schemeClr w14:val="tx1"/>
            </w14:solidFill>
          </w14:textFill>
        </w:rPr>
      </w:pP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双向偏压甲壳柱的正截面承载力应符合下列规定：</w:t>
      </w:r>
    </w:p>
    <w:p>
      <w:pPr>
        <w:jc w:val="right"/>
        <w:rPr>
          <w:rFonts w:asciiTheme="minorEastAsia" w:hAnsiTheme="minorEastAsia" w:cstheme="minorEastAsia"/>
          <w:color w:val="000000" w:themeColor="text1"/>
          <w:szCs w:val="21"/>
          <w14:textFill>
            <w14:solidFill>
              <w14:schemeClr w14:val="tx1"/>
            </w14:solidFill>
          </w14:textFill>
        </w:rPr>
      </w:pPr>
      <m:oMath>
        <m:r>
          <w:rPr>
            <w:rFonts w:ascii="Cambria Math"/>
            <w:color w:val="000000" w:themeColor="text1"/>
            <w:sz w:val="24"/>
            <w:szCs w:val="28"/>
            <w14:textFill>
              <w14:solidFill>
                <w14:schemeClr w14:val="tx1"/>
              </w14:solidFill>
            </w14:textFill>
          </w:rPr>
          <m:t>N≤</m:t>
        </m:r>
        <m:f>
          <m:fPr>
            <m:ctrlPr>
              <w:rPr>
                <w:rFonts w:ascii="Cambria Math" w:hAnsi="Cambria Math"/>
                <w:i/>
                <w:color w:val="000000" w:themeColor="text1"/>
                <w:sz w:val="24"/>
                <w:szCs w:val="28"/>
                <w14:textFill>
                  <w14:solidFill>
                    <w14:schemeClr w14:val="tx1"/>
                  </w14:solidFill>
                </w14:textFill>
              </w:rPr>
            </m:ctrlPr>
          </m:fPr>
          <m:num>
            <m:r>
              <w:rPr>
                <w:rFonts w:ascii="Cambria Math"/>
                <w:color w:val="000000" w:themeColor="text1"/>
                <w:sz w:val="24"/>
                <w:szCs w:val="28"/>
                <w14:textFill>
                  <w14:solidFill>
                    <w14:schemeClr w14:val="tx1"/>
                  </w14:solidFill>
                </w14:textFill>
              </w:rPr>
              <m:t>1</m:t>
            </m:r>
            <m:ctrlPr>
              <w:rPr>
                <w:rFonts w:ascii="Cambria Math" w:hAnsi="Cambria Math"/>
                <w:i/>
                <w:color w:val="000000" w:themeColor="text1"/>
                <w:sz w:val="24"/>
                <w:szCs w:val="28"/>
                <w14:textFill>
                  <w14:solidFill>
                    <w14:schemeClr w14:val="tx1"/>
                  </w14:solidFill>
                </w14:textFill>
              </w:rPr>
            </m:ctrlPr>
          </m:num>
          <m:den>
            <m:f>
              <m:fPr>
                <m:ctrlPr>
                  <w:rPr>
                    <w:rFonts w:ascii="Cambria Math" w:hAnsi="Cambria Math"/>
                    <w:i/>
                    <w:color w:val="000000" w:themeColor="text1"/>
                    <w:sz w:val="24"/>
                    <w:szCs w:val="28"/>
                    <w14:textFill>
                      <w14:solidFill>
                        <w14:schemeClr w14:val="tx1"/>
                      </w14:solidFill>
                    </w14:textFill>
                  </w:rPr>
                </m:ctrlPr>
              </m:fPr>
              <m:num>
                <m:r>
                  <w:rPr>
                    <w:rFonts w:ascii="Cambria Math"/>
                    <w:color w:val="000000" w:themeColor="text1"/>
                    <w:sz w:val="24"/>
                    <w:szCs w:val="28"/>
                    <w14:textFill>
                      <w14:solidFill>
                        <w14:schemeClr w14:val="tx1"/>
                      </w14:solidFill>
                    </w14:textFill>
                  </w:rPr>
                  <m:t>1</m:t>
                </m:r>
                <m:ctrlPr>
                  <w:rPr>
                    <w:rFonts w:ascii="Cambria Math" w:hAnsi="Cambria Math"/>
                    <w:i/>
                    <w:color w:val="000000" w:themeColor="text1"/>
                    <w:sz w:val="24"/>
                    <w:szCs w:val="28"/>
                    <w14:textFill>
                      <w14:solidFill>
                        <w14:schemeClr w14:val="tx1"/>
                      </w14:solidFill>
                    </w14:textFill>
                  </w:rPr>
                </m:ctrlPr>
              </m:num>
              <m:den>
                <m:sSub>
                  <m:sSubPr>
                    <m:ctrlPr>
                      <w:rPr>
                        <w:rFonts w:ascii="Cambria Math" w:hAnsi="Cambria Math"/>
                        <w:i/>
                        <w:color w:val="000000" w:themeColor="text1"/>
                        <w:sz w:val="24"/>
                        <w:szCs w:val="28"/>
                        <w14:textFill>
                          <w14:solidFill>
                            <w14:schemeClr w14:val="tx1"/>
                          </w14:solidFill>
                        </w14:textFill>
                      </w:rPr>
                    </m:ctrlPr>
                  </m:sSubPr>
                  <m:e>
                    <m:r>
                      <w:rPr>
                        <w:rFonts w:ascii="Cambria Math"/>
                        <w:color w:val="000000" w:themeColor="text1"/>
                        <w:sz w:val="24"/>
                        <w:szCs w:val="28"/>
                        <w14:textFill>
                          <w14:solidFill>
                            <w14:schemeClr w14:val="tx1"/>
                          </w14:solidFill>
                        </w14:textFill>
                      </w:rPr>
                      <m:t>N</m:t>
                    </m:r>
                    <m:ctrlPr>
                      <w:rPr>
                        <w:rFonts w:ascii="Cambria Math" w:hAnsi="Cambria Math"/>
                        <w:i/>
                        <w:color w:val="000000" w:themeColor="text1"/>
                        <w:sz w:val="24"/>
                        <w:szCs w:val="28"/>
                        <w14:textFill>
                          <w14:solidFill>
                            <w14:schemeClr w14:val="tx1"/>
                          </w14:solidFill>
                        </w14:textFill>
                      </w:rPr>
                    </m:ctrlPr>
                  </m:e>
                  <m:sub>
                    <m:r>
                      <w:rPr>
                        <w:rFonts w:ascii="Cambria Math"/>
                        <w:color w:val="000000" w:themeColor="text1"/>
                        <w:sz w:val="24"/>
                        <w:szCs w:val="28"/>
                        <w14:textFill>
                          <w14:solidFill>
                            <w14:schemeClr w14:val="tx1"/>
                          </w14:solidFill>
                        </w14:textFill>
                      </w:rPr>
                      <m:t>ux</m:t>
                    </m:r>
                    <m:ctrlPr>
                      <w:rPr>
                        <w:rFonts w:ascii="Cambria Math" w:hAnsi="Cambria Math"/>
                        <w:i/>
                        <w:color w:val="000000" w:themeColor="text1"/>
                        <w:sz w:val="24"/>
                        <w:szCs w:val="28"/>
                        <w14:textFill>
                          <w14:solidFill>
                            <w14:schemeClr w14:val="tx1"/>
                          </w14:solidFill>
                        </w14:textFill>
                      </w:rPr>
                    </m:ctrlPr>
                  </m:sub>
                </m:sSub>
                <m:ctrlPr>
                  <w:rPr>
                    <w:rFonts w:ascii="Cambria Math" w:hAnsi="Cambria Math"/>
                    <w:i/>
                    <w:color w:val="000000" w:themeColor="text1"/>
                    <w:sz w:val="24"/>
                    <w:szCs w:val="28"/>
                    <w14:textFill>
                      <w14:solidFill>
                        <w14:schemeClr w14:val="tx1"/>
                      </w14:solidFill>
                    </w14:textFill>
                  </w:rPr>
                </m:ctrlPr>
              </m:den>
            </m:f>
            <m:r>
              <w:rPr>
                <w:rFonts w:ascii="Cambria Math"/>
                <w:color w:val="000000" w:themeColor="text1"/>
                <w:sz w:val="24"/>
                <w:szCs w:val="28"/>
                <w14:textFill>
                  <w14:solidFill>
                    <w14:schemeClr w14:val="tx1"/>
                  </w14:solidFill>
                </w14:textFill>
              </w:rPr>
              <m:t>+</m:t>
            </m:r>
            <m:f>
              <m:fPr>
                <m:ctrlPr>
                  <w:rPr>
                    <w:rFonts w:ascii="Cambria Math" w:hAnsi="Cambria Math"/>
                    <w:i/>
                    <w:color w:val="000000" w:themeColor="text1"/>
                    <w:sz w:val="24"/>
                    <w:szCs w:val="28"/>
                    <w14:textFill>
                      <w14:solidFill>
                        <w14:schemeClr w14:val="tx1"/>
                      </w14:solidFill>
                    </w14:textFill>
                  </w:rPr>
                </m:ctrlPr>
              </m:fPr>
              <m:num>
                <m:r>
                  <w:rPr>
                    <w:rFonts w:ascii="Cambria Math"/>
                    <w:color w:val="000000" w:themeColor="text1"/>
                    <w:sz w:val="24"/>
                    <w:szCs w:val="28"/>
                    <w14:textFill>
                      <w14:solidFill>
                        <w14:schemeClr w14:val="tx1"/>
                      </w14:solidFill>
                    </w14:textFill>
                  </w:rPr>
                  <m:t>1</m:t>
                </m:r>
                <m:ctrlPr>
                  <w:rPr>
                    <w:rFonts w:ascii="Cambria Math" w:hAnsi="Cambria Math"/>
                    <w:i/>
                    <w:color w:val="000000" w:themeColor="text1"/>
                    <w:sz w:val="24"/>
                    <w:szCs w:val="28"/>
                    <w14:textFill>
                      <w14:solidFill>
                        <w14:schemeClr w14:val="tx1"/>
                      </w14:solidFill>
                    </w14:textFill>
                  </w:rPr>
                </m:ctrlPr>
              </m:num>
              <m:den>
                <m:sSub>
                  <m:sSubPr>
                    <m:ctrlPr>
                      <w:rPr>
                        <w:rFonts w:ascii="Cambria Math" w:hAnsi="Cambria Math"/>
                        <w:i/>
                        <w:color w:val="000000" w:themeColor="text1"/>
                        <w:sz w:val="24"/>
                        <w:szCs w:val="28"/>
                        <w14:textFill>
                          <w14:solidFill>
                            <w14:schemeClr w14:val="tx1"/>
                          </w14:solidFill>
                        </w14:textFill>
                      </w:rPr>
                    </m:ctrlPr>
                  </m:sSubPr>
                  <m:e>
                    <m:r>
                      <w:rPr>
                        <w:rFonts w:ascii="Cambria Math"/>
                        <w:color w:val="000000" w:themeColor="text1"/>
                        <w:sz w:val="24"/>
                        <w:szCs w:val="28"/>
                        <w14:textFill>
                          <w14:solidFill>
                            <w14:schemeClr w14:val="tx1"/>
                          </w14:solidFill>
                        </w14:textFill>
                      </w:rPr>
                      <m:t>N</m:t>
                    </m:r>
                    <m:ctrlPr>
                      <w:rPr>
                        <w:rFonts w:ascii="Cambria Math" w:hAnsi="Cambria Math"/>
                        <w:i/>
                        <w:color w:val="000000" w:themeColor="text1"/>
                        <w:sz w:val="24"/>
                        <w:szCs w:val="28"/>
                        <w14:textFill>
                          <w14:solidFill>
                            <w14:schemeClr w14:val="tx1"/>
                          </w14:solidFill>
                        </w14:textFill>
                      </w:rPr>
                    </m:ctrlPr>
                  </m:e>
                  <m:sub>
                    <m:r>
                      <w:rPr>
                        <w:rFonts w:ascii="Cambria Math"/>
                        <w:color w:val="000000" w:themeColor="text1"/>
                        <w:sz w:val="24"/>
                        <w:szCs w:val="28"/>
                        <w14:textFill>
                          <w14:solidFill>
                            <w14:schemeClr w14:val="tx1"/>
                          </w14:solidFill>
                        </w14:textFill>
                      </w:rPr>
                      <m:t>uy</m:t>
                    </m:r>
                    <m:ctrlPr>
                      <w:rPr>
                        <w:rFonts w:ascii="Cambria Math" w:hAnsi="Cambria Math"/>
                        <w:i/>
                        <w:color w:val="000000" w:themeColor="text1"/>
                        <w:sz w:val="24"/>
                        <w:szCs w:val="28"/>
                        <w14:textFill>
                          <w14:solidFill>
                            <w14:schemeClr w14:val="tx1"/>
                          </w14:solidFill>
                        </w14:textFill>
                      </w:rPr>
                    </m:ctrlPr>
                  </m:sub>
                </m:sSub>
                <m:ctrlPr>
                  <w:rPr>
                    <w:rFonts w:ascii="Cambria Math" w:hAnsi="Cambria Math"/>
                    <w:i/>
                    <w:color w:val="000000" w:themeColor="text1"/>
                    <w:sz w:val="24"/>
                    <w:szCs w:val="28"/>
                    <w14:textFill>
                      <w14:solidFill>
                        <w14:schemeClr w14:val="tx1"/>
                      </w14:solidFill>
                    </w14:textFill>
                  </w:rPr>
                </m:ctrlPr>
              </m:den>
            </m:f>
            <m:r>
              <w:rPr>
                <w:rFonts w:ascii="Cambria Math"/>
                <w:color w:val="000000" w:themeColor="text1"/>
                <w:sz w:val="24"/>
                <w:szCs w:val="28"/>
                <w14:textFill>
                  <w14:solidFill>
                    <w14:schemeClr w14:val="tx1"/>
                  </w14:solidFill>
                </w14:textFill>
              </w:rPr>
              <m:t>-</m:t>
            </m:r>
            <m:f>
              <m:fPr>
                <m:ctrlPr>
                  <w:rPr>
                    <w:rFonts w:ascii="Cambria Math" w:hAnsi="Cambria Math"/>
                    <w:i/>
                    <w:color w:val="000000" w:themeColor="text1"/>
                    <w:sz w:val="24"/>
                    <w:szCs w:val="28"/>
                    <w14:textFill>
                      <w14:solidFill>
                        <w14:schemeClr w14:val="tx1"/>
                      </w14:solidFill>
                    </w14:textFill>
                  </w:rPr>
                </m:ctrlPr>
              </m:fPr>
              <m:num>
                <m:r>
                  <w:rPr>
                    <w:rFonts w:ascii="Cambria Math"/>
                    <w:color w:val="000000" w:themeColor="text1"/>
                    <w:sz w:val="24"/>
                    <w:szCs w:val="28"/>
                    <w14:textFill>
                      <w14:solidFill>
                        <w14:schemeClr w14:val="tx1"/>
                      </w14:solidFill>
                    </w14:textFill>
                  </w:rPr>
                  <m:t>1</m:t>
                </m:r>
                <m:ctrlPr>
                  <w:rPr>
                    <w:rFonts w:ascii="Cambria Math" w:hAnsi="Cambria Math"/>
                    <w:i/>
                    <w:color w:val="000000" w:themeColor="text1"/>
                    <w:sz w:val="24"/>
                    <w:szCs w:val="28"/>
                    <w14:textFill>
                      <w14:solidFill>
                        <w14:schemeClr w14:val="tx1"/>
                      </w14:solidFill>
                    </w14:textFill>
                  </w:rPr>
                </m:ctrlPr>
              </m:num>
              <m:den>
                <m:sSub>
                  <m:sSubPr>
                    <m:ctrlPr>
                      <w:rPr>
                        <w:rFonts w:ascii="Cambria Math" w:hAnsi="Cambria Math"/>
                        <w:i/>
                        <w:color w:val="000000" w:themeColor="text1"/>
                        <w:sz w:val="24"/>
                        <w:szCs w:val="28"/>
                        <w14:textFill>
                          <w14:solidFill>
                            <w14:schemeClr w14:val="tx1"/>
                          </w14:solidFill>
                        </w14:textFill>
                      </w:rPr>
                    </m:ctrlPr>
                  </m:sSubPr>
                  <m:e>
                    <m:r>
                      <w:rPr>
                        <w:rFonts w:ascii="Cambria Math"/>
                        <w:color w:val="000000" w:themeColor="text1"/>
                        <w:sz w:val="24"/>
                        <w:szCs w:val="28"/>
                        <w14:textFill>
                          <w14:solidFill>
                            <w14:schemeClr w14:val="tx1"/>
                          </w14:solidFill>
                        </w14:textFill>
                      </w:rPr>
                      <m:t>N</m:t>
                    </m:r>
                    <m:ctrlPr>
                      <w:rPr>
                        <w:rFonts w:ascii="Cambria Math" w:hAnsi="Cambria Math"/>
                        <w:i/>
                        <w:color w:val="000000" w:themeColor="text1"/>
                        <w:sz w:val="24"/>
                        <w:szCs w:val="28"/>
                        <w14:textFill>
                          <w14:solidFill>
                            <w14:schemeClr w14:val="tx1"/>
                          </w14:solidFill>
                        </w14:textFill>
                      </w:rPr>
                    </m:ctrlPr>
                  </m:e>
                  <m:sub>
                    <m:r>
                      <w:rPr>
                        <w:rFonts w:ascii="Cambria Math"/>
                        <w:color w:val="000000" w:themeColor="text1"/>
                        <w:sz w:val="24"/>
                        <w:szCs w:val="28"/>
                        <w14:textFill>
                          <w14:solidFill>
                            <w14:schemeClr w14:val="tx1"/>
                          </w14:solidFill>
                        </w14:textFill>
                      </w:rPr>
                      <m:t>u0</m:t>
                    </m:r>
                    <m:ctrlPr>
                      <w:rPr>
                        <w:rFonts w:ascii="Cambria Math" w:hAnsi="Cambria Math"/>
                        <w:i/>
                        <w:color w:val="000000" w:themeColor="text1"/>
                        <w:sz w:val="24"/>
                        <w:szCs w:val="28"/>
                        <w14:textFill>
                          <w14:solidFill>
                            <w14:schemeClr w14:val="tx1"/>
                          </w14:solidFill>
                        </w14:textFill>
                      </w:rPr>
                    </m:ctrlPr>
                  </m:sub>
                </m:sSub>
                <m:ctrlPr>
                  <w:rPr>
                    <w:rFonts w:ascii="Cambria Math" w:hAnsi="Cambria Math"/>
                    <w:i/>
                    <w:color w:val="000000" w:themeColor="text1"/>
                    <w:sz w:val="24"/>
                    <w:szCs w:val="28"/>
                    <w14:textFill>
                      <w14:solidFill>
                        <w14:schemeClr w14:val="tx1"/>
                      </w14:solidFill>
                    </w14:textFill>
                  </w:rPr>
                </m:ctrlPr>
              </m:den>
            </m:f>
            <m:ctrlPr>
              <w:rPr>
                <w:rFonts w:ascii="Cambria Math" w:hAnsi="Cambria Math"/>
                <w:i/>
                <w:color w:val="000000" w:themeColor="text1"/>
                <w:sz w:val="24"/>
                <w:szCs w:val="28"/>
                <w14:textFill>
                  <w14:solidFill>
                    <w14:schemeClr w14:val="tx1"/>
                  </w14:solidFill>
                </w14:textFill>
              </w:rPr>
            </m:ctrlPr>
          </m:den>
        </m:f>
      </m:oMath>
      <w:r>
        <w:rPr>
          <w:rFonts w:hint="eastAsia"/>
          <w:color w:val="000000" w:themeColor="text1"/>
          <w:sz w:val="24"/>
          <w:szCs w:val="28"/>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w:t>
      </w:r>
    </w:p>
    <w:p>
      <w:pPr>
        <w:ind w:left="126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——构件的截面轴心受压承载力设计值，按本规程第6</w:t>
      </w:r>
      <w:r>
        <w:rPr>
          <w:rFonts w:asciiTheme="minorEastAsia" w:hAnsiTheme="minorEastAsia" w:cstheme="minorEastAsia"/>
          <w:color w:val="000000" w:themeColor="text1"/>
          <w:szCs w:val="21"/>
          <w14:textFill>
            <w14:solidFill>
              <w14:schemeClr w14:val="tx1"/>
            </w14:solidFill>
          </w14:textFill>
        </w:rPr>
        <w:t>.2.1</w:t>
      </w:r>
      <w:r>
        <w:rPr>
          <w:rFonts w:hint="eastAsia" w:asciiTheme="minorEastAsia" w:hAnsiTheme="minorEastAsia" w:cstheme="minorEastAsia"/>
          <w:color w:val="000000" w:themeColor="text1"/>
          <w:szCs w:val="21"/>
          <w14:textFill>
            <w14:solidFill>
              <w14:schemeClr w14:val="tx1"/>
            </w14:solidFill>
          </w14:textFill>
        </w:rPr>
        <w:t>条计算；</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m:t>
            </m:r>
            <m:r>
              <w:rPr>
                <w:rFonts w:hint="eastAsia" w:ascii="Cambria Math" w:hAnsi="Cambria Math" w:cstheme="minorEastAsia"/>
                <w:color w:val="000000" w:themeColor="text1"/>
                <w:szCs w:val="21"/>
                <w14:textFill>
                  <w14:solidFill>
                    <w14:schemeClr w14:val="tx1"/>
                  </w14:solidFill>
                </w14:textFill>
              </w:rPr>
              <m:t>x</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——轴向压力作用于</w:t>
      </w:r>
      <m:oMath>
        <m:r>
          <w:rPr>
            <w:rFonts w:ascii="Cambria Math" w:hAnsi="Cambria Math"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轴并考虑相应的计算偏心距</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ix</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后的偏</w:t>
      </w:r>
    </w:p>
    <w:p>
      <w:pPr>
        <w:ind w:left="1260" w:left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心受压承载力设计值,按本规程第6</w:t>
      </w:r>
      <w:r>
        <w:rPr>
          <w:rFonts w:asciiTheme="minorEastAsia" w:hAnsiTheme="minorEastAsia" w:cstheme="minorEastAsia"/>
          <w:color w:val="000000" w:themeColor="text1"/>
          <w:szCs w:val="21"/>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条、第6</w:t>
      </w:r>
      <w:r>
        <w:rPr>
          <w:rFonts w:asciiTheme="minorEastAsia" w:hAnsiTheme="minorEastAsia" w:cstheme="minorEastAsia"/>
          <w:color w:val="000000" w:themeColor="text1"/>
          <w:szCs w:val="21"/>
          <w14:textFill>
            <w14:solidFill>
              <w14:schemeClr w14:val="tx1"/>
            </w14:solidFill>
          </w14:textFill>
        </w:rPr>
        <w:t>.2.3</w:t>
      </w:r>
      <w:r>
        <w:rPr>
          <w:rFonts w:hint="eastAsia" w:asciiTheme="minorEastAsia" w:hAnsiTheme="minorEastAsia" w:cstheme="minorEastAsia"/>
          <w:color w:val="000000" w:themeColor="text1"/>
          <w:szCs w:val="21"/>
          <w14:textFill>
            <w14:solidFill>
              <w14:schemeClr w14:val="tx1"/>
            </w14:solidFill>
          </w14:textFill>
        </w:rPr>
        <w:t>条或第6</w:t>
      </w:r>
      <w:r>
        <w:rPr>
          <w:rFonts w:asciiTheme="minorEastAsia" w:hAnsiTheme="minorEastAsia" w:cstheme="minorEastAsia"/>
          <w:color w:val="000000" w:themeColor="text1"/>
          <w:szCs w:val="21"/>
          <w14:textFill>
            <w14:solidFill>
              <w14:schemeClr w14:val="tx1"/>
            </w14:solidFill>
          </w14:textFill>
        </w:rPr>
        <w:t>.2.4</w:t>
      </w:r>
      <w:r>
        <w:rPr>
          <w:rFonts w:hint="eastAsia" w:asciiTheme="minorEastAsia" w:hAnsiTheme="minorEastAsia" w:cstheme="minorEastAsia"/>
          <w:color w:val="000000" w:themeColor="text1"/>
          <w:szCs w:val="21"/>
          <w14:textFill>
            <w14:solidFill>
              <w14:schemeClr w14:val="tx1"/>
            </w14:solidFill>
          </w14:textFill>
        </w:rPr>
        <w:t>条计算；</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uy</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——轴向压力作用于</w:t>
      </w:r>
      <m:oMath>
        <m:r>
          <w:rPr>
            <w:rFonts w:ascii="Cambria Math" w:hAnsi="Cambria Math" w:cstheme="minorEastAsia"/>
            <w:color w:val="000000" w:themeColor="text1"/>
            <w:szCs w:val="21"/>
            <w14:textFill>
              <w14:solidFill>
                <w14:schemeClr w14:val="tx1"/>
              </w14:solidFill>
            </w14:textFill>
          </w:rPr>
          <m:t>y</m:t>
        </m:r>
      </m:oMath>
      <w:r>
        <w:rPr>
          <w:rFonts w:hint="eastAsia" w:asciiTheme="minorEastAsia" w:hAnsiTheme="minorEastAsia" w:cstheme="minorEastAsia"/>
          <w:color w:val="000000" w:themeColor="text1"/>
          <w:szCs w:val="21"/>
          <w14:textFill>
            <w14:solidFill>
              <w14:schemeClr w14:val="tx1"/>
            </w14:solidFill>
          </w14:textFill>
        </w:rPr>
        <w:t>轴并考虑相应的计算偏心距</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e</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iy</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后的偏</w:t>
      </w:r>
    </w:p>
    <w:p>
      <w:pPr>
        <w:ind w:left="1470" w:leftChars="7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心受压承载力设计值，按本规程第6</w:t>
      </w:r>
      <w:r>
        <w:rPr>
          <w:rFonts w:asciiTheme="minorEastAsia" w:hAnsiTheme="minorEastAsia" w:cstheme="minorEastAsia"/>
          <w:color w:val="000000" w:themeColor="text1"/>
          <w:szCs w:val="21"/>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条、第6</w:t>
      </w:r>
      <w:r>
        <w:rPr>
          <w:rFonts w:asciiTheme="minorEastAsia" w:hAnsiTheme="minorEastAsia" w:cstheme="minorEastAsia"/>
          <w:color w:val="000000" w:themeColor="text1"/>
          <w:szCs w:val="21"/>
          <w14:textFill>
            <w14:solidFill>
              <w14:schemeClr w14:val="tx1"/>
            </w14:solidFill>
          </w14:textFill>
        </w:rPr>
        <w:t>.2.3</w:t>
      </w:r>
      <w:r>
        <w:rPr>
          <w:rFonts w:hint="eastAsia" w:asciiTheme="minorEastAsia" w:hAnsiTheme="minorEastAsia" w:cstheme="minorEastAsia"/>
          <w:color w:val="000000" w:themeColor="text1"/>
          <w:szCs w:val="21"/>
          <w14:textFill>
            <w14:solidFill>
              <w14:schemeClr w14:val="tx1"/>
            </w14:solidFill>
          </w14:textFill>
        </w:rPr>
        <w:t>条或第6</w:t>
      </w:r>
      <w:r>
        <w:rPr>
          <w:rFonts w:asciiTheme="minorEastAsia" w:hAnsiTheme="minorEastAsia" w:cstheme="minorEastAsia"/>
          <w:color w:val="000000" w:themeColor="text1"/>
          <w:szCs w:val="21"/>
          <w14:textFill>
            <w14:solidFill>
              <w14:schemeClr w14:val="tx1"/>
            </w14:solidFill>
          </w14:textFill>
        </w:rPr>
        <w:t>.2.4</w:t>
      </w:r>
      <w:r>
        <w:rPr>
          <w:rFonts w:hint="eastAsia" w:asciiTheme="minorEastAsia" w:hAnsiTheme="minorEastAsia" w:cstheme="minorEastAsia"/>
          <w:color w:val="000000" w:themeColor="text1"/>
          <w:szCs w:val="21"/>
          <w14:textFill>
            <w14:solidFill>
              <w14:schemeClr w14:val="tx1"/>
            </w14:solidFill>
          </w14:textFill>
        </w:rPr>
        <w:t>条计算；</w:t>
      </w:r>
    </w:p>
    <w:p>
      <w:pPr>
        <w:ind w:left="1680" w:leftChars="300" w:hanging="1050" w:hangingChars="5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ix</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iy</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——分别为轴向力N对X轴及Y轴的计算偏心距，按下式计算</w:t>
      </w:r>
    </w:p>
    <w:p>
      <w:pPr>
        <w:jc w:val="center"/>
        <w:rPr>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den>
        </m:f>
      </m:oMath>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p>
    <w:p>
      <w:pPr>
        <w:ind w:left="480" w:hanging="480" w:hangingChars="200"/>
        <w:rPr>
          <w:rFonts w:asciiTheme="minorEastAsia" w:hAnsiTheme="minorEastAsia" w:cstheme="minorEastAsia"/>
          <w:color w:val="000000" w:themeColor="text1"/>
          <w:szCs w:val="21"/>
          <w14:textFill>
            <w14:solidFill>
              <w14:schemeClr w14:val="tx1"/>
            </w14:solidFill>
          </w14:textFill>
        </w:rPr>
      </w:pP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6 </w:t>
      </w:r>
      <w:r>
        <w:rPr>
          <w:rFonts w:hint="eastAsia" w:asciiTheme="minorEastAsia" w:hAnsiTheme="minorEastAsia" w:cstheme="minorEastAsia"/>
          <w:color w:val="000000" w:themeColor="text1"/>
          <w:szCs w:val="21"/>
          <w14:textFill>
            <w14:solidFill>
              <w14:schemeClr w14:val="tx1"/>
            </w14:solidFill>
          </w14:textFill>
        </w:rPr>
        <w:t>甲壳柱的正截面受弯承载力应符合下列规定（图6</w:t>
      </w:r>
      <w:r>
        <w:rPr>
          <w:rFonts w:asciiTheme="minorEastAsia" w:hAnsiTheme="minorEastAsia" w:cstheme="minorEastAsia"/>
          <w:color w:val="000000" w:themeColor="text1"/>
          <w:szCs w:val="21"/>
          <w14:textFill>
            <w14:solidFill>
              <w14:schemeClr w14:val="tx1"/>
            </w14:solidFill>
          </w14:textFill>
        </w:rPr>
        <w:t>.2.6</w:t>
      </w:r>
      <w:r>
        <w:rPr>
          <w:rFonts w:hint="eastAsia" w:asciiTheme="minorEastAsia" w:hAnsiTheme="minorEastAsia" w:cstheme="minorEastAsia"/>
          <w:color w:val="000000" w:themeColor="text1"/>
          <w:szCs w:val="21"/>
          <w14:textFill>
            <w14:solidFill>
              <w14:schemeClr w14:val="tx1"/>
            </w14:solidFill>
          </w14:textFill>
        </w:rPr>
        <w:t>）：</w:t>
      </w:r>
    </w:p>
    <w:p>
      <w:pPr>
        <w:ind w:left="420" w:leftChars="200"/>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3443605" cy="153670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5" cstate="print">
                      <a:extLst>
                        <a:ext uri="{28A0092B-C50C-407E-A947-70E740481C1C}">
                          <a14:useLocalDpi xmlns:a14="http://schemas.microsoft.com/office/drawing/2010/main" val="0"/>
                        </a:ext>
                      </a:extLst>
                    </a:blip>
                    <a:srcRect l="10937" t="21413" r="26152" b="12278"/>
                    <a:stretch>
                      <a:fillRect/>
                    </a:stretch>
                  </pic:blipFill>
                  <pic:spPr>
                    <a:xfrm>
                      <a:off x="0" y="0"/>
                      <a:ext cx="3489346" cy="1557028"/>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图6.2.6</w:t>
      </w:r>
      <w:r>
        <w:rPr>
          <w:rFonts w:hint="eastAsia" w:ascii="黑体" w:hAnsi="黑体" w:eastAsia="黑体" w:cstheme="minorEastAsia"/>
          <w:color w:val="000000" w:themeColor="text1"/>
          <w:sz w:val="18"/>
          <w:szCs w:val="18"/>
          <w14:textFill>
            <w14:solidFill>
              <w14:schemeClr w14:val="tx1"/>
            </w14:solidFill>
          </w14:textFill>
        </w:rPr>
        <w:t>甲壳柱纯弯</w:t>
      </w:r>
      <w:r>
        <w:rPr>
          <w:rFonts w:ascii="黑体" w:hAnsi="黑体" w:eastAsia="黑体" w:cstheme="minorEastAsia"/>
          <w:color w:val="000000" w:themeColor="text1"/>
          <w:sz w:val="18"/>
          <w:szCs w:val="18"/>
          <w14:textFill>
            <w14:solidFill>
              <w14:schemeClr w14:val="tx1"/>
            </w14:solidFill>
          </w14:textFill>
        </w:rPr>
        <w:t>计算参数示意图</w:t>
      </w:r>
    </w:p>
    <w:p>
      <w:pPr>
        <w:jc w:val="center"/>
        <w:rPr>
          <w:rFonts w:ascii="黑体" w:hAnsi="黑体" w:eastAsia="黑体" w:cstheme="minorEastAsia"/>
          <w:color w:val="000000" w:themeColor="text1"/>
          <w:sz w:val="18"/>
          <w:szCs w:val="18"/>
          <w14:textFill>
            <w14:solidFill>
              <w14:schemeClr w14:val="tx1"/>
            </w14:solidFill>
          </w14:textFill>
        </w:rPr>
      </w:pPr>
    </w:p>
    <w:p>
      <w:pPr>
        <w:jc w:val="cente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hint="eastAsia"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黑体" w:hAnsi="黑体" w:eastAsia="黑体"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6.2.6-1)</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olor w:val="000000" w:themeColor="text1"/>
            <w:szCs w:val="21"/>
            <w14:textFill>
              <w14:solidFill>
                <w14:schemeClr w14:val="tx1"/>
              </w14:solidFill>
            </w14:textFill>
          </w:rPr>
          <m:t>M≤</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3</m:t>
            </m:r>
            <m:ctrlPr>
              <w:rPr>
                <w:rFonts w:ascii="Cambria Math" w:hAnsi="Cambria Math"/>
                <w:i/>
                <w:color w:val="000000" w:themeColor="text1"/>
                <w:szCs w:val="21"/>
                <w14:textFill>
                  <w14:solidFill>
                    <w14:schemeClr w14:val="tx1"/>
                  </w14:solidFill>
                </w14:textFill>
              </w:rPr>
            </m:ctrlPr>
          </m:sub>
        </m:sSub>
      </m:oMath>
      <w:r>
        <w:rPr>
          <w:rFonts w:hint="eastAsia" w:ascii="黑体" w:hAnsi="黑体" w:eastAsia="黑体" w:cstheme="minorEastAsia"/>
          <w:color w:val="000000" w:themeColor="text1"/>
          <w:sz w:val="18"/>
          <w:szCs w:val="18"/>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(6.2.6-2)</w:t>
      </w:r>
    </w:p>
    <w:p>
      <w:pPr>
        <w:ind w:right="480" w:firstLine="630" w:firstLineChars="3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其中，</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hint="eastAsia"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hint="eastAsia" w:ascii="Cambria Math" w:hAnsi="Cambria Math"/>
                <w:color w:val="000000" w:themeColor="text1"/>
                <w:szCs w:val="21"/>
                <w14:textFill>
                  <w14:solidFill>
                    <w14:schemeClr w14:val="tx1"/>
                  </w14:solidFill>
                </w14:textFill>
              </w:rPr>
              <m:t>x</m:t>
            </m:r>
            <m:r>
              <w:rPr>
                <w:rFonts w:ascii="Cambria Math" w:hAnsi="Cambria Math"/>
                <w:color w:val="000000" w:themeColor="text1"/>
                <w:szCs w:val="21"/>
                <w14:textFill>
                  <w14:solidFill>
                    <w14:schemeClr w14:val="tx1"/>
                  </w14:solidFill>
                </w14:textFill>
              </w:rPr>
              <m:t>-0.5</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6.2.6</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3</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p>
    <w:p>
      <w:pPr>
        <w:ind w:firstLine="1260" w:firstLineChars="6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(x-t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6.2.6</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r>
          <w:rPr>
            <w:rFonts w:ascii="Cambria Math" w:hAnsi="Cambria Math"/>
            <w:color w:val="000000" w:themeColor="text1"/>
            <w:szCs w:val="21"/>
            <w14:textFill>
              <w14:solidFill>
                <w14:schemeClr w14:val="tx1"/>
              </w14:solidFill>
            </w14:textFill>
          </w:rPr>
          <m:t>=2</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r>
              <w:rPr>
                <w:rFonts w:hint="eastAsia"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6.2.6</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Theme="minorEastAsia" w:cstheme="minorEastAsia"/>
            <w:color w:val="000000" w:themeColor="text1"/>
            <w:szCs w:val="21"/>
            <w14:textFill>
              <w14:solidFill>
                <w14:schemeClr w14:val="tx1"/>
              </w14:solidFill>
            </w14:textFill>
          </w:rPr>
          <m:t>M</m:t>
        </m:r>
      </m:oMath>
      <w:r>
        <w:rPr>
          <w:rFonts w:hint="eastAsia" w:asciiTheme="minorEastAsia" w:hAnsiTheme="minorEastAsia" w:cstheme="minorEastAsia"/>
          <w:color w:val="000000" w:themeColor="text1"/>
          <w:szCs w:val="21"/>
          <w14:textFill>
            <w14:solidFill>
              <w14:schemeClr w14:val="tx1"/>
            </w14:solidFill>
          </w14:textFill>
        </w:rPr>
        <w:t>——甲壳柱受弯承载力；</w:t>
      </w:r>
    </w:p>
    <w:p>
      <w:pPr>
        <w:ind w:right="48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——方钢管内受压混凝土面积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——受压钢管面积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——混凝土等效受压区高度；</w:t>
      </w:r>
    </w:p>
    <w:p>
      <w:pPr>
        <w:ind w:right="560"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——系数，按本规程6</w:t>
      </w:r>
      <w:r>
        <w:rPr>
          <w:rFonts w:asciiTheme="minorEastAsia" w:hAnsiTheme="minorEastAsia"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条取值；</w:t>
      </w:r>
    </w:p>
    <w:p>
      <w:pPr>
        <w:ind w:left="2100" w:leftChars="300" w:hanging="1470" w:hangingChars="7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3</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——分别为受压区波纹侧板腔体内混凝土合力中心点、方钢管内混凝土合力中心点、受压方钢管合力中心点到受拉钢管中心的距离。</w:t>
      </w:r>
    </w:p>
    <w:p>
      <w:pPr>
        <w:rPr>
          <w:rFonts w:asciiTheme="minorEastAsia" w:hAnsiTheme="minorEastAsia" w:cstheme="minorEastAsia"/>
          <w:color w:val="000000" w:themeColor="text1"/>
          <w:szCs w:val="21"/>
          <w14:textFill>
            <w14:solidFill>
              <w14:schemeClr w14:val="tx1"/>
            </w14:solidFill>
          </w14:textFill>
        </w:rPr>
      </w:pPr>
      <w:r>
        <w:rPr>
          <w:color w:val="000000" w:themeColor="text1"/>
          <w:sz w:val="24"/>
          <w:szCs w:val="24"/>
          <w14:textFill>
            <w14:solidFill>
              <w14:schemeClr w14:val="tx1"/>
            </w14:solidFill>
          </w14:textFill>
        </w:rPr>
        <w:t>6</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 xml:space="preserve">7 </w:t>
      </w:r>
      <w:r>
        <w:rPr>
          <w:rFonts w:hint="eastAsia" w:asciiTheme="minorEastAsia" w:hAnsiTheme="minorEastAsia" w:cstheme="minorEastAsia"/>
          <w:color w:val="000000" w:themeColor="text1"/>
          <w:szCs w:val="21"/>
          <w14:textFill>
            <w14:solidFill>
              <w14:schemeClr w14:val="tx1"/>
            </w14:solidFill>
          </w14:textFill>
        </w:rPr>
        <w:t>甲壳柱的正截面受拉承载力应符合下列规定：</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轴心受拉构件的正截面受拉承载力计算应符合下列规定（图6</w:t>
      </w:r>
      <w:r>
        <w:rPr>
          <w:rFonts w:asciiTheme="minorEastAsia" w:hAnsiTheme="minorEastAsia" w:cstheme="minorEastAsia"/>
          <w:color w:val="000000" w:themeColor="text1"/>
          <w:szCs w:val="21"/>
          <w14:textFill>
            <w14:solidFill>
              <w14:schemeClr w14:val="tx1"/>
            </w14:solidFill>
          </w14:textFill>
        </w:rPr>
        <w:t>.2.7</w:t>
      </w:r>
      <w:r>
        <w:rPr>
          <w:rFonts w:hint="eastAsia" w:asciiTheme="minorEastAsia" w:hAnsiTheme="minorEastAsia" w:cstheme="minorEastAsia"/>
          <w:color w:val="000000" w:themeColor="text1"/>
          <w:szCs w:val="21"/>
          <w14:textFill>
            <w14:solidFill>
              <w14:schemeClr w14:val="tx1"/>
            </w14:solidFill>
          </w14:textFill>
        </w:rPr>
        <w:t>）：</w:t>
      </w:r>
    </w:p>
    <w:p>
      <w:pPr>
        <w:ind w:firstLine="1575" w:firstLineChars="750"/>
        <w:jc w:val="left"/>
        <w:rPr>
          <w:rFonts w:asciiTheme="minorEastAsia" w:hAnsiTheme="min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 xml:space="preserve"> 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6.2.7</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1</w:t>
      </w:r>
      <w:r>
        <w:rPr>
          <w:rFonts w:hint="eastAsia" w:asciiTheme="minorEastAsia" w:hAnsi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——轴向拉力设计值；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 xml:space="preserve"> 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——钢管抗拉强度设计值；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——钢管截面面积，</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=8</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矩形截面偏心受拉构件的正截面受拉承载力应符合下列规定：</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3419475" cy="135128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l="20776" t="34897" r="33749" b="22658"/>
                    <a:stretch>
                      <a:fillRect/>
                    </a:stretch>
                  </pic:blipFill>
                  <pic:spPr>
                    <a:xfrm>
                      <a:off x="0" y="0"/>
                      <a:ext cx="3498415" cy="1382401"/>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图6.2.7</w:t>
      </w:r>
      <w:r>
        <w:rPr>
          <w:rFonts w:hint="eastAsia" w:ascii="黑体" w:hAnsi="黑体" w:eastAsia="黑体" w:cstheme="minorEastAsia"/>
          <w:color w:val="000000" w:themeColor="text1"/>
          <w:sz w:val="18"/>
          <w:szCs w:val="18"/>
          <w14:textFill>
            <w14:solidFill>
              <w14:schemeClr w14:val="tx1"/>
            </w14:solidFill>
          </w14:textFill>
        </w:rPr>
        <w:t>甲壳柱偏心受拉</w:t>
      </w:r>
      <w:r>
        <w:rPr>
          <w:rFonts w:ascii="黑体" w:hAnsi="黑体" w:eastAsia="黑体" w:cstheme="minorEastAsia"/>
          <w:color w:val="000000" w:themeColor="text1"/>
          <w:sz w:val="18"/>
          <w:szCs w:val="18"/>
          <w14:textFill>
            <w14:solidFill>
              <w14:schemeClr w14:val="tx1"/>
            </w14:solidFill>
          </w14:textFill>
        </w:rPr>
        <w:t>计算参数示意图</w:t>
      </w:r>
    </w:p>
    <w:p>
      <w:pPr>
        <w:ind w:firstLine="1050" w:firstLineChars="5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N</m:t>
        </m:r>
        <m:sSup>
          <m:sSupPr>
            <m:ctrlPr>
              <w:rPr>
                <w:rFonts w:ascii="Cambria Math" w:hAnsi="Cambria Math"/>
                <w:i/>
                <w:color w:val="000000" w:themeColor="text1"/>
                <w:szCs w:val="21"/>
                <w14:textFill>
                  <w14:solidFill>
                    <w14:schemeClr w14:val="tx1"/>
                  </w14:solidFill>
                </w14:textFill>
              </w:rPr>
            </m:ctrlPr>
          </m:sSupPr>
          <m:e>
            <m:r>
              <w:rPr>
                <w:rFonts w:hint="eastAsia"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p>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 xml:space="preserve"> 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d>
          <m:dPr>
            <m:ctrlPr>
              <w:rPr>
                <w:rFonts w:ascii="Cambria Math" w:hAnsi="Cambria Math"/>
                <w:i/>
                <w:color w:val="000000" w:themeColor="text1"/>
                <w:szCs w:val="21"/>
                <w14:textFill>
                  <w14:solidFill>
                    <w14:schemeClr w14:val="tx1"/>
                  </w14:solidFill>
                </w14:textFill>
              </w:rPr>
            </m:ctrlPr>
          </m:dPr>
          <m:e>
            <m:r>
              <w:rPr>
                <w:rFonts w:ascii="Cambria Math" w:hAnsi="Cambria Math"/>
                <w:color w:val="000000" w:themeColor="text1"/>
                <w:szCs w:val="21"/>
                <w14:textFill>
                  <w14:solidFill>
                    <w14:schemeClr w14:val="tx1"/>
                  </w14:solidFill>
                </w14:textFill>
              </w:rPr>
              <m:t>h-2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6.2.7</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2</w:t>
      </w:r>
      <w:r>
        <w:rPr>
          <w:rFonts w:hint="eastAsia" w:asciiTheme="minorEastAsia" w:hAnsiTheme="minorEastAsia"/>
          <w:color w:val="000000" w:themeColor="text1"/>
          <w:szCs w:val="21"/>
          <w14:textFill>
            <w14:solidFill>
              <w14:schemeClr w14:val="tx1"/>
            </w14:solidFill>
          </w14:textFill>
        </w:rPr>
        <w:t>)</w:t>
      </w:r>
    </w:p>
    <w:p>
      <w:pPr>
        <w:ind w:firstLine="1155" w:firstLineChars="550"/>
        <w:jc w:val="left"/>
        <w:rPr>
          <w:rFonts w:asciiTheme="minorEastAsia" w:hAnsiTheme="minorEastAsia"/>
          <w:color w:val="000000" w:themeColor="text1"/>
          <w:szCs w:val="21"/>
          <w14:textFill>
            <w14:solidFill>
              <w14:schemeClr w14:val="tx1"/>
            </w14:solidFill>
          </w14:textFill>
        </w:rPr>
      </w:pPr>
      <m:oMath>
        <m:sSup>
          <m:sSupPr>
            <m:ctrlPr>
              <w:rPr>
                <w:rFonts w:ascii="Cambria Math" w:hAnsi="Cambria Math"/>
                <w:i/>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p>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num>
          <m:den>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den>
        </m:f>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24"/>
          <w:sz w:val="28"/>
          <w:szCs w:val="28"/>
          <w14:textFill>
            <w14:solidFill>
              <w14:schemeClr w14:val="tx1"/>
            </w14:solidFill>
          </w14:textFill>
        </w:rPr>
        <w:t xml:space="preserve">   </w:t>
      </w:r>
      <w:r>
        <w:rPr>
          <w:rFonts w:hint="eastAsia" w:asciiTheme="minorEastAsia" w:hAnsiTheme="minorEastAsia"/>
          <w:color w:val="000000" w:themeColor="text1"/>
          <w:position w:val="-24"/>
          <w:szCs w:val="21"/>
          <w14:textFill>
            <w14:solidFill>
              <w14:schemeClr w14:val="tx1"/>
            </w14:solidFill>
          </w14:textFill>
        </w:rPr>
        <w:t xml:space="preserve"> </w:t>
      </w:r>
      <w:r>
        <w:rPr>
          <w:rFonts w:asciiTheme="minorEastAsia" w:hAnsiTheme="minorEastAsia"/>
          <w:color w:val="000000" w:themeColor="text1"/>
          <w:position w:val="-24"/>
          <w:szCs w:val="21"/>
          <w14:textFill>
            <w14:solidFill>
              <w14:schemeClr w14:val="tx1"/>
            </w14:solidFill>
          </w14:textFill>
        </w:rPr>
        <w:t xml:space="preserve">      </w:t>
      </w:r>
      <w:r>
        <w:rPr>
          <w:rFonts w:hint="eastAsia" w:asciiTheme="minorEastAsia" w:hAnsiTheme="minorEastAsia"/>
          <w:color w:val="000000" w:themeColor="text1"/>
          <w:position w:val="-24"/>
          <w:szCs w:val="21"/>
          <w14:textFill>
            <w14:solidFill>
              <w14:schemeClr w14:val="tx1"/>
            </w14:solidFill>
          </w14:textFill>
        </w:rPr>
        <w:t xml:space="preserve">  </w:t>
      </w:r>
      <w:r>
        <w:rPr>
          <w:rFonts w:asciiTheme="minorEastAsia" w:hAnsiTheme="minorEastAsia"/>
          <w:color w:val="000000" w:themeColor="text1"/>
          <w:position w:val="-24"/>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6.2.7-3</w:t>
      </w:r>
      <w:r>
        <w:rPr>
          <w:rFonts w:hint="eastAsia" w:asciiTheme="minorEastAsia" w:hAnsiTheme="minorEastAsia"/>
          <w:color w:val="000000" w:themeColor="text1"/>
          <w:szCs w:val="21"/>
          <w14:textFill>
            <w14:solidFill>
              <w14:schemeClr w14:val="tx1"/>
            </w14:solidFill>
          </w14:textFill>
        </w:rPr>
        <w:t>)</w:t>
      </w:r>
    </w:p>
    <w:p>
      <w:pPr>
        <w:jc w:val="left"/>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m:rPr>
                <m:sty m:val="p"/>
              </m:rPr>
              <w:rPr>
                <w:rFonts w:ascii="Cambria Math"/>
                <w:color w:val="000000" w:themeColor="text1"/>
                <w:szCs w:val="21"/>
                <w14:textFill>
                  <w14:solidFill>
                    <w14:schemeClr w14:val="tx1"/>
                  </w14:solidFill>
                </w14:textFill>
              </w:rPr>
              <m:t>i</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6.2.7-4</w:t>
      </w:r>
      <w:r>
        <w:rPr>
          <w:rFonts w:hint="eastAsia" w:asciiTheme="minorEastAsia" w:hAnsiTheme="minorEastAsia"/>
          <w:color w:val="000000" w:themeColor="text1"/>
          <w:szCs w:val="21"/>
          <w14:textFill>
            <w14:solidFill>
              <w14:schemeClr w14:val="tx1"/>
            </w14:solidFill>
          </w14:textFill>
        </w:rPr>
        <w:t>)</w:t>
      </w:r>
    </w:p>
    <w:p>
      <w:pPr>
        <w:jc w:val="left"/>
        <w:rPr>
          <w:rFonts w:asciiTheme="minorEastAsia" w:hAnsiTheme="minorEastAsia"/>
          <w:color w:val="000000" w:themeColor="text1"/>
          <w:position w:val="-12"/>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0</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f>
          <m:fPr>
            <m:ctrlPr>
              <w:rPr>
                <w:rFonts w:ascii="Cambria Math" w:hAnsi="Cambria Math"/>
                <w:i/>
                <w:color w:val="000000" w:themeColor="text1"/>
                <w:szCs w:val="21"/>
                <w14:textFill>
                  <w14:solidFill>
                    <w14:schemeClr w14:val="tx1"/>
                  </w14:solidFill>
                </w14:textFill>
              </w:rPr>
            </m:ctrlPr>
          </m:fPr>
          <m:num>
            <m:r>
              <w:rPr>
                <w:rFonts w:ascii="Cambria Math"/>
                <w:color w:val="000000" w:themeColor="text1"/>
                <w:szCs w:val="21"/>
                <w14:textFill>
                  <w14:solidFill>
                    <w14:schemeClr w14:val="tx1"/>
                  </w14:solidFill>
                </w14:textFill>
              </w:rPr>
              <m:t>M</m:t>
            </m:r>
            <m:ctrlPr>
              <w:rPr>
                <w:rFonts w:ascii="Cambria Math" w:hAnsi="Cambria Math"/>
                <w:i/>
                <w:color w:val="000000" w:themeColor="text1"/>
                <w:szCs w:val="21"/>
                <w14:textFill>
                  <w14:solidFill>
                    <w14:schemeClr w14:val="tx1"/>
                  </w14:solidFill>
                </w14:textFill>
              </w:rPr>
            </m:ctrlPr>
          </m:num>
          <m:den>
            <m:r>
              <w:rPr>
                <w:rFonts w:ascii="Cambria Math"/>
                <w:color w:val="000000" w:themeColor="text1"/>
                <w:szCs w:val="21"/>
                <w14:textFill>
                  <w14:solidFill>
                    <w14:schemeClr w14:val="tx1"/>
                  </w14:solidFill>
                </w14:textFill>
              </w:rPr>
              <m:t>N</m:t>
            </m:r>
            <m:ctrlPr>
              <w:rPr>
                <w:rFonts w:ascii="Cambria Math" w:hAnsi="Cambria Math"/>
                <w:i/>
                <w:color w:val="000000" w:themeColor="text1"/>
                <w:szCs w:val="21"/>
                <w14:textFill>
                  <w14:solidFill>
                    <w14:schemeClr w14:val="tx1"/>
                  </w14:solidFill>
                </w14:textFill>
              </w:rPr>
            </m:ctrlPr>
          </m:den>
        </m:f>
      </m:oMath>
      <w:r>
        <w:rPr>
          <w:rFonts w:hint="eastAsia"/>
          <w:color w:val="000000" w:themeColor="text1"/>
          <w:position w:val="-12"/>
          <w:sz w:val="28"/>
          <w:szCs w:val="28"/>
          <w14:textFill>
            <w14:solidFill>
              <w14:schemeClr w14:val="tx1"/>
            </w14:solidFill>
          </w14:textFill>
        </w:rPr>
        <w:t xml:space="preserve">   </w:t>
      </w:r>
      <w:r>
        <w:rPr>
          <w:rFonts w:hint="eastAsia" w:asciiTheme="minorEastAsia" w:hAnsiTheme="minorEastAsia"/>
          <w:color w:val="000000" w:themeColor="text1"/>
          <w:position w:val="-12"/>
          <w:szCs w:val="21"/>
          <w14:textFill>
            <w14:solidFill>
              <w14:schemeClr w14:val="tx1"/>
            </w14:solidFill>
          </w14:textFill>
        </w:rPr>
        <w:t xml:space="preserve">      </w:t>
      </w:r>
      <w:r>
        <w:rPr>
          <w:rFonts w:asciiTheme="minorEastAsia" w:hAnsiTheme="minorEastAsia"/>
          <w:color w:val="000000" w:themeColor="text1"/>
          <w:position w:val="-12"/>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6.2.7-5</w:t>
      </w:r>
      <w:r>
        <w:rPr>
          <w:rFonts w:hint="eastAsia" w:asciiTheme="minorEastAsia" w:hAnsiTheme="minorEastAsia"/>
          <w:color w:val="000000" w:themeColor="text1"/>
          <w:szCs w:val="21"/>
          <w14:textFill>
            <w14:solidFill>
              <w14:schemeClr w14:val="tx1"/>
            </w14:solidFill>
          </w14:textFill>
        </w:rPr>
        <w:t>)</w:t>
      </w:r>
      <w:r>
        <w:rPr>
          <w:rFonts w:hint="eastAsia" w:asciiTheme="minorEastAsia" w:hAnsiTheme="minorEastAsia"/>
          <w:color w:val="000000" w:themeColor="text1"/>
          <w:position w:val="-12"/>
          <w:szCs w:val="21"/>
          <w14:textFill>
            <w14:solidFill>
              <w14:schemeClr w14:val="tx1"/>
            </w14:solidFill>
          </w14:textFill>
        </w:rPr>
        <w:t xml:space="preserve">   </w:t>
      </w:r>
    </w:p>
    <w:p>
      <w:pPr>
        <w:ind w:firstLine="1050" w:firstLineChars="5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受拉钢管面积：</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6.2.7</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w:t>
      </w:r>
      <w:r>
        <w:rPr>
          <w:rFonts w:hint="eastAsia" w:asciiTheme="minorEastAsia" w:hAnsiTheme="minorEastAsia"/>
          <w:color w:val="000000" w:themeColor="text1"/>
          <w:szCs w:val="21"/>
          <w14:textFill>
            <w14:solidFill>
              <w14:schemeClr w14:val="tx1"/>
            </w14:solidFill>
          </w14:textFill>
        </w:rPr>
        <w:t>)</w:t>
      </w:r>
    </w:p>
    <w:p>
      <w:pPr>
        <w:ind w:left="126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p>
          <m:sSupPr>
            <m:ctrlPr>
              <w:rPr>
                <w:rFonts w:ascii="Cambria Math" w:hAnsi="Cambria Math"/>
                <w:i/>
                <w:color w:val="000000" w:themeColor="text1"/>
                <w:szCs w:val="21"/>
                <w14:textFill>
                  <w14:solidFill>
                    <w14:schemeClr w14:val="tx1"/>
                  </w14:solidFill>
                </w14:textFill>
              </w:rPr>
            </m:ctrlPr>
          </m:sSupPr>
          <m:e>
            <m:r>
              <w:rPr>
                <w:rFonts w:ascii="Cambria Math" w:hAnsi="Cambria Math"/>
                <w:color w:val="000000" w:themeColor="text1"/>
                <w:szCs w:val="21"/>
                <w14:textFill>
                  <w14:solidFill>
                    <w14:schemeClr w14:val="tx1"/>
                  </w14:solidFill>
                </w14:textFill>
              </w:rPr>
              <m:t>e</m:t>
            </m:r>
            <m:ctrlPr>
              <w:rPr>
                <w:rFonts w:ascii="Cambria Math" w:hAnsi="Cambria Math"/>
                <w:i/>
                <w:color w:val="000000" w:themeColor="text1"/>
                <w:szCs w:val="21"/>
                <w14:textFill>
                  <w14:solidFill>
                    <w14:schemeClr w14:val="tx1"/>
                  </w14:solidFill>
                </w14:textFill>
              </w:rPr>
            </m:ctrlPr>
          </m:e>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p>
      </m:oMath>
      <w:r>
        <w:rPr>
          <w:rFonts w:hint="eastAsia" w:asciiTheme="minorEastAsia" w:hAnsiTheme="minorEastAsia" w:cstheme="minorEastAsia"/>
          <w:color w:val="000000" w:themeColor="text1"/>
          <w:szCs w:val="21"/>
          <w14:textFill>
            <w14:solidFill>
              <w14:schemeClr w14:val="tx1"/>
            </w14:solidFill>
          </w14:textFill>
        </w:rPr>
        <w:t>——轴力作用点至甲壳柱远端钢管截面中心的距离；</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0</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——轴力对截面重心的偏心距；</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e</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——附加偏心距，按本规程第6</w:t>
      </w:r>
      <w:r>
        <w:rPr>
          <w:rFonts w:asciiTheme="minorEastAsia" w:hAnsiTheme="minorEastAsia" w:cstheme="minorEastAsia"/>
          <w:color w:val="000000" w:themeColor="text1"/>
          <w:szCs w:val="21"/>
          <w14:textFill>
            <w14:solidFill>
              <w14:schemeClr w14:val="tx1"/>
            </w14:solidFill>
          </w14:textFill>
        </w:rPr>
        <w:t>.1.2</w:t>
      </w:r>
      <w:r>
        <w:rPr>
          <w:rFonts w:hint="eastAsia" w:asciiTheme="minorEastAsia" w:hAnsiTheme="minorEastAsia" w:cstheme="minorEastAsia"/>
          <w:color w:val="000000" w:themeColor="text1"/>
          <w:szCs w:val="21"/>
          <w14:textFill>
            <w14:solidFill>
              <w14:schemeClr w14:val="tx1"/>
            </w14:solidFill>
          </w14:textFill>
        </w:rPr>
        <w:t>条确定。</w:t>
      </w:r>
    </w:p>
    <w:p>
      <w:pPr>
        <w:jc w:val="center"/>
        <w:rPr>
          <w:rFonts w:ascii="黑体" w:hAnsi="黑体" w:eastAsia="黑体" w:cstheme="minorEastAsia"/>
          <w:color w:val="000000" w:themeColor="text1"/>
          <w:sz w:val="18"/>
          <w:szCs w:val="18"/>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.2.8 </w:t>
      </w:r>
      <w:r>
        <w:rPr>
          <w:rFonts w:hint="eastAsia" w:asciiTheme="minorEastAsia" w:hAnsiTheme="minorEastAsia" w:cstheme="minorEastAsia"/>
          <w:color w:val="000000" w:themeColor="text1"/>
          <w:szCs w:val="21"/>
          <w14:textFill>
            <w14:solidFill>
              <w14:schemeClr w14:val="tx1"/>
            </w14:solidFill>
          </w14:textFill>
        </w:rPr>
        <w:t>偏心受压甲壳柱的斜截面抗剪承载力应符合下列规定：</w:t>
      </w:r>
    </w:p>
    <w:p>
      <w:pPr>
        <w:ind w:firstLine="840" w:firstLineChars="400"/>
        <w:rPr>
          <w:rFonts w:asciiTheme="minorEastAsia" w:hAnsiTheme="minorEastAsia" w:cstheme="minorEastAsia"/>
          <w:color w:val="000000" w:themeColor="text1"/>
          <w:szCs w:val="21"/>
          <w14:textFill>
            <w14:solidFill>
              <w14:schemeClr w14:val="tx1"/>
            </w14:solidFill>
          </w14:textFill>
        </w:rPr>
      </w:pPr>
      <m:oMath>
        <m:r>
          <w:rPr>
            <w:rFonts w:ascii="Cambria Math" w:hAnsiTheme="minorEastAsia" w:cstheme="minorEastAsia"/>
            <w:color w:val="000000" w:themeColor="text1"/>
            <w:szCs w:val="21"/>
            <w14:textFill>
              <w14:solidFill>
                <w14:schemeClr w14:val="tx1"/>
              </w14:solidFill>
            </w14:textFill>
          </w:rPr>
          <m:t>V</m:t>
        </m:r>
        <m:r>
          <w:rPr>
            <w:rFonts w:ascii="Cambria Math" w:hAnsi="Cambria Math"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t2</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c2</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r>
                  <w:rPr>
                    <w:rFonts w:hint="eastAsia" w:ascii="Cambria Math" w:hAnsiTheme="minorEastAsia" w:cstheme="minorEastAsia"/>
                    <w:color w:val="000000" w:themeColor="text1"/>
                    <w:szCs w:val="21"/>
                    <w14:textFill>
                      <w14:solidFill>
                        <w14:schemeClr w14:val="tx1"/>
                      </w14:solidFill>
                    </w14:textFill>
                  </w:rPr>
                  <m:t>w</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aw</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+0.07N</m:t>
        </m:r>
      </m:oMath>
      <w:r>
        <w:rPr>
          <w:rFonts w:hint="eastAsia" w:asciiTheme="minorEastAsia" w:hAnsiTheme="minorEastAsia" w:cstheme="minorEastAsia"/>
          <w:color w:val="000000" w:themeColor="text1"/>
          <w:szCs w:val="21"/>
          <w14:textFill>
            <w14:solidFill>
              <w14:schemeClr w14:val="tx1"/>
            </w14:solidFill>
          </w14:textFill>
        </w:rPr>
        <w:t xml:space="preserve">  </w:t>
      </w:r>
    </w:p>
    <w:p>
      <w:pPr>
        <w:ind w:right="210"/>
        <w:jc w:val="righ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6.2.8</w:t>
      </w:r>
      <w:r>
        <w:rPr>
          <w:rFonts w:hint="eastAsia" w:asciiTheme="minorEastAsia" w:hAnsiTheme="minorEastAsia" w:cstheme="minorEastAsia"/>
          <w:color w:val="000000" w:themeColor="text1"/>
          <w:szCs w:val="21"/>
          <w14:textFill>
            <w14:solidFill>
              <w14:schemeClr w14:val="tx1"/>
            </w14:solidFill>
          </w14:textFill>
        </w:rPr>
        <w:t>-1)</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其中，</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1.7</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λ+1.36</m:t>
            </m:r>
            <m:ctrlPr>
              <w:rPr>
                <w:rFonts w:ascii="Cambria Math" w:hAnsiTheme="minorEastAsia"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6.2.8</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 xml:space="preserve">) </w:t>
      </w:r>
    </w:p>
    <w:p>
      <w:pPr>
        <w:ind w:firstLine="1890" w:firstLineChars="9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1.24</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m:t>
            </m:r>
            <m:ctrlPr>
              <w:rPr>
                <w:rFonts w:ascii="Cambria Math" w:hAnsiTheme="minorEastAsia" w:cstheme="minorEastAsia"/>
                <w:i/>
                <w:color w:val="000000" w:themeColor="text1"/>
                <w:szCs w:val="21"/>
                <w14:textFill>
                  <w14:solidFill>
                    <w14:schemeClr w14:val="tx1"/>
                  </w14:solidFill>
                </w14:textFill>
              </w:rPr>
            </m:ctrlPr>
          </m:den>
        </m:f>
        <m:r>
          <w:rPr>
            <w:rFonts w:ascii="Cambria Math" w:hAnsiTheme="minorEastAsia" w:cstheme="minorEastAsia"/>
            <w:color w:val="000000" w:themeColor="text1"/>
            <w:szCs w:val="21"/>
            <w14:textFill>
              <w14:solidFill>
                <w14:schemeClr w14:val="tx1"/>
              </w14:solidFill>
            </w14:textFill>
          </w:rPr>
          <m:t>+0.4</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6.2.8</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p>
    <w:p>
      <w:pPr>
        <w:ind w:left="1680" w:hanging="1680" w:hangingChars="8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=bh</m:t>
        </m:r>
        <m:r>
          <w:rPr>
            <w:rFonts w:ascii="Cambria Math" w:hAnsi="Cambria Math" w:eastAsia="微软雅黑" w:cs="微软雅黑"/>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6.2.8</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 xml:space="preserve">  </w:t>
      </w:r>
    </w:p>
    <w:p>
      <w:pPr>
        <w:ind w:left="1680" w:hanging="1680" w:hangingChars="800"/>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=4</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6.2.8</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ind w:firstLine="1155" w:firstLineChars="55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或</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6.2.8</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w:t>
      </w:r>
      <w:r>
        <w:rPr>
          <w:rFonts w:hint="eastAsia" w:asciiTheme="minorEastAsia" w:hAnsiTheme="minorEastAsia"/>
          <w:color w:val="000000" w:themeColor="text1"/>
          <w:szCs w:val="21"/>
          <w14:textFill>
            <w14:solidFill>
              <w14:schemeClr w14:val="tx1"/>
            </w14:solidFill>
          </w14:textFill>
        </w:rPr>
        <w:t>)</w:t>
      </w:r>
    </w:p>
    <w:p>
      <w:pPr>
        <w:ind w:firstLine="1155" w:firstLineChars="55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或 </w:t>
      </w:r>
      <m:oMath>
        <m:r>
          <w:rPr>
            <w:rFonts w:ascii="Cambria Math" w:hAnsi="Cambria Math"/>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s="MS Gothic"/>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6.2.8</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7</w:t>
      </w:r>
      <w:r>
        <w:rPr>
          <w:rFonts w:hint="eastAsia" w:asciiTheme="minorEastAsia" w:hAnsiTheme="minorEastAsia"/>
          <w:color w:val="000000" w:themeColor="text1"/>
          <w:szCs w:val="21"/>
          <w14:textFill>
            <w14:solidFill>
              <w14:schemeClr w14:val="tx1"/>
            </w14:solidFill>
          </w14:textFill>
        </w:rPr>
        <w:t>)</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——方钢管内混凝土面积</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——与剪力一致方向的双侧波纹侧板的截面面积</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——与剪力一致方向的钢管侧壁的截面面积</w:t>
      </w:r>
    </w:p>
    <w:p>
      <w:pPr>
        <w:ind w:left="1890" w:leftChars="300" w:hanging="1260" w:hangingChars="6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——分别为波纹侧板腔体内混凝土及方钢管内混凝土抗拉强度设计值；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r>
              <w:rPr>
                <w:rFonts w:hint="eastAsia"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——分别为钢管及波纹侧板的抗拉强度设计值；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——波纹侧板厚度；</w:t>
      </w:r>
    </w:p>
    <w:p>
      <w:pPr>
        <w:ind w:left="1365" w:leftChars="50" w:hanging="1260" w:hanging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——与剪力设计值相应的轴向压力设计值，</w:t>
      </w:r>
    </w:p>
    <w:p>
      <w:pPr>
        <w:ind w:firstLine="1260" w:firstLineChars="6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当大于</w:t>
      </w:r>
      <m:oMath>
        <m:r>
          <w:rPr>
            <w:rFonts w:ascii="Cambria Math" w:hAnsi="Cambria Math"/>
            <w:color w:val="000000" w:themeColor="text1"/>
            <w:szCs w:val="21"/>
            <w14:textFill>
              <w14:solidFill>
                <w14:schemeClr w14:val="tx1"/>
              </w14:solidFill>
            </w14:textFill>
          </w:rPr>
          <m:t>0.3</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时，取</w:t>
      </w:r>
    </w:p>
    <w:p>
      <w:pPr>
        <w:ind w:left="1365" w:leftChars="65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olor w:val="000000" w:themeColor="text1"/>
            <w:szCs w:val="21"/>
            <w14:textFill>
              <w14:solidFill>
                <w14:schemeClr w14:val="tx1"/>
              </w14:solidFill>
            </w14:textFill>
          </w:rPr>
          <m:t>0.3</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θ</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olor w:val="000000" w:themeColor="text1"/>
                        <w:szCs w:val="21"/>
                        <w14:textFill>
                          <w14:solidFill>
                            <w14:schemeClr w14:val="tx1"/>
                          </w14:solidFill>
                        </w14:textFill>
                      </w:rPr>
                      <m:t>α</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f</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sSubSup>
              <m:sSubSupPr>
                <m:ctrlPr>
                  <w:rPr>
                    <w:rFonts w:ascii="Cambria Math" w:hAnsi="Cambria Math"/>
                    <w:i/>
                    <w:color w:val="000000" w:themeColor="text1"/>
                    <w:szCs w:val="21"/>
                    <w14:textFill>
                      <w14:solidFill>
                        <w14:schemeClr w14:val="tx1"/>
                      </w14:solidFill>
                    </w14:textFill>
                  </w:rPr>
                </m:ctrlPr>
              </m:sSubSup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up>
                <m: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bSup>
            <m:ctrlPr>
              <w:rPr>
                <w:rFonts w:ascii="Cambria Math" w:hAnsi="Cambria Math"/>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w:t>
      </w:r>
    </w:p>
    <w:p>
      <w:pPr>
        <w:ind w:left="1260" w:leftChars="200" w:hanging="840" w:hangingChars="4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——偏心受压构件计算截面的剪跨比，取为</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V</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为甲壳柱受拉钢管中心到受压钢管边缘的距离；</w:t>
      </w:r>
      <m:oMath>
        <m:r>
          <w:rPr>
            <w:rFonts w:ascii="Cambria Math" w:hAnsi="Cambria Math" w:cstheme="minorEastAsia"/>
            <w:color w:val="000000" w:themeColor="text1"/>
            <w:szCs w:val="21"/>
            <w14:textFill>
              <w14:solidFill>
                <w14:schemeClr w14:val="tx1"/>
              </w14:solidFill>
            </w14:textFill>
          </w:rPr>
          <m:t xml:space="preserve"> M</m:t>
        </m:r>
      </m:oMath>
      <w:r>
        <w:rPr>
          <w:rFonts w:hint="eastAsia" w:asciiTheme="minorEastAsia" w:hAnsiTheme="minorEastAsia" w:cstheme="minorEastAsia"/>
          <w:color w:val="000000" w:themeColor="text1"/>
          <w:szCs w:val="21"/>
          <w14:textFill>
            <w14:solidFill>
              <w14:schemeClr w14:val="tx1"/>
            </w14:solidFill>
          </w14:textFill>
        </w:rPr>
        <w:t>为计算截面上与剪力设计值</w:t>
      </w:r>
      <m:oMath>
        <m:r>
          <w:rPr>
            <w:rFonts w:ascii="Cambria Math" w:hAnsi="Cambria Math" w:cstheme="minorEastAsia"/>
            <w:color w:val="000000" w:themeColor="text1"/>
            <w:szCs w:val="21"/>
            <w14:textFill>
              <w14:solidFill>
                <w14:schemeClr w14:val="tx1"/>
              </w14:solidFill>
            </w14:textFill>
          </w:rPr>
          <m:t>V</m:t>
        </m:r>
      </m:oMath>
      <w:r>
        <w:rPr>
          <w:rFonts w:hint="eastAsia" w:asciiTheme="minorEastAsia" w:hAnsiTheme="minorEastAsia" w:cstheme="minorEastAsia"/>
          <w:color w:val="000000" w:themeColor="text1"/>
          <w:szCs w:val="21"/>
          <w14:textFill>
            <w14:solidFill>
              <w14:schemeClr w14:val="tx1"/>
            </w14:solidFill>
          </w14:textFill>
        </w:rPr>
        <w:t>相应的弯矩设计值；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计算截面的剪跨比应按下列规定取用：</w:t>
      </w:r>
    </w:p>
    <w:p>
      <w:pPr>
        <w:pStyle w:val="31"/>
        <w:numPr>
          <w:ilvl w:val="0"/>
          <w:numId w:val="5"/>
        </w:numPr>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对框架结构中的框架柱，当其反弯点在层高范围内时，可取</w:t>
      </w:r>
    </w:p>
    <w:p>
      <w:pPr>
        <w:ind w:left="1050" w:leftChars="5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为</w:t>
      </w:r>
      <m:oMath>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小于1时取1；当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大于3时取3；</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为柱净高。</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其他偏心受压构件，当承受均布荷载时，取1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；当承受集中</w:t>
      </w:r>
    </w:p>
    <w:p>
      <w:pPr>
        <w:ind w:left="1050" w:leftChars="5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荷载时，取为</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，且当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小于1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大于3时取3。</w:t>
      </w:r>
    </w:p>
    <w:p>
      <w:pPr>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 xml:space="preserve">.2.9 </w:t>
      </w:r>
      <w:r>
        <w:rPr>
          <w:rFonts w:hint="eastAsia" w:asciiTheme="minorEastAsia" w:hAnsiTheme="minorEastAsia" w:cstheme="minorEastAsia"/>
          <w:color w:val="000000" w:themeColor="text1"/>
          <w:szCs w:val="21"/>
          <w14:textFill>
            <w14:solidFill>
              <w14:schemeClr w14:val="tx1"/>
            </w14:solidFill>
          </w14:textFill>
        </w:rPr>
        <w:t>偏心受拉甲壳柱的斜截面抗剪承载力应符合下列规定：</w:t>
      </w:r>
    </w:p>
    <w:p>
      <w:pPr>
        <w:jc w:val="center"/>
        <w:rPr>
          <w:rFonts w:asciiTheme="minorEastAsia" w:hAnsiTheme="minorEastAsia" w:cstheme="minorEastAsia"/>
          <w:color w:val="000000" w:themeColor="text1"/>
          <w:szCs w:val="21"/>
          <w14:textFill>
            <w14:solidFill>
              <w14:schemeClr w14:val="tx1"/>
            </w14:solidFill>
          </w14:textFill>
        </w:rPr>
      </w:pPr>
      <m:oMathPara>
        <m:oMath>
          <m:r>
            <w:rPr>
              <w:rFonts w:ascii="Cambria Math" w:hAnsiTheme="minorEastAsia" w:cstheme="minorEastAsia"/>
              <w:color w:val="000000" w:themeColor="text1"/>
              <w:szCs w:val="21"/>
              <w14:textFill>
                <w14:solidFill>
                  <w14:schemeClr w14:val="tx1"/>
                </w14:solidFill>
              </w14:textFill>
            </w:rPr>
            <m:t>V</m:t>
          </m:r>
          <m:r>
            <w:rPr>
              <w:rFonts w:ascii="Cambria Math" w:hAnsi="Cambria Math"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t1</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t2</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c2</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r>
                    <w:rPr>
                      <w:rFonts w:hint="eastAsia" w:ascii="Cambria Math" w:hAnsiTheme="minorEastAsia" w:cstheme="minorEastAsia"/>
                      <w:color w:val="000000" w:themeColor="text1"/>
                      <w:szCs w:val="21"/>
                      <w14:textFill>
                        <w14:solidFill>
                          <w14:schemeClr w14:val="tx1"/>
                        </w14:solidFill>
                      </w14:textFill>
                    </w:rPr>
                    <m:t>w</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aw</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r>
            <w:rPr>
              <w:rFonts w:ascii="Cambria Math" w:hAnsiTheme="minorEastAsia" w:cstheme="minorEastAsia"/>
              <w:color w:val="000000" w:themeColor="text1"/>
              <w:szCs w:val="21"/>
              <w14:textFill>
                <w14:solidFill>
                  <w14:schemeClr w14:val="tx1"/>
                </w14:solidFill>
              </w14:textFill>
            </w:rPr>
            <m:t>-0.2N</m:t>
          </m:r>
        </m:oMath>
      </m:oMathPara>
    </w:p>
    <w:p>
      <w:pPr>
        <w:ind w:right="420"/>
        <w:jc w:val="righ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6.2.9</w:t>
      </w:r>
      <w:r>
        <w:rPr>
          <w:rFonts w:hint="eastAsia" w:asciiTheme="minorEastAsia" w:hAnsiTheme="minorEastAsia" w:cstheme="minorEastAsia"/>
          <w:color w:val="000000" w:themeColor="text1"/>
          <w:szCs w:val="21"/>
          <w14:textFill>
            <w14:solidFill>
              <w14:schemeClr w14:val="tx1"/>
            </w14:solidFill>
          </w14:textFill>
        </w:rPr>
        <w:t>-1)</w:t>
      </w:r>
    </w:p>
    <w:p>
      <w:pPr>
        <w:ind w:left="1470" w:hanging="1470" w:hangingChars="7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其中， </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1.7</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λ+1.36</m:t>
            </m:r>
            <m:ctrlPr>
              <w:rPr>
                <w:rFonts w:ascii="Cambria Math" w:hAnsiTheme="minorEastAsia"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6.2.9</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ind w:left="1470" w:leftChars="70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1.24</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m:t>
            </m:r>
            <m:ctrlPr>
              <w:rPr>
                <w:rFonts w:ascii="Cambria Math" w:hAnsiTheme="minorEastAsia" w:cstheme="minorEastAsia"/>
                <w:i/>
                <w:color w:val="000000" w:themeColor="text1"/>
                <w:szCs w:val="21"/>
                <w14:textFill>
                  <w14:solidFill>
                    <w14:schemeClr w14:val="tx1"/>
                  </w14:solidFill>
                </w14:textFill>
              </w:rPr>
            </m:ctrlPr>
          </m:den>
        </m:f>
        <m:r>
          <w:rPr>
            <w:rFonts w:ascii="Cambria Math" w:hAnsiTheme="minorEastAsia" w:cstheme="minorEastAsia"/>
            <w:color w:val="000000" w:themeColor="text1"/>
            <w:szCs w:val="21"/>
            <w14:textFill>
              <w14:solidFill>
                <w14:schemeClr w14:val="tx1"/>
              </w14:solidFill>
            </w14:textFill>
          </w:rPr>
          <m:t>+0.4</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6.2.9</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w:t>
      </w:r>
    </w:p>
    <w:p>
      <w:pPr>
        <w:ind w:left="1470" w:hanging="1470" w:hangingChars="7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=bh</m:t>
        </m:r>
        <m:r>
          <w:rPr>
            <w:rFonts w:ascii="Cambria Math" w:hAnsi="Cambria Math" w:eastAsia="微软雅黑" w:cs="微软雅黑"/>
            <w:color w:val="000000" w:themeColor="text1"/>
            <w:szCs w:val="21"/>
            <w14:textFill>
              <w14:solidFill>
                <w14:schemeClr w14:val="tx1"/>
              </w14:solidFill>
            </w14:textFill>
          </w:rPr>
          <m:t>-</m:t>
        </m:r>
        <m:r>
          <w:rPr>
            <w:rFonts w:ascii="Cambria Math" w:hAnsi="Cambria Math"/>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r</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6.2.9</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4</w:t>
      </w:r>
      <w:r>
        <w:rPr>
          <w:rFonts w:hint="eastAsia" w:asciiTheme="minorEastAsia" w:hAnsiTheme="minorEastAsia"/>
          <w:color w:val="000000" w:themeColor="text1"/>
          <w:szCs w:val="21"/>
          <w14:textFill>
            <w14:solidFill>
              <w14:schemeClr w14:val="tx1"/>
            </w14:solidFill>
          </w14:textFill>
        </w:rPr>
        <w:t>)</w:t>
      </w:r>
    </w:p>
    <w:p>
      <w:pPr>
        <w:ind w:firstLine="1365" w:firstLineChars="650"/>
        <w:rPr>
          <w:rFonts w:asciiTheme="minorEastAsia" w:hAnsiTheme="minorEastAsia"/>
          <w:color w:val="000000" w:themeColor="text1"/>
          <w:szCs w:val="21"/>
          <w14:textFill>
            <w14:solidFill>
              <w14:schemeClr w14:val="tx1"/>
            </w14:solidFill>
          </w14:textFill>
        </w:rPr>
      </w:pP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=4</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oMath>
      <w:r>
        <w:rPr>
          <w:rFonts w:asciiTheme="majorHAnsi" w:hAnsiTheme="majorHAnsi"/>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6.2.9</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5</w:t>
      </w:r>
      <w:r>
        <w:rPr>
          <w:rFonts w:hint="eastAsia" w:asciiTheme="minorEastAsia" w:hAnsiTheme="minorEastAsia"/>
          <w:color w:val="000000" w:themeColor="text1"/>
          <w:szCs w:val="21"/>
          <w14:textFill>
            <w14:solidFill>
              <w14:schemeClr w14:val="tx1"/>
            </w14:solidFill>
          </w14:textFill>
        </w:rPr>
        <w:t>)</w:t>
      </w:r>
    </w:p>
    <w:p>
      <w:pPr>
        <w:ind w:firstLine="1470" w:firstLineChars="7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或</w:t>
      </w:r>
      <w:r>
        <w:rPr>
          <w:rFonts w:asciiTheme="minorEastAsia" w:hAnsi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=2</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6.2.9</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 xml:space="preserve">                </w:t>
      </w:r>
    </w:p>
    <w:p>
      <w:pPr>
        <w:ind w:firstLine="630" w:firstLineChars="300"/>
        <w:jc w:val="left"/>
        <w:rPr>
          <w:rFonts w:asciiTheme="minorEastAsia" w:hAnsi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或 </w:t>
      </w:r>
      <m:oMath>
        <m:r>
          <w:rPr>
            <w:rFonts w:ascii="Cambria Math" w:hAnsi="Cambria Math"/>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=4</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hint="eastAsia" w:ascii="Cambria Math" w:hAnsi="Cambria Math" w:cs="MS Gothic"/>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hAns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6.2.9</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7</w:t>
      </w:r>
      <w:r>
        <w:rPr>
          <w:rFonts w:hint="eastAsia" w:asciiTheme="minorEastAsia" w:hAnsiTheme="minorEastAsia"/>
          <w:color w:val="000000" w:themeColor="text1"/>
          <w:szCs w:val="21"/>
          <w14:textFill>
            <w14:solidFill>
              <w14:schemeClr w14:val="tx1"/>
            </w14:solidFill>
          </w14:textFill>
        </w:rPr>
        <w:t>)</w:t>
      </w:r>
    </w:p>
    <w:p>
      <w:pPr>
        <w:ind w:left="1995" w:hanging="1995" w:hangingChars="95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——分别为波纹侧板腔体内混凝土及方钢管内混凝土抗拉强度设计值；</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——波纹侧板厚度；</w:t>
      </w:r>
    </w:p>
    <w:p>
      <w:pPr>
        <w:ind w:left="1470" w:leftChars="300" w:hanging="840" w:hangingChars="4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c1</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——波纹侧板腔体内混凝土面积</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hAnsi="Cambria Math"/>
                <w:color w:val="000000" w:themeColor="text1"/>
                <w:szCs w:val="21"/>
                <w14:textFill>
                  <w14:solidFill>
                    <w14:schemeClr w14:val="tx1"/>
                  </w14:solidFill>
                </w14:textFill>
              </w:rPr>
              <m:t>c2</m:t>
            </m:r>
            <m:ctrlPr>
              <w:rPr>
                <w:rFonts w:ascii="Cambria Math" w:hAnsi="Cambria Math"/>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——方钢管内混凝土面积</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——与剪力一致方向的双侧波纹侧板的截面面积</w:t>
      </w:r>
    </w:p>
    <w:p>
      <w:pPr>
        <w:ind w:firstLine="630" w:firstLineChars="300"/>
        <w:jc w:val="lef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——与剪力一致方向的钢管侧壁的截面面积</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r>
              <w:rPr>
                <w:rFonts w:hint="eastAsia" w:ascii="Cambria Math" w:hAnsi="Cambria Math" w:cstheme="minorEastAsia"/>
                <w:color w:val="000000" w:themeColor="text1"/>
                <w:szCs w:val="21"/>
                <w14:textFill>
                  <w14:solidFill>
                    <w14:schemeClr w14:val="tx1"/>
                  </w14:solidFill>
                </w14:textFill>
              </w:rPr>
              <m:t>w</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——分别为钢管及波纹侧板的抗拉强度设计值</w:t>
      </w:r>
    </w:p>
    <w:p>
      <w:pPr>
        <w:ind w:firstLine="105" w:firstLineChars="5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r>
          <w:rPr>
            <w:rFonts w:ascii="Cambria Math" w:hAnsiTheme="minorEastAsia"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——与剪力设计值相应的轴向拉力设计值；</w:t>
      </w:r>
      <w:r>
        <w:rPr>
          <w:rFonts w:asciiTheme="minorEastAsia" w:hAnsiTheme="minorEastAsia" w:cstheme="minorEastAsia"/>
          <w:color w:val="000000" w:themeColor="text1"/>
          <w:szCs w:val="21"/>
          <w14:textFill>
            <w14:solidFill>
              <w14:schemeClr w14:val="tx1"/>
            </w14:solidFill>
          </w14:textFill>
        </w:rPr>
        <w:t xml:space="preserve"> </w:t>
      </w:r>
    </w:p>
    <w:p>
      <w:pPr>
        <w:ind w:firstLine="420" w:firstLineChars="2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——偏心受拉构件计算截面的剪跨比，同本规程6</w:t>
      </w:r>
      <w:r>
        <w:rPr>
          <w:rFonts w:asciiTheme="minorEastAsia" w:hAnsiTheme="minorEastAsia" w:cstheme="minorEastAsia"/>
          <w:color w:val="000000" w:themeColor="text1"/>
          <w:szCs w:val="21"/>
          <w14:textFill>
            <w14:solidFill>
              <w14:schemeClr w14:val="tx1"/>
            </w14:solidFill>
          </w14:textFill>
        </w:rPr>
        <w:t>.2.8</w:t>
      </w:r>
      <w:r>
        <w:rPr>
          <w:rFonts w:hint="eastAsia" w:asciiTheme="minorEastAsia" w:hAnsiTheme="minorEastAsia" w:cstheme="minorEastAsia"/>
          <w:color w:val="000000" w:themeColor="text1"/>
          <w:szCs w:val="21"/>
          <w14:textFill>
            <w14:solidFill>
              <w14:schemeClr w14:val="tx1"/>
            </w14:solidFill>
          </w14:textFill>
        </w:rPr>
        <w:t>条。</w:t>
      </w:r>
      <w:r>
        <w:rPr>
          <w:rFonts w:asciiTheme="minorEastAsia" w:hAnsiTheme="minorEastAsia" w:cstheme="minorEastAsia"/>
          <w:color w:val="000000" w:themeColor="text1"/>
          <w:szCs w:val="21"/>
          <w14:textFill>
            <w14:solidFill>
              <w14:schemeClr w14:val="tx1"/>
            </w14:solidFill>
          </w14:textFill>
        </w:rPr>
        <w:t xml:space="preserve"> </w:t>
      </w:r>
    </w:p>
    <w:p>
      <w:pPr>
        <w:ind w:left="1260" w:leftChars="60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当公式(</w:t>
      </w:r>
      <w:r>
        <w:rPr>
          <w:rFonts w:asciiTheme="minorEastAsia" w:hAnsiTheme="minorEastAsia" w:cstheme="minorEastAsia"/>
          <w:color w:val="000000" w:themeColor="text1"/>
          <w:szCs w:val="21"/>
          <w14:textFill>
            <w14:solidFill>
              <w14:schemeClr w14:val="tx1"/>
            </w14:solidFill>
          </w14:textFill>
        </w:rPr>
        <w:t>6.2.9</w:t>
      </w:r>
      <w:r>
        <w:rPr>
          <w:rFonts w:hint="eastAsia" w:asciiTheme="minorEastAsia" w:hAnsiTheme="minorEastAsia" w:cstheme="minorEastAsia"/>
          <w:color w:val="000000" w:themeColor="text1"/>
          <w:szCs w:val="21"/>
          <w14:textFill>
            <w14:solidFill>
              <w14:schemeClr w14:val="tx1"/>
            </w14:solidFill>
          </w14:textFill>
        </w:rPr>
        <w:t>-1)右边的计算值小于</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r>
                  <w:rPr>
                    <w:rFonts w:hint="eastAsia" w:ascii="Cambria Math" w:hAnsiTheme="minorEastAsia" w:cstheme="minorEastAsia"/>
                    <w:color w:val="000000" w:themeColor="text1"/>
                    <w:szCs w:val="21"/>
                    <w14:textFill>
                      <w14:solidFill>
                        <w14:schemeClr w14:val="tx1"/>
                      </w14:solidFill>
                    </w14:textFill>
                  </w:rPr>
                  <m:t>w</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aw</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时，应取等于</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d>
          <m:dPr>
            <m:ctrlPr>
              <w:rPr>
                <w:rFonts w:ascii="Cambria Math" w:hAnsiTheme="minorEastAsia" w:cstheme="minorEastAsia"/>
                <w:i/>
                <w:color w:val="000000" w:themeColor="text1"/>
                <w:szCs w:val="21"/>
                <w14:textFill>
                  <w14:solidFill>
                    <w14:schemeClr w14:val="tx1"/>
                  </w14:solidFill>
                </w14:textFill>
              </w:rPr>
            </m:ctrlPr>
          </m:dPr>
          <m:e>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f</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m:t>
                </m:r>
                <m:r>
                  <w:rPr>
                    <w:rFonts w:hint="eastAsia" w:ascii="Cambria Math" w:hAnsiTheme="minorEastAsia" w:cstheme="minorEastAsia"/>
                    <w:color w:val="000000" w:themeColor="text1"/>
                    <w:szCs w:val="21"/>
                    <w14:textFill>
                      <w14:solidFill>
                        <w14:schemeClr w14:val="tx1"/>
                      </w14:solidFill>
                    </w14:textFill>
                  </w:rPr>
                  <m:t>w</m:t>
                </m:r>
                <m:ctrlPr>
                  <w:rPr>
                    <w:rFonts w:ascii="Cambria Math" w:hAnsiTheme="minorEastAsia" w:cstheme="minorEastAsia"/>
                    <w:i/>
                    <w:color w:val="000000" w:themeColor="text1"/>
                    <w:szCs w:val="21"/>
                    <w14:textFill>
                      <w14:solidFill>
                        <w14:schemeClr w14:val="tx1"/>
                      </w14:solidFill>
                    </w14:textFill>
                  </w:rPr>
                </m:ctrlPr>
              </m:sub>
            </m:sSub>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A</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aw</m:t>
                </m:r>
                <m:ctrlPr>
                  <w:rPr>
                    <w:rFonts w:ascii="Cambria Math" w:hAnsiTheme="minorEastAsia" w:cstheme="minorEastAsia"/>
                    <w:i/>
                    <w:color w:val="000000" w:themeColor="text1"/>
                    <w:szCs w:val="21"/>
                    <w14:textFill>
                      <w14:solidFill>
                        <w14:schemeClr w14:val="tx1"/>
                      </w14:solidFill>
                    </w14:textFill>
                  </w:rPr>
                </m:ctrlPr>
              </m:sub>
            </m:sSub>
            <m:ctrlPr>
              <w:rPr>
                <w:rFonts w:ascii="Cambria Math" w:hAnsiTheme="minorEastAsia"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jc w:val="left"/>
        <w:rPr>
          <w:rFonts w:hint="eastAsia"/>
          <w:color w:val="0070C0"/>
          <w:lang w:val="en-US" w:eastAsia="zh-CN"/>
        </w:rPr>
      </w:pPr>
    </w:p>
    <w:p>
      <w:pPr>
        <w:ind w:firstLine="420" w:firstLineChars="200"/>
        <w:jc w:val="left"/>
        <w:rPr>
          <w:rFonts w:hint="default"/>
          <w:color w:val="0070C0"/>
          <w:lang w:val="en-US" w:eastAsia="zh-CN"/>
        </w:rPr>
      </w:pPr>
      <w:r>
        <w:rPr>
          <w:rFonts w:hint="eastAsia"/>
          <w:color w:val="0070C0"/>
          <w:lang w:val="en-US" w:eastAsia="zh-CN"/>
        </w:rPr>
        <w:t>条文说明：6.2.1~6.2.9 甲壳柱的轴压、大小偏压、受弯、偏压受剪承载力计算公式，由结构试验得来并取较保守结果。甲壳柱的轴拉、偏拉计算公式不考虑混凝土及波纹侧板的贡献，仅考虑钢管的贡献，从《混凝土结构设计规范》的公式推导而来，甲壳柱的偏拉受剪公式，参考《混凝土结构设计规范》制定。结构试验表明，甲壳柱基本不会出现剪压破坏，因此本规程未对截面的剪压比做出规定。</w:t>
      </w:r>
    </w:p>
    <w:p>
      <w:pPr>
        <w:jc w:val="left"/>
        <w:rPr>
          <w:rFonts w:hint="eastAsia" w:asciiTheme="minorEastAsia" w:hAnsiTheme="minorEastAsia" w:cstheme="minorEastAsia"/>
          <w:color w:val="000000" w:themeColor="text1"/>
          <w:szCs w:val="21"/>
          <w14:textFill>
            <w14:solidFill>
              <w14:schemeClr w14:val="tx1"/>
            </w14:solidFill>
          </w14:textFill>
        </w:rPr>
      </w:pPr>
    </w:p>
    <w:p>
      <w:pPr>
        <w:widowControl/>
        <w:jc w:val="left"/>
        <w:rPr>
          <w:rFonts w:ascii="黑体" w:hAnsi="黑体" w:eastAsia="黑体" w:cstheme="majorBidi"/>
          <w:b/>
          <w:bCs/>
          <w:color w:val="000000" w:themeColor="text1"/>
          <w:sz w:val="28"/>
          <w:szCs w:val="28"/>
          <w14:textFill>
            <w14:solidFill>
              <w14:schemeClr w14:val="tx1"/>
            </w14:solidFill>
          </w14:textFill>
        </w:rPr>
      </w:pPr>
      <w:bookmarkStart w:id="73" w:name="_Toc18493274"/>
      <w:r>
        <w:rPr>
          <w:rFonts w:ascii="黑体" w:hAnsi="黑体" w:eastAsia="黑体"/>
          <w:color w:val="000000" w:themeColor="text1"/>
          <w:sz w:val="28"/>
          <w:szCs w:val="28"/>
          <w14:textFill>
            <w14:solidFill>
              <w14:schemeClr w14:val="tx1"/>
            </w14:solidFill>
          </w14:textFill>
        </w:rPr>
        <w:br w:type="page"/>
      </w:r>
    </w:p>
    <w:p>
      <w:pPr>
        <w:pStyle w:val="21"/>
        <w:rPr>
          <w:rFonts w:ascii="黑体" w:hAnsi="黑体" w:eastAsia="黑体"/>
          <w:color w:val="000000" w:themeColor="text1"/>
          <w:sz w:val="28"/>
          <w:szCs w:val="28"/>
          <w14:textFill>
            <w14:solidFill>
              <w14:schemeClr w14:val="tx1"/>
            </w14:solidFill>
          </w14:textFill>
        </w:rPr>
      </w:pPr>
      <w:bookmarkStart w:id="74" w:name="_Toc28706893"/>
      <w:r>
        <w:rPr>
          <w:rFonts w:ascii="黑体" w:hAnsi="黑体" w:eastAsia="黑体"/>
          <w:color w:val="000000" w:themeColor="text1"/>
          <w:sz w:val="28"/>
          <w:szCs w:val="28"/>
          <w14:textFill>
            <w14:solidFill>
              <w14:schemeClr w14:val="tx1"/>
            </w14:solidFill>
          </w14:textFill>
        </w:rPr>
        <w:t>7</w:t>
      </w:r>
      <w:r>
        <w:rPr>
          <w:rFonts w:hint="eastAsia" w:ascii="黑体" w:hAnsi="黑体" w:eastAsia="黑体"/>
          <w:color w:val="000000" w:themeColor="text1"/>
          <w:sz w:val="28"/>
          <w:szCs w:val="28"/>
          <w14:textFill>
            <w14:solidFill>
              <w14:schemeClr w14:val="tx1"/>
            </w14:solidFill>
          </w14:textFill>
        </w:rPr>
        <w:t>构件及节点抗震设计</w:t>
      </w:r>
      <w:bookmarkEnd w:id="74"/>
    </w:p>
    <w:p>
      <w:pPr>
        <w:jc w:val="center"/>
        <w:outlineLvl w:val="1"/>
        <w:rPr>
          <w:rFonts w:ascii="黑体" w:hAnsi="黑体" w:eastAsia="黑体" w:cstheme="minorEastAsia"/>
          <w:color w:val="000000" w:themeColor="text1"/>
          <w:szCs w:val="21"/>
          <w14:textFill>
            <w14:solidFill>
              <w14:schemeClr w14:val="tx1"/>
            </w14:solidFill>
          </w14:textFill>
        </w:rPr>
      </w:pPr>
      <w:bookmarkStart w:id="75" w:name="_Toc28706894"/>
      <w:r>
        <w:rPr>
          <w:rFonts w:ascii="黑体" w:hAnsi="黑体" w:eastAsia="黑体" w:cstheme="minorEastAsia"/>
          <w:color w:val="000000" w:themeColor="text1"/>
          <w:szCs w:val="21"/>
          <w14:textFill>
            <w14:solidFill>
              <w14:schemeClr w14:val="tx1"/>
            </w14:solidFill>
          </w14:textFill>
        </w:rPr>
        <w:t>7</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1</w:t>
      </w:r>
      <w:r>
        <w:rPr>
          <w:rFonts w:hint="eastAsia" w:ascii="黑体" w:hAnsi="黑体" w:eastAsia="黑体" w:cstheme="minorEastAsia"/>
          <w:color w:val="000000" w:themeColor="text1"/>
          <w:szCs w:val="21"/>
          <w14:textFill>
            <w14:solidFill>
              <w14:schemeClr w14:val="tx1"/>
            </w14:solidFill>
          </w14:textFill>
        </w:rPr>
        <w:t xml:space="preserve">  甲壳梁</w:t>
      </w:r>
      <w:bookmarkEnd w:id="75"/>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7</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1</w:t>
      </w:r>
      <w:r>
        <w:rPr>
          <w:rFonts w:hint="eastAsia" w:ascii="黑体" w:hAnsi="黑体" w:eastAsia="黑体"/>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 xml:space="preserve"> 甲壳梁正截面抗震受弯承载力计算中，计入纵向受压钢筋及钢板的梁端混凝土受压区高度应符合下列要求：</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一级抗震等级</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hint="eastAsia" w:ascii="Cambria Math" w:hAnsi="Cambria Math" w:cstheme="minorEastAsia"/>
            <w:color w:val="000000" w:themeColor="text1"/>
            <w:szCs w:val="21"/>
            <w14:textFill>
              <w14:solidFill>
                <w14:schemeClr w14:val="tx1"/>
              </w14:solidFill>
            </w14:textFill>
          </w:rPr>
          <m:t>x</m:t>
        </m:r>
        <m:r>
          <w:rPr>
            <w:rFonts w:ascii="Cambria Math" w:hAnsi="Cambria Math" w:cstheme="minorEastAsia"/>
            <w:color w:val="000000" w:themeColor="text1"/>
            <w:szCs w:val="21"/>
            <w14:textFill>
              <w14:solidFill>
                <w14:schemeClr w14:val="tx1"/>
              </w14:solidFill>
            </w14:textFill>
          </w:rPr>
          <m:t>≤0.25</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.1.1-1</w:t>
      </w:r>
      <w:r>
        <w:rPr>
          <w:rFonts w:hint="eastAsia" w:asciiTheme="minorEastAsia" w:hAnsiTheme="minorEastAsia" w:cstheme="minorEastAsia"/>
          <w:color w:val="000000" w:themeColor="text1"/>
          <w:szCs w:val="21"/>
          <w14:textFill>
            <w14:solidFill>
              <w14:schemeClr w14:val="tx1"/>
            </w14:solidFill>
          </w14:textFill>
        </w:rPr>
        <w:t>）</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二、三级抗震等级</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hint="eastAsia" w:ascii="Cambria Math" w:hAnsi="Cambria Math" w:cstheme="minorEastAsia"/>
            <w:color w:val="000000" w:themeColor="text1"/>
            <w:szCs w:val="21"/>
            <w14:textFill>
              <w14:solidFill>
                <w14:schemeClr w14:val="tx1"/>
              </w14:solidFill>
            </w14:textFill>
          </w:rPr>
          <m:t>x</m:t>
        </m:r>
        <m:r>
          <w:rPr>
            <w:rFonts w:ascii="Cambria Math" w:hAnsi="Cambria Math" w:cstheme="minorEastAsia"/>
            <w:color w:val="000000" w:themeColor="text1"/>
            <w:szCs w:val="21"/>
            <w14:textFill>
              <w14:solidFill>
                <w14:schemeClr w14:val="tx1"/>
              </w14:solidFill>
            </w14:textFill>
          </w:rPr>
          <m:t>≤0.35</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.1.1-2</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hint="eastAsia" w:ascii="Cambria Math" w:hAnsi="Cambria Math" w:cstheme="minorEastAsia"/>
            <w:color w:val="000000" w:themeColor="text1"/>
            <w:szCs w:val="21"/>
            <w14:textFill>
              <w14:solidFill>
                <w14:schemeClr w14:val="tx1"/>
              </w14:solidFill>
            </w14:textFill>
          </w:rPr>
          <m:t>x</m:t>
        </m:r>
      </m:oMath>
      <w:r>
        <w:rPr>
          <w:rFonts w:hint="eastAsia" w:asciiTheme="minorEastAsia" w:hAnsiTheme="minorEastAsia" w:cstheme="minorEastAsia"/>
          <w:color w:val="000000" w:themeColor="text1"/>
          <w:szCs w:val="21"/>
          <w14:textFill>
            <w14:solidFill>
              <w14:schemeClr w14:val="tx1"/>
            </w14:solidFill>
          </w14:textFill>
        </w:rPr>
        <w:t>——混凝土受压区高度；</w:t>
      </w:r>
    </w:p>
    <w:p>
      <w:pPr>
        <w:rPr>
          <w:rFonts w:hint="eastAsia" w:asciiTheme="minorEastAsia" w:hAnsiTheme="minorEastAsia" w:cstheme="minorEastAsia"/>
          <w:b/>
          <w:b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——截面有效高度</w:t>
      </w:r>
      <w:r>
        <w:rPr>
          <w:rFonts w:hint="eastAsia" w:asciiTheme="minorEastAsia" w:hAnsiTheme="minorEastAsia" w:cstheme="minorEastAsia"/>
          <w:b/>
          <w:bCs/>
          <w:color w:val="000000" w:themeColor="text1"/>
          <w:szCs w:val="21"/>
          <w14:textFill>
            <w14:solidFill>
              <w14:schemeClr w14:val="tx1"/>
            </w14:solidFill>
          </w14:textFill>
        </w:rPr>
        <w:t>。</w:t>
      </w:r>
    </w:p>
    <w:p>
      <w:pPr>
        <w:ind w:firstLine="420" w:firstLineChars="200"/>
        <w:jc w:val="left"/>
        <w:rPr>
          <w:rFonts w:hint="default"/>
          <w:color w:val="4F81BD" w:themeColor="accent1"/>
          <w:lang w:val="en-US" w:eastAsia="zh-CN"/>
          <w14:textFill>
            <w14:solidFill>
              <w14:schemeClr w14:val="accent1"/>
            </w14:solidFill>
          </w14:textFill>
        </w:rPr>
      </w:pPr>
      <w:r>
        <w:rPr>
          <w:rFonts w:hint="eastAsia"/>
          <w:color w:val="0070C0"/>
          <w:lang w:val="en-US" w:eastAsia="zh-CN"/>
        </w:rPr>
        <w:t>条文说明：7.1.1 为保证甲壳梁在地震下的延性，对梁端混凝土受压区高度进行规定，此规定对应的内力为考虑地震组合的内力。</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甲壳梁抗震内力</w:t>
      </w:r>
      <w:r>
        <w:rPr>
          <w:rFonts w:hint="eastAsia"/>
          <w:color w:val="000000" w:themeColor="text1"/>
          <w14:textFill>
            <w14:solidFill>
              <w14:schemeClr w14:val="tx1"/>
            </w14:solidFill>
          </w14:textFill>
        </w:rPr>
        <w:t>组合</w:t>
      </w:r>
      <w:r>
        <w:rPr>
          <w:rFonts w:hint="eastAsia" w:asciiTheme="minorEastAsia" w:hAnsiTheme="minorEastAsia" w:cstheme="minorEastAsia"/>
          <w:color w:val="000000" w:themeColor="text1"/>
          <w:szCs w:val="21"/>
          <w14:textFill>
            <w14:solidFill>
              <w14:schemeClr w14:val="tx1"/>
            </w14:solidFill>
          </w14:textFill>
        </w:rPr>
        <w:t>设计值应按现行国家标准《建筑抗震设计规范》G</w:t>
      </w:r>
      <w:r>
        <w:rPr>
          <w:rFonts w:asciiTheme="minorEastAsia" w:hAnsiTheme="minorEastAsia" w:cstheme="minorEastAsia"/>
          <w:color w:val="000000" w:themeColor="text1"/>
          <w:szCs w:val="21"/>
          <w14:textFill>
            <w14:solidFill>
              <w14:schemeClr w14:val="tx1"/>
            </w14:solidFill>
          </w14:textFill>
        </w:rPr>
        <w:t>B 50011</w:t>
      </w:r>
      <w:r>
        <w:rPr>
          <w:rFonts w:hint="eastAsia" w:asciiTheme="minorEastAsia" w:hAnsiTheme="minorEastAsia" w:cstheme="minorEastAsia"/>
          <w:color w:val="000000" w:themeColor="text1"/>
          <w:szCs w:val="21"/>
          <w14:textFill>
            <w14:solidFill>
              <w14:schemeClr w14:val="tx1"/>
            </w14:solidFill>
          </w14:textFill>
        </w:rPr>
        <w:t>取值。甲壳梁正截面的抗震承载力设计值应按本规程5</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节相关公式的右端项除以相应的承载力抗震调整系数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考虑地震组合的甲壳梁梁端剪力设计值应按下列规定计算：</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一级抗震等级</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1.1</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Gb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.1.3-1</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二级抗震等级</w:t>
      </w:r>
    </w:p>
    <w:p>
      <w:pPr>
        <w:pStyle w:val="31"/>
        <w:ind w:left="780"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1.2</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Gb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.1.3-2</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三级抗震等级</w:t>
      </w:r>
    </w:p>
    <w:p>
      <w:pPr>
        <w:pStyle w:val="31"/>
        <w:ind w:left="780"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1.1</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Gb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.1.3-3</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四级抗震等级，取地震组合下的剪力设计值。</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hint="eastAsia"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——框架梁左、右端按实配钢板与钢筋截面面积（计入梁受压区钢筋、钢板及梁有效翼缘宽度范围内的楼板钢筋）、材料强度标准值、且考虑承载力抗震调整系数的正截面抗震受弯承载力所对应的的弯矩值；</w:t>
      </w: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应分别按顺时针和逆时针方向进行计算，并取其较大值。</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hint="eastAsia"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——考虑地震组合的框架梁左、右端弯矩设计值；</w:t>
      </w: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应分别取顺时针和逆时针方向计算的两端考虑地震组合的弯矩设计值之和的较大值；一级抗震等级时，当两端弯矩为负弯矩时，绝对值较小的负弯矩应取零。</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Gb</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——考虑地震组合时的重力荷载代表值产生的剪力设计值，可按简支梁确定；</w:t>
      </w:r>
    </w:p>
    <w:p>
      <w:pPr>
        <w:ind w:firstLine="420" w:firstLineChars="200"/>
        <w:rPr>
          <w:rFonts w:hint="eastAsia"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——梁的净跨。</w:t>
      </w:r>
    </w:p>
    <w:p>
      <w:pPr>
        <w:rPr>
          <w:rFonts w:hint="eastAsia"/>
          <w:color w:val="0070C0"/>
          <w:lang w:val="en-US" w:eastAsia="zh-CN"/>
        </w:rPr>
      </w:pPr>
    </w:p>
    <w:p>
      <w:pPr>
        <w:ind w:firstLine="420" w:firstLineChars="200"/>
        <w:jc w:val="left"/>
        <w:rPr>
          <w:rFonts w:hint="eastAsia"/>
          <w:color w:val="4F81BD" w:themeColor="accent1"/>
          <w:lang w:val="en-US" w:eastAsia="zh-CN"/>
          <w14:textFill>
            <w14:solidFill>
              <w14:schemeClr w14:val="accent1"/>
            </w14:solidFill>
          </w14:textFill>
        </w:rPr>
      </w:pPr>
      <w:r>
        <w:rPr>
          <w:rFonts w:hint="eastAsia"/>
          <w:color w:val="0070C0"/>
          <w:lang w:val="en-US" w:eastAsia="zh-CN"/>
        </w:rPr>
        <w:t>条文说明：7.1.2~7.1.3 按《建筑抗震设计规范》规定，考虑“强剪弱弯”</w:t>
      </w:r>
      <w:r>
        <w:rPr>
          <w:rFonts w:hint="eastAsia"/>
          <w:color w:val="4F81BD" w:themeColor="accent1"/>
          <w:lang w:val="en-US" w:eastAsia="zh-CN"/>
          <w14:textFill>
            <w14:solidFill>
              <w14:schemeClr w14:val="accent1"/>
            </w14:solidFill>
          </w14:textFill>
        </w:rPr>
        <w:t>。</w:t>
      </w:r>
    </w:p>
    <w:p>
      <w:pPr>
        <w:rPr>
          <w:rFonts w:hint="default"/>
          <w:color w:val="0070C0"/>
          <w:lang w:val="en-US" w:eastAsia="zh-CN"/>
        </w:rPr>
      </w:pP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考虑地震组合的矩形、T形截面甲壳梁，受剪截面应符合下列规定：</w:t>
      </w:r>
    </w:p>
    <w:p>
      <w:pPr>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f>
          <m:fPr>
            <m:ctrlPr>
              <w:rPr>
                <w:rFonts w:ascii="Cambria Math" w:hAnsi="Cambria Math" w:cstheme="minorEastAsia"/>
                <w:color w:val="000000" w:themeColor="text1"/>
                <w:szCs w:val="21"/>
                <w14:textFill>
                  <w14:solidFill>
                    <w14:schemeClr w14:val="tx1"/>
                  </w14:solidFill>
                </w14:textFill>
              </w:rPr>
            </m:ctrlPr>
          </m:fPr>
          <m:num>
            <m:sSub>
              <m:sSubPr>
                <m:ctrlPr>
                  <w:rPr>
                    <w:rFonts w:ascii="Cambria Math" w:hAnsi="Cambria Math" w:cstheme="minorEastAsia"/>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color w:val="000000" w:themeColor="text1"/>
                    <w:szCs w:val="21"/>
                    <w14:textFill>
                      <w14:solidFill>
                        <w14:schemeClr w14:val="tx1"/>
                      </w14:solidFill>
                    </w14:textFill>
                  </w:rPr>
                </m:ctrlPr>
              </m:sub>
            </m:sSub>
            <m:sSub>
              <m:sSubPr>
                <m:ctrlPr>
                  <w:rPr>
                    <w:rFonts w:ascii="Cambria Math" w:hAnsi="Cambria Math" w:cstheme="minorEastAsia"/>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color w:val="000000" w:themeColor="text1"/>
                    <w:szCs w:val="21"/>
                    <w14:textFill>
                      <w14:solidFill>
                        <w14:schemeClr w14:val="tx1"/>
                      </w14:solidFill>
                    </w14:textFill>
                  </w:rPr>
                </m:ctrlPr>
              </m:sub>
            </m:sSub>
            <m:ctrlPr>
              <w:rPr>
                <w:rFonts w:ascii="Cambria Math" w:hAnsi="Cambria Math" w:cstheme="minorEastAsia"/>
                <w:color w:val="000000" w:themeColor="text1"/>
                <w:szCs w:val="21"/>
                <w14:textFill>
                  <w14:solidFill>
                    <w14:schemeClr w14:val="tx1"/>
                  </w14:solidFill>
                </w14:textFill>
              </w:rPr>
            </m:ctrlPr>
          </m:num>
          <m:den>
            <m:sSub>
              <m:sSubPr>
                <m:ctrlPr>
                  <w:rPr>
                    <w:rFonts w:ascii="Cambria Math" w:hAnsi="Cambria Math" w:cstheme="minorEastAsia"/>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color w:val="000000" w:themeColor="text1"/>
                    <w:szCs w:val="21"/>
                    <w14:textFill>
                      <w14:solidFill>
                        <w14:schemeClr w14:val="tx1"/>
                      </w14:solidFill>
                    </w14:textFill>
                  </w:rPr>
                </m:ctrlPr>
              </m:sub>
            </m:sSub>
            <m:sSub>
              <m:sSubPr>
                <m:ctrlPr>
                  <w:rPr>
                    <w:rFonts w:ascii="Cambria Math" w:hAnsi="Cambria Math" w:cstheme="minorEastAsia"/>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b-</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color w:val="000000" w:themeColor="text1"/>
                <w:szCs w:val="21"/>
                <w14:textFill>
                  <w14:solidFill>
                    <w14:schemeClr w14:val="tx1"/>
                  </w14:solidFill>
                </w14:textFill>
              </w:rPr>
            </m:ctrlPr>
          </m:den>
        </m:f>
        <m:r>
          <m:rPr>
            <m:sty m:val="p"/>
          </m:rPr>
          <w:rPr>
            <w:rFonts w:ascii="Cambria Math" w:hAnsi="Cambria Math" w:cstheme="minorEastAsia"/>
            <w:color w:val="000000" w:themeColor="text1"/>
            <w:szCs w:val="21"/>
            <w14:textFill>
              <w14:solidFill>
                <w14:schemeClr w14:val="tx1"/>
              </w14:solidFill>
            </w14:textFill>
          </w:rPr>
          <m:t>≥0.1</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7.1.4-1</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当跨高比大于2</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时</w:t>
      </w:r>
    </w:p>
    <w:p>
      <w:pPr>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Cs/>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Cs/>
                <w:color w:val="000000" w:themeColor="text1"/>
                <w:szCs w:val="21"/>
                <w14:textFill>
                  <w14:solidFill>
                    <w14:schemeClr w14:val="tx1"/>
                  </w14:solidFill>
                </w14:textFill>
              </w:rPr>
            </m:ctrlPr>
          </m:num>
          <m:den>
            <m:sSub>
              <m:sSubPr>
                <m:ctrlPr>
                  <w:rPr>
                    <w:rFonts w:ascii="Cambria Math" w:hAnsi="Cambria Math" w:cstheme="minorEastAsia"/>
                    <w:i/>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iCs/>
                    <w:color w:val="000000" w:themeColor="text1"/>
                    <w:szCs w:val="21"/>
                    <w14:textFill>
                      <w14:solidFill>
                        <w14:schemeClr w14:val="tx1"/>
                      </w14:solidFill>
                    </w14:textFill>
                  </w:rPr>
                </m:ctrlPr>
              </m:sub>
            </m:sSub>
            <m:ctrlPr>
              <w:rPr>
                <w:rFonts w:ascii="Cambria Math" w:hAnsi="Cambria Math" w:cstheme="minorEastAsia"/>
                <w:iCs/>
                <w:color w:val="000000" w:themeColor="text1"/>
                <w:szCs w:val="21"/>
                <w14:textFill>
                  <w14:solidFill>
                    <w14:schemeClr w14:val="tx1"/>
                  </w14:solidFill>
                </w14:textFill>
              </w:rPr>
            </m:ctrlPr>
          </m:den>
        </m:f>
        <m:r>
          <w:rPr>
            <w:rFonts w:ascii="Cambria Math" w:hAnsi="Cambria Math" w:cstheme="minorEastAsia"/>
            <w:color w:val="000000" w:themeColor="text1"/>
            <w:szCs w:val="21"/>
            <w14:textFill>
              <w14:solidFill>
                <w14:schemeClr w14:val="tx1"/>
              </w14:solidFill>
            </w14:textFill>
          </w:rPr>
          <m:t>0.30</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d>
              <m:dPr>
                <m:ctrlPr>
                  <w:rPr>
                    <w:rFonts w:ascii="Cambria Math" w:hAnsi="Cambria Math" w:cstheme="minorEastAsia"/>
                    <w:i/>
                    <w:color w:val="000000" w:themeColor="text1"/>
                    <w:szCs w:val="21"/>
                    <w14:textFill>
                      <w14:solidFill>
                        <w14:schemeClr w14:val="tx1"/>
                      </w14:solidFill>
                    </w14:textFill>
                  </w:rPr>
                </m:ctrlPr>
              </m:dPr>
              <m:e>
                <m:r>
                  <w:rPr>
                    <w:rFonts w:hint="eastAsia" w:ascii="Cambria Math" w:hAnsi="Cambria Math" w:cstheme="minorEastAsia"/>
                    <w:color w:val="000000" w:themeColor="text1"/>
                    <w:szCs w:val="21"/>
                    <w14:textFill>
                      <w14:solidFill>
                        <w14:schemeClr w14:val="tx1"/>
                      </w14:solidFill>
                    </w14:textFill>
                  </w:rPr>
                  <m:t>b</m:t>
                </m:r>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7.1.4-2</w:t>
      </w:r>
      <w:r>
        <w:rPr>
          <w:rFonts w:hint="eastAsia" w:asciiTheme="minorEastAsia" w:hAnsiTheme="minorEastAsia" w:cstheme="minorEastAsia"/>
          <w:color w:val="000000" w:themeColor="text1"/>
          <w:szCs w:val="21"/>
          <w14:textFill>
            <w14:solidFill>
              <w14:schemeClr w14:val="tx1"/>
            </w14:solidFill>
          </w14:textFill>
        </w:rPr>
        <w:t>）</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当跨高比不大于2</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时</w:t>
      </w:r>
    </w:p>
    <w:p>
      <w:pPr>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Cs/>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Cs/>
                <w:color w:val="000000" w:themeColor="text1"/>
                <w:szCs w:val="21"/>
                <w14:textFill>
                  <w14:solidFill>
                    <w14:schemeClr w14:val="tx1"/>
                  </w14:solidFill>
                </w14:textFill>
              </w:rPr>
            </m:ctrlPr>
          </m:num>
          <m:den>
            <m:sSub>
              <m:sSubPr>
                <m:ctrlPr>
                  <w:rPr>
                    <w:rFonts w:ascii="Cambria Math" w:hAnsi="Cambria Math" w:cstheme="minorEastAsia"/>
                    <w:i/>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iCs/>
                    <w:color w:val="000000" w:themeColor="text1"/>
                    <w:szCs w:val="21"/>
                    <w14:textFill>
                      <w14:solidFill>
                        <w14:schemeClr w14:val="tx1"/>
                      </w14:solidFill>
                    </w14:textFill>
                  </w:rPr>
                </m:ctrlPr>
              </m:sub>
            </m:sSub>
            <m:ctrlPr>
              <w:rPr>
                <w:rFonts w:ascii="Cambria Math" w:hAnsi="Cambria Math" w:cstheme="minorEastAsia"/>
                <w:iCs/>
                <w:color w:val="000000" w:themeColor="text1"/>
                <w:szCs w:val="21"/>
                <w14:textFill>
                  <w14:solidFill>
                    <w14:schemeClr w14:val="tx1"/>
                  </w14:solidFill>
                </w14:textFill>
              </w:rPr>
            </m:ctrlPr>
          </m:den>
        </m:f>
        <m:r>
          <w:rPr>
            <w:rFonts w:ascii="Cambria Math" w:hAnsi="Cambria Math" w:cstheme="minorEastAsia"/>
            <w:color w:val="000000" w:themeColor="text1"/>
            <w:szCs w:val="21"/>
            <w14:textFill>
              <w14:solidFill>
                <w14:schemeClr w14:val="tx1"/>
              </w14:solidFill>
            </w14:textFill>
          </w:rPr>
          <m:t>0.25</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d>
              <m:dPr>
                <m:ctrlPr>
                  <w:rPr>
                    <w:rFonts w:ascii="Cambria Math" w:hAnsi="Cambria Math" w:cstheme="minorEastAsia"/>
                    <w:i/>
                    <w:color w:val="000000" w:themeColor="text1"/>
                    <w:szCs w:val="21"/>
                    <w14:textFill>
                      <w14:solidFill>
                        <w14:schemeClr w14:val="tx1"/>
                      </w14:solidFill>
                    </w14:textFill>
                  </w:rPr>
                </m:ctrlPr>
              </m:dPr>
              <m:e>
                <m:r>
                  <w:rPr>
                    <w:rFonts w:hint="eastAsia" w:ascii="Cambria Math" w:hAnsi="Cambria Math" w:cstheme="minorEastAsia"/>
                    <w:color w:val="000000" w:themeColor="text1"/>
                    <w:szCs w:val="21"/>
                    <w14:textFill>
                      <w14:solidFill>
                        <w14:schemeClr w14:val="tx1"/>
                      </w14:solidFill>
                    </w14:textFill>
                  </w:rPr>
                  <m:t>b</m:t>
                </m:r>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7.1.4-3</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.1.5</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考虑地震组合的矩形、T形截面甲壳梁，受剪承载力应按下式计算：</w:t>
      </w:r>
    </w:p>
    <w:p>
      <w:pPr>
        <w:ind w:firstLine="735" w:firstLineChars="35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d>
          <m:dPr>
            <m:begChr m:val="（"/>
            <m:endChr m:val="）"/>
            <m:ctrlPr>
              <w:rPr>
                <w:rFonts w:ascii="Cambria Math" w:hAnsi="Cambria Math" w:cstheme="minorEastAsia"/>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0.6</m:t>
            </m:r>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r>
                  <w:rPr>
                    <w:rFonts w:ascii="Cambria Math" w:hAnsi="Cambria Math" w:cstheme="minorEastAsia"/>
                    <w:color w:val="000000" w:themeColor="text1"/>
                    <w:szCs w:val="21"/>
                    <w14:textFill>
                      <w14:solidFill>
                        <w14:schemeClr w14:val="tx1"/>
                      </w14:solidFill>
                    </w14:textFill>
                  </w:rPr>
                  <m:t>b-</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eastAsia="MS Gothic" w:cs="MS Gothic"/>
                <w:color w:val="000000" w:themeColor="text1"/>
                <w:szCs w:val="21"/>
                <w14:textFill>
                  <w14:solidFill>
                    <w14:schemeClr w14:val="tx1"/>
                  </w14:solidFill>
                </w14:textFill>
              </w:rPr>
              <m:t>h</m:t>
            </m:r>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aw</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7.1.5-1</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——斜截面混凝土受剪承载力系数,对于一般的受弯构件取0</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，对集中荷载作用下（包括作用有多种荷载，其中集中荷载对支座截面或节点边缘所产生的剪力值占总剪力的7</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%以上的情况）的独立梁，取</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α</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cv</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为</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1.75</m:t>
            </m:r>
            <m:ctrlPr>
              <w:rPr>
                <w:rFonts w:ascii="Cambria Math" w:hAnsi="Cambria Math" w:cstheme="minorEastAsia"/>
                <w:i/>
                <w:color w:val="000000" w:themeColor="text1"/>
                <w:szCs w:val="21"/>
                <w14:textFill>
                  <w14:solidFill>
                    <w14:schemeClr w14:val="tx1"/>
                  </w14:solidFill>
                </w14:textFill>
              </w:rPr>
            </m:ctrlPr>
          </m:num>
          <m:den>
            <m:r>
              <w:rPr>
                <w:rFonts w:hint="eastAsia" w:ascii="Cambria Math" w:hAnsi="Cambria Math" w:cstheme="minorEastAsia"/>
                <w:color w:val="000000" w:themeColor="text1"/>
                <w:szCs w:val="21"/>
                <w14:textFill>
                  <w14:solidFill>
                    <w14:schemeClr w14:val="tx1"/>
                  </w14:solidFill>
                </w14:textFill>
              </w:rPr>
              <m:t>λ</m:t>
            </m:r>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，λ为计算截面的剪跨比，可取λ=</w:t>
      </w:r>
      <m:oMath>
        <m:r>
          <w:rPr>
            <w:rFonts w:ascii="Cambria Math" w:hAnsi="Cambria Math" w:cstheme="minorEastAsia"/>
            <w:color w:val="000000" w:themeColor="text1"/>
            <w:szCs w:val="21"/>
            <w14:textFill>
              <w14:solidFill>
                <w14:schemeClr w14:val="tx1"/>
              </w14:solidFill>
            </w14:textFill>
          </w:rPr>
          <m:t>a</m:t>
        </m:r>
      </m:oMath>
      <w:r>
        <w:rPr>
          <w:rFonts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,当λ小于1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，当λ大于3时取3，</w:t>
      </w:r>
      <m:oMath>
        <m:r>
          <w:rPr>
            <w:rFonts w:ascii="Cambria Math" w:hAnsi="Cambria Math" w:cstheme="minorEastAsia"/>
            <w:color w:val="000000" w:themeColor="text1"/>
            <w:szCs w:val="21"/>
            <w14:textFill>
              <w14:solidFill>
                <w14:schemeClr w14:val="tx1"/>
              </w14:solidFill>
            </w14:textFill>
          </w:rPr>
          <m:t>a</m:t>
        </m:r>
      </m:oMath>
      <w:r>
        <w:rPr>
          <w:rFonts w:hint="eastAsia" w:asciiTheme="minorEastAsia" w:hAnsiTheme="minorEastAsia" w:cstheme="minorEastAsia"/>
          <w:color w:val="000000" w:themeColor="text1"/>
          <w:szCs w:val="21"/>
          <w14:textFill>
            <w14:solidFill>
              <w14:schemeClr w14:val="tx1"/>
            </w14:solidFill>
          </w14:textFill>
        </w:rPr>
        <w:t>取集中荷载作用点至支座截面或节点边缘的距离。</w:t>
      </w:r>
    </w:p>
    <w:p>
      <w:pPr>
        <w:ind w:firstLine="420" w:firstLineChars="200"/>
        <w:rPr>
          <w:rFonts w:hint="default"/>
          <w:color w:val="0070C0"/>
          <w:lang w:val="en-US" w:eastAsia="zh-CN"/>
        </w:rPr>
      </w:pPr>
      <w:r>
        <w:rPr>
          <w:rFonts w:hint="eastAsia"/>
          <w:color w:val="0070C0"/>
          <w:lang w:val="en-US" w:eastAsia="zh-CN"/>
        </w:rPr>
        <w:t>条文说明：7.1.4~7.1.5 为保证甲壳梁内混凝土的约束效应，本公式对甲壳梁波纹腹板的截面含钢率做出规定，结构试验表明，公式中关于截面剪压比的要求偏安全。</w:t>
      </w:r>
    </w:p>
    <w:p>
      <w:pPr>
        <w:rPr>
          <w:rFonts w:hint="eastAsia" w:ascii="黑体" w:hAnsi="黑体" w:eastAsia="黑体"/>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.1.6</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甲壳梁的截面尺寸应符合下列要求</w:t>
      </w:r>
    </w:p>
    <w:p>
      <w:pPr>
        <w:ind w:firstLine="42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截面宽度b不宜小于2</w:t>
      </w:r>
      <w:r>
        <w:rPr>
          <w:rFonts w:asciiTheme="minorEastAsia" w:hAnsiTheme="minorEastAsia" w:cstheme="minorEastAsia"/>
          <w:color w:val="000000" w:themeColor="text1"/>
          <w:szCs w:val="21"/>
          <w14:textFill>
            <w14:solidFill>
              <w14:schemeClr w14:val="tx1"/>
            </w14:solidFill>
          </w14:textFill>
        </w:rPr>
        <w:t>00mm</w:t>
      </w:r>
      <w:r>
        <w:rPr>
          <w:rFonts w:hint="eastAsia" w:asciiTheme="minorEastAsia" w:hAnsiTheme="minorEastAsia" w:cstheme="minorEastAsia"/>
          <w:color w:val="000000" w:themeColor="text1"/>
          <w:szCs w:val="21"/>
          <w14:textFill>
            <w14:solidFill>
              <w14:schemeClr w14:val="tx1"/>
            </w14:solidFill>
          </w14:textFill>
        </w:rPr>
        <w:t>；</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 截面高度与宽度的比值不宜大于4；</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净跨与截面高度的比值不宜小于4。</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甲壳梁上下翼缘的宽厚比，应符合表7</w:t>
      </w:r>
      <w:r>
        <w:rPr>
          <w:rFonts w:asciiTheme="minorEastAsia" w:hAnsiTheme="minorEastAsia" w:cstheme="minorEastAsia"/>
          <w:color w:val="000000" w:themeColor="text1"/>
          <w:szCs w:val="21"/>
          <w14:textFill>
            <w14:solidFill>
              <w14:schemeClr w14:val="tx1"/>
            </w14:solidFill>
          </w14:textFill>
        </w:rPr>
        <w:t>.1.6</w:t>
      </w:r>
      <w:r>
        <w:rPr>
          <w:rFonts w:hint="eastAsia" w:asciiTheme="minorEastAsia" w:hAnsiTheme="minorEastAsia" w:cstheme="minorEastAsia"/>
          <w:color w:val="000000" w:themeColor="text1"/>
          <w:szCs w:val="21"/>
          <w14:textFill>
            <w14:solidFill>
              <w14:schemeClr w14:val="tx1"/>
            </w14:solidFill>
          </w14:textFill>
        </w:rPr>
        <w:t>的规定</w:t>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表</w:t>
      </w:r>
      <w:r>
        <w:rPr>
          <w:rFonts w:ascii="黑体" w:hAnsi="黑体" w:eastAsia="黑体" w:cstheme="minorEastAsia"/>
          <w:color w:val="000000" w:themeColor="text1"/>
          <w:sz w:val="18"/>
          <w:szCs w:val="18"/>
          <w14:textFill>
            <w14:solidFill>
              <w14:schemeClr w14:val="tx1"/>
            </w14:solidFill>
          </w14:textFill>
        </w:rPr>
        <w:t>7</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1</w:t>
      </w:r>
      <w:r>
        <w:rPr>
          <w:rFonts w:hint="eastAsia" w:ascii="黑体" w:hAnsi="黑体" w:eastAsia="黑体" w:cstheme="minorEastAsia"/>
          <w:color w:val="000000" w:themeColor="text1"/>
          <w:sz w:val="18"/>
          <w:szCs w:val="18"/>
          <w14:textFill>
            <w14:solidFill>
              <w14:schemeClr w14:val="tx1"/>
            </w14:solidFill>
          </w14:textFill>
        </w:rPr>
        <w:t>.</w:t>
      </w:r>
      <w:r>
        <w:rPr>
          <w:rFonts w:ascii="黑体" w:hAnsi="黑体" w:eastAsia="黑体" w:cstheme="minorEastAsia"/>
          <w:color w:val="000000" w:themeColor="text1"/>
          <w:sz w:val="18"/>
          <w:szCs w:val="18"/>
          <w14:textFill>
            <w14:solidFill>
              <w14:schemeClr w14:val="tx1"/>
            </w14:solidFill>
          </w14:textFill>
        </w:rPr>
        <w:t>6</w:t>
      </w:r>
      <w:r>
        <w:rPr>
          <w:rFonts w:hint="eastAsia" w:ascii="黑体" w:hAnsi="黑体" w:eastAsia="黑体" w:cstheme="minorEastAsia"/>
          <w:color w:val="000000" w:themeColor="text1"/>
          <w:sz w:val="18"/>
          <w:szCs w:val="18"/>
          <w14:textFill>
            <w14:solidFill>
              <w14:schemeClr w14:val="tx1"/>
            </w14:solidFill>
          </w14:textFill>
        </w:rPr>
        <w:t xml:space="preserve"> 甲壳梁上下翼缘钢板的宽厚比限值</w:t>
      </w:r>
    </w:p>
    <w:tbl>
      <w:tblPr>
        <w:tblStyle w:val="23"/>
        <w:tblW w:w="4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83"/>
        <w:gridCol w:w="635"/>
        <w:gridCol w:w="708"/>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抗震等级</w:t>
            </w:r>
          </w:p>
        </w:tc>
        <w:tc>
          <w:tcPr>
            <w:tcW w:w="783"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一级</w:t>
            </w:r>
          </w:p>
        </w:tc>
        <w:tc>
          <w:tcPr>
            <w:tcW w:w="635"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二级</w:t>
            </w:r>
          </w:p>
        </w:tc>
        <w:tc>
          <w:tcPr>
            <w:tcW w:w="708"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三级</w:t>
            </w:r>
          </w:p>
        </w:tc>
        <w:tc>
          <w:tcPr>
            <w:tcW w:w="1139"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翼缘外伸部分</w:t>
            </w:r>
          </w:p>
        </w:tc>
        <w:tc>
          <w:tcPr>
            <w:tcW w:w="783"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11</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635"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asciiTheme="minorEastAsia" w:hAnsiTheme="minorEastAsia" w:cstheme="minorEastAsia"/>
                <w:color w:val="000000" w:themeColor="text1"/>
                <w:sz w:val="15"/>
                <w:szCs w:val="15"/>
                <w14:textFill>
                  <w14:solidFill>
                    <w14:schemeClr w14:val="tx1"/>
                  </w14:solidFill>
                </w14:textFill>
              </w:rPr>
              <w:t>3</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708"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asciiTheme="minorEastAsia" w:hAnsiTheme="minorEastAsia" w:cstheme="minorEastAsia"/>
                <w:color w:val="000000" w:themeColor="text1"/>
                <w:sz w:val="15"/>
                <w:szCs w:val="15"/>
                <w14:textFill>
                  <w14:solidFill>
                    <w14:schemeClr w14:val="tx1"/>
                  </w14:solidFill>
                </w14:textFill>
              </w:rPr>
              <w:t>5</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1139"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1</w:t>
            </w:r>
            <w:r>
              <w:rPr>
                <w:rFonts w:asciiTheme="minorEastAsia" w:hAnsiTheme="minorEastAsia" w:cstheme="minorEastAsia"/>
                <w:color w:val="000000" w:themeColor="text1"/>
                <w:sz w:val="15"/>
                <w:szCs w:val="15"/>
                <w14:textFill>
                  <w14:solidFill>
                    <w14:schemeClr w14:val="tx1"/>
                  </w14:solidFill>
                </w14:textFill>
              </w:rPr>
              <w:t>5</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两腹板之间</w:t>
            </w:r>
          </w:p>
        </w:tc>
        <w:tc>
          <w:tcPr>
            <w:tcW w:w="783" w:type="dxa"/>
            <w:vAlign w:val="center"/>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37</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635"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42</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708"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50</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c>
          <w:tcPr>
            <w:tcW w:w="1139" w:type="dxa"/>
          </w:tcPr>
          <w:p>
            <w:pPr>
              <w:jc w:val="center"/>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60</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p>
        </w:tc>
      </w:tr>
    </w:tbl>
    <w:p>
      <w:pPr>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iCs/>
          <w:color w:val="000000" w:themeColor="text1"/>
          <w:sz w:val="15"/>
          <w:szCs w:val="15"/>
          <w14:textFill>
            <w14:solidFill>
              <w14:schemeClr w14:val="tx1"/>
            </w14:solidFill>
          </w14:textFill>
        </w:rPr>
        <w:t>注：</w:t>
      </w:r>
      <w:r>
        <w:rPr>
          <w:rFonts w:asciiTheme="majorHAnsi" w:hAnsiTheme="majorHAnsi" w:cstheme="minorEastAsia"/>
          <w:color w:val="000000" w:themeColor="text1"/>
          <w:szCs w:val="21"/>
          <w14:textFill>
            <w14:solidFill>
              <w14:schemeClr w14:val="tx1"/>
            </w14:solidFill>
          </w14:textFill>
        </w:rPr>
        <w:t>ε</w:t>
      </w:r>
      <w:r>
        <w:rPr>
          <w:rFonts w:asciiTheme="majorHAnsi" w:hAnsiTheme="majorHAnsi" w:cstheme="minorEastAsia"/>
          <w:color w:val="000000" w:themeColor="text1"/>
          <w:sz w:val="11"/>
          <w:szCs w:val="11"/>
          <w14:textFill>
            <w14:solidFill>
              <w14:schemeClr w14:val="tx1"/>
            </w14:solidFill>
          </w14:textFill>
        </w:rPr>
        <w:t>k</w:t>
      </w:r>
      <w:r>
        <w:rPr>
          <w:rFonts w:hint="eastAsia" w:asciiTheme="minorEastAsia" w:hAnsiTheme="minorEastAsia" w:cstheme="minorEastAsia"/>
          <w:iCs/>
          <w:color w:val="000000" w:themeColor="text1"/>
          <w:sz w:val="15"/>
          <w:szCs w:val="15"/>
          <w14:textFill>
            <w14:solidFill>
              <w14:schemeClr w14:val="tx1"/>
            </w14:solidFill>
          </w14:textFill>
        </w:rPr>
        <w:t>为钢号修正系数，其值为2</w:t>
      </w:r>
      <w:r>
        <w:rPr>
          <w:rFonts w:asciiTheme="minorEastAsia" w:hAnsiTheme="minorEastAsia" w:cstheme="minorEastAsia"/>
          <w:iCs/>
          <w:color w:val="000000" w:themeColor="text1"/>
          <w:sz w:val="15"/>
          <w:szCs w:val="15"/>
          <w14:textFill>
            <w14:solidFill>
              <w14:schemeClr w14:val="tx1"/>
            </w14:solidFill>
          </w14:textFill>
        </w:rPr>
        <w:t>35</w:t>
      </w:r>
      <w:r>
        <w:rPr>
          <w:rFonts w:hint="eastAsia" w:asciiTheme="minorEastAsia" w:hAnsiTheme="minorEastAsia" w:cstheme="minorEastAsia"/>
          <w:iCs/>
          <w:color w:val="000000" w:themeColor="text1"/>
          <w:sz w:val="15"/>
          <w:szCs w:val="15"/>
          <w14:textFill>
            <w14:solidFill>
              <w14:schemeClr w14:val="tx1"/>
            </w14:solidFill>
          </w14:textFill>
        </w:rPr>
        <w:t>与钢材牌号中屈服点数值的比值的平方根。</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.1.7</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甲壳梁的钢筋及钢板配置应符合下列规定：</w:t>
      </w:r>
    </w:p>
    <w:p>
      <w:pPr>
        <w:ind w:firstLine="42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甲壳梁支座及跨中位置纵向受拉钢板（钢筋）的截面含钢率均不宜小于</w:t>
      </w:r>
      <w:r>
        <w:rPr>
          <w:rFonts w:asciiTheme="minorEastAsia" w:hAnsiTheme="minorEastAsia" w:cstheme="minorEastAsia"/>
          <w:color w:val="000000" w:themeColor="text1"/>
          <w:szCs w:val="21"/>
          <w14:textFill>
            <w14:solidFill>
              <w14:schemeClr w14:val="tx1"/>
            </w14:solidFill>
          </w14:textFill>
        </w:rPr>
        <w:t>0.5</w:t>
      </w:r>
      <w:r>
        <w:rPr>
          <w:rFonts w:hint="eastAsia" w:asciiTheme="minorEastAsia" w:hAnsiTheme="minorEastAsia" w:cstheme="minorEastAsia"/>
          <w:color w:val="000000" w:themeColor="text1"/>
          <w:szCs w:val="21"/>
          <w14:textFill>
            <w14:solidFill>
              <w14:schemeClr w14:val="tx1"/>
            </w14:solidFill>
          </w14:textFill>
        </w:rPr>
        <w:t>%,且不宜超过</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截面含钢率为底部或顶部的钢板截面积与甲壳梁等效矩形全截面积的比值，当配有钢筋或预应力筋时，钢筋或预应力筋按等强代换的原则换算成钢板面积计算,T型截面甲壳梁的外伸混凝土翼缘板不计入面积计算。</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甲壳梁梁端截面的底部和顶部纵向受力钢板（钢筋）截面面积的比值，除按计算确定外，一级不应小于0</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，二、三级不应小于0</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，当配有钢筋或预应力筋时，钢筋或预应力筋按等强代换的原则换算成钢板面积计算。</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一、二级抗震等级的甲壳梁，沿梁全长顶面配置的钢板及钢筋的截面积，不应少于梁两端顶面纵向受力钢板截面积的1</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，当配有钢筋或预应力筋时，钢筋或预应力筋按等强代换的原则换算成钢板截面积计算。</w:t>
      </w:r>
    </w:p>
    <w:p>
      <w:pPr>
        <w:ind w:firstLine="420" w:firstLineChars="200"/>
        <w:rPr>
          <w:rFonts w:hint="default"/>
          <w:color w:val="0070C0"/>
          <w:lang w:val="en-US" w:eastAsia="zh-CN"/>
        </w:rPr>
      </w:pPr>
      <w:r>
        <w:rPr>
          <w:rFonts w:hint="eastAsia"/>
          <w:color w:val="0070C0"/>
          <w:lang w:val="en-US" w:eastAsia="zh-CN"/>
        </w:rPr>
        <w:t>条文说明：7.1.6~7.1.7 参考《混凝土结构设计规范》中关于钢筋混凝土框架梁的抗震构造措施，对甲壳梁的抗震构造措施进行规定，甲壳梁上下翼缘板的宽厚比，参考《建筑抗震设计规范》中关于钢梁翼缘的宽厚比，并适当考虑了混凝土对翼缘局部稳定的贡献。当有可靠依据时，本条规定的构造要求可适当突破。</w:t>
      </w:r>
    </w:p>
    <w:p>
      <w:pPr>
        <w:ind w:firstLine="420"/>
        <w:rPr>
          <w:rFonts w:asciiTheme="minorEastAsia" w:hAnsiTheme="minorEastAsia" w:cstheme="minorEastAsia"/>
          <w:color w:val="000000" w:themeColor="text1"/>
          <w:szCs w:val="21"/>
          <w14:textFill>
            <w14:solidFill>
              <w14:schemeClr w14:val="tx1"/>
            </w14:solidFill>
          </w14:textFill>
        </w:rPr>
      </w:pPr>
    </w:p>
    <w:p>
      <w:pPr>
        <w:ind w:firstLine="420"/>
        <w:rPr>
          <w:rFonts w:asciiTheme="minorEastAsia" w:hAnsiTheme="minorEastAsia" w:cstheme="minorEastAsia"/>
          <w:color w:val="000000" w:themeColor="text1"/>
          <w:szCs w:val="21"/>
          <w14:textFill>
            <w14:solidFill>
              <w14:schemeClr w14:val="tx1"/>
            </w14:solidFill>
          </w14:textFill>
        </w:rPr>
      </w:pPr>
    </w:p>
    <w:p>
      <w:pPr>
        <w:widowControl/>
        <w:jc w:val="center"/>
        <w:outlineLvl w:val="1"/>
        <w:rPr>
          <w:rFonts w:ascii="黑体" w:hAnsi="黑体" w:eastAsia="黑体" w:cstheme="minorEastAsia"/>
          <w:color w:val="000000" w:themeColor="text1"/>
          <w:szCs w:val="21"/>
          <w14:textFill>
            <w14:solidFill>
              <w14:schemeClr w14:val="tx1"/>
            </w14:solidFill>
          </w14:textFill>
        </w:rPr>
      </w:pPr>
      <w:bookmarkStart w:id="76" w:name="_Toc28706895"/>
      <w:r>
        <w:rPr>
          <w:rFonts w:ascii="黑体" w:hAnsi="黑体" w:eastAsia="黑体" w:cstheme="minorEastAsia"/>
          <w:color w:val="000000" w:themeColor="text1"/>
          <w:szCs w:val="21"/>
          <w14:textFill>
            <w14:solidFill>
              <w14:schemeClr w14:val="tx1"/>
            </w14:solidFill>
          </w14:textFill>
        </w:rPr>
        <w:t>7</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 xml:space="preserve">  甲壳柱</w:t>
      </w:r>
      <w:bookmarkEnd w:id="76"/>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7</w:t>
      </w:r>
      <w:r>
        <w:rPr>
          <w:rFonts w:hint="eastAsia" w:ascii="黑体" w:hAnsi="黑体" w:eastAsia="黑体" w:cstheme="minorEastAsia"/>
          <w:color w:val="000000" w:themeColor="text1"/>
          <w:szCs w:val="21"/>
          <w14:textFill>
            <w14:solidFill>
              <w14:schemeClr w14:val="tx1"/>
            </w14:solidFill>
          </w14:textFill>
        </w:rPr>
        <w:t>.</w:t>
      </w:r>
      <w:r>
        <w:rPr>
          <w:rFonts w:ascii="黑体" w:hAnsi="黑体" w:eastAsia="黑体" w:cstheme="minorEastAsia"/>
          <w:color w:val="000000" w:themeColor="text1"/>
          <w:szCs w:val="21"/>
          <w14:textFill>
            <w14:solidFill>
              <w14:schemeClr w14:val="tx1"/>
            </w14:solidFill>
          </w14:textFill>
        </w:rPr>
        <w:t>2</w:t>
      </w:r>
      <w:r>
        <w:rPr>
          <w:rFonts w:hint="eastAsia"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 xml:space="preserve"> 除框架顶层柱、轴压比小于0</w:t>
      </w:r>
      <w:r>
        <w:rPr>
          <w:rFonts w:asciiTheme="minorEastAsia" w:hAnsiTheme="minorEastAsia" w:cstheme="minorEastAsia"/>
          <w:color w:val="000000" w:themeColor="text1"/>
          <w:szCs w:val="21"/>
          <w14:textFill>
            <w14:solidFill>
              <w14:schemeClr w14:val="tx1"/>
            </w14:solidFill>
          </w14:textFill>
        </w:rPr>
        <w:t>.15</w:t>
      </w:r>
      <w:r>
        <w:rPr>
          <w:rFonts w:hint="eastAsia" w:asciiTheme="minorEastAsia" w:hAnsiTheme="minorEastAsia" w:cstheme="minorEastAsia"/>
          <w:color w:val="000000" w:themeColor="text1"/>
          <w:szCs w:val="21"/>
          <w14:textFill>
            <w14:solidFill>
              <w14:schemeClr w14:val="tx1"/>
            </w14:solidFill>
          </w14:textFill>
        </w:rPr>
        <w:t>的柱及框支梁与框支柱的节点外，框架柱节点上、下端的弯矩设计值应符合下列要求：</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一级抗震等级</w:t>
      </w:r>
    </w:p>
    <w:p>
      <w:pPr>
        <w:ind w:firstLine="735" w:firstLineChars="35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nary>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=1.2</m:t>
        </m:r>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7.2.1-1</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二级抗震等级</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nary>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=1.5</m:t>
        </m:r>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7.2.1-2</w:t>
      </w:r>
      <w:r>
        <w:rPr>
          <w:rFonts w:hint="eastAsia" w:asciiTheme="minorEastAsia" w:hAnsiTheme="minorEastAsia" w:cstheme="minorEastAsia"/>
          <w:color w:val="000000" w:themeColor="text1"/>
          <w:szCs w:val="21"/>
          <w14:textFill>
            <w14:solidFill>
              <w14:schemeClr w14:val="tx1"/>
            </w14:solidFill>
          </w14:textFill>
        </w:rPr>
        <w:t>）</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三级抗震等级</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nary>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=1.3</m:t>
        </m:r>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7.2.1-3</w:t>
      </w:r>
      <w:r>
        <w:rPr>
          <w:rFonts w:hint="eastAsia" w:asciiTheme="minorEastAsia" w:hAnsiTheme="minorEastAsia" w:cstheme="minorEastAsia"/>
          <w:color w:val="000000" w:themeColor="text1"/>
          <w:szCs w:val="21"/>
          <w14:textFill>
            <w14:solidFill>
              <w14:schemeClr w14:val="tx1"/>
            </w14:solidFill>
          </w14:textFill>
        </w:rPr>
        <w:t>）</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四级抗震等级</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nary>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=1.2</m:t>
        </m:r>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7.2.1-4</w:t>
      </w:r>
      <w:r>
        <w:rPr>
          <w:rFonts w:hint="eastAsia" w:asciiTheme="minorEastAsia" w:hAnsiTheme="minorEastAsia" w:cstheme="minorEastAsia"/>
          <w:color w:val="000000" w:themeColor="text1"/>
          <w:szCs w:val="21"/>
          <w14:textFill>
            <w14:solidFill>
              <w14:schemeClr w14:val="tx1"/>
            </w14:solidFill>
          </w14:textFill>
        </w:rPr>
        <w:t>）</w:t>
      </w:r>
    </w:p>
    <w:p>
      <w:pPr>
        <w:ind w:firstLine="42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式中：</w:t>
      </w:r>
      <m:oMath>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color w:val="000000" w:themeColor="text1"/>
          <w:szCs w:val="21"/>
          <w14:textFill>
            <w14:solidFill>
              <w14:schemeClr w14:val="tx1"/>
            </w14:solidFill>
          </w14:textFill>
        </w:rPr>
        <w:t>——考虑地震作用组合的节点上、下柱端的弯矩设计值之和，柱端弯矩设计值的确定在一般情况下，可将公式（</w:t>
      </w:r>
      <w:r>
        <w:rPr>
          <w:rFonts w:asciiTheme="minorEastAsia" w:hAnsiTheme="minorEastAsia" w:cstheme="minorEastAsia"/>
          <w:color w:val="000000" w:themeColor="text1"/>
          <w:szCs w:val="21"/>
          <w14:textFill>
            <w14:solidFill>
              <w14:schemeClr w14:val="tx1"/>
            </w14:solidFill>
          </w14:textFill>
        </w:rPr>
        <w:t>7.2.1-1</w:t>
      </w:r>
      <w:r>
        <w:rPr>
          <w:rFonts w:hint="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7.2.1-6</w:t>
      </w:r>
      <w:r>
        <w:rPr>
          <w:rFonts w:hint="eastAsia" w:asciiTheme="minorEastAsia" w:hAnsiTheme="minorEastAsia" w:cstheme="minorEastAsia"/>
          <w:color w:val="000000" w:themeColor="text1"/>
          <w:szCs w:val="21"/>
          <w14:textFill>
            <w14:solidFill>
              <w14:schemeClr w14:val="tx1"/>
            </w14:solidFill>
          </w14:textFill>
        </w:rPr>
        <w:t>）计算的弯矩之和，按上下柱端弹性分析所得的考虑地震组合的弯矩比进行分配；</w:t>
      </w:r>
    </w:p>
    <w:p>
      <w:pPr>
        <w:ind w:firstLine="420"/>
        <w:rPr>
          <w:color w:val="000000" w:themeColor="text1"/>
          <w:szCs w:val="21"/>
          <w14:textFill>
            <w14:solidFill>
              <w14:schemeClr w14:val="tx1"/>
            </w14:solidFill>
          </w14:textFill>
        </w:rPr>
      </w:pPr>
      <m:oMath>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color w:val="000000" w:themeColor="text1"/>
          <w:szCs w:val="21"/>
          <w14:textFill>
            <w14:solidFill>
              <w14:schemeClr w14:val="tx1"/>
            </w14:solidFill>
          </w14:textFill>
        </w:rPr>
        <w:t>——同一节点左右梁端按顺时针和逆时针方向采用实配钢筋和材料强度标准值，且考虑承载力抗震调整系数计算的正截面受弯承载力所对应的弯矩值之和的较大值。梁端实配钢筋应包含梁有效翼缘宽度范围内的楼板的纵向钢筋；</w:t>
      </w:r>
    </w:p>
    <w:p>
      <w:pPr>
        <w:ind w:firstLine="420"/>
        <w:rPr>
          <w:color w:val="000000" w:themeColor="text1"/>
          <w:szCs w:val="21"/>
          <w14:textFill>
            <w14:solidFill>
              <w14:schemeClr w14:val="tx1"/>
            </w14:solidFill>
          </w14:textFill>
        </w:rPr>
      </w:pPr>
      <m:oMath>
        <m:nary>
          <m:naryPr>
            <m:chr m:val="∑"/>
            <m:limLoc m:val="undOvr"/>
            <m:subHide m:val="1"/>
            <m:supHide m:val="1"/>
            <m:ctrlPr>
              <w:rPr>
                <w:rFonts w:ascii="Cambria Math" w:hAnsi="Cambria Math" w:cstheme="minorEastAsia"/>
                <w:i/>
                <w:color w:val="000000" w:themeColor="text1"/>
                <w:szCs w:val="21"/>
                <w14:textFill>
                  <w14:solidFill>
                    <w14:schemeClr w14:val="tx1"/>
                  </w14:solidFill>
                </w14:textFill>
              </w:rPr>
            </m:ctrlPr>
          </m:naryPr>
          <m:sub>
            <m:ctrlPr>
              <w:rPr>
                <w:rFonts w:ascii="Cambria Math" w:hAnsi="Cambria Math" w:cstheme="minorEastAsia"/>
                <w:i/>
                <w:color w:val="000000" w:themeColor="text1"/>
                <w:szCs w:val="21"/>
                <w14:textFill>
                  <w14:solidFill>
                    <w14:schemeClr w14:val="tx1"/>
                  </w14:solidFill>
                </w14:textFill>
              </w:rPr>
            </m:ctrlPr>
          </m:sub>
          <m:sup>
            <m:ctrlPr>
              <w:rPr>
                <w:rFonts w:ascii="Cambria Math" w:hAnsi="Cambria Math" w:cstheme="minorEastAsia"/>
                <w:i/>
                <w:color w:val="000000" w:themeColor="text1"/>
                <w:szCs w:val="21"/>
                <w14:textFill>
                  <w14:solidFill>
                    <w14:schemeClr w14:val="tx1"/>
                  </w14:solidFill>
                </w14:textFill>
              </w:rPr>
            </m:ctrlPr>
          </m:sup>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nary>
      </m:oMath>
      <w:r>
        <w:rPr>
          <w:rFonts w:hint="eastAsia"/>
          <w:color w:val="000000" w:themeColor="text1"/>
          <w:szCs w:val="21"/>
          <w14:textFill>
            <w14:solidFill>
              <w14:schemeClr w14:val="tx1"/>
            </w14:solidFill>
          </w14:textFill>
        </w:rPr>
        <w:t>——同一节点左右梁端按顺时针和逆时针方向计算的两端考虑地震组合的弯矩设计值之和的较大值，一级抗震等级，当两端均为负弯矩时，取绝对值较小的弯矩值为零。</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一、二、三、四级抗震等级框架结构的底层，柱下端截面组合弯矩设计值，应分别乘以增大系数1</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1.3</w:t>
      </w:r>
      <w:r>
        <w:rPr>
          <w:rFonts w:hint="eastAsia" w:asciiTheme="minorEastAsia" w:hAnsiTheme="minorEastAsia" w:cstheme="minorEastAsia"/>
          <w:color w:val="000000" w:themeColor="text1"/>
          <w:szCs w:val="21"/>
          <w14:textFill>
            <w14:solidFill>
              <w14:schemeClr w14:val="tx1"/>
            </w14:solidFill>
          </w14:textFill>
        </w:rPr>
        <w:t>和1</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。底层柱纵向钢筋应按柱上、下端的不利情况配置。</w:t>
      </w:r>
    </w:p>
    <w:p>
      <w:pPr>
        <w:ind w:firstLine="42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注：底层指无地下室的基础以上或地下室以上的首层。</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甲壳柱正截面的抗震承载力按第</w:t>
      </w:r>
      <w:r>
        <w:rPr>
          <w:rFonts w:asciiTheme="minorEastAsia" w:hAnsiTheme="minorEastAsia" w:cstheme="minorEastAsia"/>
          <w:color w:val="000000" w:themeColor="text1"/>
          <w:szCs w:val="21"/>
          <w14:textFill>
            <w14:solidFill>
              <w14:schemeClr w14:val="tx1"/>
            </w14:solidFill>
          </w14:textFill>
        </w:rPr>
        <w:t>6.2</w:t>
      </w:r>
      <w:r>
        <w:rPr>
          <w:rFonts w:hint="eastAsia" w:asciiTheme="minorEastAsia" w:hAnsiTheme="minorEastAsia" w:cstheme="minorEastAsia"/>
          <w:color w:val="000000" w:themeColor="text1"/>
          <w:szCs w:val="21"/>
          <w14:textFill>
            <w14:solidFill>
              <w14:schemeClr w14:val="tx1"/>
            </w14:solidFill>
          </w14:textFill>
        </w:rPr>
        <w:t>节的规定计算，但在相关公示的右端项除以相应的承载力抗震调整系数</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考虑地震组合的甲壳柱柱端剪力设计值应按下列规定计算：</w:t>
      </w:r>
    </w:p>
    <w:p>
      <w:pPr>
        <w:ind w:firstLine="525" w:firstLineChars="25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一级抗震等级</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1.2</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.2.4-1</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二级抗震等级</w:t>
      </w:r>
    </w:p>
    <w:p>
      <w:pPr>
        <w:pStyle w:val="31"/>
        <w:ind w:left="780"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1.3</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.2.4-2</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三级抗震等级</w:t>
      </w:r>
    </w:p>
    <w:p>
      <w:pPr>
        <w:pStyle w:val="31"/>
        <w:ind w:left="780"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1.2</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.2.4-3</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四级抗震等级</w:t>
      </w:r>
    </w:p>
    <w:p>
      <w:pPr>
        <w:pStyle w:val="31"/>
        <w:ind w:left="780" w:firstLine="0"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r>
          <w:rPr>
            <w:rFonts w:ascii="Cambria Math" w:hAnsi="Cambria Math" w:cstheme="minorEastAsia"/>
            <w:color w:val="000000" w:themeColor="text1"/>
            <w:szCs w:val="21"/>
            <w14:textFill>
              <w14:solidFill>
                <w14:schemeClr w14:val="tx1"/>
              </w14:solidFill>
            </w14:textFill>
          </w:rPr>
          <m:t>1.1</m:t>
        </m:r>
        <m:f>
          <m:fPr>
            <m:ctrlPr>
              <w:rPr>
                <w:rFonts w:ascii="Cambria Math" w:hAnsi="Cambria Math" w:cstheme="minorEastAsia"/>
                <w:i/>
                <w:color w:val="000000" w:themeColor="text1"/>
                <w:szCs w:val="21"/>
                <w14:textFill>
                  <w14:solidFill>
                    <w14:schemeClr w14:val="tx1"/>
                  </w14:solidFill>
                </w14:textFill>
              </w:rPr>
            </m:ctrlPr>
          </m:fPr>
          <m:num>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.2.4-4</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r>
              <w:rPr>
                <w:rFonts w:ascii="Cambria Math" w:hAnsi="Cambria Math" w:cstheme="minorEastAsia"/>
                <w:color w:val="000000" w:themeColor="text1"/>
                <w:szCs w:val="21"/>
                <w14:textFill>
                  <w14:solidFill>
                    <w14:schemeClr w14:val="tx1"/>
                  </w14:solidFill>
                </w14:textFill>
              </w:rPr>
              <m:t>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hint="eastAsia"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——框架柱上、下端按实配钢管截面面积、材料强度标准值、且考虑承载力抗震调整系数的正截面抗震受弯承载力所对应的的弯矩值；</w:t>
      </w: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l</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bua</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r</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应分别按顺时针和逆时针方向进行计算，并取其较大值。</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hint="eastAsia"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——考虑地震组合且经调整后的框架柱上、下端弯矩设计值。</w:t>
      </w:r>
      <m:oMath>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p>
        </m:sSubSup>
        <m:r>
          <w:rPr>
            <w:rFonts w:ascii="Cambria Math" w:hAnsi="Cambria Math" w:cstheme="minorEastAsia"/>
            <w:color w:val="000000" w:themeColor="text1"/>
            <w:szCs w:val="21"/>
            <w14:textFill>
              <w14:solidFill>
                <w14:schemeClr w14:val="tx1"/>
              </w14:solidFill>
            </w14:textFill>
          </w:rPr>
          <m:t>+</m:t>
        </m:r>
        <m:sSubSup>
          <m:sSubSupPr>
            <m:ctrlPr>
              <w:rPr>
                <w:rFonts w:ascii="Cambria Math" w:hAnsi="Cambria Math" w:cstheme="minorEastAsia"/>
                <w:i/>
                <w:color w:val="000000" w:themeColor="text1"/>
                <w:szCs w:val="21"/>
                <w14:textFill>
                  <w14:solidFill>
                    <w14:schemeClr w14:val="tx1"/>
                  </w14:solidFill>
                </w14:textFill>
              </w:rPr>
            </m:ctrlPr>
          </m:sSubSupPr>
          <m:e>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up>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sup>
        </m:sSubSup>
      </m:oMath>
      <w:r>
        <w:rPr>
          <w:rFonts w:hint="eastAsia" w:asciiTheme="minorEastAsia" w:hAnsiTheme="minorEastAsia" w:cstheme="minorEastAsia"/>
          <w:color w:val="000000" w:themeColor="text1"/>
          <w:szCs w:val="21"/>
          <w14:textFill>
            <w14:solidFill>
              <w14:schemeClr w14:val="tx1"/>
            </w14:solidFill>
          </w14:textFill>
        </w:rPr>
        <w:t>应分别取顺时针和逆时针方向计算的两端考虑地震组合的弯矩设计值之和的较大值；一级抗震等级时，当两端弯矩为负弯矩时，绝对值较小的负弯矩应取零。</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——柱的净高。</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.2.5</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各抗震等级的角柱，其弯矩、剪力设计值应按本规程(</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条调整的基础上再乘以不小于1</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的系数。</w:t>
      </w:r>
    </w:p>
    <w:p>
      <w:pPr>
        <w:ind w:firstLine="420"/>
        <w:rPr>
          <w:rFonts w:hint="eastAsia"/>
          <w:color w:val="4F81BD" w:themeColor="accent1"/>
          <w:lang w:val="en-US" w:eastAsia="zh-CN"/>
          <w14:textFill>
            <w14:solidFill>
              <w14:schemeClr w14:val="accent1"/>
            </w14:solidFill>
          </w14:textFill>
        </w:rPr>
      </w:pPr>
    </w:p>
    <w:p>
      <w:pPr>
        <w:ind w:firstLine="420" w:firstLineChars="200"/>
        <w:rPr>
          <w:rFonts w:hint="default"/>
          <w:color w:val="0070C0"/>
          <w:lang w:val="en-US" w:eastAsia="zh-CN"/>
        </w:rPr>
      </w:pPr>
      <w:r>
        <w:rPr>
          <w:rFonts w:hint="eastAsia"/>
          <w:color w:val="0070C0"/>
          <w:lang w:val="en-US" w:eastAsia="zh-CN"/>
        </w:rPr>
        <w:t>条文说明：7.2.1~7.2.5 按《建筑抗震设计规范》中关于钢筋混凝土框架的规定，对甲壳柱的弯矩、剪力设计值进行调整，以保证“强柱弱梁”。</w:t>
      </w:r>
    </w:p>
    <w:p>
      <w:pPr>
        <w:rPr>
          <w:rFonts w:hint="eastAsia" w:asciiTheme="minorEastAsia" w:hAnsiTheme="minorEastAsia" w:cstheme="minorEastAsia"/>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7.2.6</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考虑地震组合的</w:t>
      </w:r>
      <w:r>
        <w:rPr>
          <w:rFonts w:hint="eastAsia" w:asciiTheme="minorEastAsia" w:hAnsiTheme="minorEastAsia" w:cstheme="minorEastAsia"/>
          <w:color w:val="000000" w:themeColor="text1"/>
          <w:szCs w:val="21"/>
          <w14:textFill>
            <w14:solidFill>
              <w14:schemeClr w14:val="tx1"/>
            </w14:solidFill>
          </w14:textFill>
        </w:rPr>
        <w:t>甲壳柱的斜截面抗剪承载力应符合下列规定：</w:t>
      </w:r>
    </w:p>
    <w:p>
      <w:pPr>
        <w:ind w:left="5250" w:hanging="5250" w:hangingChars="2500"/>
        <w:jc w:val="left"/>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y2</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s2</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+0.056N</m:t>
            </m:r>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7.2.6</w:t>
      </w:r>
      <w:r>
        <w:rPr>
          <w:rFonts w:hint="eastAsia" w:asciiTheme="minorEastAsia" w:hAnsiTheme="minorEastAsia" w:cstheme="minorEastAsia"/>
          <w:color w:val="000000" w:themeColor="text1"/>
          <w:szCs w:val="21"/>
          <w14:textFill>
            <w14:solidFill>
              <w14:schemeClr w14:val="tx1"/>
            </w14:solidFill>
          </w14:textFill>
        </w:rPr>
        <w:t>-1)</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其中，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1</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1.05</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λ+1.36</m:t>
            </m:r>
            <m:ctrlPr>
              <w:rPr>
                <w:rFonts w:ascii="Cambria Math" w:hAnsiTheme="minorEastAsia"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7.2.6</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 xml:space="preserve">)                          </w:t>
      </w:r>
    </w:p>
    <w:p>
      <w:pPr>
        <w:ind w:right="315" w:firstLine="945" w:firstLineChars="450"/>
        <w:jc w:val="righ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Theme="minorEastAsia" w:cstheme="minorEastAsia"/>
                <w:i/>
                <w:color w:val="000000" w:themeColor="text1"/>
                <w:szCs w:val="21"/>
                <w14:textFill>
                  <w14:solidFill>
                    <w14:schemeClr w14:val="tx1"/>
                  </w14:solidFill>
                </w14:textFill>
              </w:rPr>
            </m:ctrlPr>
          </m:sSubPr>
          <m:e>
            <m:r>
              <w:rPr>
                <w:rFonts w:ascii="Cambria Math" w:hAnsiTheme="minorEastAsia" w:cstheme="minorEastAsia"/>
                <w:color w:val="000000" w:themeColor="text1"/>
                <w:szCs w:val="21"/>
                <w14:textFill>
                  <w14:solidFill>
                    <w14:schemeClr w14:val="tx1"/>
                  </w14:solidFill>
                </w14:textFill>
              </w:rPr>
              <m:t>C</m:t>
            </m:r>
            <m:ctrlPr>
              <w:rPr>
                <w:rFonts w:ascii="Cambria Math" w:hAnsiTheme="minorEastAsia" w:cstheme="minorEastAsia"/>
                <w:i/>
                <w:color w:val="000000" w:themeColor="text1"/>
                <w:szCs w:val="21"/>
                <w14:textFill>
                  <w14:solidFill>
                    <w14:schemeClr w14:val="tx1"/>
                  </w14:solidFill>
                </w14:textFill>
              </w:rPr>
            </m:ctrlPr>
          </m:e>
          <m:sub>
            <m:r>
              <w:rPr>
                <w:rFonts w:ascii="Cambria Math" w:hAnsiTheme="minorEastAsia" w:cstheme="minorEastAsia"/>
                <w:color w:val="000000" w:themeColor="text1"/>
                <w:szCs w:val="21"/>
                <w14:textFill>
                  <w14:solidFill>
                    <w14:schemeClr w14:val="tx1"/>
                  </w14:solidFill>
                </w14:textFill>
              </w:rPr>
              <m:t>2</m:t>
            </m:r>
            <m:ctrlPr>
              <w:rPr>
                <w:rFonts w:ascii="Cambria Math" w:hAnsiTheme="minorEastAsia" w:cstheme="minorEastAsia"/>
                <w:i/>
                <w:color w:val="000000" w:themeColor="text1"/>
                <w:szCs w:val="21"/>
                <w14:textFill>
                  <w14:solidFill>
                    <w14:schemeClr w14:val="tx1"/>
                  </w14:solidFill>
                </w14:textFill>
              </w:rPr>
            </m:ctrlPr>
          </m:sub>
        </m:sSub>
        <m:r>
          <w:rPr>
            <w:rFonts w:ascii="Cambria Math" w:hAnsiTheme="minorEastAsia" w:cstheme="minorEastAsia"/>
            <w:color w:val="000000" w:themeColor="text1"/>
            <w:szCs w:val="21"/>
            <w14:textFill>
              <w14:solidFill>
                <w14:schemeClr w14:val="tx1"/>
              </w14:solidFill>
            </w14:textFill>
          </w:rPr>
          <m:t>=</m:t>
        </m:r>
        <m:f>
          <m:fPr>
            <m:ctrlPr>
              <w:rPr>
                <w:rFonts w:ascii="Cambria Math" w:hAnsiTheme="minorEastAsia" w:cstheme="minorEastAsia"/>
                <w:i/>
                <w:color w:val="000000" w:themeColor="text1"/>
                <w:szCs w:val="21"/>
                <w14:textFill>
                  <w14:solidFill>
                    <w14:schemeClr w14:val="tx1"/>
                  </w14:solidFill>
                </w14:textFill>
              </w:rPr>
            </m:ctrlPr>
          </m:fPr>
          <m:num>
            <m:r>
              <w:rPr>
                <w:rFonts w:ascii="Cambria Math" w:hAnsiTheme="minorEastAsia" w:cstheme="minorEastAsia"/>
                <w:color w:val="000000" w:themeColor="text1"/>
                <w:szCs w:val="21"/>
                <w14:textFill>
                  <w14:solidFill>
                    <w14:schemeClr w14:val="tx1"/>
                  </w14:solidFill>
                </w14:textFill>
              </w:rPr>
              <m:t>0.62</m:t>
            </m:r>
            <m:ctrlPr>
              <w:rPr>
                <w:rFonts w:ascii="Cambria Math" w:hAnsiTheme="minorEastAsia" w:cstheme="minorEastAsia"/>
                <w:i/>
                <w:color w:val="000000" w:themeColor="text1"/>
                <w:szCs w:val="21"/>
                <w14:textFill>
                  <w14:solidFill>
                    <w14:schemeClr w14:val="tx1"/>
                  </w14:solidFill>
                </w14:textFill>
              </w:rPr>
            </m:ctrlPr>
          </m:num>
          <m:den>
            <m:r>
              <w:rPr>
                <w:rFonts w:ascii="Cambria Math" w:hAnsiTheme="minorEastAsia" w:cstheme="minorEastAsia"/>
                <w:color w:val="000000" w:themeColor="text1"/>
                <w:szCs w:val="21"/>
                <w14:textFill>
                  <w14:solidFill>
                    <w14:schemeClr w14:val="tx1"/>
                  </w14:solidFill>
                </w14:textFill>
              </w:rPr>
              <m:t>λ+1</m:t>
            </m:r>
            <m:ctrlPr>
              <w:rPr>
                <w:rFonts w:ascii="Cambria Math" w:hAnsiTheme="minorEastAsia" w:cstheme="minorEastAsia"/>
                <w:i/>
                <w:color w:val="000000" w:themeColor="text1"/>
                <w:szCs w:val="21"/>
                <w14:textFill>
                  <w14:solidFill>
                    <w14:schemeClr w14:val="tx1"/>
                  </w14:solidFill>
                </w14:textFill>
              </w:rPr>
            </m:ctrlPr>
          </m:den>
        </m:f>
        <m:r>
          <w:rPr>
            <w:rFonts w:ascii="Cambria Math" w:hAnsiTheme="minorEastAsia" w:cstheme="minorEastAsia"/>
            <w:color w:val="000000" w:themeColor="text1"/>
            <w:szCs w:val="21"/>
            <w14:textFill>
              <w14:solidFill>
                <w14:schemeClr w14:val="tx1"/>
              </w14:solidFill>
            </w14:textFill>
          </w:rPr>
          <m:t>+0.2</m:t>
        </m:r>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7.2.6</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3</w:t>
      </w:r>
      <w:r>
        <w:rPr>
          <w:rFonts w:hint="eastAsia" w:asciiTheme="minorEastAsia" w:hAnsiTheme="minorEastAsia" w:cstheme="minorEastAsia"/>
          <w:color w:val="000000" w:themeColor="text1"/>
          <w:szCs w:val="21"/>
          <w14:textFill>
            <w14:solidFill>
              <w14:schemeClr w14:val="tx1"/>
            </w14:solidFill>
          </w14:textFill>
        </w:rPr>
        <w:t xml:space="preserve">)      </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p>
    <w:p>
      <w:pPr>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——考虑地震组合的甲壳柱柱端剪力设计值;</w:t>
      </w:r>
    </w:p>
    <w:p>
      <w:pPr>
        <w:ind w:firstLine="420" w:firstLineChars="2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——分别为混凝土的极限抗拉强度和截面面积</w:t>
      </w:r>
    </w:p>
    <w:p>
      <w:pPr>
        <w:ind w:firstLine="420" w:firstLineChars="2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y1</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——分别为波纹侧板和方钢管的屈服强度</w:t>
      </w:r>
    </w:p>
    <w:p>
      <w:pPr>
        <w:ind w:firstLine="420" w:firstLineChars="2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 xml:space="preserve">     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s1</m:t>
            </m:r>
            <m:ctrlPr>
              <w:rPr>
                <w:rFonts w:ascii="Cambria Math" w:hAnsi="Cambria Math" w:cstheme="minorEastAsia"/>
                <w:i/>
                <w:color w:val="000000" w:themeColor="text1"/>
                <w:szCs w:val="21"/>
                <w14:textFill>
                  <w14:solidFill>
                    <w14:schemeClr w14:val="tx1"/>
                  </w14:solidFill>
                </w14:textFill>
              </w:rPr>
            </m:ctrlPr>
          </m:sub>
        </m:sSub>
        <m:r>
          <w:rPr>
            <w:rFonts w:hint="eastAsia"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s2</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——分别为波纹侧板和方钢管的截面面积</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——与剪力设计值相应的轴向压力设计值，当大于</w:t>
      </w:r>
      <m:oMath>
        <m:r>
          <w:rPr>
            <w:rFonts w:ascii="Cambria Math" w:hAnsi="Cambria Math" w:cstheme="minorEastAsia"/>
            <w:color w:val="000000" w:themeColor="text1"/>
            <w:szCs w:val="21"/>
            <w14:textFill>
              <w14:solidFill>
                <w14:schemeClr w14:val="tx1"/>
              </w14:solidFill>
            </w14:textFill>
          </w:rPr>
          <m:t>0.3</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时，取</w:t>
      </w:r>
      <m:oMath>
        <m:r>
          <w:rPr>
            <w:rFonts w:ascii="Cambria Math" w:hAnsi="Cambria Math" w:cstheme="minorEastAsia"/>
            <w:color w:val="000000" w:themeColor="text1"/>
            <w:szCs w:val="21"/>
            <w14:textFill>
              <w14:solidFill>
                <w14:schemeClr w14:val="tx1"/>
              </w14:solidFill>
            </w14:textFill>
          </w:rPr>
          <m:t>0.3</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sc</m:t>
            </m:r>
            <m:ctrlPr>
              <w:rPr>
                <w:rFonts w:ascii="Cambria Math" w:hAnsi="Cambria Math" w:cstheme="minorEastAsia"/>
                <w:i/>
                <w:color w:val="000000" w:themeColor="text1"/>
                <w:szCs w:val="21"/>
                <w14:textFill>
                  <w14:solidFill>
                    <w14:schemeClr w14:val="tx1"/>
                  </w14:solidFill>
                </w14:textFill>
              </w:rPr>
            </m:ctrlPr>
          </m:sub>
        </m:sSub>
      </m:oMath>
    </w:p>
    <w:p>
      <w:pPr>
        <w:ind w:firstLine="420" w:firstLineChars="200"/>
        <w:rPr>
          <w:rFonts w:hint="eastAsia"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——甲壳柱的计算的剪跨比，取为</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M</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Vh</m:t>
            </m:r>
            <m:ctrlPr>
              <w:rPr>
                <w:rFonts w:ascii="Cambria Math" w:hAnsi="Cambria Math" w:cstheme="minorEastAsia"/>
                <w:i/>
                <w:color w:val="000000" w:themeColor="text1"/>
                <w:szCs w:val="21"/>
                <w14:textFill>
                  <w14:solidFill>
                    <w14:schemeClr w14:val="tx1"/>
                  </w14:solidFill>
                </w14:textFill>
              </w:rPr>
            </m:ctrlPr>
          </m:den>
        </m:f>
        <m:r>
          <w:rPr>
            <w:rFonts w:hint="eastAsia" w:ascii="Cambria Math" w:hAnsi="Cambria Math" w:cstheme="minorEastAsia"/>
            <w:color w:val="000000" w:themeColor="text1"/>
            <w:szCs w:val="21"/>
            <w14:textFill>
              <w14:solidFill>
                <w14:schemeClr w14:val="tx1"/>
              </w14:solidFill>
            </w14:textFill>
          </w:rPr>
          <m:t>，</m:t>
        </m:r>
      </m:oMath>
      <w:r>
        <w:rPr>
          <w:rFonts w:hint="eastAsia" w:asciiTheme="minorEastAsia" w:hAnsiTheme="minorEastAsia" w:cstheme="minorEastAsia"/>
          <w:color w:val="000000" w:themeColor="text1"/>
          <w:szCs w:val="21"/>
          <w14:textFill>
            <w14:solidFill>
              <w14:schemeClr w14:val="tx1"/>
            </w14:solidFill>
          </w14:textFill>
        </w:rPr>
        <w:t>对框架结构中的框架柱反弯点在层高范围内时，可取为</w:t>
      </w:r>
      <m:oMath>
        <m:f>
          <m:fPr>
            <m:ctrlPr>
              <w:rPr>
                <w:rFonts w:ascii="Cambria Math" w:hAnsi="Cambria Math" w:cstheme="minorEastAsia"/>
                <w:i/>
                <w:color w:val="000000" w:themeColor="text1"/>
                <w:szCs w:val="21"/>
                <w14:textFill>
                  <w14:solidFill>
                    <w14:schemeClr w14:val="tx1"/>
                  </w14:solidFill>
                </w14:textFill>
              </w:rPr>
            </m:ctrlPr>
          </m:fPr>
          <m:num>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小于1时取1；当</w:t>
      </w:r>
      <m:oMath>
        <m:r>
          <w:rPr>
            <w:rFonts w:hint="eastAsia" w:ascii="Cambria Math" w:hAnsi="Cambria Math" w:cstheme="minorEastAsia"/>
            <w:color w:val="000000" w:themeColor="text1"/>
            <w:szCs w:val="21"/>
            <w14:textFill>
              <w14:solidFill>
                <w14:schemeClr w14:val="tx1"/>
              </w14:solidFill>
            </w14:textFill>
          </w:rPr>
          <m:t>λ</m:t>
        </m:r>
      </m:oMath>
      <w:r>
        <w:rPr>
          <w:rFonts w:hint="eastAsia" w:asciiTheme="minorEastAsia" w:hAnsiTheme="minorEastAsia" w:cstheme="minorEastAsia"/>
          <w:color w:val="000000" w:themeColor="text1"/>
          <w:szCs w:val="21"/>
          <w14:textFill>
            <w14:solidFill>
              <w14:schemeClr w14:val="tx1"/>
            </w14:solidFill>
          </w14:textFill>
        </w:rPr>
        <w:t>大于3时，取3。</w:t>
      </w:r>
    </w:p>
    <w:p>
      <w:pPr>
        <w:ind w:firstLine="420" w:firstLineChars="200"/>
        <w:rPr>
          <w:rFonts w:hint="default"/>
          <w:color w:val="0070C0"/>
          <w:lang w:val="en-US" w:eastAsia="zh-CN"/>
        </w:rPr>
      </w:pPr>
      <w:r>
        <w:rPr>
          <w:rFonts w:hint="eastAsia"/>
          <w:color w:val="0070C0"/>
          <w:lang w:val="en-US" w:eastAsia="zh-CN"/>
        </w:rPr>
        <w:t>条文说明：7.2.6本公式由数值分析及结构试验得来，且较安全。</w:t>
      </w:r>
    </w:p>
    <w:p>
      <w:pPr>
        <w:rPr>
          <w:rFonts w:asciiTheme="minorEastAsia" w:hAnsiTheme="minorEastAsia" w:cstheme="minorEastAsia"/>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7.2.7</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考虑地震组合的</w:t>
      </w:r>
      <w:r>
        <w:rPr>
          <w:rFonts w:hint="eastAsia" w:asciiTheme="minorEastAsia" w:hAnsiTheme="minorEastAsia" w:cstheme="minorEastAsia"/>
          <w:color w:val="000000" w:themeColor="text1"/>
          <w:szCs w:val="21"/>
          <w14:textFill>
            <w14:solidFill>
              <w14:schemeClr w14:val="tx1"/>
            </w14:solidFill>
          </w14:textFill>
        </w:rPr>
        <w:t>甲壳柱，当出现拉力时，斜截面抗剪承载力应符合下列规定：</w:t>
      </w:r>
    </w:p>
    <w:p>
      <w:pPr>
        <w:ind w:left="5250" w:hanging="5250" w:hangingChars="2500"/>
        <w:jc w:val="left"/>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y2</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s2</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r>
              <w:rPr>
                <w:rFonts w:ascii="Cambria Math" w:hAnsi="Cambria Math" w:cstheme="minorEastAsia"/>
                <w:color w:val="000000" w:themeColor="text1"/>
                <w:szCs w:val="21"/>
                <w14:textFill>
                  <w14:solidFill>
                    <w14:schemeClr w14:val="tx1"/>
                  </w14:solidFill>
                </w14:textFill>
              </w:rPr>
              <m:t>-0.2N</m:t>
            </m:r>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7.2.7</w:t>
      </w:r>
      <w:r>
        <w:rPr>
          <w:rFonts w:hint="eastAsia" w:asciiTheme="minorEastAsia" w:hAnsiTheme="minorEastAsia" w:cstheme="minorEastAsia"/>
          <w:color w:val="000000" w:themeColor="text1"/>
          <w:szCs w:val="21"/>
          <w14:textFill>
            <w14:solidFill>
              <w14:schemeClr w14:val="tx1"/>
            </w14:solidFill>
          </w14:textFill>
        </w:rPr>
        <w:t xml:space="preserve">-1)    </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w:p>
    <w:p>
      <w:pPr>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 xml:space="preserve">          N</m:t>
        </m:r>
      </m:oMath>
      <w:r>
        <w:rPr>
          <w:rFonts w:hint="eastAsia" w:asciiTheme="minorEastAsia" w:hAnsiTheme="minorEastAsia" w:cstheme="minorEastAsia"/>
          <w:color w:val="000000" w:themeColor="text1"/>
          <w:szCs w:val="21"/>
          <w14:textFill>
            <w14:solidFill>
              <w14:schemeClr w14:val="tx1"/>
            </w14:solidFill>
          </w14:textFill>
        </w:rPr>
        <w:t>——考虑地震组合的框架柱轴向拉力设计值。</w:t>
      </w:r>
    </w:p>
    <w:p>
      <w:pPr>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当上式右边括号内的计算值小于</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y2</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s2</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时，取等于</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sub>
        </m:sSub>
        <m:d>
          <m:dPr>
            <m:ctrlPr>
              <w:rPr>
                <w:rFonts w:ascii="Cambria Math" w:hAnsi="Cambria Math" w:cstheme="minorEastAsia"/>
                <w:i/>
                <w:color w:val="000000" w:themeColor="text1"/>
                <w:szCs w:val="21"/>
                <w14:textFill>
                  <w14:solidFill>
                    <w14:schemeClr w14:val="tx1"/>
                  </w14:solidFill>
                </w14:textFill>
              </w:rPr>
            </m:ctrlPr>
          </m:dPr>
          <m:e>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y1</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s1</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y2</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s2</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w:t>
      </w:r>
    </w:p>
    <w:p>
      <w:pPr>
        <w:rPr>
          <w:rFonts w:hint="eastAsia" w:asciiTheme="minorEastAsia" w:hAnsiTheme="minorEastAsia" w:cstheme="minorEastAsia"/>
          <w:color w:val="000000" w:themeColor="text1"/>
          <w:szCs w:val="21"/>
          <w14:textFill>
            <w14:solidFill>
              <w14:schemeClr w14:val="tx1"/>
            </w14:solidFill>
          </w14:textFill>
        </w:rPr>
      </w:pPr>
    </w:p>
    <w:p>
      <w:pPr>
        <w:ind w:firstLine="420" w:firstLineChars="200"/>
        <w:rPr>
          <w:rFonts w:hint="eastAsia"/>
          <w:color w:val="0070C0"/>
          <w:lang w:val="en-US" w:eastAsia="zh-CN"/>
        </w:rPr>
      </w:pPr>
      <w:r>
        <w:rPr>
          <w:rFonts w:hint="eastAsia"/>
          <w:color w:val="0070C0"/>
          <w:lang w:val="en-US" w:eastAsia="zh-CN"/>
        </w:rPr>
        <w:t>条文说明：7.2.7本公式参考《混凝土结构设计规范》，并结合甲壳柱的受力特点得来。</w:t>
      </w:r>
    </w:p>
    <w:p>
      <w:pPr>
        <w:rPr>
          <w:rFonts w:hint="default"/>
          <w:color w:val="4F81BD" w:themeColor="accent1"/>
          <w:lang w:val="en-US" w:eastAsia="zh-CN"/>
          <w14:textFill>
            <w14:solidFill>
              <w14:schemeClr w14:val="accent1"/>
            </w14:solidFill>
          </w14:textFill>
        </w:rPr>
      </w:pPr>
    </w:p>
    <w:p>
      <w:pPr>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.2.8</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甲壳柱的剪跨比</w:t>
      </w:r>
      <w:r>
        <w:rPr>
          <w:rFonts w:hint="eastAsia" w:asciiTheme="minorEastAsia" w:hAnsiTheme="minorEastAsia" w:cstheme="minorEastAsia"/>
          <w:color w:val="000000" w:themeColor="text1"/>
          <w:szCs w:val="21"/>
          <w:lang w:val="en-US" w:eastAsia="zh-CN"/>
          <w14:textFill>
            <w14:solidFill>
              <w14:schemeClr w14:val="tx1"/>
            </w14:solidFill>
          </w14:textFill>
        </w:rPr>
        <w:t>不</w:t>
      </w:r>
      <w:r>
        <w:rPr>
          <w:rFonts w:hint="eastAsia" w:asciiTheme="minorEastAsia" w:hAnsiTheme="minorEastAsia" w:cstheme="minorEastAsia"/>
          <w:color w:val="000000" w:themeColor="text1"/>
          <w:szCs w:val="21"/>
          <w14:textFill>
            <w14:solidFill>
              <w14:schemeClr w14:val="tx1"/>
            </w14:solidFill>
          </w14:textFill>
        </w:rPr>
        <w:t>宜</w:t>
      </w:r>
      <w:r>
        <w:rPr>
          <w:rFonts w:hint="eastAsia" w:asciiTheme="minorEastAsia" w:hAnsiTheme="minorEastAsia" w:cstheme="minorEastAsia"/>
          <w:color w:val="000000" w:themeColor="text1"/>
          <w:szCs w:val="21"/>
          <w:lang w:val="en-US" w:eastAsia="zh-CN"/>
          <w14:textFill>
            <w14:solidFill>
              <w14:schemeClr w14:val="tx1"/>
            </w14:solidFill>
          </w14:textFill>
        </w:rPr>
        <w:t>小</w:t>
      </w:r>
      <w:r>
        <w:rPr>
          <w:rFonts w:hint="eastAsia" w:asciiTheme="minorEastAsia" w:hAnsiTheme="minorEastAsia" w:cstheme="minorEastAsia"/>
          <w:color w:val="000000" w:themeColor="text1"/>
          <w:szCs w:val="21"/>
          <w14:textFill>
            <w14:solidFill>
              <w14:schemeClr w14:val="tx1"/>
            </w14:solidFill>
          </w14:textFill>
        </w:rPr>
        <w:t>于</w:t>
      </w:r>
      <w:r>
        <w:rPr>
          <w:rFonts w:hint="eastAsia" w:asciiTheme="minorEastAsia" w:hAnsiTheme="minorEastAsia" w:cstheme="minorEastAsia"/>
          <w:color w:val="000000" w:themeColor="text1"/>
          <w:szCs w:val="21"/>
          <w:lang w:val="en-US" w:eastAsia="zh-CN"/>
          <w14:textFill>
            <w14:solidFill>
              <w14:schemeClr w14:val="tx1"/>
            </w14:solidFill>
          </w14:textFill>
        </w:rPr>
        <w:t>1.5</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且不应小于1.0。</w:t>
      </w:r>
    </w:p>
    <w:p>
      <w:pPr>
        <w:ind w:firstLine="420" w:firstLineChars="200"/>
        <w:rPr>
          <w:rFonts w:hint="eastAsia"/>
          <w:color w:val="0070C0"/>
          <w:lang w:val="en-US" w:eastAsia="zh-CN"/>
        </w:rPr>
      </w:pPr>
      <w:r>
        <w:rPr>
          <w:rFonts w:hint="eastAsia"/>
          <w:color w:val="0070C0"/>
          <w:lang w:val="en-US" w:eastAsia="zh-CN"/>
        </w:rPr>
        <w:t>条文说明：7.2.8试验表明，甲壳柱的剪跨比大于1.0时，基本不会出现减压破坏。</w:t>
      </w: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.2.9</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考虑地震作用组合的甲壳柱的轴压比应按下式计算，且不宜大于表7</w:t>
      </w:r>
      <w:r>
        <w:rPr>
          <w:rFonts w:asciiTheme="minorEastAsia" w:hAnsiTheme="minorEastAsia" w:cstheme="minorEastAsia"/>
          <w:color w:val="000000" w:themeColor="text1"/>
          <w:szCs w:val="21"/>
          <w14:textFill>
            <w14:solidFill>
              <w14:schemeClr w14:val="tx1"/>
            </w14:solidFill>
          </w14:textFill>
        </w:rPr>
        <w:t>.2.9</w:t>
      </w:r>
      <w:r>
        <w:rPr>
          <w:rFonts w:hint="eastAsia" w:asciiTheme="minorEastAsia" w:hAnsiTheme="minorEastAsia" w:cstheme="minorEastAsia"/>
          <w:color w:val="000000" w:themeColor="text1"/>
          <w:szCs w:val="21"/>
          <w14:textFill>
            <w14:solidFill>
              <w14:schemeClr w14:val="tx1"/>
            </w14:solidFill>
          </w14:textFill>
        </w:rPr>
        <w:t>中规定的限值。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μ</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c1</m:t>
                </m:r>
                <m:ctrlPr>
                  <w:rPr>
                    <w:rFonts w:ascii="Cambria Math" w:hAnsi="Cambria Math"/>
                    <w:i/>
                    <w:color w:val="000000" w:themeColor="text1"/>
                    <w:sz w:val="24"/>
                    <w14:textFill>
                      <w14:solidFill>
                        <w14:schemeClr w14:val="tx1"/>
                      </w14:solidFill>
                    </w14:textFill>
                  </w:rPr>
                </m:ctrlPr>
              </m:sub>
            </m:sSub>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f</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c1</m:t>
                </m:r>
                <m:ctrlPr>
                  <w:rPr>
                    <w:rFonts w:ascii="Cambria Math" w:hAnsi="Cambria Math"/>
                    <w:i/>
                    <w:color w:val="000000" w:themeColor="text1"/>
                    <w:sz w:val="24"/>
                    <w14:textFill>
                      <w14:solidFill>
                        <w14:schemeClr w14:val="tx1"/>
                      </w14:solidFill>
                    </w14:textFill>
                  </w:rPr>
                </m:ctrlPr>
              </m:sub>
            </m:sSub>
            <m:r>
              <w:rPr>
                <w:rFonts w:asci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c2</m:t>
                </m:r>
                <m:ctrlPr>
                  <w:rPr>
                    <w:rFonts w:ascii="Cambria Math" w:hAnsi="Cambria Math"/>
                    <w:i/>
                    <w:color w:val="000000" w:themeColor="text1"/>
                    <w:sz w:val="24"/>
                    <w14:textFill>
                      <w14:solidFill>
                        <w14:schemeClr w14:val="tx1"/>
                      </w14:solidFill>
                    </w14:textFill>
                  </w:rPr>
                </m:ctrlPr>
              </m:sub>
            </m:sSub>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f</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c2</m:t>
                </m:r>
                <m:ctrlPr>
                  <w:rPr>
                    <w:rFonts w:ascii="Cambria Math" w:hAnsi="Cambria Math"/>
                    <w:i/>
                    <w:color w:val="000000" w:themeColor="text1"/>
                    <w:sz w:val="24"/>
                    <w14:textFill>
                      <w14:solidFill>
                        <w14:schemeClr w14:val="tx1"/>
                      </w14:solidFill>
                    </w14:textFill>
                  </w:rPr>
                </m:ctrlPr>
              </m:sub>
            </m:sSub>
            <m:r>
              <w:rPr>
                <w:rFonts w:ascii="Cambria Math"/>
                <w:color w:val="000000" w:themeColor="text1"/>
                <w:sz w:val="24"/>
                <w14:textFill>
                  <w14:solidFill>
                    <w14:schemeClr w14:val="tx1"/>
                  </w14:solidFill>
                </w14:textFill>
              </w:rPr>
              <m:t>+</m:t>
            </m:r>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f</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sub>
            </m:sSub>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(7.2.9-1)</w:t>
      </w:r>
    </w:p>
    <w:p>
      <w:pPr>
        <w:ind w:right="480"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其中，波纹侧板腔体内混凝土面积</w:t>
      </w:r>
    </w:p>
    <w:p>
      <w:pPr>
        <w:ind w:firstLine="420" w:firstLineChars="200"/>
        <w:jc w:val="right"/>
        <w:rPr>
          <w:color w:val="000000" w:themeColor="text1"/>
          <w:sz w:val="24"/>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A</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c1</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=b</m:t>
        </m:r>
        <m:r>
          <w:rPr>
            <w:rFonts w:ascii="Cambria Math" w:hAnsi="Cambria Math" w:eastAsia="MS Gothic" w:cs="MS Gothic"/>
            <w:color w:val="000000" w:themeColor="text1"/>
            <w:szCs w:val="21"/>
            <w14:textFill>
              <w14:solidFill>
                <w14:schemeClr w14:val="tx1"/>
              </w14:solidFill>
            </w14:textFill>
          </w:rPr>
          <m:t>h</m:t>
        </m:r>
        <m:r>
          <w:rPr>
            <w:rFonts w:ascii="Cambria Math" w:hAnsi="Cambria Math" w:eastAsia="宋体"/>
            <w:color w:val="000000" w:themeColor="text1"/>
            <w:szCs w:val="21"/>
            <w14:textFill>
              <w14:solidFill>
                <w14:schemeClr w14:val="tx1"/>
              </w14:solidFill>
            </w14:textFill>
          </w:rPr>
          <m:t>-4</m:t>
        </m:r>
        <m:d>
          <m:dPr>
            <m:ctrlPr>
              <w:rPr>
                <w:rFonts w:ascii="Cambria Math" w:hAnsi="Cambria Math" w:eastAsia="宋体"/>
                <w:i/>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+2</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d>
          <m:dPr>
            <m:ctrlPr>
              <w:rPr>
                <w:rFonts w:ascii="Cambria Math" w:hAnsi="Cambria Math" w:eastAsia="宋体"/>
                <w:i/>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+2</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oMath>
      <w:r>
        <w:rPr>
          <w:rFonts w:hint="eastAsia"/>
          <w:color w:val="000000" w:themeColor="text1"/>
          <w:sz w:val="24"/>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(7.2.9-2)</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方钢管内混凝土面积</w:t>
      </w:r>
    </w:p>
    <w:p>
      <w:pPr>
        <w:ind w:firstLine="480" w:firstLineChars="200"/>
        <w:jc w:val="right"/>
        <w:rPr>
          <w:color w:val="000000" w:themeColor="text1"/>
          <w:sz w:val="24"/>
          <w14:textFill>
            <w14:solidFill>
              <w14:schemeClr w14:val="tx1"/>
            </w14:solidFill>
          </w14:textFill>
        </w:rPr>
      </w:pPr>
      <m:oMath>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A</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c2</m:t>
            </m:r>
            <m:ctrlPr>
              <w:rPr>
                <w:rFonts w:ascii="Cambria Math" w:hAnsi="Cambria Math"/>
                <w:i/>
                <w:color w:val="000000" w:themeColor="text1"/>
                <w:sz w:val="24"/>
                <w14:textFill>
                  <w14:solidFill>
                    <w14:schemeClr w14:val="tx1"/>
                  </w14:solidFill>
                </w14:textFill>
              </w:rPr>
            </m:ctrlPr>
          </m:sub>
        </m:sSub>
        <m:r>
          <w:rPr>
            <w:rFonts w:ascii="Cambria Math"/>
            <w:color w:val="000000" w:themeColor="text1"/>
            <w:sz w:val="24"/>
            <w14:textFill>
              <w14:solidFill>
                <w14:schemeClr w14:val="tx1"/>
              </w14:solidFill>
            </w14:textFill>
          </w:rPr>
          <m:t>=4</m:t>
        </m:r>
        <m:sSub>
          <m:sSubPr>
            <m:ctrlPr>
              <w:rPr>
                <w:rFonts w:ascii="Cambria Math" w:hAnsi="Cambria Math"/>
                <w:i/>
                <w:color w:val="000000" w:themeColor="text1"/>
                <w:sz w:val="24"/>
                <w14:textFill>
                  <w14:solidFill>
                    <w14:schemeClr w14:val="tx1"/>
                  </w14:solidFill>
                </w14:textFill>
              </w:rPr>
            </m:ctrlPr>
          </m:sSubPr>
          <m:e>
            <m:r>
              <w:rPr>
                <w:rFonts w:ascii="Cambria Math"/>
                <w:color w:val="000000" w:themeColor="text1"/>
                <w:sz w:val="24"/>
                <w14:textFill>
                  <w14:solidFill>
                    <w14:schemeClr w14:val="tx1"/>
                  </w14:solidFill>
                </w14:textFill>
              </w:rPr>
              <m:t>b</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t</m:t>
            </m:r>
            <m:ctrlPr>
              <w:rPr>
                <w:rFonts w:ascii="Cambria Math" w:hAnsi="Cambria Math"/>
                <w:i/>
                <w:color w:val="000000" w:themeColor="text1"/>
                <w:sz w:val="24"/>
                <w14:textFill>
                  <w14:solidFill>
                    <w14:schemeClr w14:val="tx1"/>
                  </w14:solidFill>
                </w14:textFill>
              </w:rPr>
            </m:ctrlPr>
          </m:sub>
        </m:sSub>
        <m:sSub>
          <m:sSubPr>
            <m:ctrlPr>
              <w:rPr>
                <w:rFonts w:ascii="Cambria Math" w:hAnsi="Cambria Math"/>
                <w:i/>
                <w:color w:val="000000" w:themeColor="text1"/>
                <w:sz w:val="24"/>
                <w14:textFill>
                  <w14:solidFill>
                    <w14:schemeClr w14:val="tx1"/>
                  </w14:solidFill>
                </w14:textFill>
              </w:rPr>
            </m:ctrlPr>
          </m:sSubPr>
          <m:e>
            <m:r>
              <w:rPr>
                <w:rFonts w:ascii="Cambria Math" w:hAnsi="Cambria Math" w:eastAsia="MS Gothic" w:cs="MS Gothic"/>
                <w:color w:val="000000" w:themeColor="text1"/>
                <w:sz w:val="24"/>
                <w14:textFill>
                  <w14:solidFill>
                    <w14:schemeClr w14:val="tx1"/>
                  </w14:solidFill>
                </w14:textFill>
              </w:rPr>
              <m:t>h</m:t>
            </m:r>
            <m:ctrlPr>
              <w:rPr>
                <w:rFonts w:ascii="Cambria Math" w:hAnsi="Cambria Math"/>
                <w:i/>
                <w:color w:val="000000" w:themeColor="text1"/>
                <w:sz w:val="24"/>
                <w14:textFill>
                  <w14:solidFill>
                    <w14:schemeClr w14:val="tx1"/>
                  </w14:solidFill>
                </w14:textFill>
              </w:rPr>
            </m:ctrlPr>
          </m:e>
          <m:sub>
            <m:r>
              <w:rPr>
                <w:rFonts w:ascii="Cambria Math"/>
                <w:color w:val="000000" w:themeColor="text1"/>
                <w:sz w:val="24"/>
                <w14:textFill>
                  <w14:solidFill>
                    <w14:schemeClr w14:val="tx1"/>
                  </w14:solidFill>
                </w14:textFill>
              </w:rPr>
              <m:t>t</m:t>
            </m:r>
            <m:ctrlPr>
              <w:rPr>
                <w:rFonts w:ascii="Cambria Math" w:hAnsi="Cambria Math"/>
                <w:i/>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(7.2.9-3)</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钢管面积</w:t>
      </w:r>
    </w:p>
    <w:p>
      <w:pPr>
        <w:ind w:firstLine="420" w:firstLineChars="200"/>
        <w:jc w:val="right"/>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a</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=8</m:t>
        </m:r>
        <m:d>
          <m:dPr>
            <m:ctrlPr>
              <w:rPr>
                <w:rFonts w:ascii="Cambria Math" w:hAnsi="Cambria Math"/>
                <w:i/>
                <w:color w:val="000000" w:themeColor="text1"/>
                <w:szCs w:val="21"/>
                <w14:textFill>
                  <w14:solidFill>
                    <w14:schemeClr w14:val="tx1"/>
                  </w14:solidFill>
                </w14:textFill>
              </w:rPr>
            </m:ctrlPr>
          </m:dPr>
          <m:e>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b</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m:t>
            </m:r>
            <m:sSub>
              <m:sSubPr>
                <m:ctrlPr>
                  <w:rPr>
                    <w:rFonts w:ascii="Cambria Math" w:hAnsi="Cambria Math"/>
                    <w:iCs/>
                    <w:color w:val="000000" w:themeColor="text1"/>
                    <w:szCs w:val="21"/>
                    <w14:textFill>
                      <w14:solidFill>
                        <w14:schemeClr w14:val="tx1"/>
                      </w14:solidFill>
                    </w14:textFill>
                  </w:rPr>
                </m:ctrlPr>
              </m:sSubPr>
              <m:e>
                <m:r>
                  <w:rPr>
                    <w:rFonts w:ascii="Cambria Math" w:hAnsi="Cambria Math"/>
                    <w:color w:val="000000" w:themeColor="text1"/>
                    <w:szCs w:val="21"/>
                    <w14:textFill>
                      <w14:solidFill>
                        <w14:schemeClr w14:val="tx1"/>
                      </w14:solidFill>
                    </w14:textFill>
                  </w:rPr>
                  <m:t>h</m:t>
                </m:r>
                <m:ctrlPr>
                  <w:rPr>
                    <w:rFonts w:ascii="Cambria Math" w:hAnsi="Cambria Math"/>
                    <w:iCs/>
                    <w:color w:val="000000" w:themeColor="text1"/>
                    <w:szCs w:val="21"/>
                    <w14:textFill>
                      <w14:solidFill>
                        <w14:schemeClr w14:val="tx1"/>
                      </w14:solidFill>
                    </w14:textFill>
                  </w:rPr>
                </m:ctrlPr>
              </m:e>
              <m:sub>
                <m:r>
                  <m:rPr>
                    <m:sty m:val="p"/>
                  </m:rPr>
                  <w:rPr>
                    <w:rFonts w:ascii="Cambria Math"/>
                    <w:color w:val="000000" w:themeColor="text1"/>
                    <w:szCs w:val="21"/>
                    <w14:textFill>
                      <w14:solidFill>
                        <w14:schemeClr w14:val="tx1"/>
                      </w14:solidFill>
                    </w14:textFill>
                  </w:rPr>
                  <m:t>t</m:t>
                </m:r>
                <m:ctrlPr>
                  <w:rPr>
                    <w:rFonts w:ascii="Cambria Math" w:hAnsi="Cambria Math"/>
                    <w:iCs/>
                    <w:color w:val="000000" w:themeColor="text1"/>
                    <w:szCs w:val="21"/>
                    <w14:textFill>
                      <w14:solidFill>
                        <w14:schemeClr w14:val="tx1"/>
                      </w14:solidFill>
                    </w14:textFill>
                  </w:rPr>
                </m:ctrlPr>
              </m:sub>
            </m:sSub>
            <m:r>
              <w:rPr>
                <w:rFonts w:ascii="Cambria Math"/>
                <w:color w:val="000000" w:themeColor="text1"/>
                <w:szCs w:val="21"/>
                <w14:textFill>
                  <w14:solidFill>
                    <w14:schemeClr w14:val="tx1"/>
                  </w14:solidFill>
                </w14:textFill>
              </w:rPr>
              <m:t>+2</m:t>
            </m:r>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ctrlPr>
              <w:rPr>
                <w:rFonts w:ascii="Cambria Math" w:hAnsi="Cambria Math"/>
                <w:i/>
                <w:color w:val="000000" w:themeColor="text1"/>
                <w:szCs w:val="21"/>
                <w14:textFill>
                  <w14:solidFill>
                    <w14:schemeClr w14:val="tx1"/>
                  </w14:solidFill>
                </w14:textFill>
              </w:rPr>
            </m:ctrlPr>
          </m:e>
        </m:d>
        <m:sSub>
          <m:sSubPr>
            <m:ctrlPr>
              <w:rPr>
                <w:rFonts w:ascii="Cambria Math" w:hAnsi="Cambria Math"/>
                <w:i/>
                <w:color w:val="000000" w:themeColor="text1"/>
                <w:szCs w:val="21"/>
                <w14:textFill>
                  <w14:solidFill>
                    <w14:schemeClr w14:val="tx1"/>
                  </w14:solidFill>
                </w14:textFill>
              </w:rPr>
            </m:ctrlPr>
          </m:sSubPr>
          <m:e>
            <m:r>
              <w:rPr>
                <w:rFonts w:ascii="Cambria Math"/>
                <w:color w:val="000000" w:themeColor="text1"/>
                <w:szCs w:val="21"/>
                <w14:textFill>
                  <w14:solidFill>
                    <w14:schemeClr w14:val="tx1"/>
                  </w14:solidFill>
                </w14:textFill>
              </w:rPr>
              <m:t>t</m:t>
            </m:r>
            <m:ctrlPr>
              <w:rPr>
                <w:rFonts w:ascii="Cambria Math" w:hAnsi="Cambria Math"/>
                <w:i/>
                <w:color w:val="000000" w:themeColor="text1"/>
                <w:szCs w:val="21"/>
                <w14:textFill>
                  <w14:solidFill>
                    <w14:schemeClr w14:val="tx1"/>
                  </w14:solidFill>
                </w14:textFill>
              </w:rPr>
            </m:ctrlPr>
          </m:e>
          <m:sub>
            <m:r>
              <w:rPr>
                <w:rFonts w:asci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rFonts w:hint="eastAsia"/>
          <w:color w:val="000000" w:themeColor="text1"/>
          <w:sz w:val="24"/>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(7.4.9-4)</w:t>
      </w:r>
    </w:p>
    <w:p>
      <w:pPr>
        <w:ind w:right="84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μ</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N</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——柱轴压比；</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——考虑地震作用组合的柱轴向压力设计值；</w:t>
      </w:r>
    </w:p>
    <w:p>
      <w:pPr>
        <w:ind w:firstLine="1800" w:firstLineChars="10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表</w:t>
      </w:r>
      <w:r>
        <w:rPr>
          <w:rFonts w:hint="eastAsia" w:asciiTheme="minorEastAsia" w:hAnsiTheme="minorEastAsia" w:cstheme="minorEastAsia"/>
          <w:color w:val="000000" w:themeColor="text1"/>
          <w:sz w:val="18"/>
          <w:szCs w:val="18"/>
          <w14:textFill>
            <w14:solidFill>
              <w14:schemeClr w14:val="tx1"/>
            </w14:solidFill>
          </w14:textFill>
        </w:rPr>
        <w:t>7</w:t>
      </w:r>
      <w:r>
        <w:rPr>
          <w:rFonts w:asciiTheme="minorEastAsia" w:hAnsiTheme="minorEastAsia" w:cstheme="minorEastAsia"/>
          <w:color w:val="000000" w:themeColor="text1"/>
          <w:sz w:val="18"/>
          <w:szCs w:val="18"/>
          <w14:textFill>
            <w14:solidFill>
              <w14:schemeClr w14:val="tx1"/>
            </w14:solidFill>
          </w14:textFill>
        </w:rPr>
        <w:t xml:space="preserve">.2.9  </w:t>
      </w:r>
      <w:r>
        <w:rPr>
          <w:rFonts w:hint="eastAsia" w:asciiTheme="minorEastAsia" w:hAnsiTheme="minorEastAsia" w:cstheme="minorEastAsia"/>
          <w:color w:val="000000" w:themeColor="text1"/>
          <w:sz w:val="18"/>
          <w:szCs w:val="18"/>
          <w14:textFill>
            <w14:solidFill>
              <w14:schemeClr w14:val="tx1"/>
            </w14:solidFill>
          </w14:textFill>
        </w:rPr>
        <w:t>甲壳柱轴压比限值</w:t>
      </w:r>
    </w:p>
    <w:tbl>
      <w:tblPr>
        <w:tblStyle w:val="23"/>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gridSpan w:val="3"/>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抗震等级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一级</w:t>
            </w:r>
          </w:p>
        </w:tc>
        <w:tc>
          <w:tcPr>
            <w:tcW w:w="1276"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二级</w:t>
            </w:r>
          </w:p>
        </w:tc>
        <w:tc>
          <w:tcPr>
            <w:tcW w:w="1417"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三级、四级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.70</w:t>
            </w:r>
          </w:p>
        </w:tc>
        <w:tc>
          <w:tcPr>
            <w:tcW w:w="1276"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.80</w:t>
            </w:r>
          </w:p>
        </w:tc>
        <w:tc>
          <w:tcPr>
            <w:tcW w:w="1417" w:type="dxa"/>
          </w:tcPr>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0</w:t>
            </w:r>
            <w:r>
              <w:rPr>
                <w:rFonts w:asciiTheme="minorEastAsia" w:hAnsiTheme="minorEastAsia" w:cstheme="minorEastAsia"/>
                <w:color w:val="000000" w:themeColor="text1"/>
                <w:sz w:val="18"/>
                <w:szCs w:val="18"/>
                <w14:textFill>
                  <w14:solidFill>
                    <w14:schemeClr w14:val="tx1"/>
                  </w14:solidFill>
                </w14:textFill>
              </w:rPr>
              <w:t>.90</w:t>
            </w:r>
          </w:p>
        </w:tc>
      </w:tr>
    </w:tbl>
    <w:p>
      <w:pPr>
        <w:ind w:firstLine="300" w:firstLineChars="2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注：1</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剪跨比不大于2的柱，轴压比限值应比表中数值减小0</w:t>
      </w:r>
      <w:r>
        <w:rPr>
          <w:rFonts w:asciiTheme="minorEastAsia" w:hAnsiTheme="minorEastAsia" w:cstheme="minorEastAsia"/>
          <w:color w:val="000000" w:themeColor="text1"/>
          <w:sz w:val="15"/>
          <w:szCs w:val="15"/>
          <w14:textFill>
            <w14:solidFill>
              <w14:schemeClr w14:val="tx1"/>
            </w14:solidFill>
          </w14:textFill>
        </w:rPr>
        <w:t>.05</w:t>
      </w:r>
      <w:r>
        <w:rPr>
          <w:rFonts w:hint="eastAsia" w:asciiTheme="minorEastAsia" w:hAnsiTheme="minorEastAsia" w:cstheme="minorEastAsia"/>
          <w:color w:val="000000" w:themeColor="text1"/>
          <w:sz w:val="15"/>
          <w:szCs w:val="15"/>
          <w14:textFill>
            <w14:solidFill>
              <w14:schemeClr w14:val="tx1"/>
            </w14:solidFill>
          </w14:textFill>
        </w:rPr>
        <w:t>；</w:t>
      </w:r>
    </w:p>
    <w:p>
      <w:pPr>
        <w:ind w:firstLine="600" w:firstLineChars="400"/>
        <w:rPr>
          <w:rFonts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2</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当混凝土强度采用C</w:t>
      </w:r>
      <w:r>
        <w:rPr>
          <w:rFonts w:asciiTheme="minorEastAsia" w:hAnsiTheme="minorEastAsia" w:cstheme="minorEastAsia"/>
          <w:color w:val="000000" w:themeColor="text1"/>
          <w:sz w:val="15"/>
          <w:szCs w:val="15"/>
          <w14:textFill>
            <w14:solidFill>
              <w14:schemeClr w14:val="tx1"/>
            </w14:solidFill>
          </w14:textFill>
        </w:rPr>
        <w:t>65~C70</w:t>
      </w:r>
      <w:r>
        <w:rPr>
          <w:rFonts w:hint="eastAsia" w:asciiTheme="minorEastAsia" w:hAnsiTheme="minorEastAsia" w:cstheme="minorEastAsia"/>
          <w:color w:val="000000" w:themeColor="text1"/>
          <w:sz w:val="15"/>
          <w:szCs w:val="15"/>
          <w14:textFill>
            <w14:solidFill>
              <w14:schemeClr w14:val="tx1"/>
            </w14:solidFill>
          </w14:textFill>
        </w:rPr>
        <w:t>时，轴压比限值应比表中数值减小0</w:t>
      </w:r>
      <w:r>
        <w:rPr>
          <w:rFonts w:asciiTheme="minorEastAsia" w:hAnsiTheme="minorEastAsia" w:cstheme="minorEastAsia"/>
          <w:color w:val="000000" w:themeColor="text1"/>
          <w:sz w:val="15"/>
          <w:szCs w:val="15"/>
          <w14:textFill>
            <w14:solidFill>
              <w14:schemeClr w14:val="tx1"/>
            </w14:solidFill>
          </w14:textFill>
        </w:rPr>
        <w:t>.05</w:t>
      </w:r>
      <w:r>
        <w:rPr>
          <w:rFonts w:hint="eastAsia" w:asciiTheme="minorEastAsia" w:hAnsiTheme="minorEastAsia" w:cstheme="minorEastAsia"/>
          <w:color w:val="000000" w:themeColor="text1"/>
          <w:sz w:val="15"/>
          <w:szCs w:val="15"/>
          <w14:textFill>
            <w14:solidFill>
              <w14:schemeClr w14:val="tx1"/>
            </w14:solidFill>
          </w14:textFill>
        </w:rPr>
        <w:t>；</w:t>
      </w:r>
    </w:p>
    <w:p>
      <w:pPr>
        <w:ind w:firstLine="300" w:firstLineChars="200"/>
        <w:rPr>
          <w:rFonts w:asciiTheme="minorEastAsia" w:hAnsiTheme="minorEastAsia" w:cstheme="minorEastAsia"/>
          <w:color w:val="000000" w:themeColor="text1"/>
          <w:sz w:val="15"/>
          <w:szCs w:val="15"/>
          <w14:textFill>
            <w14:solidFill>
              <w14:schemeClr w14:val="tx1"/>
            </w14:solidFill>
          </w14:textFill>
        </w:rPr>
      </w:pP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当混凝土强度采用C</w:t>
      </w:r>
      <w:r>
        <w:rPr>
          <w:rFonts w:asciiTheme="minorEastAsia" w:hAnsiTheme="minorEastAsia" w:cstheme="minorEastAsia"/>
          <w:color w:val="000000" w:themeColor="text1"/>
          <w:sz w:val="15"/>
          <w:szCs w:val="15"/>
          <w14:textFill>
            <w14:solidFill>
              <w14:schemeClr w14:val="tx1"/>
            </w14:solidFill>
          </w14:textFill>
        </w:rPr>
        <w:t>75~C80</w:t>
      </w:r>
      <w:r>
        <w:rPr>
          <w:rFonts w:hint="eastAsia" w:asciiTheme="minorEastAsia" w:hAnsiTheme="minorEastAsia" w:cstheme="minorEastAsia"/>
          <w:color w:val="000000" w:themeColor="text1"/>
          <w:sz w:val="15"/>
          <w:szCs w:val="15"/>
          <w14:textFill>
            <w14:solidFill>
              <w14:schemeClr w14:val="tx1"/>
            </w14:solidFill>
          </w14:textFill>
        </w:rPr>
        <w:t>时，轴压比限值应比表中数值减小0</w:t>
      </w:r>
      <w:r>
        <w:rPr>
          <w:rFonts w:asciiTheme="minorEastAsia" w:hAnsiTheme="minorEastAsia" w:cstheme="minorEastAsia"/>
          <w:color w:val="000000" w:themeColor="text1"/>
          <w:sz w:val="15"/>
          <w:szCs w:val="15"/>
          <w14:textFill>
            <w14:solidFill>
              <w14:schemeClr w14:val="tx1"/>
            </w14:solidFill>
          </w14:textFill>
        </w:rPr>
        <w:t>.10</w:t>
      </w:r>
      <w:r>
        <w:rPr>
          <w:rFonts w:hint="eastAsia" w:asciiTheme="minorEastAsia" w:hAnsiTheme="minorEastAsia" w:cstheme="minorEastAsia"/>
          <w:color w:val="000000" w:themeColor="text1"/>
          <w:sz w:val="15"/>
          <w:szCs w:val="15"/>
          <w14:textFill>
            <w14:solidFill>
              <w14:schemeClr w14:val="tx1"/>
            </w14:solidFill>
          </w14:textFill>
        </w:rPr>
        <w:t>；</w:t>
      </w:r>
    </w:p>
    <w:p>
      <w:pPr>
        <w:ind w:firstLine="600" w:firstLineChars="400"/>
        <w:rPr>
          <w:rFonts w:hint="eastAsia" w:asciiTheme="minorEastAsia" w:hAnsiTheme="minorEastAsia" w:cstheme="minorEastAsia"/>
          <w:color w:val="000000" w:themeColor="text1"/>
          <w:sz w:val="15"/>
          <w:szCs w:val="15"/>
          <w14:textFill>
            <w14:solidFill>
              <w14:schemeClr w14:val="tx1"/>
            </w14:solidFill>
          </w14:textFill>
        </w:rPr>
      </w:pPr>
      <w:r>
        <w:rPr>
          <w:rFonts w:hint="eastAsia" w:asciiTheme="minorEastAsia" w:hAnsiTheme="minorEastAsia" w:cstheme="minorEastAsia"/>
          <w:color w:val="000000" w:themeColor="text1"/>
          <w:sz w:val="15"/>
          <w:szCs w:val="15"/>
          <w14:textFill>
            <w14:solidFill>
              <w14:schemeClr w14:val="tx1"/>
            </w14:solidFill>
          </w14:textFill>
        </w:rPr>
        <w:t>3</w:t>
      </w:r>
      <w:r>
        <w:rPr>
          <w:rFonts w:asciiTheme="minorEastAsia" w:hAnsiTheme="minorEastAsia" w:cstheme="minorEastAsia"/>
          <w:color w:val="000000" w:themeColor="text1"/>
          <w:sz w:val="15"/>
          <w:szCs w:val="15"/>
          <w14:textFill>
            <w14:solidFill>
              <w14:schemeClr w14:val="tx1"/>
            </w14:solidFill>
          </w14:textFill>
        </w:rPr>
        <w:t xml:space="preserve"> </w:t>
      </w:r>
      <w:r>
        <w:rPr>
          <w:rFonts w:hint="eastAsia" w:asciiTheme="minorEastAsia" w:hAnsiTheme="minorEastAsia" w:cstheme="minorEastAsia"/>
          <w:color w:val="000000" w:themeColor="text1"/>
          <w:sz w:val="15"/>
          <w:szCs w:val="15"/>
          <w14:textFill>
            <w14:solidFill>
              <w14:schemeClr w14:val="tx1"/>
            </w14:solidFill>
          </w14:textFill>
        </w:rPr>
        <w:t>对Ⅳ类场地上建筑高度大于6</w:t>
      </w:r>
      <w:r>
        <w:rPr>
          <w:rFonts w:asciiTheme="minorEastAsia" w:hAnsiTheme="minorEastAsia" w:cstheme="minorEastAsia"/>
          <w:color w:val="000000" w:themeColor="text1"/>
          <w:sz w:val="15"/>
          <w:szCs w:val="15"/>
          <w14:textFill>
            <w14:solidFill>
              <w14:schemeClr w14:val="tx1"/>
            </w14:solidFill>
          </w14:textFill>
        </w:rPr>
        <w:t>0</w:t>
      </w:r>
      <w:r>
        <w:rPr>
          <w:rFonts w:hint="eastAsia" w:asciiTheme="minorEastAsia" w:hAnsiTheme="minorEastAsia" w:cstheme="minorEastAsia"/>
          <w:color w:val="000000" w:themeColor="text1"/>
          <w:sz w:val="15"/>
          <w:szCs w:val="15"/>
          <w14:textFill>
            <w14:solidFill>
              <w14:schemeClr w14:val="tx1"/>
            </w14:solidFill>
          </w14:textFill>
        </w:rPr>
        <w:t>米的高层建筑，轴压比限值宜比表中数值减小0</w:t>
      </w:r>
      <w:r>
        <w:rPr>
          <w:rFonts w:asciiTheme="minorEastAsia" w:hAnsiTheme="minorEastAsia" w:cstheme="minorEastAsia"/>
          <w:color w:val="000000" w:themeColor="text1"/>
          <w:sz w:val="15"/>
          <w:szCs w:val="15"/>
          <w14:textFill>
            <w14:solidFill>
              <w14:schemeClr w14:val="tx1"/>
            </w14:solidFill>
          </w14:textFill>
        </w:rPr>
        <w:t>.05</w:t>
      </w:r>
      <w:r>
        <w:rPr>
          <w:rFonts w:hint="eastAsia" w:asciiTheme="minorEastAsia" w:hAnsiTheme="minorEastAsia" w:cstheme="minorEastAsia"/>
          <w:color w:val="000000" w:themeColor="text1"/>
          <w:sz w:val="15"/>
          <w:szCs w:val="15"/>
          <w14:textFill>
            <w14:solidFill>
              <w14:schemeClr w14:val="tx1"/>
            </w14:solidFill>
          </w14:textFill>
        </w:rPr>
        <w:t>。</w:t>
      </w:r>
    </w:p>
    <w:p>
      <w:pPr>
        <w:ind w:firstLine="420" w:firstLineChars="200"/>
        <w:rPr>
          <w:rFonts w:hint="default" w:asciiTheme="minorEastAsia" w:hAnsiTheme="minorEastAsia" w:cstheme="minorEastAsia"/>
          <w:color w:val="000000" w:themeColor="text1"/>
          <w:sz w:val="15"/>
          <w:szCs w:val="15"/>
          <w:lang w:val="en-US"/>
          <w14:textFill>
            <w14:solidFill>
              <w14:schemeClr w14:val="tx1"/>
            </w14:solidFill>
          </w14:textFill>
        </w:rPr>
      </w:pPr>
      <w:r>
        <w:rPr>
          <w:rFonts w:hint="eastAsia"/>
          <w:color w:val="0070C0"/>
          <w:lang w:val="en-US" w:eastAsia="zh-CN"/>
        </w:rPr>
        <w:t>条文说明：7.2.9甲壳柱的轴压比限值按《钢管混凝土结构技术规范》的规定取值。</w:t>
      </w:r>
    </w:p>
    <w:p>
      <w:pPr>
        <w:jc w:val="center"/>
        <w:rPr>
          <w:color w:val="000000" w:themeColor="text1"/>
          <w14:textFill>
            <w14:solidFill>
              <w14:schemeClr w14:val="tx1"/>
            </w14:solidFill>
          </w14:textFill>
        </w:rPr>
      </w:pPr>
    </w:p>
    <w:bookmarkEnd w:id="73"/>
    <w:p>
      <w:pPr>
        <w:jc w:val="center"/>
        <w:outlineLvl w:val="1"/>
        <w:rPr>
          <w:rFonts w:ascii="黑体" w:hAnsi="黑体" w:eastAsia="黑体" w:cstheme="minorEastAsia"/>
          <w:color w:val="000000" w:themeColor="text1"/>
          <w:szCs w:val="21"/>
          <w14:textFill>
            <w14:solidFill>
              <w14:schemeClr w14:val="tx1"/>
            </w14:solidFill>
          </w14:textFill>
        </w:rPr>
      </w:pPr>
      <w:bookmarkStart w:id="77" w:name="_Toc28706896"/>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.3 </w:t>
      </w:r>
      <w:r>
        <w:rPr>
          <w:rFonts w:hint="eastAsia" w:ascii="黑体" w:hAnsi="黑体" w:eastAsia="黑体" w:cstheme="minorEastAsia"/>
          <w:color w:val="000000" w:themeColor="text1"/>
          <w:szCs w:val="21"/>
          <w14:textFill>
            <w14:solidFill>
              <w14:schemeClr w14:val="tx1"/>
            </w14:solidFill>
          </w14:textFill>
        </w:rPr>
        <w:t>柱脚节点设计及构造</w:t>
      </w:r>
      <w:bookmarkEnd w:id="77"/>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7</w:t>
      </w:r>
      <w:r>
        <w:rPr>
          <w:rFonts w:ascii="黑体" w:hAnsi="黑体" w:eastAsia="黑体"/>
          <w:color w:val="000000" w:themeColor="text1"/>
          <w:szCs w:val="21"/>
          <w14:textFill>
            <w14:solidFill>
              <w14:schemeClr w14:val="tx1"/>
            </w14:solidFill>
          </w14:textFill>
        </w:rPr>
        <w:t>.3.1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外包柱脚</w:t>
      </w:r>
    </w:p>
    <w:p>
      <w:pPr>
        <w:ind w:firstLine="420" w:firstLineChars="200"/>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highlight w:val="none"/>
          <w14:textFill>
            <w14:solidFill>
              <w14:schemeClr w14:val="tx1"/>
            </w14:solidFill>
          </w14:textFill>
        </w:rPr>
        <w:t>外包柱脚由甲壳柱和外包混凝土组成，位于混凝土基础顶面以上，外包混凝土的高度</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应</w:t>
      </w:r>
      <w:r>
        <w:rPr>
          <w:rFonts w:hint="eastAsia" w:asciiTheme="minorEastAsia" w:hAnsiTheme="minorEastAsia" w:cstheme="minorEastAsia"/>
          <w:color w:val="000000" w:themeColor="text1"/>
          <w:szCs w:val="21"/>
          <w:highlight w:val="none"/>
          <w14:textFill>
            <w14:solidFill>
              <w14:schemeClr w14:val="tx1"/>
            </w14:solidFill>
          </w14:textFill>
        </w:rPr>
        <w:t>通过计算确定</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且</w:t>
      </w:r>
      <w:r>
        <w:rPr>
          <w:rFonts w:hint="eastAsia" w:asciiTheme="minorEastAsia" w:hAnsiTheme="minorEastAsia" w:cstheme="minorEastAsia"/>
          <w:color w:val="000000" w:themeColor="text1"/>
          <w:szCs w:val="21"/>
          <w:highlight w:val="none"/>
          <w14:textFill>
            <w14:solidFill>
              <w14:schemeClr w14:val="tx1"/>
            </w14:solidFill>
          </w14:textFill>
        </w:rPr>
        <w:t>不</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应</w:t>
      </w:r>
      <w:r>
        <w:rPr>
          <w:rFonts w:hint="eastAsia" w:asciiTheme="minorEastAsia" w:hAnsiTheme="minorEastAsia" w:cstheme="minorEastAsia"/>
          <w:color w:val="000000" w:themeColor="text1"/>
          <w:szCs w:val="21"/>
          <w:highlight w:val="none"/>
          <w14:textFill>
            <w14:solidFill>
              <w14:schemeClr w14:val="tx1"/>
            </w14:solidFill>
          </w14:textFill>
        </w:rPr>
        <w:t>小于甲壳柱截面高度</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与3倍钢管截面高度的较大值</w:t>
      </w:r>
      <w:r>
        <w:rPr>
          <w:rFonts w:hint="eastAsia" w:asciiTheme="minorEastAsia" w:hAnsiTheme="minorEastAsia" w:cstheme="minorEastAsia"/>
          <w:color w:val="000000" w:themeColor="text1"/>
          <w:szCs w:val="21"/>
          <w:highlight w:val="none"/>
          <w14:textFill>
            <w14:solidFill>
              <w14:schemeClr w14:val="tx1"/>
            </w14:solidFill>
          </w14:textFill>
        </w:rPr>
        <w:t>。外包混凝土厚度不</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宜</w:t>
      </w:r>
      <w:r>
        <w:rPr>
          <w:rFonts w:hint="eastAsia" w:asciiTheme="minorEastAsia" w:hAnsiTheme="minorEastAsia" w:cstheme="minorEastAsia"/>
          <w:color w:val="000000" w:themeColor="text1"/>
          <w:szCs w:val="21"/>
          <w:highlight w:val="none"/>
          <w14:textFill>
            <w14:solidFill>
              <w14:schemeClr w14:val="tx1"/>
            </w14:solidFill>
          </w14:textFill>
        </w:rPr>
        <w:t>小于2</w:t>
      </w:r>
      <w:r>
        <w:rPr>
          <w:rFonts w:asciiTheme="minorEastAsia" w:hAnsiTheme="minorEastAsia" w:cstheme="minorEastAsia"/>
          <w:color w:val="000000" w:themeColor="text1"/>
          <w:szCs w:val="21"/>
          <w:highlight w:val="none"/>
          <w14:textFill>
            <w14:solidFill>
              <w14:schemeClr w14:val="tx1"/>
            </w14:solidFill>
          </w14:textFill>
        </w:rPr>
        <w:t>00mm</w:t>
      </w:r>
      <w:r>
        <w:rPr>
          <w:rFonts w:hint="eastAsia" w:asciiTheme="minorEastAsia" w:hAnsiTheme="minorEastAsia" w:cstheme="minorEastAsia"/>
          <w:color w:val="000000" w:themeColor="text1"/>
          <w:szCs w:val="21"/>
          <w:highlight w:val="none"/>
          <w14:textFill>
            <w14:solidFill>
              <w14:schemeClr w14:val="tx1"/>
            </w14:solidFill>
          </w14:textFill>
        </w:rPr>
        <w:t>，混凝土强度不</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应</w:t>
      </w:r>
      <w:r>
        <w:rPr>
          <w:rFonts w:hint="eastAsia" w:asciiTheme="minorEastAsia" w:hAnsiTheme="minorEastAsia" w:cstheme="minorEastAsia"/>
          <w:color w:val="000000" w:themeColor="text1"/>
          <w:szCs w:val="21"/>
          <w:highlight w:val="none"/>
          <w14:textFill>
            <w14:solidFill>
              <w14:schemeClr w14:val="tx1"/>
            </w14:solidFill>
          </w14:textFill>
        </w:rPr>
        <w:t>低于C</w:t>
      </w:r>
      <w:r>
        <w:rPr>
          <w:rFonts w:asciiTheme="minorEastAsia" w:hAnsiTheme="minorEastAsia" w:cstheme="minorEastAsia"/>
          <w:color w:val="000000" w:themeColor="text1"/>
          <w:szCs w:val="21"/>
          <w:highlight w:val="none"/>
          <w14:textFill>
            <w14:solidFill>
              <w14:schemeClr w14:val="tx1"/>
            </w14:solidFill>
          </w14:textFill>
        </w:rPr>
        <w:t>30</w:t>
      </w:r>
      <w:r>
        <w:rPr>
          <w:rFonts w:hint="eastAsia" w:asciiTheme="minorEastAsia" w:hAnsiTheme="minorEastAsia" w:cstheme="minorEastAsia"/>
          <w:color w:val="000000" w:themeColor="text1"/>
          <w:szCs w:val="21"/>
          <w:highlight w:val="none"/>
          <w14:textFill>
            <w14:solidFill>
              <w14:schemeClr w14:val="tx1"/>
            </w14:solidFill>
          </w14:textFill>
        </w:rPr>
        <w:t>。外包层内纵向钢筋在基础内的锚固长度（</w:t>
      </w:r>
      <m:oMath>
        <m:sSub>
          <m:sSubPr>
            <m:ctrlPr>
              <w:rPr>
                <w:rFonts w:ascii="Cambria Math" w:hAnsi="Cambria Math" w:cstheme="minorEastAsia"/>
                <w:i/>
                <w:color w:val="000000" w:themeColor="text1"/>
                <w:szCs w:val="21"/>
                <w:highlight w:val="none"/>
                <w14:textFill>
                  <w14:solidFill>
                    <w14:schemeClr w14:val="tx1"/>
                  </w14:solidFill>
                </w14:textFill>
              </w:rPr>
            </m:ctrlPr>
          </m:sSubPr>
          <m:e>
            <m:r>
              <w:rPr>
                <w:rFonts w:ascii="Cambria Math" w:hAnsi="Cambria Math" w:cstheme="minorEastAsia"/>
                <w:color w:val="000000" w:themeColor="text1"/>
                <w:szCs w:val="21"/>
                <w:highlight w:val="none"/>
                <w14:textFill>
                  <w14:solidFill>
                    <w14:schemeClr w14:val="tx1"/>
                  </w14:solidFill>
                </w14:textFill>
              </w:rPr>
              <m:t>l</m:t>
            </m:r>
            <m:ctrlPr>
              <w:rPr>
                <w:rFonts w:ascii="Cambria Math" w:hAnsi="Cambria Math" w:cstheme="minorEastAsia"/>
                <w:i/>
                <w:color w:val="000000" w:themeColor="text1"/>
                <w:szCs w:val="21"/>
                <w:highlight w:val="none"/>
                <w14:textFill>
                  <w14:solidFill>
                    <w14:schemeClr w14:val="tx1"/>
                  </w14:solidFill>
                </w14:textFill>
              </w:rPr>
            </m:ctrlPr>
          </m:e>
          <m:sub>
            <m:r>
              <w:rPr>
                <w:rFonts w:ascii="Cambria Math" w:hAnsi="Cambria Math" w:cstheme="minorEastAsia"/>
                <w:color w:val="000000" w:themeColor="text1"/>
                <w:szCs w:val="21"/>
                <w:highlight w:val="none"/>
                <w14:textFill>
                  <w14:solidFill>
                    <w14:schemeClr w14:val="tx1"/>
                  </w14:solidFill>
                </w14:textFill>
              </w:rPr>
              <m:t>a</m:t>
            </m:r>
            <m:ctrlPr>
              <w:rPr>
                <w:rFonts w:ascii="Cambria Math" w:hAnsi="Cambria Math" w:cstheme="minorEastAsia"/>
                <w:i/>
                <w:color w:val="000000" w:themeColor="text1"/>
                <w:szCs w:val="21"/>
                <w:highlight w:val="none"/>
                <w14:textFill>
                  <w14:solidFill>
                    <w14:schemeClr w14:val="tx1"/>
                  </w14:solidFill>
                </w14:textFill>
              </w:rPr>
            </m:ctrlPr>
          </m:sub>
        </m:sSub>
      </m:oMath>
      <w:r>
        <w:rPr>
          <w:rFonts w:hint="eastAsia" w:asciiTheme="minorEastAsia" w:hAnsiTheme="minorEastAsia" w:cstheme="minorEastAsia"/>
          <w:color w:val="000000" w:themeColor="text1"/>
          <w:szCs w:val="21"/>
          <w:highlight w:val="none"/>
          <w14:textFill>
            <w14:solidFill>
              <w14:schemeClr w14:val="tx1"/>
            </w14:solidFill>
          </w14:textFill>
        </w:rPr>
        <w:t>、</w:t>
      </w:r>
      <m:oMath>
        <m:sSub>
          <m:sSubPr>
            <m:ctrlPr>
              <w:rPr>
                <w:rFonts w:ascii="Cambria Math" w:hAnsi="Cambria Math" w:cstheme="minorEastAsia"/>
                <w:i/>
                <w:color w:val="000000" w:themeColor="text1"/>
                <w:szCs w:val="21"/>
                <w:highlight w:val="none"/>
                <w14:textFill>
                  <w14:solidFill>
                    <w14:schemeClr w14:val="tx1"/>
                  </w14:solidFill>
                </w14:textFill>
              </w:rPr>
            </m:ctrlPr>
          </m:sSubPr>
          <m:e>
            <m:r>
              <w:rPr>
                <w:rFonts w:ascii="Cambria Math" w:hAnsi="Cambria Math" w:cstheme="minorEastAsia"/>
                <w:color w:val="000000" w:themeColor="text1"/>
                <w:szCs w:val="21"/>
                <w:highlight w:val="none"/>
                <w14:textFill>
                  <w14:solidFill>
                    <w14:schemeClr w14:val="tx1"/>
                  </w14:solidFill>
                </w14:textFill>
              </w:rPr>
              <m:t>l</m:t>
            </m:r>
            <m:ctrlPr>
              <w:rPr>
                <w:rFonts w:ascii="Cambria Math" w:hAnsi="Cambria Math" w:cstheme="minorEastAsia"/>
                <w:i/>
                <w:color w:val="000000" w:themeColor="text1"/>
                <w:szCs w:val="21"/>
                <w:highlight w:val="none"/>
                <w14:textFill>
                  <w14:solidFill>
                    <w14:schemeClr w14:val="tx1"/>
                  </w14:solidFill>
                </w14:textFill>
              </w:rPr>
            </m:ctrlPr>
          </m:e>
          <m:sub>
            <m:r>
              <w:rPr>
                <w:rFonts w:ascii="Cambria Math" w:hAnsi="Cambria Math" w:cstheme="minorEastAsia"/>
                <w:color w:val="000000" w:themeColor="text1"/>
                <w:szCs w:val="21"/>
                <w:highlight w:val="none"/>
                <w14:textFill>
                  <w14:solidFill>
                    <w14:schemeClr w14:val="tx1"/>
                  </w14:solidFill>
                </w14:textFill>
              </w:rPr>
              <m:t>aE</m:t>
            </m:r>
            <m:ctrlPr>
              <w:rPr>
                <w:rFonts w:ascii="Cambria Math" w:hAnsi="Cambria Math" w:cstheme="minorEastAsia"/>
                <w:i/>
                <w:color w:val="000000" w:themeColor="text1"/>
                <w:szCs w:val="21"/>
                <w:highlight w:val="none"/>
                <w14:textFill>
                  <w14:solidFill>
                    <w14:schemeClr w14:val="tx1"/>
                  </w14:solidFill>
                </w14:textFill>
              </w:rPr>
            </m:ctrlPr>
          </m:sub>
        </m:sSub>
      </m:oMath>
      <w:r>
        <w:rPr>
          <w:rFonts w:hint="eastAsia" w:asciiTheme="minorEastAsia" w:hAnsiTheme="minorEastAsia" w:cstheme="minorEastAsia"/>
          <w:color w:val="000000" w:themeColor="text1"/>
          <w:szCs w:val="21"/>
          <w:highlight w:val="none"/>
          <w14:textFill>
            <w14:solidFill>
              <w14:schemeClr w14:val="tx1"/>
            </w14:solidFill>
          </w14:textFill>
        </w:rPr>
        <w:t>）应根据现行国家标准《混凝土结构设计规范》G</w:t>
      </w:r>
      <w:r>
        <w:rPr>
          <w:rFonts w:asciiTheme="minorEastAsia" w:hAnsiTheme="minorEastAsia" w:cstheme="minorEastAsia"/>
          <w:color w:val="000000" w:themeColor="text1"/>
          <w:szCs w:val="21"/>
          <w:highlight w:val="none"/>
          <w14:textFill>
            <w14:solidFill>
              <w14:schemeClr w14:val="tx1"/>
            </w14:solidFill>
          </w14:textFill>
        </w:rPr>
        <w:t>B50010</w:t>
      </w:r>
      <w:r>
        <w:rPr>
          <w:rFonts w:hint="eastAsia" w:asciiTheme="minorEastAsia" w:hAnsiTheme="minorEastAsia" w:cstheme="minorEastAsia"/>
          <w:color w:val="000000" w:themeColor="text1"/>
          <w:szCs w:val="21"/>
          <w:highlight w:val="none"/>
          <w14:textFill>
            <w14:solidFill>
              <w14:schemeClr w14:val="tx1"/>
            </w14:solidFill>
          </w14:textFill>
        </w:rPr>
        <w:t>的有关规定确定，且四角主筋下</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部</w:t>
      </w:r>
      <w:r>
        <w:rPr>
          <w:rFonts w:hint="eastAsia" w:asciiTheme="minorEastAsia" w:hAnsiTheme="minorEastAsia" w:cstheme="minorEastAsia"/>
          <w:color w:val="000000" w:themeColor="text1"/>
          <w:szCs w:val="21"/>
          <w:highlight w:val="none"/>
          <w14:textFill>
            <w14:solidFill>
              <w14:schemeClr w14:val="tx1"/>
            </w14:solidFill>
          </w14:textFill>
        </w:rPr>
        <w:t>应</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设</w:t>
      </w:r>
      <w:r>
        <w:rPr>
          <w:rFonts w:hint="eastAsia" w:asciiTheme="minorEastAsia" w:hAnsiTheme="minorEastAsia" w:cstheme="minorEastAsia"/>
          <w:color w:val="000000" w:themeColor="text1"/>
          <w:szCs w:val="21"/>
          <w:highlight w:val="none"/>
          <w14:textFill>
            <w14:solidFill>
              <w14:schemeClr w14:val="tx1"/>
            </w14:solidFill>
          </w14:textFill>
        </w:rPr>
        <w:t>弯钩</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w:t>
      </w:r>
      <w:r>
        <w:rPr>
          <w:rFonts w:hint="eastAsia" w:asciiTheme="minorEastAsia" w:hAnsiTheme="minorEastAsia" w:cstheme="minorEastAsia"/>
          <w:color w:val="000000" w:themeColor="text1"/>
          <w:szCs w:val="21"/>
          <w:highlight w:val="none"/>
          <w14:textFill>
            <w14:solidFill>
              <w14:schemeClr w14:val="tx1"/>
            </w14:solidFill>
          </w14:textFill>
        </w:rPr>
        <w:t>四角主筋</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上部宜设置钢筋锚固板</w:t>
      </w:r>
      <w:r>
        <w:rPr>
          <w:rFonts w:hint="eastAsia" w:asciiTheme="minorEastAsia" w:hAnsiTheme="minorEastAsia" w:cstheme="minorEastAsia"/>
          <w:color w:val="000000" w:themeColor="text1"/>
          <w:szCs w:val="21"/>
          <w:highlight w:val="none"/>
          <w14:textFill>
            <w14:solidFill>
              <w14:schemeClr w14:val="tx1"/>
            </w14:solidFill>
          </w14:textFill>
        </w:rPr>
        <w:t>，</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也可以设置弯钩，</w:t>
      </w:r>
      <w:r>
        <w:rPr>
          <w:rFonts w:hint="eastAsia" w:asciiTheme="minorEastAsia" w:hAnsiTheme="minorEastAsia" w:cstheme="minorEastAsia"/>
          <w:color w:val="000000" w:themeColor="text1"/>
          <w:szCs w:val="21"/>
          <w:highlight w:val="none"/>
          <w14:textFill>
            <w14:solidFill>
              <w14:schemeClr w14:val="tx1"/>
            </w14:solidFill>
          </w14:textFill>
        </w:rPr>
        <w:t>弯钩的</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水平</w:t>
      </w:r>
      <w:r>
        <w:rPr>
          <w:rFonts w:hint="eastAsia" w:asciiTheme="minorEastAsia" w:hAnsiTheme="minorEastAsia" w:cstheme="minorEastAsia"/>
          <w:color w:val="000000" w:themeColor="text1"/>
          <w:szCs w:val="21"/>
          <w:highlight w:val="none"/>
          <w14:textFill>
            <w14:solidFill>
              <w14:schemeClr w14:val="tx1"/>
            </w14:solidFill>
          </w14:textFill>
        </w:rPr>
        <w:t>投影长度不应小于1</w:t>
      </w:r>
      <w:r>
        <w:rPr>
          <w:rFonts w:asciiTheme="minorEastAsia" w:hAnsiTheme="minorEastAsia" w:cstheme="minorEastAsia"/>
          <w:color w:val="000000" w:themeColor="text1"/>
          <w:szCs w:val="21"/>
          <w:highlight w:val="none"/>
          <w14:textFill>
            <w14:solidFill>
              <w14:schemeClr w14:val="tx1"/>
            </w14:solidFill>
          </w14:textFill>
        </w:rPr>
        <w:t>5</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 xml:space="preserve"> 倍钢筋直径</w:t>
      </w:r>
      <w:r>
        <w:rPr>
          <w:rFonts w:hint="eastAsia" w:ascii="Cambria Math" w:hAnsi="Cambria Math" w:cstheme="minorEastAsia"/>
          <w:i w:val="0"/>
          <w:color w:val="000000" w:themeColor="text1"/>
          <w:szCs w:val="21"/>
          <w:highlight w:val="none"/>
          <w:lang w:eastAsia="zh-CN"/>
          <w14:textFill>
            <w14:solidFill>
              <w14:schemeClr w14:val="tx1"/>
            </w14:solidFill>
          </w14:textFill>
        </w:rPr>
        <w:t>，</w:t>
      </w:r>
      <w:r>
        <w:rPr>
          <w:rFonts w:hint="eastAsia" w:ascii="Cambria Math" w:hAnsi="Cambria Math" w:cstheme="minorEastAsia"/>
          <w:i w:val="0"/>
          <w:color w:val="000000" w:themeColor="text1"/>
          <w:szCs w:val="21"/>
          <w:highlight w:val="none"/>
          <w:lang w:val="en-US" w:eastAsia="zh-CN"/>
          <w14:textFill>
            <w14:solidFill>
              <w14:schemeClr w14:val="tx1"/>
            </w14:solidFill>
          </w14:textFill>
        </w:rPr>
        <w:t>钢筋锚固板的选取及构造应按现行行业标准《钢筋锚固板应用技术规程》JGJ 256执行</w:t>
      </w:r>
      <w:r>
        <w:rPr>
          <w:rFonts w:hint="eastAsia" w:asciiTheme="minorEastAsia" w:hAnsiTheme="minorEastAsia" w:cstheme="minorEastAsia"/>
          <w:color w:val="000000" w:themeColor="text1"/>
          <w:szCs w:val="21"/>
          <w:highlight w:val="none"/>
          <w14:textFill>
            <w14:solidFill>
              <w14:schemeClr w14:val="tx1"/>
            </w14:solidFill>
          </w14:textFill>
        </w:rPr>
        <w:t>。</w:t>
      </w:r>
      <w:r>
        <w:rPr>
          <w:rFonts w:asciiTheme="minorEastAsia" w:hAnsiTheme="minorEastAsia" w:cstheme="minorEastAsia"/>
          <w:color w:val="000000" w:themeColor="text1"/>
          <w:szCs w:val="21"/>
          <w:highlight w:val="none"/>
          <w14:textFill>
            <w14:solidFill>
              <w14:schemeClr w14:val="tx1"/>
            </w14:solidFill>
          </w14:textFill>
        </w:rPr>
        <w:t xml:space="preserve"> </w:t>
      </w:r>
      <w:r>
        <w:rPr>
          <w:rFonts w:hint="eastAsia" w:asciiTheme="minorEastAsia" w:hAnsiTheme="minorEastAsia" w:cstheme="minorEastAsia"/>
          <w:color w:val="000000" w:themeColor="text1"/>
          <w:szCs w:val="21"/>
          <w:highlight w:val="none"/>
          <w14:textFill>
            <w14:solidFill>
              <w14:schemeClr w14:val="tx1"/>
            </w14:solidFill>
          </w14:textFill>
        </w:rPr>
        <w:t>外包层中应配置箍筋，箍筋的直径、间距和配筋率应符合现行国家标准《混凝土结构设计规范》G</w:t>
      </w:r>
      <w:r>
        <w:rPr>
          <w:rFonts w:asciiTheme="minorEastAsia" w:hAnsiTheme="minorEastAsia" w:cstheme="minorEastAsia"/>
          <w:color w:val="000000" w:themeColor="text1"/>
          <w:szCs w:val="21"/>
          <w:highlight w:val="none"/>
          <w14:textFill>
            <w14:solidFill>
              <w14:schemeClr w14:val="tx1"/>
            </w14:solidFill>
          </w14:textFill>
        </w:rPr>
        <w:t>B50010</w:t>
      </w:r>
      <w:r>
        <w:rPr>
          <w:rFonts w:hint="eastAsia" w:asciiTheme="minorEastAsia" w:hAnsiTheme="minorEastAsia" w:cstheme="minorEastAsia"/>
          <w:color w:val="000000" w:themeColor="text1"/>
          <w:szCs w:val="21"/>
          <w:highlight w:val="none"/>
          <w14:textFill>
            <w14:solidFill>
              <w14:schemeClr w14:val="tx1"/>
            </w14:solidFill>
          </w14:textFill>
        </w:rPr>
        <w:t>中钢筋混凝土柱的要求；外包层顶部箍筋应加密且不少于3道，其间距不应大于5</w:t>
      </w:r>
      <w:r>
        <w:rPr>
          <w:rFonts w:asciiTheme="minorEastAsia" w:hAnsiTheme="minorEastAsia" w:cstheme="minorEastAsia"/>
          <w:color w:val="000000" w:themeColor="text1"/>
          <w:szCs w:val="21"/>
          <w:highlight w:val="none"/>
          <w14:textFill>
            <w14:solidFill>
              <w14:schemeClr w14:val="tx1"/>
            </w14:solidFill>
          </w14:textFill>
        </w:rPr>
        <w:t>0mm</w:t>
      </w:r>
      <w:r>
        <w:rPr>
          <w:rFonts w:hint="eastAsia" w:asciiTheme="minorEastAsia" w:hAnsiTheme="minorEastAsia" w:cstheme="minorEastAsia"/>
          <w:color w:val="000000" w:themeColor="text1"/>
          <w:szCs w:val="21"/>
          <w:highlight w:val="none"/>
          <w14:textFill>
            <w14:solidFill>
              <w14:schemeClr w14:val="tx1"/>
            </w14:solidFill>
          </w14:textFill>
        </w:rPr>
        <w:t>。外包部分甲壳柱</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的钢管</w:t>
      </w:r>
      <w:r>
        <w:rPr>
          <w:rFonts w:hint="eastAsia" w:asciiTheme="minorEastAsia" w:hAnsiTheme="minorEastAsia" w:cstheme="minorEastAsia"/>
          <w:color w:val="000000" w:themeColor="text1"/>
          <w:szCs w:val="21"/>
          <w:highlight w:val="none"/>
          <w14:textFill>
            <w14:solidFill>
              <w14:schemeClr w14:val="tx1"/>
            </w14:solidFill>
          </w14:textFill>
        </w:rPr>
        <w:t>表面应设置栓钉，栓钉直径宜用1</w:t>
      </w:r>
      <w:r>
        <w:rPr>
          <w:rFonts w:asciiTheme="minorEastAsia" w:hAnsiTheme="minorEastAsia" w:cstheme="minorEastAsia"/>
          <w:color w:val="000000" w:themeColor="text1"/>
          <w:szCs w:val="21"/>
          <w:highlight w:val="none"/>
          <w14:textFill>
            <w14:solidFill>
              <w14:schemeClr w14:val="tx1"/>
            </w14:solidFill>
          </w14:textFill>
        </w:rPr>
        <w:t>9mm</w:t>
      </w:r>
      <w:r>
        <w:rPr>
          <w:rFonts w:hint="eastAsia" w:asciiTheme="minorEastAsia" w:hAnsiTheme="minorEastAsia" w:cstheme="minorEastAsia"/>
          <w:color w:val="000000" w:themeColor="text1"/>
          <w:szCs w:val="21"/>
          <w:highlight w:val="none"/>
          <w14:textFill>
            <w14:solidFill>
              <w14:schemeClr w14:val="tx1"/>
            </w14:solidFill>
          </w14:textFill>
        </w:rPr>
        <w:t>，间距不大于2</w:t>
      </w:r>
      <w:r>
        <w:rPr>
          <w:rFonts w:asciiTheme="minorEastAsia" w:hAnsiTheme="minorEastAsia" w:cstheme="minorEastAsia"/>
          <w:color w:val="000000" w:themeColor="text1"/>
          <w:szCs w:val="21"/>
          <w:highlight w:val="none"/>
          <w14:textFill>
            <w14:solidFill>
              <w14:schemeClr w14:val="tx1"/>
            </w14:solidFill>
          </w14:textFill>
        </w:rPr>
        <w:t>50mm</w:t>
      </w:r>
      <w:r>
        <w:rPr>
          <w:rFonts w:hint="eastAsia" w:asciiTheme="minorEastAsia" w:hAnsiTheme="minorEastAsia" w:cstheme="minorEastAsia"/>
          <w:color w:val="000000" w:themeColor="text1"/>
          <w:szCs w:val="21"/>
          <w:highlight w:val="none"/>
          <w14:textFill>
            <w14:solidFill>
              <w14:schemeClr w14:val="tx1"/>
            </w14:solidFill>
          </w14:textFill>
        </w:rPr>
        <w:t>。柱脚底板</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宜做成“回”型，厚度不宜小于20mm，每边宜宽出钢管50mm，并</w:t>
      </w:r>
      <w:r>
        <w:rPr>
          <w:rFonts w:hint="eastAsia" w:asciiTheme="minorEastAsia" w:hAnsiTheme="minorEastAsia" w:cstheme="minorEastAsia"/>
          <w:color w:val="000000" w:themeColor="text1"/>
          <w:szCs w:val="21"/>
          <w:highlight w:val="none"/>
          <w14:textFill>
            <w14:solidFill>
              <w14:schemeClr w14:val="tx1"/>
            </w14:solidFill>
          </w14:textFill>
        </w:rPr>
        <w:t>设置定位锚栓与基础连接。甲壳柱埋入部分的顶部箍筋处，应设置水平角钢，若埋深较大时中间增设角钢，角钢间距不大于5</w:t>
      </w:r>
      <w:r>
        <w:rPr>
          <w:rFonts w:asciiTheme="minorEastAsia" w:hAnsiTheme="minorEastAsia" w:cstheme="minorEastAsia"/>
          <w:color w:val="000000" w:themeColor="text1"/>
          <w:szCs w:val="21"/>
          <w:highlight w:val="none"/>
          <w14:textFill>
            <w14:solidFill>
              <w14:schemeClr w14:val="tx1"/>
            </w14:solidFill>
          </w14:textFill>
        </w:rPr>
        <w:t>00mm</w:t>
      </w:r>
      <w:r>
        <w:rPr>
          <w:rFonts w:hint="eastAsia" w:asciiTheme="minorEastAsia" w:hAnsiTheme="minorEastAsia" w:cstheme="minorEastAsia"/>
          <w:color w:val="000000" w:themeColor="text1"/>
          <w:szCs w:val="21"/>
          <w:highlight w:val="none"/>
          <w14:textFill>
            <w14:solidFill>
              <w14:schemeClr w14:val="tx1"/>
            </w14:solidFill>
          </w14:textFill>
        </w:rPr>
        <w:t>。</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甲壳柱在外包柱脚上方宜设置清杂孔，清杂孔宜采用平钢板封孔，封孔钢板的宽厚比不宜大于</w:t>
      </w:r>
      <w:r>
        <w:rPr>
          <w:rFonts w:hint="eastAsia" w:asciiTheme="minorEastAsia" w:hAnsiTheme="minorEastAsia" w:cstheme="minorEastAsia"/>
          <w:color w:val="000000" w:themeColor="text1"/>
          <w:szCs w:val="21"/>
          <w:highlight w:val="none"/>
          <w14:textFill>
            <w14:solidFill>
              <w14:schemeClr w14:val="tx1"/>
            </w14:solidFill>
          </w14:textFill>
        </w:rPr>
        <w:t>6</w:t>
      </w:r>
      <w:r>
        <w:rPr>
          <w:rFonts w:asciiTheme="minorEastAsia" w:hAnsiTheme="minorEastAsia" w:cstheme="minorEastAsia"/>
          <w:color w:val="000000" w:themeColor="text1"/>
          <w:szCs w:val="21"/>
          <w:highlight w:val="none"/>
          <w14:textFill>
            <w14:solidFill>
              <w14:schemeClr w14:val="tx1"/>
            </w14:solidFill>
          </w14:textFill>
        </w:rPr>
        <w:t>0</w:t>
      </w:r>
      <w:r>
        <w:rPr>
          <w:rFonts w:asciiTheme="majorHAnsi" w:hAnsiTheme="majorHAnsi" w:cstheme="minorEastAsia"/>
          <w:color w:val="000000" w:themeColor="text1"/>
          <w:sz w:val="24"/>
          <w:szCs w:val="24"/>
          <w:highlight w:val="none"/>
          <w14:textFill>
            <w14:solidFill>
              <w14:schemeClr w14:val="tx1"/>
            </w14:solidFill>
          </w14:textFill>
        </w:rPr>
        <w:t>ε</w:t>
      </w:r>
      <w:r>
        <w:rPr>
          <w:rFonts w:asciiTheme="majorHAnsi" w:hAnsiTheme="majorHAnsi" w:cstheme="minorEastAsia"/>
          <w:color w:val="000000" w:themeColor="text1"/>
          <w:sz w:val="11"/>
          <w:szCs w:val="11"/>
          <w:highlight w:val="none"/>
          <w14:textFill>
            <w14:solidFill>
              <w14:schemeClr w14:val="tx1"/>
            </w14:solidFill>
          </w14:textFill>
        </w:rPr>
        <w:t>k</w:t>
      </w:r>
      <w:r>
        <w:rPr>
          <w:rFonts w:hint="eastAsia" w:asciiTheme="majorHAnsi" w:hAnsiTheme="majorHAnsi" w:cstheme="minorEastAsia"/>
          <w:color w:val="000000" w:themeColor="text1"/>
          <w:sz w:val="11"/>
          <w:szCs w:val="11"/>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且板厚不宜小于6mm，封孔钢板宜与钢管侧壁、封边板及角钢均采用角焊缝围焊。</w:t>
      </w:r>
    </w:p>
    <w:p>
      <w:pPr>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8416" behindDoc="0" locked="0" layoutInCell="1" allowOverlap="1">
            <wp:simplePos x="0" y="0"/>
            <wp:positionH relativeFrom="margin">
              <wp:posOffset>2238375</wp:posOffset>
            </wp:positionH>
            <wp:positionV relativeFrom="paragraph">
              <wp:posOffset>686435</wp:posOffset>
            </wp:positionV>
            <wp:extent cx="1724025" cy="160401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l="34817" t="40691" r="51264" b="29553"/>
                    <a:stretch>
                      <a:fillRect/>
                    </a:stretch>
                  </pic:blipFill>
                  <pic:spPr>
                    <a:xfrm>
                      <a:off x="0" y="0"/>
                      <a:ext cx="1724025" cy="1604023"/>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2526665" cy="256857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l="26546" t="15105" r="45630" b="19934"/>
                    <a:stretch>
                      <a:fillRect/>
                    </a:stretch>
                  </pic:blipFill>
                  <pic:spPr>
                    <a:xfrm>
                      <a:off x="0" y="0"/>
                      <a:ext cx="2527160" cy="2569104"/>
                    </a:xfrm>
                    <a:prstGeom prst="rect">
                      <a:avLst/>
                    </a:prstGeom>
                    <a:noFill/>
                    <a:ln>
                      <a:noFill/>
                    </a:ln>
                  </pic:spPr>
                </pic:pic>
              </a:graphicData>
            </a:graphic>
          </wp:inline>
        </w:drawing>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图7.3.1</w:t>
      </w:r>
      <w:r>
        <w:rPr>
          <w:rFonts w:hint="eastAsia" w:ascii="黑体" w:hAnsi="黑体" w:eastAsia="黑体" w:cstheme="minorEastAsia"/>
          <w:color w:val="000000" w:themeColor="text1"/>
          <w:sz w:val="18"/>
          <w:szCs w:val="18"/>
          <w14:textFill>
            <w14:solidFill>
              <w14:schemeClr w14:val="tx1"/>
            </w14:solidFill>
          </w14:textFill>
        </w:rPr>
        <w:t>外包式柱脚构造示意</w:t>
      </w:r>
      <w:r>
        <w:rPr>
          <w:rFonts w:ascii="黑体" w:hAnsi="黑体" w:eastAsia="黑体" w:cstheme="minorEastAsia"/>
          <w:color w:val="000000" w:themeColor="text1"/>
          <w:sz w:val="18"/>
          <w:szCs w:val="18"/>
          <w14:textFill>
            <w14:solidFill>
              <w14:schemeClr w14:val="tx1"/>
            </w14:solidFill>
          </w14:textFill>
        </w:rPr>
        <w:t>图</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外包柱脚计算</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柱脚弯矩由外包层混凝土短柱承担，柱脚的受弯承载力</w:t>
      </w:r>
      <w:r>
        <w:rPr>
          <w:rFonts w:hint="eastAsia" w:asciiTheme="minorEastAsia" w:hAnsiTheme="minorEastAsia" w:cstheme="minorEastAsia"/>
          <w:color w:val="000000" w:themeColor="text1"/>
          <w:szCs w:val="21"/>
          <w:lang w:val="en-US" w:eastAsia="zh-CN"/>
          <w14:textFill>
            <w14:solidFill>
              <w14:schemeClr w14:val="tx1"/>
            </w14:solidFill>
          </w14:textFill>
        </w:rPr>
        <w:t>可</w:t>
      </w:r>
      <w:r>
        <w:rPr>
          <w:rFonts w:hint="eastAsia" w:asciiTheme="minorEastAsia" w:hAnsiTheme="minorEastAsia" w:cstheme="minorEastAsia"/>
          <w:color w:val="000000" w:themeColor="text1"/>
          <w:szCs w:val="21"/>
          <w14:textFill>
            <w14:solidFill>
              <w14:schemeClr w14:val="tx1"/>
            </w14:solidFill>
          </w14:textFill>
        </w:rPr>
        <w:t>按下式验算：</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cstheme="minorEastAsia"/>
            <w:color w:val="000000" w:themeColor="text1"/>
            <w:szCs w:val="21"/>
            <w14:textFill>
              <w14:solidFill>
                <w14:schemeClr w14:val="tx1"/>
              </w14:solidFill>
            </w14:textFill>
          </w:rPr>
          <m:t>M≤0.9</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m:t>
            </m:r>
            <m:ctrlPr>
              <w:rPr>
                <w:rFonts w:ascii="Cambria Math" w:hAnsi="Cambria Math" w:cstheme="minorEastAsia"/>
                <w:i/>
                <w:color w:val="000000" w:themeColor="text1"/>
                <w:szCs w:val="21"/>
                <w14:textFill>
                  <w14:solidFill>
                    <w14:schemeClr w14:val="tx1"/>
                  </w14:solidFill>
                </w14:textFill>
              </w:rPr>
            </m:ctrlPr>
          </m:sub>
        </m:sSub>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(7.3.1-1)</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stheme="minorEastAsia"/>
            <w:color w:val="000000" w:themeColor="text1"/>
            <w:szCs w:val="21"/>
            <w14:textFill>
              <w14:solidFill>
                <w14:schemeClr w14:val="tx1"/>
              </w14:solidFill>
            </w14:textFill>
          </w:rPr>
          <m:t>M</m:t>
        </m:r>
      </m:oMath>
      <w:r>
        <w:rPr>
          <w:rFonts w:hint="eastAsia" w:asciiTheme="minorEastAsia" w:hAnsiTheme="minorEastAsia" w:cstheme="minorEastAsia"/>
          <w:color w:val="000000" w:themeColor="text1"/>
          <w:szCs w:val="21"/>
          <w14:textFill>
            <w14:solidFill>
              <w14:schemeClr w14:val="tx1"/>
            </w14:solidFill>
          </w14:textFill>
        </w:rPr>
        <w:t>——柱脚弯矩设计值，一、二、三、四级抗震等级的甲壳柱柱下端组合弯矩设计值，应分别乘以增大系数1</w:t>
      </w:r>
      <w:r>
        <w:rPr>
          <w:rFonts w:asciiTheme="minorEastAsia" w:hAnsiTheme="minorEastAsia" w:cstheme="minorEastAsia"/>
          <w:color w:val="000000" w:themeColor="text1"/>
          <w:szCs w:val="21"/>
          <w14:textFill>
            <w14:solidFill>
              <w14:schemeClr w14:val="tx1"/>
            </w14:solidFill>
          </w14:textFill>
        </w:rPr>
        <w:t>.7</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1.5</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1.3</w:t>
      </w:r>
      <w:r>
        <w:rPr>
          <w:rFonts w:hint="eastAsia" w:asciiTheme="minorEastAsia" w:hAnsiTheme="minorEastAsia" w:cstheme="minorEastAsia"/>
          <w:color w:val="000000" w:themeColor="text1"/>
          <w:szCs w:val="21"/>
          <w14:textFill>
            <w14:solidFill>
              <w14:schemeClr w14:val="tx1"/>
            </w14:solidFill>
          </w14:textFill>
        </w:rPr>
        <w:t>和1</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A</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s</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——外包混凝土中受拉侧的钢筋截面面积；</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y</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——受拉钢筋抗拉强度设计值；</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0</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——受拉钢筋合力点至混凝土受压区边缘的距离；</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甲壳柱外包高度可按下式计算：</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A</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s</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(7.3.1-2) </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stheme="minorEastAsia"/>
            <w:color w:val="000000" w:themeColor="text1"/>
            <w:szCs w:val="21"/>
            <w14:textFill>
              <w14:solidFill>
                <w14:schemeClr w14:val="tx1"/>
              </w14:solidFill>
            </w14:textFill>
          </w:rPr>
          <m:t>A</m:t>
        </m:r>
      </m:oMath>
      <w:r>
        <w:rPr>
          <w:rFonts w:hint="eastAsia" w:asciiTheme="minorEastAsia" w:hAnsiTheme="minorEastAsia" w:cstheme="minorEastAsia"/>
          <w:color w:val="000000" w:themeColor="text1"/>
          <w:szCs w:val="21"/>
          <w14:textFill>
            <w14:solidFill>
              <w14:schemeClr w14:val="tx1"/>
            </w14:solidFill>
          </w14:textFill>
        </w:rPr>
        <w:t>——甲壳柱中一个钢管的截面面积；</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——甲壳柱中钢管抗拉强度标准值；</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hint="eastAsia" w:ascii="Cambria Math" w:hAnsi="Cambria Math" w:cstheme="minorEastAsia"/>
            <w:color w:val="000000" w:themeColor="text1"/>
            <w:szCs w:val="21"/>
            <w14:textFill>
              <w14:solidFill>
                <w14:schemeClr w14:val="tx1"/>
              </w14:solidFill>
            </w14:textFill>
          </w:rPr>
          <m:t>s</m:t>
        </m:r>
      </m:oMath>
      <w:r>
        <w:rPr>
          <w:rFonts w:hint="eastAsia" w:asciiTheme="minorEastAsia" w:hAnsiTheme="minorEastAsia" w:cstheme="minorEastAsia"/>
          <w:color w:val="000000" w:themeColor="text1"/>
          <w:szCs w:val="21"/>
          <w14:textFill>
            <w14:solidFill>
              <w14:schemeClr w14:val="tx1"/>
            </w14:solidFill>
          </w14:textFill>
        </w:rPr>
        <w:t>——甲壳柱中一个钢管的截面周长；</w:t>
      </w:r>
    </w:p>
    <w:p>
      <w:pPr>
        <w:ind w:firstLine="420"/>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——混凝土轴心抗拉强度标准值；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 xml:space="preserve">.3.2 </w:t>
      </w:r>
      <w:r>
        <w:rPr>
          <w:rFonts w:hint="eastAsia" w:asciiTheme="minorEastAsia" w:hAnsiTheme="minorEastAsia" w:cstheme="minorEastAsia"/>
          <w:color w:val="000000" w:themeColor="text1"/>
          <w:szCs w:val="21"/>
          <w14:textFill>
            <w14:solidFill>
              <w14:schemeClr w14:val="tx1"/>
            </w14:solidFill>
          </w14:textFill>
        </w:rPr>
        <w:t>埋入式柱脚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埋入式柱脚是将柱脚埋入混凝土基础内，柱脚的埋入深度</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应</w:t>
      </w:r>
      <w:r>
        <w:rPr>
          <w:rFonts w:hint="eastAsia" w:asciiTheme="minorEastAsia" w:hAnsiTheme="minorEastAsia" w:cstheme="minorEastAsia"/>
          <w:color w:val="000000" w:themeColor="text1"/>
          <w:szCs w:val="21"/>
          <w:highlight w:val="none"/>
          <w14:textFill>
            <w14:solidFill>
              <w14:schemeClr w14:val="tx1"/>
            </w14:solidFill>
          </w14:textFill>
        </w:rPr>
        <w:t>通过计算确定</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且</w:t>
      </w:r>
      <w:r>
        <w:rPr>
          <w:rFonts w:hint="eastAsia" w:asciiTheme="minorEastAsia" w:hAnsiTheme="minorEastAsia" w:cstheme="minorEastAsia"/>
          <w:color w:val="000000" w:themeColor="text1"/>
          <w:szCs w:val="21"/>
          <w:highlight w:val="none"/>
          <w14:textFill>
            <w14:solidFill>
              <w14:schemeClr w14:val="tx1"/>
            </w14:solidFill>
          </w14:textFill>
        </w:rPr>
        <w:t>不</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应</w:t>
      </w:r>
      <w:r>
        <w:rPr>
          <w:rFonts w:hint="eastAsia" w:asciiTheme="minorEastAsia" w:hAnsiTheme="minorEastAsia" w:cstheme="minorEastAsia"/>
          <w:color w:val="000000" w:themeColor="text1"/>
          <w:szCs w:val="21"/>
          <w:highlight w:val="none"/>
          <w14:textFill>
            <w14:solidFill>
              <w14:schemeClr w14:val="tx1"/>
            </w14:solidFill>
          </w14:textFill>
        </w:rPr>
        <w:t>小于甲壳柱截面高度</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与3倍钢管截面高度的较大值</w:t>
      </w:r>
      <w:r>
        <w:rPr>
          <w:rFonts w:hint="eastAsia" w:asciiTheme="minorEastAsia" w:hAnsiTheme="minorEastAsia" w:cstheme="minorEastAsia"/>
          <w:color w:val="000000" w:themeColor="text1"/>
          <w:szCs w:val="21"/>
          <w:highlight w:val="none"/>
          <w14:textFill>
            <w14:solidFill>
              <w14:schemeClr w14:val="tx1"/>
            </w14:solidFill>
          </w14:textFill>
        </w:rPr>
        <w:t>。柱脚底板</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宜做成“回”型，厚度不宜小于20mm，每边宜宽出钢管50mm，并</w:t>
      </w:r>
      <w:r>
        <w:rPr>
          <w:rFonts w:hint="eastAsia" w:asciiTheme="minorEastAsia" w:hAnsiTheme="minorEastAsia" w:cstheme="minorEastAsia"/>
          <w:color w:val="000000" w:themeColor="text1"/>
          <w:szCs w:val="21"/>
          <w:highlight w:val="none"/>
          <w14:textFill>
            <w14:solidFill>
              <w14:schemeClr w14:val="tx1"/>
            </w14:solidFill>
          </w14:textFill>
        </w:rPr>
        <w:t>设置定位锚栓与基础连接。</w:t>
      </w:r>
      <w:r>
        <w:rPr>
          <w:rFonts w:hint="eastAsia" w:asciiTheme="minorEastAsia" w:hAnsiTheme="minorEastAsia" w:cstheme="minorEastAsia"/>
          <w:color w:val="000000" w:themeColor="text1"/>
          <w:szCs w:val="21"/>
          <w14:textFill>
            <w14:solidFill>
              <w14:schemeClr w14:val="tx1"/>
            </w14:solidFill>
          </w14:textFill>
        </w:rPr>
        <w:t>甲壳柱埋入部分四周应设置钢筋和箍筋，钢筋按《混凝土结构设计规范》G</w:t>
      </w:r>
      <w:r>
        <w:rPr>
          <w:rFonts w:asciiTheme="minorEastAsia" w:hAnsiTheme="minorEastAsia" w:cstheme="minorEastAsia"/>
          <w:color w:val="000000" w:themeColor="text1"/>
          <w:szCs w:val="21"/>
          <w14:textFill>
            <w14:solidFill>
              <w14:schemeClr w14:val="tx1"/>
            </w14:solidFill>
          </w14:textFill>
        </w:rPr>
        <w:t>B50010</w:t>
      </w:r>
      <w:r>
        <w:rPr>
          <w:rFonts w:hint="eastAsia" w:asciiTheme="minorEastAsia" w:hAnsiTheme="minorEastAsia" w:cstheme="minorEastAsia"/>
          <w:color w:val="000000" w:themeColor="text1"/>
          <w:szCs w:val="21"/>
          <w14:textFill>
            <w14:solidFill>
              <w14:schemeClr w14:val="tx1"/>
            </w14:solidFill>
          </w14:textFill>
        </w:rPr>
        <w:t>的构造确定。埋入部分的甲壳柱</w:t>
      </w:r>
      <w:r>
        <w:rPr>
          <w:rFonts w:hint="eastAsia" w:asciiTheme="minorEastAsia" w:hAnsiTheme="minorEastAsia" w:cstheme="minorEastAsia"/>
          <w:color w:val="000000" w:themeColor="text1"/>
          <w:szCs w:val="21"/>
          <w:lang w:val="en-US" w:eastAsia="zh-CN"/>
          <w14:textFill>
            <w14:solidFill>
              <w14:schemeClr w14:val="tx1"/>
            </w14:solidFill>
          </w14:textFill>
        </w:rPr>
        <w:t>钢管</w:t>
      </w:r>
      <w:r>
        <w:rPr>
          <w:rFonts w:hint="eastAsia" w:asciiTheme="minorEastAsia" w:hAnsiTheme="minorEastAsia" w:cstheme="minorEastAsia"/>
          <w:color w:val="000000" w:themeColor="text1"/>
          <w:szCs w:val="21"/>
          <w14:textFill>
            <w14:solidFill>
              <w14:schemeClr w14:val="tx1"/>
            </w14:solidFill>
          </w14:textFill>
        </w:rPr>
        <w:t>表面应设置栓钉，栓钉直径宜用1</w:t>
      </w:r>
      <w:r>
        <w:rPr>
          <w:rFonts w:asciiTheme="minorEastAsia" w:hAnsiTheme="minorEastAsia" w:cstheme="minorEastAsia"/>
          <w:color w:val="000000" w:themeColor="text1"/>
          <w:szCs w:val="21"/>
          <w14:textFill>
            <w14:solidFill>
              <w14:schemeClr w14:val="tx1"/>
            </w14:solidFill>
          </w14:textFill>
        </w:rPr>
        <w:t>9mm</w:t>
      </w:r>
      <w:r>
        <w:rPr>
          <w:rFonts w:hint="eastAsia" w:asciiTheme="minorEastAsia" w:hAnsiTheme="minorEastAsia" w:cstheme="minorEastAsia"/>
          <w:color w:val="000000" w:themeColor="text1"/>
          <w:szCs w:val="21"/>
          <w14:textFill>
            <w14:solidFill>
              <w14:schemeClr w14:val="tx1"/>
            </w14:solidFill>
          </w14:textFill>
        </w:rPr>
        <w:t>，间距不大于2</w:t>
      </w:r>
      <w:r>
        <w:rPr>
          <w:rFonts w:asciiTheme="minorEastAsia" w:hAnsiTheme="minorEastAsia" w:cstheme="minorEastAsia"/>
          <w:color w:val="000000" w:themeColor="text1"/>
          <w:szCs w:val="21"/>
          <w14:textFill>
            <w14:solidFill>
              <w14:schemeClr w14:val="tx1"/>
            </w14:solidFill>
          </w14:textFill>
        </w:rPr>
        <w:t>50mm</w:t>
      </w:r>
      <w:r>
        <w:rPr>
          <w:rFonts w:hint="eastAsia" w:asciiTheme="minorEastAsia" w:hAnsiTheme="minorEastAsia" w:cstheme="minorEastAsia"/>
          <w:color w:val="000000" w:themeColor="text1"/>
          <w:szCs w:val="21"/>
          <w14:textFill>
            <w14:solidFill>
              <w14:schemeClr w14:val="tx1"/>
            </w14:solidFill>
          </w14:textFill>
        </w:rPr>
        <w:t>。甲壳柱埋入部分的顶部箍筋处，应设置水平角钢，若埋深较大时中间增设角钢，角钢间距不大于5</w:t>
      </w:r>
      <w:r>
        <w:rPr>
          <w:rFonts w:asciiTheme="minorEastAsia" w:hAnsiTheme="minorEastAsia" w:cstheme="minorEastAsia"/>
          <w:color w:val="000000" w:themeColor="text1"/>
          <w:szCs w:val="21"/>
          <w14:textFill>
            <w14:solidFill>
              <w14:schemeClr w14:val="tx1"/>
            </w14:solidFill>
          </w14:textFill>
        </w:rPr>
        <w:t>00mm</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甲壳柱在基础上方宜设置清杂孔，清杂孔宜采用平钢板封孔，封孔钢板的宽厚比不宜大于</w:t>
      </w:r>
      <w:r>
        <w:rPr>
          <w:rFonts w:hint="eastAsia" w:asciiTheme="minorEastAsia" w:hAnsiTheme="minorEastAsia" w:cstheme="minorEastAsia"/>
          <w:color w:val="000000" w:themeColor="text1"/>
          <w:szCs w:val="21"/>
          <w:highlight w:val="none"/>
          <w14:textFill>
            <w14:solidFill>
              <w14:schemeClr w14:val="tx1"/>
            </w14:solidFill>
          </w14:textFill>
        </w:rPr>
        <w:t>6</w:t>
      </w:r>
      <w:r>
        <w:rPr>
          <w:rFonts w:asciiTheme="minorEastAsia" w:hAnsiTheme="minorEastAsia" w:cstheme="minorEastAsia"/>
          <w:color w:val="000000" w:themeColor="text1"/>
          <w:szCs w:val="21"/>
          <w:highlight w:val="none"/>
          <w14:textFill>
            <w14:solidFill>
              <w14:schemeClr w14:val="tx1"/>
            </w14:solidFill>
          </w14:textFill>
        </w:rPr>
        <w:t>0</w:t>
      </w:r>
      <w:r>
        <w:rPr>
          <w:rFonts w:asciiTheme="majorHAnsi" w:hAnsiTheme="majorHAnsi" w:cstheme="minorEastAsia"/>
          <w:color w:val="000000" w:themeColor="text1"/>
          <w:sz w:val="24"/>
          <w:szCs w:val="24"/>
          <w:highlight w:val="none"/>
          <w14:textFill>
            <w14:solidFill>
              <w14:schemeClr w14:val="tx1"/>
            </w14:solidFill>
          </w14:textFill>
        </w:rPr>
        <w:t>ε</w:t>
      </w:r>
      <w:r>
        <w:rPr>
          <w:rFonts w:asciiTheme="majorHAnsi" w:hAnsiTheme="majorHAnsi" w:cstheme="minorEastAsia"/>
          <w:color w:val="000000" w:themeColor="text1"/>
          <w:sz w:val="11"/>
          <w:szCs w:val="11"/>
          <w:highlight w:val="none"/>
          <w14:textFill>
            <w14:solidFill>
              <w14:schemeClr w14:val="tx1"/>
            </w14:solidFill>
          </w14:textFill>
        </w:rPr>
        <w:t>k</w:t>
      </w:r>
      <w:r>
        <w:rPr>
          <w:rFonts w:hint="eastAsia" w:asciiTheme="majorHAnsi" w:hAnsiTheme="majorHAnsi" w:cstheme="minorEastAsia"/>
          <w:color w:val="000000" w:themeColor="text1"/>
          <w:sz w:val="11"/>
          <w:szCs w:val="11"/>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Cs w:val="21"/>
          <w:highlight w:val="none"/>
          <w:lang w:val="en-US" w:eastAsia="zh-CN"/>
          <w14:textFill>
            <w14:solidFill>
              <w14:schemeClr w14:val="tx1"/>
            </w14:solidFill>
          </w14:textFill>
        </w:rPr>
        <w:t>且板厚不宜小于6mm，封孔钢板宜与钢管侧壁、封边板及角钢均采用角焊缝围焊。柱脚</w:t>
      </w:r>
      <w:r>
        <w:rPr>
          <w:rFonts w:hint="eastAsia" w:asciiTheme="minorEastAsia" w:hAnsiTheme="minorEastAsia" w:cstheme="minorEastAsia"/>
          <w:color w:val="000000" w:themeColor="text1"/>
          <w:szCs w:val="21"/>
          <w14:textFill>
            <w14:solidFill>
              <w14:schemeClr w14:val="tx1"/>
            </w14:solidFill>
          </w14:textFill>
        </w:rPr>
        <w:t>构造见图7</w:t>
      </w:r>
      <w:r>
        <w:rPr>
          <w:rFonts w:asciiTheme="minorEastAsia" w:hAnsiTheme="minorEastAsia" w:cstheme="minorEastAsia"/>
          <w:color w:val="000000" w:themeColor="text1"/>
          <w:szCs w:val="21"/>
          <w14:textFill>
            <w14:solidFill>
              <w14:schemeClr w14:val="tx1"/>
            </w14:solidFill>
          </w14:textFill>
        </w:rPr>
        <w:t>.3.2-1</w:t>
      </w:r>
      <w:r>
        <w:rPr>
          <w:rFonts w:hint="eastAsia" w:asciiTheme="minorEastAsia" w:hAnsiTheme="minorEastAsia" w:cstheme="minorEastAsia"/>
          <w:color w:val="000000" w:themeColor="text1"/>
          <w:szCs w:val="21"/>
          <w14:textFill>
            <w14:solidFill>
              <w14:schemeClr w14:val="tx1"/>
            </w14:solidFill>
          </w14:textFill>
        </w:rPr>
        <w:t>。甲壳柱埋入部分的侧边混凝土保护层厚度要求见图7</w:t>
      </w:r>
      <w:r>
        <w:rPr>
          <w:rFonts w:asciiTheme="minorEastAsia" w:hAnsiTheme="minorEastAsia" w:cstheme="minorEastAsia"/>
          <w:color w:val="000000" w:themeColor="text1"/>
          <w:szCs w:val="21"/>
          <w14:textFill>
            <w14:solidFill>
              <w14:schemeClr w14:val="tx1"/>
            </w14:solidFill>
          </w14:textFill>
        </w:rPr>
        <w:t>.3.2-2,</w:t>
      </w:r>
      <w:r>
        <w:rPr>
          <w:rFonts w:hint="eastAsia" w:asciiTheme="minorEastAsia" w:hAnsiTheme="minorEastAsia" w:cstheme="minorEastAsia"/>
          <w:color w:val="000000" w:themeColor="text1"/>
          <w:szCs w:val="21"/>
          <w14:textFill>
            <w14:solidFill>
              <w14:schemeClr w14:val="tx1"/>
            </w14:solidFill>
          </w14:textFill>
        </w:rPr>
        <w:t>基础梁梁边相交线的夹角应做成钝角，其坡度宜不大于1:</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w:t>
      </w:r>
    </w:p>
    <w:p>
      <w:pPr>
        <w:ind w:firstLine="735" w:firstLineChars="35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994025" cy="2501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l="23127" t="9772" r="37124" b="14862"/>
                    <a:stretch>
                      <a:fillRect/>
                    </a:stretch>
                  </pic:blipFill>
                  <pic:spPr>
                    <a:xfrm>
                      <a:off x="0" y="0"/>
                      <a:ext cx="3004791" cy="2510976"/>
                    </a:xfrm>
                    <a:prstGeom prst="rect">
                      <a:avLst/>
                    </a:prstGeom>
                    <a:noFill/>
                    <a:ln>
                      <a:noFill/>
                    </a:ln>
                  </pic:spPr>
                </pic:pic>
              </a:graphicData>
            </a:graphic>
          </wp:inline>
        </w:drawing>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图7.3.2-1</w:t>
      </w:r>
      <w:r>
        <w:rPr>
          <w:rFonts w:hint="eastAsia" w:ascii="黑体" w:hAnsi="黑体" w:eastAsia="黑体" w:cstheme="minorEastAsia"/>
          <w:color w:val="000000" w:themeColor="text1"/>
          <w:sz w:val="18"/>
          <w:szCs w:val="18"/>
          <w14:textFill>
            <w14:solidFill>
              <w14:schemeClr w14:val="tx1"/>
            </w14:solidFill>
          </w14:textFill>
        </w:rPr>
        <w:t>埋入式柱脚构造示意</w:t>
      </w:r>
      <w:r>
        <w:rPr>
          <w:rFonts w:ascii="黑体" w:hAnsi="黑体" w:eastAsia="黑体" w:cstheme="minorEastAsia"/>
          <w:color w:val="000000" w:themeColor="text1"/>
          <w:sz w:val="18"/>
          <w:szCs w:val="18"/>
          <w14:textFill>
            <w14:solidFill>
              <w14:schemeClr w14:val="tx1"/>
            </w14:solidFill>
          </w14:textFill>
        </w:rPr>
        <w:t>图</w:t>
      </w:r>
    </w:p>
    <w:p>
      <w:pPr>
        <w:ind w:firstLine="42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133850" cy="15951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0" cstate="print">
                      <a:extLst>
                        <a:ext uri="{28A0092B-C50C-407E-A947-70E740481C1C}">
                          <a14:useLocalDpi xmlns:a14="http://schemas.microsoft.com/office/drawing/2010/main" val="0"/>
                        </a:ext>
                      </a:extLst>
                    </a:blip>
                    <a:srcRect l="3924" t="12047" r="7514" b="10409"/>
                    <a:stretch>
                      <a:fillRect/>
                    </a:stretch>
                  </pic:blipFill>
                  <pic:spPr>
                    <a:xfrm>
                      <a:off x="0" y="0"/>
                      <a:ext cx="4134123" cy="1595437"/>
                    </a:xfrm>
                    <a:prstGeom prst="rect">
                      <a:avLst/>
                    </a:prstGeom>
                    <a:noFill/>
                    <a:ln>
                      <a:noFill/>
                    </a:ln>
                  </pic:spPr>
                </pic:pic>
              </a:graphicData>
            </a:graphic>
          </wp:inline>
        </w:drawing>
      </w:r>
    </w:p>
    <w:p>
      <w:pPr>
        <w:ind w:firstLine="420"/>
        <w:rPr>
          <w:rFonts w:ascii="黑体" w:hAnsi="黑体" w:eastAsia="黑体"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图7.3.2-2</w:t>
      </w:r>
      <w:r>
        <w:rPr>
          <w:rFonts w:hint="eastAsia" w:ascii="黑体" w:hAnsi="黑体" w:eastAsia="黑体" w:cstheme="minorEastAsia"/>
          <w:color w:val="000000" w:themeColor="text1"/>
          <w:sz w:val="18"/>
          <w:szCs w:val="18"/>
          <w14:textFill>
            <w14:solidFill>
              <w14:schemeClr w14:val="tx1"/>
            </w14:solidFill>
          </w14:textFill>
        </w:rPr>
        <w:t>埋入式柱脚保护层厚度</w:t>
      </w:r>
    </w:p>
    <w:p>
      <w:pPr>
        <w:pStyle w:val="31"/>
        <w:numPr>
          <w:ilvl w:val="0"/>
          <w:numId w:val="6"/>
        </w:numPr>
        <w:ind w:firstLineChars="0"/>
        <w:rPr>
          <w:rFonts w:ascii="黑体" w:hAnsi="黑体" w:eastAsia="黑体" w:cstheme="minorEastAsia"/>
          <w:color w:val="000000" w:themeColor="text1"/>
          <w:sz w:val="15"/>
          <w:szCs w:val="15"/>
          <w14:textFill>
            <w14:solidFill>
              <w14:schemeClr w14:val="tx1"/>
            </w14:solidFill>
          </w14:textFill>
        </w:rPr>
      </w:pPr>
      <w:r>
        <w:rPr>
          <w:rFonts w:hint="eastAsia" w:ascii="黑体" w:hAnsi="黑体" w:eastAsia="黑体" w:cstheme="minorEastAsia"/>
          <w:color w:val="000000" w:themeColor="text1"/>
          <w:sz w:val="15"/>
          <w:szCs w:val="15"/>
          <w14:textFill>
            <w14:solidFill>
              <w14:schemeClr w14:val="tx1"/>
            </w14:solidFill>
          </w14:textFill>
        </w:rPr>
        <w:t>中柱时；（b）边柱时；（c）角柱时</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甲壳柱埋入深度可按下式计算：</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eastAsia="MS Gothic" w:cs="MS Gothic"/>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d</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A</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s</m:t>
            </m:r>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tk</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(7.5.2-1) </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r>
          <w:rPr>
            <w:rFonts w:ascii="Cambria Math" w:hAnsi="Cambria Math" w:cstheme="minorEastAsia"/>
            <w:color w:val="000000" w:themeColor="text1"/>
            <w:szCs w:val="21"/>
            <w14:textFill>
              <w14:solidFill>
                <w14:schemeClr w14:val="tx1"/>
              </w14:solidFill>
            </w14:textFill>
          </w:rPr>
          <m:t>A</m:t>
        </m:r>
      </m:oMath>
      <w:r>
        <w:rPr>
          <w:rFonts w:hint="eastAsia" w:asciiTheme="minorEastAsia" w:hAnsiTheme="minorEastAsia" w:cstheme="minorEastAsia"/>
          <w:color w:val="000000" w:themeColor="text1"/>
          <w:szCs w:val="21"/>
          <w14:textFill>
            <w14:solidFill>
              <w14:schemeClr w14:val="tx1"/>
            </w14:solidFill>
          </w14:textFill>
        </w:rPr>
        <w:t>——甲壳柱中一个钢管的截面面积；</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ak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——甲壳柱中钢管抗拉强度标准值；</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hint="eastAsia" w:ascii="Cambria Math" w:hAnsi="Cambria Math" w:cstheme="minorEastAsia"/>
            <w:color w:val="000000" w:themeColor="text1"/>
            <w:szCs w:val="21"/>
            <w14:textFill>
              <w14:solidFill>
                <w14:schemeClr w14:val="tx1"/>
              </w14:solidFill>
            </w14:textFill>
          </w:rPr>
          <m:t>s</m:t>
        </m:r>
      </m:oMath>
      <w:r>
        <w:rPr>
          <w:rFonts w:hint="eastAsia" w:asciiTheme="minorEastAsia" w:hAnsiTheme="minorEastAsia" w:cstheme="minorEastAsia"/>
          <w:color w:val="000000" w:themeColor="text1"/>
          <w:szCs w:val="21"/>
          <w14:textFill>
            <w14:solidFill>
              <w14:schemeClr w14:val="tx1"/>
            </w14:solidFill>
          </w14:textFill>
        </w:rPr>
        <w:t>——甲壳柱中一个钢管的截面周长；</w:t>
      </w:r>
    </w:p>
    <w:p>
      <w:pPr>
        <w:ind w:firstLine="42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tk</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——混凝土轴心抗拉强度标准值；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 xml:space="preserve">.3.3 </w:t>
      </w:r>
      <w:r>
        <w:rPr>
          <w:rFonts w:hint="eastAsia" w:asciiTheme="minorEastAsia" w:hAnsiTheme="minorEastAsia" w:cstheme="minorEastAsia"/>
          <w:color w:val="000000" w:themeColor="text1"/>
          <w:szCs w:val="21"/>
          <w14:textFill>
            <w14:solidFill>
              <w14:schemeClr w14:val="tx1"/>
            </w14:solidFill>
          </w14:textFill>
        </w:rPr>
        <w:t>插入式柱脚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插入式柱脚是将甲壳柱直接插入已浇灌好的基础杯口内，经校准后用细石混凝土二次浇灌至基础顶面，柱下端的内力通过二次浇灌的细石混凝土传递给基础，使上部结构与基础牢固地连接在一起。杯口基础的杯底和杯壁厚度及短柱的截面尺寸和配筋应符合《建筑地基基础设计规范》G</w:t>
      </w:r>
      <w:r>
        <w:rPr>
          <w:rFonts w:asciiTheme="minorEastAsia" w:hAnsiTheme="minorEastAsia" w:cstheme="minorEastAsia"/>
          <w:color w:val="000000" w:themeColor="text1"/>
          <w:szCs w:val="21"/>
          <w14:textFill>
            <w14:solidFill>
              <w14:schemeClr w14:val="tx1"/>
            </w14:solidFill>
          </w14:textFill>
        </w:rPr>
        <w:t>B</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50017</w:t>
      </w:r>
      <w:r>
        <w:rPr>
          <w:rFonts w:hint="eastAsia" w:asciiTheme="minorEastAsia" w:hAnsiTheme="minorEastAsia" w:cstheme="minorEastAsia"/>
          <w:color w:val="000000" w:themeColor="text1"/>
          <w:szCs w:val="21"/>
          <w14:textFill>
            <w14:solidFill>
              <w14:schemeClr w14:val="tx1"/>
            </w14:solidFill>
          </w14:textFill>
        </w:rPr>
        <w:t>的有关规定。插入部分的甲壳柱</w:t>
      </w:r>
      <w:r>
        <w:rPr>
          <w:rFonts w:hint="eastAsia" w:asciiTheme="minorEastAsia" w:hAnsiTheme="minorEastAsia" w:cstheme="minorEastAsia"/>
          <w:color w:val="000000" w:themeColor="text1"/>
          <w:szCs w:val="21"/>
          <w:lang w:val="en-US" w:eastAsia="zh-CN"/>
          <w14:textFill>
            <w14:solidFill>
              <w14:schemeClr w14:val="tx1"/>
            </w14:solidFill>
          </w14:textFill>
        </w:rPr>
        <w:t>钢管</w:t>
      </w:r>
      <w:r>
        <w:rPr>
          <w:rFonts w:hint="eastAsia" w:asciiTheme="minorEastAsia" w:hAnsiTheme="minorEastAsia" w:cstheme="minorEastAsia"/>
          <w:color w:val="000000" w:themeColor="text1"/>
          <w:szCs w:val="21"/>
          <w14:textFill>
            <w14:solidFill>
              <w14:schemeClr w14:val="tx1"/>
            </w14:solidFill>
          </w14:textFill>
        </w:rPr>
        <w:t>表面应设置栓钉，栓钉直径宜用1</w:t>
      </w:r>
      <w:r>
        <w:rPr>
          <w:rFonts w:asciiTheme="minorEastAsia" w:hAnsiTheme="minorEastAsia" w:cstheme="minorEastAsia"/>
          <w:color w:val="000000" w:themeColor="text1"/>
          <w:szCs w:val="21"/>
          <w14:textFill>
            <w14:solidFill>
              <w14:schemeClr w14:val="tx1"/>
            </w14:solidFill>
          </w14:textFill>
        </w:rPr>
        <w:t>9mm</w:t>
      </w:r>
      <w:r>
        <w:rPr>
          <w:rFonts w:hint="eastAsia" w:asciiTheme="minorEastAsia" w:hAnsiTheme="minorEastAsia" w:cstheme="minorEastAsia"/>
          <w:color w:val="000000" w:themeColor="text1"/>
          <w:szCs w:val="21"/>
          <w14:textFill>
            <w14:solidFill>
              <w14:schemeClr w14:val="tx1"/>
            </w14:solidFill>
          </w14:textFill>
        </w:rPr>
        <w:t>，间距不大于2</w:t>
      </w:r>
      <w:r>
        <w:rPr>
          <w:rFonts w:asciiTheme="minorEastAsia" w:hAnsiTheme="minorEastAsia" w:cstheme="minorEastAsia"/>
          <w:color w:val="000000" w:themeColor="text1"/>
          <w:szCs w:val="21"/>
          <w14:textFill>
            <w14:solidFill>
              <w14:schemeClr w14:val="tx1"/>
            </w14:solidFill>
          </w14:textFill>
        </w:rPr>
        <w:t>50mm</w:t>
      </w:r>
      <w:r>
        <w:rPr>
          <w:rFonts w:hint="eastAsia" w:asciiTheme="minorEastAsia" w:hAnsiTheme="minorEastAsia" w:cstheme="minorEastAsia"/>
          <w:color w:val="000000" w:themeColor="text1"/>
          <w:szCs w:val="21"/>
          <w14:textFill>
            <w14:solidFill>
              <w14:schemeClr w14:val="tx1"/>
            </w14:solidFill>
          </w14:textFill>
        </w:rPr>
        <w:t>。杯口顶部，应设置水平角钢，若插入深度较大时中间增设角钢，角钢间距不大于5</w:t>
      </w:r>
      <w:r>
        <w:rPr>
          <w:rFonts w:asciiTheme="minorEastAsia" w:hAnsiTheme="minorEastAsia" w:cstheme="minorEastAsia"/>
          <w:color w:val="000000" w:themeColor="text1"/>
          <w:szCs w:val="21"/>
          <w14:textFill>
            <w14:solidFill>
              <w14:schemeClr w14:val="tx1"/>
            </w14:solidFill>
          </w14:textFill>
        </w:rPr>
        <w:t>00mm</w:t>
      </w:r>
      <w:r>
        <w:rPr>
          <w:rFonts w:hint="eastAsia" w:asciiTheme="minorEastAsia" w:hAnsiTheme="minorEastAsia" w:cstheme="minorEastAsia"/>
          <w:color w:val="000000" w:themeColor="text1"/>
          <w:szCs w:val="21"/>
          <w14:textFill>
            <w14:solidFill>
              <w14:schemeClr w14:val="tx1"/>
            </w14:solidFill>
          </w14:textFill>
        </w:rPr>
        <w:t>。插入式柱脚构造见图7</w:t>
      </w:r>
      <w:r>
        <w:rPr>
          <w:rFonts w:asciiTheme="minorEastAsia" w:hAnsiTheme="minorEastAsia" w:cstheme="minorEastAsia"/>
          <w:color w:val="000000" w:themeColor="text1"/>
          <w:szCs w:val="21"/>
          <w14:textFill>
            <w14:solidFill>
              <w14:schemeClr w14:val="tx1"/>
            </w14:solidFill>
          </w14:textFill>
        </w:rPr>
        <w:t>.5.3-1</w:t>
      </w:r>
      <w:r>
        <w:rPr>
          <w:rFonts w:hint="eastAsia" w:asciiTheme="minorEastAsia" w:hAnsiTheme="minorEastAsia" w:cstheme="minorEastAsia"/>
          <w:color w:val="000000" w:themeColor="text1"/>
          <w:szCs w:val="21"/>
          <w14:textFill>
            <w14:solidFill>
              <w14:schemeClr w14:val="tx1"/>
            </w14:solidFill>
          </w14:textFill>
        </w:rPr>
        <w:t>。</w:t>
      </w:r>
    </w:p>
    <w:p>
      <w:pPr>
        <w:rPr>
          <w:rFonts w:ascii="黑体" w:hAnsi="黑体" w:eastAsia="黑体"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6368" behindDoc="0" locked="0" layoutInCell="1" allowOverlap="1">
            <wp:simplePos x="0" y="0"/>
            <wp:positionH relativeFrom="column">
              <wp:posOffset>2635250</wp:posOffset>
            </wp:positionH>
            <wp:positionV relativeFrom="paragraph">
              <wp:posOffset>313690</wp:posOffset>
            </wp:positionV>
            <wp:extent cx="1321435" cy="118935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1" cstate="print">
                      <a:extLst>
                        <a:ext uri="{28A0092B-C50C-407E-A947-70E740481C1C}">
                          <a14:useLocalDpi xmlns:a14="http://schemas.microsoft.com/office/drawing/2010/main" val="0"/>
                        </a:ext>
                      </a:extLst>
                    </a:blip>
                    <a:srcRect l="26666" t="8112" r="28877"/>
                    <a:stretch>
                      <a:fillRect/>
                    </a:stretch>
                  </pic:blipFill>
                  <pic:spPr>
                    <a:xfrm>
                      <a:off x="0" y="0"/>
                      <a:ext cx="1321358" cy="118908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2388870" cy="19126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cstate="print">
                      <a:extLst>
                        <a:ext uri="{28A0092B-C50C-407E-A947-70E740481C1C}">
                          <a14:useLocalDpi xmlns:a14="http://schemas.microsoft.com/office/drawing/2010/main" val="0"/>
                        </a:ext>
                      </a:extLst>
                    </a:blip>
                    <a:srcRect l="16195" t="24332" r="54449" b="21667"/>
                    <a:stretch>
                      <a:fillRect/>
                    </a:stretch>
                  </pic:blipFill>
                  <pic:spPr>
                    <a:xfrm>
                      <a:off x="0" y="0"/>
                      <a:ext cx="2395207" cy="1918153"/>
                    </a:xfrm>
                    <a:prstGeom prst="rect">
                      <a:avLst/>
                    </a:prstGeom>
                    <a:noFill/>
                    <a:ln>
                      <a:noFill/>
                    </a:ln>
                  </pic:spPr>
                </pic:pic>
              </a:graphicData>
            </a:graphic>
          </wp:inline>
        </w:drawing>
      </w:r>
    </w:p>
    <w:p>
      <w:pPr>
        <w:rPr>
          <w:rFonts w:ascii="黑体" w:hAnsi="黑体" w:eastAsia="黑体" w:cstheme="minorEastAsia"/>
          <w:color w:val="000000" w:themeColor="text1"/>
          <w:sz w:val="18"/>
          <w:szCs w:val="18"/>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 xml:space="preserve">图7.5.3-1 </w:t>
      </w:r>
      <w:r>
        <w:rPr>
          <w:rFonts w:hint="eastAsia" w:ascii="黑体" w:hAnsi="黑体" w:eastAsia="黑体" w:cstheme="minorEastAsia"/>
          <w:color w:val="000000" w:themeColor="text1"/>
          <w:sz w:val="18"/>
          <w:szCs w:val="18"/>
          <w14:textFill>
            <w14:solidFill>
              <w14:schemeClr w14:val="tx1"/>
            </w14:solidFill>
          </w14:textFill>
        </w:rPr>
        <w:t>插入式柱脚构造示意图</w:t>
      </w:r>
    </w:p>
    <w:p>
      <w:pPr>
        <w:rPr>
          <w:rFonts w:ascii="黑体" w:hAnsi="黑体" w:eastAsia="黑体" w:cstheme="minorEastAsia"/>
          <w:color w:val="000000" w:themeColor="text1"/>
          <w:sz w:val="18"/>
          <w:szCs w:val="18"/>
          <w14:textFill>
            <w14:solidFill>
              <w14:schemeClr w14:val="tx1"/>
            </w14:solidFill>
          </w14:textFill>
        </w:rPr>
      </w:pPr>
    </w:p>
    <w:p>
      <w:pPr>
        <w:ind w:firstLine="420" w:firstLineChars="200"/>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甲壳柱插入深度计算同埋入式柱脚。</w:t>
      </w:r>
    </w:p>
    <w:p>
      <w:pPr>
        <w:ind w:firstLine="420" w:firstLineChars="200"/>
        <w:rPr>
          <w:rFonts w:hint="eastAsia" w:asciiTheme="minorEastAsia" w:hAnsiTheme="minorEastAsia" w:cstheme="minorEastAsia"/>
          <w:color w:val="000000" w:themeColor="text1"/>
          <w:szCs w:val="21"/>
          <w14:textFill>
            <w14:solidFill>
              <w14:schemeClr w14:val="tx1"/>
            </w14:solidFill>
          </w14:textFill>
        </w:rPr>
      </w:pPr>
    </w:p>
    <w:p>
      <w:pPr>
        <w:ind w:firstLine="420" w:firstLineChars="200"/>
        <w:rPr>
          <w:rFonts w:hint="default"/>
          <w:color w:val="0070C0"/>
          <w:lang w:val="en-US" w:eastAsia="zh-CN"/>
        </w:rPr>
      </w:pPr>
      <w:r>
        <w:rPr>
          <w:rFonts w:hint="eastAsia"/>
          <w:color w:val="0070C0"/>
          <w:lang w:val="en-US" w:eastAsia="zh-CN"/>
        </w:rPr>
        <w:t>条文说明：7.3.1~7.3.3三种柱脚形式均有工程实例，其构造重点保证柱根部的抗弯及抗剪加强、以及钢管在基础里的锚固。钢管的锚固长度计算公式取用《钢结构设计手册》（第四版）中关于格构式钢柱的柱脚锚固计算公式。</w:t>
      </w:r>
    </w:p>
    <w:p>
      <w:pPr>
        <w:rPr>
          <w:rFonts w:hint="eastAsia" w:asciiTheme="minorEastAsia" w:hAnsiTheme="minorEastAsia" w:cstheme="minorEastAsia"/>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7</w:t>
      </w:r>
      <w:r>
        <w:rPr>
          <w:rFonts w:asciiTheme="minorEastAsia" w:hAnsiTheme="minorEastAsia" w:cstheme="minorEastAsia"/>
          <w:color w:val="000000" w:themeColor="text1"/>
          <w:szCs w:val="21"/>
          <w14:textFill>
            <w14:solidFill>
              <w14:schemeClr w14:val="tx1"/>
            </w14:solidFill>
          </w14:textFill>
        </w:rPr>
        <w:t xml:space="preserve">.3.4 </w:t>
      </w:r>
      <w:r>
        <w:rPr>
          <w:rFonts w:hint="eastAsia" w:asciiTheme="minorEastAsia" w:hAnsiTheme="minorEastAsia" w:cstheme="minorEastAsia"/>
          <w:color w:val="000000" w:themeColor="text1"/>
          <w:szCs w:val="21"/>
          <w14:textFill>
            <w14:solidFill>
              <w14:schemeClr w14:val="tx1"/>
            </w14:solidFill>
          </w14:textFill>
        </w:rPr>
        <w:t>柱脚防护</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柱脚在地面以下部分应采用强度等级较低的混凝土包裹，保护层厚度不应小于5</w:t>
      </w:r>
      <w:r>
        <w:rPr>
          <w:rFonts w:asciiTheme="minorEastAsia" w:hAnsiTheme="minorEastAsia" w:cstheme="minorEastAsia"/>
          <w:color w:val="000000" w:themeColor="text1"/>
          <w:szCs w:val="21"/>
          <w14:textFill>
            <w14:solidFill>
              <w14:schemeClr w14:val="tx1"/>
            </w14:solidFill>
          </w14:textFill>
        </w:rPr>
        <w:t>0mm</w:t>
      </w:r>
      <w:r>
        <w:rPr>
          <w:rFonts w:hint="eastAsia" w:asciiTheme="minorEastAsia" w:hAnsiTheme="minorEastAsia" w:cstheme="minorEastAsia"/>
          <w:color w:val="000000" w:themeColor="text1"/>
          <w:szCs w:val="21"/>
          <w14:textFill>
            <w14:solidFill>
              <w14:schemeClr w14:val="tx1"/>
            </w14:solidFill>
          </w14:textFill>
        </w:rPr>
        <w:t>，包裹的混凝土高度高出室外地面不应小于1</w:t>
      </w:r>
      <w:r>
        <w:rPr>
          <w:rFonts w:asciiTheme="minorEastAsia" w:hAnsiTheme="minorEastAsia" w:cstheme="minorEastAsia"/>
          <w:color w:val="000000" w:themeColor="text1"/>
          <w:szCs w:val="21"/>
          <w14:textFill>
            <w14:solidFill>
              <w14:schemeClr w14:val="tx1"/>
            </w14:solidFill>
          </w14:textFill>
        </w:rPr>
        <w:t>50mm</w:t>
      </w:r>
      <w:r>
        <w:rPr>
          <w:rFonts w:hint="eastAsia" w:asciiTheme="minorEastAsia" w:hAnsiTheme="minorEastAsia" w:cstheme="minorEastAsia"/>
          <w:color w:val="000000" w:themeColor="text1"/>
          <w:szCs w:val="21"/>
          <w14:textFill>
            <w14:solidFill>
              <w14:schemeClr w14:val="tx1"/>
            </w14:solidFill>
          </w14:textFill>
        </w:rPr>
        <w:t>，室内地面不应小于5</w:t>
      </w:r>
      <w:r>
        <w:rPr>
          <w:rFonts w:asciiTheme="minorEastAsia" w:hAnsiTheme="minorEastAsia" w:cstheme="minorEastAsia"/>
          <w:color w:val="000000" w:themeColor="text1"/>
          <w:szCs w:val="21"/>
          <w14:textFill>
            <w14:solidFill>
              <w14:schemeClr w14:val="tx1"/>
            </w14:solidFill>
          </w14:textFill>
        </w:rPr>
        <w:t>0mm</w:t>
      </w:r>
      <w:r>
        <w:rPr>
          <w:rFonts w:hint="eastAsia" w:asciiTheme="minorEastAsia" w:hAnsiTheme="minorEastAsia" w:cstheme="minorEastAsia"/>
          <w:color w:val="000000" w:themeColor="text1"/>
          <w:szCs w:val="21"/>
          <w14:textFill>
            <w14:solidFill>
              <w14:schemeClr w14:val="tx1"/>
            </w14:solidFill>
          </w14:textFill>
        </w:rPr>
        <w:t>，并宜采取措施防止水分残留；当柱脚在地面以上时，柱脚底面高出室外地面不应小于1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mm</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室内地面不应小于5</w:t>
      </w:r>
      <w:r>
        <w:rPr>
          <w:rFonts w:asciiTheme="minorEastAsia" w:hAnsiTheme="minorEastAsia" w:cstheme="minorEastAsia"/>
          <w:color w:val="000000" w:themeColor="text1"/>
          <w:szCs w:val="21"/>
          <w14:textFill>
            <w14:solidFill>
              <w14:schemeClr w14:val="tx1"/>
            </w14:solidFill>
          </w14:textFill>
        </w:rPr>
        <w:t>0mm</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rPr>
          <w:rFonts w:hint="eastAsia"/>
          <w:color w:val="4F81BD" w:themeColor="accent1"/>
          <w:lang w:val="en-US" w:eastAsia="zh-CN"/>
          <w14:textFill>
            <w14:solidFill>
              <w14:schemeClr w14:val="accent1"/>
            </w14:solidFill>
          </w14:textFill>
        </w:rPr>
      </w:pPr>
    </w:p>
    <w:p>
      <w:pPr>
        <w:ind w:firstLine="420" w:firstLineChars="200"/>
        <w:rPr>
          <w:rFonts w:hint="eastAsia"/>
          <w:color w:val="4F81BD" w:themeColor="accent1"/>
          <w:lang w:val="en-US" w:eastAsia="zh-CN"/>
          <w14:textFill>
            <w14:solidFill>
              <w14:schemeClr w14:val="accent1"/>
            </w14:solidFill>
          </w14:textFill>
        </w:rPr>
      </w:pPr>
      <w:r>
        <w:rPr>
          <w:rFonts w:hint="eastAsia"/>
          <w:color w:val="0070C0"/>
          <w:lang w:val="en-US" w:eastAsia="zh-CN"/>
        </w:rPr>
        <w:t>条文说明：7.3.4 为防止柱根部锈蚀，保证甲壳柱的耐久年限，做出本规定。当有可靠的防腐措施且防腐材料的耐久年限不低于结构合理使用年限时，柱脚的混凝土防护层可不高出室内地面。</w:t>
      </w:r>
    </w:p>
    <w:p>
      <w:pPr>
        <w:rPr>
          <w:rFonts w:hint="eastAsia"/>
          <w:color w:val="4F81BD" w:themeColor="accent1"/>
          <w:lang w:val="en-US" w:eastAsia="zh-CN"/>
          <w14:textFill>
            <w14:solidFill>
              <w14:schemeClr w14:val="accent1"/>
            </w14:solidFill>
          </w14:textFill>
        </w:rPr>
      </w:pPr>
    </w:p>
    <w:p>
      <w:pPr>
        <w:rPr>
          <w:rFonts w:hint="default"/>
          <w:color w:val="4F81BD" w:themeColor="accent1"/>
          <w:lang w:val="en-US" w:eastAsia="zh-CN"/>
          <w14:textFill>
            <w14:solidFill>
              <w14:schemeClr w14:val="accent1"/>
            </w14:solidFill>
          </w14:textFill>
        </w:rPr>
      </w:pPr>
    </w:p>
    <w:p>
      <w:pPr>
        <w:jc w:val="center"/>
        <w:outlineLvl w:val="1"/>
        <w:rPr>
          <w:rFonts w:ascii="黑体" w:hAnsi="黑体" w:eastAsia="黑体" w:cstheme="minorEastAsia"/>
          <w:color w:val="000000" w:themeColor="text1"/>
          <w:szCs w:val="21"/>
          <w14:textFill>
            <w14:solidFill>
              <w14:schemeClr w14:val="tx1"/>
            </w14:solidFill>
          </w14:textFill>
        </w:rPr>
      </w:pPr>
      <w:bookmarkStart w:id="78" w:name="_Toc28706897"/>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.4 </w:t>
      </w:r>
      <w:r>
        <w:rPr>
          <w:rFonts w:hint="eastAsia" w:ascii="黑体" w:hAnsi="黑体" w:eastAsia="黑体" w:cstheme="minorEastAsia"/>
          <w:color w:val="000000" w:themeColor="text1"/>
          <w:szCs w:val="21"/>
          <w14:textFill>
            <w14:solidFill>
              <w14:schemeClr w14:val="tx1"/>
            </w14:solidFill>
          </w14:textFill>
        </w:rPr>
        <w:t>梁柱节点设计及构造</w:t>
      </w:r>
      <w:bookmarkEnd w:id="78"/>
    </w:p>
    <w:p>
      <w:pPr>
        <w:jc w:val="center"/>
        <w:outlineLvl w:val="1"/>
        <w:rPr>
          <w:rFonts w:ascii="黑体" w:hAnsi="黑体" w:eastAsia="黑体" w:cstheme="minorEastAsia"/>
          <w:color w:val="000000" w:themeColor="text1"/>
          <w:szCs w:val="21"/>
          <w14:textFill>
            <w14:solidFill>
              <w14:schemeClr w14:val="tx1"/>
            </w14:solidFill>
          </w14:textFill>
        </w:rPr>
      </w:pPr>
    </w:p>
    <w:p>
      <w:pPr>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.4.1 </w:t>
      </w:r>
      <w:r>
        <w:rPr>
          <w:rFonts w:hint="eastAsia" w:asciiTheme="minorEastAsia" w:hAnsiTheme="minorEastAsia" w:cstheme="minorEastAsia"/>
          <w:color w:val="000000" w:themeColor="text1"/>
          <w:szCs w:val="21"/>
          <w14:textFill>
            <w14:solidFill>
              <w14:schemeClr w14:val="tx1"/>
            </w14:solidFill>
          </w14:textFill>
        </w:rPr>
        <w:t>甲壳柱-甲壳梁连接节点应符合下列规定：</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考虑地震作用组合的甲壳柱与甲壳梁连接节点的剪力设计值应按下列公式计算：</w:t>
      </w:r>
    </w:p>
    <w:p>
      <w:pPr>
        <w:pStyle w:val="31"/>
        <w:numPr>
          <w:ilvl w:val="0"/>
          <w:numId w:val="7"/>
        </w:numPr>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一级抗震等级的框架顶层中间节点和端节点</w:t>
      </w:r>
    </w:p>
    <w:p>
      <w:pPr>
        <w:ind w:firstLine="1365" w:firstLineChars="6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1.15</m:t>
            </m:r>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bua</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(7.4.1-1)</w:t>
      </w:r>
    </w:p>
    <w:p>
      <w:pPr>
        <w:pStyle w:val="31"/>
        <w:ind w:left="1069" w:firstLine="0" w:firstLineChars="0"/>
        <w:rPr>
          <w:rFonts w:ascii="宋体" w:hAnsi="宋体" w:eastAsia="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一级抗震等级的框架</w:t>
      </w:r>
      <w:r>
        <w:rPr>
          <w:rFonts w:hint="eastAsia" w:ascii="宋体" w:hAnsi="宋体" w:eastAsia="宋体"/>
          <w:color w:val="000000" w:themeColor="text1"/>
          <w:szCs w:val="21"/>
          <w14:textFill>
            <w14:solidFill>
              <w14:schemeClr w14:val="tx1"/>
            </w14:solidFill>
          </w14:textFill>
        </w:rPr>
        <w:t>其它层中间节点和端节点</w:t>
      </w:r>
    </w:p>
    <w:p>
      <w:pPr>
        <w:ind w:firstLine="1365" w:firstLineChars="6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1.15</m:t>
            </m:r>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bua</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begChr m:val="（"/>
            <m:endChr m:val="）"/>
            <m:ctrlPr>
              <w:rPr>
                <w:rFonts w:ascii="Cambria Math" w:hAnsi="Cambria Math" w:eastAsia="宋体"/>
                <w:color w:val="000000" w:themeColor="text1"/>
                <w:szCs w:val="21"/>
                <w14:textFill>
                  <w14:solidFill>
                    <w14:schemeClr w14:val="tx1"/>
                  </w14:solidFill>
                </w14:textFill>
              </w:rPr>
            </m:ctrlPr>
          </m:dPr>
          <m:e>
            <m:r>
              <m:rPr>
                <m:sty m:val="p"/>
              </m:rPr>
              <w:rPr>
                <w:rFonts w:ascii="Cambria Math" w:hAnsi="Cambria Math" w:eastAsia="宋体"/>
                <w:color w:val="000000" w:themeColor="text1"/>
                <w:szCs w:val="21"/>
                <w14:textFill>
                  <w14:solidFill>
                    <w14:schemeClr w14:val="tx1"/>
                  </w14:solidFill>
                </w14:textFill>
              </w:rPr>
              <m:t>1-</m:t>
            </m:r>
            <m:f>
              <m:fPr>
                <m:ctrlPr>
                  <w:rPr>
                    <w:rFonts w:ascii="Cambria Math" w:hAnsi="Cambria Math" w:eastAsia="宋体"/>
                    <w:iCs/>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Cs/>
                    <w:color w:val="000000" w:themeColor="text1"/>
                    <w:szCs w:val="21"/>
                    <w14:textFill>
                      <w14:solidFill>
                        <w14:schemeClr w14:val="tx1"/>
                      </w14:solidFill>
                    </w14:textFill>
                  </w:rPr>
                </m:ctrlPr>
              </m:num>
              <m:den>
                <m:sSub>
                  <m:sSubPr>
                    <m:ctrlPr>
                      <w:rPr>
                        <w:rFonts w:ascii="Cambria Math" w:hAnsi="Cambria Math" w:eastAsia="宋体"/>
                        <w:i/>
                        <w:iCs/>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iCs/>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iCs/>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iCs/>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iCs/>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iCs/>
                        <w:color w:val="000000" w:themeColor="text1"/>
                        <w:szCs w:val="21"/>
                        <w14:textFill>
                          <w14:solidFill>
                            <w14:schemeClr w14:val="tx1"/>
                          </w14:solidFill>
                        </w14:textFill>
                      </w:rPr>
                    </m:ctrlPr>
                  </m:sub>
                </m:sSub>
                <m:ctrlPr>
                  <w:rPr>
                    <w:rFonts w:ascii="Cambria Math" w:hAnsi="Cambria Math" w:eastAsia="宋体"/>
                    <w:iCs/>
                    <w:color w:val="000000" w:themeColor="text1"/>
                    <w:szCs w:val="21"/>
                    <w14:textFill>
                      <w14:solidFill>
                        <w14:schemeClr w14:val="tx1"/>
                      </w14:solidFill>
                    </w14:textFill>
                  </w:rPr>
                </m:ctrlPr>
              </m:den>
            </m:f>
            <m:ctrlPr>
              <w:rPr>
                <w:rFonts w:ascii="Cambria Math" w:hAnsi="Cambria Math" w:eastAsia="宋体"/>
                <w:color w:val="000000" w:themeColor="text1"/>
                <w:szCs w:val="21"/>
                <w14:textFill>
                  <w14:solidFill>
                    <w14:schemeClr w14:val="tx1"/>
                  </w14:solidFill>
                </w14:textFill>
              </w:rPr>
            </m:ctrlPr>
          </m:e>
        </m:d>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(7.4.1-2)</w:t>
      </w:r>
    </w:p>
    <w:p>
      <w:pPr>
        <w:pStyle w:val="31"/>
        <w:numPr>
          <w:ilvl w:val="0"/>
          <w:numId w:val="7"/>
        </w:numPr>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二、三、四级抗震等级的框架顶层中间节点及端节点</w:t>
      </w:r>
    </w:p>
    <w:p>
      <w:pPr>
        <w:ind w:firstLine="1365" w:firstLineChars="6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oMath>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(7.4.1-3)</w:t>
      </w:r>
    </w:p>
    <w:p>
      <w:pPr>
        <w:pStyle w:val="31"/>
        <w:ind w:left="1069" w:firstLine="0" w:firstLineChars="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二、三、四级抗震等级的其它层中间节点和端节点</w:t>
      </w:r>
    </w:p>
    <w:p>
      <w:pPr>
        <w:ind w:firstLine="1365" w:firstLineChars="6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ctrlPr>
              <w:rPr>
                <w:rFonts w:ascii="Cambria Math" w:hAnsi="Cambria Math" w:eastAsia="宋体"/>
                <w:i/>
                <w:color w:val="000000" w:themeColor="text1"/>
                <w:szCs w:val="21"/>
                <w14:textFill>
                  <w14:solidFill>
                    <w14:schemeClr w14:val="tx1"/>
                  </w14:solidFill>
                </w14:textFill>
              </w:rPr>
            </m:ctrlPr>
          </m:dPr>
          <m:e>
            <m:r>
              <w:rPr>
                <w:rFonts w:ascii="Cambria Math" w:hAnsi="Cambria Math" w:eastAsia="宋体"/>
                <w:color w:val="000000" w:themeColor="text1"/>
                <w:szCs w:val="21"/>
                <w14:textFill>
                  <w14:solidFill>
                    <w14:schemeClr w14:val="tx1"/>
                  </w14:solidFill>
                </w14:textFill>
              </w:rPr>
              <m:t>1-</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b0</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ctrlPr>
              <w:rPr>
                <w:rFonts w:ascii="Cambria Math" w:hAnsi="Cambria Math" w:eastAsia="宋体"/>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(7.4.1-4)</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——框架梁柱节点的剪力设计值；</w:t>
      </w:r>
    </w:p>
    <w:p>
      <w:pPr>
        <w:ind w:left="1575" w:hanging="1575" w:hangingChars="75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bua</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——节点左右两侧梁端反时针或顺时针方向实配的正截面抗震受弯承载力所对应的弯矩值之和，可根据实配钢筋、钢板面积和材料强度标准值确定；</w:t>
      </w:r>
    </w:p>
    <w:p>
      <w:pPr>
        <w:ind w:left="1365" w:hanging="1365" w:hangingChars="65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——节点左右两侧梁端反时针或顺时针方向组合弯矩设计值之和；</w:t>
      </w:r>
    </w:p>
    <w:p>
      <w:pPr>
        <w:ind w:left="1890" w:hanging="1890" w:hangingChars="9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r>
              <w:rPr>
                <w:rFonts w:hint="eastAsia" w:ascii="Cambria Math" w:hAnsi="Cambria Math" w:eastAsia="宋体"/>
                <w:color w:val="000000" w:themeColor="text1"/>
                <w:szCs w:val="21"/>
                <w14:textFill>
                  <w14:solidFill>
                    <w14:schemeClr w14:val="tx1"/>
                  </w14:solidFill>
                </w14:textFill>
              </w:rPr>
              <m:t>、</m:t>
            </m:r>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r>
              <w:rPr>
                <w:rFonts w:hint="eastAsia" w:ascii="Cambria Math" w:hAnsi="Cambria Math" w:eastAsia="宋体"/>
                <w:color w:val="000000" w:themeColor="text1"/>
                <w:szCs w:val="21"/>
                <w14:textFill>
                  <w14:solidFill>
                    <w14:schemeClr w14:val="tx1"/>
                  </w14:solidFill>
                </w14:textFill>
              </w:rPr>
              <m:t>0</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——分别为梁截面高度、截面有效高度，节点两侧梁高不等时，取其平均高度；</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——柱的计算高度，可取节点上下反弯点之间的距离；</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——节点剪力增大系数，二级取1</w:t>
      </w:r>
      <w:r>
        <w:rPr>
          <w:rFonts w:asciiTheme="minorEastAsia" w:hAnsiTheme="minorEastAsia" w:cstheme="minorEastAsia"/>
          <w:color w:val="000000" w:themeColor="text1"/>
          <w:szCs w:val="21"/>
          <w14:textFill>
            <w14:solidFill>
              <w14:schemeClr w14:val="tx1"/>
            </w14:solidFill>
          </w14:textFill>
        </w:rPr>
        <w:t>.35</w:t>
      </w:r>
      <w:r>
        <w:rPr>
          <w:rFonts w:hint="eastAsia" w:asciiTheme="minorEastAsia" w:hAnsiTheme="minorEastAsia" w:cstheme="minorEastAsia"/>
          <w:color w:val="000000" w:themeColor="text1"/>
          <w:szCs w:val="21"/>
          <w14:textFill>
            <w14:solidFill>
              <w14:schemeClr w14:val="tx1"/>
            </w14:solidFill>
          </w14:textFill>
        </w:rPr>
        <w:t>，三级取1</w:t>
      </w:r>
      <w:r>
        <w:rPr>
          <w:rFonts w:asciiTheme="minorEastAsia" w:hAnsiTheme="minorEastAsia" w:cstheme="minorEastAsia"/>
          <w:color w:val="000000" w:themeColor="text1"/>
          <w:szCs w:val="21"/>
          <w14:textFill>
            <w14:solidFill>
              <w14:schemeClr w14:val="tx1"/>
            </w14:solidFill>
          </w14:textFill>
        </w:rPr>
        <w:t>.20</w:t>
      </w:r>
      <w:r>
        <w:rPr>
          <w:rFonts w:hint="eastAsia" w:asciiTheme="minorEastAsia" w:hAnsiTheme="minorEastAsia" w:cstheme="minorEastAsia"/>
          <w:color w:val="000000" w:themeColor="text1"/>
          <w:szCs w:val="21"/>
          <w14:textFill>
            <w14:solidFill>
              <w14:schemeClr w14:val="tx1"/>
            </w14:solidFill>
          </w14:textFill>
        </w:rPr>
        <w:t>，四级取1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w:t>
      </w:r>
    </w:p>
    <w:p>
      <w:pPr>
        <w:ind w:firstLine="1470" w:firstLineChars="7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381250" cy="22371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3" cstate="print">
                      <a:extLst>
                        <a:ext uri="{28A0092B-C50C-407E-A947-70E740481C1C}">
                          <a14:useLocalDpi xmlns:a14="http://schemas.microsoft.com/office/drawing/2010/main" val="0"/>
                        </a:ext>
                      </a:extLst>
                    </a:blip>
                    <a:srcRect l="18237" t="6360" r="41705" b="7212"/>
                    <a:stretch>
                      <a:fillRect/>
                    </a:stretch>
                  </pic:blipFill>
                  <pic:spPr>
                    <a:xfrm>
                      <a:off x="0" y="0"/>
                      <a:ext cx="2387250" cy="2242777"/>
                    </a:xfrm>
                    <a:prstGeom prst="rect">
                      <a:avLst/>
                    </a:prstGeom>
                    <a:noFill/>
                    <a:ln>
                      <a:noFill/>
                    </a:ln>
                  </pic:spPr>
                </pic:pic>
              </a:graphicData>
            </a:graphic>
          </wp:inline>
        </w:drawing>
      </w:r>
    </w:p>
    <w:p>
      <w:pPr>
        <w:ind w:firstLine="1890" w:firstLineChars="9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776095" cy="11620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4" cstate="print">
                      <a:extLst>
                        <a:ext uri="{28A0092B-C50C-407E-A947-70E740481C1C}">
                          <a14:useLocalDpi xmlns:a14="http://schemas.microsoft.com/office/drawing/2010/main" val="0"/>
                        </a:ext>
                      </a:extLst>
                    </a:blip>
                    <a:srcRect l="22507" t="15106" r="34437" b="20217"/>
                    <a:stretch>
                      <a:fillRect/>
                    </a:stretch>
                  </pic:blipFill>
                  <pic:spPr>
                    <a:xfrm>
                      <a:off x="0" y="0"/>
                      <a:ext cx="1776413" cy="1162050"/>
                    </a:xfrm>
                    <a:prstGeom prst="rect">
                      <a:avLst/>
                    </a:prstGeom>
                    <a:noFill/>
                    <a:ln>
                      <a:noFill/>
                    </a:ln>
                  </pic:spPr>
                </pic:pic>
              </a:graphicData>
            </a:graphic>
          </wp:inline>
        </w:drawing>
      </w:r>
    </w:p>
    <w:p>
      <w:pPr>
        <w:ind w:firstLine="1440" w:firstLineChars="800"/>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 xml:space="preserve">图7.4.1-1 </w:t>
      </w:r>
      <w:r>
        <w:rPr>
          <w:rFonts w:hint="eastAsia" w:ascii="黑体" w:hAnsi="黑体" w:eastAsia="黑体" w:cstheme="minorEastAsia"/>
          <w:color w:val="000000" w:themeColor="text1"/>
          <w:sz w:val="18"/>
          <w:szCs w:val="18"/>
          <w14:textFill>
            <w14:solidFill>
              <w14:schemeClr w14:val="tx1"/>
            </w14:solidFill>
          </w14:textFill>
        </w:rPr>
        <w:t>甲壳柱-甲壳梁节点示意图</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考虑地震作用组合的甲壳柱与甲壳梁连接节点，其核心区的受剪水平截面应符合下列规定：</w:t>
      </w:r>
    </w:p>
    <w:p>
      <w:pPr>
        <w:rPr>
          <w:rFonts w:asciiTheme="minorEastAsia" w:hAnsiTheme="minorEastAsia" w:cstheme="minorEastAsia"/>
          <w:i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j</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color w:val="000000" w:themeColor="text1"/>
                <w:szCs w:val="21"/>
                <w14:textFill>
                  <w14:solidFill>
                    <w14:schemeClr w14:val="tx1"/>
                  </w14:solidFill>
                </w14:textFill>
              </w:rPr>
            </m:ctrlPr>
          </m:dPr>
          <m:e>
            <m:r>
              <m:rPr>
                <m:sty m:val="p"/>
              </m:rPr>
              <w:rPr>
                <w:rFonts w:ascii="Cambria Math" w:hAnsi="Cambria Math" w:cstheme="minorEastAsia"/>
                <w:color w:val="000000" w:themeColor="text1"/>
                <w:szCs w:val="21"/>
                <w14:textFill>
                  <w14:solidFill>
                    <w14:schemeClr w14:val="tx1"/>
                  </w14:solidFill>
                </w14:textFill>
              </w:rPr>
              <m:t>0.36</m:t>
            </m:r>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ctrlPr>
              <w:rPr>
                <w:rFonts w:ascii="Cambria Math" w:hAnsi="Cambria Math" w:cstheme="minorEastAsia"/>
                <w:color w:val="000000" w:themeColor="text1"/>
                <w:szCs w:val="21"/>
                <w14:textFill>
                  <w14:solidFill>
                    <w14:schemeClr w14:val="tx1"/>
                  </w14:solidFill>
                </w14:textFill>
              </w:rPr>
            </m:ctrlPr>
          </m:e>
        </m:d>
      </m:oMath>
      <w:r>
        <w:rPr>
          <w:rFonts w:hint="eastAsia" w:asciiTheme="minorEastAsia" w:hAnsiTheme="minorEastAsia" w:cstheme="minorEastAsia"/>
          <w:iCs/>
          <w:color w:val="000000" w:themeColor="text1"/>
          <w:szCs w:val="21"/>
          <w14:textFill>
            <w14:solidFill>
              <w14:schemeClr w14:val="tx1"/>
            </w14:solidFill>
          </w14:textFill>
        </w:rPr>
        <w:t xml:space="preserve"> </w:t>
      </w:r>
      <w:r>
        <w:rPr>
          <w:rFonts w:asciiTheme="minorEastAsia" w:hAnsiTheme="minorEastAsia" w:cstheme="minorEastAsia"/>
          <w:iCs/>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(7.4.1-5)</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——正交梁对节点的约束影响系数，对两个正交方向均有梁约束的中间节点，当</w:t>
      </w:r>
      <w:r>
        <w:rPr>
          <w:rFonts w:hint="eastAsia"/>
          <w:color w:val="000000" w:themeColor="text1"/>
          <w14:textFill>
            <w14:solidFill>
              <w14:schemeClr w14:val="tx1"/>
            </w14:solidFill>
          </w14:textFill>
        </w:rPr>
        <w:t>四侧各梁截面宽度不小于该侧柱截面宽度的1/2</w:t>
      </w:r>
      <w:r>
        <w:rPr>
          <w:rFonts w:hint="eastAsia" w:asciiTheme="minorEastAsia" w:hAnsiTheme="minorEastAsia" w:cstheme="minorEastAsia"/>
          <w:color w:val="000000" w:themeColor="text1"/>
          <w:szCs w:val="21"/>
          <w14:textFill>
            <w14:solidFill>
              <w14:schemeClr w14:val="tx1"/>
            </w14:solidFill>
          </w14:textFill>
        </w:rPr>
        <w:t>，且正交方向梁截面高度不小于较高框架梁高度的3/</w:t>
      </w:r>
      <w:r>
        <w:rPr>
          <w:rFonts w:asciiTheme="minorEastAsia" w:hAnsiTheme="minorEastAsia"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时，取</w:t>
      </w:r>
      <w:r>
        <w:rPr>
          <w:rFonts w:asciiTheme="minorEastAsia" w:hAnsiTheme="minorEastAsia" w:cstheme="minorEastAsia"/>
          <w:color w:val="000000" w:themeColor="text1"/>
          <w:szCs w:val="21"/>
          <w14:textFill>
            <w14:solidFill>
              <w14:schemeClr w14:val="tx1"/>
            </w14:solidFill>
          </w14:textFill>
        </w:rPr>
        <w:t>1.50</w:t>
      </w:r>
      <w:r>
        <w:rPr>
          <w:rFonts w:hint="eastAsia" w:asciiTheme="minorEastAsia" w:hAnsiTheme="minorEastAsia" w:cstheme="minorEastAsia"/>
          <w:color w:val="000000" w:themeColor="text1"/>
          <w:szCs w:val="21"/>
          <w14:textFill>
            <w14:solidFill>
              <w14:schemeClr w14:val="tx1"/>
            </w14:solidFill>
          </w14:textFill>
        </w:rPr>
        <w:t>；其他情况取1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——混凝土强度影响系数：当混凝土强度等级不超过C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，当混凝土强度等级为C</w:t>
      </w:r>
      <w:r>
        <w:rPr>
          <w:rFonts w:asciiTheme="minorEastAsia" w:hAnsiTheme="minorEastAsia" w:cstheme="minorEastAsia"/>
          <w:color w:val="000000" w:themeColor="text1"/>
          <w:szCs w:val="21"/>
          <w14:textFill>
            <w14:solidFill>
              <w14:schemeClr w14:val="tx1"/>
            </w14:solidFill>
          </w14:textFill>
        </w:rPr>
        <w:t>80</w:t>
      </w:r>
      <w:r>
        <w:rPr>
          <w:rFonts w:hint="eastAsia" w:asciiTheme="minorEastAsia" w:hAnsiTheme="minorEastAsia" w:cstheme="minorEastAsia"/>
          <w:color w:val="000000" w:themeColor="text1"/>
          <w:szCs w:val="21"/>
          <w14:textFill>
            <w14:solidFill>
              <w14:schemeClr w14:val="tx1"/>
            </w14:solidFill>
          </w14:textFill>
        </w:rPr>
        <w:t>时取0</w:t>
      </w:r>
      <w:r>
        <w:rPr>
          <w:rFonts w:asciiTheme="minorEastAsia" w:hAnsiTheme="minorEastAsia" w:cstheme="minorEastAsia"/>
          <w:color w:val="000000" w:themeColor="text1"/>
          <w:szCs w:val="21"/>
          <w14:textFill>
            <w14:solidFill>
              <w14:schemeClr w14:val="tx1"/>
            </w14:solidFill>
          </w14:textFill>
        </w:rPr>
        <w:t>.80</w:t>
      </w:r>
      <w:r>
        <w:rPr>
          <w:rFonts w:hint="eastAsia" w:asciiTheme="minorEastAsia" w:hAnsiTheme="minorEastAsia" w:cstheme="minorEastAsia"/>
          <w:color w:val="000000" w:themeColor="text1"/>
          <w:szCs w:val="21"/>
          <w14:textFill>
            <w14:solidFill>
              <w14:schemeClr w14:val="tx1"/>
            </w14:solidFill>
          </w14:textFill>
        </w:rPr>
        <w:t>，其间按线性内插法确定。</w:t>
      </w:r>
    </w:p>
    <w:p>
      <w:pPr>
        <w:rPr>
          <w:rFonts w:asciiTheme="minorEastAsia" w:hAnsiTheme="minorEastAsia" w:cstheme="minorEastAsia"/>
          <w:i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节点核心区的截面高度</w:t>
      </w:r>
      <w:r>
        <w:rPr>
          <w:rFonts w:hint="eastAsia" w:asciiTheme="minorEastAsia" w:hAnsiTheme="minorEastAsia" w:cstheme="minorEastAsia"/>
          <w:iCs/>
          <w:color w:val="000000" w:themeColor="text1"/>
          <w:szCs w:val="21"/>
          <w14:textFill>
            <w14:solidFill>
              <w14:schemeClr w14:val="tx1"/>
            </w14:solidFill>
          </w14:textFill>
        </w:rPr>
        <w:t>，可取受剪方向柱截面高度</w:t>
      </w:r>
      <m:oMath>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w:t>
      </w:r>
    </w:p>
    <w:p>
      <w:pPr>
        <w:ind w:left="1260" w:hanging="1260" w:hangingChars="600"/>
        <w:rPr>
          <w:rFonts w:asciiTheme="minorEastAsia" w:hAnsiTheme="minorEastAsia" w:cstheme="minorEastAsia"/>
          <w:iCs/>
          <w:color w:val="000000" w:themeColor="text1"/>
          <w:szCs w:val="21"/>
          <w14:textFill>
            <w14:solidFill>
              <w14:schemeClr w14:val="tx1"/>
            </w14:solidFill>
          </w14:textFill>
        </w:rPr>
      </w:pPr>
      <w:r>
        <w:rPr>
          <w:rFonts w:hint="eastAsia" w:asciiTheme="minorEastAsia" w:hAnsiTheme="minorEastAsia" w:cstheme="minorEastAsia"/>
          <w:iCs/>
          <w:color w:val="000000" w:themeColor="text1"/>
          <w:szCs w:val="21"/>
          <w14:textFill>
            <w14:solidFill>
              <w14:schemeClr w14:val="tx1"/>
            </w14:solidFill>
          </w14:textFill>
        </w:rPr>
        <w:t xml:space="preserve"> </w:t>
      </w:r>
      <w:r>
        <w:rPr>
          <w:rFonts w:asciiTheme="minorEastAsia" w:hAnsiTheme="minorEastAsia" w:cstheme="minorEastAsia"/>
          <w:iCs/>
          <w:color w:val="000000" w:themeColor="text1"/>
          <w:szCs w:val="21"/>
          <w14:textFill>
            <w14:solidFill>
              <w14:schemeClr w14:val="tx1"/>
            </w14:solidFill>
          </w14:textFill>
        </w:rPr>
        <w:t xml:space="preserve">     </w:t>
      </w:r>
      <m:oMath>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节点核心区的截面有效验算宽度</w:t>
      </w:r>
      <w:r>
        <w:rPr>
          <w:rFonts w:hint="eastAsia" w:asciiTheme="minorEastAsia" w:hAnsiTheme="minorEastAsia" w:cstheme="minorEastAsia"/>
          <w:iCs/>
          <w:color w:val="000000" w:themeColor="text1"/>
          <w:szCs w:val="21"/>
          <w14:textFill>
            <w14:solidFill>
              <w14:schemeClr w14:val="tx1"/>
            </w14:solidFill>
          </w14:textFill>
        </w:rPr>
        <w:t>，当</w:t>
      </w:r>
      <m:oMath>
        <m:sSub>
          <m:sSubPr>
            <m:ctrlPr>
              <w:rPr>
                <w:rFonts w:ascii="Cambria Math" w:hAnsi="Cambria Math" w:cstheme="minorEastAsia"/>
                <w:i/>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不小于</w:t>
      </w:r>
      <m:oMath>
        <m:f>
          <m:fPr>
            <m:ctrlPr>
              <w:rPr>
                <w:rFonts w:ascii="Cambria Math" w:hAnsi="Cambria Math" w:cstheme="minorEastAsia"/>
                <w:i/>
                <w:iCs/>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iCs/>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iCs/>
                <w:color w:val="000000" w:themeColor="text1"/>
                <w:szCs w:val="21"/>
                <w14:textFill>
                  <w14:solidFill>
                    <w14:schemeClr w14:val="tx1"/>
                  </w14:solidFill>
                </w14:textFill>
              </w:rPr>
            </m:ctrlPr>
          </m:den>
        </m:f>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时，可取</w:t>
      </w:r>
      <m:oMath>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；当</w:t>
      </w:r>
      <m:oMath>
        <m:sSub>
          <m:sSubPr>
            <m:ctrlPr>
              <w:rPr>
                <w:rFonts w:ascii="Cambria Math" w:hAnsi="Cambria Math" w:cstheme="minorEastAsia"/>
                <w:i/>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小于</w:t>
      </w:r>
      <m:oMath>
        <m:f>
          <m:fPr>
            <m:ctrlPr>
              <w:rPr>
                <w:rFonts w:ascii="Cambria Math" w:hAnsi="Cambria Math" w:cstheme="minorEastAsia"/>
                <w:i/>
                <w:iCs/>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iCs/>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iCs/>
                <w:color w:val="000000" w:themeColor="text1"/>
                <w:szCs w:val="21"/>
                <w14:textFill>
                  <w14:solidFill>
                    <w14:schemeClr w14:val="tx1"/>
                  </w14:solidFill>
                </w14:textFill>
              </w:rPr>
            </m:ctrlPr>
          </m:den>
        </m:f>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时，可取</w:t>
      </w:r>
      <m:oMath>
        <m:sSub>
          <m:sSubPr>
            <m:ctrlPr>
              <w:rPr>
                <w:rFonts w:ascii="Cambria Math" w:hAnsi="Cambria Math" w:cstheme="minorEastAsia"/>
                <w:i/>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+0.5</m:t>
        </m:r>
        <m:sSub>
          <m:sSubPr>
            <m:ctrlPr>
              <w:rPr>
                <w:rFonts w:ascii="Cambria Math" w:hAnsi="Cambria Math" w:cstheme="minorEastAsia"/>
                <w:i/>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iCs/>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oMath>
      <w:r>
        <w:rPr>
          <w:rFonts w:hint="eastAsia" w:asciiTheme="minorEastAsia" w:hAnsiTheme="minorEastAsia" w:cstheme="minorEastAsia"/>
          <w:iCs/>
          <w:color w:val="000000" w:themeColor="text1"/>
          <w:szCs w:val="21"/>
          <w14:textFill>
            <w14:solidFill>
              <w14:schemeClr w14:val="tx1"/>
            </w14:solidFill>
          </w14:textFill>
        </w:rPr>
        <w:t>和</w:t>
      </w:r>
      <m:oMath>
        <m:sSub>
          <m:sSubPr>
            <m:ctrlPr>
              <w:rPr>
                <w:rFonts w:ascii="Cambria Math" w:hAnsi="Cambria Math" w:cstheme="minorEastAsia"/>
                <w:i/>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的较小值。</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3 </w:t>
      </w:r>
      <w:r>
        <w:rPr>
          <w:rFonts w:hint="eastAsia" w:asciiTheme="minorEastAsia" w:hAnsiTheme="minorEastAsia" w:cstheme="minorEastAsia"/>
          <w:color w:val="000000" w:themeColor="text1"/>
          <w:szCs w:val="21"/>
          <w14:textFill>
            <w14:solidFill>
              <w14:schemeClr w14:val="tx1"/>
            </w14:solidFill>
          </w14:textFill>
        </w:rPr>
        <w:t>甲壳柱与甲壳梁连接节点的受剪承载力应符合下列公式：</w:t>
      </w:r>
    </w:p>
    <w:p>
      <w:pPr>
        <w:ind w:firstLine="420" w:firstLineChars="200"/>
        <w:rPr>
          <w:rFonts w:ascii="宋体" w:hAnsi="宋体" w:eastAsia="宋体"/>
          <w:color w:val="000000" w:themeColor="text1"/>
          <w:szCs w:val="21"/>
          <w14:textFill>
            <w14:solidFill>
              <w14:schemeClr w14:val="tx1"/>
            </w14:solidFill>
          </w14:textFill>
        </w:rPr>
      </w:pPr>
      <m:oMathPara>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u</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γ</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RE</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begChr m:val="（"/>
              <m:endChr m:val="）"/>
              <m:ctrlPr>
                <w:rPr>
                  <w:rFonts w:ascii="Cambria Math" w:hAnsi="Cambria Math" w:eastAsia="宋体"/>
                  <w:color w:val="000000" w:themeColor="text1"/>
                  <w:szCs w:val="21"/>
                  <w14:textFill>
                    <w14:solidFill>
                      <w14:schemeClr w14:val="tx1"/>
                    </w14:solidFill>
                  </w14:textFill>
                </w:rPr>
              </m:ctrlPr>
            </m:dPr>
            <m:e>
              <m:r>
                <m:rPr>
                  <m:sty m:val="p"/>
                </m:rPr>
                <w:rPr>
                  <w:rFonts w:ascii="Cambria Math" w:hAnsi="Cambria Math" w:eastAsia="宋体"/>
                  <w:color w:val="000000" w:themeColor="text1"/>
                  <w:szCs w:val="21"/>
                  <w14:textFill>
                    <w14:solidFill>
                      <w14:schemeClr w14:val="tx1"/>
                    </w14:solidFill>
                  </w14:textFill>
                </w:rPr>
                <m:t>1.1</m:t>
              </m:r>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t</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r>
                <m:rPr>
                  <m:sty m:val="p"/>
                </m:rPr>
                <w:rPr>
                  <w:rFonts w:ascii="Cambria Math" w:hAnsi="Cambria Math" w:eastAsia="宋体"/>
                  <w:color w:val="000000" w:themeColor="text1"/>
                  <w:szCs w:val="21"/>
                  <w14:textFill>
                    <w14:solidFill>
                      <w14:schemeClr w14:val="tx1"/>
                    </w14:solidFill>
                  </w14:textFill>
                </w:rPr>
                <m:t>+0.05</m:t>
              </m:r>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r>
                <m:rPr>
                  <m:sty m:val="p"/>
                </m:rPr>
                <w:rPr>
                  <w:rFonts w:ascii="Cambria Math" w:hAnsi="Cambria Math" w:eastAsia="宋体"/>
                  <w:color w:val="000000" w:themeColor="text1"/>
                  <w:szCs w:val="21"/>
                  <w14:textFill>
                    <w14:solidFill>
                      <w14:schemeClr w14:val="tx1"/>
                    </w14:solidFill>
                  </w14:textFill>
                </w:rPr>
                <m:t>N+2</m:t>
              </m:r>
              <m:sSub>
                <m:sSubPr>
                  <m:ctrlPr>
                    <w:rPr>
                      <w:rFonts w:ascii="Cambria Math" w:hAnsi="Cambria Math" w:eastAsia="宋体"/>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f</m:t>
                  </m:r>
                  <m:ctrlPr>
                    <w:rPr>
                      <w:rFonts w:ascii="Cambria Math" w:hAnsi="Cambria Math" w:eastAsia="宋体"/>
                      <w:color w:val="000000" w:themeColor="text1"/>
                      <w:szCs w:val="21"/>
                      <w14:textFill>
                        <w14:solidFill>
                          <w14:schemeClr w14:val="tx1"/>
                        </w14:solidFill>
                      </w14:textFill>
                    </w:rPr>
                  </m:ctrlPr>
                </m:e>
                <m:sub>
                  <m:r>
                    <w:rPr>
                      <w:rFonts w:hint="eastAsia" w:ascii="Cambria Math" w:hAnsi="Cambria Math" w:eastAsia="宋体"/>
                      <w:color w:val="000000" w:themeColor="text1"/>
                      <w:szCs w:val="21"/>
                      <w14:textFill>
                        <w14:solidFill>
                          <w14:schemeClr w14:val="tx1"/>
                        </w14:solidFill>
                      </w14:textFill>
                    </w:rPr>
                    <m:t>a</m:t>
                  </m:r>
                  <m:ctrlPr>
                    <w:rPr>
                      <w:rFonts w:ascii="Cambria Math" w:hAnsi="Cambria Math" w:eastAsia="宋体"/>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bt</m:t>
              </m:r>
              <m:f>
                <m:fPr>
                  <m:ctrlPr>
                    <w:rPr>
                      <w:rFonts w:ascii="Cambria Math" w:hAnsi="Cambria Math" w:eastAsia="宋体"/>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color w:val="000000" w:themeColor="text1"/>
                      <w:szCs w:val="21"/>
                      <w14:textFill>
                        <w14:solidFill>
                          <w14:schemeClr w14:val="tx1"/>
                        </w14:solidFill>
                      </w14:textFill>
                    </w:rPr>
                  </m:ctrlPr>
                </m:num>
                <m:den>
                  <m:r>
                    <w:rPr>
                      <w:rFonts w:ascii="Cambria Math" w:hAnsi="Cambria Math" w:eastAsia="宋体"/>
                      <w:color w:val="000000" w:themeColor="text1"/>
                      <w:szCs w:val="21"/>
                      <w14:textFill>
                        <w14:solidFill>
                          <w14:schemeClr w14:val="tx1"/>
                        </w14:solidFill>
                      </w14:textFill>
                    </w:rPr>
                    <m:t>s</m:t>
                  </m:r>
                  <m:ctrlPr>
                    <w:rPr>
                      <w:rFonts w:ascii="Cambria Math" w:hAnsi="Cambria Math" w:eastAsia="宋体"/>
                      <w:color w:val="000000" w:themeColor="text1"/>
                      <w:szCs w:val="21"/>
                      <w14:textFill>
                        <w14:solidFill>
                          <w14:schemeClr w14:val="tx1"/>
                        </w14:solidFill>
                      </w14:textFill>
                    </w:rPr>
                  </m:ctrlPr>
                </m:den>
              </m:f>
              <m:ctrlPr>
                <w:rPr>
                  <w:rFonts w:ascii="Cambria Math" w:hAnsi="Cambria Math" w:eastAsia="宋体"/>
                  <w:color w:val="000000" w:themeColor="text1"/>
                  <w:szCs w:val="21"/>
                  <w14:textFill>
                    <w14:solidFill>
                      <w14:schemeClr w14:val="tx1"/>
                    </w14:solidFill>
                  </w14:textFill>
                </w:rPr>
              </m:ctrlPr>
            </m:e>
          </m:d>
        </m:oMath>
      </m:oMathPara>
    </w:p>
    <w:p>
      <w:pPr>
        <w:ind w:firstLine="1050" w:firstLineChars="500"/>
        <w:rPr>
          <w:rFonts w:ascii="宋体" w:hAnsi="宋体" w:eastAsia="宋体"/>
          <w:color w:val="000000" w:themeColor="text1"/>
          <w:szCs w:val="21"/>
          <w14:textFill>
            <w14:solidFill>
              <w14:schemeClr w14:val="tx1"/>
            </w14:solidFill>
          </w14:textFill>
        </w:rPr>
      </w:pPr>
      <w:r>
        <w:rPr>
          <w:rFonts w:ascii="宋体" w:hAnsi="宋体" w:eastAsia="宋体"/>
          <w:color w:val="000000" w:themeColor="text1"/>
          <w:szCs w:val="21"/>
          <w14:textFill>
            <w14:solidFill>
              <w14:schemeClr w14:val="tx1"/>
            </w14:solidFill>
          </w14:textFill>
        </w:rPr>
        <w:t xml:space="preserve">                                      (7.4.1-6)</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u</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——节点核心区受剪承载力；</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γ</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RE</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——承载力抗震调整系数；</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r>
          <w:rPr>
            <w:rFonts w:hint="eastAsia"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——甲壳柱角部钢管的边长、钢管壁厚；</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eastAsia="宋体"/>
            <w:color w:val="000000" w:themeColor="text1"/>
            <w:szCs w:val="21"/>
            <w14:textFill>
              <w14:solidFill>
                <w14:schemeClr w14:val="tx1"/>
              </w14:solidFill>
            </w14:textFill>
          </w:rPr>
          <m:t>b</m:t>
        </m:r>
        <m:r>
          <w:rPr>
            <w:rFonts w:hint="eastAsia" w:ascii="Cambria Math" w:hAnsi="Cambria Math" w:eastAsia="宋体"/>
            <w:color w:val="000000" w:themeColor="text1"/>
            <w:szCs w:val="21"/>
            <w14:textFill>
              <w14:solidFill>
                <w14:schemeClr w14:val="tx1"/>
              </w14:solidFill>
            </w14:textFill>
          </w:rPr>
          <m:t>、</m:t>
        </m:r>
        <m:r>
          <w:rPr>
            <w:rFonts w:ascii="Cambria Math" w:hAnsi="Cambria Math" w:eastAsia="宋体"/>
            <w:color w:val="000000" w:themeColor="text1"/>
            <w:szCs w:val="21"/>
            <w14:textFill>
              <w14:solidFill>
                <w14:schemeClr w14:val="tx1"/>
              </w14:solidFill>
            </w14:textFill>
          </w:rPr>
          <m:t>t</m:t>
        </m:r>
      </m:oMath>
      <w:r>
        <w:rPr>
          <w:rFonts w:hint="eastAsia" w:asciiTheme="minorEastAsia" w:hAnsiTheme="minorEastAsia" w:cstheme="minorEastAsia"/>
          <w:color w:val="000000" w:themeColor="text1"/>
          <w:szCs w:val="21"/>
          <w14:textFill>
            <w14:solidFill>
              <w14:schemeClr w14:val="tx1"/>
            </w14:solidFill>
          </w14:textFill>
        </w:rPr>
        <w:t>——缀板的宽度及厚度；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r>
          <w:rPr>
            <w:rFonts w:ascii="Cambria Math" w:hAnsi="Cambria Math" w:cstheme="minorEastAsia"/>
            <w:color w:val="000000" w:themeColor="text1"/>
            <w:szCs w:val="21"/>
            <w14:textFill>
              <w14:solidFill>
                <w14:schemeClr w14:val="tx1"/>
              </w14:solidFill>
            </w14:textFill>
          </w:rPr>
          <m:t>s</m:t>
        </m:r>
      </m:oMath>
      <w:r>
        <w:rPr>
          <w:rFonts w:hint="eastAsia" w:asciiTheme="minorEastAsia" w:hAnsiTheme="minorEastAsia" w:cstheme="minorEastAsia"/>
          <w:color w:val="000000" w:themeColor="text1"/>
          <w:szCs w:val="21"/>
          <w14:textFill>
            <w14:solidFill>
              <w14:schemeClr w14:val="tx1"/>
            </w14:solidFill>
          </w14:textFill>
        </w:rPr>
        <w:t>——缀板的间距；</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f</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a</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——缀板钢材的抗拉强度设计值；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——钢梁的截面高度；</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r>
          <w:rPr>
            <w:rFonts w:ascii="Cambria Math" w:hAnsi="Cambria Math" w:eastAsia="宋体"/>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——对应于考虑地震组合剪力设计值的节点上柱底部的轴向力设计值，当</w:t>
      </w:r>
      <m:oMath>
        <m:r>
          <w:rPr>
            <w:rFonts w:ascii="Cambria Math" w:hAnsi="Cambria Math" w:eastAsia="宋体"/>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为压力时,取轴向压力设计值的较小值,且不大于</w:t>
      </w:r>
      <m:oMath>
        <m:r>
          <m:rPr>
            <m:sty m:val="p"/>
          </m:rPr>
          <w:rPr>
            <w:rFonts w:ascii="Cambria Math" w:hAnsi="Cambria Math" w:eastAsia="宋体"/>
            <w:color w:val="000000" w:themeColor="text1"/>
            <w:szCs w:val="21"/>
            <w14:textFill>
              <w14:solidFill>
                <w14:schemeClr w14:val="tx1"/>
              </w14:solidFill>
            </w14:textFill>
          </w:rPr>
          <m:t>0.5</m:t>
        </m:r>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iCs/>
          <w:color w:val="000000" w:themeColor="text1"/>
          <w:szCs w:val="21"/>
          <w14:textFill>
            <w14:solidFill>
              <w14:schemeClr w14:val="tx1"/>
            </w14:solidFill>
          </w14:textFill>
        </w:rPr>
        <w:t>；当</w:t>
      </w:r>
      <m:oMath>
        <m:r>
          <w:rPr>
            <w:rFonts w:ascii="Cambria Math" w:hAnsi="Cambria Math" w:eastAsia="宋体"/>
            <w:color w:val="000000" w:themeColor="text1"/>
            <w:szCs w:val="21"/>
            <w14:textFill>
              <w14:solidFill>
                <w14:schemeClr w14:val="tx1"/>
              </w14:solidFill>
            </w14:textFill>
          </w:rPr>
          <m:t>N</m:t>
        </m:r>
      </m:oMath>
      <w:r>
        <w:rPr>
          <w:rFonts w:hint="eastAsia" w:asciiTheme="minorEastAsia" w:hAnsiTheme="minorEastAsia" w:cstheme="minorEastAsia"/>
          <w:color w:val="000000" w:themeColor="text1"/>
          <w:szCs w:val="21"/>
          <w14:textFill>
            <w14:solidFill>
              <w14:schemeClr w14:val="tx1"/>
            </w14:solidFill>
          </w14:textFill>
        </w:rPr>
        <w:t>为拉力时，取为0；</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Cs w:val="21"/>
          <w14:textFill>
            <w14:solidFill>
              <w14:schemeClr w14:val="tx1"/>
            </w14:solidFill>
          </w14:textFill>
        </w:rPr>
        <w:t xml:space="preserve"> 4 </w:t>
      </w:r>
      <w:r>
        <w:rPr>
          <w:rFonts w:hint="eastAsia" w:asciiTheme="minorEastAsia" w:hAnsiTheme="minorEastAsia" w:cstheme="minorEastAsia"/>
          <w:color w:val="000000" w:themeColor="text1"/>
          <w:szCs w:val="21"/>
          <w14:textFill>
            <w14:solidFill>
              <w14:schemeClr w14:val="tx1"/>
            </w14:solidFill>
          </w14:textFill>
        </w:rPr>
        <w:t>甲壳柱与甲壳梁的连接构造见图7</w:t>
      </w:r>
      <w:r>
        <w:rPr>
          <w:rFonts w:asciiTheme="minorEastAsia" w:hAnsiTheme="minorEastAsia" w:cstheme="minorEastAsia"/>
          <w:color w:val="000000" w:themeColor="text1"/>
          <w:szCs w:val="21"/>
          <w14:textFill>
            <w14:solidFill>
              <w14:schemeClr w14:val="tx1"/>
            </w14:solidFill>
          </w14:textFill>
        </w:rPr>
        <w:t>.4.1-2</w:t>
      </w:r>
      <w:r>
        <w:rPr>
          <w:rFonts w:hint="eastAsia" w:asciiTheme="minorEastAsia" w:hAnsiTheme="minorEastAsia" w:cstheme="minorEastAsia"/>
          <w:color w:val="000000" w:themeColor="text1"/>
          <w:szCs w:val="21"/>
          <w14:textFill>
            <w14:solidFill>
              <w14:schemeClr w14:val="tx1"/>
            </w14:solidFill>
          </w14:textFill>
        </w:rPr>
        <w:t>。甲壳梁上翼缘在甲壳柱内换成等强度的拉板，伸出柱外，与甲壳梁上翼缘通过搭接焊接连接，甲壳梁下翼缘在甲壳柱内换成两块等强度的拉板伸出柱外与下翼缘通过对接焊接。在梁高范围内设置抗剪缀板，缀板间距为1</w:t>
      </w:r>
      <w:r>
        <w:rPr>
          <w:rFonts w:asciiTheme="minorEastAsia" w:hAnsiTheme="minorEastAsia" w:cstheme="minorEastAsia"/>
          <w:color w:val="000000" w:themeColor="text1"/>
          <w:szCs w:val="21"/>
          <w14:textFill>
            <w14:solidFill>
              <w14:schemeClr w14:val="tx1"/>
            </w14:solidFill>
          </w14:textFill>
        </w:rPr>
        <w:t>00mm</w:t>
      </w:r>
      <w:r>
        <w:rPr>
          <w:rFonts w:hint="eastAsia" w:asciiTheme="minorEastAsia" w:hAnsiTheme="minorEastAsia" w:cstheme="minorEastAsia"/>
          <w:color w:val="000000" w:themeColor="text1"/>
          <w:szCs w:val="21"/>
          <w14:textFill>
            <w14:solidFill>
              <w14:schemeClr w14:val="tx1"/>
            </w14:solidFill>
          </w14:textFill>
        </w:rPr>
        <w:t>，宽度和厚度通过计算确定。甲壳梁端部变为平腹板，并在下部开设下翼缘焊接孔。</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705344" behindDoc="0" locked="0" layoutInCell="1" allowOverlap="1">
            <wp:simplePos x="0" y="0"/>
            <wp:positionH relativeFrom="column">
              <wp:posOffset>2809875</wp:posOffset>
            </wp:positionH>
            <wp:positionV relativeFrom="paragraph">
              <wp:posOffset>255270</wp:posOffset>
            </wp:positionV>
            <wp:extent cx="923925" cy="1786255"/>
            <wp:effectExtent l="0" t="0" r="0" b="444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30827" cy="1799816"/>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2133600" cy="20396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138626" cy="2044498"/>
                    </a:xfrm>
                    <a:prstGeom prst="rect">
                      <a:avLst/>
                    </a:prstGeom>
                    <a:noFill/>
                    <a:ln>
                      <a:noFill/>
                    </a:ln>
                  </pic:spPr>
                </pic:pic>
              </a:graphicData>
            </a:graphic>
          </wp:inline>
        </w:drawing>
      </w:r>
    </w:p>
    <w:p>
      <w:pPr>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670685" cy="695960"/>
            <wp:effectExtent l="0" t="0" r="571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7" cstate="print">
                      <a:extLst>
                        <a:ext uri="{28A0092B-C50C-407E-A947-70E740481C1C}">
                          <a14:useLocalDpi xmlns:a14="http://schemas.microsoft.com/office/drawing/2010/main" val="0"/>
                        </a:ext>
                      </a:extLst>
                    </a:blip>
                    <a:srcRect l="16159" t="33127" r="29001" b="14385"/>
                    <a:stretch>
                      <a:fillRect/>
                    </a:stretch>
                  </pic:blipFill>
                  <pic:spPr>
                    <a:xfrm>
                      <a:off x="0" y="0"/>
                      <a:ext cx="1677637" cy="699016"/>
                    </a:xfrm>
                    <a:prstGeom prst="rect">
                      <a:avLst/>
                    </a:prstGeom>
                    <a:noFill/>
                    <a:ln>
                      <a:noFill/>
                    </a:ln>
                  </pic:spPr>
                </pic:pic>
              </a:graphicData>
            </a:graphic>
          </wp:inline>
        </w:drawing>
      </w: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1733550" cy="6318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extLst>
                        <a:ext uri="{28A0092B-C50C-407E-A947-70E740481C1C}">
                          <a14:useLocalDpi xmlns:a14="http://schemas.microsoft.com/office/drawing/2010/main" val="0"/>
                        </a:ext>
                      </a:extLst>
                    </a:blip>
                    <a:srcRect l="30472" t="41609" r="24284" b="20482"/>
                    <a:stretch>
                      <a:fillRect/>
                    </a:stretch>
                  </pic:blipFill>
                  <pic:spPr>
                    <a:xfrm>
                      <a:off x="0" y="0"/>
                      <a:ext cx="1733550" cy="632392"/>
                    </a:xfrm>
                    <a:prstGeom prst="rect">
                      <a:avLst/>
                    </a:prstGeom>
                    <a:noFill/>
                    <a:ln>
                      <a:noFill/>
                    </a:ln>
                  </pic:spPr>
                </pic:pic>
              </a:graphicData>
            </a:graphic>
          </wp:inline>
        </w:drawing>
      </w:r>
    </w:p>
    <w:p>
      <w:pPr>
        <w:ind w:firstLine="1440" w:firstLineChars="800"/>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 xml:space="preserve">图7.4.1-2 </w:t>
      </w:r>
      <w:r>
        <w:rPr>
          <w:rFonts w:hint="eastAsia" w:ascii="黑体" w:hAnsi="黑体" w:eastAsia="黑体" w:cstheme="minorEastAsia"/>
          <w:color w:val="000000" w:themeColor="text1"/>
          <w:sz w:val="18"/>
          <w:szCs w:val="18"/>
          <w14:textFill>
            <w14:solidFill>
              <w14:schemeClr w14:val="tx1"/>
            </w14:solidFill>
          </w14:textFill>
        </w:rPr>
        <w:t>甲壳柱-甲壳梁节点连接示意图</w:t>
      </w:r>
    </w:p>
    <w:p>
      <w:pP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1</w:t>
      </w:r>
      <w:r>
        <w:rPr>
          <w:rFonts w:asciiTheme="minorEastAsia" w:hAnsiTheme="minorEastAsia" w:cstheme="minorEastAsia"/>
          <w:color w:val="000000" w:themeColor="text1"/>
          <w:sz w:val="18"/>
          <w:szCs w:val="18"/>
          <w14:textFill>
            <w14:solidFill>
              <w14:schemeClr w14:val="tx1"/>
            </w14:solidFill>
          </w14:textFill>
        </w:rPr>
        <w:t>.</w:t>
      </w:r>
      <w:r>
        <w:rPr>
          <w:rFonts w:hint="eastAsia" w:asciiTheme="minorEastAsia" w:hAnsiTheme="minorEastAsia" w:cstheme="minorEastAsia"/>
          <w:color w:val="000000" w:themeColor="text1"/>
          <w:sz w:val="18"/>
          <w:szCs w:val="18"/>
          <w14:textFill>
            <w14:solidFill>
              <w14:schemeClr w14:val="tx1"/>
            </w14:solidFill>
          </w14:textFill>
        </w:rPr>
        <w:t>甲壳柱角部钢管；</w:t>
      </w:r>
      <w:r>
        <w:rPr>
          <w:rFonts w:asciiTheme="minorEastAsia" w:hAnsiTheme="minorEastAsia" w:cstheme="minorEastAsia"/>
          <w:color w:val="000000" w:themeColor="text1"/>
          <w:sz w:val="18"/>
          <w:szCs w:val="18"/>
          <w14:textFill>
            <w14:solidFill>
              <w14:schemeClr w14:val="tx1"/>
            </w14:solidFill>
          </w14:textFill>
        </w:rPr>
        <w:t>2.</w:t>
      </w:r>
      <w:r>
        <w:rPr>
          <w:rFonts w:hint="eastAsia" w:asciiTheme="minorEastAsia" w:hAnsiTheme="minorEastAsia" w:cstheme="minorEastAsia"/>
          <w:color w:val="000000" w:themeColor="text1"/>
          <w:sz w:val="18"/>
          <w:szCs w:val="18"/>
          <w14:textFill>
            <w14:solidFill>
              <w14:schemeClr w14:val="tx1"/>
            </w14:solidFill>
          </w14:textFill>
        </w:rPr>
        <w:t>甲壳柱波纹侧板；</w:t>
      </w:r>
      <w:r>
        <w:rPr>
          <w:rFonts w:asciiTheme="minorEastAsia" w:hAnsiTheme="minorEastAsia" w:cstheme="minorEastAsia"/>
          <w:color w:val="000000" w:themeColor="text1"/>
          <w:sz w:val="18"/>
          <w:szCs w:val="18"/>
          <w14:textFill>
            <w14:solidFill>
              <w14:schemeClr w14:val="tx1"/>
            </w14:solidFill>
          </w14:textFill>
        </w:rPr>
        <w:t>3.</w:t>
      </w:r>
      <w:r>
        <w:rPr>
          <w:rFonts w:hint="eastAsia" w:asciiTheme="minorEastAsia" w:hAnsiTheme="minorEastAsia" w:cstheme="minorEastAsia"/>
          <w:color w:val="000000" w:themeColor="text1"/>
          <w:sz w:val="18"/>
          <w:szCs w:val="18"/>
          <w14:textFill>
            <w14:solidFill>
              <w14:schemeClr w14:val="tx1"/>
            </w14:solidFill>
          </w14:textFill>
        </w:rPr>
        <w:t>甲壳梁下翼缘；</w:t>
      </w:r>
      <w:r>
        <w:rPr>
          <w:rFonts w:asciiTheme="minorEastAsia" w:hAnsiTheme="minorEastAsia" w:cstheme="minorEastAsia"/>
          <w:color w:val="000000" w:themeColor="text1"/>
          <w:sz w:val="18"/>
          <w:szCs w:val="18"/>
          <w14:textFill>
            <w14:solidFill>
              <w14:schemeClr w14:val="tx1"/>
            </w14:solidFill>
          </w14:textFill>
        </w:rPr>
        <w:t>4.</w:t>
      </w:r>
      <w:r>
        <w:rPr>
          <w:rFonts w:hint="eastAsia" w:asciiTheme="minorEastAsia" w:hAnsiTheme="minorEastAsia" w:cstheme="minorEastAsia"/>
          <w:color w:val="000000" w:themeColor="text1"/>
          <w:sz w:val="18"/>
          <w:szCs w:val="18"/>
          <w14:textFill>
            <w14:solidFill>
              <w14:schemeClr w14:val="tx1"/>
            </w14:solidFill>
          </w14:textFill>
        </w:rPr>
        <w:t>甲壳梁波纹腹板；</w:t>
      </w:r>
    </w:p>
    <w:p>
      <w:pPr>
        <w:rPr>
          <w:rFonts w:asciiTheme="minorEastAsia" w:hAnsiTheme="minorEastAsia" w:cstheme="minorEastAsia"/>
          <w:color w:val="000000" w:themeColor="text1"/>
          <w:sz w:val="18"/>
          <w:szCs w:val="18"/>
          <w14:textFill>
            <w14:solidFill>
              <w14:schemeClr w14:val="tx1"/>
            </w14:solidFill>
          </w14:textFill>
        </w:rPr>
      </w:pPr>
      <w:r>
        <w:rPr>
          <w:rFonts w:asciiTheme="minorEastAsia" w:hAnsiTheme="minorEastAsia" w:cstheme="minorEastAsia"/>
          <w:color w:val="000000" w:themeColor="text1"/>
          <w:sz w:val="18"/>
          <w:szCs w:val="18"/>
          <w14:textFill>
            <w14:solidFill>
              <w14:schemeClr w14:val="tx1"/>
            </w14:solidFill>
          </w14:textFill>
        </w:rPr>
        <w:t>5.</w:t>
      </w:r>
      <w:r>
        <w:rPr>
          <w:rFonts w:hint="eastAsia" w:asciiTheme="minorEastAsia" w:hAnsiTheme="minorEastAsia" w:cstheme="minorEastAsia"/>
          <w:color w:val="000000" w:themeColor="text1"/>
          <w:sz w:val="18"/>
          <w:szCs w:val="18"/>
          <w14:textFill>
            <w14:solidFill>
              <w14:schemeClr w14:val="tx1"/>
            </w14:solidFill>
          </w14:textFill>
        </w:rPr>
        <w:t>甲壳梁上翼缘；</w:t>
      </w:r>
      <w:r>
        <w:rPr>
          <w:rFonts w:asciiTheme="minorEastAsia" w:hAnsiTheme="minorEastAsia" w:cstheme="minorEastAsia"/>
          <w:color w:val="000000" w:themeColor="text1"/>
          <w:sz w:val="18"/>
          <w:szCs w:val="18"/>
          <w14:textFill>
            <w14:solidFill>
              <w14:schemeClr w14:val="tx1"/>
            </w14:solidFill>
          </w14:textFill>
        </w:rPr>
        <w:t>6.</w:t>
      </w:r>
      <w:r>
        <w:rPr>
          <w:rFonts w:hint="eastAsia" w:asciiTheme="minorEastAsia" w:hAnsiTheme="minorEastAsia" w:cstheme="minorEastAsia"/>
          <w:color w:val="000000" w:themeColor="text1"/>
          <w:sz w:val="18"/>
          <w:szCs w:val="18"/>
          <w14:textFill>
            <w14:solidFill>
              <w14:schemeClr w14:val="tx1"/>
            </w14:solidFill>
          </w14:textFill>
        </w:rPr>
        <w:t>抗剪缀板；</w:t>
      </w:r>
      <w:r>
        <w:rPr>
          <w:rFonts w:asciiTheme="minorEastAsia" w:hAnsiTheme="minorEastAsia" w:cstheme="minorEastAsia"/>
          <w:color w:val="000000" w:themeColor="text1"/>
          <w:sz w:val="18"/>
          <w:szCs w:val="18"/>
          <w14:textFill>
            <w14:solidFill>
              <w14:schemeClr w14:val="tx1"/>
            </w14:solidFill>
          </w14:textFill>
        </w:rPr>
        <w:t>7</w:t>
      </w:r>
      <w:r>
        <w:rPr>
          <w:rFonts w:hint="eastAsia" w:asciiTheme="minorEastAsia" w:hAnsiTheme="minorEastAsia" w:cstheme="minorEastAsia"/>
          <w:color w:val="000000" w:themeColor="text1"/>
          <w:sz w:val="18"/>
          <w:szCs w:val="18"/>
          <w14:textFill>
            <w14:solidFill>
              <w14:schemeClr w14:val="tx1"/>
            </w14:solidFill>
          </w14:textFill>
        </w:rPr>
        <w:t>、8</w:t>
      </w:r>
      <w:r>
        <w:rPr>
          <w:rFonts w:asciiTheme="minorEastAsia" w:hAnsiTheme="minorEastAsia" w:cstheme="minorEastAsia"/>
          <w:color w:val="000000" w:themeColor="text1"/>
          <w:sz w:val="18"/>
          <w:szCs w:val="18"/>
          <w14:textFill>
            <w14:solidFill>
              <w14:schemeClr w14:val="tx1"/>
            </w14:solidFill>
          </w14:textFill>
        </w:rPr>
        <w:t>.</w:t>
      </w:r>
      <w:r>
        <w:rPr>
          <w:rFonts w:hint="eastAsia" w:asciiTheme="minorEastAsia" w:hAnsiTheme="minorEastAsia" w:cstheme="minorEastAsia"/>
          <w:color w:val="000000" w:themeColor="text1"/>
          <w:sz w:val="18"/>
          <w:szCs w:val="18"/>
          <w14:textFill>
            <w14:solidFill>
              <w14:schemeClr w14:val="tx1"/>
            </w14:solidFill>
          </w14:textFill>
        </w:rPr>
        <w:t>下翼缘连接板；</w:t>
      </w:r>
      <w:r>
        <w:rPr>
          <w:rFonts w:asciiTheme="minorEastAsia" w:hAnsiTheme="minorEastAsia" w:cstheme="minorEastAsia"/>
          <w:color w:val="000000" w:themeColor="text1"/>
          <w:sz w:val="18"/>
          <w:szCs w:val="18"/>
          <w14:textFill>
            <w14:solidFill>
              <w14:schemeClr w14:val="tx1"/>
            </w14:solidFill>
          </w14:textFill>
        </w:rPr>
        <w:t>9.</w:t>
      </w:r>
      <w:r>
        <w:rPr>
          <w:rFonts w:hint="eastAsia" w:asciiTheme="minorEastAsia" w:hAnsiTheme="minorEastAsia" w:cstheme="minorEastAsia"/>
          <w:color w:val="000000" w:themeColor="text1"/>
          <w:sz w:val="18"/>
          <w:szCs w:val="18"/>
          <w14:textFill>
            <w14:solidFill>
              <w14:schemeClr w14:val="tx1"/>
            </w14:solidFill>
          </w14:textFill>
        </w:rPr>
        <w:t>上翼缘连接板板；</w:t>
      </w:r>
    </w:p>
    <w:p>
      <w:pPr>
        <w:rPr>
          <w:rFonts w:hint="eastAsia"/>
          <w:color w:val="4F81BD" w:themeColor="accent1"/>
          <w:lang w:val="en-US" w:eastAsia="zh-CN"/>
          <w14:textFill>
            <w14:solidFill>
              <w14:schemeClr w14:val="accent1"/>
            </w14:solidFill>
          </w14:textFill>
        </w:rPr>
      </w:pPr>
    </w:p>
    <w:p>
      <w:pPr>
        <w:ind w:firstLine="420" w:firstLineChars="200"/>
        <w:rPr>
          <w:rFonts w:hint="eastAsia"/>
          <w:color w:val="4F81BD" w:themeColor="accent1"/>
          <w:lang w:val="en-US" w:eastAsia="zh-CN"/>
          <w14:textFill>
            <w14:solidFill>
              <w14:schemeClr w14:val="accent1"/>
            </w14:solidFill>
          </w14:textFill>
        </w:rPr>
      </w:pPr>
      <w:r>
        <w:rPr>
          <w:rFonts w:hint="eastAsia"/>
          <w:color w:val="0070C0"/>
          <w:lang w:val="en-US" w:eastAsia="zh-CN"/>
        </w:rPr>
        <w:t>条文说明：7.4.1 甲壳柱-甲壳梁的节点计算，执行《建筑抗震设计规范》中关于钢筋混凝土梁柱节点的规定。结构试验表明，节点的承载力计算公式时可靠的，节点的构造满足“强节点弱杆件”的抗震设计原则。施工时需重点保证甲壳梁下翼缘钢板与下翼缘连接板的焊接质量，下翼缘板的底部宜与连接板的底部齐平。</w:t>
      </w:r>
    </w:p>
    <w:p>
      <w:pPr>
        <w:ind w:firstLine="420" w:firstLineChars="200"/>
        <w:rPr>
          <w:rFonts w:hint="default"/>
          <w:color w:val="4F81BD" w:themeColor="accent1"/>
          <w:lang w:val="en-US" w:eastAsia="zh-CN"/>
          <w14:textFill>
            <w14:solidFill>
              <w14:schemeClr w14:val="accent1"/>
            </w14:solidFill>
          </w14:textFill>
        </w:rPr>
      </w:pPr>
    </w:p>
    <w:p>
      <w:pPr>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.4.2 </w:t>
      </w:r>
      <w:r>
        <w:rPr>
          <w:rFonts w:hint="eastAsia" w:asciiTheme="minorEastAsia" w:hAnsiTheme="minorEastAsia" w:cstheme="minorEastAsia"/>
          <w:color w:val="000000" w:themeColor="text1"/>
          <w:szCs w:val="21"/>
          <w14:textFill>
            <w14:solidFill>
              <w14:schemeClr w14:val="tx1"/>
            </w14:solidFill>
          </w14:textFill>
        </w:rPr>
        <w:t>甲壳柱-钢梁连接节点应符合下列规定：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考虑地震作用组合的甲壳柱与钢梁连接节点的剪力设计值应按下列公式计算：</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 一级抗震等级的框架顶层中间节点和端节点：</w:t>
      </w:r>
    </w:p>
    <w:p>
      <w:pPr>
        <w:ind w:firstLine="945" w:firstLineChars="4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1.15</m:t>
            </m:r>
            <m:d>
              <m:dPr>
                <m:ctrlPr>
                  <w:rPr>
                    <w:rFonts w:ascii="Cambria Math" w:hAnsi="Cambria Math" w:eastAsia="宋体"/>
                    <w:i/>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pb1</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pb2</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(7.4.2-1)</w:t>
      </w:r>
    </w:p>
    <w:p>
      <w:pPr>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一级抗震等级的框架</w:t>
      </w:r>
      <w:r>
        <w:rPr>
          <w:rFonts w:hint="eastAsia" w:ascii="宋体" w:hAnsi="宋体" w:eastAsia="宋体"/>
          <w:color w:val="000000" w:themeColor="text1"/>
          <w:szCs w:val="21"/>
          <w14:textFill>
            <w14:solidFill>
              <w14:schemeClr w14:val="tx1"/>
            </w14:solidFill>
          </w14:textFill>
        </w:rPr>
        <w:t>其它层中间节点和端节点:</w:t>
      </w:r>
    </w:p>
    <w:p>
      <w:pPr>
        <w:ind w:firstLine="945" w:firstLineChars="45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1.15</m:t>
            </m:r>
            <m:d>
              <m:dPr>
                <m:begChr m:val="（"/>
                <m:endChr m:val="）"/>
                <m:ctrlPr>
                  <w:rPr>
                    <w:rFonts w:ascii="Cambria Math" w:hAnsi="Cambria Math" w:eastAsia="宋体"/>
                    <w:color w:val="000000" w:themeColor="text1"/>
                    <w:szCs w:val="21"/>
                    <w14:textFill>
                      <w14:solidFill>
                        <w14:schemeClr w14:val="tx1"/>
                      </w14:solidFill>
                    </w14:textFill>
                  </w:rPr>
                </m:ctrlPr>
              </m:dPr>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pb1</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pb2</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color w:val="000000" w:themeColor="text1"/>
                    <w:szCs w:val="21"/>
                    <w14:textFill>
                      <w14:solidFill>
                        <w14:schemeClr w14:val="tx1"/>
                      </w14:solidFill>
                    </w14:textFill>
                  </w:rPr>
                </m:ctrlPr>
              </m:e>
            </m:d>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begChr m:val="（"/>
            <m:endChr m:val="）"/>
            <m:ctrlPr>
              <w:rPr>
                <w:rFonts w:ascii="Cambria Math" w:hAnsi="Cambria Math" w:eastAsia="宋体"/>
                <w:color w:val="000000" w:themeColor="text1"/>
                <w:szCs w:val="21"/>
                <w14:textFill>
                  <w14:solidFill>
                    <w14:schemeClr w14:val="tx1"/>
                  </w14:solidFill>
                </w14:textFill>
              </w:rPr>
            </m:ctrlPr>
          </m:dPr>
          <m:e>
            <m:r>
              <m:rPr>
                <m:sty m:val="p"/>
              </m:rPr>
              <w:rPr>
                <w:rFonts w:ascii="Cambria Math" w:hAnsi="Cambria Math" w:eastAsia="宋体"/>
                <w:color w:val="000000" w:themeColor="text1"/>
                <w:szCs w:val="21"/>
                <w14:textFill>
                  <w14:solidFill>
                    <w14:schemeClr w14:val="tx1"/>
                  </w14:solidFill>
                </w14:textFill>
              </w:rPr>
              <m:t>1-</m:t>
            </m:r>
            <m:f>
              <m:fPr>
                <m:ctrlPr>
                  <w:rPr>
                    <w:rFonts w:ascii="Cambria Math" w:hAnsi="Cambria Math" w:eastAsia="宋体"/>
                    <w:iCs/>
                    <w:color w:val="000000" w:themeColor="text1"/>
                    <w:szCs w:val="21"/>
                    <w14:textFill>
                      <w14:solidFill>
                        <w14:schemeClr w14:val="tx1"/>
                      </w14:solidFill>
                    </w14:textFill>
                  </w:rPr>
                </m:ctrlPr>
              </m:fPr>
              <m:num>
                <m:sSub>
                  <m:sSubPr>
                    <m:ctrlPr>
                      <w:rPr>
                        <w:rFonts w:ascii="Cambria Math" w:hAnsi="Cambria Math" w:eastAsia="宋体"/>
                        <w:i/>
                        <w:iCs/>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iCs/>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iCs/>
                        <w:color w:val="000000" w:themeColor="text1"/>
                        <w:szCs w:val="21"/>
                        <w14:textFill>
                          <w14:solidFill>
                            <w14:schemeClr w14:val="tx1"/>
                          </w14:solidFill>
                        </w14:textFill>
                      </w:rPr>
                    </m:ctrlPr>
                  </m:sub>
                </m:sSub>
                <m:ctrlPr>
                  <w:rPr>
                    <w:rFonts w:ascii="Cambria Math" w:hAnsi="Cambria Math" w:eastAsia="宋体"/>
                    <w:iCs/>
                    <w:color w:val="000000" w:themeColor="text1"/>
                    <w:szCs w:val="21"/>
                    <w14:textFill>
                      <w14:solidFill>
                        <w14:schemeClr w14:val="tx1"/>
                      </w14:solidFill>
                    </w14:textFill>
                  </w:rPr>
                </m:ctrlPr>
              </m:num>
              <m:den>
                <m:sSub>
                  <m:sSubPr>
                    <m:ctrlPr>
                      <w:rPr>
                        <w:rFonts w:ascii="Cambria Math" w:hAnsi="Cambria Math" w:eastAsia="宋体"/>
                        <w:i/>
                        <w:iCs/>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iCs/>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iCs/>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iCs/>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iCs/>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iCs/>
                        <w:color w:val="000000" w:themeColor="text1"/>
                        <w:szCs w:val="21"/>
                        <w14:textFill>
                          <w14:solidFill>
                            <w14:schemeClr w14:val="tx1"/>
                          </w14:solidFill>
                        </w14:textFill>
                      </w:rPr>
                    </m:ctrlPr>
                  </m:sub>
                </m:sSub>
                <m:ctrlPr>
                  <w:rPr>
                    <w:rFonts w:ascii="Cambria Math" w:hAnsi="Cambria Math" w:eastAsia="宋体"/>
                    <w:iCs/>
                    <w:color w:val="000000" w:themeColor="text1"/>
                    <w:szCs w:val="21"/>
                    <w14:textFill>
                      <w14:solidFill>
                        <w14:schemeClr w14:val="tx1"/>
                      </w14:solidFill>
                    </w14:textFill>
                  </w:rPr>
                </m:ctrlPr>
              </m:den>
            </m:f>
            <m:ctrlPr>
              <w:rPr>
                <w:rFonts w:ascii="Cambria Math" w:hAnsi="Cambria Math" w:eastAsia="宋体"/>
                <w:color w:val="000000" w:themeColor="text1"/>
                <w:szCs w:val="21"/>
                <w14:textFill>
                  <w14:solidFill>
                    <w14:schemeClr w14:val="tx1"/>
                  </w14:solidFill>
                </w14:textFill>
              </w:rPr>
            </m:ctrlPr>
          </m:e>
        </m:d>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(7.4.2-2)</w:t>
      </w:r>
    </w:p>
    <w:p>
      <w:pPr>
        <w:ind w:firstLine="630" w:firstLineChars="300"/>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 二、三、四级抗震等级的框架顶层中间节点及端节点：</w:t>
      </w:r>
    </w:p>
    <w:p>
      <w:pPr>
        <w:rPr>
          <w:rFonts w:ascii="宋体" w:hAnsi="宋体" w:eastAsia="宋体"/>
          <w:color w:val="000000" w:themeColor="text1"/>
          <w:szCs w:val="21"/>
          <w14:textFill>
            <w14:solidFill>
              <w14:schemeClr w14:val="tx1"/>
            </w14:solidFill>
          </w14:textFill>
        </w:rPr>
      </w:pPr>
      <m:oMath>
        <m:r>
          <w:rPr>
            <w:rFonts w:ascii="Cambria Math" w:hAnsi="Cambria Math" w:eastAsia="宋体"/>
            <w:color w:val="000000" w:themeColor="text1"/>
            <w:szCs w:val="21"/>
            <w14:textFill>
              <w14:solidFill>
                <w14:schemeClr w14:val="tx1"/>
              </w14:solidFill>
            </w14:textFill>
          </w:rPr>
          <m:t xml:space="preserve">                            </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oMath>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(7.4.2-3)</w:t>
      </w:r>
    </w:p>
    <w:p>
      <w:pPr>
        <w:ind w:firstLine="1050" w:firstLineChars="500"/>
        <w:rPr>
          <w:rFonts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其它层中间节点和端节点</w:t>
      </w:r>
    </w:p>
    <w:p>
      <w:pPr>
        <w:ind w:firstLine="1260" w:firstLineChars="60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ctrlPr>
              <w:rPr>
                <w:rFonts w:ascii="Cambria Math" w:hAnsi="Cambria Math" w:eastAsia="宋体"/>
                <w:i/>
                <w:color w:val="000000" w:themeColor="text1"/>
                <w:szCs w:val="21"/>
                <w14:textFill>
                  <w14:solidFill>
                    <w14:schemeClr w14:val="tx1"/>
                  </w14:solidFill>
                </w14:textFill>
              </w:rPr>
            </m:ctrlPr>
          </m:dPr>
          <m:e>
            <m:r>
              <w:rPr>
                <w:rFonts w:ascii="Cambria Math" w:hAnsi="Cambria Math" w:eastAsia="宋体"/>
                <w:color w:val="000000" w:themeColor="text1"/>
                <w:szCs w:val="21"/>
                <w14:textFill>
                  <w14:solidFill>
                    <w14:schemeClr w14:val="tx1"/>
                  </w14:solidFill>
                </w14:textFill>
              </w:rPr>
              <m:t>1-</m:t>
            </m:r>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ctrlPr>
              <w:rPr>
                <w:rFonts w:ascii="Cambria Math" w:hAnsi="Cambria Math" w:eastAsia="宋体"/>
                <w:i/>
                <w:color w:val="000000" w:themeColor="text1"/>
                <w:szCs w:val="21"/>
                <w14:textFill>
                  <w14:solidFill>
                    <w14:schemeClr w14:val="tx1"/>
                  </w14:solidFill>
                </w14:textFill>
              </w:rPr>
            </m:ctrlPr>
          </m:e>
        </m:d>
      </m:oMath>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(7.4.2-4)</w:t>
      </w:r>
    </w:p>
    <w:p>
      <w:pPr>
        <w:rPr>
          <w:rFonts w:ascii="宋体" w:hAnsi="宋体" w:eastAsia="宋体"/>
          <w:color w:val="000000" w:themeColor="text1"/>
          <w:szCs w:val="21"/>
          <w14:textFill>
            <w14:solidFill>
              <w14:schemeClr w14:val="tx1"/>
            </w14:solidFill>
          </w14:textFill>
        </w:rPr>
      </w:pPr>
    </w:p>
    <w:p>
      <w:pPr>
        <w:ind w:firstLine="210" w:firstLineChars="100"/>
        <w:rPr>
          <w:rFonts w:ascii="宋体" w:hAnsi="宋体" w:eastAsia="宋体"/>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7392" behindDoc="0" locked="0" layoutInCell="1" allowOverlap="1">
            <wp:simplePos x="0" y="0"/>
            <wp:positionH relativeFrom="margin">
              <wp:align>right</wp:align>
            </wp:positionH>
            <wp:positionV relativeFrom="paragraph">
              <wp:posOffset>344170</wp:posOffset>
            </wp:positionV>
            <wp:extent cx="2005330" cy="130365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9" cstate="print">
                      <a:extLst>
                        <a:ext uri="{28A0092B-C50C-407E-A947-70E740481C1C}">
                          <a14:useLocalDpi xmlns:a14="http://schemas.microsoft.com/office/drawing/2010/main" val="0"/>
                        </a:ext>
                      </a:extLst>
                    </a:blip>
                    <a:srcRect l="27096" t="18641" r="24251" b="8735"/>
                    <a:stretch>
                      <a:fillRect/>
                    </a:stretch>
                  </pic:blipFill>
                  <pic:spPr>
                    <a:xfrm>
                      <a:off x="0" y="0"/>
                      <a:ext cx="2005343" cy="1303699"/>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1833245" cy="18954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 cstate="print">
                      <a:extLst>
                        <a:ext uri="{28A0092B-C50C-407E-A947-70E740481C1C}">
                          <a14:useLocalDpi xmlns:a14="http://schemas.microsoft.com/office/drawing/2010/main" val="0"/>
                        </a:ext>
                      </a:extLst>
                    </a:blip>
                    <a:srcRect l="21831" t="9320" r="43141" b="7487"/>
                    <a:stretch>
                      <a:fillRect/>
                    </a:stretch>
                  </pic:blipFill>
                  <pic:spPr>
                    <a:xfrm>
                      <a:off x="0" y="0"/>
                      <a:ext cx="1833326" cy="1895851"/>
                    </a:xfrm>
                    <a:prstGeom prst="rect">
                      <a:avLst/>
                    </a:prstGeom>
                    <a:noFill/>
                    <a:ln>
                      <a:noFill/>
                    </a:ln>
                  </pic:spPr>
                </pic:pic>
              </a:graphicData>
            </a:graphic>
          </wp:inline>
        </w:drawing>
      </w:r>
      <w:r>
        <w:rPr>
          <w:rFonts w:ascii="宋体" w:hAnsi="宋体" w:eastAsia="宋体"/>
          <w:color w:val="000000" w:themeColor="text1"/>
          <w:szCs w:val="21"/>
          <w14:textFill>
            <w14:solidFill>
              <w14:schemeClr w14:val="tx1"/>
            </w14:solidFill>
          </w14:textFill>
        </w:rPr>
        <w:t xml:space="preserve">  </w:t>
      </w:r>
    </w:p>
    <w:p>
      <w:pPr>
        <w:rPr>
          <w:rFonts w:ascii="宋体" w:hAnsi="宋体" w:eastAsia="宋体"/>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                </w:t>
      </w:r>
      <w:r>
        <w:rPr>
          <w:rFonts w:ascii="黑体" w:hAnsi="黑体" w:eastAsia="黑体" w:cstheme="minorEastAsia"/>
          <w:color w:val="000000" w:themeColor="text1"/>
          <w:sz w:val="18"/>
          <w:szCs w:val="18"/>
          <w14:textFill>
            <w14:solidFill>
              <w14:schemeClr w14:val="tx1"/>
            </w14:solidFill>
          </w14:textFill>
        </w:rPr>
        <w:t>图7.4.2-1</w:t>
      </w:r>
      <w:r>
        <w:rPr>
          <w:rFonts w:hint="eastAsia" w:ascii="黑体" w:hAnsi="黑体" w:eastAsia="黑体" w:cstheme="minorEastAsia"/>
          <w:color w:val="000000" w:themeColor="text1"/>
          <w:sz w:val="18"/>
          <w:szCs w:val="18"/>
          <w14:textFill>
            <w14:solidFill>
              <w14:schemeClr w14:val="tx1"/>
            </w14:solidFill>
          </w14:textFill>
        </w:rPr>
        <w:t>甲壳柱-钢梁刚性节点示意图</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——框架梁柱节点的剪力设计值；</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pb1</m:t>
            </m:r>
            <m:ctrlPr>
              <w:rPr>
                <w:rFonts w:ascii="Cambria Math" w:hAnsi="Cambria Math" w:eastAsia="宋体"/>
                <w:i/>
                <w:color w:val="000000" w:themeColor="text1"/>
                <w:szCs w:val="21"/>
                <w14:textFill>
                  <w14:solidFill>
                    <w14:schemeClr w14:val="tx1"/>
                  </w14:solidFill>
                </w14:textFill>
              </w:rPr>
            </m:ctrlPr>
          </m:sub>
        </m:sSub>
        <m:r>
          <w:rPr>
            <w:rFonts w:hint="eastAsia"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pb2</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——节点两侧梁的全塑性受弯承载力；</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nary>
          <m:naryPr>
            <m:chr m:val="∑"/>
            <m:limLoc m:val="undOvr"/>
            <m:subHide m:val="1"/>
            <m:supHide m:val="1"/>
            <m:ctrlPr>
              <w:rPr>
                <w:rFonts w:ascii="Cambria Math" w:hAnsi="Cambria Math" w:eastAsia="宋体"/>
                <w:i/>
                <w:color w:val="000000" w:themeColor="text1"/>
                <w:szCs w:val="21"/>
                <w14:textFill>
                  <w14:solidFill>
                    <w14:schemeClr w14:val="tx1"/>
                  </w14:solidFill>
                </w14:textFill>
              </w:rPr>
            </m:ctrlPr>
          </m:naryPr>
          <m:sub>
            <m:ctrlPr>
              <w:rPr>
                <w:rFonts w:ascii="Cambria Math" w:hAnsi="Cambria Math" w:eastAsia="宋体"/>
                <w:i/>
                <w:color w:val="000000" w:themeColor="text1"/>
                <w:szCs w:val="21"/>
                <w14:textFill>
                  <w14:solidFill>
                    <w14:schemeClr w14:val="tx1"/>
                  </w14:solidFill>
                </w14:textFill>
              </w:rPr>
            </m:ctrlPr>
          </m:sub>
          <m:sup>
            <m:ctrlPr>
              <w:rPr>
                <w:rFonts w:ascii="Cambria Math" w:hAnsi="Cambria Math" w:eastAsia="宋体"/>
                <w:i/>
                <w:color w:val="000000" w:themeColor="text1"/>
                <w:szCs w:val="21"/>
                <w14:textFill>
                  <w14:solidFill>
                    <w14:schemeClr w14:val="tx1"/>
                  </w14:solidFill>
                </w14:textFill>
              </w:rPr>
            </m:ctrlPr>
          </m:sup>
          <m:e>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M</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nary>
      </m:oMath>
      <w:r>
        <w:rPr>
          <w:rFonts w:hint="eastAsia" w:asciiTheme="minorEastAsia" w:hAnsiTheme="minorEastAsia" w:cstheme="minorEastAsia"/>
          <w:color w:val="000000" w:themeColor="text1"/>
          <w:szCs w:val="21"/>
          <w14:textFill>
            <w14:solidFill>
              <w14:schemeClr w14:val="tx1"/>
            </w14:solidFill>
          </w14:textFill>
        </w:rPr>
        <w:t>——节点左右两侧梁端反时针或顺时针弯矩设计值之和；</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——钢梁截面高度，节点两侧梁高不等时，取其平均高度；</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——柱的计算高度，可取节点上下反弯点之间的距离；</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η</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jb</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bookmarkStart w:id="79" w:name="_Hlk29387000"/>
      <w:r>
        <w:rPr>
          <w:rFonts w:hint="eastAsia" w:asciiTheme="minorEastAsia" w:hAnsiTheme="minorEastAsia" w:cstheme="minorEastAsia"/>
          <w:color w:val="000000" w:themeColor="text1"/>
          <w:szCs w:val="21"/>
          <w14:textFill>
            <w14:solidFill>
              <w14:schemeClr w14:val="tx1"/>
            </w14:solidFill>
          </w14:textFill>
        </w:rPr>
        <w:t>节点剪力增大系数，二级取1</w:t>
      </w:r>
      <w:r>
        <w:rPr>
          <w:rFonts w:asciiTheme="minorEastAsia" w:hAnsiTheme="minorEastAsia" w:cstheme="minorEastAsia"/>
          <w:color w:val="000000" w:themeColor="text1"/>
          <w:szCs w:val="21"/>
          <w14:textFill>
            <w14:solidFill>
              <w14:schemeClr w14:val="tx1"/>
            </w14:solidFill>
          </w14:textFill>
        </w:rPr>
        <w:t>.35</w:t>
      </w:r>
      <w:r>
        <w:rPr>
          <w:rFonts w:hint="eastAsia" w:asciiTheme="minorEastAsia" w:hAnsiTheme="minorEastAsia" w:cstheme="minorEastAsia"/>
          <w:color w:val="000000" w:themeColor="text1"/>
          <w:szCs w:val="21"/>
          <w14:textFill>
            <w14:solidFill>
              <w14:schemeClr w14:val="tx1"/>
            </w14:solidFill>
          </w14:textFill>
        </w:rPr>
        <w:t>，三级取1</w:t>
      </w:r>
      <w:r>
        <w:rPr>
          <w:rFonts w:asciiTheme="minorEastAsia" w:hAnsiTheme="minorEastAsia" w:cstheme="minorEastAsia"/>
          <w:color w:val="000000" w:themeColor="text1"/>
          <w:szCs w:val="21"/>
          <w14:textFill>
            <w14:solidFill>
              <w14:schemeClr w14:val="tx1"/>
            </w14:solidFill>
          </w14:textFill>
        </w:rPr>
        <w:t>.20</w:t>
      </w:r>
      <w:r>
        <w:rPr>
          <w:rFonts w:hint="eastAsia" w:asciiTheme="minorEastAsia" w:hAnsiTheme="minorEastAsia" w:cstheme="minorEastAsia"/>
          <w:color w:val="000000" w:themeColor="text1"/>
          <w:szCs w:val="21"/>
          <w14:textFill>
            <w14:solidFill>
              <w14:schemeClr w14:val="tx1"/>
            </w14:solidFill>
          </w14:textFill>
        </w:rPr>
        <w:t>；四级取1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w:t>
      </w:r>
      <w:bookmarkEnd w:id="79"/>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考虑地震作用组合的甲壳柱与钢梁连接节点，其核心区的受剪水平截面应符合下列规定：</w:t>
      </w:r>
    </w:p>
    <w:p>
      <w:pPr>
        <w:rPr>
          <w:rFonts w:asciiTheme="minorEastAsia" w:hAnsiTheme="minorEastAsia" w:cstheme="minorEastAsia"/>
          <w:iCs/>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V</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j</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m:t>
        </m:r>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γ</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RE</m:t>
                </m:r>
                <m:ctrlPr>
                  <w:rPr>
                    <w:rFonts w:ascii="Cambria Math" w:hAnsi="Cambria Math" w:cstheme="minorEastAsia"/>
                    <w:i/>
                    <w:color w:val="000000" w:themeColor="text1"/>
                    <w:szCs w:val="21"/>
                    <w14:textFill>
                      <w14:solidFill>
                        <w14:schemeClr w14:val="tx1"/>
                      </w14:solidFill>
                    </w14:textFill>
                  </w:rPr>
                </m:ctrlPr>
              </m:sub>
            </m:sSub>
            <m:ctrlPr>
              <w:rPr>
                <w:rFonts w:ascii="Cambria Math" w:hAnsi="Cambria Math" w:cstheme="minorEastAsia"/>
                <w:i/>
                <w:color w:val="000000" w:themeColor="text1"/>
                <w:szCs w:val="21"/>
                <w14:textFill>
                  <w14:solidFill>
                    <w14:schemeClr w14:val="tx1"/>
                  </w14:solidFill>
                </w14:textFill>
              </w:rPr>
            </m:ctrlPr>
          </m:den>
        </m:f>
        <m:d>
          <m:dPr>
            <m:ctrlPr>
              <w:rPr>
                <w:rFonts w:ascii="Cambria Math" w:hAnsi="Cambria Math" w:cstheme="minorEastAsia"/>
                <w:color w:val="000000" w:themeColor="text1"/>
                <w:szCs w:val="21"/>
                <w14:textFill>
                  <w14:solidFill>
                    <w14:schemeClr w14:val="tx1"/>
                  </w14:solidFill>
                </w14:textFill>
              </w:rPr>
            </m:ctrlPr>
          </m:dPr>
          <m:e>
            <m:r>
              <m:rPr>
                <m:sty m:val="p"/>
              </m:rPr>
              <w:rPr>
                <w:rFonts w:ascii="Cambria Math" w:hAnsi="Cambria Math" w:cstheme="minorEastAsia"/>
                <w:color w:val="000000" w:themeColor="text1"/>
                <w:szCs w:val="21"/>
                <w14:textFill>
                  <w14:solidFill>
                    <w14:schemeClr w14:val="tx1"/>
                  </w14:solidFill>
                </w14:textFill>
              </w:rPr>
              <m:t>0.36</m:t>
            </m:r>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sSub>
                  <m:sSubPr>
                    <m:ctrlPr>
                      <w:rPr>
                        <w:rFonts w:ascii="Cambria Math" w:hAnsi="Cambria Math" w:cstheme="minorEastAsia"/>
                        <w:i/>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i/>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r>
                  <w:rPr>
                    <w:rFonts w:ascii="Cambria Math" w:hAnsi="Cambria Math" w:cstheme="minorEastAsia"/>
                    <w:color w:val="000000" w:themeColor="text1"/>
                    <w:szCs w:val="21"/>
                    <w14:textFill>
                      <w14:solidFill>
                        <w14:schemeClr w14:val="tx1"/>
                      </w14:solidFill>
                    </w14:textFill>
                  </w:rPr>
                  <m:t>f</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sSub>
              <m:sSubPr>
                <m:ctrlPr>
                  <w:rPr>
                    <w:rFonts w:ascii="Cambria Math" w:hAnsi="Cambria Math" w:cstheme="minorEastAsia"/>
                    <w:iCs/>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ctrlPr>
              <w:rPr>
                <w:rFonts w:ascii="Cambria Math" w:hAnsi="Cambria Math" w:cstheme="minorEastAsia"/>
                <w:color w:val="000000" w:themeColor="text1"/>
                <w:szCs w:val="21"/>
                <w14:textFill>
                  <w14:solidFill>
                    <w14:schemeClr w14:val="tx1"/>
                  </w14:solidFill>
                </w14:textFill>
              </w:rPr>
            </m:ctrlPr>
          </m:e>
        </m:d>
      </m:oMath>
      <w:r>
        <w:rPr>
          <w:rFonts w:hint="eastAsia" w:asciiTheme="minorEastAsia" w:hAnsiTheme="minorEastAsia" w:cstheme="minorEastAsia"/>
          <w:iCs/>
          <w:color w:val="000000" w:themeColor="text1"/>
          <w:szCs w:val="21"/>
          <w14:textFill>
            <w14:solidFill>
              <w14:schemeClr w14:val="tx1"/>
            </w14:solidFill>
          </w14:textFill>
        </w:rPr>
        <w:t xml:space="preserve"> </w:t>
      </w:r>
      <w:r>
        <w:rPr>
          <w:rFonts w:asciiTheme="minorEastAsia" w:hAnsiTheme="minorEastAsia" w:cstheme="minorEastAsia"/>
          <w:iCs/>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(7.4.2-5)</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cstheme="minorEastAsia"/>
                <w:iCs/>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η</m:t>
            </m:r>
            <m:ctrlPr>
              <w:rPr>
                <w:rFonts w:ascii="Cambria Math" w:hAnsi="Cambria Math" w:cstheme="minorEastAsia"/>
                <w:iCs/>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iCs/>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——正交梁对节点的约束影响系数，取1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——节点核心区截面高度，可取受剪方向柱截面高度</w:t>
      </w:r>
      <m:oMath>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h</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cstheme="minorEastAsia"/>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b</m:t>
            </m:r>
            <m:ctrlPr>
              <w:rPr>
                <w:rFonts w:ascii="Cambria Math" w:hAnsi="Cambria Math" w:cstheme="minorEastAsia"/>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j</m:t>
            </m:r>
            <m:ctrlPr>
              <w:rPr>
                <w:rFonts w:ascii="Cambria Math" w:hAnsi="Cambria Math" w:cstheme="minorEastAsia"/>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节点核心区的截面有效验算宽度</w:t>
      </w:r>
      <w:r>
        <w:rPr>
          <w:rFonts w:hint="eastAsia" w:asciiTheme="minorEastAsia" w:hAnsiTheme="minorEastAsia" w:cstheme="minorEastAsia"/>
          <w:color w:val="000000" w:themeColor="text1"/>
          <w:szCs w:val="21"/>
          <w14:textFill>
            <w14:solidFill>
              <w14:schemeClr w14:val="tx1"/>
            </w14:solidFill>
          </w14:textFill>
        </w:rPr>
        <w:t>，取</w:t>
      </w:r>
      <m:oMath>
        <m:f>
          <m:fPr>
            <m:ctrlPr>
              <w:rPr>
                <w:rFonts w:ascii="Cambria Math" w:hAnsi="Cambria Math" w:cstheme="minorEastAsia"/>
                <w:color w:val="000000" w:themeColor="text1"/>
                <w:szCs w:val="21"/>
                <w14:textFill>
                  <w14:solidFill>
                    <w14:schemeClr w14:val="tx1"/>
                  </w14:solidFill>
                </w14:textFill>
              </w:rPr>
            </m:ctrlPr>
          </m:fPr>
          <m:num>
            <m:r>
              <m:rPr>
                <m:sty m:val="p"/>
              </m:rP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color w:val="000000" w:themeColor="text1"/>
                <w:szCs w:val="21"/>
                <w14:textFill>
                  <w14:solidFill>
                    <w14:schemeClr w14:val="tx1"/>
                  </w14:solidFill>
                </w14:textFill>
              </w:rPr>
            </m:ctrlPr>
          </m:num>
          <m:den>
            <m:r>
              <m:rPr>
                <m:sty m:val="p"/>
              </m:rP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color w:val="000000" w:themeColor="text1"/>
                <w:szCs w:val="21"/>
                <w14:textFill>
                  <w14:solidFill>
                    <w14:schemeClr w14:val="tx1"/>
                  </w14:solidFill>
                </w14:textFill>
              </w:rPr>
            </m:ctrlPr>
          </m:den>
        </m:f>
        <m:sSub>
          <m:sSubPr>
            <m:ctrlPr>
              <w:rPr>
                <w:rFonts w:ascii="Cambria Math" w:hAnsi="Cambria Math" w:cstheme="minorEastAsia"/>
                <w:i/>
                <w:color w:val="000000" w:themeColor="text1"/>
                <w:szCs w:val="21"/>
                <w14:textFill>
                  <w14:solidFill>
                    <w14:schemeClr w14:val="tx1"/>
                  </w14:solidFill>
                </w14:textFill>
              </w:rPr>
            </m:ctrlPr>
          </m:sSubPr>
          <m:e>
            <m:r>
              <w:rPr>
                <w:rFonts w:ascii="Cambria Math" w:hAnsi="Cambria Math" w:cstheme="minorEastAsia"/>
                <w:color w:val="000000" w:themeColor="text1"/>
                <w:szCs w:val="21"/>
                <w14:textFill>
                  <w14:solidFill>
                    <w14:schemeClr w14:val="tx1"/>
                  </w14:solidFill>
                </w14:textFill>
              </w:rPr>
              <m:t>b</m:t>
            </m:r>
            <m:ctrlPr>
              <w:rPr>
                <w:rFonts w:ascii="Cambria Math" w:hAnsi="Cambria Math" w:cstheme="minorEastAsia"/>
                <w:i/>
                <w:color w:val="000000" w:themeColor="text1"/>
                <w:szCs w:val="21"/>
                <w14:textFill>
                  <w14:solidFill>
                    <w14:schemeClr w14:val="tx1"/>
                  </w14:solidFill>
                </w14:textFill>
              </w:rPr>
            </m:ctrlPr>
          </m:e>
          <m:sub>
            <m:r>
              <w:rPr>
                <w:rFonts w:ascii="Cambria Math" w:hAnsi="Cambria Math" w:cstheme="minorEastAsia"/>
                <w:color w:val="000000" w:themeColor="text1"/>
                <w:szCs w:val="21"/>
                <w14:textFill>
                  <w14:solidFill>
                    <w14:schemeClr w14:val="tx1"/>
                  </w14:solidFill>
                </w14:textFill>
              </w:rPr>
              <m:t>c</m:t>
            </m:r>
            <m:ctrlPr>
              <w:rPr>
                <w:rFonts w:ascii="Cambria Math" w:hAnsi="Cambria Math" w:cstheme="minorEastAsia"/>
                <w:i/>
                <w:color w:val="000000" w:themeColor="text1"/>
                <w:szCs w:val="21"/>
                <w14:textFill>
                  <w14:solidFill>
                    <w14:schemeClr w14:val="tx1"/>
                  </w14:solidFill>
                </w14:textFill>
              </w:rPr>
            </m:ctrlPr>
          </m:sub>
        </m:sSub>
      </m:oMath>
      <w:r>
        <w:rPr>
          <w:rFonts w:asciiTheme="minorEastAsia" w:hAnsiTheme="minorEastAsia" w:cstheme="minorEastAsia"/>
          <w:color w:val="000000" w:themeColor="text1"/>
          <w:szCs w:val="21"/>
          <w14:textFill>
            <w14:solidFill>
              <w14:schemeClr w14:val="tx1"/>
            </w14:solidFill>
          </w14:textFill>
        </w:rPr>
        <w:t>;</w:t>
      </w:r>
    </w:p>
    <w:p>
      <w:pPr>
        <w:ind w:left="1260" w:leftChars="300" w:hanging="630" w:hanging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cstheme="minorEastAsia"/>
                <w:color w:val="000000" w:themeColor="text1"/>
                <w:szCs w:val="21"/>
                <w14:textFill>
                  <w14:solidFill>
                    <w14:schemeClr w14:val="tx1"/>
                  </w14:solidFill>
                </w14:textFill>
              </w:rPr>
            </m:ctrlPr>
          </m:sSubPr>
          <m:e>
            <m:r>
              <w:rPr>
                <w:rFonts w:hint="eastAsia" w:ascii="Cambria Math" w:hAnsi="Cambria Math" w:cstheme="minorEastAsia"/>
                <w:color w:val="000000" w:themeColor="text1"/>
                <w:szCs w:val="21"/>
                <w14:textFill>
                  <w14:solidFill>
                    <w14:schemeClr w14:val="tx1"/>
                  </w14:solidFill>
                </w14:textFill>
              </w:rPr>
              <m:t>β</m:t>
            </m:r>
            <m:ctrlPr>
              <w:rPr>
                <w:rFonts w:ascii="Cambria Math" w:hAnsi="Cambria Math" w:cstheme="minorEastAsia"/>
                <w:color w:val="000000" w:themeColor="text1"/>
                <w:szCs w:val="21"/>
                <w14:textFill>
                  <w14:solidFill>
                    <w14:schemeClr w14:val="tx1"/>
                  </w14:solidFill>
                </w14:textFill>
              </w:rPr>
            </m:ctrlPr>
          </m:e>
          <m:sub>
            <m:r>
              <w:rPr>
                <w:rFonts w:hint="eastAsia" w:ascii="Cambria Math" w:hAnsi="Cambria Math" w:cstheme="minorEastAsia"/>
                <w:color w:val="000000" w:themeColor="text1"/>
                <w:szCs w:val="21"/>
                <w14:textFill>
                  <w14:solidFill>
                    <w14:schemeClr w14:val="tx1"/>
                  </w14:solidFill>
                </w14:textFill>
              </w:rPr>
              <m:t>c</m:t>
            </m:r>
            <m:ctrlPr>
              <w:rPr>
                <w:rFonts w:ascii="Cambria Math" w:hAnsi="Cambria Math" w:cstheme="minorEastAsia"/>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——混凝土强度影响系数：当混凝土强度等级不超过C</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时取1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，当混凝土强度等级为C</w:t>
      </w:r>
      <w:r>
        <w:rPr>
          <w:rFonts w:asciiTheme="minorEastAsia" w:hAnsiTheme="minorEastAsia" w:cstheme="minorEastAsia"/>
          <w:color w:val="000000" w:themeColor="text1"/>
          <w:szCs w:val="21"/>
          <w14:textFill>
            <w14:solidFill>
              <w14:schemeClr w14:val="tx1"/>
            </w14:solidFill>
          </w14:textFill>
        </w:rPr>
        <w:t>80</w:t>
      </w:r>
      <w:r>
        <w:rPr>
          <w:rFonts w:hint="eastAsia" w:asciiTheme="minorEastAsia" w:hAnsiTheme="minorEastAsia" w:cstheme="minorEastAsia"/>
          <w:color w:val="000000" w:themeColor="text1"/>
          <w:szCs w:val="21"/>
          <w14:textFill>
            <w14:solidFill>
              <w14:schemeClr w14:val="tx1"/>
            </w14:solidFill>
          </w14:textFill>
        </w:rPr>
        <w:t>时取0</w:t>
      </w:r>
      <w:r>
        <w:rPr>
          <w:rFonts w:asciiTheme="minorEastAsia" w:hAnsiTheme="minorEastAsia" w:cstheme="minorEastAsia"/>
          <w:color w:val="000000" w:themeColor="text1"/>
          <w:szCs w:val="21"/>
          <w14:textFill>
            <w14:solidFill>
              <w14:schemeClr w14:val="tx1"/>
            </w14:solidFill>
          </w14:textFill>
        </w:rPr>
        <w:t>.80</w:t>
      </w:r>
      <w:r>
        <w:rPr>
          <w:rFonts w:hint="eastAsia" w:asciiTheme="minorEastAsia" w:hAnsiTheme="minorEastAsia" w:cstheme="minorEastAsia"/>
          <w:color w:val="000000" w:themeColor="text1"/>
          <w:szCs w:val="21"/>
          <w14:textFill>
            <w14:solidFill>
              <w14:schemeClr w14:val="tx1"/>
            </w14:solidFill>
          </w14:textFill>
        </w:rPr>
        <w:t>，其间按线性内插法确定。</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3 </w:t>
      </w:r>
      <w:r>
        <w:rPr>
          <w:rFonts w:hint="eastAsia" w:asciiTheme="minorEastAsia" w:hAnsiTheme="minorEastAsia" w:cstheme="minorEastAsia"/>
          <w:color w:val="000000" w:themeColor="text1"/>
          <w:szCs w:val="21"/>
          <w14:textFill>
            <w14:solidFill>
              <w14:schemeClr w14:val="tx1"/>
            </w14:solidFill>
          </w14:textFill>
        </w:rPr>
        <w:t>甲壳柱与钢梁连接节点的受剪承载力应符合下列公式：</w:t>
      </w:r>
    </w:p>
    <w:p>
      <w:pPr>
        <w:ind w:firstLine="840" w:firstLineChars="40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u</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γ</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RE</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d>
          <m:dPr>
            <m:begChr m:val="（"/>
            <m:endChr m:val="）"/>
            <m:ctrlPr>
              <w:rPr>
                <w:rFonts w:ascii="Cambria Math" w:hAnsi="Cambria Math" w:eastAsia="宋体"/>
                <w:color w:val="000000" w:themeColor="text1"/>
                <w:szCs w:val="21"/>
                <w14:textFill>
                  <w14:solidFill>
                    <w14:schemeClr w14:val="tx1"/>
                  </w14:solidFill>
                </w14:textFill>
              </w:rPr>
            </m:ctrlPr>
          </m:dPr>
          <m:e>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f</m:t>
                </m:r>
                <m:ctrlPr>
                  <w:rPr>
                    <w:rFonts w:ascii="Cambria Math" w:hAnsi="Cambria Math" w:eastAsia="宋体"/>
                    <w:i/>
                    <w:color w:val="000000" w:themeColor="text1"/>
                    <w:szCs w:val="21"/>
                    <w14:textFill>
                      <w14:solidFill>
                        <w14:schemeClr w14:val="tx1"/>
                      </w14:solidFill>
                    </w14:textFill>
                  </w:rPr>
                </m:ctrlPr>
              </m:num>
              <m:den>
                <m:rad>
                  <m:radPr>
                    <m:degHide m:val="1"/>
                    <m:ctrlPr>
                      <w:rPr>
                        <w:rFonts w:ascii="Cambria Math" w:hAnsi="Cambria Math" w:eastAsia="宋体"/>
                        <w:i/>
                        <w:color w:val="000000" w:themeColor="text1"/>
                        <w:szCs w:val="21"/>
                        <w14:textFill>
                          <w14:solidFill>
                            <w14:schemeClr w14:val="tx1"/>
                          </w14:solidFill>
                        </w14:textFill>
                      </w:rPr>
                    </m:ctrlPr>
                  </m:radPr>
                  <m:deg>
                    <m:ctrlPr>
                      <w:rPr>
                        <w:rFonts w:ascii="Cambria Math" w:hAnsi="Cambria Math" w:eastAsia="宋体"/>
                        <w:i/>
                        <w:color w:val="000000" w:themeColor="text1"/>
                        <w:szCs w:val="21"/>
                        <w14:textFill>
                          <w14:solidFill>
                            <w14:schemeClr w14:val="tx1"/>
                          </w14:solidFill>
                        </w14:textFill>
                      </w:rPr>
                    </m:ctrlPr>
                  </m:deg>
                  <m:e>
                    <m:r>
                      <w:rPr>
                        <w:rFonts w:ascii="Cambria Math" w:hAnsi="Cambria Math" w:eastAsia="宋体"/>
                        <w:color w:val="000000" w:themeColor="text1"/>
                        <w:szCs w:val="21"/>
                        <w14:textFill>
                          <w14:solidFill>
                            <w14:schemeClr w14:val="tx1"/>
                          </w14:solidFill>
                        </w14:textFill>
                      </w:rPr>
                      <m:t>3</m:t>
                    </m:r>
                    <m:ctrlPr>
                      <w:rPr>
                        <w:rFonts w:ascii="Cambria Math" w:hAnsi="Cambria Math" w:eastAsia="宋体"/>
                        <w:i/>
                        <w:color w:val="000000" w:themeColor="text1"/>
                        <w:szCs w:val="21"/>
                        <w14:textFill>
                          <w14:solidFill>
                            <w14:schemeClr w14:val="tx1"/>
                          </w14:solidFill>
                        </w14:textFill>
                      </w:rPr>
                    </m:ctrlPr>
                  </m:e>
                </m:rad>
                <m:ctrlPr>
                  <w:rPr>
                    <w:rFonts w:ascii="Cambria Math" w:hAnsi="Cambria Math" w:eastAsia="宋体"/>
                    <w:i/>
                    <w:color w:val="000000" w:themeColor="text1"/>
                    <w:szCs w:val="21"/>
                    <w14:textFill>
                      <w14:solidFill>
                        <w14:schemeClr w14:val="tx1"/>
                      </w14:solidFill>
                    </w14:textFill>
                  </w:rPr>
                </m:ctrlPr>
              </m:den>
            </m:f>
            <m:d>
              <m:dPr>
                <m:ctrlPr>
                  <w:rPr>
                    <w:rFonts w:ascii="Cambria Math" w:hAnsi="Cambria Math" w:eastAsia="宋体"/>
                    <w:i/>
                    <w:color w:val="000000" w:themeColor="text1"/>
                    <w:szCs w:val="21"/>
                    <w14:textFill>
                      <w14:solidFill>
                        <w14:schemeClr w14:val="tx1"/>
                      </w14:solidFill>
                    </w14:textFill>
                  </w:rPr>
                </m:ctrlPr>
              </m:dPr>
              <m:e>
                <m:r>
                  <w:rPr>
                    <w:rFonts w:ascii="Cambria Math" w:hAnsi="Cambria Math" w:eastAsia="宋体"/>
                    <w:color w:val="000000" w:themeColor="text1"/>
                    <w:szCs w:val="21"/>
                    <w14:textFill>
                      <w14:solidFill>
                        <w14:schemeClr w14:val="tx1"/>
                      </w14:solidFill>
                    </w14:textFill>
                  </w:rPr>
                  <m:t>4</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+2</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w</m:t>
                    </m:r>
                    <m:ctrlPr>
                      <w:rPr>
                        <w:rFonts w:ascii="Cambria Math" w:hAnsi="Cambria Math" w:eastAsia="宋体"/>
                        <w:i/>
                        <w:color w:val="000000" w:themeColor="text1"/>
                        <w:szCs w:val="21"/>
                        <w14:textFill>
                          <w14:solidFill>
                            <w14:schemeClr w14:val="tx1"/>
                          </w14:solidFill>
                        </w14:textFill>
                      </w:rPr>
                    </m:ctrlPr>
                  </m:sub>
                </m:sSub>
                <m:d>
                  <m:dPr>
                    <m:ctrlPr>
                      <w:rPr>
                        <w:rFonts w:ascii="Cambria Math" w:hAnsi="Cambria Math" w:eastAsia="宋体"/>
                        <w:i/>
                        <w:color w:val="000000" w:themeColor="text1"/>
                        <w:szCs w:val="21"/>
                        <w14:textFill>
                          <w14:solidFill>
                            <w14:schemeClr w14:val="tx1"/>
                          </w14:solidFill>
                        </w14:textFill>
                      </w:rPr>
                    </m:ctrlPr>
                  </m:dPr>
                  <m:e>
                    <m:r>
                      <w:rPr>
                        <w:rFonts w:ascii="Cambria Math" w:hAnsi="Cambria Math" w:eastAsia="宋体"/>
                        <w:color w:val="000000" w:themeColor="text1"/>
                        <w:szCs w:val="21"/>
                        <w14:textFill>
                          <w14:solidFill>
                            <w14:schemeClr w14:val="tx1"/>
                          </w14:solidFill>
                        </w14:textFill>
                      </w:rPr>
                      <m:t>b-2</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e>
                </m:d>
                <m:ctrlPr>
                  <w:rPr>
                    <w:rFonts w:ascii="Cambria Math" w:hAnsi="Cambria Math" w:eastAsia="宋体"/>
                    <w:i/>
                    <w:color w:val="000000" w:themeColor="text1"/>
                    <w:szCs w:val="21"/>
                    <w14:textFill>
                      <w14:solidFill>
                        <w14:schemeClr w14:val="tx1"/>
                      </w14:solidFill>
                    </w14:textFill>
                  </w:rPr>
                </m:ctrlPr>
              </m:e>
            </m:d>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0.5</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N</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cv</m:t>
                    </m:r>
                    <m:ctrlPr>
                      <w:rPr>
                        <w:rFonts w:ascii="Cambria Math" w:hAnsi="Cambria Math" w:eastAsia="宋体"/>
                        <w:i/>
                        <w:color w:val="000000" w:themeColor="text1"/>
                        <w:szCs w:val="21"/>
                        <w14:textFill>
                          <w14:solidFill>
                            <w14:schemeClr w14:val="tx1"/>
                          </w14:solidFill>
                        </w14:textFill>
                      </w:rPr>
                    </m:ctrlPr>
                  </m:sub>
                </m:sSub>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ctrlPr>
              <w:rPr>
                <w:rFonts w:ascii="Cambria Math" w:hAnsi="Cambria Math" w:eastAsia="宋体"/>
                <w:color w:val="000000" w:themeColor="text1"/>
                <w:szCs w:val="21"/>
                <w14:textFill>
                  <w14:solidFill>
                    <w14:schemeClr w14:val="tx1"/>
                  </w14:solidFill>
                </w14:textFill>
              </w:rPr>
            </m:ctrlPr>
          </m:e>
        </m:d>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(7.4.2-6)</w:t>
      </w:r>
    </w:p>
    <w:p>
      <w:pPr>
        <w:ind w:firstLine="1050" w:firstLineChars="500"/>
        <w:rPr>
          <w:rFonts w:ascii="宋体" w:hAnsi="宋体" w:eastAsia="宋体"/>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N</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cv</m:t>
            </m:r>
            <m:ctrlPr>
              <w:rPr>
                <w:rFonts w:ascii="Cambria Math" w:hAnsi="Cambria Math" w:eastAsia="宋体"/>
                <w:i/>
                <w:color w:val="000000" w:themeColor="text1"/>
                <w:szCs w:val="21"/>
                <w14:textFill>
                  <w14:solidFill>
                    <w14:schemeClr w14:val="tx1"/>
                  </w14:solidFill>
                </w14:textFill>
              </w:rPr>
            </m:ctrlPr>
          </m:sub>
        </m:sSub>
        <m:r>
          <w:rPr>
            <w:rFonts w:ascii="Cambria Math" w:hAnsi="Cambria Math" w:eastAsia="宋体"/>
            <w:color w:val="000000" w:themeColor="text1"/>
            <w:szCs w:val="21"/>
            <w14:textFill>
              <w14:solidFill>
                <w14:schemeClr w14:val="tx1"/>
              </w14:solidFill>
            </w14:textFill>
          </w:rPr>
          <m:t>=</m:t>
        </m:r>
        <m:f>
          <m:fPr>
            <m:ctrlPr>
              <w:rPr>
                <w:rFonts w:ascii="Cambria Math" w:hAnsi="Cambria Math" w:eastAsia="宋体"/>
                <w:i/>
                <w:color w:val="000000" w:themeColor="text1"/>
                <w:szCs w:val="21"/>
                <w14:textFill>
                  <w14:solidFill>
                    <w14:schemeClr w14:val="tx1"/>
                  </w14:solidFill>
                </w14:textFill>
              </w:rPr>
            </m:ctrlPr>
          </m:fPr>
          <m:num>
            <m:r>
              <w:rPr>
                <w:rFonts w:ascii="Cambria Math" w:hAnsi="Cambria Math" w:eastAsia="宋体"/>
                <w:color w:val="000000" w:themeColor="text1"/>
                <w:szCs w:val="21"/>
                <w14:textFill>
                  <w14:solidFill>
                    <w14:schemeClr w14:val="tx1"/>
                  </w14:solidFill>
                </w14:textFill>
              </w:rPr>
              <m:t>1.8</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f</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num>
          <m:den>
            <m:r>
              <w:rPr>
                <w:rFonts w:ascii="Cambria Math" w:hAnsi="Cambria Math" w:eastAsia="宋体"/>
                <w:color w:val="000000" w:themeColor="text1"/>
                <w:szCs w:val="21"/>
                <w14:textFill>
                  <w14:solidFill>
                    <w14:schemeClr w14:val="tx1"/>
                  </w14:solidFill>
                </w14:textFill>
              </w:rPr>
              <m:t>4+</m:t>
            </m:r>
            <m:sSup>
              <m:sSupPr>
                <m:ctrlPr>
                  <w:rPr>
                    <w:rFonts w:ascii="Cambria Math" w:hAnsi="Cambria Math" w:eastAsia="宋体"/>
                    <w:i/>
                    <w:color w:val="000000" w:themeColor="text1"/>
                    <w:szCs w:val="21"/>
                    <w14:textFill>
                      <w14:solidFill>
                        <w14:schemeClr w14:val="tx1"/>
                      </w14:solidFill>
                    </w14:textFill>
                  </w:rPr>
                </m:ctrlPr>
              </m:sSupPr>
              <m:e>
                <m:d>
                  <m:dPr>
                    <m:ctrlPr>
                      <w:rPr>
                        <w:rFonts w:ascii="Cambria Math" w:hAnsi="Cambria Math" w:eastAsia="宋体"/>
                        <w:i/>
                        <w:color w:val="000000" w:themeColor="text1"/>
                        <w:szCs w:val="21"/>
                        <w14:textFill>
                          <w14:solidFill>
                            <w14:schemeClr w14:val="tx1"/>
                          </w14:solidFill>
                        </w14:textFill>
                      </w:rPr>
                    </m:ctrlPr>
                  </m:dPr>
                  <m:e>
                    <m:f>
                      <m:fPr>
                        <m:ctrlPr>
                          <w:rPr>
                            <w:rFonts w:ascii="Cambria Math" w:hAnsi="Cambria Math" w:eastAsia="宋体"/>
                            <w:i/>
                            <w:color w:val="000000" w:themeColor="text1"/>
                            <w:szCs w:val="21"/>
                            <w14:textFill>
                              <w14:solidFill>
                                <w14:schemeClr w14:val="tx1"/>
                              </w14:solidFill>
                            </w14:textFill>
                          </w:rPr>
                        </m:ctrlPr>
                      </m:fPr>
                      <m:num>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num>
                      <m:den>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ctrlPr>
                          <w:rPr>
                            <w:rFonts w:ascii="Cambria Math" w:hAnsi="Cambria Math" w:eastAsia="宋体"/>
                            <w:i/>
                            <w:color w:val="000000" w:themeColor="text1"/>
                            <w:szCs w:val="21"/>
                            <w14:textFill>
                              <w14:solidFill>
                                <w14:schemeClr w14:val="tx1"/>
                              </w14:solidFill>
                            </w14:textFill>
                          </w:rPr>
                        </m:ctrlPr>
                      </m:den>
                    </m:f>
                    <m:ctrlPr>
                      <w:rPr>
                        <w:rFonts w:ascii="Cambria Math" w:hAnsi="Cambria Math" w:eastAsia="宋体"/>
                        <w:i/>
                        <w:color w:val="000000" w:themeColor="text1"/>
                        <w:szCs w:val="21"/>
                        <w14:textFill>
                          <w14:solidFill>
                            <w14:schemeClr w14:val="tx1"/>
                          </w14:solidFill>
                        </w14:textFill>
                      </w:rPr>
                    </m:ctrlPr>
                  </m:e>
                </m:d>
                <m:ctrlPr>
                  <w:rPr>
                    <w:rFonts w:ascii="Cambria Math" w:hAnsi="Cambria Math" w:eastAsia="宋体"/>
                    <w:i/>
                    <w:color w:val="000000" w:themeColor="text1"/>
                    <w:szCs w:val="21"/>
                    <w14:textFill>
                      <w14:solidFill>
                        <w14:schemeClr w14:val="tx1"/>
                      </w14:solidFill>
                    </w14:textFill>
                  </w:rPr>
                </m:ctrlPr>
              </m:e>
              <m:sup>
                <m:r>
                  <w:rPr>
                    <w:rFonts w:ascii="Cambria Math" w:hAnsi="Cambria Math" w:eastAsia="宋体"/>
                    <w:color w:val="000000" w:themeColor="text1"/>
                    <w:szCs w:val="21"/>
                    <w14:textFill>
                      <w14:solidFill>
                        <w14:schemeClr w14:val="tx1"/>
                      </w14:solidFill>
                    </w14:textFill>
                  </w:rPr>
                  <m:t>2</m:t>
                </m:r>
                <m:ctrlPr>
                  <w:rPr>
                    <w:rFonts w:ascii="Cambria Math" w:hAnsi="Cambria Math" w:eastAsia="宋体"/>
                    <w:i/>
                    <w:color w:val="000000" w:themeColor="text1"/>
                    <w:szCs w:val="21"/>
                    <w14:textFill>
                      <w14:solidFill>
                        <w14:schemeClr w14:val="tx1"/>
                      </w14:solidFill>
                    </w14:textFill>
                  </w:rPr>
                </m:ctrlPr>
              </m:sup>
            </m:sSup>
            <m:ctrlPr>
              <w:rPr>
                <w:rFonts w:ascii="Cambria Math" w:hAnsi="Cambria Math" w:eastAsia="宋体"/>
                <w:i/>
                <w:color w:val="000000" w:themeColor="text1"/>
                <w:szCs w:val="21"/>
                <w14:textFill>
                  <w14:solidFill>
                    <w14:schemeClr w14:val="tx1"/>
                  </w14:solidFill>
                </w14:textFill>
              </w:rPr>
            </m:ctrlPr>
          </m:den>
        </m:f>
      </m:oMath>
      <w:r>
        <w:rPr>
          <w:rFonts w:hint="eastAsia" w:ascii="宋体" w:hAnsi="宋体" w:eastAsia="宋体"/>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w:r>
        <w:rPr>
          <w:rFonts w:ascii="宋体" w:hAnsi="宋体" w:eastAsia="宋体"/>
          <w:color w:val="000000" w:themeColor="text1"/>
          <w:szCs w:val="21"/>
          <w14:textFill>
            <w14:solidFill>
              <w14:schemeClr w14:val="tx1"/>
            </w14:solidFill>
          </w14:textFill>
        </w:rPr>
        <w:t>(7.4.2-7)</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式中：</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V</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u</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——节点核心区受剪承载力</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hint="eastAsia" w:ascii="Cambria Math" w:hAnsi="Cambria Math" w:eastAsia="宋体"/>
                <w:color w:val="000000" w:themeColor="text1"/>
                <w:szCs w:val="21"/>
                <w14:textFill>
                  <w14:solidFill>
                    <w14:schemeClr w14:val="tx1"/>
                  </w14:solidFill>
                </w14:textFill>
              </w:rPr>
              <m:t>γ</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RE</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——承载力抗震调整系数；</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r>
          <w:rPr>
            <w:rFonts w:hint="eastAsia"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1</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——甲壳柱角部钢管的边长、钢管壁厚；</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t</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w</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——钢梁的腹板厚度；</w:t>
      </w:r>
    </w:p>
    <w:p>
      <w:pP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w:t>
      </w: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——钢梁截面高度；</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b</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r>
          <w:rPr>
            <w:rFonts w:hint="eastAsia" w:ascii="Cambria Math" w:hAnsi="Cambria Math" w:eastAsia="宋体"/>
            <w:color w:val="000000" w:themeColor="text1"/>
            <w:szCs w:val="21"/>
            <w14:textFill>
              <w14:solidFill>
                <w14:schemeClr w14:val="tx1"/>
              </w14:solidFill>
            </w14:textFill>
          </w:rPr>
          <m:t>、</m:t>
        </m:r>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h</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 xml:space="preserve">——柱截面宽度、高度； </w:t>
      </w:r>
    </w:p>
    <w:p>
      <w:pPr>
        <w:ind w:firstLine="630" w:firstLineChars="300"/>
        <w:rPr>
          <w:rFonts w:asciiTheme="minorEastAsia" w:hAnsiTheme="minorEastAsia" w:cstheme="minorEastAsia"/>
          <w:color w:val="000000" w:themeColor="text1"/>
          <w:szCs w:val="21"/>
          <w14:textFill>
            <w14:solidFill>
              <w14:schemeClr w14:val="tx1"/>
            </w14:solidFill>
          </w14:textFill>
        </w:rPr>
      </w:pPr>
      <m:oMath>
        <m:sSub>
          <m:sSubPr>
            <m:ctrlPr>
              <w:rPr>
                <w:rFonts w:ascii="Cambria Math" w:hAnsi="Cambria Math" w:eastAsia="宋体"/>
                <w:i/>
                <w:color w:val="000000" w:themeColor="text1"/>
                <w:szCs w:val="21"/>
                <w14:textFill>
                  <w14:solidFill>
                    <w14:schemeClr w14:val="tx1"/>
                  </w14:solidFill>
                </w14:textFill>
              </w:rPr>
            </m:ctrlPr>
          </m:sSubPr>
          <m:e>
            <m:r>
              <w:rPr>
                <w:rFonts w:ascii="Cambria Math" w:hAnsi="Cambria Math" w:eastAsia="宋体"/>
                <w:color w:val="000000" w:themeColor="text1"/>
                <w:szCs w:val="21"/>
                <w14:textFill>
                  <w14:solidFill>
                    <w14:schemeClr w14:val="tx1"/>
                  </w14:solidFill>
                </w14:textFill>
              </w:rPr>
              <m:t>N</m:t>
            </m:r>
            <m:ctrlPr>
              <w:rPr>
                <w:rFonts w:ascii="Cambria Math" w:hAnsi="Cambria Math" w:eastAsia="宋体"/>
                <w:i/>
                <w:color w:val="000000" w:themeColor="text1"/>
                <w:szCs w:val="21"/>
                <w14:textFill>
                  <w14:solidFill>
                    <w14:schemeClr w14:val="tx1"/>
                  </w14:solidFill>
                </w14:textFill>
              </w:rPr>
            </m:ctrlPr>
          </m:e>
          <m:sub>
            <m:r>
              <w:rPr>
                <w:rFonts w:ascii="Cambria Math" w:hAnsi="Cambria Math" w:eastAsia="宋体"/>
                <w:color w:val="000000" w:themeColor="text1"/>
                <w:szCs w:val="21"/>
                <w14:textFill>
                  <w14:solidFill>
                    <w14:schemeClr w14:val="tx1"/>
                  </w14:solidFill>
                </w14:textFill>
              </w:rPr>
              <m:t>cv</m:t>
            </m:r>
            <m:ctrlPr>
              <w:rPr>
                <w:rFonts w:ascii="Cambria Math" w:hAnsi="Cambria Math" w:eastAsia="宋体"/>
                <w:i/>
                <w:color w:val="000000" w:themeColor="text1"/>
                <w:szCs w:val="21"/>
                <w14:textFill>
                  <w14:solidFill>
                    <w14:schemeClr w14:val="tx1"/>
                  </w14:solidFill>
                </w14:textFill>
              </w:rPr>
            </m:ctrlPr>
          </m:sub>
        </m:sSub>
      </m:oMath>
      <w:r>
        <w:rPr>
          <w:rFonts w:hint="eastAsia" w:asciiTheme="minorEastAsia" w:hAnsiTheme="minorEastAsia" w:cstheme="minorEastAsia"/>
          <w:color w:val="000000" w:themeColor="text1"/>
          <w:szCs w:val="21"/>
          <w14:textFill>
            <w14:solidFill>
              <w14:schemeClr w14:val="tx1"/>
            </w14:solidFill>
          </w14:textFill>
        </w:rPr>
        <w:t>——核心混凝土受剪承载力；</w:t>
      </w:r>
    </w:p>
    <w:p>
      <w:pPr>
        <w:ind w:firstLine="420" w:firstLineChars="200"/>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4</w:t>
      </w:r>
      <w:r>
        <w:rPr>
          <w:rFonts w:hint="eastAsia" w:asciiTheme="minorEastAsia" w:hAnsiTheme="minorEastAsia" w:cstheme="minorEastAsia"/>
          <w:color w:val="000000" w:themeColor="text1"/>
          <w:szCs w:val="21"/>
          <w14:textFill>
            <w14:solidFill>
              <w14:schemeClr w14:val="tx1"/>
            </w14:solidFill>
          </w14:textFill>
        </w:rPr>
        <w:t>甲壳柱与钢梁的连接形式可采用外伸内隔板式连接。甲壳柱内设置贯通的横隔板，在节点范围内，波纹侧板换成平腹板，四角钢管与横隔板焊接，钢梁翼缘与外伸内隔板焊接， 钢梁腹板与设置在节点区平腹板上的连接板通过摩擦性高强度螺栓连接。四角钢管与平腹板、四角钢管与横隔板的连接采用全熔透焊缝；钢梁的上下翼缘与横隔板焊接应采用全熔透焊缝并应设置衬板。横隔板厚度应满足板件宽厚比限值且不应小于钢梁翼缘厚度</w:t>
      </w:r>
      <w:r>
        <w:rPr>
          <w:rFonts w:hint="eastAsia" w:asciiTheme="minorEastAsia" w:hAnsiTheme="minorEastAsia" w:cstheme="minorEastAsia"/>
          <w:color w:val="000000" w:themeColor="text1"/>
          <w:szCs w:val="21"/>
          <w:lang w:val="en-US" w:eastAsia="zh-CN"/>
          <w14:textFill>
            <w14:solidFill>
              <w14:schemeClr w14:val="tx1"/>
            </w14:solidFill>
          </w14:textFill>
        </w:rPr>
        <w:t>加2mm</w:t>
      </w:r>
      <w:r>
        <w:rPr>
          <w:rFonts w:hint="eastAsia" w:asciiTheme="minorEastAsia" w:hAnsiTheme="minorEastAsia" w:cstheme="minorEastAsia"/>
          <w:color w:val="000000" w:themeColor="text1"/>
          <w:szCs w:val="21"/>
          <w14:textFill>
            <w14:solidFill>
              <w14:schemeClr w14:val="tx1"/>
            </w14:solidFill>
          </w14:textFill>
        </w:rPr>
        <w:t>。内隔板上应设置混凝土浇筑孔，孔径不</w:t>
      </w:r>
      <w:r>
        <w:rPr>
          <w:rFonts w:hint="eastAsia" w:asciiTheme="minorEastAsia" w:hAnsiTheme="minorEastAsia" w:cstheme="minorEastAsia"/>
          <w:color w:val="000000" w:themeColor="text1"/>
          <w:szCs w:val="21"/>
          <w:lang w:val="en-US" w:eastAsia="zh-CN"/>
          <w14:textFill>
            <w14:solidFill>
              <w14:schemeClr w14:val="tx1"/>
            </w14:solidFill>
          </w14:textFill>
        </w:rPr>
        <w:t>宜</w:t>
      </w:r>
      <w:r>
        <w:rPr>
          <w:rFonts w:hint="eastAsia" w:asciiTheme="minorEastAsia" w:hAnsiTheme="minorEastAsia" w:cstheme="minorEastAsia"/>
          <w:color w:val="000000" w:themeColor="text1"/>
          <w:szCs w:val="21"/>
          <w14:textFill>
            <w14:solidFill>
              <w14:schemeClr w14:val="tx1"/>
            </w14:solidFill>
          </w14:textFill>
        </w:rPr>
        <w:t>小于1</w:t>
      </w:r>
      <w:r>
        <w:rPr>
          <w:rFonts w:asciiTheme="minorEastAsia" w:hAnsiTheme="minorEastAsia" w:cstheme="minorEastAsia"/>
          <w:color w:val="000000" w:themeColor="text1"/>
          <w:szCs w:val="21"/>
          <w14:textFill>
            <w14:solidFill>
              <w14:schemeClr w14:val="tx1"/>
            </w14:solidFill>
          </w14:textFill>
        </w:rPr>
        <w:t>50mm</w:t>
      </w:r>
      <w:r>
        <w:rPr>
          <w:rFonts w:hint="eastAsia" w:asciiTheme="minorEastAsia" w:hAnsiTheme="minorEastAsia" w:cstheme="minorEastAsia"/>
          <w:color w:val="000000" w:themeColor="text1"/>
          <w:szCs w:val="21"/>
          <w14:textFill>
            <w14:solidFill>
              <w14:schemeClr w14:val="tx1"/>
            </w14:solidFill>
          </w14:textFill>
        </w:rPr>
        <w:t>，角部应设置透气孔，孔径宜为</w:t>
      </w:r>
      <w:r>
        <w:rPr>
          <w:rFonts w:asciiTheme="minorEastAsia" w:hAnsiTheme="minorEastAsia" w:cstheme="minorEastAsia"/>
          <w:color w:val="000000" w:themeColor="text1"/>
          <w:szCs w:val="21"/>
          <w14:textFill>
            <w14:solidFill>
              <w14:schemeClr w14:val="tx1"/>
            </w14:solidFill>
          </w14:textFill>
        </w:rPr>
        <w:t>10mm</w:t>
      </w:r>
      <w:r>
        <w:rPr>
          <w:rFonts w:hint="eastAsia" w:asciiTheme="minorEastAsia" w:hAnsiTheme="minorEastAsia" w:cstheme="minorEastAsia"/>
          <w:color w:val="000000" w:themeColor="text1"/>
          <w:szCs w:val="21"/>
          <w14:textFill>
            <w14:solidFill>
              <w14:schemeClr w14:val="tx1"/>
            </w14:solidFill>
          </w14:textFill>
        </w:rPr>
        <w:t>。四角钢管内混凝土可采用工厂预灌水泥基灌浆料，水泥基灌浆料应符合相关规范要求。四角钢管范围内横隔板开灌浆孔，孔径不宜小于5</w:t>
      </w:r>
      <w:r>
        <w:rPr>
          <w:rFonts w:asciiTheme="minorEastAsia" w:hAnsiTheme="minorEastAsia" w:cstheme="minorEastAsia"/>
          <w:color w:val="000000" w:themeColor="text1"/>
          <w:szCs w:val="21"/>
          <w14:textFill>
            <w14:solidFill>
              <w14:schemeClr w14:val="tx1"/>
            </w14:solidFill>
          </w14:textFill>
        </w:rPr>
        <w:t>0mm</w:t>
      </w:r>
      <w:r>
        <w:rPr>
          <w:rFonts w:hint="eastAsia" w:asciiTheme="minorEastAsia" w:hAnsiTheme="minorEastAsia" w:cstheme="minorEastAsia"/>
          <w:color w:val="000000" w:themeColor="text1"/>
          <w:szCs w:val="21"/>
          <w14:textFill>
            <w14:solidFill>
              <w14:schemeClr w14:val="tx1"/>
            </w14:solidFill>
          </w14:textFill>
        </w:rPr>
        <w:t>。构造见图</w:t>
      </w:r>
      <w:r>
        <w:rPr>
          <w:rFonts w:asciiTheme="minorEastAsia" w:hAnsiTheme="minorEastAsia" w:cstheme="minorEastAsia"/>
          <w:color w:val="000000" w:themeColor="text1"/>
          <w:szCs w:val="21"/>
          <w14:textFill>
            <w14:solidFill>
              <w14:schemeClr w14:val="tx1"/>
            </w14:solidFill>
          </w14:textFill>
        </w:rPr>
        <w:t>7.4.2-2</w:t>
      </w:r>
      <w:r>
        <w:rPr>
          <w:rFonts w:hint="eastAsia" w:asciiTheme="minorEastAsia" w:hAnsiTheme="minorEastAsia" w:cstheme="minorEastAsia"/>
          <w:color w:val="000000" w:themeColor="text1"/>
          <w:szCs w:val="21"/>
          <w14:textFill>
            <w14:solidFill>
              <w14:schemeClr w14:val="tx1"/>
            </w14:solidFill>
          </w14:textFill>
        </w:rPr>
        <w:t>。</w:t>
      </w:r>
    </w:p>
    <w:p>
      <w:pPr>
        <w:ind w:firstLine="1050" w:firstLineChars="500"/>
        <w:rPr>
          <w:rFonts w:asciiTheme="minorEastAsia" w:hAnsiTheme="minorEastAsia" w:cs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348865" cy="17265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1" cstate="print">
                      <a:extLst>
                        <a:ext uri="{28A0092B-C50C-407E-A947-70E740481C1C}">
                          <a14:useLocalDpi xmlns:a14="http://schemas.microsoft.com/office/drawing/2010/main" val="0"/>
                        </a:ext>
                      </a:extLst>
                    </a:blip>
                    <a:srcRect l="14920" t="8312" r="35815" b="8537"/>
                    <a:stretch>
                      <a:fillRect/>
                    </a:stretch>
                  </pic:blipFill>
                  <pic:spPr>
                    <a:xfrm>
                      <a:off x="0" y="0"/>
                      <a:ext cx="2349374" cy="1726711"/>
                    </a:xfrm>
                    <a:prstGeom prst="rect">
                      <a:avLst/>
                    </a:prstGeom>
                    <a:noFill/>
                    <a:ln>
                      <a:noFill/>
                    </a:ln>
                  </pic:spPr>
                </pic:pic>
              </a:graphicData>
            </a:graphic>
          </wp:inline>
        </w:drawing>
      </w:r>
    </w:p>
    <w:p>
      <w:pPr>
        <w:ind w:firstLine="1080" w:firstLineChars="600"/>
        <w:rPr>
          <w:rFonts w:ascii="黑体" w:hAnsi="黑体" w:eastAsia="黑体" w:cstheme="minorEastAsia"/>
          <w:color w:val="000000" w:themeColor="text1"/>
          <w:sz w:val="18"/>
          <w:szCs w:val="18"/>
          <w14:textFill>
            <w14:solidFill>
              <w14:schemeClr w14:val="tx1"/>
            </w14:solidFill>
          </w14:textFill>
        </w:rPr>
      </w:pPr>
      <w:r>
        <w:rPr>
          <w:rFonts w:ascii="黑体" w:hAnsi="黑体" w:eastAsia="黑体" w:cstheme="minorEastAsia"/>
          <w:color w:val="000000" w:themeColor="text1"/>
          <w:sz w:val="18"/>
          <w:szCs w:val="18"/>
          <w14:textFill>
            <w14:solidFill>
              <w14:schemeClr w14:val="tx1"/>
            </w14:solidFill>
          </w14:textFill>
        </w:rPr>
        <w:t xml:space="preserve">图7.4.2-2 </w:t>
      </w:r>
      <w:r>
        <w:rPr>
          <w:rFonts w:hint="eastAsia" w:ascii="黑体" w:hAnsi="黑体" w:eastAsia="黑体" w:cstheme="minorEastAsia"/>
          <w:color w:val="000000" w:themeColor="text1"/>
          <w:sz w:val="18"/>
          <w:szCs w:val="18"/>
          <w14:textFill>
            <w14:solidFill>
              <w14:schemeClr w14:val="tx1"/>
            </w14:solidFill>
          </w14:textFill>
        </w:rPr>
        <w:t>甲壳柱-钢梁刚性节点横隔板构造示意图</w:t>
      </w:r>
    </w:p>
    <w:p>
      <w:pPr>
        <w:ind w:firstLine="420" w:firstLineChars="200"/>
        <w:rPr>
          <w:rFonts w:hint="eastAsia"/>
          <w:color w:val="0070C0"/>
          <w:lang w:val="en-US" w:eastAsia="zh-CN"/>
        </w:rPr>
      </w:pPr>
      <w:r>
        <w:rPr>
          <w:rFonts w:hint="eastAsia"/>
          <w:color w:val="0070C0"/>
          <w:lang w:val="en-US" w:eastAsia="zh-CN"/>
        </w:rPr>
        <w:t>条文说明：7.4.2 甲壳柱-钢梁的节点计算，执行《建筑抗震设计规范》中关于钢筋混凝土梁柱节点的规定。结构试验表明，节点的承载力计算公式时可靠的，节点的构造满足“强节点弱杆件”的抗震设计原则。施工时需重点保证上下翼缘钢板与横隔板的焊接质量。</w:t>
      </w:r>
    </w:p>
    <w:p>
      <w:pPr>
        <w:rPr>
          <w:rFonts w:hint="eastAsia"/>
          <w:color w:val="4F81BD" w:themeColor="accent1"/>
          <w:lang w:val="en-US" w:eastAsia="zh-CN"/>
          <w14:textFill>
            <w14:solidFill>
              <w14:schemeClr w14:val="accent1"/>
            </w14:solidFill>
          </w14:textFill>
        </w:rPr>
      </w:pPr>
    </w:p>
    <w:p>
      <w:pPr>
        <w:jc w:val="center"/>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.5 </w:t>
      </w:r>
      <w:r>
        <w:rPr>
          <w:rFonts w:hint="eastAsia" w:ascii="黑体" w:hAnsi="黑体" w:eastAsia="黑体" w:cstheme="minorEastAsia"/>
          <w:color w:val="000000" w:themeColor="text1"/>
          <w:szCs w:val="21"/>
          <w14:textFill>
            <w14:solidFill>
              <w14:schemeClr w14:val="tx1"/>
            </w14:solidFill>
          </w14:textFill>
        </w:rPr>
        <w:t>优腹梁</w:t>
      </w:r>
    </w:p>
    <w:p>
      <w:pPr>
        <w:jc w:val="center"/>
        <w:rPr>
          <w:rFonts w:ascii="黑体" w:hAnsi="黑体" w:eastAsia="黑体" w:cstheme="minorEastAsia"/>
          <w:color w:val="000000" w:themeColor="text1"/>
          <w:szCs w:val="21"/>
          <w14:textFill>
            <w14:solidFill>
              <w14:schemeClr w14:val="tx1"/>
            </w14:solidFill>
          </w14:textFill>
        </w:rPr>
      </w:pPr>
    </w:p>
    <w:p>
      <w:pPr>
        <w:widowControl/>
        <w:jc w:val="left"/>
        <w:rPr>
          <w:rFonts w:ascii="宋体" w:hAnsi="宋体" w:eastAsia="宋体" w:cs="宋体"/>
          <w:color w:val="000000" w:themeColor="text1"/>
          <w:kern w:val="0"/>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.5.1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优腹梁可用于抗震设防为6度的地震区；当优腹梁用于抗震设防烈度为7度及8度的地震区时，</w:t>
      </w:r>
      <w:r>
        <w:rPr>
          <w:rFonts w:hint="eastAsia" w:ascii="宋体" w:hAnsi="宋体" w:eastAsia="宋体" w:cs="宋体"/>
          <w:color w:val="000000" w:themeColor="text1"/>
          <w:kern w:val="0"/>
          <w:szCs w:val="21"/>
          <w14:textFill>
            <w14:solidFill>
              <w14:schemeClr w14:val="tx1"/>
            </w14:solidFill>
          </w14:textFill>
        </w:rPr>
        <w:t xml:space="preserve">需同时满足以下条件： </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构件含地震作用的轴向力设计值与构件全截面面积和钢材抗拉强度设计值乘积的比值不超过</w:t>
      </w:r>
      <w:r>
        <w:rPr>
          <w:rFonts w:asciiTheme="minorEastAsia" w:hAnsiTheme="minorEastAsia" w:cstheme="minorEastAsia"/>
          <w:color w:val="000000" w:themeColor="text1"/>
          <w:szCs w:val="21"/>
          <w14:textFill>
            <w14:solidFill>
              <w14:schemeClr w14:val="tx1"/>
            </w14:solidFill>
          </w14:textFill>
        </w:rPr>
        <w:t>0.4</w:t>
      </w:r>
      <w:r>
        <w:rPr>
          <w:rFonts w:hint="eastAsia" w:asciiTheme="minorEastAsia" w:hAnsiTheme="minorEastAsia" w:cstheme="minorEastAsia"/>
          <w:color w:val="000000" w:themeColor="text1"/>
          <w:szCs w:val="21"/>
          <w14:textFill>
            <w14:solidFill>
              <w14:schemeClr w14:val="tx1"/>
            </w14:solidFill>
          </w14:textFill>
        </w:rPr>
        <w:t xml:space="preserve">； </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2 </w:t>
      </w:r>
      <w:r>
        <w:rPr>
          <w:rFonts w:hint="eastAsia" w:asciiTheme="minorEastAsia" w:hAnsiTheme="minorEastAsia" w:cstheme="minorEastAsia"/>
          <w:color w:val="000000" w:themeColor="text1"/>
          <w:szCs w:val="21"/>
          <w14:textFill>
            <w14:solidFill>
              <w14:schemeClr w14:val="tx1"/>
            </w14:solidFill>
          </w14:textFill>
        </w:rPr>
        <w:t>构件在重力荷载代表值和中震作用标准值的组合效应下，波纹腹板段的截面不屈服，或波纹腹板段不先于直腹板段屈服</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且在中震作用组合效应下波纹腹板段的应力比小于直腹板段的0.85倍</w:t>
      </w:r>
      <w:r>
        <w:rPr>
          <w:rFonts w:hint="eastAsia" w:asciiTheme="minorEastAsia" w:hAnsiTheme="minorEastAsia" w:cstheme="minorEastAsia"/>
          <w:color w:val="000000" w:themeColor="text1"/>
          <w:szCs w:val="21"/>
          <w14:textFill>
            <w14:solidFill>
              <w14:schemeClr w14:val="tx1"/>
            </w14:solidFill>
          </w14:textFill>
        </w:rPr>
        <w:t>。</w:t>
      </w:r>
    </w:p>
    <w:p>
      <w:pPr>
        <w:ind w:firstLine="420" w:firstLineChars="20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3 </w:t>
      </w:r>
      <w:r>
        <w:rPr>
          <w:rFonts w:hint="eastAsia" w:asciiTheme="minorEastAsia" w:hAnsiTheme="minorEastAsia" w:cstheme="minorEastAsia"/>
          <w:color w:val="000000" w:themeColor="text1"/>
          <w:szCs w:val="21"/>
          <w14:textFill>
            <w14:solidFill>
              <w14:schemeClr w14:val="tx1"/>
            </w14:solidFill>
          </w14:textFill>
        </w:rPr>
        <w:t>结构的安全等级为二级或三级。</w:t>
      </w:r>
    </w:p>
    <w:p>
      <w:pPr>
        <w:jc w:val="left"/>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.5.2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优腹梁的平腹板段应满足现行国家标准《钢结构设计标准》G</w:t>
      </w:r>
      <w:r>
        <w:rPr>
          <w:rFonts w:asciiTheme="minorEastAsia" w:hAnsiTheme="minorEastAsia" w:cstheme="minorEastAsia"/>
          <w:color w:val="000000" w:themeColor="text1"/>
          <w:szCs w:val="21"/>
          <w14:textFill>
            <w14:solidFill>
              <w14:schemeClr w14:val="tx1"/>
            </w14:solidFill>
          </w14:textFill>
        </w:rPr>
        <w:t>B 50017</w:t>
      </w:r>
      <w:r>
        <w:rPr>
          <w:rFonts w:hint="eastAsia" w:asciiTheme="minorEastAsia" w:hAnsiTheme="minorEastAsia" w:cstheme="minorEastAsia"/>
          <w:color w:val="000000" w:themeColor="text1"/>
          <w:szCs w:val="21"/>
          <w14:textFill>
            <w14:solidFill>
              <w14:schemeClr w14:val="tx1"/>
            </w14:solidFill>
          </w14:textFill>
        </w:rPr>
        <w:t>的相关规定，波纹腹板段应满足现行行业标准《波纹腹板钢结构技术规程》C</w:t>
      </w:r>
      <w:r>
        <w:rPr>
          <w:rFonts w:asciiTheme="minorEastAsia" w:hAnsiTheme="minorEastAsia" w:cstheme="minorEastAsia"/>
          <w:color w:val="000000" w:themeColor="text1"/>
          <w:szCs w:val="21"/>
          <w14:textFill>
            <w14:solidFill>
              <w14:schemeClr w14:val="tx1"/>
            </w14:solidFill>
          </w14:textFill>
        </w:rPr>
        <w:t>ECS 291</w:t>
      </w:r>
      <w:r>
        <w:rPr>
          <w:rFonts w:hint="eastAsia" w:asciiTheme="minorEastAsia" w:hAnsiTheme="minorEastAsia" w:cstheme="minorEastAsia"/>
          <w:color w:val="000000" w:themeColor="text1"/>
          <w:szCs w:val="21"/>
          <w14:textFill>
            <w14:solidFill>
              <w14:schemeClr w14:val="tx1"/>
            </w14:solidFill>
          </w14:textFill>
        </w:rPr>
        <w:t>的相关规定。</w:t>
      </w:r>
    </w:p>
    <w:p>
      <w:pPr>
        <w:ind w:firstLine="420" w:firstLineChars="200"/>
        <w:rPr>
          <w:rFonts w:hint="default"/>
          <w:color w:val="0070C0"/>
          <w:lang w:val="en-US" w:eastAsia="zh-CN"/>
        </w:rPr>
      </w:pPr>
      <w:bookmarkStart w:id="80" w:name="_Toc18493278"/>
      <w:r>
        <w:rPr>
          <w:rFonts w:hint="eastAsia"/>
          <w:color w:val="0070C0"/>
          <w:lang w:val="en-US" w:eastAsia="zh-CN"/>
        </w:rPr>
        <w:t>条文说明：7.5.1~7.5.2 优腹梁的设计，重点保证梁的塑性铰先出现在平腹板段。</w:t>
      </w:r>
    </w:p>
    <w:p>
      <w:pPr>
        <w:jc w:val="center"/>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 xml:space="preserve">.6 </w:t>
      </w:r>
      <w:r>
        <w:rPr>
          <w:rFonts w:hint="eastAsia" w:ascii="黑体" w:hAnsi="黑体" w:eastAsia="黑体" w:cstheme="minorEastAsia"/>
          <w:color w:val="000000" w:themeColor="text1"/>
          <w:szCs w:val="21"/>
          <w14:textFill>
            <w14:solidFill>
              <w14:schemeClr w14:val="tx1"/>
            </w14:solidFill>
          </w14:textFill>
        </w:rPr>
        <w:t>支撑</w:t>
      </w:r>
    </w:p>
    <w:p>
      <w:pPr>
        <w:jc w:val="center"/>
        <w:rPr>
          <w:rFonts w:ascii="黑体" w:hAnsi="黑体" w:eastAsia="黑体" w:cstheme="minorEastAsia"/>
          <w:color w:val="000000" w:themeColor="text1"/>
          <w:szCs w:val="21"/>
          <w14:textFill>
            <w14:solidFill>
              <w14:schemeClr w14:val="tx1"/>
            </w14:solidFill>
          </w14:textFill>
        </w:rPr>
      </w:pPr>
    </w:p>
    <w:p>
      <w:pPr>
        <w:widowControl/>
        <w:jc w:val="left"/>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7</w:t>
      </w:r>
      <w:r>
        <w:rPr>
          <w:rFonts w:ascii="黑体" w:hAnsi="黑体" w:eastAsia="黑体" w:cstheme="minorEastAsia"/>
          <w:color w:val="000000" w:themeColor="text1"/>
          <w:szCs w:val="21"/>
          <w14:textFill>
            <w14:solidFill>
              <w14:schemeClr w14:val="tx1"/>
            </w14:solidFill>
          </w14:textFill>
        </w:rPr>
        <w:t>.6.1</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对于由甲壳柱、甲壳梁和支撑形成的框架-支撑结构体系，支撑宜采用防屈曲支撑,</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防屈曲支撑</w:t>
      </w:r>
      <w:r>
        <w:rPr>
          <w:color w:val="000000" w:themeColor="text1"/>
          <w14:textFill>
            <w14:solidFill>
              <w14:schemeClr w14:val="tx1"/>
            </w14:solidFill>
          </w14:textFill>
        </w:rPr>
        <w:t>宜采用人字支撑、成对布置的单斜杆支撑等形式，不应采用K形或X形，支撑与柱的夹角宜在35°～55°之间</w:t>
      </w:r>
      <w:r>
        <w:rPr>
          <w:rFonts w:hint="eastAsia" w:asciiTheme="minorEastAsia" w:hAnsiTheme="minorEastAsia" w:cstheme="minorEastAsia"/>
          <w:color w:val="000000" w:themeColor="text1"/>
          <w:szCs w:val="21"/>
          <w14:textFill>
            <w14:solidFill>
              <w14:schemeClr w14:val="tx1"/>
            </w14:solidFill>
          </w14:textFill>
        </w:rPr>
        <w:t>；当采用耗能型防屈曲支撑时，可考虑支撑产生的附加阻尼作用，在多遇地震作用计算时，结构的阻尼比可取支撑产生的附加阻尼比与按本规程3</w:t>
      </w:r>
      <w:r>
        <w:rPr>
          <w:rFonts w:asciiTheme="minorEastAsia" w:hAnsiTheme="minorEastAsia" w:cstheme="minorEastAsia"/>
          <w:color w:val="000000" w:themeColor="text1"/>
          <w:szCs w:val="21"/>
          <w14:textFill>
            <w14:solidFill>
              <w14:schemeClr w14:val="tx1"/>
            </w14:solidFill>
          </w14:textFill>
        </w:rPr>
        <w:t>.1.9</w:t>
      </w:r>
      <w:r>
        <w:rPr>
          <w:rFonts w:hint="eastAsia" w:asciiTheme="minorEastAsia" w:hAnsiTheme="minorEastAsia" w:cstheme="minorEastAsia"/>
          <w:color w:val="000000" w:themeColor="text1"/>
          <w:szCs w:val="21"/>
          <w14:textFill>
            <w14:solidFill>
              <w14:schemeClr w14:val="tx1"/>
            </w14:solidFill>
          </w14:textFill>
        </w:rPr>
        <w:t>条规定的阻尼比之和。</w:t>
      </w:r>
    </w:p>
    <w:p>
      <w:pPr>
        <w:widowControl/>
        <w:jc w:val="left"/>
        <w:rPr>
          <w:color w:val="000000" w:themeColor="text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7.6.2 </w:t>
      </w:r>
      <w:r>
        <w:rPr>
          <w:rFonts w:hint="eastAsia" w:asciiTheme="minorEastAsia" w:hAnsiTheme="minorEastAsia" w:cstheme="minorEastAsia"/>
          <w:color w:val="000000" w:themeColor="text1"/>
          <w:szCs w:val="21"/>
          <w14:textFill>
            <w14:solidFill>
              <w14:schemeClr w14:val="tx1"/>
            </w14:solidFill>
          </w14:textFill>
        </w:rPr>
        <w:t>对于由甲壳柱、钢梁和支撑组成的框架-支撑结构体系，</w:t>
      </w:r>
      <w:r>
        <w:rPr>
          <w:rFonts w:hint="eastAsia"/>
          <w:color w:val="000000" w:themeColor="text1"/>
          <w14:textFill>
            <w14:solidFill>
              <w14:schemeClr w14:val="tx1"/>
            </w14:solidFill>
          </w14:textFill>
        </w:rPr>
        <w:t>抗震等级为一</w:t>
      </w:r>
      <w:r>
        <w:rPr>
          <w:rFonts w:hint="eastAsia" w:asciiTheme="minorEastAsia" w:hAnsiTheme="minorEastAsia" w:cstheme="minorEastAsia"/>
          <w:color w:val="000000" w:themeColor="text1"/>
          <w:szCs w:val="21"/>
          <w14:textFill>
            <w14:solidFill>
              <w14:schemeClr w14:val="tx1"/>
            </w14:solidFill>
          </w14:textFill>
        </w:rPr>
        <w:t>、二级或高度超过5</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米时，宜采用防屈曲支撑或钢偏心支撑；抗震等级为三、四级支撑</w:t>
      </w:r>
      <w:r>
        <w:rPr>
          <w:color w:val="000000" w:themeColor="text1"/>
          <w14:textFill>
            <w14:solidFill>
              <w14:schemeClr w14:val="tx1"/>
            </w14:solidFill>
          </w14:textFill>
        </w:rPr>
        <w:t>且高度不大于50m</w:t>
      </w:r>
      <w:r>
        <w:rPr>
          <w:rFonts w:hint="eastAsia"/>
          <w:color w:val="000000" w:themeColor="text1"/>
          <w14:textFill>
            <w14:solidFill>
              <w14:schemeClr w14:val="tx1"/>
            </w14:solidFill>
          </w14:textFill>
        </w:rPr>
        <w:t>时，可采用钢中心支撑，也可</w:t>
      </w:r>
      <w:r>
        <w:rPr>
          <w:rFonts w:hint="eastAsia" w:asciiTheme="minorEastAsia" w:hAnsiTheme="minorEastAsia" w:cstheme="minorEastAsia"/>
          <w:color w:val="000000" w:themeColor="text1"/>
          <w:szCs w:val="21"/>
          <w14:textFill>
            <w14:solidFill>
              <w14:schemeClr w14:val="tx1"/>
            </w14:solidFill>
          </w14:textFill>
        </w:rPr>
        <w:t>采用防屈曲支撑或钢偏心支撑；当采用防屈曲支撑时，支撑的布置要求同本规程7</w:t>
      </w:r>
      <w:r>
        <w:rPr>
          <w:rFonts w:asciiTheme="minorEastAsia" w:hAnsiTheme="minorEastAsia" w:cstheme="minorEastAsia"/>
          <w:color w:val="000000" w:themeColor="text1"/>
          <w:szCs w:val="21"/>
          <w14:textFill>
            <w14:solidFill>
              <w14:schemeClr w14:val="tx1"/>
            </w14:solidFill>
          </w14:textFill>
        </w:rPr>
        <w:t>.7.1</w:t>
      </w:r>
      <w:r>
        <w:rPr>
          <w:rFonts w:hint="eastAsia" w:asciiTheme="minorEastAsia" w:hAnsiTheme="minorEastAsia" w:cstheme="minorEastAsia"/>
          <w:color w:val="000000" w:themeColor="text1"/>
          <w:szCs w:val="21"/>
          <w14:textFill>
            <w14:solidFill>
              <w14:schemeClr w14:val="tx1"/>
            </w14:solidFill>
          </w14:textFill>
        </w:rPr>
        <w:t>条；当采用钢</w:t>
      </w:r>
      <w:r>
        <w:rPr>
          <w:color w:val="000000" w:themeColor="text1"/>
          <w14:textFill>
            <w14:solidFill>
              <w14:schemeClr w14:val="tx1"/>
            </w14:solidFill>
          </w14:textFill>
        </w:rPr>
        <w:t>中心支撑</w:t>
      </w:r>
      <w:r>
        <w:rPr>
          <w:rFonts w:hint="eastAsia"/>
          <w:color w:val="000000" w:themeColor="text1"/>
          <w14:textFill>
            <w14:solidFill>
              <w14:schemeClr w14:val="tx1"/>
            </w14:solidFill>
          </w14:textFill>
        </w:rPr>
        <w:t>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支撑的布置形式</w:t>
      </w:r>
      <w:r>
        <w:rPr>
          <w:color w:val="000000" w:themeColor="text1"/>
          <w14:textFill>
            <w14:solidFill>
              <w14:schemeClr w14:val="tx1"/>
            </w14:solidFill>
          </w14:textFill>
        </w:rPr>
        <w:t>宜</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交叉支撑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人字支撑或单斜杆支撑，不宜采用K形支撑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支撑的轴线宜交汇于梁柱构件轴线的交点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偏离交点时的偏心距不应超过支撑杆件宽度，并应计入由此产生的附加弯矩</w:t>
      </w:r>
      <w:r>
        <w:rPr>
          <w:rFonts w:hint="eastAsia"/>
          <w:color w:val="000000" w:themeColor="text1"/>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当采用钢偏心支撑时，</w:t>
      </w:r>
      <w:r>
        <w:rPr>
          <w:color w:val="000000" w:themeColor="text1"/>
          <w14:textFill>
            <w14:solidFill>
              <w14:schemeClr w14:val="tx1"/>
            </w14:solidFill>
          </w14:textFill>
        </w:rPr>
        <w:t>偏心支撑框架的每根支撑应至少有一端与框架梁连接，并在支撑与梁交点和柱之间或同一跨内另一支撑与梁交点之间形成消能梁段</w:t>
      </w:r>
      <w:r>
        <w:rPr>
          <w:rFonts w:hint="eastAsia"/>
          <w:color w:val="000000" w:themeColor="text1"/>
          <w14:textFill>
            <w14:solidFill>
              <w14:schemeClr w14:val="tx1"/>
            </w14:solidFill>
          </w14:textFill>
        </w:rPr>
        <w:t>。</w:t>
      </w:r>
    </w:p>
    <w:p>
      <w:pPr>
        <w:widowControl/>
        <w:jc w:val="left"/>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7.6.3 </w:t>
      </w:r>
      <w:r>
        <w:rPr>
          <w:color w:val="000000" w:themeColor="text1"/>
          <w14:textFill>
            <w14:solidFill>
              <w14:schemeClr w14:val="tx1"/>
            </w14:solidFill>
          </w14:textFill>
        </w:rPr>
        <w:t>支撑框架在两个方向的布置均宜基本对称，支撑框架之间楼盖的长宽比不宜大于3。</w:t>
      </w:r>
    </w:p>
    <w:p>
      <w:pPr>
        <w:widowControl/>
        <w:jc w:val="left"/>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7.6.4 </w:t>
      </w:r>
      <w:r>
        <w:rPr>
          <w:color w:val="000000" w:themeColor="text1"/>
          <w14:textFill>
            <w14:solidFill>
              <w14:schemeClr w14:val="tx1"/>
            </w14:solidFill>
          </w14:textFill>
        </w:rPr>
        <w:t>支撑</w:t>
      </w:r>
      <w:r>
        <w:rPr>
          <w:rFonts w:hint="eastAsia"/>
          <w:color w:val="000000" w:themeColor="text1"/>
          <w14:textFill>
            <w14:solidFill>
              <w14:schemeClr w14:val="tx1"/>
            </w14:solidFill>
          </w14:textFill>
        </w:rPr>
        <w:t>与甲壳柱、甲壳梁、钢框架梁的连接极限承载力，应符合《建筑抗震设计规范》G</w:t>
      </w:r>
      <w:r>
        <w:rPr>
          <w:color w:val="000000" w:themeColor="text1"/>
          <w14:textFill>
            <w14:solidFill>
              <w14:schemeClr w14:val="tx1"/>
            </w14:solidFill>
          </w14:textFill>
        </w:rPr>
        <w:t>B 50011-2011</w:t>
      </w:r>
      <w:r>
        <w:rPr>
          <w:rFonts w:hint="eastAsia"/>
          <w:color w:val="000000" w:themeColor="text1"/>
          <w14:textFill>
            <w14:solidFill>
              <w14:schemeClr w14:val="tx1"/>
            </w14:solidFill>
          </w14:textFill>
        </w:rPr>
        <w:t>第8</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条的规定。</w:t>
      </w:r>
    </w:p>
    <w:p>
      <w:pPr>
        <w:widowControl/>
        <w:jc w:val="left"/>
        <w:rPr>
          <w:rFonts w:asciiTheme="minorEastAsia" w:hAnsiTheme="minorEastAsia"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t xml:space="preserve">7.6.5 </w:t>
      </w:r>
      <w:r>
        <w:rPr>
          <w:rFonts w:hint="eastAsia"/>
          <w:color w:val="000000" w:themeColor="text1"/>
          <w14:textFill>
            <w14:solidFill>
              <w14:schemeClr w14:val="tx1"/>
            </w14:solidFill>
          </w14:textFill>
        </w:rPr>
        <w:t>偏心</w:t>
      </w:r>
      <w:r>
        <w:rPr>
          <w:color w:val="000000" w:themeColor="text1"/>
          <w14:textFill>
            <w14:solidFill>
              <w14:schemeClr w14:val="tx1"/>
            </w14:solidFill>
          </w14:textFill>
        </w:rPr>
        <w:t>支撑</w:t>
      </w:r>
      <w:r>
        <w:rPr>
          <w:rFonts w:hint="eastAsia"/>
          <w:color w:val="000000" w:themeColor="text1"/>
          <w14:textFill>
            <w14:solidFill>
              <w14:schemeClr w14:val="tx1"/>
            </w14:solidFill>
          </w14:textFill>
        </w:rPr>
        <w:t>的设计可按现行国家标准《建筑抗震设计规范》G</w:t>
      </w:r>
      <w:r>
        <w:rPr>
          <w:color w:val="000000" w:themeColor="text1"/>
          <w14:textFill>
            <w14:solidFill>
              <w14:schemeClr w14:val="tx1"/>
            </w14:solidFill>
          </w14:textFill>
        </w:rPr>
        <w:t>B 50011</w:t>
      </w:r>
      <w:r>
        <w:rPr>
          <w:rFonts w:hint="eastAsia"/>
          <w:color w:val="000000" w:themeColor="text1"/>
          <w14:textFill>
            <w14:solidFill>
              <w14:schemeClr w14:val="tx1"/>
            </w14:solidFill>
          </w14:textFill>
        </w:rPr>
        <w:t>的相关规定执行。</w:t>
      </w:r>
    </w:p>
    <w:p>
      <w:pPr>
        <w:ind w:firstLine="420" w:firstLineChars="200"/>
        <w:rPr>
          <w:rFonts w:hint="default"/>
          <w:color w:val="0070C0"/>
          <w:lang w:val="en-US" w:eastAsia="zh-CN"/>
        </w:rPr>
      </w:pPr>
      <w:r>
        <w:rPr>
          <w:rFonts w:hint="eastAsia"/>
          <w:color w:val="0070C0"/>
          <w:lang w:val="en-US" w:eastAsia="zh-CN"/>
        </w:rPr>
        <w:t>条文说明：7.6.1~7.6.5 参考《建筑抗震设计规范》，对支撑的形式做出规定。</w:t>
      </w:r>
    </w:p>
    <w:p>
      <w:pPr>
        <w:widowControl/>
        <w:jc w:val="left"/>
        <w:rPr>
          <w:rFonts w:ascii="黑体" w:hAnsi="黑体" w:eastAsia="黑体" w:cstheme="majorBidi"/>
          <w:b/>
          <w:bCs/>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br w:type="page"/>
      </w:r>
    </w:p>
    <w:p>
      <w:pPr>
        <w:pStyle w:val="21"/>
        <w:rPr>
          <w:rFonts w:ascii="黑体" w:hAnsi="黑体" w:eastAsia="黑体"/>
          <w:color w:val="000000" w:themeColor="text1"/>
          <w:sz w:val="28"/>
          <w:szCs w:val="28"/>
          <w14:textFill>
            <w14:solidFill>
              <w14:schemeClr w14:val="tx1"/>
            </w14:solidFill>
          </w14:textFill>
        </w:rPr>
      </w:pPr>
      <w:bookmarkStart w:id="81" w:name="_Toc28706898"/>
      <w:r>
        <w:rPr>
          <w:rFonts w:hint="eastAsia" w:ascii="黑体" w:hAnsi="黑体" w:eastAsia="黑体"/>
          <w:color w:val="000000" w:themeColor="text1"/>
          <w:sz w:val="28"/>
          <w:szCs w:val="28"/>
          <w14:textFill>
            <w14:solidFill>
              <w14:schemeClr w14:val="tx1"/>
            </w14:solidFill>
          </w14:textFill>
        </w:rPr>
        <w:t>8防护设计</w:t>
      </w:r>
      <w:bookmarkEnd w:id="80"/>
      <w:bookmarkEnd w:id="81"/>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82" w:name="_Toc28706899"/>
      <w:bookmarkStart w:id="83" w:name="_Toc18493279"/>
      <w:r>
        <w:rPr>
          <w:rFonts w:hint="eastAsia" w:ascii="黑体" w:hAnsi="黑体" w:eastAsia="黑体" w:cstheme="minorEastAsia"/>
          <w:color w:val="000000" w:themeColor="text1"/>
          <w:szCs w:val="21"/>
          <w14:textFill>
            <w14:solidFill>
              <w14:schemeClr w14:val="tx1"/>
            </w14:solidFill>
          </w14:textFill>
        </w:rPr>
        <w:t>8.1防腐设计</w:t>
      </w:r>
      <w:bookmarkEnd w:id="82"/>
      <w:bookmarkEnd w:id="83"/>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.1.1 </w:t>
      </w:r>
      <w:r>
        <w:rPr>
          <w:rFonts w:hint="eastAsia" w:asciiTheme="minorEastAsia" w:hAnsiTheme="minorEastAsia" w:cstheme="minorEastAsia"/>
          <w:color w:val="000000" w:themeColor="text1"/>
          <w:szCs w:val="21"/>
          <w14:textFill>
            <w14:solidFill>
              <w14:schemeClr w14:val="tx1"/>
            </w14:solidFill>
          </w14:textFill>
        </w:rPr>
        <w:t>波纹钢板组合框架结构应遵循安全可靠、经济合理的原则，按下列要求进行防腐设计：</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1 </w:t>
      </w:r>
      <w:r>
        <w:rPr>
          <w:rFonts w:hint="eastAsia" w:asciiTheme="minorEastAsia" w:hAnsiTheme="minorEastAsia" w:cstheme="minorEastAsia"/>
          <w:color w:val="000000" w:themeColor="text1"/>
          <w:szCs w:val="21"/>
          <w14:textFill>
            <w14:solidFill>
              <w14:schemeClr w14:val="tx1"/>
            </w14:solidFill>
          </w14:textFill>
        </w:rPr>
        <w:t>构件的防腐设计应根据建筑物的重要性、环境腐蚀条件、施工和维修条件等因素合理确定防腐设计年限，甲壳柱、甲壳梁防护层的设计使用年限不应低于</w:t>
      </w:r>
      <w:r>
        <w:rPr>
          <w:rFonts w:asciiTheme="minorEastAsia" w:hAnsiTheme="minorEastAsia" w:cstheme="minorEastAsia"/>
          <w:color w:val="000000" w:themeColor="text1"/>
          <w:szCs w:val="21"/>
          <w14:textFill>
            <w14:solidFill>
              <w14:schemeClr w14:val="tx1"/>
            </w14:solidFill>
          </w14:textFill>
        </w:rPr>
        <w:t>10</w:t>
      </w:r>
      <w:r>
        <w:rPr>
          <w:rFonts w:hint="eastAsia" w:asciiTheme="minorEastAsia" w:hAnsiTheme="minorEastAsia" w:cstheme="minorEastAsia"/>
          <w:color w:val="000000" w:themeColor="text1"/>
          <w:szCs w:val="21"/>
          <w14:textFill>
            <w14:solidFill>
              <w14:schemeClr w14:val="tx1"/>
            </w14:solidFill>
          </w14:textFill>
        </w:rPr>
        <w:t>年。</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2 </w:t>
      </w:r>
      <w:r>
        <w:rPr>
          <w:rFonts w:hint="eastAsia" w:asciiTheme="minorEastAsia" w:hAnsiTheme="minorEastAsia" w:cstheme="minorEastAsia"/>
          <w:color w:val="000000" w:themeColor="text1"/>
          <w:szCs w:val="21"/>
          <w14:textFill>
            <w14:solidFill>
              <w14:schemeClr w14:val="tx1"/>
            </w14:solidFill>
          </w14:textFill>
        </w:rPr>
        <w:t>防腐设计应考虑环保节能的要求；</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3 </w:t>
      </w:r>
      <w:r>
        <w:rPr>
          <w:rFonts w:hint="eastAsia" w:asciiTheme="minorEastAsia" w:hAnsiTheme="minorEastAsia" w:cstheme="minorEastAsia"/>
          <w:color w:val="000000" w:themeColor="text1"/>
          <w:szCs w:val="21"/>
          <w14:textFill>
            <w14:solidFill>
              <w14:schemeClr w14:val="tx1"/>
            </w14:solidFill>
          </w14:textFill>
        </w:rPr>
        <w:t>防腐设计中应考虑结构全寿命周期内的检查、维护和大修。</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.1.2 </w:t>
      </w:r>
      <w:r>
        <w:rPr>
          <w:rFonts w:hint="eastAsia" w:asciiTheme="minorEastAsia" w:hAnsiTheme="minorEastAsia" w:cstheme="minorEastAsia"/>
          <w:color w:val="000000" w:themeColor="text1"/>
          <w:szCs w:val="21"/>
          <w14:textFill>
            <w14:solidFill>
              <w14:schemeClr w14:val="tx1"/>
            </w14:solidFill>
          </w14:textFill>
        </w:rPr>
        <w:t>在结构设计文件中应注明防腐蚀方案，如采用涂（镀）层方案，须注明所要求的的钢材除锈等级和所要用的涂料（或镀层）及涂（镀）层厚度，并注明使用单位在使用过程中应进行定期检查和维护的要求。</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.1.3 </w:t>
      </w:r>
      <w:r>
        <w:rPr>
          <w:rFonts w:hint="eastAsia" w:asciiTheme="minorEastAsia" w:hAnsiTheme="minorEastAsia" w:cstheme="minorEastAsia"/>
          <w:color w:val="000000" w:themeColor="text1"/>
          <w:szCs w:val="21"/>
          <w14:textFill>
            <w14:solidFill>
              <w14:schemeClr w14:val="tx1"/>
            </w14:solidFill>
          </w14:textFill>
        </w:rPr>
        <w:t>结构的防腐蚀设计应综合考虑环境中介质的腐蚀性、环境条件、施工和维修条件等因素，因地制宜，从下列方案中综合选择防腐蚀方案或其组合：</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1 </w:t>
      </w:r>
      <w:r>
        <w:rPr>
          <w:rFonts w:hint="eastAsia" w:asciiTheme="minorEastAsia" w:hAnsiTheme="minorEastAsia" w:cstheme="minorEastAsia"/>
          <w:color w:val="000000" w:themeColor="text1"/>
          <w:szCs w:val="21"/>
          <w14:textFill>
            <w14:solidFill>
              <w14:schemeClr w14:val="tx1"/>
            </w14:solidFill>
          </w14:textFill>
        </w:rPr>
        <w:t>防腐蚀涂料；</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2 </w:t>
      </w:r>
      <w:r>
        <w:rPr>
          <w:rFonts w:hint="eastAsia" w:asciiTheme="minorEastAsia" w:hAnsiTheme="minorEastAsia" w:cstheme="minorEastAsia"/>
          <w:color w:val="000000" w:themeColor="text1"/>
          <w:szCs w:val="21"/>
          <w14:textFill>
            <w14:solidFill>
              <w14:schemeClr w14:val="tx1"/>
            </w14:solidFill>
          </w14:textFill>
        </w:rPr>
        <w:t>各种工艺形成的锌、铝等金属保护层；</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3 </w:t>
      </w:r>
      <w:r>
        <w:rPr>
          <w:rFonts w:hint="eastAsia" w:asciiTheme="minorEastAsia" w:hAnsiTheme="minorEastAsia" w:cstheme="minorEastAsia"/>
          <w:color w:val="000000" w:themeColor="text1"/>
          <w:szCs w:val="21"/>
          <w14:textFill>
            <w14:solidFill>
              <w14:schemeClr w14:val="tx1"/>
            </w14:solidFill>
          </w14:textFill>
        </w:rPr>
        <w:t>阴极保护措施；</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 xml:space="preserve">   4 </w:t>
      </w:r>
      <w:r>
        <w:rPr>
          <w:rFonts w:hint="eastAsia" w:asciiTheme="minorEastAsia" w:hAnsiTheme="minorEastAsia" w:cstheme="minorEastAsia"/>
          <w:color w:val="000000" w:themeColor="text1"/>
          <w:szCs w:val="21"/>
          <w14:textFill>
            <w14:solidFill>
              <w14:schemeClr w14:val="tx1"/>
            </w14:solidFill>
          </w14:textFill>
        </w:rPr>
        <w:t>耐候钢。</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.1.4 </w:t>
      </w:r>
      <w:r>
        <w:rPr>
          <w:rFonts w:hint="eastAsia" w:asciiTheme="minorEastAsia" w:hAnsiTheme="minorEastAsia" w:cstheme="minorEastAsia"/>
          <w:color w:val="000000" w:themeColor="text1"/>
          <w:szCs w:val="21"/>
          <w14:textFill>
            <w14:solidFill>
              <w14:schemeClr w14:val="tx1"/>
            </w14:solidFill>
          </w14:textFill>
        </w:rPr>
        <w:t>对危及人身安全和维修困难的部位，以及重要的承重结构和构件应加强防护；对处于严重腐蚀的使用环境且仅靠涂料难以有效保护的主要承重钢构件，宜采用耐候钢或外包混凝土；当某些次要构件的设计使用年限与主体结构的设计使用年限不相同时，次要构件应便于更换。</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.1.5 </w:t>
      </w:r>
      <w:r>
        <w:rPr>
          <w:rFonts w:hint="eastAsia" w:asciiTheme="minorEastAsia" w:hAnsiTheme="minorEastAsia" w:cstheme="minorEastAsia"/>
          <w:color w:val="000000" w:themeColor="text1"/>
          <w:szCs w:val="21"/>
          <w14:textFill>
            <w14:solidFill>
              <w14:schemeClr w14:val="tx1"/>
            </w14:solidFill>
          </w14:textFill>
        </w:rPr>
        <w:t>结构防腐蚀设计应符合下列规定：</w:t>
      </w:r>
    </w:p>
    <w:p>
      <w:pPr>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当采用型钢组合的杆件时，型钢间的空隙宽度宜满足防护层施工、检查和维修的要求。</w:t>
      </w:r>
    </w:p>
    <w:p>
      <w:pPr>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不同金属材料接触会加速腐蚀时，应在接触部位采取隔离措施。</w:t>
      </w:r>
    </w:p>
    <w:p>
      <w:pPr>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焊条、螺栓、节点板等连接构件的耐腐蚀性能不应低于主材材料，安装后再采用与主体结构相同的防腐蚀方案。</w:t>
      </w:r>
    </w:p>
    <w:p>
      <w:pPr>
        <w:spacing w:line="400" w:lineRule="exact"/>
        <w:ind w:firstLine="420"/>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避免出现难于检查、清理和涂漆之处，以及能积留湿气和大量灰尘的死角和凹槽；闭口截面构件应沿全长和端部焊接封闭。</w:t>
      </w:r>
    </w:p>
    <w:p>
      <w:pPr>
        <w:spacing w:line="400" w:lineRule="exact"/>
        <w:ind w:firstLine="420"/>
        <w:jc w:val="left"/>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5 </w:t>
      </w:r>
      <w:r>
        <w:rPr>
          <w:rFonts w:hint="eastAsia" w:asciiTheme="minorEastAsia" w:hAnsiTheme="minorEastAsia" w:cstheme="minorEastAsia"/>
          <w:color w:val="000000" w:themeColor="text1"/>
          <w:szCs w:val="21"/>
          <w14:textFill>
            <w14:solidFill>
              <w14:schemeClr w14:val="tx1"/>
            </w14:solidFill>
          </w14:textFill>
        </w:rPr>
        <w:t>钢构件与混凝土直接接触面不宜进行防腐涂覆。</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8.1.6 </w:t>
      </w:r>
      <w:r>
        <w:rPr>
          <w:rFonts w:hint="eastAsia" w:asciiTheme="minorEastAsia" w:hAnsiTheme="minorEastAsia" w:cstheme="minorEastAsia"/>
          <w:color w:val="000000" w:themeColor="text1"/>
          <w:szCs w:val="21"/>
          <w14:textFill>
            <w14:solidFill>
              <w14:schemeClr w14:val="tx1"/>
            </w14:solidFill>
          </w14:textFill>
        </w:rPr>
        <w:t xml:space="preserve">钢材表面原始锈蚀等级和钢材除锈等级标准应符合现行国家标准《涂覆涂料前钢材表面处理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表面清洁度的目视评定》G</w:t>
      </w:r>
      <w:r>
        <w:rPr>
          <w:rFonts w:asciiTheme="minorEastAsia" w:hAnsiTheme="minorEastAsia" w:cstheme="minorEastAsia"/>
          <w:color w:val="000000" w:themeColor="text1"/>
          <w:szCs w:val="21"/>
          <w14:textFill>
            <w14:solidFill>
              <w14:schemeClr w14:val="tx1"/>
            </w14:solidFill>
          </w14:textFill>
        </w:rPr>
        <w:t>B/T8923</w:t>
      </w:r>
      <w:r>
        <w:rPr>
          <w:rFonts w:hint="eastAsia" w:asciiTheme="minorEastAsia" w:hAnsiTheme="minorEastAsia" w:cstheme="minorEastAsia"/>
          <w:color w:val="000000" w:themeColor="text1"/>
          <w:szCs w:val="21"/>
          <w14:textFill>
            <w14:solidFill>
              <w14:schemeClr w14:val="tx1"/>
            </w14:solidFill>
          </w14:textFill>
        </w:rPr>
        <w:t>的规定。</w:t>
      </w:r>
    </w:p>
    <w:p>
      <w:pPr>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表面原始锈蚀等级为D级的钢材不应用作结构钢；</w:t>
      </w:r>
    </w:p>
    <w:p>
      <w:pPr>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喷砂或抛丸用的磨料等表面处理材料应符合防腐蚀产品对表面清洁度和粗糙度的要求，并符合环保要求。</w:t>
      </w:r>
    </w:p>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.1.7 </w:t>
      </w:r>
      <w:r>
        <w:rPr>
          <w:rFonts w:hint="eastAsia" w:asciiTheme="minorEastAsia" w:hAnsiTheme="minorEastAsia" w:cstheme="minorEastAsia"/>
          <w:color w:val="000000" w:themeColor="text1"/>
          <w:szCs w:val="21"/>
          <w14:textFill>
            <w14:solidFill>
              <w14:schemeClr w14:val="tx1"/>
            </w14:solidFill>
          </w14:textFill>
        </w:rPr>
        <w:t>处于弱腐蚀环境和中等腐蚀环境的承重构件，工厂制作涂装前，其表面应采用喷射或抛射除锈方法，除锈等级不应低于S</w:t>
      </w:r>
      <w:r>
        <w:rPr>
          <w:rFonts w:asciiTheme="minorEastAsia" w:hAnsiTheme="minorEastAsia" w:cstheme="minorEastAsia"/>
          <w:color w:val="000000" w:themeColor="text1"/>
          <w:szCs w:val="21"/>
          <w14:textFill>
            <w14:solidFill>
              <w14:schemeClr w14:val="tx1"/>
            </w14:solidFill>
          </w14:textFill>
        </w:rPr>
        <w:t>a2;</w:t>
      </w:r>
      <w:r>
        <w:rPr>
          <w:rFonts w:hint="eastAsia" w:asciiTheme="minorEastAsia" w:hAnsiTheme="minorEastAsia" w:cstheme="minorEastAsia"/>
          <w:color w:val="000000" w:themeColor="text1"/>
          <w:szCs w:val="21"/>
          <w14:textFill>
            <w14:solidFill>
              <w14:schemeClr w14:val="tx1"/>
            </w14:solidFill>
          </w14:textFill>
        </w:rPr>
        <w:t>现场采用手工和动力工具除锈方法，除锈等级不应低于St</w:t>
      </w:r>
      <w:r>
        <w:rPr>
          <w:rFonts w:asciiTheme="minorEastAsia" w:hAnsiTheme="minorEastAsia" w:cstheme="minorEastAsia"/>
          <w:color w:val="000000" w:themeColor="text1"/>
          <w:szCs w:val="21"/>
          <w14:textFill>
            <w14:solidFill>
              <w14:schemeClr w14:val="tx1"/>
            </w14:solidFill>
          </w14:textFill>
        </w:rPr>
        <w:t>2</w:t>
      </w:r>
      <w:r>
        <w:rPr>
          <w:rFonts w:hint="eastAsia" w:asciiTheme="minorEastAsia" w:hAnsiTheme="minorEastAsia" w:cstheme="minorEastAsia"/>
          <w:color w:val="000000" w:themeColor="text1"/>
          <w:szCs w:val="21"/>
          <w14:textFill>
            <w14:solidFill>
              <w14:schemeClr w14:val="tx1"/>
            </w14:solidFill>
          </w14:textFill>
        </w:rPr>
        <w:t>。</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防锈漆的种类与钢材表面锈蚀等级要匹配，应符合表8</w:t>
      </w:r>
      <w:r>
        <w:rPr>
          <w:rFonts w:asciiTheme="minorEastAsia" w:hAnsiTheme="minorEastAsia" w:cstheme="minorEastAsia"/>
          <w:color w:val="000000" w:themeColor="text1"/>
          <w:szCs w:val="21"/>
          <w14:textFill>
            <w14:solidFill>
              <w14:schemeClr w14:val="tx1"/>
            </w14:solidFill>
          </w14:textFill>
        </w:rPr>
        <w:t>.1.7</w:t>
      </w:r>
      <w:r>
        <w:rPr>
          <w:rFonts w:hint="eastAsia" w:asciiTheme="minorEastAsia" w:hAnsiTheme="minorEastAsia" w:cstheme="minorEastAsia"/>
          <w:color w:val="000000" w:themeColor="text1"/>
          <w:szCs w:val="21"/>
          <w14:textFill>
            <w14:solidFill>
              <w14:schemeClr w14:val="tx1"/>
            </w14:solidFill>
          </w14:textFill>
        </w:rPr>
        <w:t>的规定。</w:t>
      </w:r>
    </w:p>
    <w:p>
      <w:pPr>
        <w:spacing w:line="400" w:lineRule="exact"/>
        <w:jc w:val="center"/>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表8</w:t>
      </w:r>
      <w:r>
        <w:rPr>
          <w:rFonts w:asciiTheme="minorEastAsia" w:hAnsiTheme="minorEastAsia" w:cstheme="minorEastAsia"/>
          <w:color w:val="000000" w:themeColor="text1"/>
          <w:szCs w:val="21"/>
          <w14:textFill>
            <w14:solidFill>
              <w14:schemeClr w14:val="tx1"/>
            </w14:solidFill>
          </w14:textFill>
        </w:rPr>
        <w:t xml:space="preserve">.1.7 </w:t>
      </w:r>
      <w:r>
        <w:rPr>
          <w:rFonts w:hint="eastAsia" w:asciiTheme="minorEastAsia" w:hAnsiTheme="minorEastAsia" w:cstheme="minorEastAsia"/>
          <w:color w:val="000000" w:themeColor="text1"/>
          <w:szCs w:val="21"/>
          <w14:textFill>
            <w14:solidFill>
              <w14:schemeClr w14:val="tx1"/>
            </w14:solidFill>
          </w14:textFill>
        </w:rPr>
        <w:t>钢材表面最低除锈等级</w:t>
      </w:r>
    </w:p>
    <w:tbl>
      <w:tblPr>
        <w:tblStyle w:val="23"/>
        <w:tblW w:w="6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涂料品种</w:t>
            </w:r>
          </w:p>
        </w:tc>
        <w:tc>
          <w:tcPr>
            <w:tcW w:w="1786"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油性酚醛、醇酸等底漆或防锈漆</w:t>
            </w:r>
          </w:p>
        </w:tc>
        <w:tc>
          <w:tcPr>
            <w:tcW w:w="1786"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S</w:t>
            </w:r>
            <w:r>
              <w:rPr>
                <w:rFonts w:asciiTheme="minorEastAsia" w:hAnsiTheme="minorEastAsia" w:cstheme="minorEastAsia"/>
                <w:color w:val="000000" w:themeColor="text1"/>
                <w:szCs w:val="21"/>
                <w14:textFill>
                  <w14:solidFill>
                    <w14:schemeClr w14:val="tx1"/>
                  </w14:solidFill>
                </w14:textFill>
              </w:rPr>
              <w: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高氯化聚乙烯、氯化橡胶、氯磺化聚乙烯、环氧树脂、聚氨酯等底漆或防锈漆</w:t>
            </w:r>
          </w:p>
        </w:tc>
        <w:tc>
          <w:tcPr>
            <w:tcW w:w="1786"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S</w:t>
            </w:r>
            <w:r>
              <w:rPr>
                <w:rFonts w:asciiTheme="minorEastAsia" w:hAnsiTheme="minorEastAsia" w:cstheme="minorEastAsia"/>
                <w:color w:val="000000" w:themeColor="text1"/>
                <w:szCs w:val="21"/>
                <w14:textFill>
                  <w14:solidFill>
                    <w14:schemeClr w14:val="tx1"/>
                  </w14:solidFill>
                </w14:textFill>
              </w:rPr>
              <w: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无机富锌、有机硅、过氯乙烯等底漆</w:t>
            </w:r>
          </w:p>
        </w:tc>
        <w:tc>
          <w:tcPr>
            <w:tcW w:w="1786" w:type="dxa"/>
          </w:tcPr>
          <w:p>
            <w:pPr>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S</w:t>
            </w:r>
            <w:r>
              <w:rPr>
                <w:rFonts w:asciiTheme="minorEastAsia" w:hAnsiTheme="minorEastAsia" w:cstheme="minorEastAsia"/>
                <w:color w:val="000000" w:themeColor="text1"/>
                <w:szCs w:val="21"/>
                <w14:textFill>
                  <w14:solidFill>
                    <w14:schemeClr w14:val="tx1"/>
                  </w14:solidFill>
                </w14:textFill>
              </w:rPr>
              <w:t>a2</w:t>
            </w:r>
            <m:oMath>
              <m:f>
                <m:fPr>
                  <m:ctrlPr>
                    <w:rPr>
                      <w:rFonts w:ascii="Cambria Math" w:hAnsi="Cambria Math" w:cstheme="minorEastAsia"/>
                      <w:i/>
                      <w:color w:val="000000" w:themeColor="text1"/>
                      <w:szCs w:val="21"/>
                      <w14:textFill>
                        <w14:solidFill>
                          <w14:schemeClr w14:val="tx1"/>
                        </w14:solidFill>
                      </w14:textFill>
                    </w:rPr>
                  </m:ctrlPr>
                </m:fPr>
                <m:num>
                  <m:r>
                    <w:rPr>
                      <w:rFonts w:ascii="Cambria Math" w:hAnsi="Cambria Math" w:cstheme="minorEastAsia"/>
                      <w:color w:val="000000" w:themeColor="text1"/>
                      <w:szCs w:val="21"/>
                      <w14:textFill>
                        <w14:solidFill>
                          <w14:schemeClr w14:val="tx1"/>
                        </w14:solidFill>
                      </w14:textFill>
                    </w:rPr>
                    <m:t>1</m:t>
                  </m:r>
                  <m:ctrlPr>
                    <w:rPr>
                      <w:rFonts w:ascii="Cambria Math" w:hAnsi="Cambria Math" w:cstheme="minorEastAsia"/>
                      <w:i/>
                      <w:color w:val="000000" w:themeColor="text1"/>
                      <w:szCs w:val="21"/>
                      <w14:textFill>
                        <w14:solidFill>
                          <w14:schemeClr w14:val="tx1"/>
                        </w14:solidFill>
                      </w14:textFill>
                    </w:rPr>
                  </m:ctrlPr>
                </m:num>
                <m:den>
                  <m:r>
                    <w:rPr>
                      <w:rFonts w:ascii="Cambria Math" w:hAnsi="Cambria Math" w:cstheme="minorEastAsia"/>
                      <w:color w:val="000000" w:themeColor="text1"/>
                      <w:szCs w:val="21"/>
                      <w14:textFill>
                        <w14:solidFill>
                          <w14:schemeClr w14:val="tx1"/>
                        </w14:solidFill>
                      </w14:textFill>
                    </w:rPr>
                    <m:t>2</m:t>
                  </m:r>
                  <m:ctrlPr>
                    <w:rPr>
                      <w:rFonts w:ascii="Cambria Math" w:hAnsi="Cambria Math" w:cstheme="minorEastAsia"/>
                      <w:i/>
                      <w:color w:val="000000" w:themeColor="text1"/>
                      <w:szCs w:val="21"/>
                      <w14:textFill>
                        <w14:solidFill>
                          <w14:schemeClr w14:val="tx1"/>
                        </w14:solidFill>
                      </w14:textFill>
                    </w:rPr>
                  </m:ctrlPr>
                </m:den>
              </m:f>
            </m:oMath>
          </w:p>
        </w:tc>
      </w:tr>
    </w:tbl>
    <w:p>
      <w:pPr>
        <w:spacing w:line="400" w:lineRule="exact"/>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.1.8 </w:t>
      </w:r>
      <w:r>
        <w:rPr>
          <w:rFonts w:hint="eastAsia" w:asciiTheme="minorEastAsia" w:hAnsiTheme="minorEastAsia" w:cstheme="minorEastAsia"/>
          <w:color w:val="000000" w:themeColor="text1"/>
          <w:szCs w:val="21"/>
          <w14:textFill>
            <w14:solidFill>
              <w14:schemeClr w14:val="tx1"/>
            </w14:solidFill>
          </w14:textFill>
        </w:rPr>
        <w:t>当环境腐蚀作用分类为弱腐蚀和中等腐蚀时，室内、室外钢结构漆膜干膜总厚度分别不宜小于1</w:t>
      </w:r>
      <w:r>
        <w:rPr>
          <w:rFonts w:asciiTheme="minorEastAsia" w:hAnsiTheme="minorEastAsia" w:cstheme="minorEastAsia"/>
          <w:color w:val="000000" w:themeColor="text1"/>
          <w:szCs w:val="21"/>
          <w14:textFill>
            <w14:solidFill>
              <w14:schemeClr w14:val="tx1"/>
            </w14:solidFill>
          </w14:textFill>
        </w:rPr>
        <w:t>25</w:t>
      </w:r>
      <w:r>
        <w:rPr>
          <w:rFonts w:hint="eastAsia" w:asciiTheme="minorEastAsia" w:hAnsiTheme="minorEastAsia" w:cstheme="minorEastAsia"/>
          <w:color w:val="000000" w:themeColor="text1"/>
          <w:szCs w:val="21"/>
          <w14:textFill>
            <w14:solidFill>
              <w14:schemeClr w14:val="tx1"/>
            </w14:solidFill>
          </w14:textFill>
        </w:rPr>
        <w:t>μm和1</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μm，位于室外有特殊要求的部位，宜增加涂层厚度2</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μm</w:t>
      </w:r>
      <w:r>
        <w:rPr>
          <w:rFonts w:asciiTheme="minorEastAsia" w:hAnsiTheme="minorEastAsia" w:cstheme="minorEastAsia"/>
          <w:color w:val="000000" w:themeColor="text1"/>
          <w:szCs w:val="21"/>
          <w14:textFill>
            <w14:solidFill>
              <w14:schemeClr w14:val="tx1"/>
            </w14:solidFill>
          </w14:textFill>
        </w:rPr>
        <w:t>-40</w:t>
      </w:r>
      <w:r>
        <w:rPr>
          <w:rFonts w:hint="eastAsia" w:asciiTheme="minorEastAsia" w:hAnsiTheme="minorEastAsia" w:cstheme="minorEastAsia"/>
          <w:color w:val="000000" w:themeColor="text1"/>
          <w:szCs w:val="21"/>
          <w14:textFill>
            <w14:solidFill>
              <w14:schemeClr w14:val="tx1"/>
            </w14:solidFill>
          </w14:textFill>
        </w:rPr>
        <w:t>μm</w:t>
      </w:r>
      <w:r>
        <w:rPr>
          <w:rFonts w:asciiTheme="minorEastAsia" w:hAnsiTheme="minorEastAsia" w:cstheme="minorEastAsia"/>
          <w:color w:val="000000" w:themeColor="text1"/>
          <w:szCs w:val="21"/>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其中室内钢结构底漆厚度不宜小于5</w:t>
      </w:r>
      <w:r>
        <w:rPr>
          <w:rFonts w:asciiTheme="minorEastAsia" w:hAnsiTheme="minorEastAsia" w:cstheme="minorEastAsia"/>
          <w:color w:val="000000" w:themeColor="text1"/>
          <w:szCs w:val="21"/>
          <w14:textFill>
            <w14:solidFill>
              <w14:schemeClr w14:val="tx1"/>
            </w14:solidFill>
          </w14:textFill>
        </w:rPr>
        <w:t>0</w:t>
      </w:r>
      <w:r>
        <w:rPr>
          <w:rFonts w:hint="eastAsia" w:asciiTheme="minorEastAsia" w:hAnsiTheme="minorEastAsia" w:cstheme="minorEastAsia"/>
          <w:color w:val="000000" w:themeColor="text1"/>
          <w:szCs w:val="21"/>
          <w14:textFill>
            <w14:solidFill>
              <w14:schemeClr w14:val="tx1"/>
            </w14:solidFill>
          </w14:textFill>
        </w:rPr>
        <w:t>μm，室外钢结构底漆厚度不宜小于7</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 xml:space="preserve">μm。 </w:t>
      </w:r>
    </w:p>
    <w:p>
      <w:pPr>
        <w:spacing w:line="400" w:lineRule="exact"/>
        <w:ind w:firstLine="420" w:firstLineChars="200"/>
        <w:jc w:val="left"/>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lang w:val="en-US" w:eastAsia="zh-CN"/>
        </w:rPr>
        <w:t>条文说明：8.1.1~6.1.8 根据《钢结构设计标准》，对波纹钢板组合框架结构的钢材防腐做出规定。波纹板的材料较薄，考虑其耐久年限，应重视防腐。</w:t>
      </w: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84" w:name="_Toc18493280"/>
      <w:bookmarkStart w:id="85" w:name="_Toc28706900"/>
      <w:r>
        <w:rPr>
          <w:rFonts w:hint="eastAsia" w:ascii="黑体" w:hAnsi="黑体" w:eastAsia="黑体" w:cstheme="minorEastAsia"/>
          <w:color w:val="000000" w:themeColor="text1"/>
          <w:szCs w:val="21"/>
          <w14:textFill>
            <w14:solidFill>
              <w14:schemeClr w14:val="tx1"/>
            </w14:solidFill>
          </w14:textFill>
        </w:rPr>
        <w:t>8.2</w:t>
      </w:r>
      <w:r>
        <w:rPr>
          <w:rFonts w:ascii="黑体" w:hAnsi="黑体" w:eastAsia="黑体" w:cstheme="minorEastAsia"/>
          <w:color w:val="000000" w:themeColor="text1"/>
          <w:szCs w:val="21"/>
          <w14:textFill>
            <w14:solidFill>
              <w14:schemeClr w14:val="tx1"/>
            </w14:solidFill>
          </w14:textFill>
        </w:rPr>
        <w:t xml:space="preserve"> </w:t>
      </w:r>
      <w:r>
        <w:rPr>
          <w:rFonts w:hint="eastAsia" w:ascii="黑体" w:hAnsi="黑体" w:eastAsia="黑体" w:cstheme="minorEastAsia"/>
          <w:color w:val="000000" w:themeColor="text1"/>
          <w:szCs w:val="21"/>
          <w14:textFill>
            <w14:solidFill>
              <w14:schemeClr w14:val="tx1"/>
            </w14:solidFill>
          </w14:textFill>
        </w:rPr>
        <w:t>防火设计</w:t>
      </w:r>
      <w:bookmarkEnd w:id="84"/>
      <w:bookmarkEnd w:id="85"/>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.2.1 </w:t>
      </w:r>
      <w:r>
        <w:rPr>
          <w:rFonts w:hint="eastAsia" w:asciiTheme="minorEastAsia" w:hAnsiTheme="minorEastAsia" w:cstheme="minorEastAsia"/>
          <w:color w:val="000000" w:themeColor="text1"/>
          <w:szCs w:val="21"/>
          <w14:textFill>
            <w14:solidFill>
              <w14:schemeClr w14:val="tx1"/>
            </w14:solidFill>
          </w14:textFill>
        </w:rPr>
        <w:t>结构防火保护措施及其构造应根据工程实际，考虑结构类型、耐火极限要求、工作环境等因素，按照安全可靠、经济合理的原则确定。</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.2.2 </w:t>
      </w:r>
      <w:r>
        <w:rPr>
          <w:rFonts w:hint="eastAsia" w:asciiTheme="minorEastAsia" w:hAnsiTheme="minorEastAsia" w:cstheme="minorEastAsia"/>
          <w:color w:val="000000" w:themeColor="text1"/>
          <w:szCs w:val="21"/>
          <w14:textFill>
            <w14:solidFill>
              <w14:schemeClr w14:val="tx1"/>
            </w14:solidFill>
          </w14:textFill>
        </w:rPr>
        <w:t>结构的防火设计和耐火极限应符合现行国家标准《建筑设计防火规范》G</w:t>
      </w:r>
      <w:r>
        <w:rPr>
          <w:rFonts w:asciiTheme="minorEastAsia" w:hAnsiTheme="minorEastAsia" w:cstheme="minorEastAsia"/>
          <w:color w:val="000000" w:themeColor="text1"/>
          <w:szCs w:val="21"/>
          <w14:textFill>
            <w14:solidFill>
              <w14:schemeClr w14:val="tx1"/>
            </w14:solidFill>
          </w14:textFill>
        </w:rPr>
        <w:t>B50016</w:t>
      </w:r>
      <w:r>
        <w:rPr>
          <w:rFonts w:hint="eastAsia" w:asciiTheme="minorEastAsia" w:hAnsiTheme="minorEastAsia" w:cstheme="minorEastAsia"/>
          <w:color w:val="000000" w:themeColor="text1"/>
          <w:szCs w:val="21"/>
          <w14:textFill>
            <w14:solidFill>
              <w14:schemeClr w14:val="tx1"/>
            </w14:solidFill>
          </w14:textFill>
        </w:rPr>
        <w:t>中的有关规定。应合理确定房屋的防火类别与防火等级。</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.2.3 </w:t>
      </w:r>
      <w:r>
        <w:rPr>
          <w:rFonts w:hint="eastAsia" w:asciiTheme="minorEastAsia" w:hAnsiTheme="minorEastAsia" w:cstheme="minorEastAsia"/>
          <w:color w:val="000000" w:themeColor="text1"/>
          <w:szCs w:val="21"/>
          <w14:textFill>
            <w14:solidFill>
              <w14:schemeClr w14:val="tx1"/>
            </w14:solidFill>
          </w14:textFill>
        </w:rPr>
        <w:t>当构件的耐火极限不能达到规定的设计耐火极限要求时，应进行防火保护设计。波纹钢板组合框架结构应按现行国家标准《建筑钢结构防火技术规范》G</w:t>
      </w:r>
      <w:r>
        <w:rPr>
          <w:rFonts w:asciiTheme="minorEastAsia" w:hAnsiTheme="minorEastAsia" w:cstheme="minorEastAsia"/>
          <w:color w:val="000000" w:themeColor="text1"/>
          <w:szCs w:val="21"/>
          <w14:textFill>
            <w14:solidFill>
              <w14:schemeClr w14:val="tx1"/>
            </w14:solidFill>
          </w14:textFill>
        </w:rPr>
        <w:t>B 51249</w:t>
      </w:r>
      <w:r>
        <w:rPr>
          <w:rFonts w:hint="eastAsia" w:asciiTheme="minorEastAsia" w:hAnsiTheme="minorEastAsia" w:cstheme="minorEastAsia"/>
          <w:color w:val="000000" w:themeColor="text1"/>
          <w:szCs w:val="21"/>
          <w14:textFill>
            <w14:solidFill>
              <w14:schemeClr w14:val="tx1"/>
            </w14:solidFill>
          </w14:textFill>
        </w:rPr>
        <w:t>进行抗火性能计算。</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8.2.4 </w:t>
      </w:r>
      <w:r>
        <w:rPr>
          <w:rFonts w:hint="eastAsia" w:asciiTheme="minorEastAsia" w:hAnsiTheme="minorEastAsia" w:cstheme="minorEastAsia"/>
          <w:color w:val="000000" w:themeColor="text1"/>
          <w:szCs w:val="21"/>
          <w14:textFill>
            <w14:solidFill>
              <w14:schemeClr w14:val="tx1"/>
            </w14:solidFill>
          </w14:textFill>
        </w:rPr>
        <w:t>在结构设计文件中，应注明结构的设计耐火等级，构件的设计耐火极限、所需要的防火保护措施及防火保护材料的性能要求。</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.2.5 </w:t>
      </w:r>
      <w:r>
        <w:rPr>
          <w:rFonts w:hint="eastAsia" w:asciiTheme="minorEastAsia" w:hAnsiTheme="minorEastAsia" w:cstheme="minorEastAsia"/>
          <w:color w:val="000000" w:themeColor="text1"/>
          <w:szCs w:val="21"/>
          <w14:textFill>
            <w14:solidFill>
              <w14:schemeClr w14:val="tx1"/>
            </w14:solidFill>
          </w14:textFill>
        </w:rPr>
        <w:t>当采用防火涂料时，防火涂料施工前，构件应按本规范第8</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节的规定进行除锈和防锈底漆的涂装，防火涂料应与底漆相容并能结合良好。防火涂料的粘结强度、抗压强度应满足设计要求，检查方法应符合现行国家标准《建筑构件耐火试验方法》G</w:t>
      </w:r>
      <w:r>
        <w:rPr>
          <w:rFonts w:asciiTheme="minorEastAsia" w:hAnsiTheme="minorEastAsia" w:cstheme="minorEastAsia"/>
          <w:color w:val="000000" w:themeColor="text1"/>
          <w:szCs w:val="21"/>
          <w14:textFill>
            <w14:solidFill>
              <w14:schemeClr w14:val="tx1"/>
            </w14:solidFill>
          </w14:textFill>
        </w:rPr>
        <w:t>B/T 9978</w:t>
      </w:r>
      <w:r>
        <w:rPr>
          <w:rFonts w:hint="eastAsia" w:asciiTheme="minorEastAsia" w:hAnsiTheme="minorEastAsia" w:cstheme="minorEastAsia"/>
          <w:color w:val="000000" w:themeColor="text1"/>
          <w:szCs w:val="21"/>
          <w14:textFill>
            <w14:solidFill>
              <w14:schemeClr w14:val="tx1"/>
            </w14:solidFill>
          </w14:textFill>
        </w:rPr>
        <w:t>的规定。</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.2.6 </w:t>
      </w:r>
      <w:r>
        <w:rPr>
          <w:rFonts w:hint="eastAsia" w:asciiTheme="minorEastAsia" w:hAnsiTheme="minorEastAsia" w:cstheme="minorEastAsia"/>
          <w:color w:val="000000" w:themeColor="text1"/>
          <w:szCs w:val="21"/>
          <w14:textFill>
            <w14:solidFill>
              <w14:schemeClr w14:val="tx1"/>
            </w14:solidFill>
          </w14:textFill>
        </w:rPr>
        <w:t>当采用板材外包防火构造时，构件应按本规范第8</w:t>
      </w:r>
      <w:r>
        <w:rPr>
          <w:rFonts w:asciiTheme="minorEastAsia" w:hAnsiTheme="minorEastAsia" w:cstheme="minorEastAsia"/>
          <w:color w:val="000000" w:themeColor="text1"/>
          <w:szCs w:val="21"/>
          <w14:textFill>
            <w14:solidFill>
              <w14:schemeClr w14:val="tx1"/>
            </w14:solidFill>
          </w14:textFill>
        </w:rPr>
        <w:t>.1</w:t>
      </w:r>
      <w:r>
        <w:rPr>
          <w:rFonts w:hint="eastAsia" w:asciiTheme="minorEastAsia" w:hAnsiTheme="minorEastAsia" w:cstheme="minorEastAsia"/>
          <w:color w:val="000000" w:themeColor="text1"/>
          <w:szCs w:val="21"/>
          <w14:textFill>
            <w14:solidFill>
              <w14:schemeClr w14:val="tx1"/>
            </w14:solidFill>
          </w14:textFill>
        </w:rPr>
        <w:t>节的规定进行除锈，并进行底漆和面漆的涂装保护；板材外包防火构造的耐火性能，应符合现行国家标准《建筑设计防火规范》G</w:t>
      </w:r>
      <w:r>
        <w:rPr>
          <w:rFonts w:asciiTheme="minorEastAsia" w:hAnsiTheme="minorEastAsia" w:cstheme="minorEastAsia"/>
          <w:color w:val="000000" w:themeColor="text1"/>
          <w:szCs w:val="21"/>
          <w14:textFill>
            <w14:solidFill>
              <w14:schemeClr w14:val="tx1"/>
            </w14:solidFill>
          </w14:textFill>
        </w:rPr>
        <w:t>B 50016</w:t>
      </w:r>
      <w:r>
        <w:rPr>
          <w:rFonts w:hint="eastAsia" w:asciiTheme="minorEastAsia" w:hAnsiTheme="minorEastAsia" w:cstheme="minorEastAsia"/>
          <w:color w:val="000000" w:themeColor="text1"/>
          <w:szCs w:val="21"/>
          <w14:textFill>
            <w14:solidFill>
              <w14:schemeClr w14:val="tx1"/>
            </w14:solidFill>
          </w14:textFill>
        </w:rPr>
        <w:t>的有关规定或通过试验确定。</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.2.7 </w:t>
      </w:r>
      <w:r>
        <w:rPr>
          <w:rFonts w:hint="eastAsia" w:asciiTheme="minorEastAsia" w:hAnsiTheme="minorEastAsia" w:cstheme="minorEastAsia"/>
          <w:color w:val="000000" w:themeColor="text1"/>
          <w:szCs w:val="21"/>
          <w14:textFill>
            <w14:solidFill>
              <w14:schemeClr w14:val="tx1"/>
            </w14:solidFill>
          </w14:textFill>
        </w:rPr>
        <w:t>节点的防火保护应与被连接构件中防火保护要求最高者相同。</w:t>
      </w:r>
    </w:p>
    <w:p>
      <w:pPr>
        <w:widowControl/>
        <w:spacing w:line="400" w:lineRule="exact"/>
        <w:ind w:firstLine="420" w:firstLineChars="200"/>
        <w:jc w:val="left"/>
        <w:rPr>
          <w:rFonts w:hint="default" w:asciiTheme="minorEastAsia" w:hAnsiTheme="minorEastAsia" w:cstheme="minorEastAsia"/>
          <w:color w:val="000000" w:themeColor="text1"/>
          <w:szCs w:val="21"/>
          <w:lang w:val="en-US"/>
          <w14:textFill>
            <w14:solidFill>
              <w14:schemeClr w14:val="tx1"/>
            </w14:solidFill>
          </w14:textFill>
        </w:rPr>
      </w:pPr>
      <w:r>
        <w:rPr>
          <w:rFonts w:hint="eastAsia"/>
          <w:color w:val="0070C0"/>
          <w:lang w:val="en-US" w:eastAsia="zh-CN"/>
        </w:rPr>
        <w:t>条文说明： 8.2.1~8.2.7 甲壳柱、甲壳梁均可采用《建筑钢结构防火技术规范》GB 51249-2017中的“承载力法”进行计算，其中，甲壳柱按第8.1节的公式进行计算，甲壳梁按8.3节的公式计算，体型系数计算时，体积取甲壳梁的等效截面体积，表面积取展开面积。甲壳柱、甲壳梁因内填混凝土，其防火性能优于钢柱钢梁，防火涂料的厚度只需达到《建筑钢结构防火技术规范》规定的最小值即可满足耐火极限。</w:t>
      </w:r>
    </w:p>
    <w:p>
      <w:pPr>
        <w:widowControl/>
        <w:jc w:val="left"/>
        <w:rPr>
          <w:rFonts w:asciiTheme="minorEastAsia" w:hAnsiTheme="minorEastAsia" w:cstheme="minorEastAsia"/>
          <w:color w:val="000000" w:themeColor="text1"/>
          <w:szCs w:val="21"/>
          <w14:textFill>
            <w14:solidFill>
              <w14:schemeClr w14:val="tx1"/>
            </w14:solidFill>
          </w14:textFill>
        </w:rPr>
      </w:pP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86" w:name="_Toc28706901"/>
      <w:r>
        <w:rPr>
          <w:rFonts w:hint="eastAsia" w:ascii="黑体" w:hAnsi="黑体" w:eastAsia="黑体" w:cstheme="minorEastAsia"/>
          <w:color w:val="000000" w:themeColor="text1"/>
          <w:szCs w:val="21"/>
          <w14:textFill>
            <w14:solidFill>
              <w14:schemeClr w14:val="tx1"/>
            </w14:solidFill>
          </w14:textFill>
        </w:rPr>
        <w:t>8.</w:t>
      </w:r>
      <w:r>
        <w:rPr>
          <w:rFonts w:ascii="黑体" w:hAnsi="黑体" w:eastAsia="黑体" w:cstheme="minorEastAsia"/>
          <w:color w:val="000000" w:themeColor="text1"/>
          <w:szCs w:val="21"/>
          <w14:textFill>
            <w14:solidFill>
              <w14:schemeClr w14:val="tx1"/>
            </w14:solidFill>
          </w14:textFill>
        </w:rPr>
        <w:t xml:space="preserve">3 </w:t>
      </w:r>
      <w:r>
        <w:rPr>
          <w:rFonts w:hint="eastAsia" w:ascii="黑体" w:hAnsi="黑体" w:eastAsia="黑体" w:cstheme="minorEastAsia"/>
          <w:color w:val="000000" w:themeColor="text1"/>
          <w:szCs w:val="21"/>
          <w14:textFill>
            <w14:solidFill>
              <w14:schemeClr w14:val="tx1"/>
            </w14:solidFill>
          </w14:textFill>
        </w:rPr>
        <w:t>隔热设计</w:t>
      </w:r>
      <w:bookmarkEnd w:id="86"/>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.3.1 </w:t>
      </w:r>
      <w:r>
        <w:rPr>
          <w:rFonts w:hint="eastAsia" w:asciiTheme="minorEastAsia" w:hAnsiTheme="minorEastAsia" w:cstheme="minorEastAsia"/>
          <w:color w:val="000000" w:themeColor="text1"/>
          <w:szCs w:val="21"/>
          <w14:textFill>
            <w14:solidFill>
              <w14:schemeClr w14:val="tx1"/>
            </w14:solidFill>
          </w14:textFill>
        </w:rPr>
        <w:t>处于高温工作环境中的波纹钢板组合框架结构，应考虑高温对结构的影响，高温工作环境的设计状况为持久状况，高温作用为可变荷载，设计时应按承载能力极限状态和正常使用极限状态设计。</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.3.2 </w:t>
      </w:r>
      <w:r>
        <w:rPr>
          <w:rFonts w:hint="eastAsia" w:asciiTheme="minorEastAsia" w:hAnsiTheme="minorEastAsia" w:cstheme="minorEastAsia"/>
          <w:color w:val="000000" w:themeColor="text1"/>
          <w:szCs w:val="21"/>
          <w14:textFill>
            <w14:solidFill>
              <w14:schemeClr w14:val="tx1"/>
            </w14:solidFill>
          </w14:textFill>
        </w:rPr>
        <w:t>当温度超过1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℃时，进行构件的承载能力和变形验算时，应考虑长期高温作用对钢材和构件连接性能的影响。</w:t>
      </w:r>
    </w:p>
    <w:p>
      <w:pPr>
        <w:widowControl/>
        <w:spacing w:line="400" w:lineRule="exact"/>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.3.3 </w:t>
      </w:r>
      <w:r>
        <w:rPr>
          <w:rFonts w:hint="eastAsia" w:asciiTheme="minorEastAsia" w:hAnsiTheme="minorEastAsia" w:cstheme="minorEastAsia"/>
          <w:color w:val="000000" w:themeColor="text1"/>
          <w:szCs w:val="21"/>
          <w14:textFill>
            <w14:solidFill>
              <w14:schemeClr w14:val="tx1"/>
            </w14:solidFill>
          </w14:textFill>
        </w:rPr>
        <w:t>高温环境下结构工作温度超过1</w:t>
      </w:r>
      <w:r>
        <w:rPr>
          <w:rFonts w:asciiTheme="minorEastAsia" w:hAnsiTheme="minorEastAsia" w:cstheme="minorEastAsia"/>
          <w:color w:val="000000" w:themeColor="text1"/>
          <w:szCs w:val="21"/>
          <w14:textFill>
            <w14:solidFill>
              <w14:schemeClr w14:val="tx1"/>
            </w14:solidFill>
          </w14:textFill>
        </w:rPr>
        <w:t>00</w:t>
      </w:r>
      <w:r>
        <w:rPr>
          <w:rFonts w:hint="eastAsia" w:asciiTheme="minorEastAsia" w:hAnsiTheme="minorEastAsia" w:cstheme="minorEastAsia"/>
          <w:color w:val="000000" w:themeColor="text1"/>
          <w:szCs w:val="21"/>
          <w14:textFill>
            <w14:solidFill>
              <w14:schemeClr w14:val="tx1"/>
            </w14:solidFill>
          </w14:textFill>
        </w:rPr>
        <w:t>℃时，应进行结构温度作用验算，并应根据不同情况采取防护措施：</w:t>
      </w:r>
    </w:p>
    <w:p>
      <w:pPr>
        <w:widowControl/>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当结构可能受到炽热融化金属的侵害时，应采用砌块或耐热固体材料做成的隔热层加以保护；</w:t>
      </w:r>
    </w:p>
    <w:p>
      <w:pPr>
        <w:widowControl/>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2</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当结构可能受到短时间的火焰直接作用时，应采用加耐热隔热涂层、热辐射屏蔽等隔热防护措施；</w:t>
      </w:r>
    </w:p>
    <w:p>
      <w:pPr>
        <w:widowControl/>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3</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当高温环境下结构的承载力不满足要求时，应采取增大构件截面、采用耐火钢或采用加耐热隔热涂层、热辐射屏蔽、水套隔热降温等隔热降温措施。</w:t>
      </w:r>
    </w:p>
    <w:p>
      <w:pPr>
        <w:widowControl/>
        <w:spacing w:line="400" w:lineRule="exact"/>
        <w:ind w:firstLine="420"/>
        <w:jc w:val="left"/>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高强度螺栓连接长期受热达1</w:t>
      </w:r>
      <w:r>
        <w:rPr>
          <w:rFonts w:asciiTheme="minorEastAsia" w:hAnsiTheme="minorEastAsia" w:cstheme="minorEastAsia"/>
          <w:color w:val="000000" w:themeColor="text1"/>
          <w:szCs w:val="21"/>
          <w14:textFill>
            <w14:solidFill>
              <w14:schemeClr w14:val="tx1"/>
            </w14:solidFill>
          </w14:textFill>
        </w:rPr>
        <w:t>50</w:t>
      </w:r>
      <w:r>
        <w:rPr>
          <w:rFonts w:hint="eastAsia" w:asciiTheme="minorEastAsia" w:hAnsiTheme="minorEastAsia" w:cstheme="minorEastAsia"/>
          <w:color w:val="000000" w:themeColor="text1"/>
          <w:szCs w:val="21"/>
          <w14:textFill>
            <w14:solidFill>
              <w14:schemeClr w14:val="tx1"/>
            </w14:solidFill>
          </w14:textFill>
        </w:rPr>
        <w:t>℃以上时，应采用加耐热隔热涂层、热辐射屏蔽等隔热防护措施。</w:t>
      </w:r>
    </w:p>
    <w:p>
      <w:pPr>
        <w:widowControl/>
        <w:spacing w:line="400" w:lineRule="exact"/>
        <w:jc w:val="left"/>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8</w:t>
      </w:r>
      <w:r>
        <w:rPr>
          <w:rFonts w:asciiTheme="minorEastAsia" w:hAnsiTheme="minorEastAsia" w:cstheme="minorEastAsia"/>
          <w:color w:val="000000" w:themeColor="text1"/>
          <w:szCs w:val="21"/>
          <w14:textFill>
            <w14:solidFill>
              <w14:schemeClr w14:val="tx1"/>
            </w14:solidFill>
          </w14:textFill>
        </w:rPr>
        <w:t xml:space="preserve">.3.4 </w:t>
      </w:r>
      <w:r>
        <w:rPr>
          <w:rFonts w:hint="eastAsia" w:asciiTheme="minorEastAsia" w:hAnsiTheme="minorEastAsia" w:cstheme="minorEastAsia"/>
          <w:color w:val="000000" w:themeColor="text1"/>
          <w:szCs w:val="21"/>
          <w14:textFill>
            <w14:solidFill>
              <w14:schemeClr w14:val="tx1"/>
            </w14:solidFill>
          </w14:textFill>
        </w:rPr>
        <w:t>结构的防护隔热措施在相应的工作环境下应具有耐久性，并应与结构的防腐、防火保护措施相容。</w:t>
      </w:r>
    </w:p>
    <w:p>
      <w:pPr>
        <w:widowControl/>
        <w:spacing w:line="400" w:lineRule="exact"/>
        <w:ind w:firstLine="420" w:firstLineChars="200"/>
        <w:jc w:val="left"/>
        <w:rPr>
          <w:rFonts w:hint="default"/>
          <w:color w:val="0070C0"/>
          <w:lang w:val="en-US" w:eastAsia="zh-CN"/>
        </w:rPr>
      </w:pPr>
      <w:r>
        <w:rPr>
          <w:rFonts w:hint="eastAsia"/>
          <w:color w:val="0070C0"/>
          <w:lang w:val="en-US" w:eastAsia="zh-CN"/>
        </w:rPr>
        <w:t>条文说明： 8.3.1~8.3.4 波纹钢板组合框架结构尚无工作环境为高温环境的案例，本节内容取自《钢结构设计标准》。</w:t>
      </w:r>
    </w:p>
    <w:p>
      <w:pPr>
        <w:widowControl/>
        <w:spacing w:line="400" w:lineRule="exact"/>
        <w:jc w:val="left"/>
        <w:rPr>
          <w:rFonts w:hint="eastAsia" w:asciiTheme="minorEastAsia" w:hAnsiTheme="minorEastAsia" w:cstheme="minorEastAsia"/>
          <w:color w:val="000000" w:themeColor="text1"/>
          <w:szCs w:val="21"/>
          <w14:textFill>
            <w14:solidFill>
              <w14:schemeClr w14:val="tx1"/>
            </w14:solidFill>
          </w14:textFill>
        </w:rPr>
      </w:pPr>
    </w:p>
    <w:p>
      <w:pPr>
        <w:widowControl/>
        <w:spacing w:line="400" w:lineRule="exact"/>
        <w:jc w:val="left"/>
        <w:rPr>
          <w:rFonts w:ascii="黑体" w:hAnsi="黑体" w:eastAsia="黑体" w:cstheme="minorEastAsia"/>
          <w:color w:val="000000" w:themeColor="text1"/>
          <w:szCs w:val="21"/>
          <w14:textFill>
            <w14:solidFill>
              <w14:schemeClr w14:val="tx1"/>
            </w14:solidFill>
          </w14:textFill>
        </w:rPr>
      </w:pPr>
    </w:p>
    <w:p>
      <w:pPr>
        <w:widowControl/>
        <w:jc w:val="left"/>
        <w:rPr>
          <w:rFonts w:ascii="黑体" w:hAnsi="黑体" w:eastAsia="黑体" w:cstheme="majorBidi"/>
          <w:b/>
          <w:bCs/>
          <w:color w:val="000000" w:themeColor="text1"/>
          <w:sz w:val="28"/>
          <w:szCs w:val="28"/>
          <w14:textFill>
            <w14:solidFill>
              <w14:schemeClr w14:val="tx1"/>
            </w14:solidFill>
          </w14:textFill>
        </w:rPr>
      </w:pPr>
      <w:bookmarkStart w:id="87" w:name="_Toc18493281"/>
      <w:r>
        <w:rPr>
          <w:rFonts w:ascii="黑体" w:hAnsi="黑体" w:eastAsia="黑体"/>
          <w:color w:val="000000" w:themeColor="text1"/>
          <w:sz w:val="28"/>
          <w:szCs w:val="28"/>
          <w14:textFill>
            <w14:solidFill>
              <w14:schemeClr w14:val="tx1"/>
            </w14:solidFill>
          </w14:textFill>
        </w:rPr>
        <w:br w:type="page"/>
      </w:r>
    </w:p>
    <w:p>
      <w:pPr>
        <w:pStyle w:val="21"/>
        <w:rPr>
          <w:rFonts w:ascii="黑体" w:hAnsi="黑体" w:eastAsia="黑体"/>
          <w:color w:val="000000" w:themeColor="text1"/>
          <w:sz w:val="28"/>
          <w:szCs w:val="28"/>
          <w14:textFill>
            <w14:solidFill>
              <w14:schemeClr w14:val="tx1"/>
            </w14:solidFill>
          </w14:textFill>
        </w:rPr>
      </w:pPr>
      <w:bookmarkStart w:id="88" w:name="_Toc28706902"/>
      <w:r>
        <w:rPr>
          <w:rFonts w:hint="eastAsia" w:ascii="黑体" w:hAnsi="黑体" w:eastAsia="黑体"/>
          <w:color w:val="000000" w:themeColor="text1"/>
          <w:sz w:val="28"/>
          <w:szCs w:val="28"/>
          <w14:textFill>
            <w14:solidFill>
              <w14:schemeClr w14:val="tx1"/>
            </w14:solidFill>
          </w14:textFill>
        </w:rPr>
        <w:t>9制作与施工</w:t>
      </w:r>
      <w:bookmarkEnd w:id="87"/>
      <w:bookmarkEnd w:id="88"/>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89" w:name="_Toc18493282"/>
      <w:bookmarkStart w:id="90" w:name="_Toc28706903"/>
      <w:r>
        <w:rPr>
          <w:rFonts w:hint="eastAsia" w:ascii="黑体" w:hAnsi="黑体" w:eastAsia="黑体" w:cstheme="minorEastAsia"/>
          <w:color w:val="000000" w:themeColor="text1"/>
          <w:szCs w:val="21"/>
          <w14:textFill>
            <w14:solidFill>
              <w14:schemeClr w14:val="tx1"/>
            </w14:solidFill>
          </w14:textFill>
        </w:rPr>
        <w:t>9.1 构件制作</w:t>
      </w:r>
      <w:bookmarkEnd w:id="89"/>
      <w:bookmarkEnd w:id="90"/>
    </w:p>
    <w:p>
      <w:pPr>
        <w:spacing w:line="400" w:lineRule="exact"/>
        <w:ind w:firstLine="315" w:firstLineChars="150"/>
        <w:rPr>
          <w:rFonts w:asciiTheme="minorEastAsia" w:hAnsiTheme="minorEastAsia"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.1.1</w:t>
      </w:r>
      <w:r>
        <w:rPr>
          <w:rFonts w:hint="eastAsia" w:asciiTheme="minorEastAsia" w:hAnsiTheme="minorEastAsia" w:cstheme="minorEastAsia"/>
          <w:color w:val="000000" w:themeColor="text1"/>
          <w:szCs w:val="21"/>
          <w14:textFill>
            <w14:solidFill>
              <w14:schemeClr w14:val="tx1"/>
            </w14:solidFill>
          </w14:textFill>
        </w:rPr>
        <w:t>甲壳柱、甲壳梁构件及零部件的原材料及制作、加工、涂装、检验，除执行本节内容外，还应执行下列规范的要求:</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《钢结构焊接规范》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50661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《钢结构工程施工规范》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50755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《钢结构工程施工质量验收规范》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50205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《钢结构设计标准》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50017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《钢-混凝土组合结构施工规范》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50901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《钢管混凝土工程施工质量验收规范》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 50628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《钢构用冷弯空心型钢尺寸、外形、重量及允许偏差》GB/T 6728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《热轧钢构和钢带的尺寸、外形、重量及允许偏差》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GB/T 709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《焊缝无损检测、超声检测技术、检测等级和评定》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GB/T 11345</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《波纹腹板钢结构技术规程》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CECS 291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《热轧型钢》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 xml:space="preserve">GB/T 706   </w:t>
      </w:r>
    </w:p>
    <w:p>
      <w:pPr>
        <w:spacing w:line="400" w:lineRule="exact"/>
        <w:ind w:firstLine="420" w:firstLineChars="20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 xml:space="preserve">《电弧螺柱焊用圆柱头焊钉》 </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GB/T 10433</w:t>
      </w:r>
    </w:p>
    <w:p>
      <w:pPr>
        <w:rPr>
          <w:rFonts w:ascii="宋体" w:hAnsi="宋体"/>
          <w:color w:val="000000" w:themeColor="text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.1.2 </w:t>
      </w:r>
      <w:r>
        <w:rPr>
          <w:rFonts w:hint="eastAsia" w:ascii="宋体" w:hAnsi="宋体"/>
          <w:color w:val="000000" w:themeColor="text1"/>
          <w14:textFill>
            <w14:solidFill>
              <w14:schemeClr w14:val="tx1"/>
            </w14:solidFill>
          </w14:textFill>
        </w:rPr>
        <w:t>甲壳柱的外形尺寸允许偏差宜按表</w:t>
      </w:r>
      <w:r>
        <w:rPr>
          <w:rFonts w:ascii="宋体" w:hAnsi="宋体"/>
          <w:color w:val="000000" w:themeColor="text1"/>
          <w14:textFill>
            <w14:solidFill>
              <w14:schemeClr w14:val="tx1"/>
            </w14:solidFill>
          </w14:textFill>
        </w:rPr>
        <w:t>9.1.2</w:t>
      </w:r>
      <w:r>
        <w:rPr>
          <w:rFonts w:hint="eastAsia" w:ascii="宋体" w:hAnsi="宋体"/>
          <w:color w:val="000000" w:themeColor="text1"/>
          <w14:textFill>
            <w14:solidFill>
              <w14:schemeClr w14:val="tx1"/>
            </w14:solidFill>
          </w14:textFill>
        </w:rPr>
        <w:t>采用。</w:t>
      </w:r>
    </w:p>
    <w:p>
      <w:pPr>
        <w:widowControl/>
        <w:jc w:val="lef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rPr>
          <w:rFonts w:ascii="Calibri" w:hAnsi="Calibri" w:eastAsia="宋体" w:cs="宋体"/>
          <w:color w:val="000000" w:themeColor="text1"/>
          <w:szCs w:val="21"/>
          <w14:textFill>
            <w14:solidFill>
              <w14:schemeClr w14:val="tx1"/>
            </w14:solidFill>
          </w14:textFill>
        </w:rPr>
      </w:pPr>
    </w:p>
    <w:tbl>
      <w:tblPr>
        <w:tblStyle w:val="22"/>
        <w:tblW w:w="5757" w:type="dxa"/>
        <w:tblInd w:w="0" w:type="dxa"/>
        <w:tblLayout w:type="fixed"/>
        <w:tblCellMar>
          <w:top w:w="15" w:type="dxa"/>
          <w:left w:w="15" w:type="dxa"/>
          <w:bottom w:w="15" w:type="dxa"/>
          <w:right w:w="15" w:type="dxa"/>
        </w:tblCellMar>
      </w:tblPr>
      <w:tblGrid>
        <w:gridCol w:w="937"/>
        <w:gridCol w:w="835"/>
        <w:gridCol w:w="1253"/>
        <w:gridCol w:w="2732"/>
      </w:tblGrid>
      <w:tr>
        <w:tblPrEx>
          <w:tblCellMar>
            <w:top w:w="15" w:type="dxa"/>
            <w:left w:w="15" w:type="dxa"/>
            <w:bottom w:w="15" w:type="dxa"/>
            <w:right w:w="15" w:type="dxa"/>
          </w:tblCellMar>
        </w:tblPrEx>
        <w:trPr>
          <w:trHeight w:val="116" w:hRule="atLeast"/>
        </w:trPr>
        <w:tc>
          <w:tcPr>
            <w:tcW w:w="5757" w:type="dxa"/>
            <w:gridSpan w:val="4"/>
          </w:tcPr>
          <w:p>
            <w:pPr>
              <w:widowControl/>
              <w:jc w:val="center"/>
              <w:textAlignment w:val="top"/>
              <w:rPr>
                <w:rFonts w:ascii="黑体" w:hAnsi="黑体" w:eastAsia="黑体" w:cs="宋体"/>
                <w:bCs/>
                <w:color w:val="000000" w:themeColor="text1"/>
                <w:sz w:val="18"/>
                <w:szCs w:val="18"/>
                <w14:textFill>
                  <w14:solidFill>
                    <w14:schemeClr w14:val="tx1"/>
                  </w14:solidFill>
                </w14:textFill>
              </w:rPr>
            </w:pPr>
            <w:r>
              <w:rPr>
                <w:rFonts w:hint="eastAsia" w:ascii="黑体" w:hAnsi="黑体" w:eastAsia="黑体" w:cs="宋体"/>
                <w:bCs/>
                <w:color w:val="000000" w:themeColor="text1"/>
                <w:sz w:val="18"/>
                <w:szCs w:val="18"/>
                <w14:textFill>
                  <w14:solidFill>
                    <w14:schemeClr w14:val="tx1"/>
                  </w14:solidFill>
                </w14:textFill>
              </w:rPr>
              <w:t xml:space="preserve">表 </w:t>
            </w:r>
            <w:r>
              <w:rPr>
                <w:rFonts w:ascii="黑体" w:hAnsi="黑体" w:eastAsia="黑体" w:cs="宋体"/>
                <w:bCs/>
                <w:color w:val="000000" w:themeColor="text1"/>
                <w:sz w:val="18"/>
                <w:szCs w:val="18"/>
                <w14:textFill>
                  <w14:solidFill>
                    <w14:schemeClr w14:val="tx1"/>
                  </w14:solidFill>
                </w14:textFill>
              </w:rPr>
              <w:t xml:space="preserve">9.1.2  </w:t>
            </w:r>
            <w:r>
              <w:rPr>
                <w:rFonts w:hint="eastAsia" w:ascii="黑体" w:hAnsi="黑体" w:eastAsia="黑体" w:cs="宋体"/>
                <w:bCs/>
                <w:color w:val="000000" w:themeColor="text1"/>
                <w:sz w:val="18"/>
                <w:szCs w:val="18"/>
                <w14:textFill>
                  <w14:solidFill>
                    <w14:schemeClr w14:val="tx1"/>
                  </w14:solidFill>
                </w14:textFill>
              </w:rPr>
              <w:t>甲壳柱外形尺寸允许偏差</w:t>
            </w:r>
          </w:p>
        </w:tc>
      </w:tr>
      <w:tr>
        <w:tblPrEx>
          <w:tblCellMar>
            <w:top w:w="15" w:type="dxa"/>
            <w:left w:w="15" w:type="dxa"/>
            <w:bottom w:w="15" w:type="dxa"/>
            <w:right w:w="15" w:type="dxa"/>
          </w:tblCellMar>
        </w:tblPrEx>
        <w:trPr>
          <w:trHeight w:val="116"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项目</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允许偏差(</w:t>
            </w:r>
            <w:r>
              <w:rPr>
                <w:rFonts w:ascii="宋体" w:hAnsi="宋体" w:cs="宋体"/>
                <w:color w:val="000000" w:themeColor="text1"/>
                <w:kern w:val="0"/>
                <w:sz w:val="15"/>
                <w:szCs w:val="15"/>
                <w:lang w:bidi="ar"/>
                <w14:textFill>
                  <w14:solidFill>
                    <w14:schemeClr w14:val="tx1"/>
                  </w14:solidFill>
                </w14:textFill>
              </w:rPr>
              <w:t>mm)</w:t>
            </w:r>
          </w:p>
        </w:tc>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检查方法</w:t>
            </w:r>
          </w:p>
        </w:tc>
        <w:tc>
          <w:tcPr>
            <w:tcW w:w="27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图例</w:t>
            </w:r>
          </w:p>
        </w:tc>
      </w:tr>
      <w:tr>
        <w:tblPrEx>
          <w:tblCellMar>
            <w:top w:w="15" w:type="dxa"/>
            <w:left w:w="15" w:type="dxa"/>
            <w:bottom w:w="15" w:type="dxa"/>
            <w:right w:w="15" w:type="dxa"/>
          </w:tblCellMar>
        </w:tblPrEx>
        <w:trPr>
          <w:trHeight w:val="825"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甲壳柱长度L</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125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用钢尺检查</w:t>
            </w:r>
          </w:p>
        </w:tc>
        <w:tc>
          <w:tcPr>
            <w:tcW w:w="273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ascii="宋体" w:hAnsi="宋体" w:cs="宋体"/>
                <w:color w:val="000000" w:themeColor="text1"/>
                <w:sz w:val="15"/>
                <w:szCs w:val="15"/>
                <w14:textFill>
                  <w14:solidFill>
                    <w14:schemeClr w14:val="tx1"/>
                  </w14:solidFill>
                </w14:textFill>
              </w:rPr>
              <w:drawing>
                <wp:inline distT="0" distB="0" distL="0" distR="0">
                  <wp:extent cx="822960" cy="10185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l="37612" t="14367" r="37853" b="13779"/>
                          <a:stretch>
                            <a:fillRect/>
                          </a:stretch>
                        </pic:blipFill>
                        <pic:spPr>
                          <a:xfrm>
                            <a:off x="0" y="0"/>
                            <a:ext cx="865858" cy="1072013"/>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252"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柱宽度L3</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125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c>
          <w:tcPr>
            <w:tcW w:w="2732" w:type="dxa"/>
            <w:vMerge w:val="continue"/>
            <w:tcBorders>
              <w:left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r>
        <w:tblPrEx>
          <w:tblCellMar>
            <w:top w:w="15" w:type="dxa"/>
            <w:left w:w="15" w:type="dxa"/>
            <w:bottom w:w="15" w:type="dxa"/>
            <w:right w:w="15" w:type="dxa"/>
          </w:tblCellMar>
        </w:tblPrEx>
        <w:trPr>
          <w:trHeight w:val="196"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 xml:space="preserve">柱脚底板平面度 </w:t>
            </w:r>
            <w:r>
              <w:rPr>
                <w:rFonts w:ascii="宋体" w:hAnsi="宋体" w:cs="宋体"/>
                <w:color w:val="000000" w:themeColor="text1"/>
                <w:kern w:val="0"/>
                <w:sz w:val="15"/>
                <w:szCs w:val="15"/>
                <w:lang w:bidi="ar"/>
                <w14:textFill>
                  <w14:solidFill>
                    <w14:schemeClr w14:val="tx1"/>
                  </w14:solidFill>
                </w14:textFill>
              </w:rPr>
              <w:t>F</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5</w:t>
            </w:r>
            <w:r>
              <w:rPr>
                <w:rFonts w:ascii="宋体" w:hAnsi="宋体" w:cs="宋体"/>
                <w:color w:val="000000" w:themeColor="text1"/>
                <w:kern w:val="0"/>
                <w:sz w:val="15"/>
                <w:szCs w:val="15"/>
                <w:lang w:bidi="ar"/>
                <w14:textFill>
                  <w14:solidFill>
                    <w14:schemeClr w14:val="tx1"/>
                  </w14:solidFill>
                </w14:textFill>
              </w:rPr>
              <w:t>.0</w:t>
            </w:r>
          </w:p>
        </w:tc>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用1M直尺和塞尺检查</w:t>
            </w:r>
          </w:p>
        </w:tc>
        <w:tc>
          <w:tcPr>
            <w:tcW w:w="2732"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r>
        <w:tblPrEx>
          <w:tblCellMar>
            <w:top w:w="15" w:type="dxa"/>
            <w:left w:w="15" w:type="dxa"/>
            <w:bottom w:w="15" w:type="dxa"/>
            <w:right w:w="15" w:type="dxa"/>
          </w:tblCellMar>
        </w:tblPrEx>
        <w:trPr>
          <w:trHeight w:val="1352"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截面对角线差</w:t>
            </w: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ascii="宋体" w:hAnsi="宋体" w:cs="宋体"/>
                <w:color w:val="000000" w:themeColor="text1"/>
                <w:kern w:val="0"/>
                <w:sz w:val="15"/>
                <w:szCs w:val="15"/>
                <w:lang w:bidi="ar"/>
                <w14:textFill>
                  <w14:solidFill>
                    <w14:schemeClr w14:val="tx1"/>
                  </w14:solidFill>
                </w14:textFill>
              </w:rPr>
              <w:t>5</w:t>
            </w:r>
            <w:r>
              <w:rPr>
                <w:rFonts w:hint="eastAsia" w:ascii="宋体" w:hAnsi="宋体" w:cs="宋体"/>
                <w:color w:val="000000" w:themeColor="text1"/>
                <w:kern w:val="0"/>
                <w:sz w:val="15"/>
                <w:szCs w:val="15"/>
                <w:lang w:bidi="ar"/>
                <w14:textFill>
                  <w14:solidFill>
                    <w14:schemeClr w14:val="tx1"/>
                  </w14:solidFill>
                </w14:textFill>
              </w:rPr>
              <w:t xml:space="preserve">.0 </w:t>
            </w:r>
          </w:p>
        </w:tc>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用钢尺检查</w:t>
            </w:r>
          </w:p>
        </w:tc>
        <w:tc>
          <w:tcPr>
            <w:tcW w:w="27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drawing>
                <wp:inline distT="0" distB="0" distL="0" distR="0">
                  <wp:extent cx="1716405" cy="1438910"/>
                  <wp:effectExtent l="0" t="0" r="0" b="8890"/>
                  <wp:docPr id="30"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16405" cy="143891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352"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十字拉板间距L4</w:t>
            </w:r>
          </w:p>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±10.0</w:t>
            </w:r>
          </w:p>
        </w:tc>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用钢尺、直尺检查</w:t>
            </w:r>
          </w:p>
        </w:tc>
        <w:tc>
          <w:tcPr>
            <w:tcW w:w="27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drawing>
                <wp:inline distT="0" distB="0" distL="0" distR="0">
                  <wp:extent cx="1438910" cy="905510"/>
                  <wp:effectExtent l="0" t="0" r="8890" b="8890"/>
                  <wp:docPr id="33" name="图片 3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50948" cy="913078"/>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352" w:hRule="atLeast"/>
        </w:trPr>
        <w:tc>
          <w:tcPr>
            <w:tcW w:w="93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十字拉板侧向弯曲度F1</w:t>
            </w:r>
          </w:p>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8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ascii="宋体" w:hAnsi="宋体" w:cs="宋体"/>
                <w:color w:val="000000" w:themeColor="text1"/>
                <w:kern w:val="0"/>
                <w:sz w:val="15"/>
                <w:szCs w:val="15"/>
                <w:lang w:bidi="ar"/>
                <w14:textFill>
                  <w14:solidFill>
                    <w14:schemeClr w14:val="tx1"/>
                  </w14:solidFill>
                </w14:textFill>
              </w:rPr>
              <w:t>1</w:t>
            </w:r>
            <w:r>
              <w:rPr>
                <w:rFonts w:hint="eastAsia" w:ascii="宋体" w:hAnsi="宋体" w:cs="宋体"/>
                <w:color w:val="000000" w:themeColor="text1"/>
                <w:kern w:val="0"/>
                <w:sz w:val="15"/>
                <w:szCs w:val="15"/>
                <w:lang w:bidi="ar"/>
                <w14:textFill>
                  <w14:solidFill>
                    <w14:schemeClr w14:val="tx1"/>
                  </w14:solidFill>
                </w14:textFill>
              </w:rPr>
              <w:t>.0</w:t>
            </w:r>
          </w:p>
        </w:tc>
        <w:tc>
          <w:tcPr>
            <w:tcW w:w="125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用钢尺、直尺检查</w:t>
            </w:r>
          </w:p>
        </w:tc>
        <w:tc>
          <w:tcPr>
            <w:tcW w:w="273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drawing>
                <wp:inline distT="0" distB="0" distL="0" distR="0">
                  <wp:extent cx="779145" cy="725170"/>
                  <wp:effectExtent l="0" t="0" r="1905" b="0"/>
                  <wp:docPr id="32" name="图片 3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86606" cy="732225"/>
                          </a:xfrm>
                          <a:prstGeom prst="rect">
                            <a:avLst/>
                          </a:prstGeom>
                          <a:noFill/>
                          <a:ln>
                            <a:noFill/>
                          </a:ln>
                        </pic:spPr>
                      </pic:pic>
                    </a:graphicData>
                  </a:graphic>
                </wp:inline>
              </w:drawing>
            </w:r>
          </w:p>
        </w:tc>
      </w:tr>
    </w:tbl>
    <w:p>
      <w:pPr>
        <w:rPr>
          <w:rFonts w:ascii="黑体" w:hAnsi="黑体" w:eastAsia="黑体" w:cstheme="minorEastAsia"/>
          <w:color w:val="000000" w:themeColor="text1"/>
          <w:szCs w:val="21"/>
          <w14:textFill>
            <w14:solidFill>
              <w14:schemeClr w14:val="tx1"/>
            </w14:solidFill>
          </w14:textFill>
        </w:rPr>
      </w:pPr>
    </w:p>
    <w:p>
      <w:pPr>
        <w:rPr>
          <w:rFonts w:ascii="黑体" w:hAnsi="黑体" w:eastAsia="黑体" w:cstheme="minorEastAsia"/>
          <w:color w:val="000000" w:themeColor="text1"/>
          <w:szCs w:val="21"/>
          <w14:textFill>
            <w14:solidFill>
              <w14:schemeClr w14:val="tx1"/>
            </w14:solidFill>
          </w14:textFill>
        </w:rPr>
      </w:pPr>
    </w:p>
    <w:p>
      <w:pPr>
        <w:widowControl/>
        <w:jc w:val="center"/>
        <w:textAlignment w:val="top"/>
        <w:rPr>
          <w:rFonts w:ascii="宋体" w:hAnsi="宋体" w:cs="宋体"/>
          <w:b/>
          <w:color w:val="000000" w:themeColor="text1"/>
          <w:szCs w:val="21"/>
          <w14:textFill>
            <w14:solidFill>
              <w14:schemeClr w14:val="tx1"/>
            </w14:solidFill>
          </w14:textFill>
        </w:rPr>
      </w:pPr>
      <w:r>
        <w:rPr>
          <w:rFonts w:hint="eastAsia" w:ascii="黑体" w:hAnsi="黑体" w:eastAsia="黑体" w:cs="宋体"/>
          <w:bCs/>
          <w:color w:val="000000" w:themeColor="text1"/>
          <w:sz w:val="18"/>
          <w:szCs w:val="18"/>
          <w14:textFill>
            <w14:solidFill>
              <w14:schemeClr w14:val="tx1"/>
            </w14:solidFill>
          </w14:textFill>
        </w:rPr>
        <w:t>续表</w:t>
      </w:r>
      <w:r>
        <w:rPr>
          <w:rFonts w:ascii="黑体" w:hAnsi="黑体" w:eastAsia="黑体" w:cs="宋体"/>
          <w:bCs/>
          <w:color w:val="000000" w:themeColor="text1"/>
          <w:sz w:val="18"/>
          <w:szCs w:val="18"/>
          <w14:textFill>
            <w14:solidFill>
              <w14:schemeClr w14:val="tx1"/>
            </w14:solidFill>
          </w14:textFill>
        </w:rPr>
        <w:t xml:space="preserve">9.1.2 </w:t>
      </w:r>
      <w:r>
        <w:rPr>
          <w:rFonts w:hint="eastAsia" w:ascii="黑体" w:hAnsi="黑体" w:eastAsia="黑体" w:cs="宋体"/>
          <w:bCs/>
          <w:color w:val="000000" w:themeColor="text1"/>
          <w:sz w:val="18"/>
          <w:szCs w:val="18"/>
          <w14:textFill>
            <w14:solidFill>
              <w14:schemeClr w14:val="tx1"/>
            </w14:solidFill>
          </w14:textFill>
        </w:rPr>
        <w:t>甲壳柱外形尺寸允许偏差</w:t>
      </w:r>
    </w:p>
    <w:tbl>
      <w:tblPr>
        <w:tblStyle w:val="22"/>
        <w:tblW w:w="6528" w:type="dxa"/>
        <w:tblInd w:w="0" w:type="dxa"/>
        <w:tblLayout w:type="fixed"/>
        <w:tblCellMar>
          <w:top w:w="15" w:type="dxa"/>
          <w:left w:w="15" w:type="dxa"/>
          <w:bottom w:w="15" w:type="dxa"/>
          <w:right w:w="15" w:type="dxa"/>
        </w:tblCellMar>
      </w:tblPr>
      <w:tblGrid>
        <w:gridCol w:w="1870"/>
        <w:gridCol w:w="1311"/>
        <w:gridCol w:w="886"/>
        <w:gridCol w:w="2461"/>
      </w:tblGrid>
      <w:tr>
        <w:tblPrEx>
          <w:tblCellMar>
            <w:top w:w="15" w:type="dxa"/>
            <w:left w:w="15" w:type="dxa"/>
            <w:bottom w:w="15" w:type="dxa"/>
            <w:right w:w="15" w:type="dxa"/>
          </w:tblCellMar>
        </w:tblPrEx>
        <w:trPr>
          <w:trHeight w:val="286"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项目</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允许偏差(</w:t>
            </w:r>
            <w:r>
              <w:rPr>
                <w:rFonts w:ascii="宋体" w:hAnsi="宋体" w:cs="宋体"/>
                <w:color w:val="000000" w:themeColor="text1"/>
                <w:kern w:val="0"/>
                <w:sz w:val="15"/>
                <w:szCs w:val="15"/>
                <w:lang w:bidi="ar"/>
                <w14:textFill>
                  <w14:solidFill>
                    <w14:schemeClr w14:val="tx1"/>
                  </w14:solidFill>
                </w14:textFill>
              </w:rPr>
              <w:t>mm)</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检查方法</w:t>
            </w:r>
          </w:p>
        </w:tc>
        <w:tc>
          <w:tcPr>
            <w:tcW w:w="24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图例</w:t>
            </w:r>
          </w:p>
        </w:tc>
      </w:tr>
      <w:tr>
        <w:tblPrEx>
          <w:tblCellMar>
            <w:top w:w="15" w:type="dxa"/>
            <w:left w:w="15" w:type="dxa"/>
            <w:bottom w:w="15" w:type="dxa"/>
            <w:right w:w="15" w:type="dxa"/>
          </w:tblCellMar>
        </w:tblPrEx>
        <w:trPr>
          <w:trHeight w:val="1754"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下翼缘连接板伸出端距离柱下端脚底板L</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8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用直尺和钢尺检查</w:t>
            </w:r>
          </w:p>
        </w:tc>
        <w:tc>
          <w:tcPr>
            <w:tcW w:w="2461"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drawing>
                <wp:inline distT="0" distB="0" distL="0" distR="0">
                  <wp:extent cx="981710" cy="1619250"/>
                  <wp:effectExtent l="0" t="0" r="8890" b="0"/>
                  <wp:docPr id="34"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81710" cy="161925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286"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下翼缘连接板伸出端翘曲F</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2.0</w:t>
            </w:r>
          </w:p>
        </w:tc>
        <w:tc>
          <w:tcPr>
            <w:tcW w:w="886" w:type="dxa"/>
            <w:vMerge w:val="continue"/>
            <w:tcBorders>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2461" w:type="dxa"/>
            <w:vMerge w:val="continue"/>
            <w:tcBorders>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r>
        <w:tblPrEx>
          <w:tblCellMar>
            <w:top w:w="15" w:type="dxa"/>
            <w:left w:w="15" w:type="dxa"/>
            <w:bottom w:w="15" w:type="dxa"/>
            <w:right w:w="15" w:type="dxa"/>
          </w:tblCellMar>
        </w:tblPrEx>
        <w:trPr>
          <w:trHeight w:val="747"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下翼缘连接板伸出端离柱边距b</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8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2461" w:type="dxa"/>
            <w:vMerge w:val="continue"/>
            <w:tcBorders>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r>
        <w:tblPrEx>
          <w:tblCellMar>
            <w:top w:w="15" w:type="dxa"/>
            <w:left w:w="15" w:type="dxa"/>
            <w:bottom w:w="15" w:type="dxa"/>
            <w:right w:w="15" w:type="dxa"/>
          </w:tblCellMar>
        </w:tblPrEx>
        <w:trPr>
          <w:trHeight w:val="158"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柱身弯曲矢高</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H/1500，且不应大于6.0</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用拉线和钢尺检查</w:t>
            </w:r>
          </w:p>
        </w:tc>
        <w:tc>
          <w:tcPr>
            <w:tcW w:w="2461"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r>
        <w:tblPrEx>
          <w:tblCellMar>
            <w:top w:w="15" w:type="dxa"/>
            <w:left w:w="15" w:type="dxa"/>
            <w:bottom w:w="15" w:type="dxa"/>
            <w:right w:w="15" w:type="dxa"/>
          </w:tblCellMar>
        </w:tblPrEx>
        <w:trPr>
          <w:trHeight w:val="286"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波纹劲与端部件垂直度f2</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10.0</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用直尺和钢尺检查</w:t>
            </w:r>
          </w:p>
        </w:tc>
        <w:tc>
          <w:tcPr>
            <w:tcW w:w="2461" w:type="dxa"/>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drawing>
                <wp:inline distT="0" distB="0" distL="0" distR="0">
                  <wp:extent cx="1536065" cy="951230"/>
                  <wp:effectExtent l="0" t="0" r="6985" b="1270"/>
                  <wp:docPr id="41" name="图片 4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15001" cy="999981"/>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863"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波纹板离方管边缘距离</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用直尺检查</w:t>
            </w:r>
          </w:p>
        </w:tc>
        <w:tc>
          <w:tcPr>
            <w:tcW w:w="2461" w:type="dxa"/>
            <w:tcBorders>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ascii="宋体" w:hAnsi="宋体" w:cs="宋体"/>
                <w:color w:val="000000" w:themeColor="text1"/>
                <w:kern w:val="0"/>
                <w:sz w:val="15"/>
                <w:szCs w:val="15"/>
                <w:lang w:bidi="ar"/>
                <w14:textFill>
                  <w14:solidFill>
                    <w14:schemeClr w14:val="tx1"/>
                  </w14:solidFill>
                </w14:textFill>
              </w:rPr>
              <w:drawing>
                <wp:inline distT="0" distB="0" distL="0" distR="0">
                  <wp:extent cx="1028065" cy="866775"/>
                  <wp:effectExtent l="0" t="0" r="63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36126" cy="873771"/>
                          </a:xfrm>
                          <a:prstGeom prst="rect">
                            <a:avLst/>
                          </a:prstGeom>
                          <a:noFill/>
                          <a:ln>
                            <a:noFill/>
                          </a:ln>
                          <a:effectLst/>
                        </pic:spPr>
                      </pic:pic>
                    </a:graphicData>
                  </a:graphic>
                </wp:inline>
              </w:drawing>
            </w:r>
          </w:p>
        </w:tc>
      </w:tr>
      <w:tr>
        <w:tblPrEx>
          <w:tblCellMar>
            <w:top w:w="15" w:type="dxa"/>
            <w:left w:w="15" w:type="dxa"/>
            <w:bottom w:w="15" w:type="dxa"/>
            <w:right w:w="15" w:type="dxa"/>
          </w:tblCellMar>
        </w:tblPrEx>
        <w:trPr>
          <w:trHeight w:val="198"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上柱连接板距离柱中心</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±1</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2461" w:type="dxa"/>
            <w:tcBorders>
              <w:left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r>
        <w:tblPrEx>
          <w:tblCellMar>
            <w:top w:w="15" w:type="dxa"/>
            <w:left w:w="15" w:type="dxa"/>
            <w:bottom w:w="15" w:type="dxa"/>
            <w:right w:w="15" w:type="dxa"/>
          </w:tblCellMar>
        </w:tblPrEx>
        <w:trPr>
          <w:trHeight w:val="198"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下柱连接板距离柱中心</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±1</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c>
          <w:tcPr>
            <w:tcW w:w="2461" w:type="dxa"/>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r>
        <w:tblPrEx>
          <w:tblCellMar>
            <w:top w:w="15" w:type="dxa"/>
            <w:left w:w="15" w:type="dxa"/>
            <w:bottom w:w="15" w:type="dxa"/>
            <w:right w:w="15" w:type="dxa"/>
          </w:tblCellMar>
        </w:tblPrEx>
        <w:trPr>
          <w:trHeight w:val="198" w:hRule="atLeast"/>
        </w:trPr>
        <w:tc>
          <w:tcPr>
            <w:tcW w:w="18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上下柱连接板及定位螺栓孔标高</w:t>
            </w:r>
          </w:p>
        </w:tc>
        <w:tc>
          <w:tcPr>
            <w:tcW w:w="13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±5</w:t>
            </w:r>
          </w:p>
        </w:tc>
        <w:tc>
          <w:tcPr>
            <w:tcW w:w="8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用直尺检查</w:t>
            </w:r>
          </w:p>
        </w:tc>
        <w:tc>
          <w:tcPr>
            <w:tcW w:w="2461" w:type="dxa"/>
            <w:tcBorders>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p>
        </w:tc>
      </w:tr>
    </w:tbl>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.1.3 </w:t>
      </w:r>
      <w:r>
        <w:rPr>
          <w:rFonts w:hint="eastAsia" w:ascii="宋体" w:hAnsi="宋体"/>
          <w:color w:val="000000" w:themeColor="text1"/>
          <w:szCs w:val="21"/>
          <w14:textFill>
            <w14:solidFill>
              <w14:schemeClr w14:val="tx1"/>
            </w14:solidFill>
          </w14:textFill>
        </w:rPr>
        <w:t>甲壳梁的外形尺寸允许偏差应按表</w:t>
      </w:r>
      <w:r>
        <w:rPr>
          <w:rFonts w:ascii="宋体" w:hAnsi="宋体"/>
          <w:color w:val="000000" w:themeColor="text1"/>
          <w:szCs w:val="21"/>
          <w14:textFill>
            <w14:solidFill>
              <w14:schemeClr w14:val="tx1"/>
            </w14:solidFill>
          </w14:textFill>
        </w:rPr>
        <w:t>9.1.3</w:t>
      </w:r>
      <w:r>
        <w:rPr>
          <w:rFonts w:hint="eastAsia" w:ascii="宋体" w:hAnsi="宋体"/>
          <w:color w:val="000000" w:themeColor="text1"/>
          <w:szCs w:val="21"/>
          <w14:textFill>
            <w14:solidFill>
              <w14:schemeClr w14:val="tx1"/>
            </w14:solidFill>
          </w14:textFill>
        </w:rPr>
        <w:t>采用。</w:t>
      </w:r>
    </w:p>
    <w:p>
      <w:pPr>
        <w:widowControl/>
        <w:jc w:val="center"/>
        <w:textAlignment w:val="top"/>
        <w:rPr>
          <w:rFonts w:ascii="黑体" w:hAnsi="黑体" w:eastAsia="黑体" w:cs="宋体"/>
          <w:bCs/>
          <w:color w:val="000000" w:themeColor="text1"/>
          <w:sz w:val="18"/>
          <w:szCs w:val="18"/>
          <w14:textFill>
            <w14:solidFill>
              <w14:schemeClr w14:val="tx1"/>
            </w14:solidFill>
          </w14:textFill>
        </w:rPr>
      </w:pPr>
      <w:r>
        <w:rPr>
          <w:rFonts w:hint="eastAsia" w:ascii="黑体" w:hAnsi="黑体" w:eastAsia="黑体" w:cs="宋体"/>
          <w:bCs/>
          <w:color w:val="000000" w:themeColor="text1"/>
          <w:sz w:val="18"/>
          <w:szCs w:val="18"/>
          <w14:textFill>
            <w14:solidFill>
              <w14:schemeClr w14:val="tx1"/>
            </w14:solidFill>
          </w14:textFill>
        </w:rPr>
        <w:t xml:space="preserve">表 </w:t>
      </w:r>
      <w:r>
        <w:rPr>
          <w:rFonts w:ascii="黑体" w:hAnsi="黑体" w:eastAsia="黑体" w:cs="宋体"/>
          <w:bCs/>
          <w:color w:val="000000" w:themeColor="text1"/>
          <w:sz w:val="18"/>
          <w:szCs w:val="18"/>
          <w14:textFill>
            <w14:solidFill>
              <w14:schemeClr w14:val="tx1"/>
            </w14:solidFill>
          </w14:textFill>
        </w:rPr>
        <w:t xml:space="preserve">9.1.3  </w:t>
      </w:r>
      <w:r>
        <w:rPr>
          <w:rFonts w:hint="eastAsia" w:ascii="黑体" w:hAnsi="黑体" w:eastAsia="黑体" w:cs="宋体"/>
          <w:bCs/>
          <w:color w:val="000000" w:themeColor="text1"/>
          <w:sz w:val="18"/>
          <w:szCs w:val="18"/>
          <w14:textFill>
            <w14:solidFill>
              <w14:schemeClr w14:val="tx1"/>
            </w14:solidFill>
          </w14:textFill>
        </w:rPr>
        <w:t>甲壳梁外形尺寸允许偏差</w:t>
      </w:r>
    </w:p>
    <w:tbl>
      <w:tblPr>
        <w:tblStyle w:val="22"/>
        <w:tblW w:w="5757" w:type="dxa"/>
        <w:tblInd w:w="0" w:type="dxa"/>
        <w:tblLayout w:type="fixed"/>
        <w:tblCellMar>
          <w:top w:w="15" w:type="dxa"/>
          <w:left w:w="15" w:type="dxa"/>
          <w:bottom w:w="15" w:type="dxa"/>
          <w:right w:w="15" w:type="dxa"/>
        </w:tblCellMar>
      </w:tblPr>
      <w:tblGrid>
        <w:gridCol w:w="866"/>
        <w:gridCol w:w="1056"/>
        <w:gridCol w:w="756"/>
        <w:gridCol w:w="3079"/>
      </w:tblGrid>
      <w:tr>
        <w:tblPrEx>
          <w:tblCellMar>
            <w:top w:w="15" w:type="dxa"/>
            <w:left w:w="15" w:type="dxa"/>
            <w:bottom w:w="15" w:type="dxa"/>
            <w:right w:w="15" w:type="dxa"/>
          </w:tblCellMar>
        </w:tblPrEx>
        <w:trPr>
          <w:trHeight w:val="286"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项目</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允许偏差（m</w:t>
            </w:r>
            <w:r>
              <w:rPr>
                <w:rFonts w:ascii="宋体" w:hAnsi="宋体" w:cs="宋体"/>
                <w:color w:val="000000" w:themeColor="text1"/>
                <w:kern w:val="0"/>
                <w:sz w:val="15"/>
                <w:szCs w:val="15"/>
                <w:lang w:bidi="ar"/>
                <w14:textFill>
                  <w14:solidFill>
                    <w14:schemeClr w14:val="tx1"/>
                  </w14:solidFill>
                </w14:textFill>
              </w:rPr>
              <w:t>m）</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检查方法</w:t>
            </w:r>
          </w:p>
        </w:tc>
        <w:tc>
          <w:tcPr>
            <w:tcW w:w="30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图例</w:t>
            </w:r>
          </w:p>
        </w:tc>
      </w:tr>
      <w:tr>
        <w:tblPrEx>
          <w:tblCellMar>
            <w:top w:w="15" w:type="dxa"/>
            <w:left w:w="15" w:type="dxa"/>
            <w:bottom w:w="15" w:type="dxa"/>
            <w:right w:w="15" w:type="dxa"/>
          </w:tblCellMar>
        </w:tblPrEx>
        <w:trPr>
          <w:trHeight w:val="2965"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甲壳梁长度L</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75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用钢尺检查</w:t>
            </w:r>
          </w:p>
        </w:tc>
        <w:tc>
          <w:tcPr>
            <w:tcW w:w="3079"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461770" cy="1236980"/>
                  <wp:effectExtent l="0" t="0" r="508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61770" cy="1236980"/>
                          </a:xfrm>
                          <a:prstGeom prst="rect">
                            <a:avLst/>
                          </a:prstGeom>
                          <a:noFill/>
                          <a:ln>
                            <a:noFill/>
                          </a:ln>
                        </pic:spPr>
                      </pic:pic>
                    </a:graphicData>
                  </a:graphic>
                </wp:inline>
              </w:drawing>
            </w:r>
          </w:p>
          <w:p>
            <w:pPr>
              <w:widowControl/>
              <w:jc w:val="center"/>
              <w:textAlignment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933575" cy="861695"/>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33575" cy="861695"/>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1647"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宽度b</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7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3079"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1393"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截面高度h</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7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3079" w:type="dxa"/>
            <w:vMerge w:val="continue"/>
            <w:tcBorders>
              <w:left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426" w:hRule="atLeast"/>
        </w:trPr>
        <w:tc>
          <w:tcPr>
            <w:tcW w:w="8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对角线差</w:t>
            </w:r>
          </w:p>
        </w:tc>
        <w:tc>
          <w:tcPr>
            <w:tcW w:w="10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w:t>
            </w:r>
          </w:p>
        </w:tc>
        <w:tc>
          <w:tcPr>
            <w:tcW w:w="7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c>
          <w:tcPr>
            <w:tcW w:w="3079"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themeColor="text1"/>
                <w:szCs w:val="21"/>
                <w14:textFill>
                  <w14:solidFill>
                    <w14:schemeClr w14:val="tx1"/>
                  </w14:solidFill>
                </w14:textFill>
              </w:rPr>
            </w:pPr>
          </w:p>
        </w:tc>
      </w:tr>
    </w:tbl>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widowControl/>
        <w:jc w:val="left"/>
        <w:rPr>
          <w:rFonts w:ascii="黑体" w:hAnsi="黑体" w:eastAsia="黑体" w:cstheme="minorEastAsia"/>
          <w:color w:val="000000" w:themeColor="text1"/>
          <w:szCs w:val="21"/>
          <w14:textFill>
            <w14:solidFill>
              <w14:schemeClr w14:val="tx1"/>
            </w14:solidFill>
          </w14:textFill>
        </w:rPr>
      </w:pPr>
      <w:r>
        <w:rPr>
          <w:rFonts w:ascii="黑体" w:hAnsi="黑体" w:eastAsia="黑体" w:cstheme="minorEastAsia"/>
          <w:color w:val="000000" w:themeColor="text1"/>
          <w:szCs w:val="21"/>
          <w14:textFill>
            <w14:solidFill>
              <w14:schemeClr w14:val="tx1"/>
            </w14:solidFill>
          </w14:textFill>
        </w:rPr>
        <w:br w:type="page"/>
      </w:r>
    </w:p>
    <w:p>
      <w:pPr>
        <w:widowControl/>
        <w:jc w:val="center"/>
        <w:textAlignment w:val="top"/>
        <w:rPr>
          <w:rFonts w:ascii="黑体" w:hAnsi="黑体" w:eastAsia="黑体" w:cs="宋体"/>
          <w:bCs/>
          <w:color w:val="000000" w:themeColor="text1"/>
          <w:sz w:val="18"/>
          <w:szCs w:val="18"/>
          <w14:textFill>
            <w14:solidFill>
              <w14:schemeClr w14:val="tx1"/>
            </w14:solidFill>
          </w14:textFill>
        </w:rPr>
      </w:pPr>
      <w:r>
        <w:rPr>
          <w:rFonts w:hint="eastAsia" w:ascii="黑体" w:hAnsi="黑体" w:eastAsia="黑体" w:cs="宋体"/>
          <w:bCs/>
          <w:color w:val="000000" w:themeColor="text1"/>
          <w:sz w:val="18"/>
          <w:szCs w:val="18"/>
          <w14:textFill>
            <w14:solidFill>
              <w14:schemeClr w14:val="tx1"/>
            </w14:solidFill>
          </w14:textFill>
        </w:rPr>
        <w:t xml:space="preserve">续表 </w:t>
      </w:r>
      <w:r>
        <w:rPr>
          <w:rFonts w:ascii="黑体" w:hAnsi="黑体" w:eastAsia="黑体" w:cs="宋体"/>
          <w:bCs/>
          <w:color w:val="000000" w:themeColor="text1"/>
          <w:sz w:val="18"/>
          <w:szCs w:val="18"/>
          <w14:textFill>
            <w14:solidFill>
              <w14:schemeClr w14:val="tx1"/>
            </w14:solidFill>
          </w14:textFill>
        </w:rPr>
        <w:t xml:space="preserve">9.1.3  </w:t>
      </w:r>
      <w:r>
        <w:rPr>
          <w:rFonts w:hint="eastAsia" w:ascii="黑体" w:hAnsi="黑体" w:eastAsia="黑体" w:cs="宋体"/>
          <w:bCs/>
          <w:color w:val="000000" w:themeColor="text1"/>
          <w:sz w:val="18"/>
          <w:szCs w:val="18"/>
          <w14:textFill>
            <w14:solidFill>
              <w14:schemeClr w14:val="tx1"/>
            </w14:solidFill>
          </w14:textFill>
        </w:rPr>
        <w:t>甲壳梁外形尺寸允许偏差</w:t>
      </w:r>
    </w:p>
    <w:tbl>
      <w:tblPr>
        <w:tblStyle w:val="22"/>
        <w:tblpPr w:leftFromText="180" w:rightFromText="180" w:horzAnchor="margin" w:tblpY="825"/>
        <w:tblW w:w="5757" w:type="dxa"/>
        <w:tblInd w:w="0" w:type="dxa"/>
        <w:tblLayout w:type="fixed"/>
        <w:tblCellMar>
          <w:top w:w="15" w:type="dxa"/>
          <w:left w:w="15" w:type="dxa"/>
          <w:bottom w:w="15" w:type="dxa"/>
          <w:right w:w="15" w:type="dxa"/>
        </w:tblCellMar>
      </w:tblPr>
      <w:tblGrid>
        <w:gridCol w:w="901"/>
        <w:gridCol w:w="1099"/>
        <w:gridCol w:w="850"/>
        <w:gridCol w:w="2907"/>
      </w:tblGrid>
      <w:tr>
        <w:tblPrEx>
          <w:tblCellMar>
            <w:top w:w="15" w:type="dxa"/>
            <w:left w:w="15" w:type="dxa"/>
            <w:bottom w:w="15" w:type="dxa"/>
            <w:right w:w="15" w:type="dxa"/>
          </w:tblCellMar>
        </w:tblPrEx>
        <w:trPr>
          <w:trHeight w:val="548"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项目</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允许偏差（m</w:t>
            </w:r>
            <w:r>
              <w:rPr>
                <w:rFonts w:ascii="宋体" w:hAnsi="宋体" w:cs="宋体"/>
                <w:color w:val="000000" w:themeColor="text1"/>
                <w:kern w:val="0"/>
                <w:sz w:val="15"/>
                <w:szCs w:val="15"/>
                <w:lang w:bidi="ar"/>
                <w14:textFill>
                  <w14:solidFill>
                    <w14:schemeClr w14:val="tx1"/>
                  </w14:solidFill>
                </w14:textFill>
              </w:rPr>
              <w:t>m）</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检查方法</w:t>
            </w:r>
          </w:p>
        </w:tc>
        <w:tc>
          <w:tcPr>
            <w:tcW w:w="2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图例</w:t>
            </w:r>
          </w:p>
        </w:tc>
      </w:tr>
      <w:tr>
        <w:tblPrEx>
          <w:tblCellMar>
            <w:top w:w="15" w:type="dxa"/>
            <w:left w:w="15" w:type="dxa"/>
            <w:bottom w:w="15" w:type="dxa"/>
            <w:right w:w="15" w:type="dxa"/>
          </w:tblCellMar>
        </w:tblPrEx>
        <w:trPr>
          <w:trHeight w:val="1436"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上翼缘拉结板间距L</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10.0</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用钢尺检查</w:t>
            </w:r>
          </w:p>
        </w:tc>
        <w:tc>
          <w:tcPr>
            <w:tcW w:w="29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ascii="宋体" w:hAnsi="宋体" w:cs="宋体"/>
                <w:color w:val="000000" w:themeColor="text1"/>
                <w:kern w:val="0"/>
                <w:sz w:val="15"/>
                <w:szCs w:val="15"/>
                <w:lang w:bidi="ar"/>
                <w14:textFill>
                  <w14:solidFill>
                    <w14:schemeClr w14:val="tx1"/>
                  </w14:solidFill>
                </w14:textFill>
              </w:rPr>
              <w:drawing>
                <wp:inline distT="0" distB="0" distL="0" distR="0">
                  <wp:extent cx="1243330" cy="980440"/>
                  <wp:effectExtent l="0" t="0" r="0" b="0"/>
                  <wp:docPr id="627" name="图片 14" descr="clip_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4" descr="clip_image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243330" cy="98044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551"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次梁连接板的间距L</w:t>
            </w:r>
            <w:r>
              <w:rPr>
                <w:rFonts w:ascii="宋体" w:hAnsi="宋体" w:cs="宋体"/>
                <w:color w:val="000000" w:themeColor="text1"/>
                <w:kern w:val="0"/>
                <w:sz w:val="15"/>
                <w:szCs w:val="15"/>
                <w:lang w:bidi="ar"/>
                <w14:textFill>
                  <w14:solidFill>
                    <w14:schemeClr w14:val="tx1"/>
                  </w14:solidFill>
                </w14:textFill>
              </w:rPr>
              <w:t>2</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用钢尺检查</w:t>
            </w:r>
          </w:p>
        </w:tc>
        <w:tc>
          <w:tcPr>
            <w:tcW w:w="2907"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ascii="宋体" w:hAnsi="宋体" w:cs="宋体"/>
                <w:color w:val="000000" w:themeColor="text1"/>
                <w:kern w:val="0"/>
                <w:sz w:val="15"/>
                <w:szCs w:val="15"/>
                <w:lang w:bidi="ar"/>
                <w14:textFill>
                  <w14:solidFill>
                    <w14:schemeClr w14:val="tx1"/>
                  </w14:solidFill>
                </w14:textFill>
              </w:rPr>
              <w:drawing>
                <wp:inline distT="0" distB="0" distL="0" distR="0">
                  <wp:extent cx="7620" cy="7620"/>
                  <wp:effectExtent l="0" t="0" r="0" b="0"/>
                  <wp:docPr id="628" name="图片 15" descr="clip_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15" descr="clip_image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Pr>
                <w:rFonts w:ascii="宋体" w:hAnsi="宋体" w:cs="宋体"/>
                <w:color w:val="000000" w:themeColor="text1"/>
                <w:kern w:val="0"/>
                <w:sz w:val="15"/>
                <w:szCs w:val="15"/>
                <w:lang w:bidi="ar"/>
                <w14:textFill>
                  <w14:solidFill>
                    <w14:schemeClr w14:val="tx1"/>
                  </w14:solidFill>
                </w14:textFill>
              </w:rPr>
              <w:drawing>
                <wp:inline distT="0" distB="0" distL="0" distR="0">
                  <wp:extent cx="1353185" cy="885190"/>
                  <wp:effectExtent l="0" t="0" r="0" b="0"/>
                  <wp:docPr id="629" name="图片 16" descr="clip_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16" descr="clip_image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353185" cy="885190"/>
                          </a:xfrm>
                          <a:prstGeom prst="rect">
                            <a:avLst/>
                          </a:prstGeom>
                          <a:noFill/>
                          <a:ln>
                            <a:noFill/>
                          </a:ln>
                        </pic:spPr>
                      </pic:pic>
                    </a:graphicData>
                  </a:graphic>
                </wp:inline>
              </w:drawing>
            </w:r>
          </w:p>
        </w:tc>
      </w:tr>
      <w:tr>
        <w:tblPrEx>
          <w:tblCellMar>
            <w:top w:w="15" w:type="dxa"/>
            <w:left w:w="15" w:type="dxa"/>
            <w:bottom w:w="15" w:type="dxa"/>
            <w:right w:w="15" w:type="dxa"/>
          </w:tblCellMar>
        </w:tblPrEx>
        <w:trPr>
          <w:trHeight w:val="280"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次梁连接板伸出上翼缘边的长度L3</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c>
          <w:tcPr>
            <w:tcW w:w="2907" w:type="dxa"/>
            <w:vMerge w:val="continue"/>
            <w:tcBorders>
              <w:left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r>
        <w:tblPrEx>
          <w:tblCellMar>
            <w:top w:w="15" w:type="dxa"/>
            <w:left w:w="15" w:type="dxa"/>
            <w:bottom w:w="15" w:type="dxa"/>
            <w:right w:w="15" w:type="dxa"/>
          </w:tblCellMar>
        </w:tblPrEx>
        <w:trPr>
          <w:trHeight w:val="33"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波纹偏中</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c>
          <w:tcPr>
            <w:tcW w:w="2907" w:type="dxa"/>
            <w:vMerge w:val="continue"/>
            <w:tcBorders>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r>
        <w:tblPrEx>
          <w:tblCellMar>
            <w:top w:w="15" w:type="dxa"/>
            <w:left w:w="15" w:type="dxa"/>
            <w:bottom w:w="15" w:type="dxa"/>
            <w:right w:w="15" w:type="dxa"/>
          </w:tblCellMar>
        </w:tblPrEx>
        <w:trPr>
          <w:trHeight w:val="420"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翼缘旁弯</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L/1000，且不大于8</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用直线及钢尺检查</w:t>
            </w:r>
          </w:p>
        </w:tc>
        <w:tc>
          <w:tcPr>
            <w:tcW w:w="29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r>
        <w:tblPrEx>
          <w:tblCellMar>
            <w:top w:w="15" w:type="dxa"/>
            <w:left w:w="15" w:type="dxa"/>
            <w:bottom w:w="15" w:type="dxa"/>
            <w:right w:w="15" w:type="dxa"/>
          </w:tblCellMar>
        </w:tblPrEx>
        <w:trPr>
          <w:trHeight w:val="285" w:hRule="atLeast"/>
        </w:trPr>
        <w:tc>
          <w:tcPr>
            <w:tcW w:w="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甲壳梁预起拱</w:t>
            </w:r>
          </w:p>
        </w:tc>
        <w:tc>
          <w:tcPr>
            <w:tcW w:w="10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按设计文件要求,设计文件无要求时按跨度的1</w:t>
            </w:r>
            <w:r>
              <w:rPr>
                <w:rFonts w:ascii="宋体" w:hAnsi="宋体" w:cs="宋体"/>
                <w:color w:val="000000" w:themeColor="text1"/>
                <w:kern w:val="0"/>
                <w:sz w:val="15"/>
                <w:szCs w:val="15"/>
                <w:lang w:bidi="ar"/>
                <w14:textFill>
                  <w14:solidFill>
                    <w14:schemeClr w14:val="tx1"/>
                  </w14:solidFill>
                </w14:textFill>
              </w:rPr>
              <w:t>/1000</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用直线及钢尺检查</w:t>
            </w:r>
          </w:p>
        </w:tc>
        <w:tc>
          <w:tcPr>
            <w:tcW w:w="29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15"/>
                <w:szCs w:val="15"/>
                <w14:textFill>
                  <w14:solidFill>
                    <w14:schemeClr w14:val="tx1"/>
                  </w14:solidFill>
                </w14:textFill>
              </w:rPr>
            </w:pPr>
          </w:p>
        </w:tc>
      </w:tr>
    </w:tbl>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黑体" w:hAnsi="黑体" w:eastAsia="黑体" w:cstheme="minorEastAsia"/>
          <w:color w:val="000000" w:themeColor="text1"/>
          <w:szCs w:val="21"/>
          <w14:textFill>
            <w14:solidFill>
              <w14:schemeClr w14:val="tx1"/>
            </w14:solidFill>
          </w14:textFill>
        </w:rPr>
      </w:pPr>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.1.4 </w:t>
      </w:r>
      <w:r>
        <w:rPr>
          <w:rFonts w:hint="eastAsia" w:ascii="宋体" w:hAnsi="宋体"/>
          <w:color w:val="000000" w:themeColor="text1"/>
          <w:szCs w:val="21"/>
          <w14:textFill>
            <w14:solidFill>
              <w14:schemeClr w14:val="tx1"/>
            </w14:solidFill>
          </w14:textFill>
        </w:rPr>
        <w:t>甲壳柱、甲壳梁、优端梁的波纹腹板厚度小于4.0mm时，腹板与方管、翼缘、隔板及劲板可采用单面</w:t>
      </w:r>
      <w:r>
        <w:rPr>
          <w:rFonts w:hint="eastAsia" w:ascii="宋体" w:hAnsi="宋体"/>
          <w:color w:val="000000" w:themeColor="text1"/>
          <w:szCs w:val="21"/>
          <w:lang w:val="en-US" w:eastAsia="zh-CN"/>
          <w14:textFill>
            <w14:solidFill>
              <w14:schemeClr w14:val="tx1"/>
            </w14:solidFill>
          </w14:textFill>
        </w:rPr>
        <w:t>通长</w:t>
      </w:r>
      <w:r>
        <w:rPr>
          <w:rFonts w:hint="eastAsia" w:ascii="宋体" w:hAnsi="宋体"/>
          <w:color w:val="000000" w:themeColor="text1"/>
          <w:szCs w:val="21"/>
          <w14:textFill>
            <w14:solidFill>
              <w14:schemeClr w14:val="tx1"/>
            </w14:solidFill>
          </w14:textFill>
        </w:rPr>
        <w:t>焊接；波纹腹板厚度不小于4.0mm时，腹板与方管、翼缘、隔板及劲板应采用双面</w:t>
      </w:r>
      <w:r>
        <w:rPr>
          <w:rFonts w:hint="eastAsia" w:ascii="宋体" w:hAnsi="宋体"/>
          <w:color w:val="000000" w:themeColor="text1"/>
          <w:szCs w:val="21"/>
          <w:lang w:val="en-US" w:eastAsia="zh-CN"/>
          <w14:textFill>
            <w14:solidFill>
              <w14:schemeClr w14:val="tx1"/>
            </w14:solidFill>
          </w14:textFill>
        </w:rPr>
        <w:t>通长</w:t>
      </w:r>
      <w:r>
        <w:rPr>
          <w:rFonts w:hint="eastAsia" w:ascii="宋体" w:hAnsi="宋体"/>
          <w:color w:val="000000" w:themeColor="text1"/>
          <w:szCs w:val="21"/>
          <w14:textFill>
            <w14:solidFill>
              <w14:schemeClr w14:val="tx1"/>
            </w14:solidFill>
          </w14:textFill>
        </w:rPr>
        <w:t>焊接。其他直腹板连接应采用双面</w:t>
      </w:r>
      <w:r>
        <w:rPr>
          <w:rFonts w:hint="eastAsia" w:ascii="宋体" w:hAnsi="宋体"/>
          <w:color w:val="000000" w:themeColor="text1"/>
          <w:szCs w:val="21"/>
          <w:lang w:val="en-US" w:eastAsia="zh-CN"/>
          <w14:textFill>
            <w14:solidFill>
              <w14:schemeClr w14:val="tx1"/>
            </w14:solidFill>
          </w14:textFill>
        </w:rPr>
        <w:t>通长</w:t>
      </w:r>
      <w:r>
        <w:rPr>
          <w:rFonts w:hint="eastAsia" w:ascii="宋体" w:hAnsi="宋体"/>
          <w:color w:val="000000" w:themeColor="text1"/>
          <w:szCs w:val="21"/>
          <w14:textFill>
            <w14:solidFill>
              <w14:schemeClr w14:val="tx1"/>
            </w14:solidFill>
          </w14:textFill>
        </w:rPr>
        <w:t>焊接。</w:t>
      </w:r>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.1.5 </w:t>
      </w:r>
      <w:r>
        <w:rPr>
          <w:rFonts w:hint="eastAsia" w:ascii="宋体" w:hAnsi="宋体"/>
          <w:color w:val="000000" w:themeColor="text1"/>
          <w:szCs w:val="21"/>
          <w14:textFill>
            <w14:solidFill>
              <w14:schemeClr w14:val="tx1"/>
            </w14:solidFill>
          </w14:textFill>
        </w:rPr>
        <w:t>甲壳柱内十字拉板与四角钢管的连接采用双面焊接。</w:t>
      </w:r>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.1.6 </w:t>
      </w:r>
      <w:r>
        <w:rPr>
          <w:rFonts w:hint="eastAsia" w:ascii="宋体" w:hAnsi="宋体"/>
          <w:color w:val="000000" w:themeColor="text1"/>
          <w:szCs w:val="21"/>
          <w14:textFill>
            <w14:solidFill>
              <w14:schemeClr w14:val="tx1"/>
            </w14:solidFill>
          </w14:textFill>
        </w:rPr>
        <w:t>甲壳柱的四角钢管与脚底板或端头板的连接，当四角钢管壁厚小于</w:t>
      </w:r>
      <w:r>
        <w:rPr>
          <w:rFonts w:ascii="宋体" w:hAnsi="宋体"/>
          <w:color w:val="000000" w:themeColor="text1"/>
          <w:szCs w:val="21"/>
          <w14:textFill>
            <w14:solidFill>
              <w14:schemeClr w14:val="tx1"/>
            </w14:solidFill>
          </w14:textFill>
        </w:rPr>
        <w:t>4mm</w:t>
      </w:r>
      <w:r>
        <w:rPr>
          <w:rFonts w:hint="eastAsia" w:ascii="宋体" w:hAnsi="宋体"/>
          <w:color w:val="000000" w:themeColor="text1"/>
          <w:szCs w:val="21"/>
          <w14:textFill>
            <w14:solidFill>
              <w14:schemeClr w14:val="tx1"/>
            </w14:solidFill>
          </w14:textFill>
        </w:rPr>
        <w:t>时，可采用单面角焊缝围焊，当四角钢管壁厚不小于</w:t>
      </w:r>
      <w:r>
        <w:rPr>
          <w:rFonts w:ascii="宋体" w:hAnsi="宋体"/>
          <w:color w:val="000000" w:themeColor="text1"/>
          <w:szCs w:val="21"/>
          <w14:textFill>
            <w14:solidFill>
              <w14:schemeClr w14:val="tx1"/>
            </w14:solidFill>
          </w14:textFill>
        </w:rPr>
        <w:t>4mm</w:t>
      </w:r>
      <w:r>
        <w:rPr>
          <w:rFonts w:hint="eastAsia" w:ascii="宋体" w:hAnsi="宋体"/>
          <w:color w:val="000000" w:themeColor="text1"/>
          <w:szCs w:val="21"/>
          <w14:textFill>
            <w14:solidFill>
              <w14:schemeClr w14:val="tx1"/>
            </w14:solidFill>
          </w14:textFill>
        </w:rPr>
        <w:t>时，应采用熔透焊，当四角钢管壁厚不小于1</w:t>
      </w:r>
      <w:r>
        <w:rPr>
          <w:rFonts w:ascii="宋体" w:hAnsi="宋体"/>
          <w:color w:val="000000" w:themeColor="text1"/>
          <w:szCs w:val="21"/>
          <w14:textFill>
            <w14:solidFill>
              <w14:schemeClr w14:val="tx1"/>
            </w14:solidFill>
          </w14:textFill>
        </w:rPr>
        <w:t>2mm</w:t>
      </w:r>
      <w:r>
        <w:rPr>
          <w:rFonts w:hint="eastAsia" w:ascii="宋体" w:hAnsi="宋体"/>
          <w:color w:val="000000" w:themeColor="text1"/>
          <w:szCs w:val="21"/>
          <w14:textFill>
            <w14:solidFill>
              <w14:schemeClr w14:val="tx1"/>
            </w14:solidFill>
          </w14:textFill>
        </w:rPr>
        <w:t>时，应采用开坡口的熔透焊。</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9.1.7 </w:t>
      </w:r>
      <w:r>
        <w:rPr>
          <w:rFonts w:hint="eastAsia" w:ascii="宋体" w:hAnsi="宋体"/>
          <w:color w:val="000000" w:themeColor="text1"/>
          <w:szCs w:val="21"/>
          <w14:textFill>
            <w14:solidFill>
              <w14:schemeClr w14:val="tx1"/>
            </w14:solidFill>
          </w14:textFill>
        </w:rPr>
        <w:t>甲壳柱的承重板、水平缀板、竖向缀板、上柱连接板、下柱连接板与四角钢管的连接应采用双面角焊缝，侧板过渡板与四角钢管的连接可采用单面角焊缝。</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9.1.8 </w:t>
      </w:r>
      <w:r>
        <w:rPr>
          <w:rFonts w:hint="eastAsia" w:ascii="宋体" w:hAnsi="宋体"/>
          <w:color w:val="000000" w:themeColor="text1"/>
          <w:szCs w:val="21"/>
          <w14:textFill>
            <w14:solidFill>
              <w14:schemeClr w14:val="tx1"/>
            </w14:solidFill>
          </w14:textFill>
        </w:rPr>
        <w:t>甲壳梁柱节点处的甲壳梁下翼缘连接板与甲壳柱的四角钢管的连接应采用双面角焊缝。</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9.1.9 </w:t>
      </w:r>
      <w:r>
        <w:rPr>
          <w:rFonts w:hint="eastAsia" w:ascii="宋体" w:hAnsi="宋体"/>
          <w:color w:val="000000" w:themeColor="text1"/>
          <w:szCs w:val="21"/>
          <w14:textFill>
            <w14:solidFill>
              <w14:schemeClr w14:val="tx1"/>
            </w14:solidFill>
          </w14:textFill>
        </w:rPr>
        <w:t>甲壳梁上翼缘拉结板与上翼缘连接可采用单面焊接。</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9.1.10</w:t>
      </w:r>
      <w:r>
        <w:rPr>
          <w:rFonts w:hint="eastAsia" w:ascii="宋体" w:hAnsi="宋体"/>
          <w:color w:val="000000" w:themeColor="text1"/>
          <w:szCs w:val="21"/>
          <w14:textFill>
            <w14:solidFill>
              <w14:schemeClr w14:val="tx1"/>
            </w14:solidFill>
          </w14:textFill>
        </w:rPr>
        <w:t>甲壳梁的次梁连接板与上下翼缘之间的连接应采用双面角焊缝。</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甲壳梁柱节点封堵板与甲壳柱四角钢管及甲壳梁腹板之间可采用间断焊连接。</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9.1.12 </w:t>
      </w:r>
      <w:r>
        <w:rPr>
          <w:rFonts w:hint="eastAsia" w:ascii="宋体" w:hAnsi="宋体"/>
          <w:color w:val="000000" w:themeColor="text1"/>
          <w:szCs w:val="21"/>
          <w14:textFill>
            <w14:solidFill>
              <w14:schemeClr w14:val="tx1"/>
            </w14:solidFill>
          </w14:textFill>
        </w:rPr>
        <w:t>所有接长及对接板材之间均应采用熔透焊,当连接板材厚度不小于1</w:t>
      </w:r>
      <w:r>
        <w:rPr>
          <w:rFonts w:ascii="宋体" w:hAnsi="宋体"/>
          <w:color w:val="000000" w:themeColor="text1"/>
          <w:szCs w:val="21"/>
          <w14:textFill>
            <w14:solidFill>
              <w14:schemeClr w14:val="tx1"/>
            </w14:solidFill>
          </w14:textFill>
        </w:rPr>
        <w:t>2mm</w:t>
      </w:r>
      <w:r>
        <w:rPr>
          <w:rFonts w:hint="eastAsia" w:ascii="宋体" w:hAnsi="宋体"/>
          <w:color w:val="000000" w:themeColor="text1"/>
          <w:szCs w:val="21"/>
          <w14:textFill>
            <w14:solidFill>
              <w14:schemeClr w14:val="tx1"/>
            </w14:solidFill>
          </w14:textFill>
        </w:rPr>
        <w:t>时，应采用坡口熔透焊。</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9.1.13</w:t>
      </w:r>
      <w:r>
        <w:rPr>
          <w:rFonts w:hint="eastAsia" w:ascii="宋体" w:hAnsi="宋体"/>
          <w:color w:val="000000" w:themeColor="text1"/>
          <w:szCs w:val="21"/>
          <w14:textFill>
            <w14:solidFill>
              <w14:schemeClr w14:val="tx1"/>
            </w14:solidFill>
          </w14:textFill>
        </w:rPr>
        <w:t>熔透焊的焊缝质量等级应不低于二级，角焊缝外观质量等级应不低于三级。</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9.1.14</w:t>
      </w:r>
      <w:r>
        <w:rPr>
          <w:rFonts w:hint="eastAsia" w:ascii="宋体" w:hAnsi="宋体"/>
          <w:color w:val="000000" w:themeColor="text1"/>
          <w:szCs w:val="21"/>
          <w14:textFill>
            <w14:solidFill>
              <w14:schemeClr w14:val="tx1"/>
            </w14:solidFill>
          </w14:textFill>
        </w:rPr>
        <w:t>甲壳柱内十字拉板在钢甲壳封闭前应全检，严禁漏焊。</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9.1.15</w:t>
      </w:r>
      <w:r>
        <w:rPr>
          <w:rFonts w:hint="eastAsia" w:ascii="宋体" w:hAnsi="宋体"/>
          <w:color w:val="000000" w:themeColor="text1"/>
          <w:szCs w:val="21"/>
          <w14:textFill>
            <w14:solidFill>
              <w14:schemeClr w14:val="tx1"/>
            </w14:solidFill>
          </w14:textFill>
        </w:rPr>
        <w:t>构件出厂前，产品应标识清晰、编号准确，构件的几何尺寸及焊接质量应检验合格并附合格证方可出厂。</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9.1.16</w:t>
      </w:r>
      <w:r>
        <w:rPr>
          <w:rFonts w:hint="eastAsia" w:ascii="宋体" w:hAnsi="宋体"/>
          <w:color w:val="000000" w:themeColor="text1"/>
          <w:szCs w:val="21"/>
          <w14:textFill>
            <w14:solidFill>
              <w14:schemeClr w14:val="tx1"/>
            </w14:solidFill>
          </w14:textFill>
        </w:rPr>
        <w:t>构件装车前应附加垫木等防撞措施。</w:t>
      </w:r>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9</w:t>
      </w:r>
      <w:r>
        <w:rPr>
          <w:rFonts w:ascii="黑体" w:hAnsi="黑体" w:eastAsia="黑体"/>
          <w:color w:val="000000" w:themeColor="text1"/>
          <w:szCs w:val="21"/>
          <w14:textFill>
            <w14:solidFill>
              <w14:schemeClr w14:val="tx1"/>
            </w14:solidFill>
          </w14:textFill>
        </w:rPr>
        <w:t>.1.17</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甲壳柱、甲壳梁在出厂前宜留设排水孔,排水孔径宜为8</w:t>
      </w:r>
      <w:r>
        <w:rPr>
          <w:rFonts w:ascii="宋体" w:hAnsi="宋体"/>
          <w:color w:val="000000" w:themeColor="text1"/>
          <w:szCs w:val="21"/>
          <w14:textFill>
            <w14:solidFill>
              <w14:schemeClr w14:val="tx1"/>
            </w14:solidFill>
          </w14:textFill>
        </w:rPr>
        <w:t>mm</w:t>
      </w:r>
      <w:r>
        <w:rPr>
          <w:rFonts w:hint="eastAsia" w:ascii="宋体" w:hAnsi="宋体"/>
          <w:color w:val="000000" w:themeColor="text1"/>
          <w:szCs w:val="21"/>
          <w14:textFill>
            <w14:solidFill>
              <w14:schemeClr w14:val="tx1"/>
            </w14:solidFill>
          </w14:textFill>
        </w:rPr>
        <w:t>；甲壳柱宜在四角钢管根部预留排水孔，甲壳梁宜在腹板与下翼缘连接处预留排水孔，排水孔双面错开布置，单面排水孔间距不大于2</w:t>
      </w:r>
      <w:r>
        <w:rPr>
          <w:rFonts w:ascii="宋体" w:hAnsi="宋体"/>
          <w:color w:val="000000" w:themeColor="text1"/>
          <w:szCs w:val="21"/>
          <w14:textFill>
            <w14:solidFill>
              <w14:schemeClr w14:val="tx1"/>
            </w14:solidFill>
          </w14:textFill>
        </w:rPr>
        <w:t>000mm</w:t>
      </w:r>
      <w:r>
        <w:rPr>
          <w:rFonts w:hint="eastAsia" w:ascii="宋体" w:hAnsi="宋体"/>
          <w:color w:val="000000" w:themeColor="text1"/>
          <w:szCs w:val="21"/>
          <w14:textFill>
            <w14:solidFill>
              <w14:schemeClr w14:val="tx1"/>
            </w14:solidFill>
          </w14:textFill>
        </w:rPr>
        <w:t>。</w:t>
      </w:r>
    </w:p>
    <w:p>
      <w:pPr>
        <w:spacing w:line="400" w:lineRule="exact"/>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 xml:space="preserve">9.1.18 </w:t>
      </w:r>
      <w:r>
        <w:rPr>
          <w:rFonts w:hint="eastAsia" w:asciiTheme="minorEastAsia" w:hAnsiTheme="minorEastAsia" w:cstheme="minorEastAsia"/>
          <w:color w:val="000000" w:themeColor="text1"/>
          <w:szCs w:val="21"/>
          <w14:textFill>
            <w14:solidFill>
              <w14:schemeClr w14:val="tx1"/>
            </w14:solidFill>
          </w14:textFill>
        </w:rPr>
        <w:t>钢甲壳的除锈和涂装工程应在构件制作质量检验合格后进行。表面处理后到涂底漆的时间间隔不应超过4</w:t>
      </w:r>
      <w:r>
        <w:rPr>
          <w:rFonts w:asciiTheme="minorEastAsia" w:hAnsiTheme="minorEastAsia" w:cstheme="minorEastAsia"/>
          <w:color w:val="000000" w:themeColor="text1"/>
          <w:szCs w:val="21"/>
          <w14:textFill>
            <w14:solidFill>
              <w14:schemeClr w14:val="tx1"/>
            </w14:solidFill>
          </w14:textFill>
        </w:rPr>
        <w:t>h</w:t>
      </w:r>
      <w:r>
        <w:rPr>
          <w:rFonts w:hint="eastAsia" w:asciiTheme="minorEastAsia" w:hAnsiTheme="minorEastAsia" w:cstheme="minorEastAsia"/>
          <w:color w:val="000000" w:themeColor="text1"/>
          <w:szCs w:val="21"/>
          <w14:textFill>
            <w14:solidFill>
              <w14:schemeClr w14:val="tx1"/>
            </w14:solidFill>
          </w14:textFill>
        </w:rPr>
        <w:t>，处理后的表面不应有焊渣、灰尘、油污、水和毛刺等。涂装应在适宜的温度、湿度和清洁的环境中进行：涂装固化温度宜为5℃</w:t>
      </w:r>
      <w:r>
        <w:rPr>
          <w:rFonts w:asciiTheme="minorEastAsia" w:hAnsiTheme="minorEastAsia" w:cstheme="minorEastAsia"/>
          <w:color w:val="000000" w:themeColor="text1"/>
          <w:szCs w:val="21"/>
          <w14:textFill>
            <w14:solidFill>
              <w14:schemeClr w14:val="tx1"/>
            </w14:solidFill>
          </w14:textFill>
        </w:rPr>
        <w:t>-38</w:t>
      </w:r>
      <w:r>
        <w:rPr>
          <w:rFonts w:hint="eastAsia" w:asciiTheme="minorEastAsia" w:hAnsiTheme="minorEastAsia" w:cstheme="minorEastAsia"/>
          <w:color w:val="000000" w:themeColor="text1"/>
          <w:szCs w:val="21"/>
          <w14:textFill>
            <w14:solidFill>
              <w14:schemeClr w14:val="tx1"/>
            </w14:solidFill>
          </w14:textFill>
        </w:rPr>
        <w:t>℃；相对湿度不宜大于8</w:t>
      </w:r>
      <w:r>
        <w:rPr>
          <w:rFonts w:asciiTheme="minorEastAsia" w:hAnsiTheme="minorEastAsia" w:cstheme="minorEastAsia"/>
          <w:color w:val="000000" w:themeColor="text1"/>
          <w:szCs w:val="21"/>
          <w14:textFill>
            <w14:solidFill>
              <w14:schemeClr w14:val="tx1"/>
            </w14:solidFill>
          </w14:textFill>
        </w:rPr>
        <w:t>5</w:t>
      </w:r>
      <w:r>
        <w:rPr>
          <w:rFonts w:hint="eastAsia" w:asciiTheme="minorEastAsia" w:hAnsiTheme="minorEastAsia" w:cstheme="minorEastAsia"/>
          <w:color w:val="000000" w:themeColor="text1"/>
          <w:szCs w:val="21"/>
          <w14:textFill>
            <w14:solidFill>
              <w14:schemeClr w14:val="tx1"/>
            </w14:solidFill>
          </w14:textFill>
        </w:rPr>
        <w:t>%。每道涂层涂装后，表面至少在4</w:t>
      </w:r>
      <w:r>
        <w:rPr>
          <w:rFonts w:asciiTheme="minorEastAsia" w:hAnsiTheme="minorEastAsia" w:cstheme="minorEastAsia"/>
          <w:color w:val="000000" w:themeColor="text1"/>
          <w:szCs w:val="21"/>
          <w14:textFill>
            <w14:solidFill>
              <w14:schemeClr w14:val="tx1"/>
            </w14:solidFill>
          </w14:textFill>
        </w:rPr>
        <w:t>h</w:t>
      </w:r>
      <w:r>
        <w:rPr>
          <w:rFonts w:hint="eastAsia" w:asciiTheme="minorEastAsia" w:hAnsiTheme="minorEastAsia" w:cstheme="minorEastAsia"/>
          <w:color w:val="000000" w:themeColor="text1"/>
          <w:szCs w:val="21"/>
          <w14:textFill>
            <w14:solidFill>
              <w14:schemeClr w14:val="tx1"/>
            </w14:solidFill>
          </w14:textFill>
        </w:rPr>
        <w:t>内不得雨淋和玷污。</w:t>
      </w:r>
    </w:p>
    <w:p>
      <w:pPr>
        <w:widowControl/>
        <w:spacing w:line="400" w:lineRule="exact"/>
        <w:ind w:firstLine="420" w:firstLineChars="200"/>
        <w:jc w:val="left"/>
        <w:rPr>
          <w:rFonts w:hint="default"/>
          <w:color w:val="0070C0"/>
          <w:lang w:val="en-US" w:eastAsia="zh-CN"/>
        </w:rPr>
      </w:pPr>
      <w:r>
        <w:rPr>
          <w:rFonts w:hint="eastAsia"/>
          <w:color w:val="0070C0"/>
          <w:lang w:val="en-US" w:eastAsia="zh-CN"/>
        </w:rPr>
        <w:t>条文说明： 9.1.1~9.1.18 甲壳柱、甲壳梁钢甲壳的制作，重点在于外形尺寸控制、焊接质量及排水孔留设。甲壳柱内的十字拉板或“口”型拉板与钢管之间的焊接质量若不合格，混凝土浇筑时将导致拉板断裂、四角钢管屈曲，甲壳柱将出现不可恢复的鼓胀，严重时可能导致施工安全事故，须重视。排水孔留设不当，将导致混凝土浇筑不密实。</w:t>
      </w: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91" w:name="_Toc18493283"/>
      <w:bookmarkStart w:id="92" w:name="_Toc28706904"/>
      <w:r>
        <w:rPr>
          <w:rFonts w:hint="eastAsia" w:ascii="黑体" w:hAnsi="黑体" w:eastAsia="黑体" w:cstheme="minorEastAsia"/>
          <w:color w:val="000000" w:themeColor="text1"/>
          <w:szCs w:val="21"/>
          <w14:textFill>
            <w14:solidFill>
              <w14:schemeClr w14:val="tx1"/>
            </w14:solidFill>
          </w14:textFill>
        </w:rPr>
        <w:t>9.2 钢甲壳安装与连接</w:t>
      </w:r>
      <w:bookmarkEnd w:id="91"/>
      <w:bookmarkEnd w:id="92"/>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 xml:space="preserve">.2.1 </w:t>
      </w:r>
      <w:r>
        <w:rPr>
          <w:rFonts w:hint="eastAsia" w:ascii="宋体" w:hAnsi="宋体"/>
          <w:color w:val="000000" w:themeColor="text1"/>
          <w:szCs w:val="21"/>
          <w14:textFill>
            <w14:solidFill>
              <w14:schemeClr w14:val="tx1"/>
            </w14:solidFill>
          </w14:textFill>
        </w:rPr>
        <w:t>构件进入堆放场地前，应先按产品标准检查外观，若发现外形不合格的产品，则应先进行矫正，而后再进行堆放；矫正后仍不符合标准的产品，应返厂再加工。</w:t>
      </w:r>
    </w:p>
    <w:p>
      <w:pPr>
        <w:spacing w:line="400" w:lineRule="exact"/>
        <w:rPr>
          <w:rFonts w:ascii="宋体" w:hAnsi="宋体"/>
          <w:color w:val="000000" w:themeColor="text1"/>
          <w:szCs w:val="21"/>
          <w14:textFill>
            <w14:solidFill>
              <w14:schemeClr w14:val="tx1"/>
            </w14:solidFill>
          </w14:textFill>
        </w:rPr>
      </w:pPr>
      <w:r>
        <w:rPr>
          <w:rFonts w:hint="eastAsia" w:ascii="黑体" w:hAnsi="黑体" w:eastAsia="黑体" w:cstheme="minorEastAsia"/>
          <w:color w:val="000000" w:themeColor="text1"/>
          <w:szCs w:val="21"/>
          <w14:textFill>
            <w14:solidFill>
              <w14:schemeClr w14:val="tx1"/>
            </w14:solidFill>
          </w14:textFill>
        </w:rPr>
        <w:t>9</w:t>
      </w:r>
      <w:r>
        <w:rPr>
          <w:rFonts w:ascii="黑体" w:hAnsi="黑体" w:eastAsia="黑体" w:cstheme="minorEastAsia"/>
          <w:color w:val="000000" w:themeColor="text1"/>
          <w:szCs w:val="21"/>
          <w14:textFill>
            <w14:solidFill>
              <w14:schemeClr w14:val="tx1"/>
            </w14:solidFill>
          </w14:textFill>
        </w:rPr>
        <w:t>.2.2</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构件堆放场地应平整、坚实、干燥，且宜设置排水设施，不得积水；构件不应直接置于地面，构件下方应设置垫木或垫板，且应均匀平整放置；当多层放置时，应在层间设置垫木分隔，垫木截面高度可取100mm；构件及连接件应分类分规格进行堆放，不应将不合格的构件与合格的构件混合堆放；重要部件、小零件、易损件宜放入仓库存放；构件露天堆放时，构件内部宜设置防止构件腔体内积水的排水措施。</w:t>
      </w:r>
    </w:p>
    <w:p>
      <w:pPr>
        <w:spacing w:line="400" w:lineRule="exact"/>
        <w:jc w:val="left"/>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9.2.3 </w:t>
      </w:r>
      <w:r>
        <w:rPr>
          <w:rFonts w:hint="eastAsia" w:ascii="宋体" w:hAnsi="宋体"/>
          <w:color w:val="000000" w:themeColor="text1"/>
          <w:szCs w:val="21"/>
          <w14:textFill>
            <w14:solidFill>
              <w14:schemeClr w14:val="tx1"/>
            </w14:solidFill>
          </w14:textFill>
        </w:rPr>
        <w:t>底层甲壳柱吊装前的准备工作，应符合下列规定:</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 xml:space="preserve"> 将基础表面找平至设计标高并清理干净；</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 xml:space="preserve"> 对基础标高、地脚螺栓定位、甲壳柱平面定位作全面的检查及修正。</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 xml:space="preserve"> 在基础表面，用墨线标识出建筑物轴线、安装中心线、柱脚范围，作为甲壳柱对位、矫正的依据。</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4</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在甲壳柱底部标出定位轴线，并标识标高准线。</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9.2.4 </w:t>
      </w:r>
      <w:r>
        <w:rPr>
          <w:rFonts w:hint="eastAsia" w:ascii="宋体" w:hAnsi="宋体"/>
          <w:color w:val="000000" w:themeColor="text1"/>
          <w:szCs w:val="21"/>
          <w14:textFill>
            <w14:solidFill>
              <w14:schemeClr w14:val="tx1"/>
            </w14:solidFill>
          </w14:textFill>
        </w:rPr>
        <w:t>甲壳柱在全面吊装前宜先进行试吊；甲壳柱宜采用两点正吊，可利用柱顶缀板设置吊点并采用钢丝绳卡环绑扎；部件及索具强度验算应按现行行业标准《建筑起重吊装工程安全技术规范》J</w:t>
      </w:r>
      <w:r>
        <w:rPr>
          <w:rFonts w:ascii="宋体" w:hAnsi="宋体"/>
          <w:color w:val="000000" w:themeColor="text1"/>
          <w:szCs w:val="21"/>
          <w14:textFill>
            <w14:solidFill>
              <w14:schemeClr w14:val="tx1"/>
            </w14:solidFill>
          </w14:textFill>
        </w:rPr>
        <w:t>GJ 276</w:t>
      </w:r>
      <w:r>
        <w:rPr>
          <w:rFonts w:hint="eastAsia" w:ascii="宋体" w:hAnsi="宋体"/>
          <w:color w:val="000000" w:themeColor="text1"/>
          <w:szCs w:val="21"/>
          <w14:textFill>
            <w14:solidFill>
              <w14:schemeClr w14:val="tx1"/>
            </w14:solidFill>
          </w14:textFill>
        </w:rPr>
        <w:t>的相关规定执行。</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9.2.5 </w:t>
      </w:r>
      <w:r>
        <w:rPr>
          <w:rFonts w:hint="eastAsia" w:ascii="宋体" w:hAnsi="宋体"/>
          <w:color w:val="000000" w:themeColor="text1"/>
          <w:szCs w:val="21"/>
          <w14:textFill>
            <w14:solidFill>
              <w14:schemeClr w14:val="tx1"/>
            </w14:solidFill>
          </w14:textFill>
        </w:rPr>
        <w:t>甲壳柱的吊装过程应符合下列规定：</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起吊前宜先固定缆风绳;</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甲壳柱起吊时不应在地面上拖拉；</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3 </w:t>
      </w:r>
      <w:r>
        <w:rPr>
          <w:rFonts w:hint="eastAsia" w:ascii="宋体" w:hAnsi="宋体"/>
          <w:color w:val="000000" w:themeColor="text1"/>
          <w:szCs w:val="21"/>
          <w14:textFill>
            <w14:solidFill>
              <w14:schemeClr w14:val="tx1"/>
            </w14:solidFill>
          </w14:textFill>
        </w:rPr>
        <w:t>甲壳柱吊起后，当柱底距地面2</w:t>
      </w:r>
      <w:r>
        <w:rPr>
          <w:rFonts w:ascii="宋体" w:hAnsi="宋体"/>
          <w:color w:val="000000" w:themeColor="text1"/>
          <w:szCs w:val="21"/>
          <w14:textFill>
            <w14:solidFill>
              <w14:schemeClr w14:val="tx1"/>
            </w14:solidFill>
          </w14:textFill>
        </w:rPr>
        <w:t>00mm~300mm</w:t>
      </w:r>
      <w:r>
        <w:rPr>
          <w:rFonts w:hint="eastAsia" w:ascii="宋体" w:hAnsi="宋体"/>
          <w:color w:val="000000" w:themeColor="text1"/>
          <w:szCs w:val="21"/>
          <w14:textFill>
            <w14:solidFill>
              <w14:schemeClr w14:val="tx1"/>
            </w14:solidFill>
          </w14:textFill>
        </w:rPr>
        <w:t>时应暂停并检查索具和吊车的稳定性；</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4 </w:t>
      </w:r>
      <w:r>
        <w:rPr>
          <w:rFonts w:hint="eastAsia" w:ascii="宋体" w:hAnsi="宋体"/>
          <w:color w:val="000000" w:themeColor="text1"/>
          <w:szCs w:val="21"/>
          <w14:textFill>
            <w14:solidFill>
              <w14:schemeClr w14:val="tx1"/>
            </w14:solidFill>
          </w14:textFill>
        </w:rPr>
        <w:t>甲壳柱吊起并旋转至基础上方后，应缓慢下降，当柱底距基础顶面</w:t>
      </w:r>
      <w:r>
        <w:rPr>
          <w:rFonts w:ascii="宋体" w:hAnsi="宋体"/>
          <w:color w:val="000000" w:themeColor="text1"/>
          <w:szCs w:val="21"/>
          <w14:textFill>
            <w14:solidFill>
              <w14:schemeClr w14:val="tx1"/>
            </w14:solidFill>
          </w14:textFill>
        </w:rPr>
        <w:t>100mm</w:t>
      </w:r>
      <w:r>
        <w:rPr>
          <w:rFonts w:hint="eastAsia" w:ascii="宋体" w:hAnsi="宋体"/>
          <w:color w:val="000000" w:themeColor="text1"/>
          <w:szCs w:val="21"/>
          <w14:textFill>
            <w14:solidFill>
              <w14:schemeClr w14:val="tx1"/>
            </w14:solidFill>
          </w14:textFill>
        </w:rPr>
        <w:t>时，应将柱与基础定位轴线对齐后方可下降就位；</w:t>
      </w:r>
    </w:p>
    <w:p>
      <w:pPr>
        <w:spacing w:line="400" w:lineRule="exact"/>
        <w:ind w:firstLine="420" w:firstLineChars="200"/>
        <w:jc w:val="left"/>
        <w:rPr>
          <w:rFonts w:hint="eastAsia" w:ascii="宋体" w:hAnsi="宋体" w:eastAsiaTheme="minorEastAsia"/>
          <w:color w:val="000000" w:themeColor="text1"/>
          <w:szCs w:val="21"/>
          <w:lang w:val="en-US" w:eastAsia="zh-CN"/>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甲壳柱就位后，应对全部地脚螺栓的螺母进行初拧，同时进行甲壳柱垂直度复核</w:t>
      </w:r>
      <w:r>
        <w:rPr>
          <w:rFonts w:hint="eastAsia" w:ascii="宋体" w:hAnsi="宋体"/>
          <w:color w:val="000000" w:themeColor="text1"/>
          <w:szCs w:val="21"/>
          <w:lang w:eastAsia="zh-CN"/>
          <w14:textFill>
            <w14:solidFill>
              <w14:schemeClr w14:val="tx1"/>
            </w14:solidFill>
          </w14:textFill>
        </w:rPr>
        <w:t>，而后进行终拧。</w:t>
      </w:r>
    </w:p>
    <w:p>
      <w:pPr>
        <w:spacing w:line="400" w:lineRule="exact"/>
        <w:ind w:firstLine="420" w:firstLineChars="200"/>
        <w:jc w:val="left"/>
        <w:rPr>
          <w:rFonts w:hint="eastAsia" w:ascii="宋体" w:hAnsi="宋体" w:eastAsiaTheme="minorEastAsia"/>
          <w:color w:val="000000" w:themeColor="text1"/>
          <w:szCs w:val="21"/>
          <w:lang w:val="en-US" w:eastAsia="zh-CN"/>
          <w14:textFill>
            <w14:solidFill>
              <w14:schemeClr w14:val="tx1"/>
            </w14:solidFill>
          </w14:textFill>
        </w:rPr>
      </w:pPr>
      <w:r>
        <w:rPr>
          <w:rFonts w:ascii="黑体" w:hAnsi="黑体" w:eastAsia="黑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w:t>
      </w:r>
      <w:r>
        <w:rPr>
          <w:rFonts w:hint="eastAsia" w:ascii="宋体" w:hAnsi="宋体"/>
          <w:color w:val="000000" w:themeColor="text1"/>
          <w:szCs w:val="21"/>
          <w:lang w:eastAsia="zh-CN"/>
          <w14:textFill>
            <w14:solidFill>
              <w14:schemeClr w14:val="tx1"/>
            </w14:solidFill>
          </w14:textFill>
        </w:rPr>
        <w:t>吊装宜</w:t>
      </w:r>
      <w:r>
        <w:rPr>
          <w:rFonts w:hint="eastAsia" w:ascii="宋体" w:hAnsi="宋体"/>
          <w:color w:val="000000" w:themeColor="text1"/>
          <w:szCs w:val="21"/>
          <w14:textFill>
            <w14:solidFill>
              <w14:schemeClr w14:val="tx1"/>
            </w14:solidFill>
          </w14:textFill>
        </w:rPr>
        <w:t>采用</w:t>
      </w:r>
      <w:r>
        <w:rPr>
          <w:rFonts w:hint="eastAsia" w:ascii="宋体" w:hAnsi="宋体"/>
          <w:color w:val="000000" w:themeColor="text1"/>
          <w:szCs w:val="21"/>
          <w:lang w:eastAsia="zh-CN"/>
          <w14:textFill>
            <w14:solidFill>
              <w14:schemeClr w14:val="tx1"/>
            </w14:solidFill>
          </w14:textFill>
        </w:rPr>
        <w:t>在</w:t>
      </w:r>
      <w:r>
        <w:rPr>
          <w:rFonts w:hint="eastAsia" w:ascii="宋体" w:hAnsi="宋体"/>
          <w:color w:val="000000" w:themeColor="text1"/>
          <w:szCs w:val="21"/>
          <w14:textFill>
            <w14:solidFill>
              <w14:schemeClr w14:val="tx1"/>
            </w14:solidFill>
          </w14:textFill>
        </w:rPr>
        <w:t>柱顶二侧安装耳板孔</w:t>
      </w:r>
      <w:r>
        <w:rPr>
          <w:rFonts w:hint="eastAsia" w:ascii="宋体" w:hAnsi="宋体"/>
          <w:color w:val="000000" w:themeColor="text1"/>
          <w:szCs w:val="21"/>
          <w:lang w:eastAsia="zh-CN"/>
          <w14:textFill>
            <w14:solidFill>
              <w14:schemeClr w14:val="tx1"/>
            </w14:solidFill>
          </w14:textFill>
        </w:rPr>
        <w:t>的方式，也可采用在柱顶二</w:t>
      </w:r>
      <w:r>
        <w:rPr>
          <w:rFonts w:hint="eastAsia" w:ascii="宋体" w:hAnsi="宋体"/>
          <w:color w:val="000000" w:themeColor="text1"/>
          <w:szCs w:val="21"/>
          <w14:textFill>
            <w14:solidFill>
              <w14:schemeClr w14:val="tx1"/>
            </w14:solidFill>
          </w14:textFill>
        </w:rPr>
        <w:t>侧面捆绑</w:t>
      </w:r>
      <w:r>
        <w:rPr>
          <w:rFonts w:hint="eastAsia" w:ascii="宋体" w:hAnsi="宋体"/>
          <w:color w:val="000000" w:themeColor="text1"/>
          <w:szCs w:val="21"/>
          <w:lang w:eastAsia="zh-CN"/>
          <w14:textFill>
            <w14:solidFill>
              <w14:schemeClr w14:val="tx1"/>
            </w14:solidFill>
          </w14:textFill>
        </w:rPr>
        <w:t>索具的方式</w:t>
      </w:r>
      <w:r>
        <w:rPr>
          <w:rFonts w:hint="eastAsia" w:ascii="宋体" w:hAnsi="宋体"/>
          <w:color w:val="000000" w:themeColor="text1"/>
          <w:szCs w:val="21"/>
          <w14:textFill>
            <w14:solidFill>
              <w14:schemeClr w14:val="tx1"/>
            </w14:solidFill>
          </w14:textFill>
        </w:rPr>
        <w:t>。索具摘除前，甲壳柱垂直度偏差不应大于2</w:t>
      </w:r>
      <w:r>
        <w:rPr>
          <w:rFonts w:ascii="宋体" w:hAnsi="宋体"/>
          <w:color w:val="000000" w:themeColor="text1"/>
          <w:szCs w:val="21"/>
          <w14:textFill>
            <w14:solidFill>
              <w14:schemeClr w14:val="tx1"/>
            </w14:solidFill>
          </w14:textFill>
        </w:rPr>
        <w:t>0mm</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索具摘除</w:t>
      </w:r>
      <w:r>
        <w:rPr>
          <w:rFonts w:hint="eastAsia" w:ascii="宋体" w:hAnsi="宋体"/>
          <w:color w:val="000000" w:themeColor="text1"/>
          <w:szCs w:val="21"/>
          <w:lang w:eastAsia="zh-CN"/>
          <w14:textFill>
            <w14:solidFill>
              <w14:schemeClr w14:val="tx1"/>
            </w14:solidFill>
          </w14:textFill>
        </w:rPr>
        <w:t>宜</w:t>
      </w:r>
      <w:r>
        <w:rPr>
          <w:rFonts w:hint="eastAsia" w:ascii="宋体" w:hAnsi="宋体"/>
          <w:color w:val="000000" w:themeColor="text1"/>
          <w:szCs w:val="21"/>
          <w14:textFill>
            <w14:solidFill>
              <w14:schemeClr w14:val="tx1"/>
            </w14:solidFill>
          </w14:textFill>
        </w:rPr>
        <w:t>采用人工拉锁脱钩或捆绑松钩</w:t>
      </w:r>
      <w:r>
        <w:rPr>
          <w:rFonts w:hint="eastAsia" w:ascii="宋体" w:hAnsi="宋体"/>
          <w:color w:val="000000" w:themeColor="text1"/>
          <w:szCs w:val="21"/>
          <w:lang w:eastAsia="zh-CN"/>
          <w14:textFill>
            <w14:solidFill>
              <w14:schemeClr w14:val="tx1"/>
            </w14:solidFill>
          </w14:textFill>
        </w:rPr>
        <w:t>的方式</w:t>
      </w:r>
      <w:r>
        <w:rPr>
          <w:rFonts w:hint="eastAsia" w:ascii="宋体" w:hAnsi="宋体"/>
          <w:color w:val="000000" w:themeColor="text1"/>
          <w:szCs w:val="21"/>
          <w14:textFill>
            <w14:solidFill>
              <w14:schemeClr w14:val="tx1"/>
            </w14:solidFill>
          </w14:textFill>
        </w:rPr>
        <w:t>；索具摘除需登高时，应使用高空升降机具或爬梯</w:t>
      </w:r>
      <w:r>
        <w:rPr>
          <w:rFonts w:hint="eastAsia" w:ascii="宋体" w:hAnsi="宋体"/>
          <w:color w:val="000000" w:themeColor="text1"/>
          <w:szCs w:val="21"/>
          <w:lang w:eastAsia="zh-CN"/>
          <w14:textFill>
            <w14:solidFill>
              <w14:schemeClr w14:val="tx1"/>
            </w14:solidFill>
          </w14:textFill>
        </w:rPr>
        <w:t>。</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7 </w:t>
      </w:r>
      <w:r>
        <w:rPr>
          <w:rFonts w:hint="eastAsia" w:ascii="宋体" w:hAnsi="宋体"/>
          <w:color w:val="000000" w:themeColor="text1"/>
          <w:szCs w:val="21"/>
          <w14:textFill>
            <w14:solidFill>
              <w14:schemeClr w14:val="tx1"/>
            </w14:solidFill>
          </w14:textFill>
        </w:rPr>
        <w:t>中间层甲壳柱吊装前，应先放样轴线及标高基准线；</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8 </w:t>
      </w:r>
      <w:r>
        <w:rPr>
          <w:rFonts w:hint="eastAsia" w:ascii="宋体" w:hAnsi="宋体"/>
          <w:color w:val="000000" w:themeColor="text1"/>
          <w:szCs w:val="21"/>
          <w14:textFill>
            <w14:solidFill>
              <w14:schemeClr w14:val="tx1"/>
            </w14:solidFill>
          </w14:textFill>
        </w:rPr>
        <w:t>中间层甲壳柱吊装就位后，应补齐连接板。</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9.2.6 </w:t>
      </w:r>
      <w:r>
        <w:rPr>
          <w:rFonts w:hint="eastAsia" w:ascii="宋体" w:hAnsi="宋体"/>
          <w:color w:val="000000" w:themeColor="text1"/>
          <w:szCs w:val="21"/>
          <w14:textFill>
            <w14:solidFill>
              <w14:schemeClr w14:val="tx1"/>
            </w14:solidFill>
          </w14:textFill>
        </w:rPr>
        <w:t>甲壳柱的校正应符合下列规定：</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甲壳柱应进行平面定位、标高及垂直度的校正。</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w:t>
      </w:r>
      <w:r>
        <w:rPr>
          <w:rFonts w:ascii="宋体" w:hAnsi="宋体"/>
          <w:color w:val="000000" w:themeColor="text1"/>
          <w:szCs w:val="21"/>
          <w14:textFill>
            <w14:solidFill>
              <w14:schemeClr w14:val="tx1"/>
            </w14:solidFill>
          </w14:textFill>
        </w:rPr>
        <w:t>的平面</w:t>
      </w:r>
      <w:r>
        <w:rPr>
          <w:rFonts w:hint="eastAsia" w:ascii="宋体" w:hAnsi="宋体"/>
          <w:color w:val="000000" w:themeColor="text1"/>
          <w:szCs w:val="21"/>
          <w14:textFill>
            <w14:solidFill>
              <w14:schemeClr w14:val="tx1"/>
            </w14:solidFill>
          </w14:textFill>
        </w:rPr>
        <w:t>定位应</w:t>
      </w:r>
      <w:r>
        <w:rPr>
          <w:rFonts w:ascii="宋体" w:hAnsi="宋体"/>
          <w:color w:val="000000" w:themeColor="text1"/>
          <w:szCs w:val="21"/>
          <w14:textFill>
            <w14:solidFill>
              <w14:schemeClr w14:val="tx1"/>
            </w14:solidFill>
          </w14:textFill>
        </w:rPr>
        <w:t>在吊装就位时</w:t>
      </w:r>
      <w:r>
        <w:rPr>
          <w:rFonts w:hint="eastAsia" w:ascii="宋体" w:hAnsi="宋体"/>
          <w:color w:val="000000" w:themeColor="text1"/>
          <w:szCs w:val="21"/>
          <w14:textFill>
            <w14:solidFill>
              <w14:schemeClr w14:val="tx1"/>
            </w14:solidFill>
          </w14:textFill>
        </w:rPr>
        <w:t>通过弹线和标记直接准确定位；</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3 </w:t>
      </w:r>
      <w:r>
        <w:rPr>
          <w:rFonts w:hint="eastAsia" w:ascii="宋体" w:hAnsi="宋体"/>
          <w:color w:val="000000" w:themeColor="text1"/>
          <w:szCs w:val="21"/>
          <w14:textFill>
            <w14:solidFill>
              <w14:schemeClr w14:val="tx1"/>
            </w14:solidFill>
          </w14:textFill>
        </w:rPr>
        <w:t>甲壳柱</w:t>
      </w:r>
      <w:r>
        <w:rPr>
          <w:rFonts w:ascii="宋体" w:hAnsi="宋体"/>
          <w:color w:val="000000" w:themeColor="text1"/>
          <w:szCs w:val="21"/>
          <w14:textFill>
            <w14:solidFill>
              <w14:schemeClr w14:val="tx1"/>
            </w14:solidFill>
          </w14:textFill>
        </w:rPr>
        <w:t>应在就位后使用调节螺母调整至准确标高</w:t>
      </w:r>
      <w:r>
        <w:rPr>
          <w:rFonts w:hint="eastAsia" w:ascii="宋体" w:hAnsi="宋体"/>
          <w:color w:val="000000" w:themeColor="text1"/>
          <w:szCs w:val="21"/>
          <w14:textFill>
            <w14:solidFill>
              <w14:schemeClr w14:val="tx1"/>
            </w14:solidFill>
          </w14:textFill>
        </w:rPr>
        <w:t>，非顶层柱的柱顶标高不宜出现正偏差。</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4 </w:t>
      </w:r>
      <w:r>
        <w:rPr>
          <w:rFonts w:hint="eastAsia" w:ascii="宋体" w:hAnsi="宋体"/>
          <w:color w:val="000000" w:themeColor="text1"/>
          <w:szCs w:val="21"/>
          <w14:textFill>
            <w14:solidFill>
              <w14:schemeClr w14:val="tx1"/>
            </w14:solidFill>
          </w14:textFill>
        </w:rPr>
        <w:t>甲壳柱</w:t>
      </w:r>
      <w:r>
        <w:rPr>
          <w:rFonts w:ascii="宋体" w:hAnsi="宋体"/>
          <w:color w:val="000000" w:themeColor="text1"/>
          <w:szCs w:val="21"/>
          <w14:textFill>
            <w14:solidFill>
              <w14:schemeClr w14:val="tx1"/>
            </w14:solidFill>
          </w14:textFill>
        </w:rPr>
        <w:t>的垂直度</w:t>
      </w:r>
      <w:r>
        <w:rPr>
          <w:rFonts w:hint="eastAsia" w:ascii="宋体" w:hAnsi="宋体"/>
          <w:color w:val="000000" w:themeColor="text1"/>
          <w:szCs w:val="21"/>
          <w14:textFill>
            <w14:solidFill>
              <w14:schemeClr w14:val="tx1"/>
            </w14:solidFill>
          </w14:textFill>
        </w:rPr>
        <w:t>宜</w:t>
      </w:r>
      <w:r>
        <w:rPr>
          <w:rFonts w:ascii="宋体" w:hAnsi="宋体"/>
          <w:color w:val="000000" w:themeColor="text1"/>
          <w:szCs w:val="21"/>
          <w14:textFill>
            <w14:solidFill>
              <w14:schemeClr w14:val="tx1"/>
            </w14:solidFill>
          </w14:textFill>
        </w:rPr>
        <w:t>采用二次校正</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第一次在吊装</w:t>
      </w:r>
      <w:r>
        <w:rPr>
          <w:rFonts w:hint="eastAsia" w:ascii="宋体" w:hAnsi="宋体"/>
          <w:color w:val="000000" w:themeColor="text1"/>
          <w:szCs w:val="21"/>
          <w14:textFill>
            <w14:solidFill>
              <w14:schemeClr w14:val="tx1"/>
            </w14:solidFill>
          </w14:textFill>
        </w:rPr>
        <w:t>就位时</w:t>
      </w:r>
      <w:r>
        <w:rPr>
          <w:rFonts w:ascii="宋体" w:hAnsi="宋体"/>
          <w:color w:val="000000" w:themeColor="text1"/>
          <w:szCs w:val="21"/>
          <w14:textFill>
            <w14:solidFill>
              <w14:schemeClr w14:val="tx1"/>
            </w14:solidFill>
          </w14:textFill>
        </w:rPr>
        <w:t>采用靠尺等工具进行快速校正，</w:t>
      </w:r>
      <w:r>
        <w:rPr>
          <w:rFonts w:hint="eastAsia" w:ascii="宋体" w:hAnsi="宋体"/>
          <w:color w:val="000000" w:themeColor="text1"/>
          <w:szCs w:val="21"/>
          <w14:textFill>
            <w14:solidFill>
              <w14:schemeClr w14:val="tx1"/>
            </w14:solidFill>
          </w14:textFill>
        </w:rPr>
        <w:t>第二次</w:t>
      </w:r>
      <w:r>
        <w:rPr>
          <w:rFonts w:ascii="宋体" w:hAnsi="宋体"/>
          <w:color w:val="000000" w:themeColor="text1"/>
          <w:szCs w:val="21"/>
          <w14:textFill>
            <w14:solidFill>
              <w14:schemeClr w14:val="tx1"/>
            </w14:solidFill>
          </w14:textFill>
        </w:rPr>
        <w:t>在</w:t>
      </w:r>
      <w:r>
        <w:rPr>
          <w:rFonts w:hint="eastAsia" w:ascii="宋体" w:hAnsi="宋体"/>
          <w:color w:val="000000" w:themeColor="text1"/>
          <w:szCs w:val="21"/>
          <w:lang w:eastAsia="zh-CN"/>
          <w14:textFill>
            <w14:solidFill>
              <w14:schemeClr w14:val="tx1"/>
            </w14:solidFill>
          </w14:textFill>
        </w:rPr>
        <w:t>梁</w:t>
      </w:r>
      <w:r>
        <w:rPr>
          <w:rFonts w:ascii="宋体" w:hAnsi="宋体"/>
          <w:color w:val="000000" w:themeColor="text1"/>
          <w:szCs w:val="21"/>
          <w14:textFill>
            <w14:solidFill>
              <w14:schemeClr w14:val="tx1"/>
            </w14:solidFill>
          </w14:textFill>
        </w:rPr>
        <w:t>吊装</w:t>
      </w:r>
      <w:r>
        <w:rPr>
          <w:rFonts w:hint="eastAsia" w:ascii="宋体" w:hAnsi="宋体"/>
          <w:color w:val="000000" w:themeColor="text1"/>
          <w:szCs w:val="21"/>
          <w:lang w:eastAsia="zh-CN"/>
          <w14:textFill>
            <w14:solidFill>
              <w14:schemeClr w14:val="tx1"/>
            </w14:solidFill>
          </w14:textFill>
        </w:rPr>
        <w:t>前</w:t>
      </w:r>
      <w:r>
        <w:rPr>
          <w:rFonts w:hint="eastAsia" w:ascii="宋体" w:hAnsi="宋体"/>
          <w:color w:val="000000" w:themeColor="text1"/>
          <w:szCs w:val="21"/>
          <w14:textFill>
            <w14:solidFill>
              <w14:schemeClr w14:val="tx1"/>
            </w14:solidFill>
          </w14:textFill>
        </w:rPr>
        <w:t>采用</w:t>
      </w:r>
      <w:r>
        <w:rPr>
          <w:rFonts w:hint="eastAsia" w:ascii="宋体" w:hAnsi="宋体"/>
          <w:color w:val="000000" w:themeColor="text1"/>
          <w:szCs w:val="21"/>
          <w:lang w:eastAsia="zh-CN"/>
          <w14:textFill>
            <w14:solidFill>
              <w14:schemeClr w14:val="tx1"/>
            </w14:solidFill>
          </w14:textFill>
        </w:rPr>
        <w:t>二台千斤顶与二台</w:t>
      </w:r>
      <w:r>
        <w:rPr>
          <w:rFonts w:hint="eastAsia" w:ascii="宋体" w:hAnsi="宋体"/>
          <w:color w:val="000000" w:themeColor="text1"/>
          <w:szCs w:val="21"/>
          <w14:textFill>
            <w14:solidFill>
              <w14:schemeClr w14:val="tx1"/>
            </w14:solidFill>
          </w14:textFill>
        </w:rPr>
        <w:t>经纬仪</w:t>
      </w:r>
      <w:r>
        <w:rPr>
          <w:rFonts w:ascii="宋体" w:hAnsi="宋体"/>
          <w:color w:val="000000" w:themeColor="text1"/>
          <w:szCs w:val="21"/>
          <w14:textFill>
            <w14:solidFill>
              <w14:schemeClr w14:val="tx1"/>
            </w14:solidFill>
          </w14:textFill>
        </w:rPr>
        <w:t>精确校正至允许误差范围内。</w:t>
      </w:r>
    </w:p>
    <w:p>
      <w:pPr>
        <w:spacing w:line="400" w:lineRule="exact"/>
        <w:ind w:firstLine="420" w:firstLine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 </w:t>
      </w:r>
      <w:r>
        <w:rPr>
          <w:rFonts w:hint="eastAsia" w:ascii="宋体" w:hAnsi="宋体"/>
          <w:color w:val="000000" w:themeColor="text1"/>
          <w:szCs w:val="21"/>
          <w14:textFill>
            <w14:solidFill>
              <w14:schemeClr w14:val="tx1"/>
            </w14:solidFill>
          </w14:textFill>
        </w:rPr>
        <w:t>甲壳柱、甲壳梁</w:t>
      </w:r>
      <w:r>
        <w:rPr>
          <w:rFonts w:ascii="宋体" w:hAnsi="宋体"/>
          <w:color w:val="000000" w:themeColor="text1"/>
          <w:szCs w:val="21"/>
          <w14:textFill>
            <w14:solidFill>
              <w14:schemeClr w14:val="tx1"/>
            </w14:solidFill>
          </w14:textFill>
        </w:rPr>
        <w:t>的</w:t>
      </w:r>
      <w:r>
        <w:rPr>
          <w:rFonts w:hint="eastAsia" w:ascii="宋体" w:hAnsi="宋体"/>
          <w:color w:val="000000" w:themeColor="text1"/>
          <w:szCs w:val="21"/>
          <w14:textFill>
            <w14:solidFill>
              <w14:schemeClr w14:val="tx1"/>
            </w14:solidFill>
          </w14:textFill>
        </w:rPr>
        <w:t>允许误差应符合表</w:t>
      </w:r>
      <w:r>
        <w:rPr>
          <w:rFonts w:ascii="宋体" w:hAnsi="宋体"/>
          <w:color w:val="000000" w:themeColor="text1"/>
          <w:szCs w:val="21"/>
          <w14:textFill>
            <w14:solidFill>
              <w14:schemeClr w14:val="tx1"/>
            </w14:solidFill>
          </w14:textFill>
        </w:rPr>
        <w:t>9.2.6</w:t>
      </w:r>
      <w:r>
        <w:rPr>
          <w:rFonts w:hint="eastAsia" w:ascii="宋体" w:hAnsi="宋体"/>
          <w:color w:val="000000" w:themeColor="text1"/>
          <w:szCs w:val="21"/>
          <w14:textFill>
            <w14:solidFill>
              <w14:schemeClr w14:val="tx1"/>
            </w14:solidFill>
          </w14:textFill>
        </w:rPr>
        <w:t>的要求。</w:t>
      </w:r>
    </w:p>
    <w:p>
      <w:pPr>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表</w:t>
      </w:r>
      <w:r>
        <w:rPr>
          <w:rFonts w:ascii="黑体" w:hAnsi="黑体" w:eastAsia="黑体"/>
          <w:color w:val="000000" w:themeColor="text1"/>
          <w:sz w:val="18"/>
          <w:szCs w:val="18"/>
          <w14:textFill>
            <w14:solidFill>
              <w14:schemeClr w14:val="tx1"/>
            </w14:solidFill>
          </w14:textFill>
        </w:rPr>
        <w:t xml:space="preserve">9.2.6 </w:t>
      </w:r>
      <w:r>
        <w:rPr>
          <w:rFonts w:hint="eastAsia" w:ascii="黑体" w:hAnsi="黑体" w:eastAsia="黑体"/>
          <w:color w:val="000000" w:themeColor="text1"/>
          <w:sz w:val="18"/>
          <w:szCs w:val="18"/>
          <w14:textFill>
            <w14:solidFill>
              <w14:schemeClr w14:val="tx1"/>
            </w14:solidFill>
          </w14:textFill>
        </w:rPr>
        <w:t>甲壳柱、甲壳梁允许误差</w:t>
      </w:r>
    </w:p>
    <w:tbl>
      <w:tblPr>
        <w:tblStyle w:val="22"/>
        <w:tblW w:w="5317" w:type="dxa"/>
        <w:jc w:val="center"/>
        <w:tblLayout w:type="fixed"/>
        <w:tblCellMar>
          <w:top w:w="15" w:type="dxa"/>
          <w:left w:w="15" w:type="dxa"/>
          <w:bottom w:w="15" w:type="dxa"/>
          <w:right w:w="15" w:type="dxa"/>
        </w:tblCellMar>
      </w:tblPr>
      <w:tblGrid>
        <w:gridCol w:w="899"/>
        <w:gridCol w:w="2209"/>
        <w:gridCol w:w="2209"/>
      </w:tblGrid>
      <w:tr>
        <w:tblPrEx>
          <w:tblCellMar>
            <w:top w:w="15" w:type="dxa"/>
            <w:left w:w="15" w:type="dxa"/>
            <w:bottom w:w="15" w:type="dxa"/>
            <w:right w:w="15" w:type="dxa"/>
          </w:tblCellMar>
        </w:tblPrEx>
        <w:trPr>
          <w:trHeight w:val="11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项目</w:t>
            </w:r>
          </w:p>
        </w:tc>
        <w:tc>
          <w:tcPr>
            <w:tcW w:w="22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甲壳柱允许偏差(</w:t>
            </w:r>
            <w:r>
              <w:rPr>
                <w:rFonts w:ascii="宋体" w:hAnsi="宋体" w:cs="宋体"/>
                <w:color w:val="000000" w:themeColor="text1"/>
                <w:kern w:val="0"/>
                <w:sz w:val="15"/>
                <w:szCs w:val="15"/>
                <w:lang w:bidi="ar"/>
                <w14:textFill>
                  <w14:solidFill>
                    <w14:schemeClr w14:val="tx1"/>
                  </w14:solidFill>
                </w14:textFill>
              </w:rPr>
              <w:t>mm)</w:t>
            </w:r>
          </w:p>
        </w:tc>
        <w:tc>
          <w:tcPr>
            <w:tcW w:w="22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甲壳梁允许偏差(</w:t>
            </w:r>
            <w:r>
              <w:rPr>
                <w:rFonts w:ascii="宋体" w:hAnsi="宋体" w:cs="宋体"/>
                <w:color w:val="000000" w:themeColor="text1"/>
                <w:kern w:val="0"/>
                <w:sz w:val="15"/>
                <w:szCs w:val="15"/>
                <w:lang w:bidi="ar"/>
                <w14:textFill>
                  <w14:solidFill>
                    <w14:schemeClr w14:val="tx1"/>
                  </w14:solidFill>
                </w14:textFill>
              </w:rPr>
              <w:t>mm)</w:t>
            </w:r>
          </w:p>
        </w:tc>
      </w:tr>
      <w:tr>
        <w:tblPrEx>
          <w:tblCellMar>
            <w:top w:w="15" w:type="dxa"/>
            <w:left w:w="15" w:type="dxa"/>
            <w:bottom w:w="15" w:type="dxa"/>
            <w:right w:w="15" w:type="dxa"/>
          </w:tblCellMar>
        </w:tblPrEx>
        <w:trPr>
          <w:trHeight w:val="283"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平面定位</w:t>
            </w:r>
          </w:p>
        </w:tc>
        <w:tc>
          <w:tcPr>
            <w:tcW w:w="22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±3.0</w:t>
            </w:r>
          </w:p>
        </w:tc>
        <w:tc>
          <w:tcPr>
            <w:tcW w:w="22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w:t>
            </w:r>
            <w:r>
              <w:rPr>
                <w:rFonts w:ascii="宋体" w:hAnsi="宋体" w:cs="宋体"/>
                <w:color w:val="000000" w:themeColor="text1"/>
                <w:kern w:val="0"/>
                <w:sz w:val="15"/>
                <w:szCs w:val="15"/>
                <w:lang w:bidi="ar"/>
                <w14:textFill>
                  <w14:solidFill>
                    <w14:schemeClr w14:val="tx1"/>
                  </w14:solidFill>
                </w14:textFill>
              </w:rPr>
              <w:t>20</w:t>
            </w:r>
          </w:p>
        </w:tc>
      </w:tr>
      <w:tr>
        <w:tblPrEx>
          <w:tblCellMar>
            <w:top w:w="15" w:type="dxa"/>
            <w:left w:w="15" w:type="dxa"/>
            <w:bottom w:w="15" w:type="dxa"/>
            <w:right w:w="15" w:type="dxa"/>
          </w:tblCellMar>
        </w:tblPrEx>
        <w:trPr>
          <w:trHeight w:val="252"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标高</w:t>
            </w:r>
          </w:p>
        </w:tc>
        <w:tc>
          <w:tcPr>
            <w:tcW w:w="22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w:t>
            </w:r>
            <w:r>
              <w:rPr>
                <w:rFonts w:ascii="宋体" w:hAnsi="宋体" w:cs="宋体"/>
                <w:color w:val="000000" w:themeColor="text1"/>
                <w:sz w:val="15"/>
                <w:szCs w:val="15"/>
                <w14:textFill>
                  <w14:solidFill>
                    <w14:schemeClr w14:val="tx1"/>
                  </w14:solidFill>
                </w14:textFill>
              </w:rPr>
              <w:t>20</w:t>
            </w:r>
          </w:p>
        </w:tc>
        <w:tc>
          <w:tcPr>
            <w:tcW w:w="22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w:t>
            </w:r>
            <w:r>
              <w:rPr>
                <w:rFonts w:ascii="宋体" w:hAnsi="宋体" w:cs="宋体"/>
                <w:color w:val="000000" w:themeColor="text1"/>
                <w:kern w:val="0"/>
                <w:sz w:val="15"/>
                <w:szCs w:val="15"/>
                <w:lang w:bidi="ar"/>
                <w14:textFill>
                  <w14:solidFill>
                    <w14:schemeClr w14:val="tx1"/>
                  </w14:solidFill>
                </w14:textFill>
              </w:rPr>
              <w:t>15</w:t>
            </w:r>
          </w:p>
        </w:tc>
      </w:tr>
      <w:tr>
        <w:tblPrEx>
          <w:tblCellMar>
            <w:top w:w="15" w:type="dxa"/>
            <w:left w:w="15" w:type="dxa"/>
            <w:bottom w:w="15" w:type="dxa"/>
            <w:right w:w="15" w:type="dxa"/>
          </w:tblCellMar>
        </w:tblPrEx>
        <w:trPr>
          <w:trHeight w:val="196" w:hRule="atLeast"/>
          <w:jc w:val="center"/>
        </w:trPr>
        <w:tc>
          <w:tcPr>
            <w:tcW w:w="8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垂直度</w:t>
            </w:r>
          </w:p>
        </w:tc>
        <w:tc>
          <w:tcPr>
            <w:tcW w:w="22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不大于H</w:t>
            </w:r>
            <w:r>
              <w:rPr>
                <w:rFonts w:ascii="宋体" w:hAnsi="宋体" w:cs="宋体"/>
                <w:color w:val="000000" w:themeColor="text1"/>
                <w:kern w:val="0"/>
                <w:sz w:val="15"/>
                <w:szCs w:val="15"/>
                <w:lang w:bidi="ar"/>
                <w14:textFill>
                  <w14:solidFill>
                    <w14:schemeClr w14:val="tx1"/>
                  </w14:solidFill>
                </w14:textFill>
              </w:rPr>
              <w:t>/1000</w:t>
            </w:r>
            <w:r>
              <w:rPr>
                <w:rFonts w:hint="eastAsia" w:ascii="宋体" w:hAnsi="宋体" w:cs="宋体"/>
                <w:color w:val="000000" w:themeColor="text1"/>
                <w:kern w:val="0"/>
                <w:sz w:val="15"/>
                <w:szCs w:val="15"/>
                <w:lang w:bidi="ar"/>
                <w14:textFill>
                  <w14:solidFill>
                    <w14:schemeClr w14:val="tx1"/>
                  </w14:solidFill>
                </w14:textFill>
              </w:rPr>
              <w:t>，且不大于1</w:t>
            </w:r>
            <w:r>
              <w:rPr>
                <w:rFonts w:ascii="宋体" w:hAnsi="宋体" w:cs="宋体"/>
                <w:color w:val="000000" w:themeColor="text1"/>
                <w:kern w:val="0"/>
                <w:sz w:val="15"/>
                <w:szCs w:val="15"/>
                <w:lang w:bidi="ar"/>
                <w14:textFill>
                  <w14:solidFill>
                    <w14:schemeClr w14:val="tx1"/>
                  </w14:solidFill>
                </w14:textFill>
              </w:rPr>
              <w:t>0</w:t>
            </w:r>
          </w:p>
        </w:tc>
        <w:tc>
          <w:tcPr>
            <w:tcW w:w="2209"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宋体" w:hAnsi="宋体" w:cs="宋体"/>
                <w:color w:val="000000" w:themeColor="text1"/>
                <w:kern w:val="0"/>
                <w:sz w:val="15"/>
                <w:szCs w:val="15"/>
                <w:lang w:bidi="ar"/>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w:t>
            </w:r>
            <w:r>
              <w:rPr>
                <w:rFonts w:ascii="宋体" w:hAnsi="宋体" w:cs="宋体"/>
                <w:color w:val="000000" w:themeColor="text1"/>
                <w:kern w:val="0"/>
                <w:sz w:val="15"/>
                <w:szCs w:val="15"/>
                <w:lang w:bidi="ar"/>
                <w14:textFill>
                  <w14:solidFill>
                    <w14:schemeClr w14:val="tx1"/>
                  </w14:solidFill>
                </w14:textFill>
              </w:rPr>
              <w:t>--</w:t>
            </w:r>
          </w:p>
        </w:tc>
      </w:tr>
    </w:tbl>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9.2.7 </w:t>
      </w:r>
      <w:r>
        <w:rPr>
          <w:rFonts w:hint="eastAsia" w:ascii="宋体" w:hAnsi="宋体"/>
          <w:color w:val="000000" w:themeColor="text1"/>
          <w:szCs w:val="21"/>
          <w14:textFill>
            <w14:solidFill>
              <w14:schemeClr w14:val="tx1"/>
            </w14:solidFill>
          </w14:textFill>
        </w:rPr>
        <w:t>甲壳梁的安装宜在钢柱校正完成后进行；甲壳梁宜一次性吊装到位；甲壳梁在吊装前应对构件外形进行检查，构件变形超出允许偏差时，不得吊装；不得雨中作业。</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9.2.8 </w:t>
      </w:r>
      <w:r>
        <w:rPr>
          <w:rFonts w:hint="eastAsia" w:ascii="宋体" w:hAnsi="宋体"/>
          <w:color w:val="000000" w:themeColor="text1"/>
          <w:szCs w:val="21"/>
          <w14:textFill>
            <w14:solidFill>
              <w14:schemeClr w14:val="tx1"/>
            </w14:solidFill>
          </w14:textFill>
        </w:rPr>
        <w:t>甲壳梁吊装时应控制与钢柱对接点的尺寸，对接焊口宽度应控制在5~8mm之间；甲壳梁下翼缘与节点连接板宜采用下口平齐，上下错位不应超过1</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5mm，节点连接板下应设置引弧板，引弧板伸出尺寸不宜小于50mm；</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甲壳梁轴线偏移不应大于5mm。</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9.2.9</w:t>
      </w:r>
      <w:r>
        <w:rPr>
          <w:rFonts w:hint="eastAsia"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现场焊接前应检查焊接材料与钢材是否匹配；焊接工艺条件应满足设计要求。</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9.2.10 </w:t>
      </w:r>
      <w:r>
        <w:rPr>
          <w:rFonts w:hint="eastAsia" w:ascii="黑体" w:hAnsi="黑体" w:eastAsia="黑体"/>
          <w:color w:val="000000" w:themeColor="text1"/>
          <w:szCs w:val="21"/>
          <w14:textFill>
            <w14:solidFill>
              <w14:schemeClr w14:val="tx1"/>
            </w14:solidFill>
          </w14:textFill>
        </w:rPr>
        <w:t>当</w:t>
      </w:r>
      <w:r>
        <w:rPr>
          <w:rFonts w:hint="eastAsia" w:ascii="宋体" w:hAnsi="宋体"/>
          <w:color w:val="000000" w:themeColor="text1"/>
          <w:szCs w:val="21"/>
          <w14:textFill>
            <w14:solidFill>
              <w14:schemeClr w14:val="tx1"/>
            </w14:solidFill>
          </w14:textFill>
        </w:rPr>
        <w:t>甲壳柱四角钢管的壁厚小于</w:t>
      </w:r>
      <w:r>
        <w:rPr>
          <w:rFonts w:ascii="宋体" w:hAnsi="宋体"/>
          <w:color w:val="000000" w:themeColor="text1"/>
          <w:szCs w:val="21"/>
          <w14:textFill>
            <w14:solidFill>
              <w14:schemeClr w14:val="tx1"/>
            </w14:solidFill>
          </w14:textFill>
        </w:rPr>
        <w:t>4mm</w:t>
      </w:r>
      <w:r>
        <w:rPr>
          <w:rFonts w:hint="eastAsia" w:ascii="宋体" w:hAnsi="宋体"/>
          <w:color w:val="000000" w:themeColor="text1"/>
          <w:szCs w:val="21"/>
          <w14:textFill>
            <w14:solidFill>
              <w14:schemeClr w14:val="tx1"/>
            </w14:solidFill>
          </w14:textFill>
        </w:rPr>
        <w:t>时，四角钢管的对接可采用与端头板角焊缝围焊的方式进行连接，当甲壳柱四角钢管的壁厚不小于</w:t>
      </w:r>
      <w:r>
        <w:rPr>
          <w:rFonts w:ascii="宋体" w:hAnsi="宋体"/>
          <w:color w:val="000000" w:themeColor="text1"/>
          <w:szCs w:val="21"/>
          <w14:textFill>
            <w14:solidFill>
              <w14:schemeClr w14:val="tx1"/>
            </w14:solidFill>
          </w14:textFill>
        </w:rPr>
        <w:t>4mm</w:t>
      </w:r>
      <w:r>
        <w:rPr>
          <w:rFonts w:hint="eastAsia" w:ascii="宋体" w:hAnsi="宋体"/>
          <w:color w:val="000000" w:themeColor="text1"/>
          <w:szCs w:val="21"/>
          <w14:textFill>
            <w14:solidFill>
              <w14:schemeClr w14:val="tx1"/>
            </w14:solidFill>
          </w14:textFill>
        </w:rPr>
        <w:t>时，四角钢管的对接应采用全熔透焊，当甲壳柱四角钢管的壁厚不小于</w:t>
      </w:r>
      <w:r>
        <w:rPr>
          <w:rFonts w:ascii="宋体" w:hAnsi="宋体"/>
          <w:color w:val="000000" w:themeColor="text1"/>
          <w:szCs w:val="21"/>
          <w14:textFill>
            <w14:solidFill>
              <w14:schemeClr w14:val="tx1"/>
            </w14:solidFill>
          </w14:textFill>
        </w:rPr>
        <w:t>12mm</w:t>
      </w:r>
      <w:r>
        <w:rPr>
          <w:rFonts w:hint="eastAsia" w:ascii="宋体" w:hAnsi="宋体"/>
          <w:color w:val="000000" w:themeColor="text1"/>
          <w:szCs w:val="21"/>
          <w14:textFill>
            <w14:solidFill>
              <w14:schemeClr w14:val="tx1"/>
            </w14:solidFill>
          </w14:textFill>
        </w:rPr>
        <w:t>时，四角钢管的对接应采用开坡口的全熔透焊。</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9.2.11</w:t>
      </w:r>
      <w:r>
        <w:rPr>
          <w:rFonts w:hint="eastAsia"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甲壳梁的下翼缘与节点连接板应采用开坡口的全熔透焊；甲壳梁的上翼缘与节点连接板宜采用角焊缝连接；甲壳梁、甲壳柱的后封板可采用单面角焊缝围焊。</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9.2.12  </w:t>
      </w:r>
      <w:r>
        <w:rPr>
          <w:rFonts w:hint="eastAsia" w:ascii="宋体" w:hAnsi="宋体"/>
          <w:color w:val="000000" w:themeColor="text1"/>
          <w:szCs w:val="21"/>
          <w14:textFill>
            <w14:solidFill>
              <w14:schemeClr w14:val="tx1"/>
            </w14:solidFill>
          </w14:textFill>
        </w:rPr>
        <w:t>甲壳柱与钢梁连接节点为刚接节点时，甲壳柱的横隔板与钢梁的上下翼缘连接应采用坡口全熔透焊，甲壳柱的节点侧板与钢梁连接板之间宜采用双面角焊缝连接。</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9.2.13 </w:t>
      </w:r>
      <w:r>
        <w:rPr>
          <w:rFonts w:hint="eastAsia" w:ascii="宋体" w:hAnsi="宋体"/>
          <w:color w:val="000000" w:themeColor="text1"/>
          <w:szCs w:val="21"/>
          <w14:textFill>
            <w14:solidFill>
              <w14:schemeClr w14:val="tx1"/>
            </w14:solidFill>
          </w14:textFill>
        </w:rPr>
        <w:t>熔透焊的焊缝质量等级应不低于二级，角焊缝外观质量等级应不低于三级；二级焊缝表面质量应全部进行外观检查，并做不少于20%的无损检测检查；三级焊缝应全部进行外观检查；对具有缺陷或不合格的焊缝应进行返修焊或切割重焊，返修后应进行复验，返修次数不宜超过2次。</w:t>
      </w:r>
    </w:p>
    <w:p>
      <w:pPr>
        <w:spacing w:line="400" w:lineRule="exact"/>
        <w:rPr>
          <w:rFonts w:hint="eastAsia"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9.2.14  </w:t>
      </w:r>
      <w:r>
        <w:rPr>
          <w:rFonts w:hint="eastAsia" w:ascii="宋体" w:hAnsi="宋体"/>
          <w:color w:val="000000" w:themeColor="text1"/>
          <w:szCs w:val="21"/>
          <w14:textFill>
            <w14:solidFill>
              <w14:schemeClr w14:val="tx1"/>
            </w14:solidFill>
          </w14:textFill>
        </w:rPr>
        <w:t>甲壳梁支座附加钢筋应按现行国家标准《混凝土结构设计规范》G</w:t>
      </w:r>
      <w:r>
        <w:rPr>
          <w:rFonts w:ascii="宋体" w:hAnsi="宋体"/>
          <w:color w:val="000000" w:themeColor="text1"/>
          <w:szCs w:val="21"/>
          <w14:textFill>
            <w14:solidFill>
              <w14:schemeClr w14:val="tx1"/>
            </w14:solidFill>
          </w14:textFill>
        </w:rPr>
        <w:t>B 50010</w:t>
      </w:r>
      <w:r>
        <w:rPr>
          <w:rFonts w:hint="eastAsia" w:ascii="宋体" w:hAnsi="宋体"/>
          <w:color w:val="000000" w:themeColor="text1"/>
          <w:szCs w:val="21"/>
          <w14:textFill>
            <w14:solidFill>
              <w14:schemeClr w14:val="tx1"/>
            </w14:solidFill>
          </w14:textFill>
        </w:rPr>
        <w:t>、《混凝土结构工程施工规范》</w:t>
      </w:r>
      <w:r>
        <w:rPr>
          <w:rFonts w:ascii="宋体" w:hAnsi="宋体"/>
          <w:color w:val="000000" w:themeColor="text1"/>
          <w:szCs w:val="21"/>
          <w14:textFill>
            <w14:solidFill>
              <w14:schemeClr w14:val="tx1"/>
            </w14:solidFill>
          </w14:textFill>
        </w:rPr>
        <w:t>GB 50666</w:t>
      </w:r>
      <w:r>
        <w:rPr>
          <w:rFonts w:hint="eastAsia" w:ascii="宋体" w:hAnsi="宋体"/>
          <w:color w:val="000000" w:themeColor="text1"/>
          <w:szCs w:val="21"/>
          <w14:textFill>
            <w14:solidFill>
              <w14:schemeClr w14:val="tx1"/>
            </w14:solidFill>
          </w14:textFill>
        </w:rPr>
        <w:t>的有关规定施工。当附加钢筋数量较多、钢筋净距不满足要求时，可将附加钢筋布置于梁侧不超过3倍板厚范围的混凝土翼板内，且附加钢筋的布置宽度不宜超过梁支座处的甲壳柱钢管之间的净距。</w:t>
      </w:r>
    </w:p>
    <w:p>
      <w:pPr>
        <w:spacing w:line="400" w:lineRule="exact"/>
        <w:rPr>
          <w:rFonts w:hint="eastAsia"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9.2.1</w:t>
      </w:r>
      <w:r>
        <w:rPr>
          <w:rFonts w:hint="eastAsia" w:ascii="黑体" w:hAnsi="黑体" w:eastAsia="黑体"/>
          <w:color w:val="000000" w:themeColor="text1"/>
          <w:szCs w:val="21"/>
          <w:lang w:val="en-US" w:eastAsia="zh-CN"/>
          <w14:textFill>
            <w14:solidFill>
              <w14:schemeClr w14:val="tx1"/>
            </w14:solidFill>
          </w14:textFill>
        </w:rPr>
        <w:t>5</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lang w:eastAsia="zh-CN"/>
          <w14:textFill>
            <w14:solidFill>
              <w14:schemeClr w14:val="tx1"/>
            </w14:solidFill>
          </w14:textFill>
        </w:rPr>
        <w:t>甲壳梁柱</w:t>
      </w:r>
      <w:r>
        <w:rPr>
          <w:rFonts w:hint="eastAsia" w:ascii="宋体" w:hAnsi="宋体"/>
          <w:color w:val="000000" w:themeColor="text1"/>
          <w:szCs w:val="21"/>
          <w14:textFill>
            <w14:solidFill>
              <w14:schemeClr w14:val="tx1"/>
            </w14:solidFill>
          </w14:textFill>
        </w:rPr>
        <w:t>节点处</w:t>
      </w:r>
      <w:r>
        <w:rPr>
          <w:rFonts w:hint="eastAsia" w:ascii="宋体" w:hAnsi="宋体"/>
          <w:color w:val="000000" w:themeColor="text1"/>
          <w:szCs w:val="21"/>
          <w:lang w:eastAsia="zh-CN"/>
          <w14:textFill>
            <w14:solidFill>
              <w14:schemeClr w14:val="tx1"/>
            </w14:solidFill>
          </w14:textFill>
        </w:rPr>
        <w:t>，非悬挑甲壳</w:t>
      </w:r>
      <w:r>
        <w:rPr>
          <w:rFonts w:hint="eastAsia" w:ascii="宋体" w:hAnsi="宋体"/>
          <w:color w:val="000000" w:themeColor="text1"/>
          <w:szCs w:val="21"/>
          <w14:textFill>
            <w14:solidFill>
              <w14:schemeClr w14:val="tx1"/>
            </w14:solidFill>
          </w14:textFill>
        </w:rPr>
        <w:t>梁</w:t>
      </w:r>
      <w:r>
        <w:rPr>
          <w:rFonts w:hint="eastAsia" w:ascii="宋体" w:hAnsi="宋体"/>
          <w:color w:val="000000" w:themeColor="text1"/>
          <w:szCs w:val="21"/>
          <w:lang w:eastAsia="zh-CN"/>
          <w14:textFill>
            <w14:solidFill>
              <w14:schemeClr w14:val="tx1"/>
            </w14:solidFill>
          </w14:textFill>
        </w:rPr>
        <w:t>的上</w:t>
      </w:r>
      <w:r>
        <w:rPr>
          <w:rFonts w:hint="eastAsia" w:ascii="宋体" w:hAnsi="宋体"/>
          <w:color w:val="000000" w:themeColor="text1"/>
          <w:szCs w:val="21"/>
          <w14:textFill>
            <w14:solidFill>
              <w14:schemeClr w14:val="tx1"/>
            </w14:solidFill>
          </w14:textFill>
        </w:rPr>
        <w:t>翼缘</w:t>
      </w:r>
      <w:r>
        <w:rPr>
          <w:rFonts w:hint="eastAsia" w:ascii="宋体" w:hAnsi="宋体"/>
          <w:color w:val="000000" w:themeColor="text1"/>
          <w:szCs w:val="21"/>
          <w:lang w:eastAsia="zh-CN"/>
          <w14:textFill>
            <w14:solidFill>
              <w14:schemeClr w14:val="tx1"/>
            </w14:solidFill>
          </w14:textFill>
        </w:rPr>
        <w:t>连接</w:t>
      </w:r>
      <w:r>
        <w:rPr>
          <w:rFonts w:hint="eastAsia" w:ascii="宋体" w:hAnsi="宋体"/>
          <w:color w:val="000000" w:themeColor="text1"/>
          <w:szCs w:val="21"/>
          <w14:textFill>
            <w14:solidFill>
              <w14:schemeClr w14:val="tx1"/>
            </w14:solidFill>
          </w14:textFill>
        </w:rPr>
        <w:t>板</w:t>
      </w:r>
      <w:r>
        <w:rPr>
          <w:rFonts w:hint="eastAsia" w:ascii="宋体" w:hAnsi="宋体"/>
          <w:color w:val="000000" w:themeColor="text1"/>
          <w:szCs w:val="21"/>
          <w:lang w:eastAsia="zh-CN"/>
          <w14:textFill>
            <w14:solidFill>
              <w14:schemeClr w14:val="tx1"/>
            </w14:solidFill>
          </w14:textFill>
        </w:rPr>
        <w:t>宜</w:t>
      </w:r>
      <w:r>
        <w:rPr>
          <w:rFonts w:hint="eastAsia" w:ascii="宋体" w:hAnsi="宋体"/>
          <w:color w:val="000000" w:themeColor="text1"/>
          <w:szCs w:val="21"/>
          <w14:textFill>
            <w14:solidFill>
              <w14:schemeClr w14:val="tx1"/>
            </w14:solidFill>
          </w14:textFill>
        </w:rPr>
        <w:t>在</w:t>
      </w:r>
      <w:r>
        <w:rPr>
          <w:rFonts w:hint="eastAsia" w:ascii="宋体" w:hAnsi="宋体"/>
          <w:color w:val="000000" w:themeColor="text1"/>
          <w:szCs w:val="21"/>
          <w:lang w:eastAsia="zh-CN"/>
          <w14:textFill>
            <w14:solidFill>
              <w14:schemeClr w14:val="tx1"/>
            </w14:solidFill>
          </w14:textFill>
        </w:rPr>
        <w:t>钢</w:t>
      </w:r>
      <w:r>
        <w:rPr>
          <w:rFonts w:hint="eastAsia" w:ascii="宋体" w:hAnsi="宋体"/>
          <w:color w:val="000000" w:themeColor="text1"/>
          <w:szCs w:val="21"/>
          <w14:textFill>
            <w14:solidFill>
              <w14:schemeClr w14:val="tx1"/>
            </w14:solidFill>
          </w14:textFill>
        </w:rPr>
        <w:t>次梁安装</w:t>
      </w:r>
      <w:r>
        <w:rPr>
          <w:rFonts w:hint="eastAsia" w:ascii="宋体" w:hAnsi="宋体"/>
          <w:color w:val="000000" w:themeColor="text1"/>
          <w:szCs w:val="21"/>
          <w:lang w:eastAsia="zh-CN"/>
          <w14:textFill>
            <w14:solidFill>
              <w14:schemeClr w14:val="tx1"/>
            </w14:solidFill>
          </w14:textFill>
        </w:rPr>
        <w:t>就位</w:t>
      </w:r>
      <w:r>
        <w:rPr>
          <w:rFonts w:hint="eastAsia" w:ascii="宋体" w:hAnsi="宋体"/>
          <w:color w:val="000000" w:themeColor="text1"/>
          <w:szCs w:val="21"/>
          <w14:textFill>
            <w14:solidFill>
              <w14:schemeClr w14:val="tx1"/>
            </w14:solidFill>
          </w14:textFill>
        </w:rPr>
        <w:t>后</w:t>
      </w:r>
      <w:r>
        <w:rPr>
          <w:rFonts w:hint="eastAsia" w:ascii="宋体" w:hAnsi="宋体"/>
          <w:color w:val="000000" w:themeColor="text1"/>
          <w:szCs w:val="21"/>
          <w:lang w:eastAsia="zh-CN"/>
          <w14:textFill>
            <w14:solidFill>
              <w14:schemeClr w14:val="tx1"/>
            </w14:solidFill>
          </w14:textFill>
        </w:rPr>
        <w:t>方</w:t>
      </w:r>
      <w:r>
        <w:rPr>
          <w:rFonts w:hint="eastAsia" w:ascii="宋体" w:hAnsi="宋体"/>
          <w:color w:val="000000" w:themeColor="text1"/>
          <w:szCs w:val="21"/>
          <w14:textFill>
            <w14:solidFill>
              <w14:schemeClr w14:val="tx1"/>
            </w14:solidFill>
          </w14:textFill>
        </w:rPr>
        <w:t>进行焊接。</w:t>
      </w:r>
      <w:bookmarkStart w:id="118" w:name="_GoBack"/>
      <w:bookmarkEnd w:id="118"/>
    </w:p>
    <w:p>
      <w:pPr>
        <w:widowControl/>
        <w:spacing w:line="400" w:lineRule="exact"/>
        <w:ind w:firstLine="420" w:firstLineChars="200"/>
        <w:jc w:val="left"/>
        <w:rPr>
          <w:rFonts w:hint="default"/>
          <w:color w:val="0070C0"/>
          <w:lang w:val="en-US" w:eastAsia="zh-CN"/>
        </w:rPr>
      </w:pPr>
      <w:r>
        <w:rPr>
          <w:rFonts w:hint="eastAsia"/>
          <w:color w:val="0070C0"/>
          <w:lang w:val="en-US" w:eastAsia="zh-CN"/>
        </w:rPr>
        <w:t>条文说明： 9.2.1~9.2.14 甲壳柱、甲壳梁的安装，重点在于构件的定位和校正、焊接质量及排水检查。</w:t>
      </w:r>
    </w:p>
    <w:p>
      <w:pPr>
        <w:spacing w:line="400" w:lineRule="exact"/>
        <w:rPr>
          <w:rFonts w:hint="eastAsia" w:ascii="宋体" w:hAnsi="宋体"/>
          <w:color w:val="000000" w:themeColor="text1"/>
          <w:szCs w:val="21"/>
          <w14:textFill>
            <w14:solidFill>
              <w14:schemeClr w14:val="tx1"/>
            </w14:solidFill>
          </w14:textFill>
        </w:rPr>
      </w:pP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93" w:name="_Toc18493284"/>
      <w:bookmarkStart w:id="94" w:name="_Toc28706905"/>
      <w:r>
        <w:rPr>
          <w:rFonts w:hint="eastAsia" w:ascii="黑体" w:hAnsi="黑体" w:eastAsia="黑体" w:cstheme="minorEastAsia"/>
          <w:color w:val="000000" w:themeColor="text1"/>
          <w:szCs w:val="21"/>
          <w14:textFill>
            <w14:solidFill>
              <w14:schemeClr w14:val="tx1"/>
            </w14:solidFill>
          </w14:textFill>
        </w:rPr>
        <w:t xml:space="preserve">9.3 </w:t>
      </w:r>
      <w:bookmarkEnd w:id="93"/>
      <w:r>
        <w:rPr>
          <w:rFonts w:hint="eastAsia" w:ascii="黑体" w:hAnsi="黑体" w:eastAsia="黑体" w:cstheme="minorEastAsia"/>
          <w:color w:val="000000" w:themeColor="text1"/>
          <w:szCs w:val="21"/>
          <w14:textFill>
            <w14:solidFill>
              <w14:schemeClr w14:val="tx1"/>
            </w14:solidFill>
          </w14:textFill>
        </w:rPr>
        <w:t>混凝土施工及检测</w:t>
      </w:r>
      <w:bookmarkEnd w:id="94"/>
    </w:p>
    <w:p>
      <w:pPr>
        <w:spacing w:line="400" w:lineRule="exact"/>
        <w:jc w:val="left"/>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9</w:t>
      </w:r>
      <w:r>
        <w:rPr>
          <w:rFonts w:ascii="黑体" w:hAnsi="黑体" w:eastAsia="黑体"/>
          <w:color w:val="000000" w:themeColor="text1"/>
          <w:szCs w:val="21"/>
          <w14:textFill>
            <w14:solidFill>
              <w14:schemeClr w14:val="tx1"/>
            </w14:solidFill>
          </w14:textFill>
        </w:rPr>
        <w:t xml:space="preserve">.3.1 </w:t>
      </w:r>
      <w:r>
        <w:rPr>
          <w:rFonts w:hint="eastAsia" w:ascii="宋体" w:hAnsi="宋体"/>
          <w:color w:val="000000" w:themeColor="text1"/>
          <w:szCs w:val="21"/>
          <w14:textFill>
            <w14:solidFill>
              <w14:schemeClr w14:val="tx1"/>
            </w14:solidFill>
          </w14:textFill>
        </w:rPr>
        <w:t>甲壳柱、甲壳梁在混凝土浇筑之前，必须将四角钢管及甲壳腔体内的积水及积雪排除。</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9.3.2 </w:t>
      </w:r>
      <w:r>
        <w:rPr>
          <w:rFonts w:hint="eastAsia" w:ascii="宋体" w:hAnsi="宋体"/>
          <w:color w:val="000000" w:themeColor="text1"/>
          <w:szCs w:val="21"/>
          <w14:textFill>
            <w14:solidFill>
              <w14:schemeClr w14:val="tx1"/>
            </w14:solidFill>
          </w14:textFill>
        </w:rPr>
        <w:t>甲壳柱在上下柱交接处，应留设检查孔，兼排水孔及安装手孔用，检查孔的后封钢板宜在混凝土密实度检查合格后方进行封板。</w:t>
      </w:r>
    </w:p>
    <w:p>
      <w:pPr>
        <w:spacing w:line="400" w:lineRule="exact"/>
        <w:jc w:val="left"/>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9.3.3 </w:t>
      </w:r>
      <w:r>
        <w:rPr>
          <w:rFonts w:hint="eastAsia" w:ascii="宋体" w:hAnsi="宋体"/>
          <w:color w:val="000000" w:themeColor="text1"/>
          <w:szCs w:val="21"/>
          <w14:textFill>
            <w14:solidFill>
              <w14:schemeClr w14:val="tx1"/>
            </w14:solidFill>
          </w14:textFill>
        </w:rPr>
        <w:t>甲壳柱宜采用下列方法进行积水排查并排除积水：</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 xml:space="preserve"> 在甲壳柱上口观测是否有积水；</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 xml:space="preserve"> 采用小钢锤在甲壳柱外侧进行敲击，听声音判别积水位置，并在积水最低处钻孔排水。</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 xml:space="preserve"> 排水之后应再次在甲壳柱上口进行观测。</w:t>
      </w:r>
    </w:p>
    <w:p>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 xml:space="preserve"> 伸入基础混凝土内的四角钢管，宜在钢管顶采用厚塑料马夹袋封箱带封口</w:t>
      </w:r>
      <w:r>
        <w:rPr>
          <w:rFonts w:hint="eastAsia" w:ascii="宋体" w:hAnsi="宋体"/>
          <w:color w:val="000000" w:themeColor="text1"/>
          <w:szCs w:val="21"/>
          <w:lang w:eastAsia="zh-CN"/>
          <w14:textFill>
            <w14:solidFill>
              <w14:schemeClr w14:val="tx1"/>
            </w14:solidFill>
          </w14:textFill>
        </w:rPr>
        <w:t>，防止雨水进入钢管，当有雨水进入钢管内时，可在</w:t>
      </w:r>
      <w:r>
        <w:rPr>
          <w:rFonts w:hint="eastAsia" w:ascii="宋体" w:hAnsi="宋体"/>
          <w:color w:val="000000" w:themeColor="text1"/>
          <w:szCs w:val="21"/>
          <w14:textFill>
            <w14:solidFill>
              <w14:schemeClr w14:val="tx1"/>
            </w14:solidFill>
          </w14:textFill>
        </w:rPr>
        <w:t>钢管侧面开50*50的抽水孔并采用自吸泵进行抽水。</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9.3.4 </w:t>
      </w:r>
      <w:r>
        <w:rPr>
          <w:rFonts w:hint="eastAsia" w:ascii="宋体" w:hAnsi="宋体"/>
          <w:color w:val="000000" w:themeColor="text1"/>
          <w:szCs w:val="21"/>
          <w14:textFill>
            <w14:solidFill>
              <w14:schemeClr w14:val="tx1"/>
            </w14:solidFill>
          </w14:textFill>
        </w:rPr>
        <w:t>甲壳梁宜采用下列方法进行积水排查并排除积水：</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 xml:space="preserve"> 混凝土浇筑之前，在梁上口观测是否有积水;</w:t>
      </w:r>
    </w:p>
    <w:p>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2</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若有积水，宜在</w:t>
      </w:r>
      <w:r>
        <w:rPr>
          <w:rFonts w:hint="eastAsia" w:ascii="宋体" w:hAnsi="宋体"/>
          <w:color w:val="000000" w:themeColor="text1"/>
          <w:szCs w:val="21"/>
          <w:lang w:eastAsia="zh-CN"/>
          <w14:textFill>
            <w14:solidFill>
              <w14:schemeClr w14:val="tx1"/>
            </w14:solidFill>
          </w14:textFill>
        </w:rPr>
        <w:t>积水最深处，在</w:t>
      </w:r>
      <w:r>
        <w:rPr>
          <w:rFonts w:hint="eastAsia" w:ascii="宋体" w:hAnsi="宋体"/>
          <w:color w:val="000000" w:themeColor="text1"/>
          <w:szCs w:val="21"/>
          <w14:textFill>
            <w14:solidFill>
              <w14:schemeClr w14:val="tx1"/>
            </w14:solidFill>
          </w14:textFill>
        </w:rPr>
        <w:t>甲壳梁腹板与梁下翼缘交接处钻孔排水。</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9.3.5 </w:t>
      </w:r>
      <w:r>
        <w:rPr>
          <w:rFonts w:hint="eastAsia" w:ascii="宋体" w:hAnsi="宋体"/>
          <w:color w:val="000000" w:themeColor="text1"/>
          <w:szCs w:val="21"/>
          <w14:textFill>
            <w14:solidFill>
              <w14:schemeClr w14:val="tx1"/>
            </w14:solidFill>
          </w14:textFill>
        </w:rPr>
        <w:t>甲壳柱混凝土浇筑宜采用下列规定：</w:t>
      </w:r>
    </w:p>
    <w:p>
      <w:pPr>
        <w:spacing w:line="400" w:lineRule="exact"/>
        <w:ind w:firstLine="420" w:firstLineChars="200"/>
        <w:rPr>
          <w:rFonts w:hint="eastAsia" w:ascii="宋体" w:hAnsi="宋体"/>
          <w:color w:val="FF0000"/>
          <w:szCs w:val="21"/>
        </w:rPr>
      </w:pPr>
      <w:r>
        <w:rPr>
          <w:rFonts w:hint="eastAsia" w:ascii="黑体" w:hAnsi="黑体" w:eastAsia="黑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截面短边不大于6</w:t>
      </w:r>
      <w:r>
        <w:rPr>
          <w:rFonts w:ascii="宋体" w:hAnsi="宋体"/>
          <w:color w:val="000000" w:themeColor="text1"/>
          <w:szCs w:val="21"/>
          <w14:textFill>
            <w14:solidFill>
              <w14:schemeClr w14:val="tx1"/>
            </w14:solidFill>
          </w14:textFill>
        </w:rPr>
        <w:t>00mm</w:t>
      </w:r>
      <w:r>
        <w:rPr>
          <w:rFonts w:hint="eastAsia" w:ascii="宋体" w:hAnsi="宋体"/>
          <w:color w:val="000000" w:themeColor="text1"/>
          <w:szCs w:val="21"/>
          <w14:textFill>
            <w14:solidFill>
              <w14:schemeClr w14:val="tx1"/>
            </w14:solidFill>
          </w14:textFill>
        </w:rPr>
        <w:t>的甲壳柱，四角钢管内的混凝土宜在工厂预灌;截面短边大于6</w:t>
      </w:r>
      <w:r>
        <w:rPr>
          <w:rFonts w:ascii="宋体" w:hAnsi="宋体"/>
          <w:color w:val="000000" w:themeColor="text1"/>
          <w:szCs w:val="21"/>
          <w14:textFill>
            <w14:solidFill>
              <w14:schemeClr w14:val="tx1"/>
            </w14:solidFill>
          </w14:textFill>
        </w:rPr>
        <w:t>00mm</w:t>
      </w:r>
      <w:r>
        <w:rPr>
          <w:rFonts w:hint="eastAsia" w:ascii="宋体" w:hAnsi="宋体"/>
          <w:color w:val="000000" w:themeColor="text1"/>
          <w:szCs w:val="21"/>
          <w14:textFill>
            <w14:solidFill>
              <w14:schemeClr w14:val="tx1"/>
            </w14:solidFill>
          </w14:textFill>
        </w:rPr>
        <w:t>的甲壳柱宜同时采用二根</w:t>
      </w:r>
      <w:r>
        <w:rPr>
          <w:rFonts w:hint="eastAsia" w:ascii="宋体" w:hAnsi="宋体"/>
          <w:color w:val="000000" w:themeColor="text1"/>
          <w:szCs w:val="21"/>
          <w:lang w:eastAsia="zh-CN"/>
          <w14:textFill>
            <w14:solidFill>
              <w14:schemeClr w14:val="tx1"/>
            </w14:solidFill>
          </w14:textFill>
        </w:rPr>
        <w:t>直径</w:t>
      </w:r>
      <w:r>
        <w:rPr>
          <w:rFonts w:hint="eastAsia" w:ascii="宋体" w:hAnsi="宋体"/>
          <w:color w:val="000000" w:themeColor="text1"/>
          <w:szCs w:val="21"/>
          <w:lang w:val="en-US" w:eastAsia="zh-CN"/>
          <w14:textFill>
            <w14:solidFill>
              <w14:schemeClr w14:val="tx1"/>
            </w14:solidFill>
          </w14:textFill>
        </w:rPr>
        <w:t>50mm的</w:t>
      </w:r>
      <w:r>
        <w:rPr>
          <w:rFonts w:hint="eastAsia" w:ascii="宋体" w:hAnsi="宋体"/>
          <w:color w:val="000000" w:themeColor="text1"/>
          <w:szCs w:val="21"/>
          <w14:textFill>
            <w14:solidFill>
              <w14:schemeClr w14:val="tx1"/>
            </w14:solidFill>
          </w14:textFill>
        </w:rPr>
        <w:t>振捣棒进行</w:t>
      </w:r>
      <w:r>
        <w:rPr>
          <w:rFonts w:hint="eastAsia" w:ascii="宋体" w:hAnsi="宋体"/>
          <w:color w:val="000000" w:themeColor="text1"/>
          <w:szCs w:val="21"/>
          <w:lang w:eastAsia="zh-CN"/>
          <w14:textFill>
            <w14:solidFill>
              <w14:schemeClr w14:val="tx1"/>
            </w14:solidFill>
          </w14:textFill>
        </w:rPr>
        <w:t>对面对称</w:t>
      </w:r>
      <w:r>
        <w:rPr>
          <w:rFonts w:hint="eastAsia" w:ascii="宋体" w:hAnsi="宋体"/>
          <w:color w:val="000000" w:themeColor="text1"/>
          <w:szCs w:val="21"/>
          <w14:textFill>
            <w14:solidFill>
              <w14:schemeClr w14:val="tx1"/>
            </w14:solidFill>
          </w14:textFill>
        </w:rPr>
        <w:t>振捣：</w:t>
      </w:r>
      <w:r>
        <w:rPr>
          <w:rFonts w:hint="eastAsia" w:ascii="宋体" w:hAnsi="宋体"/>
          <w:color w:val="000000" w:themeColor="text1"/>
          <w:szCs w:val="21"/>
          <w:lang w:eastAsia="zh-CN"/>
          <w14:textFill>
            <w14:solidFill>
              <w14:schemeClr w14:val="tx1"/>
            </w14:solidFill>
          </w14:textFill>
        </w:rPr>
        <w:t>先对称插入四角方管内，而后对称插入大腔体内</w:t>
      </w:r>
      <w:r>
        <w:rPr>
          <w:rFonts w:hint="eastAsia" w:ascii="宋体" w:hAnsi="宋体"/>
          <w:color w:val="000000" w:themeColor="text1"/>
          <w:szCs w:val="21"/>
          <w14:textFill>
            <w14:solidFill>
              <w14:schemeClr w14:val="tx1"/>
            </w14:solidFill>
          </w14:textFill>
        </w:rPr>
        <w:t>。</w:t>
      </w:r>
    </w:p>
    <w:p>
      <w:pPr>
        <w:spacing w:line="400" w:lineRule="exact"/>
        <w:ind w:firstLine="420" w:firstLineChars="200"/>
        <w:rPr>
          <w:rFonts w:hint="eastAsia"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2 </w:t>
      </w:r>
      <w:r>
        <w:rPr>
          <w:rFonts w:hint="eastAsia" w:ascii="宋体" w:hAnsi="宋体"/>
          <w:color w:val="000000" w:themeColor="text1"/>
          <w:szCs w:val="21"/>
          <w:lang w:eastAsia="zh-CN"/>
          <w14:textFill>
            <w14:solidFill>
              <w14:schemeClr w14:val="tx1"/>
            </w14:solidFill>
          </w14:textFill>
        </w:rPr>
        <w:t>甲壳柱可</w:t>
      </w:r>
      <w:r>
        <w:rPr>
          <w:rFonts w:hint="eastAsia" w:ascii="宋体" w:hAnsi="宋体"/>
          <w:color w:val="000000" w:themeColor="text1"/>
          <w:szCs w:val="21"/>
          <w14:textFill>
            <w14:solidFill>
              <w14:schemeClr w14:val="tx1"/>
            </w14:solidFill>
          </w14:textFill>
        </w:rPr>
        <w:t>先浇筑</w:t>
      </w:r>
      <w:r>
        <w:rPr>
          <w:rFonts w:hint="eastAsia" w:ascii="宋体" w:hAnsi="宋体"/>
          <w:color w:val="000000" w:themeColor="text1"/>
          <w:szCs w:val="21"/>
          <w:lang w:eastAsia="zh-CN"/>
          <w14:textFill>
            <w14:solidFill>
              <w14:schemeClr w14:val="tx1"/>
            </w14:solidFill>
          </w14:textFill>
        </w:rPr>
        <w:t>四角钢</w:t>
      </w:r>
      <w:r>
        <w:rPr>
          <w:rFonts w:hint="eastAsia" w:ascii="宋体" w:hAnsi="宋体"/>
          <w:color w:val="000000" w:themeColor="text1"/>
          <w:szCs w:val="21"/>
          <w14:textFill>
            <w14:solidFill>
              <w14:schemeClr w14:val="tx1"/>
            </w14:solidFill>
          </w14:textFill>
        </w:rPr>
        <w:t>管内的</w:t>
      </w:r>
      <w:r>
        <w:rPr>
          <w:rFonts w:hint="eastAsia" w:ascii="宋体" w:hAnsi="宋体"/>
          <w:color w:val="000000" w:themeColor="text1"/>
          <w:szCs w:val="21"/>
          <w:lang w:eastAsia="zh-CN"/>
          <w14:textFill>
            <w14:solidFill>
              <w14:schemeClr w14:val="tx1"/>
            </w14:solidFill>
          </w14:textFill>
        </w:rPr>
        <w:t>混凝土，而后浇筑大腔体内的混凝土；浇筑</w:t>
      </w:r>
      <w:r>
        <w:rPr>
          <w:rFonts w:hint="eastAsia" w:ascii="宋体" w:hAnsi="宋体"/>
          <w:color w:val="000000" w:themeColor="text1"/>
          <w:szCs w:val="21"/>
          <w14:textFill>
            <w14:solidFill>
              <w14:schemeClr w14:val="tx1"/>
            </w14:solidFill>
          </w14:textFill>
        </w:rPr>
        <w:t>高度</w:t>
      </w:r>
      <w:r>
        <w:rPr>
          <w:rFonts w:hint="eastAsia" w:ascii="宋体" w:hAnsi="宋体"/>
          <w:color w:val="000000" w:themeColor="text1"/>
          <w:szCs w:val="21"/>
          <w:lang w:eastAsia="zh-CN"/>
          <w14:textFill>
            <w14:solidFill>
              <w14:schemeClr w14:val="tx1"/>
            </w14:solidFill>
          </w14:textFill>
        </w:rPr>
        <w:t>不大于</w:t>
      </w:r>
      <w:r>
        <w:rPr>
          <w:rFonts w:hint="eastAsia" w:ascii="宋体" w:hAnsi="宋体"/>
          <w:color w:val="000000" w:themeColor="text1"/>
          <w:szCs w:val="21"/>
          <w14:textFill>
            <w14:solidFill>
              <w14:schemeClr w14:val="tx1"/>
            </w14:solidFill>
          </w14:textFill>
        </w:rPr>
        <w:t>8.0m的</w:t>
      </w:r>
      <w:r>
        <w:rPr>
          <w:rFonts w:hint="eastAsia" w:ascii="宋体" w:hAnsi="宋体"/>
          <w:color w:val="000000" w:themeColor="text1"/>
          <w:szCs w:val="21"/>
          <w:lang w:eastAsia="zh-CN"/>
          <w14:textFill>
            <w14:solidFill>
              <w14:schemeClr w14:val="tx1"/>
            </w14:solidFill>
          </w14:textFill>
        </w:rPr>
        <w:t>钢</w:t>
      </w:r>
      <w:r>
        <w:rPr>
          <w:rFonts w:hint="eastAsia" w:ascii="宋体" w:hAnsi="宋体"/>
          <w:color w:val="000000" w:themeColor="text1"/>
          <w:szCs w:val="21"/>
          <w14:textFill>
            <w14:solidFill>
              <w14:schemeClr w14:val="tx1"/>
            </w14:solidFill>
          </w14:textFill>
        </w:rPr>
        <w:t>管，可一次性浇筑振捣完毕，</w:t>
      </w:r>
      <w:r>
        <w:rPr>
          <w:rFonts w:hint="eastAsia" w:ascii="宋体" w:hAnsi="宋体"/>
          <w:color w:val="000000" w:themeColor="text1"/>
          <w:szCs w:val="21"/>
          <w:lang w:eastAsia="zh-CN"/>
          <w14:textFill>
            <w14:solidFill>
              <w14:schemeClr w14:val="tx1"/>
            </w14:solidFill>
          </w14:textFill>
        </w:rPr>
        <w:t>浇筑</w:t>
      </w:r>
      <w:r>
        <w:rPr>
          <w:rFonts w:hint="eastAsia" w:ascii="宋体" w:hAnsi="宋体"/>
          <w:color w:val="000000" w:themeColor="text1"/>
          <w:szCs w:val="21"/>
          <w14:textFill>
            <w14:solidFill>
              <w14:schemeClr w14:val="tx1"/>
            </w14:solidFill>
          </w14:textFill>
        </w:rPr>
        <w:t>高度大于8.0m的</w:t>
      </w:r>
      <w:r>
        <w:rPr>
          <w:rFonts w:hint="eastAsia" w:ascii="宋体" w:hAnsi="宋体"/>
          <w:color w:val="000000" w:themeColor="text1"/>
          <w:szCs w:val="21"/>
          <w:lang w:eastAsia="zh-CN"/>
          <w14:textFill>
            <w14:solidFill>
              <w14:schemeClr w14:val="tx1"/>
            </w14:solidFill>
          </w14:textFill>
        </w:rPr>
        <w:t>钢管宜</w:t>
      </w:r>
      <w:r>
        <w:rPr>
          <w:rFonts w:hint="eastAsia" w:ascii="宋体" w:hAnsi="宋体"/>
          <w:color w:val="000000" w:themeColor="text1"/>
          <w:szCs w:val="21"/>
          <w14:textFill>
            <w14:solidFill>
              <w14:schemeClr w14:val="tx1"/>
            </w14:solidFill>
          </w14:textFill>
        </w:rPr>
        <w:t>分层循环布料，分层振捣至顶</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大腔体内</w:t>
      </w:r>
      <w:r>
        <w:rPr>
          <w:rFonts w:hint="eastAsia" w:ascii="宋体" w:hAnsi="宋体"/>
          <w:color w:val="000000" w:themeColor="text1"/>
          <w:szCs w:val="21"/>
          <w:lang w:eastAsia="zh-CN"/>
          <w14:textFill>
            <w14:solidFill>
              <w14:schemeClr w14:val="tx1"/>
            </w14:solidFill>
          </w14:textFill>
        </w:rPr>
        <w:t>宜先</w:t>
      </w:r>
      <w:r>
        <w:rPr>
          <w:rFonts w:hint="eastAsia" w:ascii="宋体" w:hAnsi="宋体"/>
          <w:color w:val="000000" w:themeColor="text1"/>
          <w:szCs w:val="21"/>
          <w14:textFill>
            <w14:solidFill>
              <w14:schemeClr w14:val="tx1"/>
            </w14:solidFill>
          </w14:textFill>
        </w:rPr>
        <w:t>浇筑1.5m</w:t>
      </w:r>
      <w:r>
        <w:rPr>
          <w:rFonts w:hint="eastAsia" w:ascii="宋体" w:hAnsi="宋体"/>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2m高的混凝土，振捣密实后，</w:t>
      </w:r>
      <w:r>
        <w:rPr>
          <w:rFonts w:hint="eastAsia" w:ascii="宋体" w:hAnsi="宋体"/>
          <w:color w:val="000000" w:themeColor="text1"/>
          <w:szCs w:val="21"/>
          <w:lang w:eastAsia="zh-CN"/>
          <w14:textFill>
            <w14:solidFill>
              <w14:schemeClr w14:val="tx1"/>
            </w14:solidFill>
          </w14:textFill>
        </w:rPr>
        <w:t>再</w:t>
      </w:r>
      <w:r>
        <w:rPr>
          <w:rFonts w:hint="eastAsia" w:ascii="宋体" w:hAnsi="宋体"/>
          <w:color w:val="000000" w:themeColor="text1"/>
          <w:szCs w:val="21"/>
          <w14:textFill>
            <w14:solidFill>
              <w14:schemeClr w14:val="tx1"/>
            </w14:solidFill>
          </w14:textFill>
        </w:rPr>
        <w:t>边布料边</w:t>
      </w:r>
      <w:r>
        <w:rPr>
          <w:rFonts w:hint="eastAsia" w:ascii="宋体" w:hAnsi="宋体"/>
          <w:color w:val="000000" w:themeColor="text1"/>
          <w:szCs w:val="21"/>
          <w:lang w:eastAsia="zh-CN"/>
          <w14:textFill>
            <w14:solidFill>
              <w14:schemeClr w14:val="tx1"/>
            </w14:solidFill>
          </w14:textFill>
        </w:rPr>
        <w:t>提振捣棒</w:t>
      </w:r>
      <w:r>
        <w:rPr>
          <w:rFonts w:hint="eastAsia" w:ascii="宋体" w:hAnsi="宋体"/>
          <w:color w:val="000000" w:themeColor="text1"/>
          <w:szCs w:val="21"/>
          <w14:textFill>
            <w14:solidFill>
              <w14:schemeClr w14:val="tx1"/>
            </w14:solidFill>
          </w14:textFill>
        </w:rPr>
        <w:t>至顶。</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3 </w:t>
      </w:r>
      <w:r>
        <w:rPr>
          <w:rFonts w:hint="eastAsia" w:ascii="宋体" w:hAnsi="宋体"/>
          <w:color w:val="000000" w:themeColor="text1"/>
          <w:szCs w:val="21"/>
          <w14:textFill>
            <w14:solidFill>
              <w14:schemeClr w14:val="tx1"/>
            </w14:solidFill>
          </w14:textFill>
        </w:rPr>
        <w:t>甲壳柱的混凝土坍落度宜采用1</w:t>
      </w:r>
      <w:r>
        <w:rPr>
          <w:rFonts w:ascii="宋体" w:hAnsi="宋体"/>
          <w:color w:val="000000" w:themeColor="text1"/>
          <w:szCs w:val="21"/>
          <w14:textFill>
            <w14:solidFill>
              <w14:schemeClr w14:val="tx1"/>
            </w14:solidFill>
          </w14:textFill>
        </w:rPr>
        <w:t>60mm~</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80</w:t>
      </w:r>
      <w:r>
        <w:rPr>
          <w:rFonts w:hint="eastAsia" w:ascii="宋体" w:hAnsi="宋体"/>
          <w:color w:val="000000" w:themeColor="text1"/>
          <w:szCs w:val="21"/>
          <w14:textFill>
            <w14:solidFill>
              <w14:schemeClr w14:val="tx1"/>
            </w14:solidFill>
          </w14:textFill>
        </w:rPr>
        <w:t>mm。</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9.3.6 </w:t>
      </w:r>
      <w:r>
        <w:rPr>
          <w:rFonts w:hint="eastAsia" w:ascii="宋体" w:hAnsi="宋体"/>
          <w:color w:val="000000" w:themeColor="text1"/>
          <w:szCs w:val="21"/>
          <w14:textFill>
            <w14:solidFill>
              <w14:schemeClr w14:val="tx1"/>
            </w14:solidFill>
          </w14:textFill>
        </w:rPr>
        <w:t>当甲壳柱的四角钢管边长小于1</w:t>
      </w:r>
      <w:r>
        <w:rPr>
          <w:rFonts w:ascii="宋体" w:hAnsi="宋体"/>
          <w:color w:val="000000" w:themeColor="text1"/>
          <w:szCs w:val="21"/>
          <w14:textFill>
            <w14:solidFill>
              <w14:schemeClr w14:val="tx1"/>
            </w14:solidFill>
          </w14:textFill>
        </w:rPr>
        <w:t>30mm</w:t>
      </w:r>
      <w:r>
        <w:rPr>
          <w:rFonts w:hint="eastAsia" w:ascii="宋体" w:hAnsi="宋体"/>
          <w:color w:val="000000" w:themeColor="text1"/>
          <w:szCs w:val="21"/>
          <w14:textFill>
            <w14:solidFill>
              <w14:schemeClr w14:val="tx1"/>
            </w14:solidFill>
          </w14:textFill>
        </w:rPr>
        <w:t>时，四角钢管内的混凝土宜采用工厂预灌的方式,并用细石混凝土或用高强灌浆料替代。</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9.3.7 </w:t>
      </w:r>
      <w:r>
        <w:rPr>
          <w:rFonts w:hint="eastAsia" w:ascii="宋体" w:hAnsi="宋体"/>
          <w:color w:val="000000" w:themeColor="text1"/>
          <w:szCs w:val="21"/>
          <w14:textFill>
            <w14:solidFill>
              <w14:schemeClr w14:val="tx1"/>
            </w14:solidFill>
          </w14:textFill>
        </w:rPr>
        <w:t>甲壳梁的混凝土浇捣应符合下列规定：</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甲壳梁截面高度小于1</w:t>
      </w:r>
      <w:r>
        <w:rPr>
          <w:rFonts w:ascii="宋体" w:hAnsi="宋体"/>
          <w:color w:val="000000" w:themeColor="text1"/>
          <w:szCs w:val="21"/>
          <w14:textFill>
            <w14:solidFill>
              <w14:schemeClr w14:val="tx1"/>
            </w14:solidFill>
          </w14:textFill>
        </w:rPr>
        <w:t>m</w:t>
      </w:r>
      <w:r>
        <w:rPr>
          <w:rFonts w:hint="eastAsia" w:ascii="宋体" w:hAnsi="宋体"/>
          <w:color w:val="000000" w:themeColor="text1"/>
          <w:szCs w:val="21"/>
          <w14:textFill>
            <w14:solidFill>
              <w14:schemeClr w14:val="tx1"/>
            </w14:solidFill>
          </w14:textFill>
        </w:rPr>
        <w:t>时，可不进行分层浇筑；甲壳梁截面高度不小于1</w:t>
      </w:r>
      <w:r>
        <w:rPr>
          <w:rFonts w:ascii="宋体" w:hAnsi="宋体"/>
          <w:color w:val="000000" w:themeColor="text1"/>
          <w:szCs w:val="21"/>
          <w14:textFill>
            <w14:solidFill>
              <w14:schemeClr w14:val="tx1"/>
            </w14:solidFill>
          </w14:textFill>
        </w:rPr>
        <w:t>m</w:t>
      </w:r>
      <w:r>
        <w:rPr>
          <w:rFonts w:hint="eastAsia" w:ascii="宋体" w:hAnsi="宋体"/>
          <w:color w:val="000000" w:themeColor="text1"/>
          <w:szCs w:val="21"/>
          <w14:textFill>
            <w14:solidFill>
              <w14:schemeClr w14:val="tx1"/>
            </w14:solidFill>
          </w14:textFill>
        </w:rPr>
        <w:t>时</w:t>
      </w:r>
      <w:r>
        <w:rPr>
          <w:rFonts w:hint="eastAsia" w:ascii="黑体" w:hAnsi="黑体" w:eastAsia="黑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应采用分层浇筑，分层厚度不应大于500mm；</w:t>
      </w:r>
    </w:p>
    <w:p>
      <w:pPr>
        <w:spacing w:line="400" w:lineRule="exact"/>
        <w:ind w:firstLine="420" w:firstLineChars="200"/>
        <w:rPr>
          <w:rFonts w:hint="eastAsia"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2 </w:t>
      </w:r>
      <w:r>
        <w:rPr>
          <w:rFonts w:hint="eastAsia" w:ascii="宋体" w:hAnsi="宋体"/>
          <w:color w:val="000000" w:themeColor="text1"/>
          <w:szCs w:val="21"/>
          <w14:textFill>
            <w14:solidFill>
              <w14:schemeClr w14:val="tx1"/>
            </w14:solidFill>
          </w14:textFill>
        </w:rPr>
        <w:t>振捣时应沿梁纵向逐点振捣，两振捣点之间距离不得大于400mm；振捣棒应快插慢拔，不得漏振；振</w:t>
      </w:r>
      <w:r>
        <w:rPr>
          <w:rFonts w:hint="eastAsia" w:ascii="宋体" w:hAnsi="宋体"/>
          <w:color w:val="000000" w:themeColor="text1"/>
          <w:szCs w:val="21"/>
          <w:lang w:eastAsia="zh-CN"/>
          <w14:textFill>
            <w14:solidFill>
              <w14:schemeClr w14:val="tx1"/>
            </w14:solidFill>
          </w14:textFill>
        </w:rPr>
        <w:t>捣</w:t>
      </w:r>
      <w:r>
        <w:rPr>
          <w:rFonts w:hint="eastAsia" w:ascii="宋体" w:hAnsi="宋体"/>
          <w:color w:val="000000" w:themeColor="text1"/>
          <w:szCs w:val="21"/>
          <w14:textFill>
            <w14:solidFill>
              <w14:schemeClr w14:val="tx1"/>
            </w14:solidFill>
          </w14:textFill>
        </w:rPr>
        <w:t>棒不得接触钢筋</w:t>
      </w:r>
      <w:r>
        <w:rPr>
          <w:rFonts w:hint="eastAsia" w:ascii="宋体" w:hAnsi="宋体"/>
          <w:color w:val="000000" w:themeColor="text1"/>
          <w:szCs w:val="21"/>
          <w:lang w:eastAsia="zh-CN"/>
          <w14:textFill>
            <w14:solidFill>
              <w14:schemeClr w14:val="tx1"/>
            </w14:solidFill>
          </w14:textFill>
        </w:rPr>
        <w:t>，当梁内预埋有预应力波纹管时，振捣棒应避开波纹管</w:t>
      </w:r>
      <w:r>
        <w:rPr>
          <w:rFonts w:hint="eastAsia" w:ascii="宋体" w:hAnsi="宋体"/>
          <w:color w:val="000000" w:themeColor="text1"/>
          <w:szCs w:val="21"/>
          <w14:textFill>
            <w14:solidFill>
              <w14:schemeClr w14:val="tx1"/>
            </w14:solidFill>
          </w14:textFill>
        </w:rPr>
        <w:t>。</w:t>
      </w:r>
    </w:p>
    <w:p>
      <w:pPr>
        <w:spacing w:line="400" w:lineRule="exact"/>
        <w:ind w:firstLine="420" w:firstLineChars="20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3</w:t>
      </w:r>
      <w:r>
        <w:rPr>
          <w:rFonts w:hint="eastAsia"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梁板混凝土同时浇筑时，应采用赶浆法先浇筑梁混凝土，当达到板底标高时，再和板一同浇筑。</w:t>
      </w:r>
    </w:p>
    <w:p>
      <w:pPr>
        <w:spacing w:line="400" w:lineRule="exact"/>
        <w:ind w:left="420" w:leftChars="200"/>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4 </w:t>
      </w:r>
      <w:r>
        <w:rPr>
          <w:rFonts w:hint="eastAsia" w:ascii="宋体" w:hAnsi="宋体"/>
          <w:color w:val="000000" w:themeColor="text1"/>
          <w:szCs w:val="21"/>
          <w14:textFill>
            <w14:solidFill>
              <w14:schemeClr w14:val="tx1"/>
            </w14:solidFill>
          </w14:textFill>
        </w:rPr>
        <w:t>混凝土坍落度宜采用1</w:t>
      </w:r>
      <w:r>
        <w:rPr>
          <w:rFonts w:ascii="宋体" w:hAnsi="宋体"/>
          <w:color w:val="000000" w:themeColor="text1"/>
          <w:szCs w:val="21"/>
          <w14:textFill>
            <w14:solidFill>
              <w14:schemeClr w14:val="tx1"/>
            </w14:solidFill>
          </w14:textFill>
        </w:rPr>
        <w:t>60mm~180</w:t>
      </w:r>
      <w:r>
        <w:rPr>
          <w:rFonts w:hint="eastAsia" w:ascii="宋体" w:hAnsi="宋体"/>
          <w:color w:val="000000" w:themeColor="text1"/>
          <w:szCs w:val="21"/>
          <w14:textFill>
            <w14:solidFill>
              <w14:schemeClr w14:val="tx1"/>
            </w14:solidFill>
          </w14:textFill>
        </w:rPr>
        <w:t>mm。</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9.3.8 </w:t>
      </w:r>
      <w:r>
        <w:rPr>
          <w:rFonts w:hint="eastAsia" w:ascii="宋体" w:hAnsi="宋体"/>
          <w:color w:val="000000" w:themeColor="text1"/>
          <w:szCs w:val="21"/>
          <w14:textFill>
            <w14:solidFill>
              <w14:schemeClr w14:val="tx1"/>
            </w14:solidFill>
          </w14:textFill>
        </w:rPr>
        <w:t>甲壳柱与甲壳梁混凝土强度等级相差超过一个等级时，应在梁柱交界面采用多层密目钢丝网隔离，并设置钢筋骨架，钢丝网的层数及钢筋骨架的直径、间距应满足不漏浆的要求。</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9.3.9 </w:t>
      </w:r>
      <w:r>
        <w:rPr>
          <w:rFonts w:hint="eastAsia" w:ascii="宋体" w:hAnsi="宋体"/>
          <w:color w:val="000000" w:themeColor="text1"/>
          <w:szCs w:val="21"/>
          <w14:textFill>
            <w14:solidFill>
              <w14:schemeClr w14:val="tx1"/>
            </w14:solidFill>
          </w14:textFill>
        </w:rPr>
        <w:t>甲壳柱、甲壳梁混凝土浇筑前应进行下列检查</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1 </w:t>
      </w:r>
      <w:r>
        <w:rPr>
          <w:rFonts w:hint="eastAsia" w:ascii="宋体" w:hAnsi="宋体"/>
          <w:color w:val="000000" w:themeColor="text1"/>
          <w:szCs w:val="21"/>
          <w14:textFill>
            <w14:solidFill>
              <w14:schemeClr w14:val="tx1"/>
            </w14:solidFill>
          </w14:textFill>
        </w:rPr>
        <w:t>混凝土不得出现离析现象，如果出现离析，必须返回商品混凝土供应站重新搅拌。</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2 </w:t>
      </w:r>
      <w:r>
        <w:rPr>
          <w:rFonts w:hint="eastAsia" w:ascii="宋体" w:hAnsi="宋体"/>
          <w:color w:val="000000" w:themeColor="text1"/>
          <w:szCs w:val="21"/>
          <w14:textFill>
            <w14:solidFill>
              <w14:schemeClr w14:val="tx1"/>
            </w14:solidFill>
          </w14:textFill>
        </w:rPr>
        <w:t>混凝土浇筑时应留置试块：浇筑小于1000</w:t>
      </w:r>
      <w:r>
        <w:rPr>
          <w:rFonts w:ascii="宋体" w:hAnsi="宋体"/>
          <w:color w:val="000000" w:themeColor="text1"/>
          <w:szCs w:val="21"/>
          <w14:textFill>
            <w14:solidFill>
              <w14:schemeClr w14:val="tx1"/>
            </w14:solidFill>
          </w14:textFill>
        </w:rPr>
        <w:t>m³</w:t>
      </w:r>
      <w:r>
        <w:rPr>
          <w:rFonts w:hint="eastAsia" w:ascii="宋体" w:hAnsi="宋体"/>
          <w:color w:val="000000" w:themeColor="text1"/>
          <w:szCs w:val="21"/>
          <w14:textFill>
            <w14:solidFill>
              <w14:schemeClr w14:val="tx1"/>
            </w14:solidFill>
          </w14:textFill>
        </w:rPr>
        <w:t>时，每100</w:t>
      </w:r>
      <w:r>
        <w:rPr>
          <w:rFonts w:ascii="宋体" w:hAnsi="宋体"/>
          <w:color w:val="000000" w:themeColor="text1"/>
          <w:szCs w:val="21"/>
          <w14:textFill>
            <w14:solidFill>
              <w14:schemeClr w14:val="tx1"/>
            </w14:solidFill>
          </w14:textFill>
        </w:rPr>
        <w:t xml:space="preserve"> m³</w:t>
      </w:r>
      <w:r>
        <w:rPr>
          <w:rFonts w:hint="eastAsia" w:ascii="宋体" w:hAnsi="宋体"/>
          <w:color w:val="000000" w:themeColor="text1"/>
          <w:szCs w:val="21"/>
          <w14:textFill>
            <w14:solidFill>
              <w14:schemeClr w14:val="tx1"/>
            </w14:solidFill>
          </w14:textFill>
        </w:rPr>
        <w:t>分别留置一组标准养护试块和一组同条件养护试块；浇筑大于1000m³时，每200m³分别留置一组标准养护试块和一组同条件养护试块。</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3 </w:t>
      </w:r>
      <w:r>
        <w:rPr>
          <w:rFonts w:hint="eastAsia" w:ascii="宋体" w:hAnsi="宋体"/>
          <w:color w:val="000000" w:themeColor="text1"/>
          <w:szCs w:val="21"/>
          <w14:textFill>
            <w14:solidFill>
              <w14:schemeClr w14:val="tx1"/>
            </w14:solidFill>
          </w14:textFill>
        </w:rPr>
        <w:t>浇筑过程中应随机抽查混凝土坍落度，前两车必须抽查，后面每三车抽查一次。</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混凝土粗骨料的粒径不得大于甲壳梁最小截面的1/4，且不得大于钢筋间距的3/4。</w:t>
      </w:r>
    </w:p>
    <w:p>
      <w:pPr>
        <w:spacing w:line="400" w:lineRule="exact"/>
        <w:rPr>
          <w:rFonts w:hint="eastAsia" w:ascii="宋体" w:hAnsi="宋体" w:eastAsiaTheme="minorEastAsia"/>
          <w:color w:val="000000" w:themeColor="text1"/>
          <w:szCs w:val="21"/>
          <w:lang w:eastAsia="zh-CN"/>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9.3.10 </w:t>
      </w:r>
      <w:r>
        <w:rPr>
          <w:rFonts w:hint="eastAsia" w:ascii="宋体" w:hAnsi="宋体"/>
          <w:color w:val="000000" w:themeColor="text1"/>
          <w:szCs w:val="21"/>
          <w14:textFill>
            <w14:solidFill>
              <w14:schemeClr w14:val="tx1"/>
            </w14:solidFill>
          </w14:textFill>
        </w:rPr>
        <w:t>甲壳柱、甲壳梁混凝土浇筑过程中，应采用小锤敲击检查混凝土是否密实，发现有异常声音时，应暂停浇筑，将振动棒再次插入振捣，直至密实</w:t>
      </w:r>
      <w:r>
        <w:rPr>
          <w:rFonts w:hint="eastAsia" w:ascii="宋体" w:hAnsi="宋体"/>
          <w:color w:val="000000" w:themeColor="text1"/>
          <w:szCs w:val="21"/>
          <w:lang w:eastAsia="zh-CN"/>
          <w14:textFill>
            <w14:solidFill>
              <w14:schemeClr w14:val="tx1"/>
            </w14:solidFill>
          </w14:textFill>
        </w:rPr>
        <w:t>，此工作宜由有经验的人完成。</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9.3.11 </w:t>
      </w:r>
      <w:r>
        <w:rPr>
          <w:rFonts w:hint="eastAsia" w:ascii="宋体" w:hAnsi="宋体"/>
          <w:color w:val="000000" w:themeColor="text1"/>
          <w:szCs w:val="21"/>
          <w14:textFill>
            <w14:solidFill>
              <w14:schemeClr w14:val="tx1"/>
            </w14:solidFill>
          </w14:textFill>
        </w:rPr>
        <w:t>甲壳柱、甲壳梁浇筑完成后，应采用小锤在钢甲壳外侧进行敲击检查混凝土密实度，若声音有异常，应将该处钢甲壳切开检查，并采用回弹仪进行强度检测；</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9.3.12 </w:t>
      </w:r>
      <w:r>
        <w:rPr>
          <w:rFonts w:hint="eastAsia" w:ascii="宋体" w:hAnsi="宋体"/>
          <w:color w:val="000000" w:themeColor="text1"/>
          <w:szCs w:val="21"/>
          <w14:textFill>
            <w14:solidFill>
              <w14:schemeClr w14:val="tx1"/>
            </w14:solidFill>
          </w14:textFill>
        </w:rPr>
        <w:t>具备条件的甲壳柱可采用低应变法检测混凝土密实度。</w:t>
      </w:r>
    </w:p>
    <w:p>
      <w:pPr>
        <w:widowControl/>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9.3.13 </w:t>
      </w:r>
      <w:r>
        <w:rPr>
          <w:rFonts w:hint="eastAsia" w:ascii="宋体" w:hAnsi="宋体"/>
          <w:color w:val="000000" w:themeColor="text1"/>
          <w:szCs w:val="21"/>
          <w14:textFill>
            <w14:solidFill>
              <w14:schemeClr w14:val="tx1"/>
            </w14:solidFill>
          </w14:textFill>
        </w:rPr>
        <w:t>甲壳柱可利用检查孔进行混凝土浇筑质量检查、强度回弹检测及超声波对测法检测。</w:t>
      </w:r>
    </w:p>
    <w:p>
      <w:pPr>
        <w:widowControl/>
        <w:spacing w:line="400" w:lineRule="exact"/>
        <w:ind w:firstLine="420" w:firstLineChars="200"/>
        <w:jc w:val="left"/>
        <w:rPr>
          <w:rFonts w:ascii="宋体" w:hAnsi="宋体"/>
          <w:color w:val="000000" w:themeColor="text1"/>
          <w:szCs w:val="21"/>
          <w14:textFill>
            <w14:solidFill>
              <w14:schemeClr w14:val="tx1"/>
            </w14:solidFill>
          </w14:textFill>
        </w:rPr>
      </w:pPr>
      <w:r>
        <w:rPr>
          <w:rFonts w:hint="eastAsia"/>
          <w:color w:val="0070C0"/>
          <w:lang w:val="en-US" w:eastAsia="zh-CN"/>
        </w:rPr>
        <w:t>条文说明： 9.3.1~9.2.13 甲壳柱、甲壳梁的混凝土施工及检测，重点在于柱梁板的浇筑顺序及技术间歇、浇筑前的排水及清渣、浇筑时的密实度检查。</w:t>
      </w:r>
      <w:r>
        <w:rPr>
          <w:rFonts w:ascii="宋体" w:hAnsi="宋体"/>
          <w:color w:val="000000" w:themeColor="text1"/>
          <w:szCs w:val="21"/>
          <w14:textFill>
            <w14:solidFill>
              <w14:schemeClr w14:val="tx1"/>
            </w14:solidFill>
          </w14:textFill>
        </w:rPr>
        <w:br w:type="page"/>
      </w:r>
    </w:p>
    <w:p>
      <w:pPr>
        <w:pStyle w:val="21"/>
        <w:rPr>
          <w:rFonts w:ascii="黑体" w:hAnsi="黑体" w:eastAsia="黑体"/>
          <w:color w:val="000000" w:themeColor="text1"/>
          <w:sz w:val="28"/>
          <w:szCs w:val="28"/>
          <w14:textFill>
            <w14:solidFill>
              <w14:schemeClr w14:val="tx1"/>
            </w14:solidFill>
          </w14:textFill>
        </w:rPr>
      </w:pPr>
      <w:bookmarkStart w:id="95" w:name="_Toc28706906"/>
      <w:bookmarkStart w:id="96" w:name="_Toc18493285"/>
      <w:r>
        <w:rPr>
          <w:rFonts w:hint="eastAsia" w:ascii="黑体" w:hAnsi="黑体" w:eastAsia="黑体"/>
          <w:color w:val="000000" w:themeColor="text1"/>
          <w:sz w:val="28"/>
          <w:szCs w:val="28"/>
          <w14:textFill>
            <w14:solidFill>
              <w14:schemeClr w14:val="tx1"/>
            </w14:solidFill>
          </w14:textFill>
        </w:rPr>
        <w:t>10质量验收</w:t>
      </w:r>
      <w:bookmarkEnd w:id="95"/>
      <w:bookmarkEnd w:id="96"/>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97" w:name="_Toc28706907"/>
      <w:r>
        <w:rPr>
          <w:rFonts w:ascii="黑体" w:hAnsi="黑体" w:eastAsia="黑体" w:cstheme="minorEastAsia"/>
          <w:color w:val="000000" w:themeColor="text1"/>
          <w:szCs w:val="21"/>
          <w14:textFill>
            <w14:solidFill>
              <w14:schemeClr w14:val="tx1"/>
            </w14:solidFill>
          </w14:textFill>
        </w:rPr>
        <w:t>10.1</w:t>
      </w:r>
      <w:r>
        <w:rPr>
          <w:rFonts w:hint="eastAsia" w:ascii="黑体" w:hAnsi="黑体" w:eastAsia="黑体" w:cstheme="minorEastAsia"/>
          <w:color w:val="000000" w:themeColor="text1"/>
          <w:szCs w:val="21"/>
          <w14:textFill>
            <w14:solidFill>
              <w14:schemeClr w14:val="tx1"/>
            </w14:solidFill>
          </w14:textFill>
        </w:rPr>
        <w:t xml:space="preserve"> 一般规定</w:t>
      </w:r>
      <w:bookmarkEnd w:id="97"/>
    </w:p>
    <w:p>
      <w:pPr>
        <w:spacing w:line="400" w:lineRule="exact"/>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 xml:space="preserve">0.1.1 </w:t>
      </w:r>
      <w:r>
        <w:rPr>
          <w:rFonts w:hint="eastAsia" w:ascii="宋体" w:hAnsi="宋体"/>
          <w:color w:val="000000" w:themeColor="text1"/>
          <w:szCs w:val="21"/>
          <w14:textFill>
            <w14:solidFill>
              <w14:schemeClr w14:val="tx1"/>
            </w14:solidFill>
          </w14:textFill>
        </w:rPr>
        <w:t>波纹钢板组合框架结构</w:t>
      </w:r>
      <w:r>
        <w:rPr>
          <w:rFonts w:ascii="宋体" w:hAnsi="宋体"/>
          <w:color w:val="000000" w:themeColor="text1"/>
          <w:szCs w:val="21"/>
          <w14:textFill>
            <w14:solidFill>
              <w14:schemeClr w14:val="tx1"/>
            </w14:solidFill>
          </w14:textFill>
        </w:rPr>
        <w:t>应在施工单位自行检验评定合格的基础上，按现行国家标准《建筑工程施工质量验收统一标准》GB 50300的规定进行子分部工程验收。</w:t>
      </w:r>
    </w:p>
    <w:p>
      <w:pPr>
        <w:spacing w:line="400" w:lineRule="exact"/>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 xml:space="preserve">0.1.2 </w:t>
      </w:r>
      <w:r>
        <w:rPr>
          <w:rFonts w:hint="eastAsia" w:ascii="宋体" w:hAnsi="宋体"/>
          <w:color w:val="000000" w:themeColor="text1"/>
          <w:szCs w:val="21"/>
          <w14:textFill>
            <w14:solidFill>
              <w14:schemeClr w14:val="tx1"/>
            </w14:solidFill>
          </w14:textFill>
        </w:rPr>
        <w:t>波纹钢板组合框架结构子分部工程应按表1</w:t>
      </w:r>
      <w:r>
        <w:rPr>
          <w:rFonts w:ascii="宋体" w:hAnsi="宋体"/>
          <w:color w:val="000000" w:themeColor="text1"/>
          <w:szCs w:val="21"/>
          <w14:textFill>
            <w14:solidFill>
              <w14:schemeClr w14:val="tx1"/>
            </w14:solidFill>
          </w14:textFill>
        </w:rPr>
        <w:t>0.1.2</w:t>
      </w:r>
      <w:r>
        <w:rPr>
          <w:rFonts w:hint="eastAsia" w:ascii="宋体" w:hAnsi="宋体"/>
          <w:color w:val="000000" w:themeColor="text1"/>
          <w:szCs w:val="21"/>
          <w14:textFill>
            <w14:solidFill>
              <w14:schemeClr w14:val="tx1"/>
            </w14:solidFill>
          </w14:textFill>
        </w:rPr>
        <w:t>划分为</w:t>
      </w:r>
      <w:r>
        <w:rPr>
          <w:rFonts w:hint="eastAsia" w:ascii="宋体" w:hAnsi="宋体"/>
          <w:color w:val="000000" w:themeColor="text1"/>
          <w:szCs w:val="21"/>
          <w:lang w:val="en-US" w:eastAsia="zh-CN"/>
          <w14:textFill>
            <w14:solidFill>
              <w14:schemeClr w14:val="tx1"/>
            </w14:solidFill>
          </w14:textFill>
        </w:rPr>
        <w:t>7</w:t>
      </w:r>
      <w:r>
        <w:rPr>
          <w:rFonts w:hint="eastAsia" w:ascii="宋体" w:hAnsi="宋体"/>
          <w:color w:val="000000" w:themeColor="text1"/>
          <w:szCs w:val="21"/>
          <w14:textFill>
            <w14:solidFill>
              <w14:schemeClr w14:val="tx1"/>
            </w14:solidFill>
          </w14:textFill>
        </w:rPr>
        <w:t>个分项工程。</w:t>
      </w:r>
    </w:p>
    <w:p>
      <w:pPr>
        <w:jc w:val="center"/>
        <w:rPr>
          <w:rFonts w:ascii="黑体" w:hAnsi="黑体" w:eastAsia="黑体"/>
          <w:color w:val="000000" w:themeColor="text1"/>
          <w:sz w:val="18"/>
          <w:szCs w:val="18"/>
          <w14:textFill>
            <w14:solidFill>
              <w14:schemeClr w14:val="tx1"/>
            </w14:solidFill>
          </w14:textFill>
        </w:rPr>
      </w:pPr>
      <w:r>
        <w:rPr>
          <w:rFonts w:hint="eastAsia" w:ascii="黑体" w:hAnsi="黑体" w:eastAsia="黑体"/>
          <w:color w:val="000000" w:themeColor="text1"/>
          <w:sz w:val="18"/>
          <w:szCs w:val="18"/>
          <w14:textFill>
            <w14:solidFill>
              <w14:schemeClr w14:val="tx1"/>
            </w14:solidFill>
          </w14:textFill>
        </w:rPr>
        <w:t>表</w:t>
      </w:r>
      <w:r>
        <w:rPr>
          <w:rFonts w:ascii="黑体" w:hAnsi="黑体" w:eastAsia="黑体"/>
          <w:color w:val="000000" w:themeColor="text1"/>
          <w:sz w:val="18"/>
          <w:szCs w:val="18"/>
          <w14:textFill>
            <w14:solidFill>
              <w14:schemeClr w14:val="tx1"/>
            </w14:solidFill>
          </w14:textFill>
        </w:rPr>
        <w:t xml:space="preserve">10.1.2 </w:t>
      </w:r>
      <w:r>
        <w:rPr>
          <w:rFonts w:hint="eastAsia" w:ascii="黑体" w:hAnsi="黑体" w:eastAsia="黑体"/>
          <w:color w:val="000000" w:themeColor="text1"/>
          <w:sz w:val="18"/>
          <w:szCs w:val="18"/>
          <w14:textFill>
            <w14:solidFill>
              <w14:schemeClr w14:val="tx1"/>
            </w14:solidFill>
          </w14:textFill>
        </w:rPr>
        <w:t>波纹钢板组合框架结构子分部工程分项工程</w:t>
      </w:r>
    </w:p>
    <w:tbl>
      <w:tblPr>
        <w:tblStyle w:val="22"/>
        <w:tblW w:w="6453" w:type="dxa"/>
        <w:jc w:val="center"/>
        <w:tblLayout w:type="fixed"/>
        <w:tblCellMar>
          <w:top w:w="15" w:type="dxa"/>
          <w:left w:w="15" w:type="dxa"/>
          <w:bottom w:w="15" w:type="dxa"/>
          <w:right w:w="15" w:type="dxa"/>
        </w:tblCellMar>
      </w:tblPr>
      <w:tblGrid>
        <w:gridCol w:w="3303"/>
        <w:gridCol w:w="3150"/>
      </w:tblGrid>
      <w:tr>
        <w:tblPrEx>
          <w:tblCellMar>
            <w:top w:w="15" w:type="dxa"/>
            <w:left w:w="15" w:type="dxa"/>
            <w:bottom w:w="15" w:type="dxa"/>
            <w:right w:w="15" w:type="dxa"/>
          </w:tblCellMar>
        </w:tblPrEx>
        <w:trPr>
          <w:trHeight w:val="116" w:hRule="atLeast"/>
          <w:jc w:val="center"/>
        </w:trPr>
        <w:tc>
          <w:tcPr>
            <w:tcW w:w="33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kern w:val="0"/>
                <w:sz w:val="15"/>
                <w:szCs w:val="15"/>
                <w:lang w:bidi="ar"/>
                <w14:textFill>
                  <w14:solidFill>
                    <w14:schemeClr w14:val="tx1"/>
                  </w14:solidFill>
                </w14:textFill>
              </w:rPr>
              <w:t>子分部工程</w:t>
            </w:r>
          </w:p>
        </w:tc>
        <w:tc>
          <w:tcPr>
            <w:tcW w:w="31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分项工程</w:t>
            </w:r>
          </w:p>
        </w:tc>
      </w:tr>
      <w:tr>
        <w:tblPrEx>
          <w:tblCellMar>
            <w:top w:w="15" w:type="dxa"/>
            <w:left w:w="15" w:type="dxa"/>
            <w:bottom w:w="15" w:type="dxa"/>
            <w:right w:w="15" w:type="dxa"/>
          </w:tblCellMar>
        </w:tblPrEx>
        <w:trPr>
          <w:trHeight w:val="283" w:hRule="atLeast"/>
          <w:jc w:val="center"/>
        </w:trPr>
        <w:tc>
          <w:tcPr>
            <w:tcW w:w="33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15"/>
                <w:szCs w:val="15"/>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波纹钢板组合框架结构工程</w:t>
            </w:r>
          </w:p>
        </w:tc>
        <w:tc>
          <w:tcPr>
            <w:tcW w:w="315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default" w:ascii="宋体" w:hAnsi="宋体" w:cs="宋体" w:eastAsiaTheme="minorEastAsia"/>
                <w:color w:val="000000" w:themeColor="text1"/>
                <w:sz w:val="15"/>
                <w:szCs w:val="15"/>
                <w:lang w:val="en-US" w:eastAsia="zh-CN"/>
                <w14:textFill>
                  <w14:solidFill>
                    <w14:schemeClr w14:val="tx1"/>
                  </w14:solidFill>
                </w14:textFill>
              </w:rPr>
            </w:pPr>
            <w:r>
              <w:rPr>
                <w:rFonts w:hint="eastAsia" w:ascii="宋体" w:hAnsi="宋体" w:cs="宋体"/>
                <w:color w:val="000000" w:themeColor="text1"/>
                <w:sz w:val="15"/>
                <w:szCs w:val="15"/>
                <w14:textFill>
                  <w14:solidFill>
                    <w14:schemeClr w14:val="tx1"/>
                  </w14:solidFill>
                </w14:textFill>
              </w:rPr>
              <w:t>甲壳梁柱及钢梁安装、焊接、螺栓连接、</w:t>
            </w:r>
            <w:r>
              <w:rPr>
                <w:rFonts w:hint="eastAsia" w:ascii="宋体" w:hAnsi="宋体" w:cs="宋体"/>
                <w:color w:val="000000" w:themeColor="text1"/>
                <w:sz w:val="15"/>
                <w:szCs w:val="15"/>
                <w:lang w:val="en-US" w:eastAsia="zh-CN"/>
                <w14:textFill>
                  <w14:solidFill>
                    <w14:schemeClr w14:val="tx1"/>
                  </w14:solidFill>
                </w14:textFill>
              </w:rPr>
              <w:t>钢筋、</w:t>
            </w:r>
            <w:r>
              <w:rPr>
                <w:rFonts w:hint="eastAsia" w:ascii="宋体" w:hAnsi="宋体" w:cs="宋体"/>
                <w:color w:val="000000" w:themeColor="text1"/>
                <w:sz w:val="15"/>
                <w:szCs w:val="15"/>
                <w14:textFill>
                  <w14:solidFill>
                    <w14:schemeClr w14:val="tx1"/>
                  </w14:solidFill>
                </w14:textFill>
              </w:rPr>
              <w:t>混凝土、预应力</w:t>
            </w:r>
            <w:r>
              <w:rPr>
                <w:rFonts w:hint="eastAsia" w:ascii="宋体" w:hAnsi="宋体" w:cs="宋体"/>
                <w:color w:val="000000" w:themeColor="text1"/>
                <w:sz w:val="15"/>
                <w:szCs w:val="15"/>
                <w:lang w:eastAsia="zh-CN"/>
                <w14:textFill>
                  <w14:solidFill>
                    <w14:schemeClr w14:val="tx1"/>
                  </w14:solidFill>
                </w14:textFill>
              </w:rPr>
              <w:t>、</w:t>
            </w:r>
            <w:r>
              <w:rPr>
                <w:rFonts w:hint="eastAsia" w:ascii="宋体" w:hAnsi="宋体" w:cs="宋体"/>
                <w:color w:val="000000" w:themeColor="text1"/>
                <w:sz w:val="15"/>
                <w:szCs w:val="15"/>
                <w:lang w:val="en-US" w:eastAsia="zh-CN"/>
                <w14:textFill>
                  <w14:solidFill>
                    <w14:schemeClr w14:val="tx1"/>
                  </w14:solidFill>
                </w14:textFill>
              </w:rPr>
              <w:t>组合楼板</w:t>
            </w:r>
          </w:p>
        </w:tc>
      </w:tr>
    </w:tbl>
    <w:p>
      <w:pPr>
        <w:spacing w:line="400" w:lineRule="exact"/>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 xml:space="preserve">0.1.3 </w:t>
      </w:r>
      <w:r>
        <w:rPr>
          <w:rFonts w:hint="eastAsia" w:ascii="宋体" w:hAnsi="宋体"/>
          <w:color w:val="000000" w:themeColor="text1"/>
          <w:szCs w:val="21"/>
          <w14:textFill>
            <w14:solidFill>
              <w14:schemeClr w14:val="tx1"/>
            </w14:solidFill>
          </w14:textFill>
        </w:rPr>
        <w:t>甲壳梁柱及钢梁安装、焊接、螺栓连接、</w:t>
      </w:r>
      <w:r>
        <w:rPr>
          <w:rFonts w:hint="eastAsia" w:ascii="宋体" w:hAnsi="宋体"/>
          <w:color w:val="000000" w:themeColor="text1"/>
          <w:szCs w:val="21"/>
          <w:lang w:val="en-US" w:eastAsia="zh-CN"/>
          <w14:textFill>
            <w14:solidFill>
              <w14:schemeClr w14:val="tx1"/>
            </w14:solidFill>
          </w14:textFill>
        </w:rPr>
        <w:t>组合楼板</w:t>
      </w:r>
      <w:r>
        <w:rPr>
          <w:rFonts w:ascii="宋体" w:hAnsi="宋体"/>
          <w:color w:val="000000" w:themeColor="text1"/>
          <w:szCs w:val="21"/>
          <w14:textFill>
            <w14:solidFill>
              <w14:schemeClr w14:val="tx1"/>
            </w14:solidFill>
          </w14:textFill>
        </w:rPr>
        <w:t>等</w:t>
      </w:r>
      <w:r>
        <w:rPr>
          <w:rFonts w:hint="eastAsia" w:ascii="宋体" w:hAnsi="宋体"/>
          <w:color w:val="000000" w:themeColor="text1"/>
          <w:szCs w:val="21"/>
          <w:lang w:val="en-US" w:eastAsia="zh-CN"/>
          <w14:textFill>
            <w14:solidFill>
              <w14:schemeClr w14:val="tx1"/>
            </w14:solidFill>
          </w14:textFill>
        </w:rPr>
        <w:t>4</w:t>
      </w:r>
      <w:r>
        <w:rPr>
          <w:rFonts w:ascii="宋体" w:hAnsi="宋体"/>
          <w:color w:val="000000" w:themeColor="text1"/>
          <w:szCs w:val="21"/>
          <w14:textFill>
            <w14:solidFill>
              <w14:schemeClr w14:val="tx1"/>
            </w14:solidFill>
          </w14:textFill>
        </w:rPr>
        <w:t>个分项工程应按现行国家标准《钢结构工程施工质量验收规范》GB 50205和《钢管混凝土工程施工质量验收规范》GB 50628的相关规定进行施工质量验收；</w:t>
      </w:r>
      <w:r>
        <w:rPr>
          <w:rFonts w:hint="eastAsia" w:ascii="宋体" w:hAnsi="宋体"/>
          <w:color w:val="000000" w:themeColor="text1"/>
          <w:szCs w:val="21"/>
          <w:lang w:val="en-US" w:eastAsia="zh-CN"/>
          <w14:textFill>
            <w14:solidFill>
              <w14:schemeClr w14:val="tx1"/>
            </w14:solidFill>
          </w14:textFill>
        </w:rPr>
        <w:t>钢筋、</w:t>
      </w:r>
      <w:r>
        <w:rPr>
          <w:rFonts w:ascii="宋体" w:hAnsi="宋体"/>
          <w:color w:val="000000" w:themeColor="text1"/>
          <w:szCs w:val="21"/>
          <w14:textFill>
            <w14:solidFill>
              <w14:schemeClr w14:val="tx1"/>
            </w14:solidFill>
          </w14:textFill>
        </w:rPr>
        <w:t>混凝土</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预应力</w:t>
      </w:r>
      <w:r>
        <w:rPr>
          <w:rFonts w:ascii="宋体" w:hAnsi="宋体"/>
          <w:color w:val="000000" w:themeColor="text1"/>
          <w:szCs w:val="21"/>
          <w14:textFill>
            <w14:solidFill>
              <w14:schemeClr w14:val="tx1"/>
            </w14:solidFill>
          </w14:textFill>
        </w:rPr>
        <w:t>分项工程应按现行国家标准《混凝土结构工程施工质量验收规范》GB 50204的相关规定进行施工质量验收</w:t>
      </w:r>
      <w:r>
        <w:rPr>
          <w:rFonts w:hint="eastAsia" w:ascii="宋体" w:hAnsi="宋体"/>
          <w:color w:val="000000" w:themeColor="text1"/>
          <w:szCs w:val="21"/>
          <w14:textFill>
            <w14:solidFill>
              <w14:schemeClr w14:val="tx1"/>
            </w14:solidFill>
          </w14:textFill>
        </w:rPr>
        <w:t>。</w:t>
      </w:r>
    </w:p>
    <w:p>
      <w:pPr>
        <w:spacing w:line="400" w:lineRule="exact"/>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0.0.4</w:t>
      </w:r>
      <w:r>
        <w:rPr>
          <w:rFonts w:hint="eastAsia"/>
          <w:color w:val="000000" w:themeColor="text1"/>
          <w14:textFill>
            <w14:solidFill>
              <w14:schemeClr w14:val="tx1"/>
            </w14:solidFill>
          </w14:textFill>
        </w:rPr>
        <w:t>波纹钢板组合框架</w:t>
      </w:r>
      <w:r>
        <w:rPr>
          <w:color w:val="000000" w:themeColor="text1"/>
          <w14:textFill>
            <w14:solidFill>
              <w14:schemeClr w14:val="tx1"/>
            </w14:solidFill>
          </w14:textFill>
        </w:rPr>
        <w:t>结构子分部工程合格质量标准应符合下列规定：</w:t>
      </w:r>
    </w:p>
    <w:p>
      <w:pPr>
        <w:spacing w:line="400" w:lineRule="exact"/>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 xml:space="preserve">1 </w:t>
      </w:r>
      <w:r>
        <w:rPr>
          <w:color w:val="000000" w:themeColor="text1"/>
          <w14:textFill>
            <w14:solidFill>
              <w14:schemeClr w14:val="tx1"/>
            </w14:solidFill>
          </w14:textFill>
        </w:rPr>
        <w:t>各分项工程施工质量验收合格；</w:t>
      </w:r>
    </w:p>
    <w:p>
      <w:pPr>
        <w:spacing w:line="400" w:lineRule="exact"/>
        <w:ind w:firstLine="525" w:firstLineChars="250"/>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2 </w:t>
      </w:r>
      <w:r>
        <w:rPr>
          <w:color w:val="000000" w:themeColor="text1"/>
          <w14:textFill>
            <w14:solidFill>
              <w14:schemeClr w14:val="tx1"/>
            </w14:solidFill>
          </w14:textFill>
        </w:rPr>
        <w:t>质量控制资料和文件应完整；</w:t>
      </w:r>
    </w:p>
    <w:p>
      <w:pPr>
        <w:spacing w:line="400" w:lineRule="exact"/>
        <w:ind w:firstLine="525" w:firstLineChars="250"/>
        <w:rPr>
          <w:color w:val="000000" w:themeColor="text1"/>
          <w14:textFill>
            <w14:solidFill>
              <w14:schemeClr w14:val="tx1"/>
            </w14:solidFill>
          </w14:textFill>
        </w:rPr>
      </w:pPr>
      <w:r>
        <w:rPr>
          <w:rFonts w:ascii="Calibri" w:hAnsi="Calibri" w:eastAsia="黑体" w:cs="Calibri"/>
          <w:color w:val="000000" w:themeColor="text1"/>
          <w:szCs w:val="21"/>
          <w14:textFill>
            <w14:solidFill>
              <w14:schemeClr w14:val="tx1"/>
            </w14:solidFill>
          </w14:textFill>
        </w:rPr>
        <w:t xml:space="preserve">3 </w:t>
      </w:r>
      <w:r>
        <w:rPr>
          <w:color w:val="000000" w:themeColor="text1"/>
          <w14:textFill>
            <w14:solidFill>
              <w14:schemeClr w14:val="tx1"/>
            </w14:solidFill>
          </w14:textFill>
        </w:rPr>
        <w:t>观感质量验收合格；</w:t>
      </w:r>
    </w:p>
    <w:p>
      <w:pPr>
        <w:spacing w:line="400" w:lineRule="exact"/>
        <w:ind w:firstLine="525" w:firstLineChars="250"/>
        <w:rPr>
          <w:color w:val="000000" w:themeColor="text1"/>
          <w14:textFill>
            <w14:solidFill>
              <w14:schemeClr w14:val="tx1"/>
            </w14:solidFill>
          </w14:textFill>
        </w:rPr>
      </w:pPr>
      <w:r>
        <w:rPr>
          <w:rFonts w:ascii="Calibri" w:hAnsi="Calibri" w:eastAsia="黑体" w:cs="Calibri"/>
          <w:color w:val="000000" w:themeColor="text1"/>
          <w:szCs w:val="21"/>
          <w14:textFill>
            <w14:solidFill>
              <w14:schemeClr w14:val="tx1"/>
            </w14:solidFill>
          </w14:textFill>
        </w:rPr>
        <w:t xml:space="preserve">4 </w:t>
      </w:r>
      <w:r>
        <w:rPr>
          <w:color w:val="000000" w:themeColor="text1"/>
          <w14:textFill>
            <w14:solidFill>
              <w14:schemeClr w14:val="tx1"/>
            </w14:solidFill>
          </w14:textFill>
        </w:rPr>
        <w:t>结构实体检验结果满足设计和本规范的要求。</w:t>
      </w:r>
    </w:p>
    <w:p>
      <w:pPr>
        <w:spacing w:line="400" w:lineRule="exact"/>
        <w:rPr>
          <w:color w:val="000000" w:themeColor="text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1</w:t>
      </w:r>
      <w:r>
        <w:rPr>
          <w:rFonts w:ascii="黑体" w:hAnsi="黑体" w:eastAsia="黑体"/>
          <w:color w:val="000000" w:themeColor="text1"/>
          <w:szCs w:val="21"/>
          <w14:textFill>
            <w14:solidFill>
              <w14:schemeClr w14:val="tx1"/>
            </w14:solidFill>
          </w14:textFill>
        </w:rPr>
        <w:t>0.1.5</w:t>
      </w:r>
      <w:r>
        <w:rPr>
          <w:rFonts w:hint="eastAsia"/>
          <w:color w:val="000000" w:themeColor="text1"/>
          <w14:textFill>
            <w14:solidFill>
              <w14:schemeClr w14:val="tx1"/>
            </w14:solidFill>
          </w14:textFill>
        </w:rPr>
        <w:t>波纹钢板组合框架</w:t>
      </w:r>
      <w:r>
        <w:rPr>
          <w:color w:val="000000" w:themeColor="text1"/>
          <w14:textFill>
            <w14:solidFill>
              <w14:schemeClr w14:val="tx1"/>
            </w14:solidFill>
          </w14:textFill>
        </w:rPr>
        <w:t>结构子分部工程质量验收时，应提供下列文件和记录：</w:t>
      </w:r>
    </w:p>
    <w:p>
      <w:pPr>
        <w:spacing w:line="400" w:lineRule="exact"/>
        <w:ind w:firstLine="315" w:firstLineChars="150"/>
        <w:rPr>
          <w:color w:val="000000" w:themeColor="text1"/>
          <w14:textFill>
            <w14:solidFill>
              <w14:schemeClr w14:val="tx1"/>
            </w14:solidFill>
          </w14:textFill>
        </w:rPr>
      </w:pP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1</w:t>
      </w:r>
      <w:r>
        <w:rPr>
          <w:color w:val="000000" w:themeColor="text1"/>
          <w14:textFill>
            <w14:solidFill>
              <w14:schemeClr w14:val="tx1"/>
            </w14:solidFill>
          </w14:textFill>
        </w:rPr>
        <w:t xml:space="preserve"> 深化设计文件；</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2</w:t>
      </w:r>
      <w:r>
        <w:rPr>
          <w:color w:val="000000" w:themeColor="text1"/>
          <w14:textFill>
            <w14:solidFill>
              <w14:schemeClr w14:val="tx1"/>
            </w14:solidFill>
          </w14:textFill>
        </w:rPr>
        <w:t xml:space="preserve"> 施工现场质量管理检查记录；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3</w:t>
      </w:r>
      <w:r>
        <w:rPr>
          <w:color w:val="000000" w:themeColor="text1"/>
          <w14:textFill>
            <w14:solidFill>
              <w14:schemeClr w14:val="tx1"/>
            </w14:solidFill>
          </w14:textFill>
        </w:rPr>
        <w:t xml:space="preserve"> 有关安全及功能的检验和见证检测项目检查记录；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xml:space="preserve">      </w:t>
      </w:r>
      <w:r>
        <w:rPr>
          <w:rFonts w:ascii="Calibri" w:hAnsi="Calibri" w:eastAsia="黑体" w:cs="Calibri"/>
          <w:color w:val="000000" w:themeColor="text1"/>
          <w:szCs w:val="21"/>
          <w14:textFill>
            <w14:solidFill>
              <w14:schemeClr w14:val="tx1"/>
            </w14:solidFill>
          </w14:textFill>
        </w:rPr>
        <w:t> </w:t>
      </w:r>
      <w:r>
        <w:rPr>
          <w:rFonts w:ascii="黑体" w:hAnsi="黑体" w:eastAsia="黑体"/>
          <w:color w:val="000000" w:themeColor="text1"/>
          <w:szCs w:val="21"/>
          <w14:textFill>
            <w14:solidFill>
              <w14:schemeClr w14:val="tx1"/>
            </w14:solidFill>
          </w14:textFill>
        </w:rPr>
        <w:t>4</w:t>
      </w:r>
      <w:r>
        <w:rPr>
          <w:color w:val="000000" w:themeColor="text1"/>
          <w14:textFill>
            <w14:solidFill>
              <w14:schemeClr w14:val="tx1"/>
            </w14:solidFill>
          </w14:textFill>
        </w:rPr>
        <w:t xml:space="preserve"> 有关观感质量检验项目检查记录；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xml:space="preserve">       </w:t>
      </w:r>
      <w:r>
        <w:rPr>
          <w:rFonts w:ascii="Calibri" w:hAnsi="Calibri" w:eastAsia="黑体" w:cs="Calibri"/>
          <w:color w:val="000000" w:themeColor="text1"/>
          <w:szCs w:val="21"/>
          <w14:textFill>
            <w14:solidFill>
              <w14:schemeClr w14:val="tx1"/>
            </w14:solidFill>
          </w14:textFill>
        </w:rPr>
        <w:t>5</w:t>
      </w:r>
      <w:r>
        <w:rPr>
          <w:color w:val="000000" w:themeColor="text1"/>
          <w14:textFill>
            <w14:solidFill>
              <w14:schemeClr w14:val="tx1"/>
            </w14:solidFill>
          </w14:textFill>
        </w:rPr>
        <w:t xml:space="preserve"> 所含各分项工程质量验收记录；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6</w:t>
      </w:r>
      <w:r>
        <w:rPr>
          <w:color w:val="000000" w:themeColor="text1"/>
          <w14:textFill>
            <w14:solidFill>
              <w14:schemeClr w14:val="tx1"/>
            </w14:solidFill>
          </w14:textFill>
        </w:rPr>
        <w:t xml:space="preserve"> 分项工程所含各检验批质量验收记录；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7 </w:t>
      </w:r>
      <w:r>
        <w:rPr>
          <w:color w:val="000000" w:themeColor="text1"/>
          <w14:textFill>
            <w14:solidFill>
              <w14:schemeClr w14:val="tx1"/>
            </w14:solidFill>
          </w14:textFill>
        </w:rPr>
        <w:t>强制性条文检验项目检查记录及证明文件；</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 8 </w:t>
      </w:r>
      <w:r>
        <w:rPr>
          <w:color w:val="000000" w:themeColor="text1"/>
          <w14:textFill>
            <w14:solidFill>
              <w14:schemeClr w14:val="tx1"/>
            </w14:solidFill>
          </w14:textFill>
        </w:rPr>
        <w:t>隐蔽工程检验项目检查验收记录；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9 </w:t>
      </w:r>
      <w:r>
        <w:rPr>
          <w:color w:val="000000" w:themeColor="text1"/>
          <w14:textFill>
            <w14:solidFill>
              <w14:schemeClr w14:val="tx1"/>
            </w14:solidFill>
          </w14:textFill>
        </w:rPr>
        <w:t>原材料、成品质量合格证明文件、中文标志及性能检测报告；</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10 </w:t>
      </w:r>
      <w:r>
        <w:rPr>
          <w:color w:val="000000" w:themeColor="text1"/>
          <w14:textFill>
            <w14:solidFill>
              <w14:schemeClr w14:val="tx1"/>
            </w14:solidFill>
          </w14:textFill>
        </w:rPr>
        <w:t>不合格项的处理记录及验收记录；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11 </w:t>
      </w:r>
      <w:r>
        <w:rPr>
          <w:color w:val="000000" w:themeColor="text1"/>
          <w14:textFill>
            <w14:solidFill>
              <w14:schemeClr w14:val="tx1"/>
            </w14:solidFill>
          </w14:textFill>
        </w:rPr>
        <w:t>重大质量、技术问题实施方案及验收记录；</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Calibri" w:hAnsi="Calibri" w:eastAsia="黑体" w:cs="Calibri"/>
          <w:color w:val="000000" w:themeColor="text1"/>
          <w:szCs w:val="21"/>
          <w14:textFill>
            <w14:solidFill>
              <w14:schemeClr w14:val="tx1"/>
            </w14:solidFill>
          </w14:textFill>
        </w:rPr>
        <w:t xml:space="preserve">12 </w:t>
      </w:r>
      <w:r>
        <w:rPr>
          <w:color w:val="000000" w:themeColor="text1"/>
          <w14:textFill>
            <w14:solidFill>
              <w14:schemeClr w14:val="tx1"/>
            </w14:solidFill>
          </w14:textFill>
        </w:rPr>
        <w:t>其他有关文件和记录。</w:t>
      </w:r>
    </w:p>
    <w:p>
      <w:pPr>
        <w:widowControl/>
        <w:spacing w:line="400" w:lineRule="exact"/>
        <w:jc w:val="left"/>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10</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 xml:space="preserve">1.6 </w:t>
      </w:r>
      <w:r>
        <w:rPr>
          <w:rFonts w:hint="eastAsia"/>
          <w:color w:val="000000" w:themeColor="text1"/>
          <w14:textFill>
            <w14:solidFill>
              <w14:schemeClr w14:val="tx1"/>
            </w14:solidFill>
          </w14:textFill>
        </w:rPr>
        <w:t>波纹钢板组合框架</w:t>
      </w:r>
      <w:r>
        <w:rPr>
          <w:color w:val="000000" w:themeColor="text1"/>
          <w14:textFill>
            <w14:solidFill>
              <w14:schemeClr w14:val="tx1"/>
            </w14:solidFill>
          </w14:textFill>
        </w:rPr>
        <w:t>结构工程质量验收记录应符合下列规定：</w:t>
      </w:r>
      <w:r>
        <w:rPr>
          <w:color w:val="000000" w:themeColor="text1"/>
          <w14:textFill>
            <w14:solidFill>
              <w14:schemeClr w14:val="tx1"/>
            </w14:solidFill>
          </w14:textFill>
        </w:rPr>
        <w:br w:type="textWrapping"/>
      </w:r>
      <w:r>
        <w:rPr>
          <w:color w:val="000000" w:themeColor="text1"/>
          <w14:textFill>
            <w14:solidFill>
              <w14:schemeClr w14:val="tx1"/>
            </w14:solidFill>
          </w14:textFill>
        </w:rPr>
        <w:t>       1 钢结构分项工程质量验收记录应按现行国家标准《钢结构工程施工质量验收规范》GB 50205的相关记录执行；</w:t>
      </w:r>
      <w:r>
        <w:rPr>
          <w:color w:val="000000" w:themeColor="text1"/>
          <w14:textFill>
            <w14:solidFill>
              <w14:schemeClr w14:val="tx1"/>
            </w14:solidFill>
          </w14:textFill>
        </w:rPr>
        <w:br w:type="textWrapping"/>
      </w:r>
      <w:r>
        <w:rPr>
          <w:color w:val="000000" w:themeColor="text1"/>
          <w14:textFill>
            <w14:solidFill>
              <w14:schemeClr w14:val="tx1"/>
            </w14:solidFill>
          </w14:textFill>
        </w:rPr>
        <w:t>       2 混凝土分项工程质量验收记录应按现行国家标准《混凝土结构工程施工质量验收规范》GB 50204的相关记录执行；</w:t>
      </w:r>
      <w:r>
        <w:rPr>
          <w:color w:val="000000" w:themeColor="text1"/>
          <w14:textFill>
            <w14:solidFill>
              <w14:schemeClr w14:val="tx1"/>
            </w14:solidFill>
          </w14:textFill>
        </w:rPr>
        <w:br w:type="textWrapping"/>
      </w:r>
      <w:r>
        <w:rPr>
          <w:rFonts w:ascii="黑体" w:hAnsi="黑体" w:eastAsia="黑体"/>
          <w:color w:val="000000" w:themeColor="text1"/>
          <w:szCs w:val="21"/>
          <w14:textFill>
            <w14:solidFill>
              <w14:schemeClr w14:val="tx1"/>
            </w14:solidFill>
          </w14:textFill>
        </w:rPr>
        <w:t>10</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 xml:space="preserve">1.7 </w:t>
      </w:r>
      <w:r>
        <w:rPr>
          <w:color w:val="000000" w:themeColor="text1"/>
          <w14:textFill>
            <w14:solidFill>
              <w14:schemeClr w14:val="tx1"/>
            </w14:solidFill>
          </w14:textFill>
        </w:rPr>
        <w:t>当</w:t>
      </w:r>
      <w:r>
        <w:rPr>
          <w:rFonts w:hint="eastAsia"/>
          <w:color w:val="000000" w:themeColor="text1"/>
          <w14:textFill>
            <w14:solidFill>
              <w14:schemeClr w14:val="tx1"/>
            </w14:solidFill>
          </w14:textFill>
        </w:rPr>
        <w:t>波纹钢板组合框架</w:t>
      </w:r>
      <w:r>
        <w:rPr>
          <w:color w:val="000000" w:themeColor="text1"/>
          <w14:textFill>
            <w14:solidFill>
              <w14:schemeClr w14:val="tx1"/>
            </w14:solidFill>
          </w14:textFill>
        </w:rPr>
        <w:t>结构工程施工质量不符合本规范要求时，应按下列规定进行处理：</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1</w:t>
      </w:r>
      <w:r>
        <w:rPr>
          <w:color w:val="000000" w:themeColor="text1"/>
          <w14:textFill>
            <w14:solidFill>
              <w14:schemeClr w14:val="tx1"/>
            </w14:solidFill>
          </w14:textFill>
        </w:rPr>
        <w:t xml:space="preserve"> 经返工重做或更换构配件的检验批，应重新进行验收；</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 xml:space="preserve">2 </w:t>
      </w:r>
      <w:r>
        <w:rPr>
          <w:color w:val="000000" w:themeColor="text1"/>
          <w14:textFill>
            <w14:solidFill>
              <w14:schemeClr w14:val="tx1"/>
            </w14:solidFill>
          </w14:textFill>
        </w:rPr>
        <w:t>经有资质的检测单位检测鉴定能达到设计要求的检验批，应予以验收；</w:t>
      </w:r>
      <w:r>
        <w:rPr>
          <w:color w:val="000000" w:themeColor="text1"/>
          <w14:textFill>
            <w14:solidFill>
              <w14:schemeClr w14:val="tx1"/>
            </w14:solidFill>
          </w14:textFill>
        </w:rPr>
        <w:br w:type="textWrapping"/>
      </w:r>
      <w:r>
        <w:rPr>
          <w:color w:val="000000" w:themeColor="text1"/>
          <w14:textFill>
            <w14:solidFill>
              <w14:schemeClr w14:val="tx1"/>
            </w14:solidFill>
          </w14:textFill>
        </w:rPr>
        <w:t>       </w:t>
      </w:r>
      <w:r>
        <w:rPr>
          <w:rFonts w:ascii="黑体" w:hAnsi="黑体" w:eastAsia="黑体"/>
          <w:color w:val="000000" w:themeColor="text1"/>
          <w:szCs w:val="21"/>
          <w14:textFill>
            <w14:solidFill>
              <w14:schemeClr w14:val="tx1"/>
            </w14:solidFill>
          </w14:textFill>
        </w:rPr>
        <w:t xml:space="preserve">3 </w:t>
      </w:r>
      <w:r>
        <w:rPr>
          <w:color w:val="000000" w:themeColor="text1"/>
          <w14:textFill>
            <w14:solidFill>
              <w14:schemeClr w14:val="tx1"/>
            </w14:solidFill>
          </w14:textFill>
        </w:rPr>
        <w:t>经有资质的检测单位检测鉴定达不到设计要求的，但经原设计单位核算认可能够满足结构安全和使用功能的检验批，可予以验收；</w:t>
      </w:r>
      <w:r>
        <w:rPr>
          <w:color w:val="000000" w:themeColor="text1"/>
          <w14:textFill>
            <w14:solidFill>
              <w14:schemeClr w14:val="tx1"/>
            </w14:solidFill>
          </w14:textFill>
        </w:rPr>
        <w:br w:type="textWrapping"/>
      </w:r>
      <w:r>
        <w:rPr>
          <w:color w:val="000000" w:themeColor="text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 xml:space="preserve">4 </w:t>
      </w:r>
      <w:r>
        <w:rPr>
          <w:color w:val="000000" w:themeColor="text1"/>
          <w14:textFill>
            <w14:solidFill>
              <w14:schemeClr w14:val="tx1"/>
            </w14:solidFill>
          </w14:textFill>
        </w:rPr>
        <w:t>经返修或加固处理的分项、分部工程，虽然改变外形尺寸，尚能满足安全使用要求，可按处理的技术方案和协商文件进行验收。</w:t>
      </w:r>
    </w:p>
    <w:p>
      <w:pPr>
        <w:widowControl/>
        <w:spacing w:line="400" w:lineRule="exact"/>
        <w:ind w:firstLine="420" w:firstLineChars="200"/>
        <w:jc w:val="left"/>
        <w:rPr>
          <w:rFonts w:hint="default"/>
          <w:color w:val="4F81BD" w:themeColor="accent1"/>
          <w:lang w:val="en-US" w:eastAsia="zh-CN"/>
          <w14:textFill>
            <w14:solidFill>
              <w14:schemeClr w14:val="accent1"/>
            </w14:solidFill>
          </w14:textFill>
        </w:rPr>
      </w:pPr>
      <w:r>
        <w:rPr>
          <w:rFonts w:hint="eastAsia"/>
          <w:color w:val="0070C0"/>
          <w:lang w:val="en-US" w:eastAsia="zh-CN"/>
        </w:rPr>
        <w:t>条文说明： 10.1.1~10.1.6 波纹钢板组合框架结构的质量验收，原则上与钢结构相关的按《钢结构工程施工质量验收规范》执行，与混凝土结构相关的按《混凝土结构工程施工质量验收规范》执行。</w:t>
      </w:r>
    </w:p>
    <w:p>
      <w:pPr>
        <w:spacing w:before="156" w:beforeLines="50" w:after="156" w:afterLines="50" w:line="400" w:lineRule="exact"/>
        <w:jc w:val="center"/>
        <w:outlineLvl w:val="1"/>
        <w:rPr>
          <w:rFonts w:ascii="黑体" w:hAnsi="黑体" w:eastAsia="黑体" w:cstheme="minorEastAsia"/>
          <w:color w:val="000000" w:themeColor="text1"/>
          <w:szCs w:val="21"/>
          <w14:textFill>
            <w14:solidFill>
              <w14:schemeClr w14:val="tx1"/>
            </w14:solidFill>
          </w14:textFill>
        </w:rPr>
      </w:pPr>
      <w:bookmarkStart w:id="98" w:name="_Toc28706908"/>
      <w:r>
        <w:rPr>
          <w:rFonts w:ascii="黑体" w:hAnsi="黑体" w:eastAsia="黑体" w:cstheme="minorEastAsia"/>
          <w:color w:val="000000" w:themeColor="text1"/>
          <w:szCs w:val="21"/>
          <w14:textFill>
            <w14:solidFill>
              <w14:schemeClr w14:val="tx1"/>
            </w14:solidFill>
          </w14:textFill>
        </w:rPr>
        <w:t>10.2</w:t>
      </w:r>
      <w:r>
        <w:rPr>
          <w:rFonts w:hint="eastAsia" w:ascii="黑体" w:hAnsi="黑体" w:eastAsia="黑体" w:cstheme="minorEastAsia"/>
          <w:color w:val="000000" w:themeColor="text1"/>
          <w:szCs w:val="21"/>
          <w14:textFill>
            <w14:solidFill>
              <w14:schemeClr w14:val="tx1"/>
            </w14:solidFill>
          </w14:textFill>
        </w:rPr>
        <w:t xml:space="preserve"> 甲壳柱、甲壳梁的验收</w:t>
      </w:r>
      <w:bookmarkEnd w:id="98"/>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10</w:t>
      </w:r>
      <w:r>
        <w:rPr>
          <w:rFonts w:hint="eastAsia" w:ascii="黑体" w:hAnsi="黑体" w:eastAsia="黑体"/>
          <w:color w:val="000000" w:themeColor="text1"/>
          <w:szCs w:val="21"/>
          <w14:textFill>
            <w14:solidFill>
              <w14:schemeClr w14:val="tx1"/>
            </w14:solidFill>
          </w14:textFill>
        </w:rPr>
        <w:t>.</w:t>
      </w:r>
      <w:r>
        <w:rPr>
          <w:rFonts w:ascii="黑体" w:hAnsi="黑体" w:eastAsia="黑体"/>
          <w:color w:val="000000" w:themeColor="text1"/>
          <w:szCs w:val="21"/>
          <w14:textFill>
            <w14:solidFill>
              <w14:schemeClr w14:val="tx1"/>
            </w14:solidFill>
          </w14:textFill>
        </w:rPr>
        <w:t xml:space="preserve">2.1 </w:t>
      </w:r>
      <w:r>
        <w:rPr>
          <w:rFonts w:hint="eastAsia" w:ascii="宋体" w:hAnsi="宋体"/>
          <w:color w:val="000000" w:themeColor="text1"/>
          <w:szCs w:val="21"/>
          <w14:textFill>
            <w14:solidFill>
              <w14:schemeClr w14:val="tx1"/>
            </w14:solidFill>
          </w14:textFill>
        </w:rPr>
        <w:t>甲壳柱应进行平面定位、标高及垂直度进行验收，甲壳梁应进行标高及平面定位验收，甲壳柱、甲壳梁的允许误差见本规程表</w:t>
      </w:r>
      <w:r>
        <w:rPr>
          <w:rFonts w:ascii="宋体" w:hAnsi="宋体"/>
          <w:color w:val="000000" w:themeColor="text1"/>
          <w:szCs w:val="21"/>
          <w14:textFill>
            <w14:solidFill>
              <w14:schemeClr w14:val="tx1"/>
            </w14:solidFill>
          </w14:textFill>
        </w:rPr>
        <w:t>9.2.6</w:t>
      </w:r>
      <w:r>
        <w:rPr>
          <w:rFonts w:hint="eastAsia" w:ascii="宋体" w:hAnsi="宋体"/>
          <w:color w:val="000000" w:themeColor="text1"/>
          <w:szCs w:val="21"/>
          <w14:textFill>
            <w14:solidFill>
              <w14:schemeClr w14:val="tx1"/>
            </w14:solidFill>
          </w14:textFill>
        </w:rPr>
        <w:t>的要求。</w:t>
      </w:r>
    </w:p>
    <w:p>
      <w:pPr>
        <w:spacing w:line="400" w:lineRule="exact"/>
        <w:jc w:val="lef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10.2.2</w:t>
      </w:r>
      <w:r>
        <w:rPr>
          <w:rFonts w:hint="eastAsia" w:ascii="宋体" w:hAnsi="宋体"/>
          <w:color w:val="000000" w:themeColor="text1"/>
          <w:szCs w:val="21"/>
          <w14:textFill>
            <w14:solidFill>
              <w14:schemeClr w14:val="tx1"/>
            </w14:solidFill>
          </w14:textFill>
        </w:rPr>
        <w:t>甲壳柱混凝土浇筑前，应进行隐蔽验收，验收内容应符合下列规定：</w:t>
      </w:r>
    </w:p>
    <w:p>
      <w:pPr>
        <w:spacing w:line="400" w:lineRule="exact"/>
        <w:ind w:firstLine="525" w:firstLineChars="25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底层甲壳柱应重点检查地脚螺栓紧固情况；</w:t>
      </w:r>
    </w:p>
    <w:p>
      <w:pPr>
        <w:spacing w:line="400" w:lineRule="exact"/>
        <w:ind w:firstLine="525" w:firstLineChars="250"/>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甲壳柱应重点检查四角钢管的焊接质量。</w:t>
      </w:r>
    </w:p>
    <w:p>
      <w:pPr>
        <w:spacing w:line="400" w:lineRule="exact"/>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10.2.3 </w:t>
      </w:r>
      <w:r>
        <w:rPr>
          <w:rFonts w:hint="eastAsia" w:ascii="宋体" w:hAnsi="宋体"/>
          <w:color w:val="000000" w:themeColor="text1"/>
          <w:szCs w:val="21"/>
          <w14:textFill>
            <w14:solidFill>
              <w14:schemeClr w14:val="tx1"/>
            </w14:solidFill>
          </w14:textFill>
        </w:rPr>
        <w:t>甲壳梁混凝土浇筑前应进行隐蔽验收，重点验收梁柱连接节点尺寸、梁下翼缘与节点连接板的缝宽及上下偏移尺寸、甲壳梁上下翼缘与节点连接板的焊接质量。</w:t>
      </w:r>
    </w:p>
    <w:p>
      <w:pPr>
        <w:spacing w:line="400" w:lineRule="exact"/>
        <w:jc w:val="left"/>
        <w:rPr>
          <w:rFonts w:hint="eastAsia" w:asciiTheme="minorEastAsia" w:hAnsiTheme="minorEastAsia" w:cstheme="minorEastAsia"/>
          <w:color w:val="000000" w:themeColor="text1"/>
          <w:szCs w:val="21"/>
          <w14:textFill>
            <w14:solidFill>
              <w14:schemeClr w14:val="tx1"/>
            </w14:solidFill>
          </w14:textFill>
        </w:rPr>
      </w:pPr>
      <w:r>
        <w:rPr>
          <w:rFonts w:asciiTheme="minorEastAsia" w:hAnsiTheme="minorEastAsia" w:cstheme="minorEastAsia"/>
          <w:color w:val="000000" w:themeColor="text1"/>
          <w:szCs w:val="21"/>
          <w14:textFill>
            <w14:solidFill>
              <w14:schemeClr w14:val="tx1"/>
            </w14:solidFill>
          </w14:textFill>
        </w:rPr>
        <w:t>10.2.</w:t>
      </w:r>
      <w:r>
        <w:rPr>
          <w:rFonts w:hint="eastAsia" w:asciiTheme="minorEastAsia" w:hAnsiTheme="minorEastAsia" w:cstheme="minorEastAsia"/>
          <w:color w:val="000000" w:themeColor="text1"/>
          <w:szCs w:val="21"/>
          <w:lang w:val="en-US" w:eastAsia="zh-CN"/>
          <w14:textFill>
            <w14:solidFill>
              <w14:schemeClr w14:val="tx1"/>
            </w14:solidFill>
          </w14:textFill>
        </w:rPr>
        <w:t>4</w:t>
      </w:r>
      <w:r>
        <w:rPr>
          <w:rFonts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14:textFill>
            <w14:solidFill>
              <w14:schemeClr w14:val="tx1"/>
            </w14:solidFill>
          </w14:textFill>
        </w:rPr>
        <w:t>甲壳柱、甲壳梁涂层质量及厚度的检查方法应按现行国家标准《漆膜附着力测定法》G</w:t>
      </w:r>
      <w:r>
        <w:rPr>
          <w:rFonts w:asciiTheme="minorEastAsia" w:hAnsiTheme="minorEastAsia" w:cstheme="minorEastAsia"/>
          <w:color w:val="000000" w:themeColor="text1"/>
          <w:szCs w:val="21"/>
          <w14:textFill>
            <w14:solidFill>
              <w14:schemeClr w14:val="tx1"/>
            </w14:solidFill>
          </w14:textFill>
        </w:rPr>
        <w:t>B 1720</w:t>
      </w:r>
      <w:r>
        <w:rPr>
          <w:rFonts w:hint="eastAsia" w:asciiTheme="minorEastAsia" w:hAnsiTheme="minorEastAsia" w:cstheme="minorEastAsia"/>
          <w:color w:val="000000" w:themeColor="text1"/>
          <w:szCs w:val="21"/>
          <w14:textFill>
            <w14:solidFill>
              <w14:schemeClr w14:val="tx1"/>
            </w14:solidFill>
          </w14:textFill>
        </w:rPr>
        <w:t>或《色漆和清漆 漆膜的规格试验》G</w:t>
      </w:r>
      <w:r>
        <w:rPr>
          <w:rFonts w:asciiTheme="minorEastAsia" w:hAnsiTheme="minorEastAsia" w:cstheme="minorEastAsia"/>
          <w:color w:val="000000" w:themeColor="text1"/>
          <w:szCs w:val="21"/>
          <w14:textFill>
            <w14:solidFill>
              <w14:schemeClr w14:val="tx1"/>
            </w14:solidFill>
          </w14:textFill>
        </w:rPr>
        <w:t>B/T 9286</w:t>
      </w:r>
      <w:r>
        <w:rPr>
          <w:rFonts w:hint="eastAsia" w:asciiTheme="minorEastAsia" w:hAnsiTheme="minorEastAsia" w:cstheme="minorEastAsia"/>
          <w:color w:val="000000" w:themeColor="text1"/>
          <w:szCs w:val="21"/>
          <w14:textFill>
            <w14:solidFill>
              <w14:schemeClr w14:val="tx1"/>
            </w14:solidFill>
          </w14:textFill>
        </w:rPr>
        <w:t>的规定执行，应按构件数量的1%抽查，且不应少于3件，每件检测3处。</w:t>
      </w:r>
    </w:p>
    <w:p>
      <w:pPr>
        <w:widowControl/>
        <w:spacing w:line="400" w:lineRule="exact"/>
        <w:ind w:firstLine="420" w:firstLineChars="200"/>
        <w:jc w:val="left"/>
        <w:rPr>
          <w:rFonts w:hint="default"/>
          <w:color w:val="0070C0"/>
          <w:lang w:val="en-US" w:eastAsia="zh-CN"/>
        </w:rPr>
      </w:pPr>
      <w:r>
        <w:rPr>
          <w:rFonts w:hint="eastAsia"/>
          <w:color w:val="0070C0"/>
          <w:lang w:val="en-US" w:eastAsia="zh-CN"/>
        </w:rPr>
        <w:t>条文说明： 10.2.1~10.2.4 针对甲壳柱、甲壳梁的特点进行规定，其余详相关规范。</w:t>
      </w:r>
    </w:p>
    <w:p>
      <w:pPr>
        <w:spacing w:line="400" w:lineRule="exact"/>
        <w:jc w:val="left"/>
        <w:rPr>
          <w:rFonts w:hint="eastAsia" w:asciiTheme="minorEastAsia" w:hAnsiTheme="minorEastAsia" w:cstheme="minorEastAsia"/>
          <w:color w:val="000000" w:themeColor="text1"/>
          <w:szCs w:val="21"/>
          <w14:textFill>
            <w14:solidFill>
              <w14:schemeClr w14:val="tx1"/>
            </w14:solidFill>
          </w14:textFill>
        </w:rPr>
      </w:pPr>
    </w:p>
    <w:p>
      <w:pPr>
        <w:spacing w:line="400" w:lineRule="exact"/>
        <w:rPr>
          <w:rFonts w:ascii="宋体" w:hAnsi="宋体"/>
          <w:color w:val="000000" w:themeColor="text1"/>
          <w:szCs w:val="21"/>
          <w14:textFill>
            <w14:solidFill>
              <w14:schemeClr w14:val="tx1"/>
            </w14:solidFill>
          </w14:textFill>
        </w:rPr>
      </w:pPr>
    </w:p>
    <w:p>
      <w:pPr>
        <w:rPr>
          <w:rFonts w:ascii="黑体" w:hAnsi="黑体" w:eastAsia="黑体"/>
          <w:color w:val="000000" w:themeColor="text1"/>
          <w:szCs w:val="21"/>
          <w14:textFill>
            <w14:solidFill>
              <w14:schemeClr w14:val="tx1"/>
            </w14:solidFill>
          </w14:textFill>
        </w:rPr>
      </w:pPr>
    </w:p>
    <w:p>
      <w:pPr>
        <w:widowControl/>
        <w:jc w:val="left"/>
        <w:rPr>
          <w:rFonts w:ascii="黑体" w:hAnsi="黑体" w:eastAsia="黑体"/>
          <w:b/>
          <w:bCs/>
          <w:color w:val="000000" w:themeColor="text1"/>
          <w:sz w:val="28"/>
          <w:szCs w:val="28"/>
          <w14:textFill>
            <w14:solidFill>
              <w14:schemeClr w14:val="tx1"/>
            </w14:solidFill>
          </w14:textFill>
        </w:rPr>
      </w:pPr>
      <w:bookmarkStart w:id="99" w:name="_Toc18493289"/>
      <w:r>
        <w:rPr>
          <w:rFonts w:ascii="黑体" w:hAnsi="黑体" w:eastAsia="黑体"/>
          <w:b/>
          <w:bCs/>
          <w:color w:val="000000" w:themeColor="text1"/>
          <w:sz w:val="28"/>
          <w:szCs w:val="28"/>
          <w14:textFill>
            <w14:solidFill>
              <w14:schemeClr w14:val="tx1"/>
            </w14:solidFill>
          </w14:textFill>
        </w:rPr>
        <w:br w:type="page"/>
      </w:r>
    </w:p>
    <w:p>
      <w:pPr>
        <w:spacing w:before="624" w:beforeLines="200" w:after="156" w:afterLines="50"/>
        <w:jc w:val="center"/>
        <w:outlineLvl w:val="0"/>
        <w:rPr>
          <w:color w:val="000000" w:themeColor="text1"/>
          <w14:textFill>
            <w14:solidFill>
              <w14:schemeClr w14:val="tx1"/>
            </w14:solidFill>
          </w14:textFill>
        </w:rPr>
      </w:pPr>
      <w:bookmarkStart w:id="100" w:name="_Toc28706909"/>
      <w:r>
        <w:rPr>
          <w:rFonts w:hint="eastAsia" w:ascii="黑体" w:hAnsi="黑体" w:eastAsia="黑体"/>
          <w:b/>
          <w:bCs/>
          <w:color w:val="000000" w:themeColor="text1"/>
          <w:sz w:val="28"/>
          <w:szCs w:val="28"/>
          <w14:textFill>
            <w14:solidFill>
              <w14:schemeClr w14:val="tx1"/>
            </w14:solidFill>
          </w14:textFill>
        </w:rPr>
        <w:t>附录A</w:t>
      </w:r>
      <w:r>
        <w:rPr>
          <w:rFonts w:ascii="黑体" w:hAnsi="黑体" w:eastAsia="黑体"/>
          <w:b/>
          <w:bCs/>
          <w:color w:val="000000" w:themeColor="text1"/>
          <w:sz w:val="28"/>
          <w:szCs w:val="28"/>
          <w14:textFill>
            <w14:solidFill>
              <w14:schemeClr w14:val="tx1"/>
            </w14:solidFill>
          </w14:textFill>
        </w:rPr>
        <w:t xml:space="preserve"> </w:t>
      </w:r>
      <w:r>
        <w:rPr>
          <w:rFonts w:hint="eastAsia" w:ascii="黑体" w:hAnsi="黑体" w:eastAsia="黑体"/>
          <w:b/>
          <w:bCs/>
          <w:color w:val="000000" w:themeColor="text1"/>
          <w:sz w:val="28"/>
          <w:szCs w:val="28"/>
          <w14:textFill>
            <w14:solidFill>
              <w14:schemeClr w14:val="tx1"/>
            </w14:solidFill>
          </w14:textFill>
        </w:rPr>
        <w:t>甲壳柱、甲壳梁的组成</w:t>
      </w:r>
      <w:bookmarkEnd w:id="99"/>
      <w:bookmarkEnd w:id="100"/>
    </w:p>
    <w:p>
      <w:pPr>
        <w:spacing w:before="156" w:beforeLines="50" w:after="156" w:afterLines="50" w:line="400" w:lineRule="exact"/>
        <w:jc w:val="center"/>
        <w:outlineLvl w:val="1"/>
        <w:rPr>
          <w:rFonts w:ascii="黑体" w:hAnsi="黑体" w:eastAsia="黑体"/>
          <w:color w:val="000000" w:themeColor="text1"/>
          <w:szCs w:val="21"/>
          <w14:textFill>
            <w14:solidFill>
              <w14:schemeClr w14:val="tx1"/>
            </w14:solidFill>
          </w14:textFill>
        </w:rPr>
      </w:pPr>
      <w:bookmarkStart w:id="101" w:name="_Toc17116219"/>
      <w:bookmarkStart w:id="102" w:name="_Toc28706910"/>
      <w:bookmarkStart w:id="103" w:name="_Toc18493290"/>
      <w:r>
        <w:rPr>
          <w:rFonts w:ascii="黑体" w:hAnsi="黑体" w:eastAsia="黑体"/>
          <w:color w:val="000000" w:themeColor="text1"/>
          <w:szCs w:val="21"/>
          <w14:textFill>
            <w14:solidFill>
              <w14:schemeClr w14:val="tx1"/>
            </w14:solidFill>
          </w14:textFill>
        </w:rPr>
        <w:t xml:space="preserve">A.1 </w:t>
      </w:r>
      <w:r>
        <w:rPr>
          <w:rFonts w:hint="eastAsia" w:ascii="黑体" w:hAnsi="黑体" w:eastAsia="黑体"/>
          <w:color w:val="000000" w:themeColor="text1"/>
          <w:szCs w:val="21"/>
          <w14:textFill>
            <w14:solidFill>
              <w14:schemeClr w14:val="tx1"/>
            </w14:solidFill>
          </w14:textFill>
        </w:rPr>
        <w:t>甲壳柱</w:t>
      </w:r>
      <w:bookmarkEnd w:id="101"/>
      <w:bookmarkEnd w:id="102"/>
      <w:bookmarkEnd w:id="103"/>
    </w:p>
    <w:p>
      <w:pPr>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A.1.1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底层甲壳柱的零部件名称宜采用图</w:t>
      </w:r>
      <w:r>
        <w:rPr>
          <w:rFonts w:ascii="宋体" w:hAnsi="宋体"/>
          <w:color w:val="000000" w:themeColor="text1"/>
          <w:szCs w:val="21"/>
          <w14:textFill>
            <w14:solidFill>
              <w14:schemeClr w14:val="tx1"/>
            </w14:solidFill>
          </w14:textFill>
        </w:rPr>
        <w:t>A.1.1</w:t>
      </w:r>
      <w:r>
        <w:rPr>
          <w:rFonts w:hint="eastAsia" w:ascii="宋体" w:hAnsi="宋体"/>
          <w:color w:val="000000" w:themeColor="text1"/>
          <w:szCs w:val="21"/>
          <w14:textFill>
            <w14:solidFill>
              <w14:schemeClr w14:val="tx1"/>
            </w14:solidFill>
          </w14:textFill>
        </w:rPr>
        <w:t xml:space="preserve">所示。 </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379220" cy="2847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379220" cy="2847975"/>
                    </a:xfrm>
                    <a:prstGeom prst="rect">
                      <a:avLst/>
                    </a:prstGeom>
                    <a:noFill/>
                    <a:ln>
                      <a:noFill/>
                    </a:ln>
                  </pic:spPr>
                </pic:pic>
              </a:graphicData>
            </a:graphic>
          </wp:inline>
        </w:drawing>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A.1.1 </w:t>
      </w:r>
      <w:r>
        <w:rPr>
          <w:rFonts w:hint="eastAsia" w:ascii="宋体" w:hAnsi="宋体"/>
          <w:color w:val="000000" w:themeColor="text1"/>
          <w:sz w:val="18"/>
          <w:szCs w:val="18"/>
          <w14:textFill>
            <w14:solidFill>
              <w14:schemeClr w14:val="tx1"/>
            </w14:solidFill>
          </w14:textFill>
        </w:rPr>
        <w:t>底层甲壳柱的组成</w:t>
      </w:r>
    </w:p>
    <w:p>
      <w:pP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下柱连接板；2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定位螺栓孔；3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四角钢管端头板；4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过渡板；5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梁柱节点竖缀板；6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下翼缘连接板；7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承重板；8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十字拉板；9</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四角钢管；1</w:t>
      </w:r>
      <w:r>
        <w:rPr>
          <w:rFonts w:ascii="宋体" w:hAnsi="宋体"/>
          <w:color w:val="000000" w:themeColor="text1"/>
          <w:sz w:val="15"/>
          <w:szCs w:val="15"/>
          <w14:textFill>
            <w14:solidFill>
              <w14:schemeClr w14:val="tx1"/>
            </w14:solidFill>
          </w14:textFill>
        </w:rPr>
        <w:t>0——</w:t>
      </w:r>
      <w:r>
        <w:rPr>
          <w:rFonts w:hint="eastAsia" w:ascii="宋体" w:hAnsi="宋体"/>
          <w:color w:val="000000" w:themeColor="text1"/>
          <w:sz w:val="15"/>
          <w:szCs w:val="15"/>
          <w14:textFill>
            <w14:solidFill>
              <w14:schemeClr w14:val="tx1"/>
            </w14:solidFill>
          </w14:textFill>
        </w:rPr>
        <w:t>波纹侧板；1</w:t>
      </w:r>
      <w:r>
        <w:rPr>
          <w:rFonts w:ascii="宋体" w:hAnsi="宋体"/>
          <w:color w:val="000000" w:themeColor="text1"/>
          <w:sz w:val="15"/>
          <w:szCs w:val="15"/>
          <w14:textFill>
            <w14:solidFill>
              <w14:schemeClr w14:val="tx1"/>
            </w14:solidFill>
          </w14:textFill>
        </w:rPr>
        <w:t>1——</w:t>
      </w:r>
      <w:r>
        <w:rPr>
          <w:rFonts w:hint="eastAsia" w:ascii="宋体" w:hAnsi="宋体"/>
          <w:color w:val="000000" w:themeColor="text1"/>
          <w:sz w:val="15"/>
          <w:szCs w:val="15"/>
          <w14:textFill>
            <w14:solidFill>
              <w14:schemeClr w14:val="tx1"/>
            </w14:solidFill>
          </w14:textFill>
        </w:rPr>
        <w:t>检查孔；1</w:t>
      </w:r>
      <w:r>
        <w:rPr>
          <w:rFonts w:ascii="宋体" w:hAnsi="宋体"/>
          <w:color w:val="000000" w:themeColor="text1"/>
          <w:sz w:val="15"/>
          <w:szCs w:val="15"/>
          <w14:textFill>
            <w14:solidFill>
              <w14:schemeClr w14:val="tx1"/>
            </w14:solidFill>
          </w14:textFill>
        </w:rPr>
        <w:t>2——</w:t>
      </w:r>
      <w:r>
        <w:rPr>
          <w:rFonts w:hint="eastAsia" w:ascii="宋体" w:hAnsi="宋体"/>
          <w:color w:val="000000" w:themeColor="text1"/>
          <w:sz w:val="15"/>
          <w:szCs w:val="15"/>
          <w14:textFill>
            <w14:solidFill>
              <w14:schemeClr w14:val="tx1"/>
            </w14:solidFill>
          </w14:textFill>
        </w:rPr>
        <w:t>水平缀板；1</w:t>
      </w:r>
      <w:r>
        <w:rPr>
          <w:rFonts w:ascii="宋体" w:hAnsi="宋体"/>
          <w:color w:val="000000" w:themeColor="text1"/>
          <w:sz w:val="15"/>
          <w:szCs w:val="15"/>
          <w14:textFill>
            <w14:solidFill>
              <w14:schemeClr w14:val="tx1"/>
            </w14:solidFill>
          </w14:textFill>
        </w:rPr>
        <w:t>3——</w:t>
      </w:r>
      <w:r>
        <w:rPr>
          <w:rFonts w:hint="eastAsia" w:ascii="宋体" w:hAnsi="宋体"/>
          <w:color w:val="000000" w:themeColor="text1"/>
          <w:sz w:val="15"/>
          <w:szCs w:val="15"/>
          <w14:textFill>
            <w14:solidFill>
              <w14:schemeClr w14:val="tx1"/>
            </w14:solidFill>
          </w14:textFill>
        </w:rPr>
        <w:t>栓钉；1</w:t>
      </w:r>
      <w:r>
        <w:rPr>
          <w:rFonts w:ascii="宋体" w:hAnsi="宋体"/>
          <w:color w:val="000000" w:themeColor="text1"/>
          <w:sz w:val="15"/>
          <w:szCs w:val="15"/>
          <w14:textFill>
            <w14:solidFill>
              <w14:schemeClr w14:val="tx1"/>
            </w14:solidFill>
          </w14:textFill>
        </w:rPr>
        <w:t>4——</w:t>
      </w:r>
      <w:r>
        <w:rPr>
          <w:rFonts w:hint="eastAsia" w:ascii="宋体" w:hAnsi="宋体"/>
          <w:color w:val="000000" w:themeColor="text1"/>
          <w:sz w:val="15"/>
          <w:szCs w:val="15"/>
          <w14:textFill>
            <w14:solidFill>
              <w14:schemeClr w14:val="tx1"/>
            </w14:solidFill>
          </w14:textFill>
        </w:rPr>
        <w:t>脚底板；1</w:t>
      </w:r>
      <w:r>
        <w:rPr>
          <w:rFonts w:ascii="宋体" w:hAnsi="宋体"/>
          <w:color w:val="000000" w:themeColor="text1"/>
          <w:sz w:val="15"/>
          <w:szCs w:val="15"/>
          <w14:textFill>
            <w14:solidFill>
              <w14:schemeClr w14:val="tx1"/>
            </w14:solidFill>
          </w14:textFill>
        </w:rPr>
        <w:t>5——</w:t>
      </w:r>
      <w:r>
        <w:rPr>
          <w:rFonts w:hint="eastAsia" w:ascii="宋体" w:hAnsi="宋体"/>
          <w:color w:val="000000" w:themeColor="text1"/>
          <w:sz w:val="15"/>
          <w:szCs w:val="15"/>
          <w14:textFill>
            <w14:solidFill>
              <w14:schemeClr w14:val="tx1"/>
            </w14:solidFill>
          </w14:textFill>
        </w:rPr>
        <w:t>地脚锚栓</w:t>
      </w:r>
    </w:p>
    <w:p>
      <w:pPr>
        <w:rPr>
          <w:rFonts w:ascii="宋体" w:hAnsi="宋体"/>
          <w:color w:val="000000" w:themeColor="text1"/>
          <w:szCs w:val="21"/>
          <w14:textFill>
            <w14:solidFill>
              <w14:schemeClr w14:val="tx1"/>
            </w14:solidFill>
          </w14:textFill>
        </w:rPr>
      </w:pPr>
      <w:r>
        <w:rPr>
          <w:rFonts w:ascii="宋体" w:hAnsi="宋体"/>
          <w:color w:val="000000" w:themeColor="text1"/>
          <w:sz w:val="15"/>
          <w:szCs w:val="15"/>
          <w14:textFill>
            <w14:solidFill>
              <w14:schemeClr w14:val="tx1"/>
            </w14:solidFill>
          </w14:textFill>
        </w:rPr>
        <w:br w:type="page"/>
      </w:r>
      <w:r>
        <w:rPr>
          <w:rFonts w:ascii="黑体" w:hAnsi="黑体" w:eastAsia="黑体"/>
          <w:color w:val="000000" w:themeColor="text1"/>
          <w:szCs w:val="21"/>
          <w14:textFill>
            <w14:solidFill>
              <w14:schemeClr w14:val="tx1"/>
            </w14:solidFill>
          </w14:textFill>
        </w:rPr>
        <w:t>A.1.2</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中间层甲壳柱的零部件名称宜采用图</w:t>
      </w:r>
      <w:r>
        <w:rPr>
          <w:rFonts w:ascii="宋体" w:hAnsi="宋体"/>
          <w:color w:val="000000" w:themeColor="text1"/>
          <w:szCs w:val="21"/>
          <w14:textFill>
            <w14:solidFill>
              <w14:schemeClr w14:val="tx1"/>
            </w14:solidFill>
          </w14:textFill>
        </w:rPr>
        <w:t>A.1.2</w:t>
      </w:r>
      <w:r>
        <w:rPr>
          <w:rFonts w:hint="eastAsia" w:ascii="宋体" w:hAnsi="宋体"/>
          <w:color w:val="000000" w:themeColor="text1"/>
          <w:szCs w:val="21"/>
          <w14:textFill>
            <w14:solidFill>
              <w14:schemeClr w14:val="tx1"/>
            </w14:solidFill>
          </w14:textFill>
        </w:rPr>
        <w:t xml:space="preserve">所示。 </w:t>
      </w:r>
    </w:p>
    <w:p>
      <w:pPr>
        <w:spacing w:line="360"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1581150" cy="3679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81150" cy="3679825"/>
                    </a:xfrm>
                    <a:prstGeom prst="rect">
                      <a:avLst/>
                    </a:prstGeom>
                    <a:noFill/>
                    <a:ln>
                      <a:noFill/>
                    </a:ln>
                  </pic:spPr>
                </pic:pic>
              </a:graphicData>
            </a:graphic>
          </wp:inline>
        </w:drawing>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A.1.2 </w:t>
      </w:r>
      <w:r>
        <w:rPr>
          <w:rFonts w:hint="eastAsia" w:ascii="宋体" w:hAnsi="宋体"/>
          <w:color w:val="000000" w:themeColor="text1"/>
          <w:sz w:val="18"/>
          <w:szCs w:val="18"/>
          <w14:textFill>
            <w14:solidFill>
              <w14:schemeClr w14:val="tx1"/>
            </w14:solidFill>
          </w14:textFill>
        </w:rPr>
        <w:t>中间层甲壳柱的组成</w:t>
      </w:r>
    </w:p>
    <w:p>
      <w:pP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下柱连接板；2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定位螺栓孔；3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四角钢管端头板；4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过渡板；5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梁柱节点竖缀板；6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下翼缘连接板；7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承重板；8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十字拉板；9</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四角钢管；1</w:t>
      </w:r>
      <w:r>
        <w:rPr>
          <w:rFonts w:ascii="宋体" w:hAnsi="宋体"/>
          <w:color w:val="000000" w:themeColor="text1"/>
          <w:sz w:val="15"/>
          <w:szCs w:val="15"/>
          <w14:textFill>
            <w14:solidFill>
              <w14:schemeClr w14:val="tx1"/>
            </w14:solidFill>
          </w14:textFill>
        </w:rPr>
        <w:t>0——</w:t>
      </w:r>
      <w:r>
        <w:rPr>
          <w:rFonts w:hint="eastAsia" w:ascii="宋体" w:hAnsi="宋体"/>
          <w:color w:val="000000" w:themeColor="text1"/>
          <w:sz w:val="15"/>
          <w:szCs w:val="15"/>
          <w14:textFill>
            <w14:solidFill>
              <w14:schemeClr w14:val="tx1"/>
            </w14:solidFill>
          </w14:textFill>
        </w:rPr>
        <w:t>波纹侧板；1</w:t>
      </w:r>
      <w:r>
        <w:rPr>
          <w:rFonts w:ascii="宋体" w:hAnsi="宋体"/>
          <w:color w:val="000000" w:themeColor="text1"/>
          <w:sz w:val="15"/>
          <w:szCs w:val="15"/>
          <w14:textFill>
            <w14:solidFill>
              <w14:schemeClr w14:val="tx1"/>
            </w14:solidFill>
          </w14:textFill>
        </w:rPr>
        <w:t>1——</w:t>
      </w:r>
      <w:r>
        <w:rPr>
          <w:rFonts w:hint="eastAsia" w:ascii="宋体" w:hAnsi="宋体"/>
          <w:color w:val="000000" w:themeColor="text1"/>
          <w:sz w:val="15"/>
          <w:szCs w:val="15"/>
          <w14:textFill>
            <w14:solidFill>
              <w14:schemeClr w14:val="tx1"/>
            </w14:solidFill>
          </w14:textFill>
        </w:rPr>
        <w:t>上柱连接板；1</w:t>
      </w:r>
      <w:r>
        <w:rPr>
          <w:rFonts w:ascii="宋体" w:hAnsi="宋体"/>
          <w:color w:val="000000" w:themeColor="text1"/>
          <w:sz w:val="15"/>
          <w:szCs w:val="15"/>
          <w14:textFill>
            <w14:solidFill>
              <w14:schemeClr w14:val="tx1"/>
            </w14:solidFill>
          </w14:textFill>
        </w:rPr>
        <w:t>2——</w:t>
      </w:r>
      <w:r>
        <w:rPr>
          <w:rFonts w:hint="eastAsia" w:ascii="宋体" w:hAnsi="宋体"/>
          <w:color w:val="000000" w:themeColor="text1"/>
          <w:sz w:val="15"/>
          <w:szCs w:val="15"/>
          <w14:textFill>
            <w14:solidFill>
              <w14:schemeClr w14:val="tx1"/>
            </w14:solidFill>
          </w14:textFill>
        </w:rPr>
        <w:t xml:space="preserve">检查孔； </w:t>
      </w:r>
    </w:p>
    <w:p>
      <w:pPr>
        <w:rPr>
          <w:rFonts w:ascii="宋体" w:hAnsi="宋体"/>
          <w:color w:val="000000" w:themeColor="text1"/>
          <w:szCs w:val="21"/>
          <w14:textFill>
            <w14:solidFill>
              <w14:schemeClr w14:val="tx1"/>
            </w14:solidFill>
          </w14:textFill>
        </w:rPr>
      </w:pPr>
      <w:r>
        <w:rPr>
          <w:rFonts w:ascii="宋体" w:hAnsi="宋体"/>
          <w:color w:val="000000" w:themeColor="text1"/>
          <w:sz w:val="15"/>
          <w:szCs w:val="15"/>
          <w14:textFill>
            <w14:solidFill>
              <w14:schemeClr w14:val="tx1"/>
            </w14:solidFill>
          </w14:textFill>
        </w:rPr>
        <w:br w:type="page"/>
      </w:r>
      <w:r>
        <w:rPr>
          <w:rFonts w:ascii="黑体" w:hAnsi="黑体" w:eastAsia="黑体"/>
          <w:color w:val="000000" w:themeColor="text1"/>
          <w:szCs w:val="21"/>
          <w14:textFill>
            <w14:solidFill>
              <w14:schemeClr w14:val="tx1"/>
            </w14:solidFill>
          </w14:textFill>
        </w:rPr>
        <w:t>A.1.3</w:t>
      </w:r>
      <w:r>
        <w:rPr>
          <w:rFonts w:hint="eastAsia" w:ascii="宋体" w:hAnsi="宋体"/>
          <w:color w:val="000000" w:themeColor="text1"/>
          <w:szCs w:val="21"/>
          <w14:textFill>
            <w14:solidFill>
              <w14:schemeClr w14:val="tx1"/>
            </w14:solidFill>
          </w14:textFill>
        </w:rPr>
        <w:t>与钢梁连接的甲壳柱的零部件名称宜采用图</w:t>
      </w:r>
      <w:r>
        <w:rPr>
          <w:rFonts w:ascii="宋体" w:hAnsi="宋体"/>
          <w:color w:val="000000" w:themeColor="text1"/>
          <w:szCs w:val="21"/>
          <w14:textFill>
            <w14:solidFill>
              <w14:schemeClr w14:val="tx1"/>
            </w14:solidFill>
          </w14:textFill>
        </w:rPr>
        <w:t>A.1.3</w:t>
      </w:r>
      <w:r>
        <w:rPr>
          <w:rFonts w:hint="eastAsia" w:ascii="宋体" w:hAnsi="宋体"/>
          <w:color w:val="000000" w:themeColor="text1"/>
          <w:szCs w:val="21"/>
          <w14:textFill>
            <w14:solidFill>
              <w14:schemeClr w14:val="tx1"/>
            </w14:solidFill>
          </w14:textFill>
        </w:rPr>
        <w:t>所示。</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588770" cy="3350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88770" cy="3350260"/>
                    </a:xfrm>
                    <a:prstGeom prst="rect">
                      <a:avLst/>
                    </a:prstGeom>
                    <a:noFill/>
                    <a:ln>
                      <a:noFill/>
                    </a:ln>
                    <a:effectLst/>
                  </pic:spPr>
                </pic:pic>
              </a:graphicData>
            </a:graphic>
          </wp:inline>
        </w:drawing>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A.1.3 </w:t>
      </w:r>
      <w:r>
        <w:rPr>
          <w:rFonts w:hint="eastAsia" w:ascii="宋体" w:hAnsi="宋体"/>
          <w:color w:val="000000" w:themeColor="text1"/>
          <w:sz w:val="18"/>
          <w:szCs w:val="18"/>
          <w14:textFill>
            <w14:solidFill>
              <w14:schemeClr w14:val="tx1"/>
            </w14:solidFill>
          </w14:textFill>
        </w:rPr>
        <w:t>与钢梁连接的甲壳柱的组成</w:t>
      </w:r>
    </w:p>
    <w:p>
      <w:pP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下柱连接板；2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定位螺栓孔；3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四角钢管端头板；4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过渡板；5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节点横隔板；6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预留洞口；7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钢梁连接板；8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螺栓孔；9</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节点侧板；1</w:t>
      </w:r>
      <w:r>
        <w:rPr>
          <w:rFonts w:ascii="宋体" w:hAnsi="宋体"/>
          <w:color w:val="000000" w:themeColor="text1"/>
          <w:sz w:val="15"/>
          <w:szCs w:val="15"/>
          <w14:textFill>
            <w14:solidFill>
              <w14:schemeClr w14:val="tx1"/>
            </w14:solidFill>
          </w14:textFill>
        </w:rPr>
        <w:t>0——</w:t>
      </w:r>
      <w:r>
        <w:rPr>
          <w:rFonts w:hint="eastAsia" w:ascii="宋体" w:hAnsi="宋体"/>
          <w:color w:val="000000" w:themeColor="text1"/>
          <w:sz w:val="15"/>
          <w:szCs w:val="15"/>
          <w14:textFill>
            <w14:solidFill>
              <w14:schemeClr w14:val="tx1"/>
            </w14:solidFill>
          </w14:textFill>
        </w:rPr>
        <w:t>十字拉板；1</w:t>
      </w:r>
      <w:r>
        <w:rPr>
          <w:rFonts w:ascii="宋体" w:hAnsi="宋体"/>
          <w:color w:val="000000" w:themeColor="text1"/>
          <w:sz w:val="15"/>
          <w:szCs w:val="15"/>
          <w14:textFill>
            <w14:solidFill>
              <w14:schemeClr w14:val="tx1"/>
            </w14:solidFill>
          </w14:textFill>
        </w:rPr>
        <w:t>1——</w:t>
      </w:r>
      <w:r>
        <w:rPr>
          <w:rFonts w:hint="eastAsia" w:ascii="宋体" w:hAnsi="宋体"/>
          <w:color w:val="000000" w:themeColor="text1"/>
          <w:sz w:val="15"/>
          <w:szCs w:val="15"/>
          <w14:textFill>
            <w14:solidFill>
              <w14:schemeClr w14:val="tx1"/>
            </w14:solidFill>
          </w14:textFill>
        </w:rPr>
        <w:t>四角钢管；1</w:t>
      </w:r>
      <w:r>
        <w:rPr>
          <w:rFonts w:ascii="宋体" w:hAnsi="宋体"/>
          <w:color w:val="000000" w:themeColor="text1"/>
          <w:sz w:val="15"/>
          <w:szCs w:val="15"/>
          <w14:textFill>
            <w14:solidFill>
              <w14:schemeClr w14:val="tx1"/>
            </w14:solidFill>
          </w14:textFill>
        </w:rPr>
        <w:t>2——</w:t>
      </w:r>
      <w:r>
        <w:rPr>
          <w:rFonts w:hint="eastAsia" w:ascii="宋体" w:hAnsi="宋体"/>
          <w:color w:val="000000" w:themeColor="text1"/>
          <w:sz w:val="15"/>
          <w:szCs w:val="15"/>
          <w14:textFill>
            <w14:solidFill>
              <w14:schemeClr w14:val="tx1"/>
            </w14:solidFill>
          </w14:textFill>
        </w:rPr>
        <w:t>波纹侧板；1</w:t>
      </w:r>
      <w:r>
        <w:rPr>
          <w:rFonts w:ascii="宋体" w:hAnsi="宋体"/>
          <w:color w:val="000000" w:themeColor="text1"/>
          <w:sz w:val="15"/>
          <w:szCs w:val="15"/>
          <w14:textFill>
            <w14:solidFill>
              <w14:schemeClr w14:val="tx1"/>
            </w14:solidFill>
          </w14:textFill>
        </w:rPr>
        <w:t>3——</w:t>
      </w:r>
      <w:r>
        <w:rPr>
          <w:rFonts w:hint="eastAsia" w:ascii="宋体" w:hAnsi="宋体"/>
          <w:color w:val="000000" w:themeColor="text1"/>
          <w:sz w:val="15"/>
          <w:szCs w:val="15"/>
          <w14:textFill>
            <w14:solidFill>
              <w14:schemeClr w14:val="tx1"/>
            </w14:solidFill>
          </w14:textFill>
        </w:rPr>
        <w:t>上柱连接板；1</w:t>
      </w:r>
      <w:r>
        <w:rPr>
          <w:rFonts w:ascii="宋体" w:hAnsi="宋体"/>
          <w:color w:val="000000" w:themeColor="text1"/>
          <w:sz w:val="15"/>
          <w:szCs w:val="15"/>
          <w14:textFill>
            <w14:solidFill>
              <w14:schemeClr w14:val="tx1"/>
            </w14:solidFill>
          </w14:textFill>
        </w:rPr>
        <w:t>4——</w:t>
      </w:r>
      <w:r>
        <w:rPr>
          <w:rFonts w:hint="eastAsia" w:ascii="宋体" w:hAnsi="宋体"/>
          <w:color w:val="000000" w:themeColor="text1"/>
          <w:sz w:val="15"/>
          <w:szCs w:val="15"/>
          <w14:textFill>
            <w14:solidFill>
              <w14:schemeClr w14:val="tx1"/>
            </w14:solidFill>
          </w14:textFill>
        </w:rPr>
        <w:t>检查孔。</w:t>
      </w:r>
    </w:p>
    <w:p>
      <w:pP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p>
    <w:p>
      <w:pPr>
        <w:spacing w:before="156" w:beforeLines="50" w:after="156" w:afterLines="50" w:line="400" w:lineRule="exact"/>
        <w:jc w:val="center"/>
        <w:outlineLvl w:val="1"/>
        <w:rPr>
          <w:rFonts w:ascii="黑体" w:hAnsi="黑体" w:eastAsia="黑体"/>
          <w:color w:val="000000" w:themeColor="text1"/>
          <w:szCs w:val="21"/>
          <w14:textFill>
            <w14:solidFill>
              <w14:schemeClr w14:val="tx1"/>
            </w14:solidFill>
          </w14:textFill>
        </w:rPr>
      </w:pPr>
      <w:bookmarkStart w:id="104" w:name="_Toc28706911"/>
      <w:bookmarkStart w:id="105" w:name="_Toc18493291"/>
      <w:r>
        <w:rPr>
          <w:rFonts w:ascii="黑体" w:hAnsi="黑体" w:eastAsia="黑体"/>
          <w:color w:val="000000" w:themeColor="text1"/>
          <w:szCs w:val="21"/>
          <w14:textFill>
            <w14:solidFill>
              <w14:schemeClr w14:val="tx1"/>
            </w14:solidFill>
          </w14:textFill>
        </w:rPr>
        <w:t xml:space="preserve">A.2 </w:t>
      </w:r>
      <w:r>
        <w:rPr>
          <w:rFonts w:hint="eastAsia" w:ascii="黑体" w:hAnsi="黑体" w:eastAsia="黑体"/>
          <w:color w:val="000000" w:themeColor="text1"/>
          <w:szCs w:val="21"/>
          <w14:textFill>
            <w14:solidFill>
              <w14:schemeClr w14:val="tx1"/>
            </w14:solidFill>
          </w14:textFill>
        </w:rPr>
        <w:t>甲壳梁</w:t>
      </w:r>
      <w:bookmarkEnd w:id="104"/>
      <w:bookmarkEnd w:id="105"/>
    </w:p>
    <w:p>
      <w:pPr>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A.2.1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甲壳梁的零部件名称宜采用图</w:t>
      </w:r>
      <w:r>
        <w:rPr>
          <w:rFonts w:ascii="宋体" w:hAnsi="宋体"/>
          <w:color w:val="000000" w:themeColor="text1"/>
          <w:szCs w:val="21"/>
          <w14:textFill>
            <w14:solidFill>
              <w14:schemeClr w14:val="tx1"/>
            </w14:solidFill>
          </w14:textFill>
        </w:rPr>
        <w:t>A.</w:t>
      </w:r>
      <w:r>
        <w:rPr>
          <w:rFonts w:hint="eastAsia" w:ascii="宋体" w:hAnsi="宋体"/>
          <w:color w:val="000000" w:themeColor="text1"/>
          <w:szCs w:val="21"/>
          <w:lang w:val="en-US" w:eastAsia="zh-CN"/>
          <w14:textFill>
            <w14:solidFill>
              <w14:schemeClr w14:val="tx1"/>
            </w14:solidFill>
          </w14:textFill>
        </w:rPr>
        <w:t>2.1</w:t>
      </w:r>
      <w:r>
        <w:rPr>
          <w:rFonts w:hint="eastAsia" w:ascii="宋体" w:hAnsi="宋体"/>
          <w:color w:val="000000" w:themeColor="text1"/>
          <w:szCs w:val="21"/>
          <w14:textFill>
            <w14:solidFill>
              <w14:schemeClr w14:val="tx1"/>
            </w14:solidFill>
          </w14:textFill>
        </w:rPr>
        <w:t>所示。</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780665" cy="1401445"/>
            <wp:effectExtent l="0" t="0" r="63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80665" cy="1401445"/>
                    </a:xfrm>
                    <a:prstGeom prst="rect">
                      <a:avLst/>
                    </a:prstGeom>
                    <a:noFill/>
                    <a:ln>
                      <a:noFill/>
                    </a:ln>
                  </pic:spPr>
                </pic:pic>
              </a:graphicData>
            </a:graphic>
          </wp:inline>
        </w:drawing>
      </w:r>
    </w:p>
    <w:p>
      <w:pPr>
        <w:jc w:val="center"/>
        <w:rPr>
          <w:rFonts w:ascii="宋体" w:hAnsi="宋体"/>
          <w:b/>
          <w:bCs/>
          <w:color w:val="000000" w:themeColor="text1"/>
          <w:szCs w:val="21"/>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A.2.1 </w:t>
      </w:r>
      <w:r>
        <w:rPr>
          <w:rFonts w:hint="eastAsia" w:ascii="宋体" w:hAnsi="宋体"/>
          <w:color w:val="000000" w:themeColor="text1"/>
          <w:sz w:val="18"/>
          <w:szCs w:val="18"/>
          <w14:textFill>
            <w14:solidFill>
              <w14:schemeClr w14:val="tx1"/>
            </w14:solidFill>
          </w14:textFill>
        </w:rPr>
        <w:t>甲壳梁的组成</w:t>
      </w:r>
    </w:p>
    <w:p>
      <w:pP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栓钉；2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钢次梁连接板；3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螺栓孔；4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上翼缘；5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下翼缘；6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上翼缘拉结板；7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波纹腹板；8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下翼缘焊接手孔；9</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直腹板。</w:t>
      </w:r>
      <w:bookmarkStart w:id="106" w:name="_Toc18493292"/>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spacing w:before="156" w:beforeLines="50" w:after="156" w:afterLines="50" w:line="400" w:lineRule="exact"/>
        <w:jc w:val="center"/>
        <w:outlineLvl w:val="1"/>
        <w:rPr>
          <w:rFonts w:ascii="黑体" w:hAnsi="黑体" w:eastAsia="黑体"/>
          <w:color w:val="000000" w:themeColor="text1"/>
          <w:szCs w:val="21"/>
          <w14:textFill>
            <w14:solidFill>
              <w14:schemeClr w14:val="tx1"/>
            </w14:solidFill>
          </w14:textFill>
        </w:rPr>
      </w:pPr>
      <w:bookmarkStart w:id="107" w:name="_Toc28706912"/>
      <w:r>
        <w:rPr>
          <w:rFonts w:ascii="黑体" w:hAnsi="黑体" w:eastAsia="黑体"/>
          <w:color w:val="000000" w:themeColor="text1"/>
          <w:szCs w:val="21"/>
          <w14:textFill>
            <w14:solidFill>
              <w14:schemeClr w14:val="tx1"/>
            </w14:solidFill>
          </w14:textFill>
        </w:rPr>
        <w:t xml:space="preserve">A.3 </w:t>
      </w:r>
      <w:r>
        <w:rPr>
          <w:rFonts w:hint="eastAsia" w:ascii="黑体" w:hAnsi="黑体" w:eastAsia="黑体"/>
          <w:color w:val="000000" w:themeColor="text1"/>
          <w:szCs w:val="21"/>
          <w14:textFill>
            <w14:solidFill>
              <w14:schemeClr w14:val="tx1"/>
            </w14:solidFill>
          </w14:textFill>
        </w:rPr>
        <w:t>节点</w:t>
      </w:r>
      <w:bookmarkEnd w:id="106"/>
      <w:bookmarkEnd w:id="107"/>
    </w:p>
    <w:p>
      <w:pPr>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A.3.1</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甲壳梁与甲壳柱连接节点的零部件名称宜采用图</w:t>
      </w:r>
      <w:r>
        <w:rPr>
          <w:rFonts w:ascii="宋体" w:hAnsi="宋体"/>
          <w:color w:val="000000" w:themeColor="text1"/>
          <w:szCs w:val="21"/>
          <w14:textFill>
            <w14:solidFill>
              <w14:schemeClr w14:val="tx1"/>
            </w14:solidFill>
          </w14:textFill>
        </w:rPr>
        <w:t>A.3.1</w:t>
      </w:r>
      <w:r>
        <w:rPr>
          <w:rFonts w:hint="eastAsia" w:ascii="宋体" w:hAnsi="宋体"/>
          <w:color w:val="000000" w:themeColor="text1"/>
          <w:szCs w:val="21"/>
          <w14:textFill>
            <w14:solidFill>
              <w14:schemeClr w14:val="tx1"/>
            </w14:solidFill>
          </w14:textFill>
        </w:rPr>
        <w:t>所示。</w:t>
      </w:r>
    </w:p>
    <w:p>
      <w:pPr>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2256155" cy="2293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256155" cy="2293620"/>
                    </a:xfrm>
                    <a:prstGeom prst="rect">
                      <a:avLst/>
                    </a:prstGeom>
                    <a:noFill/>
                    <a:ln>
                      <a:noFill/>
                    </a:ln>
                  </pic:spPr>
                </pic:pic>
              </a:graphicData>
            </a:graphic>
          </wp:inline>
        </w:drawing>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A.3.1 </w:t>
      </w:r>
      <w:r>
        <w:rPr>
          <w:rFonts w:hint="eastAsia" w:ascii="宋体" w:hAnsi="宋体"/>
          <w:color w:val="000000" w:themeColor="text1"/>
          <w:sz w:val="18"/>
          <w:szCs w:val="18"/>
          <w14:textFill>
            <w14:solidFill>
              <w14:schemeClr w14:val="tx1"/>
            </w14:solidFill>
          </w14:textFill>
        </w:rPr>
        <w:t>甲壳梁柱节点的组成</w:t>
      </w:r>
    </w:p>
    <w:p>
      <w:pP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上柱；2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检查孔后封板；3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定位螺栓；4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梁支座附加钢筋；5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上翼缘连接板；6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甲壳梁手孔封板；7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节点封堵板；8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下柱。</w:t>
      </w: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 w:val="15"/>
          <w:szCs w:val="15"/>
          <w14:textFill>
            <w14:solidFill>
              <w14:schemeClr w14:val="tx1"/>
            </w14:solidFill>
          </w14:textFill>
        </w:rPr>
      </w:pPr>
    </w:p>
    <w:p>
      <w:pPr>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A.3.2</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甲壳柱与钢梁连接节点的零部件名称宜采用图</w:t>
      </w:r>
      <w:r>
        <w:rPr>
          <w:rFonts w:ascii="宋体" w:hAnsi="宋体"/>
          <w:color w:val="000000" w:themeColor="text1"/>
          <w:szCs w:val="21"/>
          <w14:textFill>
            <w14:solidFill>
              <w14:schemeClr w14:val="tx1"/>
            </w14:solidFill>
          </w14:textFill>
        </w:rPr>
        <w:t>A.3.2</w:t>
      </w:r>
      <w:r>
        <w:rPr>
          <w:rFonts w:hint="eastAsia" w:ascii="宋体" w:hAnsi="宋体"/>
          <w:color w:val="000000" w:themeColor="text1"/>
          <w:szCs w:val="21"/>
          <w14:textFill>
            <w14:solidFill>
              <w14:schemeClr w14:val="tx1"/>
            </w14:solidFill>
          </w14:textFill>
        </w:rPr>
        <w:t>所示。</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23490" cy="2940685"/>
            <wp:effectExtent l="0" t="0" r="0" b="0"/>
            <wp:docPr id="630" name="图片 630"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wp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523490" cy="2940685"/>
                    </a:xfrm>
                    <a:prstGeom prst="rect">
                      <a:avLst/>
                    </a:prstGeom>
                    <a:noFill/>
                    <a:ln>
                      <a:noFill/>
                    </a:ln>
                  </pic:spPr>
                </pic:pic>
              </a:graphicData>
            </a:graphic>
          </wp:inline>
        </w:drawing>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A.3.2 </w:t>
      </w:r>
      <w:r>
        <w:rPr>
          <w:rFonts w:hint="eastAsia" w:ascii="宋体" w:hAnsi="宋体"/>
          <w:color w:val="000000" w:themeColor="text1"/>
          <w:sz w:val="18"/>
          <w:szCs w:val="18"/>
          <w14:textFill>
            <w14:solidFill>
              <w14:schemeClr w14:val="tx1"/>
            </w14:solidFill>
          </w14:textFill>
        </w:rPr>
        <w:t>甲壳柱与钢梁连接节点的组成</w:t>
      </w:r>
    </w:p>
    <w:p>
      <w:pPr>
        <w:spacing w:before="156" w:beforeLines="50" w:after="156" w:afterLines="50" w:line="400" w:lineRule="exact"/>
        <w:jc w:val="center"/>
        <w:rPr>
          <w:rFonts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上柱；2</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预留洞口；3</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检查孔后封板；4</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甲壳柱定位螺栓；5</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节点横隔板；6</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钢梁；7</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钢梁连接板；8</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螺栓；9</w:t>
      </w:r>
      <w:r>
        <w:rPr>
          <w:rFonts w:ascii="宋体" w:hAnsi="宋体"/>
          <w:color w:val="000000" w:themeColor="text1"/>
          <w:sz w:val="15"/>
          <w:szCs w:val="15"/>
          <w14:textFill>
            <w14:solidFill>
              <w14:schemeClr w14:val="tx1"/>
            </w14:solidFill>
          </w14:textFill>
        </w:rPr>
        <w:t>——</w:t>
      </w:r>
      <w:r>
        <w:rPr>
          <w:rFonts w:hint="eastAsia" w:ascii="宋体" w:hAnsi="宋体"/>
          <w:color w:val="000000" w:themeColor="text1"/>
          <w:sz w:val="15"/>
          <w:szCs w:val="15"/>
          <w14:textFill>
            <w14:solidFill>
              <w14:schemeClr w14:val="tx1"/>
            </w14:solidFill>
          </w14:textFill>
        </w:rPr>
        <w:t>节点侧板；1</w:t>
      </w:r>
      <w:r>
        <w:rPr>
          <w:rFonts w:ascii="宋体" w:hAnsi="宋体"/>
          <w:color w:val="000000" w:themeColor="text1"/>
          <w:sz w:val="15"/>
          <w:szCs w:val="15"/>
          <w14:textFill>
            <w14:solidFill>
              <w14:schemeClr w14:val="tx1"/>
            </w14:solidFill>
          </w14:textFill>
        </w:rPr>
        <w:t>0——</w:t>
      </w:r>
      <w:r>
        <w:rPr>
          <w:rFonts w:hint="eastAsia" w:ascii="宋体" w:hAnsi="宋体"/>
          <w:color w:val="000000" w:themeColor="text1"/>
          <w:sz w:val="15"/>
          <w:szCs w:val="15"/>
          <w14:textFill>
            <w14:solidFill>
              <w14:schemeClr w14:val="tx1"/>
            </w14:solidFill>
          </w14:textFill>
        </w:rPr>
        <w:t>下柱。</w:t>
      </w:r>
    </w:p>
    <w:p>
      <w:pPr>
        <w:widowControl/>
        <w:jc w:val="left"/>
        <w:rPr>
          <w:rFonts w:ascii="宋体" w:hAnsi="宋体"/>
          <w:color w:val="000000" w:themeColor="text1"/>
          <w:sz w:val="15"/>
          <w:szCs w:val="15"/>
          <w14:textFill>
            <w14:solidFill>
              <w14:schemeClr w14:val="tx1"/>
            </w14:solidFill>
          </w14:textFill>
        </w:rPr>
      </w:pPr>
      <w:r>
        <w:rPr>
          <w:rFonts w:ascii="宋体" w:hAnsi="宋体"/>
          <w:color w:val="000000" w:themeColor="text1"/>
          <w:sz w:val="15"/>
          <w:szCs w:val="15"/>
          <w14:textFill>
            <w14:solidFill>
              <w14:schemeClr w14:val="tx1"/>
            </w14:solidFill>
          </w14:textFill>
        </w:rPr>
        <w:br w:type="page"/>
      </w:r>
    </w:p>
    <w:p>
      <w:pPr>
        <w:spacing w:before="156" w:beforeLines="50" w:after="156" w:afterLines="50" w:line="400" w:lineRule="exact"/>
        <w:jc w:val="center"/>
        <w:outlineLvl w:val="1"/>
        <w:rPr>
          <w:rFonts w:ascii="黑体" w:hAnsi="黑体" w:eastAsia="黑体"/>
          <w:color w:val="000000" w:themeColor="text1"/>
          <w:szCs w:val="21"/>
          <w14:textFill>
            <w14:solidFill>
              <w14:schemeClr w14:val="tx1"/>
            </w14:solidFill>
          </w14:textFill>
        </w:rPr>
      </w:pPr>
      <w:bookmarkStart w:id="108" w:name="_Toc28706913"/>
      <w:r>
        <w:rPr>
          <w:rFonts w:ascii="黑体" w:hAnsi="黑体" w:eastAsia="黑体"/>
          <w:color w:val="000000" w:themeColor="text1"/>
          <w:szCs w:val="21"/>
          <w14:textFill>
            <w14:solidFill>
              <w14:schemeClr w14:val="tx1"/>
            </w14:solidFill>
          </w14:textFill>
        </w:rPr>
        <w:t xml:space="preserve">A.4 </w:t>
      </w:r>
      <w:r>
        <w:rPr>
          <w:rFonts w:hint="eastAsia" w:ascii="黑体" w:hAnsi="黑体" w:eastAsia="黑体"/>
          <w:color w:val="000000" w:themeColor="text1"/>
          <w:szCs w:val="21"/>
          <w14:textFill>
            <w14:solidFill>
              <w14:schemeClr w14:val="tx1"/>
            </w14:solidFill>
          </w14:textFill>
        </w:rPr>
        <w:t>优端梁</w:t>
      </w:r>
      <w:bookmarkEnd w:id="108"/>
    </w:p>
    <w:p>
      <w:pPr>
        <w:rPr>
          <w:rFonts w:ascii="宋体"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A.4.1 </w:t>
      </w:r>
      <w:r>
        <w:rPr>
          <w:rFonts w:hint="eastAsia" w:ascii="宋体" w:hAnsi="宋体"/>
          <w:color w:val="000000" w:themeColor="text1"/>
          <w:szCs w:val="21"/>
          <w14:textFill>
            <w14:solidFill>
              <w14:schemeClr w14:val="tx1"/>
            </w14:solidFill>
          </w14:textFill>
        </w:rPr>
        <w:t>优端梁的零部件名称宜采用图</w:t>
      </w:r>
      <w:r>
        <w:rPr>
          <w:rFonts w:ascii="宋体" w:hAnsi="宋体"/>
          <w:color w:val="000000" w:themeColor="text1"/>
          <w:szCs w:val="21"/>
          <w14:textFill>
            <w14:solidFill>
              <w14:schemeClr w14:val="tx1"/>
            </w14:solidFill>
          </w14:textFill>
        </w:rPr>
        <w:t>A.4.1</w:t>
      </w:r>
      <w:r>
        <w:rPr>
          <w:rFonts w:hint="eastAsia" w:ascii="宋体" w:hAnsi="宋体"/>
          <w:color w:val="000000" w:themeColor="text1"/>
          <w:szCs w:val="21"/>
          <w14:textFill>
            <w14:solidFill>
              <w14:schemeClr w14:val="tx1"/>
            </w14:solidFill>
          </w14:textFill>
        </w:rPr>
        <w:t>所示。</w:t>
      </w:r>
    </w:p>
    <w:p>
      <w:pPr>
        <w:jc w:val="center"/>
        <w:rPr>
          <w:rFonts w:ascii="宋体" w:hAnsi="宋体"/>
          <w:color w:val="000000" w:themeColor="text1"/>
          <w:sz w:val="15"/>
          <w:szCs w:val="15"/>
          <w14:textFill>
            <w14:solidFill>
              <w14:schemeClr w14:val="tx1"/>
            </w14:solidFill>
          </w14:textFill>
        </w:rPr>
      </w:pPr>
      <w:r>
        <w:rPr>
          <w:color w:val="000000" w:themeColor="text1"/>
          <w14:textFill>
            <w14:solidFill>
              <w14:schemeClr w14:val="tx1"/>
            </w14:solidFill>
          </w14:textFill>
        </w:rPr>
        <w:drawing>
          <wp:inline distT="0" distB="0" distL="114300" distR="114300">
            <wp:extent cx="3170555" cy="1579880"/>
            <wp:effectExtent l="0" t="0" r="0" b="1270"/>
            <wp:docPr id="2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7"/>
                    <pic:cNvPicPr>
                      <a:picLocks noChangeAspect="1"/>
                    </pic:cNvPicPr>
                  </pic:nvPicPr>
                  <pic:blipFill>
                    <a:blip r:embed="rId60"/>
                    <a:stretch>
                      <a:fillRect/>
                    </a:stretch>
                  </pic:blipFill>
                  <pic:spPr>
                    <a:xfrm>
                      <a:off x="0" y="0"/>
                      <a:ext cx="3217320" cy="1603228"/>
                    </a:xfrm>
                    <a:prstGeom prst="rect">
                      <a:avLst/>
                    </a:prstGeom>
                    <a:noFill/>
                    <a:ln>
                      <a:noFill/>
                    </a:ln>
                  </pic:spPr>
                </pic:pic>
              </a:graphicData>
            </a:graphic>
          </wp:inline>
        </w:drawing>
      </w:r>
    </w:p>
    <w:p>
      <w:pPr>
        <w:jc w:val="center"/>
        <w:rPr>
          <w:rFonts w:ascii="黑体" w:hAnsi="黑体" w:eastAsia="黑体" w:cstheme="minorEastAsia"/>
          <w:color w:val="000000" w:themeColor="text1"/>
          <w:sz w:val="18"/>
          <w:szCs w:val="18"/>
          <w14:textFill>
            <w14:solidFill>
              <w14:schemeClr w14:val="tx1"/>
            </w14:solidFill>
          </w14:textFill>
        </w:rPr>
      </w:pPr>
      <w:r>
        <w:rPr>
          <w:rFonts w:hint="eastAsia" w:ascii="黑体" w:hAnsi="黑体" w:eastAsia="黑体" w:cstheme="minorEastAsia"/>
          <w:color w:val="000000" w:themeColor="text1"/>
          <w:sz w:val="18"/>
          <w:szCs w:val="18"/>
          <w14:textFill>
            <w14:solidFill>
              <w14:schemeClr w14:val="tx1"/>
            </w14:solidFill>
          </w14:textFill>
        </w:rPr>
        <w:t>图</w:t>
      </w:r>
      <w:r>
        <w:rPr>
          <w:rFonts w:ascii="黑体" w:hAnsi="黑体" w:eastAsia="黑体" w:cstheme="minorEastAsia"/>
          <w:color w:val="000000" w:themeColor="text1"/>
          <w:sz w:val="18"/>
          <w:szCs w:val="18"/>
          <w14:textFill>
            <w14:solidFill>
              <w14:schemeClr w14:val="tx1"/>
            </w14:solidFill>
          </w14:textFill>
        </w:rPr>
        <w:t xml:space="preserve">A.4.1 </w:t>
      </w:r>
      <w:r>
        <w:rPr>
          <w:rFonts w:hint="eastAsia" w:ascii="黑体" w:hAnsi="黑体" w:eastAsia="黑体" w:cstheme="minorEastAsia"/>
          <w:color w:val="000000" w:themeColor="text1"/>
          <w:sz w:val="18"/>
          <w:szCs w:val="18"/>
          <w14:textFill>
            <w14:solidFill>
              <w14:schemeClr w14:val="tx1"/>
            </w14:solidFill>
          </w14:textFill>
        </w:rPr>
        <w:t>优端梁</w:t>
      </w:r>
    </w:p>
    <w:p>
      <w:pPr>
        <w:jc w:val="center"/>
        <w:rPr>
          <w:rFonts w:ascii="宋体" w:hAnsi="宋体"/>
          <w:color w:val="000000" w:themeColor="text1"/>
          <w:sz w:val="15"/>
          <w:szCs w:val="15"/>
          <w14:textFill>
            <w14:solidFill>
              <w14:schemeClr w14:val="tx1"/>
            </w14:solidFill>
          </w14:textFill>
        </w:rPr>
      </w:pPr>
    </w:p>
    <w:p>
      <w:pPr>
        <w:jc w:val="center"/>
        <w:rPr>
          <w:rFonts w:ascii="宋体" w:hAnsi="宋体"/>
          <w:color w:val="000000" w:themeColor="text1"/>
          <w:sz w:val="15"/>
          <w:szCs w:val="15"/>
          <w14:textFill>
            <w14:solidFill>
              <w14:schemeClr w14:val="tx1"/>
            </w14:solidFill>
          </w14:textFill>
        </w:rPr>
      </w:pPr>
    </w:p>
    <w:p>
      <w:pPr>
        <w:jc w:val="center"/>
        <w:rPr>
          <w:rFonts w:ascii="宋体" w:hAnsi="宋体"/>
          <w:color w:val="000000" w:themeColor="text1"/>
          <w:sz w:val="15"/>
          <w:szCs w:val="15"/>
          <w14:textFill>
            <w14:solidFill>
              <w14:schemeClr w14:val="tx1"/>
            </w14:solidFill>
          </w14:textFill>
        </w:rPr>
      </w:pPr>
    </w:p>
    <w:p>
      <w:pPr>
        <w:widowControl/>
        <w:jc w:val="left"/>
        <w:rPr>
          <w:rFonts w:asciiTheme="minorEastAsia" w:hAnsiTheme="minorEastAsia" w:cstheme="minorEastAsia"/>
          <w:b/>
          <w:bCs/>
          <w:color w:val="000000" w:themeColor="text1"/>
          <w:sz w:val="28"/>
          <w:szCs w:val="28"/>
          <w14:textFill>
            <w14:solidFill>
              <w14:schemeClr w14:val="tx1"/>
            </w14:solidFill>
          </w14:textFill>
        </w:rPr>
      </w:pPr>
      <w:r>
        <w:rPr>
          <w:rFonts w:asciiTheme="minorEastAsia" w:hAnsiTheme="minorEastAsia" w:cstheme="minorEastAsia"/>
          <w:b/>
          <w:bCs/>
          <w:color w:val="000000" w:themeColor="text1"/>
          <w:sz w:val="28"/>
          <w:szCs w:val="28"/>
          <w14:textFill>
            <w14:solidFill>
              <w14:schemeClr w14:val="tx1"/>
            </w14:solidFill>
          </w14:textFill>
        </w:rPr>
        <w:br w:type="page"/>
      </w:r>
    </w:p>
    <w:p>
      <w:pPr>
        <w:jc w:val="center"/>
        <w:outlineLvl w:val="0"/>
        <w:rPr>
          <w:rFonts w:ascii="黑体" w:hAnsi="黑体" w:eastAsia="黑体"/>
          <w:b/>
          <w:bCs/>
          <w:color w:val="000000" w:themeColor="text1"/>
          <w:sz w:val="28"/>
          <w:szCs w:val="28"/>
          <w14:textFill>
            <w14:solidFill>
              <w14:schemeClr w14:val="tx1"/>
            </w14:solidFill>
          </w14:textFill>
        </w:rPr>
      </w:pPr>
      <w:bookmarkStart w:id="109" w:name="_Toc28706914"/>
      <w:r>
        <w:rPr>
          <w:rFonts w:hint="eastAsia" w:ascii="黑体" w:hAnsi="黑体" w:eastAsia="黑体"/>
          <w:b/>
          <w:bCs/>
          <w:color w:val="000000" w:themeColor="text1"/>
          <w:sz w:val="28"/>
          <w:szCs w:val="28"/>
          <w14:textFill>
            <w14:solidFill>
              <w14:schemeClr w14:val="tx1"/>
            </w14:solidFill>
          </w14:textFill>
        </w:rPr>
        <w:t>附录</w:t>
      </w:r>
      <w:r>
        <w:rPr>
          <w:rFonts w:ascii="黑体" w:hAnsi="黑体" w:eastAsia="黑体"/>
          <w:b/>
          <w:bCs/>
          <w:color w:val="000000" w:themeColor="text1"/>
          <w:sz w:val="28"/>
          <w:szCs w:val="28"/>
          <w14:textFill>
            <w14:solidFill>
              <w14:schemeClr w14:val="tx1"/>
            </w14:solidFill>
          </w14:textFill>
        </w:rPr>
        <w:t xml:space="preserve">B </w:t>
      </w:r>
      <w:r>
        <w:rPr>
          <w:rFonts w:hint="eastAsia" w:ascii="黑体" w:hAnsi="黑体" w:eastAsia="黑体"/>
          <w:b/>
          <w:bCs/>
          <w:color w:val="000000" w:themeColor="text1"/>
          <w:sz w:val="28"/>
          <w:szCs w:val="28"/>
          <w14:textFill>
            <w14:solidFill>
              <w14:schemeClr w14:val="tx1"/>
            </w14:solidFill>
          </w14:textFill>
        </w:rPr>
        <w:t>甲壳柱钢甲壳截面特性</w:t>
      </w:r>
      <w:bookmarkEnd w:id="109"/>
    </w:p>
    <w:p>
      <w:pPr>
        <w:jc w:val="center"/>
        <w:outlineLvl w:val="0"/>
        <w:rPr>
          <w:rFonts w:ascii="黑体" w:hAnsi="黑体" w:eastAsia="黑体"/>
          <w:b/>
          <w:bCs/>
          <w:color w:val="000000" w:themeColor="text1"/>
          <w:sz w:val="28"/>
          <w:szCs w:val="28"/>
          <w14:textFill>
            <w14:solidFill>
              <w14:schemeClr w14:val="tx1"/>
            </w14:solidFill>
          </w14:textFill>
        </w:rPr>
      </w:pPr>
      <w:bookmarkStart w:id="110" w:name="_Toc26202244"/>
      <w:bookmarkStart w:id="111" w:name="_Toc28706915"/>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1006475</wp:posOffset>
            </wp:positionH>
            <wp:positionV relativeFrom="paragraph">
              <wp:posOffset>323215</wp:posOffset>
            </wp:positionV>
            <wp:extent cx="2108835" cy="1867535"/>
            <wp:effectExtent l="0" t="0" r="0" b="0"/>
            <wp:wrapNone/>
            <wp:docPr id="192512" name="图片 19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2" name="图片 192512"/>
                    <pic:cNvPicPr>
                      <a:picLocks noChangeAspect="1" noChangeArrowheads="1"/>
                    </pic:cNvPicPr>
                  </pic:nvPicPr>
                  <pic:blipFill>
                    <a:blip r:embed="rId61" cstate="print">
                      <a:extLst>
                        <a:ext uri="{28A0092B-C50C-407E-A947-70E740481C1C}">
                          <a14:useLocalDpi xmlns:a14="http://schemas.microsoft.com/office/drawing/2010/main" val="0"/>
                        </a:ext>
                      </a:extLst>
                    </a:blip>
                    <a:srcRect l="15115" t="14026" r="51308" b="15205"/>
                    <a:stretch>
                      <a:fillRect/>
                    </a:stretch>
                  </pic:blipFill>
                  <pic:spPr>
                    <a:xfrm>
                      <a:off x="0" y="0"/>
                      <a:ext cx="2108934" cy="1867452"/>
                    </a:xfrm>
                    <a:prstGeom prst="rect">
                      <a:avLst/>
                    </a:prstGeom>
                    <a:noFill/>
                    <a:ln>
                      <a:noFill/>
                    </a:ln>
                  </pic:spPr>
                </pic:pic>
              </a:graphicData>
            </a:graphic>
          </wp:anchor>
        </w:drawing>
      </w:r>
      <w:bookmarkEnd w:id="110"/>
      <w:bookmarkEnd w:id="111"/>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B.1 </w:t>
      </w:r>
      <w:r>
        <w:rPr>
          <w:rFonts w:hint="eastAsia" w:ascii="宋体" w:hAnsi="宋体"/>
          <w:color w:val="000000" w:themeColor="text1"/>
          <w:sz w:val="18"/>
          <w:szCs w:val="18"/>
          <w14:textFill>
            <w14:solidFill>
              <w14:schemeClr w14:val="tx1"/>
            </w14:solidFill>
          </w14:textFill>
        </w:rPr>
        <w:t>甲壳柱钢甲壳截面</w:t>
      </w: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3600" behindDoc="0" locked="0" layoutInCell="1" allowOverlap="1">
            <wp:simplePos x="0" y="0"/>
            <wp:positionH relativeFrom="column">
              <wp:posOffset>977265</wp:posOffset>
            </wp:positionH>
            <wp:positionV relativeFrom="paragraph">
              <wp:posOffset>33020</wp:posOffset>
            </wp:positionV>
            <wp:extent cx="2263775" cy="1152525"/>
            <wp:effectExtent l="0" t="0" r="0" b="0"/>
            <wp:wrapNone/>
            <wp:docPr id="192513" name="图片 19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3" name="图片 192513"/>
                    <pic:cNvPicPr>
                      <a:picLocks noChangeAspect="1" noChangeArrowheads="1"/>
                    </pic:cNvPicPr>
                  </pic:nvPicPr>
                  <pic:blipFill>
                    <a:blip r:embed="rId62" cstate="print">
                      <a:extLst>
                        <a:ext uri="{28A0092B-C50C-407E-A947-70E740481C1C}">
                          <a14:useLocalDpi xmlns:a14="http://schemas.microsoft.com/office/drawing/2010/main" val="0"/>
                        </a:ext>
                      </a:extLst>
                    </a:blip>
                    <a:srcRect l="16139" t="18294" r="40801" b="29544"/>
                    <a:stretch>
                      <a:fillRect/>
                    </a:stretch>
                  </pic:blipFill>
                  <pic:spPr>
                    <a:xfrm>
                      <a:off x="0" y="0"/>
                      <a:ext cx="2309601" cy="1175422"/>
                    </a:xfrm>
                    <a:prstGeom prst="rect">
                      <a:avLst/>
                    </a:prstGeom>
                    <a:noFill/>
                    <a:ln>
                      <a:noFill/>
                    </a:ln>
                  </pic:spPr>
                </pic:pic>
              </a:graphicData>
            </a:graphic>
          </wp:anchor>
        </w:drawing>
      </w: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图</w:t>
      </w:r>
      <w:r>
        <w:rPr>
          <w:rFonts w:ascii="宋体" w:hAnsi="宋体"/>
          <w:color w:val="000000" w:themeColor="text1"/>
          <w:sz w:val="18"/>
          <w:szCs w:val="18"/>
          <w14:textFill>
            <w14:solidFill>
              <w14:schemeClr w14:val="tx1"/>
            </w14:solidFill>
          </w14:textFill>
        </w:rPr>
        <w:t xml:space="preserve">B.2 </w:t>
      </w:r>
      <w:r>
        <w:rPr>
          <w:rFonts w:hint="eastAsia" w:ascii="宋体" w:hAnsi="宋体"/>
          <w:color w:val="000000" w:themeColor="text1"/>
          <w:sz w:val="18"/>
          <w:szCs w:val="18"/>
          <w14:textFill>
            <w14:solidFill>
              <w14:schemeClr w14:val="tx1"/>
            </w14:solidFill>
          </w14:textFill>
        </w:rPr>
        <w:t>波纹钢板波形图</w:t>
      </w:r>
    </w:p>
    <w:p>
      <w:pPr>
        <w:jc w:val="center"/>
        <w:rPr>
          <w:rFonts w:ascii="宋体" w:hAnsi="宋体"/>
          <w:color w:val="000000" w:themeColor="text1"/>
          <w:sz w:val="18"/>
          <w:szCs w:val="18"/>
          <w14:textFill>
            <w14:solidFill>
              <w14:schemeClr w14:val="tx1"/>
            </w14:solidFill>
          </w14:textFill>
        </w:rPr>
      </w:pPr>
    </w:p>
    <w:p>
      <w:pPr>
        <w:outlineLvl w:val="0"/>
        <w:rPr>
          <w:color w:val="000000" w:themeColor="text1"/>
          <w14:textFill>
            <w14:solidFill>
              <w14:schemeClr w14:val="tx1"/>
            </w14:solidFill>
          </w14:textFill>
        </w:rPr>
      </w:pPr>
    </w:p>
    <w:p>
      <w:pPr>
        <w:spacing w:before="156" w:beforeLines="50" w:after="156" w:afterLines="50"/>
        <w:jc w:val="left"/>
        <w:outlineLvl w:val="1"/>
        <w:rPr>
          <w:rFonts w:ascii="黑体" w:hAnsi="黑体" w:eastAsia="黑体"/>
          <w:color w:val="000000" w:themeColor="text1"/>
          <w:szCs w:val="21"/>
          <w14:textFill>
            <w14:solidFill>
              <w14:schemeClr w14:val="tx1"/>
            </w14:solidFill>
          </w14:textFill>
        </w:rPr>
      </w:pPr>
    </w:p>
    <w:p>
      <w:pPr>
        <w:spacing w:before="156" w:beforeLines="50" w:after="156" w:afterLines="50"/>
        <w:jc w:val="left"/>
        <w:outlineLvl w:val="1"/>
        <w:rPr>
          <w:rFonts w:ascii="黑体" w:hAnsi="黑体" w:eastAsia="黑体"/>
          <w:color w:val="000000" w:themeColor="text1"/>
          <w:szCs w:val="21"/>
          <w14:textFill>
            <w14:solidFill>
              <w14:schemeClr w14:val="tx1"/>
            </w14:solidFill>
          </w14:textFill>
        </w:rPr>
      </w:pPr>
    </w:p>
    <w:p>
      <w:pPr>
        <w:spacing w:before="156" w:beforeLines="50" w:after="156" w:afterLines="50"/>
        <w:ind w:firstLine="1470" w:firstLineChars="700"/>
        <w:jc w:val="left"/>
        <w:rPr>
          <w:rFonts w:ascii="黑体" w:hAnsi="黑体" w:eastAsia="黑体"/>
          <w:color w:val="000000" w:themeColor="text1"/>
          <w:szCs w:val="21"/>
          <w14:textFill>
            <w14:solidFill>
              <w14:schemeClr w14:val="tx1"/>
            </w14:solidFill>
          </w14:textFill>
        </w:rPr>
      </w:pPr>
    </w:p>
    <w:p>
      <w:pPr>
        <w:spacing w:before="156" w:beforeLines="50" w:after="156" w:afterLines="50"/>
        <w:ind w:firstLine="1470" w:firstLineChars="700"/>
        <w:jc w:val="left"/>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附表B： 方形甲壳柱钢甲壳截面特性</w:t>
      </w:r>
    </w:p>
    <w:p>
      <w:pPr>
        <w:spacing w:before="156" w:beforeLines="50" w:after="156" w:afterLines="50"/>
        <w:jc w:val="left"/>
        <w:rPr>
          <w:rFonts w:ascii="黑体" w:hAnsi="黑体" w:eastAsia="黑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126230" cy="5059680"/>
            <wp:effectExtent l="0" t="0" r="762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126230" cy="5059680"/>
                    </a:xfrm>
                    <a:prstGeom prst="rect">
                      <a:avLst/>
                    </a:prstGeom>
                    <a:noFill/>
                    <a:ln>
                      <a:noFill/>
                    </a:ln>
                  </pic:spPr>
                </pic:pic>
              </a:graphicData>
            </a:graphic>
          </wp:inline>
        </w:drawing>
      </w: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center"/>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续附表B</w:t>
      </w:r>
    </w:p>
    <w:p>
      <w:pPr>
        <w:spacing w:before="156" w:beforeLines="50" w:after="156" w:afterLines="50"/>
        <w:jc w:val="left"/>
        <w:rPr>
          <w:rFonts w:ascii="黑体" w:hAnsi="黑体" w:eastAsia="黑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126230" cy="2688590"/>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126230" cy="2688590"/>
                    </a:xfrm>
                    <a:prstGeom prst="rect">
                      <a:avLst/>
                    </a:prstGeom>
                    <a:noFill/>
                    <a:ln>
                      <a:noFill/>
                    </a:ln>
                  </pic:spPr>
                </pic:pic>
              </a:graphicData>
            </a:graphic>
          </wp:inline>
        </w:drawing>
      </w:r>
    </w:p>
    <w:p>
      <w:pPr>
        <w:pStyle w:val="31"/>
        <w:spacing w:line="0" w:lineRule="atLeast"/>
        <w:ind w:left="357" w:firstLine="0" w:firstLineChars="0"/>
        <w:jc w:val="lef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注：1</w:t>
      </w:r>
      <w:r>
        <w:rPr>
          <w:rFonts w:ascii="宋体" w:hAnsi="宋体" w:eastAsia="宋体"/>
          <w:color w:val="000000" w:themeColor="text1"/>
          <w:sz w:val="18"/>
          <w:szCs w:val="18"/>
          <w14:textFill>
            <w14:solidFill>
              <w14:schemeClr w14:val="tx1"/>
            </w14:solidFill>
          </w14:textFill>
        </w:rPr>
        <w:t>.</w:t>
      </w:r>
      <w:r>
        <w:rPr>
          <w:rFonts w:hint="eastAsia" w:ascii="宋体" w:hAnsi="宋体" w:eastAsia="宋体"/>
          <w:color w:val="000000" w:themeColor="text1"/>
          <w:sz w:val="18"/>
          <w:szCs w:val="18"/>
          <w14:textFill>
            <w14:solidFill>
              <w14:schemeClr w14:val="tx1"/>
            </w14:solidFill>
          </w14:textFill>
        </w:rPr>
        <w:t>当钢甲壳为矩形时，按长边尺寸选用方钢管规格及波纹钢板规格。</w:t>
      </w:r>
    </w:p>
    <w:p>
      <w:pPr>
        <w:pStyle w:val="31"/>
        <w:spacing w:line="0" w:lineRule="atLeast"/>
        <w:ind w:left="357" w:firstLine="36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2.</w:t>
      </w:r>
      <w:r>
        <w:rPr>
          <w:rFonts w:hint="eastAsia" w:ascii="宋体" w:hAnsi="宋体" w:eastAsia="宋体"/>
          <w:color w:val="000000" w:themeColor="text1"/>
          <w:sz w:val="18"/>
          <w:szCs w:val="18"/>
          <w14:textFill>
            <w14:solidFill>
              <w14:schemeClr w14:val="tx1"/>
            </w14:solidFill>
          </w14:textFill>
        </w:rPr>
        <w:t>混凝土一次允许浇筑高度是考虑施工阶段波纹钢板在湿混凝土涨模力作用的最大允许施工高度。</w:t>
      </w:r>
    </w:p>
    <w:p>
      <w:pPr>
        <w:pStyle w:val="31"/>
        <w:spacing w:line="0" w:lineRule="atLeast"/>
        <w:ind w:left="357" w:firstLine="360"/>
        <w:jc w:val="lef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3</w:t>
      </w:r>
      <w:r>
        <w:rPr>
          <w:rFonts w:ascii="宋体" w:hAnsi="宋体" w:eastAsia="宋体"/>
          <w:color w:val="000000" w:themeColor="text1"/>
          <w:sz w:val="18"/>
          <w:szCs w:val="18"/>
          <w14:textFill>
            <w14:solidFill>
              <w14:schemeClr w14:val="tx1"/>
            </w14:solidFill>
          </w14:textFill>
        </w:rPr>
        <w:t>.表中</w:t>
      </w:r>
      <w:r>
        <w:rPr>
          <w:rFonts w:hint="eastAsia" w:ascii="宋体" w:hAnsi="宋体" w:eastAsia="宋体"/>
          <w:color w:val="000000" w:themeColor="text1"/>
          <w:sz w:val="18"/>
          <w:szCs w:val="18"/>
          <w14:textFill>
            <w14:solidFill>
              <w14:schemeClr w14:val="tx1"/>
            </w14:solidFill>
          </w14:textFill>
        </w:rPr>
        <w:t>I</w:t>
      </w:r>
      <w:r>
        <w:rPr>
          <w:rFonts w:ascii="宋体" w:hAnsi="宋体" w:eastAsia="宋体"/>
          <w:color w:val="000000" w:themeColor="text1"/>
          <w:sz w:val="18"/>
          <w:szCs w:val="18"/>
          <w:vertAlign w:val="subscript"/>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为钢甲壳绕</w:t>
      </w:r>
      <w:r>
        <w:rPr>
          <w:rFonts w:hint="eastAsia" w:ascii="宋体" w:hAnsi="宋体" w:eastAsia="宋体"/>
          <w:color w:val="000000" w:themeColor="text1"/>
          <w:sz w:val="18"/>
          <w:szCs w:val="18"/>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轴的截面惯性矩；</w:t>
      </w:r>
    </w:p>
    <w:p>
      <w:pPr>
        <w:pStyle w:val="31"/>
        <w:spacing w:line="0" w:lineRule="atLeast"/>
        <w:ind w:left="357" w:firstLine="360"/>
        <w:jc w:val="lef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4</w:t>
      </w:r>
      <w:r>
        <w:rPr>
          <w:rFonts w:ascii="宋体" w:hAnsi="宋体" w:eastAsia="宋体"/>
          <w:color w:val="000000" w:themeColor="text1"/>
          <w:sz w:val="18"/>
          <w:szCs w:val="18"/>
          <w14:textFill>
            <w14:solidFill>
              <w14:schemeClr w14:val="tx1"/>
            </w14:solidFill>
          </w14:textFill>
        </w:rPr>
        <w:t>.表中W</w:t>
      </w:r>
      <w:r>
        <w:rPr>
          <w:rFonts w:ascii="宋体" w:hAnsi="宋体" w:eastAsia="宋体"/>
          <w:color w:val="000000" w:themeColor="text1"/>
          <w:sz w:val="18"/>
          <w:szCs w:val="18"/>
          <w:vertAlign w:val="subscript"/>
          <w14:textFill>
            <w14:solidFill>
              <w14:schemeClr w14:val="tx1"/>
            </w14:solidFill>
          </w14:textFill>
        </w:rPr>
        <w:t>X</w:t>
      </w:r>
      <w:r>
        <w:rPr>
          <w:rFonts w:hint="eastAsia" w:ascii="宋体" w:hAnsi="宋体" w:eastAsia="宋体"/>
          <w:color w:val="000000" w:themeColor="text1"/>
          <w:sz w:val="18"/>
          <w:szCs w:val="18"/>
          <w14:textFill>
            <w14:solidFill>
              <w14:schemeClr w14:val="tx1"/>
            </w14:solidFill>
          </w14:textFill>
        </w:rPr>
        <w:t>为</w:t>
      </w:r>
      <w:r>
        <w:rPr>
          <w:rFonts w:ascii="宋体" w:hAnsi="宋体" w:eastAsia="宋体"/>
          <w:color w:val="000000" w:themeColor="text1"/>
          <w:sz w:val="18"/>
          <w:szCs w:val="18"/>
          <w14:textFill>
            <w14:solidFill>
              <w14:schemeClr w14:val="tx1"/>
            </w14:solidFill>
          </w14:textFill>
        </w:rPr>
        <w:t>钢甲壳绕</w:t>
      </w:r>
      <w:r>
        <w:rPr>
          <w:rFonts w:hint="eastAsia" w:ascii="宋体" w:hAnsi="宋体" w:eastAsia="宋体"/>
          <w:color w:val="000000" w:themeColor="text1"/>
          <w:sz w:val="18"/>
          <w:szCs w:val="18"/>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轴的截面</w:t>
      </w:r>
      <w:r>
        <w:rPr>
          <w:rFonts w:hint="eastAsia" w:ascii="宋体" w:hAnsi="宋体" w:eastAsia="宋体"/>
          <w:color w:val="000000" w:themeColor="text1"/>
          <w:sz w:val="18"/>
          <w:szCs w:val="18"/>
          <w14:textFill>
            <w14:solidFill>
              <w14:schemeClr w14:val="tx1"/>
            </w14:solidFill>
          </w14:textFill>
        </w:rPr>
        <w:t>模量</w:t>
      </w:r>
      <w:r>
        <w:rPr>
          <w:rFonts w:ascii="宋体" w:hAnsi="宋体" w:eastAsia="宋体"/>
          <w:color w:val="000000" w:themeColor="text1"/>
          <w:sz w:val="18"/>
          <w:szCs w:val="18"/>
          <w14:textFill>
            <w14:solidFill>
              <w14:schemeClr w14:val="tx1"/>
            </w14:solidFill>
          </w14:textFill>
        </w:rPr>
        <w:t>；</w:t>
      </w:r>
    </w:p>
    <w:p>
      <w:pPr>
        <w:pStyle w:val="31"/>
        <w:spacing w:line="0" w:lineRule="atLeast"/>
        <w:ind w:left="357" w:firstLine="360"/>
        <w:jc w:val="lef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5</w:t>
      </w:r>
      <w:r>
        <w:rPr>
          <w:rFonts w:ascii="宋体" w:hAnsi="宋体" w:eastAsia="宋体"/>
          <w:color w:val="000000" w:themeColor="text1"/>
          <w:sz w:val="18"/>
          <w:szCs w:val="18"/>
          <w14:textFill>
            <w14:solidFill>
              <w14:schemeClr w14:val="tx1"/>
            </w14:solidFill>
          </w14:textFill>
        </w:rPr>
        <w:t>.</w:t>
      </w:r>
      <m:oMath>
        <m:sSub>
          <m:sSubPr>
            <m:ctrlPr>
              <w:rPr>
                <w:rFonts w:ascii="Cambria Math" w:hAnsi="Cambria Math" w:eastAsia="宋体"/>
                <w:i/>
                <w:color w:val="000000" w:themeColor="text1"/>
                <w:sz w:val="18"/>
                <w:szCs w:val="18"/>
                <w14:textFill>
                  <w14:solidFill>
                    <w14:schemeClr w14:val="tx1"/>
                  </w14:solidFill>
                </w14:textFill>
              </w:rPr>
            </m:ctrlPr>
          </m:sSubPr>
          <m:e>
            <m:r>
              <w:rPr>
                <w:rFonts w:hint="eastAsia" w:ascii="Cambria Math" w:hAnsi="Cambria Math" w:eastAsia="宋体"/>
                <w:color w:val="000000" w:themeColor="text1"/>
                <w:sz w:val="18"/>
                <w:szCs w:val="18"/>
                <w14:textFill>
                  <w14:solidFill>
                    <w14:schemeClr w14:val="tx1"/>
                  </w14:solidFill>
                </w14:textFill>
              </w:rPr>
              <m:t>i</m:t>
            </m:r>
            <m:ctrlPr>
              <w:rPr>
                <w:rFonts w:ascii="Cambria Math" w:hAnsi="Cambria Math" w:eastAsia="宋体"/>
                <w:i/>
                <w:color w:val="000000" w:themeColor="text1"/>
                <w:sz w:val="18"/>
                <w:szCs w:val="18"/>
                <w14:textFill>
                  <w14:solidFill>
                    <w14:schemeClr w14:val="tx1"/>
                  </w14:solidFill>
                </w14:textFill>
              </w:rPr>
            </m:ctrlPr>
          </m:e>
          <m:sub>
            <m:r>
              <w:rPr>
                <w:rFonts w:ascii="Cambria Math" w:hAnsi="Cambria Math" w:eastAsia="宋体"/>
                <w:color w:val="000000" w:themeColor="text1"/>
                <w:sz w:val="18"/>
                <w:szCs w:val="18"/>
                <w14:textFill>
                  <w14:solidFill>
                    <w14:schemeClr w14:val="tx1"/>
                  </w14:solidFill>
                </w14:textFill>
              </w:rPr>
              <m:t>x</m:t>
            </m:r>
            <m:ctrlPr>
              <w:rPr>
                <w:rFonts w:ascii="Cambria Math" w:hAnsi="Cambria Math" w:eastAsia="宋体"/>
                <w:i/>
                <w:color w:val="000000" w:themeColor="text1"/>
                <w:sz w:val="18"/>
                <w:szCs w:val="18"/>
                <w14:textFill>
                  <w14:solidFill>
                    <w14:schemeClr w14:val="tx1"/>
                  </w14:solidFill>
                </w14:textFill>
              </w:rPr>
            </m:ctrlPr>
          </m:sub>
        </m:sSub>
      </m:oMath>
      <w:r>
        <w:rPr>
          <w:rFonts w:hint="eastAsia" w:ascii="宋体" w:hAnsi="宋体" w:eastAsia="宋体"/>
          <w:color w:val="000000" w:themeColor="text1"/>
          <w:sz w:val="18"/>
          <w:szCs w:val="18"/>
          <w14:textFill>
            <w14:solidFill>
              <w14:schemeClr w14:val="tx1"/>
            </w14:solidFill>
          </w14:textFill>
        </w:rPr>
        <w:t>为截面的回转半径。</w:t>
      </w: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spacing w:before="156" w:beforeLines="50" w:after="156" w:afterLines="50"/>
        <w:jc w:val="left"/>
        <w:rPr>
          <w:rFonts w:ascii="黑体" w:hAnsi="黑体" w:eastAsia="黑体"/>
          <w:color w:val="000000" w:themeColor="text1"/>
          <w:szCs w:val="21"/>
          <w14:textFill>
            <w14:solidFill>
              <w14:schemeClr w14:val="tx1"/>
            </w14:solidFill>
          </w14:textFill>
        </w:rPr>
      </w:pPr>
    </w:p>
    <w:p>
      <w:pPr>
        <w:widowControl/>
        <w:jc w:val="left"/>
        <w:rPr>
          <w:rFonts w:asciiTheme="minorEastAsia" w:hAnsiTheme="minorEastAsia" w:cstheme="minorEastAsia"/>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bookmarkStart w:id="112" w:name="_Toc28706916"/>
      <w:r>
        <w:rPr>
          <w:rFonts w:hint="eastAsia" w:ascii="黑体" w:hAnsi="黑体" w:eastAsia="黑体"/>
          <w:b/>
          <w:bCs/>
          <w:color w:val="000000" w:themeColor="text1"/>
          <w:sz w:val="28"/>
          <w:szCs w:val="28"/>
          <w14:textFill>
            <w14:solidFill>
              <w14:schemeClr w14:val="tx1"/>
            </w14:solidFill>
          </w14:textFill>
        </w:rPr>
        <w:t>附录</w:t>
      </w:r>
      <w:r>
        <w:rPr>
          <w:rFonts w:ascii="黑体" w:hAnsi="黑体" w:eastAsia="黑体"/>
          <w:b/>
          <w:bCs/>
          <w:color w:val="000000" w:themeColor="text1"/>
          <w:sz w:val="28"/>
          <w:szCs w:val="28"/>
          <w14:textFill>
            <w14:solidFill>
              <w14:schemeClr w14:val="tx1"/>
            </w14:solidFill>
          </w14:textFill>
        </w:rPr>
        <w:t xml:space="preserve">C </w:t>
      </w:r>
      <w:r>
        <w:rPr>
          <w:rFonts w:hint="eastAsia" w:ascii="黑体" w:hAnsi="黑体" w:eastAsia="黑体"/>
          <w:b/>
          <w:bCs/>
          <w:color w:val="000000" w:themeColor="text1"/>
          <w:sz w:val="28"/>
          <w:szCs w:val="28"/>
          <w14:textFill>
            <w14:solidFill>
              <w14:schemeClr w14:val="tx1"/>
            </w14:solidFill>
          </w14:textFill>
        </w:rPr>
        <w:t>甲壳梁钢甲壳截面特性</w:t>
      </w:r>
      <w:bookmarkEnd w:id="112"/>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bookmarkStart w:id="113" w:name="_Toc28706917"/>
      <w:bookmarkStart w:id="114" w:name="_Toc26202246"/>
      <w:r>
        <w:rPr>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1049020</wp:posOffset>
            </wp:positionH>
            <wp:positionV relativeFrom="paragraph">
              <wp:posOffset>86995</wp:posOffset>
            </wp:positionV>
            <wp:extent cx="2008505" cy="1859915"/>
            <wp:effectExtent l="0" t="0" r="0" b="0"/>
            <wp:wrapNone/>
            <wp:docPr id="192523" name="图片 19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 name="图片 192523"/>
                    <pic:cNvPicPr>
                      <a:picLocks noChangeAspect="1" noChangeArrowheads="1"/>
                    </pic:cNvPicPr>
                  </pic:nvPicPr>
                  <pic:blipFill>
                    <a:blip r:embed="rId65" cstate="print">
                      <a:extLst>
                        <a:ext uri="{28A0092B-C50C-407E-A947-70E740481C1C}">
                          <a14:useLocalDpi xmlns:a14="http://schemas.microsoft.com/office/drawing/2010/main" val="0"/>
                        </a:ext>
                      </a:extLst>
                    </a:blip>
                    <a:srcRect l="26132" t="15245" r="40928" b="12143"/>
                    <a:stretch>
                      <a:fillRect/>
                    </a:stretch>
                  </pic:blipFill>
                  <pic:spPr>
                    <a:xfrm>
                      <a:off x="0" y="0"/>
                      <a:ext cx="2016293" cy="1867228"/>
                    </a:xfrm>
                    <a:prstGeom prst="rect">
                      <a:avLst/>
                    </a:prstGeom>
                    <a:noFill/>
                    <a:ln>
                      <a:noFill/>
                    </a:ln>
                  </pic:spPr>
                </pic:pic>
              </a:graphicData>
            </a:graphic>
          </wp:anchor>
        </w:drawing>
      </w:r>
      <w:bookmarkEnd w:id="113"/>
      <w:bookmarkEnd w:id="114"/>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 w:val="28"/>
          <w:szCs w:val="28"/>
          <w14:textFill>
            <w14:solidFill>
              <w14:schemeClr w14:val="tx1"/>
            </w14:solidFill>
          </w14:textFill>
        </w:rPr>
      </w:pPr>
    </w:p>
    <w:p>
      <w:pPr>
        <w:jc w:val="center"/>
        <w:outlineLvl w:val="0"/>
        <w:rPr>
          <w:rFonts w:ascii="黑体" w:hAnsi="黑体" w:eastAsia="黑体"/>
          <w:b/>
          <w:bCs/>
          <w:color w:val="000000" w:themeColor="text1"/>
          <w:szCs w:val="21"/>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w:t>
      </w:r>
      <w:r>
        <w:rPr>
          <w:rFonts w:ascii="宋体" w:hAnsi="宋体"/>
          <w:color w:val="000000" w:themeColor="text1"/>
          <w:szCs w:val="21"/>
          <w14:textFill>
            <w14:solidFill>
              <w14:schemeClr w14:val="tx1"/>
            </w14:solidFill>
          </w14:textFill>
        </w:rPr>
        <w:t xml:space="preserve">B.1 </w:t>
      </w:r>
      <w:r>
        <w:rPr>
          <w:rFonts w:hint="eastAsia" w:ascii="宋体" w:hAnsi="宋体"/>
          <w:color w:val="000000" w:themeColor="text1"/>
          <w:szCs w:val="21"/>
          <w14:textFill>
            <w14:solidFill>
              <w14:schemeClr w14:val="tx1"/>
            </w14:solidFill>
          </w14:textFill>
        </w:rPr>
        <w:t>甲壳梁钢甲壳截面</w:t>
      </w: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1792" behindDoc="0" locked="0" layoutInCell="1" allowOverlap="1">
            <wp:simplePos x="0" y="0"/>
            <wp:positionH relativeFrom="column">
              <wp:posOffset>975995</wp:posOffset>
            </wp:positionH>
            <wp:positionV relativeFrom="paragraph">
              <wp:posOffset>33020</wp:posOffset>
            </wp:positionV>
            <wp:extent cx="2170430" cy="1104900"/>
            <wp:effectExtent l="0" t="0" r="0" b="0"/>
            <wp:wrapNone/>
            <wp:docPr id="192522" name="图片 19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2" name="图片 192522"/>
                    <pic:cNvPicPr>
                      <a:picLocks noChangeAspect="1" noChangeArrowheads="1"/>
                    </pic:cNvPicPr>
                  </pic:nvPicPr>
                  <pic:blipFill>
                    <a:blip r:embed="rId62" cstate="print">
                      <a:extLst>
                        <a:ext uri="{28A0092B-C50C-407E-A947-70E740481C1C}">
                          <a14:useLocalDpi xmlns:a14="http://schemas.microsoft.com/office/drawing/2010/main" val="0"/>
                        </a:ext>
                      </a:extLst>
                    </a:blip>
                    <a:srcRect l="16139" t="18294" r="40801" b="29544"/>
                    <a:stretch>
                      <a:fillRect/>
                    </a:stretch>
                  </pic:blipFill>
                  <pic:spPr>
                    <a:xfrm>
                      <a:off x="0" y="0"/>
                      <a:ext cx="2170599" cy="1104680"/>
                    </a:xfrm>
                    <a:prstGeom prst="rect">
                      <a:avLst/>
                    </a:prstGeom>
                    <a:noFill/>
                    <a:ln>
                      <a:noFill/>
                    </a:ln>
                  </pic:spPr>
                </pic:pic>
              </a:graphicData>
            </a:graphic>
          </wp:anchor>
        </w:drawing>
      </w: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 w:val="18"/>
          <w:szCs w:val="18"/>
          <w14:textFill>
            <w14:solidFill>
              <w14:schemeClr w14:val="tx1"/>
            </w14:solidFill>
          </w14:textFill>
        </w:rPr>
      </w:pPr>
    </w:p>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w:t>
      </w:r>
      <w:r>
        <w:rPr>
          <w:rFonts w:ascii="宋体" w:hAnsi="宋体"/>
          <w:color w:val="000000" w:themeColor="text1"/>
          <w:szCs w:val="21"/>
          <w14:textFill>
            <w14:solidFill>
              <w14:schemeClr w14:val="tx1"/>
            </w14:solidFill>
          </w14:textFill>
        </w:rPr>
        <w:t xml:space="preserve">B.2 </w:t>
      </w:r>
      <w:r>
        <w:rPr>
          <w:rFonts w:hint="eastAsia" w:ascii="宋体" w:hAnsi="宋体"/>
          <w:color w:val="000000" w:themeColor="text1"/>
          <w:szCs w:val="21"/>
          <w14:textFill>
            <w14:solidFill>
              <w14:schemeClr w14:val="tx1"/>
            </w14:solidFill>
          </w14:textFill>
        </w:rPr>
        <w:t>波纹钢板波形图</w:t>
      </w:r>
    </w:p>
    <w:p>
      <w:pPr>
        <w:jc w:val="center"/>
        <w:rPr>
          <w:rFonts w:ascii="宋体" w:hAnsi="宋体"/>
          <w:color w:val="000000" w:themeColor="text1"/>
          <w:sz w:val="18"/>
          <w:szCs w:val="18"/>
          <w14:textFill>
            <w14:solidFill>
              <w14:schemeClr w14:val="tx1"/>
            </w14:solidFill>
          </w14:textFill>
        </w:rPr>
      </w:pPr>
    </w:p>
    <w:p>
      <w:pPr>
        <w:outlineLvl w:val="0"/>
        <w:rPr>
          <w:color w:val="000000" w:themeColor="text1"/>
          <w14:textFill>
            <w14:solidFill>
              <w14:schemeClr w14:val="tx1"/>
            </w14:solidFill>
          </w14:textFill>
        </w:rPr>
      </w:pPr>
    </w:p>
    <w:p>
      <w:pPr>
        <w:spacing w:before="156" w:beforeLines="50" w:after="156" w:afterLines="50"/>
        <w:jc w:val="left"/>
        <w:outlineLvl w:val="1"/>
        <w:rPr>
          <w:rFonts w:ascii="黑体" w:hAnsi="黑体" w:eastAsia="黑体"/>
          <w:color w:val="000000" w:themeColor="text1"/>
          <w:szCs w:val="21"/>
          <w14:textFill>
            <w14:solidFill>
              <w14:schemeClr w14:val="tx1"/>
            </w14:solidFill>
          </w14:textFill>
        </w:rPr>
      </w:pPr>
    </w:p>
    <w:p>
      <w:pPr>
        <w:spacing w:before="156" w:beforeLines="50" w:after="156" w:afterLines="50"/>
        <w:ind w:firstLine="1470" w:firstLineChars="700"/>
        <w:jc w:val="left"/>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附表</w:t>
      </w:r>
      <w:r>
        <w:rPr>
          <w:rFonts w:ascii="黑体" w:hAnsi="黑体" w:eastAsia="黑体"/>
          <w:color w:val="000000" w:themeColor="text1"/>
          <w:szCs w:val="21"/>
          <w14:textFill>
            <w14:solidFill>
              <w14:schemeClr w14:val="tx1"/>
            </w14:solidFill>
          </w14:textFill>
        </w:rPr>
        <w:t>C</w:t>
      </w:r>
      <w:r>
        <w:rPr>
          <w:rFonts w:hint="eastAsia" w:ascii="黑体" w:hAnsi="黑体" w:eastAsia="黑体"/>
          <w:color w:val="000000" w:themeColor="text1"/>
          <w:szCs w:val="21"/>
          <w14:textFill>
            <w14:solidFill>
              <w14:schemeClr w14:val="tx1"/>
            </w14:solidFill>
          </w14:textFill>
        </w:rPr>
        <w:t>： 甲壳梁钢甲壳截面特性</w:t>
      </w:r>
    </w:p>
    <w:p>
      <w:pPr>
        <w:spacing w:before="156" w:beforeLines="50" w:after="156" w:afterLines="50"/>
        <w:jc w:val="left"/>
        <w:outlineLvl w:val="1"/>
        <w:rPr>
          <w:rFonts w:ascii="黑体" w:hAnsi="黑体" w:eastAsia="黑体"/>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4126230" cy="5230495"/>
            <wp:effectExtent l="0" t="0" r="762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126230" cy="5230495"/>
                    </a:xfrm>
                    <a:prstGeom prst="rect">
                      <a:avLst/>
                    </a:prstGeom>
                    <a:noFill/>
                    <a:ln>
                      <a:noFill/>
                    </a:ln>
                  </pic:spPr>
                </pic:pic>
              </a:graphicData>
            </a:graphic>
          </wp:inline>
        </w:drawing>
      </w:r>
    </w:p>
    <w:p>
      <w:pPr>
        <w:spacing w:before="156" w:beforeLines="50" w:after="156" w:afterLines="50"/>
        <w:jc w:val="center"/>
        <w:rPr>
          <w:rFonts w:ascii="黑体" w:hAnsi="黑体" w:eastAsia="黑体"/>
          <w:color w:val="000000" w:themeColor="text1"/>
          <w:szCs w:val="21"/>
          <w14:textFill>
            <w14:solidFill>
              <w14:schemeClr w14:val="tx1"/>
            </w14:solidFill>
          </w14:textFill>
        </w:rPr>
      </w:pPr>
      <w:bookmarkStart w:id="115" w:name="_Toc26202248"/>
      <w:r>
        <w:rPr>
          <w:rFonts w:hint="eastAsia" w:ascii="黑体" w:hAnsi="黑体" w:eastAsia="黑体"/>
          <w:color w:val="000000" w:themeColor="text1"/>
          <w:szCs w:val="21"/>
          <w14:textFill>
            <w14:solidFill>
              <w14:schemeClr w14:val="tx1"/>
            </w14:solidFill>
          </w14:textFill>
        </w:rPr>
        <w:t>续附表</w:t>
      </w:r>
      <w:r>
        <w:rPr>
          <w:rFonts w:ascii="黑体" w:hAnsi="黑体" w:eastAsia="黑体"/>
          <w:color w:val="000000" w:themeColor="text1"/>
          <w:szCs w:val="21"/>
          <w14:textFill>
            <w14:solidFill>
              <w14:schemeClr w14:val="tx1"/>
            </w14:solidFill>
          </w14:textFill>
        </w:rPr>
        <w:t>C</w:t>
      </w:r>
      <w:bookmarkEnd w:id="115"/>
    </w:p>
    <w:p>
      <w:pPr>
        <w:widowControl/>
        <w:jc w:val="left"/>
        <w:rPr>
          <w:rFonts w:asciiTheme="minorEastAsia" w:hAnsiTheme="minorEastAsia" w:cstheme="minorEastAsia"/>
          <w:b/>
          <w:bCs/>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4126230" cy="4539615"/>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126230" cy="4539615"/>
                    </a:xfrm>
                    <a:prstGeom prst="rect">
                      <a:avLst/>
                    </a:prstGeom>
                    <a:noFill/>
                    <a:ln>
                      <a:noFill/>
                    </a:ln>
                  </pic:spPr>
                </pic:pic>
              </a:graphicData>
            </a:graphic>
          </wp:inline>
        </w:drawing>
      </w:r>
    </w:p>
    <w:p>
      <w:pPr>
        <w:spacing w:before="156" w:beforeLines="50"/>
        <w:jc w:val="left"/>
        <w:rPr>
          <w:rFonts w:ascii="宋体" w:hAnsi="宋体" w:eastAsia="宋体"/>
          <w:color w:val="000000" w:themeColor="text1"/>
          <w:sz w:val="18"/>
          <w:szCs w:val="18"/>
          <w14:textFill>
            <w14:solidFill>
              <w14:schemeClr w14:val="tx1"/>
            </w14:solidFill>
          </w14:textFill>
        </w:rPr>
      </w:pPr>
      <w:r>
        <w:rPr>
          <w:rFonts w:hint="eastAsia" w:ascii="宋体" w:hAnsi="宋体" w:eastAsia="宋体"/>
          <w:color w:val="000000" w:themeColor="text1"/>
          <w:sz w:val="18"/>
          <w:szCs w:val="18"/>
          <w14:textFill>
            <w14:solidFill>
              <w14:schemeClr w14:val="tx1"/>
            </w14:solidFill>
          </w14:textFill>
        </w:rPr>
        <w:t>注：1</w:t>
      </w:r>
      <w:r>
        <w:rPr>
          <w:rFonts w:ascii="宋体" w:hAnsi="宋体" w:eastAsia="宋体"/>
          <w:color w:val="000000" w:themeColor="text1"/>
          <w:sz w:val="18"/>
          <w:szCs w:val="18"/>
          <w14:textFill>
            <w14:solidFill>
              <w14:schemeClr w14:val="tx1"/>
            </w14:solidFill>
          </w14:textFill>
        </w:rPr>
        <w:t>.表中</w:t>
      </w:r>
      <w:r>
        <w:rPr>
          <w:rFonts w:hint="eastAsia" w:ascii="宋体" w:hAnsi="宋体" w:eastAsia="宋体"/>
          <w:color w:val="000000" w:themeColor="text1"/>
          <w:sz w:val="18"/>
          <w:szCs w:val="18"/>
          <w14:textFill>
            <w14:solidFill>
              <w14:schemeClr w14:val="tx1"/>
            </w14:solidFill>
          </w14:textFill>
        </w:rPr>
        <w:t>I</w:t>
      </w:r>
      <w:r>
        <w:rPr>
          <w:rFonts w:ascii="宋体" w:hAnsi="宋体" w:eastAsia="宋体"/>
          <w:color w:val="000000" w:themeColor="text1"/>
          <w:sz w:val="18"/>
          <w:szCs w:val="18"/>
          <w:vertAlign w:val="subscript"/>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为钢甲壳绕</w:t>
      </w:r>
      <w:r>
        <w:rPr>
          <w:rFonts w:hint="eastAsia" w:ascii="宋体" w:hAnsi="宋体" w:eastAsia="宋体"/>
          <w:color w:val="000000" w:themeColor="text1"/>
          <w:sz w:val="18"/>
          <w:szCs w:val="18"/>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轴的截面惯性矩；</w:t>
      </w:r>
      <w:r>
        <w:rPr>
          <w:rFonts w:hint="eastAsia" w:ascii="宋体" w:hAnsi="宋体" w:eastAsia="宋体"/>
          <w:color w:val="000000" w:themeColor="text1"/>
          <w:sz w:val="18"/>
          <w:szCs w:val="18"/>
          <w14:textFill>
            <w14:solidFill>
              <w14:schemeClr w14:val="tx1"/>
            </w14:solidFill>
          </w14:textFill>
        </w:rPr>
        <w:t xml:space="preserve"> </w:t>
      </w:r>
      <w:r>
        <w:rPr>
          <w:rFonts w:ascii="宋体" w:hAnsi="宋体" w:eastAsia="宋体"/>
          <w:color w:val="000000" w:themeColor="text1"/>
          <w:sz w:val="18"/>
          <w:szCs w:val="18"/>
          <w14:textFill>
            <w14:solidFill>
              <w14:schemeClr w14:val="tx1"/>
            </w14:solidFill>
          </w14:textFill>
        </w:rPr>
        <w:t xml:space="preserve"> </w:t>
      </w:r>
    </w:p>
    <w:p>
      <w:pPr>
        <w:spacing w:before="156" w:beforeLines="50"/>
        <w:ind w:firstLine="360" w:firstLineChars="200"/>
        <w:jc w:val="left"/>
        <w:rPr>
          <w:rFonts w:ascii="宋体" w:hAnsi="宋体" w:eastAsia="宋体"/>
          <w:color w:val="000000" w:themeColor="text1"/>
          <w:sz w:val="18"/>
          <w:szCs w:val="18"/>
          <w14:textFill>
            <w14:solidFill>
              <w14:schemeClr w14:val="tx1"/>
            </w14:solidFill>
          </w14:textFill>
        </w:rPr>
      </w:pPr>
      <w:r>
        <w:rPr>
          <w:rFonts w:ascii="宋体" w:hAnsi="宋体" w:eastAsia="宋体"/>
          <w:color w:val="000000" w:themeColor="text1"/>
          <w:sz w:val="18"/>
          <w:szCs w:val="18"/>
          <w14:textFill>
            <w14:solidFill>
              <w14:schemeClr w14:val="tx1"/>
            </w14:solidFill>
          </w14:textFill>
        </w:rPr>
        <w:t>2. 表中W</w:t>
      </w:r>
      <w:r>
        <w:rPr>
          <w:rFonts w:ascii="宋体" w:hAnsi="宋体" w:eastAsia="宋体"/>
          <w:color w:val="000000" w:themeColor="text1"/>
          <w:sz w:val="18"/>
          <w:szCs w:val="18"/>
          <w:vertAlign w:val="subscript"/>
          <w14:textFill>
            <w14:solidFill>
              <w14:schemeClr w14:val="tx1"/>
            </w14:solidFill>
          </w14:textFill>
        </w:rPr>
        <w:t>Xmin</w:t>
      </w:r>
      <w:r>
        <w:rPr>
          <w:rFonts w:hint="eastAsia" w:ascii="宋体" w:hAnsi="宋体" w:eastAsia="宋体"/>
          <w:color w:val="000000" w:themeColor="text1"/>
          <w:sz w:val="18"/>
          <w:szCs w:val="18"/>
          <w14:textFill>
            <w14:solidFill>
              <w14:schemeClr w14:val="tx1"/>
            </w14:solidFill>
          </w14:textFill>
        </w:rPr>
        <w:t>为</w:t>
      </w:r>
      <w:r>
        <w:rPr>
          <w:rFonts w:ascii="宋体" w:hAnsi="宋体" w:eastAsia="宋体"/>
          <w:color w:val="000000" w:themeColor="text1"/>
          <w:sz w:val="18"/>
          <w:szCs w:val="18"/>
          <w14:textFill>
            <w14:solidFill>
              <w14:schemeClr w14:val="tx1"/>
            </w14:solidFill>
          </w14:textFill>
        </w:rPr>
        <w:t>钢甲壳绕</w:t>
      </w:r>
      <w:r>
        <w:rPr>
          <w:rFonts w:hint="eastAsia" w:ascii="宋体" w:hAnsi="宋体" w:eastAsia="宋体"/>
          <w:color w:val="000000" w:themeColor="text1"/>
          <w:sz w:val="18"/>
          <w:szCs w:val="18"/>
          <w14:textFill>
            <w14:solidFill>
              <w14:schemeClr w14:val="tx1"/>
            </w14:solidFill>
          </w14:textFill>
        </w:rPr>
        <w:t>X</w:t>
      </w:r>
      <w:r>
        <w:rPr>
          <w:rFonts w:ascii="宋体" w:hAnsi="宋体" w:eastAsia="宋体"/>
          <w:color w:val="000000" w:themeColor="text1"/>
          <w:sz w:val="18"/>
          <w:szCs w:val="18"/>
          <w14:textFill>
            <w14:solidFill>
              <w14:schemeClr w14:val="tx1"/>
            </w14:solidFill>
          </w14:textFill>
        </w:rPr>
        <w:t>轴的</w:t>
      </w:r>
      <w:r>
        <w:rPr>
          <w:rFonts w:hint="eastAsia" w:ascii="宋体" w:hAnsi="宋体" w:eastAsia="宋体"/>
          <w:color w:val="000000" w:themeColor="text1"/>
          <w:sz w:val="18"/>
          <w:szCs w:val="18"/>
          <w14:textFill>
            <w14:solidFill>
              <w14:schemeClr w14:val="tx1"/>
            </w14:solidFill>
          </w14:textFill>
        </w:rPr>
        <w:t>最小</w:t>
      </w:r>
      <w:r>
        <w:rPr>
          <w:rFonts w:ascii="宋体" w:hAnsi="宋体" w:eastAsia="宋体"/>
          <w:color w:val="000000" w:themeColor="text1"/>
          <w:sz w:val="18"/>
          <w:szCs w:val="18"/>
          <w14:textFill>
            <w14:solidFill>
              <w14:schemeClr w14:val="tx1"/>
            </w14:solidFill>
          </w14:textFill>
        </w:rPr>
        <w:t>截面</w:t>
      </w:r>
      <w:r>
        <w:rPr>
          <w:rFonts w:hint="eastAsia" w:ascii="宋体" w:hAnsi="宋体" w:eastAsia="宋体"/>
          <w:color w:val="000000" w:themeColor="text1"/>
          <w:sz w:val="18"/>
          <w:szCs w:val="18"/>
          <w14:textFill>
            <w14:solidFill>
              <w14:schemeClr w14:val="tx1"/>
            </w14:solidFill>
          </w14:textFill>
        </w:rPr>
        <w:t>模量</w:t>
      </w:r>
      <w:r>
        <w:rPr>
          <w:rFonts w:ascii="宋体" w:hAnsi="宋体" w:eastAsia="宋体"/>
          <w:color w:val="000000" w:themeColor="text1"/>
          <w:sz w:val="18"/>
          <w:szCs w:val="18"/>
          <w14:textFill>
            <w14:solidFill>
              <w14:schemeClr w14:val="tx1"/>
            </w14:solidFill>
          </w14:textFill>
        </w:rPr>
        <w:t>；</w:t>
      </w:r>
    </w:p>
    <w:p>
      <w:pPr>
        <w:widowControl/>
        <w:jc w:val="left"/>
        <w:rPr>
          <w:rFonts w:asciiTheme="minorEastAsia" w:hAnsiTheme="minorEastAsia" w:cstheme="minorEastAsia"/>
          <w:b/>
          <w:bCs/>
          <w:color w:val="000000" w:themeColor="text1"/>
          <w:sz w:val="28"/>
          <w:szCs w:val="28"/>
          <w14:textFill>
            <w14:solidFill>
              <w14:schemeClr w14:val="tx1"/>
            </w14:solidFill>
          </w14:textFill>
        </w:rPr>
      </w:pPr>
      <w:r>
        <w:rPr>
          <w:rFonts w:asciiTheme="minorEastAsia" w:hAnsiTheme="minorEastAsia" w:cstheme="minorEastAsia"/>
          <w:b/>
          <w:bCs/>
          <w:color w:val="000000" w:themeColor="text1"/>
          <w:sz w:val="28"/>
          <w:szCs w:val="28"/>
          <w14:textFill>
            <w14:solidFill>
              <w14:schemeClr w14:val="tx1"/>
            </w14:solidFill>
          </w14:textFill>
        </w:rPr>
        <w:br w:type="page"/>
      </w:r>
    </w:p>
    <w:p>
      <w:pPr>
        <w:jc w:val="center"/>
        <w:outlineLvl w:val="0"/>
        <w:rPr>
          <w:rFonts w:hint="eastAsia" w:ascii="黑体" w:hAnsi="黑体" w:eastAsia="黑体"/>
          <w:b/>
          <w:bCs/>
          <w:color w:val="000000" w:themeColor="text1"/>
          <w:sz w:val="28"/>
          <w:szCs w:val="28"/>
          <w14:textFill>
            <w14:solidFill>
              <w14:schemeClr w14:val="tx1"/>
            </w14:solidFill>
          </w14:textFill>
        </w:rPr>
      </w:pPr>
      <w:bookmarkStart w:id="116" w:name="_Toc28706919"/>
      <w:r>
        <w:rPr>
          <w:rFonts w:hint="eastAsia" w:ascii="黑体" w:hAnsi="黑体" w:eastAsia="黑体"/>
          <w:b/>
          <w:bCs/>
          <w:color w:val="000000" w:themeColor="text1"/>
          <w:sz w:val="28"/>
          <w:szCs w:val="28"/>
          <w14:textFill>
            <w14:solidFill>
              <w14:schemeClr w14:val="tx1"/>
            </w14:solidFill>
          </w14:textFill>
        </w:rPr>
        <w:t>引用标准名录</w:t>
      </w:r>
      <w:bookmarkEnd w:id="116"/>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1 </w:t>
      </w:r>
      <w:r>
        <w:rPr>
          <w:rFonts w:hint="eastAsia" w:asciiTheme="minorEastAsia" w:hAnsiTheme="minorEastAsia" w:cstheme="minorEastAsia"/>
          <w:color w:val="000000" w:themeColor="text1"/>
          <w:szCs w:val="21"/>
          <w14:textFill>
            <w14:solidFill>
              <w14:schemeClr w14:val="tx1"/>
            </w14:solidFill>
          </w14:textFill>
        </w:rPr>
        <w:t>《建筑结构荷载规范》GB50009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 xml:space="preserve">2 </w:t>
      </w:r>
      <w:r>
        <w:rPr>
          <w:rFonts w:hint="eastAsia" w:asciiTheme="minorEastAsia" w:hAnsiTheme="minorEastAsia" w:cstheme="minorEastAsia"/>
          <w:color w:val="000000" w:themeColor="text1"/>
          <w:szCs w:val="21"/>
          <w:lang w:val="en-US" w:eastAsia="zh-CN"/>
          <w14:textFill>
            <w14:solidFill>
              <w14:schemeClr w14:val="tx1"/>
            </w14:solidFill>
          </w14:textFill>
        </w:rPr>
        <w:t>《混凝土结构设计规范》GB 50010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3 </w:t>
      </w:r>
      <w:r>
        <w:rPr>
          <w:rFonts w:hint="eastAsia" w:asciiTheme="minorEastAsia" w:hAnsiTheme="minorEastAsia" w:cstheme="minorEastAsia"/>
          <w:color w:val="000000" w:themeColor="text1"/>
          <w:szCs w:val="21"/>
          <w14:textFill>
            <w14:solidFill>
              <w14:schemeClr w14:val="tx1"/>
            </w14:solidFill>
          </w14:textFill>
        </w:rPr>
        <w:t>《建筑抗震设计规范》G</w:t>
      </w:r>
      <w:r>
        <w:rPr>
          <w:rFonts w:asciiTheme="minorEastAsia" w:hAnsiTheme="minorEastAsia" w:cstheme="minorEastAsia"/>
          <w:color w:val="000000" w:themeColor="text1"/>
          <w:szCs w:val="21"/>
          <w14:textFill>
            <w14:solidFill>
              <w14:schemeClr w14:val="tx1"/>
            </w14:solidFill>
          </w14:textFill>
        </w:rPr>
        <w:t>B50011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4 《钢结构设计标准》GB 50017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5 </w:t>
      </w:r>
      <w:r>
        <w:rPr>
          <w:rFonts w:hint="eastAsia" w:asciiTheme="minorEastAsia" w:hAnsiTheme="minorEastAsia" w:cstheme="minorEastAsia"/>
          <w:color w:val="000000" w:themeColor="text1"/>
          <w:szCs w:val="21"/>
          <w14:textFill>
            <w14:solidFill>
              <w14:schemeClr w14:val="tx1"/>
            </w14:solidFill>
          </w14:textFill>
        </w:rPr>
        <w:t xml:space="preserve">《冷弯型钢结构技术规范》GB50018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6 </w:t>
      </w:r>
      <w:r>
        <w:rPr>
          <w:rFonts w:hint="eastAsia" w:ascii="宋体" w:hAnsi="宋体"/>
          <w:color w:val="000000" w:themeColor="text1"/>
          <w:szCs w:val="21"/>
          <w14:textFill>
            <w14:solidFill>
              <w14:schemeClr w14:val="tx1"/>
            </w14:solidFill>
          </w14:textFill>
        </w:rPr>
        <w:t>《中国地震动参数区划图》</w:t>
      </w:r>
      <w:r>
        <w:rPr>
          <w:rFonts w:hint="eastAsia" w:ascii="宋体" w:hAnsi="宋体"/>
          <w:color w:val="000000" w:themeColor="text1"/>
          <w:szCs w:val="21"/>
          <w:lang w:val="en-US" w:eastAsia="zh-CN"/>
          <w14:textFill>
            <w14:solidFill>
              <w14:schemeClr w14:val="tx1"/>
            </w14:solidFill>
          </w14:textFill>
        </w:rPr>
        <w:t>GB 18306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7 </w:t>
      </w:r>
      <w:r>
        <w:rPr>
          <w:rFonts w:hint="eastAsia" w:asciiTheme="minorEastAsia" w:hAnsiTheme="minorEastAsia" w:cstheme="minorEastAsia"/>
          <w:color w:val="000000" w:themeColor="text1"/>
          <w:szCs w:val="21"/>
          <w14:textFill>
            <w14:solidFill>
              <w14:schemeClr w14:val="tx1"/>
            </w14:solidFill>
          </w14:textFill>
        </w:rPr>
        <w:t>《建筑工程抗震设防分类标准》G</w:t>
      </w:r>
      <w:r>
        <w:rPr>
          <w:rFonts w:asciiTheme="minorEastAsia" w:hAnsiTheme="minorEastAsia" w:cstheme="minorEastAsia"/>
          <w:color w:val="000000" w:themeColor="text1"/>
          <w:szCs w:val="21"/>
          <w14:textFill>
            <w14:solidFill>
              <w14:schemeClr w14:val="tx1"/>
            </w14:solidFill>
          </w14:textFill>
        </w:rPr>
        <w:t>B50223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8 《钢管混凝土结构技术规范》GB 50936</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9 </w:t>
      </w:r>
      <w:r>
        <w:rPr>
          <w:rFonts w:hint="eastAsia" w:asciiTheme="minorEastAsia" w:hAnsiTheme="minorEastAsia" w:cstheme="minorEastAsia"/>
          <w:color w:val="000000" w:themeColor="text1"/>
          <w:szCs w:val="21"/>
          <w14:textFill>
            <w14:solidFill>
              <w14:schemeClr w14:val="tx1"/>
            </w14:solidFill>
          </w14:textFill>
        </w:rPr>
        <w:t>《建筑地基基础设计规范》G</w:t>
      </w:r>
      <w:r>
        <w:rPr>
          <w:rFonts w:asciiTheme="minorEastAsia" w:hAnsiTheme="minorEastAsia" w:cstheme="minorEastAsia"/>
          <w:color w:val="000000" w:themeColor="text1"/>
          <w:szCs w:val="21"/>
          <w14:textFill>
            <w14:solidFill>
              <w14:schemeClr w14:val="tx1"/>
            </w14:solidFill>
          </w14:textFill>
        </w:rPr>
        <w:t>B</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r>
        <w:rPr>
          <w:rFonts w:asciiTheme="minorEastAsia" w:hAnsiTheme="minorEastAsia" w:cstheme="minorEastAsia"/>
          <w:color w:val="000000" w:themeColor="text1"/>
          <w:szCs w:val="21"/>
          <w14:textFill>
            <w14:solidFill>
              <w14:schemeClr w14:val="tx1"/>
            </w14:solidFill>
          </w14:textFill>
        </w:rPr>
        <w:t>50017</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 xml:space="preserve">10 </w:t>
      </w:r>
      <w:r>
        <w:rPr>
          <w:rFonts w:ascii="宋体" w:hAnsi="宋体"/>
          <w:color w:val="000000" w:themeColor="text1"/>
          <w:szCs w:val="21"/>
          <w14:textFill>
            <w14:solidFill>
              <w14:schemeClr w14:val="tx1"/>
            </w14:solidFill>
          </w14:textFill>
        </w:rPr>
        <w:t>《钢结构工程施工质量验收规范》GB 50205</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11</w:t>
      </w:r>
      <w:r>
        <w:rPr>
          <w:rFonts w:ascii="宋体" w:hAnsi="宋体"/>
          <w:color w:val="000000" w:themeColor="text1"/>
          <w:szCs w:val="21"/>
          <w14:textFill>
            <w14:solidFill>
              <w14:schemeClr w14:val="tx1"/>
            </w14:solidFill>
          </w14:textFill>
        </w:rPr>
        <w:t>《混凝土结构工程施工质量验收规范》GB 50204</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12</w:t>
      </w:r>
      <w:r>
        <w:rPr>
          <w:rFonts w:ascii="宋体" w:hAnsi="宋体"/>
          <w:color w:val="000000" w:themeColor="text1"/>
          <w:szCs w:val="21"/>
          <w14:textFill>
            <w14:solidFill>
              <w14:schemeClr w14:val="tx1"/>
            </w14:solidFill>
          </w14:textFill>
        </w:rPr>
        <w:t>《钢管混凝土工程施工质量验收规范》GB 50628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themeColor="text1"/>
          <w:szCs w:val="21"/>
          <w14:textFill>
            <w14:solidFill>
              <w14:schemeClr w14:val="tx1"/>
            </w14:solidFill>
          </w14:textFill>
        </w:rPr>
      </w:pPr>
      <w:r>
        <w:rPr>
          <w:rFonts w:hint="eastAsia" w:asciiTheme="minorEastAsia" w:hAnsiTheme="minorEastAsia" w:cstheme="minorEastAsia"/>
          <w:szCs w:val="21"/>
          <w:lang w:val="en-US" w:eastAsia="zh-CN"/>
        </w:rPr>
        <w:t>13</w:t>
      </w:r>
      <w:r>
        <w:rPr>
          <w:rFonts w:hint="eastAsia" w:asciiTheme="minorEastAsia" w:hAnsiTheme="minorEastAsia" w:cstheme="minorEastAsia"/>
          <w:color w:val="000000" w:themeColor="text1"/>
          <w:szCs w:val="21"/>
          <w14:textFill>
            <w14:solidFill>
              <w14:schemeClr w14:val="tx1"/>
            </w14:solidFill>
          </w14:textFill>
        </w:rPr>
        <w:t>《钢结构焊接规范》GB 50661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14</w:t>
      </w:r>
      <w:r>
        <w:rPr>
          <w:rFonts w:hint="eastAsia" w:asciiTheme="minorEastAsia" w:hAnsiTheme="minorEastAsia" w:cstheme="minorEastAsia"/>
          <w:color w:val="000000" w:themeColor="text1"/>
          <w:szCs w:val="21"/>
          <w14:textFill>
            <w14:solidFill>
              <w14:schemeClr w14:val="tx1"/>
            </w14:solidFill>
          </w14:textFill>
        </w:rPr>
        <w:t xml:space="preserve">《钢结构工程施工规范》GB 50755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15</w:t>
      </w:r>
      <w:r>
        <w:rPr>
          <w:rFonts w:hint="eastAsia" w:asciiTheme="minorEastAsia" w:hAnsiTheme="minorEastAsia" w:cstheme="minorEastAsia"/>
          <w:color w:val="000000" w:themeColor="text1"/>
          <w:szCs w:val="21"/>
          <w14:textFill>
            <w14:solidFill>
              <w14:schemeClr w14:val="tx1"/>
            </w14:solidFill>
          </w14:textFill>
        </w:rPr>
        <w:t>《钢管混凝土工程施工质量验收规范》GB 50628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16</w:t>
      </w:r>
      <w:r>
        <w:rPr>
          <w:rFonts w:ascii="宋体" w:hAnsi="宋体"/>
          <w:color w:val="000000" w:themeColor="text1"/>
          <w:szCs w:val="21"/>
          <w14:textFill>
            <w14:solidFill>
              <w14:schemeClr w14:val="tx1"/>
            </w14:solidFill>
          </w14:textFill>
        </w:rPr>
        <w:t>《建筑工程施工质量验收统一标准》GB 50300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17</w:t>
      </w:r>
      <w:r>
        <w:rPr>
          <w:rFonts w:hint="eastAsia" w:asciiTheme="minorEastAsia" w:hAnsiTheme="minorEastAsia" w:cstheme="minorEastAsia"/>
          <w:color w:val="000000" w:themeColor="text1"/>
          <w:szCs w:val="21"/>
          <w14:textFill>
            <w14:solidFill>
              <w14:schemeClr w14:val="tx1"/>
            </w14:solidFill>
          </w14:textFill>
        </w:rPr>
        <w:t xml:space="preserve">《钢-混凝土组合结构施工规范》GB 50901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18</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lang w:val="en-US" w:eastAsia="zh-CN"/>
          <w14:textFill>
            <w14:solidFill>
              <w14:schemeClr w14:val="tx1"/>
            </w14:solidFill>
          </w14:textFill>
        </w:rPr>
        <w:t>建筑钢结构防火技术规范</w:t>
      </w:r>
      <w:r>
        <w:rPr>
          <w:rFonts w:hint="eastAsia" w:asciiTheme="minorEastAsia" w:hAnsiTheme="minorEastAsia" w:cstheme="minorEastAsia"/>
          <w:color w:val="000000" w:themeColor="text1"/>
          <w:szCs w:val="21"/>
          <w:lang w:eastAsia="zh-CN"/>
          <w14:textFill>
            <w14:solidFill>
              <w14:schemeClr w14:val="tx1"/>
            </w14:solidFill>
          </w14:textFill>
        </w:rPr>
        <w:t>》</w:t>
      </w:r>
      <w:r>
        <w:rPr>
          <w:rFonts w:hint="eastAsia" w:asciiTheme="minorEastAsia" w:hAnsiTheme="minorEastAsia" w:cstheme="minorEastAsia"/>
          <w:color w:val="000000" w:themeColor="text1"/>
          <w:szCs w:val="21"/>
          <w14:textFill>
            <w14:solidFill>
              <w14:schemeClr w14:val="tx1"/>
            </w14:solidFill>
          </w14:textFill>
        </w:rPr>
        <w:t>G</w:t>
      </w:r>
      <w:r>
        <w:rPr>
          <w:rFonts w:asciiTheme="minorEastAsia" w:hAnsiTheme="minorEastAsia" w:cstheme="minorEastAsia"/>
          <w:color w:val="000000" w:themeColor="text1"/>
          <w:szCs w:val="21"/>
          <w14:textFill>
            <w14:solidFill>
              <w14:schemeClr w14:val="tx1"/>
            </w14:solidFill>
          </w14:textFill>
        </w:rPr>
        <w:t>B 51249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19《高层混凝土结构技术规程》JGJ 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20</w:t>
      </w:r>
      <w:r>
        <w:rPr>
          <w:rFonts w:hint="eastAsia" w:asciiTheme="minorEastAsia" w:hAnsiTheme="minorEastAsia" w:cstheme="minorEastAsia"/>
          <w:color w:val="000000" w:themeColor="text1"/>
          <w:szCs w:val="21"/>
          <w14:textFill>
            <w14:solidFill>
              <w14:schemeClr w14:val="tx1"/>
            </w14:solidFill>
          </w14:textFill>
        </w:rPr>
        <w:t xml:space="preserve"> </w:t>
      </w:r>
      <w:r>
        <w:rPr>
          <w:rFonts w:hint="eastAsia" w:asciiTheme="minorEastAsia" w:hAnsiTheme="minorEastAsia" w:cstheme="minorEastAsia"/>
          <w:color w:val="000000" w:themeColor="text1"/>
          <w:szCs w:val="21"/>
          <w:lang w:val="en-US" w:eastAsia="zh-CN"/>
          <w14:textFill>
            <w14:solidFill>
              <w14:schemeClr w14:val="tx1"/>
            </w14:solidFill>
          </w14:textFill>
        </w:rPr>
        <w:t>《高层民用建筑钢结构技术规程》JGJ 99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21</w:t>
      </w:r>
      <w:r>
        <w:rPr>
          <w:rFonts w:hint="eastAsia" w:asciiTheme="minorEastAsia" w:hAnsiTheme="minorEastAsia" w:cstheme="minorEastAsia"/>
          <w:color w:val="000000" w:themeColor="text1"/>
          <w:szCs w:val="21"/>
          <w14:textFill>
            <w14:solidFill>
              <w14:schemeClr w14:val="tx1"/>
            </w14:solidFill>
          </w14:textFill>
        </w:rPr>
        <w:t>《预应力混凝土结构设计规范》JGJ369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22</w:t>
      </w:r>
      <w:r>
        <w:rPr>
          <w:rFonts w:hint="eastAsia" w:asciiTheme="minorEastAsia" w:hAnsiTheme="minorEastAsia" w:cstheme="minorEastAsia"/>
          <w:color w:val="000000" w:themeColor="text1"/>
          <w:szCs w:val="21"/>
          <w14:textFill>
            <w14:solidFill>
              <w14:schemeClr w14:val="tx1"/>
            </w14:solidFill>
          </w14:textFill>
        </w:rPr>
        <w:t>《建筑结构用冷弯矩形钢管》</w:t>
      </w:r>
      <w:r>
        <w:rPr>
          <w:rFonts w:asciiTheme="minorEastAsia" w:hAnsiTheme="minorEastAsia" w:cstheme="minorEastAsia"/>
          <w:color w:val="000000" w:themeColor="text1"/>
          <w:szCs w:val="21"/>
          <w14:textFill>
            <w14:solidFill>
              <w14:schemeClr w14:val="tx1"/>
            </w14:solidFill>
          </w14:textFill>
        </w:rPr>
        <w:t>JG/T 178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23《组合结构设计规范》JGJ 138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24</w:t>
      </w:r>
      <w:r>
        <w:rPr>
          <w:rFonts w:hint="eastAsia" w:asciiTheme="minorEastAsia" w:hAnsiTheme="minorEastAsia" w:cstheme="minorEastAsia"/>
          <w:szCs w:val="21"/>
        </w:rPr>
        <w:t>《组合楼板设计与施工规范》C</w:t>
      </w:r>
      <w:r>
        <w:rPr>
          <w:rFonts w:asciiTheme="minorEastAsia" w:hAnsiTheme="minorEastAsia" w:cstheme="minorEastAsia"/>
          <w:szCs w:val="21"/>
        </w:rPr>
        <w:t>ECS 273</w:t>
      </w:r>
      <w:r>
        <w:rPr>
          <w:rFonts w:hint="eastAsia" w:asciiTheme="minorEastAsia" w:hAnsiTheme="minorEastAsia" w:cstheme="minorEastAsia"/>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cstheme="minorEastAsia"/>
          <w:szCs w:val="21"/>
        </w:rPr>
      </w:pPr>
      <w:r>
        <w:rPr>
          <w:rFonts w:hint="eastAsia" w:asciiTheme="minorEastAsia" w:hAnsiTheme="minorEastAsia" w:cstheme="minorEastAsia"/>
          <w:color w:val="000000" w:themeColor="text1"/>
          <w:szCs w:val="21"/>
          <w:lang w:val="en-US" w:eastAsia="zh-CN"/>
          <w14:textFill>
            <w14:solidFill>
              <w14:schemeClr w14:val="tx1"/>
            </w14:solidFill>
          </w14:textFill>
        </w:rPr>
        <w:t>25《波纹腹板钢结构技术规程》CECS 291</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000000" w:themeColor="text1"/>
          <w:szCs w:val="21"/>
          <w:lang w:val="en-US" w:eastAsia="zh-CN"/>
          <w14:textFill>
            <w14:solidFill>
              <w14:schemeClr w14:val="tx1"/>
            </w14:solidFill>
          </w14:textFill>
        </w:rPr>
      </w:pPr>
    </w:p>
    <w:p>
      <w:pPr>
        <w:rPr>
          <w:rFonts w:hint="eastAsia" w:ascii="黑体" w:hAnsi="黑体" w:eastAsia="黑体"/>
          <w:b/>
          <w:bCs/>
          <w:color w:val="000000" w:themeColor="text1"/>
          <w:sz w:val="28"/>
          <w:szCs w:val="28"/>
          <w14:textFill>
            <w14:solidFill>
              <w14:schemeClr w14:val="tx1"/>
            </w14:solidFill>
          </w14:textFill>
        </w:rPr>
      </w:pPr>
      <w:bookmarkStart w:id="117" w:name="_Toc28706920"/>
      <w:r>
        <w:rPr>
          <w:rFonts w:hint="eastAsia" w:ascii="黑体" w:hAnsi="黑体" w:eastAsia="黑体"/>
          <w:b/>
          <w:bCs/>
          <w:color w:val="000000" w:themeColor="text1"/>
          <w:sz w:val="28"/>
          <w:szCs w:val="28"/>
          <w14:textFill>
            <w14:solidFill>
              <w14:schemeClr w14:val="tx1"/>
            </w14:solidFill>
          </w14:textFill>
        </w:rPr>
        <w:br w:type="page"/>
      </w:r>
    </w:p>
    <w:p>
      <w:pPr>
        <w:jc w:val="center"/>
        <w:outlineLvl w:val="0"/>
        <w:rPr>
          <w:rFonts w:ascii="黑体" w:hAnsi="黑体" w:eastAsia="黑体"/>
          <w:b/>
          <w:bCs/>
          <w:color w:val="000000" w:themeColor="text1"/>
          <w:sz w:val="28"/>
          <w:szCs w:val="28"/>
          <w14:textFill>
            <w14:solidFill>
              <w14:schemeClr w14:val="tx1"/>
            </w14:solidFill>
          </w14:textFill>
        </w:rPr>
      </w:pPr>
      <w:r>
        <w:rPr>
          <w:rFonts w:hint="eastAsia" w:ascii="黑体" w:hAnsi="黑体" w:eastAsia="黑体"/>
          <w:b/>
          <w:bCs/>
          <w:color w:val="000000" w:themeColor="text1"/>
          <w:sz w:val="28"/>
          <w:szCs w:val="28"/>
          <w14:textFill>
            <w14:solidFill>
              <w14:schemeClr w14:val="tx1"/>
            </w14:solidFill>
          </w14:textFill>
        </w:rPr>
        <w:t>条文说明</w:t>
      </w:r>
      <w:r>
        <w:rPr>
          <w:rFonts w:asciiTheme="minorEastAsia" w:hAnsiTheme="minorEastAsia" w:cstheme="minorEastAsia"/>
          <w:b/>
          <w:bCs/>
          <w:color w:val="000000" w:themeColor="text1"/>
          <w:sz w:val="28"/>
          <w:szCs w:val="28"/>
          <w14:textFill>
            <w14:solidFill>
              <w14:schemeClr w14:val="tx1"/>
            </w14:solidFill>
          </w14:textFill>
        </w:rPr>
        <mc:AlternateContent>
          <mc:Choice Requires="wps">
            <w:drawing>
              <wp:anchor distT="0" distB="0" distL="114300" distR="114300" simplePos="0" relativeHeight="251635712" behindDoc="0" locked="0" layoutInCell="1" allowOverlap="1">
                <wp:simplePos x="0" y="0"/>
                <wp:positionH relativeFrom="column">
                  <wp:posOffset>2657475</wp:posOffset>
                </wp:positionH>
                <wp:positionV relativeFrom="paragraph">
                  <wp:posOffset>457835</wp:posOffset>
                </wp:positionV>
                <wp:extent cx="2065020" cy="369570"/>
                <wp:effectExtent l="0" t="0" r="0" b="0"/>
                <wp:wrapNone/>
                <wp:docPr id="21" name="文本框 19"/>
                <wp:cNvGraphicFramePr/>
                <a:graphic xmlns:a="http://schemas.openxmlformats.org/drawingml/2006/main">
                  <a:graphicData uri="http://schemas.microsoft.com/office/word/2010/wordprocessingShape">
                    <wps:wsp>
                      <wps:cNvSpPr txBox="1"/>
                      <wps:spPr>
                        <a:xfrm>
                          <a:off x="0" y="0"/>
                          <a:ext cx="2064733" cy="369332"/>
                        </a:xfrm>
                        <a:prstGeom prst="rect">
                          <a:avLst/>
                        </a:prstGeom>
                        <a:noFill/>
                      </wps:spPr>
                      <wps:txbx>
                        <w:txbxContent>
                          <w:p>
                            <w:pPr>
                              <w:textAlignment w:val="baseline"/>
                              <w:rPr>
                                <w:kern w:val="0"/>
                                <w:sz w:val="24"/>
                                <w:szCs w:val="24"/>
                              </w:rPr>
                            </w:pPr>
                          </w:p>
                        </w:txbxContent>
                      </wps:txbx>
                      <wps:bodyPr wrap="square" rtlCol="0">
                        <a:spAutoFit/>
                      </wps:bodyPr>
                    </wps:wsp>
                  </a:graphicData>
                </a:graphic>
              </wp:anchor>
            </w:drawing>
          </mc:Choice>
          <mc:Fallback>
            <w:pict>
              <v:shape id="文本框 19" o:spid="_x0000_s1026" o:spt="202" type="#_x0000_t202" style="position:absolute;left:0pt;margin-left:209.25pt;margin-top:36.05pt;height:29.1pt;width:162.6pt;z-index:251635712;mso-width-relative:page;mso-height-relative:page;" filled="f" stroked="f" coordsize="21600,21600" o:gfxdata="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mmGZtgAAAAKAQAADwAAAAAA&#10;AAABACAAAAAiAAAAZHJzL2Rvd25yZXYueG1sUEsBAhQAFAAAAAgAh07iQNvGuMahAQAAEQMAAA4A&#10;AAAAAAAAAQAgAAAAJwEAAGRycy9lMm9Eb2MueG1sUEsFBgAAAAAGAAYAWQEAADoFAAAAAA==&#10;">
                <v:fill on="f" focussize="0,0"/>
                <v:stroke on="f"/>
                <v:imagedata o:title=""/>
                <o:lock v:ext="edit" aspectratio="f"/>
                <v:textbox style="mso-fit-shape-to-text:t;">
                  <w:txbxContent>
                    <w:p>
                      <w:pPr>
                        <w:textAlignment w:val="baseline"/>
                        <w:rPr>
                          <w:kern w:val="0"/>
                          <w:sz w:val="24"/>
                          <w:szCs w:val="24"/>
                        </w:rPr>
                      </w:pPr>
                    </w:p>
                  </w:txbxContent>
                </v:textbox>
              </v:shape>
            </w:pict>
          </mc:Fallback>
        </mc:AlternateContent>
      </w:r>
      <w:r>
        <w:rPr>
          <w:rFonts w:asciiTheme="minorEastAsia" w:hAnsiTheme="minorEastAsia" w:cstheme="minorEastAsia"/>
          <w:b/>
          <w:bCs/>
          <w:color w:val="000000" w:themeColor="text1"/>
          <w:sz w:val="28"/>
          <w:szCs w:val="28"/>
          <w14:textFill>
            <w14:solidFill>
              <w14:schemeClr w14:val="tx1"/>
            </w14:solidFill>
          </w14:textFill>
        </w:rPr>
        <mc:AlternateContent>
          <mc:Choice Requires="wps">
            <w:drawing>
              <wp:anchor distT="0" distB="0" distL="114300" distR="114300" simplePos="0" relativeHeight="251634688" behindDoc="0" locked="0" layoutInCell="1" allowOverlap="1">
                <wp:simplePos x="0" y="0"/>
                <wp:positionH relativeFrom="column">
                  <wp:posOffset>2091690</wp:posOffset>
                </wp:positionH>
                <wp:positionV relativeFrom="paragraph">
                  <wp:posOffset>24765</wp:posOffset>
                </wp:positionV>
                <wp:extent cx="441325" cy="1754505"/>
                <wp:effectExtent l="0" t="0" r="0" b="0"/>
                <wp:wrapNone/>
                <wp:docPr id="18" name="文本框 17"/>
                <wp:cNvGraphicFramePr/>
                <a:graphic xmlns:a="http://schemas.openxmlformats.org/drawingml/2006/main">
                  <a:graphicData uri="http://schemas.microsoft.com/office/word/2010/wordprocessingShape">
                    <wps:wsp>
                      <wps:cNvSpPr txBox="1"/>
                      <wps:spPr>
                        <a:xfrm>
                          <a:off x="0" y="0"/>
                          <a:ext cx="441161" cy="1754326"/>
                        </a:xfrm>
                        <a:prstGeom prst="rect">
                          <a:avLst/>
                        </a:prstGeom>
                        <a:noFill/>
                      </wps:spPr>
                      <wps:txbx>
                        <w:txbxContent>
                          <w:p>
                            <w:pPr>
                              <w:textAlignment w:val="baseline"/>
                            </w:pPr>
                          </w:p>
                        </w:txbxContent>
                      </wps:txbx>
                      <wps:bodyPr wrap="square" rtlCol="0">
                        <a:spAutoFit/>
                      </wps:bodyPr>
                    </wps:wsp>
                  </a:graphicData>
                </a:graphic>
              </wp:anchor>
            </w:drawing>
          </mc:Choice>
          <mc:Fallback>
            <w:pict>
              <v:shape id="文本框 17" o:spid="_x0000_s1026" o:spt="202" type="#_x0000_t202" style="position:absolute;left:0pt;margin-left:164.7pt;margin-top:1.95pt;height:138.15pt;width:34.75pt;z-index:251634688;mso-width-relative:page;mso-height-relative:page;" filled="f" stroked="f" coordsize="21600,21600" o:gfxdata="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fg1H9YAAAAJAQAADwAAAAAAAAAB&#10;ACAAAAAiAAAAZHJzL2Rvd25yZXYueG1sUEsBAhQAFAAAAAgAh07iQA6BqZGgAQAAEQMAAA4AAAAA&#10;AAAAAQAgAAAAJQEAAGRycy9lMm9Eb2MueG1sUEsFBgAAAAAGAAYAWQEAADcFAAAAAA==&#10;">
                <v:fill on="f" focussize="0,0"/>
                <v:stroke on="f"/>
                <v:imagedata o:title=""/>
                <o:lock v:ext="edit" aspectratio="f"/>
                <v:textbox style="mso-fit-shape-to-text:t;">
                  <w:txbxContent>
                    <w:p>
                      <w:pPr>
                        <w:textAlignment w:val="baseline"/>
                      </w:pPr>
                    </w:p>
                  </w:txbxContent>
                </v:textbox>
              </v:shape>
            </w:pict>
          </mc:Fallback>
        </mc:AlternateContent>
      </w:r>
      <w:bookmarkEnd w:id="117"/>
    </w:p>
    <w:sectPr>
      <w:footerReference r:id="rId4" w:type="default"/>
      <w:pgSz w:w="7938" w:h="11510"/>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Italic">
    <w:panose1 w:val="00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231020"/>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556631"/>
    <w:multiLevelType w:val="singleLevel"/>
    <w:tmpl w:val="C3556631"/>
    <w:lvl w:ilvl="0" w:tentative="0">
      <w:start w:val="1"/>
      <w:numFmt w:val="lowerLetter"/>
      <w:suff w:val="space"/>
      <w:lvlText w:val="(%1)"/>
      <w:lvlJc w:val="left"/>
    </w:lvl>
  </w:abstractNum>
  <w:abstractNum w:abstractNumId="1">
    <w:nsid w:val="0EF750C3"/>
    <w:multiLevelType w:val="multilevel"/>
    <w:tmpl w:val="0EF750C3"/>
    <w:lvl w:ilvl="0" w:tentative="0">
      <w:start w:val="1"/>
      <w:numFmt w:val="decimal"/>
      <w:lvlText w:val="%1."/>
      <w:lvlJc w:val="left"/>
      <w:pPr>
        <w:ind w:left="780" w:hanging="360"/>
      </w:pPr>
      <w:rPr>
        <w:rFonts w:hint="default"/>
      </w:rPr>
    </w:lvl>
    <w:lvl w:ilvl="1" w:tentative="0">
      <w:start w:val="1"/>
      <w:numFmt w:val="decimal"/>
      <w:isLgl/>
      <w:lvlText w:val="%1.%2"/>
      <w:lvlJc w:val="left"/>
      <w:pPr>
        <w:ind w:left="1050" w:hanging="630"/>
      </w:pPr>
      <w:rPr>
        <w:rFonts w:hint="default"/>
      </w:rPr>
    </w:lvl>
    <w:lvl w:ilvl="2" w:tentative="0">
      <w:start w:val="2"/>
      <w:numFmt w:val="decimal"/>
      <w:isLgl/>
      <w:lvlText w:val="%1.%2.%3"/>
      <w:lvlJc w:val="left"/>
      <w:pPr>
        <w:ind w:left="1140" w:hanging="720"/>
      </w:pPr>
      <w:rPr>
        <w:rFonts w:hint="default"/>
      </w:rPr>
    </w:lvl>
    <w:lvl w:ilvl="3" w:tentative="0">
      <w:start w:val="1"/>
      <w:numFmt w:val="decimal"/>
      <w:isLgl/>
      <w:lvlText w:val="%1.%2.%3.%4"/>
      <w:lvlJc w:val="left"/>
      <w:pPr>
        <w:ind w:left="1500" w:hanging="1080"/>
      </w:pPr>
      <w:rPr>
        <w:rFonts w:hint="default"/>
      </w:rPr>
    </w:lvl>
    <w:lvl w:ilvl="4" w:tentative="0">
      <w:start w:val="1"/>
      <w:numFmt w:val="decimal"/>
      <w:isLgl/>
      <w:lvlText w:val="%1.%2.%3.%4.%5"/>
      <w:lvlJc w:val="left"/>
      <w:pPr>
        <w:ind w:left="1500" w:hanging="1080"/>
      </w:pPr>
      <w:rPr>
        <w:rFonts w:hint="default"/>
      </w:rPr>
    </w:lvl>
    <w:lvl w:ilvl="5" w:tentative="0">
      <w:start w:val="1"/>
      <w:numFmt w:val="decimal"/>
      <w:isLgl/>
      <w:lvlText w:val="%1.%2.%3.%4.%5.%6"/>
      <w:lvlJc w:val="left"/>
      <w:pPr>
        <w:ind w:left="1860" w:hanging="1440"/>
      </w:pPr>
      <w:rPr>
        <w:rFonts w:hint="default"/>
      </w:rPr>
    </w:lvl>
    <w:lvl w:ilvl="6" w:tentative="0">
      <w:start w:val="1"/>
      <w:numFmt w:val="decimal"/>
      <w:isLgl/>
      <w:lvlText w:val="%1.%2.%3.%4.%5.%6.%7"/>
      <w:lvlJc w:val="left"/>
      <w:pPr>
        <w:ind w:left="1860" w:hanging="1440"/>
      </w:pPr>
      <w:rPr>
        <w:rFonts w:hint="default"/>
      </w:rPr>
    </w:lvl>
    <w:lvl w:ilvl="7" w:tentative="0">
      <w:start w:val="1"/>
      <w:numFmt w:val="decimal"/>
      <w:isLgl/>
      <w:lvlText w:val="%1.%2.%3.%4.%5.%6.%7.%8"/>
      <w:lvlJc w:val="left"/>
      <w:pPr>
        <w:ind w:left="2220" w:hanging="1800"/>
      </w:pPr>
      <w:rPr>
        <w:rFonts w:hint="default"/>
      </w:rPr>
    </w:lvl>
    <w:lvl w:ilvl="8" w:tentative="0">
      <w:start w:val="1"/>
      <w:numFmt w:val="decimal"/>
      <w:isLgl/>
      <w:lvlText w:val="%1.%2.%3.%4.%5.%6.%7.%8.%9"/>
      <w:lvlJc w:val="left"/>
      <w:pPr>
        <w:ind w:left="2220" w:hanging="1800"/>
      </w:pPr>
      <w:rPr>
        <w:rFonts w:hint="default"/>
      </w:rPr>
    </w:lvl>
  </w:abstractNum>
  <w:abstractNum w:abstractNumId="2">
    <w:nsid w:val="1AB6745F"/>
    <w:multiLevelType w:val="multilevel"/>
    <w:tmpl w:val="1AB6745F"/>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3">
    <w:nsid w:val="27483E28"/>
    <w:multiLevelType w:val="multilevel"/>
    <w:tmpl w:val="27483E28"/>
    <w:lvl w:ilvl="0" w:tentative="0">
      <w:start w:val="1"/>
      <w:numFmt w:val="decimal"/>
      <w:lvlText w:val="%1."/>
      <w:lvlJc w:val="left"/>
      <w:pPr>
        <w:ind w:left="2985" w:hanging="360"/>
      </w:pPr>
      <w:rPr>
        <w:rFonts w:hint="default"/>
      </w:rPr>
    </w:lvl>
    <w:lvl w:ilvl="1" w:tentative="0">
      <w:start w:val="0"/>
      <w:numFmt w:val="decimal"/>
      <w:isLgl/>
      <w:lvlText w:val="%1.%2"/>
      <w:lvlJc w:val="left"/>
      <w:pPr>
        <w:ind w:left="3165" w:hanging="540"/>
      </w:pPr>
      <w:rPr>
        <w:rFonts w:hint="default"/>
      </w:rPr>
    </w:lvl>
    <w:lvl w:ilvl="2" w:tentative="0">
      <w:start w:val="1"/>
      <w:numFmt w:val="decimal"/>
      <w:isLgl/>
      <w:lvlText w:val="%1.%2.%3"/>
      <w:lvlJc w:val="left"/>
      <w:pPr>
        <w:ind w:left="720" w:hanging="720"/>
      </w:pPr>
      <w:rPr>
        <w:rFonts w:hint="default" w:ascii="黑体" w:eastAsia="黑体"/>
      </w:rPr>
    </w:lvl>
    <w:lvl w:ilvl="3" w:tentative="0">
      <w:start w:val="1"/>
      <w:numFmt w:val="decimal"/>
      <w:isLgl/>
      <w:lvlText w:val="%1.%2.%3.%4"/>
      <w:lvlJc w:val="left"/>
      <w:pPr>
        <w:ind w:left="3345" w:hanging="720"/>
      </w:pPr>
      <w:rPr>
        <w:rFonts w:hint="default"/>
      </w:rPr>
    </w:lvl>
    <w:lvl w:ilvl="4" w:tentative="0">
      <w:start w:val="1"/>
      <w:numFmt w:val="decimal"/>
      <w:isLgl/>
      <w:lvlText w:val="%1.%2.%3.%4.%5"/>
      <w:lvlJc w:val="left"/>
      <w:pPr>
        <w:ind w:left="3705" w:hanging="1080"/>
      </w:pPr>
      <w:rPr>
        <w:rFonts w:hint="default"/>
      </w:rPr>
    </w:lvl>
    <w:lvl w:ilvl="5" w:tentative="0">
      <w:start w:val="1"/>
      <w:numFmt w:val="decimal"/>
      <w:isLgl/>
      <w:lvlText w:val="%1.%2.%3.%4.%5.%6"/>
      <w:lvlJc w:val="left"/>
      <w:pPr>
        <w:ind w:left="3705" w:hanging="1080"/>
      </w:pPr>
      <w:rPr>
        <w:rFonts w:hint="default"/>
      </w:rPr>
    </w:lvl>
    <w:lvl w:ilvl="6" w:tentative="0">
      <w:start w:val="1"/>
      <w:numFmt w:val="decimal"/>
      <w:isLgl/>
      <w:lvlText w:val="%1.%2.%3.%4.%5.%6.%7"/>
      <w:lvlJc w:val="left"/>
      <w:pPr>
        <w:ind w:left="3705" w:hanging="1080"/>
      </w:pPr>
      <w:rPr>
        <w:rFonts w:hint="default"/>
      </w:rPr>
    </w:lvl>
    <w:lvl w:ilvl="7" w:tentative="0">
      <w:start w:val="1"/>
      <w:numFmt w:val="decimal"/>
      <w:isLgl/>
      <w:lvlText w:val="%1.%2.%3.%4.%5.%6.%7.%8"/>
      <w:lvlJc w:val="left"/>
      <w:pPr>
        <w:ind w:left="4065" w:hanging="1440"/>
      </w:pPr>
      <w:rPr>
        <w:rFonts w:hint="default"/>
      </w:rPr>
    </w:lvl>
    <w:lvl w:ilvl="8" w:tentative="0">
      <w:start w:val="1"/>
      <w:numFmt w:val="decimal"/>
      <w:isLgl/>
      <w:lvlText w:val="%1.%2.%3.%4.%5.%6.%7.%8.%9"/>
      <w:lvlJc w:val="left"/>
      <w:pPr>
        <w:ind w:left="4065" w:hanging="1440"/>
      </w:pPr>
      <w:rPr>
        <w:rFonts w:hint="default"/>
      </w:rPr>
    </w:lvl>
  </w:abstractNum>
  <w:abstractNum w:abstractNumId="4">
    <w:nsid w:val="3EB146EE"/>
    <w:multiLevelType w:val="multilevel"/>
    <w:tmpl w:val="3EB146EE"/>
    <w:lvl w:ilvl="0" w:tentative="0">
      <w:start w:val="1"/>
      <w:numFmt w:val="decimal"/>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5">
    <w:nsid w:val="67057334"/>
    <w:multiLevelType w:val="multilevel"/>
    <w:tmpl w:val="67057334"/>
    <w:lvl w:ilvl="0" w:tentative="0">
      <w:start w:val="1"/>
      <w:numFmt w:val="lowerLetter"/>
      <w:lvlText w:val="（%1）"/>
      <w:lvlJc w:val="left"/>
      <w:pPr>
        <w:ind w:left="2610" w:hanging="720"/>
      </w:pPr>
      <w:rPr>
        <w:rFonts w:hint="default"/>
      </w:rPr>
    </w:lvl>
    <w:lvl w:ilvl="1" w:tentative="0">
      <w:start w:val="1"/>
      <w:numFmt w:val="lowerLetter"/>
      <w:lvlText w:val="%2)"/>
      <w:lvlJc w:val="left"/>
      <w:pPr>
        <w:ind w:left="2730" w:hanging="420"/>
      </w:pPr>
    </w:lvl>
    <w:lvl w:ilvl="2" w:tentative="0">
      <w:start w:val="1"/>
      <w:numFmt w:val="lowerRoman"/>
      <w:lvlText w:val="%3."/>
      <w:lvlJc w:val="right"/>
      <w:pPr>
        <w:ind w:left="3150" w:hanging="420"/>
      </w:pPr>
    </w:lvl>
    <w:lvl w:ilvl="3" w:tentative="0">
      <w:start w:val="1"/>
      <w:numFmt w:val="decimal"/>
      <w:lvlText w:val="%4."/>
      <w:lvlJc w:val="left"/>
      <w:pPr>
        <w:ind w:left="3570" w:hanging="420"/>
      </w:pPr>
    </w:lvl>
    <w:lvl w:ilvl="4" w:tentative="0">
      <w:start w:val="1"/>
      <w:numFmt w:val="lowerLetter"/>
      <w:lvlText w:val="%5)"/>
      <w:lvlJc w:val="left"/>
      <w:pPr>
        <w:ind w:left="3990" w:hanging="420"/>
      </w:pPr>
    </w:lvl>
    <w:lvl w:ilvl="5" w:tentative="0">
      <w:start w:val="1"/>
      <w:numFmt w:val="lowerRoman"/>
      <w:lvlText w:val="%6."/>
      <w:lvlJc w:val="right"/>
      <w:pPr>
        <w:ind w:left="4410" w:hanging="420"/>
      </w:pPr>
    </w:lvl>
    <w:lvl w:ilvl="6" w:tentative="0">
      <w:start w:val="1"/>
      <w:numFmt w:val="decimal"/>
      <w:lvlText w:val="%7."/>
      <w:lvlJc w:val="left"/>
      <w:pPr>
        <w:ind w:left="4830" w:hanging="420"/>
      </w:pPr>
    </w:lvl>
    <w:lvl w:ilvl="7" w:tentative="0">
      <w:start w:val="1"/>
      <w:numFmt w:val="lowerLetter"/>
      <w:lvlText w:val="%8)"/>
      <w:lvlJc w:val="left"/>
      <w:pPr>
        <w:ind w:left="5250" w:hanging="420"/>
      </w:pPr>
    </w:lvl>
    <w:lvl w:ilvl="8" w:tentative="0">
      <w:start w:val="1"/>
      <w:numFmt w:val="lowerRoman"/>
      <w:lvlText w:val="%9."/>
      <w:lvlJc w:val="right"/>
      <w:pPr>
        <w:ind w:left="5670" w:hanging="420"/>
      </w:pPr>
    </w:lvl>
  </w:abstractNum>
  <w:abstractNum w:abstractNumId="6">
    <w:nsid w:val="763CD54B"/>
    <w:multiLevelType w:val="singleLevel"/>
    <w:tmpl w:val="763CD54B"/>
    <w:lvl w:ilvl="0" w:tentative="0">
      <w:start w:val="1"/>
      <w:numFmt w:val="lowerLetter"/>
      <w:lvlText w:val="(%1)"/>
      <w:lvlJc w:val="left"/>
      <w:pPr>
        <w:tabs>
          <w:tab w:val="left" w:pos="312"/>
        </w:tabs>
      </w:pPr>
    </w:lvl>
  </w:abstractNum>
  <w:num w:numId="1">
    <w:abstractNumId w:val="3"/>
  </w:num>
  <w:num w:numId="2">
    <w:abstractNumId w:val="1"/>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85"/>
    <w:rsid w:val="00003B5D"/>
    <w:rsid w:val="0000447D"/>
    <w:rsid w:val="00004B38"/>
    <w:rsid w:val="00005D5E"/>
    <w:rsid w:val="00010362"/>
    <w:rsid w:val="00011521"/>
    <w:rsid w:val="00012387"/>
    <w:rsid w:val="0001307A"/>
    <w:rsid w:val="00013C52"/>
    <w:rsid w:val="00013CE1"/>
    <w:rsid w:val="00014E65"/>
    <w:rsid w:val="00015177"/>
    <w:rsid w:val="00015E57"/>
    <w:rsid w:val="000171FA"/>
    <w:rsid w:val="000201F2"/>
    <w:rsid w:val="00020927"/>
    <w:rsid w:val="00020C64"/>
    <w:rsid w:val="000236C8"/>
    <w:rsid w:val="0002473A"/>
    <w:rsid w:val="00024741"/>
    <w:rsid w:val="00025BE5"/>
    <w:rsid w:val="000270F2"/>
    <w:rsid w:val="000314C9"/>
    <w:rsid w:val="00031645"/>
    <w:rsid w:val="000336B4"/>
    <w:rsid w:val="00033A14"/>
    <w:rsid w:val="0003596D"/>
    <w:rsid w:val="000412AA"/>
    <w:rsid w:val="00041BA3"/>
    <w:rsid w:val="0004322B"/>
    <w:rsid w:val="000449A3"/>
    <w:rsid w:val="00044CF6"/>
    <w:rsid w:val="000456E2"/>
    <w:rsid w:val="000461B5"/>
    <w:rsid w:val="000462AE"/>
    <w:rsid w:val="000467F2"/>
    <w:rsid w:val="00050051"/>
    <w:rsid w:val="00055BF0"/>
    <w:rsid w:val="00055D05"/>
    <w:rsid w:val="00056972"/>
    <w:rsid w:val="00060CAC"/>
    <w:rsid w:val="000618AC"/>
    <w:rsid w:val="00061C92"/>
    <w:rsid w:val="000634EC"/>
    <w:rsid w:val="0006380E"/>
    <w:rsid w:val="0006501F"/>
    <w:rsid w:val="000650E3"/>
    <w:rsid w:val="00065D82"/>
    <w:rsid w:val="00065F14"/>
    <w:rsid w:val="0007086A"/>
    <w:rsid w:val="00071436"/>
    <w:rsid w:val="00071DE2"/>
    <w:rsid w:val="000734E7"/>
    <w:rsid w:val="00074054"/>
    <w:rsid w:val="00074312"/>
    <w:rsid w:val="000755D2"/>
    <w:rsid w:val="00075C5B"/>
    <w:rsid w:val="00075D60"/>
    <w:rsid w:val="00075E99"/>
    <w:rsid w:val="00076C1A"/>
    <w:rsid w:val="000772DD"/>
    <w:rsid w:val="00077C0D"/>
    <w:rsid w:val="00080E1B"/>
    <w:rsid w:val="00081315"/>
    <w:rsid w:val="000821C4"/>
    <w:rsid w:val="00083DC3"/>
    <w:rsid w:val="00086157"/>
    <w:rsid w:val="00086C2A"/>
    <w:rsid w:val="00086F99"/>
    <w:rsid w:val="00091E80"/>
    <w:rsid w:val="00093B3D"/>
    <w:rsid w:val="00094D5B"/>
    <w:rsid w:val="00095857"/>
    <w:rsid w:val="000966ED"/>
    <w:rsid w:val="00097420"/>
    <w:rsid w:val="00097B87"/>
    <w:rsid w:val="000A1CC5"/>
    <w:rsid w:val="000A2831"/>
    <w:rsid w:val="000A2F99"/>
    <w:rsid w:val="000A41B4"/>
    <w:rsid w:val="000A4B63"/>
    <w:rsid w:val="000A5EA5"/>
    <w:rsid w:val="000A64A2"/>
    <w:rsid w:val="000B0154"/>
    <w:rsid w:val="000B089C"/>
    <w:rsid w:val="000B2C5C"/>
    <w:rsid w:val="000B37CB"/>
    <w:rsid w:val="000B398B"/>
    <w:rsid w:val="000B4029"/>
    <w:rsid w:val="000B66E2"/>
    <w:rsid w:val="000C1D6C"/>
    <w:rsid w:val="000C20DB"/>
    <w:rsid w:val="000C4AB7"/>
    <w:rsid w:val="000C646F"/>
    <w:rsid w:val="000C734F"/>
    <w:rsid w:val="000D08F8"/>
    <w:rsid w:val="000D1502"/>
    <w:rsid w:val="000D3D6C"/>
    <w:rsid w:val="000D3E0A"/>
    <w:rsid w:val="000D470F"/>
    <w:rsid w:val="000D5ADC"/>
    <w:rsid w:val="000D655D"/>
    <w:rsid w:val="000D7A7E"/>
    <w:rsid w:val="000D7DA6"/>
    <w:rsid w:val="000E0E7F"/>
    <w:rsid w:val="000E488E"/>
    <w:rsid w:val="000E4C68"/>
    <w:rsid w:val="000E533B"/>
    <w:rsid w:val="000E55DF"/>
    <w:rsid w:val="000E5E2F"/>
    <w:rsid w:val="000E63E2"/>
    <w:rsid w:val="000E73AF"/>
    <w:rsid w:val="000F29AB"/>
    <w:rsid w:val="000F4E33"/>
    <w:rsid w:val="000F51B2"/>
    <w:rsid w:val="0010150F"/>
    <w:rsid w:val="00103645"/>
    <w:rsid w:val="001038B5"/>
    <w:rsid w:val="00105B7F"/>
    <w:rsid w:val="00110927"/>
    <w:rsid w:val="00110A95"/>
    <w:rsid w:val="00110E25"/>
    <w:rsid w:val="00112315"/>
    <w:rsid w:val="00112721"/>
    <w:rsid w:val="00113970"/>
    <w:rsid w:val="00113F17"/>
    <w:rsid w:val="00114E35"/>
    <w:rsid w:val="001150DA"/>
    <w:rsid w:val="00115154"/>
    <w:rsid w:val="00115262"/>
    <w:rsid w:val="00117382"/>
    <w:rsid w:val="001215B0"/>
    <w:rsid w:val="00123769"/>
    <w:rsid w:val="0012589B"/>
    <w:rsid w:val="00125A9C"/>
    <w:rsid w:val="001264FB"/>
    <w:rsid w:val="00127777"/>
    <w:rsid w:val="00127B83"/>
    <w:rsid w:val="0013091D"/>
    <w:rsid w:val="00130EFB"/>
    <w:rsid w:val="00131382"/>
    <w:rsid w:val="001325F8"/>
    <w:rsid w:val="0013295B"/>
    <w:rsid w:val="00133BCE"/>
    <w:rsid w:val="00134216"/>
    <w:rsid w:val="00134323"/>
    <w:rsid w:val="00135258"/>
    <w:rsid w:val="00135331"/>
    <w:rsid w:val="00135598"/>
    <w:rsid w:val="001356F7"/>
    <w:rsid w:val="00135D51"/>
    <w:rsid w:val="001369BD"/>
    <w:rsid w:val="001369C2"/>
    <w:rsid w:val="0014072A"/>
    <w:rsid w:val="00141370"/>
    <w:rsid w:val="00141548"/>
    <w:rsid w:val="00144EC2"/>
    <w:rsid w:val="001463C9"/>
    <w:rsid w:val="00151672"/>
    <w:rsid w:val="0015195C"/>
    <w:rsid w:val="00152B3F"/>
    <w:rsid w:val="001530F9"/>
    <w:rsid w:val="001540AA"/>
    <w:rsid w:val="00154573"/>
    <w:rsid w:val="001567B7"/>
    <w:rsid w:val="0015732D"/>
    <w:rsid w:val="0016031D"/>
    <w:rsid w:val="0016065A"/>
    <w:rsid w:val="00161155"/>
    <w:rsid w:val="001618C1"/>
    <w:rsid w:val="0016196B"/>
    <w:rsid w:val="00161A3A"/>
    <w:rsid w:val="0016717D"/>
    <w:rsid w:val="001735D7"/>
    <w:rsid w:val="001743D6"/>
    <w:rsid w:val="00175607"/>
    <w:rsid w:val="0017599C"/>
    <w:rsid w:val="00177394"/>
    <w:rsid w:val="00180739"/>
    <w:rsid w:val="00180E9D"/>
    <w:rsid w:val="001815EC"/>
    <w:rsid w:val="001816C7"/>
    <w:rsid w:val="001829C0"/>
    <w:rsid w:val="00182C30"/>
    <w:rsid w:val="00185B09"/>
    <w:rsid w:val="00185E36"/>
    <w:rsid w:val="001862EF"/>
    <w:rsid w:val="001875F4"/>
    <w:rsid w:val="00190374"/>
    <w:rsid w:val="00190BFF"/>
    <w:rsid w:val="0019136F"/>
    <w:rsid w:val="00192F9B"/>
    <w:rsid w:val="00192FC7"/>
    <w:rsid w:val="0019320E"/>
    <w:rsid w:val="00193F10"/>
    <w:rsid w:val="001978C3"/>
    <w:rsid w:val="001A180F"/>
    <w:rsid w:val="001A232F"/>
    <w:rsid w:val="001A2A25"/>
    <w:rsid w:val="001A2A3F"/>
    <w:rsid w:val="001A2CAE"/>
    <w:rsid w:val="001A6734"/>
    <w:rsid w:val="001B0A9E"/>
    <w:rsid w:val="001B0D6C"/>
    <w:rsid w:val="001B1FB0"/>
    <w:rsid w:val="001B233F"/>
    <w:rsid w:val="001B3090"/>
    <w:rsid w:val="001B3199"/>
    <w:rsid w:val="001B74F7"/>
    <w:rsid w:val="001C055B"/>
    <w:rsid w:val="001C17D6"/>
    <w:rsid w:val="001C1804"/>
    <w:rsid w:val="001C2759"/>
    <w:rsid w:val="001C2AB3"/>
    <w:rsid w:val="001C3139"/>
    <w:rsid w:val="001C35CB"/>
    <w:rsid w:val="001C3A24"/>
    <w:rsid w:val="001C6502"/>
    <w:rsid w:val="001C6B99"/>
    <w:rsid w:val="001C6C92"/>
    <w:rsid w:val="001C728B"/>
    <w:rsid w:val="001D0DB2"/>
    <w:rsid w:val="001D374E"/>
    <w:rsid w:val="001D3B85"/>
    <w:rsid w:val="001D3CAE"/>
    <w:rsid w:val="001E0739"/>
    <w:rsid w:val="001E1787"/>
    <w:rsid w:val="001E202D"/>
    <w:rsid w:val="001E2D82"/>
    <w:rsid w:val="001E39F6"/>
    <w:rsid w:val="001E4344"/>
    <w:rsid w:val="001E6110"/>
    <w:rsid w:val="001E6750"/>
    <w:rsid w:val="001F310D"/>
    <w:rsid w:val="001F34D9"/>
    <w:rsid w:val="001F35B4"/>
    <w:rsid w:val="002005A3"/>
    <w:rsid w:val="00201665"/>
    <w:rsid w:val="002049C2"/>
    <w:rsid w:val="00204C52"/>
    <w:rsid w:val="00206555"/>
    <w:rsid w:val="002076E2"/>
    <w:rsid w:val="00207C12"/>
    <w:rsid w:val="00210D65"/>
    <w:rsid w:val="0021198C"/>
    <w:rsid w:val="00211990"/>
    <w:rsid w:val="0021597D"/>
    <w:rsid w:val="00215F51"/>
    <w:rsid w:val="00216E32"/>
    <w:rsid w:val="002172F2"/>
    <w:rsid w:val="00217C69"/>
    <w:rsid w:val="00217E12"/>
    <w:rsid w:val="00221262"/>
    <w:rsid w:val="002213C6"/>
    <w:rsid w:val="00221CB5"/>
    <w:rsid w:val="002230C8"/>
    <w:rsid w:val="00223E73"/>
    <w:rsid w:val="00224669"/>
    <w:rsid w:val="00224CBF"/>
    <w:rsid w:val="00230362"/>
    <w:rsid w:val="00230A40"/>
    <w:rsid w:val="0023150B"/>
    <w:rsid w:val="00232028"/>
    <w:rsid w:val="0023206A"/>
    <w:rsid w:val="00232F7A"/>
    <w:rsid w:val="002350BD"/>
    <w:rsid w:val="002357AD"/>
    <w:rsid w:val="00235E7F"/>
    <w:rsid w:val="00236911"/>
    <w:rsid w:val="00240628"/>
    <w:rsid w:val="00241EED"/>
    <w:rsid w:val="0024499B"/>
    <w:rsid w:val="00245271"/>
    <w:rsid w:val="00245748"/>
    <w:rsid w:val="002459D2"/>
    <w:rsid w:val="0024662B"/>
    <w:rsid w:val="002466E0"/>
    <w:rsid w:val="00247591"/>
    <w:rsid w:val="00247A81"/>
    <w:rsid w:val="00253035"/>
    <w:rsid w:val="002536B0"/>
    <w:rsid w:val="00254492"/>
    <w:rsid w:val="002548E2"/>
    <w:rsid w:val="00255E27"/>
    <w:rsid w:val="00261AB0"/>
    <w:rsid w:val="00263038"/>
    <w:rsid w:val="00265043"/>
    <w:rsid w:val="0026646B"/>
    <w:rsid w:val="0026684A"/>
    <w:rsid w:val="00267DE1"/>
    <w:rsid w:val="00270A3B"/>
    <w:rsid w:val="00271570"/>
    <w:rsid w:val="00272403"/>
    <w:rsid w:val="00272591"/>
    <w:rsid w:val="00273049"/>
    <w:rsid w:val="00273BF7"/>
    <w:rsid w:val="0027446E"/>
    <w:rsid w:val="00274646"/>
    <w:rsid w:val="00274EC3"/>
    <w:rsid w:val="002763D8"/>
    <w:rsid w:val="00277BB7"/>
    <w:rsid w:val="00281B5F"/>
    <w:rsid w:val="002864E9"/>
    <w:rsid w:val="00291B54"/>
    <w:rsid w:val="002927D3"/>
    <w:rsid w:val="0029324B"/>
    <w:rsid w:val="00293C3D"/>
    <w:rsid w:val="00294349"/>
    <w:rsid w:val="002948EB"/>
    <w:rsid w:val="0029639E"/>
    <w:rsid w:val="0029664B"/>
    <w:rsid w:val="002970A3"/>
    <w:rsid w:val="00297254"/>
    <w:rsid w:val="002A0911"/>
    <w:rsid w:val="002A232B"/>
    <w:rsid w:val="002A2BF5"/>
    <w:rsid w:val="002A345A"/>
    <w:rsid w:val="002A3C0D"/>
    <w:rsid w:val="002A3E21"/>
    <w:rsid w:val="002A504D"/>
    <w:rsid w:val="002A64C7"/>
    <w:rsid w:val="002A691F"/>
    <w:rsid w:val="002B04D2"/>
    <w:rsid w:val="002B0F50"/>
    <w:rsid w:val="002B2389"/>
    <w:rsid w:val="002B70AA"/>
    <w:rsid w:val="002C05FA"/>
    <w:rsid w:val="002C2157"/>
    <w:rsid w:val="002C2352"/>
    <w:rsid w:val="002C30EF"/>
    <w:rsid w:val="002C3BA0"/>
    <w:rsid w:val="002C3FCD"/>
    <w:rsid w:val="002C4AAD"/>
    <w:rsid w:val="002C4B26"/>
    <w:rsid w:val="002C54C3"/>
    <w:rsid w:val="002C696B"/>
    <w:rsid w:val="002C7155"/>
    <w:rsid w:val="002D0278"/>
    <w:rsid w:val="002D3344"/>
    <w:rsid w:val="002D5F25"/>
    <w:rsid w:val="002E07C6"/>
    <w:rsid w:val="002E61EF"/>
    <w:rsid w:val="002F12A2"/>
    <w:rsid w:val="002F766F"/>
    <w:rsid w:val="00300070"/>
    <w:rsid w:val="00300B99"/>
    <w:rsid w:val="00300D14"/>
    <w:rsid w:val="00301285"/>
    <w:rsid w:val="00302427"/>
    <w:rsid w:val="00303836"/>
    <w:rsid w:val="003069B6"/>
    <w:rsid w:val="003102CA"/>
    <w:rsid w:val="0031070C"/>
    <w:rsid w:val="00310A5B"/>
    <w:rsid w:val="003116D1"/>
    <w:rsid w:val="00313441"/>
    <w:rsid w:val="0031377D"/>
    <w:rsid w:val="0031602E"/>
    <w:rsid w:val="0031688D"/>
    <w:rsid w:val="00317CCD"/>
    <w:rsid w:val="003200DF"/>
    <w:rsid w:val="0032105F"/>
    <w:rsid w:val="00323A82"/>
    <w:rsid w:val="00325548"/>
    <w:rsid w:val="00326F32"/>
    <w:rsid w:val="003318A5"/>
    <w:rsid w:val="003320E3"/>
    <w:rsid w:val="00332438"/>
    <w:rsid w:val="003335FB"/>
    <w:rsid w:val="0033445D"/>
    <w:rsid w:val="00334DBF"/>
    <w:rsid w:val="003351FC"/>
    <w:rsid w:val="0033736B"/>
    <w:rsid w:val="00340B32"/>
    <w:rsid w:val="0034190A"/>
    <w:rsid w:val="003436E5"/>
    <w:rsid w:val="0034385F"/>
    <w:rsid w:val="003443CE"/>
    <w:rsid w:val="003455D1"/>
    <w:rsid w:val="0034620A"/>
    <w:rsid w:val="00346D30"/>
    <w:rsid w:val="00347564"/>
    <w:rsid w:val="003476A0"/>
    <w:rsid w:val="00353BB0"/>
    <w:rsid w:val="00353E47"/>
    <w:rsid w:val="00356F21"/>
    <w:rsid w:val="00360577"/>
    <w:rsid w:val="00360C63"/>
    <w:rsid w:val="00362651"/>
    <w:rsid w:val="0036528B"/>
    <w:rsid w:val="00372322"/>
    <w:rsid w:val="00372B80"/>
    <w:rsid w:val="003742FA"/>
    <w:rsid w:val="00374920"/>
    <w:rsid w:val="00374B3D"/>
    <w:rsid w:val="00374C59"/>
    <w:rsid w:val="00375B36"/>
    <w:rsid w:val="00376944"/>
    <w:rsid w:val="00377492"/>
    <w:rsid w:val="00377C4F"/>
    <w:rsid w:val="00377D23"/>
    <w:rsid w:val="00381DFB"/>
    <w:rsid w:val="0038243B"/>
    <w:rsid w:val="00382526"/>
    <w:rsid w:val="00386D40"/>
    <w:rsid w:val="00390BA6"/>
    <w:rsid w:val="00393319"/>
    <w:rsid w:val="00393649"/>
    <w:rsid w:val="003946AF"/>
    <w:rsid w:val="003946F8"/>
    <w:rsid w:val="00394E3B"/>
    <w:rsid w:val="0039734F"/>
    <w:rsid w:val="003A2A5F"/>
    <w:rsid w:val="003A47DA"/>
    <w:rsid w:val="003A4A26"/>
    <w:rsid w:val="003B04EF"/>
    <w:rsid w:val="003B0668"/>
    <w:rsid w:val="003B0707"/>
    <w:rsid w:val="003B1CE8"/>
    <w:rsid w:val="003B1CFA"/>
    <w:rsid w:val="003B230C"/>
    <w:rsid w:val="003B339D"/>
    <w:rsid w:val="003B38EB"/>
    <w:rsid w:val="003B3DCC"/>
    <w:rsid w:val="003B4ED7"/>
    <w:rsid w:val="003B4FCE"/>
    <w:rsid w:val="003B52FF"/>
    <w:rsid w:val="003B5308"/>
    <w:rsid w:val="003B6112"/>
    <w:rsid w:val="003B63E1"/>
    <w:rsid w:val="003B6754"/>
    <w:rsid w:val="003B68DB"/>
    <w:rsid w:val="003B6E49"/>
    <w:rsid w:val="003C1D90"/>
    <w:rsid w:val="003C3845"/>
    <w:rsid w:val="003C3BC9"/>
    <w:rsid w:val="003C541B"/>
    <w:rsid w:val="003C587C"/>
    <w:rsid w:val="003C63C2"/>
    <w:rsid w:val="003C64BE"/>
    <w:rsid w:val="003C7565"/>
    <w:rsid w:val="003D02FF"/>
    <w:rsid w:val="003D0F06"/>
    <w:rsid w:val="003D0F62"/>
    <w:rsid w:val="003D17D5"/>
    <w:rsid w:val="003D287E"/>
    <w:rsid w:val="003D2B07"/>
    <w:rsid w:val="003D335F"/>
    <w:rsid w:val="003D33E9"/>
    <w:rsid w:val="003D399C"/>
    <w:rsid w:val="003D3C23"/>
    <w:rsid w:val="003D4480"/>
    <w:rsid w:val="003E1727"/>
    <w:rsid w:val="003E2B5D"/>
    <w:rsid w:val="003E4110"/>
    <w:rsid w:val="003E5348"/>
    <w:rsid w:val="003E573A"/>
    <w:rsid w:val="003E66A1"/>
    <w:rsid w:val="003F038F"/>
    <w:rsid w:val="003F0420"/>
    <w:rsid w:val="003F0D60"/>
    <w:rsid w:val="003F12C6"/>
    <w:rsid w:val="003F1841"/>
    <w:rsid w:val="003F1D35"/>
    <w:rsid w:val="003F1FF3"/>
    <w:rsid w:val="003F34A6"/>
    <w:rsid w:val="003F3D48"/>
    <w:rsid w:val="003F48FB"/>
    <w:rsid w:val="003F5232"/>
    <w:rsid w:val="003F5DE5"/>
    <w:rsid w:val="003F659A"/>
    <w:rsid w:val="003F6B24"/>
    <w:rsid w:val="00400079"/>
    <w:rsid w:val="004002B0"/>
    <w:rsid w:val="0040081D"/>
    <w:rsid w:val="004032AE"/>
    <w:rsid w:val="004036D2"/>
    <w:rsid w:val="004040B7"/>
    <w:rsid w:val="0040545F"/>
    <w:rsid w:val="0040655F"/>
    <w:rsid w:val="004070C7"/>
    <w:rsid w:val="00407584"/>
    <w:rsid w:val="00407DF8"/>
    <w:rsid w:val="00412708"/>
    <w:rsid w:val="00412BF6"/>
    <w:rsid w:val="004176E7"/>
    <w:rsid w:val="00420FA9"/>
    <w:rsid w:val="0042115F"/>
    <w:rsid w:val="00421BDC"/>
    <w:rsid w:val="004220E0"/>
    <w:rsid w:val="00424C19"/>
    <w:rsid w:val="004252F7"/>
    <w:rsid w:val="00425E81"/>
    <w:rsid w:val="0042612D"/>
    <w:rsid w:val="004261DB"/>
    <w:rsid w:val="004305CF"/>
    <w:rsid w:val="00431B1C"/>
    <w:rsid w:val="00431D65"/>
    <w:rsid w:val="00432088"/>
    <w:rsid w:val="004337A3"/>
    <w:rsid w:val="00435AA1"/>
    <w:rsid w:val="004402CF"/>
    <w:rsid w:val="00440861"/>
    <w:rsid w:val="00440DC5"/>
    <w:rsid w:val="00440DCF"/>
    <w:rsid w:val="004412A3"/>
    <w:rsid w:val="004435C6"/>
    <w:rsid w:val="004446BB"/>
    <w:rsid w:val="00444B2C"/>
    <w:rsid w:val="004463D4"/>
    <w:rsid w:val="00450DC6"/>
    <w:rsid w:val="00450EC3"/>
    <w:rsid w:val="00452B15"/>
    <w:rsid w:val="0045391B"/>
    <w:rsid w:val="004541BE"/>
    <w:rsid w:val="00455479"/>
    <w:rsid w:val="004561EA"/>
    <w:rsid w:val="0045766B"/>
    <w:rsid w:val="00461866"/>
    <w:rsid w:val="004618CC"/>
    <w:rsid w:val="0046215A"/>
    <w:rsid w:val="004634AE"/>
    <w:rsid w:val="00463CA1"/>
    <w:rsid w:val="00464A3C"/>
    <w:rsid w:val="00467B33"/>
    <w:rsid w:val="00472C2F"/>
    <w:rsid w:val="00474E6D"/>
    <w:rsid w:val="00475D94"/>
    <w:rsid w:val="00476FD4"/>
    <w:rsid w:val="004778FE"/>
    <w:rsid w:val="00477EDC"/>
    <w:rsid w:val="00481259"/>
    <w:rsid w:val="00482AF2"/>
    <w:rsid w:val="00484A6D"/>
    <w:rsid w:val="0048556D"/>
    <w:rsid w:val="0048692A"/>
    <w:rsid w:val="004909EA"/>
    <w:rsid w:val="00493BAF"/>
    <w:rsid w:val="00494A30"/>
    <w:rsid w:val="004A205B"/>
    <w:rsid w:val="004A2833"/>
    <w:rsid w:val="004A3237"/>
    <w:rsid w:val="004A35A3"/>
    <w:rsid w:val="004A3E63"/>
    <w:rsid w:val="004A5BCF"/>
    <w:rsid w:val="004A5ED1"/>
    <w:rsid w:val="004A74E3"/>
    <w:rsid w:val="004A7A97"/>
    <w:rsid w:val="004B1174"/>
    <w:rsid w:val="004B3E6E"/>
    <w:rsid w:val="004B41D6"/>
    <w:rsid w:val="004B70D0"/>
    <w:rsid w:val="004B7455"/>
    <w:rsid w:val="004B7692"/>
    <w:rsid w:val="004B76F8"/>
    <w:rsid w:val="004C0238"/>
    <w:rsid w:val="004C1B20"/>
    <w:rsid w:val="004C20BD"/>
    <w:rsid w:val="004C2287"/>
    <w:rsid w:val="004C25D5"/>
    <w:rsid w:val="004C27B4"/>
    <w:rsid w:val="004C6028"/>
    <w:rsid w:val="004C613D"/>
    <w:rsid w:val="004C62A7"/>
    <w:rsid w:val="004D0F10"/>
    <w:rsid w:val="004D29B7"/>
    <w:rsid w:val="004D47A0"/>
    <w:rsid w:val="004D58F5"/>
    <w:rsid w:val="004D7848"/>
    <w:rsid w:val="004E03D8"/>
    <w:rsid w:val="004E1BC3"/>
    <w:rsid w:val="004E37C2"/>
    <w:rsid w:val="004E436C"/>
    <w:rsid w:val="004E555B"/>
    <w:rsid w:val="004E6310"/>
    <w:rsid w:val="004E6A10"/>
    <w:rsid w:val="004E6EC3"/>
    <w:rsid w:val="004F28DC"/>
    <w:rsid w:val="004F2E5B"/>
    <w:rsid w:val="004F3DB7"/>
    <w:rsid w:val="004F3E40"/>
    <w:rsid w:val="004F46BA"/>
    <w:rsid w:val="004F5432"/>
    <w:rsid w:val="004F5885"/>
    <w:rsid w:val="00500DDF"/>
    <w:rsid w:val="00503679"/>
    <w:rsid w:val="005053DF"/>
    <w:rsid w:val="00505465"/>
    <w:rsid w:val="00505E13"/>
    <w:rsid w:val="005065D4"/>
    <w:rsid w:val="0050798A"/>
    <w:rsid w:val="00507992"/>
    <w:rsid w:val="00507A21"/>
    <w:rsid w:val="00512CAE"/>
    <w:rsid w:val="00512D09"/>
    <w:rsid w:val="005137F2"/>
    <w:rsid w:val="00513878"/>
    <w:rsid w:val="00515F09"/>
    <w:rsid w:val="005173D4"/>
    <w:rsid w:val="0052120F"/>
    <w:rsid w:val="00522A7D"/>
    <w:rsid w:val="005235DF"/>
    <w:rsid w:val="00523F17"/>
    <w:rsid w:val="00524E8D"/>
    <w:rsid w:val="0052512C"/>
    <w:rsid w:val="0052589E"/>
    <w:rsid w:val="00525B37"/>
    <w:rsid w:val="00525E15"/>
    <w:rsid w:val="00526909"/>
    <w:rsid w:val="0052790C"/>
    <w:rsid w:val="00530175"/>
    <w:rsid w:val="00531295"/>
    <w:rsid w:val="00532249"/>
    <w:rsid w:val="00532757"/>
    <w:rsid w:val="005330C3"/>
    <w:rsid w:val="00533222"/>
    <w:rsid w:val="005332D7"/>
    <w:rsid w:val="00534B11"/>
    <w:rsid w:val="0053535C"/>
    <w:rsid w:val="00535390"/>
    <w:rsid w:val="00535F37"/>
    <w:rsid w:val="005403FD"/>
    <w:rsid w:val="005405A1"/>
    <w:rsid w:val="00540A29"/>
    <w:rsid w:val="00540C0E"/>
    <w:rsid w:val="00541756"/>
    <w:rsid w:val="00542490"/>
    <w:rsid w:val="00546CEF"/>
    <w:rsid w:val="00546D2E"/>
    <w:rsid w:val="00550AED"/>
    <w:rsid w:val="00553081"/>
    <w:rsid w:val="00555187"/>
    <w:rsid w:val="00555AAE"/>
    <w:rsid w:val="00556EE3"/>
    <w:rsid w:val="00557BD8"/>
    <w:rsid w:val="005603FD"/>
    <w:rsid w:val="005611CA"/>
    <w:rsid w:val="005617C7"/>
    <w:rsid w:val="00563133"/>
    <w:rsid w:val="00563950"/>
    <w:rsid w:val="00565495"/>
    <w:rsid w:val="00566E27"/>
    <w:rsid w:val="005678BC"/>
    <w:rsid w:val="005706BB"/>
    <w:rsid w:val="0057074C"/>
    <w:rsid w:val="00572A94"/>
    <w:rsid w:val="005740A1"/>
    <w:rsid w:val="00574ED8"/>
    <w:rsid w:val="005755C0"/>
    <w:rsid w:val="00577396"/>
    <w:rsid w:val="00580BE9"/>
    <w:rsid w:val="005814DB"/>
    <w:rsid w:val="005825BF"/>
    <w:rsid w:val="00582B40"/>
    <w:rsid w:val="00582C13"/>
    <w:rsid w:val="00582FCA"/>
    <w:rsid w:val="00583B1B"/>
    <w:rsid w:val="005840B2"/>
    <w:rsid w:val="005868FD"/>
    <w:rsid w:val="0058768E"/>
    <w:rsid w:val="005900B8"/>
    <w:rsid w:val="00591732"/>
    <w:rsid w:val="00591782"/>
    <w:rsid w:val="00591A6B"/>
    <w:rsid w:val="00592CC5"/>
    <w:rsid w:val="005931CD"/>
    <w:rsid w:val="00594EF6"/>
    <w:rsid w:val="00594F5A"/>
    <w:rsid w:val="00595E9C"/>
    <w:rsid w:val="005974D2"/>
    <w:rsid w:val="005A2D25"/>
    <w:rsid w:val="005A339C"/>
    <w:rsid w:val="005A4464"/>
    <w:rsid w:val="005A4834"/>
    <w:rsid w:val="005A4CF0"/>
    <w:rsid w:val="005A5CEB"/>
    <w:rsid w:val="005B150D"/>
    <w:rsid w:val="005B2976"/>
    <w:rsid w:val="005B3950"/>
    <w:rsid w:val="005B5406"/>
    <w:rsid w:val="005B6078"/>
    <w:rsid w:val="005B617A"/>
    <w:rsid w:val="005C04D8"/>
    <w:rsid w:val="005C0898"/>
    <w:rsid w:val="005C1388"/>
    <w:rsid w:val="005C1804"/>
    <w:rsid w:val="005C1E92"/>
    <w:rsid w:val="005C2288"/>
    <w:rsid w:val="005C231A"/>
    <w:rsid w:val="005C3529"/>
    <w:rsid w:val="005C38A8"/>
    <w:rsid w:val="005C5A5F"/>
    <w:rsid w:val="005C619D"/>
    <w:rsid w:val="005D2191"/>
    <w:rsid w:val="005D34B7"/>
    <w:rsid w:val="005D3BFA"/>
    <w:rsid w:val="005D3FFE"/>
    <w:rsid w:val="005D4E22"/>
    <w:rsid w:val="005D5BC6"/>
    <w:rsid w:val="005D7321"/>
    <w:rsid w:val="005E0F6E"/>
    <w:rsid w:val="005E2ADC"/>
    <w:rsid w:val="005E336C"/>
    <w:rsid w:val="005E3B50"/>
    <w:rsid w:val="005E4141"/>
    <w:rsid w:val="005E41E4"/>
    <w:rsid w:val="005E4AB4"/>
    <w:rsid w:val="005E4F41"/>
    <w:rsid w:val="005E5CDD"/>
    <w:rsid w:val="005F254D"/>
    <w:rsid w:val="005F312C"/>
    <w:rsid w:val="005F3F2C"/>
    <w:rsid w:val="005F451C"/>
    <w:rsid w:val="005F4904"/>
    <w:rsid w:val="005F5983"/>
    <w:rsid w:val="005F64D6"/>
    <w:rsid w:val="005F69E3"/>
    <w:rsid w:val="005F7AA0"/>
    <w:rsid w:val="005F7BC0"/>
    <w:rsid w:val="005F7F40"/>
    <w:rsid w:val="006003E0"/>
    <w:rsid w:val="006011A0"/>
    <w:rsid w:val="0060245C"/>
    <w:rsid w:val="00602874"/>
    <w:rsid w:val="00604DA7"/>
    <w:rsid w:val="006116B0"/>
    <w:rsid w:val="00613333"/>
    <w:rsid w:val="00614036"/>
    <w:rsid w:val="0061460E"/>
    <w:rsid w:val="0061744D"/>
    <w:rsid w:val="00621525"/>
    <w:rsid w:val="006218EF"/>
    <w:rsid w:val="00622828"/>
    <w:rsid w:val="0062315B"/>
    <w:rsid w:val="00624B18"/>
    <w:rsid w:val="00625F0B"/>
    <w:rsid w:val="00627B15"/>
    <w:rsid w:val="00631E9D"/>
    <w:rsid w:val="0063514B"/>
    <w:rsid w:val="00636D3A"/>
    <w:rsid w:val="00637425"/>
    <w:rsid w:val="006440C2"/>
    <w:rsid w:val="00644147"/>
    <w:rsid w:val="00644EF3"/>
    <w:rsid w:val="00645220"/>
    <w:rsid w:val="006458FF"/>
    <w:rsid w:val="00646077"/>
    <w:rsid w:val="00646195"/>
    <w:rsid w:val="006461EB"/>
    <w:rsid w:val="0064734F"/>
    <w:rsid w:val="00651AB6"/>
    <w:rsid w:val="00651F37"/>
    <w:rsid w:val="006548E5"/>
    <w:rsid w:val="00654ED0"/>
    <w:rsid w:val="00661735"/>
    <w:rsid w:val="00662910"/>
    <w:rsid w:val="006647D9"/>
    <w:rsid w:val="00665A00"/>
    <w:rsid w:val="00665A51"/>
    <w:rsid w:val="00665F6B"/>
    <w:rsid w:val="00666466"/>
    <w:rsid w:val="00666A17"/>
    <w:rsid w:val="006671E2"/>
    <w:rsid w:val="00671687"/>
    <w:rsid w:val="006732DC"/>
    <w:rsid w:val="00673778"/>
    <w:rsid w:val="006768DD"/>
    <w:rsid w:val="00680AD3"/>
    <w:rsid w:val="006839B6"/>
    <w:rsid w:val="006844DE"/>
    <w:rsid w:val="00685619"/>
    <w:rsid w:val="00686AA1"/>
    <w:rsid w:val="00686DE7"/>
    <w:rsid w:val="00690069"/>
    <w:rsid w:val="00691344"/>
    <w:rsid w:val="00691A23"/>
    <w:rsid w:val="006920D4"/>
    <w:rsid w:val="00693563"/>
    <w:rsid w:val="00693902"/>
    <w:rsid w:val="00696827"/>
    <w:rsid w:val="0069700B"/>
    <w:rsid w:val="006A17D6"/>
    <w:rsid w:val="006A3182"/>
    <w:rsid w:val="006A435F"/>
    <w:rsid w:val="006A44DD"/>
    <w:rsid w:val="006A6CC5"/>
    <w:rsid w:val="006A6EAE"/>
    <w:rsid w:val="006B04EF"/>
    <w:rsid w:val="006B2DF8"/>
    <w:rsid w:val="006B2F8A"/>
    <w:rsid w:val="006B4282"/>
    <w:rsid w:val="006B4DFB"/>
    <w:rsid w:val="006B5990"/>
    <w:rsid w:val="006B6215"/>
    <w:rsid w:val="006B7455"/>
    <w:rsid w:val="006C0E83"/>
    <w:rsid w:val="006C1C5F"/>
    <w:rsid w:val="006C26A8"/>
    <w:rsid w:val="006C38CD"/>
    <w:rsid w:val="006C5233"/>
    <w:rsid w:val="006C53F6"/>
    <w:rsid w:val="006C6D9A"/>
    <w:rsid w:val="006C756B"/>
    <w:rsid w:val="006D0759"/>
    <w:rsid w:val="006D0C00"/>
    <w:rsid w:val="006D0DFB"/>
    <w:rsid w:val="006D1604"/>
    <w:rsid w:val="006D1833"/>
    <w:rsid w:val="006D1D2A"/>
    <w:rsid w:val="006D317A"/>
    <w:rsid w:val="006D44C8"/>
    <w:rsid w:val="006D470B"/>
    <w:rsid w:val="006D5687"/>
    <w:rsid w:val="006E0F44"/>
    <w:rsid w:val="006E459A"/>
    <w:rsid w:val="006E4846"/>
    <w:rsid w:val="006E53EA"/>
    <w:rsid w:val="006E5B81"/>
    <w:rsid w:val="006E62F3"/>
    <w:rsid w:val="006E697F"/>
    <w:rsid w:val="006E6D4E"/>
    <w:rsid w:val="006E7A9A"/>
    <w:rsid w:val="006F2C80"/>
    <w:rsid w:val="006F30FF"/>
    <w:rsid w:val="006F34DD"/>
    <w:rsid w:val="006F369A"/>
    <w:rsid w:val="006F3BE5"/>
    <w:rsid w:val="006F4CD6"/>
    <w:rsid w:val="006F4DD7"/>
    <w:rsid w:val="006F5CDD"/>
    <w:rsid w:val="006F641F"/>
    <w:rsid w:val="006F6837"/>
    <w:rsid w:val="006F6A85"/>
    <w:rsid w:val="006F6AC4"/>
    <w:rsid w:val="006F7974"/>
    <w:rsid w:val="007000EC"/>
    <w:rsid w:val="00703BE1"/>
    <w:rsid w:val="00703D51"/>
    <w:rsid w:val="00704FEB"/>
    <w:rsid w:val="007072F0"/>
    <w:rsid w:val="00711A32"/>
    <w:rsid w:val="00712D0E"/>
    <w:rsid w:val="00715209"/>
    <w:rsid w:val="00715A2C"/>
    <w:rsid w:val="007161BF"/>
    <w:rsid w:val="00716405"/>
    <w:rsid w:val="0071726B"/>
    <w:rsid w:val="0072085B"/>
    <w:rsid w:val="00723B9D"/>
    <w:rsid w:val="007251AA"/>
    <w:rsid w:val="0072567E"/>
    <w:rsid w:val="00727BE6"/>
    <w:rsid w:val="00741E04"/>
    <w:rsid w:val="00742529"/>
    <w:rsid w:val="007461EA"/>
    <w:rsid w:val="007463B2"/>
    <w:rsid w:val="00750939"/>
    <w:rsid w:val="007510D7"/>
    <w:rsid w:val="00751575"/>
    <w:rsid w:val="00751909"/>
    <w:rsid w:val="00752B6A"/>
    <w:rsid w:val="007531DA"/>
    <w:rsid w:val="007531F4"/>
    <w:rsid w:val="007545E3"/>
    <w:rsid w:val="0075491F"/>
    <w:rsid w:val="0075509F"/>
    <w:rsid w:val="0075759A"/>
    <w:rsid w:val="00762821"/>
    <w:rsid w:val="0076342B"/>
    <w:rsid w:val="00763C86"/>
    <w:rsid w:val="00766C5F"/>
    <w:rsid w:val="007673A2"/>
    <w:rsid w:val="0077067F"/>
    <w:rsid w:val="00770B89"/>
    <w:rsid w:val="0077129D"/>
    <w:rsid w:val="00776144"/>
    <w:rsid w:val="00776149"/>
    <w:rsid w:val="0077617F"/>
    <w:rsid w:val="0077642F"/>
    <w:rsid w:val="00776658"/>
    <w:rsid w:val="00777CE8"/>
    <w:rsid w:val="00780658"/>
    <w:rsid w:val="00780F81"/>
    <w:rsid w:val="00781538"/>
    <w:rsid w:val="007824E7"/>
    <w:rsid w:val="007827F4"/>
    <w:rsid w:val="0078327E"/>
    <w:rsid w:val="00785264"/>
    <w:rsid w:val="0078622E"/>
    <w:rsid w:val="00791674"/>
    <w:rsid w:val="00791F00"/>
    <w:rsid w:val="00793407"/>
    <w:rsid w:val="007937BA"/>
    <w:rsid w:val="007960CE"/>
    <w:rsid w:val="007965A3"/>
    <w:rsid w:val="00796DC2"/>
    <w:rsid w:val="007A2989"/>
    <w:rsid w:val="007A3682"/>
    <w:rsid w:val="007A3B29"/>
    <w:rsid w:val="007B2892"/>
    <w:rsid w:val="007B2A82"/>
    <w:rsid w:val="007B38E4"/>
    <w:rsid w:val="007B3A92"/>
    <w:rsid w:val="007B4EAC"/>
    <w:rsid w:val="007B511A"/>
    <w:rsid w:val="007B532A"/>
    <w:rsid w:val="007B5509"/>
    <w:rsid w:val="007B5D0F"/>
    <w:rsid w:val="007B7D61"/>
    <w:rsid w:val="007C337B"/>
    <w:rsid w:val="007C347C"/>
    <w:rsid w:val="007C3637"/>
    <w:rsid w:val="007C38C5"/>
    <w:rsid w:val="007C3A5E"/>
    <w:rsid w:val="007C4449"/>
    <w:rsid w:val="007C45E2"/>
    <w:rsid w:val="007C493E"/>
    <w:rsid w:val="007C79D7"/>
    <w:rsid w:val="007C7B13"/>
    <w:rsid w:val="007C7BF6"/>
    <w:rsid w:val="007D0DB0"/>
    <w:rsid w:val="007D1016"/>
    <w:rsid w:val="007D6DEF"/>
    <w:rsid w:val="007E1AFF"/>
    <w:rsid w:val="007E3521"/>
    <w:rsid w:val="007E5B9D"/>
    <w:rsid w:val="007E68E6"/>
    <w:rsid w:val="007F229A"/>
    <w:rsid w:val="007F36ED"/>
    <w:rsid w:val="007F42F2"/>
    <w:rsid w:val="007F437D"/>
    <w:rsid w:val="007F5472"/>
    <w:rsid w:val="007F5E33"/>
    <w:rsid w:val="007F6E39"/>
    <w:rsid w:val="008016B2"/>
    <w:rsid w:val="00801BD0"/>
    <w:rsid w:val="008034F9"/>
    <w:rsid w:val="008036FB"/>
    <w:rsid w:val="0080435A"/>
    <w:rsid w:val="008050C8"/>
    <w:rsid w:val="008065FB"/>
    <w:rsid w:val="00807A76"/>
    <w:rsid w:val="00811221"/>
    <w:rsid w:val="00812137"/>
    <w:rsid w:val="0081313C"/>
    <w:rsid w:val="00813C1A"/>
    <w:rsid w:val="00814821"/>
    <w:rsid w:val="00814828"/>
    <w:rsid w:val="0081497C"/>
    <w:rsid w:val="00815F7A"/>
    <w:rsid w:val="0082017B"/>
    <w:rsid w:val="008217BE"/>
    <w:rsid w:val="00822F53"/>
    <w:rsid w:val="00824D4D"/>
    <w:rsid w:val="00827F9B"/>
    <w:rsid w:val="0083010E"/>
    <w:rsid w:val="008313F2"/>
    <w:rsid w:val="008321BC"/>
    <w:rsid w:val="008332D0"/>
    <w:rsid w:val="008334B0"/>
    <w:rsid w:val="00834121"/>
    <w:rsid w:val="00834171"/>
    <w:rsid w:val="00835841"/>
    <w:rsid w:val="00836618"/>
    <w:rsid w:val="008366DD"/>
    <w:rsid w:val="00836E79"/>
    <w:rsid w:val="00837A30"/>
    <w:rsid w:val="00840105"/>
    <w:rsid w:val="00840B4C"/>
    <w:rsid w:val="00841665"/>
    <w:rsid w:val="008420FC"/>
    <w:rsid w:val="00843508"/>
    <w:rsid w:val="008445BA"/>
    <w:rsid w:val="008449DD"/>
    <w:rsid w:val="008450C8"/>
    <w:rsid w:val="0084549D"/>
    <w:rsid w:val="00845517"/>
    <w:rsid w:val="008473A7"/>
    <w:rsid w:val="00847B3A"/>
    <w:rsid w:val="008505E0"/>
    <w:rsid w:val="00851551"/>
    <w:rsid w:val="00851D5C"/>
    <w:rsid w:val="00853BA6"/>
    <w:rsid w:val="0085427F"/>
    <w:rsid w:val="00854E34"/>
    <w:rsid w:val="008562A8"/>
    <w:rsid w:val="00857BDF"/>
    <w:rsid w:val="008601C3"/>
    <w:rsid w:val="008621F3"/>
    <w:rsid w:val="00862EE7"/>
    <w:rsid w:val="008630ED"/>
    <w:rsid w:val="00864153"/>
    <w:rsid w:val="00864564"/>
    <w:rsid w:val="008646D0"/>
    <w:rsid w:val="00864D2E"/>
    <w:rsid w:val="008669EF"/>
    <w:rsid w:val="00872EE3"/>
    <w:rsid w:val="00873508"/>
    <w:rsid w:val="00876DE6"/>
    <w:rsid w:val="00877693"/>
    <w:rsid w:val="00880082"/>
    <w:rsid w:val="00880377"/>
    <w:rsid w:val="00882E23"/>
    <w:rsid w:val="00883047"/>
    <w:rsid w:val="00883A19"/>
    <w:rsid w:val="00884F23"/>
    <w:rsid w:val="008851AA"/>
    <w:rsid w:val="0088624B"/>
    <w:rsid w:val="00887ADF"/>
    <w:rsid w:val="00887F04"/>
    <w:rsid w:val="00890CDB"/>
    <w:rsid w:val="008925ED"/>
    <w:rsid w:val="008926B7"/>
    <w:rsid w:val="008947B3"/>
    <w:rsid w:val="00894DEC"/>
    <w:rsid w:val="00895BBD"/>
    <w:rsid w:val="008A000D"/>
    <w:rsid w:val="008A1A96"/>
    <w:rsid w:val="008A313C"/>
    <w:rsid w:val="008A34F5"/>
    <w:rsid w:val="008A44E2"/>
    <w:rsid w:val="008A48DA"/>
    <w:rsid w:val="008A57B0"/>
    <w:rsid w:val="008B1C36"/>
    <w:rsid w:val="008B3722"/>
    <w:rsid w:val="008B4DCC"/>
    <w:rsid w:val="008B758A"/>
    <w:rsid w:val="008B7AE7"/>
    <w:rsid w:val="008C00B8"/>
    <w:rsid w:val="008C1851"/>
    <w:rsid w:val="008C1D21"/>
    <w:rsid w:val="008C4980"/>
    <w:rsid w:val="008C4BF6"/>
    <w:rsid w:val="008C4E37"/>
    <w:rsid w:val="008C4EAB"/>
    <w:rsid w:val="008C5987"/>
    <w:rsid w:val="008C62B0"/>
    <w:rsid w:val="008C7593"/>
    <w:rsid w:val="008D0DC3"/>
    <w:rsid w:val="008D2240"/>
    <w:rsid w:val="008D39F5"/>
    <w:rsid w:val="008E3CFB"/>
    <w:rsid w:val="008E4785"/>
    <w:rsid w:val="008E59C1"/>
    <w:rsid w:val="008E723D"/>
    <w:rsid w:val="008F0569"/>
    <w:rsid w:val="008F1E16"/>
    <w:rsid w:val="008F24D6"/>
    <w:rsid w:val="008F5B4E"/>
    <w:rsid w:val="0090065F"/>
    <w:rsid w:val="00901338"/>
    <w:rsid w:val="00901FA0"/>
    <w:rsid w:val="00902156"/>
    <w:rsid w:val="0090408C"/>
    <w:rsid w:val="00905A61"/>
    <w:rsid w:val="00906078"/>
    <w:rsid w:val="009102AD"/>
    <w:rsid w:val="009104B7"/>
    <w:rsid w:val="0091071D"/>
    <w:rsid w:val="0091097E"/>
    <w:rsid w:val="00911FA5"/>
    <w:rsid w:val="009134E5"/>
    <w:rsid w:val="0091531F"/>
    <w:rsid w:val="0091691E"/>
    <w:rsid w:val="00920E0F"/>
    <w:rsid w:val="009216AE"/>
    <w:rsid w:val="009216FE"/>
    <w:rsid w:val="00921B39"/>
    <w:rsid w:val="00922B3E"/>
    <w:rsid w:val="0092382E"/>
    <w:rsid w:val="00923D26"/>
    <w:rsid w:val="00924490"/>
    <w:rsid w:val="00924D25"/>
    <w:rsid w:val="00924DFE"/>
    <w:rsid w:val="00927321"/>
    <w:rsid w:val="00930D82"/>
    <w:rsid w:val="00931824"/>
    <w:rsid w:val="00932008"/>
    <w:rsid w:val="00933261"/>
    <w:rsid w:val="009339FC"/>
    <w:rsid w:val="00933F96"/>
    <w:rsid w:val="009358A6"/>
    <w:rsid w:val="00936B39"/>
    <w:rsid w:val="00937238"/>
    <w:rsid w:val="0093747F"/>
    <w:rsid w:val="0093759D"/>
    <w:rsid w:val="009377E1"/>
    <w:rsid w:val="00940F9F"/>
    <w:rsid w:val="00942172"/>
    <w:rsid w:val="0094223F"/>
    <w:rsid w:val="00942FA2"/>
    <w:rsid w:val="009444AD"/>
    <w:rsid w:val="00945EAF"/>
    <w:rsid w:val="009507AC"/>
    <w:rsid w:val="009525CD"/>
    <w:rsid w:val="009543BC"/>
    <w:rsid w:val="00954EE7"/>
    <w:rsid w:val="00956089"/>
    <w:rsid w:val="009565C0"/>
    <w:rsid w:val="00961238"/>
    <w:rsid w:val="00961733"/>
    <w:rsid w:val="00962B87"/>
    <w:rsid w:val="00963536"/>
    <w:rsid w:val="00966761"/>
    <w:rsid w:val="00967142"/>
    <w:rsid w:val="00970828"/>
    <w:rsid w:val="00970997"/>
    <w:rsid w:val="00971274"/>
    <w:rsid w:val="0097234D"/>
    <w:rsid w:val="009726A2"/>
    <w:rsid w:val="009730FB"/>
    <w:rsid w:val="00974AEE"/>
    <w:rsid w:val="009758E7"/>
    <w:rsid w:val="00975964"/>
    <w:rsid w:val="00975C15"/>
    <w:rsid w:val="009760E0"/>
    <w:rsid w:val="00981954"/>
    <w:rsid w:val="0098370A"/>
    <w:rsid w:val="00984E7A"/>
    <w:rsid w:val="0098508B"/>
    <w:rsid w:val="00985DF1"/>
    <w:rsid w:val="00991131"/>
    <w:rsid w:val="00991244"/>
    <w:rsid w:val="00992E0C"/>
    <w:rsid w:val="00996919"/>
    <w:rsid w:val="009974C3"/>
    <w:rsid w:val="009A01B5"/>
    <w:rsid w:val="009A05BC"/>
    <w:rsid w:val="009A22AC"/>
    <w:rsid w:val="009A2337"/>
    <w:rsid w:val="009A5B6A"/>
    <w:rsid w:val="009A61A5"/>
    <w:rsid w:val="009A64A6"/>
    <w:rsid w:val="009B039F"/>
    <w:rsid w:val="009B0797"/>
    <w:rsid w:val="009B0A2F"/>
    <w:rsid w:val="009B0F6E"/>
    <w:rsid w:val="009B1623"/>
    <w:rsid w:val="009B1A3D"/>
    <w:rsid w:val="009B43D8"/>
    <w:rsid w:val="009B509A"/>
    <w:rsid w:val="009B5173"/>
    <w:rsid w:val="009C0574"/>
    <w:rsid w:val="009C0755"/>
    <w:rsid w:val="009C445E"/>
    <w:rsid w:val="009C4934"/>
    <w:rsid w:val="009C70A1"/>
    <w:rsid w:val="009D0011"/>
    <w:rsid w:val="009D2A02"/>
    <w:rsid w:val="009D2C6B"/>
    <w:rsid w:val="009D312E"/>
    <w:rsid w:val="009D4972"/>
    <w:rsid w:val="009D6C77"/>
    <w:rsid w:val="009E026A"/>
    <w:rsid w:val="009E1D4D"/>
    <w:rsid w:val="009E39ED"/>
    <w:rsid w:val="009E4E74"/>
    <w:rsid w:val="009E55F9"/>
    <w:rsid w:val="009E5A8B"/>
    <w:rsid w:val="009E5D1C"/>
    <w:rsid w:val="009E629B"/>
    <w:rsid w:val="009E680E"/>
    <w:rsid w:val="009E6E87"/>
    <w:rsid w:val="009E710F"/>
    <w:rsid w:val="009E7373"/>
    <w:rsid w:val="009F0A01"/>
    <w:rsid w:val="009F138E"/>
    <w:rsid w:val="009F13F4"/>
    <w:rsid w:val="009F1C23"/>
    <w:rsid w:val="009F255C"/>
    <w:rsid w:val="009F268E"/>
    <w:rsid w:val="009F3F24"/>
    <w:rsid w:val="009F4001"/>
    <w:rsid w:val="009F5BE1"/>
    <w:rsid w:val="009F64E6"/>
    <w:rsid w:val="009F76B5"/>
    <w:rsid w:val="009F7E1D"/>
    <w:rsid w:val="00A00615"/>
    <w:rsid w:val="00A00913"/>
    <w:rsid w:val="00A01483"/>
    <w:rsid w:val="00A03EBA"/>
    <w:rsid w:val="00A05819"/>
    <w:rsid w:val="00A060C4"/>
    <w:rsid w:val="00A06732"/>
    <w:rsid w:val="00A07732"/>
    <w:rsid w:val="00A106E6"/>
    <w:rsid w:val="00A1077A"/>
    <w:rsid w:val="00A14C62"/>
    <w:rsid w:val="00A14CB2"/>
    <w:rsid w:val="00A15055"/>
    <w:rsid w:val="00A166FF"/>
    <w:rsid w:val="00A174BB"/>
    <w:rsid w:val="00A230D5"/>
    <w:rsid w:val="00A25222"/>
    <w:rsid w:val="00A27F63"/>
    <w:rsid w:val="00A312C3"/>
    <w:rsid w:val="00A31D71"/>
    <w:rsid w:val="00A35048"/>
    <w:rsid w:val="00A362C9"/>
    <w:rsid w:val="00A365C9"/>
    <w:rsid w:val="00A36B0D"/>
    <w:rsid w:val="00A414BD"/>
    <w:rsid w:val="00A418EB"/>
    <w:rsid w:val="00A42A4D"/>
    <w:rsid w:val="00A436A0"/>
    <w:rsid w:val="00A43D5D"/>
    <w:rsid w:val="00A44B59"/>
    <w:rsid w:val="00A45568"/>
    <w:rsid w:val="00A52B37"/>
    <w:rsid w:val="00A539B6"/>
    <w:rsid w:val="00A53ED1"/>
    <w:rsid w:val="00A54C79"/>
    <w:rsid w:val="00A55578"/>
    <w:rsid w:val="00A565E0"/>
    <w:rsid w:val="00A6002E"/>
    <w:rsid w:val="00A60B1D"/>
    <w:rsid w:val="00A617A4"/>
    <w:rsid w:val="00A61DF5"/>
    <w:rsid w:val="00A61F47"/>
    <w:rsid w:val="00A62C8C"/>
    <w:rsid w:val="00A62F69"/>
    <w:rsid w:val="00A64CF0"/>
    <w:rsid w:val="00A6513B"/>
    <w:rsid w:val="00A66153"/>
    <w:rsid w:val="00A66275"/>
    <w:rsid w:val="00A66EF6"/>
    <w:rsid w:val="00A71818"/>
    <w:rsid w:val="00A7250B"/>
    <w:rsid w:val="00A73B1F"/>
    <w:rsid w:val="00A73E68"/>
    <w:rsid w:val="00A76C3B"/>
    <w:rsid w:val="00A76D91"/>
    <w:rsid w:val="00A774B5"/>
    <w:rsid w:val="00A800DB"/>
    <w:rsid w:val="00A83CAA"/>
    <w:rsid w:val="00A8406D"/>
    <w:rsid w:val="00A850FB"/>
    <w:rsid w:val="00A85275"/>
    <w:rsid w:val="00A857A2"/>
    <w:rsid w:val="00A8635A"/>
    <w:rsid w:val="00A9057E"/>
    <w:rsid w:val="00A90910"/>
    <w:rsid w:val="00A912CB"/>
    <w:rsid w:val="00A92FAB"/>
    <w:rsid w:val="00A95510"/>
    <w:rsid w:val="00A960D9"/>
    <w:rsid w:val="00A96ECF"/>
    <w:rsid w:val="00A97204"/>
    <w:rsid w:val="00AA0D4F"/>
    <w:rsid w:val="00AA102F"/>
    <w:rsid w:val="00AA154E"/>
    <w:rsid w:val="00AA59C2"/>
    <w:rsid w:val="00AA61CE"/>
    <w:rsid w:val="00AA633C"/>
    <w:rsid w:val="00AA6AF3"/>
    <w:rsid w:val="00AB1599"/>
    <w:rsid w:val="00AB768E"/>
    <w:rsid w:val="00AB7C7A"/>
    <w:rsid w:val="00AC033B"/>
    <w:rsid w:val="00AC3BFD"/>
    <w:rsid w:val="00AC54C1"/>
    <w:rsid w:val="00AC578C"/>
    <w:rsid w:val="00AC78D6"/>
    <w:rsid w:val="00AD336E"/>
    <w:rsid w:val="00AD367E"/>
    <w:rsid w:val="00AD51C7"/>
    <w:rsid w:val="00AE0268"/>
    <w:rsid w:val="00AE140F"/>
    <w:rsid w:val="00AE318A"/>
    <w:rsid w:val="00AE3492"/>
    <w:rsid w:val="00AE3CD7"/>
    <w:rsid w:val="00AE443D"/>
    <w:rsid w:val="00AE6375"/>
    <w:rsid w:val="00AE7934"/>
    <w:rsid w:val="00AF146D"/>
    <w:rsid w:val="00AF166D"/>
    <w:rsid w:val="00AF26EA"/>
    <w:rsid w:val="00AF3929"/>
    <w:rsid w:val="00AF42A7"/>
    <w:rsid w:val="00AF552A"/>
    <w:rsid w:val="00AF5ECA"/>
    <w:rsid w:val="00AF6D0C"/>
    <w:rsid w:val="00AF71B1"/>
    <w:rsid w:val="00B00C4C"/>
    <w:rsid w:val="00B03503"/>
    <w:rsid w:val="00B03994"/>
    <w:rsid w:val="00B070CF"/>
    <w:rsid w:val="00B072D6"/>
    <w:rsid w:val="00B07B05"/>
    <w:rsid w:val="00B10725"/>
    <w:rsid w:val="00B10C0A"/>
    <w:rsid w:val="00B15B20"/>
    <w:rsid w:val="00B16698"/>
    <w:rsid w:val="00B16858"/>
    <w:rsid w:val="00B17FCF"/>
    <w:rsid w:val="00B20CA8"/>
    <w:rsid w:val="00B20D9B"/>
    <w:rsid w:val="00B210DB"/>
    <w:rsid w:val="00B2313A"/>
    <w:rsid w:val="00B235BD"/>
    <w:rsid w:val="00B26655"/>
    <w:rsid w:val="00B272C7"/>
    <w:rsid w:val="00B3033F"/>
    <w:rsid w:val="00B32D11"/>
    <w:rsid w:val="00B33B6F"/>
    <w:rsid w:val="00B34A6A"/>
    <w:rsid w:val="00B35109"/>
    <w:rsid w:val="00B3549A"/>
    <w:rsid w:val="00B361F8"/>
    <w:rsid w:val="00B402B4"/>
    <w:rsid w:val="00B4264A"/>
    <w:rsid w:val="00B43787"/>
    <w:rsid w:val="00B46FFE"/>
    <w:rsid w:val="00B479E1"/>
    <w:rsid w:val="00B50933"/>
    <w:rsid w:val="00B52F91"/>
    <w:rsid w:val="00B557E2"/>
    <w:rsid w:val="00B56F58"/>
    <w:rsid w:val="00B57132"/>
    <w:rsid w:val="00B57B70"/>
    <w:rsid w:val="00B60E2A"/>
    <w:rsid w:val="00B61463"/>
    <w:rsid w:val="00B6284C"/>
    <w:rsid w:val="00B6450D"/>
    <w:rsid w:val="00B64BAA"/>
    <w:rsid w:val="00B65657"/>
    <w:rsid w:val="00B664D9"/>
    <w:rsid w:val="00B67C4C"/>
    <w:rsid w:val="00B709DC"/>
    <w:rsid w:val="00B72291"/>
    <w:rsid w:val="00B72463"/>
    <w:rsid w:val="00B72FDE"/>
    <w:rsid w:val="00B74253"/>
    <w:rsid w:val="00B75224"/>
    <w:rsid w:val="00B7626E"/>
    <w:rsid w:val="00B76407"/>
    <w:rsid w:val="00B80629"/>
    <w:rsid w:val="00B81463"/>
    <w:rsid w:val="00B8448C"/>
    <w:rsid w:val="00B86E4B"/>
    <w:rsid w:val="00B871F1"/>
    <w:rsid w:val="00B900E3"/>
    <w:rsid w:val="00B9011B"/>
    <w:rsid w:val="00B90F4C"/>
    <w:rsid w:val="00B928EA"/>
    <w:rsid w:val="00B949BD"/>
    <w:rsid w:val="00B95225"/>
    <w:rsid w:val="00B952BA"/>
    <w:rsid w:val="00B95960"/>
    <w:rsid w:val="00B96317"/>
    <w:rsid w:val="00B96CD6"/>
    <w:rsid w:val="00BA1262"/>
    <w:rsid w:val="00BA14C3"/>
    <w:rsid w:val="00BA19FD"/>
    <w:rsid w:val="00BA2852"/>
    <w:rsid w:val="00BA378F"/>
    <w:rsid w:val="00BA48AA"/>
    <w:rsid w:val="00BA620A"/>
    <w:rsid w:val="00BA6484"/>
    <w:rsid w:val="00BA7721"/>
    <w:rsid w:val="00BB34B2"/>
    <w:rsid w:val="00BB59F4"/>
    <w:rsid w:val="00BB62D5"/>
    <w:rsid w:val="00BB6787"/>
    <w:rsid w:val="00BC067D"/>
    <w:rsid w:val="00BC4DCB"/>
    <w:rsid w:val="00BC6782"/>
    <w:rsid w:val="00BD0250"/>
    <w:rsid w:val="00BD11E7"/>
    <w:rsid w:val="00BD4220"/>
    <w:rsid w:val="00BD4B6E"/>
    <w:rsid w:val="00BD57F5"/>
    <w:rsid w:val="00BD6DA8"/>
    <w:rsid w:val="00BD78B2"/>
    <w:rsid w:val="00BE21E4"/>
    <w:rsid w:val="00BE2F2E"/>
    <w:rsid w:val="00BE3E2D"/>
    <w:rsid w:val="00BF0224"/>
    <w:rsid w:val="00BF12F6"/>
    <w:rsid w:val="00BF187C"/>
    <w:rsid w:val="00BF58D2"/>
    <w:rsid w:val="00BF5D60"/>
    <w:rsid w:val="00BF780A"/>
    <w:rsid w:val="00BF7AB2"/>
    <w:rsid w:val="00C01FEA"/>
    <w:rsid w:val="00C03E73"/>
    <w:rsid w:val="00C046E3"/>
    <w:rsid w:val="00C0473D"/>
    <w:rsid w:val="00C04F79"/>
    <w:rsid w:val="00C0590C"/>
    <w:rsid w:val="00C065D6"/>
    <w:rsid w:val="00C068B0"/>
    <w:rsid w:val="00C10095"/>
    <w:rsid w:val="00C10823"/>
    <w:rsid w:val="00C12329"/>
    <w:rsid w:val="00C126E7"/>
    <w:rsid w:val="00C127C2"/>
    <w:rsid w:val="00C127E0"/>
    <w:rsid w:val="00C12C24"/>
    <w:rsid w:val="00C1387B"/>
    <w:rsid w:val="00C13C8E"/>
    <w:rsid w:val="00C1540F"/>
    <w:rsid w:val="00C1577E"/>
    <w:rsid w:val="00C15E23"/>
    <w:rsid w:val="00C17146"/>
    <w:rsid w:val="00C200C4"/>
    <w:rsid w:val="00C2103D"/>
    <w:rsid w:val="00C22C4B"/>
    <w:rsid w:val="00C23CA0"/>
    <w:rsid w:val="00C23E7A"/>
    <w:rsid w:val="00C26A7A"/>
    <w:rsid w:val="00C27273"/>
    <w:rsid w:val="00C30638"/>
    <w:rsid w:val="00C32E8C"/>
    <w:rsid w:val="00C36451"/>
    <w:rsid w:val="00C36A90"/>
    <w:rsid w:val="00C37B20"/>
    <w:rsid w:val="00C400B5"/>
    <w:rsid w:val="00C41576"/>
    <w:rsid w:val="00C42F1C"/>
    <w:rsid w:val="00C44383"/>
    <w:rsid w:val="00C44B36"/>
    <w:rsid w:val="00C44D97"/>
    <w:rsid w:val="00C44EAB"/>
    <w:rsid w:val="00C50DD7"/>
    <w:rsid w:val="00C50E5D"/>
    <w:rsid w:val="00C50E9A"/>
    <w:rsid w:val="00C52563"/>
    <w:rsid w:val="00C54654"/>
    <w:rsid w:val="00C57568"/>
    <w:rsid w:val="00C62327"/>
    <w:rsid w:val="00C625EC"/>
    <w:rsid w:val="00C626AB"/>
    <w:rsid w:val="00C62F1F"/>
    <w:rsid w:val="00C64999"/>
    <w:rsid w:val="00C65B30"/>
    <w:rsid w:val="00C66901"/>
    <w:rsid w:val="00C66C5B"/>
    <w:rsid w:val="00C7022B"/>
    <w:rsid w:val="00C729E6"/>
    <w:rsid w:val="00C73331"/>
    <w:rsid w:val="00C7455A"/>
    <w:rsid w:val="00C74E54"/>
    <w:rsid w:val="00C75688"/>
    <w:rsid w:val="00C77182"/>
    <w:rsid w:val="00C7746F"/>
    <w:rsid w:val="00C8023B"/>
    <w:rsid w:val="00C802EE"/>
    <w:rsid w:val="00C86815"/>
    <w:rsid w:val="00C86F8B"/>
    <w:rsid w:val="00C905A5"/>
    <w:rsid w:val="00C917ED"/>
    <w:rsid w:val="00C924C1"/>
    <w:rsid w:val="00C954BF"/>
    <w:rsid w:val="00C96708"/>
    <w:rsid w:val="00C96CD7"/>
    <w:rsid w:val="00C975E6"/>
    <w:rsid w:val="00C97BE9"/>
    <w:rsid w:val="00CA10E1"/>
    <w:rsid w:val="00CA10E8"/>
    <w:rsid w:val="00CA248B"/>
    <w:rsid w:val="00CA34BB"/>
    <w:rsid w:val="00CA5758"/>
    <w:rsid w:val="00CA601A"/>
    <w:rsid w:val="00CA67DB"/>
    <w:rsid w:val="00CB1367"/>
    <w:rsid w:val="00CB1A2A"/>
    <w:rsid w:val="00CB2644"/>
    <w:rsid w:val="00CB51D7"/>
    <w:rsid w:val="00CB79AE"/>
    <w:rsid w:val="00CB7CF0"/>
    <w:rsid w:val="00CC0488"/>
    <w:rsid w:val="00CC1E43"/>
    <w:rsid w:val="00CC2236"/>
    <w:rsid w:val="00CC3A94"/>
    <w:rsid w:val="00CC44CB"/>
    <w:rsid w:val="00CC7BCC"/>
    <w:rsid w:val="00CC7DA1"/>
    <w:rsid w:val="00CD0944"/>
    <w:rsid w:val="00CD0BB0"/>
    <w:rsid w:val="00CD13EA"/>
    <w:rsid w:val="00CD2065"/>
    <w:rsid w:val="00CD39CC"/>
    <w:rsid w:val="00CD3B41"/>
    <w:rsid w:val="00CD4203"/>
    <w:rsid w:val="00CD4ABA"/>
    <w:rsid w:val="00CD6631"/>
    <w:rsid w:val="00CE603E"/>
    <w:rsid w:val="00CE6C84"/>
    <w:rsid w:val="00CE79B4"/>
    <w:rsid w:val="00CE7F8A"/>
    <w:rsid w:val="00CF1FCA"/>
    <w:rsid w:val="00CF2B0D"/>
    <w:rsid w:val="00CF445F"/>
    <w:rsid w:val="00CF4DCE"/>
    <w:rsid w:val="00CF50BF"/>
    <w:rsid w:val="00CF58C4"/>
    <w:rsid w:val="00CF75D8"/>
    <w:rsid w:val="00CF7F5F"/>
    <w:rsid w:val="00D00A55"/>
    <w:rsid w:val="00D01AFA"/>
    <w:rsid w:val="00D02926"/>
    <w:rsid w:val="00D0384C"/>
    <w:rsid w:val="00D04036"/>
    <w:rsid w:val="00D0467F"/>
    <w:rsid w:val="00D04F6A"/>
    <w:rsid w:val="00D06D9A"/>
    <w:rsid w:val="00D07A3A"/>
    <w:rsid w:val="00D11D8D"/>
    <w:rsid w:val="00D12938"/>
    <w:rsid w:val="00D12CE6"/>
    <w:rsid w:val="00D12E99"/>
    <w:rsid w:val="00D13887"/>
    <w:rsid w:val="00D13FA0"/>
    <w:rsid w:val="00D14B8F"/>
    <w:rsid w:val="00D16AAE"/>
    <w:rsid w:val="00D17072"/>
    <w:rsid w:val="00D2002A"/>
    <w:rsid w:val="00D20FDC"/>
    <w:rsid w:val="00D21CD2"/>
    <w:rsid w:val="00D253EB"/>
    <w:rsid w:val="00D26E23"/>
    <w:rsid w:val="00D27099"/>
    <w:rsid w:val="00D27515"/>
    <w:rsid w:val="00D278A9"/>
    <w:rsid w:val="00D3124B"/>
    <w:rsid w:val="00D35576"/>
    <w:rsid w:val="00D366BC"/>
    <w:rsid w:val="00D3691F"/>
    <w:rsid w:val="00D40101"/>
    <w:rsid w:val="00D4014E"/>
    <w:rsid w:val="00D407A7"/>
    <w:rsid w:val="00D432DA"/>
    <w:rsid w:val="00D44906"/>
    <w:rsid w:val="00D44E51"/>
    <w:rsid w:val="00D45F73"/>
    <w:rsid w:val="00D50E00"/>
    <w:rsid w:val="00D51F1F"/>
    <w:rsid w:val="00D55831"/>
    <w:rsid w:val="00D560B7"/>
    <w:rsid w:val="00D5616B"/>
    <w:rsid w:val="00D5678B"/>
    <w:rsid w:val="00D56E86"/>
    <w:rsid w:val="00D57C71"/>
    <w:rsid w:val="00D57E49"/>
    <w:rsid w:val="00D6131C"/>
    <w:rsid w:val="00D61366"/>
    <w:rsid w:val="00D6469A"/>
    <w:rsid w:val="00D662AF"/>
    <w:rsid w:val="00D6655D"/>
    <w:rsid w:val="00D66BB7"/>
    <w:rsid w:val="00D67ECE"/>
    <w:rsid w:val="00D702BD"/>
    <w:rsid w:val="00D73C54"/>
    <w:rsid w:val="00D73E79"/>
    <w:rsid w:val="00D748F5"/>
    <w:rsid w:val="00D76826"/>
    <w:rsid w:val="00D80D3A"/>
    <w:rsid w:val="00D81BB5"/>
    <w:rsid w:val="00D8205D"/>
    <w:rsid w:val="00D82DB8"/>
    <w:rsid w:val="00D831A8"/>
    <w:rsid w:val="00D84928"/>
    <w:rsid w:val="00D90972"/>
    <w:rsid w:val="00D91DEF"/>
    <w:rsid w:val="00D9323A"/>
    <w:rsid w:val="00D93669"/>
    <w:rsid w:val="00D94BFD"/>
    <w:rsid w:val="00D95419"/>
    <w:rsid w:val="00DA124F"/>
    <w:rsid w:val="00DA3D71"/>
    <w:rsid w:val="00DA50DA"/>
    <w:rsid w:val="00DB0E9D"/>
    <w:rsid w:val="00DB2E91"/>
    <w:rsid w:val="00DB52B1"/>
    <w:rsid w:val="00DB593C"/>
    <w:rsid w:val="00DB5A59"/>
    <w:rsid w:val="00DB6719"/>
    <w:rsid w:val="00DC0FED"/>
    <w:rsid w:val="00DC149B"/>
    <w:rsid w:val="00DC3F0B"/>
    <w:rsid w:val="00DC40CE"/>
    <w:rsid w:val="00DC5CF7"/>
    <w:rsid w:val="00DC78E1"/>
    <w:rsid w:val="00DD02BF"/>
    <w:rsid w:val="00DD06C5"/>
    <w:rsid w:val="00DD0794"/>
    <w:rsid w:val="00DD16B6"/>
    <w:rsid w:val="00DD2A8E"/>
    <w:rsid w:val="00DD3063"/>
    <w:rsid w:val="00DD5B6F"/>
    <w:rsid w:val="00DE0864"/>
    <w:rsid w:val="00DE0BC0"/>
    <w:rsid w:val="00DE0D53"/>
    <w:rsid w:val="00DE12F8"/>
    <w:rsid w:val="00DE15FA"/>
    <w:rsid w:val="00DE2606"/>
    <w:rsid w:val="00DE35CD"/>
    <w:rsid w:val="00DE37E7"/>
    <w:rsid w:val="00DE3B4B"/>
    <w:rsid w:val="00DE44B8"/>
    <w:rsid w:val="00DE552D"/>
    <w:rsid w:val="00DF1B8B"/>
    <w:rsid w:val="00DF24EF"/>
    <w:rsid w:val="00DF4651"/>
    <w:rsid w:val="00DF6B2F"/>
    <w:rsid w:val="00E0003D"/>
    <w:rsid w:val="00E0004A"/>
    <w:rsid w:val="00E0196C"/>
    <w:rsid w:val="00E02388"/>
    <w:rsid w:val="00E031D0"/>
    <w:rsid w:val="00E063F6"/>
    <w:rsid w:val="00E06E8D"/>
    <w:rsid w:val="00E07365"/>
    <w:rsid w:val="00E104EE"/>
    <w:rsid w:val="00E12353"/>
    <w:rsid w:val="00E15988"/>
    <w:rsid w:val="00E17151"/>
    <w:rsid w:val="00E2094D"/>
    <w:rsid w:val="00E20EE5"/>
    <w:rsid w:val="00E21DB5"/>
    <w:rsid w:val="00E22E1F"/>
    <w:rsid w:val="00E24B8D"/>
    <w:rsid w:val="00E27932"/>
    <w:rsid w:val="00E312FD"/>
    <w:rsid w:val="00E34881"/>
    <w:rsid w:val="00E37E65"/>
    <w:rsid w:val="00E37EDD"/>
    <w:rsid w:val="00E4002D"/>
    <w:rsid w:val="00E404A9"/>
    <w:rsid w:val="00E42915"/>
    <w:rsid w:val="00E42ED0"/>
    <w:rsid w:val="00E441CD"/>
    <w:rsid w:val="00E44ED0"/>
    <w:rsid w:val="00E457C1"/>
    <w:rsid w:val="00E45F1A"/>
    <w:rsid w:val="00E463AC"/>
    <w:rsid w:val="00E50181"/>
    <w:rsid w:val="00E50317"/>
    <w:rsid w:val="00E52544"/>
    <w:rsid w:val="00E52D61"/>
    <w:rsid w:val="00E53801"/>
    <w:rsid w:val="00E542A0"/>
    <w:rsid w:val="00E5454D"/>
    <w:rsid w:val="00E54E39"/>
    <w:rsid w:val="00E556AA"/>
    <w:rsid w:val="00E55A3E"/>
    <w:rsid w:val="00E56A5B"/>
    <w:rsid w:val="00E572C2"/>
    <w:rsid w:val="00E5779B"/>
    <w:rsid w:val="00E60CC0"/>
    <w:rsid w:val="00E624CF"/>
    <w:rsid w:val="00E634AD"/>
    <w:rsid w:val="00E70254"/>
    <w:rsid w:val="00E72535"/>
    <w:rsid w:val="00E738CA"/>
    <w:rsid w:val="00E74148"/>
    <w:rsid w:val="00E748B4"/>
    <w:rsid w:val="00E77680"/>
    <w:rsid w:val="00E859F6"/>
    <w:rsid w:val="00E869A8"/>
    <w:rsid w:val="00E91EC9"/>
    <w:rsid w:val="00E925FB"/>
    <w:rsid w:val="00E92A22"/>
    <w:rsid w:val="00E9524F"/>
    <w:rsid w:val="00E96F4D"/>
    <w:rsid w:val="00EA3856"/>
    <w:rsid w:val="00EA46D6"/>
    <w:rsid w:val="00EA63B7"/>
    <w:rsid w:val="00EA6817"/>
    <w:rsid w:val="00EA7335"/>
    <w:rsid w:val="00EB05A0"/>
    <w:rsid w:val="00EB1868"/>
    <w:rsid w:val="00EB2A2E"/>
    <w:rsid w:val="00EB36C6"/>
    <w:rsid w:val="00EB475E"/>
    <w:rsid w:val="00EB49D7"/>
    <w:rsid w:val="00EB631D"/>
    <w:rsid w:val="00EB641C"/>
    <w:rsid w:val="00EC57C9"/>
    <w:rsid w:val="00EC597D"/>
    <w:rsid w:val="00EC5F74"/>
    <w:rsid w:val="00EC6E1A"/>
    <w:rsid w:val="00EC748F"/>
    <w:rsid w:val="00ED0142"/>
    <w:rsid w:val="00ED0588"/>
    <w:rsid w:val="00ED1970"/>
    <w:rsid w:val="00ED24AD"/>
    <w:rsid w:val="00ED27C7"/>
    <w:rsid w:val="00ED3400"/>
    <w:rsid w:val="00ED41F6"/>
    <w:rsid w:val="00ED51FB"/>
    <w:rsid w:val="00ED6802"/>
    <w:rsid w:val="00ED685F"/>
    <w:rsid w:val="00ED6B59"/>
    <w:rsid w:val="00ED77E8"/>
    <w:rsid w:val="00EE1EC5"/>
    <w:rsid w:val="00EE22BF"/>
    <w:rsid w:val="00EE3EA3"/>
    <w:rsid w:val="00EE44F6"/>
    <w:rsid w:val="00EE486A"/>
    <w:rsid w:val="00EE5B15"/>
    <w:rsid w:val="00EE67E6"/>
    <w:rsid w:val="00EF4E47"/>
    <w:rsid w:val="00EF4EE3"/>
    <w:rsid w:val="00EF7209"/>
    <w:rsid w:val="00EF7AA0"/>
    <w:rsid w:val="00F0000B"/>
    <w:rsid w:val="00F0075E"/>
    <w:rsid w:val="00F009ED"/>
    <w:rsid w:val="00F01233"/>
    <w:rsid w:val="00F02DBF"/>
    <w:rsid w:val="00F04867"/>
    <w:rsid w:val="00F04FBE"/>
    <w:rsid w:val="00F06175"/>
    <w:rsid w:val="00F06452"/>
    <w:rsid w:val="00F11531"/>
    <w:rsid w:val="00F115A5"/>
    <w:rsid w:val="00F17635"/>
    <w:rsid w:val="00F1771C"/>
    <w:rsid w:val="00F218EC"/>
    <w:rsid w:val="00F21C17"/>
    <w:rsid w:val="00F231A4"/>
    <w:rsid w:val="00F23657"/>
    <w:rsid w:val="00F23908"/>
    <w:rsid w:val="00F2414C"/>
    <w:rsid w:val="00F2504A"/>
    <w:rsid w:val="00F2518A"/>
    <w:rsid w:val="00F259CD"/>
    <w:rsid w:val="00F27A6E"/>
    <w:rsid w:val="00F303C8"/>
    <w:rsid w:val="00F31968"/>
    <w:rsid w:val="00F3348F"/>
    <w:rsid w:val="00F34836"/>
    <w:rsid w:val="00F357D8"/>
    <w:rsid w:val="00F373BC"/>
    <w:rsid w:val="00F40C60"/>
    <w:rsid w:val="00F414D3"/>
    <w:rsid w:val="00F41D81"/>
    <w:rsid w:val="00F433C5"/>
    <w:rsid w:val="00F46C87"/>
    <w:rsid w:val="00F5016A"/>
    <w:rsid w:val="00F50195"/>
    <w:rsid w:val="00F50562"/>
    <w:rsid w:val="00F52C6D"/>
    <w:rsid w:val="00F52F81"/>
    <w:rsid w:val="00F530CF"/>
    <w:rsid w:val="00F533EF"/>
    <w:rsid w:val="00F53748"/>
    <w:rsid w:val="00F538BD"/>
    <w:rsid w:val="00F5401F"/>
    <w:rsid w:val="00F5659D"/>
    <w:rsid w:val="00F578BD"/>
    <w:rsid w:val="00F57988"/>
    <w:rsid w:val="00F57B3E"/>
    <w:rsid w:val="00F60355"/>
    <w:rsid w:val="00F63049"/>
    <w:rsid w:val="00F6391D"/>
    <w:rsid w:val="00F63BAF"/>
    <w:rsid w:val="00F6475A"/>
    <w:rsid w:val="00F64B52"/>
    <w:rsid w:val="00F64CBF"/>
    <w:rsid w:val="00F67585"/>
    <w:rsid w:val="00F675DF"/>
    <w:rsid w:val="00F70263"/>
    <w:rsid w:val="00F70C42"/>
    <w:rsid w:val="00F716E0"/>
    <w:rsid w:val="00F717B4"/>
    <w:rsid w:val="00F7317B"/>
    <w:rsid w:val="00F73E38"/>
    <w:rsid w:val="00F73E7A"/>
    <w:rsid w:val="00F74463"/>
    <w:rsid w:val="00F7517D"/>
    <w:rsid w:val="00F7539E"/>
    <w:rsid w:val="00F77A36"/>
    <w:rsid w:val="00F80951"/>
    <w:rsid w:val="00F81C85"/>
    <w:rsid w:val="00F8360C"/>
    <w:rsid w:val="00F84016"/>
    <w:rsid w:val="00F84D04"/>
    <w:rsid w:val="00F87D41"/>
    <w:rsid w:val="00F92130"/>
    <w:rsid w:val="00F92C2D"/>
    <w:rsid w:val="00F92D2B"/>
    <w:rsid w:val="00F9307D"/>
    <w:rsid w:val="00F950B5"/>
    <w:rsid w:val="00F95810"/>
    <w:rsid w:val="00F962A6"/>
    <w:rsid w:val="00FA005F"/>
    <w:rsid w:val="00FA1683"/>
    <w:rsid w:val="00FA2084"/>
    <w:rsid w:val="00FA26EC"/>
    <w:rsid w:val="00FA3984"/>
    <w:rsid w:val="00FA39C1"/>
    <w:rsid w:val="00FA3B64"/>
    <w:rsid w:val="00FA5FC7"/>
    <w:rsid w:val="00FA76D8"/>
    <w:rsid w:val="00FA7F37"/>
    <w:rsid w:val="00FB2E04"/>
    <w:rsid w:val="00FB30CA"/>
    <w:rsid w:val="00FB3AD6"/>
    <w:rsid w:val="00FB3FED"/>
    <w:rsid w:val="00FB7163"/>
    <w:rsid w:val="00FB76FB"/>
    <w:rsid w:val="00FB77C0"/>
    <w:rsid w:val="00FC05D4"/>
    <w:rsid w:val="00FC12FF"/>
    <w:rsid w:val="00FC19CD"/>
    <w:rsid w:val="00FC1DE0"/>
    <w:rsid w:val="00FC2AA1"/>
    <w:rsid w:val="00FC2EFD"/>
    <w:rsid w:val="00FC3D0F"/>
    <w:rsid w:val="00FC427D"/>
    <w:rsid w:val="00FC7E21"/>
    <w:rsid w:val="00FD0AAB"/>
    <w:rsid w:val="00FD2C4E"/>
    <w:rsid w:val="00FD2CAE"/>
    <w:rsid w:val="00FD358F"/>
    <w:rsid w:val="00FD395D"/>
    <w:rsid w:val="00FD5447"/>
    <w:rsid w:val="00FD6173"/>
    <w:rsid w:val="00FD6956"/>
    <w:rsid w:val="00FD6A48"/>
    <w:rsid w:val="00FE0BAD"/>
    <w:rsid w:val="00FE0D6E"/>
    <w:rsid w:val="00FE2D21"/>
    <w:rsid w:val="00FE3BDC"/>
    <w:rsid w:val="00FE4551"/>
    <w:rsid w:val="00FE6284"/>
    <w:rsid w:val="00FE7D84"/>
    <w:rsid w:val="00FF16D6"/>
    <w:rsid w:val="00FF366F"/>
    <w:rsid w:val="00FF5C60"/>
    <w:rsid w:val="01AB2972"/>
    <w:rsid w:val="03DC0227"/>
    <w:rsid w:val="041238A4"/>
    <w:rsid w:val="047E6E8F"/>
    <w:rsid w:val="04AE00C4"/>
    <w:rsid w:val="052C478A"/>
    <w:rsid w:val="07BB44E6"/>
    <w:rsid w:val="08D02EF1"/>
    <w:rsid w:val="08FB6135"/>
    <w:rsid w:val="0BD0344B"/>
    <w:rsid w:val="0C312425"/>
    <w:rsid w:val="0D601E19"/>
    <w:rsid w:val="10603034"/>
    <w:rsid w:val="10EB76C5"/>
    <w:rsid w:val="11267E6C"/>
    <w:rsid w:val="112F12F5"/>
    <w:rsid w:val="11BA678A"/>
    <w:rsid w:val="128456D4"/>
    <w:rsid w:val="129820FF"/>
    <w:rsid w:val="137E6E17"/>
    <w:rsid w:val="139E735D"/>
    <w:rsid w:val="13EC25B1"/>
    <w:rsid w:val="149034E2"/>
    <w:rsid w:val="15A71A5A"/>
    <w:rsid w:val="17D40143"/>
    <w:rsid w:val="18F6515B"/>
    <w:rsid w:val="196C6C7C"/>
    <w:rsid w:val="1B5837C2"/>
    <w:rsid w:val="1BB82D79"/>
    <w:rsid w:val="1C3A437D"/>
    <w:rsid w:val="1D715BBC"/>
    <w:rsid w:val="1F3C42C5"/>
    <w:rsid w:val="204C0DFA"/>
    <w:rsid w:val="21AF30CF"/>
    <w:rsid w:val="24973AA8"/>
    <w:rsid w:val="25BD55FF"/>
    <w:rsid w:val="25F203C0"/>
    <w:rsid w:val="260264BE"/>
    <w:rsid w:val="26600C1B"/>
    <w:rsid w:val="2AEB62BD"/>
    <w:rsid w:val="2C4C08B8"/>
    <w:rsid w:val="2E0D4BD4"/>
    <w:rsid w:val="309E0FE5"/>
    <w:rsid w:val="30BE13DD"/>
    <w:rsid w:val="30DB2720"/>
    <w:rsid w:val="32AF524A"/>
    <w:rsid w:val="32CC53D2"/>
    <w:rsid w:val="33A95C09"/>
    <w:rsid w:val="33E219D1"/>
    <w:rsid w:val="36547244"/>
    <w:rsid w:val="375D4248"/>
    <w:rsid w:val="37B73C26"/>
    <w:rsid w:val="38B25D4A"/>
    <w:rsid w:val="3A8C5556"/>
    <w:rsid w:val="3B5A28E5"/>
    <w:rsid w:val="3BB9397A"/>
    <w:rsid w:val="3C1C1568"/>
    <w:rsid w:val="3C364FB8"/>
    <w:rsid w:val="3F870A3F"/>
    <w:rsid w:val="3FB60690"/>
    <w:rsid w:val="41035386"/>
    <w:rsid w:val="41740C80"/>
    <w:rsid w:val="42964610"/>
    <w:rsid w:val="44AA7514"/>
    <w:rsid w:val="461A6A7D"/>
    <w:rsid w:val="46315A72"/>
    <w:rsid w:val="463171B5"/>
    <w:rsid w:val="470E0DF5"/>
    <w:rsid w:val="488547AA"/>
    <w:rsid w:val="494A653D"/>
    <w:rsid w:val="4A037C47"/>
    <w:rsid w:val="4A301F0B"/>
    <w:rsid w:val="4A4863B5"/>
    <w:rsid w:val="4D103C4A"/>
    <w:rsid w:val="4D9E2ADA"/>
    <w:rsid w:val="4F0E5FFD"/>
    <w:rsid w:val="4F6E6CC3"/>
    <w:rsid w:val="51081AC9"/>
    <w:rsid w:val="5324542A"/>
    <w:rsid w:val="53D51DCD"/>
    <w:rsid w:val="540B5529"/>
    <w:rsid w:val="549D0B14"/>
    <w:rsid w:val="555479C3"/>
    <w:rsid w:val="56531AD8"/>
    <w:rsid w:val="56FB4A77"/>
    <w:rsid w:val="57010D0B"/>
    <w:rsid w:val="586E2754"/>
    <w:rsid w:val="587728CD"/>
    <w:rsid w:val="5919302D"/>
    <w:rsid w:val="5A456A43"/>
    <w:rsid w:val="5AAD667B"/>
    <w:rsid w:val="5C581F14"/>
    <w:rsid w:val="5CB00598"/>
    <w:rsid w:val="5E7D2BAE"/>
    <w:rsid w:val="5E9B047F"/>
    <w:rsid w:val="5EE10318"/>
    <w:rsid w:val="61432E3E"/>
    <w:rsid w:val="61992D41"/>
    <w:rsid w:val="62022A93"/>
    <w:rsid w:val="620D73D7"/>
    <w:rsid w:val="650B652A"/>
    <w:rsid w:val="65B273D3"/>
    <w:rsid w:val="66B1141E"/>
    <w:rsid w:val="66E0014B"/>
    <w:rsid w:val="671749B5"/>
    <w:rsid w:val="671D2509"/>
    <w:rsid w:val="67F7635D"/>
    <w:rsid w:val="689B6CBE"/>
    <w:rsid w:val="68DB2C71"/>
    <w:rsid w:val="6916713F"/>
    <w:rsid w:val="698A30BB"/>
    <w:rsid w:val="6A162F5F"/>
    <w:rsid w:val="6AD76865"/>
    <w:rsid w:val="6B98766D"/>
    <w:rsid w:val="6BC95F20"/>
    <w:rsid w:val="6BF07B85"/>
    <w:rsid w:val="6C5967A3"/>
    <w:rsid w:val="6C802CAB"/>
    <w:rsid w:val="6C8E1C49"/>
    <w:rsid w:val="6C8F3882"/>
    <w:rsid w:val="6E0D140A"/>
    <w:rsid w:val="6E755067"/>
    <w:rsid w:val="6E76404A"/>
    <w:rsid w:val="6E9F5329"/>
    <w:rsid w:val="6F45495C"/>
    <w:rsid w:val="6FE6441B"/>
    <w:rsid w:val="70964CF4"/>
    <w:rsid w:val="70EA1A48"/>
    <w:rsid w:val="7126565F"/>
    <w:rsid w:val="71FE212A"/>
    <w:rsid w:val="733A3A11"/>
    <w:rsid w:val="7351064A"/>
    <w:rsid w:val="7387109B"/>
    <w:rsid w:val="73C51A4C"/>
    <w:rsid w:val="73C651F1"/>
    <w:rsid w:val="75217B31"/>
    <w:rsid w:val="790952AA"/>
    <w:rsid w:val="7AA36CB4"/>
    <w:rsid w:val="7C0E7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46"/>
    <w:semiHidden/>
    <w:unhideWhenUsed/>
    <w:qFormat/>
    <w:uiPriority w:val="99"/>
    <w:pPr>
      <w:jc w:val="left"/>
    </w:pPr>
  </w:style>
  <w:style w:type="paragraph" w:styleId="7">
    <w:name w:val="toc 5"/>
    <w:basedOn w:val="1"/>
    <w:next w:val="1"/>
    <w:unhideWhenUsed/>
    <w:qFormat/>
    <w:uiPriority w:val="39"/>
    <w:pPr>
      <w:ind w:left="1680" w:leftChars="800"/>
    </w:pPr>
  </w:style>
  <w:style w:type="paragraph" w:styleId="8">
    <w:name w:val="toc 3"/>
    <w:basedOn w:val="1"/>
    <w:next w:val="1"/>
    <w:unhideWhenUsed/>
    <w:qFormat/>
    <w:uiPriority w:val="39"/>
    <w:pPr>
      <w:widowControl/>
      <w:spacing w:after="100" w:line="259" w:lineRule="auto"/>
      <w:ind w:left="440"/>
      <w:jc w:val="left"/>
    </w:pPr>
    <w:rPr>
      <w:rFonts w:cs="Times New Roman"/>
      <w:kern w:val="0"/>
      <w:sz w:val="22"/>
    </w:rPr>
  </w:style>
  <w:style w:type="paragraph" w:styleId="9">
    <w:name w:val="toc 8"/>
    <w:basedOn w:val="1"/>
    <w:next w:val="1"/>
    <w:unhideWhenUsed/>
    <w:qFormat/>
    <w:uiPriority w:val="39"/>
    <w:pPr>
      <w:ind w:left="2940" w:leftChars="1400"/>
    </w:pPr>
  </w:style>
  <w:style w:type="paragraph" w:styleId="10">
    <w:name w:val="Date"/>
    <w:basedOn w:val="1"/>
    <w:next w:val="1"/>
    <w:link w:val="44"/>
    <w:semiHidden/>
    <w:unhideWhenUsed/>
    <w:qFormat/>
    <w:uiPriority w:val="99"/>
    <w:pPr>
      <w:ind w:left="100" w:leftChars="2500"/>
    </w:pPr>
  </w:style>
  <w:style w:type="paragraph" w:styleId="11">
    <w:name w:val="Balloon Text"/>
    <w:basedOn w:val="1"/>
    <w:link w:val="38"/>
    <w:semiHidden/>
    <w:unhideWhenUsed/>
    <w:qFormat/>
    <w:uiPriority w:val="99"/>
    <w:rPr>
      <w:sz w:val="18"/>
      <w:szCs w:val="18"/>
    </w:rPr>
  </w:style>
  <w:style w:type="paragraph" w:styleId="12">
    <w:name w:val="footer"/>
    <w:basedOn w:val="1"/>
    <w:link w:val="33"/>
    <w:unhideWhenUsed/>
    <w:qFormat/>
    <w:uiPriority w:val="99"/>
    <w:pPr>
      <w:tabs>
        <w:tab w:val="center" w:pos="4153"/>
        <w:tab w:val="right" w:pos="8306"/>
      </w:tabs>
      <w:snapToGrid w:val="0"/>
      <w:jc w:val="left"/>
    </w:pPr>
    <w:rPr>
      <w:sz w:val="18"/>
      <w:szCs w:val="18"/>
    </w:rPr>
  </w:style>
  <w:style w:type="paragraph" w:styleId="13">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style>
  <w:style w:type="paragraph" w:styleId="16">
    <w:name w:val="Subtitle"/>
    <w:basedOn w:val="1"/>
    <w:next w:val="1"/>
    <w:link w:val="36"/>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7">
    <w:name w:val="toc 6"/>
    <w:basedOn w:val="1"/>
    <w:next w:val="1"/>
    <w:unhideWhenUsed/>
    <w:qFormat/>
    <w:uiPriority w:val="39"/>
    <w:pPr>
      <w:ind w:left="2100" w:leftChars="1000"/>
    </w:p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pPr>
  </w:style>
  <w:style w:type="paragraph" w:styleId="20">
    <w:name w:val="Normal (Web)"/>
    <w:basedOn w:val="1"/>
    <w:unhideWhenUsed/>
    <w:qFormat/>
    <w:uiPriority w:val="99"/>
    <w:pPr>
      <w:spacing w:beforeAutospacing="1" w:afterAutospacing="1" w:line="264" w:lineRule="atLeast"/>
      <w:jc w:val="left"/>
    </w:pPr>
    <w:rPr>
      <w:rFonts w:cs="Times New Roman"/>
      <w:kern w:val="0"/>
      <w:sz w:val="22"/>
    </w:rPr>
  </w:style>
  <w:style w:type="paragraph" w:styleId="21">
    <w:name w:val="Title"/>
    <w:basedOn w:val="1"/>
    <w:next w:val="1"/>
    <w:link w:val="34"/>
    <w:qFormat/>
    <w:uiPriority w:val="10"/>
    <w:pPr>
      <w:spacing w:before="240" w:after="60"/>
      <w:jc w:val="center"/>
      <w:outlineLvl w:val="0"/>
    </w:pPr>
    <w:rPr>
      <w:rFonts w:eastAsia="宋体" w:asciiTheme="majorHAnsi" w:hAnsiTheme="majorHAnsi" w:cstheme="majorBidi"/>
      <w:b/>
      <w:bCs/>
      <w:sz w:val="32"/>
      <w:szCs w:val="32"/>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FollowedHyperlink"/>
    <w:basedOn w:val="24"/>
    <w:semiHidden/>
    <w:unhideWhenUsed/>
    <w:qFormat/>
    <w:uiPriority w:val="99"/>
    <w:rPr>
      <w:color w:val="0000CC"/>
      <w:sz w:val="22"/>
      <w:szCs w:val="22"/>
      <w:u w:val="single"/>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标题 2 字符"/>
    <w:basedOn w:val="24"/>
    <w:link w:val="3"/>
    <w:qFormat/>
    <w:uiPriority w:val="9"/>
    <w:rPr>
      <w:rFonts w:asciiTheme="majorHAnsi" w:hAnsiTheme="majorHAnsi" w:eastAsiaTheme="majorEastAsia" w:cstheme="majorBidi"/>
      <w:b/>
      <w:bCs/>
      <w:sz w:val="32"/>
      <w:szCs w:val="32"/>
    </w:rPr>
  </w:style>
  <w:style w:type="character" w:customStyle="1" w:styleId="30">
    <w:name w:val="标题 1 字符"/>
    <w:basedOn w:val="24"/>
    <w:link w:val="2"/>
    <w:qFormat/>
    <w:uiPriority w:val="9"/>
    <w:rPr>
      <w:b/>
      <w:bCs/>
      <w:kern w:val="44"/>
      <w:sz w:val="44"/>
      <w:szCs w:val="44"/>
    </w:rPr>
  </w:style>
  <w:style w:type="paragraph" w:styleId="31">
    <w:name w:val="List Paragraph"/>
    <w:basedOn w:val="1"/>
    <w:qFormat/>
    <w:uiPriority w:val="34"/>
    <w:pPr>
      <w:ind w:firstLine="420" w:firstLineChars="200"/>
    </w:pPr>
  </w:style>
  <w:style w:type="character" w:customStyle="1" w:styleId="32">
    <w:name w:val="页眉 字符"/>
    <w:basedOn w:val="24"/>
    <w:link w:val="13"/>
    <w:qFormat/>
    <w:uiPriority w:val="99"/>
    <w:rPr>
      <w:sz w:val="18"/>
      <w:szCs w:val="18"/>
    </w:rPr>
  </w:style>
  <w:style w:type="character" w:customStyle="1" w:styleId="33">
    <w:name w:val="页脚 字符"/>
    <w:basedOn w:val="24"/>
    <w:link w:val="12"/>
    <w:qFormat/>
    <w:uiPriority w:val="99"/>
    <w:rPr>
      <w:sz w:val="18"/>
      <w:szCs w:val="18"/>
    </w:rPr>
  </w:style>
  <w:style w:type="character" w:customStyle="1" w:styleId="34">
    <w:name w:val="标题 字符"/>
    <w:basedOn w:val="24"/>
    <w:link w:val="21"/>
    <w:qFormat/>
    <w:uiPriority w:val="10"/>
    <w:rPr>
      <w:rFonts w:eastAsia="宋体" w:asciiTheme="majorHAnsi" w:hAnsiTheme="majorHAnsi" w:cstheme="majorBidi"/>
      <w:b/>
      <w:bCs/>
      <w:sz w:val="32"/>
      <w:szCs w:val="32"/>
    </w:rPr>
  </w:style>
  <w:style w:type="character" w:customStyle="1" w:styleId="35">
    <w:name w:val="不明显强调1"/>
    <w:basedOn w:val="24"/>
    <w:qFormat/>
    <w:uiPriority w:val="19"/>
    <w:rPr>
      <w:i/>
      <w:iCs/>
      <w:color w:val="808080" w:themeColor="text1" w:themeTint="80"/>
      <w14:textFill>
        <w14:solidFill>
          <w14:schemeClr w14:val="tx1">
            <w14:lumMod w14:val="50000"/>
            <w14:lumOff w14:val="50000"/>
          </w14:schemeClr>
        </w14:solidFill>
      </w14:textFill>
    </w:rPr>
  </w:style>
  <w:style w:type="character" w:customStyle="1" w:styleId="36">
    <w:name w:val="副标题 字符"/>
    <w:basedOn w:val="24"/>
    <w:link w:val="16"/>
    <w:qFormat/>
    <w:uiPriority w:val="11"/>
    <w:rPr>
      <w:rFonts w:eastAsia="宋体" w:asciiTheme="majorHAnsi" w:hAnsiTheme="majorHAnsi" w:cstheme="majorBidi"/>
      <w:b/>
      <w:bCs/>
      <w:kern w:val="28"/>
      <w:sz w:val="32"/>
      <w:szCs w:val="32"/>
    </w:rPr>
  </w:style>
  <w:style w:type="paragraph" w:customStyle="1" w:styleId="3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字符"/>
    <w:basedOn w:val="24"/>
    <w:link w:val="11"/>
    <w:semiHidden/>
    <w:qFormat/>
    <w:uiPriority w:val="99"/>
    <w:rPr>
      <w:sz w:val="18"/>
      <w:szCs w:val="18"/>
    </w:rPr>
  </w:style>
  <w:style w:type="character" w:styleId="39">
    <w:name w:val="Placeholder Text"/>
    <w:basedOn w:val="24"/>
    <w:semiHidden/>
    <w:qFormat/>
    <w:uiPriority w:val="99"/>
    <w:rPr>
      <w:color w:val="808080"/>
    </w:rPr>
  </w:style>
  <w:style w:type="paragraph" w:customStyle="1" w:styleId="4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1">
    <w:name w:val="图名"/>
    <w:qFormat/>
    <w:uiPriority w:val="0"/>
    <w:pPr>
      <w:widowControl w:val="0"/>
      <w:spacing w:after="50" w:afterLines="50" w:line="300" w:lineRule="auto"/>
      <w:jc w:val="center"/>
    </w:pPr>
    <w:rPr>
      <w:rFonts w:ascii="Times New Roman" w:hAnsi="Times New Roman" w:eastAsia="宋体" w:cs="Times New Roman"/>
      <w:kern w:val="2"/>
      <w:sz w:val="21"/>
      <w:szCs w:val="24"/>
      <w:lang w:val="en-US" w:eastAsia="zh-CN" w:bidi="ar-SA"/>
    </w:rPr>
  </w:style>
  <w:style w:type="paragraph" w:customStyle="1" w:styleId="42">
    <w:name w:val="论文正文"/>
    <w:basedOn w:val="1"/>
    <w:link w:val="43"/>
    <w:qFormat/>
    <w:uiPriority w:val="0"/>
    <w:pPr>
      <w:spacing w:line="300" w:lineRule="auto"/>
    </w:pPr>
    <w:rPr>
      <w:rFonts w:ascii="Times New Roman" w:hAnsi="Times New Roman" w:eastAsia="宋体" w:cs="Times New Roman"/>
      <w:szCs w:val="20"/>
    </w:rPr>
  </w:style>
  <w:style w:type="character" w:customStyle="1" w:styleId="43">
    <w:name w:val="论文正文 Char"/>
    <w:link w:val="42"/>
    <w:qFormat/>
    <w:uiPriority w:val="0"/>
    <w:rPr>
      <w:kern w:val="2"/>
      <w:sz w:val="21"/>
    </w:rPr>
  </w:style>
  <w:style w:type="character" w:customStyle="1" w:styleId="44">
    <w:name w:val="日期 字符"/>
    <w:basedOn w:val="24"/>
    <w:link w:val="10"/>
    <w:semiHidden/>
    <w:qFormat/>
    <w:uiPriority w:val="99"/>
    <w:rPr>
      <w:rFonts w:asciiTheme="minorHAnsi" w:hAnsiTheme="minorHAnsi" w:eastAsiaTheme="minorEastAsia" w:cstheme="minorBidi"/>
      <w:kern w:val="2"/>
      <w:sz w:val="21"/>
      <w:szCs w:val="22"/>
    </w:rPr>
  </w:style>
  <w:style w:type="character" w:customStyle="1" w:styleId="45">
    <w:name w:val="Unresolved Mention"/>
    <w:basedOn w:val="24"/>
    <w:semiHidden/>
    <w:unhideWhenUsed/>
    <w:qFormat/>
    <w:uiPriority w:val="99"/>
    <w:rPr>
      <w:color w:val="605E5C"/>
      <w:shd w:val="clear" w:color="auto" w:fill="E1DFDD"/>
    </w:rPr>
  </w:style>
  <w:style w:type="character" w:customStyle="1" w:styleId="46">
    <w:name w:val="批注文字 字符"/>
    <w:basedOn w:val="24"/>
    <w:link w:val="6"/>
    <w:semiHidden/>
    <w:qFormat/>
    <w:uiPriority w:val="99"/>
    <w:rPr>
      <w:rFonts w:asciiTheme="minorHAnsi" w:hAnsiTheme="minorHAnsi" w:eastAsiaTheme="minorEastAsia" w:cstheme="minorBidi"/>
      <w:kern w:val="2"/>
      <w:sz w:val="21"/>
      <w:szCs w:val="22"/>
    </w:rPr>
  </w:style>
  <w:style w:type="paragraph" w:customStyle="1" w:styleId="47">
    <w:name w:val="style5"/>
    <w:basedOn w:val="1"/>
    <w:qFormat/>
    <w:uiPriority w:val="0"/>
    <w:pPr>
      <w:widowControl/>
      <w:spacing w:before="100" w:beforeAutospacing="1" w:after="100" w:afterAutospacing="1"/>
      <w:jc w:val="left"/>
    </w:pPr>
    <w:rPr>
      <w:rFonts w:ascii="宋体" w:hAnsi="宋体" w:eastAsia="宋体" w:cs="宋体"/>
      <w:b/>
      <w:bCs/>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image" Target="media/image1.wmf"/><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0.emf"/><Relationship Id="rId66" Type="http://schemas.openxmlformats.org/officeDocument/2006/relationships/image" Target="media/image59.emf"/><Relationship Id="rId65" Type="http://schemas.openxmlformats.org/officeDocument/2006/relationships/image" Target="media/image58.wmf"/><Relationship Id="rId64" Type="http://schemas.openxmlformats.org/officeDocument/2006/relationships/image" Target="media/image57.emf"/><Relationship Id="rId63" Type="http://schemas.openxmlformats.org/officeDocument/2006/relationships/image" Target="media/image56.emf"/><Relationship Id="rId62" Type="http://schemas.openxmlformats.org/officeDocument/2006/relationships/image" Target="media/image55.wmf"/><Relationship Id="rId61" Type="http://schemas.openxmlformats.org/officeDocument/2006/relationships/image" Target="media/image54.wmf"/><Relationship Id="rId60" Type="http://schemas.openxmlformats.org/officeDocument/2006/relationships/image" Target="media/image53.png"/><Relationship Id="rId6" Type="http://schemas.openxmlformats.org/officeDocument/2006/relationships/oleObject" Target="embeddings/oleObject1.bin"/><Relationship Id="rId59" Type="http://schemas.openxmlformats.org/officeDocument/2006/relationships/image" Target="media/image52.png"/><Relationship Id="rId58" Type="http://schemas.openxmlformats.org/officeDocument/2006/relationships/image" Target="media/image51.emf"/><Relationship Id="rId57" Type="http://schemas.openxmlformats.org/officeDocument/2006/relationships/image" Target="media/image50.emf"/><Relationship Id="rId56" Type="http://schemas.openxmlformats.org/officeDocument/2006/relationships/image" Target="media/image49.emf"/><Relationship Id="rId55" Type="http://schemas.openxmlformats.org/officeDocument/2006/relationships/image" Target="media/image48.emf"/><Relationship Id="rId54" Type="http://schemas.openxmlformats.org/officeDocument/2006/relationships/image" Target="media/image47.emf"/><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footer" Target="footer2.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30659-F813-40DB-8107-12FBD8A31BE9}">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9451</Words>
  <Characters>53877</Characters>
  <Lines>448</Lines>
  <Paragraphs>126</Paragraphs>
  <TotalTime>7</TotalTime>
  <ScaleCrop>false</ScaleCrop>
  <LinksUpToDate>false</LinksUpToDate>
  <CharactersWithSpaces>63202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2020-01-06T09:31:00Z</dcterms:created>
  <dc:creator>OPEN</dc:creator>
  <cp:lastModifiedBy>吴艺超</cp:lastModifiedBy>
  <cp:lastPrinted>2019-12-19T04:04:00Z</cp:lastPrinted>
  <dcterms:modified xsi:type="dcterms:W3CDTF">2020-01-13T10:42:01Z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