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60C" w:rsidRPr="00824367" w:rsidRDefault="00B2560C" w:rsidP="00B2560C">
      <w:pPr>
        <w:pStyle w:val="aa"/>
        <w:framePr w:h="3278" w:hRule="exact" w:wrap="around" w:x="1366" w:y="6997"/>
        <w:rPr>
          <w:rFonts w:hAnsi="黑体"/>
          <w:szCs w:val="52"/>
        </w:rPr>
      </w:pPr>
      <w:r w:rsidRPr="00824367">
        <w:rPr>
          <w:rFonts w:hAnsi="黑体"/>
          <w:szCs w:val="52"/>
        </w:rPr>
        <w:t>绿色建材产品认证通</w:t>
      </w:r>
      <w:r>
        <w:rPr>
          <w:rFonts w:hAnsi="黑体" w:hint="eastAsia"/>
          <w:szCs w:val="52"/>
        </w:rPr>
        <w:t>则</w:t>
      </w:r>
    </w:p>
    <w:p w:rsidR="00B2560C" w:rsidRPr="00824367" w:rsidRDefault="00B2560C" w:rsidP="00B2560C">
      <w:pPr>
        <w:pStyle w:val="aa"/>
        <w:framePr w:h="3278" w:hRule="exact" w:wrap="around" w:x="1366" w:y="6997"/>
        <w:rPr>
          <w:rFonts w:hAnsi="黑体"/>
          <w:sz w:val="28"/>
          <w:szCs w:val="28"/>
        </w:rPr>
      </w:pPr>
      <w:r w:rsidRPr="00824367">
        <w:rPr>
          <w:rFonts w:hAnsi="黑体"/>
          <w:sz w:val="28"/>
          <w:szCs w:val="28"/>
        </w:rPr>
        <w:t xml:space="preserve">General </w:t>
      </w:r>
      <w:r w:rsidRPr="001A1732">
        <w:rPr>
          <w:rFonts w:hAnsi="黑体"/>
          <w:sz w:val="28"/>
          <w:szCs w:val="28"/>
        </w:rPr>
        <w:t>principles</w:t>
      </w:r>
      <w:r w:rsidRPr="00824367">
        <w:rPr>
          <w:rFonts w:hAnsi="黑体"/>
          <w:sz w:val="28"/>
          <w:szCs w:val="28"/>
        </w:rPr>
        <w:t xml:space="preserve"> for certification of green building materials</w:t>
      </w:r>
    </w:p>
    <w:p w:rsidR="00B2560C" w:rsidRPr="00824367" w:rsidRDefault="00B2560C" w:rsidP="00B2560C">
      <w:pPr>
        <w:pStyle w:val="aa"/>
        <w:framePr w:h="3278" w:hRule="exact" w:wrap="around" w:x="1366" w:y="6997"/>
        <w:rPr>
          <w:rFonts w:asciiTheme="minorEastAsia" w:eastAsiaTheme="minorEastAsia" w:hAnsiTheme="minorEastAsia"/>
          <w:sz w:val="21"/>
          <w:szCs w:val="21"/>
        </w:rPr>
      </w:pPr>
    </w:p>
    <w:p w:rsidR="00B2560C" w:rsidRPr="00824367" w:rsidRDefault="00B2560C" w:rsidP="00B2560C">
      <w:pPr>
        <w:pStyle w:val="aa"/>
        <w:framePr w:h="3278" w:hRule="exact" w:wrap="around" w:x="1366" w:y="6997"/>
        <w:rPr>
          <w:rFonts w:asciiTheme="minorEastAsia" w:eastAsiaTheme="minorEastAsia" w:hAnsiTheme="minorEastAsia"/>
          <w:sz w:val="32"/>
          <w:szCs w:val="32"/>
        </w:rPr>
      </w:pPr>
      <w:r w:rsidRPr="00824367">
        <w:rPr>
          <w:rFonts w:asciiTheme="minorEastAsia" w:eastAsiaTheme="minorEastAsia" w:hAnsiTheme="minorEastAsia"/>
          <w:sz w:val="32"/>
          <w:szCs w:val="32"/>
        </w:rPr>
        <w:t>（征求意见稿）</w:t>
      </w:r>
    </w:p>
    <w:p w:rsidR="00B2560C" w:rsidRPr="00824367" w:rsidRDefault="00B2560C" w:rsidP="00B2560C">
      <w:pPr>
        <w:pStyle w:val="20"/>
        <w:framePr w:w="0" w:hRule="auto" w:hSpace="0" w:wrap="auto" w:vAnchor="margin" w:hAnchor="text" w:xAlign="left" w:yAlign="inline"/>
        <w:tabs>
          <w:tab w:val="left" w:pos="0"/>
        </w:tabs>
        <w:wordWrap w:val="0"/>
        <w:rPr>
          <w:rFonts w:asciiTheme="minorEastAsia" w:eastAsiaTheme="minorEastAsia" w:hAnsiTheme="minorEastAsia"/>
          <w:b/>
          <w:sz w:val="21"/>
          <w:szCs w:val="21"/>
        </w:rPr>
      </w:pPr>
    </w:p>
    <w:p w:rsidR="00B2560C" w:rsidRPr="00824367" w:rsidRDefault="00B2560C" w:rsidP="00B2560C">
      <w:pPr>
        <w:pStyle w:val="20"/>
        <w:framePr w:w="0" w:hRule="auto" w:hSpace="0" w:wrap="auto" w:vAnchor="margin" w:hAnchor="text" w:xAlign="left" w:yAlign="inline"/>
        <w:wordWrap w:val="0"/>
        <w:rPr>
          <w:rFonts w:hAnsi="黑体"/>
          <w:b/>
        </w:rPr>
      </w:pPr>
      <w:r w:rsidRPr="00824367">
        <w:rPr>
          <w:rFonts w:hAnsi="黑体"/>
          <w:b/>
          <w:noProof/>
        </w:rPr>
        <mc:AlternateContent>
          <mc:Choice Requires="wps">
            <w:drawing>
              <wp:anchor distT="0" distB="0" distL="114300" distR="114300" simplePos="0" relativeHeight="251659264" behindDoc="0" locked="0" layoutInCell="1" allowOverlap="1" wp14:anchorId="1950673F" wp14:editId="3C959DC0">
                <wp:simplePos x="0" y="0"/>
                <wp:positionH relativeFrom="column">
                  <wp:posOffset>-248920</wp:posOffset>
                </wp:positionH>
                <wp:positionV relativeFrom="paragraph">
                  <wp:posOffset>1524635</wp:posOffset>
                </wp:positionV>
                <wp:extent cx="6120130" cy="0"/>
                <wp:effectExtent l="12065" t="6350" r="11430" b="12700"/>
                <wp:wrapNone/>
                <wp:docPr id="2"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84D78" id="Line 13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120.05pt" to="462.3pt,1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" strokeweight="1pt"/>
            </w:pict>
          </mc:Fallback>
        </mc:AlternateContent>
      </w:r>
      <w:r w:rsidRPr="00824367">
        <w:rPr>
          <w:rFonts w:hAnsi="黑体"/>
          <w:b/>
          <w:noProof/>
          <w:szCs w:val="32"/>
        </w:rPr>
        <w:drawing>
          <wp:inline distT="0" distB="0" distL="0" distR="0" wp14:anchorId="52D19BA0" wp14:editId="4E4C30E6">
            <wp:extent cx="1866900"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9743" cy="1235122"/>
                    </a:xfrm>
                    <a:prstGeom prst="rect">
                      <a:avLst/>
                    </a:prstGeom>
                    <a:noFill/>
                    <a:ln>
                      <a:noFill/>
                    </a:ln>
                  </pic:spPr>
                </pic:pic>
              </a:graphicData>
            </a:graphic>
          </wp:inline>
        </w:drawing>
      </w:r>
      <w:r w:rsidR="004F7301">
        <w:rPr>
          <w:rFonts w:hAnsi="黑体"/>
          <w:b/>
        </w:rPr>
        <w:t xml:space="preserve">                       </w:t>
      </w:r>
      <w:r w:rsidRPr="00824367">
        <w:rPr>
          <w:rFonts w:hAnsi="黑体"/>
          <w:b/>
        </w:rPr>
        <w:t>CECS  xxx：2020</w:t>
      </w:r>
    </w:p>
    <w:p w:rsidR="00B2560C" w:rsidRPr="00824367" w:rsidRDefault="00B2560C" w:rsidP="00B2560C">
      <w:pPr>
        <w:rPr>
          <w:rFonts w:asciiTheme="minorEastAsia" w:eastAsiaTheme="minorEastAsia" w:hAnsiTheme="minorEastAsia"/>
        </w:rPr>
      </w:pPr>
    </w:p>
    <w:p w:rsidR="00B2560C" w:rsidRPr="00824367" w:rsidRDefault="00B2560C" w:rsidP="00B2560C">
      <w:pPr>
        <w:pStyle w:val="a9"/>
        <w:framePr w:w="5613" w:wrap="notBeside" w:x="3510" w:y="5116"/>
        <w:rPr>
          <w:rFonts w:asciiTheme="minorEastAsia" w:eastAsiaTheme="minorEastAsia" w:hAnsiTheme="minorEastAsia"/>
          <w:sz w:val="40"/>
          <w:szCs w:val="40"/>
        </w:rPr>
      </w:pPr>
      <w:r w:rsidRPr="00824367">
        <w:rPr>
          <w:rFonts w:asciiTheme="minorEastAsia" w:eastAsiaTheme="minorEastAsia" w:hAnsiTheme="minorEastAsia"/>
          <w:sz w:val="40"/>
          <w:szCs w:val="40"/>
        </w:rPr>
        <w:t>中国工程建设协会标准</w:t>
      </w:r>
    </w:p>
    <w:p w:rsidR="00B2560C" w:rsidRPr="00824367" w:rsidRDefault="00B2560C" w:rsidP="00B2560C">
      <w:pPr>
        <w:rPr>
          <w:rFonts w:asciiTheme="minorEastAsia" w:eastAsiaTheme="minorEastAsia" w:hAnsiTheme="minorEastAsia"/>
        </w:rPr>
      </w:pPr>
    </w:p>
    <w:p w:rsidR="00B2560C" w:rsidRPr="00824367" w:rsidRDefault="00B2560C" w:rsidP="00B2560C">
      <w:pPr>
        <w:rPr>
          <w:rFonts w:asciiTheme="minorEastAsia" w:eastAsiaTheme="minorEastAsia" w:hAnsiTheme="minorEastAsia"/>
        </w:rPr>
      </w:pPr>
    </w:p>
    <w:p w:rsidR="00B2560C" w:rsidRPr="00824367" w:rsidRDefault="00B2560C" w:rsidP="00B2560C">
      <w:pPr>
        <w:rPr>
          <w:rFonts w:asciiTheme="minorEastAsia" w:eastAsiaTheme="minorEastAsia" w:hAnsiTheme="minorEastAsia"/>
          <w:sz w:val="21"/>
          <w:szCs w:val="21"/>
        </w:rPr>
      </w:pPr>
    </w:p>
    <w:p w:rsidR="00B2560C" w:rsidRPr="00824367" w:rsidRDefault="00B2560C" w:rsidP="00B2560C">
      <w:pPr>
        <w:rPr>
          <w:rFonts w:asciiTheme="minorEastAsia" w:eastAsiaTheme="minorEastAsia" w:hAnsiTheme="minorEastAsia"/>
          <w:sz w:val="21"/>
          <w:szCs w:val="21"/>
        </w:rPr>
      </w:pPr>
    </w:p>
    <w:p w:rsidR="00B2560C" w:rsidRPr="00824367" w:rsidRDefault="00B2560C" w:rsidP="00B2560C">
      <w:pPr>
        <w:rPr>
          <w:rFonts w:asciiTheme="minorEastAsia" w:eastAsiaTheme="minorEastAsia" w:hAnsiTheme="minorEastAsia"/>
          <w:sz w:val="21"/>
          <w:szCs w:val="21"/>
        </w:rPr>
      </w:pPr>
    </w:p>
    <w:p w:rsidR="00B2560C" w:rsidRPr="00824367" w:rsidRDefault="00B2560C" w:rsidP="00B2560C">
      <w:pPr>
        <w:rPr>
          <w:rFonts w:asciiTheme="minorEastAsia" w:eastAsiaTheme="minorEastAsia" w:hAnsiTheme="minorEastAsia"/>
          <w:sz w:val="21"/>
          <w:szCs w:val="21"/>
        </w:rPr>
      </w:pPr>
    </w:p>
    <w:p w:rsidR="00B2560C" w:rsidRPr="00824367" w:rsidRDefault="00B2560C" w:rsidP="00B2560C">
      <w:pPr>
        <w:rPr>
          <w:rFonts w:asciiTheme="minorEastAsia" w:eastAsiaTheme="minorEastAsia" w:hAnsiTheme="minorEastAsia"/>
          <w:sz w:val="21"/>
          <w:szCs w:val="21"/>
        </w:rPr>
      </w:pPr>
    </w:p>
    <w:p w:rsidR="00B2560C" w:rsidRPr="00824367" w:rsidRDefault="00B2560C" w:rsidP="00B2560C">
      <w:pPr>
        <w:rPr>
          <w:rFonts w:asciiTheme="minorEastAsia" w:eastAsiaTheme="minorEastAsia" w:hAnsiTheme="minorEastAsia"/>
          <w:sz w:val="21"/>
          <w:szCs w:val="21"/>
        </w:rPr>
      </w:pPr>
    </w:p>
    <w:p w:rsidR="00B2560C" w:rsidRPr="00824367" w:rsidRDefault="00B2560C" w:rsidP="00B2560C">
      <w:pPr>
        <w:rPr>
          <w:rFonts w:asciiTheme="minorEastAsia" w:eastAsiaTheme="minorEastAsia" w:hAnsiTheme="minorEastAsia"/>
          <w:sz w:val="21"/>
          <w:szCs w:val="21"/>
        </w:rPr>
      </w:pPr>
    </w:p>
    <w:p w:rsidR="00B2560C" w:rsidRPr="00824367" w:rsidRDefault="00B2560C" w:rsidP="00B2560C">
      <w:pPr>
        <w:framePr w:w="8808" w:h="1051" w:hRule="exact" w:hSpace="181" w:vSpace="181" w:wrap="notBeside" w:vAnchor="page" w:hAnchor="page" w:x="1620" w:y="12331" w:anchorLock="1"/>
        <w:ind w:firstLineChars="101" w:firstLine="283"/>
        <w:jc w:val="center"/>
        <w:rPr>
          <w:rFonts w:asciiTheme="minorEastAsia" w:eastAsiaTheme="minorEastAsia" w:hAnsiTheme="minorEastAsia"/>
          <w:kern w:val="0"/>
          <w:sz w:val="28"/>
          <w:szCs w:val="28"/>
        </w:rPr>
      </w:pPr>
    </w:p>
    <w:p w:rsidR="00B2560C" w:rsidRPr="00824367" w:rsidRDefault="00B2560C" w:rsidP="00B2560C">
      <w:pPr>
        <w:rPr>
          <w:rFonts w:asciiTheme="minorEastAsia" w:eastAsiaTheme="minorEastAsia" w:hAnsiTheme="minorEastAsia"/>
          <w:sz w:val="21"/>
          <w:szCs w:val="21"/>
        </w:rPr>
      </w:pPr>
    </w:p>
    <w:p w:rsidR="00B2560C" w:rsidRPr="00824367" w:rsidRDefault="00B2560C" w:rsidP="00B2560C">
      <w:pPr>
        <w:spacing w:beforeLines="100" w:before="312" w:afterLines="100" w:after="312" w:line="240" w:lineRule="auto"/>
        <w:jc w:val="center"/>
        <w:rPr>
          <w:rFonts w:ascii="黑体" w:eastAsia="黑体" w:hAnsi="黑体"/>
          <w:sz w:val="32"/>
          <w:szCs w:val="32"/>
        </w:rPr>
      </w:pPr>
      <w:bookmarkStart w:id="0" w:name="_Toc323131372"/>
      <w:bookmarkStart w:id="1" w:name="_Toc323131400"/>
      <w:bookmarkStart w:id="2" w:name="_Toc323132026"/>
      <w:bookmarkStart w:id="3" w:name="_Toc328491356"/>
      <w:r w:rsidRPr="00824367">
        <w:rPr>
          <w:rFonts w:ascii="黑体" w:eastAsia="黑体" w:hAnsi="黑体"/>
          <w:sz w:val="32"/>
          <w:szCs w:val="32"/>
        </w:rPr>
        <w:lastRenderedPageBreak/>
        <w:t>目</w:t>
      </w:r>
      <w:r w:rsidRPr="00824367">
        <w:rPr>
          <w:rFonts w:ascii="黑体" w:eastAsia="黑体" w:hAnsi="黑体"/>
          <w:sz w:val="32"/>
          <w:szCs w:val="32"/>
        </w:rPr>
        <w:t> </w:t>
      </w:r>
      <w:r w:rsidRPr="00824367">
        <w:rPr>
          <w:rFonts w:ascii="黑体" w:eastAsia="黑体" w:hAnsi="黑体"/>
          <w:sz w:val="32"/>
          <w:szCs w:val="32"/>
        </w:rPr>
        <w:t> </w:t>
      </w:r>
      <w:r w:rsidRPr="00824367">
        <w:rPr>
          <w:rFonts w:ascii="黑体" w:eastAsia="黑体" w:hAnsi="黑体"/>
          <w:sz w:val="32"/>
          <w:szCs w:val="32"/>
        </w:rPr>
        <w:t>次</w:t>
      </w:r>
      <w:r>
        <w:rPr>
          <w:rFonts w:ascii="黑体" w:eastAsia="黑体" w:hAnsi="黑体" w:hint="eastAsia"/>
          <w:sz w:val="32"/>
          <w:szCs w:val="32"/>
        </w:rPr>
        <w:t xml:space="preserve"> </w:t>
      </w:r>
    </w:p>
    <w:bookmarkStart w:id="4" w:name="_Toc44316444" w:displacedByCustomXml="next"/>
    <w:sdt>
      <w:sdtPr>
        <w:rPr>
          <w:rFonts w:ascii="Times New Roman" w:eastAsia="宋体" w:hAnsi="Times New Roman" w:cs="Times New Roman"/>
          <w:color w:val="auto"/>
          <w:kern w:val="2"/>
          <w:sz w:val="24"/>
          <w:szCs w:val="22"/>
          <w:lang w:val="zh-CN"/>
        </w:rPr>
        <w:id w:val="493613303"/>
        <w:docPartObj>
          <w:docPartGallery w:val="Table of Contents"/>
          <w:docPartUnique/>
        </w:docPartObj>
      </w:sdtPr>
      <w:sdtEndPr>
        <w:rPr>
          <w:b/>
          <w:bCs/>
        </w:rPr>
      </w:sdtEndPr>
      <w:sdtContent>
        <w:p w:rsidR="00B31911" w:rsidRDefault="00B31911">
          <w:pPr>
            <w:pStyle w:val="TOC"/>
          </w:pPr>
        </w:p>
        <w:p w:rsidR="00B31911" w:rsidRPr="004F7301" w:rsidRDefault="00B31911">
          <w:pPr>
            <w:pStyle w:val="10"/>
            <w:ind w:firstLine="246"/>
            <w:rPr>
              <w:rFonts w:asciiTheme="minorEastAsia" w:eastAsiaTheme="minorEastAsia" w:hAnsiTheme="minorEastAsia" w:cstheme="minorBidi"/>
              <w:bCs w:val="0"/>
              <w:szCs w:val="22"/>
            </w:rPr>
          </w:pPr>
          <w:r>
            <w:fldChar w:fldCharType="begin"/>
          </w:r>
          <w:r>
            <w:instrText xml:space="preserve"> TOC \o "1-3" \h \z \u </w:instrText>
          </w:r>
          <w:r>
            <w:fldChar w:fldCharType="separate"/>
          </w:r>
          <w:hyperlink w:anchor="_Toc44590782" w:history="1">
            <w:r w:rsidRPr="004F7301">
              <w:rPr>
                <w:rStyle w:val="ac"/>
                <w:rFonts w:asciiTheme="minorEastAsia" w:eastAsiaTheme="minorEastAsia" w:hAnsiTheme="minorEastAsia" w:hint="eastAsia"/>
              </w:rPr>
              <w:t>前言</w:t>
            </w:r>
            <w:r w:rsidRPr="004F7301">
              <w:rPr>
                <w:rFonts w:asciiTheme="minorEastAsia" w:eastAsiaTheme="minorEastAsia" w:hAnsiTheme="minorEastAsia"/>
                <w:webHidden/>
              </w:rPr>
              <w:tab/>
            </w:r>
            <w:r w:rsidRPr="004F7301">
              <w:rPr>
                <w:rFonts w:asciiTheme="minorEastAsia" w:eastAsiaTheme="minorEastAsia" w:hAnsiTheme="minorEastAsia"/>
                <w:webHidden/>
              </w:rPr>
              <w:fldChar w:fldCharType="begin"/>
            </w:r>
            <w:r w:rsidRPr="004F7301">
              <w:rPr>
                <w:rFonts w:asciiTheme="minorEastAsia" w:eastAsiaTheme="minorEastAsia" w:hAnsiTheme="minorEastAsia"/>
                <w:webHidden/>
              </w:rPr>
              <w:instrText xml:space="preserve"> PAGEREF _Toc44590782 \h </w:instrText>
            </w:r>
            <w:r w:rsidRPr="004F7301">
              <w:rPr>
                <w:rFonts w:asciiTheme="minorEastAsia" w:eastAsiaTheme="minorEastAsia" w:hAnsiTheme="minorEastAsia"/>
                <w:webHidden/>
              </w:rPr>
            </w:r>
            <w:r w:rsidRPr="004F7301">
              <w:rPr>
                <w:rFonts w:asciiTheme="minorEastAsia" w:eastAsiaTheme="minorEastAsia" w:hAnsiTheme="minorEastAsia"/>
                <w:webHidden/>
              </w:rPr>
              <w:fldChar w:fldCharType="separate"/>
            </w:r>
            <w:r w:rsidRPr="004F7301">
              <w:rPr>
                <w:rFonts w:asciiTheme="minorEastAsia" w:eastAsiaTheme="minorEastAsia" w:hAnsiTheme="minorEastAsia"/>
                <w:webHidden/>
              </w:rPr>
              <w:t>1</w:t>
            </w:r>
            <w:r w:rsidRPr="004F7301">
              <w:rPr>
                <w:rFonts w:asciiTheme="minorEastAsia" w:eastAsiaTheme="minorEastAsia" w:hAnsiTheme="minorEastAsia"/>
                <w:webHidden/>
              </w:rPr>
              <w:fldChar w:fldCharType="end"/>
            </w:r>
          </w:hyperlink>
        </w:p>
        <w:p w:rsidR="00B31911" w:rsidRPr="004F7301" w:rsidRDefault="0020772C">
          <w:pPr>
            <w:pStyle w:val="10"/>
            <w:tabs>
              <w:tab w:val="left" w:pos="630"/>
            </w:tabs>
            <w:ind w:firstLine="246"/>
            <w:rPr>
              <w:rFonts w:asciiTheme="minorEastAsia" w:eastAsiaTheme="minorEastAsia" w:hAnsiTheme="minorEastAsia" w:cstheme="minorBidi"/>
              <w:bCs w:val="0"/>
              <w:szCs w:val="22"/>
            </w:rPr>
          </w:pPr>
          <w:hyperlink w:anchor="_Toc44590783" w:history="1">
            <w:r w:rsidR="00B31911" w:rsidRPr="004F7301">
              <w:rPr>
                <w:rStyle w:val="ac"/>
                <w:rFonts w:asciiTheme="minorEastAsia" w:eastAsiaTheme="minorEastAsia" w:hAnsiTheme="minorEastAsia"/>
              </w:rPr>
              <w:t>1.</w:t>
            </w:r>
            <w:r w:rsidR="00B31911" w:rsidRPr="004F7301">
              <w:rPr>
                <w:rFonts w:asciiTheme="minorEastAsia" w:eastAsiaTheme="minorEastAsia" w:hAnsiTheme="minorEastAsia" w:cstheme="minorBidi"/>
                <w:bCs w:val="0"/>
                <w:szCs w:val="22"/>
              </w:rPr>
              <w:tab/>
            </w:r>
            <w:r w:rsidR="00B31911" w:rsidRPr="004F7301">
              <w:rPr>
                <w:rStyle w:val="ac"/>
                <w:rFonts w:asciiTheme="minorEastAsia" w:eastAsiaTheme="minorEastAsia" w:hAnsiTheme="minorEastAsia" w:hint="eastAsia"/>
              </w:rPr>
              <w:t>范围</w:t>
            </w:r>
            <w:r w:rsidR="00B31911" w:rsidRPr="004F7301">
              <w:rPr>
                <w:rFonts w:asciiTheme="minorEastAsia" w:eastAsiaTheme="minorEastAsia" w:hAnsiTheme="minorEastAsia"/>
                <w:webHidden/>
              </w:rPr>
              <w:tab/>
            </w:r>
            <w:r w:rsidR="00B31911" w:rsidRPr="004F7301">
              <w:rPr>
                <w:rFonts w:asciiTheme="minorEastAsia" w:eastAsiaTheme="minorEastAsia" w:hAnsiTheme="minorEastAsia"/>
                <w:webHidden/>
              </w:rPr>
              <w:fldChar w:fldCharType="begin"/>
            </w:r>
            <w:r w:rsidR="00B31911" w:rsidRPr="004F7301">
              <w:rPr>
                <w:rFonts w:asciiTheme="minorEastAsia" w:eastAsiaTheme="minorEastAsia" w:hAnsiTheme="minorEastAsia"/>
                <w:webHidden/>
              </w:rPr>
              <w:instrText xml:space="preserve"> PAGEREF _Toc44590783 \h </w:instrText>
            </w:r>
            <w:r w:rsidR="00B31911" w:rsidRPr="004F7301">
              <w:rPr>
                <w:rFonts w:asciiTheme="minorEastAsia" w:eastAsiaTheme="minorEastAsia" w:hAnsiTheme="minorEastAsia"/>
                <w:webHidden/>
              </w:rPr>
            </w:r>
            <w:r w:rsidR="00B31911" w:rsidRPr="004F7301">
              <w:rPr>
                <w:rFonts w:asciiTheme="minorEastAsia" w:eastAsiaTheme="minorEastAsia" w:hAnsiTheme="minorEastAsia"/>
                <w:webHidden/>
              </w:rPr>
              <w:fldChar w:fldCharType="separate"/>
            </w:r>
            <w:r w:rsidR="00B31911" w:rsidRPr="004F7301">
              <w:rPr>
                <w:rFonts w:asciiTheme="minorEastAsia" w:eastAsiaTheme="minorEastAsia" w:hAnsiTheme="minorEastAsia"/>
                <w:webHidden/>
              </w:rPr>
              <w:t>2</w:t>
            </w:r>
            <w:r w:rsidR="00B31911" w:rsidRPr="004F7301">
              <w:rPr>
                <w:rFonts w:asciiTheme="minorEastAsia" w:eastAsiaTheme="minorEastAsia" w:hAnsiTheme="minorEastAsia"/>
                <w:webHidden/>
              </w:rPr>
              <w:fldChar w:fldCharType="end"/>
            </w:r>
          </w:hyperlink>
        </w:p>
        <w:p w:rsidR="00B31911" w:rsidRPr="004F7301" w:rsidRDefault="0020772C">
          <w:pPr>
            <w:pStyle w:val="21"/>
            <w:tabs>
              <w:tab w:val="left" w:pos="630"/>
            </w:tabs>
            <w:rPr>
              <w:rFonts w:asciiTheme="minorEastAsia" w:eastAsiaTheme="minorEastAsia" w:hAnsiTheme="minorEastAsia" w:cstheme="minorBidi"/>
              <w:szCs w:val="22"/>
            </w:rPr>
          </w:pPr>
          <w:hyperlink w:anchor="_Toc44590784" w:history="1">
            <w:r w:rsidR="00B31911" w:rsidRPr="004F7301">
              <w:rPr>
                <w:rStyle w:val="ac"/>
                <w:rFonts w:asciiTheme="minorEastAsia" w:eastAsiaTheme="minorEastAsia" w:hAnsiTheme="minorEastAsia"/>
              </w:rPr>
              <w:t>2.</w:t>
            </w:r>
            <w:r w:rsidR="00B31911" w:rsidRPr="004F7301">
              <w:rPr>
                <w:rFonts w:asciiTheme="minorEastAsia" w:eastAsiaTheme="minorEastAsia" w:hAnsiTheme="minorEastAsia" w:cstheme="minorBidi"/>
                <w:szCs w:val="22"/>
              </w:rPr>
              <w:tab/>
            </w:r>
            <w:r w:rsidR="00B31911" w:rsidRPr="004F7301">
              <w:rPr>
                <w:rStyle w:val="ac"/>
                <w:rFonts w:asciiTheme="minorEastAsia" w:eastAsiaTheme="minorEastAsia" w:hAnsiTheme="minorEastAsia" w:hint="eastAsia"/>
              </w:rPr>
              <w:t>规范性引用文件</w:t>
            </w:r>
            <w:r w:rsidR="00B31911" w:rsidRPr="004F7301">
              <w:rPr>
                <w:rFonts w:asciiTheme="minorEastAsia" w:eastAsiaTheme="minorEastAsia" w:hAnsiTheme="minorEastAsia"/>
                <w:webHidden/>
              </w:rPr>
              <w:tab/>
            </w:r>
            <w:r w:rsidR="00B31911" w:rsidRPr="004F7301">
              <w:rPr>
                <w:rFonts w:asciiTheme="minorEastAsia" w:eastAsiaTheme="minorEastAsia" w:hAnsiTheme="minorEastAsia"/>
                <w:webHidden/>
              </w:rPr>
              <w:fldChar w:fldCharType="begin"/>
            </w:r>
            <w:r w:rsidR="00B31911" w:rsidRPr="004F7301">
              <w:rPr>
                <w:rFonts w:asciiTheme="minorEastAsia" w:eastAsiaTheme="minorEastAsia" w:hAnsiTheme="minorEastAsia"/>
                <w:webHidden/>
              </w:rPr>
              <w:instrText xml:space="preserve"> PAGEREF _Toc44590784 \h </w:instrText>
            </w:r>
            <w:r w:rsidR="00B31911" w:rsidRPr="004F7301">
              <w:rPr>
                <w:rFonts w:asciiTheme="minorEastAsia" w:eastAsiaTheme="minorEastAsia" w:hAnsiTheme="minorEastAsia"/>
                <w:webHidden/>
              </w:rPr>
            </w:r>
            <w:r w:rsidR="00B31911" w:rsidRPr="004F7301">
              <w:rPr>
                <w:rFonts w:asciiTheme="minorEastAsia" w:eastAsiaTheme="minorEastAsia" w:hAnsiTheme="minorEastAsia"/>
                <w:webHidden/>
              </w:rPr>
              <w:fldChar w:fldCharType="separate"/>
            </w:r>
            <w:r w:rsidR="00B31911" w:rsidRPr="004F7301">
              <w:rPr>
                <w:rFonts w:asciiTheme="minorEastAsia" w:eastAsiaTheme="minorEastAsia" w:hAnsiTheme="minorEastAsia"/>
                <w:webHidden/>
              </w:rPr>
              <w:t>2</w:t>
            </w:r>
            <w:r w:rsidR="00B31911" w:rsidRPr="004F7301">
              <w:rPr>
                <w:rFonts w:asciiTheme="minorEastAsia" w:eastAsiaTheme="minorEastAsia" w:hAnsiTheme="minorEastAsia"/>
                <w:webHidden/>
              </w:rPr>
              <w:fldChar w:fldCharType="end"/>
            </w:r>
          </w:hyperlink>
        </w:p>
        <w:p w:rsidR="00B31911" w:rsidRPr="004F7301" w:rsidRDefault="0020772C">
          <w:pPr>
            <w:pStyle w:val="21"/>
            <w:tabs>
              <w:tab w:val="left" w:pos="630"/>
            </w:tabs>
            <w:rPr>
              <w:rFonts w:asciiTheme="minorEastAsia" w:eastAsiaTheme="minorEastAsia" w:hAnsiTheme="minorEastAsia" w:cstheme="minorBidi"/>
              <w:szCs w:val="22"/>
            </w:rPr>
          </w:pPr>
          <w:hyperlink w:anchor="_Toc44590785" w:history="1">
            <w:r w:rsidR="00B31911" w:rsidRPr="004F7301">
              <w:rPr>
                <w:rStyle w:val="ac"/>
                <w:rFonts w:asciiTheme="minorEastAsia" w:eastAsiaTheme="minorEastAsia" w:hAnsiTheme="minorEastAsia"/>
              </w:rPr>
              <w:t>3.</w:t>
            </w:r>
            <w:r w:rsidR="00B31911" w:rsidRPr="004F7301">
              <w:rPr>
                <w:rFonts w:asciiTheme="minorEastAsia" w:eastAsiaTheme="minorEastAsia" w:hAnsiTheme="minorEastAsia" w:cstheme="minorBidi"/>
                <w:szCs w:val="22"/>
              </w:rPr>
              <w:tab/>
            </w:r>
            <w:r w:rsidR="00B31911" w:rsidRPr="004F7301">
              <w:rPr>
                <w:rStyle w:val="ac"/>
                <w:rFonts w:asciiTheme="minorEastAsia" w:eastAsiaTheme="minorEastAsia" w:hAnsiTheme="minorEastAsia" w:hint="eastAsia"/>
              </w:rPr>
              <w:t>术语和定义</w:t>
            </w:r>
            <w:r w:rsidR="00B31911" w:rsidRPr="004F7301">
              <w:rPr>
                <w:rFonts w:asciiTheme="minorEastAsia" w:eastAsiaTheme="minorEastAsia" w:hAnsiTheme="minorEastAsia"/>
                <w:webHidden/>
              </w:rPr>
              <w:tab/>
            </w:r>
            <w:r w:rsidR="00B31911" w:rsidRPr="004F7301">
              <w:rPr>
                <w:rFonts w:asciiTheme="minorEastAsia" w:eastAsiaTheme="minorEastAsia" w:hAnsiTheme="minorEastAsia"/>
                <w:webHidden/>
              </w:rPr>
              <w:fldChar w:fldCharType="begin"/>
            </w:r>
            <w:r w:rsidR="00B31911" w:rsidRPr="004F7301">
              <w:rPr>
                <w:rFonts w:asciiTheme="minorEastAsia" w:eastAsiaTheme="minorEastAsia" w:hAnsiTheme="minorEastAsia"/>
                <w:webHidden/>
              </w:rPr>
              <w:instrText xml:space="preserve"> PAGEREF _Toc44590785 \h </w:instrText>
            </w:r>
            <w:r w:rsidR="00B31911" w:rsidRPr="004F7301">
              <w:rPr>
                <w:rFonts w:asciiTheme="minorEastAsia" w:eastAsiaTheme="minorEastAsia" w:hAnsiTheme="minorEastAsia"/>
                <w:webHidden/>
              </w:rPr>
            </w:r>
            <w:r w:rsidR="00B31911" w:rsidRPr="004F7301">
              <w:rPr>
                <w:rFonts w:asciiTheme="minorEastAsia" w:eastAsiaTheme="minorEastAsia" w:hAnsiTheme="minorEastAsia"/>
                <w:webHidden/>
              </w:rPr>
              <w:fldChar w:fldCharType="separate"/>
            </w:r>
            <w:r w:rsidR="00B31911" w:rsidRPr="004F7301">
              <w:rPr>
                <w:rFonts w:asciiTheme="minorEastAsia" w:eastAsiaTheme="minorEastAsia" w:hAnsiTheme="minorEastAsia"/>
                <w:webHidden/>
              </w:rPr>
              <w:t>2</w:t>
            </w:r>
            <w:r w:rsidR="00B31911" w:rsidRPr="004F7301">
              <w:rPr>
                <w:rFonts w:asciiTheme="minorEastAsia" w:eastAsiaTheme="minorEastAsia" w:hAnsiTheme="minorEastAsia"/>
                <w:webHidden/>
              </w:rPr>
              <w:fldChar w:fldCharType="end"/>
            </w:r>
          </w:hyperlink>
        </w:p>
        <w:p w:rsidR="00B31911" w:rsidRPr="004F7301" w:rsidRDefault="0020772C">
          <w:pPr>
            <w:pStyle w:val="21"/>
            <w:tabs>
              <w:tab w:val="left" w:pos="630"/>
            </w:tabs>
            <w:rPr>
              <w:rFonts w:asciiTheme="minorEastAsia" w:eastAsiaTheme="minorEastAsia" w:hAnsiTheme="minorEastAsia" w:cstheme="minorBidi"/>
              <w:szCs w:val="22"/>
            </w:rPr>
          </w:pPr>
          <w:hyperlink w:anchor="_Toc44590786" w:history="1">
            <w:r w:rsidR="00B31911" w:rsidRPr="004F7301">
              <w:rPr>
                <w:rStyle w:val="ac"/>
                <w:rFonts w:asciiTheme="minorEastAsia" w:eastAsiaTheme="minorEastAsia" w:hAnsiTheme="minorEastAsia"/>
              </w:rPr>
              <w:t>4.</w:t>
            </w:r>
            <w:r w:rsidR="00B31911" w:rsidRPr="004F7301">
              <w:rPr>
                <w:rFonts w:asciiTheme="minorEastAsia" w:eastAsiaTheme="minorEastAsia" w:hAnsiTheme="minorEastAsia" w:cstheme="minorBidi"/>
                <w:szCs w:val="22"/>
              </w:rPr>
              <w:tab/>
            </w:r>
            <w:r w:rsidR="00B31911" w:rsidRPr="004F7301">
              <w:rPr>
                <w:rStyle w:val="ac"/>
                <w:rFonts w:asciiTheme="minorEastAsia" w:eastAsiaTheme="minorEastAsia" w:hAnsiTheme="minorEastAsia" w:hint="eastAsia"/>
              </w:rPr>
              <w:t>基本规定</w:t>
            </w:r>
            <w:r w:rsidR="00B31911" w:rsidRPr="004F7301">
              <w:rPr>
                <w:rFonts w:asciiTheme="minorEastAsia" w:eastAsiaTheme="minorEastAsia" w:hAnsiTheme="minorEastAsia"/>
                <w:webHidden/>
              </w:rPr>
              <w:tab/>
            </w:r>
            <w:r w:rsidR="00B31911" w:rsidRPr="004F7301">
              <w:rPr>
                <w:rFonts w:asciiTheme="minorEastAsia" w:eastAsiaTheme="minorEastAsia" w:hAnsiTheme="minorEastAsia"/>
                <w:webHidden/>
              </w:rPr>
              <w:fldChar w:fldCharType="begin"/>
            </w:r>
            <w:r w:rsidR="00B31911" w:rsidRPr="004F7301">
              <w:rPr>
                <w:rFonts w:asciiTheme="minorEastAsia" w:eastAsiaTheme="minorEastAsia" w:hAnsiTheme="minorEastAsia"/>
                <w:webHidden/>
              </w:rPr>
              <w:instrText xml:space="preserve"> PAGEREF _Toc44590786 \h </w:instrText>
            </w:r>
            <w:r w:rsidR="00B31911" w:rsidRPr="004F7301">
              <w:rPr>
                <w:rFonts w:asciiTheme="minorEastAsia" w:eastAsiaTheme="minorEastAsia" w:hAnsiTheme="minorEastAsia"/>
                <w:webHidden/>
              </w:rPr>
            </w:r>
            <w:r w:rsidR="00B31911" w:rsidRPr="004F7301">
              <w:rPr>
                <w:rFonts w:asciiTheme="minorEastAsia" w:eastAsiaTheme="minorEastAsia" w:hAnsiTheme="minorEastAsia"/>
                <w:webHidden/>
              </w:rPr>
              <w:fldChar w:fldCharType="separate"/>
            </w:r>
            <w:r w:rsidR="00B31911" w:rsidRPr="004F7301">
              <w:rPr>
                <w:rFonts w:asciiTheme="minorEastAsia" w:eastAsiaTheme="minorEastAsia" w:hAnsiTheme="minorEastAsia"/>
                <w:webHidden/>
              </w:rPr>
              <w:t>3</w:t>
            </w:r>
            <w:r w:rsidR="00B31911" w:rsidRPr="004F7301">
              <w:rPr>
                <w:rFonts w:asciiTheme="minorEastAsia" w:eastAsiaTheme="minorEastAsia" w:hAnsiTheme="minorEastAsia"/>
                <w:webHidden/>
              </w:rPr>
              <w:fldChar w:fldCharType="end"/>
            </w:r>
          </w:hyperlink>
        </w:p>
        <w:p w:rsidR="00B31911" w:rsidRPr="004F7301" w:rsidRDefault="0020772C">
          <w:pPr>
            <w:pStyle w:val="21"/>
            <w:tabs>
              <w:tab w:val="left" w:pos="630"/>
            </w:tabs>
            <w:rPr>
              <w:rFonts w:asciiTheme="minorEastAsia" w:eastAsiaTheme="minorEastAsia" w:hAnsiTheme="minorEastAsia" w:cstheme="minorBidi"/>
              <w:szCs w:val="22"/>
            </w:rPr>
          </w:pPr>
          <w:hyperlink w:anchor="_Toc44590790" w:history="1">
            <w:r w:rsidR="00B31911" w:rsidRPr="004F7301">
              <w:rPr>
                <w:rStyle w:val="ac"/>
                <w:rFonts w:asciiTheme="minorEastAsia" w:eastAsiaTheme="minorEastAsia" w:hAnsiTheme="minorEastAsia"/>
              </w:rPr>
              <w:t>5.</w:t>
            </w:r>
            <w:r w:rsidR="00B31911" w:rsidRPr="004F7301">
              <w:rPr>
                <w:rFonts w:asciiTheme="minorEastAsia" w:eastAsiaTheme="minorEastAsia" w:hAnsiTheme="minorEastAsia" w:cstheme="minorBidi"/>
                <w:szCs w:val="22"/>
              </w:rPr>
              <w:tab/>
            </w:r>
            <w:r w:rsidR="00B31911" w:rsidRPr="004F7301">
              <w:rPr>
                <w:rStyle w:val="ac"/>
                <w:rFonts w:asciiTheme="minorEastAsia" w:eastAsiaTheme="minorEastAsia" w:hAnsiTheme="minorEastAsia" w:hint="eastAsia"/>
              </w:rPr>
              <w:t>认证实施</w:t>
            </w:r>
            <w:r w:rsidR="00B31911" w:rsidRPr="004F7301">
              <w:rPr>
                <w:rFonts w:asciiTheme="minorEastAsia" w:eastAsiaTheme="minorEastAsia" w:hAnsiTheme="minorEastAsia"/>
                <w:webHidden/>
              </w:rPr>
              <w:tab/>
            </w:r>
            <w:r w:rsidR="00B31911" w:rsidRPr="004F7301">
              <w:rPr>
                <w:rFonts w:asciiTheme="minorEastAsia" w:eastAsiaTheme="minorEastAsia" w:hAnsiTheme="minorEastAsia"/>
                <w:webHidden/>
              </w:rPr>
              <w:fldChar w:fldCharType="begin"/>
            </w:r>
            <w:r w:rsidR="00B31911" w:rsidRPr="004F7301">
              <w:rPr>
                <w:rFonts w:asciiTheme="minorEastAsia" w:eastAsiaTheme="minorEastAsia" w:hAnsiTheme="minorEastAsia"/>
                <w:webHidden/>
              </w:rPr>
              <w:instrText xml:space="preserve"> PAGEREF _Toc44590790 \h </w:instrText>
            </w:r>
            <w:r w:rsidR="00B31911" w:rsidRPr="004F7301">
              <w:rPr>
                <w:rFonts w:asciiTheme="minorEastAsia" w:eastAsiaTheme="minorEastAsia" w:hAnsiTheme="minorEastAsia"/>
                <w:webHidden/>
              </w:rPr>
            </w:r>
            <w:r w:rsidR="00B31911" w:rsidRPr="004F7301">
              <w:rPr>
                <w:rFonts w:asciiTheme="minorEastAsia" w:eastAsiaTheme="minorEastAsia" w:hAnsiTheme="minorEastAsia"/>
                <w:webHidden/>
              </w:rPr>
              <w:fldChar w:fldCharType="separate"/>
            </w:r>
            <w:r w:rsidR="00B31911" w:rsidRPr="004F7301">
              <w:rPr>
                <w:rFonts w:asciiTheme="minorEastAsia" w:eastAsiaTheme="minorEastAsia" w:hAnsiTheme="minorEastAsia"/>
                <w:webHidden/>
              </w:rPr>
              <w:t>5</w:t>
            </w:r>
            <w:r w:rsidR="00B31911" w:rsidRPr="004F7301">
              <w:rPr>
                <w:rFonts w:asciiTheme="minorEastAsia" w:eastAsiaTheme="minorEastAsia" w:hAnsiTheme="minorEastAsia"/>
                <w:webHidden/>
              </w:rPr>
              <w:fldChar w:fldCharType="end"/>
            </w:r>
          </w:hyperlink>
        </w:p>
        <w:p w:rsidR="00B31911" w:rsidRPr="004F7301" w:rsidRDefault="0020772C">
          <w:pPr>
            <w:pStyle w:val="21"/>
            <w:tabs>
              <w:tab w:val="left" w:pos="630"/>
            </w:tabs>
            <w:rPr>
              <w:rFonts w:asciiTheme="minorEastAsia" w:eastAsiaTheme="minorEastAsia" w:hAnsiTheme="minorEastAsia" w:cstheme="minorBidi"/>
              <w:szCs w:val="22"/>
            </w:rPr>
          </w:pPr>
          <w:hyperlink w:anchor="_Toc44590801" w:history="1">
            <w:r w:rsidR="00B31911" w:rsidRPr="004F7301">
              <w:rPr>
                <w:rStyle w:val="ac"/>
                <w:rFonts w:asciiTheme="minorEastAsia" w:eastAsiaTheme="minorEastAsia" w:hAnsiTheme="minorEastAsia"/>
              </w:rPr>
              <w:t>6.</w:t>
            </w:r>
            <w:r w:rsidR="00B31911" w:rsidRPr="004F7301">
              <w:rPr>
                <w:rFonts w:asciiTheme="minorEastAsia" w:eastAsiaTheme="minorEastAsia" w:hAnsiTheme="minorEastAsia" w:cstheme="minorBidi"/>
                <w:szCs w:val="22"/>
              </w:rPr>
              <w:tab/>
            </w:r>
            <w:r w:rsidR="00B31911" w:rsidRPr="004F7301">
              <w:rPr>
                <w:rStyle w:val="ac"/>
                <w:rFonts w:asciiTheme="minorEastAsia" w:eastAsiaTheme="minorEastAsia" w:hAnsiTheme="minorEastAsia" w:hint="eastAsia"/>
              </w:rPr>
              <w:t>认证证书</w:t>
            </w:r>
            <w:r w:rsidR="00B31911" w:rsidRPr="004F7301">
              <w:rPr>
                <w:rFonts w:asciiTheme="minorEastAsia" w:eastAsiaTheme="minorEastAsia" w:hAnsiTheme="minorEastAsia"/>
                <w:webHidden/>
              </w:rPr>
              <w:tab/>
            </w:r>
            <w:r w:rsidR="00B31911" w:rsidRPr="004F7301">
              <w:rPr>
                <w:rFonts w:asciiTheme="minorEastAsia" w:eastAsiaTheme="minorEastAsia" w:hAnsiTheme="minorEastAsia"/>
                <w:webHidden/>
              </w:rPr>
              <w:fldChar w:fldCharType="begin"/>
            </w:r>
            <w:r w:rsidR="00B31911" w:rsidRPr="004F7301">
              <w:rPr>
                <w:rFonts w:asciiTheme="minorEastAsia" w:eastAsiaTheme="minorEastAsia" w:hAnsiTheme="minorEastAsia"/>
                <w:webHidden/>
              </w:rPr>
              <w:instrText xml:space="preserve"> PAGEREF _Toc44590801 \h </w:instrText>
            </w:r>
            <w:r w:rsidR="00B31911" w:rsidRPr="004F7301">
              <w:rPr>
                <w:rFonts w:asciiTheme="minorEastAsia" w:eastAsiaTheme="minorEastAsia" w:hAnsiTheme="minorEastAsia"/>
                <w:webHidden/>
              </w:rPr>
            </w:r>
            <w:r w:rsidR="00B31911" w:rsidRPr="004F7301">
              <w:rPr>
                <w:rFonts w:asciiTheme="minorEastAsia" w:eastAsiaTheme="minorEastAsia" w:hAnsiTheme="minorEastAsia"/>
                <w:webHidden/>
              </w:rPr>
              <w:fldChar w:fldCharType="separate"/>
            </w:r>
            <w:r w:rsidR="00B31911" w:rsidRPr="004F7301">
              <w:rPr>
                <w:rFonts w:asciiTheme="minorEastAsia" w:eastAsiaTheme="minorEastAsia" w:hAnsiTheme="minorEastAsia"/>
                <w:webHidden/>
              </w:rPr>
              <w:t>13</w:t>
            </w:r>
            <w:r w:rsidR="00B31911" w:rsidRPr="004F7301">
              <w:rPr>
                <w:rFonts w:asciiTheme="minorEastAsia" w:eastAsiaTheme="minorEastAsia" w:hAnsiTheme="minorEastAsia"/>
                <w:webHidden/>
              </w:rPr>
              <w:fldChar w:fldCharType="end"/>
            </w:r>
          </w:hyperlink>
        </w:p>
        <w:p w:rsidR="00B31911" w:rsidRPr="004F7301" w:rsidRDefault="0020772C">
          <w:pPr>
            <w:pStyle w:val="21"/>
            <w:rPr>
              <w:rFonts w:asciiTheme="minorEastAsia" w:eastAsiaTheme="minorEastAsia" w:hAnsiTheme="minorEastAsia" w:cstheme="minorBidi"/>
              <w:szCs w:val="22"/>
            </w:rPr>
          </w:pPr>
          <w:hyperlink w:anchor="_Toc44590805" w:history="1">
            <w:r w:rsidR="00B31911" w:rsidRPr="004F7301">
              <w:rPr>
                <w:rStyle w:val="ac"/>
                <w:rFonts w:asciiTheme="minorEastAsia" w:eastAsiaTheme="minorEastAsia" w:hAnsiTheme="minorEastAsia" w:hint="eastAsia"/>
              </w:rPr>
              <w:t>附录</w:t>
            </w:r>
            <w:r w:rsidR="00B31911" w:rsidRPr="004F7301">
              <w:rPr>
                <w:rStyle w:val="ac"/>
                <w:rFonts w:asciiTheme="minorEastAsia" w:eastAsiaTheme="minorEastAsia" w:hAnsiTheme="minorEastAsia"/>
              </w:rPr>
              <w:t xml:space="preserve">A </w:t>
            </w:r>
            <w:r w:rsidR="00B31911" w:rsidRPr="004F7301">
              <w:rPr>
                <w:rStyle w:val="ac"/>
                <w:rFonts w:asciiTheme="minorEastAsia" w:eastAsiaTheme="minorEastAsia" w:hAnsiTheme="minorEastAsia" w:hint="eastAsia"/>
              </w:rPr>
              <w:t>绿色建材产品认证产品检验取样检测要求</w:t>
            </w:r>
            <w:r w:rsidR="00B31911" w:rsidRPr="004F7301">
              <w:rPr>
                <w:rFonts w:asciiTheme="minorEastAsia" w:eastAsiaTheme="minorEastAsia" w:hAnsiTheme="minorEastAsia"/>
                <w:webHidden/>
              </w:rPr>
              <w:tab/>
            </w:r>
            <w:r w:rsidR="00B31911" w:rsidRPr="004F7301">
              <w:rPr>
                <w:rFonts w:asciiTheme="minorEastAsia" w:eastAsiaTheme="minorEastAsia" w:hAnsiTheme="minorEastAsia"/>
                <w:webHidden/>
              </w:rPr>
              <w:fldChar w:fldCharType="begin"/>
            </w:r>
            <w:r w:rsidR="00B31911" w:rsidRPr="004F7301">
              <w:rPr>
                <w:rFonts w:asciiTheme="minorEastAsia" w:eastAsiaTheme="minorEastAsia" w:hAnsiTheme="minorEastAsia"/>
                <w:webHidden/>
              </w:rPr>
              <w:instrText xml:space="preserve"> PAGEREF _Toc44590805 \h </w:instrText>
            </w:r>
            <w:r w:rsidR="00B31911" w:rsidRPr="004F7301">
              <w:rPr>
                <w:rFonts w:asciiTheme="minorEastAsia" w:eastAsiaTheme="minorEastAsia" w:hAnsiTheme="minorEastAsia"/>
                <w:webHidden/>
              </w:rPr>
            </w:r>
            <w:r w:rsidR="00B31911" w:rsidRPr="004F7301">
              <w:rPr>
                <w:rFonts w:asciiTheme="minorEastAsia" w:eastAsiaTheme="minorEastAsia" w:hAnsiTheme="minorEastAsia"/>
                <w:webHidden/>
              </w:rPr>
              <w:fldChar w:fldCharType="separate"/>
            </w:r>
            <w:r w:rsidR="00B31911" w:rsidRPr="004F7301">
              <w:rPr>
                <w:rFonts w:asciiTheme="minorEastAsia" w:eastAsiaTheme="minorEastAsia" w:hAnsiTheme="minorEastAsia"/>
                <w:webHidden/>
              </w:rPr>
              <w:t>15</w:t>
            </w:r>
            <w:r w:rsidR="00B31911" w:rsidRPr="004F7301">
              <w:rPr>
                <w:rFonts w:asciiTheme="minorEastAsia" w:eastAsiaTheme="minorEastAsia" w:hAnsiTheme="minorEastAsia"/>
                <w:webHidden/>
              </w:rPr>
              <w:fldChar w:fldCharType="end"/>
            </w:r>
          </w:hyperlink>
        </w:p>
        <w:p w:rsidR="00B31911" w:rsidRPr="004F7301" w:rsidRDefault="0020772C">
          <w:pPr>
            <w:pStyle w:val="21"/>
            <w:rPr>
              <w:rFonts w:asciiTheme="minorEastAsia" w:eastAsiaTheme="minorEastAsia" w:hAnsiTheme="minorEastAsia" w:cstheme="minorBidi"/>
              <w:szCs w:val="22"/>
            </w:rPr>
          </w:pPr>
          <w:hyperlink w:anchor="_Toc44590807" w:history="1">
            <w:r w:rsidR="00B31911" w:rsidRPr="004F7301">
              <w:rPr>
                <w:rStyle w:val="ac"/>
                <w:rFonts w:asciiTheme="minorEastAsia" w:eastAsiaTheme="minorEastAsia" w:hAnsiTheme="minorEastAsia" w:hint="eastAsia"/>
              </w:rPr>
              <w:t>附录</w:t>
            </w:r>
            <w:r w:rsidR="00B31911" w:rsidRPr="004F7301">
              <w:rPr>
                <w:rStyle w:val="ac"/>
                <w:rFonts w:asciiTheme="minorEastAsia" w:eastAsiaTheme="minorEastAsia" w:hAnsiTheme="minorEastAsia"/>
              </w:rPr>
              <w:t xml:space="preserve">B </w:t>
            </w:r>
            <w:r w:rsidR="00B31911" w:rsidRPr="004F7301">
              <w:rPr>
                <w:rStyle w:val="ac"/>
                <w:rFonts w:asciiTheme="minorEastAsia" w:eastAsiaTheme="minorEastAsia" w:hAnsiTheme="minorEastAsia" w:hint="eastAsia"/>
              </w:rPr>
              <w:t>绿色建材产品认证工厂保证能力检查要求</w:t>
            </w:r>
            <w:r w:rsidR="00B31911" w:rsidRPr="004F7301">
              <w:rPr>
                <w:rFonts w:asciiTheme="minorEastAsia" w:eastAsiaTheme="minorEastAsia" w:hAnsiTheme="minorEastAsia"/>
                <w:webHidden/>
              </w:rPr>
              <w:tab/>
            </w:r>
            <w:r w:rsidR="00B31911" w:rsidRPr="004F7301">
              <w:rPr>
                <w:rFonts w:asciiTheme="minorEastAsia" w:eastAsiaTheme="minorEastAsia" w:hAnsiTheme="minorEastAsia"/>
                <w:webHidden/>
              </w:rPr>
              <w:fldChar w:fldCharType="begin"/>
            </w:r>
            <w:r w:rsidR="00B31911" w:rsidRPr="004F7301">
              <w:rPr>
                <w:rFonts w:asciiTheme="minorEastAsia" w:eastAsiaTheme="minorEastAsia" w:hAnsiTheme="minorEastAsia"/>
                <w:webHidden/>
              </w:rPr>
              <w:instrText xml:space="preserve"> PAGEREF _Toc44590807 \h </w:instrText>
            </w:r>
            <w:r w:rsidR="00B31911" w:rsidRPr="004F7301">
              <w:rPr>
                <w:rFonts w:asciiTheme="minorEastAsia" w:eastAsiaTheme="minorEastAsia" w:hAnsiTheme="minorEastAsia"/>
                <w:webHidden/>
              </w:rPr>
            </w:r>
            <w:r w:rsidR="00B31911" w:rsidRPr="004F7301">
              <w:rPr>
                <w:rFonts w:asciiTheme="minorEastAsia" w:eastAsiaTheme="minorEastAsia" w:hAnsiTheme="minorEastAsia"/>
                <w:webHidden/>
              </w:rPr>
              <w:fldChar w:fldCharType="separate"/>
            </w:r>
            <w:r w:rsidR="00B31911" w:rsidRPr="004F7301">
              <w:rPr>
                <w:rFonts w:asciiTheme="minorEastAsia" w:eastAsiaTheme="minorEastAsia" w:hAnsiTheme="minorEastAsia"/>
                <w:webHidden/>
              </w:rPr>
              <w:t>16</w:t>
            </w:r>
            <w:r w:rsidR="00B31911" w:rsidRPr="004F7301">
              <w:rPr>
                <w:rFonts w:asciiTheme="minorEastAsia" w:eastAsiaTheme="minorEastAsia" w:hAnsiTheme="minorEastAsia"/>
                <w:webHidden/>
              </w:rPr>
              <w:fldChar w:fldCharType="end"/>
            </w:r>
          </w:hyperlink>
        </w:p>
        <w:p w:rsidR="00B31911" w:rsidRDefault="00B31911" w:rsidP="00B31911">
          <w:pPr>
            <w:pStyle w:val="21"/>
            <w:ind w:left="0"/>
            <w:rPr>
              <w:rFonts w:asciiTheme="minorHAnsi" w:eastAsiaTheme="minorEastAsia" w:hAnsiTheme="minorHAnsi" w:cstheme="minorBidi"/>
              <w:szCs w:val="22"/>
            </w:rPr>
          </w:pPr>
        </w:p>
        <w:p w:rsidR="00B31911" w:rsidRDefault="00B31911">
          <w:r>
            <w:rPr>
              <w:b/>
              <w:bCs/>
              <w:lang w:val="zh-CN"/>
            </w:rPr>
            <w:fldChar w:fldCharType="end"/>
          </w:r>
        </w:p>
      </w:sdtContent>
    </w:sdt>
    <w:p w:rsidR="00B31911" w:rsidRDefault="00B31911">
      <w:pPr>
        <w:widowControl/>
        <w:spacing w:line="240" w:lineRule="auto"/>
        <w:jc w:val="left"/>
        <w:rPr>
          <w:rFonts w:asciiTheme="minorEastAsia" w:eastAsiaTheme="minorEastAsia" w:hAnsiTheme="minorEastAsia"/>
          <w:b/>
          <w:sz w:val="21"/>
          <w:szCs w:val="21"/>
        </w:rPr>
      </w:pPr>
      <w:r>
        <w:rPr>
          <w:rFonts w:asciiTheme="minorEastAsia" w:eastAsiaTheme="minorEastAsia" w:hAnsiTheme="minorEastAsia"/>
          <w:b/>
          <w:sz w:val="21"/>
          <w:szCs w:val="21"/>
        </w:rPr>
        <w:br w:type="page"/>
      </w:r>
    </w:p>
    <w:p w:rsidR="00B2560C" w:rsidRPr="004F7301" w:rsidRDefault="00B2560C" w:rsidP="00B2560C">
      <w:pPr>
        <w:jc w:val="center"/>
        <w:rPr>
          <w:rFonts w:ascii="黑体" w:eastAsia="黑体" w:hAnsi="黑体"/>
          <w:b/>
          <w:sz w:val="32"/>
          <w:szCs w:val="32"/>
        </w:rPr>
      </w:pPr>
      <w:r w:rsidRPr="004F7301">
        <w:rPr>
          <w:rFonts w:ascii="黑体" w:eastAsia="黑体" w:hAnsi="黑体" w:hint="eastAsia"/>
          <w:b/>
          <w:sz w:val="32"/>
          <w:szCs w:val="32"/>
        </w:rPr>
        <w:lastRenderedPageBreak/>
        <w:t>Con</w:t>
      </w:r>
      <w:r w:rsidRPr="004F7301">
        <w:rPr>
          <w:rFonts w:ascii="黑体" w:eastAsia="黑体" w:hAnsi="黑体"/>
          <w:b/>
          <w:sz w:val="32"/>
          <w:szCs w:val="32"/>
        </w:rPr>
        <w:t>tents</w:t>
      </w:r>
    </w:p>
    <w:p w:rsidR="00B2560C" w:rsidRPr="001A1732" w:rsidRDefault="00B2560C" w:rsidP="00B2560C">
      <w:pPr>
        <w:rPr>
          <w:rFonts w:asciiTheme="minorEastAsia" w:eastAsiaTheme="minorEastAsia" w:hAnsiTheme="minorEastAsia"/>
          <w:sz w:val="21"/>
          <w:szCs w:val="21"/>
        </w:rPr>
      </w:pPr>
    </w:p>
    <w:p w:rsidR="00B2560C" w:rsidRPr="00EC1124" w:rsidRDefault="00B2560C" w:rsidP="00B2560C">
      <w:pPr>
        <w:tabs>
          <w:tab w:val="right" w:leader="dot" w:pos="8364"/>
        </w:tabs>
        <w:ind w:leftChars="59" w:left="386" w:hangingChars="116" w:hanging="244"/>
        <w:jc w:val="left"/>
        <w:rPr>
          <w:rFonts w:asciiTheme="minorEastAsia" w:eastAsiaTheme="minorEastAsia" w:hAnsiTheme="minorEastAsia"/>
          <w:noProof/>
          <w:sz w:val="21"/>
          <w:szCs w:val="21"/>
        </w:rPr>
      </w:pPr>
      <w:r w:rsidRPr="00EC1124">
        <w:rPr>
          <w:rFonts w:asciiTheme="minorEastAsia" w:eastAsiaTheme="minorEastAsia" w:hAnsiTheme="minorEastAsia" w:hint="eastAsia"/>
          <w:noProof/>
          <w:sz w:val="21"/>
          <w:szCs w:val="21"/>
        </w:rPr>
        <w:t>P</w:t>
      </w:r>
      <w:r w:rsidRPr="00EC1124">
        <w:rPr>
          <w:rFonts w:asciiTheme="minorEastAsia" w:eastAsiaTheme="minorEastAsia" w:hAnsiTheme="minorEastAsia"/>
          <w:noProof/>
          <w:sz w:val="21"/>
          <w:szCs w:val="21"/>
        </w:rPr>
        <w:t>reface</w:t>
      </w:r>
      <w:r w:rsidRPr="00EC1124">
        <w:rPr>
          <w:rFonts w:asciiTheme="minorEastAsia" w:eastAsiaTheme="minorEastAsia" w:hAnsiTheme="minorEastAsia"/>
          <w:noProof/>
          <w:webHidden/>
          <w:sz w:val="21"/>
          <w:szCs w:val="21"/>
        </w:rPr>
        <w:tab/>
        <w:t>1</w:t>
      </w:r>
      <w:r w:rsidRPr="00EC1124">
        <w:rPr>
          <w:rFonts w:asciiTheme="minorEastAsia" w:eastAsiaTheme="minorEastAsia" w:hAnsiTheme="minorEastAsia"/>
          <w:noProof/>
          <w:sz w:val="21"/>
          <w:szCs w:val="21"/>
        </w:rPr>
        <w:fldChar w:fldCharType="begin"/>
      </w:r>
      <w:r w:rsidRPr="00EC1124">
        <w:rPr>
          <w:rFonts w:asciiTheme="minorEastAsia" w:eastAsiaTheme="minorEastAsia" w:hAnsiTheme="minorEastAsia"/>
          <w:noProof/>
          <w:sz w:val="21"/>
          <w:szCs w:val="21"/>
        </w:rPr>
        <w:instrText>TOC \o "1-3" \h \z \u</w:instrText>
      </w:r>
      <w:r w:rsidRPr="00EC1124">
        <w:rPr>
          <w:rFonts w:asciiTheme="minorEastAsia" w:eastAsiaTheme="minorEastAsia" w:hAnsiTheme="minorEastAsia"/>
          <w:noProof/>
          <w:sz w:val="21"/>
          <w:szCs w:val="21"/>
        </w:rPr>
        <w:fldChar w:fldCharType="separate"/>
      </w:r>
    </w:p>
    <w:p w:rsidR="00B2560C" w:rsidRPr="00EC1124" w:rsidRDefault="0020772C" w:rsidP="00B2560C">
      <w:pPr>
        <w:tabs>
          <w:tab w:val="right" w:leader="dot" w:pos="8364"/>
        </w:tabs>
        <w:ind w:leftChars="59" w:left="386" w:hangingChars="116" w:hanging="244"/>
        <w:jc w:val="left"/>
        <w:rPr>
          <w:rFonts w:asciiTheme="minorEastAsia" w:eastAsiaTheme="minorEastAsia" w:hAnsiTheme="minorEastAsia" w:cstheme="minorBidi"/>
          <w:noProof/>
          <w:sz w:val="21"/>
          <w:szCs w:val="21"/>
        </w:rPr>
      </w:pPr>
      <w:hyperlink w:anchor="_Toc34991767" w:history="1">
        <w:r w:rsidR="00B2560C" w:rsidRPr="00EC1124">
          <w:rPr>
            <w:rFonts w:asciiTheme="minorEastAsia" w:eastAsiaTheme="minorEastAsia" w:hAnsiTheme="minorEastAsia"/>
            <w:noProof/>
            <w:sz w:val="21"/>
            <w:szCs w:val="21"/>
          </w:rPr>
          <w:t>1.</w:t>
        </w:r>
        <w:r w:rsidR="00B2560C" w:rsidRPr="00EC1124">
          <w:rPr>
            <w:rFonts w:asciiTheme="minorEastAsia" w:eastAsiaTheme="minorEastAsia" w:hAnsiTheme="minorEastAsia" w:cstheme="minorBidi"/>
            <w:noProof/>
            <w:sz w:val="21"/>
            <w:szCs w:val="21"/>
          </w:rPr>
          <w:tab/>
        </w:r>
        <w:r w:rsidR="00B2560C" w:rsidRPr="00EC1124">
          <w:rPr>
            <w:rFonts w:asciiTheme="minorEastAsia" w:eastAsiaTheme="minorEastAsia" w:hAnsiTheme="minorEastAsia" w:hint="eastAsia"/>
            <w:noProof/>
            <w:sz w:val="21"/>
            <w:szCs w:val="21"/>
          </w:rPr>
          <w:t>Scope</w:t>
        </w:r>
        <w:r w:rsidR="00B2560C" w:rsidRPr="00EC1124">
          <w:rPr>
            <w:rFonts w:asciiTheme="minorEastAsia" w:eastAsiaTheme="minorEastAsia" w:hAnsiTheme="minorEastAsia"/>
            <w:noProof/>
            <w:webHidden/>
            <w:sz w:val="21"/>
            <w:szCs w:val="21"/>
          </w:rPr>
          <w:tab/>
        </w:r>
      </w:hyperlink>
      <w:r w:rsidR="00B31911" w:rsidRPr="00EC1124">
        <w:rPr>
          <w:rFonts w:asciiTheme="minorEastAsia" w:eastAsiaTheme="minorEastAsia" w:hAnsiTheme="minorEastAsia"/>
          <w:noProof/>
          <w:sz w:val="21"/>
          <w:szCs w:val="21"/>
        </w:rPr>
        <w:t>2</w:t>
      </w:r>
    </w:p>
    <w:p w:rsidR="00B2560C" w:rsidRPr="00EC1124" w:rsidRDefault="0020772C" w:rsidP="00B2560C">
      <w:pPr>
        <w:tabs>
          <w:tab w:val="right" w:leader="dot" w:pos="8364"/>
        </w:tabs>
        <w:ind w:leftChars="59" w:left="386" w:hangingChars="116" w:hanging="244"/>
        <w:jc w:val="left"/>
        <w:rPr>
          <w:rFonts w:asciiTheme="minorEastAsia" w:eastAsiaTheme="minorEastAsia" w:hAnsiTheme="minorEastAsia" w:cstheme="minorBidi"/>
          <w:noProof/>
          <w:sz w:val="21"/>
          <w:szCs w:val="21"/>
        </w:rPr>
      </w:pPr>
      <w:hyperlink w:anchor="_Toc34991768" w:history="1">
        <w:r w:rsidR="00B2560C" w:rsidRPr="00EC1124">
          <w:rPr>
            <w:rFonts w:asciiTheme="minorEastAsia" w:eastAsiaTheme="minorEastAsia" w:hAnsiTheme="minorEastAsia"/>
            <w:noProof/>
            <w:sz w:val="21"/>
            <w:szCs w:val="21"/>
          </w:rPr>
          <w:t>2.</w:t>
        </w:r>
        <w:r w:rsidR="00B2560C" w:rsidRPr="00EC1124">
          <w:rPr>
            <w:rFonts w:asciiTheme="minorEastAsia" w:eastAsiaTheme="minorEastAsia" w:hAnsiTheme="minorEastAsia" w:cstheme="minorBidi"/>
            <w:noProof/>
            <w:sz w:val="21"/>
            <w:szCs w:val="21"/>
          </w:rPr>
          <w:tab/>
        </w:r>
        <w:r w:rsidR="00B2560C" w:rsidRPr="00EC1124">
          <w:rPr>
            <w:rFonts w:asciiTheme="minorEastAsia" w:eastAsiaTheme="minorEastAsia" w:hAnsiTheme="minorEastAsia"/>
            <w:noProof/>
            <w:sz w:val="21"/>
            <w:szCs w:val="21"/>
          </w:rPr>
          <w:t>Terms and definitions</w:t>
        </w:r>
        <w:r w:rsidR="00B2560C" w:rsidRPr="00EC1124">
          <w:rPr>
            <w:rFonts w:asciiTheme="minorEastAsia" w:eastAsiaTheme="minorEastAsia" w:hAnsiTheme="minorEastAsia"/>
            <w:noProof/>
            <w:webHidden/>
            <w:sz w:val="21"/>
            <w:szCs w:val="21"/>
          </w:rPr>
          <w:tab/>
        </w:r>
      </w:hyperlink>
      <w:r w:rsidR="00B31911" w:rsidRPr="00EC1124">
        <w:rPr>
          <w:rFonts w:asciiTheme="minorEastAsia" w:eastAsiaTheme="minorEastAsia" w:hAnsiTheme="minorEastAsia"/>
          <w:noProof/>
          <w:sz w:val="21"/>
          <w:szCs w:val="21"/>
        </w:rPr>
        <w:t>2</w:t>
      </w:r>
    </w:p>
    <w:p w:rsidR="00B2560C" w:rsidRPr="00EC1124" w:rsidRDefault="0020772C" w:rsidP="00B2560C">
      <w:pPr>
        <w:tabs>
          <w:tab w:val="right" w:leader="dot" w:pos="8364"/>
        </w:tabs>
        <w:ind w:leftChars="59" w:left="386" w:hangingChars="116" w:hanging="244"/>
        <w:jc w:val="left"/>
        <w:rPr>
          <w:rFonts w:asciiTheme="minorEastAsia" w:eastAsiaTheme="minorEastAsia" w:hAnsiTheme="minorEastAsia" w:cstheme="minorBidi"/>
          <w:noProof/>
          <w:sz w:val="21"/>
          <w:szCs w:val="21"/>
        </w:rPr>
      </w:pPr>
      <w:hyperlink w:anchor="_Toc34991769" w:history="1">
        <w:r w:rsidR="00B2560C" w:rsidRPr="00EC1124">
          <w:rPr>
            <w:rFonts w:asciiTheme="minorEastAsia" w:eastAsiaTheme="minorEastAsia" w:hAnsiTheme="minorEastAsia"/>
            <w:noProof/>
            <w:sz w:val="21"/>
            <w:szCs w:val="21"/>
          </w:rPr>
          <w:t>3.</w:t>
        </w:r>
        <w:r w:rsidR="00B2560C" w:rsidRPr="00EC1124">
          <w:rPr>
            <w:rFonts w:asciiTheme="minorEastAsia" w:eastAsiaTheme="minorEastAsia" w:hAnsiTheme="minorEastAsia" w:cstheme="minorBidi"/>
            <w:noProof/>
            <w:sz w:val="21"/>
            <w:szCs w:val="21"/>
          </w:rPr>
          <w:tab/>
        </w:r>
        <w:r w:rsidR="00B2560C" w:rsidRPr="00EC1124">
          <w:rPr>
            <w:rFonts w:asciiTheme="minorEastAsia" w:eastAsiaTheme="minorEastAsia" w:hAnsiTheme="minorEastAsia"/>
            <w:noProof/>
            <w:sz w:val="21"/>
            <w:szCs w:val="21"/>
          </w:rPr>
          <w:t>Normative references</w:t>
        </w:r>
        <w:r w:rsidR="00B2560C" w:rsidRPr="00EC1124">
          <w:rPr>
            <w:rFonts w:asciiTheme="minorEastAsia" w:eastAsiaTheme="minorEastAsia" w:hAnsiTheme="minorEastAsia"/>
            <w:noProof/>
            <w:webHidden/>
            <w:sz w:val="21"/>
            <w:szCs w:val="21"/>
          </w:rPr>
          <w:tab/>
        </w:r>
      </w:hyperlink>
      <w:r w:rsidR="00B31911" w:rsidRPr="00EC1124">
        <w:rPr>
          <w:rFonts w:asciiTheme="minorEastAsia" w:eastAsiaTheme="minorEastAsia" w:hAnsiTheme="minorEastAsia"/>
          <w:noProof/>
          <w:sz w:val="21"/>
          <w:szCs w:val="21"/>
        </w:rPr>
        <w:t>2</w:t>
      </w:r>
    </w:p>
    <w:p w:rsidR="00B2560C" w:rsidRPr="00EC1124" w:rsidRDefault="0020772C" w:rsidP="00B2560C">
      <w:pPr>
        <w:tabs>
          <w:tab w:val="right" w:leader="dot" w:pos="8364"/>
        </w:tabs>
        <w:ind w:leftChars="59" w:left="386" w:hangingChars="116" w:hanging="244"/>
        <w:jc w:val="left"/>
        <w:rPr>
          <w:rFonts w:asciiTheme="minorEastAsia" w:eastAsiaTheme="minorEastAsia" w:hAnsiTheme="minorEastAsia" w:cstheme="minorBidi"/>
          <w:noProof/>
          <w:sz w:val="21"/>
          <w:szCs w:val="21"/>
        </w:rPr>
      </w:pPr>
      <w:hyperlink w:anchor="_Toc34991770" w:history="1">
        <w:r w:rsidR="00B2560C" w:rsidRPr="00EC1124">
          <w:rPr>
            <w:rFonts w:asciiTheme="minorEastAsia" w:eastAsiaTheme="minorEastAsia" w:hAnsiTheme="minorEastAsia"/>
            <w:noProof/>
            <w:sz w:val="21"/>
            <w:szCs w:val="21"/>
          </w:rPr>
          <w:t>4.</w:t>
        </w:r>
        <w:r w:rsidR="00B2560C" w:rsidRPr="00EC1124">
          <w:rPr>
            <w:rFonts w:asciiTheme="minorEastAsia" w:eastAsiaTheme="minorEastAsia" w:hAnsiTheme="minorEastAsia" w:cstheme="minorBidi"/>
            <w:noProof/>
            <w:sz w:val="21"/>
            <w:szCs w:val="21"/>
          </w:rPr>
          <w:tab/>
        </w:r>
        <w:r w:rsidR="00B2560C" w:rsidRPr="00EC1124">
          <w:rPr>
            <w:rFonts w:asciiTheme="minorEastAsia" w:eastAsiaTheme="minorEastAsia" w:hAnsiTheme="minorEastAsia"/>
            <w:noProof/>
            <w:sz w:val="21"/>
            <w:szCs w:val="21"/>
          </w:rPr>
          <w:t>Basic rules</w:t>
        </w:r>
        <w:r w:rsidR="00B2560C" w:rsidRPr="00EC1124">
          <w:rPr>
            <w:rFonts w:asciiTheme="minorEastAsia" w:eastAsiaTheme="minorEastAsia" w:hAnsiTheme="minorEastAsia"/>
            <w:noProof/>
            <w:webHidden/>
            <w:sz w:val="21"/>
            <w:szCs w:val="21"/>
          </w:rPr>
          <w:tab/>
        </w:r>
      </w:hyperlink>
      <w:r w:rsidR="00B31911" w:rsidRPr="00EC1124">
        <w:rPr>
          <w:rFonts w:asciiTheme="minorEastAsia" w:eastAsiaTheme="minorEastAsia" w:hAnsiTheme="minorEastAsia"/>
          <w:noProof/>
          <w:sz w:val="21"/>
          <w:szCs w:val="21"/>
        </w:rPr>
        <w:t>3</w:t>
      </w:r>
    </w:p>
    <w:p w:rsidR="00B2560C" w:rsidRPr="00EC1124" w:rsidRDefault="0020772C" w:rsidP="00B2560C">
      <w:pPr>
        <w:tabs>
          <w:tab w:val="right" w:leader="dot" w:pos="8364"/>
        </w:tabs>
        <w:ind w:leftChars="59" w:left="386" w:hangingChars="116" w:hanging="244"/>
        <w:jc w:val="left"/>
        <w:rPr>
          <w:rFonts w:asciiTheme="minorEastAsia" w:eastAsiaTheme="minorEastAsia" w:hAnsiTheme="minorEastAsia" w:cstheme="minorBidi"/>
          <w:noProof/>
          <w:sz w:val="21"/>
          <w:szCs w:val="21"/>
        </w:rPr>
      </w:pPr>
      <w:hyperlink w:anchor="_Toc34991780" w:history="1">
        <w:r w:rsidR="00B2560C" w:rsidRPr="00EC1124">
          <w:rPr>
            <w:rFonts w:asciiTheme="minorEastAsia" w:eastAsiaTheme="minorEastAsia" w:hAnsiTheme="minorEastAsia"/>
            <w:noProof/>
            <w:sz w:val="21"/>
            <w:szCs w:val="21"/>
          </w:rPr>
          <w:t>5.</w:t>
        </w:r>
        <w:r w:rsidR="00B2560C" w:rsidRPr="00EC1124">
          <w:rPr>
            <w:rFonts w:asciiTheme="minorEastAsia" w:eastAsiaTheme="minorEastAsia" w:hAnsiTheme="minorEastAsia" w:cstheme="minorBidi"/>
            <w:noProof/>
            <w:sz w:val="21"/>
            <w:szCs w:val="21"/>
          </w:rPr>
          <w:tab/>
        </w:r>
        <w:r w:rsidR="00B2560C" w:rsidRPr="00EC1124">
          <w:rPr>
            <w:rFonts w:asciiTheme="minorEastAsia" w:eastAsiaTheme="minorEastAsia" w:hAnsiTheme="minorEastAsia"/>
            <w:noProof/>
            <w:sz w:val="21"/>
            <w:szCs w:val="21"/>
          </w:rPr>
          <w:t xml:space="preserve">Certification </w:t>
        </w:r>
        <w:r w:rsidR="00B2560C" w:rsidRPr="00EC1124">
          <w:rPr>
            <w:rFonts w:asciiTheme="minorEastAsia" w:eastAsiaTheme="minorEastAsia" w:hAnsiTheme="minorEastAsia" w:hint="eastAsia"/>
            <w:noProof/>
            <w:sz w:val="21"/>
            <w:szCs w:val="21"/>
          </w:rPr>
          <w:t>i</w:t>
        </w:r>
        <w:r w:rsidR="00B2560C" w:rsidRPr="00EC1124">
          <w:rPr>
            <w:rFonts w:asciiTheme="minorEastAsia" w:eastAsiaTheme="minorEastAsia" w:hAnsiTheme="minorEastAsia"/>
            <w:noProof/>
            <w:sz w:val="21"/>
            <w:szCs w:val="21"/>
          </w:rPr>
          <w:t>mplementation</w:t>
        </w:r>
        <w:r w:rsidR="00B2560C" w:rsidRPr="00EC1124">
          <w:rPr>
            <w:rFonts w:asciiTheme="minorEastAsia" w:eastAsiaTheme="minorEastAsia" w:hAnsiTheme="minorEastAsia"/>
            <w:noProof/>
            <w:webHidden/>
            <w:sz w:val="21"/>
            <w:szCs w:val="21"/>
          </w:rPr>
          <w:tab/>
        </w:r>
      </w:hyperlink>
      <w:r w:rsidR="00B31911" w:rsidRPr="00EC1124">
        <w:rPr>
          <w:rFonts w:asciiTheme="minorEastAsia" w:eastAsiaTheme="minorEastAsia" w:hAnsiTheme="minorEastAsia"/>
          <w:noProof/>
          <w:sz w:val="21"/>
          <w:szCs w:val="21"/>
        </w:rPr>
        <w:t>5</w:t>
      </w:r>
    </w:p>
    <w:p w:rsidR="00B2560C" w:rsidRPr="00EC1124" w:rsidRDefault="0020772C" w:rsidP="00B2560C">
      <w:pPr>
        <w:tabs>
          <w:tab w:val="right" w:leader="dot" w:pos="8364"/>
        </w:tabs>
        <w:ind w:leftChars="59" w:left="386" w:hangingChars="116" w:hanging="244"/>
        <w:jc w:val="left"/>
        <w:rPr>
          <w:rFonts w:asciiTheme="minorEastAsia" w:eastAsiaTheme="minorEastAsia" w:hAnsiTheme="minorEastAsia" w:cstheme="minorBidi"/>
          <w:noProof/>
          <w:sz w:val="21"/>
          <w:szCs w:val="21"/>
        </w:rPr>
      </w:pPr>
      <w:hyperlink w:anchor="_Toc34991819" w:history="1">
        <w:r w:rsidR="00B2560C" w:rsidRPr="00EC1124">
          <w:rPr>
            <w:rFonts w:asciiTheme="minorEastAsia" w:eastAsiaTheme="minorEastAsia" w:hAnsiTheme="minorEastAsia"/>
            <w:noProof/>
            <w:sz w:val="21"/>
            <w:szCs w:val="21"/>
          </w:rPr>
          <w:t>6.</w:t>
        </w:r>
        <w:r w:rsidR="00B2560C" w:rsidRPr="00EC1124">
          <w:rPr>
            <w:rFonts w:asciiTheme="minorEastAsia" w:eastAsiaTheme="minorEastAsia" w:hAnsiTheme="minorEastAsia" w:cstheme="minorBidi"/>
            <w:noProof/>
            <w:sz w:val="21"/>
            <w:szCs w:val="21"/>
          </w:rPr>
          <w:tab/>
        </w:r>
        <w:r w:rsidR="00B2560C" w:rsidRPr="00EC1124">
          <w:rPr>
            <w:rFonts w:asciiTheme="minorEastAsia" w:eastAsiaTheme="minorEastAsia" w:hAnsiTheme="minorEastAsia"/>
            <w:noProof/>
            <w:sz w:val="21"/>
            <w:szCs w:val="21"/>
          </w:rPr>
          <w:t>Certificate</w:t>
        </w:r>
        <w:r w:rsidR="00B2560C" w:rsidRPr="00EC1124">
          <w:rPr>
            <w:rFonts w:asciiTheme="minorEastAsia" w:eastAsiaTheme="minorEastAsia" w:hAnsiTheme="minorEastAsia"/>
            <w:noProof/>
            <w:webHidden/>
            <w:sz w:val="21"/>
            <w:szCs w:val="21"/>
          </w:rPr>
          <w:tab/>
        </w:r>
        <w:r w:rsidR="00B2560C" w:rsidRPr="00EC1124">
          <w:rPr>
            <w:rFonts w:asciiTheme="minorEastAsia" w:eastAsiaTheme="minorEastAsia" w:hAnsiTheme="minorEastAsia"/>
            <w:noProof/>
            <w:webHidden/>
            <w:sz w:val="21"/>
            <w:szCs w:val="21"/>
          </w:rPr>
          <w:fldChar w:fldCharType="begin"/>
        </w:r>
        <w:r w:rsidR="00B2560C" w:rsidRPr="00EC1124">
          <w:rPr>
            <w:rFonts w:asciiTheme="minorEastAsia" w:eastAsiaTheme="minorEastAsia" w:hAnsiTheme="minorEastAsia"/>
            <w:noProof/>
            <w:webHidden/>
            <w:sz w:val="21"/>
            <w:szCs w:val="21"/>
          </w:rPr>
          <w:instrText xml:space="preserve"> PAGEREF _Toc34991819 \h </w:instrText>
        </w:r>
        <w:r w:rsidR="00B2560C" w:rsidRPr="00EC1124">
          <w:rPr>
            <w:rFonts w:asciiTheme="minorEastAsia" w:eastAsiaTheme="minorEastAsia" w:hAnsiTheme="minorEastAsia"/>
            <w:noProof/>
            <w:webHidden/>
            <w:sz w:val="21"/>
            <w:szCs w:val="21"/>
          </w:rPr>
        </w:r>
        <w:r w:rsidR="00B2560C" w:rsidRPr="00EC1124">
          <w:rPr>
            <w:rFonts w:asciiTheme="minorEastAsia" w:eastAsiaTheme="minorEastAsia" w:hAnsiTheme="minorEastAsia"/>
            <w:noProof/>
            <w:webHidden/>
            <w:sz w:val="21"/>
            <w:szCs w:val="21"/>
          </w:rPr>
          <w:fldChar w:fldCharType="separate"/>
        </w:r>
        <w:r w:rsidR="00B2560C" w:rsidRPr="00EC1124">
          <w:rPr>
            <w:rFonts w:asciiTheme="minorEastAsia" w:eastAsiaTheme="minorEastAsia" w:hAnsiTheme="minorEastAsia"/>
            <w:noProof/>
            <w:webHidden/>
            <w:sz w:val="21"/>
            <w:szCs w:val="21"/>
          </w:rPr>
          <w:t>1</w:t>
        </w:r>
        <w:r w:rsidR="00B2560C" w:rsidRPr="00EC1124">
          <w:rPr>
            <w:rFonts w:asciiTheme="minorEastAsia" w:eastAsiaTheme="minorEastAsia" w:hAnsiTheme="minorEastAsia"/>
            <w:noProof/>
            <w:webHidden/>
            <w:sz w:val="21"/>
            <w:szCs w:val="21"/>
          </w:rPr>
          <w:fldChar w:fldCharType="end"/>
        </w:r>
      </w:hyperlink>
      <w:r w:rsidR="00B2560C" w:rsidRPr="00EC1124">
        <w:rPr>
          <w:rFonts w:asciiTheme="minorEastAsia" w:eastAsiaTheme="minorEastAsia" w:hAnsiTheme="minorEastAsia"/>
          <w:noProof/>
          <w:sz w:val="21"/>
          <w:szCs w:val="21"/>
        </w:rPr>
        <w:t>3</w:t>
      </w:r>
    </w:p>
    <w:p w:rsidR="00B2560C" w:rsidRPr="00EC1124" w:rsidRDefault="0020772C" w:rsidP="00B2560C">
      <w:pPr>
        <w:tabs>
          <w:tab w:val="right" w:leader="dot" w:pos="8364"/>
        </w:tabs>
        <w:ind w:leftChars="59" w:left="386" w:hangingChars="116" w:hanging="244"/>
        <w:jc w:val="left"/>
        <w:rPr>
          <w:rFonts w:asciiTheme="minorEastAsia" w:eastAsiaTheme="minorEastAsia" w:hAnsiTheme="minorEastAsia" w:cstheme="minorBidi"/>
          <w:noProof/>
          <w:sz w:val="21"/>
          <w:szCs w:val="21"/>
        </w:rPr>
      </w:pPr>
      <w:hyperlink w:anchor="_Toc34991824" w:history="1">
        <w:r w:rsidR="00B2560C" w:rsidRPr="00EC1124">
          <w:rPr>
            <w:rFonts w:asciiTheme="minorEastAsia" w:eastAsiaTheme="minorEastAsia" w:hAnsiTheme="minorEastAsia"/>
            <w:noProof/>
            <w:sz w:val="21"/>
            <w:szCs w:val="21"/>
          </w:rPr>
          <w:t>Appendix A  Sampling and testing r</w:t>
        </w:r>
        <w:r w:rsidR="00B2560C" w:rsidRPr="00EC1124">
          <w:rPr>
            <w:rFonts w:asciiTheme="minorEastAsia" w:eastAsiaTheme="minorEastAsia" w:hAnsiTheme="minorEastAsia" w:hint="eastAsia"/>
            <w:noProof/>
            <w:sz w:val="21"/>
            <w:szCs w:val="21"/>
          </w:rPr>
          <w:t>e</w:t>
        </w:r>
        <w:r w:rsidR="00B2560C" w:rsidRPr="00EC1124">
          <w:rPr>
            <w:rFonts w:asciiTheme="minorEastAsia" w:eastAsiaTheme="minorEastAsia" w:hAnsiTheme="minorEastAsia"/>
            <w:noProof/>
            <w:sz w:val="21"/>
            <w:szCs w:val="21"/>
          </w:rPr>
          <w:t>quirements</w:t>
        </w:r>
        <w:r w:rsidR="00B2560C" w:rsidRPr="00EC1124">
          <w:rPr>
            <w:rFonts w:asciiTheme="minorEastAsia" w:eastAsiaTheme="minorEastAsia" w:hAnsiTheme="minorEastAsia"/>
            <w:noProof/>
            <w:webHidden/>
            <w:sz w:val="21"/>
            <w:szCs w:val="21"/>
          </w:rPr>
          <w:tab/>
        </w:r>
        <w:r w:rsidR="00B2560C" w:rsidRPr="00EC1124">
          <w:rPr>
            <w:rFonts w:asciiTheme="minorEastAsia" w:eastAsiaTheme="minorEastAsia" w:hAnsiTheme="minorEastAsia"/>
            <w:noProof/>
            <w:webHidden/>
            <w:sz w:val="21"/>
            <w:szCs w:val="21"/>
          </w:rPr>
          <w:fldChar w:fldCharType="begin"/>
        </w:r>
        <w:r w:rsidR="00B2560C" w:rsidRPr="00EC1124">
          <w:rPr>
            <w:rFonts w:asciiTheme="minorEastAsia" w:eastAsiaTheme="minorEastAsia" w:hAnsiTheme="minorEastAsia"/>
            <w:noProof/>
            <w:webHidden/>
            <w:sz w:val="21"/>
            <w:szCs w:val="21"/>
          </w:rPr>
          <w:instrText xml:space="preserve"> PAGEREF _Toc34991824 \h </w:instrText>
        </w:r>
        <w:r w:rsidR="00B2560C" w:rsidRPr="00EC1124">
          <w:rPr>
            <w:rFonts w:asciiTheme="minorEastAsia" w:eastAsiaTheme="minorEastAsia" w:hAnsiTheme="minorEastAsia"/>
            <w:noProof/>
            <w:webHidden/>
            <w:sz w:val="21"/>
            <w:szCs w:val="21"/>
          </w:rPr>
        </w:r>
        <w:r w:rsidR="00B2560C" w:rsidRPr="00EC1124">
          <w:rPr>
            <w:rFonts w:asciiTheme="minorEastAsia" w:eastAsiaTheme="minorEastAsia" w:hAnsiTheme="minorEastAsia"/>
            <w:noProof/>
            <w:webHidden/>
            <w:sz w:val="21"/>
            <w:szCs w:val="21"/>
          </w:rPr>
          <w:fldChar w:fldCharType="separate"/>
        </w:r>
        <w:r w:rsidR="00B2560C" w:rsidRPr="00EC1124">
          <w:rPr>
            <w:rFonts w:asciiTheme="minorEastAsia" w:eastAsiaTheme="minorEastAsia" w:hAnsiTheme="minorEastAsia"/>
            <w:noProof/>
            <w:webHidden/>
            <w:sz w:val="21"/>
            <w:szCs w:val="21"/>
          </w:rPr>
          <w:t>1</w:t>
        </w:r>
        <w:r w:rsidR="00B2560C" w:rsidRPr="00EC1124">
          <w:rPr>
            <w:rFonts w:asciiTheme="minorEastAsia" w:eastAsiaTheme="minorEastAsia" w:hAnsiTheme="minorEastAsia"/>
            <w:noProof/>
            <w:webHidden/>
            <w:sz w:val="21"/>
            <w:szCs w:val="21"/>
          </w:rPr>
          <w:fldChar w:fldCharType="end"/>
        </w:r>
      </w:hyperlink>
      <w:r w:rsidR="00B31911" w:rsidRPr="00EC1124">
        <w:rPr>
          <w:rFonts w:asciiTheme="minorEastAsia" w:eastAsiaTheme="minorEastAsia" w:hAnsiTheme="minorEastAsia"/>
          <w:noProof/>
          <w:sz w:val="21"/>
          <w:szCs w:val="21"/>
        </w:rPr>
        <w:t>5</w:t>
      </w:r>
    </w:p>
    <w:p w:rsidR="00B2560C" w:rsidRPr="00EC1124" w:rsidRDefault="0020772C" w:rsidP="00B2560C">
      <w:pPr>
        <w:tabs>
          <w:tab w:val="right" w:leader="dot" w:pos="8364"/>
        </w:tabs>
        <w:ind w:leftChars="59" w:left="386" w:hangingChars="116" w:hanging="244"/>
        <w:jc w:val="left"/>
        <w:rPr>
          <w:rFonts w:asciiTheme="minorEastAsia" w:eastAsiaTheme="minorEastAsia" w:hAnsiTheme="minorEastAsia" w:cstheme="minorBidi"/>
          <w:noProof/>
          <w:sz w:val="21"/>
          <w:szCs w:val="21"/>
        </w:rPr>
      </w:pPr>
      <w:hyperlink w:anchor="_Toc34991825" w:history="1">
        <w:r w:rsidR="00B2560C" w:rsidRPr="00EC1124">
          <w:rPr>
            <w:rFonts w:asciiTheme="minorEastAsia" w:eastAsiaTheme="minorEastAsia" w:hAnsiTheme="minorEastAsia"/>
            <w:noProof/>
            <w:sz w:val="21"/>
            <w:szCs w:val="21"/>
          </w:rPr>
          <w:t xml:space="preserve">Appendix B  </w:t>
        </w:r>
        <w:r w:rsidR="00B2560C" w:rsidRPr="00EC1124">
          <w:rPr>
            <w:rFonts w:asciiTheme="minorEastAsia" w:eastAsiaTheme="minorEastAsia" w:hAnsiTheme="minorEastAsia" w:hint="eastAsia"/>
            <w:noProof/>
            <w:sz w:val="21"/>
            <w:szCs w:val="21"/>
          </w:rPr>
          <w:t>I</w:t>
        </w:r>
        <w:r w:rsidR="00B2560C" w:rsidRPr="00EC1124">
          <w:rPr>
            <w:rFonts w:asciiTheme="minorEastAsia" w:eastAsiaTheme="minorEastAsia" w:hAnsiTheme="minorEastAsia"/>
            <w:noProof/>
            <w:sz w:val="21"/>
            <w:szCs w:val="21"/>
          </w:rPr>
          <w:t>nspection requir</w:t>
        </w:r>
        <w:bookmarkStart w:id="5" w:name="_GoBack"/>
        <w:bookmarkEnd w:id="5"/>
        <w:r w:rsidR="00B2560C" w:rsidRPr="00EC1124">
          <w:rPr>
            <w:rFonts w:asciiTheme="minorEastAsia" w:eastAsiaTheme="minorEastAsia" w:hAnsiTheme="minorEastAsia"/>
            <w:noProof/>
            <w:sz w:val="21"/>
            <w:szCs w:val="21"/>
          </w:rPr>
          <w:t>ements for factory assurance capability</w:t>
        </w:r>
        <w:r w:rsidR="00B2560C" w:rsidRPr="00EC1124">
          <w:rPr>
            <w:rFonts w:asciiTheme="minorEastAsia" w:eastAsiaTheme="minorEastAsia" w:hAnsiTheme="minorEastAsia"/>
            <w:noProof/>
            <w:webHidden/>
            <w:sz w:val="21"/>
            <w:szCs w:val="21"/>
          </w:rPr>
          <w:tab/>
        </w:r>
        <w:r w:rsidR="00B2560C" w:rsidRPr="00EC1124">
          <w:rPr>
            <w:rFonts w:asciiTheme="minorEastAsia" w:eastAsiaTheme="minorEastAsia" w:hAnsiTheme="minorEastAsia"/>
            <w:noProof/>
            <w:webHidden/>
            <w:sz w:val="21"/>
            <w:szCs w:val="21"/>
          </w:rPr>
          <w:fldChar w:fldCharType="begin"/>
        </w:r>
        <w:r w:rsidR="00B2560C" w:rsidRPr="00EC1124">
          <w:rPr>
            <w:rFonts w:asciiTheme="minorEastAsia" w:eastAsiaTheme="minorEastAsia" w:hAnsiTheme="minorEastAsia"/>
            <w:noProof/>
            <w:webHidden/>
            <w:sz w:val="21"/>
            <w:szCs w:val="21"/>
          </w:rPr>
          <w:instrText xml:space="preserve"> PAGEREF _Toc34991825 \h </w:instrText>
        </w:r>
        <w:r w:rsidR="00B2560C" w:rsidRPr="00EC1124">
          <w:rPr>
            <w:rFonts w:asciiTheme="minorEastAsia" w:eastAsiaTheme="minorEastAsia" w:hAnsiTheme="minorEastAsia"/>
            <w:noProof/>
            <w:webHidden/>
            <w:sz w:val="21"/>
            <w:szCs w:val="21"/>
          </w:rPr>
        </w:r>
        <w:r w:rsidR="00B2560C" w:rsidRPr="00EC1124">
          <w:rPr>
            <w:rFonts w:asciiTheme="minorEastAsia" w:eastAsiaTheme="minorEastAsia" w:hAnsiTheme="minorEastAsia"/>
            <w:noProof/>
            <w:webHidden/>
            <w:sz w:val="21"/>
            <w:szCs w:val="21"/>
          </w:rPr>
          <w:fldChar w:fldCharType="separate"/>
        </w:r>
        <w:r w:rsidR="00B2560C" w:rsidRPr="00EC1124">
          <w:rPr>
            <w:rFonts w:asciiTheme="minorEastAsia" w:eastAsiaTheme="minorEastAsia" w:hAnsiTheme="minorEastAsia"/>
            <w:noProof/>
            <w:webHidden/>
            <w:sz w:val="21"/>
            <w:szCs w:val="21"/>
          </w:rPr>
          <w:t>1</w:t>
        </w:r>
        <w:r w:rsidR="00B2560C" w:rsidRPr="00EC1124">
          <w:rPr>
            <w:rFonts w:asciiTheme="minorEastAsia" w:eastAsiaTheme="minorEastAsia" w:hAnsiTheme="minorEastAsia"/>
            <w:noProof/>
            <w:webHidden/>
            <w:sz w:val="21"/>
            <w:szCs w:val="21"/>
          </w:rPr>
          <w:fldChar w:fldCharType="end"/>
        </w:r>
      </w:hyperlink>
      <w:r w:rsidR="00B31911" w:rsidRPr="00EC1124">
        <w:rPr>
          <w:rFonts w:asciiTheme="minorEastAsia" w:eastAsiaTheme="minorEastAsia" w:hAnsiTheme="minorEastAsia"/>
          <w:noProof/>
          <w:sz w:val="21"/>
          <w:szCs w:val="21"/>
        </w:rPr>
        <w:t>6</w:t>
      </w:r>
    </w:p>
    <w:p w:rsidR="00B2560C" w:rsidRDefault="00B2560C" w:rsidP="00B2560C">
      <w:pPr>
        <w:widowControl/>
        <w:spacing w:line="240" w:lineRule="auto"/>
        <w:ind w:leftChars="59" w:left="386" w:hangingChars="116" w:hanging="244"/>
        <w:jc w:val="left"/>
        <w:rPr>
          <w:rFonts w:ascii="黑体" w:eastAsia="黑体" w:hAnsi="黑体"/>
          <w:b/>
          <w:bCs/>
          <w:kern w:val="44"/>
          <w:sz w:val="32"/>
          <w:szCs w:val="32"/>
        </w:rPr>
      </w:pPr>
      <w:r w:rsidRPr="00EC1124">
        <w:rPr>
          <w:rFonts w:asciiTheme="minorEastAsia" w:eastAsiaTheme="minorEastAsia" w:hAnsiTheme="minorEastAsia"/>
          <w:sz w:val="21"/>
          <w:szCs w:val="21"/>
        </w:rPr>
        <w:fldChar w:fldCharType="end"/>
      </w:r>
    </w:p>
    <w:bookmarkEnd w:id="0"/>
    <w:bookmarkEnd w:id="1"/>
    <w:bookmarkEnd w:id="2"/>
    <w:bookmarkEnd w:id="3"/>
    <w:bookmarkEnd w:id="4"/>
    <w:p w:rsidR="00B2560C" w:rsidRPr="00824367" w:rsidRDefault="00B2560C" w:rsidP="00B2560C">
      <w:pPr>
        <w:pStyle w:val="ab"/>
        <w:ind w:firstLine="480"/>
        <w:rPr>
          <w:rFonts w:asciiTheme="minorEastAsia" w:eastAsiaTheme="minorEastAsia" w:hAnsiTheme="minorEastAsia"/>
          <w:sz w:val="21"/>
          <w:szCs w:val="21"/>
        </w:rPr>
      </w:pPr>
    </w:p>
    <w:p w:rsidR="00B31911" w:rsidRDefault="00B31911" w:rsidP="00B2560C">
      <w:pPr>
        <w:pStyle w:val="ab"/>
        <w:ind w:firstLine="480"/>
        <w:rPr>
          <w:rFonts w:asciiTheme="minorEastAsia" w:eastAsiaTheme="minorEastAsia" w:hAnsiTheme="minorEastAsia"/>
          <w:sz w:val="21"/>
          <w:szCs w:val="21"/>
        </w:rPr>
      </w:pPr>
    </w:p>
    <w:p w:rsidR="00B31911" w:rsidRPr="00B31911" w:rsidRDefault="00B31911" w:rsidP="00B31911"/>
    <w:p w:rsidR="00B31911" w:rsidRPr="00B31911" w:rsidRDefault="00B31911" w:rsidP="00B31911"/>
    <w:p w:rsidR="00B31911" w:rsidRPr="00B31911" w:rsidRDefault="00B31911" w:rsidP="00B31911"/>
    <w:p w:rsidR="00B31911" w:rsidRPr="00B31911" w:rsidRDefault="00B31911" w:rsidP="00B31911"/>
    <w:p w:rsidR="00B31911" w:rsidRPr="00B31911" w:rsidRDefault="00B31911" w:rsidP="00B31911"/>
    <w:p w:rsidR="00B31911" w:rsidRPr="00B31911" w:rsidRDefault="00B31911" w:rsidP="00B31911"/>
    <w:p w:rsidR="00B31911" w:rsidRDefault="00B31911" w:rsidP="00B31911">
      <w:pPr>
        <w:sectPr w:rsidR="00B31911" w:rsidSect="00B31911">
          <w:footerReference w:type="default" r:id="rId9"/>
          <w:pgSz w:w="11906" w:h="16838"/>
          <w:pgMar w:top="1440" w:right="1800" w:bottom="1440" w:left="1800" w:header="851" w:footer="992" w:gutter="0"/>
          <w:pgNumType w:start="1"/>
          <w:cols w:space="425"/>
          <w:docGrid w:type="lines" w:linePitch="312"/>
        </w:sectPr>
      </w:pPr>
    </w:p>
    <w:p w:rsidR="00B31911" w:rsidRPr="00824367" w:rsidRDefault="00B31911" w:rsidP="00B31911">
      <w:pPr>
        <w:pStyle w:val="1"/>
        <w:rPr>
          <w:rFonts w:ascii="黑体" w:eastAsia="黑体" w:hAnsi="黑体"/>
          <w:sz w:val="32"/>
          <w:szCs w:val="32"/>
        </w:rPr>
      </w:pPr>
      <w:bookmarkStart w:id="6" w:name="_Toc44590782"/>
      <w:r w:rsidRPr="00824367">
        <w:rPr>
          <w:rFonts w:ascii="黑体" w:eastAsia="黑体" w:hAnsi="黑体"/>
          <w:sz w:val="32"/>
          <w:szCs w:val="32"/>
        </w:rPr>
        <w:lastRenderedPageBreak/>
        <w:t>前</w:t>
      </w:r>
      <w:bookmarkStart w:id="7" w:name="BKQY"/>
      <w:r w:rsidRPr="00824367">
        <w:rPr>
          <w:rFonts w:ascii="黑体" w:eastAsia="黑体" w:hAnsi="黑体"/>
          <w:sz w:val="32"/>
          <w:szCs w:val="32"/>
        </w:rPr>
        <w:t> </w:t>
      </w:r>
      <w:r w:rsidRPr="00824367">
        <w:rPr>
          <w:rFonts w:ascii="黑体" w:eastAsia="黑体" w:hAnsi="黑体"/>
          <w:sz w:val="32"/>
          <w:szCs w:val="32"/>
        </w:rPr>
        <w:t> </w:t>
      </w:r>
      <w:r w:rsidRPr="00824367">
        <w:rPr>
          <w:rFonts w:ascii="黑体" w:eastAsia="黑体" w:hAnsi="黑体"/>
          <w:sz w:val="32"/>
          <w:szCs w:val="32"/>
        </w:rPr>
        <w:t>言</w:t>
      </w:r>
      <w:bookmarkEnd w:id="6"/>
      <w:bookmarkEnd w:id="7"/>
    </w:p>
    <w:p w:rsidR="00B31911" w:rsidRDefault="00B31911" w:rsidP="00B31911">
      <w:pPr>
        <w:pStyle w:val="ab"/>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本标准是按照G</w:t>
      </w:r>
      <w:r>
        <w:rPr>
          <w:rFonts w:asciiTheme="minorEastAsia" w:eastAsiaTheme="minorEastAsia" w:hAnsiTheme="minorEastAsia"/>
          <w:sz w:val="21"/>
          <w:szCs w:val="21"/>
        </w:rPr>
        <w:t xml:space="preserve">B/T1.1 </w:t>
      </w:r>
      <w:r>
        <w:rPr>
          <w:rFonts w:asciiTheme="minorEastAsia" w:eastAsiaTheme="minorEastAsia" w:hAnsiTheme="minorEastAsia" w:hint="eastAsia"/>
          <w:sz w:val="21"/>
          <w:szCs w:val="21"/>
        </w:rPr>
        <w:t>给出的规则起草。</w:t>
      </w:r>
    </w:p>
    <w:p w:rsidR="00B31911" w:rsidRPr="00824367" w:rsidRDefault="00B31911" w:rsidP="00B31911">
      <w:pPr>
        <w:pStyle w:val="ab"/>
        <w:ind w:firstLine="480"/>
        <w:rPr>
          <w:rFonts w:asciiTheme="minorEastAsia" w:eastAsiaTheme="minorEastAsia" w:hAnsiTheme="minorEastAsia"/>
          <w:sz w:val="21"/>
          <w:szCs w:val="21"/>
        </w:rPr>
      </w:pPr>
      <w:r w:rsidRPr="00824367">
        <w:rPr>
          <w:rFonts w:asciiTheme="minorEastAsia" w:eastAsiaTheme="minorEastAsia" w:hAnsiTheme="minorEastAsia"/>
          <w:sz w:val="21"/>
          <w:szCs w:val="21"/>
        </w:rPr>
        <w:t>根据中国工程建设标准化协会《关于印发&lt;2012年第二批工程建设协会标准制订、修订计划&gt;的通知》（建标协字[2012]127号）的要求</w:t>
      </w:r>
      <w:r>
        <w:rPr>
          <w:rFonts w:asciiTheme="minorEastAsia" w:eastAsiaTheme="minorEastAsia" w:hAnsiTheme="minorEastAsia" w:hint="eastAsia"/>
          <w:sz w:val="21"/>
          <w:szCs w:val="21"/>
        </w:rPr>
        <w:t>制定</w:t>
      </w:r>
      <w:r w:rsidRPr="00824367">
        <w:rPr>
          <w:rFonts w:asciiTheme="minorEastAsia" w:eastAsiaTheme="minorEastAsia" w:hAnsiTheme="minorEastAsia"/>
          <w:sz w:val="21"/>
          <w:szCs w:val="21"/>
        </w:rPr>
        <w:t>。</w:t>
      </w:r>
    </w:p>
    <w:p w:rsidR="00B31911" w:rsidRDefault="00B31911" w:rsidP="00B31911">
      <w:pPr>
        <w:pStyle w:val="ab"/>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本标准由中国工程建设标准化协会提出。</w:t>
      </w:r>
    </w:p>
    <w:p w:rsidR="00B31911" w:rsidRPr="00824367" w:rsidRDefault="00B31911" w:rsidP="00B31911">
      <w:pPr>
        <w:pStyle w:val="ab"/>
        <w:ind w:firstLine="480"/>
        <w:rPr>
          <w:rFonts w:asciiTheme="minorEastAsia" w:eastAsiaTheme="minorEastAsia" w:hAnsiTheme="minorEastAsia"/>
          <w:sz w:val="21"/>
          <w:szCs w:val="21"/>
        </w:rPr>
      </w:pPr>
      <w:r>
        <w:rPr>
          <w:rFonts w:asciiTheme="minorEastAsia" w:eastAsiaTheme="minorEastAsia" w:hAnsiTheme="minorEastAsia" w:hint="eastAsia"/>
          <w:sz w:val="21"/>
          <w:szCs w:val="21"/>
        </w:rPr>
        <w:t>本标准由中国工程建设标准化协会认证与保险工作委员会归口。</w:t>
      </w:r>
    </w:p>
    <w:p w:rsidR="00B31911" w:rsidRDefault="00B31911" w:rsidP="00B31911">
      <w:pPr>
        <w:pStyle w:val="ab"/>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 </w:t>
      </w:r>
      <w:r>
        <w:rPr>
          <w:rFonts w:asciiTheme="minorEastAsia" w:eastAsiaTheme="minorEastAsia" w:hAnsiTheme="minorEastAsia"/>
          <w:kern w:val="0"/>
          <w:sz w:val="21"/>
          <w:szCs w:val="21"/>
        </w:rPr>
        <w:t xml:space="preserve">   </w:t>
      </w:r>
      <w:r>
        <w:rPr>
          <w:rFonts w:asciiTheme="minorEastAsia" w:eastAsiaTheme="minorEastAsia" w:hAnsiTheme="minorEastAsia" w:hint="eastAsia"/>
          <w:kern w:val="0"/>
          <w:sz w:val="21"/>
          <w:szCs w:val="21"/>
        </w:rPr>
        <w:t>本标准负责起草单位：</w:t>
      </w:r>
    </w:p>
    <w:p w:rsidR="00B31911" w:rsidRDefault="00B31911" w:rsidP="00B31911">
      <w:pPr>
        <w:pStyle w:val="ab"/>
        <w:ind w:firstLineChars="200" w:firstLine="420"/>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本标准参加起草单位：</w:t>
      </w:r>
    </w:p>
    <w:p w:rsidR="00B31911" w:rsidRDefault="00B31911" w:rsidP="00B31911">
      <w:pPr>
        <w:pStyle w:val="ab"/>
        <w:ind w:firstLineChars="200" w:firstLine="420"/>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本标准主要起草人：</w:t>
      </w:r>
    </w:p>
    <w:p w:rsidR="00B31911" w:rsidRPr="00824367" w:rsidRDefault="00B31911" w:rsidP="00B31911">
      <w:pPr>
        <w:pStyle w:val="ab"/>
        <w:ind w:firstLineChars="200" w:firstLine="420"/>
        <w:rPr>
          <w:rFonts w:asciiTheme="minorEastAsia" w:eastAsiaTheme="minorEastAsia" w:hAnsiTheme="minorEastAsia"/>
          <w:sz w:val="21"/>
          <w:szCs w:val="21"/>
        </w:rPr>
      </w:pPr>
      <w:r>
        <w:rPr>
          <w:rFonts w:asciiTheme="minorEastAsia" w:eastAsiaTheme="minorEastAsia" w:hAnsiTheme="minorEastAsia" w:hint="eastAsia"/>
          <w:kern w:val="0"/>
          <w:sz w:val="21"/>
          <w:szCs w:val="21"/>
        </w:rPr>
        <w:t>本标准主要审查人：</w:t>
      </w:r>
    </w:p>
    <w:p w:rsidR="00B31911" w:rsidRPr="00B31911" w:rsidRDefault="00B31911" w:rsidP="00B31911"/>
    <w:p w:rsidR="00B31911" w:rsidRPr="00B31911" w:rsidRDefault="00B31911" w:rsidP="00B31911"/>
    <w:p w:rsidR="00B31911" w:rsidRPr="00B31911" w:rsidRDefault="00B31911" w:rsidP="00B31911"/>
    <w:p w:rsidR="00B31911" w:rsidRDefault="00B31911" w:rsidP="00B31911"/>
    <w:p w:rsidR="00B31911" w:rsidRDefault="00B31911" w:rsidP="00B31911">
      <w:pPr>
        <w:tabs>
          <w:tab w:val="left" w:pos="1940"/>
        </w:tabs>
      </w:pPr>
      <w:r>
        <w:tab/>
      </w:r>
    </w:p>
    <w:p w:rsidR="00B31911" w:rsidRDefault="00B31911" w:rsidP="00B31911">
      <w:pPr>
        <w:tabs>
          <w:tab w:val="left" w:pos="1940"/>
        </w:tabs>
      </w:pPr>
      <w:r>
        <w:br w:type="page"/>
      </w:r>
    </w:p>
    <w:p w:rsidR="00B31911" w:rsidRPr="00824367" w:rsidRDefault="00B31911" w:rsidP="00B31911">
      <w:pPr>
        <w:rPr>
          <w:rFonts w:asciiTheme="minorEastAsia" w:eastAsiaTheme="minorEastAsia" w:hAnsiTheme="minorEastAsia"/>
          <w:sz w:val="21"/>
          <w:szCs w:val="21"/>
        </w:rPr>
      </w:pPr>
    </w:p>
    <w:p w:rsidR="00B31911" w:rsidRPr="00974A8F" w:rsidRDefault="00B31911" w:rsidP="00B31911">
      <w:pPr>
        <w:widowControl/>
        <w:spacing w:line="240" w:lineRule="auto"/>
        <w:jc w:val="center"/>
        <w:rPr>
          <w:rFonts w:ascii="黑体" w:eastAsia="黑体" w:hAnsi="黑体"/>
          <w:color w:val="000000"/>
          <w:sz w:val="32"/>
          <w:szCs w:val="32"/>
        </w:rPr>
      </w:pPr>
      <w:bookmarkStart w:id="8" w:name="_Toc16693141"/>
      <w:bookmarkStart w:id="9" w:name="_Toc16693369"/>
      <w:bookmarkStart w:id="10" w:name="_Toc16693426"/>
      <w:bookmarkStart w:id="11" w:name="_Toc34991766"/>
      <w:r w:rsidRPr="00974A8F">
        <w:rPr>
          <w:rFonts w:ascii="黑体" w:eastAsia="黑体" w:hAnsi="黑体"/>
          <w:color w:val="000000"/>
          <w:sz w:val="32"/>
          <w:szCs w:val="32"/>
        </w:rPr>
        <w:t>绿色建材产品认证通</w:t>
      </w:r>
      <w:bookmarkEnd w:id="8"/>
      <w:bookmarkEnd w:id="9"/>
      <w:bookmarkEnd w:id="10"/>
      <w:bookmarkEnd w:id="11"/>
      <w:r>
        <w:rPr>
          <w:rFonts w:ascii="黑体" w:eastAsia="黑体" w:hAnsi="黑体" w:hint="eastAsia"/>
          <w:color w:val="000000"/>
          <w:sz w:val="32"/>
          <w:szCs w:val="32"/>
        </w:rPr>
        <w:t>则</w:t>
      </w:r>
    </w:p>
    <w:p w:rsidR="00B31911" w:rsidRPr="00824367" w:rsidRDefault="00B31911" w:rsidP="00B31911">
      <w:pPr>
        <w:pStyle w:val="a"/>
        <w:numPr>
          <w:ilvl w:val="0"/>
          <w:numId w:val="2"/>
        </w:numPr>
        <w:tabs>
          <w:tab w:val="left" w:pos="0"/>
        </w:tabs>
        <w:spacing w:before="326" w:after="326"/>
        <w:ind w:left="0" w:firstLine="0"/>
        <w:outlineLvl w:val="0"/>
        <w:rPr>
          <w:rFonts w:hAnsi="黑体"/>
          <w:color w:val="000000"/>
          <w:szCs w:val="21"/>
        </w:rPr>
      </w:pPr>
      <w:bookmarkStart w:id="12" w:name="_Toc44316445"/>
      <w:bookmarkStart w:id="13" w:name="_Toc44590783"/>
      <w:r>
        <w:rPr>
          <w:rFonts w:hAnsi="黑体" w:hint="eastAsia"/>
          <w:color w:val="000000"/>
          <w:szCs w:val="21"/>
        </w:rPr>
        <w:t>范围</w:t>
      </w:r>
      <w:bookmarkEnd w:id="12"/>
      <w:bookmarkEnd w:id="13"/>
    </w:p>
    <w:p w:rsidR="00B31911" w:rsidRPr="001A1732"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bookmarkStart w:id="14" w:name="_Toc44316446"/>
      <w:bookmarkStart w:id="15" w:name="_Toc360436747"/>
      <w:bookmarkStart w:id="16" w:name="_Toc360436833"/>
      <w:bookmarkStart w:id="17" w:name="_Toc360632421"/>
      <w:bookmarkStart w:id="18" w:name="_Toc396134028"/>
      <w:bookmarkStart w:id="19" w:name="_Toc406486338"/>
      <w:bookmarkStart w:id="20" w:name="_Toc350863985"/>
      <w:bookmarkStart w:id="21" w:name="_Toc462063251"/>
      <w:r w:rsidRPr="001A1732">
        <w:rPr>
          <w:rFonts w:asciiTheme="minorEastAsia" w:eastAsiaTheme="minorEastAsia" w:hAnsiTheme="minorEastAsia" w:hint="eastAsia"/>
          <w:kern w:val="0"/>
          <w:sz w:val="21"/>
          <w:szCs w:val="21"/>
        </w:rPr>
        <w:t>本标准规定了绿色建材产品认证的基本原则、认证实施和认证证书等要求。</w:t>
      </w:r>
    </w:p>
    <w:p w:rsidR="00B31911" w:rsidRPr="001A1732"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1A1732">
        <w:rPr>
          <w:rFonts w:asciiTheme="minorEastAsia" w:eastAsiaTheme="minorEastAsia" w:hAnsiTheme="minorEastAsia" w:hint="eastAsia"/>
          <w:kern w:val="0"/>
          <w:sz w:val="21"/>
          <w:szCs w:val="21"/>
        </w:rPr>
        <w:t>本标准适用于绿色建材产品认证的通用要求。绿色建材产品认证在符合本标准的要求和各地域特征的同时，还应符合国家相关法律、法规和标准的规定。</w:t>
      </w:r>
    </w:p>
    <w:p w:rsidR="00B31911" w:rsidRPr="00824367" w:rsidRDefault="00B31911" w:rsidP="00B31911">
      <w:pPr>
        <w:pStyle w:val="a"/>
        <w:numPr>
          <w:ilvl w:val="0"/>
          <w:numId w:val="2"/>
        </w:numPr>
        <w:tabs>
          <w:tab w:val="left" w:pos="0"/>
        </w:tabs>
        <w:spacing w:before="326" w:after="326"/>
        <w:rPr>
          <w:rFonts w:hAnsi="黑体"/>
          <w:color w:val="000000"/>
          <w:szCs w:val="21"/>
        </w:rPr>
      </w:pPr>
      <w:bookmarkStart w:id="22" w:name="_Toc44590784"/>
      <w:r w:rsidRPr="00824367">
        <w:rPr>
          <w:rFonts w:hAnsi="黑体"/>
          <w:color w:val="000000"/>
          <w:szCs w:val="21"/>
        </w:rPr>
        <w:t>规范性引用文件</w:t>
      </w:r>
      <w:bookmarkEnd w:id="14"/>
      <w:bookmarkEnd w:id="22"/>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下列文件对于本标准的应用是必不可少的。凡是注日期的引用文件，仅注日期的版本适用于本标准。凡是不注日期的引用文件，其最新版本适用于本标准。</w:t>
      </w:r>
    </w:p>
    <w:p w:rsidR="00B31911"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GB/T 7635.1 全国主要产品分类与代码 第1部分：可运输产品</w:t>
      </w:r>
    </w:p>
    <w:p w:rsidR="00B31911"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57733C">
        <w:rPr>
          <w:rFonts w:asciiTheme="minorEastAsia" w:eastAsiaTheme="minorEastAsia" w:hAnsiTheme="minorEastAsia" w:hint="eastAsia"/>
          <w:kern w:val="0"/>
          <w:sz w:val="21"/>
          <w:szCs w:val="21"/>
        </w:rPr>
        <w:t>GB/T 19001</w:t>
      </w:r>
      <w:r>
        <w:rPr>
          <w:rFonts w:asciiTheme="minorEastAsia" w:eastAsiaTheme="minorEastAsia" w:hAnsiTheme="minorEastAsia"/>
          <w:kern w:val="0"/>
          <w:sz w:val="21"/>
          <w:szCs w:val="21"/>
        </w:rPr>
        <w:t xml:space="preserve"> </w:t>
      </w:r>
      <w:r w:rsidRPr="0057733C">
        <w:rPr>
          <w:rFonts w:asciiTheme="minorEastAsia" w:eastAsiaTheme="minorEastAsia" w:hAnsiTheme="minorEastAsia" w:hint="eastAsia"/>
          <w:kern w:val="0"/>
          <w:sz w:val="21"/>
          <w:szCs w:val="21"/>
        </w:rPr>
        <w:t>质量管理体系 要求</w:t>
      </w:r>
    </w:p>
    <w:p w:rsidR="00B31911"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57733C">
        <w:rPr>
          <w:rFonts w:asciiTheme="minorEastAsia" w:eastAsiaTheme="minorEastAsia" w:hAnsiTheme="minorEastAsia" w:hint="eastAsia"/>
          <w:kern w:val="0"/>
          <w:sz w:val="21"/>
          <w:szCs w:val="21"/>
        </w:rPr>
        <w:t>GB/T 24001</w:t>
      </w:r>
      <w:r>
        <w:rPr>
          <w:rFonts w:asciiTheme="minorEastAsia" w:eastAsiaTheme="minorEastAsia" w:hAnsiTheme="minorEastAsia"/>
          <w:kern w:val="0"/>
          <w:sz w:val="21"/>
          <w:szCs w:val="21"/>
        </w:rPr>
        <w:t xml:space="preserve"> </w:t>
      </w:r>
      <w:r w:rsidRPr="0057733C">
        <w:rPr>
          <w:rFonts w:asciiTheme="minorEastAsia" w:eastAsiaTheme="minorEastAsia" w:hAnsiTheme="minorEastAsia" w:hint="eastAsia"/>
          <w:kern w:val="0"/>
          <w:sz w:val="21"/>
          <w:szCs w:val="21"/>
        </w:rPr>
        <w:t>环境管理体系 要求及使用指南</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GB/T 27067 合格评定 产品认证基础和产品认证方案指南</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GB/T 33761 绿色产品评价通则</w:t>
      </w:r>
    </w:p>
    <w:p w:rsidR="00B31911" w:rsidRPr="002F51FC"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57733C">
        <w:rPr>
          <w:rFonts w:asciiTheme="minorEastAsia" w:eastAsiaTheme="minorEastAsia" w:hAnsiTheme="minorEastAsia" w:hint="eastAsia"/>
          <w:kern w:val="0"/>
          <w:sz w:val="21"/>
          <w:szCs w:val="21"/>
        </w:rPr>
        <w:t xml:space="preserve">GB/T </w:t>
      </w:r>
      <w:r w:rsidRPr="0057733C">
        <w:rPr>
          <w:rFonts w:asciiTheme="minorEastAsia" w:eastAsiaTheme="minorEastAsia" w:hAnsiTheme="minorEastAsia"/>
          <w:kern w:val="0"/>
          <w:sz w:val="21"/>
          <w:szCs w:val="21"/>
        </w:rPr>
        <w:t>45001</w:t>
      </w:r>
      <w:r>
        <w:rPr>
          <w:rFonts w:asciiTheme="minorEastAsia" w:eastAsiaTheme="minorEastAsia" w:hAnsiTheme="minorEastAsia"/>
          <w:kern w:val="0"/>
          <w:sz w:val="21"/>
          <w:szCs w:val="21"/>
        </w:rPr>
        <w:t xml:space="preserve"> </w:t>
      </w:r>
      <w:r w:rsidRPr="0057733C">
        <w:rPr>
          <w:rFonts w:asciiTheme="minorEastAsia" w:eastAsiaTheme="minorEastAsia" w:hAnsiTheme="minorEastAsia" w:hint="eastAsia"/>
          <w:kern w:val="0"/>
          <w:sz w:val="21"/>
          <w:szCs w:val="21"/>
        </w:rPr>
        <w:t>职业健康安全管理体系 要求及使用指南</w:t>
      </w:r>
    </w:p>
    <w:p w:rsidR="00B31911" w:rsidRPr="00824367" w:rsidRDefault="00B31911" w:rsidP="00B31911">
      <w:pPr>
        <w:pStyle w:val="a"/>
        <w:numPr>
          <w:ilvl w:val="0"/>
          <w:numId w:val="2"/>
        </w:numPr>
        <w:tabs>
          <w:tab w:val="left" w:pos="0"/>
        </w:tabs>
        <w:spacing w:before="326" w:after="326"/>
        <w:ind w:left="0" w:firstLine="0"/>
        <w:rPr>
          <w:rFonts w:hAnsi="黑体"/>
          <w:color w:val="000000"/>
          <w:szCs w:val="21"/>
        </w:rPr>
      </w:pPr>
      <w:bookmarkStart w:id="23" w:name="_Toc462063252"/>
      <w:bookmarkStart w:id="24" w:name="_Toc350863986"/>
      <w:bookmarkStart w:id="25" w:name="_Toc360436748"/>
      <w:bookmarkStart w:id="26" w:name="_Toc360436834"/>
      <w:bookmarkStart w:id="27" w:name="_Toc360632422"/>
      <w:bookmarkStart w:id="28" w:name="_Toc396134029"/>
      <w:bookmarkStart w:id="29" w:name="_Toc406486339"/>
      <w:bookmarkStart w:id="30" w:name="_Toc44316447"/>
      <w:bookmarkStart w:id="31" w:name="_Toc44590785"/>
      <w:bookmarkEnd w:id="15"/>
      <w:bookmarkEnd w:id="16"/>
      <w:bookmarkEnd w:id="17"/>
      <w:bookmarkEnd w:id="18"/>
      <w:bookmarkEnd w:id="19"/>
      <w:bookmarkEnd w:id="20"/>
      <w:bookmarkEnd w:id="21"/>
      <w:r w:rsidRPr="00824367">
        <w:rPr>
          <w:rFonts w:hAnsi="黑体"/>
          <w:color w:val="000000"/>
          <w:szCs w:val="21"/>
        </w:rPr>
        <w:t>术语和定义</w:t>
      </w:r>
      <w:bookmarkEnd w:id="23"/>
      <w:bookmarkEnd w:id="24"/>
      <w:bookmarkEnd w:id="25"/>
      <w:bookmarkEnd w:id="26"/>
      <w:bookmarkEnd w:id="27"/>
      <w:bookmarkEnd w:id="28"/>
      <w:bookmarkEnd w:id="29"/>
      <w:bookmarkEnd w:id="30"/>
      <w:bookmarkEnd w:id="31"/>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下列术语和定义适用于本</w:t>
      </w:r>
      <w:r>
        <w:rPr>
          <w:rFonts w:asciiTheme="minorEastAsia" w:eastAsiaTheme="minorEastAsia" w:hAnsiTheme="minorEastAsia" w:hint="eastAsia"/>
          <w:kern w:val="0"/>
          <w:sz w:val="21"/>
          <w:szCs w:val="21"/>
        </w:rPr>
        <w:t>文件</w:t>
      </w:r>
      <w:r w:rsidRPr="00824367">
        <w:rPr>
          <w:rFonts w:asciiTheme="minorEastAsia" w:eastAsiaTheme="minorEastAsia" w:hAnsiTheme="minorEastAsia"/>
          <w:kern w:val="0"/>
          <w:sz w:val="21"/>
          <w:szCs w:val="21"/>
        </w:rPr>
        <w:t>。</w:t>
      </w:r>
    </w:p>
    <w:p w:rsidR="00B31911" w:rsidRDefault="00B31911" w:rsidP="00B31911">
      <w:pPr>
        <w:widowControl/>
        <w:tabs>
          <w:tab w:val="center" w:pos="4201"/>
          <w:tab w:val="right" w:leader="dot" w:pos="9298"/>
        </w:tabs>
        <w:autoSpaceDE w:val="0"/>
        <w:autoSpaceDN w:val="0"/>
        <w:rPr>
          <w:rFonts w:ascii="黑体" w:eastAsia="黑体" w:hAnsi="黑体"/>
          <w:kern w:val="0"/>
          <w:sz w:val="21"/>
          <w:szCs w:val="21"/>
        </w:rPr>
      </w:pPr>
      <w:bookmarkStart w:id="32" w:name="_Toc16693145"/>
      <w:bookmarkStart w:id="33" w:name="_Toc16693373"/>
      <w:bookmarkStart w:id="34" w:name="_Toc16693430"/>
      <w:bookmarkStart w:id="35" w:name="_Toc6509"/>
      <w:r>
        <w:rPr>
          <w:rFonts w:ascii="黑体" w:eastAsia="黑体" w:hAnsi="黑体"/>
          <w:kern w:val="0"/>
          <w:sz w:val="21"/>
          <w:szCs w:val="21"/>
        </w:rPr>
        <w:t xml:space="preserve">3.1 </w:t>
      </w:r>
    </w:p>
    <w:p w:rsidR="00B31911" w:rsidRPr="00824367" w:rsidRDefault="00B31911" w:rsidP="00B31911">
      <w:pPr>
        <w:widowControl/>
        <w:tabs>
          <w:tab w:val="center" w:pos="4201"/>
          <w:tab w:val="right" w:leader="dot" w:pos="9298"/>
        </w:tabs>
        <w:autoSpaceDE w:val="0"/>
        <w:autoSpaceDN w:val="0"/>
        <w:ind w:firstLineChars="200" w:firstLine="420"/>
        <w:rPr>
          <w:rFonts w:ascii="黑体" w:eastAsia="黑体" w:hAnsi="黑体"/>
          <w:kern w:val="0"/>
          <w:sz w:val="21"/>
          <w:szCs w:val="21"/>
        </w:rPr>
      </w:pPr>
      <w:r w:rsidRPr="00824367">
        <w:rPr>
          <w:rFonts w:ascii="黑体" w:eastAsia="黑体" w:hAnsi="黑体"/>
          <w:kern w:val="0"/>
          <w:sz w:val="21"/>
          <w:szCs w:val="21"/>
        </w:rPr>
        <w:t>绿色建材产品 green building material</w:t>
      </w:r>
      <w:bookmarkEnd w:id="32"/>
      <w:bookmarkEnd w:id="33"/>
      <w:bookmarkEnd w:id="34"/>
      <w:r w:rsidRPr="00824367">
        <w:rPr>
          <w:rFonts w:ascii="黑体" w:eastAsia="黑体" w:hAnsi="黑体"/>
          <w:kern w:val="0"/>
          <w:sz w:val="21"/>
          <w:szCs w:val="21"/>
        </w:rPr>
        <w:t>s</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在全生命周期内可减少对天然资源消耗和减轻对生态环境影响，具有“节能、减排、安全、便利和</w:t>
      </w:r>
      <w:proofErr w:type="gramStart"/>
      <w:r w:rsidRPr="00824367">
        <w:rPr>
          <w:rFonts w:asciiTheme="minorEastAsia" w:eastAsiaTheme="minorEastAsia" w:hAnsiTheme="minorEastAsia"/>
          <w:kern w:val="0"/>
          <w:sz w:val="21"/>
          <w:szCs w:val="21"/>
        </w:rPr>
        <w:t>可</w:t>
      </w:r>
      <w:proofErr w:type="gramEnd"/>
      <w:r w:rsidRPr="00824367">
        <w:rPr>
          <w:rFonts w:asciiTheme="minorEastAsia" w:eastAsiaTheme="minorEastAsia" w:hAnsiTheme="minorEastAsia"/>
          <w:kern w:val="0"/>
          <w:sz w:val="21"/>
          <w:szCs w:val="21"/>
        </w:rPr>
        <w:t>循环”特征的建材产品。</w:t>
      </w:r>
    </w:p>
    <w:p w:rsidR="00B31911" w:rsidRDefault="00B31911" w:rsidP="00B31911">
      <w:pPr>
        <w:widowControl/>
        <w:tabs>
          <w:tab w:val="center" w:pos="4201"/>
          <w:tab w:val="right" w:leader="dot" w:pos="9298"/>
        </w:tabs>
        <w:autoSpaceDE w:val="0"/>
        <w:autoSpaceDN w:val="0"/>
        <w:rPr>
          <w:rFonts w:ascii="黑体" w:eastAsia="黑体" w:hAnsi="黑体"/>
          <w:kern w:val="0"/>
          <w:sz w:val="21"/>
          <w:szCs w:val="21"/>
        </w:rPr>
      </w:pPr>
      <w:bookmarkStart w:id="36" w:name="_Toc16693146"/>
      <w:bookmarkStart w:id="37" w:name="_Toc16693374"/>
      <w:bookmarkStart w:id="38" w:name="_Toc16693431"/>
      <w:r>
        <w:rPr>
          <w:rFonts w:ascii="黑体" w:eastAsia="黑体" w:hAnsi="黑体"/>
          <w:kern w:val="0"/>
          <w:sz w:val="21"/>
          <w:szCs w:val="21"/>
        </w:rPr>
        <w:t>3.2</w:t>
      </w:r>
      <w:r w:rsidRPr="00824367">
        <w:rPr>
          <w:rFonts w:ascii="黑体" w:eastAsia="黑体" w:hAnsi="黑体"/>
          <w:kern w:val="0"/>
          <w:sz w:val="21"/>
          <w:szCs w:val="21"/>
        </w:rPr>
        <w:t xml:space="preserve"> </w:t>
      </w:r>
    </w:p>
    <w:p w:rsidR="00B31911" w:rsidRPr="00824367" w:rsidRDefault="00B31911" w:rsidP="00B31911">
      <w:pPr>
        <w:widowControl/>
        <w:tabs>
          <w:tab w:val="center" w:pos="4201"/>
          <w:tab w:val="right" w:leader="dot" w:pos="9298"/>
        </w:tabs>
        <w:autoSpaceDE w:val="0"/>
        <w:autoSpaceDN w:val="0"/>
        <w:ind w:firstLineChars="200" w:firstLine="420"/>
        <w:rPr>
          <w:rFonts w:ascii="黑体" w:eastAsia="黑体" w:hAnsi="黑体"/>
          <w:kern w:val="0"/>
          <w:sz w:val="21"/>
          <w:szCs w:val="21"/>
        </w:rPr>
      </w:pPr>
      <w:r w:rsidRPr="00824367">
        <w:rPr>
          <w:rFonts w:ascii="黑体" w:eastAsia="黑体" w:hAnsi="黑体"/>
          <w:kern w:val="0"/>
          <w:sz w:val="21"/>
          <w:szCs w:val="21"/>
        </w:rPr>
        <w:t>绿色建材产品认证 certification of green building material</w:t>
      </w:r>
      <w:bookmarkEnd w:id="36"/>
      <w:bookmarkEnd w:id="37"/>
      <w:bookmarkEnd w:id="38"/>
      <w:r w:rsidRPr="00824367">
        <w:rPr>
          <w:rFonts w:ascii="黑体" w:eastAsia="黑体" w:hAnsi="黑体"/>
          <w:kern w:val="0"/>
          <w:sz w:val="21"/>
          <w:szCs w:val="21"/>
        </w:rPr>
        <w:t>s</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绿色建材产品认证机构证实产品持续符合绿色建材产品标准要求并确认分级结果的合格评定活动。</w:t>
      </w:r>
    </w:p>
    <w:p w:rsidR="00B31911" w:rsidRDefault="00B31911" w:rsidP="00B31911">
      <w:pPr>
        <w:widowControl/>
        <w:tabs>
          <w:tab w:val="center" w:pos="4201"/>
          <w:tab w:val="right" w:leader="dot" w:pos="9298"/>
        </w:tabs>
        <w:autoSpaceDE w:val="0"/>
        <w:autoSpaceDN w:val="0"/>
        <w:rPr>
          <w:rFonts w:ascii="黑体" w:eastAsia="黑体" w:hAnsi="黑体"/>
          <w:kern w:val="0"/>
          <w:sz w:val="21"/>
          <w:szCs w:val="21"/>
        </w:rPr>
      </w:pPr>
      <w:r>
        <w:rPr>
          <w:rFonts w:ascii="黑体" w:eastAsia="黑体" w:hAnsi="黑体"/>
          <w:kern w:val="0"/>
          <w:sz w:val="21"/>
          <w:szCs w:val="21"/>
        </w:rPr>
        <w:lastRenderedPageBreak/>
        <w:t>3.3</w:t>
      </w:r>
      <w:r w:rsidRPr="00824367">
        <w:rPr>
          <w:rFonts w:ascii="黑体" w:eastAsia="黑体" w:hAnsi="黑体"/>
          <w:kern w:val="0"/>
          <w:sz w:val="21"/>
          <w:szCs w:val="21"/>
        </w:rPr>
        <w:t xml:space="preserve"> </w:t>
      </w:r>
    </w:p>
    <w:p w:rsidR="00B31911" w:rsidRPr="00824367" w:rsidRDefault="00B31911" w:rsidP="00B31911">
      <w:pPr>
        <w:widowControl/>
        <w:tabs>
          <w:tab w:val="center" w:pos="4201"/>
          <w:tab w:val="right" w:leader="dot" w:pos="9298"/>
        </w:tabs>
        <w:autoSpaceDE w:val="0"/>
        <w:autoSpaceDN w:val="0"/>
        <w:ind w:firstLineChars="200" w:firstLine="420"/>
        <w:rPr>
          <w:rFonts w:ascii="黑体" w:eastAsia="黑体" w:hAnsi="黑体"/>
          <w:kern w:val="0"/>
          <w:sz w:val="21"/>
          <w:szCs w:val="21"/>
        </w:rPr>
      </w:pPr>
      <w:r w:rsidRPr="00824367">
        <w:rPr>
          <w:rFonts w:ascii="黑体" w:eastAsia="黑体" w:hAnsi="黑体"/>
          <w:kern w:val="0"/>
          <w:sz w:val="21"/>
          <w:szCs w:val="21"/>
        </w:rPr>
        <w:t>指标基准值 reference value of indicator</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为评价绿色建材产品而设定的指标参照值。</w:t>
      </w:r>
    </w:p>
    <w:p w:rsidR="00B31911" w:rsidRDefault="00B31911" w:rsidP="00B31911">
      <w:pPr>
        <w:spacing w:line="240" w:lineRule="auto"/>
        <w:rPr>
          <w:rFonts w:ascii="黑体" w:eastAsia="黑体" w:hAnsi="黑体"/>
          <w:kern w:val="0"/>
          <w:sz w:val="21"/>
          <w:szCs w:val="21"/>
        </w:rPr>
      </w:pPr>
      <w:r>
        <w:rPr>
          <w:rFonts w:ascii="黑体" w:eastAsia="黑体" w:hAnsi="黑体"/>
          <w:kern w:val="0"/>
          <w:sz w:val="21"/>
          <w:szCs w:val="21"/>
        </w:rPr>
        <w:t>3.4</w:t>
      </w:r>
    </w:p>
    <w:p w:rsidR="00B31911" w:rsidRPr="00824367" w:rsidRDefault="00B31911" w:rsidP="00B31911">
      <w:pPr>
        <w:spacing w:line="240" w:lineRule="auto"/>
        <w:ind w:firstLineChars="200" w:firstLine="420"/>
        <w:rPr>
          <w:rFonts w:ascii="黑体" w:eastAsia="黑体" w:hAnsi="黑体"/>
          <w:b/>
          <w:bCs/>
          <w:kern w:val="0"/>
          <w:szCs w:val="21"/>
        </w:rPr>
      </w:pPr>
      <w:r w:rsidRPr="00824367">
        <w:rPr>
          <w:rFonts w:ascii="黑体" w:eastAsia="黑体" w:hAnsi="黑体"/>
          <w:kern w:val="0"/>
          <w:sz w:val="21"/>
          <w:szCs w:val="21"/>
        </w:rPr>
        <w:t>资源属性 resource attributes</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建材产品的全生命周期中，特别是原材料选取阶段，资源的节约、减量化使用以及综合循环利用。</w:t>
      </w:r>
    </w:p>
    <w:p w:rsidR="00B31911" w:rsidRDefault="00B31911" w:rsidP="00B31911">
      <w:pPr>
        <w:spacing w:line="240" w:lineRule="auto"/>
        <w:rPr>
          <w:rFonts w:ascii="黑体" w:eastAsia="黑体" w:hAnsi="黑体"/>
          <w:kern w:val="0"/>
          <w:sz w:val="21"/>
          <w:szCs w:val="21"/>
        </w:rPr>
      </w:pPr>
      <w:r>
        <w:rPr>
          <w:rFonts w:ascii="黑体" w:eastAsia="黑体" w:hAnsi="黑体"/>
          <w:kern w:val="0"/>
          <w:sz w:val="21"/>
          <w:szCs w:val="21"/>
        </w:rPr>
        <w:t>3.5</w:t>
      </w:r>
    </w:p>
    <w:p w:rsidR="00B31911" w:rsidRPr="00824367" w:rsidRDefault="00B31911" w:rsidP="00B31911">
      <w:pPr>
        <w:spacing w:line="240" w:lineRule="auto"/>
        <w:ind w:firstLineChars="200" w:firstLine="420"/>
        <w:rPr>
          <w:rFonts w:ascii="黑体" w:eastAsia="黑体" w:hAnsi="黑体"/>
          <w:b/>
          <w:bCs/>
          <w:kern w:val="0"/>
          <w:szCs w:val="21"/>
        </w:rPr>
      </w:pPr>
      <w:r w:rsidRPr="00824367">
        <w:rPr>
          <w:rFonts w:ascii="黑体" w:eastAsia="黑体" w:hAnsi="黑体"/>
          <w:kern w:val="0"/>
          <w:sz w:val="21"/>
          <w:szCs w:val="21"/>
        </w:rPr>
        <w:t>能源属性 energy attributes</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建材产品的全生命周期中，特别是生产和使用阶段，能源的消耗量以及能源使用的节约与能源利用效率。</w:t>
      </w:r>
    </w:p>
    <w:p w:rsidR="00B31911" w:rsidRDefault="00B31911" w:rsidP="00B31911">
      <w:pPr>
        <w:spacing w:line="240" w:lineRule="auto"/>
        <w:rPr>
          <w:rFonts w:ascii="黑体" w:eastAsia="黑体" w:hAnsi="黑体"/>
          <w:kern w:val="0"/>
          <w:sz w:val="21"/>
          <w:szCs w:val="21"/>
        </w:rPr>
      </w:pPr>
      <w:r>
        <w:rPr>
          <w:rFonts w:ascii="黑体" w:eastAsia="黑体" w:hAnsi="黑体"/>
          <w:kern w:val="0"/>
          <w:sz w:val="21"/>
          <w:szCs w:val="21"/>
        </w:rPr>
        <w:t>3.6</w:t>
      </w:r>
    </w:p>
    <w:p w:rsidR="00B31911" w:rsidRPr="00824367" w:rsidRDefault="00B31911" w:rsidP="00B31911">
      <w:pPr>
        <w:spacing w:line="240" w:lineRule="auto"/>
        <w:ind w:firstLineChars="200" w:firstLine="420"/>
        <w:rPr>
          <w:rFonts w:ascii="黑体" w:eastAsia="黑体" w:hAnsi="黑体"/>
          <w:b/>
          <w:bCs/>
          <w:kern w:val="0"/>
          <w:szCs w:val="21"/>
        </w:rPr>
      </w:pPr>
      <w:r w:rsidRPr="00824367">
        <w:rPr>
          <w:rFonts w:ascii="黑体" w:eastAsia="黑体" w:hAnsi="黑体"/>
          <w:kern w:val="0"/>
          <w:sz w:val="21"/>
          <w:szCs w:val="21"/>
        </w:rPr>
        <w:t>环境属性 environment attributes</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建材产品的全生命周期中，特别是生产和使用以及废弃阶段，污染物的排放以及有毒有害物质的释放。</w:t>
      </w:r>
    </w:p>
    <w:p w:rsidR="00B31911" w:rsidRPr="00824367" w:rsidRDefault="00B31911" w:rsidP="00B31911">
      <w:pPr>
        <w:pStyle w:val="a"/>
        <w:numPr>
          <w:ilvl w:val="0"/>
          <w:numId w:val="2"/>
        </w:numPr>
        <w:tabs>
          <w:tab w:val="left" w:pos="0"/>
        </w:tabs>
        <w:spacing w:before="326" w:after="326"/>
        <w:ind w:left="0" w:firstLine="0"/>
        <w:rPr>
          <w:rFonts w:hAnsi="黑体"/>
          <w:color w:val="000000"/>
          <w:szCs w:val="21"/>
        </w:rPr>
      </w:pPr>
      <w:bookmarkStart w:id="39" w:name="_Toc44316448"/>
      <w:bookmarkStart w:id="40" w:name="_Toc44590786"/>
      <w:bookmarkEnd w:id="35"/>
      <w:r w:rsidRPr="00824367">
        <w:rPr>
          <w:rFonts w:hAnsi="黑体"/>
          <w:color w:val="000000"/>
          <w:szCs w:val="21"/>
        </w:rPr>
        <w:t>基本规定</w:t>
      </w:r>
      <w:bookmarkEnd w:id="39"/>
      <w:bookmarkEnd w:id="40"/>
    </w:p>
    <w:p w:rsidR="00B31911" w:rsidRPr="00824367" w:rsidRDefault="00B31911" w:rsidP="00B31911">
      <w:pPr>
        <w:pStyle w:val="a"/>
        <w:numPr>
          <w:ilvl w:val="0"/>
          <w:numId w:val="0"/>
        </w:numPr>
        <w:tabs>
          <w:tab w:val="left" w:pos="0"/>
        </w:tabs>
        <w:spacing w:before="326" w:after="326"/>
        <w:outlineLvl w:val="2"/>
        <w:rPr>
          <w:rFonts w:hAnsi="黑体"/>
          <w:color w:val="000000"/>
          <w:szCs w:val="21"/>
        </w:rPr>
      </w:pPr>
      <w:bookmarkStart w:id="41" w:name="_Toc34991771"/>
      <w:bookmarkStart w:id="42" w:name="_Toc44316449"/>
      <w:bookmarkStart w:id="43" w:name="_Toc44590787"/>
      <w:r w:rsidRPr="00824367">
        <w:rPr>
          <w:rFonts w:hAnsi="黑体"/>
          <w:color w:val="000000"/>
          <w:szCs w:val="21"/>
        </w:rPr>
        <w:t>4.1  绿色建材产品类别确定原则</w:t>
      </w:r>
      <w:bookmarkEnd w:id="41"/>
      <w:bookmarkEnd w:id="42"/>
      <w:bookmarkEnd w:id="43"/>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依据GB/T 7635.1标准，可运输且用于建筑和建筑相关的使用材料为主，根据建材的绿色指标、属性特点，选取消费者和社会关注度高、消费升级急需、生态环境及人体健康影响大的建材产品作为绿色建材产品评价对象，并将具有“节能、减排、安全、便利和</w:t>
      </w:r>
      <w:proofErr w:type="gramStart"/>
      <w:r w:rsidRPr="00824367">
        <w:rPr>
          <w:rFonts w:asciiTheme="minorEastAsia" w:eastAsiaTheme="minorEastAsia" w:hAnsiTheme="minorEastAsia"/>
          <w:kern w:val="0"/>
          <w:sz w:val="21"/>
          <w:szCs w:val="21"/>
        </w:rPr>
        <w:t>可</w:t>
      </w:r>
      <w:proofErr w:type="gramEnd"/>
      <w:r w:rsidRPr="00824367">
        <w:rPr>
          <w:rFonts w:asciiTheme="minorEastAsia" w:eastAsiaTheme="minorEastAsia" w:hAnsiTheme="minorEastAsia"/>
          <w:kern w:val="0"/>
          <w:sz w:val="21"/>
          <w:szCs w:val="21"/>
        </w:rPr>
        <w:t>循环”等类似绿色特性指标的建材产品归为绿色建材产品。</w:t>
      </w:r>
    </w:p>
    <w:p w:rsidR="00B31911" w:rsidRPr="00824367" w:rsidRDefault="00B31911" w:rsidP="00B31911">
      <w:pPr>
        <w:pStyle w:val="a"/>
        <w:numPr>
          <w:ilvl w:val="0"/>
          <w:numId w:val="0"/>
        </w:numPr>
        <w:tabs>
          <w:tab w:val="left" w:pos="0"/>
        </w:tabs>
        <w:spacing w:before="326" w:after="326"/>
        <w:outlineLvl w:val="2"/>
        <w:rPr>
          <w:rFonts w:hAnsi="黑体"/>
          <w:color w:val="000000"/>
          <w:szCs w:val="21"/>
        </w:rPr>
      </w:pPr>
      <w:bookmarkStart w:id="44" w:name="_Toc34991772"/>
      <w:bookmarkStart w:id="45" w:name="_Toc44316450"/>
      <w:bookmarkStart w:id="46" w:name="_Toc44590788"/>
      <w:r w:rsidRPr="00824367">
        <w:rPr>
          <w:rFonts w:hAnsi="黑体"/>
          <w:color w:val="000000"/>
          <w:szCs w:val="21"/>
        </w:rPr>
        <w:t>4.2  绿色建材产品的品质属性</w:t>
      </w:r>
      <w:bookmarkEnd w:id="44"/>
      <w:bookmarkEnd w:id="45"/>
      <w:bookmarkEnd w:id="46"/>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绿色建材产品首先作为建材的品质属性应满足建材的产品标准要求。</w:t>
      </w:r>
    </w:p>
    <w:p w:rsidR="00B31911" w:rsidRPr="00824367" w:rsidRDefault="00B31911" w:rsidP="00B31911">
      <w:pPr>
        <w:pStyle w:val="a"/>
        <w:numPr>
          <w:ilvl w:val="0"/>
          <w:numId w:val="0"/>
        </w:numPr>
        <w:tabs>
          <w:tab w:val="left" w:pos="0"/>
        </w:tabs>
        <w:spacing w:before="326" w:after="326"/>
        <w:outlineLvl w:val="2"/>
        <w:rPr>
          <w:rFonts w:hAnsi="黑体"/>
          <w:color w:val="000000"/>
          <w:szCs w:val="21"/>
        </w:rPr>
      </w:pPr>
      <w:bookmarkStart w:id="47" w:name="_Toc34991773"/>
      <w:bookmarkStart w:id="48" w:name="_Toc44316451"/>
      <w:bookmarkStart w:id="49" w:name="_Toc44590789"/>
      <w:r w:rsidRPr="00824367">
        <w:rPr>
          <w:rFonts w:hAnsi="黑体"/>
          <w:color w:val="000000"/>
          <w:szCs w:val="21"/>
        </w:rPr>
        <w:t>4.3  绿色建材产品指标选取原则</w:t>
      </w:r>
      <w:bookmarkEnd w:id="47"/>
      <w:bookmarkEnd w:id="48"/>
      <w:bookmarkEnd w:id="49"/>
    </w:p>
    <w:p w:rsidR="00B31911" w:rsidRPr="00824367" w:rsidRDefault="00B31911" w:rsidP="00B31911">
      <w:pPr>
        <w:pStyle w:val="a"/>
        <w:numPr>
          <w:ilvl w:val="0"/>
          <w:numId w:val="0"/>
        </w:numPr>
        <w:tabs>
          <w:tab w:val="left" w:pos="0"/>
        </w:tabs>
        <w:spacing w:before="326" w:after="326"/>
        <w:outlineLvl w:val="9"/>
        <w:rPr>
          <w:rFonts w:hAnsi="黑体"/>
          <w:color w:val="000000"/>
          <w:szCs w:val="21"/>
        </w:rPr>
      </w:pPr>
      <w:bookmarkStart w:id="50" w:name="_Toc34991774"/>
      <w:r w:rsidRPr="00824367">
        <w:rPr>
          <w:rFonts w:hAnsi="黑体"/>
          <w:color w:val="000000"/>
          <w:szCs w:val="21"/>
        </w:rPr>
        <w:t>4.3.1 遵循“节能”原则</w:t>
      </w:r>
      <w:bookmarkEnd w:id="50"/>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lastRenderedPageBreak/>
        <w:t>应在确保能源消耗的数据统计和分析基础上，合理制定绿色建材产品生产能耗、运输能耗的指标基准值。对于用能产品或对建筑能耗有显著影响的建材产品，</w:t>
      </w:r>
      <w:proofErr w:type="gramStart"/>
      <w:r w:rsidRPr="00824367">
        <w:rPr>
          <w:rFonts w:asciiTheme="minorEastAsia" w:eastAsiaTheme="minorEastAsia" w:hAnsiTheme="minorEastAsia"/>
          <w:kern w:val="0"/>
          <w:sz w:val="21"/>
          <w:szCs w:val="21"/>
        </w:rPr>
        <w:t>宜制定</w:t>
      </w:r>
      <w:proofErr w:type="gramEnd"/>
      <w:r w:rsidRPr="00824367">
        <w:rPr>
          <w:rFonts w:asciiTheme="minorEastAsia" w:eastAsiaTheme="minorEastAsia" w:hAnsiTheme="minorEastAsia"/>
          <w:kern w:val="0"/>
          <w:sz w:val="21"/>
          <w:szCs w:val="21"/>
        </w:rPr>
        <w:t>产品使用过程节能指标基准值。不同类别的绿色建材产品</w:t>
      </w:r>
      <w:proofErr w:type="gramStart"/>
      <w:r w:rsidRPr="00824367">
        <w:rPr>
          <w:rFonts w:asciiTheme="minorEastAsia" w:eastAsiaTheme="minorEastAsia" w:hAnsiTheme="minorEastAsia"/>
          <w:kern w:val="0"/>
          <w:sz w:val="21"/>
          <w:szCs w:val="21"/>
        </w:rPr>
        <w:t>宜制定</w:t>
      </w:r>
      <w:proofErr w:type="gramEnd"/>
      <w:r w:rsidRPr="00824367">
        <w:rPr>
          <w:rFonts w:asciiTheme="minorEastAsia" w:eastAsiaTheme="minorEastAsia" w:hAnsiTheme="minorEastAsia"/>
          <w:kern w:val="0"/>
          <w:sz w:val="21"/>
          <w:szCs w:val="21"/>
        </w:rPr>
        <w:t>能源消耗指标基准值。</w:t>
      </w:r>
    </w:p>
    <w:p w:rsidR="00B31911" w:rsidRPr="00824367" w:rsidRDefault="00B31911" w:rsidP="00B31911">
      <w:pPr>
        <w:pStyle w:val="a"/>
        <w:numPr>
          <w:ilvl w:val="0"/>
          <w:numId w:val="0"/>
        </w:numPr>
        <w:tabs>
          <w:tab w:val="left" w:pos="0"/>
        </w:tabs>
        <w:spacing w:before="326" w:after="326"/>
        <w:outlineLvl w:val="9"/>
        <w:rPr>
          <w:rFonts w:hAnsi="黑体"/>
          <w:color w:val="000000"/>
          <w:szCs w:val="21"/>
        </w:rPr>
      </w:pPr>
      <w:bookmarkStart w:id="51" w:name="_Toc34991775"/>
      <w:r w:rsidRPr="00824367">
        <w:rPr>
          <w:rFonts w:hAnsi="黑体"/>
          <w:color w:val="000000"/>
          <w:szCs w:val="21"/>
        </w:rPr>
        <w:t>4.3.2 遵循“减排”原则</w:t>
      </w:r>
      <w:bookmarkEnd w:id="51"/>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应在确保大气污染物、污水、噪声排放的数据统计和分析基础上，结合绿色建材产品生产工艺流程和设备的先进性、环境影响因素，确定污染物排放类型和限值，同时应符合国家和地方的法律法规、标准规范的要求。</w:t>
      </w:r>
    </w:p>
    <w:p w:rsidR="00B31911" w:rsidRPr="00824367" w:rsidRDefault="00B31911" w:rsidP="00B31911">
      <w:pPr>
        <w:pStyle w:val="a"/>
        <w:numPr>
          <w:ilvl w:val="0"/>
          <w:numId w:val="0"/>
        </w:numPr>
        <w:tabs>
          <w:tab w:val="left" w:pos="0"/>
        </w:tabs>
        <w:spacing w:before="326" w:after="326"/>
        <w:outlineLvl w:val="9"/>
        <w:rPr>
          <w:rFonts w:hAnsi="黑体"/>
          <w:color w:val="000000"/>
          <w:szCs w:val="21"/>
        </w:rPr>
      </w:pPr>
      <w:bookmarkStart w:id="52" w:name="_Toc34991776"/>
      <w:r w:rsidRPr="00824367">
        <w:rPr>
          <w:rFonts w:hAnsi="黑体"/>
          <w:color w:val="000000"/>
          <w:szCs w:val="21"/>
        </w:rPr>
        <w:t>4.3.3 遵循“安全”原则</w:t>
      </w:r>
      <w:bookmarkEnd w:id="52"/>
    </w:p>
    <w:p w:rsidR="00B31911" w:rsidRPr="00824367" w:rsidRDefault="00B31911" w:rsidP="00B31911">
      <w:pPr>
        <w:spacing w:line="312" w:lineRule="auto"/>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应确保绿色建材产品的生产应满足国家和地方安监部门的安全生产标准，一个认证周期内不应出现较大及以上安全事故。绿色建材产品的使用安全应同时满足使用标准要求，一个认证周期内不应出现产品责任事故或政府监管部门市场监督抽检不合格。</w:t>
      </w:r>
    </w:p>
    <w:p w:rsidR="00B31911" w:rsidRPr="00824367" w:rsidRDefault="00B31911" w:rsidP="00B31911">
      <w:pPr>
        <w:pStyle w:val="a"/>
        <w:numPr>
          <w:ilvl w:val="0"/>
          <w:numId w:val="0"/>
        </w:numPr>
        <w:tabs>
          <w:tab w:val="left" w:pos="0"/>
        </w:tabs>
        <w:spacing w:before="326" w:after="326"/>
        <w:outlineLvl w:val="9"/>
        <w:rPr>
          <w:rFonts w:hAnsi="黑体"/>
          <w:color w:val="000000"/>
          <w:szCs w:val="21"/>
        </w:rPr>
      </w:pPr>
      <w:bookmarkStart w:id="53" w:name="_Toc34991777"/>
      <w:r w:rsidRPr="00824367">
        <w:rPr>
          <w:rFonts w:hAnsi="黑体"/>
          <w:color w:val="000000"/>
          <w:szCs w:val="21"/>
        </w:rPr>
        <w:t>4.3.4 遵循“便利”原则</w:t>
      </w:r>
      <w:bookmarkEnd w:id="53"/>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rPr>
      </w:pPr>
      <w:r w:rsidRPr="00824367">
        <w:rPr>
          <w:rFonts w:asciiTheme="minorEastAsia" w:eastAsiaTheme="minorEastAsia" w:hAnsiTheme="minorEastAsia"/>
          <w:kern w:val="0"/>
          <w:sz w:val="21"/>
          <w:szCs w:val="21"/>
        </w:rPr>
        <w:t>应确保绿色建材产品的主要原材料可获取和施工便利性，必要时，可结合建筑工程需要，制定建筑模数、预制定制、一体化施工等方面的指标基准值，以减少施工现场原材料加工带来的能源消耗和污染物排放，提升施工效率。</w:t>
      </w:r>
    </w:p>
    <w:p w:rsidR="00B31911" w:rsidRPr="00824367" w:rsidRDefault="00B31911" w:rsidP="00B31911">
      <w:pPr>
        <w:pStyle w:val="a"/>
        <w:numPr>
          <w:ilvl w:val="0"/>
          <w:numId w:val="0"/>
        </w:numPr>
        <w:tabs>
          <w:tab w:val="left" w:pos="0"/>
        </w:tabs>
        <w:spacing w:before="326" w:after="326"/>
        <w:outlineLvl w:val="9"/>
        <w:rPr>
          <w:rFonts w:hAnsi="黑体"/>
          <w:color w:val="000000"/>
          <w:szCs w:val="21"/>
        </w:rPr>
      </w:pPr>
      <w:bookmarkStart w:id="54" w:name="_Toc34991778"/>
      <w:r w:rsidRPr="00824367">
        <w:rPr>
          <w:rFonts w:hAnsi="黑体"/>
          <w:color w:val="000000"/>
          <w:szCs w:val="21"/>
        </w:rPr>
        <w:t>4.3.5 遵循“可循环”原则</w:t>
      </w:r>
      <w:bookmarkEnd w:id="54"/>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不应使用被国家或地方列为稀有资源或保护资源，以及列入有毒有害、限制和禁止使用原材料目录的物质，鼓励采用可循环利用的资源或材料，</w:t>
      </w:r>
      <w:proofErr w:type="gramStart"/>
      <w:r w:rsidRPr="00824367">
        <w:rPr>
          <w:rFonts w:asciiTheme="minorEastAsia" w:eastAsiaTheme="minorEastAsia" w:hAnsiTheme="minorEastAsia"/>
          <w:kern w:val="0"/>
          <w:sz w:val="21"/>
          <w:szCs w:val="21"/>
        </w:rPr>
        <w:t>宜明确</w:t>
      </w:r>
      <w:proofErr w:type="gramEnd"/>
      <w:r w:rsidRPr="00824367">
        <w:rPr>
          <w:rFonts w:asciiTheme="minorEastAsia" w:eastAsiaTheme="minorEastAsia" w:hAnsiTheme="minorEastAsia"/>
          <w:kern w:val="0"/>
          <w:sz w:val="21"/>
          <w:szCs w:val="21"/>
        </w:rPr>
        <w:t>废弃处置及回收利用过程相关指标基准值。</w:t>
      </w:r>
    </w:p>
    <w:p w:rsidR="00B31911" w:rsidRPr="00824367" w:rsidRDefault="00B31911" w:rsidP="00B31911">
      <w:pPr>
        <w:pStyle w:val="a"/>
        <w:numPr>
          <w:ilvl w:val="0"/>
          <w:numId w:val="0"/>
        </w:numPr>
        <w:tabs>
          <w:tab w:val="left" w:pos="0"/>
        </w:tabs>
        <w:spacing w:before="326" w:after="326"/>
        <w:outlineLvl w:val="9"/>
        <w:rPr>
          <w:rFonts w:hAnsi="黑体"/>
        </w:rPr>
      </w:pPr>
      <w:bookmarkStart w:id="55" w:name="_Toc34991779"/>
      <w:r w:rsidRPr="00824367">
        <w:rPr>
          <w:rFonts w:hAnsi="黑体"/>
          <w:color w:val="000000"/>
          <w:szCs w:val="21"/>
        </w:rPr>
        <w:t>4.3.6 遵循“指标可量化”原则</w:t>
      </w:r>
      <w:bookmarkEnd w:id="55"/>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绿色建材产品评价指标宜可量化、可检测或验证，至少包括资源属性指标、能源属性指标、环境属性指标和品质属性指标。绿色量化的所有指标符合比例不超过该类产品5%，符合单项指标比例不超过该类产品10%，以体现绿色建材的特殊性能。</w:t>
      </w:r>
    </w:p>
    <w:p w:rsidR="00B31911" w:rsidRPr="00824367" w:rsidRDefault="00B31911" w:rsidP="00B31911">
      <w:pPr>
        <w:pStyle w:val="a"/>
        <w:numPr>
          <w:ilvl w:val="0"/>
          <w:numId w:val="2"/>
        </w:numPr>
        <w:tabs>
          <w:tab w:val="left" w:pos="0"/>
          <w:tab w:val="left" w:pos="284"/>
        </w:tabs>
        <w:spacing w:before="326" w:after="326"/>
        <w:ind w:left="0" w:firstLine="0"/>
        <w:rPr>
          <w:rFonts w:hAnsi="黑体"/>
          <w:color w:val="000000"/>
          <w:szCs w:val="21"/>
        </w:rPr>
      </w:pPr>
      <w:bookmarkStart w:id="56" w:name="_Toc44316452"/>
      <w:bookmarkStart w:id="57" w:name="_Toc44590790"/>
      <w:r w:rsidRPr="00824367">
        <w:rPr>
          <w:rFonts w:hAnsi="黑体"/>
          <w:color w:val="000000"/>
          <w:szCs w:val="21"/>
        </w:rPr>
        <w:lastRenderedPageBreak/>
        <w:t>认证实施</w:t>
      </w:r>
      <w:bookmarkEnd w:id="56"/>
      <w:bookmarkEnd w:id="57"/>
    </w:p>
    <w:p w:rsidR="00B31911" w:rsidRPr="00824367" w:rsidRDefault="00B31911" w:rsidP="00B31911">
      <w:pPr>
        <w:pStyle w:val="a"/>
        <w:numPr>
          <w:ilvl w:val="0"/>
          <w:numId w:val="0"/>
        </w:numPr>
        <w:tabs>
          <w:tab w:val="left" w:pos="0"/>
        </w:tabs>
        <w:spacing w:before="326" w:after="326"/>
        <w:outlineLvl w:val="2"/>
        <w:rPr>
          <w:rFonts w:hAnsi="黑体"/>
          <w:color w:val="000000"/>
          <w:szCs w:val="21"/>
        </w:rPr>
      </w:pPr>
      <w:bookmarkStart w:id="58" w:name="_Toc34991781"/>
      <w:bookmarkStart w:id="59" w:name="_Toc44316453"/>
      <w:bookmarkStart w:id="60" w:name="_Toc44590791"/>
      <w:r w:rsidRPr="00824367">
        <w:rPr>
          <w:rFonts w:hAnsi="黑体"/>
          <w:color w:val="000000"/>
          <w:szCs w:val="21"/>
        </w:rPr>
        <w:t>5.1 认证模式</w:t>
      </w:r>
      <w:bookmarkEnd w:id="58"/>
      <w:bookmarkEnd w:id="59"/>
      <w:bookmarkEnd w:id="60"/>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绿色建材产品认证的基本认证模式为：初始工厂检查+产品抽样检验+获证后的跟踪检查。</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机构可结合认证风险控制能力、认证依据的标准或技术规范的要求、产品种类、特性和用途，在基本认证模式的基础上的酌情增加市场抽样检验或者检查、设计鉴定等相关要素，以确定认证产品所能适用的认证模式。</w:t>
      </w:r>
    </w:p>
    <w:p w:rsidR="00B31911" w:rsidRPr="00824367" w:rsidRDefault="00B31911" w:rsidP="00B31911">
      <w:pPr>
        <w:pStyle w:val="a"/>
        <w:numPr>
          <w:ilvl w:val="0"/>
          <w:numId w:val="0"/>
        </w:numPr>
        <w:tabs>
          <w:tab w:val="left" w:pos="0"/>
        </w:tabs>
        <w:spacing w:before="326" w:after="326"/>
        <w:outlineLvl w:val="2"/>
        <w:rPr>
          <w:rFonts w:hAnsi="黑体" w:cs="Arial"/>
          <w:color w:val="000000"/>
          <w:szCs w:val="21"/>
        </w:rPr>
      </w:pPr>
      <w:bookmarkStart w:id="61" w:name="_Toc513811525"/>
      <w:bookmarkStart w:id="62" w:name="_Toc34991782"/>
      <w:bookmarkStart w:id="63" w:name="_Toc44316454"/>
      <w:bookmarkStart w:id="64" w:name="_Toc44590792"/>
      <w:r w:rsidRPr="00824367">
        <w:rPr>
          <w:rFonts w:hAnsi="黑体" w:cs="Arial"/>
          <w:color w:val="000000"/>
          <w:szCs w:val="21"/>
        </w:rPr>
        <w:t>5.2 认证流程及认证时限</w:t>
      </w:r>
      <w:bookmarkEnd w:id="61"/>
      <w:bookmarkEnd w:id="62"/>
      <w:bookmarkEnd w:id="63"/>
      <w:bookmarkEnd w:id="64"/>
    </w:p>
    <w:p w:rsidR="00B31911" w:rsidRPr="00824367" w:rsidRDefault="00B31911" w:rsidP="00B31911">
      <w:pPr>
        <w:pStyle w:val="a"/>
        <w:numPr>
          <w:ilvl w:val="0"/>
          <w:numId w:val="0"/>
        </w:numPr>
        <w:tabs>
          <w:tab w:val="left" w:pos="0"/>
        </w:tabs>
        <w:spacing w:before="326" w:after="326"/>
        <w:outlineLvl w:val="9"/>
        <w:rPr>
          <w:rFonts w:hAnsi="黑体" w:cs="Arial"/>
          <w:color w:val="000000"/>
          <w:szCs w:val="21"/>
        </w:rPr>
      </w:pPr>
      <w:bookmarkStart w:id="65" w:name="_Toc34991783"/>
      <w:r w:rsidRPr="00824367">
        <w:rPr>
          <w:rFonts w:hAnsi="黑体" w:cs="Arial"/>
          <w:color w:val="000000"/>
          <w:szCs w:val="21"/>
        </w:rPr>
        <w:t>5.2.1 认证流程</w:t>
      </w:r>
      <w:bookmarkEnd w:id="65"/>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认证的基本流程包括：</w:t>
      </w:r>
    </w:p>
    <w:p w:rsidR="00B31911" w:rsidRPr="00824367" w:rsidRDefault="00B31911" w:rsidP="00B31911">
      <w:pPr>
        <w:pStyle w:val="a8"/>
        <w:numPr>
          <w:ilvl w:val="0"/>
          <w:numId w:val="3"/>
        </w:numPr>
        <w:ind w:leftChars="177" w:left="566" w:hangingChars="67" w:hanging="141"/>
        <w:rPr>
          <w:rFonts w:asciiTheme="minorEastAsia" w:eastAsiaTheme="minorEastAsia" w:hAnsiTheme="minorEastAsia"/>
          <w:kern w:val="0"/>
          <w:sz w:val="21"/>
          <w:szCs w:val="21"/>
        </w:rPr>
      </w:pPr>
      <w:bookmarkStart w:id="66" w:name="_Toc533241078"/>
      <w:bookmarkStart w:id="67" w:name="_Toc532630001"/>
      <w:r w:rsidRPr="00824367">
        <w:rPr>
          <w:rFonts w:asciiTheme="minorEastAsia" w:eastAsiaTheme="minorEastAsia" w:hAnsiTheme="minorEastAsia"/>
          <w:kern w:val="0"/>
          <w:sz w:val="21"/>
          <w:szCs w:val="21"/>
        </w:rPr>
        <w:t>认证申请</w:t>
      </w:r>
      <w:bookmarkEnd w:id="66"/>
      <w:bookmarkEnd w:id="67"/>
    </w:p>
    <w:p w:rsidR="00B31911" w:rsidRPr="00824367" w:rsidRDefault="00B31911" w:rsidP="00B31911">
      <w:pPr>
        <w:pStyle w:val="a8"/>
        <w:numPr>
          <w:ilvl w:val="0"/>
          <w:numId w:val="3"/>
        </w:numPr>
        <w:ind w:leftChars="177" w:left="566" w:hangingChars="67" w:hanging="141"/>
        <w:rPr>
          <w:rFonts w:asciiTheme="minorEastAsia" w:eastAsiaTheme="minorEastAsia" w:hAnsiTheme="minorEastAsia"/>
          <w:kern w:val="0"/>
          <w:sz w:val="21"/>
          <w:szCs w:val="21"/>
        </w:rPr>
      </w:pPr>
      <w:bookmarkStart w:id="68" w:name="_Toc15116459"/>
      <w:bookmarkStart w:id="69" w:name="_Toc15116542"/>
      <w:bookmarkStart w:id="70" w:name="_Toc15116627"/>
      <w:bookmarkStart w:id="71" w:name="_Toc533241079"/>
      <w:bookmarkStart w:id="72" w:name="_Toc532630002"/>
      <w:r w:rsidRPr="00824367">
        <w:rPr>
          <w:rFonts w:asciiTheme="minorEastAsia" w:eastAsiaTheme="minorEastAsia" w:hAnsiTheme="minorEastAsia"/>
          <w:kern w:val="0"/>
          <w:sz w:val="21"/>
          <w:szCs w:val="21"/>
        </w:rPr>
        <w:t>初始</w:t>
      </w:r>
      <w:bookmarkEnd w:id="68"/>
      <w:bookmarkEnd w:id="69"/>
      <w:bookmarkEnd w:id="70"/>
      <w:bookmarkEnd w:id="71"/>
      <w:bookmarkEnd w:id="72"/>
      <w:r w:rsidRPr="00824367">
        <w:rPr>
          <w:rFonts w:asciiTheme="minorEastAsia" w:eastAsiaTheme="minorEastAsia" w:hAnsiTheme="minorEastAsia"/>
          <w:kern w:val="0"/>
          <w:sz w:val="21"/>
          <w:szCs w:val="21"/>
        </w:rPr>
        <w:t>工厂检查</w:t>
      </w:r>
    </w:p>
    <w:p w:rsidR="00B31911" w:rsidRPr="00824367" w:rsidRDefault="00B31911" w:rsidP="00B31911">
      <w:pPr>
        <w:pStyle w:val="a8"/>
        <w:numPr>
          <w:ilvl w:val="0"/>
          <w:numId w:val="3"/>
        </w:numPr>
        <w:ind w:leftChars="177" w:left="566" w:hangingChars="67" w:hanging="141"/>
        <w:rPr>
          <w:rFonts w:asciiTheme="minorEastAsia" w:eastAsiaTheme="minorEastAsia" w:hAnsiTheme="minorEastAsia"/>
          <w:kern w:val="0"/>
          <w:sz w:val="21"/>
          <w:szCs w:val="21"/>
        </w:rPr>
      </w:pPr>
      <w:bookmarkStart w:id="73" w:name="_Toc533241081"/>
      <w:bookmarkStart w:id="74" w:name="_Toc15116629"/>
      <w:bookmarkStart w:id="75" w:name="_Toc15116544"/>
      <w:bookmarkStart w:id="76" w:name="_Toc532630004"/>
      <w:bookmarkStart w:id="77" w:name="_Toc15116461"/>
      <w:r w:rsidRPr="00824367">
        <w:rPr>
          <w:rFonts w:asciiTheme="minorEastAsia" w:eastAsiaTheme="minorEastAsia" w:hAnsiTheme="minorEastAsia"/>
          <w:sz w:val="21"/>
          <w:szCs w:val="21"/>
        </w:rPr>
        <w:t>产品抽样检验</w:t>
      </w:r>
    </w:p>
    <w:p w:rsidR="00B31911" w:rsidRPr="00824367" w:rsidRDefault="00B31911" w:rsidP="00B31911">
      <w:pPr>
        <w:pStyle w:val="a8"/>
        <w:numPr>
          <w:ilvl w:val="0"/>
          <w:numId w:val="3"/>
        </w:numPr>
        <w:ind w:leftChars="177" w:left="566" w:hangingChars="67" w:hanging="141"/>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认证结果评价与批准</w:t>
      </w:r>
      <w:bookmarkEnd w:id="73"/>
      <w:bookmarkEnd w:id="74"/>
      <w:bookmarkEnd w:id="75"/>
      <w:bookmarkEnd w:id="76"/>
      <w:bookmarkEnd w:id="77"/>
    </w:p>
    <w:p w:rsidR="00B31911" w:rsidRPr="00824367" w:rsidRDefault="00B31911" w:rsidP="00B31911">
      <w:pPr>
        <w:pStyle w:val="a8"/>
        <w:numPr>
          <w:ilvl w:val="0"/>
          <w:numId w:val="3"/>
        </w:numPr>
        <w:ind w:leftChars="177" w:left="566" w:hangingChars="67" w:hanging="141"/>
        <w:rPr>
          <w:rFonts w:asciiTheme="minorEastAsia" w:eastAsiaTheme="minorEastAsia" w:hAnsiTheme="minorEastAsia"/>
          <w:kern w:val="0"/>
          <w:sz w:val="21"/>
          <w:szCs w:val="21"/>
        </w:rPr>
      </w:pPr>
      <w:bookmarkStart w:id="78" w:name="_Toc532630005"/>
      <w:bookmarkStart w:id="79" w:name="_Toc533241082"/>
      <w:bookmarkStart w:id="80" w:name="_Toc15116462"/>
      <w:bookmarkStart w:id="81" w:name="_Toc15116630"/>
      <w:bookmarkStart w:id="82" w:name="_Toc15116545"/>
      <w:r w:rsidRPr="00824367">
        <w:rPr>
          <w:rFonts w:asciiTheme="minorEastAsia" w:eastAsiaTheme="minorEastAsia" w:hAnsiTheme="minorEastAsia"/>
          <w:kern w:val="0"/>
          <w:sz w:val="21"/>
          <w:szCs w:val="21"/>
        </w:rPr>
        <w:t>获证后的</w:t>
      </w:r>
      <w:bookmarkEnd w:id="78"/>
      <w:bookmarkEnd w:id="79"/>
      <w:bookmarkEnd w:id="80"/>
      <w:bookmarkEnd w:id="81"/>
      <w:bookmarkEnd w:id="82"/>
      <w:r w:rsidRPr="00824367">
        <w:rPr>
          <w:rFonts w:asciiTheme="minorEastAsia" w:eastAsiaTheme="minorEastAsia" w:hAnsiTheme="minorEastAsia"/>
          <w:kern w:val="0"/>
          <w:sz w:val="21"/>
          <w:szCs w:val="21"/>
        </w:rPr>
        <w:t>跟踪检查</w:t>
      </w:r>
    </w:p>
    <w:p w:rsidR="00B31911" w:rsidRPr="00824367" w:rsidRDefault="00B31911" w:rsidP="00B31911">
      <w:pPr>
        <w:pStyle w:val="a8"/>
        <w:numPr>
          <w:ilvl w:val="0"/>
          <w:numId w:val="3"/>
        </w:numPr>
        <w:ind w:leftChars="177" w:left="566" w:hangingChars="67" w:hanging="141"/>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延续申请</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注：初始工厂检查包括资料技术评审、现场检查（质量保证能力检查、产品一致性检查、评价要求符合性验证）。</w:t>
      </w:r>
    </w:p>
    <w:p w:rsidR="00B31911" w:rsidRPr="00824367" w:rsidRDefault="00B31911" w:rsidP="00B31911">
      <w:pPr>
        <w:pStyle w:val="a"/>
        <w:numPr>
          <w:ilvl w:val="0"/>
          <w:numId w:val="0"/>
        </w:numPr>
        <w:tabs>
          <w:tab w:val="left" w:pos="0"/>
        </w:tabs>
        <w:spacing w:before="326" w:after="326"/>
        <w:outlineLvl w:val="9"/>
        <w:rPr>
          <w:rFonts w:hAnsi="黑体"/>
          <w:color w:val="000000"/>
          <w:szCs w:val="21"/>
        </w:rPr>
      </w:pPr>
      <w:bookmarkStart w:id="83" w:name="_Toc34991784"/>
      <w:r w:rsidRPr="00824367">
        <w:rPr>
          <w:rFonts w:hAnsi="黑体"/>
          <w:color w:val="000000"/>
          <w:szCs w:val="21"/>
        </w:rPr>
        <w:t>5.2.2 认证时限</w:t>
      </w:r>
      <w:bookmarkEnd w:id="83"/>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自正式受理认证委托之日起至颁发认证证书之日止，一般不超过 90 天，包括初始工厂检查、生产现场抽样检验、认证结果评价与批准以及证书制作时间。</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因委托人未及时提交资料、不能按计划接受现场检查、未按规定时间递交不符合整改或未能及时寄送检验样品、未及时缴纳费用、办理出国手续，以及特殊的样品检验周期等原因导致认证时间的延长时，不计算在内。</w:t>
      </w:r>
    </w:p>
    <w:p w:rsidR="00B31911" w:rsidRPr="00CD3335" w:rsidRDefault="00B31911" w:rsidP="00B31911">
      <w:pPr>
        <w:pStyle w:val="a"/>
        <w:numPr>
          <w:ilvl w:val="0"/>
          <w:numId w:val="0"/>
        </w:numPr>
        <w:tabs>
          <w:tab w:val="left" w:pos="0"/>
        </w:tabs>
        <w:spacing w:before="326" w:after="326"/>
        <w:outlineLvl w:val="2"/>
        <w:rPr>
          <w:rFonts w:hAnsi="黑体"/>
          <w:color w:val="000000"/>
          <w:szCs w:val="21"/>
        </w:rPr>
      </w:pPr>
      <w:bookmarkStart w:id="84" w:name="_Toc34991785"/>
      <w:bookmarkStart w:id="85" w:name="_Toc44316455"/>
      <w:bookmarkStart w:id="86" w:name="_Toc44590793"/>
      <w:r w:rsidRPr="00CD3335">
        <w:rPr>
          <w:rFonts w:hAnsi="黑体"/>
          <w:color w:val="000000"/>
          <w:szCs w:val="21"/>
        </w:rPr>
        <w:t>5.3 认证单元划分</w:t>
      </w:r>
      <w:bookmarkEnd w:id="84"/>
      <w:bookmarkEnd w:id="85"/>
      <w:bookmarkEnd w:id="86"/>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lastRenderedPageBreak/>
        <w:t>原则上，生产者不同、生产加工场所不同、产品类别不同和认证技术要求不同的产品划分为不同的认证单元。</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每个认证单元产品的详细认证范围应在认证证书或附件中予以界定。</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注1：产品类别根据产品标准、认证依据的标准或技术规范确定。</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注2：认证技术要求不同，包括以下两种情况：1）认证依据的标准或技术规范不同；2）认证依据的标准或技术规范相同，但由于产品种类、特性和用途</w:t>
      </w:r>
      <w:proofErr w:type="gramStart"/>
      <w:r w:rsidRPr="00824367">
        <w:rPr>
          <w:rFonts w:asciiTheme="minorEastAsia" w:eastAsiaTheme="minorEastAsia" w:hAnsiTheme="minorEastAsia"/>
          <w:kern w:val="0"/>
          <w:sz w:val="21"/>
          <w:szCs w:val="21"/>
        </w:rPr>
        <w:t>不</w:t>
      </w:r>
      <w:proofErr w:type="gramEnd"/>
      <w:r w:rsidRPr="00824367">
        <w:rPr>
          <w:rFonts w:asciiTheme="minorEastAsia" w:eastAsiaTheme="minorEastAsia" w:hAnsiTheme="minorEastAsia"/>
          <w:kern w:val="0"/>
          <w:sz w:val="21"/>
          <w:szCs w:val="21"/>
        </w:rPr>
        <w:t>同等原因，认证依据中规定的具体技术要求不同。</w:t>
      </w:r>
    </w:p>
    <w:p w:rsidR="00B31911" w:rsidRPr="00CD3335" w:rsidRDefault="00B31911" w:rsidP="00B31911">
      <w:pPr>
        <w:pStyle w:val="a"/>
        <w:numPr>
          <w:ilvl w:val="0"/>
          <w:numId w:val="0"/>
        </w:numPr>
        <w:tabs>
          <w:tab w:val="left" w:pos="0"/>
        </w:tabs>
        <w:spacing w:before="326" w:after="326"/>
        <w:outlineLvl w:val="2"/>
        <w:rPr>
          <w:rFonts w:hAnsi="黑体"/>
          <w:color w:val="000000"/>
          <w:szCs w:val="21"/>
        </w:rPr>
      </w:pPr>
      <w:bookmarkStart w:id="87" w:name="_Toc34991786"/>
      <w:bookmarkStart w:id="88" w:name="_Toc44316456"/>
      <w:bookmarkStart w:id="89" w:name="_Toc44590794"/>
      <w:r w:rsidRPr="00CD3335">
        <w:rPr>
          <w:rFonts w:hAnsi="黑体"/>
          <w:color w:val="000000"/>
          <w:szCs w:val="21"/>
        </w:rPr>
        <w:t>5.4 认证依据</w:t>
      </w:r>
      <w:bookmarkEnd w:id="87"/>
      <w:bookmarkEnd w:id="88"/>
      <w:bookmarkEnd w:id="89"/>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绿色建材产品认证依据的标准或技术规范应符合本标准第4章要求。</w:t>
      </w:r>
    </w:p>
    <w:p w:rsidR="00B31911" w:rsidRPr="00CD3335" w:rsidRDefault="00B31911" w:rsidP="00B31911">
      <w:pPr>
        <w:pStyle w:val="a"/>
        <w:numPr>
          <w:ilvl w:val="0"/>
          <w:numId w:val="0"/>
        </w:numPr>
        <w:tabs>
          <w:tab w:val="left" w:pos="0"/>
        </w:tabs>
        <w:spacing w:before="326" w:after="326"/>
        <w:outlineLvl w:val="2"/>
        <w:rPr>
          <w:rFonts w:hAnsi="黑体"/>
          <w:color w:val="000000"/>
          <w:szCs w:val="21"/>
        </w:rPr>
      </w:pPr>
      <w:bookmarkStart w:id="90" w:name="_Toc34991787"/>
      <w:bookmarkStart w:id="91" w:name="_Toc44316457"/>
      <w:bookmarkStart w:id="92" w:name="_Toc44590795"/>
      <w:r w:rsidRPr="00CD3335">
        <w:rPr>
          <w:rFonts w:hAnsi="黑体"/>
          <w:color w:val="000000"/>
          <w:szCs w:val="21"/>
        </w:rPr>
        <w:t>5.5 认证申请和受理</w:t>
      </w:r>
      <w:bookmarkEnd w:id="90"/>
      <w:bookmarkEnd w:id="91"/>
      <w:bookmarkEnd w:id="92"/>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93" w:name="_Toc34991788"/>
      <w:r w:rsidRPr="00CD3335">
        <w:rPr>
          <w:rFonts w:hAnsi="黑体"/>
          <w:color w:val="000000"/>
          <w:szCs w:val="21"/>
        </w:rPr>
        <w:t>5.5.1 申请受理条件</w:t>
      </w:r>
      <w:bookmarkEnd w:id="93"/>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绿色建材产品认证申请企业应具备以下条件：</w:t>
      </w:r>
    </w:p>
    <w:p w:rsidR="00B31911" w:rsidRPr="00824367" w:rsidRDefault="00B31911" w:rsidP="00B31911">
      <w:pPr>
        <w:pStyle w:val="a8"/>
        <w:numPr>
          <w:ilvl w:val="0"/>
          <w:numId w:val="5"/>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具备独立法人资格；</w:t>
      </w:r>
    </w:p>
    <w:p w:rsidR="00B31911" w:rsidRPr="00824367" w:rsidRDefault="00B31911" w:rsidP="00B31911">
      <w:pPr>
        <w:pStyle w:val="a8"/>
        <w:numPr>
          <w:ilvl w:val="0"/>
          <w:numId w:val="5"/>
        </w:numPr>
        <w:ind w:leftChars="177" w:left="566" w:hangingChars="67" w:hanging="141"/>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具有与申请相符的生产能力；</w:t>
      </w:r>
    </w:p>
    <w:p w:rsidR="00B31911" w:rsidRPr="00824367" w:rsidRDefault="00B31911" w:rsidP="00B31911">
      <w:pPr>
        <w:pStyle w:val="a8"/>
        <w:numPr>
          <w:ilvl w:val="0"/>
          <w:numId w:val="5"/>
        </w:numPr>
        <w:ind w:leftChars="177" w:left="566" w:hangingChars="67" w:hanging="141"/>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企业及产品符合认证标准或技术规范的基本要求；</w:t>
      </w:r>
    </w:p>
    <w:p w:rsidR="00B31911" w:rsidRPr="00824367" w:rsidRDefault="00B31911" w:rsidP="00B31911">
      <w:pPr>
        <w:pStyle w:val="a8"/>
        <w:numPr>
          <w:ilvl w:val="0"/>
          <w:numId w:val="5"/>
        </w:numPr>
        <w:ind w:leftChars="178" w:left="849" w:hangingChars="201" w:hanging="422"/>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认证委托人、制造商、生产厂近三年内，未受到有关质量、环境、能源、安全等行政主管部门的处罚；</w:t>
      </w:r>
    </w:p>
    <w:p w:rsidR="00B31911" w:rsidRPr="00824367" w:rsidRDefault="00B31911" w:rsidP="00B31911">
      <w:pPr>
        <w:pStyle w:val="a8"/>
        <w:numPr>
          <w:ilvl w:val="0"/>
          <w:numId w:val="5"/>
        </w:numPr>
        <w:ind w:leftChars="177" w:left="566" w:hangingChars="67" w:hanging="141"/>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其他应具备的条件。</w:t>
      </w:r>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94" w:name="_Toc34991789"/>
      <w:r w:rsidRPr="00CD3335">
        <w:rPr>
          <w:rFonts w:hAnsi="黑体"/>
          <w:color w:val="000000"/>
          <w:szCs w:val="21"/>
        </w:rPr>
        <w:t>5.5.2 申请文件</w:t>
      </w:r>
      <w:bookmarkEnd w:id="94"/>
    </w:p>
    <w:p w:rsidR="00B31911" w:rsidRPr="00824367" w:rsidRDefault="00B31911" w:rsidP="00B31911">
      <w:pPr>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认证委托人向认证机构提交认证申请，同时随附以下文件并对其真实性负责：</w:t>
      </w:r>
    </w:p>
    <w:p w:rsidR="00B31911" w:rsidRPr="00824367" w:rsidRDefault="00B31911" w:rsidP="00B31911">
      <w:pPr>
        <w:pStyle w:val="a8"/>
        <w:numPr>
          <w:ilvl w:val="0"/>
          <w:numId w:val="18"/>
        </w:numPr>
        <w:ind w:firstLineChars="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申请书，对于标准或技术规范中涉及分级评价，应在申请书上注明申请级别；</w:t>
      </w:r>
    </w:p>
    <w:p w:rsidR="00B31911" w:rsidRPr="00824367" w:rsidRDefault="00B31911" w:rsidP="00B31911">
      <w:pPr>
        <w:pStyle w:val="a8"/>
        <w:numPr>
          <w:ilvl w:val="0"/>
          <w:numId w:val="18"/>
        </w:numPr>
        <w:ind w:firstLineChars="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认证委托人、制造商和生产厂的营业执照；</w:t>
      </w:r>
    </w:p>
    <w:p w:rsidR="00B31911" w:rsidRPr="00824367" w:rsidRDefault="00B31911" w:rsidP="00B31911">
      <w:pPr>
        <w:pStyle w:val="a8"/>
        <w:numPr>
          <w:ilvl w:val="0"/>
          <w:numId w:val="18"/>
        </w:numPr>
        <w:ind w:firstLineChars="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当认证委托人为非制造商或生产厂时，应提供委托关系证明（如授权委托书等）；当委托方为经销商、进口商时，还应提交经销商与制造商、进口商与制造商签订的合同证明；</w:t>
      </w:r>
    </w:p>
    <w:p w:rsidR="00B31911" w:rsidRPr="00824367" w:rsidRDefault="00B31911" w:rsidP="00B31911">
      <w:pPr>
        <w:pStyle w:val="a8"/>
        <w:numPr>
          <w:ilvl w:val="0"/>
          <w:numId w:val="18"/>
        </w:numPr>
        <w:ind w:firstLineChars="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lastRenderedPageBreak/>
        <w:t>OEM/ODM的知识产权关系（适用时）；</w:t>
      </w:r>
    </w:p>
    <w:p w:rsidR="00B31911" w:rsidRPr="00824367" w:rsidRDefault="00B31911" w:rsidP="00B31911">
      <w:pPr>
        <w:pStyle w:val="a8"/>
        <w:numPr>
          <w:ilvl w:val="0"/>
          <w:numId w:val="18"/>
        </w:numPr>
        <w:ind w:firstLineChars="0"/>
        <w:rPr>
          <w:rFonts w:asciiTheme="minorEastAsia" w:eastAsiaTheme="minorEastAsia" w:hAnsiTheme="minorEastAsia"/>
          <w:kern w:val="0"/>
          <w:sz w:val="21"/>
          <w:szCs w:val="21"/>
        </w:rPr>
      </w:pPr>
      <w:bookmarkStart w:id="95" w:name="_Hlk519972462"/>
      <w:r w:rsidRPr="00824367">
        <w:rPr>
          <w:rFonts w:asciiTheme="minorEastAsia" w:eastAsiaTheme="minorEastAsia" w:hAnsiTheme="minorEastAsia"/>
          <w:kern w:val="0"/>
          <w:sz w:val="21"/>
          <w:szCs w:val="21"/>
        </w:rPr>
        <w:t>产品质量水平符合绿色建材评价标准要求的检验报告（由具备CMA资质的检验机构出具，一年内有效）；</w:t>
      </w:r>
    </w:p>
    <w:p w:rsidR="00B31911" w:rsidRPr="00824367" w:rsidRDefault="00B31911" w:rsidP="00B31911">
      <w:pPr>
        <w:pStyle w:val="a8"/>
        <w:numPr>
          <w:ilvl w:val="0"/>
          <w:numId w:val="18"/>
        </w:numPr>
        <w:ind w:firstLineChars="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认证委托人、制造商、生产厂的排污许可证（适用时）；</w:t>
      </w:r>
    </w:p>
    <w:p w:rsidR="00B31911" w:rsidRPr="00824367" w:rsidRDefault="00B31911" w:rsidP="00B31911">
      <w:pPr>
        <w:pStyle w:val="a8"/>
        <w:numPr>
          <w:ilvl w:val="0"/>
          <w:numId w:val="18"/>
        </w:numPr>
        <w:ind w:firstLineChars="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生产厂按GB/T 19001、GB/T 24001和GB/T 28001分别建立并运行质量管理体系、环境管理体系和职业健康安全管理体系的有效证明文件；</w:t>
      </w:r>
    </w:p>
    <w:p w:rsidR="00B31911" w:rsidRPr="00824367" w:rsidRDefault="00B31911" w:rsidP="00B31911">
      <w:pPr>
        <w:pStyle w:val="a8"/>
        <w:numPr>
          <w:ilvl w:val="0"/>
          <w:numId w:val="18"/>
        </w:numPr>
        <w:ind w:firstLineChars="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认证委托人、制造商和生产厂近三年无重大安全和环境污染事故声明，（如果公司成立不足三年，按公司成立之日起至申请日进行提供）；</w:t>
      </w:r>
    </w:p>
    <w:bookmarkEnd w:id="95"/>
    <w:p w:rsidR="00B31911" w:rsidRPr="00824367" w:rsidRDefault="00B31911" w:rsidP="00B31911">
      <w:pPr>
        <w:pStyle w:val="a8"/>
        <w:numPr>
          <w:ilvl w:val="0"/>
          <w:numId w:val="18"/>
        </w:numPr>
        <w:ind w:firstLineChars="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生产厂按本标准要求建立的工厂保证能力相关管理文件目录；</w:t>
      </w:r>
    </w:p>
    <w:p w:rsidR="00B31911" w:rsidRPr="00824367" w:rsidRDefault="00B31911" w:rsidP="00B31911">
      <w:pPr>
        <w:pStyle w:val="a8"/>
        <w:numPr>
          <w:ilvl w:val="0"/>
          <w:numId w:val="18"/>
        </w:numPr>
        <w:ind w:firstLineChars="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认证产品质量保证的承诺书；</w:t>
      </w:r>
    </w:p>
    <w:p w:rsidR="00B31911" w:rsidRPr="00824367" w:rsidRDefault="00B31911" w:rsidP="00B31911">
      <w:pPr>
        <w:pStyle w:val="a8"/>
        <w:numPr>
          <w:ilvl w:val="0"/>
          <w:numId w:val="18"/>
        </w:numPr>
        <w:ind w:firstLineChars="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认证不通过需再次申请认证的需重新按新申请要求提交申请材料，并同时附上不符合项进行有效整改的证明性材料。</w:t>
      </w:r>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96" w:name="_Toc34991790"/>
      <w:r w:rsidRPr="00CD3335">
        <w:rPr>
          <w:rFonts w:hAnsi="黑体"/>
          <w:color w:val="000000"/>
          <w:szCs w:val="21"/>
        </w:rPr>
        <w:t>5.5.3 受理</w:t>
      </w:r>
      <w:bookmarkEnd w:id="96"/>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认证机构收到申请文件后，对申请文件的完整性进行审查，如申请文件不符合要求，应通知认证委托人补充完善。文件齐全后，在5个工作日内发出受理或不予受理通知，并与受理申请的委托人签订认证协议。</w:t>
      </w:r>
    </w:p>
    <w:p w:rsidR="00B31911" w:rsidRPr="00CD3335" w:rsidRDefault="00B31911" w:rsidP="00B31911">
      <w:pPr>
        <w:pStyle w:val="a"/>
        <w:numPr>
          <w:ilvl w:val="0"/>
          <w:numId w:val="0"/>
        </w:numPr>
        <w:tabs>
          <w:tab w:val="left" w:pos="0"/>
        </w:tabs>
        <w:spacing w:before="326" w:after="326"/>
        <w:outlineLvl w:val="2"/>
        <w:rPr>
          <w:rFonts w:hAnsi="黑体"/>
          <w:color w:val="000000"/>
          <w:szCs w:val="21"/>
        </w:rPr>
      </w:pPr>
      <w:bookmarkStart w:id="97" w:name="_Toc34991791"/>
      <w:bookmarkStart w:id="98" w:name="_Toc44316458"/>
      <w:bookmarkStart w:id="99" w:name="_Toc44590796"/>
      <w:r w:rsidRPr="00CD3335">
        <w:rPr>
          <w:rFonts w:hAnsi="黑体"/>
          <w:color w:val="000000"/>
          <w:szCs w:val="21"/>
        </w:rPr>
        <w:t>5.6 初始工厂检查</w:t>
      </w:r>
      <w:bookmarkEnd w:id="97"/>
      <w:bookmarkEnd w:id="98"/>
      <w:bookmarkEnd w:id="99"/>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00" w:name="_Toc34991792"/>
      <w:r w:rsidRPr="00CD3335">
        <w:rPr>
          <w:rFonts w:hAnsi="黑体"/>
          <w:color w:val="000000"/>
          <w:szCs w:val="21"/>
        </w:rPr>
        <w:t>5.6.1 检查计划与检查组组成</w:t>
      </w:r>
      <w:bookmarkEnd w:id="100"/>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认证机构应为其工厂初始检查制定计划，该计划应基于适用的认证标准或技术规范的相关要求，并与检查的目的和范围相适应。</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机构应选派具有资质和相关专业能力的人员组成检查组。在确定检查组的规模和组成时，应基于检查产品的范围、涉及的技术特点、数据和信息系统的复杂程度及检查员具有的专业背景和实践经验等因素确定。</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检查组进入现场检查前，应完成对申请人提交的申请文件、自评估表和证实性资料的技术评审。</w:t>
      </w:r>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01" w:name="_Toc34991793"/>
      <w:r w:rsidRPr="00CD3335">
        <w:rPr>
          <w:rFonts w:hAnsi="黑体"/>
          <w:color w:val="000000"/>
          <w:szCs w:val="21"/>
        </w:rPr>
        <w:lastRenderedPageBreak/>
        <w:t>5.6.2 资料技术评审</w:t>
      </w:r>
      <w:bookmarkEnd w:id="101"/>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02" w:name="_Toc34991794"/>
      <w:r w:rsidRPr="00CD3335">
        <w:rPr>
          <w:rFonts w:hAnsi="黑体"/>
          <w:color w:val="000000"/>
          <w:szCs w:val="21"/>
        </w:rPr>
        <w:t>5.6.2.1 评审目的</w:t>
      </w:r>
      <w:bookmarkEnd w:id="102"/>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通过对认证委托人提交的申请文件、自评估表和相应证实性资料的技术评审，了解和掌握申请认证产品和企业对于认证标准或技术规范的符合性程度，确定企业是否符合全部基本要求和评价指标要求，确定企业工厂保证能力相关程序文件符合本标准的程度，确定是否能够进入现场检查，并进一步识别出后续工厂现场检查的重点。</w:t>
      </w:r>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03" w:name="_Toc34991795"/>
      <w:bookmarkStart w:id="104" w:name="_Toc449447197"/>
      <w:r w:rsidRPr="00CD3335">
        <w:rPr>
          <w:rFonts w:hAnsi="黑体"/>
          <w:color w:val="000000"/>
          <w:szCs w:val="21"/>
        </w:rPr>
        <w:t>5.6.2.2 评审人日</w:t>
      </w:r>
      <w:bookmarkEnd w:id="103"/>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一个认证单元的资料技术评审</w:t>
      </w:r>
      <w:proofErr w:type="gramStart"/>
      <w:r w:rsidRPr="00824367">
        <w:rPr>
          <w:rFonts w:asciiTheme="minorEastAsia" w:eastAsiaTheme="minorEastAsia" w:hAnsiTheme="minorEastAsia"/>
          <w:kern w:val="0"/>
          <w:sz w:val="21"/>
          <w:szCs w:val="21"/>
        </w:rPr>
        <w:t>人日数</w:t>
      </w:r>
      <w:proofErr w:type="gramEnd"/>
      <w:r w:rsidRPr="00824367">
        <w:rPr>
          <w:rFonts w:asciiTheme="minorEastAsia" w:eastAsiaTheme="minorEastAsia" w:hAnsiTheme="minorEastAsia"/>
          <w:kern w:val="0"/>
          <w:sz w:val="21"/>
          <w:szCs w:val="21"/>
        </w:rPr>
        <w:t>为2人日，每增加1个认证单元，相应增加0.5个人日。</w:t>
      </w:r>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05" w:name="_Toc34991796"/>
      <w:r w:rsidRPr="00CD3335">
        <w:rPr>
          <w:rFonts w:hAnsi="黑体"/>
          <w:color w:val="000000"/>
          <w:szCs w:val="21"/>
        </w:rPr>
        <w:t>5.6.2.3 评审内容</w:t>
      </w:r>
      <w:bookmarkEnd w:id="104"/>
      <w:bookmarkEnd w:id="105"/>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评审内容为认证委托人提交的申请文件、自评估表和相应证实性资料，重点从以下两个方面进行技术审查：</w:t>
      </w:r>
    </w:p>
    <w:p w:rsidR="00B31911" w:rsidRPr="00824367" w:rsidRDefault="00B31911" w:rsidP="00B31911">
      <w:pPr>
        <w:pStyle w:val="a8"/>
        <w:numPr>
          <w:ilvl w:val="0"/>
          <w:numId w:val="6"/>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组织机构的合法性复核</w:t>
      </w:r>
    </w:p>
    <w:p w:rsidR="00B31911" w:rsidRPr="00824367" w:rsidRDefault="00B31911" w:rsidP="00B31911">
      <w:pPr>
        <w:widowControl/>
        <w:tabs>
          <w:tab w:val="center" w:pos="4201"/>
          <w:tab w:val="right" w:leader="dot" w:pos="9298"/>
        </w:tabs>
        <w:autoSpaceDE w:val="0"/>
        <w:autoSpaceDN w:val="0"/>
        <w:ind w:leftChars="354" w:left="851" w:hanging="1"/>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包括：委托方、制造商和生产企业等相关机构资质的存在性和合法性、产品商标归属，及OEM/ODM的知识产权关系等。</w:t>
      </w:r>
    </w:p>
    <w:p w:rsidR="00B31911" w:rsidRPr="00824367" w:rsidRDefault="00B31911" w:rsidP="00B31911">
      <w:pPr>
        <w:pStyle w:val="a8"/>
        <w:numPr>
          <w:ilvl w:val="0"/>
          <w:numId w:val="6"/>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文件资料的完整性、适应性、有效性审查</w:t>
      </w:r>
    </w:p>
    <w:p w:rsidR="00B31911" w:rsidRPr="00824367" w:rsidRDefault="00B31911" w:rsidP="00B31911">
      <w:pPr>
        <w:widowControl/>
        <w:tabs>
          <w:tab w:val="center" w:pos="4201"/>
          <w:tab w:val="right" w:leader="dot" w:pos="9298"/>
        </w:tabs>
        <w:autoSpaceDE w:val="0"/>
        <w:autoSpaceDN w:val="0"/>
        <w:ind w:leftChars="354" w:left="851" w:hanging="1"/>
        <w:rPr>
          <w:rFonts w:asciiTheme="minorEastAsia" w:eastAsiaTheme="minorEastAsia" w:hAnsiTheme="minorEastAsia"/>
          <w:kern w:val="0"/>
          <w:sz w:val="21"/>
          <w:szCs w:val="21"/>
        </w:rPr>
      </w:pPr>
      <w:r>
        <w:rPr>
          <w:rFonts w:asciiTheme="minorEastAsia" w:eastAsiaTheme="minorEastAsia" w:hAnsiTheme="minorEastAsia"/>
          <w:kern w:val="0"/>
          <w:sz w:val="21"/>
          <w:szCs w:val="21"/>
        </w:rPr>
        <w:t>1</w:t>
      </w:r>
      <w:r w:rsidRPr="00824367">
        <w:rPr>
          <w:rFonts w:asciiTheme="minorEastAsia" w:eastAsiaTheme="minorEastAsia" w:hAnsiTheme="minorEastAsia"/>
          <w:kern w:val="0"/>
          <w:sz w:val="21"/>
          <w:szCs w:val="21"/>
        </w:rPr>
        <w:t>）文件内容应能完整覆盖本标准的相应要求，避免缺项情况发生</w:t>
      </w:r>
      <w:r>
        <w:rPr>
          <w:rFonts w:asciiTheme="minorEastAsia" w:eastAsiaTheme="minorEastAsia" w:hAnsiTheme="minorEastAsia"/>
          <w:kern w:val="0"/>
          <w:sz w:val="21"/>
          <w:szCs w:val="21"/>
        </w:rPr>
        <w:t>；</w:t>
      </w:r>
    </w:p>
    <w:p w:rsidR="00B31911" w:rsidRPr="00824367" w:rsidRDefault="00B31911" w:rsidP="00B31911">
      <w:pPr>
        <w:widowControl/>
        <w:tabs>
          <w:tab w:val="center" w:pos="4201"/>
          <w:tab w:val="right" w:leader="dot" w:pos="9298"/>
        </w:tabs>
        <w:autoSpaceDE w:val="0"/>
        <w:autoSpaceDN w:val="0"/>
        <w:ind w:leftChars="354" w:left="1134" w:hanging="284"/>
        <w:rPr>
          <w:rFonts w:asciiTheme="minorEastAsia" w:eastAsiaTheme="minorEastAsia" w:hAnsiTheme="minorEastAsia"/>
          <w:kern w:val="0"/>
          <w:sz w:val="21"/>
          <w:szCs w:val="21"/>
        </w:rPr>
      </w:pPr>
      <w:r>
        <w:rPr>
          <w:rFonts w:asciiTheme="minorEastAsia" w:eastAsiaTheme="minorEastAsia" w:hAnsiTheme="minorEastAsia"/>
          <w:kern w:val="0"/>
          <w:sz w:val="21"/>
          <w:szCs w:val="21"/>
        </w:rPr>
        <w:t>2</w:t>
      </w:r>
      <w:r w:rsidRPr="00824367">
        <w:rPr>
          <w:rFonts w:asciiTheme="minorEastAsia" w:eastAsiaTheme="minorEastAsia" w:hAnsiTheme="minorEastAsia"/>
          <w:kern w:val="0"/>
          <w:sz w:val="21"/>
          <w:szCs w:val="21"/>
        </w:rPr>
        <w:t>）文件内容应适宜支撑对申请企业及产品符合认证标准、技术规范及本规则要求的审查</w:t>
      </w:r>
      <w:r>
        <w:rPr>
          <w:rFonts w:asciiTheme="minorEastAsia" w:eastAsiaTheme="minorEastAsia" w:hAnsiTheme="minorEastAsia"/>
          <w:kern w:val="0"/>
          <w:sz w:val="21"/>
          <w:szCs w:val="21"/>
        </w:rPr>
        <w:t>；</w:t>
      </w:r>
    </w:p>
    <w:p w:rsidR="00B31911" w:rsidRPr="00824367" w:rsidRDefault="00B31911" w:rsidP="00B31911">
      <w:pPr>
        <w:widowControl/>
        <w:tabs>
          <w:tab w:val="center" w:pos="4201"/>
          <w:tab w:val="right" w:leader="dot" w:pos="9298"/>
        </w:tabs>
        <w:autoSpaceDE w:val="0"/>
        <w:autoSpaceDN w:val="0"/>
        <w:ind w:leftChars="355" w:left="1135" w:hanging="283"/>
        <w:rPr>
          <w:rFonts w:asciiTheme="minorEastAsia" w:eastAsiaTheme="minorEastAsia" w:hAnsiTheme="minorEastAsia"/>
          <w:kern w:val="0"/>
          <w:sz w:val="21"/>
          <w:szCs w:val="21"/>
        </w:rPr>
      </w:pPr>
      <w:r>
        <w:rPr>
          <w:rFonts w:asciiTheme="minorEastAsia" w:eastAsiaTheme="minorEastAsia" w:hAnsiTheme="minorEastAsia"/>
          <w:kern w:val="0"/>
          <w:sz w:val="21"/>
          <w:szCs w:val="21"/>
        </w:rPr>
        <w:t>3</w:t>
      </w:r>
      <w:r w:rsidRPr="00824367">
        <w:rPr>
          <w:rFonts w:asciiTheme="minorEastAsia" w:eastAsiaTheme="minorEastAsia" w:hAnsiTheme="minorEastAsia"/>
          <w:kern w:val="0"/>
          <w:sz w:val="21"/>
          <w:szCs w:val="21"/>
        </w:rPr>
        <w:t>）文件资料中相关合格评定结果的状态应为有效，如认证证书应在有效期内。</w:t>
      </w:r>
    </w:p>
    <w:p w:rsidR="00B31911" w:rsidRPr="00824367" w:rsidRDefault="00B31911" w:rsidP="00B31911">
      <w:pPr>
        <w:pStyle w:val="a8"/>
        <w:numPr>
          <w:ilvl w:val="0"/>
          <w:numId w:val="6"/>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申</w:t>
      </w:r>
      <w:proofErr w:type="gramStart"/>
      <w:r w:rsidRPr="00824367">
        <w:rPr>
          <w:rFonts w:asciiTheme="minorEastAsia" w:eastAsiaTheme="minorEastAsia" w:hAnsiTheme="minorEastAsia"/>
          <w:kern w:val="0"/>
          <w:sz w:val="21"/>
          <w:szCs w:val="21"/>
        </w:rPr>
        <w:t>评工厂</w:t>
      </w:r>
      <w:proofErr w:type="gramEnd"/>
      <w:r w:rsidRPr="00824367">
        <w:rPr>
          <w:rFonts w:asciiTheme="minorEastAsia" w:eastAsiaTheme="minorEastAsia" w:hAnsiTheme="minorEastAsia"/>
          <w:kern w:val="0"/>
          <w:sz w:val="21"/>
          <w:szCs w:val="21"/>
        </w:rPr>
        <w:t>保证能力的符合性判断。</w:t>
      </w:r>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06" w:name="_Toc34991797"/>
      <w:r w:rsidRPr="00CD3335">
        <w:rPr>
          <w:rFonts w:hAnsi="黑体"/>
          <w:color w:val="000000"/>
          <w:szCs w:val="21"/>
        </w:rPr>
        <w:t>5.6.2.4 评审时限</w:t>
      </w:r>
      <w:bookmarkEnd w:id="106"/>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认证机构受理认证申请后，原则上应在15个工作日内完成资料技术评审。认证委托人修改、补充和完善自评估表及相应证实性资料的时间不计算在内。</w:t>
      </w:r>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07" w:name="_Toc449447198"/>
      <w:bookmarkStart w:id="108" w:name="_Toc34991798"/>
      <w:r w:rsidRPr="00CD3335">
        <w:rPr>
          <w:rFonts w:hAnsi="黑体"/>
          <w:color w:val="000000"/>
          <w:szCs w:val="21"/>
        </w:rPr>
        <w:lastRenderedPageBreak/>
        <w:t>5.6.2.5 评审结果</w:t>
      </w:r>
      <w:bookmarkEnd w:id="107"/>
      <w:bookmarkEnd w:id="108"/>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资料技术评审结论可包括以下几个方面：</w:t>
      </w:r>
    </w:p>
    <w:p w:rsidR="00B31911" w:rsidRPr="00824367" w:rsidRDefault="00B31911" w:rsidP="00B31911">
      <w:pPr>
        <w:pStyle w:val="a8"/>
        <w:numPr>
          <w:ilvl w:val="0"/>
          <w:numId w:val="7"/>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符合要求，可进行现场检查；</w:t>
      </w:r>
    </w:p>
    <w:p w:rsidR="00B31911" w:rsidRPr="00824367" w:rsidRDefault="00B31911" w:rsidP="00B31911">
      <w:pPr>
        <w:pStyle w:val="a8"/>
        <w:numPr>
          <w:ilvl w:val="0"/>
          <w:numId w:val="7"/>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基本符合要求，但需对部分内容进行补充完善，可在现场检查时提交整改证据；</w:t>
      </w:r>
    </w:p>
    <w:p w:rsidR="00B31911" w:rsidRPr="00824367" w:rsidRDefault="00B31911" w:rsidP="00B31911">
      <w:pPr>
        <w:pStyle w:val="a8"/>
        <w:numPr>
          <w:ilvl w:val="0"/>
          <w:numId w:val="7"/>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不符合要求，无法进行现场检查。</w:t>
      </w:r>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09" w:name="_Toc34991799"/>
      <w:r w:rsidRPr="00CD3335">
        <w:rPr>
          <w:rFonts w:hAnsi="黑体"/>
          <w:color w:val="000000"/>
          <w:szCs w:val="21"/>
        </w:rPr>
        <w:t>5.6.3 现场检查</w:t>
      </w:r>
      <w:bookmarkEnd w:id="109"/>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10" w:name="_Toc34991800"/>
      <w:r w:rsidRPr="00CD3335">
        <w:rPr>
          <w:rFonts w:hAnsi="黑体"/>
          <w:color w:val="000000"/>
          <w:szCs w:val="21"/>
        </w:rPr>
        <w:t>5.6.3.1 基本原则</w:t>
      </w:r>
      <w:bookmarkEnd w:id="110"/>
    </w:p>
    <w:p w:rsidR="00B31911" w:rsidRPr="00824367" w:rsidRDefault="00B31911" w:rsidP="00B31911">
      <w:pPr>
        <w:pStyle w:val="a8"/>
        <w:numPr>
          <w:ilvl w:val="0"/>
          <w:numId w:val="8"/>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原则上，现场检查应在资料技术评审符合要求或基本符合要求后30个工作日内完成。现场评价的内容包括：</w:t>
      </w:r>
    </w:p>
    <w:p w:rsidR="00B31911" w:rsidRPr="00824367" w:rsidRDefault="00B31911" w:rsidP="00B31911">
      <w:pPr>
        <w:pStyle w:val="a8"/>
        <w:numPr>
          <w:ilvl w:val="1"/>
          <w:numId w:val="4"/>
        </w:numPr>
        <w:ind w:left="1134" w:firstLineChars="0" w:hanging="283"/>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工厂保证能力检查；</w:t>
      </w:r>
    </w:p>
    <w:p w:rsidR="00B31911" w:rsidRPr="00824367" w:rsidRDefault="00B31911" w:rsidP="00B31911">
      <w:pPr>
        <w:pStyle w:val="a8"/>
        <w:numPr>
          <w:ilvl w:val="1"/>
          <w:numId w:val="4"/>
        </w:numPr>
        <w:ind w:left="1134" w:firstLineChars="0" w:hanging="283"/>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产品一致性检查；</w:t>
      </w:r>
    </w:p>
    <w:p w:rsidR="00B31911" w:rsidRPr="00824367" w:rsidRDefault="00B31911" w:rsidP="00B31911">
      <w:pPr>
        <w:pStyle w:val="a8"/>
        <w:numPr>
          <w:ilvl w:val="1"/>
          <w:numId w:val="4"/>
        </w:numPr>
        <w:ind w:left="1134" w:firstLineChars="0" w:hanging="283"/>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认证要求符合性验证。</w:t>
      </w:r>
    </w:p>
    <w:p w:rsidR="00B31911" w:rsidRPr="00824367" w:rsidRDefault="00B31911" w:rsidP="00B31911">
      <w:pPr>
        <w:pStyle w:val="a8"/>
        <w:numPr>
          <w:ilvl w:val="0"/>
          <w:numId w:val="8"/>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现场检查应覆盖申请认证的所有产品和生产场所。对于与绿色建材产品认证相关，但处于生产企业实际生产场所以外的其他场所和部门，可视情况选择适当的检查方案，包括采信企业的自我声明或其他合格评定结果。</w:t>
      </w:r>
    </w:p>
    <w:p w:rsidR="00B31911" w:rsidRPr="00824367" w:rsidRDefault="00B31911" w:rsidP="00B31911">
      <w:pPr>
        <w:pStyle w:val="a8"/>
        <w:numPr>
          <w:ilvl w:val="0"/>
          <w:numId w:val="8"/>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现场检查时，工厂应现时生产申请认证范围内的一种或一种以上产品。</w:t>
      </w:r>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11" w:name="_Toc34991801"/>
      <w:r w:rsidRPr="00CD3335">
        <w:rPr>
          <w:rFonts w:hAnsi="黑体"/>
          <w:color w:val="000000"/>
          <w:szCs w:val="21"/>
        </w:rPr>
        <w:t>5.6.3.2 工厂保证能力检查</w:t>
      </w:r>
      <w:bookmarkEnd w:id="111"/>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工厂保证能力检查应覆盖所有认证单元涉及的生产场所，并按附录B《绿色建材产品认证工厂质量保证能力检查要求》进行。</w:t>
      </w:r>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12" w:name="_Toc34991802"/>
      <w:r w:rsidRPr="00CD3335">
        <w:rPr>
          <w:rFonts w:hAnsi="黑体"/>
          <w:color w:val="000000"/>
          <w:szCs w:val="21"/>
        </w:rPr>
        <w:t>5.6.3.3 产品一致性检查</w:t>
      </w:r>
      <w:bookmarkEnd w:id="112"/>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认证机构在经企业确认合格的产品中，随机抽取认证产品进行包括但不限于下述内容的一致性检查：</w:t>
      </w:r>
    </w:p>
    <w:p w:rsidR="00B31911" w:rsidRPr="00824367" w:rsidRDefault="00B31911" w:rsidP="00B31911">
      <w:pPr>
        <w:pStyle w:val="a8"/>
        <w:numPr>
          <w:ilvl w:val="0"/>
          <w:numId w:val="9"/>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认证产品是否与申请文件一致；</w:t>
      </w:r>
    </w:p>
    <w:p w:rsidR="00B31911" w:rsidRPr="00824367" w:rsidRDefault="00B31911" w:rsidP="00B31911">
      <w:pPr>
        <w:pStyle w:val="a8"/>
        <w:numPr>
          <w:ilvl w:val="0"/>
          <w:numId w:val="9"/>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认证产品本体或包装上的名称等标识是否与申请文件一致；</w:t>
      </w:r>
    </w:p>
    <w:p w:rsidR="00B31911" w:rsidRPr="00824367" w:rsidRDefault="00B31911" w:rsidP="00B31911">
      <w:pPr>
        <w:pStyle w:val="a8"/>
        <w:numPr>
          <w:ilvl w:val="0"/>
          <w:numId w:val="9"/>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认证产品的关键原材料种类、来源等是否与申请文件一致。</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lastRenderedPageBreak/>
        <w:t>初始工厂检查时，应对全部认证单元的产品进行一致性检查。</w:t>
      </w:r>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13" w:name="_Toc34991803"/>
      <w:r w:rsidRPr="00CD3335">
        <w:rPr>
          <w:rFonts w:hAnsi="黑体"/>
          <w:color w:val="000000"/>
          <w:szCs w:val="21"/>
        </w:rPr>
        <w:t>5.6.3.4 认证要求符合性验证</w:t>
      </w:r>
      <w:bookmarkEnd w:id="113"/>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按照认证标准或技术规范要求验证申请认证企业及产品各项指标的符合性。认证机构应在生产现场对其实际内控运行情况，包括涉及的文件、记录、实物、人员、设备、环境、法律法规、管理制度、保障措施等进行检查，确认与提交申请文件的一致性。如对于污染物排放，应重点检查生产现场的污染物排放状况、处置设备及相关文件记录等，以验证所提交污染物排放监测报告的真实性和可靠性。</w:t>
      </w:r>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14" w:name="_Toc34991804"/>
      <w:r w:rsidRPr="00CD3335">
        <w:rPr>
          <w:rFonts w:hAnsi="黑体"/>
          <w:color w:val="000000"/>
          <w:szCs w:val="21"/>
        </w:rPr>
        <w:t>5.6.3.5 现场检查人日</w:t>
      </w:r>
      <w:bookmarkEnd w:id="114"/>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一个认证单元的现场评价</w:t>
      </w:r>
      <w:proofErr w:type="gramStart"/>
      <w:r w:rsidRPr="00824367">
        <w:rPr>
          <w:rFonts w:asciiTheme="minorEastAsia" w:eastAsiaTheme="minorEastAsia" w:hAnsiTheme="minorEastAsia"/>
          <w:kern w:val="0"/>
          <w:sz w:val="21"/>
          <w:szCs w:val="21"/>
        </w:rPr>
        <w:t>人日数</w:t>
      </w:r>
      <w:proofErr w:type="gramEnd"/>
      <w:r w:rsidRPr="00824367">
        <w:rPr>
          <w:rFonts w:asciiTheme="minorEastAsia" w:eastAsiaTheme="minorEastAsia" w:hAnsiTheme="minorEastAsia"/>
          <w:kern w:val="0"/>
          <w:sz w:val="21"/>
          <w:szCs w:val="21"/>
        </w:rPr>
        <w:t>为5人日，每增加1个认证单元，相应增加1个人日；当生产企业在同一质量保证体系下存在多个生产现场时，现场检查应覆盖所有现场，原则上每增加一个现场增加0.5个人日。</w:t>
      </w:r>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15" w:name="_Toc34991805"/>
      <w:r w:rsidRPr="00CD3335">
        <w:rPr>
          <w:rFonts w:hAnsi="黑体"/>
          <w:color w:val="000000"/>
          <w:szCs w:val="21"/>
        </w:rPr>
        <w:t>5.6.3.6 现场检查结论</w:t>
      </w:r>
      <w:bookmarkEnd w:id="115"/>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现场检查结论可分为以下三种情况：</w:t>
      </w:r>
    </w:p>
    <w:p w:rsidR="00B31911" w:rsidRPr="00824367" w:rsidRDefault="00B31911" w:rsidP="00B31911">
      <w:pPr>
        <w:pStyle w:val="a8"/>
        <w:numPr>
          <w:ilvl w:val="0"/>
          <w:numId w:val="10"/>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现场检查通过</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认证要求符合性验证、工厂保证能力检查和产品一致性检查均通过，</w:t>
      </w:r>
      <w:proofErr w:type="gramStart"/>
      <w:r w:rsidRPr="00824367">
        <w:rPr>
          <w:rFonts w:asciiTheme="minorEastAsia" w:eastAsiaTheme="minorEastAsia" w:hAnsiTheme="minorEastAsia"/>
          <w:kern w:val="0"/>
          <w:sz w:val="21"/>
          <w:szCs w:val="21"/>
        </w:rPr>
        <w:t>且现场</w:t>
      </w:r>
      <w:proofErr w:type="gramEnd"/>
      <w:r w:rsidRPr="00824367">
        <w:rPr>
          <w:rFonts w:asciiTheme="minorEastAsia" w:eastAsiaTheme="minorEastAsia" w:hAnsiTheme="minorEastAsia"/>
          <w:kern w:val="0"/>
          <w:sz w:val="21"/>
          <w:szCs w:val="21"/>
        </w:rPr>
        <w:t>检查未发现不符合项。</w:t>
      </w:r>
    </w:p>
    <w:p w:rsidR="00B31911" w:rsidRPr="00824367" w:rsidRDefault="00B31911" w:rsidP="00B31911">
      <w:pPr>
        <w:pStyle w:val="a8"/>
        <w:numPr>
          <w:ilvl w:val="0"/>
          <w:numId w:val="10"/>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验证纠正措施，合格后通过</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认证要求符合性验证与产品一致性检查通过，工厂保证能力检查发现存在少量一般不符合项，可限期3个月内完成整改，经书面资料验证或现场验证其措施有效的，现场评价通过。</w:t>
      </w:r>
    </w:p>
    <w:p w:rsidR="00B31911" w:rsidRPr="00824367" w:rsidRDefault="00B31911" w:rsidP="00B31911">
      <w:pPr>
        <w:pStyle w:val="a8"/>
        <w:numPr>
          <w:ilvl w:val="0"/>
          <w:numId w:val="10"/>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现场检查不通过</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认证要求符合性验证未通过、或产品一致性检查不通过，或工厂保证能力检查发现存在系统性的重大不符合等问题，应判定现场检查不通过或终止认证。</w:t>
      </w:r>
    </w:p>
    <w:p w:rsidR="00B31911" w:rsidRPr="00CD3335" w:rsidRDefault="00B31911" w:rsidP="00B31911">
      <w:pPr>
        <w:pStyle w:val="a"/>
        <w:numPr>
          <w:ilvl w:val="0"/>
          <w:numId w:val="0"/>
        </w:numPr>
        <w:tabs>
          <w:tab w:val="left" w:pos="0"/>
        </w:tabs>
        <w:spacing w:before="326" w:after="326"/>
        <w:outlineLvl w:val="2"/>
        <w:rPr>
          <w:rFonts w:hAnsi="黑体"/>
          <w:color w:val="000000"/>
          <w:szCs w:val="21"/>
        </w:rPr>
      </w:pPr>
      <w:bookmarkStart w:id="116" w:name="_Toc34991806"/>
      <w:bookmarkStart w:id="117" w:name="_Toc44316459"/>
      <w:bookmarkStart w:id="118" w:name="_Toc44590797"/>
      <w:r w:rsidRPr="00CD3335">
        <w:rPr>
          <w:rFonts w:hAnsi="黑体"/>
          <w:color w:val="000000"/>
          <w:szCs w:val="21"/>
        </w:rPr>
        <w:t>5.7 生产现场抽样检验</w:t>
      </w:r>
      <w:bookmarkEnd w:id="116"/>
      <w:bookmarkEnd w:id="117"/>
      <w:bookmarkEnd w:id="118"/>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lastRenderedPageBreak/>
        <w:t>不同类别的绿色建材评价标准中应在给出各项指标的检验方法或相关计算方法，应优先采用现有的国家标准或行业标准。</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不同类别的绿色建材，应根据认证方案制定具体检验方案，检验方案应符合附录A要求，并至少包括取样时机、取样场所、取样人员、取样数量、检测方法、检验机构和检验报告的采信。</w:t>
      </w:r>
    </w:p>
    <w:p w:rsidR="00B31911" w:rsidRPr="00CD3335" w:rsidRDefault="00B31911" w:rsidP="00B31911">
      <w:pPr>
        <w:pStyle w:val="a"/>
        <w:numPr>
          <w:ilvl w:val="0"/>
          <w:numId w:val="0"/>
        </w:numPr>
        <w:tabs>
          <w:tab w:val="left" w:pos="0"/>
        </w:tabs>
        <w:spacing w:before="326" w:after="326"/>
        <w:outlineLvl w:val="2"/>
        <w:rPr>
          <w:rFonts w:hAnsi="黑体"/>
          <w:color w:val="000000"/>
          <w:szCs w:val="21"/>
        </w:rPr>
      </w:pPr>
      <w:bookmarkStart w:id="119" w:name="_Toc34991807"/>
      <w:bookmarkStart w:id="120" w:name="_Toc44316460"/>
      <w:bookmarkStart w:id="121" w:name="_Toc44590798"/>
      <w:r w:rsidRPr="00CD3335">
        <w:rPr>
          <w:rFonts w:hAnsi="黑体"/>
          <w:color w:val="000000"/>
          <w:szCs w:val="21"/>
        </w:rPr>
        <w:t>5.8 认证结果评价与批准</w:t>
      </w:r>
      <w:bookmarkEnd w:id="119"/>
      <w:bookmarkEnd w:id="120"/>
      <w:bookmarkEnd w:id="121"/>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机构对初始工厂检查情况和产品抽样检验结果进行综合评价。初始工厂检查和产品抽样检验均符合要求时，经认证机构评定合格后，原则上应在5个工作日内向认证委托人颁发绿色建材产品认证证书，每一个认证单元颁发一张证书。</w:t>
      </w:r>
    </w:p>
    <w:p w:rsidR="00B31911" w:rsidRPr="00824367" w:rsidRDefault="00B31911" w:rsidP="00B31911">
      <w:pPr>
        <w:ind w:left="23" w:right="62"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初始工厂检查中工厂保证能力存在的一般不符合项应在3个月内完成整改，认证机构采取适当方式对整改结果进行确认；产品抽样检验不合格应在3个月内完成整改并进行产品检验复试。当初始工厂检查中工厂保证能力和产品抽样检验的整改结果均合格后颁发认证证书；当工厂未能在3个月内完成对初始工厂检查中工厂保证能力和/或产品检验的合格整改，则终止认证。</w:t>
      </w:r>
    </w:p>
    <w:p w:rsidR="00B31911" w:rsidRPr="00CD3335" w:rsidRDefault="00B31911" w:rsidP="00B31911">
      <w:pPr>
        <w:pStyle w:val="a"/>
        <w:numPr>
          <w:ilvl w:val="0"/>
          <w:numId w:val="0"/>
        </w:numPr>
        <w:tabs>
          <w:tab w:val="left" w:pos="0"/>
        </w:tabs>
        <w:spacing w:before="326" w:after="326"/>
        <w:outlineLvl w:val="2"/>
        <w:rPr>
          <w:rFonts w:hAnsi="黑体"/>
          <w:color w:val="000000"/>
          <w:szCs w:val="21"/>
        </w:rPr>
      </w:pPr>
      <w:bookmarkStart w:id="122" w:name="_Toc34991808"/>
      <w:bookmarkStart w:id="123" w:name="_Toc44316461"/>
      <w:bookmarkStart w:id="124" w:name="_Toc44590799"/>
      <w:r w:rsidRPr="00CD3335">
        <w:rPr>
          <w:rFonts w:hAnsi="黑体"/>
          <w:color w:val="000000"/>
          <w:szCs w:val="21"/>
        </w:rPr>
        <w:t>5.9 获证后的监督</w:t>
      </w:r>
      <w:bookmarkEnd w:id="122"/>
      <w:bookmarkEnd w:id="123"/>
      <w:bookmarkEnd w:id="124"/>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25" w:name="_Toc34991809"/>
      <w:r w:rsidRPr="00CD3335">
        <w:rPr>
          <w:rFonts w:hAnsi="黑体"/>
          <w:color w:val="000000"/>
          <w:szCs w:val="21"/>
        </w:rPr>
        <w:t>5.9.1 监督检查时间</w:t>
      </w:r>
      <w:bookmarkEnd w:id="125"/>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原则上企业获证6个月后即可安排监督检查，每次监督检查时间间隔不超过1年。若发生下述情况之一，可增加监督检查频次，</w:t>
      </w:r>
      <w:proofErr w:type="gramStart"/>
      <w:r w:rsidRPr="00824367">
        <w:rPr>
          <w:rFonts w:asciiTheme="minorEastAsia" w:eastAsiaTheme="minorEastAsia" w:hAnsiTheme="minorEastAsia"/>
          <w:kern w:val="0"/>
          <w:sz w:val="21"/>
          <w:szCs w:val="21"/>
        </w:rPr>
        <w:t>且监督</w:t>
      </w:r>
      <w:proofErr w:type="gramEnd"/>
      <w:r w:rsidRPr="00824367">
        <w:rPr>
          <w:rFonts w:asciiTheme="minorEastAsia" w:eastAsiaTheme="minorEastAsia" w:hAnsiTheme="minorEastAsia"/>
          <w:kern w:val="0"/>
          <w:sz w:val="21"/>
          <w:szCs w:val="21"/>
        </w:rPr>
        <w:t>检查时机应</w:t>
      </w:r>
      <w:proofErr w:type="gramStart"/>
      <w:r w:rsidRPr="00824367">
        <w:rPr>
          <w:rFonts w:asciiTheme="minorEastAsia" w:eastAsiaTheme="minorEastAsia" w:hAnsiTheme="minorEastAsia"/>
          <w:kern w:val="0"/>
          <w:sz w:val="21"/>
          <w:szCs w:val="21"/>
        </w:rPr>
        <w:t>不</w:t>
      </w:r>
      <w:proofErr w:type="gramEnd"/>
      <w:r w:rsidRPr="00824367">
        <w:rPr>
          <w:rFonts w:asciiTheme="minorEastAsia" w:eastAsiaTheme="minorEastAsia" w:hAnsiTheme="minorEastAsia"/>
          <w:kern w:val="0"/>
          <w:sz w:val="21"/>
          <w:szCs w:val="21"/>
        </w:rPr>
        <w:t>预先通知：</w:t>
      </w:r>
    </w:p>
    <w:p w:rsidR="00B31911" w:rsidRPr="00824367" w:rsidRDefault="00B31911" w:rsidP="00B31911">
      <w:pPr>
        <w:pStyle w:val="a8"/>
        <w:numPr>
          <w:ilvl w:val="0"/>
          <w:numId w:val="11"/>
        </w:numPr>
        <w:ind w:firstLineChars="0" w:hanging="474"/>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获证产品出现严重质量问题或用户提出投诉，并经查实为生产厂、制造商责任的；</w:t>
      </w:r>
    </w:p>
    <w:p w:rsidR="00B31911" w:rsidRPr="00824367" w:rsidRDefault="00B31911" w:rsidP="00B31911">
      <w:pPr>
        <w:pStyle w:val="a8"/>
        <w:numPr>
          <w:ilvl w:val="0"/>
          <w:numId w:val="11"/>
        </w:numPr>
        <w:ind w:firstLineChars="0" w:hanging="474"/>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认证机构有足够理由对获证产品与认证标准或技术规范的符合性提出质疑的；</w:t>
      </w:r>
    </w:p>
    <w:p w:rsidR="00B31911" w:rsidRPr="00824367" w:rsidRDefault="00B31911" w:rsidP="00B31911">
      <w:pPr>
        <w:pStyle w:val="a8"/>
        <w:numPr>
          <w:ilvl w:val="0"/>
          <w:numId w:val="11"/>
        </w:numPr>
        <w:ind w:firstLineChars="0" w:hanging="474"/>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有足够信息表明制造商、生产厂因变更组织机构、生产工艺、质量管理体系等，从而可能影响产品符合性或一致性的。</w:t>
      </w:r>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26" w:name="_Toc34991810"/>
      <w:r w:rsidRPr="00CD3335">
        <w:rPr>
          <w:rFonts w:hAnsi="黑体"/>
          <w:color w:val="000000"/>
          <w:szCs w:val="21"/>
        </w:rPr>
        <w:t>5.9.2 监督检查方式和内容</w:t>
      </w:r>
      <w:bookmarkEnd w:id="126"/>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监督检查方式应至少包括工厂监督检查和产品抽样检验。每次监督检查应覆盖所有生产企业（场所），并覆盖全部有效证书。</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lastRenderedPageBreak/>
        <w:t>工厂监督检查的内容应包括：认证要求持续符合性检查、工厂保证能力跟踪检查、产品一致性跟踪检查、产品跟踪检验、上一次评价不符合项整改措施有效性验证、认证证书和认证标志使用情况、法律法规及其他要求的执行情况等。</w:t>
      </w:r>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获证后每隔4年，应对工厂进行一次全面检查，检查内容和时间与初始工厂检查相同。</w:t>
      </w:r>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27" w:name="_Toc34991811"/>
      <w:r w:rsidRPr="00CD3335">
        <w:rPr>
          <w:rFonts w:hAnsi="黑体"/>
          <w:color w:val="000000"/>
          <w:szCs w:val="21"/>
        </w:rPr>
        <w:t>5.9.3 工厂保证能力跟踪检查</w:t>
      </w:r>
      <w:bookmarkEnd w:id="127"/>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工厂保证能力检查应覆盖所有认证单元涉及的生产场所。每次必查条款为附件B的B.3、B.4、B.5、B.6、B.7、B.8、B.10、B.11、B.13条，对其余条款可适当检查。</w:t>
      </w:r>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28" w:name="_Toc34991812"/>
      <w:r w:rsidRPr="00CD3335">
        <w:rPr>
          <w:rFonts w:hAnsi="黑体"/>
          <w:color w:val="000000"/>
          <w:szCs w:val="21"/>
        </w:rPr>
        <w:t>5.9.4 产品一致性跟踪检查</w:t>
      </w:r>
      <w:bookmarkEnd w:id="128"/>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产品一致性检查应覆盖每一单元的认证产品，其余按本标准5.6.3.3的规定进行。</w:t>
      </w:r>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29" w:name="_Toc34991813"/>
      <w:r w:rsidRPr="00CD3335">
        <w:rPr>
          <w:rFonts w:hAnsi="黑体"/>
          <w:color w:val="000000"/>
          <w:szCs w:val="21"/>
        </w:rPr>
        <w:t>5.9.5 认证要求持续符合性检查</w:t>
      </w:r>
      <w:bookmarkEnd w:id="129"/>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认证要求持续符合性检查应覆盖认证标准或实施规则要求。企业应对所有单元进行自评，并确保符合要求。认证机构原则上可抽取有代表性的认证单元进行。一个认证周期内应覆盖所有认证单元。</w:t>
      </w:r>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30" w:name="_Toc34991814"/>
      <w:bookmarkStart w:id="131" w:name="_Hlk510123030"/>
      <w:r w:rsidRPr="00CD3335">
        <w:rPr>
          <w:rFonts w:hAnsi="黑体"/>
          <w:color w:val="000000"/>
          <w:szCs w:val="21"/>
        </w:rPr>
        <w:t>5.9.6 产品抽样检验</w:t>
      </w:r>
      <w:bookmarkEnd w:id="130"/>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按获证单元进行认证产品的抽样检验，原则上可抽取有代表性的认证单元，一个认证周期内覆盖所有认证单元。检验方案按本标准5.7的规定执行。</w:t>
      </w:r>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32" w:name="_Toc34991815"/>
      <w:r w:rsidRPr="00CD3335">
        <w:rPr>
          <w:rFonts w:hAnsi="黑体"/>
          <w:color w:val="000000"/>
          <w:szCs w:val="21"/>
        </w:rPr>
        <w:t>5.9.7 监督检查人日</w:t>
      </w:r>
      <w:bookmarkEnd w:id="132"/>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获证后的监督检查，根据获证产品单元数和工厂规模安排评价人日数。原则上一个认证单元的监督检查</w:t>
      </w:r>
      <w:proofErr w:type="gramStart"/>
      <w:r w:rsidRPr="00824367">
        <w:rPr>
          <w:rFonts w:asciiTheme="minorEastAsia" w:eastAsiaTheme="minorEastAsia" w:hAnsiTheme="minorEastAsia"/>
          <w:kern w:val="0"/>
          <w:sz w:val="21"/>
          <w:szCs w:val="21"/>
        </w:rPr>
        <w:t>人日数</w:t>
      </w:r>
      <w:proofErr w:type="gramEnd"/>
      <w:r w:rsidRPr="00824367">
        <w:rPr>
          <w:rFonts w:asciiTheme="minorEastAsia" w:eastAsiaTheme="minorEastAsia" w:hAnsiTheme="minorEastAsia"/>
          <w:kern w:val="0"/>
          <w:sz w:val="21"/>
          <w:szCs w:val="21"/>
        </w:rPr>
        <w:t>不低于2人日。其他情况参考本标准5.</w:t>
      </w:r>
      <w:r>
        <w:rPr>
          <w:rFonts w:asciiTheme="minorEastAsia" w:eastAsiaTheme="minorEastAsia" w:hAnsiTheme="minorEastAsia"/>
          <w:kern w:val="0"/>
          <w:sz w:val="21"/>
          <w:szCs w:val="21"/>
        </w:rPr>
        <w:t>6</w:t>
      </w:r>
      <w:r w:rsidRPr="00824367">
        <w:rPr>
          <w:rFonts w:asciiTheme="minorEastAsia" w:eastAsiaTheme="minorEastAsia" w:hAnsiTheme="minorEastAsia"/>
          <w:kern w:val="0"/>
          <w:sz w:val="21"/>
          <w:szCs w:val="21"/>
        </w:rPr>
        <w:t>.</w:t>
      </w:r>
      <w:r>
        <w:rPr>
          <w:rFonts w:asciiTheme="minorEastAsia" w:eastAsiaTheme="minorEastAsia" w:hAnsiTheme="minorEastAsia"/>
          <w:kern w:val="0"/>
          <w:sz w:val="21"/>
          <w:szCs w:val="21"/>
        </w:rPr>
        <w:t>3</w:t>
      </w:r>
      <w:r w:rsidRPr="00824367">
        <w:rPr>
          <w:rFonts w:asciiTheme="minorEastAsia" w:eastAsiaTheme="minorEastAsia" w:hAnsiTheme="minorEastAsia"/>
          <w:kern w:val="0"/>
          <w:sz w:val="21"/>
          <w:szCs w:val="21"/>
        </w:rPr>
        <w:t>.</w:t>
      </w:r>
      <w:r>
        <w:rPr>
          <w:rFonts w:asciiTheme="minorEastAsia" w:eastAsiaTheme="minorEastAsia" w:hAnsiTheme="minorEastAsia"/>
          <w:kern w:val="0"/>
          <w:sz w:val="21"/>
          <w:szCs w:val="21"/>
        </w:rPr>
        <w:t>5</w:t>
      </w:r>
      <w:r w:rsidRPr="00824367">
        <w:rPr>
          <w:rFonts w:asciiTheme="minorEastAsia" w:eastAsiaTheme="minorEastAsia" w:hAnsiTheme="minorEastAsia"/>
          <w:kern w:val="0"/>
          <w:sz w:val="21"/>
          <w:szCs w:val="21"/>
        </w:rPr>
        <w:t>的规定。</w:t>
      </w:r>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33" w:name="_Toc34991816"/>
      <w:bookmarkEnd w:id="131"/>
      <w:r w:rsidRPr="00CD3335">
        <w:rPr>
          <w:rFonts w:hAnsi="黑体"/>
          <w:color w:val="000000"/>
          <w:szCs w:val="21"/>
        </w:rPr>
        <w:t>5.9.8 监督检查结论</w:t>
      </w:r>
      <w:bookmarkEnd w:id="133"/>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监督检查结论参照本标准5.6.3.6的规定执行。</w:t>
      </w:r>
    </w:p>
    <w:p w:rsidR="00B31911" w:rsidRPr="00CD3335" w:rsidRDefault="00B31911" w:rsidP="00B31911">
      <w:pPr>
        <w:pStyle w:val="a"/>
        <w:numPr>
          <w:ilvl w:val="0"/>
          <w:numId w:val="0"/>
        </w:numPr>
        <w:tabs>
          <w:tab w:val="left" w:pos="0"/>
        </w:tabs>
        <w:spacing w:before="326" w:after="326"/>
        <w:outlineLvl w:val="9"/>
        <w:rPr>
          <w:rFonts w:hAnsi="黑体"/>
          <w:color w:val="000000"/>
          <w:szCs w:val="21"/>
        </w:rPr>
      </w:pPr>
      <w:bookmarkStart w:id="134" w:name="_Toc34991817"/>
      <w:r w:rsidRPr="00CD3335">
        <w:rPr>
          <w:rFonts w:hAnsi="黑体"/>
          <w:color w:val="000000"/>
          <w:szCs w:val="21"/>
        </w:rPr>
        <w:t>5.9.9 监督检查结果评价</w:t>
      </w:r>
      <w:bookmarkEnd w:id="134"/>
    </w:p>
    <w:p w:rsidR="00B31911" w:rsidRPr="00824367" w:rsidRDefault="00B31911" w:rsidP="00B31911">
      <w:pPr>
        <w:ind w:firstLineChars="200" w:firstLine="420"/>
        <w:rPr>
          <w:rFonts w:asciiTheme="minorEastAsia" w:eastAsiaTheme="minorEastAsia" w:hAnsiTheme="minorEastAsia"/>
          <w:kern w:val="0"/>
        </w:rPr>
      </w:pPr>
      <w:r w:rsidRPr="00824367">
        <w:rPr>
          <w:rFonts w:asciiTheme="minorEastAsia" w:eastAsiaTheme="minorEastAsia" w:hAnsiTheme="minorEastAsia"/>
          <w:kern w:val="0"/>
          <w:sz w:val="21"/>
          <w:szCs w:val="21"/>
        </w:rPr>
        <w:lastRenderedPageBreak/>
        <w:t>认证机构对监督检查结论等信息进行综合评价，参照本标准5.8的规定执行。评价通过的，可继续保持绿色建材产品认证证书、使用绿色建材产品认证标志；评价不通过的，认证机构按照6.3的规定依据相应情形做出注销/暂停/撤销认证证书的处理，并予公布。</w:t>
      </w:r>
    </w:p>
    <w:p w:rsidR="00B31911" w:rsidRPr="00CD3335" w:rsidRDefault="00B31911" w:rsidP="00B31911">
      <w:pPr>
        <w:pStyle w:val="a"/>
        <w:numPr>
          <w:ilvl w:val="0"/>
          <w:numId w:val="0"/>
        </w:numPr>
        <w:tabs>
          <w:tab w:val="left" w:pos="0"/>
        </w:tabs>
        <w:spacing w:before="326" w:after="326"/>
        <w:outlineLvl w:val="2"/>
        <w:rPr>
          <w:rFonts w:hAnsi="黑体"/>
          <w:color w:val="000000"/>
          <w:szCs w:val="21"/>
        </w:rPr>
      </w:pPr>
      <w:bookmarkStart w:id="135" w:name="_Toc34991818"/>
      <w:bookmarkStart w:id="136" w:name="_Toc44316462"/>
      <w:bookmarkStart w:id="137" w:name="_Toc44590800"/>
      <w:r w:rsidRPr="00CD3335">
        <w:rPr>
          <w:rFonts w:hAnsi="黑体"/>
          <w:color w:val="000000"/>
          <w:szCs w:val="21"/>
        </w:rPr>
        <w:t>5.10 延续申请</w:t>
      </w:r>
      <w:bookmarkEnd w:id="135"/>
      <w:bookmarkEnd w:id="136"/>
      <w:bookmarkEnd w:id="137"/>
    </w:p>
    <w:p w:rsidR="00B31911" w:rsidRPr="00824367" w:rsidRDefault="00B31911" w:rsidP="00B31911">
      <w:pPr>
        <w:widowControl/>
        <w:tabs>
          <w:tab w:val="center" w:pos="4201"/>
          <w:tab w:val="right" w:leader="dot" w:pos="9298"/>
        </w:tabs>
        <w:autoSpaceDE w:val="0"/>
        <w:autoSpaceDN w:val="0"/>
        <w:ind w:firstLineChars="200" w:firstLine="420"/>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认证证书有效期届满，需要延续使用的，认证委托人应当在认证证书有效期届满前90天内提出延续申请。证书有效期内最后一次获证后监督结果合格的，认证机构应在接到延续申请后直接换发新证书。</w:t>
      </w:r>
    </w:p>
    <w:p w:rsidR="00B31911" w:rsidRPr="00CD3335" w:rsidRDefault="00B31911" w:rsidP="00B31911">
      <w:pPr>
        <w:pStyle w:val="a"/>
        <w:numPr>
          <w:ilvl w:val="0"/>
          <w:numId w:val="2"/>
        </w:numPr>
        <w:tabs>
          <w:tab w:val="left" w:pos="0"/>
          <w:tab w:val="left" w:pos="284"/>
        </w:tabs>
        <w:spacing w:before="326" w:after="326"/>
        <w:ind w:left="0" w:firstLine="0"/>
        <w:rPr>
          <w:rFonts w:hAnsi="黑体"/>
          <w:color w:val="000000"/>
          <w:szCs w:val="21"/>
        </w:rPr>
      </w:pPr>
      <w:bookmarkStart w:id="138" w:name="_Toc44316463"/>
      <w:bookmarkStart w:id="139" w:name="_Toc44590801"/>
      <w:r w:rsidRPr="00CD3335">
        <w:rPr>
          <w:rFonts w:hAnsi="黑体"/>
          <w:color w:val="000000"/>
          <w:szCs w:val="21"/>
        </w:rPr>
        <w:t>认证证书</w:t>
      </w:r>
      <w:bookmarkEnd w:id="138"/>
      <w:bookmarkEnd w:id="139"/>
    </w:p>
    <w:p w:rsidR="00B31911" w:rsidRPr="00CD3335" w:rsidRDefault="00B31911" w:rsidP="00B31911">
      <w:pPr>
        <w:pStyle w:val="a8"/>
        <w:widowControl/>
        <w:numPr>
          <w:ilvl w:val="1"/>
          <w:numId w:val="12"/>
        </w:numPr>
        <w:spacing w:beforeLines="100" w:before="326" w:afterLines="100" w:after="326" w:line="240" w:lineRule="auto"/>
        <w:ind w:left="0" w:firstLineChars="0" w:firstLine="0"/>
        <w:outlineLvl w:val="2"/>
        <w:rPr>
          <w:rFonts w:ascii="黑体" w:eastAsia="黑体" w:hAnsi="黑体"/>
          <w:kern w:val="6"/>
          <w:sz w:val="21"/>
          <w:szCs w:val="21"/>
        </w:rPr>
      </w:pPr>
      <w:bookmarkStart w:id="140" w:name="_Toc34991820"/>
      <w:bookmarkStart w:id="141" w:name="_Toc44316464"/>
      <w:bookmarkStart w:id="142" w:name="_Toc44590802"/>
      <w:r w:rsidRPr="00CD3335">
        <w:rPr>
          <w:rFonts w:ascii="黑体" w:eastAsia="黑体" w:hAnsi="黑体"/>
          <w:kern w:val="6"/>
          <w:sz w:val="21"/>
          <w:szCs w:val="21"/>
        </w:rPr>
        <w:t>认证证书的保持</w:t>
      </w:r>
      <w:bookmarkEnd w:id="140"/>
      <w:bookmarkEnd w:id="141"/>
      <w:bookmarkEnd w:id="142"/>
    </w:p>
    <w:p w:rsidR="00B31911" w:rsidRPr="00824367" w:rsidRDefault="00B31911" w:rsidP="00B31911">
      <w:pPr>
        <w:ind w:firstLineChars="200" w:firstLine="420"/>
        <w:rPr>
          <w:rFonts w:asciiTheme="minorEastAsia" w:eastAsiaTheme="minorEastAsia" w:hAnsiTheme="minorEastAsia"/>
          <w:color w:val="000000" w:themeColor="text1"/>
          <w:kern w:val="6"/>
          <w:sz w:val="21"/>
          <w:szCs w:val="21"/>
        </w:rPr>
      </w:pPr>
      <w:r w:rsidRPr="00824367">
        <w:rPr>
          <w:rFonts w:asciiTheme="minorEastAsia" w:eastAsiaTheme="minorEastAsia" w:hAnsiTheme="minorEastAsia"/>
          <w:color w:val="000000" w:themeColor="text1"/>
          <w:kern w:val="6"/>
          <w:sz w:val="21"/>
          <w:szCs w:val="21"/>
        </w:rPr>
        <w:t>认证证书的有效性通过定期的监督检查予以保持。</w:t>
      </w:r>
    </w:p>
    <w:p w:rsidR="00B31911" w:rsidRPr="00824367" w:rsidRDefault="00B31911" w:rsidP="00B31911">
      <w:pPr>
        <w:ind w:firstLineChars="200" w:firstLine="420"/>
        <w:rPr>
          <w:rFonts w:asciiTheme="minorEastAsia" w:eastAsiaTheme="minorEastAsia" w:hAnsiTheme="minorEastAsia"/>
          <w:color w:val="000000" w:themeColor="text1"/>
          <w:kern w:val="6"/>
          <w:sz w:val="21"/>
          <w:szCs w:val="21"/>
        </w:rPr>
      </w:pPr>
      <w:r w:rsidRPr="00824367">
        <w:rPr>
          <w:rFonts w:asciiTheme="minorEastAsia" w:eastAsiaTheme="minorEastAsia" w:hAnsiTheme="minorEastAsia"/>
          <w:kern w:val="6"/>
          <w:sz w:val="21"/>
          <w:szCs w:val="21"/>
        </w:rPr>
        <w:t>认证证书有效期满后如需继续使用，获证企业应在证书有效期满前90天内提出延续申请</w:t>
      </w:r>
      <w:r w:rsidRPr="00824367">
        <w:rPr>
          <w:rFonts w:asciiTheme="minorEastAsia" w:eastAsiaTheme="minorEastAsia" w:hAnsiTheme="minorEastAsia"/>
          <w:color w:val="000000" w:themeColor="text1"/>
          <w:kern w:val="6"/>
          <w:sz w:val="21"/>
          <w:szCs w:val="21"/>
        </w:rPr>
        <w:t>。</w:t>
      </w:r>
    </w:p>
    <w:p w:rsidR="00B31911" w:rsidRPr="00CD3335" w:rsidRDefault="00B31911" w:rsidP="00B31911">
      <w:pPr>
        <w:pStyle w:val="a8"/>
        <w:widowControl/>
        <w:numPr>
          <w:ilvl w:val="1"/>
          <w:numId w:val="12"/>
        </w:numPr>
        <w:spacing w:beforeLines="100" w:before="326" w:afterLines="100" w:after="326" w:line="240" w:lineRule="auto"/>
        <w:ind w:left="0" w:firstLineChars="0" w:firstLine="0"/>
        <w:outlineLvl w:val="2"/>
        <w:rPr>
          <w:rFonts w:ascii="黑体" w:eastAsia="黑体" w:hAnsi="黑体"/>
          <w:kern w:val="6"/>
          <w:sz w:val="21"/>
          <w:szCs w:val="21"/>
        </w:rPr>
      </w:pPr>
      <w:bookmarkStart w:id="143" w:name="_Toc34991821"/>
      <w:bookmarkStart w:id="144" w:name="_Toc44316465"/>
      <w:bookmarkStart w:id="145" w:name="_Toc44590803"/>
      <w:r w:rsidRPr="00CD3335">
        <w:rPr>
          <w:rFonts w:ascii="黑体" w:eastAsia="黑体" w:hAnsi="黑体"/>
          <w:kern w:val="6"/>
          <w:sz w:val="21"/>
          <w:szCs w:val="21"/>
        </w:rPr>
        <w:t>认证证书的变更</w:t>
      </w:r>
      <w:bookmarkEnd w:id="143"/>
      <w:bookmarkEnd w:id="144"/>
      <w:bookmarkEnd w:id="145"/>
    </w:p>
    <w:p w:rsidR="00B31911" w:rsidRPr="00CD3335" w:rsidRDefault="00B31911" w:rsidP="00B31911">
      <w:pPr>
        <w:pStyle w:val="a8"/>
        <w:widowControl/>
        <w:numPr>
          <w:ilvl w:val="1"/>
          <w:numId w:val="13"/>
        </w:numPr>
        <w:tabs>
          <w:tab w:val="left" w:pos="567"/>
        </w:tabs>
        <w:spacing w:beforeLines="100" w:before="326" w:afterLines="100" w:after="326" w:line="240" w:lineRule="auto"/>
        <w:ind w:left="0" w:firstLineChars="0" w:firstLine="0"/>
        <w:rPr>
          <w:rFonts w:ascii="黑体" w:eastAsia="黑体" w:hAnsi="黑体"/>
          <w:kern w:val="6"/>
          <w:sz w:val="21"/>
          <w:szCs w:val="21"/>
        </w:rPr>
      </w:pPr>
      <w:r w:rsidRPr="00CD3335">
        <w:rPr>
          <w:rFonts w:ascii="黑体" w:eastAsia="黑体" w:hAnsi="黑体"/>
          <w:kern w:val="6"/>
          <w:sz w:val="21"/>
          <w:szCs w:val="21"/>
        </w:rPr>
        <w:t>变更申请</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当获证企业发生以下情况时，应向认证机构提出书面变更申请：</w:t>
      </w:r>
    </w:p>
    <w:p w:rsidR="00B31911" w:rsidRPr="00824367" w:rsidRDefault="00B31911" w:rsidP="00B31911">
      <w:pPr>
        <w:pStyle w:val="a8"/>
        <w:widowControl/>
        <w:numPr>
          <w:ilvl w:val="1"/>
          <w:numId w:val="14"/>
        </w:numPr>
        <w:ind w:left="0" w:firstLineChars="202" w:firstLine="424"/>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申请方/制造商/生产方名称、注册/生产地址变更；</w:t>
      </w:r>
    </w:p>
    <w:p w:rsidR="00B31911" w:rsidRPr="00824367" w:rsidRDefault="00B31911" w:rsidP="00B31911">
      <w:pPr>
        <w:pStyle w:val="a8"/>
        <w:widowControl/>
        <w:numPr>
          <w:ilvl w:val="1"/>
          <w:numId w:val="14"/>
        </w:numPr>
        <w:ind w:left="0" w:firstLineChars="202" w:firstLine="424"/>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产品构成、规格型号、功能性能、关键设备、生产工艺变更；</w:t>
      </w:r>
    </w:p>
    <w:p w:rsidR="00B31911" w:rsidRPr="00824367" w:rsidRDefault="00B31911" w:rsidP="00B31911">
      <w:pPr>
        <w:pStyle w:val="a8"/>
        <w:widowControl/>
        <w:numPr>
          <w:ilvl w:val="1"/>
          <w:numId w:val="14"/>
        </w:numPr>
        <w:ind w:left="0" w:firstLineChars="202" w:firstLine="424"/>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绿色环保技术、生产环境变更；</w:t>
      </w:r>
    </w:p>
    <w:p w:rsidR="00B31911" w:rsidRPr="00824367" w:rsidRDefault="00B31911" w:rsidP="00B31911">
      <w:pPr>
        <w:pStyle w:val="a8"/>
        <w:widowControl/>
        <w:numPr>
          <w:ilvl w:val="1"/>
          <w:numId w:val="14"/>
        </w:numPr>
        <w:ind w:left="0" w:firstLineChars="202" w:firstLine="424"/>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相关标准规范变更。</w:t>
      </w:r>
    </w:p>
    <w:p w:rsidR="00B31911" w:rsidRPr="00CD3335" w:rsidRDefault="00B31911" w:rsidP="00B31911">
      <w:pPr>
        <w:pStyle w:val="a8"/>
        <w:widowControl/>
        <w:numPr>
          <w:ilvl w:val="1"/>
          <w:numId w:val="13"/>
        </w:numPr>
        <w:tabs>
          <w:tab w:val="left" w:pos="567"/>
        </w:tabs>
        <w:spacing w:beforeLines="100" w:before="326" w:afterLines="100" w:after="326" w:line="240" w:lineRule="auto"/>
        <w:ind w:left="0" w:firstLineChars="0" w:firstLine="0"/>
        <w:rPr>
          <w:rFonts w:ascii="黑体" w:eastAsia="黑体" w:hAnsi="黑体"/>
          <w:kern w:val="6"/>
          <w:sz w:val="21"/>
          <w:szCs w:val="21"/>
        </w:rPr>
      </w:pPr>
      <w:r w:rsidRPr="00CD3335">
        <w:rPr>
          <w:rFonts w:ascii="黑体" w:eastAsia="黑体" w:hAnsi="黑体"/>
          <w:kern w:val="6"/>
          <w:sz w:val="21"/>
          <w:szCs w:val="21"/>
        </w:rPr>
        <w:t>变更评价与批准</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认证机构对获证企业提出的变更申请进行评价，以确定是否需要重新评审或核查，应以变更前的认证项目为变更评价的基础。</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对符合要求的申请，同意变更并换发认证证书，证书编号保持不变，换证日期需注明。</w:t>
      </w:r>
    </w:p>
    <w:p w:rsidR="00B31911" w:rsidRPr="00CD3335" w:rsidRDefault="00B31911" w:rsidP="00B31911">
      <w:pPr>
        <w:pStyle w:val="a8"/>
        <w:widowControl/>
        <w:numPr>
          <w:ilvl w:val="1"/>
          <w:numId w:val="13"/>
        </w:numPr>
        <w:tabs>
          <w:tab w:val="left" w:pos="567"/>
        </w:tabs>
        <w:spacing w:beforeLines="100" w:before="326" w:afterLines="100" w:after="326" w:line="240" w:lineRule="auto"/>
        <w:ind w:left="0" w:firstLineChars="0" w:firstLine="0"/>
        <w:rPr>
          <w:rFonts w:ascii="黑体" w:eastAsia="黑体" w:hAnsi="黑体"/>
          <w:kern w:val="6"/>
          <w:sz w:val="21"/>
          <w:szCs w:val="21"/>
        </w:rPr>
      </w:pPr>
      <w:r w:rsidRPr="00CD3335">
        <w:rPr>
          <w:rFonts w:ascii="黑体" w:eastAsia="黑体" w:hAnsi="黑体"/>
          <w:kern w:val="6"/>
          <w:sz w:val="21"/>
          <w:szCs w:val="21"/>
        </w:rPr>
        <w:lastRenderedPageBreak/>
        <w:t>认证范围的扩大</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获证企业如需增加与已认证产品为同一认证单元的产品时，应提出变更或新认证申请。提交新产品相关证明性申请资料。认证机构对申请资料进行评价，确定是否进行补充检验。对符合要求的产品，颁发新认证证书或换发证书，换发时证书编号、有效期保持不变，换证日期需注明。</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获证企业如需增加与已认证产品不属同一认证单元的产品时，按新认证要求申请认证。</w:t>
      </w:r>
    </w:p>
    <w:p w:rsidR="00B31911" w:rsidRPr="00CD3335" w:rsidRDefault="00B31911" w:rsidP="00B31911">
      <w:pPr>
        <w:pStyle w:val="a8"/>
        <w:widowControl/>
        <w:numPr>
          <w:ilvl w:val="1"/>
          <w:numId w:val="13"/>
        </w:numPr>
        <w:tabs>
          <w:tab w:val="left" w:pos="567"/>
        </w:tabs>
        <w:spacing w:beforeLines="100" w:before="326" w:afterLines="100" w:after="326" w:line="240" w:lineRule="auto"/>
        <w:ind w:left="0" w:firstLineChars="0" w:firstLine="0"/>
        <w:rPr>
          <w:rFonts w:ascii="黑体" w:eastAsia="黑体" w:hAnsi="黑体"/>
          <w:kern w:val="6"/>
          <w:sz w:val="21"/>
          <w:szCs w:val="21"/>
        </w:rPr>
      </w:pPr>
      <w:r w:rsidRPr="00CD3335">
        <w:rPr>
          <w:rFonts w:ascii="黑体" w:eastAsia="黑体" w:hAnsi="黑体"/>
          <w:kern w:val="6"/>
          <w:sz w:val="21"/>
          <w:szCs w:val="21"/>
        </w:rPr>
        <w:t>认证范围的缩小</w:t>
      </w:r>
    </w:p>
    <w:p w:rsidR="00B31911" w:rsidRPr="00824367" w:rsidRDefault="00B31911" w:rsidP="00B31911">
      <w:pPr>
        <w:widowControl/>
        <w:spacing w:beforeLines="50" w:before="163" w:afterLines="50" w:after="163"/>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获证企业拟减少获证项目认证规模时，应向认证机构提出书面申请。认证机构对申请资料进行评价，对符合要求的产品，颁发新认证证书或换发证书，换发时证书编号、有效期保持不变，换证日期需注明。</w:t>
      </w:r>
    </w:p>
    <w:p w:rsidR="00B31911" w:rsidRPr="00CD3335" w:rsidRDefault="00B31911" w:rsidP="00B31911">
      <w:pPr>
        <w:pStyle w:val="a8"/>
        <w:widowControl/>
        <w:numPr>
          <w:ilvl w:val="1"/>
          <w:numId w:val="12"/>
        </w:numPr>
        <w:spacing w:beforeLines="100" w:before="326" w:afterLines="100" w:after="326" w:line="240" w:lineRule="auto"/>
        <w:ind w:left="0" w:firstLineChars="0" w:firstLine="0"/>
        <w:outlineLvl w:val="2"/>
        <w:rPr>
          <w:rFonts w:ascii="黑体" w:eastAsia="黑体" w:hAnsi="黑体"/>
          <w:kern w:val="6"/>
          <w:sz w:val="21"/>
          <w:szCs w:val="21"/>
        </w:rPr>
      </w:pPr>
      <w:bookmarkStart w:id="146" w:name="_Toc34991822"/>
      <w:bookmarkStart w:id="147" w:name="_Toc44316466"/>
      <w:bookmarkStart w:id="148" w:name="_Toc44590804"/>
      <w:r w:rsidRPr="00CD3335">
        <w:rPr>
          <w:rFonts w:ascii="黑体" w:eastAsia="黑体" w:hAnsi="黑体"/>
          <w:kern w:val="6"/>
          <w:sz w:val="21"/>
          <w:szCs w:val="21"/>
        </w:rPr>
        <w:t>证书的暂停、恢复、注销撤销</w:t>
      </w:r>
      <w:bookmarkEnd w:id="146"/>
      <w:bookmarkEnd w:id="147"/>
      <w:bookmarkEnd w:id="148"/>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当获证企业违反有关规定、认证项目达不到认证要求或企业无法继续生产时，认证机构按有关规定对认证证书做出相应的暂停、注销或撤销处理。企业可以向认证机构申请暂停、注销其持有的认证证书。证书暂停期间，企业如果需要恢复认证证书，应在规定的暂停期限内向认证机构提出恢复申请，认证机构按有关规定进行恢复处理。否则，认证机构将撤销或注销被暂停的认证证书。</w:t>
      </w:r>
    </w:p>
    <w:p w:rsidR="00B31911" w:rsidRDefault="00B31911" w:rsidP="00B31911">
      <w:pPr>
        <w:pStyle w:val="2"/>
        <w:rPr>
          <w:rFonts w:ascii="黑体" w:hAnsi="黑体"/>
          <w:sz w:val="21"/>
          <w:szCs w:val="21"/>
        </w:rPr>
      </w:pPr>
      <w:r>
        <w:rPr>
          <w:rFonts w:ascii="黑体" w:hAnsi="黑体"/>
          <w:sz w:val="21"/>
          <w:szCs w:val="21"/>
        </w:rPr>
        <w:br w:type="page"/>
      </w:r>
    </w:p>
    <w:p w:rsidR="00B31911" w:rsidRDefault="00B31911" w:rsidP="00B31911">
      <w:pPr>
        <w:pStyle w:val="2"/>
        <w:spacing w:before="0" w:after="0"/>
        <w:rPr>
          <w:rFonts w:ascii="黑体" w:hAnsi="黑体"/>
          <w:sz w:val="21"/>
          <w:szCs w:val="21"/>
        </w:rPr>
      </w:pPr>
      <w:bookmarkStart w:id="149" w:name="_Toc44316467"/>
      <w:bookmarkStart w:id="150" w:name="_Toc44590805"/>
      <w:r w:rsidRPr="00CD3335">
        <w:rPr>
          <w:rFonts w:ascii="黑体" w:hAnsi="黑体"/>
          <w:sz w:val="21"/>
          <w:szCs w:val="21"/>
        </w:rPr>
        <w:lastRenderedPageBreak/>
        <w:t>附录A</w:t>
      </w:r>
      <w:bookmarkEnd w:id="149"/>
      <w:bookmarkEnd w:id="150"/>
      <w:r w:rsidRPr="00CD3335">
        <w:rPr>
          <w:rFonts w:ascii="黑体" w:hAnsi="黑体"/>
          <w:sz w:val="21"/>
          <w:szCs w:val="21"/>
        </w:rPr>
        <w:t xml:space="preserve">  </w:t>
      </w:r>
    </w:p>
    <w:p w:rsidR="00B31911" w:rsidRPr="00950C87" w:rsidRDefault="00B31911" w:rsidP="00B31911">
      <w:pPr>
        <w:jc w:val="center"/>
        <w:rPr>
          <w:rFonts w:ascii="黑体" w:eastAsia="黑体" w:hAnsi="黑体"/>
          <w:bCs/>
          <w:sz w:val="21"/>
          <w:szCs w:val="21"/>
        </w:rPr>
      </w:pPr>
      <w:r w:rsidRPr="00950C87">
        <w:rPr>
          <w:rFonts w:ascii="黑体" w:eastAsia="黑体" w:hAnsi="黑体" w:hint="eastAsia"/>
          <w:bCs/>
          <w:sz w:val="21"/>
          <w:szCs w:val="21"/>
        </w:rPr>
        <w:t>（规范性附录）</w:t>
      </w:r>
    </w:p>
    <w:p w:rsidR="00B31911" w:rsidRPr="00CD3335" w:rsidRDefault="00B31911" w:rsidP="00B31911">
      <w:pPr>
        <w:pStyle w:val="2"/>
        <w:spacing w:before="0" w:after="0"/>
        <w:rPr>
          <w:rFonts w:ascii="黑体" w:hAnsi="黑体"/>
          <w:sz w:val="21"/>
          <w:szCs w:val="21"/>
        </w:rPr>
      </w:pPr>
      <w:bookmarkStart w:id="151" w:name="_Toc44316468"/>
      <w:bookmarkStart w:id="152" w:name="_Toc44590806"/>
      <w:r w:rsidRPr="00CD3335">
        <w:rPr>
          <w:rFonts w:ascii="黑体" w:hAnsi="黑体"/>
          <w:sz w:val="21"/>
          <w:szCs w:val="21"/>
        </w:rPr>
        <w:t>绿色建材产品认证产品检验取样检测要求</w:t>
      </w:r>
      <w:bookmarkEnd w:id="151"/>
      <w:bookmarkEnd w:id="152"/>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A.1 总则</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绿色建材产品检验取样检测要求应包括资源属性、能源属性、环境属性和品质属性。用于绿色建材认证申请的检测样品应从申请认证单元中选取正常批量生产、出厂检验合格、同一生产批号、相同包装形式的产品。</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A.2 取样时机</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一般情况下，产品取样应在工厂检查前进行。特殊情况下，当对申请认证产品性能比较了解的情况下，为方便申请方，产品取样也可以和工厂检查同时进行。</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A.3 取样场所</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原则上在生产现场的仓库取样。特殊情况下，经与申请方协商，也可在其他场所取样。</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A.4 取样人员</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由认证机构确定的人员对绿色建材进行取样。特殊情况下，认证机构可以委托具有资质的机构或其他人员代为取样或封样。</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A.5 取样方法、取样数量及检测标准</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取样方法、数量及检测依据应按不同类别的绿色建材分别列出。</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A.6 检测机构</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认证机构应根据绿色建材的认证风险指定检测机构进行检验或取样等。</w:t>
      </w:r>
    </w:p>
    <w:p w:rsidR="00B31911" w:rsidRPr="00CD3335" w:rsidRDefault="00B31911" w:rsidP="00B31911">
      <w:pPr>
        <w:widowControl/>
        <w:spacing w:beforeLines="50" w:before="163" w:afterLines="50" w:after="163" w:line="240" w:lineRule="auto"/>
        <w:rPr>
          <w:rFonts w:ascii="黑体" w:eastAsia="黑体" w:hAnsi="黑体"/>
          <w:kern w:val="6"/>
          <w:sz w:val="21"/>
          <w:szCs w:val="21"/>
        </w:rPr>
      </w:pPr>
      <w:r w:rsidRPr="00CD3335">
        <w:rPr>
          <w:rFonts w:ascii="黑体" w:eastAsia="黑体" w:hAnsi="黑体"/>
          <w:kern w:val="6"/>
          <w:sz w:val="21"/>
          <w:szCs w:val="21"/>
        </w:rPr>
        <w:t>A.7 检测报告的采信</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认证机构应在认证方案中明确检测报告的采信范围，应告知认证申请方采信结果。</w:t>
      </w:r>
    </w:p>
    <w:p w:rsidR="00B31911" w:rsidRPr="00824367" w:rsidRDefault="00B31911" w:rsidP="00B31911">
      <w:pPr>
        <w:widowControl/>
        <w:spacing w:line="240" w:lineRule="auto"/>
        <w:jc w:val="left"/>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br w:type="page"/>
      </w:r>
    </w:p>
    <w:p w:rsidR="00B31911" w:rsidRDefault="00B31911" w:rsidP="00B31911">
      <w:pPr>
        <w:pStyle w:val="2"/>
        <w:spacing w:before="0" w:after="0"/>
        <w:rPr>
          <w:rFonts w:ascii="黑体" w:hAnsi="黑体"/>
          <w:sz w:val="21"/>
          <w:szCs w:val="21"/>
        </w:rPr>
      </w:pPr>
      <w:bookmarkStart w:id="153" w:name="_Toc44316469"/>
      <w:bookmarkStart w:id="154" w:name="_Toc44590807"/>
      <w:bookmarkStart w:id="155" w:name="_Toc515469111"/>
      <w:r w:rsidRPr="00950C87">
        <w:rPr>
          <w:rFonts w:ascii="黑体" w:hAnsi="黑体"/>
          <w:sz w:val="21"/>
          <w:szCs w:val="21"/>
        </w:rPr>
        <w:lastRenderedPageBreak/>
        <w:t>附录B</w:t>
      </w:r>
      <w:bookmarkEnd w:id="153"/>
      <w:bookmarkEnd w:id="154"/>
      <w:r w:rsidRPr="00950C87">
        <w:rPr>
          <w:rFonts w:ascii="黑体" w:hAnsi="黑体"/>
          <w:sz w:val="21"/>
          <w:szCs w:val="21"/>
        </w:rPr>
        <w:t xml:space="preserve">  </w:t>
      </w:r>
    </w:p>
    <w:p w:rsidR="00B31911" w:rsidRPr="00950C87" w:rsidRDefault="00B31911" w:rsidP="00B31911">
      <w:pPr>
        <w:jc w:val="center"/>
        <w:rPr>
          <w:rFonts w:ascii="黑体" w:eastAsia="黑体" w:hAnsi="黑体"/>
          <w:bCs/>
          <w:sz w:val="21"/>
          <w:szCs w:val="21"/>
        </w:rPr>
      </w:pPr>
      <w:r w:rsidRPr="00950C87">
        <w:rPr>
          <w:rFonts w:ascii="黑体" w:eastAsia="黑体" w:hAnsi="黑体"/>
          <w:bCs/>
          <w:sz w:val="21"/>
          <w:szCs w:val="21"/>
        </w:rPr>
        <w:t>（</w:t>
      </w:r>
      <w:r w:rsidRPr="00950C87">
        <w:rPr>
          <w:rFonts w:ascii="黑体" w:eastAsia="黑体" w:hAnsi="黑体" w:hint="eastAsia"/>
          <w:bCs/>
          <w:sz w:val="21"/>
          <w:szCs w:val="21"/>
        </w:rPr>
        <w:t>规范性附录</w:t>
      </w:r>
      <w:r w:rsidRPr="00950C87">
        <w:rPr>
          <w:rFonts w:ascii="黑体" w:eastAsia="黑体" w:hAnsi="黑体"/>
          <w:bCs/>
          <w:sz w:val="21"/>
          <w:szCs w:val="21"/>
        </w:rPr>
        <w:t>）</w:t>
      </w:r>
    </w:p>
    <w:p w:rsidR="00B31911" w:rsidRPr="00950C87" w:rsidRDefault="00B31911" w:rsidP="00B31911">
      <w:pPr>
        <w:pStyle w:val="2"/>
        <w:spacing w:before="0" w:after="0"/>
        <w:rPr>
          <w:rFonts w:ascii="黑体" w:hAnsi="黑体"/>
          <w:sz w:val="21"/>
          <w:szCs w:val="21"/>
        </w:rPr>
      </w:pPr>
      <w:bookmarkStart w:id="156" w:name="_Toc44316470"/>
      <w:bookmarkStart w:id="157" w:name="_Toc44590808"/>
      <w:r w:rsidRPr="00950C87">
        <w:rPr>
          <w:rFonts w:ascii="黑体" w:hAnsi="黑体"/>
          <w:sz w:val="21"/>
          <w:szCs w:val="21"/>
        </w:rPr>
        <w:t>绿色建材产品认证工厂保证能力检查要求</w:t>
      </w:r>
      <w:bookmarkEnd w:id="155"/>
      <w:bookmarkEnd w:id="156"/>
      <w:bookmarkEnd w:id="157"/>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生产企业应根据资源节约、环境友好、消费友好的准则，按照绿色建材产品认证要求，控制获证产品的一致性，确保工厂保证能力持续满足本标准规定的要求。</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B.1 职责和资源</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B.1.1 职责</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工厂应规定与绿色建材产品认证要求有关的各类人员职责、权限及相互关系，并在本企业管理层中指定认证负责人，无论该成员在其它方面的职责如何，应使其具有以下方面的职责和权限：</w:t>
      </w:r>
    </w:p>
    <w:p w:rsidR="00B31911" w:rsidRPr="00824367" w:rsidRDefault="00B31911" w:rsidP="00B31911">
      <w:pPr>
        <w:pStyle w:val="a8"/>
        <w:numPr>
          <w:ilvl w:val="0"/>
          <w:numId w:val="15"/>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确保本标准的要求在工厂得到有效地建立、实施和保持；</w:t>
      </w:r>
    </w:p>
    <w:p w:rsidR="00B31911" w:rsidRPr="00824367" w:rsidRDefault="00B31911" w:rsidP="00B31911">
      <w:pPr>
        <w:pStyle w:val="a8"/>
        <w:numPr>
          <w:ilvl w:val="0"/>
          <w:numId w:val="15"/>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与认证机构保持联络，及时跟踪绿色建材产品认证标准和实施规则的变化，并确保认证产品持续符合变化的要求，同时保证产品的一致性；</w:t>
      </w:r>
    </w:p>
    <w:p w:rsidR="00B31911" w:rsidRPr="00824367" w:rsidRDefault="00B31911" w:rsidP="00B31911">
      <w:pPr>
        <w:pStyle w:val="a8"/>
        <w:numPr>
          <w:ilvl w:val="0"/>
          <w:numId w:val="15"/>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确保不合格品和变更后未经认证机构确认的获证产品，不加贴使用绿色建材产品认证标志和证书，确保加施绿色建材产品认证标志产品的证书状态持续有效。</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认证负责人应具有充分的能力胜任本职工作。</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B.1.2 资源</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配备必需的生产设备、检验试验仪器设备以满足稳定生产符合认证依据标准要求的产品的需要；应配备必要的污染物处置与回收利用设备；应配备必要的能耗、物耗、环境排放等方面的计量监测设备；应配备相应的人力资源，确保从事对绿色建材产品认证要求有影响的工作人员具备必要的能力；应建立并保持适宜的产品生产、检验试验、储存等必备的环境和设施。</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对于需以租赁方式使用的外部资源，工厂应确保外部资源的持续可获得性和正确使用；工厂应保存与外部资源相关的记录，如合同协议、使用记录等。</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B.2 文件和记录</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工厂应建立并保持文件化的程序，确保对本标准要求的，包括国家节能、环保、低碳、</w:t>
      </w:r>
      <w:r w:rsidRPr="00824367">
        <w:rPr>
          <w:rFonts w:asciiTheme="minorEastAsia" w:eastAsiaTheme="minorEastAsia" w:hAnsiTheme="minorEastAsia"/>
          <w:kern w:val="6"/>
          <w:sz w:val="21"/>
          <w:szCs w:val="21"/>
        </w:rPr>
        <w:lastRenderedPageBreak/>
        <w:t>能源消耗限额等法规性文件，与绿色建材产品评价相关的文件（如大气污染物、水体污染物、噪声排放监测报告等），以及其他必要的外来文件和记录进行有效控制。</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工厂应确保文件的充分性、适宜性及有效性。</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确保记录的清晰、完整、可追溯，以作为产品符合规定要求的证据。与绿色建材产品认证要求相关的记录保存期应满足法律法规的要求，确保在本次检查中能够获得前次检查后的记录，且至少不低于24个月。</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识别并保存与绿色建材产品认证相关的重要文件和信息，如污染物排放监测报告、能源审计报告、资源综合利用评价报告、产品型式试验报告、工厂检查结果、绿色建材产品认证证书状态信息（有效、暂停、撤销、注销等）、认证变更批准信息、监督抽样检验报告、产品质量、环保、安全投诉及处理结果，及其他与绿色建材产品评价认证相关的文件和信息等。</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B.3 影响产品绿色属性的重要因素控制</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工厂应建立并保持对影响产品资源、能源、环境和品质属性的重要因素的识别、评价和控制程序。工厂对于这些重要因素的评价与控制方法应符合绿色建材产品认证要求。</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0"/>
          <w:sz w:val="21"/>
          <w:szCs w:val="21"/>
        </w:rPr>
        <w:t>工厂应按照生命周期思想确定那些对绿色属性（如资源、能源、环境及品质等）具有重大影响，或可能具有重大影响的因素（如产品生产过程中影响其环境属性的大气污染物、水体污染物、噪声和一般固体废物、危险废物等）。工厂应建立并保存这些重要影响因素清单。</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0"/>
          <w:sz w:val="21"/>
          <w:szCs w:val="21"/>
        </w:rPr>
        <w:t>工厂应确保对这些影响产品绿色属性的重要因素采取措施加以控制，保持相关记录，并及时更新这方面的信息，以确保：</w:t>
      </w:r>
    </w:p>
    <w:p w:rsidR="00B31911" w:rsidRPr="00824367" w:rsidRDefault="00B31911" w:rsidP="00B31911">
      <w:pPr>
        <w:pStyle w:val="a8"/>
        <w:numPr>
          <w:ilvl w:val="0"/>
          <w:numId w:val="16"/>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影响产品绿色属性的安全保障装置、安全生产防护措施、资源与能源监视计量设备、污染处理设备等有效配配置并保持校准、检定、维护；</w:t>
      </w:r>
    </w:p>
    <w:p w:rsidR="00B31911" w:rsidRPr="00824367" w:rsidRDefault="00B31911" w:rsidP="00B31911">
      <w:pPr>
        <w:pStyle w:val="a8"/>
        <w:numPr>
          <w:ilvl w:val="0"/>
          <w:numId w:val="16"/>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相关人员能正确使用这些仪器、设备、设施，准确理解并掌握对影响产品绿色属性的重要因素进行控制的要求，并有效实施。</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B.4 设计/开发</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工厂应建立并保持绿色建材产品设计/开发程序。制定产品的设计标准或规范，其要求应不低于相关产品认证标准或技术要求。对可能影响产品一致性的主要内容，工厂应有必要</w:t>
      </w:r>
      <w:r w:rsidRPr="00824367">
        <w:rPr>
          <w:rFonts w:asciiTheme="minorEastAsia" w:eastAsiaTheme="minorEastAsia" w:hAnsiTheme="minorEastAsia"/>
          <w:kern w:val="6"/>
          <w:sz w:val="21"/>
          <w:szCs w:val="21"/>
        </w:rPr>
        <w:lastRenderedPageBreak/>
        <w:t>的图纸、样板、关键件清单、工艺文件、作业指导书、产品验收准则等设计文件，并确保文件的持续有效性。</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对产品进行设计/开发策划，在设计/开发文件中确定的产品主要绿色属性指标应满足相应标准或技术要求。工厂应对产品主要技术参数、结构、关键件、加工工艺、过程控制、检验等提出明确要求，并使其满足绿色建材产品认证要求。</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工厂应对设计/开发结果进行评审、验证和确认，以确保设计/开发输出（结果）满足输入要求，满足规定的使用要求或已知的预期用途的要求。</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工厂应保存产品的设计评审/设计验证/设计确认的记录，记录应能够体现主要性能指标和绿色建材产品认证指标评价的实现过程和结果。</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B.5 关键原材料的采购与控制</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B.5.1 关键原材料的采购</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对于采购的关键原材料，工厂应按照产品设计/开发文件中对关键原材料的要求实施采购控制。工厂应识别并在采购文件中明确其技术要求，该技术要求还应确保最终产品满足绿色建材产品认证要求。</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工厂应建立并保持文件化的程序，并依据相关程序对采购关键原材料的技术要求进行验证和/或检验并保存相关记录。</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工厂应建立、保持关键原材料合格供应商（制造商）/生产企业名录，持续开展供应商评价活动。</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工厂应保存关键原材料采购记录，如进货单、出入库单、台帐等。</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B.5.2 关键原材料的控制</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选择适当的控制方式以确保关键原材料满足相关技术要求，而通过关键原材料制备/组装的最终产品应满足绿色建材产品认证要求。工厂并保存关键原材料的使用记录，并对最终产品定期进行绿色建材产品符合性确认。</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对于委托分包方生产的关键原材料、半成品等，工厂应按采购</w:t>
      </w:r>
      <w:proofErr w:type="gramStart"/>
      <w:r w:rsidRPr="00824367">
        <w:rPr>
          <w:rFonts w:asciiTheme="minorEastAsia" w:eastAsiaTheme="minorEastAsia" w:hAnsiTheme="minorEastAsia"/>
          <w:kern w:val="6"/>
          <w:sz w:val="21"/>
          <w:szCs w:val="21"/>
        </w:rPr>
        <w:t>关键关键</w:t>
      </w:r>
      <w:proofErr w:type="gramEnd"/>
      <w:r w:rsidRPr="00824367">
        <w:rPr>
          <w:rFonts w:asciiTheme="minorEastAsia" w:eastAsiaTheme="minorEastAsia" w:hAnsiTheme="minorEastAsia"/>
          <w:kern w:val="6"/>
          <w:sz w:val="21"/>
          <w:szCs w:val="21"/>
        </w:rPr>
        <w:t>原材料的程序及要求进行控制，以确保分包生产的关键原材料、半成品持续满足规定要求。</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对于自产的关键原材料，按“B.6 生产过程控制”进行控制。</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lastRenderedPageBreak/>
        <w:t>B.6 生产过程控制</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对影响认证产品性能的关键工序（简称关键工序）进行识别，所识别的关键工序应符合规定要求。关键工序操作人员应具备相应的能力；关键工序的控制应确保认证产品与标准的符合性、产品一致性；如果关键工序没有文件规定就不能保证认证产品性能时，则应制定相应的文件，使生产过程受控。工厂应保持关键过程控制记录。</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产品生产过程如对环境条件有特殊要求,工厂应保证工作环境满足规定要求。</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必要时，工厂应对适宜的过程参数进行监视、测量。</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工厂应建立并保持对生产设备的维护保养制度，以确保设备的能力持续满足生产要求。</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必要时，工厂应按规定要求在生产的适当阶段对产品及其特性进行检查、监视、测量，以确保产品与标准的符合性及产品一致性。</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B.7 出厂检验和/或型式检验</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工厂应建立并保持文件化的程序，对最终产品的出厂检验和/或型式检验进行控制；检验程序应符合规定要求，内容应包括检验频次、项目、内容、方法、判定等。工厂应保存相关检验记录。</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出厂检验和/或型式检验的结果可包括：工厂自行出具的检验报告、第三方实验室检验报告、</w:t>
      </w:r>
      <w:proofErr w:type="gramStart"/>
      <w:r w:rsidRPr="00824367">
        <w:rPr>
          <w:rFonts w:asciiTheme="minorEastAsia" w:eastAsiaTheme="minorEastAsia" w:hAnsiTheme="minorEastAsia"/>
          <w:kern w:val="6"/>
          <w:sz w:val="21"/>
          <w:szCs w:val="21"/>
        </w:rPr>
        <w:t>国抽或省抽</w:t>
      </w:r>
      <w:proofErr w:type="gramEnd"/>
      <w:r w:rsidRPr="00824367">
        <w:rPr>
          <w:rFonts w:asciiTheme="minorEastAsia" w:eastAsiaTheme="minorEastAsia" w:hAnsiTheme="minorEastAsia"/>
          <w:kern w:val="6"/>
          <w:sz w:val="21"/>
          <w:szCs w:val="21"/>
        </w:rPr>
        <w:t>检验报告、产品型式试验报告、监督抽样检验报告等。</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对于委托外部机构进行的检验，工厂</w:t>
      </w:r>
      <w:proofErr w:type="gramStart"/>
      <w:r w:rsidRPr="00824367">
        <w:rPr>
          <w:rFonts w:asciiTheme="minorEastAsia" w:eastAsiaTheme="minorEastAsia" w:hAnsiTheme="minorEastAsia"/>
          <w:kern w:val="6"/>
          <w:sz w:val="21"/>
          <w:szCs w:val="21"/>
        </w:rPr>
        <w:t>应评价</w:t>
      </w:r>
      <w:proofErr w:type="gramEnd"/>
      <w:r w:rsidRPr="00824367">
        <w:rPr>
          <w:rFonts w:asciiTheme="minorEastAsia" w:eastAsiaTheme="minorEastAsia" w:hAnsiTheme="minorEastAsia"/>
          <w:kern w:val="6"/>
          <w:sz w:val="21"/>
          <w:szCs w:val="21"/>
        </w:rPr>
        <w:t>并确认外部机构的能力满足检验要求，并保存相关能力评价、确认结果（如实验室认可的检测能力范围等）。</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产品生产过程若需进行例行检验和/或确认检验，则B.7条款所提要求适用于例行检验和/或确认检验。</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B.8 检验、试验设备</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B.8.1基本要求</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工厂应配备必要的检验、试验设备，并确保设备的检验、试验能力持续满足采购、生产制造、检验、试验等环节的要求。检验、试验人员应通过培训，并熟练掌握检验、试验方法。</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B.8.2检定、校准</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lastRenderedPageBreak/>
        <w:t>检验、试验设备应按规定的周期进行检定或校准，检定、校准过程应溯源至国家或国际基准。</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工厂应规定校准方法、验收准则和校准周期等，其中校准周期可按仪器设备的使用频率、前次校准情况等设定。</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仪器设备的校准或检定状态应能被使用及管理人员方便识别。工厂应保存仪器设备的校准和检定记录。</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当委托外部机构进行检定和校准活动时，应确保外部机构的能力满足相关要求，并保存其能力证明文件（如资质证书等）。</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B.8.3功能检查</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必要时，工厂应按规定要求对例行检验设备实施功能检查。当发现功能检查结果不能满足要求时，应能追溯至已检验过的产品；必要时，应对这些产品重新检验。工厂应规定操作人员在发现仪器设备功能失效时需采取的措施。</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工厂应保存功能检查结果及仪器设备功能失效时所采取措施的记录。</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B.9 不合格品的控制</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对于采购、生产制造、检验等环节中发现的不合格品，工厂应采取标识、隔离、处置等措施，避免不合格品的非预期使用或交付。返工或返修后的产品应重新检验。</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当不合格品的处置及纠正过程可能对周边环境及人员健康、安全造成负面影响时，工厂应采取适当措施消除或降低不合格品处置及纠正过程的负面影响。</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对于国家级和省级监督抽查、产品召回、顾客投诉及抱怨等来自外部的认证产品不合格信息，工厂应分析不合格产生的原因，并采取适当的纠正措施。工厂应保存认证产品的不合格信息、原因分析、处置及纠正措施等记录。</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当工厂获知认证产品存在重大质量问题（如国家级和省级监督抽查不合格等）或安全、环保问题时，应及时将相关信息告知认证机构。</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B.10 内部审核</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工厂应建立文件化内部质量审核程序，确保认证产品的一致性、认证产品与标准的符合</w:t>
      </w:r>
      <w:r w:rsidRPr="00824367">
        <w:rPr>
          <w:rFonts w:asciiTheme="minorEastAsia" w:eastAsiaTheme="minorEastAsia" w:hAnsiTheme="minorEastAsia"/>
          <w:kern w:val="6"/>
          <w:sz w:val="21"/>
          <w:szCs w:val="21"/>
        </w:rPr>
        <w:lastRenderedPageBreak/>
        <w:t>性、工厂保证能力的持续符合性。</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对内部审核中发现的问题，工厂应采取适当的纠正措施。</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工厂应保存内部审核的结果。</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B.11 认证产品的变更及一致性控制</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工厂应建立并保持文件化的程序，对可能影响认证产品一致性及认证产品与标准的符合性的变更进行控制，程序应符合规定要求。认证产品的变更应得到认证机构批准后方可实施，工厂应保存相关记录。</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工厂应从产品设计（设计变更）、工艺和资源、采购、生产制造、检验、产品防护与交付等适用的环节，对产品一致性进行控制，以确保产品持续符合要求。</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工厂应配合检查员抽取现场合格产品进行一致性核查，并进行产品指定试验。</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B.12 产品防护与交付</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工厂在采购、生产制造、检验等环节所进行的产品防护，如标识、搬运、包装、贮存、保护等活动应符合规定要求。必要时，工厂应按规定要求对产品的交付过程进行控制。</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产品的包装、搬运和储存等过程应消除或降低对周边环境及人员健康、安全的负面影响。</w:t>
      </w:r>
    </w:p>
    <w:p w:rsidR="00B31911" w:rsidRPr="00CD3335" w:rsidRDefault="00B31911" w:rsidP="00B31911">
      <w:pPr>
        <w:widowControl/>
        <w:spacing w:beforeLines="100" w:before="326" w:afterLines="100" w:after="326" w:line="240" w:lineRule="auto"/>
        <w:rPr>
          <w:rFonts w:ascii="黑体" w:eastAsia="黑体" w:hAnsi="黑体"/>
          <w:kern w:val="6"/>
          <w:sz w:val="21"/>
          <w:szCs w:val="21"/>
        </w:rPr>
      </w:pPr>
      <w:r w:rsidRPr="00CD3335">
        <w:rPr>
          <w:rFonts w:ascii="黑体" w:eastAsia="黑体" w:hAnsi="黑体"/>
          <w:kern w:val="6"/>
          <w:sz w:val="21"/>
          <w:szCs w:val="21"/>
        </w:rPr>
        <w:t>B.13 绿色建材产品认证证书和标志</w:t>
      </w:r>
    </w:p>
    <w:p w:rsidR="00B31911" w:rsidRPr="00824367" w:rsidRDefault="00B31911" w:rsidP="00B31911">
      <w:pPr>
        <w:ind w:firstLineChars="200" w:firstLine="420"/>
        <w:rPr>
          <w:rFonts w:asciiTheme="minorEastAsia" w:eastAsiaTheme="minorEastAsia" w:hAnsiTheme="minorEastAsia"/>
          <w:kern w:val="6"/>
          <w:sz w:val="21"/>
          <w:szCs w:val="21"/>
        </w:rPr>
      </w:pPr>
      <w:r w:rsidRPr="00824367">
        <w:rPr>
          <w:rFonts w:asciiTheme="minorEastAsia" w:eastAsiaTheme="minorEastAsia" w:hAnsiTheme="minorEastAsia"/>
          <w:kern w:val="6"/>
          <w:sz w:val="21"/>
          <w:szCs w:val="21"/>
        </w:rPr>
        <w:t>工厂对绿色建材产品认证证书和标志的管理及使用应符合《绿色建材产品标识管理办法》及认证机构的相关要求。对于统一印制的标准规格的绿色建材产品认证标志或采用印刷、模压等方式加施的绿色建材产品认证标志，工厂应保存使用记录。对于下列产品，不得加施绿色建材产品认证标志或放行：</w:t>
      </w:r>
    </w:p>
    <w:p w:rsidR="00B31911" w:rsidRPr="00824367" w:rsidRDefault="00B31911" w:rsidP="00B31911">
      <w:pPr>
        <w:pStyle w:val="a8"/>
        <w:numPr>
          <w:ilvl w:val="0"/>
          <w:numId w:val="17"/>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未获认证的绿色建材产品认证目录内产品；</w:t>
      </w:r>
    </w:p>
    <w:p w:rsidR="00B31911" w:rsidRPr="00824367" w:rsidRDefault="00B31911" w:rsidP="00B31911">
      <w:pPr>
        <w:pStyle w:val="a8"/>
        <w:numPr>
          <w:ilvl w:val="0"/>
          <w:numId w:val="17"/>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获证后的变更需经认证机构确认，但未经确认的产品；</w:t>
      </w:r>
    </w:p>
    <w:p w:rsidR="00B31911" w:rsidRPr="00824367" w:rsidRDefault="00B31911" w:rsidP="00B31911">
      <w:pPr>
        <w:pStyle w:val="a8"/>
        <w:numPr>
          <w:ilvl w:val="0"/>
          <w:numId w:val="17"/>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超过认证有效期的产品；</w:t>
      </w:r>
    </w:p>
    <w:p w:rsidR="00B31911" w:rsidRPr="00824367" w:rsidRDefault="00B31911" w:rsidP="00B31911">
      <w:pPr>
        <w:pStyle w:val="a8"/>
        <w:numPr>
          <w:ilvl w:val="0"/>
          <w:numId w:val="17"/>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已暂停、撤销、注销的证书所列产品；</w:t>
      </w:r>
    </w:p>
    <w:p w:rsidR="00B31911" w:rsidRPr="00824367" w:rsidRDefault="00B31911" w:rsidP="00B31911">
      <w:pPr>
        <w:pStyle w:val="a8"/>
        <w:numPr>
          <w:ilvl w:val="0"/>
          <w:numId w:val="17"/>
        </w:numPr>
        <w:ind w:left="851" w:firstLineChars="0" w:hanging="425"/>
        <w:rPr>
          <w:rFonts w:asciiTheme="minorEastAsia" w:eastAsiaTheme="minorEastAsia" w:hAnsiTheme="minorEastAsia"/>
          <w:kern w:val="0"/>
          <w:sz w:val="21"/>
          <w:szCs w:val="21"/>
        </w:rPr>
      </w:pPr>
      <w:r w:rsidRPr="00824367">
        <w:rPr>
          <w:rFonts w:asciiTheme="minorEastAsia" w:eastAsiaTheme="minorEastAsia" w:hAnsiTheme="minorEastAsia"/>
          <w:kern w:val="0"/>
          <w:sz w:val="21"/>
          <w:szCs w:val="21"/>
        </w:rPr>
        <w:t>不合格产品。</w:t>
      </w:r>
    </w:p>
    <w:p w:rsidR="00B31911" w:rsidRDefault="00B31911" w:rsidP="00B31911"/>
    <w:sectPr w:rsidR="00B31911" w:rsidSect="00B31911">
      <w:footerReference w:type="default" r:id="rId10"/>
      <w:pgSz w:w="11906" w:h="16838"/>
      <w:pgMar w:top="1440" w:right="1800" w:bottom="1440" w:left="1800" w:header="851" w:footer="454"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72C" w:rsidRDefault="0020772C" w:rsidP="00B2560C">
      <w:pPr>
        <w:spacing w:line="240" w:lineRule="auto"/>
      </w:pPr>
      <w:r>
        <w:separator/>
      </w:r>
    </w:p>
  </w:endnote>
  <w:endnote w:type="continuationSeparator" w:id="0">
    <w:p w:rsidR="0020772C" w:rsidRDefault="0020772C" w:rsidP="00B256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911" w:rsidRDefault="00B31911">
    <w:pPr>
      <w:pStyle w:val="a7"/>
      <w:jc w:val="center"/>
    </w:pPr>
  </w:p>
  <w:p w:rsidR="00B31911" w:rsidRDefault="00B3191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972764"/>
      <w:docPartObj>
        <w:docPartGallery w:val="Page Numbers (Bottom of Page)"/>
        <w:docPartUnique/>
      </w:docPartObj>
    </w:sdtPr>
    <w:sdtEndPr>
      <w:rPr>
        <w:rFonts w:asciiTheme="minorEastAsia" w:eastAsiaTheme="minorEastAsia" w:hAnsiTheme="minorEastAsia"/>
      </w:rPr>
    </w:sdtEndPr>
    <w:sdtContent>
      <w:p w:rsidR="00B31911" w:rsidRPr="00B31911" w:rsidRDefault="00B31911">
        <w:pPr>
          <w:pStyle w:val="a7"/>
          <w:jc w:val="center"/>
          <w:rPr>
            <w:rFonts w:asciiTheme="minorEastAsia" w:eastAsiaTheme="minorEastAsia" w:hAnsiTheme="minorEastAsia"/>
          </w:rPr>
        </w:pPr>
        <w:r w:rsidRPr="00B31911">
          <w:rPr>
            <w:rFonts w:asciiTheme="minorEastAsia" w:eastAsiaTheme="minorEastAsia" w:hAnsiTheme="minorEastAsia"/>
          </w:rPr>
          <w:fldChar w:fldCharType="begin"/>
        </w:r>
        <w:r w:rsidRPr="00B31911">
          <w:rPr>
            <w:rFonts w:asciiTheme="minorEastAsia" w:eastAsiaTheme="minorEastAsia" w:hAnsiTheme="minorEastAsia"/>
          </w:rPr>
          <w:instrText>PAGE   \* MERGEFORMAT</w:instrText>
        </w:r>
        <w:r w:rsidRPr="00B31911">
          <w:rPr>
            <w:rFonts w:asciiTheme="minorEastAsia" w:eastAsiaTheme="minorEastAsia" w:hAnsiTheme="minorEastAsia"/>
          </w:rPr>
          <w:fldChar w:fldCharType="separate"/>
        </w:r>
        <w:r w:rsidR="00EC1124" w:rsidRPr="00EC1124">
          <w:rPr>
            <w:rFonts w:asciiTheme="minorEastAsia" w:eastAsiaTheme="minorEastAsia" w:hAnsiTheme="minorEastAsia"/>
            <w:noProof/>
            <w:lang w:val="zh-CN"/>
          </w:rPr>
          <w:t>1</w:t>
        </w:r>
        <w:r w:rsidRPr="00B31911">
          <w:rPr>
            <w:rFonts w:asciiTheme="minorEastAsia" w:eastAsiaTheme="minorEastAsia" w:hAnsiTheme="minorEastAsia"/>
          </w:rPr>
          <w:fldChar w:fldCharType="end"/>
        </w:r>
      </w:p>
    </w:sdtContent>
  </w:sdt>
  <w:p w:rsidR="00B31911" w:rsidRDefault="00B3191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72C" w:rsidRDefault="0020772C" w:rsidP="00B2560C">
      <w:pPr>
        <w:spacing w:line="240" w:lineRule="auto"/>
      </w:pPr>
      <w:r>
        <w:separator/>
      </w:r>
    </w:p>
  </w:footnote>
  <w:footnote w:type="continuationSeparator" w:id="0">
    <w:p w:rsidR="0020772C" w:rsidRDefault="0020772C" w:rsidP="00B2560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2949"/>
    <w:multiLevelType w:val="multilevel"/>
    <w:tmpl w:val="7BD4F406"/>
    <w:lvl w:ilvl="0">
      <w:start w:val="1"/>
      <w:numFmt w:val="decimal"/>
      <w:lvlText w:val="%1."/>
      <w:lvlJc w:val="left"/>
      <w:pPr>
        <w:ind w:left="375" w:hanging="375"/>
      </w:pPr>
      <w:rPr>
        <w:rFonts w:hint="default"/>
      </w:rPr>
    </w:lvl>
    <w:lvl w:ilvl="1">
      <w:start w:val="1"/>
      <w:numFmt w:val="decimal"/>
      <w:lvlText w:val="%2)"/>
      <w:lvlJc w:val="left"/>
      <w:pPr>
        <w:ind w:left="465" w:hanging="465"/>
      </w:pPr>
      <w:rPr>
        <w:rFonts w:hint="eastAsia"/>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63670D5"/>
    <w:multiLevelType w:val="multilevel"/>
    <w:tmpl w:val="D216556A"/>
    <w:lvl w:ilvl="0">
      <w:start w:val="1"/>
      <w:numFmt w:val="lowerLetter"/>
      <w:lvlText w:val="%1) "/>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0A145335"/>
    <w:multiLevelType w:val="multilevel"/>
    <w:tmpl w:val="0C610DC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C610DCA"/>
    <w:multiLevelType w:val="multilevel"/>
    <w:tmpl w:val="0C610DC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1C8B3606"/>
    <w:multiLevelType w:val="multilevel"/>
    <w:tmpl w:val="0C610DC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D015D65"/>
    <w:multiLevelType w:val="multilevel"/>
    <w:tmpl w:val="2EC814D8"/>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b w:val="0"/>
      </w:rPr>
    </w:lvl>
    <w:lvl w:ilvl="2">
      <w:start w:val="1"/>
      <w:numFmt w:val="decimal"/>
      <w:lvlText w:val="%1.%2.%3"/>
      <w:lvlJc w:val="left"/>
      <w:pPr>
        <w:ind w:left="1418" w:hanging="567"/>
      </w:pPr>
      <w:rPr>
        <w:rFonts w:asciiTheme="minorHAnsi" w:hAnsiTheme="minorHAnsi" w:cstheme="minorHAnsi"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218B02C5"/>
    <w:multiLevelType w:val="multilevel"/>
    <w:tmpl w:val="DB3E6C80"/>
    <w:lvl w:ilvl="0">
      <w:start w:val="1"/>
      <w:numFmt w:val="decimal"/>
      <w:lvlText w:val="%1"/>
      <w:lvlJc w:val="left"/>
      <w:pPr>
        <w:ind w:left="425" w:hanging="425"/>
      </w:pPr>
      <w:rPr>
        <w:rFonts w:hint="eastAsia"/>
      </w:rPr>
    </w:lvl>
    <w:lvl w:ilvl="1">
      <w:start w:val="1"/>
      <w:numFmt w:val="decimal"/>
      <w:lvlText w:val="6.2.%2"/>
      <w:lvlJc w:val="left"/>
      <w:pPr>
        <w:ind w:left="567" w:hanging="567"/>
      </w:pPr>
      <w:rPr>
        <w:rFonts w:hint="eastAsia"/>
        <w:b w:val="0"/>
      </w:rPr>
    </w:lvl>
    <w:lvl w:ilvl="2">
      <w:start w:val="1"/>
      <w:numFmt w:val="decimal"/>
      <w:lvlText w:val="%1.%2.%3"/>
      <w:lvlJc w:val="left"/>
      <w:pPr>
        <w:ind w:left="1418" w:hanging="567"/>
      </w:pPr>
      <w:rPr>
        <w:rFonts w:asciiTheme="minorHAnsi" w:hAnsiTheme="minorHAnsi" w:cstheme="minorHAnsi"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2C3A6E3E"/>
    <w:multiLevelType w:val="multilevel"/>
    <w:tmpl w:val="0C610DC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2DA0016D"/>
    <w:multiLevelType w:val="multilevel"/>
    <w:tmpl w:val="0C610DC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3052694C"/>
    <w:multiLevelType w:val="multilevel"/>
    <w:tmpl w:val="0C610DC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3CB526F0"/>
    <w:multiLevelType w:val="multilevel"/>
    <w:tmpl w:val="0C610DC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4FE82E5A"/>
    <w:multiLevelType w:val="multilevel"/>
    <w:tmpl w:val="0C610DC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50616D8B"/>
    <w:multiLevelType w:val="multilevel"/>
    <w:tmpl w:val="7A6CFC38"/>
    <w:lvl w:ilvl="0">
      <w:start w:val="1"/>
      <w:numFmt w:val="decimal"/>
      <w:lvlText w:val="%1."/>
      <w:lvlJc w:val="left"/>
      <w:pPr>
        <w:ind w:left="420" w:hanging="420"/>
      </w:pPr>
      <w:rPr>
        <w:rFonts w:ascii="黑体" w:eastAsia="黑体" w:hAnsi="黑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5CB2358"/>
    <w:multiLevelType w:val="multilevel"/>
    <w:tmpl w:val="0C610DC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5C283D92"/>
    <w:multiLevelType w:val="multilevel"/>
    <w:tmpl w:val="5C283D92"/>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5">
    <w:nsid w:val="626E6EC2"/>
    <w:multiLevelType w:val="multilevel"/>
    <w:tmpl w:val="626E6EC2"/>
    <w:lvl w:ilvl="0">
      <w:start w:val="1"/>
      <w:numFmt w:val="decimal"/>
      <w:lvlText w:val="%1)"/>
      <w:lvlJc w:val="left"/>
      <w:pPr>
        <w:ind w:left="900" w:hanging="420"/>
      </w:pPr>
    </w:lvl>
    <w:lvl w:ilvl="1">
      <w:start w:val="1"/>
      <w:numFmt w:val="lowerLetter"/>
      <w:lvlText w:val="%2)"/>
      <w:lvlJc w:val="left"/>
      <w:pPr>
        <w:ind w:left="1320" w:hanging="420"/>
      </w:pPr>
    </w:lvl>
    <w:lvl w:ilvl="2">
      <w:start w:val="1"/>
      <w:numFmt w:val="decimal"/>
      <w:lvlText w:val="%3）"/>
      <w:lvlJc w:val="left"/>
      <w:pPr>
        <w:ind w:left="2100" w:hanging="780"/>
      </w:pPr>
      <w:rPr>
        <w:rFonts w:asciiTheme="minorEastAsia" w:eastAsiaTheme="minorEastAsia" w:hAnsiTheme="minorEastAsia" w:cs="宋体"/>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690E0297"/>
    <w:multiLevelType w:val="multilevel"/>
    <w:tmpl w:val="0C610DC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7D92299F"/>
    <w:multiLevelType w:val="hybridMultilevel"/>
    <w:tmpl w:val="E9309B38"/>
    <w:lvl w:ilvl="0" w:tplc="5532F9E2">
      <w:start w:val="1"/>
      <w:numFmt w:val="decimal"/>
      <w:pStyle w:val="a"/>
      <w:lvlText w:val="%1．"/>
      <w:lvlJc w:val="left"/>
      <w:pPr>
        <w:ind w:left="840" w:hanging="360"/>
      </w:pPr>
      <w:rPr>
        <w:rFonts w:hint="default"/>
      </w:rPr>
    </w:lvl>
    <w:lvl w:ilvl="1" w:tplc="04090019" w:tentative="1">
      <w:start w:val="1"/>
      <w:numFmt w:val="lowerLetter"/>
      <w:pStyle w:val="a0"/>
      <w:lvlText w:val="%2)"/>
      <w:lvlJc w:val="left"/>
      <w:pPr>
        <w:ind w:left="1320" w:hanging="420"/>
      </w:pPr>
    </w:lvl>
    <w:lvl w:ilvl="2" w:tplc="0409001B" w:tentative="1">
      <w:start w:val="1"/>
      <w:numFmt w:val="lowerRoman"/>
      <w:pStyle w:val="a1"/>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7"/>
  </w:num>
  <w:num w:numId="2">
    <w:abstractNumId w:val="12"/>
  </w:num>
  <w:num w:numId="3">
    <w:abstractNumId w:val="3"/>
  </w:num>
  <w:num w:numId="4">
    <w:abstractNumId w:val="15"/>
  </w:num>
  <w:num w:numId="5">
    <w:abstractNumId w:val="8"/>
  </w:num>
  <w:num w:numId="6">
    <w:abstractNumId w:val="1"/>
  </w:num>
  <w:num w:numId="7">
    <w:abstractNumId w:val="7"/>
  </w:num>
  <w:num w:numId="8">
    <w:abstractNumId w:val="9"/>
  </w:num>
  <w:num w:numId="9">
    <w:abstractNumId w:val="13"/>
  </w:num>
  <w:num w:numId="10">
    <w:abstractNumId w:val="10"/>
  </w:num>
  <w:num w:numId="11">
    <w:abstractNumId w:val="2"/>
  </w:num>
  <w:num w:numId="12">
    <w:abstractNumId w:val="5"/>
  </w:num>
  <w:num w:numId="13">
    <w:abstractNumId w:val="6"/>
  </w:num>
  <w:num w:numId="14">
    <w:abstractNumId w:val="0"/>
  </w:num>
  <w:num w:numId="15">
    <w:abstractNumId w:val="16"/>
  </w:num>
  <w:num w:numId="16">
    <w:abstractNumId w:val="11"/>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01"/>
    <w:rsid w:val="0012237A"/>
    <w:rsid w:val="0020772C"/>
    <w:rsid w:val="004F7301"/>
    <w:rsid w:val="005A6653"/>
    <w:rsid w:val="00A93001"/>
    <w:rsid w:val="00B2560C"/>
    <w:rsid w:val="00B31911"/>
    <w:rsid w:val="00E03911"/>
    <w:rsid w:val="00EC1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CE2B25-7940-4C2C-8C66-E5EC4D0B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2560C"/>
    <w:pPr>
      <w:widowControl w:val="0"/>
      <w:spacing w:line="360" w:lineRule="auto"/>
      <w:jc w:val="both"/>
    </w:pPr>
    <w:rPr>
      <w:rFonts w:ascii="Times New Roman" w:eastAsia="宋体" w:hAnsi="Times New Roman" w:cs="Times New Roman"/>
      <w:sz w:val="24"/>
    </w:rPr>
  </w:style>
  <w:style w:type="paragraph" w:styleId="1">
    <w:name w:val="heading 1"/>
    <w:next w:val="a2"/>
    <w:link w:val="1Char"/>
    <w:qFormat/>
    <w:rsid w:val="00B2560C"/>
    <w:pPr>
      <w:keepNext/>
      <w:keepLines/>
      <w:pageBreakBefore/>
      <w:spacing w:before="360" w:after="360"/>
      <w:jc w:val="center"/>
      <w:outlineLvl w:val="0"/>
    </w:pPr>
    <w:rPr>
      <w:rFonts w:ascii="Times New Roman" w:eastAsia="宋体" w:hAnsi="Times New Roman" w:cs="Times New Roman"/>
      <w:b/>
      <w:bCs/>
      <w:kern w:val="44"/>
      <w:sz w:val="30"/>
      <w:szCs w:val="44"/>
    </w:rPr>
  </w:style>
  <w:style w:type="paragraph" w:styleId="2">
    <w:name w:val="heading 2"/>
    <w:next w:val="a2"/>
    <w:link w:val="2Char"/>
    <w:unhideWhenUsed/>
    <w:qFormat/>
    <w:rsid w:val="00B2560C"/>
    <w:pPr>
      <w:keepNext/>
      <w:keepLines/>
      <w:spacing w:before="360" w:after="360"/>
      <w:jc w:val="center"/>
      <w:outlineLvl w:val="1"/>
    </w:pPr>
    <w:rPr>
      <w:rFonts w:ascii="Times New Roman" w:eastAsia="黑体" w:hAnsi="Times New Roman" w:cs="Times New Roman"/>
      <w:bCs/>
      <w:sz w:val="24"/>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unhideWhenUsed/>
    <w:rsid w:val="00B256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uiPriority w:val="99"/>
    <w:rsid w:val="00B2560C"/>
    <w:rPr>
      <w:sz w:val="18"/>
      <w:szCs w:val="18"/>
    </w:rPr>
  </w:style>
  <w:style w:type="paragraph" w:styleId="a7">
    <w:name w:val="footer"/>
    <w:basedOn w:val="a2"/>
    <w:link w:val="Char0"/>
    <w:uiPriority w:val="99"/>
    <w:unhideWhenUsed/>
    <w:rsid w:val="00B2560C"/>
    <w:pPr>
      <w:tabs>
        <w:tab w:val="center" w:pos="4153"/>
        <w:tab w:val="right" w:pos="8306"/>
      </w:tabs>
      <w:snapToGrid w:val="0"/>
      <w:jc w:val="left"/>
    </w:pPr>
    <w:rPr>
      <w:sz w:val="18"/>
      <w:szCs w:val="18"/>
    </w:rPr>
  </w:style>
  <w:style w:type="character" w:customStyle="1" w:styleId="Char0">
    <w:name w:val="页脚 Char"/>
    <w:basedOn w:val="a3"/>
    <w:link w:val="a7"/>
    <w:uiPriority w:val="99"/>
    <w:rsid w:val="00B2560C"/>
    <w:rPr>
      <w:sz w:val="18"/>
      <w:szCs w:val="18"/>
    </w:rPr>
  </w:style>
  <w:style w:type="character" w:customStyle="1" w:styleId="1Char">
    <w:name w:val="标题 1 Char"/>
    <w:basedOn w:val="a3"/>
    <w:link w:val="1"/>
    <w:rsid w:val="00B2560C"/>
    <w:rPr>
      <w:rFonts w:ascii="Times New Roman" w:eastAsia="宋体" w:hAnsi="Times New Roman" w:cs="Times New Roman"/>
      <w:b/>
      <w:bCs/>
      <w:kern w:val="44"/>
      <w:sz w:val="30"/>
      <w:szCs w:val="44"/>
    </w:rPr>
  </w:style>
  <w:style w:type="character" w:customStyle="1" w:styleId="2Char">
    <w:name w:val="标题 2 Char"/>
    <w:basedOn w:val="a3"/>
    <w:link w:val="2"/>
    <w:rsid w:val="00B2560C"/>
    <w:rPr>
      <w:rFonts w:ascii="Times New Roman" w:eastAsia="黑体" w:hAnsi="Times New Roman" w:cs="Times New Roman"/>
      <w:bCs/>
      <w:sz w:val="24"/>
      <w:szCs w:val="32"/>
    </w:rPr>
  </w:style>
  <w:style w:type="paragraph" w:styleId="a8">
    <w:name w:val="List Paragraph"/>
    <w:basedOn w:val="a2"/>
    <w:uiPriority w:val="99"/>
    <w:qFormat/>
    <w:rsid w:val="00B2560C"/>
    <w:pPr>
      <w:ind w:firstLineChars="200" w:firstLine="420"/>
    </w:pPr>
  </w:style>
  <w:style w:type="paragraph" w:customStyle="1" w:styleId="a9">
    <w:name w:val="其他标准称谓"/>
    <w:next w:val="a2"/>
    <w:rsid w:val="00B2560C"/>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20">
    <w:name w:val="封面标准号2"/>
    <w:rsid w:val="00B2560C"/>
    <w:pPr>
      <w:framePr w:w="9140" w:h="1242" w:hRule="exact" w:hSpace="284" w:wrap="around" w:vAnchor="page" w:hAnchor="page" w:x="1645" w:y="2910" w:anchorLock="1"/>
      <w:jc w:val="right"/>
    </w:pPr>
    <w:rPr>
      <w:rFonts w:ascii="黑体" w:eastAsia="黑体" w:hAnsi="Times New Roman" w:cs="Times New Roman"/>
      <w:kern w:val="0"/>
      <w:sz w:val="28"/>
      <w:szCs w:val="28"/>
    </w:rPr>
  </w:style>
  <w:style w:type="paragraph" w:customStyle="1" w:styleId="aa">
    <w:name w:val="封面标准名称"/>
    <w:rsid w:val="00B2560C"/>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styleId="10">
    <w:name w:val="toc 1"/>
    <w:basedOn w:val="a2"/>
    <w:next w:val="a2"/>
    <w:autoRedefine/>
    <w:uiPriority w:val="39"/>
    <w:unhideWhenUsed/>
    <w:rsid w:val="00B2560C"/>
    <w:pPr>
      <w:keepNext/>
      <w:tabs>
        <w:tab w:val="right" w:leader="dot" w:pos="8828"/>
      </w:tabs>
      <w:spacing w:before="120" w:after="60" w:line="240" w:lineRule="auto"/>
      <w:ind w:firstLineChars="117" w:firstLine="282"/>
      <w:jc w:val="left"/>
    </w:pPr>
    <w:rPr>
      <w:rFonts w:ascii="Calibri" w:hAnsi="Calibri"/>
      <w:bCs/>
      <w:noProof/>
      <w:sz w:val="21"/>
      <w:szCs w:val="21"/>
    </w:rPr>
  </w:style>
  <w:style w:type="paragraph" w:styleId="21">
    <w:name w:val="toc 2"/>
    <w:basedOn w:val="a2"/>
    <w:next w:val="a2"/>
    <w:autoRedefine/>
    <w:uiPriority w:val="39"/>
    <w:unhideWhenUsed/>
    <w:rsid w:val="00B2560C"/>
    <w:pPr>
      <w:tabs>
        <w:tab w:val="right" w:leader="dot" w:pos="8828"/>
      </w:tabs>
      <w:ind w:left="238"/>
      <w:jc w:val="left"/>
    </w:pPr>
    <w:rPr>
      <w:noProof/>
      <w:sz w:val="21"/>
      <w:szCs w:val="20"/>
    </w:rPr>
  </w:style>
  <w:style w:type="paragraph" w:styleId="3">
    <w:name w:val="toc 3"/>
    <w:basedOn w:val="a2"/>
    <w:next w:val="a2"/>
    <w:autoRedefine/>
    <w:uiPriority w:val="39"/>
    <w:unhideWhenUsed/>
    <w:rsid w:val="00B2560C"/>
    <w:pPr>
      <w:tabs>
        <w:tab w:val="right" w:leader="dot" w:pos="8828"/>
      </w:tabs>
      <w:ind w:left="480"/>
      <w:jc w:val="left"/>
    </w:pPr>
    <w:rPr>
      <w:rFonts w:ascii="Calibri" w:eastAsia="黑体" w:hAnsi="Calibri"/>
      <w:i/>
      <w:iCs/>
      <w:noProof/>
      <w:sz w:val="20"/>
      <w:szCs w:val="20"/>
    </w:rPr>
  </w:style>
  <w:style w:type="paragraph" w:customStyle="1" w:styleId="ab">
    <w:name w:val="正文条目"/>
    <w:qFormat/>
    <w:rsid w:val="00B2560C"/>
    <w:pPr>
      <w:spacing w:line="360" w:lineRule="auto"/>
      <w:jc w:val="both"/>
    </w:pPr>
    <w:rPr>
      <w:rFonts w:ascii="Times New Roman" w:eastAsia="仿宋" w:hAnsi="Times New Roman" w:cs="Times New Roman"/>
      <w:sz w:val="24"/>
      <w:szCs w:val="24"/>
    </w:rPr>
  </w:style>
  <w:style w:type="paragraph" w:customStyle="1" w:styleId="a0">
    <w:name w:val="一级条标题"/>
    <w:next w:val="a2"/>
    <w:rsid w:val="00B2560C"/>
    <w:pPr>
      <w:numPr>
        <w:ilvl w:val="1"/>
        <w:numId w:val="1"/>
      </w:numPr>
      <w:spacing w:beforeLines="50" w:afterLines="50"/>
      <w:outlineLvl w:val="2"/>
    </w:pPr>
    <w:rPr>
      <w:rFonts w:ascii="黑体" w:eastAsia="黑体" w:hAnsi="Times New Roman" w:cs="Times New Roman"/>
      <w:kern w:val="0"/>
      <w:szCs w:val="21"/>
    </w:rPr>
  </w:style>
  <w:style w:type="paragraph" w:customStyle="1" w:styleId="a1">
    <w:name w:val="二级条标题"/>
    <w:basedOn w:val="a0"/>
    <w:next w:val="a2"/>
    <w:rsid w:val="00B2560C"/>
    <w:pPr>
      <w:numPr>
        <w:ilvl w:val="2"/>
      </w:numPr>
      <w:spacing w:before="50" w:after="50"/>
      <w:outlineLvl w:val="3"/>
    </w:pPr>
  </w:style>
  <w:style w:type="paragraph" w:customStyle="1" w:styleId="a">
    <w:name w:val="章标题"/>
    <w:next w:val="a2"/>
    <w:rsid w:val="00B2560C"/>
    <w:pPr>
      <w:numPr>
        <w:numId w:val="1"/>
      </w:numPr>
      <w:spacing w:beforeLines="100" w:afterLines="100"/>
      <w:jc w:val="both"/>
      <w:outlineLvl w:val="1"/>
    </w:pPr>
    <w:rPr>
      <w:rFonts w:ascii="黑体" w:eastAsia="黑体" w:hAnsi="Times New Roman" w:cs="Times New Roman"/>
      <w:kern w:val="0"/>
      <w:szCs w:val="20"/>
    </w:rPr>
  </w:style>
  <w:style w:type="paragraph" w:styleId="TOC">
    <w:name w:val="TOC Heading"/>
    <w:basedOn w:val="1"/>
    <w:next w:val="a2"/>
    <w:uiPriority w:val="39"/>
    <w:unhideWhenUsed/>
    <w:qFormat/>
    <w:rsid w:val="00B2560C"/>
    <w:pPr>
      <w:pageBreakBefore w:val="0"/>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ac">
    <w:name w:val="Hyperlink"/>
    <w:basedOn w:val="a3"/>
    <w:uiPriority w:val="99"/>
    <w:unhideWhenUsed/>
    <w:rsid w:val="00B319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FD575-5D5D-4C99-B94B-B6B88D645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2088</Words>
  <Characters>11908</Characters>
  <Application>Microsoft Office Word</Application>
  <DocSecurity>0</DocSecurity>
  <Lines>99</Lines>
  <Paragraphs>27</Paragraphs>
  <ScaleCrop>false</ScaleCrop>
  <Company/>
  <LinksUpToDate>false</LinksUpToDate>
  <CharactersWithSpaces>13969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陈鹏</dc:creator>
  <cp:keywords/>
  <dc:description/>
  <cp:lastModifiedBy>陈鹏</cp:lastModifiedBy>
  <cp:revision>5</cp:revision>
  <dcterms:created xsi:type="dcterms:W3CDTF">2020-07-02T05:58:00Z</dcterms:created>
  <dcterms:modified xsi:type="dcterms:W3CDTF">2020-07-02T06:33:00Z</dcterms:modified>
</cp:coreProperties>
</file>