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heme="minorEastAsia" w:hAnsiTheme="minorEastAsia" w:eastAsiaTheme="minorEastAsia" w:cstheme="minorEastAsia"/>
        </w:rPr>
      </w:pPr>
      <w:bookmarkStart w:id="0" w:name="_Hlk518993094"/>
      <w:bookmarkEnd w:id="0"/>
      <w:r>
        <w:rPr>
          <w:rFonts w:ascii="Times New Roman" w:hAnsi="Times New Roman" w:cs="Times New Roman" w:eastAsiaTheme="minorEastAsia"/>
          <w:sz w:val="96"/>
          <w:szCs w:val="96"/>
        </w:rPr>
        <w:t>CECS</w:t>
      </w:r>
      <w:r>
        <w:rPr>
          <w:rFonts w:ascii="Times New Roman" w:hAnsi="Times New Roman" w:cs="Times New Roman" w:eastAsiaTheme="minorEastAsia"/>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36"/>
          <w:szCs w:val="36"/>
        </w:rPr>
        <w:t xml:space="preserve"> T/CECS×××</w:t>
      </w:r>
    </w:p>
    <w:p>
      <w:pPr>
        <w:tabs>
          <w:tab w:val="left" w:pos="4833"/>
        </w:tabs>
        <w:rPr>
          <w:rFonts w:asciiTheme="minorEastAsia" w:hAnsiTheme="minorEastAsia" w:eastAsiaTheme="minorEastAsia" w:cstheme="minorEastAsia"/>
        </w:rPr>
      </w:pPr>
      <w:r>
        <w:rPr>
          <w:rFonts w:hint="eastAsia" w:asciiTheme="minorEastAsia" w:hAnsiTheme="minorEastAsia" w:eastAsiaTheme="minorEastAsia" w:cstheme="minorEastAsia"/>
        </w:rPr>
        <mc:AlternateContent>
          <mc:Choice Requires="wps">
            <w:drawing>
              <wp:anchor distT="0" distB="0" distL="114300" distR="114300" simplePos="0" relativeHeight="260797440" behindDoc="0" locked="0" layoutInCell="1" allowOverlap="1">
                <wp:simplePos x="0" y="0"/>
                <wp:positionH relativeFrom="column">
                  <wp:posOffset>-22860</wp:posOffset>
                </wp:positionH>
                <wp:positionV relativeFrom="paragraph">
                  <wp:posOffset>123190</wp:posOffset>
                </wp:positionV>
                <wp:extent cx="3940810" cy="0"/>
                <wp:effectExtent l="0" t="0" r="0" b="0"/>
                <wp:wrapNone/>
                <wp:docPr id="14" name="直接连接符 14"/>
                <wp:cNvGraphicFramePr/>
                <a:graphic xmlns:a="http://schemas.openxmlformats.org/drawingml/2006/main">
                  <a:graphicData uri="http://schemas.microsoft.com/office/word/2010/wordprocessingShape">
                    <wps:wsp>
                      <wps:cNvCnPr/>
                      <wps:spPr>
                        <a:xfrm>
                          <a:off x="516890" y="1653540"/>
                          <a:ext cx="3940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pt;margin-top:9.7pt;height:0pt;width:310.3pt;z-index:260797440;mso-width-relative:page;mso-height-relative:page;" filled="f" stroked="t" coordsize="21600,21600" o:gfxdata="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Vq0/1QAAAAgBAAAPAAAAAAAAAAEAIAAAACIA&#10;AABkcnMvZG93bnJldi54bWxQSwECFAAUAAAACACHTuJABXqNb9MBAABwAwAADgAAAAAAAAABACAA&#10;AAAkAQAAZHJzL2Uyb0RvYy54bWxQSwUGAAAAAAYABgBZAQAAaQUAAAAA&#10;">
                <v:fill on="f" focussize="0,0"/>
                <v:stroke weight="0.5pt" color="#000000 [3200]" miterlimit="8" joinstyle="miter"/>
                <v:imagedata o:title=""/>
                <o:lock v:ext="edit" aspectratio="f"/>
              </v:line>
            </w:pict>
          </mc:Fallback>
        </mc:AlternateContent>
      </w:r>
    </w:p>
    <w:p>
      <w:pPr>
        <w:tabs>
          <w:tab w:val="left" w:pos="4833"/>
        </w:tabs>
        <w:rPr>
          <w:rFonts w:asciiTheme="minorEastAsia" w:hAnsiTheme="minorEastAsia" w:eastAsiaTheme="minorEastAsia" w:cstheme="minorEastAsia"/>
        </w:rPr>
      </w:pPr>
      <w:r>
        <w:rPr>
          <w:rFonts w:hint="eastAsia" w:asciiTheme="minorEastAsia" w:hAnsiTheme="minorEastAsia" w:eastAsiaTheme="minorEastAsia" w:cstheme="minorEastAsia"/>
        </w:rPr>
        <w:tab/>
      </w:r>
    </w:p>
    <w:p>
      <w:pPr>
        <w:spacing w:line="360" w:lineRule="auto"/>
        <w:ind w:firstLine="560" w:firstLineChars="200"/>
        <w:jc w:val="center"/>
        <w:rPr>
          <w:rFonts w:asciiTheme="minorEastAsia" w:hAnsiTheme="minorEastAsia" w:eastAsiaTheme="minorEastAsia" w:cstheme="minorEastAsia"/>
          <w:b/>
          <w:bCs/>
          <w:sz w:val="44"/>
          <w:szCs w:val="23"/>
        </w:rPr>
      </w:pPr>
      <w:r>
        <w:rPr>
          <w:rFonts w:hint="eastAsia" w:asciiTheme="minorEastAsia" w:hAnsiTheme="minorEastAsia" w:eastAsiaTheme="minorEastAsia" w:cstheme="minorEastAsia"/>
          <w:sz w:val="28"/>
        </w:rPr>
        <w:t xml:space="preserve">中国工程建设标准化协会标准 </w:t>
      </w:r>
    </w:p>
    <w:p>
      <w:pPr>
        <w:pStyle w:val="27"/>
        <w:spacing w:line="360" w:lineRule="auto"/>
        <w:rPr>
          <w:rFonts w:asciiTheme="minorEastAsia" w:hAnsiTheme="minorEastAsia" w:eastAsiaTheme="minorEastAsia" w:cstheme="minorEastAsia"/>
        </w:rPr>
      </w:pPr>
    </w:p>
    <w:p>
      <w:pPr>
        <w:pStyle w:val="28"/>
        <w:rPr>
          <w:rFonts w:ascii="黑体" w:hAnsi="黑体" w:cs="黑体"/>
          <w:b/>
          <w:sz w:val="48"/>
          <w:szCs w:val="48"/>
        </w:rPr>
      </w:pPr>
      <w:r>
        <w:rPr>
          <w:rFonts w:hint="eastAsia" w:ascii="黑体" w:hAnsi="黑体" w:cs="黑体"/>
          <w:sz w:val="48"/>
          <w:szCs w:val="48"/>
        </w:rPr>
        <w:t>笼芯囊锚杆技术规程</w:t>
      </w:r>
    </w:p>
    <w:p>
      <w:pPr>
        <w:pStyle w:val="28"/>
        <w:jc w:val="both"/>
        <w:rPr>
          <w:rFonts w:asciiTheme="minorEastAsia" w:hAnsiTheme="minorEastAsia" w:eastAsiaTheme="minorEastAsia" w:cstheme="minorEastAsia"/>
          <w:sz w:val="32"/>
          <w:szCs w:val="32"/>
        </w:rPr>
      </w:pPr>
    </w:p>
    <w:p>
      <w:pPr>
        <w:pStyle w:val="28"/>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（征求意见稿）</w:t>
      </w: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pStyle w:val="29"/>
        <w:spacing w:line="360" w:lineRule="auto"/>
        <w:rPr>
          <w:rFonts w:asciiTheme="minorEastAsia" w:hAnsiTheme="minorEastAsia" w:eastAsiaTheme="minorEastAsia" w:cstheme="minorEastAsia"/>
        </w:rPr>
      </w:pPr>
    </w:p>
    <w:p>
      <w:pPr>
        <w:jc w:val="center"/>
        <w:rPr>
          <w:rFonts w:ascii="黑体" w:hAnsi="黑体" w:eastAsia="黑体" w:cs="黑体"/>
          <w:sz w:val="28"/>
          <w:szCs w:val="28"/>
        </w:rPr>
      </w:pPr>
      <w:r>
        <w:rPr>
          <w:rFonts w:hint="eastAsia" w:ascii="黑体" w:hAnsi="黑体" w:eastAsia="黑体" w:cs="黑体"/>
          <w:sz w:val="28"/>
          <w:szCs w:val="28"/>
        </w:rPr>
        <w:t>2020 深圳</w:t>
      </w:r>
    </w:p>
    <w:p>
      <w:pPr>
        <w:rPr>
          <w:rFonts w:eastAsia="黑体"/>
          <w:bCs/>
          <w:sz w:val="24"/>
        </w:rPr>
      </w:pPr>
      <w:r>
        <w:rPr>
          <w:rFonts w:hint="eastAsia" w:eastAsia="黑体"/>
          <w:bCs/>
          <w:sz w:val="24"/>
        </w:rPr>
        <w:br w:type="page"/>
      </w:r>
    </w:p>
    <w:p>
      <w:pPr>
        <w:jc w:val="center"/>
        <w:rPr>
          <w:rFonts w:eastAsia="黑体"/>
          <w:bCs/>
          <w:sz w:val="24"/>
        </w:rPr>
      </w:pPr>
    </w:p>
    <w:p>
      <w:pPr>
        <w:jc w:val="center"/>
        <w:rPr>
          <w:rFonts w:eastAsia="黑体"/>
          <w:bCs/>
          <w:sz w:val="24"/>
        </w:rPr>
      </w:pPr>
    </w:p>
    <w:p>
      <w:pPr>
        <w:jc w:val="center"/>
        <w:rPr>
          <w:rFonts w:eastAsia="黑体"/>
          <w:bCs/>
          <w:sz w:val="24"/>
        </w:rPr>
      </w:pPr>
      <w:r>
        <w:rPr>
          <w:rFonts w:hint="eastAsia" w:eastAsia="黑体"/>
          <w:bCs/>
          <w:sz w:val="24"/>
        </w:rPr>
        <w:t>前　言</w:t>
      </w:r>
    </w:p>
    <w:p>
      <w:pPr>
        <w:pStyle w:val="30"/>
        <w:ind w:firstLine="480"/>
      </w:pPr>
    </w:p>
    <w:p>
      <w:pPr>
        <w:pStyle w:val="31"/>
        <w:spacing w:line="240" w:lineRule="auto"/>
        <w:ind w:firstLine="420"/>
        <w:rPr>
          <w:rFonts w:eastAsia="宋体"/>
          <w:sz w:val="21"/>
        </w:rPr>
      </w:pPr>
      <w:r>
        <w:rPr>
          <w:rFonts w:hint="eastAsia" w:eastAsia="宋体"/>
          <w:sz w:val="21"/>
        </w:rPr>
        <w:t>根据中国工程建设标准化协会发布的《关于印发（2020年第一批协会标准制订、修订计划）的通知》（建标协字[2020]14号）文件要求，标准编制组经广泛调查研究，认真总结实践经验，参考国内外有关标准，并在广泛征求意见的基础上，制订本标准。</w:t>
      </w:r>
    </w:p>
    <w:p>
      <w:pPr>
        <w:pStyle w:val="31"/>
        <w:spacing w:line="240" w:lineRule="auto"/>
        <w:ind w:firstLine="420"/>
        <w:rPr>
          <w:rFonts w:eastAsia="宋体"/>
          <w:sz w:val="21"/>
        </w:rPr>
      </w:pPr>
      <w:r>
        <w:rPr>
          <w:rFonts w:hint="eastAsia" w:eastAsia="宋体"/>
          <w:sz w:val="21"/>
        </w:rPr>
        <w:t>本标准共分9章，主要技术内容包括：总则、术语和符号、基本规定、设计、结构验算、材料和构造、防腐设计、施工、工程质量检验验收和监测。</w:t>
      </w:r>
    </w:p>
    <w:p>
      <w:pPr>
        <w:ind w:firstLine="420" w:firstLineChars="200"/>
        <w:jc w:val="left"/>
      </w:pPr>
      <w:r>
        <w:rPr>
          <w:rFonts w:hint="eastAsia"/>
        </w:rPr>
        <w:t>本标准由中国工程建设标准化协会地基基础专业委员会归口管理，由深圳钜联锚杆技术有限公司负责具体技术内容的解释。征求意见过程中如有意见或建议，请寄送</w:t>
      </w:r>
      <w:r>
        <w:t>解释单位</w:t>
      </w:r>
      <w:r>
        <w:rPr>
          <w:rFonts w:hint="eastAsia"/>
        </w:rPr>
        <w:t>（地址：广东省深圳市福田区北环大道7043号青海大厦17B，邮政编码：518034）。</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1"/>
        <w:gridCol w:w="1201"/>
        <w:gridCol w:w="1201"/>
        <w:gridCol w:w="1201"/>
        <w:gridCol w:w="1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right"/>
            </w:pPr>
            <w:r>
              <w:rPr>
                <w:rFonts w:hint="eastAsia"/>
              </w:rPr>
              <w:t>主编单位：</w:t>
            </w:r>
          </w:p>
        </w:tc>
        <w:tc>
          <w:tcPr>
            <w:tcW w:w="4806" w:type="dxa"/>
            <w:gridSpan w:val="4"/>
          </w:tcPr>
          <w:p>
            <w:pPr>
              <w:jc w:val="left"/>
            </w:pPr>
            <w:r>
              <w:rPr>
                <w:rFonts w:hint="eastAsia"/>
              </w:rPr>
              <w:t>深圳钜联锚杆技术有限公司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r>
              <w:rPr>
                <w:rFonts w:hint="eastAsia"/>
              </w:rPr>
              <w:t>中国水利水电科学研究院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right"/>
            </w:pPr>
            <w:r>
              <w:rPr>
                <w:rFonts w:hint="eastAsia"/>
              </w:rPr>
              <w:t>参编单位：</w:t>
            </w: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4806" w:type="dxa"/>
            <w:gridSpan w:val="4"/>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r>
              <w:rPr>
                <w:rFonts w:hint="eastAsia"/>
              </w:rPr>
              <w:t>主要起草人员：</w:t>
            </w: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r>
              <w:rPr>
                <w:rFonts w:hint="eastAsia"/>
              </w:rPr>
              <w:t>主要审查人员：</w:t>
            </w: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1" w:type="dxa"/>
          </w:tcPr>
          <w:p>
            <w:pPr>
              <w:jc w:val="left"/>
            </w:pPr>
          </w:p>
        </w:tc>
        <w:tc>
          <w:tcPr>
            <w:tcW w:w="1201" w:type="dxa"/>
          </w:tcPr>
          <w:p>
            <w:pPr>
              <w:jc w:val="left"/>
            </w:pPr>
          </w:p>
        </w:tc>
        <w:tc>
          <w:tcPr>
            <w:tcW w:w="1201" w:type="dxa"/>
          </w:tcPr>
          <w:p>
            <w:pPr>
              <w:jc w:val="left"/>
            </w:pPr>
          </w:p>
        </w:tc>
        <w:tc>
          <w:tcPr>
            <w:tcW w:w="1201" w:type="dxa"/>
          </w:tcPr>
          <w:p>
            <w:pPr>
              <w:jc w:val="left"/>
            </w:pPr>
          </w:p>
        </w:tc>
        <w:tc>
          <w:tcPr>
            <w:tcW w:w="1203" w:type="dxa"/>
          </w:tcPr>
          <w:p>
            <w:pPr>
              <w:jc w:val="left"/>
            </w:pPr>
          </w:p>
        </w:tc>
      </w:tr>
    </w:tbl>
    <w:p>
      <w:pPr>
        <w:jc w:val="center"/>
      </w:pPr>
    </w:p>
    <w:p>
      <w:r>
        <w:rPr>
          <w:rFonts w:hint="eastAsia"/>
        </w:rPr>
        <w:br w:type="page"/>
      </w:r>
    </w:p>
    <w:sdt>
      <w:sdtPr>
        <w:rPr>
          <w:rFonts w:hint="eastAsia" w:asciiTheme="minorEastAsia" w:hAnsiTheme="minorEastAsia" w:eastAsiaTheme="minorEastAsia" w:cstheme="minorEastAsia"/>
          <w:sz w:val="21"/>
        </w:rPr>
        <w:id w:val="147477487"/>
        <w15:color w:val="DBDBDB"/>
        <w:docPartObj>
          <w:docPartGallery w:val="Table of Contents"/>
          <w:docPartUnique/>
        </w:docPartObj>
      </w:sdtPr>
      <w:sdtEndPr>
        <w:rPr>
          <w:rFonts w:hint="eastAsia" w:asciiTheme="minorEastAsia" w:hAnsiTheme="minorEastAsia" w:eastAsiaTheme="minorEastAsia" w:cstheme="minorEastAsia"/>
          <w:b/>
          <w:sz w:val="21"/>
        </w:rPr>
      </w:sdtEndPr>
      <w:sdtContent>
        <w:p>
          <w:pPr>
            <w:pStyle w:val="31"/>
            <w:ind w:firstLine="420"/>
            <w:rPr>
              <w:rFonts w:asciiTheme="minorEastAsia" w:hAnsiTheme="minorEastAsia" w:eastAsiaTheme="minorEastAsia" w:cstheme="minorEastAsia"/>
              <w:sz w:val="21"/>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目  录</w:t>
          </w:r>
        </w:p>
        <w:p>
          <w:pPr>
            <w:jc w:val="center"/>
            <w:rPr>
              <w:rFonts w:asciiTheme="minorEastAsia" w:hAnsiTheme="minorEastAsia" w:eastAsiaTheme="minorEastAsia" w:cstheme="minorEastAsia"/>
            </w:rPr>
          </w:pP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"1-2" \h \u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_Toc5831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  总则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_Toc5831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  术语和符号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_Toc22860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2.1  术语</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_Toc25216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2.2  符号</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_Toc25216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_Toc19358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  基本规定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_Toc19358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_Toc28488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  设计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_Toc28488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_Toc24496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_Toc24496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4.2</w:t>
          </w:r>
          <w:r>
            <w:rPr>
              <w:rFonts w:hint="eastAsia" w:asciiTheme="minorEastAsia" w:hAnsiTheme="minorEastAsia" w:eastAsiaTheme="minorEastAsia" w:cstheme="minorEastAsia"/>
            </w:rPr>
            <w:t xml:space="preserve">  建筑结构抗浮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_Toc26522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4.3</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Cs/>
            </w:rPr>
            <w:t>水工闸室和消力池（塘）抗浮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_Toc26522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_Toc27261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4.4  边坡支护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_Toc27261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_Toc15059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4.5  基坑支护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_Toc11392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  结构验算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_Toc11392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_Toc9814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_Toc9814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_Toc10094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5.2  锚杆抗拔力验算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 xml:space="preserve">5.3 </w:t>
          </w:r>
          <w:r>
            <w:rPr>
              <w:rFonts w:hint="eastAsia" w:asciiTheme="minorEastAsia" w:hAnsiTheme="minorEastAsia" w:eastAsiaTheme="minorEastAsia" w:cstheme="minorEastAsia"/>
            </w:rPr>
            <w:t xml:space="preserve"> 锚固体稳定性验算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_Toc30065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5.4  变形验算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_Toc30065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_Toc9524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  材料和构造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_Toc9524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_Toc32009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6.1  笼芯囊材料和构造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_Toc29087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6.2  锚杆构造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_Toc19273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1"/>
            </w:rPr>
            <w:t>6.3</w:t>
          </w:r>
          <w:r>
            <w:rPr>
              <w:rFonts w:hint="eastAsia" w:asciiTheme="minorEastAsia" w:hAnsiTheme="minorEastAsia" w:eastAsiaTheme="minorEastAsia" w:cstheme="minorEastAsia"/>
              <w:bCs/>
            </w:rPr>
            <w:t xml:space="preserve">  压力型锚杆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_Toc19273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_Toc21756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6.4  拉力型锚杆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_Toc32002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  防腐设计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7.1  防腐等级</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_Toc5745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7.2  Ⅰ级防腐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_Toc5745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7.3  Ⅱ级防腐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7.4  Ⅲ级防腐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_Toc19305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7.5  锚头防腐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_Toc19305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_Toc9771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  其他</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_Toc12313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  施工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_Toc12313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_Toc31545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8.2  制锚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_Toc18632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8.3  钻孔</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_Toc18632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_Toc25172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8.4  锚孔注浆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_Toc25172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_Toc17721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8.5  下锚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_Toc17721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_Toc11103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8.6  囊袋注浆与监控</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_Toc11103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_Toc13340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8.7  张拉和锁定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_Toc13340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_Toc29005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  工程质量检验、验收和监测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_Toc22706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9.1  工程质量检验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_Toc22706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_Toc5638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9.2  工程质量验收</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_Toc5638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_Toc21039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1"/>
            </w:rPr>
            <w:t>9.3  监测</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_Toc21039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_Toc5432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附录A  基本试验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_Toc5432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_Toc10690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附录B  验收试验</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_Toc10690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_Toc18083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本规程用词说明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_Toc18083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引用标准名录</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_Toc21451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条文说明</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pPr>
        </w:p>
        <w:p>
          <w:pPr>
            <w:rPr>
              <w:rFonts w:asciiTheme="minorEastAsia" w:hAnsiTheme="minorEastAsia" w:eastAsiaTheme="minorEastAsia" w:cstheme="minorEastAsia"/>
            </w:rPr>
          </w:pPr>
          <w:r>
            <w:rPr>
              <w:rFonts w:hint="eastAsia" w:asciiTheme="minorEastAsia" w:hAnsiTheme="minorEastAsia" w:eastAsiaTheme="minorEastAsia" w:cstheme="minorEastAsia"/>
            </w:rPr>
            <w:fldChar w:fldCharType="end"/>
          </w:r>
        </w:p>
      </w:sdtContent>
    </w:sdt>
    <w:p>
      <w:pPr>
        <w:rPr>
          <w:rFonts w:asciiTheme="minorEastAsia" w:hAnsiTheme="minorEastAsia" w:eastAsiaTheme="minorEastAsia" w:cstheme="minorEastAsia"/>
        </w:rPr>
        <w:sectPr>
          <w:pgSz w:w="7881" w:h="11453"/>
          <w:pgMar w:top="850" w:right="850" w:bottom="567" w:left="850" w:header="851" w:footer="567" w:gutter="0"/>
          <w:pgNumType w:start="1"/>
          <w:cols w:space="0" w:num="1"/>
          <w:docGrid w:type="lines" w:linePitch="312" w:charSpace="0"/>
        </w:sectPr>
      </w:pPr>
    </w:p>
    <w:sdt>
      <w:sdtPr>
        <w:rPr>
          <w:rFonts w:hint="eastAsia" w:asciiTheme="minorEastAsia" w:hAnsiTheme="minorEastAsia" w:eastAsiaTheme="minorEastAsia" w:cstheme="minorEastAsia"/>
          <w:sz w:val="21"/>
        </w:rPr>
        <w:id w:val="147477487"/>
        <w15:color w:val="DBDBDB"/>
        <w:docPartObj>
          <w:docPartGallery w:val="Table of Contents"/>
          <w:docPartUnique/>
        </w:docPartObj>
      </w:sdtPr>
      <w:sdtEndPr>
        <w:rPr>
          <w:rFonts w:hint="eastAsia" w:asciiTheme="minorEastAsia" w:hAnsiTheme="minorEastAsia" w:eastAsiaTheme="minorEastAsia" w:cstheme="minorEastAsia"/>
          <w:b/>
          <w:sz w:val="21"/>
        </w:rPr>
      </w:sdtEndPr>
      <w:sdtContent>
        <w:p>
          <w:pPr>
            <w:pStyle w:val="31"/>
            <w:ind w:firstLine="420"/>
            <w:rPr>
              <w:rFonts w:asciiTheme="minorEastAsia" w:hAnsiTheme="minorEastAsia" w:eastAsiaTheme="minorEastAsia" w:cstheme="minorEastAsia"/>
              <w:sz w:val="21"/>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sz w:val="24"/>
            </w:rPr>
          </w:pPr>
          <w:r>
            <w:rPr>
              <w:rFonts w:hint="default" w:ascii="Times New Roman" w:hAnsi="Times New Roman" w:cs="Times New Roman"/>
            </w:rPr>
            <w:t>Contents</w:t>
          </w:r>
        </w:p>
        <w:p>
          <w:pPr>
            <w:jc w:val="center"/>
            <w:rPr>
              <w:rFonts w:asciiTheme="minorEastAsia" w:hAnsiTheme="minorEastAsia" w:eastAsiaTheme="minorEastAsia" w:cstheme="minorEastAsia"/>
            </w:rPr>
          </w:pP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"1-2" \h \u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_Toc5831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1  </w:t>
          </w:r>
          <w:r>
            <w:rPr>
              <w:rFonts w:hint="default" w:ascii="Times New Roman" w:hAnsi="Times New Roman" w:cs="Times New Roman"/>
            </w:rPr>
            <w:t>General provisions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_Toc5831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2  </w:t>
          </w:r>
          <w:r>
            <w:rPr>
              <w:rFonts w:hint="default" w:ascii="Times New Roman" w:hAnsi="Times New Roman" w:cs="Times New Roman"/>
            </w:rPr>
            <w:t>Terms and Symbols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_Toc24208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_Toc22860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2.1  </w:t>
          </w:r>
          <w:r>
            <w:rPr>
              <w:rFonts w:hint="default" w:ascii="Times New Roman" w:hAnsi="Times New Roman" w:cs="Times New Roman"/>
            </w:rPr>
            <w:t>Terms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_Toc22860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_Toc25216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 xml:space="preserve">2.2  </w:t>
          </w:r>
          <w:r>
            <w:rPr>
              <w:rFonts w:hint="default" w:ascii="Times New Roman" w:hAnsi="Times New Roman" w:cs="Times New Roman"/>
            </w:rPr>
            <w:t>Symbols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_Toc25216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_Toc19358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3  </w:t>
          </w:r>
          <w:r>
            <w:rPr>
              <w:rFonts w:hint="default" w:ascii="Times New Roman" w:hAnsi="Times New Roman" w:cs="Times New Roman"/>
            </w:rPr>
            <w:t>Basic Requirements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_Toc19358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_Toc28488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4  </w:t>
          </w:r>
          <w:r>
            <w:rPr>
              <w:rFonts w:hint="default" w:ascii="Times New Roman" w:hAnsi="Times New Roman" w:cs="Times New Roman"/>
            </w:rPr>
            <w:t>Design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_Toc28488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_Toc24496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4.1  </w:t>
          </w:r>
          <w:r>
            <w:rPr>
              <w:rFonts w:hint="default" w:ascii="Times New Roman" w:hAnsi="Times New Roman" w:cs="Times New Roman"/>
            </w:rPr>
            <w:t>General Requirements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_Toc24496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4.2</w:t>
          </w:r>
          <w:r>
            <w:rPr>
              <w:rFonts w:hint="eastAsia" w:asciiTheme="minorEastAsia" w:hAnsiTheme="minorEastAsia" w:eastAsiaTheme="minorEastAsia" w:cstheme="minorEastAsia"/>
            </w:rPr>
            <w:t xml:space="preserve">  </w:t>
          </w:r>
          <w:r>
            <w:rPr>
              <w:rFonts w:hint="default" w:ascii="Times New Roman" w:hAnsi="Times New Roman" w:cs="Times New Roman"/>
            </w:rPr>
            <w:t>Anti-floating of Building Structures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_Toc26522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4.3</w:t>
          </w:r>
          <w:r>
            <w:rPr>
              <w:rFonts w:hint="eastAsia" w:asciiTheme="minorEastAsia" w:hAnsiTheme="minorEastAsia" w:eastAsiaTheme="minorEastAsia" w:cstheme="minorEastAsia"/>
            </w:rPr>
            <w:t xml:space="preserve">  </w:t>
          </w:r>
          <w:r>
            <w:rPr>
              <w:rFonts w:hint="default" w:ascii="Times New Roman" w:hAnsi="Times New Roman" w:cs="Times New Roman"/>
            </w:rPr>
            <w:t>Anti-floating of Sluice Chambers and Stilling Basins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_Toc26522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_Toc27261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 xml:space="preserve">4.4  </w:t>
          </w:r>
          <w:r>
            <w:rPr>
              <w:rFonts w:hint="default" w:ascii="Times New Roman" w:hAnsi="Times New Roman" w:cs="Times New Roman"/>
            </w:rPr>
            <w:t>Slope Support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_Toc27261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_Toc15059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 xml:space="preserve">4.5  </w:t>
          </w:r>
          <w:r>
            <w:rPr>
              <w:rFonts w:hint="default" w:ascii="Times New Roman" w:hAnsi="Times New Roman" w:cs="Times New Roman"/>
            </w:rPr>
            <w:t>Excavation Support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_Toc11392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5  </w:t>
          </w:r>
          <w:r>
            <w:rPr>
              <w:rFonts w:hint="default" w:ascii="Times New Roman" w:hAnsi="Times New Roman" w:cs="Times New Roman"/>
            </w:rPr>
            <w:t>Structural Analysis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_Toc11392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_Toc9814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5.1  </w:t>
          </w:r>
          <w:r>
            <w:rPr>
              <w:rFonts w:hint="default" w:ascii="Times New Roman" w:hAnsi="Times New Roman" w:cs="Times New Roman"/>
            </w:rPr>
            <w:t>General Requirements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_Toc9814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_Toc10094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rPr>
            <w:t xml:space="preserve">5.2  </w:t>
          </w:r>
          <w:r>
            <w:rPr>
              <w:rFonts w:hint="default" w:ascii="Times New Roman" w:hAnsi="Times New Roman" w:cs="Times New Roman"/>
            </w:rPr>
            <w:t>Analysis of Anchor Pullout Capacity</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_Toc10094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8"/>
            </w:rPr>
            <w:t xml:space="preserve">5.3 </w:t>
          </w:r>
          <w:r>
            <w:rPr>
              <w:rFonts w:hint="eastAsia" w:asciiTheme="minorEastAsia" w:hAnsiTheme="minorEastAsia" w:eastAsiaTheme="minorEastAsia" w:cstheme="minorEastAsia"/>
            </w:rPr>
            <w:t xml:space="preserve"> </w:t>
          </w:r>
          <w:r>
            <w:rPr>
              <w:rFonts w:hint="default" w:ascii="Times New Roman" w:hAnsi="Times New Roman" w:cs="Times New Roman"/>
            </w:rPr>
            <w:t>Stability Analysis of Anchorage Body</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_Toc30065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5.4  </w:t>
          </w:r>
          <w:r>
            <w:rPr>
              <w:rFonts w:hint="default" w:ascii="Times New Roman" w:hAnsi="Times New Roman" w:cs="Times New Roman"/>
            </w:rPr>
            <w:t>Deformation Analysis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_Toc30065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_Toc9524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6  </w:t>
          </w:r>
          <w:r>
            <w:rPr>
              <w:rFonts w:hint="default" w:ascii="Times New Roman" w:hAnsi="Times New Roman" w:cs="Times New Roman"/>
            </w:rPr>
            <w:t>Materials and Configurations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_Toc9524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_Toc32009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6.1  </w:t>
          </w:r>
          <w:r>
            <w:rPr>
              <w:rFonts w:hint="default" w:ascii="Times New Roman" w:hAnsi="Times New Roman" w:cs="Times New Roman"/>
            </w:rPr>
            <w:t>Material and Configuration of Core Bag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_Toc32009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_Toc29087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6.2  </w:t>
          </w:r>
          <w:r>
            <w:rPr>
              <w:rFonts w:hint="default" w:ascii="Times New Roman" w:hAnsi="Times New Roman" w:cs="Times New Roman"/>
            </w:rPr>
            <w:t>Anchor Configuration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_Toc19273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1"/>
            </w:rPr>
            <w:t>6.3</w:t>
          </w:r>
          <w:r>
            <w:rPr>
              <w:rFonts w:hint="eastAsia" w:asciiTheme="minorEastAsia" w:hAnsiTheme="minorEastAsia" w:eastAsiaTheme="minorEastAsia" w:cstheme="minorEastAsia"/>
              <w:bCs/>
            </w:rPr>
            <w:t xml:space="preserve">  </w:t>
          </w:r>
          <w:r>
            <w:rPr>
              <w:rFonts w:hint="default" w:ascii="Times New Roman" w:hAnsi="Times New Roman" w:cs="Times New Roman"/>
            </w:rPr>
            <w:t>Pressured Grout Anchor</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_Toc19273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_Toc21756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 xml:space="preserve">6.4  </w:t>
          </w:r>
          <w:r>
            <w:rPr>
              <w:rFonts w:hint="default" w:ascii="Times New Roman" w:hAnsi="Times New Roman" w:cs="Times New Roman"/>
            </w:rPr>
            <w:t>Tensioned Grout Anchor</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_Toc32002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  </w:t>
          </w:r>
          <w:r>
            <w:rPr>
              <w:rFonts w:hint="default" w:ascii="Times New Roman" w:hAnsi="Times New Roman" w:cs="Times New Roman"/>
            </w:rPr>
            <w:t>Design of Anti-Corrosion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_Toc32002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7.1  </w:t>
          </w:r>
          <w:r>
            <w:rPr>
              <w:rFonts w:hint="default" w:ascii="Times New Roman" w:hAnsi="Times New Roman" w:cs="Times New Roman"/>
            </w:rPr>
            <w:t>Class of Anti-Corrosion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_Toc23043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_Toc5745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7.2  </w:t>
          </w:r>
          <w:r>
            <w:rPr>
              <w:rFonts w:hint="default" w:ascii="Times New Roman" w:hAnsi="Times New Roman" w:cs="Times New Roman"/>
            </w:rPr>
            <w:t>Anti-Corrosion of Class 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_Toc5745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7.3  </w:t>
          </w:r>
          <w:r>
            <w:rPr>
              <w:rFonts w:hint="default" w:ascii="Times New Roman" w:hAnsi="Times New Roman" w:cs="Times New Roman"/>
            </w:rPr>
            <w:t>Anti-Corrosion of Class 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7.4  </w:t>
          </w:r>
          <w:r>
            <w:rPr>
              <w:rFonts w:hint="default" w:ascii="Times New Roman" w:hAnsi="Times New Roman" w:cs="Times New Roman"/>
            </w:rPr>
            <w:t>Anti-Corrosion of Class III</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_Toc19305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7.5  </w:t>
          </w:r>
          <w:r>
            <w:rPr>
              <w:rFonts w:hint="default" w:ascii="Times New Roman" w:hAnsi="Times New Roman" w:cs="Times New Roman"/>
            </w:rPr>
            <w:t>Anti-Corrosion for Anchor Head</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_Toc19305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_Toc9771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7.6  </w:t>
          </w:r>
          <w:r>
            <w:rPr>
              <w:rFonts w:hint="default" w:ascii="Times New Roman" w:hAnsi="Times New Roman" w:cs="Times New Roman"/>
            </w:rPr>
            <w:t>Others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_Toc9771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_Toc12313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  </w:t>
          </w:r>
          <w:r>
            <w:rPr>
              <w:rFonts w:hint="default" w:ascii="Times New Roman" w:hAnsi="Times New Roman" w:cs="Times New Roman"/>
            </w:rPr>
            <w:t>Construction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_Toc12313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8.1  </w:t>
          </w:r>
          <w:r>
            <w:rPr>
              <w:rFonts w:hint="default" w:ascii="Times New Roman" w:hAnsi="Times New Roman" w:cs="Times New Roman"/>
            </w:rPr>
            <w:t>General Requirements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_Toc31545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8.2  </w:t>
          </w:r>
          <w:r>
            <w:rPr>
              <w:rFonts w:hint="default" w:ascii="Times New Roman" w:hAnsi="Times New Roman" w:cs="Times New Roman"/>
            </w:rPr>
            <w:t>Manufacture of Anchor</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_Toc31545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_Toc18632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8.3  </w:t>
          </w:r>
          <w:r>
            <w:rPr>
              <w:rFonts w:hint="default" w:ascii="Times New Roman" w:hAnsi="Times New Roman" w:cs="Times New Roman"/>
            </w:rPr>
            <w:t>Hole Drilling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_Toc18632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_Toc25172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8.4  </w:t>
          </w:r>
          <w:r>
            <w:rPr>
              <w:rFonts w:hint="default" w:ascii="Times New Roman" w:hAnsi="Times New Roman" w:cs="Times New Roman"/>
            </w:rPr>
            <w:t>Grouting of Anchor Hole</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_Toc25172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_Toc17721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8.5  </w:t>
          </w:r>
          <w:r>
            <w:rPr>
              <w:rFonts w:hint="default" w:ascii="Times New Roman" w:hAnsi="Times New Roman" w:cs="Times New Roman"/>
            </w:rPr>
            <w:t>Anchor Installation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_Toc17721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_Toc11103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8.6  </w:t>
          </w:r>
          <w:r>
            <w:rPr>
              <w:rFonts w:hint="default" w:ascii="Times New Roman" w:hAnsi="Times New Roman" w:cs="Times New Roman"/>
            </w:rPr>
            <w:t>Grouting of Core Bag and Monitoring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_Toc11103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_Toc13340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8.7  </w:t>
          </w:r>
          <w:r>
            <w:rPr>
              <w:rFonts w:hint="default" w:ascii="Times New Roman" w:hAnsi="Times New Roman" w:cs="Times New Roman"/>
            </w:rPr>
            <w:t>Stretching and Locking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_Toc13340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_Toc29005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9  </w:t>
          </w:r>
          <w:r>
            <w:rPr>
              <w:rFonts w:hint="default" w:ascii="Times New Roman" w:hAnsi="Times New Roman" w:cs="Times New Roman"/>
            </w:rPr>
            <w:t>Inspection, Acceptance and Monitoring of Construction Quality</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_Toc29005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_Toc22706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 xml:space="preserve">9.1  </w:t>
          </w:r>
          <w:r>
            <w:rPr>
              <w:rFonts w:hint="default" w:ascii="Times New Roman" w:hAnsi="Times New Roman" w:cs="Times New Roman"/>
            </w:rPr>
            <w:t>Inspection of Construction Quality</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_Toc22706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_Toc5638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zCs w:val="21"/>
            </w:rPr>
            <w:t xml:space="preserve">9.2  </w:t>
          </w:r>
          <w:r>
            <w:rPr>
              <w:rFonts w:hint="default" w:ascii="Times New Roman" w:hAnsi="Times New Roman" w:cs="Times New Roman"/>
            </w:rPr>
            <w:t>Acceptance of Construction Quality</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_Toc5638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_Toc21039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szCs w:val="21"/>
            </w:rPr>
            <w:t xml:space="preserve">9.3  </w:t>
          </w:r>
          <w:r>
            <w:rPr>
              <w:rFonts w:hint="default" w:ascii="Times New Roman" w:hAnsi="Times New Roman" w:cs="Times New Roman"/>
            </w:rPr>
            <w:t>Monitoring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_Toc21039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_Toc5432 </w:instrText>
          </w:r>
          <w:r>
            <w:rPr>
              <w:rFonts w:hint="eastAsia" w:asciiTheme="minorEastAsia" w:hAnsiTheme="minorEastAsia" w:eastAsiaTheme="minorEastAsia" w:cstheme="minorEastAsia"/>
            </w:rPr>
            <w:fldChar w:fldCharType="separate"/>
          </w:r>
          <w:r>
            <w:rPr>
              <w:rFonts w:hint="default" w:ascii="Times New Roman" w:hAnsi="Times New Roman" w:cs="Times New Roman"/>
            </w:rPr>
            <w:t>Appendix A</w:t>
          </w:r>
          <w:r>
            <w:rPr>
              <w:rFonts w:hint="eastAsia" w:ascii="Times New Roman" w:hAnsi="Times New Roman" w:cs="Times New Roman"/>
              <w:lang w:val="en-US" w:eastAsia="zh-CN"/>
            </w:rPr>
            <w:t xml:space="preserve"> </w:t>
          </w:r>
          <w:r>
            <w:rPr>
              <w:rFonts w:hint="default" w:ascii="Times New Roman" w:hAnsi="Times New Roman" w:cs="Times New Roman"/>
            </w:rPr>
            <w:t xml:space="preserve"> Basic </w:t>
          </w:r>
          <w:r>
            <w:rPr>
              <w:rFonts w:hint="eastAsia" w:ascii="Times New Roman" w:hAnsi="Times New Roman" w:cs="Times New Roman"/>
              <w:lang w:val="en-US" w:eastAsia="zh-CN"/>
            </w:rPr>
            <w:t>Test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_Toc5432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_Toc10690 </w:instrText>
          </w:r>
          <w:r>
            <w:rPr>
              <w:rFonts w:hint="eastAsia" w:asciiTheme="minorEastAsia" w:hAnsiTheme="minorEastAsia" w:eastAsiaTheme="minorEastAsia" w:cstheme="minorEastAsia"/>
            </w:rPr>
            <w:fldChar w:fldCharType="separate"/>
          </w:r>
          <w:r>
            <w:rPr>
              <w:rFonts w:hint="default" w:ascii="Times New Roman" w:hAnsi="Times New Roman" w:cs="Times New Roman"/>
            </w:rPr>
            <w:t>Appendix B</w:t>
          </w:r>
          <w:r>
            <w:rPr>
              <w:rFonts w:hint="eastAsia" w:ascii="Times New Roman" w:hAnsi="Times New Roman" w:cs="Times New Roman"/>
              <w:lang w:val="en-US" w:eastAsia="zh-CN"/>
            </w:rPr>
            <w:t xml:space="preserve"> </w:t>
          </w:r>
          <w:r>
            <w:rPr>
              <w:rFonts w:hint="default" w:ascii="Times New Roman" w:hAnsi="Times New Roman" w:cs="Times New Roman"/>
            </w:rPr>
            <w:t xml:space="preserve"> Acceptance </w:t>
          </w:r>
          <w:r>
            <w:rPr>
              <w:rFonts w:hint="eastAsia" w:ascii="Times New Roman" w:hAnsi="Times New Roman" w:cs="Times New Roman"/>
              <w:lang w:val="en-US" w:eastAsia="zh-CN"/>
            </w:rPr>
            <w:t>Test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_Toc10690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_Toc18083 </w:instrText>
          </w:r>
          <w:r>
            <w:rPr>
              <w:rFonts w:hint="eastAsia" w:asciiTheme="minorEastAsia" w:hAnsiTheme="minorEastAsia" w:eastAsiaTheme="minorEastAsia" w:cstheme="minorEastAsia"/>
            </w:rPr>
            <w:fldChar w:fldCharType="separate"/>
          </w:r>
          <w:r>
            <w:rPr>
              <w:rFonts w:hint="default" w:ascii="Times New Roman" w:hAnsi="Times New Roman" w:cs="Times New Roman"/>
            </w:rPr>
            <w:t>Explanation of Words in This Specificatio</w:t>
          </w:r>
          <w:r>
            <w:rPr>
              <w:rFonts w:hint="eastAsia" w:ascii="Times New Roman" w:hAnsi="Times New Roman" w:cs="Times New Roman"/>
              <w:lang w:val="en-US" w:eastAsia="zh-CN"/>
            </w:rPr>
            <w:t>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_Toc18083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_Toc17973 </w:instrText>
          </w:r>
          <w:r>
            <w:rPr>
              <w:rFonts w:hint="eastAsia" w:asciiTheme="minorEastAsia" w:hAnsiTheme="minorEastAsia" w:eastAsiaTheme="minorEastAsia" w:cstheme="minorEastAsia"/>
            </w:rPr>
            <w:fldChar w:fldCharType="separate"/>
          </w:r>
          <w:r>
            <w:rPr>
              <w:rFonts w:hint="default" w:ascii="Times New Roman" w:hAnsi="Times New Roman" w:cs="Times New Roman"/>
            </w:rPr>
            <w:t>List of Quoted Standar</w:t>
          </w:r>
          <w:r>
            <w:rPr>
              <w:rFonts w:hint="eastAsia" w:ascii="Times New Roman" w:hAnsi="Times New Roman" w:cs="Times New Roman"/>
              <w:lang w:val="en-US" w:eastAsia="zh-CN"/>
            </w:rPr>
            <w:t>ds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_Toc17973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2"/>
            <w:tabs>
              <w:tab w:val="right" w:leader="dot" w:pos="6181"/>
            </w:tabs>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_Toc21451 </w:instrText>
          </w:r>
          <w:r>
            <w:rPr>
              <w:rFonts w:hint="eastAsia" w:asciiTheme="minorEastAsia" w:hAnsiTheme="minorEastAsia" w:eastAsiaTheme="minorEastAsia" w:cstheme="minorEastAsia"/>
            </w:rPr>
            <w:fldChar w:fldCharType="separate"/>
          </w:r>
          <w:r>
            <w:rPr>
              <w:rStyle w:val="20"/>
              <w:rFonts w:ascii="Times New Roman" w:hAnsi="Times New Roman"/>
            </w:rPr>
            <w:t>Addition: Explanation of Provision</w:t>
          </w:r>
          <w:r>
            <w:rPr>
              <w:rStyle w:val="20"/>
              <w:rFonts w:hint="eastAsia" w:ascii="Times New Roman" w:hAnsi="Times New Roman"/>
              <w:lang w:val="en-US" w:eastAsia="zh-CN"/>
            </w:rPr>
            <w:t>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_Toc21451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5"/>
            <w:tabs>
              <w:tab w:val="right" w:leader="dot" w:pos="6181"/>
            </w:tabs>
          </w:pPr>
        </w:p>
        <w:p>
          <w:pPr>
            <w:rPr>
              <w:rFonts w:hint="eastAsia" w:asciiTheme="minorEastAsia" w:hAnsiTheme="minorEastAsia" w:eastAsiaTheme="minorEastAsia" w:cstheme="minorEastAsia"/>
              <w:b/>
              <w:sz w:val="21"/>
            </w:rPr>
          </w:pPr>
          <w:r>
            <w:rPr>
              <w:rFonts w:hint="eastAsia" w:asciiTheme="minorEastAsia" w:hAnsiTheme="minorEastAsia" w:eastAsiaTheme="minorEastAsia" w:cstheme="minorEastAsia"/>
            </w:rPr>
            <w:fldChar w:fldCharType="end"/>
          </w:r>
        </w:p>
      </w:sdtContent>
    </w:sdt>
    <w:p>
      <w:pPr>
        <w:rPr>
          <w:rFonts w:hint="eastAsia" w:asciiTheme="minorEastAsia" w:hAnsiTheme="minorEastAsia" w:eastAsiaTheme="minorEastAsia" w:cstheme="minorEastAsia"/>
          <w:b/>
          <w:sz w:val="21"/>
        </w:rPr>
        <w:sectPr>
          <w:footerReference r:id="rId3" w:type="default"/>
          <w:footerReference r:id="rId4" w:type="even"/>
          <w:pgSz w:w="7881" w:h="11453"/>
          <w:pgMar w:top="850" w:right="850" w:bottom="567" w:left="850" w:header="851" w:footer="567" w:gutter="0"/>
          <w:pgNumType w:start="1"/>
          <w:cols w:space="0" w:num="1"/>
          <w:docGrid w:type="lines" w:linePitch="312" w:charSpace="0"/>
        </w:sectPr>
      </w:pPr>
    </w:p>
    <w:p>
      <w:pPr>
        <w:rPr>
          <w:rFonts w:hint="eastAsia"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1" w:name="_Toc5831"/>
      <w:bookmarkStart w:id="2" w:name="_Toc11206"/>
      <w:bookmarkStart w:id="3" w:name="_Toc29866"/>
      <w:bookmarkStart w:id="4" w:name="_Toc29615"/>
      <w:bookmarkStart w:id="5" w:name="_Toc17264"/>
      <w:r>
        <w:rPr>
          <w:rFonts w:hint="eastAsia" w:asciiTheme="minorEastAsia" w:hAnsiTheme="minorEastAsia" w:eastAsiaTheme="minorEastAsia" w:cstheme="minorEastAsia"/>
        </w:rPr>
        <w:t>1  总则</w:t>
      </w:r>
      <w:bookmarkEnd w:id="1"/>
      <w:bookmarkEnd w:id="2"/>
      <w:bookmarkEnd w:id="3"/>
      <w:bookmarkEnd w:id="4"/>
      <w:bookmarkEnd w:id="5"/>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1.0.1</w:t>
      </w:r>
      <w:r>
        <w:rPr>
          <w:rFonts w:hint="eastAsia" w:asciiTheme="minorEastAsia" w:hAnsiTheme="minorEastAsia" w:eastAsiaTheme="minorEastAsia" w:cstheme="minorEastAsia"/>
          <w:bCs/>
          <w:color w:val="000000"/>
          <w:szCs w:val="21"/>
        </w:rPr>
        <w:t xml:space="preserve">  为规范笼芯囊锚杆的设计、施工，做到技术先进、安全可靠、经济合理和质量保证，制定本规程。</w:t>
      </w:r>
    </w:p>
    <w:p>
      <w:pPr>
        <w:spacing w:line="360" w:lineRule="exact"/>
        <w:rPr>
          <w:rFonts w:asciiTheme="minorEastAsia" w:hAnsiTheme="minorEastAsia" w:eastAsiaTheme="minorEastAsia" w:cstheme="minorEastAsia"/>
          <w:bCs/>
          <w:color w:val="000000"/>
          <w:szCs w:val="21"/>
        </w:rPr>
      </w:pPr>
      <w:bookmarkStart w:id="6" w:name="_Toc15296"/>
      <w:bookmarkStart w:id="7" w:name="_Toc10858"/>
      <w:bookmarkStart w:id="8" w:name="_Toc2477"/>
      <w:r>
        <w:rPr>
          <w:rFonts w:hint="eastAsia" w:ascii="Times New Roman" w:hAnsi="Times New Roman" w:cs="Times New Roman" w:eastAsiaTheme="minorEastAsia"/>
          <w:color w:val="000000"/>
          <w:szCs w:val="21"/>
        </w:rPr>
        <w:t>1.0.2</w:t>
      </w:r>
      <w:r>
        <w:rPr>
          <w:rFonts w:hint="eastAsia" w:asciiTheme="minorEastAsia" w:hAnsiTheme="minorEastAsia" w:eastAsiaTheme="minorEastAsia" w:cstheme="minorEastAsia"/>
          <w:bCs/>
          <w:color w:val="000000"/>
          <w:szCs w:val="21"/>
        </w:rPr>
        <w:t xml:space="preserve">  本规程适用于土层锚杆、岩石锚杆的设计、施工、检验与试验。</w:t>
      </w:r>
      <w:bookmarkEnd w:id="6"/>
      <w:bookmarkEnd w:id="7"/>
      <w:bookmarkEnd w:id="8"/>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1.0.3</w:t>
      </w:r>
      <w:r>
        <w:rPr>
          <w:rFonts w:hint="eastAsia" w:asciiTheme="minorEastAsia" w:hAnsiTheme="minorEastAsia" w:eastAsiaTheme="minorEastAsia" w:cstheme="minorEastAsia"/>
          <w:bCs/>
          <w:color w:val="000000"/>
          <w:szCs w:val="21"/>
        </w:rPr>
        <w:t xml:space="preserve">  笼芯囊锚杆的设计与施工，应综合考虑场地周边环境、工程地质和水文地质条件、建筑物结构类型和性质等因素，有效地利用和发挥笼芯囊锚杆的力学性能。</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1.0.4</w:t>
      </w:r>
      <w:r>
        <w:rPr>
          <w:rFonts w:hint="eastAsia" w:asciiTheme="minorEastAsia" w:hAnsiTheme="minorEastAsia" w:eastAsiaTheme="minorEastAsia" w:cstheme="minorEastAsia"/>
          <w:bCs/>
          <w:color w:val="000000"/>
          <w:szCs w:val="21"/>
        </w:rPr>
        <w:t xml:space="preserve">  笼芯囊锚杆的设计、施工、检验与试验，除应符合本规程的规定外，尚应符合国家现行有关标准的规定。</w:t>
      </w:r>
    </w:p>
    <w:p>
      <w:pPr>
        <w:rPr>
          <w:rFonts w:asciiTheme="minorEastAsia" w:hAnsiTheme="minorEastAsia" w:eastAsiaTheme="minorEastAsia" w:cstheme="minorEastAsia"/>
        </w:rPr>
      </w:pPr>
      <w:r>
        <w:rPr>
          <w:rFonts w:hint="eastAsia" w:asciiTheme="minorEastAsia" w:hAnsiTheme="minorEastAsia" w:eastAsiaTheme="minorEastAsia" w:cstheme="minorEastAsia"/>
          <w:color w:val="000000"/>
          <w:szCs w:val="21"/>
        </w:rPr>
        <w:br w:type="page"/>
      </w:r>
      <w:bookmarkStart w:id="9" w:name="_Toc3740"/>
      <w:bookmarkStart w:id="10" w:name="_Toc8856"/>
    </w:p>
    <w:p>
      <w:pPr>
        <w:keepNext/>
        <w:keepLines/>
        <w:outlineLvl w:val="9"/>
        <w:rPr>
          <w:rFonts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11" w:name="_Toc1896"/>
      <w:bookmarkStart w:id="12" w:name="_Toc13646"/>
      <w:bookmarkStart w:id="13" w:name="_Toc6930"/>
      <w:bookmarkStart w:id="14" w:name="_Toc24208"/>
      <w:bookmarkStart w:id="15" w:name="_Toc7602"/>
      <w:r>
        <w:rPr>
          <w:rFonts w:hint="eastAsia" w:asciiTheme="minorEastAsia" w:hAnsiTheme="minorEastAsia" w:eastAsiaTheme="minorEastAsia" w:cstheme="minorEastAsia"/>
        </w:rPr>
        <w:t>2  术语和符号</w:t>
      </w:r>
      <w:bookmarkEnd w:id="9"/>
      <w:bookmarkEnd w:id="10"/>
      <w:bookmarkEnd w:id="11"/>
      <w:bookmarkEnd w:id="12"/>
      <w:bookmarkEnd w:id="13"/>
      <w:bookmarkEnd w:id="14"/>
      <w:bookmarkEnd w:id="15"/>
    </w:p>
    <w:p>
      <w:pPr>
        <w:pStyle w:val="3"/>
        <w:spacing w:before="312" w:beforeLines="100" w:after="156" w:afterLines="50"/>
        <w:rPr>
          <w:rFonts w:asciiTheme="minorEastAsia" w:hAnsiTheme="minorEastAsia" w:eastAsiaTheme="minorEastAsia" w:cstheme="minorEastAsia"/>
        </w:rPr>
      </w:pPr>
      <w:bookmarkStart w:id="16" w:name="_Toc7502"/>
      <w:bookmarkStart w:id="17" w:name="_Toc5399"/>
      <w:bookmarkStart w:id="18" w:name="_Toc26427"/>
      <w:bookmarkStart w:id="19" w:name="_Toc21330"/>
      <w:bookmarkStart w:id="20" w:name="_Toc251"/>
      <w:bookmarkStart w:id="21" w:name="_Toc22860"/>
      <w:bookmarkStart w:id="22" w:name="_Toc10847"/>
      <w:r>
        <w:rPr>
          <w:rFonts w:hint="eastAsia" w:asciiTheme="minorEastAsia" w:hAnsiTheme="minorEastAsia" w:eastAsiaTheme="minorEastAsia" w:cstheme="minorEastAsia"/>
        </w:rPr>
        <w:t>2.1  术语</w:t>
      </w:r>
      <w:bookmarkEnd w:id="16"/>
      <w:bookmarkEnd w:id="17"/>
      <w:bookmarkEnd w:id="18"/>
      <w:bookmarkEnd w:id="19"/>
      <w:bookmarkEnd w:id="20"/>
      <w:bookmarkEnd w:id="21"/>
      <w:bookmarkEnd w:id="22"/>
    </w:p>
    <w:p>
      <w:pPr>
        <w:spacing w:line="360" w:lineRule="exact"/>
        <w:jc w:val="left"/>
        <w:rPr>
          <w:rFonts w:asciiTheme="minorEastAsia" w:hAnsiTheme="minorEastAsia" w:eastAsiaTheme="minorEastAsia" w:cstheme="minorEastAsia"/>
          <w:bCs/>
          <w:color w:val="000000"/>
          <w:szCs w:val="21"/>
        </w:rPr>
      </w:pPr>
      <w:bookmarkStart w:id="23" w:name="_Toc10543"/>
      <w:bookmarkStart w:id="24" w:name="_Toc3358"/>
      <w:r>
        <w:rPr>
          <w:rFonts w:hint="eastAsia" w:ascii="Times New Roman" w:hAnsi="Times New Roman" w:cs="Times New Roman" w:eastAsiaTheme="minorEastAsia"/>
          <w:color w:val="000000"/>
          <w:szCs w:val="21"/>
        </w:rPr>
        <w:t>2.1.1</w:t>
      </w:r>
      <w:r>
        <w:rPr>
          <w:rFonts w:hint="eastAsia" w:asciiTheme="minorEastAsia" w:hAnsiTheme="minorEastAsia" w:eastAsiaTheme="minorEastAsia" w:cstheme="minorEastAsia"/>
          <w:bCs/>
          <w:color w:val="000000"/>
          <w:szCs w:val="21"/>
        </w:rPr>
        <w:t xml:space="preserve">  笼芯囊锚杆</w:t>
      </w:r>
      <w:bookmarkEnd w:id="23"/>
      <w:bookmarkEnd w:id="24"/>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杆体置于锚孔设计位置、囊袋注</w:t>
      </w:r>
      <w:r>
        <w:rPr>
          <w:rFonts w:hint="eastAsia" w:asciiTheme="minorEastAsia" w:hAnsiTheme="minorEastAsia" w:eastAsiaTheme="minorEastAsia" w:cstheme="minorEastAsia"/>
          <w:bCs/>
          <w:color w:val="000000"/>
          <w:szCs w:val="21"/>
          <w:lang w:eastAsia="zh-CN"/>
        </w:rPr>
        <w:t>浆</w:t>
      </w:r>
      <w:r>
        <w:rPr>
          <w:rFonts w:hint="eastAsia" w:asciiTheme="minorEastAsia" w:hAnsiTheme="minorEastAsia" w:eastAsiaTheme="minorEastAsia" w:cstheme="minorEastAsia"/>
          <w:bCs/>
          <w:color w:val="000000"/>
          <w:szCs w:val="21"/>
        </w:rPr>
        <w:t>张开并按设计形状凝结形成的一种具有钢丝笼水泥结石囊体的锚杆，该钢丝笼水泥结石囊体为锚杆的主要锚固受力结构。又称钢丝笼囊式锚杆、囊式锚杆。</w:t>
      </w:r>
    </w:p>
    <w:p>
      <w:pPr>
        <w:spacing w:line="360" w:lineRule="exact"/>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2.1.2  压力型锚杆</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注浆体不与杆体或锚孔内其他任何传力杆件粘结、杆体拉力全部通过承载体转化为压力作用于注浆体</w:t>
      </w:r>
      <w:r>
        <w:rPr>
          <w:rFonts w:hint="eastAsia" w:asciiTheme="minorEastAsia" w:hAnsiTheme="minorEastAsia" w:eastAsiaTheme="minorEastAsia" w:cstheme="minorEastAsia"/>
          <w:bCs/>
          <w:color w:val="000000"/>
          <w:szCs w:val="21"/>
          <w:lang w:eastAsia="zh-CN"/>
        </w:rPr>
        <w:t>、</w:t>
      </w:r>
      <w:r>
        <w:rPr>
          <w:rFonts w:hint="eastAsia" w:asciiTheme="minorEastAsia" w:hAnsiTheme="minorEastAsia" w:eastAsiaTheme="minorEastAsia" w:cstheme="minorEastAsia"/>
          <w:bCs/>
          <w:color w:val="000000"/>
          <w:szCs w:val="21"/>
        </w:rPr>
        <w:t>注浆体处于压应力状态的锚杆。</w:t>
      </w:r>
    </w:p>
    <w:p>
      <w:pPr>
        <w:spacing w:line="360" w:lineRule="exact"/>
        <w:rPr>
          <w:rFonts w:ascii="Times New Roman" w:hAnsi="Times New Roman" w:cs="Times New Roman" w:eastAsiaTheme="minorEastAsia"/>
          <w:color w:val="000000"/>
          <w:szCs w:val="21"/>
        </w:rPr>
      </w:pPr>
      <w:bookmarkStart w:id="25" w:name="_Toc127"/>
      <w:bookmarkStart w:id="26" w:name="_Toc1198"/>
      <w:r>
        <w:rPr>
          <w:rFonts w:hint="eastAsia" w:ascii="Times New Roman" w:hAnsi="Times New Roman" w:cs="Times New Roman" w:eastAsiaTheme="minorEastAsia"/>
          <w:color w:val="000000"/>
          <w:szCs w:val="21"/>
        </w:rPr>
        <w:t>2.1.3  压力型笼芯囊锚杆</w:t>
      </w:r>
    </w:p>
    <w:p>
      <w:pPr>
        <w:spacing w:line="360" w:lineRule="exact"/>
        <w:ind w:firstLine="420" w:firstLineChars="200"/>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杆体拉力通过承载体转化为压力作用于钢丝笼水泥结石囊体的压力型锚杆。</w:t>
      </w:r>
    </w:p>
    <w:p>
      <w:pPr>
        <w:spacing w:line="360" w:lineRule="exact"/>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2.1.4  拉力型锚杆</w:t>
      </w:r>
    </w:p>
    <w:p>
      <w:pPr>
        <w:spacing w:line="360" w:lineRule="exact"/>
        <w:ind w:firstLine="420" w:firstLineChars="200"/>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注浆体至少一段与杆体或锚孔内其他传力杆件粘结，杆体拉力通过这种粘结传递给注浆体，注浆体或部分处于拉应力状态的锚杆。</w:t>
      </w:r>
    </w:p>
    <w:p>
      <w:pPr>
        <w:spacing w:line="360" w:lineRule="exact"/>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2.1.5  拉力型笼芯囊锚杆</w:t>
      </w:r>
    </w:p>
    <w:p>
      <w:pPr>
        <w:spacing w:line="360" w:lineRule="exact"/>
        <w:ind w:firstLine="420" w:firstLineChars="200"/>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杆体拉力通过与钢丝笼水泥结石囊体的粘结作用于钢丝笼水泥结石囊体的拉力型锚杆。</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2.1.6</w:t>
      </w:r>
      <w:r>
        <w:rPr>
          <w:rFonts w:hint="eastAsia" w:asciiTheme="minorEastAsia" w:hAnsiTheme="minorEastAsia" w:eastAsiaTheme="minorEastAsia" w:cstheme="minorEastAsia"/>
          <w:bCs/>
          <w:color w:val="000000"/>
          <w:szCs w:val="21"/>
        </w:rPr>
        <w:t xml:space="preserve">  等直径笼芯囊锚杆</w:t>
      </w:r>
      <w:bookmarkEnd w:id="25"/>
      <w:bookmarkEnd w:id="26"/>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锚孔直径全程相等的笼芯囊锚杆。</w:t>
      </w:r>
    </w:p>
    <w:p>
      <w:pPr>
        <w:spacing w:line="360" w:lineRule="exact"/>
        <w:rPr>
          <w:rFonts w:asciiTheme="minorEastAsia" w:hAnsiTheme="minorEastAsia" w:eastAsiaTheme="minorEastAsia" w:cstheme="minorEastAsia"/>
          <w:bCs/>
          <w:color w:val="000000"/>
          <w:szCs w:val="21"/>
        </w:rPr>
      </w:pPr>
      <w:bookmarkStart w:id="27" w:name="_Toc30208"/>
      <w:bookmarkStart w:id="28" w:name="_Toc17342"/>
      <w:r>
        <w:rPr>
          <w:rFonts w:hint="eastAsia" w:ascii="Times New Roman" w:hAnsi="Times New Roman" w:cs="Times New Roman" w:eastAsiaTheme="minorEastAsia"/>
          <w:color w:val="000000"/>
          <w:szCs w:val="21"/>
        </w:rPr>
        <w:t>2.1.7</w:t>
      </w:r>
      <w:r>
        <w:rPr>
          <w:rFonts w:hint="eastAsia" w:asciiTheme="minorEastAsia" w:hAnsiTheme="minorEastAsia" w:eastAsiaTheme="minorEastAsia" w:cstheme="minorEastAsia"/>
          <w:bCs/>
          <w:color w:val="000000"/>
          <w:szCs w:val="21"/>
        </w:rPr>
        <w:t xml:space="preserve">  扩大头笼芯囊锚杆</w:t>
      </w:r>
      <w:bookmarkEnd w:id="27"/>
      <w:bookmarkEnd w:id="28"/>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锚孔底部按设计尺寸设置扩大头，囊体设置在扩大头内的笼芯囊锚杆。又称囊式扩体锚杆。</w:t>
      </w:r>
    </w:p>
    <w:p>
      <w:pPr>
        <w:spacing w:line="360" w:lineRule="exact"/>
        <w:rPr>
          <w:rFonts w:asciiTheme="minorEastAsia" w:hAnsiTheme="minorEastAsia" w:eastAsiaTheme="minorEastAsia" w:cstheme="minorEastAsia"/>
          <w:bCs/>
          <w:color w:val="000000"/>
          <w:szCs w:val="21"/>
        </w:rPr>
      </w:pPr>
      <w:bookmarkStart w:id="29" w:name="_Toc20670"/>
      <w:bookmarkStart w:id="30" w:name="_Toc28249"/>
      <w:r>
        <w:rPr>
          <w:rFonts w:hint="eastAsia" w:ascii="Times New Roman" w:hAnsi="Times New Roman" w:cs="Times New Roman" w:eastAsiaTheme="minorEastAsia"/>
          <w:color w:val="000000"/>
          <w:szCs w:val="21"/>
        </w:rPr>
        <w:t>2.1.8</w:t>
      </w:r>
      <w:r>
        <w:rPr>
          <w:rFonts w:hint="eastAsia" w:asciiTheme="minorEastAsia" w:hAnsiTheme="minorEastAsia" w:eastAsiaTheme="minorEastAsia" w:cstheme="minorEastAsia"/>
          <w:bCs/>
          <w:color w:val="000000"/>
          <w:szCs w:val="21"/>
        </w:rPr>
        <w:t xml:space="preserve">  笼芯</w:t>
      </w:r>
      <w:bookmarkEnd w:id="29"/>
      <w:bookmarkEnd w:id="30"/>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由结构钢丝按设计规格制成的钢丝笼。一般为圆筒形，由纵筋和箍筋构成。</w:t>
      </w:r>
    </w:p>
    <w:p>
      <w:pPr>
        <w:spacing w:line="360" w:lineRule="exact"/>
        <w:rPr>
          <w:rFonts w:asciiTheme="minorEastAsia" w:hAnsiTheme="minorEastAsia" w:eastAsiaTheme="minorEastAsia" w:cstheme="minorEastAsia"/>
          <w:bCs/>
          <w:color w:val="000000"/>
          <w:szCs w:val="21"/>
        </w:rPr>
      </w:pPr>
      <w:bookmarkStart w:id="31" w:name="_Toc25045"/>
      <w:bookmarkStart w:id="32" w:name="_Toc20528"/>
      <w:r>
        <w:rPr>
          <w:rFonts w:hint="eastAsia" w:ascii="Times New Roman" w:hAnsi="Times New Roman" w:cs="Times New Roman" w:eastAsiaTheme="minorEastAsia"/>
          <w:color w:val="000000"/>
          <w:szCs w:val="21"/>
        </w:rPr>
        <w:t>2.1.9</w:t>
      </w:r>
      <w:r>
        <w:rPr>
          <w:rFonts w:hint="eastAsia" w:asciiTheme="minorEastAsia" w:hAnsiTheme="minorEastAsia" w:eastAsiaTheme="minorEastAsia" w:cstheme="minorEastAsia"/>
          <w:bCs/>
          <w:color w:val="000000"/>
          <w:szCs w:val="21"/>
        </w:rPr>
        <w:t xml:space="preserve">  囊袋</w:t>
      </w:r>
      <w:bookmarkEnd w:id="31"/>
      <w:bookmarkEnd w:id="32"/>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由具有一定强度和防渗透性能的土工布按设计规格制成的袋子，既能防止注浆时锚孔内泥浆、泥块等掺杂混入水泥浆中，又能使注入的水泥浆或水泥砂浆能按囊袋设计形状凝固形成设计形状的囊体。又称模袋。</w:t>
      </w:r>
    </w:p>
    <w:p>
      <w:pPr>
        <w:shd w:val="clear" w:color="auto" w:fill="FFFFFF"/>
        <w:spacing w:line="360" w:lineRule="exact"/>
        <w:rPr>
          <w:rFonts w:asciiTheme="minorEastAsia" w:hAnsiTheme="minorEastAsia" w:eastAsiaTheme="minorEastAsia" w:cstheme="minorEastAsia"/>
          <w:bCs/>
          <w:color w:val="000000"/>
          <w:szCs w:val="21"/>
        </w:rPr>
      </w:pPr>
      <w:bookmarkStart w:id="33" w:name="_Toc7817"/>
      <w:bookmarkStart w:id="34" w:name="_Toc28003"/>
      <w:r>
        <w:rPr>
          <w:rFonts w:hint="eastAsia" w:ascii="Times New Roman" w:hAnsi="Times New Roman" w:cs="Times New Roman" w:eastAsiaTheme="minorEastAsia"/>
          <w:color w:val="000000"/>
          <w:szCs w:val="21"/>
        </w:rPr>
        <w:t>2.1.10</w:t>
      </w:r>
      <w:r>
        <w:rPr>
          <w:rFonts w:hint="eastAsia" w:asciiTheme="minorEastAsia" w:hAnsiTheme="minorEastAsia" w:eastAsiaTheme="minorEastAsia" w:cstheme="minorEastAsia"/>
          <w:bCs/>
          <w:color w:val="000000"/>
          <w:szCs w:val="21"/>
        </w:rPr>
        <w:t xml:space="preserve">  笼芯囊</w:t>
      </w:r>
      <w:bookmarkEnd w:id="33"/>
      <w:bookmarkEnd w:id="34"/>
    </w:p>
    <w:p>
      <w:pPr>
        <w:shd w:val="clear" w:color="auto" w:fill="FFFFFF"/>
        <w:spacing w:line="360" w:lineRule="exact"/>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color w:val="000000"/>
          <w:szCs w:val="21"/>
        </w:rPr>
        <w:t xml:space="preserve">     内部安装有笼芯的囊袋。</w:t>
      </w:r>
    </w:p>
    <w:p>
      <w:pPr>
        <w:shd w:val="clear" w:color="auto" w:fill="FFFFFF"/>
        <w:spacing w:line="360" w:lineRule="exact"/>
        <w:rPr>
          <w:rFonts w:asciiTheme="minorEastAsia" w:hAnsiTheme="minorEastAsia" w:eastAsiaTheme="minorEastAsia" w:cstheme="minorEastAsia"/>
          <w:bCs/>
          <w:color w:val="000000"/>
          <w:kern w:val="0"/>
          <w:szCs w:val="21"/>
        </w:rPr>
      </w:pPr>
      <w:bookmarkStart w:id="35" w:name="_Toc6371"/>
      <w:bookmarkStart w:id="36" w:name="_Toc6756"/>
      <w:r>
        <w:rPr>
          <w:rFonts w:hint="eastAsia" w:ascii="Times New Roman" w:hAnsi="Times New Roman" w:cs="Times New Roman" w:eastAsiaTheme="minorEastAsia"/>
          <w:color w:val="000000"/>
          <w:szCs w:val="21"/>
        </w:rPr>
        <w:t>2.1.11</w:t>
      </w:r>
      <w:r>
        <w:rPr>
          <w:rFonts w:hint="eastAsia" w:asciiTheme="minorEastAsia" w:hAnsiTheme="minorEastAsia" w:eastAsiaTheme="minorEastAsia" w:cstheme="minorEastAsia"/>
          <w:bCs/>
          <w:color w:val="000000"/>
          <w:szCs w:val="21"/>
        </w:rPr>
        <w:t xml:space="preserve">  囊体</w:t>
      </w:r>
      <w:bookmarkEnd w:id="35"/>
      <w:bookmarkEnd w:id="36"/>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注入囊袋内的水泥浆或水泥砂浆凝结形成的、以杆体和笼芯为骨架的结石体。</w:t>
      </w:r>
    </w:p>
    <w:p>
      <w:pPr>
        <w:shd w:val="clear" w:color="auto" w:fill="FFFFFF"/>
        <w:spacing w:line="360" w:lineRule="exact"/>
        <w:rPr>
          <w:rFonts w:asciiTheme="minorEastAsia" w:hAnsiTheme="minorEastAsia" w:eastAsiaTheme="minorEastAsia" w:cstheme="minorEastAsia"/>
          <w:bCs/>
          <w:color w:val="000000"/>
          <w:kern w:val="0"/>
          <w:szCs w:val="21"/>
        </w:rPr>
      </w:pPr>
      <w:bookmarkStart w:id="37" w:name="_Toc19285"/>
      <w:bookmarkStart w:id="38" w:name="_Toc27481"/>
      <w:r>
        <w:rPr>
          <w:rFonts w:hint="eastAsia" w:ascii="Times New Roman" w:hAnsi="Times New Roman" w:cs="Times New Roman" w:eastAsiaTheme="minorEastAsia"/>
          <w:color w:val="000000"/>
          <w:szCs w:val="21"/>
        </w:rPr>
        <w:t>2.1.12</w:t>
      </w:r>
      <w:r>
        <w:rPr>
          <w:rFonts w:hint="eastAsia" w:asciiTheme="minorEastAsia" w:hAnsiTheme="minorEastAsia" w:eastAsiaTheme="minorEastAsia" w:cstheme="minorEastAsia"/>
          <w:bCs/>
          <w:color w:val="000000"/>
          <w:szCs w:val="21"/>
        </w:rPr>
        <w:t xml:space="preserve">  注浆体</w:t>
      </w:r>
      <w:bookmarkEnd w:id="37"/>
      <w:bookmarkEnd w:id="38"/>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灌注于锚孔或囊袋内的水泥浆或水泥砂浆凝结而成的固结体。又称水泥浆体。</w:t>
      </w:r>
    </w:p>
    <w:p>
      <w:pPr>
        <w:spacing w:line="360" w:lineRule="exact"/>
        <w:rPr>
          <w:rFonts w:asciiTheme="minorEastAsia" w:hAnsiTheme="minorEastAsia" w:eastAsiaTheme="minorEastAsia" w:cstheme="minorEastAsia"/>
          <w:bCs/>
          <w:color w:val="000000"/>
          <w:szCs w:val="21"/>
        </w:rPr>
      </w:pPr>
      <w:bookmarkStart w:id="39" w:name="_Toc30408"/>
      <w:bookmarkStart w:id="40" w:name="_Toc32619"/>
      <w:r>
        <w:rPr>
          <w:rFonts w:hint="eastAsia" w:ascii="Times New Roman" w:hAnsi="Times New Roman" w:cs="Times New Roman" w:eastAsiaTheme="minorEastAsia"/>
          <w:color w:val="000000"/>
          <w:szCs w:val="21"/>
        </w:rPr>
        <w:t>2.1.13</w:t>
      </w:r>
      <w:r>
        <w:rPr>
          <w:rFonts w:hint="eastAsia" w:asciiTheme="minorEastAsia" w:hAnsiTheme="minorEastAsia" w:eastAsiaTheme="minorEastAsia" w:cstheme="minorEastAsia"/>
          <w:bCs/>
          <w:color w:val="000000"/>
          <w:szCs w:val="21"/>
        </w:rPr>
        <w:t xml:space="preserve">  锚固体</w:t>
      </w:r>
      <w:bookmarkEnd w:id="39"/>
      <w:bookmarkEnd w:id="40"/>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锚杆连同嵌固锚杆的岩土体所组成的受力共同体。</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2.1.14</w:t>
      </w:r>
      <w:r>
        <w:rPr>
          <w:rFonts w:hint="eastAsia" w:asciiTheme="minorEastAsia" w:hAnsiTheme="minorEastAsia" w:eastAsiaTheme="minorEastAsia" w:cstheme="minorEastAsia"/>
          <w:bCs/>
          <w:color w:val="000000"/>
          <w:szCs w:val="21"/>
        </w:rPr>
        <w:t xml:space="preserve">  承载体</w:t>
      </w:r>
    </w:p>
    <w:p>
      <w:pPr>
        <w:spacing w:line="360" w:lineRule="exact"/>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 xml:space="preserve">    承担杆体拉力并传递给注浆体或锚孔壁岩土体的构件。</w:t>
      </w:r>
    </w:p>
    <w:p>
      <w:pPr>
        <w:spacing w:line="360" w:lineRule="exact"/>
        <w:rPr>
          <w:rFonts w:asciiTheme="minorEastAsia" w:hAnsiTheme="minorEastAsia" w:eastAsiaTheme="minorEastAsia" w:cstheme="minorEastAsia"/>
          <w:bCs/>
          <w:color w:val="000000"/>
          <w:szCs w:val="21"/>
        </w:rPr>
      </w:pPr>
      <w:bookmarkStart w:id="41" w:name="_Toc1780"/>
      <w:bookmarkStart w:id="42" w:name="_Toc12574"/>
      <w:r>
        <w:rPr>
          <w:rFonts w:hint="eastAsia" w:ascii="Times New Roman" w:hAnsi="Times New Roman" w:cs="Times New Roman" w:eastAsiaTheme="minorEastAsia"/>
          <w:color w:val="000000"/>
          <w:szCs w:val="21"/>
        </w:rPr>
        <w:t>2.1.15</w:t>
      </w:r>
      <w:r>
        <w:rPr>
          <w:rFonts w:hint="eastAsia" w:asciiTheme="minorEastAsia" w:hAnsiTheme="minorEastAsia" w:eastAsiaTheme="minorEastAsia" w:cstheme="minorEastAsia"/>
          <w:bCs/>
          <w:color w:val="000000"/>
          <w:szCs w:val="21"/>
        </w:rPr>
        <w:t xml:space="preserve">  永久性锚杆</w:t>
      </w:r>
      <w:bookmarkEnd w:id="41"/>
      <w:bookmarkEnd w:id="42"/>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设计使用期超过2年的锚杆。</w:t>
      </w:r>
    </w:p>
    <w:p>
      <w:pPr>
        <w:spacing w:line="360" w:lineRule="exact"/>
        <w:rPr>
          <w:rFonts w:asciiTheme="minorEastAsia" w:hAnsiTheme="minorEastAsia" w:eastAsiaTheme="minorEastAsia" w:cstheme="minorEastAsia"/>
          <w:bCs/>
          <w:color w:val="000000"/>
          <w:szCs w:val="21"/>
        </w:rPr>
      </w:pPr>
      <w:bookmarkStart w:id="43" w:name="_Toc2581"/>
      <w:bookmarkStart w:id="44" w:name="_Toc20018"/>
      <w:r>
        <w:rPr>
          <w:rFonts w:hint="eastAsia" w:ascii="Times New Roman" w:hAnsi="Times New Roman" w:cs="Times New Roman" w:eastAsiaTheme="minorEastAsia"/>
          <w:color w:val="000000"/>
          <w:szCs w:val="21"/>
        </w:rPr>
        <w:t>2.1.16</w:t>
      </w: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color w:val="000000"/>
          <w:szCs w:val="21"/>
        </w:rPr>
        <w:t xml:space="preserve"> 临时性锚杆</w:t>
      </w:r>
      <w:bookmarkEnd w:id="43"/>
      <w:bookmarkEnd w:id="44"/>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设计使用期不超过2年的锚杆。</w:t>
      </w:r>
    </w:p>
    <w:p>
      <w:pPr>
        <w:spacing w:line="360" w:lineRule="exact"/>
        <w:rPr>
          <w:rFonts w:asciiTheme="minorEastAsia" w:hAnsiTheme="minorEastAsia" w:eastAsiaTheme="minorEastAsia" w:cstheme="minorEastAsia"/>
          <w:bCs/>
          <w:color w:val="000000"/>
          <w:szCs w:val="21"/>
        </w:rPr>
      </w:pPr>
      <w:bookmarkStart w:id="45" w:name="_Toc9123"/>
      <w:bookmarkStart w:id="46" w:name="_Toc27949"/>
      <w:r>
        <w:rPr>
          <w:rFonts w:hint="eastAsia" w:ascii="Times New Roman" w:hAnsi="Times New Roman" w:cs="Times New Roman" w:eastAsiaTheme="minorEastAsia"/>
          <w:color w:val="000000"/>
          <w:szCs w:val="21"/>
        </w:rPr>
        <w:t>2.1.17</w:t>
      </w:r>
      <w:r>
        <w:rPr>
          <w:rFonts w:hint="eastAsia" w:asciiTheme="minorEastAsia" w:hAnsiTheme="minorEastAsia" w:eastAsiaTheme="minorEastAsia" w:cstheme="minorEastAsia"/>
          <w:bCs/>
          <w:color w:val="000000"/>
          <w:szCs w:val="21"/>
        </w:rPr>
        <w:t xml:space="preserve">  预应力锚杆</w:t>
      </w:r>
      <w:bookmarkEnd w:id="45"/>
      <w:bookmarkEnd w:id="46"/>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施加预应力以期获得较小的工后变形的锚杆。</w:t>
      </w:r>
    </w:p>
    <w:p>
      <w:pPr>
        <w:spacing w:line="360" w:lineRule="exact"/>
        <w:rPr>
          <w:rFonts w:asciiTheme="minorEastAsia" w:hAnsiTheme="minorEastAsia" w:eastAsiaTheme="minorEastAsia" w:cstheme="minorEastAsia"/>
          <w:bCs/>
          <w:color w:val="000000"/>
          <w:szCs w:val="21"/>
        </w:rPr>
      </w:pPr>
      <w:bookmarkStart w:id="47" w:name="_Toc4441"/>
      <w:bookmarkStart w:id="48" w:name="_Toc10883"/>
      <w:r>
        <w:rPr>
          <w:rFonts w:hint="eastAsia" w:ascii="Times New Roman" w:hAnsi="Times New Roman" w:cs="Times New Roman" w:eastAsiaTheme="minorEastAsia"/>
          <w:color w:val="000000"/>
          <w:szCs w:val="21"/>
        </w:rPr>
        <w:t>2.1.18</w:t>
      </w:r>
      <w:r>
        <w:rPr>
          <w:rFonts w:hint="eastAsia" w:asciiTheme="minorEastAsia" w:hAnsiTheme="minorEastAsia" w:eastAsiaTheme="minorEastAsia" w:cstheme="minorEastAsia"/>
          <w:bCs/>
          <w:color w:val="000000"/>
          <w:szCs w:val="21"/>
        </w:rPr>
        <w:t xml:space="preserve">  非预应力锚杆</w:t>
      </w:r>
      <w:bookmarkEnd w:id="47"/>
      <w:bookmarkEnd w:id="48"/>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不施加预应力的锚杆。</w:t>
      </w:r>
    </w:p>
    <w:p>
      <w:pPr>
        <w:spacing w:line="360" w:lineRule="exact"/>
        <w:rPr>
          <w:rFonts w:asciiTheme="minorEastAsia" w:hAnsiTheme="minorEastAsia" w:eastAsiaTheme="minorEastAsia" w:cstheme="minorEastAsia"/>
          <w:bCs/>
          <w:color w:val="000000"/>
          <w:szCs w:val="21"/>
        </w:rPr>
      </w:pPr>
      <w:bookmarkStart w:id="49" w:name="_Toc16330"/>
      <w:bookmarkStart w:id="50" w:name="_Toc20658"/>
      <w:r>
        <w:rPr>
          <w:rFonts w:hint="eastAsia" w:ascii="Times New Roman" w:hAnsi="Times New Roman" w:cs="Times New Roman" w:eastAsiaTheme="minorEastAsia"/>
          <w:color w:val="000000"/>
          <w:szCs w:val="21"/>
        </w:rPr>
        <w:t>2.1.19</w:t>
      </w: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color w:val="000000"/>
          <w:szCs w:val="21"/>
        </w:rPr>
        <w:t xml:space="preserve"> 位移控制锚杆</w:t>
      </w:r>
      <w:bookmarkEnd w:id="49"/>
      <w:bookmarkEnd w:id="50"/>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囊体深埋于不受基坑、边坡变形影响的稳定地层中，从锚头到囊体之间全长为自由段、工后位移主要由自由段杆体的弹性性能控制的锚杆。</w:t>
      </w:r>
    </w:p>
    <w:p>
      <w:pPr>
        <w:spacing w:line="360" w:lineRule="exact"/>
        <w:rPr>
          <w:rFonts w:asciiTheme="minorEastAsia" w:hAnsiTheme="minorEastAsia" w:eastAsiaTheme="minorEastAsia" w:cstheme="minorEastAsia"/>
          <w:bCs/>
          <w:color w:val="000000"/>
          <w:szCs w:val="21"/>
        </w:rPr>
      </w:pPr>
      <w:bookmarkStart w:id="51" w:name="_Toc5153"/>
      <w:bookmarkStart w:id="52" w:name="_Toc24385"/>
      <w:r>
        <w:rPr>
          <w:rFonts w:hint="eastAsia" w:ascii="Times New Roman" w:hAnsi="Times New Roman" w:cs="Times New Roman" w:eastAsiaTheme="minorEastAsia"/>
          <w:color w:val="000000"/>
          <w:szCs w:val="21"/>
        </w:rPr>
        <w:t>2.1.20</w:t>
      </w: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color w:val="000000"/>
          <w:szCs w:val="21"/>
        </w:rPr>
        <w:t xml:space="preserve"> 锚杆倾角</w:t>
      </w:r>
      <w:bookmarkEnd w:id="51"/>
      <w:bookmarkEnd w:id="52"/>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锚杆轴线与水平面之间的夹角。</w:t>
      </w:r>
    </w:p>
    <w:p>
      <w:pPr>
        <w:spacing w:line="360" w:lineRule="exact"/>
        <w:rPr>
          <w:rFonts w:asciiTheme="minorEastAsia" w:hAnsiTheme="minorEastAsia" w:eastAsiaTheme="minorEastAsia" w:cstheme="minorEastAsia"/>
          <w:bCs/>
          <w:color w:val="000000"/>
          <w:szCs w:val="21"/>
        </w:rPr>
      </w:pPr>
      <w:bookmarkStart w:id="53" w:name="_Toc31552"/>
      <w:bookmarkStart w:id="54" w:name="_Toc115"/>
      <w:r>
        <w:rPr>
          <w:rFonts w:hint="eastAsia" w:ascii="Times New Roman" w:hAnsi="Times New Roman" w:cs="Times New Roman" w:eastAsiaTheme="minorEastAsia"/>
          <w:color w:val="000000"/>
          <w:szCs w:val="21"/>
        </w:rPr>
        <w:t>2.1.21</w:t>
      </w:r>
      <w:r>
        <w:rPr>
          <w:rFonts w:hint="eastAsia" w:asciiTheme="minorEastAsia" w:hAnsiTheme="minorEastAsia" w:eastAsiaTheme="minorEastAsia" w:cstheme="minorEastAsia"/>
          <w:bCs/>
          <w:color w:val="000000"/>
          <w:szCs w:val="21"/>
        </w:rPr>
        <w:t xml:space="preserve">  张拉锁定值</w:t>
      </w:r>
      <w:bookmarkEnd w:id="53"/>
      <w:bookmarkEnd w:id="54"/>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锚杆杆体张拉后锁定完成时的拉力值。</w:t>
      </w:r>
    </w:p>
    <w:p>
      <w:pPr>
        <w:spacing w:line="360" w:lineRule="exact"/>
        <w:rPr>
          <w:rFonts w:asciiTheme="minorEastAsia" w:hAnsiTheme="minorEastAsia" w:eastAsiaTheme="minorEastAsia" w:cstheme="minorEastAsia"/>
          <w:bCs/>
          <w:color w:val="000000"/>
          <w:szCs w:val="21"/>
        </w:rPr>
      </w:pPr>
      <w:bookmarkStart w:id="55" w:name="_Toc28363"/>
      <w:bookmarkStart w:id="56" w:name="_Toc23562"/>
      <w:r>
        <w:rPr>
          <w:rFonts w:hint="eastAsia" w:ascii="Times New Roman" w:hAnsi="Times New Roman" w:cs="Times New Roman" w:eastAsiaTheme="minorEastAsia"/>
          <w:color w:val="000000"/>
          <w:szCs w:val="21"/>
        </w:rPr>
        <w:t>2.1.22</w:t>
      </w:r>
      <w:r>
        <w:rPr>
          <w:rFonts w:hint="eastAsia" w:asciiTheme="minorEastAsia" w:hAnsiTheme="minorEastAsia" w:eastAsiaTheme="minorEastAsia" w:cstheme="minorEastAsia"/>
          <w:bCs/>
          <w:color w:val="000000"/>
          <w:szCs w:val="21"/>
        </w:rPr>
        <w:t xml:space="preserve">  抗拔力极限值</w:t>
      </w:r>
      <w:bookmarkEnd w:id="55"/>
      <w:bookmarkEnd w:id="56"/>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锚杆在轴向拉力作用下达到破坏状态前或出现不适于继续受力的变形时所对应的最大拉力值。又称抗拔承载力极限值。</w:t>
      </w:r>
    </w:p>
    <w:p>
      <w:pPr>
        <w:spacing w:line="360" w:lineRule="exact"/>
        <w:rPr>
          <w:rFonts w:asciiTheme="minorEastAsia" w:hAnsiTheme="minorEastAsia" w:eastAsiaTheme="minorEastAsia" w:cstheme="minorEastAsia"/>
          <w:bCs/>
          <w:color w:val="000000"/>
          <w:szCs w:val="21"/>
        </w:rPr>
      </w:pPr>
      <w:bookmarkStart w:id="57" w:name="_Toc8677"/>
      <w:bookmarkStart w:id="58" w:name="_Toc4592"/>
      <w:r>
        <w:rPr>
          <w:rFonts w:hint="eastAsia" w:ascii="Times New Roman" w:hAnsi="Times New Roman" w:cs="Times New Roman" w:eastAsiaTheme="minorEastAsia"/>
          <w:color w:val="000000"/>
          <w:szCs w:val="21"/>
        </w:rPr>
        <w:t>2.1.23</w:t>
      </w:r>
      <w:r>
        <w:rPr>
          <w:rFonts w:hint="eastAsia" w:asciiTheme="minorEastAsia" w:hAnsiTheme="minorEastAsia" w:eastAsiaTheme="minorEastAsia" w:cstheme="minorEastAsia"/>
          <w:bCs/>
          <w:color w:val="000000"/>
          <w:szCs w:val="21"/>
        </w:rPr>
        <w:t xml:space="preserve">  抗拔力特征值</w:t>
      </w:r>
      <w:bookmarkEnd w:id="57"/>
      <w:bookmarkEnd w:id="58"/>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锚杆极限抗拔力标准值除以抗拔安全系数后的值。又称抗拔承载力特征值。</w:t>
      </w:r>
    </w:p>
    <w:p>
      <w:pPr>
        <w:spacing w:line="360" w:lineRule="exact"/>
        <w:rPr>
          <w:rFonts w:asciiTheme="minorEastAsia" w:hAnsiTheme="minorEastAsia" w:eastAsiaTheme="minorEastAsia" w:cstheme="minorEastAsia"/>
          <w:bCs/>
          <w:color w:val="000000"/>
          <w:szCs w:val="21"/>
        </w:rPr>
      </w:pPr>
      <w:bookmarkStart w:id="59" w:name="_Toc17321"/>
      <w:bookmarkStart w:id="60" w:name="_Toc1560"/>
      <w:r>
        <w:rPr>
          <w:rFonts w:hint="eastAsia" w:ascii="Times New Roman" w:hAnsi="Times New Roman" w:cs="Times New Roman" w:eastAsiaTheme="minorEastAsia"/>
          <w:color w:val="000000"/>
          <w:szCs w:val="21"/>
        </w:rPr>
        <w:t>2.1.24</w:t>
      </w:r>
      <w:r>
        <w:rPr>
          <w:rFonts w:hint="eastAsia" w:asciiTheme="minorEastAsia" w:hAnsiTheme="minorEastAsia" w:eastAsiaTheme="minorEastAsia" w:cstheme="minorEastAsia"/>
          <w:bCs/>
          <w:color w:val="000000"/>
          <w:szCs w:val="21"/>
        </w:rPr>
        <w:t xml:space="preserve">  基本试验</w:t>
      </w:r>
      <w:bookmarkEnd w:id="59"/>
      <w:bookmarkEnd w:id="60"/>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为检验锚杆设计参数和施工工艺，在工程锚杆正式施工前进行的现场锚杆极限抗拔力试验。</w:t>
      </w:r>
    </w:p>
    <w:p>
      <w:pPr>
        <w:spacing w:line="360" w:lineRule="exact"/>
        <w:rPr>
          <w:rFonts w:asciiTheme="minorEastAsia" w:hAnsiTheme="minorEastAsia" w:eastAsiaTheme="minorEastAsia" w:cstheme="minorEastAsia"/>
          <w:bCs/>
          <w:color w:val="000000"/>
          <w:szCs w:val="21"/>
        </w:rPr>
      </w:pPr>
      <w:bookmarkStart w:id="61" w:name="_Toc27631"/>
      <w:bookmarkStart w:id="62" w:name="_Toc11498"/>
      <w:r>
        <w:rPr>
          <w:rFonts w:hint="eastAsia" w:ascii="Times New Roman" w:hAnsi="Times New Roman" w:cs="Times New Roman" w:eastAsiaTheme="minorEastAsia"/>
          <w:color w:val="000000"/>
          <w:szCs w:val="21"/>
        </w:rPr>
        <w:t>2.1.25</w:t>
      </w:r>
      <w:r>
        <w:rPr>
          <w:rFonts w:hint="eastAsia" w:asciiTheme="minorEastAsia" w:hAnsiTheme="minorEastAsia" w:eastAsiaTheme="minorEastAsia" w:cstheme="minorEastAsia"/>
          <w:bCs/>
          <w:color w:val="000000"/>
          <w:szCs w:val="21"/>
        </w:rPr>
        <w:t xml:space="preserve">  验收试验</w:t>
      </w:r>
      <w:bookmarkEnd w:id="61"/>
      <w:bookmarkEnd w:id="62"/>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为检验工程锚杆是否符合设计要求，在工程锚杆施工后进行的锚杆抗拔力试验。</w:t>
      </w:r>
    </w:p>
    <w:p>
      <w:pPr>
        <w:spacing w:line="360" w:lineRule="exact"/>
        <w:rPr>
          <w:rFonts w:asciiTheme="minorEastAsia" w:hAnsiTheme="minorEastAsia" w:eastAsiaTheme="minorEastAsia" w:cstheme="minorEastAsia"/>
          <w:bCs/>
          <w:color w:val="000000"/>
          <w:szCs w:val="21"/>
        </w:rPr>
      </w:pPr>
      <w:bookmarkStart w:id="63" w:name="_Toc6759"/>
      <w:bookmarkStart w:id="64" w:name="_Toc21434"/>
      <w:r>
        <w:rPr>
          <w:rFonts w:hint="eastAsia" w:ascii="Times New Roman" w:hAnsi="Times New Roman" w:cs="Times New Roman" w:eastAsiaTheme="minorEastAsia"/>
          <w:color w:val="000000"/>
          <w:szCs w:val="21"/>
        </w:rPr>
        <w:t>2.1.26</w:t>
      </w:r>
      <w:r>
        <w:rPr>
          <w:rFonts w:hint="eastAsia" w:asciiTheme="minorEastAsia" w:hAnsiTheme="minorEastAsia" w:eastAsiaTheme="minorEastAsia" w:cstheme="minorEastAsia"/>
          <w:bCs/>
          <w:color w:val="000000"/>
          <w:szCs w:val="21"/>
        </w:rPr>
        <w:t xml:space="preserve">  锚杆位移</w:t>
      </w:r>
      <w:bookmarkEnd w:id="63"/>
      <w:bookmarkEnd w:id="64"/>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锚杆试验时锚头处测得的沿锚杆轴线方向的位移。</w:t>
      </w:r>
    </w:p>
    <w:p>
      <w:pPr>
        <w:spacing w:line="360" w:lineRule="exact"/>
        <w:rPr>
          <w:rFonts w:asciiTheme="minorEastAsia" w:hAnsiTheme="minorEastAsia" w:eastAsiaTheme="minorEastAsia" w:cstheme="minorEastAsia"/>
          <w:bCs/>
          <w:color w:val="000000"/>
          <w:szCs w:val="21"/>
        </w:rPr>
      </w:pPr>
      <w:bookmarkStart w:id="65" w:name="_Toc28598"/>
      <w:bookmarkStart w:id="66" w:name="_Toc22403"/>
      <w:r>
        <w:rPr>
          <w:rFonts w:hint="eastAsia" w:ascii="Times New Roman" w:hAnsi="Times New Roman" w:cs="Times New Roman" w:eastAsiaTheme="minorEastAsia"/>
          <w:color w:val="000000"/>
          <w:szCs w:val="21"/>
        </w:rPr>
        <w:t xml:space="preserve">2.1.27  </w:t>
      </w:r>
      <w:r>
        <w:rPr>
          <w:rFonts w:hint="eastAsia" w:asciiTheme="minorEastAsia" w:hAnsiTheme="minorEastAsia" w:eastAsiaTheme="minorEastAsia" w:cstheme="minorEastAsia"/>
          <w:bCs/>
          <w:color w:val="000000"/>
          <w:szCs w:val="21"/>
        </w:rPr>
        <w:t>锚固体稳定性</w:t>
      </w:r>
      <w:bookmarkEnd w:id="65"/>
      <w:bookmarkEnd w:id="66"/>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锚杆连同嵌固锚杆的岩土体作为一个受力整体，在锚杆受力时保持稳定的能力。</w:t>
      </w:r>
    </w:p>
    <w:p>
      <w:pPr>
        <w:spacing w:line="360" w:lineRule="exact"/>
        <w:rPr>
          <w:rFonts w:asciiTheme="minorEastAsia" w:hAnsiTheme="minorEastAsia" w:eastAsiaTheme="minorEastAsia" w:cstheme="minorEastAsia"/>
          <w:bCs/>
          <w:color w:val="000000"/>
          <w:szCs w:val="21"/>
        </w:rPr>
      </w:pPr>
      <w:bookmarkStart w:id="67" w:name="_Toc19747"/>
      <w:bookmarkStart w:id="68" w:name="_Toc538"/>
      <w:r>
        <w:rPr>
          <w:rFonts w:hint="eastAsia" w:ascii="Times New Roman" w:hAnsi="Times New Roman" w:cs="Times New Roman" w:eastAsiaTheme="minorEastAsia"/>
          <w:color w:val="000000"/>
          <w:szCs w:val="21"/>
        </w:rPr>
        <w:t>2.1.28</w:t>
      </w:r>
      <w:r>
        <w:rPr>
          <w:rFonts w:hint="eastAsia" w:asciiTheme="minorEastAsia" w:hAnsiTheme="minorEastAsia" w:eastAsiaTheme="minorEastAsia" w:cstheme="minorEastAsia"/>
          <w:bCs/>
          <w:color w:val="000000"/>
          <w:szCs w:val="21"/>
        </w:rPr>
        <w:t xml:space="preserve">  锚固体整体稳定性</w:t>
      </w:r>
      <w:bookmarkEnd w:id="67"/>
      <w:bookmarkEnd w:id="68"/>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区域内全部锚杆连同嵌固全部锚杆的岩土体作为一个受力整体，在全部锚杆同时受力时保持稳定的能力。</w:t>
      </w:r>
    </w:p>
    <w:p>
      <w:pPr>
        <w:spacing w:line="360" w:lineRule="exact"/>
        <w:rPr>
          <w:rFonts w:asciiTheme="minorEastAsia" w:hAnsiTheme="minorEastAsia" w:eastAsiaTheme="minorEastAsia" w:cstheme="minorEastAsia"/>
          <w:bCs/>
          <w:color w:val="000000"/>
          <w:szCs w:val="21"/>
        </w:rPr>
      </w:pPr>
      <w:bookmarkStart w:id="69" w:name="_Toc13974"/>
      <w:bookmarkStart w:id="70" w:name="_Toc27733"/>
      <w:r>
        <w:rPr>
          <w:rFonts w:hint="eastAsia" w:ascii="Times New Roman" w:hAnsi="Times New Roman" w:cs="Times New Roman" w:eastAsiaTheme="minorEastAsia"/>
          <w:color w:val="000000"/>
          <w:szCs w:val="21"/>
        </w:rPr>
        <w:t>2.1.29</w:t>
      </w:r>
      <w:r>
        <w:rPr>
          <w:rFonts w:hint="eastAsia" w:asciiTheme="minorEastAsia" w:hAnsiTheme="minorEastAsia" w:eastAsiaTheme="minorEastAsia" w:cstheme="minorEastAsia"/>
          <w:bCs/>
          <w:color w:val="000000"/>
          <w:szCs w:val="21"/>
        </w:rPr>
        <w:t xml:space="preserve">  锚固体局部稳定性</w:t>
      </w:r>
      <w:bookmarkEnd w:id="69"/>
      <w:bookmarkEnd w:id="70"/>
    </w:p>
    <w:p>
      <w:pPr>
        <w:spacing w:line="360" w:lineRule="exact"/>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区域内一根或一部分锚杆连同嵌固这些锚杆的岩土体作为一个受力整体，在这些锚杆同时受力时保持稳定的能力。</w:t>
      </w:r>
    </w:p>
    <w:p>
      <w:pPr>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2.1.30</w:t>
      </w:r>
      <w:r>
        <w:rPr>
          <w:rFonts w:hint="eastAsia" w:asciiTheme="minorEastAsia" w:hAnsiTheme="minorEastAsia" w:eastAsiaTheme="minorEastAsia" w:cstheme="minorEastAsia"/>
          <w:bCs/>
          <w:color w:val="000000"/>
          <w:szCs w:val="21"/>
        </w:rPr>
        <w:t xml:space="preserve">  精轧螺纹钢</w:t>
      </w:r>
    </w:p>
    <w:p>
      <w:pPr>
        <w:ind w:firstLine="420" w:firstLineChars="200"/>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预应力混凝土用螺纹钢筋。</w:t>
      </w:r>
    </w:p>
    <w:p>
      <w:pPr>
        <w:keepNext/>
        <w:keepLines/>
        <w:spacing w:before="312" w:beforeLines="100" w:after="156" w:afterLines="50"/>
        <w:jc w:val="center"/>
        <w:outlineLvl w:val="1"/>
        <w:rPr>
          <w:rFonts w:asciiTheme="minorEastAsia" w:hAnsiTheme="minorEastAsia" w:eastAsiaTheme="minorEastAsia" w:cstheme="minorEastAsia"/>
          <w:b/>
          <w:bCs/>
        </w:rPr>
      </w:pPr>
      <w:bookmarkStart w:id="71" w:name="_Toc18140"/>
      <w:bookmarkStart w:id="72" w:name="_Toc2076"/>
      <w:bookmarkStart w:id="73" w:name="_Toc14872"/>
      <w:bookmarkStart w:id="74" w:name="_Toc16319"/>
      <w:bookmarkStart w:id="75" w:name="_Toc6117"/>
      <w:bookmarkStart w:id="76" w:name="_Toc25216"/>
      <w:bookmarkStart w:id="77" w:name="_Toc27246"/>
      <w:r>
        <w:rPr>
          <w:rFonts w:hint="eastAsia" w:asciiTheme="minorEastAsia" w:hAnsiTheme="minorEastAsia" w:eastAsiaTheme="minorEastAsia" w:cstheme="minorEastAsia"/>
          <w:b/>
          <w:bCs/>
        </w:rPr>
        <w:t>2.2  符号</w:t>
      </w:r>
      <w:bookmarkEnd w:id="71"/>
      <w:bookmarkEnd w:id="72"/>
      <w:bookmarkEnd w:id="73"/>
      <w:bookmarkEnd w:id="74"/>
      <w:bookmarkEnd w:id="75"/>
      <w:bookmarkEnd w:id="76"/>
      <w:bookmarkEnd w:id="77"/>
    </w:p>
    <w:tbl>
      <w:tblPr>
        <w:tblStyle w:val="17"/>
        <w:tblW w:w="6038" w:type="dxa"/>
        <w:tblInd w:w="0" w:type="dxa"/>
        <w:tblLayout w:type="fixed"/>
        <w:tblCellMar>
          <w:top w:w="0" w:type="dxa"/>
          <w:left w:w="108" w:type="dxa"/>
          <w:bottom w:w="0" w:type="dxa"/>
          <w:right w:w="108" w:type="dxa"/>
        </w:tblCellMar>
      </w:tblPr>
      <w:tblGrid>
        <w:gridCol w:w="1184"/>
        <w:gridCol w:w="598"/>
        <w:gridCol w:w="4256"/>
      </w:tblGrid>
      <w:tr>
        <w:tblPrEx>
          <w:tblCellMar>
            <w:top w:w="0" w:type="dxa"/>
            <w:left w:w="108" w:type="dxa"/>
            <w:bottom w:w="0" w:type="dxa"/>
            <w:right w:w="108" w:type="dxa"/>
          </w:tblCellMar>
        </w:tblPrEx>
        <w:trPr>
          <w:trHeight w:val="24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A</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闸室基础底面面积；</w:t>
            </w:r>
          </w:p>
        </w:tc>
      </w:tr>
      <w:tr>
        <w:tblPrEx>
          <w:tblCellMar>
            <w:top w:w="0" w:type="dxa"/>
            <w:left w:w="108" w:type="dxa"/>
            <w:bottom w:w="0" w:type="dxa"/>
            <w:right w:w="108" w:type="dxa"/>
          </w:tblCellMar>
        </w:tblPrEx>
        <w:trPr>
          <w:trHeight w:val="24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A</w:t>
            </w:r>
            <w:r>
              <w:rPr>
                <w:rFonts w:hint="eastAsia" w:ascii="Times New Roman" w:hAnsi="Times New Roman" w:cs="Times New Roman" w:eastAsiaTheme="minorEastAsia"/>
                <w:i/>
                <w:color w:val="000000"/>
                <w:sz w:val="24"/>
                <w:vertAlign w:val="subscript"/>
              </w:rPr>
              <w:t>m</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囊体横截面积；</w:t>
            </w:r>
          </w:p>
        </w:tc>
      </w:tr>
      <w:tr>
        <w:tblPrEx>
          <w:tblCellMar>
            <w:top w:w="0" w:type="dxa"/>
            <w:left w:w="108" w:type="dxa"/>
            <w:bottom w:w="0" w:type="dxa"/>
            <w:right w:w="108" w:type="dxa"/>
          </w:tblCellMar>
        </w:tblPrEx>
        <w:trPr>
          <w:trHeight w:val="24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A</w:t>
            </w:r>
            <w:r>
              <w:rPr>
                <w:rFonts w:hint="eastAsia" w:ascii="Times New Roman" w:hAnsi="Times New Roman" w:cs="Times New Roman" w:eastAsiaTheme="minorEastAsia"/>
                <w:i/>
                <w:color w:val="000000"/>
                <w:sz w:val="24"/>
                <w:vertAlign w:val="subscript"/>
              </w:rPr>
              <w:t>p</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承载体与注浆体横载面净接触面积；</w:t>
            </w:r>
          </w:p>
        </w:tc>
      </w:tr>
      <w:tr>
        <w:tblPrEx>
          <w:tblCellMar>
            <w:top w:w="0" w:type="dxa"/>
            <w:left w:w="108" w:type="dxa"/>
            <w:bottom w:w="0" w:type="dxa"/>
            <w:right w:w="108" w:type="dxa"/>
          </w:tblCellMar>
        </w:tblPrEx>
        <w:trPr>
          <w:trHeight w:val="24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vertAlign w:val="subscript"/>
              </w:rPr>
            </w:pPr>
            <w:bookmarkStart w:id="78" w:name="_Toc16356"/>
            <w:r>
              <w:rPr>
                <w:rFonts w:ascii="Times New Roman" w:hAnsi="Times New Roman" w:cs="Times New Roman" w:eastAsiaTheme="minorEastAsia"/>
                <w:i/>
                <w:color w:val="000000"/>
                <w:sz w:val="24"/>
              </w:rPr>
              <w:t>A</w:t>
            </w:r>
            <w:r>
              <w:rPr>
                <w:rFonts w:ascii="Times New Roman" w:hAnsi="Times New Roman" w:cs="Times New Roman" w:eastAsiaTheme="minorEastAsia"/>
                <w:color w:val="000000"/>
                <w:sz w:val="24"/>
                <w:vertAlign w:val="subscript"/>
              </w:rPr>
              <w:t>s</w:t>
            </w:r>
            <w:bookmarkEnd w:id="78"/>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79" w:name="_Toc10832"/>
            <w:r>
              <w:rPr>
                <w:rFonts w:ascii="Times New Roman" w:hAnsi="Times New Roman" w:cs="Times New Roman" w:eastAsiaTheme="minorEastAsia"/>
                <w:color w:val="000000"/>
                <w:sz w:val="24"/>
                <w:lang w:val="de-DE"/>
              </w:rPr>
              <w:t>——</w:t>
            </w:r>
            <w:bookmarkEnd w:id="79"/>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bookmarkStart w:id="80" w:name="_Toc16243"/>
            <w:r>
              <w:rPr>
                <w:rFonts w:hint="eastAsia" w:asciiTheme="minorEastAsia" w:hAnsiTheme="minorEastAsia" w:eastAsiaTheme="minorEastAsia" w:cstheme="minorEastAsia"/>
                <w:color w:val="000000"/>
                <w:szCs w:val="21"/>
              </w:rPr>
              <w:t>锚杆杆体的截面面积；</w:t>
            </w:r>
            <w:bookmarkEnd w:id="80"/>
          </w:p>
        </w:tc>
      </w:tr>
      <w:tr>
        <w:tblPrEx>
          <w:tblCellMar>
            <w:top w:w="0" w:type="dxa"/>
            <w:left w:w="108" w:type="dxa"/>
            <w:bottom w:w="0" w:type="dxa"/>
            <w:right w:w="108" w:type="dxa"/>
          </w:tblCellMar>
        </w:tblPrEx>
        <w:trPr>
          <w:trHeight w:val="24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c</w:t>
            </w:r>
            <w:r>
              <w:rPr>
                <w:rFonts w:hint="eastAsia" w:ascii="Times New Roman" w:hAnsi="Times New Roman" w:cs="Times New Roman" w:eastAsiaTheme="minorEastAsia"/>
                <w:i/>
                <w:color w:val="000000"/>
                <w:sz w:val="24"/>
                <w:vertAlign w:val="subscript"/>
              </w:rPr>
              <w:t>1</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闸室基底面与土质地基之间的粘聚力；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81" w:name="_Toc14274"/>
            <w:r>
              <w:rPr>
                <w:rFonts w:ascii="Times New Roman" w:hAnsi="Times New Roman" w:cs="Times New Roman" w:eastAsiaTheme="minorEastAsia"/>
                <w:i/>
                <w:color w:val="000000"/>
                <w:sz w:val="24"/>
              </w:rPr>
              <w:t>c</w:t>
            </w:r>
            <w:bookmarkEnd w:id="81"/>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82" w:name="_Toc18657"/>
            <w:r>
              <w:rPr>
                <w:rFonts w:ascii="Times New Roman" w:hAnsi="Times New Roman" w:cs="Times New Roman" w:eastAsiaTheme="minorEastAsia"/>
                <w:color w:val="000000"/>
                <w:sz w:val="24"/>
                <w:lang w:val="de-DE"/>
              </w:rPr>
              <w:t>——</w:t>
            </w:r>
            <w:bookmarkEnd w:id="82"/>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83" w:name="_Toc974"/>
            <w:r>
              <w:rPr>
                <w:rFonts w:hint="eastAsia" w:asciiTheme="minorEastAsia" w:hAnsiTheme="minorEastAsia" w:eastAsiaTheme="minorEastAsia" w:cstheme="minorEastAsia"/>
                <w:color w:val="000000"/>
                <w:szCs w:val="21"/>
              </w:rPr>
              <w:t>土体的粘聚力；</w:t>
            </w:r>
            <w:bookmarkEnd w:id="83"/>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84" w:name="_Toc13015"/>
            <w:r>
              <w:rPr>
                <w:rFonts w:ascii="Times New Roman" w:hAnsi="Times New Roman" w:cs="Times New Roman" w:eastAsiaTheme="minorEastAsia"/>
                <w:i/>
                <w:color w:val="000000"/>
                <w:sz w:val="24"/>
              </w:rPr>
              <w:t>D</w:t>
            </w:r>
            <w:r>
              <w:rPr>
                <w:rFonts w:ascii="Times New Roman" w:hAnsi="Times New Roman" w:cs="Times New Roman" w:eastAsiaTheme="minorEastAsia"/>
                <w:color w:val="000000"/>
                <w:sz w:val="24"/>
                <w:vertAlign w:val="subscript"/>
              </w:rPr>
              <w:t>1</w:t>
            </w:r>
            <w:bookmarkEnd w:id="84"/>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85" w:name="_Toc17983"/>
            <w:r>
              <w:rPr>
                <w:rFonts w:ascii="Times New Roman" w:hAnsi="Times New Roman" w:cs="Times New Roman" w:eastAsiaTheme="minorEastAsia"/>
                <w:color w:val="000000"/>
                <w:sz w:val="24"/>
                <w:lang w:val="de-DE"/>
              </w:rPr>
              <w:t>——</w:t>
            </w:r>
            <w:bookmarkEnd w:id="85"/>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86" w:name="_Toc10928"/>
            <w:r>
              <w:rPr>
                <w:rFonts w:hint="eastAsia" w:asciiTheme="minorEastAsia" w:hAnsiTheme="minorEastAsia" w:eastAsiaTheme="minorEastAsia" w:cstheme="minorEastAsia"/>
                <w:color w:val="000000"/>
                <w:szCs w:val="21"/>
              </w:rPr>
              <w:t>锚杆钻孔直径；</w:t>
            </w:r>
            <w:bookmarkEnd w:id="86"/>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vertAlign w:val="subscript"/>
              </w:rPr>
            </w:pPr>
            <w:bookmarkStart w:id="87" w:name="_Toc24785"/>
            <w:r>
              <w:rPr>
                <w:rFonts w:ascii="Times New Roman" w:hAnsi="Times New Roman" w:cs="Times New Roman" w:eastAsiaTheme="minorEastAsia"/>
                <w:i/>
                <w:color w:val="000000"/>
                <w:sz w:val="24"/>
              </w:rPr>
              <w:t>D</w:t>
            </w:r>
            <w:r>
              <w:rPr>
                <w:rFonts w:ascii="Times New Roman" w:hAnsi="Times New Roman" w:cs="Times New Roman" w:eastAsiaTheme="minorEastAsia"/>
                <w:color w:val="000000"/>
                <w:sz w:val="24"/>
                <w:vertAlign w:val="subscript"/>
              </w:rPr>
              <w:t>2</w:t>
            </w:r>
            <w:bookmarkEnd w:id="87"/>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88" w:name="_Toc5567"/>
            <w:r>
              <w:rPr>
                <w:rFonts w:ascii="Times New Roman" w:hAnsi="Times New Roman" w:cs="Times New Roman" w:eastAsiaTheme="minorEastAsia"/>
                <w:color w:val="000000"/>
                <w:sz w:val="24"/>
                <w:lang w:val="de-DE"/>
              </w:rPr>
              <w:t>——</w:t>
            </w:r>
            <w:bookmarkEnd w:id="88"/>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89" w:name="_Toc11247"/>
            <w:r>
              <w:rPr>
                <w:rFonts w:hint="eastAsia" w:asciiTheme="minorEastAsia" w:hAnsiTheme="minorEastAsia" w:eastAsiaTheme="minorEastAsia" w:cstheme="minorEastAsia"/>
                <w:color w:val="000000"/>
                <w:szCs w:val="21"/>
              </w:rPr>
              <w:t>锚杆扩大头直径；</w:t>
            </w:r>
            <w:bookmarkEnd w:id="89"/>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90" w:name="_Toc22945"/>
            <w:r>
              <w:rPr>
                <w:rFonts w:ascii="Times New Roman" w:hAnsi="Times New Roman" w:cs="Times New Roman" w:eastAsiaTheme="minorEastAsia"/>
                <w:i/>
                <w:color w:val="000000"/>
                <w:sz w:val="24"/>
              </w:rPr>
              <w:t>D</w:t>
            </w:r>
            <w:r>
              <w:rPr>
                <w:rFonts w:ascii="Times New Roman" w:hAnsi="Times New Roman" w:cs="Times New Roman" w:eastAsiaTheme="minorEastAsia"/>
                <w:i/>
                <w:color w:val="000000"/>
                <w:sz w:val="24"/>
                <w:vertAlign w:val="subscript"/>
              </w:rPr>
              <w:t>3</w:t>
            </w:r>
            <w:bookmarkEnd w:id="90"/>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bookmarkStart w:id="91" w:name="_Toc4662"/>
            <w:r>
              <w:rPr>
                <w:rFonts w:ascii="Times New Roman" w:hAnsi="Times New Roman" w:cs="Times New Roman" w:eastAsiaTheme="minorEastAsia"/>
                <w:color w:val="000000"/>
                <w:sz w:val="24"/>
                <w:lang w:val="de-DE"/>
              </w:rPr>
              <w:t>——</w:t>
            </w:r>
            <w:bookmarkEnd w:id="91"/>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92" w:name="_Toc11303"/>
            <w:r>
              <w:rPr>
                <w:rFonts w:hint="eastAsia" w:asciiTheme="minorEastAsia" w:hAnsiTheme="minorEastAsia" w:eastAsiaTheme="minorEastAsia" w:cstheme="minorEastAsia"/>
                <w:color w:val="000000"/>
                <w:szCs w:val="21"/>
              </w:rPr>
              <w:t>笼芯直径；</w:t>
            </w:r>
            <w:bookmarkEnd w:id="92"/>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D</w:t>
            </w:r>
            <w:r>
              <w:rPr>
                <w:rFonts w:hint="eastAsia" w:ascii="Times New Roman" w:hAnsi="Times New Roman" w:cs="Times New Roman" w:eastAsiaTheme="minorEastAsia"/>
                <w:i/>
                <w:color w:val="000000"/>
                <w:sz w:val="24"/>
                <w:vertAlign w:val="subscript"/>
              </w:rPr>
              <w:t>4</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囊袋直径；</w:t>
            </w:r>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93" w:name="_Toc14643"/>
            <w:r>
              <w:rPr>
                <w:rFonts w:ascii="Times New Roman" w:hAnsi="Times New Roman" w:cs="Times New Roman" w:eastAsiaTheme="minorEastAsia"/>
                <w:i/>
                <w:color w:val="000000"/>
                <w:sz w:val="24"/>
              </w:rPr>
              <w:t>d</w:t>
            </w:r>
            <w:bookmarkEnd w:id="93"/>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bookmarkStart w:id="94" w:name="_Toc20390"/>
            <w:r>
              <w:rPr>
                <w:rFonts w:ascii="Times New Roman" w:hAnsi="Times New Roman" w:cs="Times New Roman" w:eastAsiaTheme="minorEastAsia"/>
                <w:color w:val="000000"/>
                <w:sz w:val="24"/>
                <w:lang w:val="de-DE"/>
              </w:rPr>
              <w:t>——</w:t>
            </w:r>
            <w:bookmarkEnd w:id="94"/>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95" w:name="_Toc10489"/>
            <w:r>
              <w:rPr>
                <w:rFonts w:hint="eastAsia" w:asciiTheme="minorEastAsia" w:hAnsiTheme="minorEastAsia" w:eastAsiaTheme="minorEastAsia" w:cstheme="minorEastAsia"/>
                <w:color w:val="000000"/>
                <w:szCs w:val="21"/>
              </w:rPr>
              <w:t>杆体直径；</w:t>
            </w:r>
            <w:bookmarkEnd w:id="95"/>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96" w:name="_Toc1707"/>
            <w:r>
              <w:rPr>
                <w:rFonts w:ascii="Times New Roman" w:hAnsi="Times New Roman" w:cs="Times New Roman" w:eastAsiaTheme="minorEastAsia"/>
                <w:i/>
                <w:color w:val="000000"/>
                <w:sz w:val="24"/>
              </w:rPr>
              <w:t>E</w:t>
            </w:r>
            <w:r>
              <w:rPr>
                <w:rFonts w:ascii="Times New Roman" w:hAnsi="Times New Roman" w:cs="Times New Roman" w:eastAsiaTheme="minorEastAsia"/>
                <w:color w:val="000000"/>
                <w:sz w:val="24"/>
                <w:vertAlign w:val="subscript"/>
              </w:rPr>
              <w:t>s</w:t>
            </w:r>
            <w:bookmarkEnd w:id="96"/>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97" w:name="_Toc12674"/>
            <w:r>
              <w:rPr>
                <w:rFonts w:ascii="Times New Roman" w:hAnsi="Times New Roman" w:cs="Times New Roman" w:eastAsiaTheme="minorEastAsia"/>
                <w:color w:val="000000"/>
                <w:sz w:val="24"/>
                <w:lang w:val="de-DE"/>
              </w:rPr>
              <w:t>——</w:t>
            </w:r>
            <w:bookmarkEnd w:id="97"/>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98" w:name="_Toc8804"/>
            <w:r>
              <w:rPr>
                <w:rFonts w:hint="eastAsia" w:asciiTheme="minorEastAsia" w:hAnsiTheme="minorEastAsia" w:eastAsiaTheme="minorEastAsia" w:cstheme="minorEastAsia"/>
                <w:color w:val="000000"/>
                <w:szCs w:val="21"/>
              </w:rPr>
              <w:t>锚杆杆体弹性模量；</w:t>
            </w:r>
            <w:bookmarkEnd w:id="98"/>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f</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t>闸室基底面与地基之间的摩擦系数；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vertAlign w:val="subscript"/>
              </w:rPr>
            </w:pPr>
            <w:bookmarkStart w:id="99" w:name="_Toc1016"/>
            <w:r>
              <w:rPr>
                <w:rFonts w:ascii="Times New Roman" w:hAnsi="Times New Roman" w:cs="Times New Roman" w:eastAsiaTheme="minorEastAsia"/>
                <w:i/>
                <w:color w:val="000000"/>
                <w:sz w:val="24"/>
              </w:rPr>
              <w:t>f</w:t>
            </w:r>
            <w:r>
              <w:rPr>
                <w:rFonts w:ascii="Times New Roman" w:hAnsi="Times New Roman" w:cs="Times New Roman" w:eastAsiaTheme="minorEastAsia"/>
                <w:i/>
                <w:color w:val="000000"/>
                <w:sz w:val="24"/>
                <w:vertAlign w:val="subscript"/>
              </w:rPr>
              <w:t>ck</w:t>
            </w:r>
            <w:bookmarkEnd w:id="99"/>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bookmarkStart w:id="100" w:name="_Toc26943"/>
            <w:r>
              <w:rPr>
                <w:rFonts w:ascii="Times New Roman" w:hAnsi="Times New Roman" w:cs="Times New Roman" w:eastAsiaTheme="minorEastAsia"/>
                <w:color w:val="000000"/>
                <w:sz w:val="24"/>
                <w:lang w:val="de-DE"/>
              </w:rPr>
              <w:t>——</w:t>
            </w:r>
            <w:bookmarkEnd w:id="100"/>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01" w:name="_Toc26452"/>
            <w:r>
              <w:rPr>
                <w:rFonts w:hint="eastAsia" w:asciiTheme="minorEastAsia" w:hAnsiTheme="minorEastAsia" w:eastAsiaTheme="minorEastAsia" w:cstheme="minorEastAsia"/>
                <w:color w:val="000000"/>
                <w:szCs w:val="21"/>
              </w:rPr>
              <w:t>注浆体轴心抗压强度标准值；</w:t>
            </w:r>
            <w:bookmarkEnd w:id="101"/>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mg</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锚杆注浆体与地层的摩阻强度标准值；</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ms</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锚杆注浆体与锚杆杆体的粘结强度标准值；</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102" w:name="_Toc20286"/>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py</w:t>
            </w:r>
            <w:bookmarkEnd w:id="102"/>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03" w:name="_Toc17250"/>
            <w:r>
              <w:rPr>
                <w:rFonts w:ascii="Times New Roman" w:hAnsi="Times New Roman" w:cs="Times New Roman" w:eastAsiaTheme="minorEastAsia"/>
                <w:color w:val="000000"/>
                <w:sz w:val="24"/>
                <w:lang w:val="de-DE"/>
              </w:rPr>
              <w:t>——</w:t>
            </w:r>
            <w:bookmarkEnd w:id="103"/>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bookmarkStart w:id="104" w:name="_Toc23279"/>
            <w:r>
              <w:rPr>
                <w:rFonts w:hint="eastAsia" w:asciiTheme="minorEastAsia" w:hAnsiTheme="minorEastAsia" w:eastAsiaTheme="minorEastAsia" w:cstheme="minorEastAsia"/>
                <w:color w:val="000000"/>
                <w:szCs w:val="21"/>
              </w:rPr>
              <w:t>整根钢绞线的设计力；</w:t>
            </w:r>
            <w:bookmarkEnd w:id="104"/>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rPr>
            </w:pPr>
            <w:bookmarkStart w:id="105" w:name="_Toc15627"/>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ptk</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py</w:t>
            </w:r>
            <w:bookmarkEnd w:id="105"/>
          </w:p>
        </w:tc>
        <w:tc>
          <w:tcPr>
            <w:tcW w:w="598" w:type="dxa"/>
            <w:tcMar>
              <w:left w:w="0" w:type="dxa"/>
              <w:right w:w="0" w:type="dxa"/>
            </w:tcMar>
          </w:tcPr>
          <w:p>
            <w:pPr>
              <w:spacing w:line="312" w:lineRule="exact"/>
              <w:rPr>
                <w:rFonts w:ascii="Times New Roman" w:hAnsi="Times New Roman" w:cs="Times New Roman" w:eastAsiaTheme="minorEastAsia"/>
                <w:color w:val="000000"/>
                <w:sz w:val="24"/>
              </w:rPr>
            </w:pPr>
            <w:bookmarkStart w:id="106" w:name="_Toc20062"/>
            <w:r>
              <w:rPr>
                <w:rFonts w:ascii="Times New Roman" w:hAnsi="Times New Roman" w:cs="Times New Roman" w:eastAsiaTheme="minorEastAsia"/>
                <w:color w:val="000000"/>
                <w:sz w:val="24"/>
                <w:lang w:val="de-DE"/>
              </w:rPr>
              <w:t>——</w:t>
            </w:r>
            <w:bookmarkEnd w:id="106"/>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07" w:name="_Toc7590"/>
            <w:r>
              <w:rPr>
                <w:rFonts w:hint="eastAsia" w:asciiTheme="minorEastAsia" w:hAnsiTheme="minorEastAsia" w:eastAsiaTheme="minorEastAsia" w:cstheme="minorEastAsia"/>
                <w:color w:val="000000"/>
                <w:szCs w:val="21"/>
              </w:rPr>
              <w:t>钢绞线和热处理钢筋的抗拉强度标准值、设计值；</w:t>
            </w:r>
            <w:bookmarkEnd w:id="107"/>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F</w:t>
            </w:r>
            <w:r>
              <w:rPr>
                <w:rFonts w:ascii="Times New Roman" w:hAnsi="Times New Roman" w:cs="Times New Roman" w:eastAsiaTheme="minorEastAsia"/>
                <w:i/>
                <w:color w:val="000000"/>
                <w:sz w:val="24"/>
                <w:vertAlign w:val="subscript"/>
              </w:rPr>
              <w:t>TU</w:t>
            </w:r>
          </w:p>
        </w:tc>
        <w:tc>
          <w:tcPr>
            <w:tcW w:w="598" w:type="dxa"/>
            <w:tcMar>
              <w:left w:w="0" w:type="dxa"/>
              <w:right w:w="0" w:type="dxa"/>
            </w:tcMa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杆体承载体连接器组装件的实测抗拔力；</w:t>
            </w:r>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rPr>
            </w:pPr>
            <w:bookmarkStart w:id="108" w:name="_Toc26490"/>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yk</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y</w:t>
            </w:r>
            <w:bookmarkEnd w:id="108"/>
          </w:p>
        </w:tc>
        <w:tc>
          <w:tcPr>
            <w:tcW w:w="598" w:type="dxa"/>
            <w:tcMar>
              <w:left w:w="0" w:type="dxa"/>
              <w:right w:w="0" w:type="dxa"/>
            </w:tcMar>
          </w:tcPr>
          <w:p>
            <w:pPr>
              <w:spacing w:line="312" w:lineRule="exact"/>
              <w:rPr>
                <w:rFonts w:ascii="Times New Roman" w:hAnsi="Times New Roman" w:cs="Times New Roman" w:eastAsiaTheme="minorEastAsia"/>
                <w:color w:val="000000"/>
                <w:sz w:val="24"/>
              </w:rPr>
            </w:pPr>
            <w:bookmarkStart w:id="109" w:name="_Toc24236"/>
            <w:r>
              <w:rPr>
                <w:rFonts w:ascii="Times New Roman" w:hAnsi="Times New Roman" w:cs="Times New Roman" w:eastAsiaTheme="minorEastAsia"/>
                <w:color w:val="000000"/>
                <w:sz w:val="24"/>
                <w:lang w:val="de-DE"/>
              </w:rPr>
              <w:t>——</w:t>
            </w:r>
            <w:bookmarkEnd w:id="109"/>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10" w:name="_Toc18425"/>
            <w:r>
              <w:rPr>
                <w:rFonts w:hint="eastAsia" w:asciiTheme="minorEastAsia" w:hAnsiTheme="minorEastAsia" w:eastAsiaTheme="minorEastAsia" w:cstheme="minorEastAsia"/>
                <w:color w:val="000000"/>
                <w:szCs w:val="21"/>
              </w:rPr>
              <w:t>预应力混凝土用螺纹钢筋和普通热轧钢筋的抗拉强度标准值、设计值；</w:t>
            </w:r>
            <w:bookmarkEnd w:id="110"/>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∑G</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作用在闸室上的全部竖向荷载之和；</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G</w:t>
            </w:r>
            <w:r>
              <w:rPr>
                <w:rFonts w:hint="eastAsia" w:ascii="Times New Roman" w:hAnsi="Times New Roman" w:cs="Times New Roman" w:eastAsiaTheme="minorEastAsia"/>
                <w:i/>
                <w:color w:val="000000"/>
                <w:sz w:val="24"/>
                <w:vertAlign w:val="subscript"/>
              </w:rPr>
              <w:t>m</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作用在闸室上的锚杆锚固力；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h</w:t>
            </w:r>
            <w:r>
              <w:rPr>
                <w:rFonts w:hint="eastAsia" w:ascii="Times New Roman" w:hAnsi="Times New Roman" w:cs="Times New Roman" w:eastAsiaTheme="minorEastAsia"/>
                <w:i/>
                <w:color w:val="000000"/>
                <w:sz w:val="24"/>
                <w:vertAlign w:val="subscript"/>
              </w:rPr>
              <w:t>1</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锚杆锚头中点至基坑底面的距离；</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h</w:t>
            </w:r>
            <w:r>
              <w:rPr>
                <w:rFonts w:hint="eastAsia" w:ascii="Times New Roman" w:hAnsi="Times New Roman" w:cs="Times New Roman" w:eastAsiaTheme="minorEastAsia"/>
                <w:i/>
                <w:color w:val="000000"/>
                <w:sz w:val="24"/>
                <w:vertAlign w:val="subscript"/>
              </w:rPr>
              <w:t>2</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净土压力零点到基坑底面的深度；</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∑H</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作用在闸室上的全部水平荷载之和；</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111" w:name="_Toc13312"/>
            <w:r>
              <w:rPr>
                <w:rFonts w:ascii="Times New Roman" w:hAnsi="Times New Roman" w:cs="Times New Roman" w:eastAsiaTheme="minorEastAsia"/>
                <w:i/>
                <w:color w:val="000000"/>
                <w:sz w:val="24"/>
              </w:rPr>
              <w:t>K</w:t>
            </w:r>
            <w:bookmarkEnd w:id="111"/>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12" w:name="_Toc6943"/>
            <w:r>
              <w:rPr>
                <w:rFonts w:ascii="Times New Roman" w:hAnsi="Times New Roman" w:cs="Times New Roman" w:eastAsiaTheme="minorEastAsia"/>
                <w:color w:val="000000"/>
                <w:sz w:val="24"/>
                <w:lang w:val="de-DE"/>
              </w:rPr>
              <w:t>——</w:t>
            </w:r>
            <w:bookmarkEnd w:id="112"/>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13" w:name="_Toc6202"/>
            <w:r>
              <w:rPr>
                <w:rFonts w:hint="eastAsia" w:asciiTheme="minorEastAsia" w:hAnsiTheme="minorEastAsia" w:eastAsiaTheme="minorEastAsia" w:cstheme="minorEastAsia"/>
                <w:color w:val="000000"/>
                <w:szCs w:val="21"/>
              </w:rPr>
              <w:t>锚杆抗拔安全系数；</w:t>
            </w:r>
            <w:bookmarkEnd w:id="113"/>
          </w:p>
        </w:tc>
      </w:tr>
      <w:tr>
        <w:tblPrEx>
          <w:tblCellMar>
            <w:top w:w="0" w:type="dxa"/>
            <w:left w:w="108" w:type="dxa"/>
            <w:bottom w:w="0" w:type="dxa"/>
            <w:right w:w="108" w:type="dxa"/>
          </w:tblCellMar>
        </w:tblPrEx>
        <w:trPr>
          <w:trHeight w:val="247" w:hRule="atLeast"/>
        </w:trPr>
        <w:tc>
          <w:tcPr>
            <w:tcW w:w="1184"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rPr>
            </w:pPr>
            <w:bookmarkStart w:id="114" w:name="_Toc29683"/>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a</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p</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o</w:t>
            </w:r>
            <w:bookmarkEnd w:id="114"/>
          </w:p>
        </w:tc>
        <w:tc>
          <w:tcPr>
            <w:tcW w:w="598" w:type="dxa"/>
            <w:tcMar>
              <w:left w:w="0" w:type="dxa"/>
              <w:right w:w="0" w:type="dxa"/>
            </w:tcMar>
          </w:tcPr>
          <w:p>
            <w:pPr>
              <w:spacing w:line="312" w:lineRule="exact"/>
              <w:rPr>
                <w:rFonts w:ascii="Times New Roman" w:hAnsi="Times New Roman" w:cs="Times New Roman" w:eastAsiaTheme="minorEastAsia"/>
                <w:color w:val="000000"/>
                <w:sz w:val="24"/>
              </w:rPr>
            </w:pPr>
            <w:bookmarkStart w:id="115" w:name="_Toc26718"/>
            <w:r>
              <w:rPr>
                <w:rFonts w:ascii="Times New Roman" w:hAnsi="Times New Roman" w:cs="Times New Roman" w:eastAsiaTheme="minorEastAsia"/>
                <w:color w:val="000000"/>
                <w:sz w:val="24"/>
                <w:lang w:val="de-DE"/>
              </w:rPr>
              <w:t>——</w:t>
            </w:r>
            <w:bookmarkEnd w:id="115"/>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16" w:name="_Toc12872"/>
            <w:r>
              <w:rPr>
                <w:rFonts w:hint="eastAsia" w:asciiTheme="minorEastAsia" w:hAnsiTheme="minorEastAsia" w:eastAsiaTheme="minorEastAsia" w:cstheme="minorEastAsia"/>
                <w:color w:val="000000"/>
                <w:szCs w:val="21"/>
              </w:rPr>
              <w:t>土体的主动土压力系数、被动土压力系数、静止土压力系数；</w:t>
            </w:r>
            <w:bookmarkEnd w:id="116"/>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K</w:t>
            </w:r>
            <w:r>
              <w:rPr>
                <w:rFonts w:hint="eastAsia" w:ascii="Times New Roman" w:hAnsi="Times New Roman" w:cs="Times New Roman" w:eastAsiaTheme="minorEastAsia"/>
                <w:i/>
                <w:color w:val="000000"/>
                <w:sz w:val="24"/>
                <w:vertAlign w:val="subscript"/>
                <w:lang w:val="en-US" w:eastAsia="zh-CN"/>
              </w:rPr>
              <w:t>c</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t>沿闸室基底面的抗滑稳定安全系数；</w:t>
            </w:r>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K</w:t>
            </w:r>
            <w:r>
              <w:rPr>
                <w:rFonts w:hint="eastAsia" w:ascii="Times New Roman" w:hAnsi="Times New Roman" w:cs="Times New Roman" w:eastAsiaTheme="minorEastAsia"/>
                <w:i/>
                <w:color w:val="000000"/>
                <w:sz w:val="24"/>
                <w:vertAlign w:val="subscript"/>
              </w:rPr>
              <w:t>f</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闸室、消力池底板抗浮稳定安全系数；</w:t>
            </w:r>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117" w:name="_Toc25912"/>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s</w:t>
            </w:r>
            <w:bookmarkEnd w:id="117"/>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18" w:name="_Toc18387"/>
            <w:r>
              <w:rPr>
                <w:rFonts w:ascii="Times New Roman" w:hAnsi="Times New Roman" w:cs="Times New Roman" w:eastAsiaTheme="minorEastAsia"/>
                <w:color w:val="000000"/>
                <w:sz w:val="24"/>
                <w:lang w:val="de-DE"/>
              </w:rPr>
              <w:t>——</w:t>
            </w:r>
            <w:bookmarkEnd w:id="118"/>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19" w:name="_Toc25970"/>
            <w:r>
              <w:rPr>
                <w:rFonts w:hint="eastAsia" w:asciiTheme="minorEastAsia" w:hAnsiTheme="minorEastAsia" w:eastAsiaTheme="minorEastAsia" w:cstheme="minorEastAsia"/>
                <w:color w:val="000000"/>
                <w:szCs w:val="21"/>
              </w:rPr>
              <w:t>锚杆杆体与注浆体的粘结安全系数；</w:t>
            </w:r>
            <w:bookmarkEnd w:id="119"/>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120" w:name="_Toc21807"/>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t</w:t>
            </w:r>
            <w:bookmarkEnd w:id="120"/>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21" w:name="_Toc8533"/>
            <w:r>
              <w:rPr>
                <w:rFonts w:ascii="Times New Roman" w:hAnsi="Times New Roman" w:cs="Times New Roman" w:eastAsiaTheme="minorEastAsia"/>
                <w:color w:val="000000"/>
                <w:sz w:val="24"/>
                <w:lang w:val="de-DE"/>
              </w:rPr>
              <w:t>——</w:t>
            </w:r>
            <w:bookmarkEnd w:id="121"/>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bookmarkStart w:id="122" w:name="_Toc19259"/>
            <w:r>
              <w:rPr>
                <w:rFonts w:hint="eastAsia" w:asciiTheme="minorEastAsia" w:hAnsiTheme="minorEastAsia" w:eastAsiaTheme="minorEastAsia" w:cstheme="minorEastAsia"/>
                <w:color w:val="000000"/>
                <w:szCs w:val="21"/>
              </w:rPr>
              <w:t>锚杆杆体的抗拉断综合安全系数；</w:t>
            </w:r>
            <w:bookmarkEnd w:id="122"/>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123" w:name="_Toc16690"/>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T</w:t>
            </w:r>
            <w:bookmarkEnd w:id="123"/>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24" w:name="_Toc26694"/>
            <w:r>
              <w:rPr>
                <w:rFonts w:ascii="Times New Roman" w:hAnsi="Times New Roman" w:cs="Times New Roman" w:eastAsiaTheme="minorEastAsia"/>
                <w:color w:val="000000"/>
                <w:sz w:val="24"/>
                <w:lang w:val="de-DE"/>
              </w:rPr>
              <w:t>——</w:t>
            </w:r>
            <w:bookmarkEnd w:id="124"/>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25" w:name="_Toc27731"/>
            <w:r>
              <w:rPr>
                <w:rFonts w:hint="eastAsia" w:asciiTheme="minorEastAsia" w:hAnsiTheme="minorEastAsia" w:eastAsiaTheme="minorEastAsia" w:cstheme="minorEastAsia"/>
                <w:color w:val="000000"/>
                <w:szCs w:val="21"/>
              </w:rPr>
              <w:t>锚杆杆体的轴向刚度系数；</w:t>
            </w:r>
            <w:bookmarkEnd w:id="125"/>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126" w:name="_Toc30653"/>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c</w:t>
            </w:r>
            <w:bookmarkEnd w:id="126"/>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27" w:name="_Toc17532"/>
            <w:r>
              <w:rPr>
                <w:rFonts w:ascii="Times New Roman" w:hAnsi="Times New Roman" w:cs="Times New Roman" w:eastAsiaTheme="minorEastAsia"/>
                <w:color w:val="000000"/>
                <w:sz w:val="24"/>
                <w:lang w:val="de-DE"/>
              </w:rPr>
              <w:t>——</w:t>
            </w:r>
            <w:bookmarkEnd w:id="127"/>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28" w:name="_Toc12349"/>
            <w:r>
              <w:rPr>
                <w:rFonts w:hint="eastAsia" w:asciiTheme="minorEastAsia" w:hAnsiTheme="minorEastAsia" w:eastAsiaTheme="minorEastAsia" w:cstheme="minorEastAsia"/>
                <w:color w:val="000000"/>
                <w:szCs w:val="21"/>
              </w:rPr>
              <w:t>锚杆杆体的变形计算长度；</w:t>
            </w:r>
            <w:bookmarkEnd w:id="128"/>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color w:val="000000"/>
                <w:sz w:val="24"/>
              </w:rPr>
            </w:pPr>
            <w:bookmarkStart w:id="129" w:name="_Toc23086"/>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D</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d</w:t>
            </w:r>
            <w:bookmarkEnd w:id="129"/>
          </w:p>
        </w:tc>
        <w:tc>
          <w:tcPr>
            <w:tcW w:w="598" w:type="dxa"/>
            <w:tcMar>
              <w:left w:w="0" w:type="dxa"/>
              <w:right w:w="0" w:type="dxa"/>
            </w:tcMar>
          </w:tcPr>
          <w:p>
            <w:pPr>
              <w:spacing w:line="312" w:lineRule="exact"/>
              <w:rPr>
                <w:rFonts w:ascii="Times New Roman" w:hAnsi="Times New Roman" w:cs="Times New Roman" w:eastAsiaTheme="minorEastAsia"/>
                <w:color w:val="000000"/>
                <w:sz w:val="24"/>
              </w:rPr>
            </w:pPr>
            <w:bookmarkStart w:id="130" w:name="_Toc11058"/>
            <w:r>
              <w:rPr>
                <w:rFonts w:ascii="Times New Roman" w:hAnsi="Times New Roman" w:cs="Times New Roman" w:eastAsiaTheme="minorEastAsia"/>
                <w:color w:val="000000"/>
                <w:sz w:val="24"/>
                <w:lang w:val="de-DE"/>
              </w:rPr>
              <w:t>——</w:t>
            </w:r>
            <w:bookmarkEnd w:id="130"/>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31" w:name="_Toc18511"/>
            <w:r>
              <w:rPr>
                <w:rFonts w:hint="eastAsia" w:asciiTheme="minorEastAsia" w:hAnsiTheme="minorEastAsia" w:eastAsiaTheme="minorEastAsia" w:cstheme="minorEastAsia"/>
                <w:color w:val="000000"/>
                <w:szCs w:val="21"/>
              </w:rPr>
              <w:t>锚杆的扩大头长度、钻孔段注浆体与锚孔孔壁</w:t>
            </w:r>
            <w:bookmarkEnd w:id="131"/>
          </w:p>
          <w:p>
            <w:pPr>
              <w:spacing w:line="312" w:lineRule="exact"/>
              <w:rPr>
                <w:rFonts w:asciiTheme="minorEastAsia" w:hAnsiTheme="minorEastAsia" w:eastAsiaTheme="minorEastAsia" w:cstheme="minorEastAsia"/>
                <w:color w:val="000000"/>
                <w:szCs w:val="21"/>
              </w:rPr>
            </w:pPr>
            <w:bookmarkStart w:id="132" w:name="_Toc2666"/>
            <w:r>
              <w:rPr>
                <w:rFonts w:hint="eastAsia" w:asciiTheme="minorEastAsia" w:hAnsiTheme="minorEastAsia" w:eastAsiaTheme="minorEastAsia" w:cstheme="minorEastAsia"/>
                <w:color w:val="000000"/>
                <w:szCs w:val="21"/>
              </w:rPr>
              <w:t>摩阻长度；</w:t>
            </w:r>
            <w:bookmarkEnd w:id="132"/>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L</w:t>
            </w:r>
            <w:r>
              <w:rPr>
                <w:rFonts w:hint="eastAsia" w:ascii="Times New Roman" w:hAnsi="Times New Roman" w:cs="Times New Roman" w:eastAsiaTheme="minorEastAsia"/>
                <w:i/>
                <w:color w:val="000000"/>
                <w:sz w:val="24"/>
                <w:vertAlign w:val="subscript"/>
              </w:rPr>
              <w:t>f</w:t>
            </w:r>
          </w:p>
        </w:tc>
        <w:tc>
          <w:tcPr>
            <w:tcW w:w="598" w:type="dxa"/>
            <w:tcMar>
              <w:left w:w="0" w:type="dxa"/>
              <w:right w:w="0" w:type="dxa"/>
            </w:tcMa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锚杆自由段长度；</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133" w:name="_Toc23025"/>
            <w:r>
              <w:rPr>
                <w:rFonts w:ascii="Times New Roman" w:hAnsi="Times New Roman" w:cs="Times New Roman" w:eastAsiaTheme="minorEastAsia"/>
                <w:i/>
                <w:color w:val="000000"/>
                <w:sz w:val="24"/>
              </w:rPr>
              <w:t>L</w:t>
            </w:r>
            <w:r>
              <w:rPr>
                <w:rFonts w:ascii="Times New Roman" w:hAnsi="Times New Roman" w:cs="Times New Roman" w:eastAsiaTheme="minorEastAsia"/>
                <w:i/>
                <w:color w:val="000000"/>
                <w:sz w:val="24"/>
                <w:vertAlign w:val="subscript"/>
              </w:rPr>
              <w:t>m</w:t>
            </w:r>
            <w:bookmarkEnd w:id="133"/>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bookmarkStart w:id="134" w:name="_Toc17222"/>
            <w:r>
              <w:rPr>
                <w:rFonts w:ascii="Times New Roman" w:hAnsi="Times New Roman" w:cs="Times New Roman" w:eastAsiaTheme="minorEastAsia"/>
                <w:color w:val="000000"/>
                <w:sz w:val="24"/>
                <w:lang w:val="de-DE"/>
              </w:rPr>
              <w:t>——</w:t>
            </w:r>
            <w:bookmarkEnd w:id="134"/>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35" w:name="_Toc29499"/>
            <w:r>
              <w:rPr>
                <w:rFonts w:hint="eastAsia" w:asciiTheme="minorEastAsia" w:hAnsiTheme="minorEastAsia" w:eastAsiaTheme="minorEastAsia" w:cstheme="minorEastAsia"/>
                <w:color w:val="000000"/>
                <w:szCs w:val="21"/>
              </w:rPr>
              <w:t>锚杆杆体与注浆体的粘结长度；</w:t>
            </w:r>
            <w:bookmarkEnd w:id="135"/>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bookmarkStart w:id="136" w:name="_Toc1134"/>
            <w:r>
              <w:rPr>
                <w:rFonts w:ascii="Times New Roman" w:hAnsi="Times New Roman" w:cs="Times New Roman" w:eastAsiaTheme="minorEastAsia"/>
                <w:i/>
                <w:color w:val="000000"/>
                <w:sz w:val="24"/>
              </w:rPr>
              <w:t>L</w:t>
            </w:r>
            <w:r>
              <w:rPr>
                <w:rFonts w:ascii="Times New Roman" w:hAnsi="Times New Roman" w:cs="Times New Roman" w:eastAsiaTheme="minorEastAsia"/>
                <w:i/>
                <w:color w:val="000000"/>
                <w:sz w:val="24"/>
                <w:vertAlign w:val="subscript"/>
              </w:rPr>
              <w:t>n</w:t>
            </w:r>
            <w:bookmarkEnd w:id="136"/>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bookmarkStart w:id="137" w:name="_Toc32461"/>
            <w:r>
              <w:rPr>
                <w:rFonts w:ascii="Times New Roman" w:hAnsi="Times New Roman" w:cs="Times New Roman" w:eastAsiaTheme="minorEastAsia"/>
                <w:color w:val="000000"/>
                <w:sz w:val="24"/>
                <w:lang w:val="de-DE"/>
              </w:rPr>
              <w:t>——</w:t>
            </w:r>
            <w:bookmarkEnd w:id="137"/>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38" w:name="_Toc4663"/>
            <w:r>
              <w:rPr>
                <w:rFonts w:hint="eastAsia" w:asciiTheme="minorEastAsia" w:hAnsiTheme="minorEastAsia" w:eastAsiaTheme="minorEastAsia" w:cstheme="minorEastAsia"/>
                <w:color w:val="000000"/>
                <w:szCs w:val="21"/>
              </w:rPr>
              <w:t>笼芯长度；</w:t>
            </w:r>
            <w:bookmarkEnd w:id="138"/>
          </w:p>
        </w:tc>
      </w:tr>
      <w:tr>
        <w:tblPrEx>
          <w:tblCellMar>
            <w:top w:w="0" w:type="dxa"/>
            <w:left w:w="108" w:type="dxa"/>
            <w:bottom w:w="0" w:type="dxa"/>
            <w:right w:w="108" w:type="dxa"/>
          </w:tblCellMar>
        </w:tblPrEx>
        <w:trPr>
          <w:trHeight w:val="247"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139" w:name="_Toc27414"/>
            <w:r>
              <w:rPr>
                <w:rFonts w:ascii="Times New Roman" w:hAnsi="Times New Roman" w:cs="Times New Roman" w:eastAsiaTheme="minorEastAsia"/>
                <w:i/>
                <w:color w:val="000000"/>
                <w:sz w:val="24"/>
              </w:rPr>
              <w:t>N</w:t>
            </w:r>
            <w:r>
              <w:rPr>
                <w:rFonts w:ascii="Times New Roman" w:hAnsi="Times New Roman" w:cs="Times New Roman" w:eastAsiaTheme="minorEastAsia"/>
                <w:color w:val="000000"/>
                <w:sz w:val="24"/>
                <w:vertAlign w:val="subscript"/>
              </w:rPr>
              <w:t>k</w:t>
            </w:r>
            <w:bookmarkEnd w:id="139"/>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40" w:name="_Toc5910"/>
            <w:r>
              <w:rPr>
                <w:rFonts w:ascii="Times New Roman" w:hAnsi="Times New Roman" w:cs="Times New Roman" w:eastAsiaTheme="minorEastAsia"/>
                <w:color w:val="000000"/>
                <w:sz w:val="24"/>
                <w:lang w:val="de-DE"/>
              </w:rPr>
              <w:t>——</w:t>
            </w:r>
            <w:bookmarkEnd w:id="140"/>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bookmarkStart w:id="141" w:name="_Toc24428"/>
            <w:r>
              <w:rPr>
                <w:rFonts w:hint="eastAsia" w:asciiTheme="minorEastAsia" w:hAnsiTheme="minorEastAsia" w:eastAsiaTheme="minorEastAsia" w:cstheme="minorEastAsia"/>
                <w:color w:val="000000"/>
                <w:szCs w:val="21"/>
              </w:rPr>
              <w:t>锚杆拉力标准值；</w:t>
            </w:r>
            <w:bookmarkEnd w:id="141"/>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bookmarkStart w:id="142" w:name="_Toc4313"/>
            <w:r>
              <w:rPr>
                <w:rFonts w:ascii="Times New Roman" w:hAnsi="Times New Roman" w:cs="Times New Roman" w:eastAsiaTheme="minorEastAsia"/>
                <w:i/>
                <w:color w:val="000000"/>
                <w:sz w:val="24"/>
                <w:lang w:val="de-DE"/>
              </w:rPr>
              <w:t>P</w:t>
            </w:r>
            <w:bookmarkEnd w:id="142"/>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rPr>
            </w:pPr>
            <w:bookmarkStart w:id="143" w:name="_Toc20209"/>
            <w:r>
              <w:rPr>
                <w:rFonts w:ascii="Times New Roman" w:hAnsi="Times New Roman" w:cs="Times New Roman" w:eastAsiaTheme="minorEastAsia"/>
                <w:color w:val="000000"/>
                <w:sz w:val="24"/>
                <w:lang w:val="de-DE"/>
              </w:rPr>
              <w:t>——</w:t>
            </w:r>
            <w:bookmarkEnd w:id="143"/>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44" w:name="_Toc2175"/>
            <w:r>
              <w:rPr>
                <w:rFonts w:hint="eastAsia" w:asciiTheme="minorEastAsia" w:hAnsiTheme="minorEastAsia" w:eastAsiaTheme="minorEastAsia" w:cstheme="minorEastAsia"/>
                <w:color w:val="000000"/>
                <w:szCs w:val="21"/>
              </w:rPr>
              <w:t>锚杆试验时对锚杆施加的荷载值；</w:t>
            </w:r>
            <w:bookmarkEnd w:id="144"/>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p</w:t>
            </w:r>
            <w:r>
              <w:rPr>
                <w:rFonts w:hint="eastAsia" w:ascii="Times New Roman" w:hAnsi="Times New Roman" w:cs="Times New Roman" w:eastAsiaTheme="minorEastAsia"/>
                <w:i/>
                <w:color w:val="000000"/>
                <w:sz w:val="24"/>
                <w:vertAlign w:val="subscript"/>
              </w:rPr>
              <w:t>1</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消力池底板自重；</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p</w:t>
            </w:r>
            <w:r>
              <w:rPr>
                <w:rFonts w:hint="eastAsia" w:ascii="Times New Roman" w:hAnsi="Times New Roman" w:cs="Times New Roman" w:eastAsiaTheme="minorEastAsia"/>
                <w:i/>
                <w:color w:val="000000"/>
                <w:sz w:val="24"/>
                <w:vertAlign w:val="subscript"/>
              </w:rPr>
              <w:t>2</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消力池底板顶面上的均压力；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p</w:t>
            </w:r>
            <w:r>
              <w:rPr>
                <w:rFonts w:hint="eastAsia" w:ascii="Times New Roman" w:hAnsi="Times New Roman" w:cs="Times New Roman" w:eastAsiaTheme="minorEastAsia"/>
                <w:i/>
                <w:color w:val="000000"/>
                <w:sz w:val="24"/>
                <w:vertAlign w:val="subscript"/>
              </w:rPr>
              <w:t>3</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底板采用锚固措施时，地基的有效重量；</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lang w:val="de-DE"/>
              </w:rPr>
            </w:pPr>
            <w:r>
              <w:rPr>
                <w:rFonts w:ascii="Times New Roman" w:hAnsi="Times New Roman" w:cs="Times New Roman" w:eastAsiaTheme="minorEastAsia"/>
                <w:i/>
                <w:color w:val="000000"/>
                <w:sz w:val="24"/>
                <w:lang w:val="de-DE"/>
              </w:rPr>
              <w:t>p</w:t>
            </w:r>
            <w:r>
              <w:rPr>
                <w:rFonts w:ascii="Times New Roman" w:hAnsi="Times New Roman" w:cs="Times New Roman" w:eastAsiaTheme="minorEastAsia"/>
                <w:color w:val="000000"/>
                <w:sz w:val="18"/>
                <w:szCs w:val="18"/>
                <w:vertAlign w:val="subscript"/>
                <w:lang w:val="de-DE"/>
              </w:rPr>
              <w:t>D</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扩大头端前土体对扩大头的抗力强度值；</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Q</w:t>
            </w:r>
            <w:r>
              <w:rPr>
                <w:rFonts w:hint="eastAsia" w:ascii="Times New Roman" w:hAnsi="Times New Roman" w:cs="Times New Roman" w:eastAsiaTheme="minorEastAsia"/>
                <w:i/>
                <w:color w:val="000000"/>
                <w:sz w:val="24"/>
                <w:vertAlign w:val="subscript"/>
              </w:rPr>
              <w:t>1</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底板顶面上的脉动压力；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Q</w:t>
            </w:r>
            <w:r>
              <w:rPr>
                <w:rFonts w:hint="eastAsia" w:ascii="Times New Roman" w:hAnsi="Times New Roman" w:cs="Times New Roman" w:eastAsiaTheme="minorEastAsia"/>
                <w:i/>
                <w:color w:val="000000"/>
                <w:sz w:val="24"/>
                <w:vertAlign w:val="subscript"/>
              </w:rPr>
              <w:t>2</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底板底面上的扬压力；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r>
              <w:rPr>
                <w:rFonts w:ascii="Times New Roman" w:hAnsi="Times New Roman" w:cs="Times New Roman" w:eastAsiaTheme="minorEastAsia"/>
                <w:i/>
                <w:color w:val="000000"/>
                <w:sz w:val="24"/>
                <w:lang w:val="de-DE"/>
              </w:rPr>
              <w:t>S</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lang w:val="de-DE"/>
              </w:rPr>
              <w:t>S</w:t>
            </w:r>
            <w:r>
              <w:rPr>
                <w:rFonts w:ascii="Times New Roman" w:hAnsi="Times New Roman" w:cs="Times New Roman" w:eastAsiaTheme="minorEastAsia"/>
                <w:color w:val="000000"/>
                <w:sz w:val="24"/>
                <w:vertAlign w:val="subscript"/>
                <w:lang w:val="de-DE"/>
              </w:rPr>
              <w:t>e</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lang w:val="de-DE"/>
              </w:rPr>
              <w:t>S</w:t>
            </w:r>
            <w:r>
              <w:rPr>
                <w:rFonts w:ascii="Times New Roman" w:hAnsi="Times New Roman" w:cs="Times New Roman" w:eastAsiaTheme="minorEastAsia"/>
                <w:color w:val="000000"/>
                <w:sz w:val="24"/>
                <w:vertAlign w:val="subscript"/>
                <w:lang w:val="de-DE"/>
              </w:rPr>
              <w:t>p</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锚杆的总位移、弹性位移、塑性位移；</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color w:val="000000"/>
                <w:sz w:val="24"/>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color w:val="000000"/>
                <w:sz w:val="24"/>
                <w:vertAlign w:val="subscript"/>
                <w:lang w:val="de-DE"/>
              </w:rPr>
              <w:t>ak</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锚杆抗拔力特征值；</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i/>
                <w:color w:val="000000"/>
                <w:sz w:val="24"/>
                <w:vertAlign w:val="subscript"/>
                <w:lang w:val="de-DE"/>
              </w:rPr>
              <w:t>uk</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锚杆抗拔力极限值；</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lang w:val="de-DE"/>
              </w:rPr>
              <w:t>∑</w:t>
            </w:r>
            <w:r>
              <w:rPr>
                <w:rFonts w:hint="eastAsia" w:ascii="Times New Roman" w:hAnsi="Times New Roman" w:cs="Times New Roman" w:eastAsiaTheme="minorEastAsia"/>
                <w:i/>
                <w:color w:val="000000"/>
                <w:sz w:val="24"/>
              </w:rPr>
              <w:t>U</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闸室基底面的杨压力；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lang w:val="de-DE"/>
              </w:rPr>
              <w:t>∑</w:t>
            </w:r>
            <w:r>
              <w:rPr>
                <w:rFonts w:hint="eastAsia" w:ascii="Times New Roman" w:hAnsi="Times New Roman" w:cs="Times New Roman" w:eastAsiaTheme="minorEastAsia"/>
                <w:i/>
                <w:color w:val="000000"/>
                <w:sz w:val="24"/>
              </w:rPr>
              <w:t>V</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闸室向下荷载力之和；</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rPr>
            </w:pPr>
            <w:r>
              <w:rPr>
                <w:rFonts w:hint="eastAsia" w:ascii="Times New Roman" w:hAnsi="Times New Roman" w:cs="Times New Roman" w:eastAsiaTheme="minorEastAsia"/>
                <w:i/>
                <w:color w:val="000000"/>
                <w:sz w:val="24"/>
              </w:rPr>
              <w:t>V</w:t>
            </w:r>
            <w:r>
              <w:rPr>
                <w:rFonts w:hint="eastAsia" w:ascii="Times New Roman" w:hAnsi="Times New Roman" w:cs="Times New Roman" w:eastAsiaTheme="minorEastAsia"/>
                <w:i/>
                <w:color w:val="000000"/>
                <w:sz w:val="24"/>
                <w:vertAlign w:val="subscript"/>
              </w:rPr>
              <w:t>m</w:t>
            </w:r>
          </w:p>
        </w:tc>
        <w:tc>
          <w:tcPr>
            <w:tcW w:w="598" w:type="dxa"/>
            <w:tcMar>
              <w:left w:w="0" w:type="dxa"/>
              <w:right w:w="0" w:type="dxa"/>
            </w:tcMar>
            <w:vAlign w:val="center"/>
          </w:tcPr>
          <w:p>
            <w:pPr>
              <w:spacing w:line="312" w:lineRule="exact"/>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锚杆作用在闸室上的铅垂力；</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bookmarkStart w:id="145" w:name="_Toc15748"/>
            <w:r>
              <w:rPr>
                <w:rFonts w:ascii="Times New Roman" w:hAnsi="Times New Roman" w:cs="Times New Roman" w:eastAsiaTheme="minorEastAsia"/>
                <w:i/>
                <w:color w:val="000000"/>
                <w:sz w:val="24"/>
                <w:lang w:val="de-DE"/>
              </w:rPr>
              <w:t>α</w:t>
            </w:r>
            <w:bookmarkEnd w:id="145"/>
          </w:p>
        </w:tc>
        <w:tc>
          <w:tcPr>
            <w:tcW w:w="598" w:type="dxa"/>
            <w:tcMar>
              <w:left w:w="0" w:type="dxa"/>
              <w:right w:w="0" w:type="dxa"/>
            </w:tcMar>
            <w:vAlign w:val="center"/>
          </w:tcPr>
          <w:p>
            <w:pPr>
              <w:rPr>
                <w:rFonts w:ascii="Times New Roman" w:hAnsi="Times New Roman" w:cs="Times New Roman" w:eastAsiaTheme="minorEastAsia"/>
                <w:color w:val="000000"/>
                <w:sz w:val="24"/>
              </w:rPr>
            </w:pPr>
            <w:bookmarkStart w:id="146" w:name="_Toc18825"/>
            <w:r>
              <w:rPr>
                <w:rFonts w:ascii="Times New Roman" w:hAnsi="Times New Roman" w:cs="Times New Roman" w:eastAsiaTheme="minorEastAsia"/>
                <w:color w:val="000000"/>
                <w:sz w:val="24"/>
                <w:lang w:val="de-DE"/>
              </w:rPr>
              <w:t>——</w:t>
            </w:r>
            <w:bookmarkEnd w:id="146"/>
          </w:p>
        </w:tc>
        <w:tc>
          <w:tcPr>
            <w:tcW w:w="4256" w:type="dxa"/>
            <w:tcMar>
              <w:left w:w="0" w:type="dxa"/>
            </w:tcMar>
            <w:vAlign w:val="center"/>
          </w:tcPr>
          <w:p>
            <w:pPr>
              <w:rPr>
                <w:rFonts w:asciiTheme="minorEastAsia" w:hAnsiTheme="minorEastAsia" w:eastAsiaTheme="minorEastAsia" w:cstheme="minorEastAsia"/>
                <w:color w:val="000000"/>
                <w:szCs w:val="21"/>
              </w:rPr>
            </w:pPr>
            <w:bookmarkStart w:id="147" w:name="_Toc6396"/>
            <w:r>
              <w:rPr>
                <w:rFonts w:hint="eastAsia" w:asciiTheme="minorEastAsia" w:hAnsiTheme="minorEastAsia" w:eastAsiaTheme="minorEastAsia" w:cstheme="minorEastAsia"/>
                <w:color w:val="000000"/>
                <w:szCs w:val="21"/>
              </w:rPr>
              <w:t>锚杆倾角；</w:t>
            </w:r>
            <w:bookmarkEnd w:id="147"/>
          </w:p>
        </w:tc>
      </w:tr>
      <w:tr>
        <w:tblPrEx>
          <w:tblCellMar>
            <w:top w:w="0" w:type="dxa"/>
            <w:left w:w="108" w:type="dxa"/>
            <w:bottom w:w="0" w:type="dxa"/>
            <w:right w:w="108" w:type="dxa"/>
          </w:tblCellMar>
        </w:tblPrEx>
        <w:trPr>
          <w:trHeight w:val="259" w:hRule="atLeast"/>
        </w:trPr>
        <w:tc>
          <w:tcPr>
            <w:tcW w:w="1184" w:type="dxa"/>
            <w:tcMar>
              <w:left w:w="0" w:type="dxa"/>
              <w:right w:w="28" w:type="dxa"/>
            </w:tcMar>
          </w:tcPr>
          <w:p>
            <w:pPr>
              <w:spacing w:line="312" w:lineRule="exact"/>
              <w:jc w:val="right"/>
              <w:rPr>
                <w:rFonts w:ascii="Times New Roman" w:hAnsi="Times New Roman" w:cs="Times New Roman" w:eastAsiaTheme="minorEastAsia"/>
                <w:i/>
                <w:color w:val="000000"/>
                <w:sz w:val="24"/>
                <w:lang w:val="de-DE"/>
              </w:rPr>
            </w:pPr>
            <w:bookmarkStart w:id="148" w:name="_Toc1807"/>
            <w:r>
              <w:rPr>
                <w:rFonts w:ascii="Times New Roman" w:hAnsi="Times New Roman" w:cs="Times New Roman" w:eastAsiaTheme="minorEastAsia"/>
                <w:i/>
                <w:color w:val="000000"/>
                <w:sz w:val="24"/>
                <w:lang w:val="de-DE"/>
              </w:rPr>
              <w:t>β</w:t>
            </w:r>
            <w:bookmarkEnd w:id="148"/>
          </w:p>
        </w:tc>
        <w:tc>
          <w:tcPr>
            <w:tcW w:w="598" w:type="dxa"/>
            <w:tcMar>
              <w:left w:w="0" w:type="dxa"/>
              <w:right w:w="0" w:type="dxa"/>
            </w:tcMar>
          </w:tcPr>
          <w:p>
            <w:pPr>
              <w:rPr>
                <w:rFonts w:ascii="Times New Roman" w:hAnsi="Times New Roman" w:cs="Times New Roman" w:eastAsiaTheme="minorEastAsia"/>
                <w:color w:val="000000"/>
                <w:sz w:val="24"/>
              </w:rPr>
            </w:pPr>
            <w:bookmarkStart w:id="149" w:name="_Toc17086"/>
            <w:r>
              <w:rPr>
                <w:rFonts w:ascii="Times New Roman" w:hAnsi="Times New Roman" w:cs="Times New Roman" w:eastAsiaTheme="minorEastAsia"/>
                <w:color w:val="000000"/>
                <w:sz w:val="24"/>
                <w:lang w:val="de-DE"/>
              </w:rPr>
              <w:t>——</w:t>
            </w:r>
            <w:bookmarkEnd w:id="149"/>
          </w:p>
        </w:tc>
        <w:tc>
          <w:tcPr>
            <w:tcW w:w="4256" w:type="dxa"/>
            <w:tcMar>
              <w:left w:w="0" w:type="dxa"/>
            </w:tcMar>
            <w:vAlign w:val="center"/>
          </w:tcPr>
          <w:p>
            <w:pPr>
              <w:spacing w:line="312" w:lineRule="exact"/>
              <w:rPr>
                <w:rFonts w:asciiTheme="minorEastAsia" w:hAnsiTheme="minorEastAsia" w:eastAsiaTheme="minorEastAsia" w:cstheme="minorEastAsia"/>
                <w:color w:val="000000"/>
                <w:szCs w:val="21"/>
              </w:rPr>
            </w:pPr>
            <w:bookmarkStart w:id="150" w:name="_Toc27751"/>
            <w:r>
              <w:rPr>
                <w:rFonts w:hint="eastAsia" w:asciiTheme="minorEastAsia" w:hAnsiTheme="minorEastAsia" w:eastAsiaTheme="minorEastAsia" w:cstheme="minorEastAsia"/>
                <w:color w:val="000000"/>
                <w:szCs w:val="21"/>
              </w:rPr>
              <w:t>压力型锚杆注浆体与锚孔孔壁岩土间极限摩阻增强系数；</w:t>
            </w:r>
            <w:bookmarkEnd w:id="150"/>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γ</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土体容重；</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rPr>
              <w:t>γ'</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土体浮重度；</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8"/>
                <w:szCs w:val="28"/>
                <w:lang w:val="de-DE"/>
              </w:rPr>
              <w:t>γ</w:t>
            </w:r>
            <w:r>
              <w:rPr>
                <w:rFonts w:ascii="Times New Roman" w:hAnsi="Times New Roman" w:cs="Times New Roman" w:eastAsiaTheme="minorEastAsia"/>
                <w:i/>
                <w:color w:val="000000"/>
                <w:sz w:val="24"/>
                <w:vertAlign w:val="subscript"/>
              </w:rPr>
              <w:t>0</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锚杆结构重要性系数；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vertAlign w:val="subscript"/>
                <w:lang w:val="de-DE"/>
              </w:rPr>
            </w:pPr>
            <w:r>
              <w:rPr>
                <w:rFonts w:ascii="Times New Roman" w:hAnsi="Times New Roman" w:cs="Times New Roman" w:eastAsiaTheme="minorEastAsia"/>
                <w:i/>
                <w:color w:val="000000"/>
                <w:sz w:val="24"/>
                <w:lang w:val="de-DE"/>
              </w:rPr>
              <w:t>γ</w:t>
            </w:r>
            <w:r>
              <w:rPr>
                <w:rFonts w:ascii="Times New Roman" w:hAnsi="Times New Roman" w:cs="Times New Roman" w:eastAsiaTheme="minorEastAsia"/>
                <w:i/>
                <w:color w:val="000000"/>
                <w:szCs w:val="21"/>
                <w:vertAlign w:val="subscript"/>
              </w:rPr>
              <w:t>F</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荷载分项系数；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rPr>
            </w:pPr>
            <w:r>
              <w:rPr>
                <w:rFonts w:ascii="Times New Roman" w:hAnsi="Times New Roman" w:cs="Times New Roman" w:eastAsiaTheme="minorEastAsia"/>
                <w:i/>
                <w:color w:val="000000"/>
              </w:rPr>
              <w:t>η</w:t>
            </w:r>
            <w:r>
              <w:rPr>
                <w:rFonts w:hint="eastAsia" w:ascii="Times New Roman" w:hAnsi="Times New Roman" w:cs="Times New Roman" w:eastAsiaTheme="minorEastAsia"/>
                <w:i/>
                <w:color w:val="000000"/>
                <w:vertAlign w:val="subscript"/>
              </w:rPr>
              <w:t>1</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钢丝笼对注浆体抗压强度增大系数；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rPr>
              <w:t>η</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有侧限注浆体抗压强度增大系数；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top"/>
          </w:tcPr>
          <w:p>
            <w:pPr>
              <w:spacing w:line="312" w:lineRule="exact"/>
              <w:jc w:val="right"/>
              <w:rPr>
                <w:rFonts w:ascii="Times New Roman" w:hAnsi="Times New Roman" w:cs="Times New Roman" w:eastAsiaTheme="minorEastAsia"/>
                <w:i/>
                <w:color w:val="000000"/>
              </w:rPr>
            </w:pPr>
            <w:r>
              <w:rPr>
                <w:rFonts w:hint="eastAsia" w:ascii="Times New Roman" w:hAnsi="Times New Roman" w:cs="Times New Roman" w:eastAsiaTheme="minorEastAsia"/>
                <w:i/>
                <w:color w:val="000000"/>
              </w:rPr>
              <w:t>ξ</w:t>
            </w:r>
          </w:p>
        </w:tc>
        <w:tc>
          <w:tcPr>
            <w:tcW w:w="598" w:type="dxa"/>
            <w:tcMar>
              <w:left w:w="0" w:type="dxa"/>
              <w:right w:w="0" w:type="dxa"/>
            </w:tcMar>
            <w:vAlign w:val="top"/>
          </w:tcPr>
          <w:p>
            <w:pPr>
              <w:jc w:val="cente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扩大头向前位移时反映土的挤密效应的侧压力系数</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φ</w:t>
            </w:r>
            <w:r>
              <w:rPr>
                <w:rFonts w:hint="eastAsia" w:ascii="Times New Roman" w:hAnsi="Times New Roman" w:cs="Times New Roman" w:eastAsiaTheme="minorEastAsia"/>
                <w:i/>
                <w:color w:val="000000"/>
                <w:sz w:val="24"/>
                <w:vertAlign w:val="subscript"/>
              </w:rPr>
              <w:t>1</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闸室基础底面与土质地基之间的摩擦角；</w:t>
            </w:r>
          </w:p>
        </w:tc>
      </w:tr>
      <w:tr>
        <w:tblPrEx>
          <w:tblCellMar>
            <w:top w:w="0" w:type="dxa"/>
            <w:left w:w="108" w:type="dxa"/>
            <w:bottom w:w="0" w:type="dxa"/>
            <w:right w:w="108" w:type="dxa"/>
          </w:tblCellMar>
        </w:tblPrEx>
        <w:trPr>
          <w:trHeight w:val="259" w:hRule="atLeast"/>
        </w:trPr>
        <w:tc>
          <w:tcPr>
            <w:tcW w:w="1184" w:type="dxa"/>
            <w:tcMar>
              <w:left w:w="0" w:type="dxa"/>
              <w:right w:w="28" w:type="dxa"/>
            </w:tcMar>
            <w:vAlign w:val="center"/>
          </w:tcPr>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lang w:val="de-DE"/>
              </w:rPr>
              <w:t>φ、φ</w:t>
            </w:r>
            <w:r>
              <w:rPr>
                <w:rFonts w:ascii="Times New Roman" w:hAnsi="Times New Roman" w:cs="Times New Roman" w:eastAsiaTheme="minorEastAsia"/>
                <w:i/>
                <w:color w:val="000000"/>
                <w:sz w:val="24"/>
                <w:lang w:val="zh-CN"/>
              </w:rPr>
              <w:t>′</w:t>
            </w:r>
          </w:p>
        </w:tc>
        <w:tc>
          <w:tcPr>
            <w:tcW w:w="598" w:type="dxa"/>
            <w:tcMar>
              <w:left w:w="0" w:type="dxa"/>
              <w:right w:w="0" w:type="dxa"/>
            </w:tcMar>
            <w:vAlign w:val="center"/>
          </w:tcPr>
          <w:p>
            <w:pPr>
              <w:rPr>
                <w:rFonts w:ascii="Times New Roman" w:hAnsi="Times New Roman" w:cs="Times New Roman" w:eastAsiaTheme="minorEastAsia"/>
                <w:color w:val="000000"/>
                <w:sz w:val="24"/>
                <w:lang w:val="de-DE"/>
              </w:rPr>
            </w:pPr>
            <w:r>
              <w:rPr>
                <w:rFonts w:ascii="Times New Roman" w:hAnsi="Times New Roman" w:cs="Times New Roman" w:eastAsiaTheme="minorEastAsia"/>
                <w:color w:val="000000"/>
                <w:sz w:val="24"/>
                <w:lang w:val="de-DE"/>
              </w:rPr>
              <w:t>——</w:t>
            </w:r>
          </w:p>
        </w:tc>
        <w:tc>
          <w:tcPr>
            <w:tcW w:w="4256" w:type="dxa"/>
            <w:tcMar>
              <w:left w:w="0" w:type="dxa"/>
            </w:tcMar>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土体的内摩擦角、有效内摩擦角；</w:t>
            </w:r>
          </w:p>
        </w:tc>
      </w:tr>
    </w:tbl>
    <w:p>
      <w:pPr>
        <w:rPr>
          <w:rFonts w:asciiTheme="minorEastAsia" w:hAnsiTheme="minorEastAsia" w:eastAsiaTheme="minorEastAsia" w:cstheme="minorEastAsia"/>
        </w:rPr>
      </w:pPr>
      <w:bookmarkStart w:id="151" w:name="_Toc24796"/>
      <w:bookmarkStart w:id="152" w:name="_Toc18166"/>
      <w:r>
        <w:rPr>
          <w:rFonts w:hint="eastAsia" w:asciiTheme="minorEastAsia" w:hAnsiTheme="minorEastAsia" w:eastAsiaTheme="minorEastAsia" w:cstheme="minorEastAsia"/>
        </w:rPr>
        <w:br w:type="page"/>
      </w:r>
    </w:p>
    <w:p>
      <w:pPr>
        <w:spacing w:before="312" w:beforeLines="100" w:after="312" w:afterLines="100"/>
        <w:jc w:val="center"/>
        <w:rPr>
          <w:rFonts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153" w:name="_Toc5198"/>
      <w:bookmarkStart w:id="154" w:name="_Toc23282"/>
      <w:bookmarkStart w:id="155" w:name="_Toc14124"/>
      <w:bookmarkStart w:id="156" w:name="_Toc19358"/>
      <w:bookmarkStart w:id="157" w:name="_Toc3758"/>
      <w:r>
        <w:rPr>
          <w:rFonts w:hint="eastAsia" w:asciiTheme="minorEastAsia" w:hAnsiTheme="minorEastAsia" w:eastAsiaTheme="minorEastAsia" w:cstheme="minorEastAsia"/>
        </w:rPr>
        <w:t>3  基本规定</w:t>
      </w:r>
      <w:bookmarkEnd w:id="151"/>
      <w:bookmarkEnd w:id="152"/>
      <w:bookmarkEnd w:id="153"/>
      <w:bookmarkEnd w:id="154"/>
      <w:bookmarkEnd w:id="155"/>
      <w:bookmarkEnd w:id="156"/>
      <w:bookmarkEnd w:id="157"/>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3.0.1</w:t>
      </w:r>
      <w:r>
        <w:rPr>
          <w:rFonts w:hint="eastAsia" w:asciiTheme="minorEastAsia" w:hAnsiTheme="minorEastAsia" w:eastAsiaTheme="minorEastAsia" w:cstheme="minorEastAsia"/>
          <w:bCs/>
          <w:color w:val="000000"/>
          <w:szCs w:val="21"/>
        </w:rPr>
        <w:t xml:space="preserve">  笼芯囊锚杆的</w:t>
      </w:r>
      <w:r>
        <w:rPr>
          <w:rFonts w:hint="eastAsia" w:asciiTheme="minorEastAsia" w:hAnsiTheme="minorEastAsia" w:eastAsiaTheme="minorEastAsia" w:cstheme="minorEastAsia"/>
          <w:bCs/>
          <w:color w:val="000000"/>
          <w:spacing w:val="2"/>
          <w:szCs w:val="21"/>
        </w:rPr>
        <w:t>设计使用年限应与所从属的主体建（构）筑物的设计</w:t>
      </w:r>
      <w:r>
        <w:rPr>
          <w:rFonts w:hint="eastAsia" w:asciiTheme="minorEastAsia" w:hAnsiTheme="minorEastAsia" w:eastAsiaTheme="minorEastAsia" w:cstheme="minorEastAsia"/>
          <w:bCs/>
          <w:color w:val="000000"/>
          <w:szCs w:val="21"/>
        </w:rPr>
        <w:t>使用年限相同，防腐保护等级和构造应符合本规程第5章的规定。</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3.0.2</w:t>
      </w:r>
      <w:r>
        <w:rPr>
          <w:rFonts w:hint="eastAsia" w:asciiTheme="minorEastAsia" w:hAnsiTheme="minorEastAsia" w:eastAsiaTheme="minorEastAsia" w:cstheme="minorEastAsia"/>
          <w:bCs/>
          <w:color w:val="000000"/>
          <w:szCs w:val="21"/>
        </w:rPr>
        <w:t xml:space="preserve">  锚杆的囊体不应设在下列地层中：</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有机质土；</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淤泥；</w:t>
      </w:r>
    </w:p>
    <w:p>
      <w:pPr>
        <w:spacing w:line="360" w:lineRule="exact"/>
        <w:ind w:firstLine="411" w:firstLineChars="196"/>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未经压实或改良的填土；</w:t>
      </w:r>
    </w:p>
    <w:p>
      <w:pPr>
        <w:spacing w:line="360" w:lineRule="exact"/>
        <w:ind w:firstLine="411" w:firstLineChars="196"/>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4  其他不适用的地层。</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3.0.3</w:t>
      </w:r>
      <w:r>
        <w:rPr>
          <w:rFonts w:hint="eastAsia" w:asciiTheme="minorEastAsia" w:hAnsiTheme="minorEastAsia" w:eastAsiaTheme="minorEastAsia" w:cstheme="minorEastAsia"/>
          <w:bCs/>
          <w:color w:val="000000"/>
          <w:szCs w:val="21"/>
        </w:rPr>
        <w:t xml:space="preserve">  笼芯囊锚杆的设计和施工应在搜集岩土工程勘察、工程场地和环境条件、主体建(构)筑物设计施工条件等方面资料的基础上进行，主要工作内容应符合下列规定：</w:t>
      </w:r>
    </w:p>
    <w:p>
      <w:pPr>
        <w:tabs>
          <w:tab w:val="left" w:pos="720"/>
        </w:tabs>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搜集各岩土层的工程特性指标、地下水的分布状况、锚固地层的地层结构和地层稳定性、锚固地层对施工方法的适应性、地下水土介质的腐蚀性等岩土工程条件；</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搜集邻近场地的交通设施、地下管线、地下构筑物分布和埋深、相邻建（构）筑物现状、基础型式和埋深及水、电、材料供应条件等工程场地和环境条件资料；</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搜集拟建建（构）筑物的平面布置图、基础或地下室的平面图和剖面图、基坑边坡开挖图等资料；</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bCs/>
          <w:color w:val="000000"/>
          <w:szCs w:val="21"/>
        </w:rPr>
        <w:t xml:space="preserve"> 搜集施工机械的设备条件、动力条件、施工机械的进出场及现场运行条件、建（构）筑物基础施工条件或方案等有关施工资料。</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3.0.4</w:t>
      </w:r>
      <w:r>
        <w:rPr>
          <w:rFonts w:hint="eastAsia" w:asciiTheme="minorEastAsia" w:hAnsiTheme="minorEastAsia" w:eastAsiaTheme="minorEastAsia" w:cstheme="minorEastAsia"/>
          <w:bCs/>
          <w:color w:val="000000"/>
          <w:szCs w:val="21"/>
        </w:rPr>
        <w:t xml:space="preserve">  锚杆设计时，所采用的作用效应组合应符合所从属的主体建（构）筑物的相关要求。</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3.0.5</w:t>
      </w:r>
      <w:r>
        <w:rPr>
          <w:rFonts w:hint="eastAsia" w:asciiTheme="minorEastAsia" w:hAnsiTheme="minorEastAsia" w:eastAsiaTheme="minorEastAsia" w:cstheme="minorEastAsia"/>
          <w:bCs/>
          <w:szCs w:val="21"/>
        </w:rPr>
        <w:t xml:space="preserve">  </w:t>
      </w:r>
      <w:r>
        <w:rPr>
          <w:rFonts w:hint="eastAsia" w:asciiTheme="minorEastAsia" w:hAnsiTheme="minorEastAsia" w:eastAsiaTheme="minorEastAsia" w:cstheme="minorEastAsia"/>
          <w:bCs/>
          <w:color w:val="000000"/>
          <w:szCs w:val="21"/>
        </w:rPr>
        <w:t>笼芯囊锚杆工程设计和施工应根据工程勘察和调查进行，实施过程中还应通过试验和监测，及时反馈，对工程设计和施工工艺进行验证和调整。</w:t>
      </w:r>
    </w:p>
    <w:p>
      <w:pPr>
        <w:numPr>
          <w:ilvl w:val="0"/>
          <w:numId w:val="1"/>
        </w:numPr>
        <w:spacing w:line="34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 w:val="28"/>
          <w:szCs w:val="28"/>
        </w:rPr>
        <w:br w:type="page"/>
      </w:r>
    </w:p>
    <w:p>
      <w:pPr>
        <w:keepNext/>
        <w:keepLines/>
        <w:outlineLvl w:val="9"/>
        <w:rPr>
          <w:rFonts w:asciiTheme="minorEastAsia" w:hAnsiTheme="minorEastAsia" w:eastAsiaTheme="minorEastAsia" w:cstheme="minorEastAsia"/>
        </w:rPr>
      </w:pPr>
      <w:bookmarkStart w:id="158" w:name="_Toc23587"/>
      <w:bookmarkStart w:id="159" w:name="_Toc5959"/>
    </w:p>
    <w:p>
      <w:pPr>
        <w:pStyle w:val="2"/>
        <w:spacing w:before="312" w:beforeLines="100" w:after="312" w:afterLines="100"/>
        <w:rPr>
          <w:rFonts w:asciiTheme="minorEastAsia" w:hAnsiTheme="minorEastAsia" w:eastAsiaTheme="minorEastAsia" w:cstheme="minorEastAsia"/>
        </w:rPr>
      </w:pPr>
      <w:bookmarkStart w:id="160" w:name="_Toc5685"/>
      <w:bookmarkStart w:id="161" w:name="_Toc30131"/>
      <w:bookmarkStart w:id="162" w:name="_Toc31994"/>
      <w:bookmarkStart w:id="163" w:name="_Toc28488"/>
      <w:bookmarkStart w:id="164" w:name="_Toc28820"/>
      <w:r>
        <w:rPr>
          <w:rFonts w:hint="eastAsia" w:asciiTheme="minorEastAsia" w:hAnsiTheme="minorEastAsia" w:eastAsiaTheme="minorEastAsia" w:cstheme="minorEastAsia"/>
        </w:rPr>
        <w:t>4  设计</w:t>
      </w:r>
      <w:bookmarkEnd w:id="160"/>
      <w:bookmarkEnd w:id="161"/>
      <w:bookmarkEnd w:id="162"/>
      <w:bookmarkEnd w:id="163"/>
      <w:bookmarkEnd w:id="164"/>
    </w:p>
    <w:p>
      <w:pPr>
        <w:pStyle w:val="3"/>
        <w:spacing w:before="312" w:beforeLines="100" w:after="156" w:afterLines="50"/>
        <w:rPr>
          <w:rFonts w:asciiTheme="minorEastAsia" w:hAnsiTheme="minorEastAsia" w:eastAsiaTheme="minorEastAsia" w:cstheme="minorEastAsia"/>
        </w:rPr>
      </w:pPr>
      <w:bookmarkStart w:id="165" w:name="_Toc4244"/>
      <w:bookmarkStart w:id="166" w:name="_Toc18284"/>
      <w:bookmarkStart w:id="167" w:name="_Toc18349"/>
      <w:bookmarkStart w:id="168" w:name="_Toc24496"/>
      <w:bookmarkStart w:id="169" w:name="_Toc26958"/>
      <w:bookmarkStart w:id="170" w:name="_Toc9246"/>
      <w:bookmarkStart w:id="171" w:name="_Toc11043"/>
      <w:r>
        <w:rPr>
          <w:rFonts w:hint="eastAsia" w:asciiTheme="minorEastAsia" w:hAnsiTheme="minorEastAsia" w:eastAsiaTheme="minorEastAsia" w:cstheme="minorEastAsia"/>
        </w:rPr>
        <w:t>4.1  一般规定</w:t>
      </w:r>
      <w:bookmarkEnd w:id="165"/>
      <w:bookmarkEnd w:id="166"/>
      <w:bookmarkEnd w:id="167"/>
      <w:bookmarkEnd w:id="168"/>
      <w:bookmarkEnd w:id="169"/>
      <w:bookmarkEnd w:id="170"/>
      <w:bookmarkEnd w:id="171"/>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4.1.1</w:t>
      </w:r>
      <w:r>
        <w:rPr>
          <w:rFonts w:hint="eastAsia" w:asciiTheme="minorEastAsia" w:hAnsiTheme="minorEastAsia" w:eastAsiaTheme="minorEastAsia" w:cstheme="minorEastAsia"/>
          <w:color w:val="000000"/>
          <w:szCs w:val="21"/>
        </w:rPr>
        <w:t xml:space="preserve">  笼芯囊锚杆设计，应根据锚杆所从属的主体建（构）筑物具体情况，按照使用要求、场地条件、地质条件和防腐要求等进行锚杆选型、防腐设计、布置设计和相应的结构计算。</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4.1.2</w:t>
      </w:r>
      <w:r>
        <w:rPr>
          <w:rFonts w:hint="eastAsia" w:asciiTheme="minorEastAsia" w:hAnsiTheme="minorEastAsia" w:eastAsiaTheme="minorEastAsia" w:cstheme="minorEastAsia"/>
          <w:color w:val="000000"/>
          <w:szCs w:val="21"/>
        </w:rPr>
        <w:t xml:space="preserve">  当锚固持力层为岩石时，宜采用等直径笼芯囊锚杆；当锚固持力层为土层或者软岩时，可采用扩大头笼芯囊锚杆或等直径笼芯囊锚杆。</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4.1.3</w:t>
      </w:r>
      <w:r>
        <w:rPr>
          <w:rFonts w:hint="eastAsia" w:asciiTheme="minorEastAsia" w:hAnsiTheme="minorEastAsia" w:eastAsiaTheme="minorEastAsia" w:cstheme="minorEastAsia"/>
          <w:color w:val="000000"/>
          <w:szCs w:val="21"/>
        </w:rPr>
        <w:t xml:space="preserve">  为避免水泥浆体出现拉应力和开裂，宜采用压力型锚杆。采用拉力型锚杆的，计算抗裂和裂缝开展宽度时，应考虑笼芯钢丝笼的抗裂作用；需要时还可以设置辅助承载体以减小水泥浆体的拉应力值和裂缝宽度；计算可采用结构力学方法或数值分析方法。</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4.1.4</w:t>
      </w:r>
      <w:r>
        <w:rPr>
          <w:rFonts w:hint="eastAsia" w:asciiTheme="minorEastAsia" w:hAnsiTheme="minorEastAsia" w:eastAsiaTheme="minorEastAsia" w:cstheme="minorEastAsia"/>
          <w:color w:val="000000"/>
          <w:szCs w:val="21"/>
        </w:rPr>
        <w:t xml:space="preserve">  压力型锚杆的杆体应采用单根粗钢筋，不宜采用多根较细的钢筋，不宜采用钢绞线。</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4.1.5</w:t>
      </w:r>
      <w:r>
        <w:rPr>
          <w:rFonts w:hint="eastAsia" w:asciiTheme="minorEastAsia" w:hAnsiTheme="minorEastAsia" w:eastAsiaTheme="minorEastAsia" w:cstheme="minorEastAsia"/>
          <w:color w:val="000000"/>
          <w:szCs w:val="21"/>
        </w:rPr>
        <w:t xml:space="preserve">  当锚杆变形能满足要求时，宜优先采用非预应力锚杆；当锚杆变形不能满足要求时，宜减小锚杆长度或者采用预应力锚杆。</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4.1.6</w:t>
      </w:r>
      <w:r>
        <w:rPr>
          <w:rFonts w:hint="eastAsia" w:asciiTheme="minorEastAsia" w:hAnsiTheme="minorEastAsia" w:eastAsiaTheme="minorEastAsia" w:cstheme="minorEastAsia"/>
          <w:color w:val="000000"/>
          <w:szCs w:val="21"/>
        </w:rPr>
        <w:t xml:space="preserve">  非预应力锚杆，杆体应采用钢筋，不得采用钢绞线。预应力锚杆的杆体，可采用钢筋或者钢绞线。杆体采用钢绞线的，必须施加预应力，设计为预应力锚杆。</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4.1.7</w:t>
      </w:r>
      <w:r>
        <w:rPr>
          <w:rFonts w:hint="eastAsia" w:asciiTheme="minorEastAsia" w:hAnsiTheme="minorEastAsia" w:eastAsiaTheme="minorEastAsia" w:cstheme="minorEastAsia"/>
          <w:color w:val="000000"/>
          <w:szCs w:val="21"/>
        </w:rPr>
        <w:t xml:space="preserve">  建筑物有防水要求的，不宜采用预应力锚杆；需要采用预应力锚杆的，锚杆杆体与建筑物交接处必须采用可靠的防水措施。</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4.1.8</w:t>
      </w:r>
      <w:r>
        <w:rPr>
          <w:rFonts w:hint="eastAsia" w:asciiTheme="minorEastAsia" w:hAnsiTheme="minorEastAsia" w:eastAsiaTheme="minorEastAsia" w:cstheme="minorEastAsia"/>
          <w:color w:val="000000"/>
          <w:szCs w:val="21"/>
        </w:rPr>
        <w:t xml:space="preserve">  笼芯应采用结构钢丝，抗拉强度不应低于400MPa,钢丝直径不宜小于3mm。不得采用非结构钢丝和铁丝。</w:t>
      </w:r>
    </w:p>
    <w:p>
      <w:pPr>
        <w:spacing w:line="360"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4.1.9  注浆材料采用的水泥应符合下列规定：</w:t>
      </w:r>
    </w:p>
    <w:p>
      <w:pPr>
        <w:spacing w:line="360"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  宜采用普通硅酸盐水泥，其质量应符合现行国家标准《通用硅酸盐水泥》GB175的规定；有防腐要求时可采用抗硫酸盐水泥，不宜采用高铝水泥；</w:t>
      </w:r>
    </w:p>
    <w:p>
      <w:pPr>
        <w:spacing w:line="360"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4.1.10  囊袋注浆浆液的容重应大于锚孔注浆浆液的容重。</w:t>
      </w:r>
    </w:p>
    <w:p>
      <w:pPr>
        <w:spacing w:line="360"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4.1.11  锚孔注浆应采用纯水泥浆，不得使用水泥砂浆，水泥浆的水灰比等直径锚杆宜为</w:t>
      </w:r>
      <w:r>
        <w:rPr>
          <w:rFonts w:ascii="Times New Roman" w:hAnsi="Times New Roman" w:cs="Times New Roman" w:eastAsiaTheme="minorEastAsia"/>
          <w:color w:val="000000"/>
          <w:szCs w:val="21"/>
        </w:rPr>
        <w:t>0.6~0.8</w:t>
      </w:r>
      <w:r>
        <w:rPr>
          <w:rFonts w:hint="eastAsia" w:asciiTheme="minorEastAsia" w:hAnsiTheme="minorEastAsia" w:eastAsiaTheme="minorEastAsia" w:cstheme="minorEastAsia"/>
          <w:color w:val="000000"/>
          <w:szCs w:val="21"/>
        </w:rPr>
        <w:t>，扩大头锚杆宜为</w:t>
      </w:r>
      <w:r>
        <w:rPr>
          <w:rFonts w:ascii="Times New Roman" w:hAnsi="Times New Roman" w:cs="Times New Roman" w:eastAsiaTheme="minorEastAsia"/>
          <w:color w:val="000000"/>
          <w:szCs w:val="21"/>
        </w:rPr>
        <w:t>0.6~1.0</w:t>
      </w:r>
      <w:r>
        <w:rPr>
          <w:rFonts w:hint="eastAsia" w:asciiTheme="minorEastAsia" w:hAnsiTheme="minorEastAsia" w:eastAsiaTheme="minorEastAsia" w:cstheme="minorEastAsia"/>
          <w:color w:val="000000"/>
          <w:szCs w:val="21"/>
        </w:rPr>
        <w:t>。</w:t>
      </w:r>
    </w:p>
    <w:p>
      <w:pPr>
        <w:spacing w:line="360"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4.1.12  囊袋注浆可采用纯水泥浆或者水泥砂浆。采用纯水泥浆的，水灰比应为</w:t>
      </w:r>
      <w:r>
        <w:rPr>
          <w:rFonts w:ascii="Times New Roman" w:hAnsi="Times New Roman" w:cs="Times New Roman" w:eastAsiaTheme="minorEastAsia"/>
          <w:color w:val="000000"/>
          <w:szCs w:val="21"/>
        </w:rPr>
        <w:t>0.4~0.6</w:t>
      </w:r>
      <w:r>
        <w:rPr>
          <w:rFonts w:hint="eastAsia" w:asciiTheme="minorEastAsia" w:hAnsiTheme="minorEastAsia" w:eastAsiaTheme="minorEastAsia" w:cstheme="minorEastAsia"/>
          <w:color w:val="000000"/>
          <w:szCs w:val="21"/>
        </w:rPr>
        <w:t>；采用水泥砂浆的，其配比应满足浆液流动性和浆体强度的要求。</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4.1.13 </w:t>
      </w:r>
      <w:r>
        <w:rPr>
          <w:rFonts w:hint="eastAsia" w:asciiTheme="minorEastAsia" w:hAnsiTheme="minorEastAsia" w:eastAsiaTheme="minorEastAsia" w:cstheme="minorEastAsia"/>
          <w:color w:val="000000"/>
          <w:szCs w:val="21"/>
        </w:rPr>
        <w:t xml:space="preserve"> 锚杆的材料和构造，根据所选锚杆的类型，还应符合本规程第6章的规定。</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4.1.14</w:t>
      </w:r>
      <w:r>
        <w:rPr>
          <w:rFonts w:hint="eastAsia" w:asciiTheme="minorEastAsia" w:hAnsiTheme="minorEastAsia" w:eastAsiaTheme="minorEastAsia" w:cstheme="minorEastAsia"/>
          <w:color w:val="000000"/>
          <w:szCs w:val="21"/>
        </w:rPr>
        <w:t xml:space="preserve">  等直径锚杆应采用压力型锚杆，扩大头锚杆可采用拉力型锚杆或压力型锚杆。</w:t>
      </w:r>
    </w:p>
    <w:p>
      <w:pPr>
        <w:spacing w:line="360" w:lineRule="exact"/>
        <w:jc w:val="left"/>
        <w:rPr>
          <w:rFonts w:asciiTheme="minorEastAsia" w:hAnsiTheme="minorEastAsia" w:eastAsiaTheme="minorEastAsia" w:cstheme="minorEastAsia"/>
          <w:color w:val="000000"/>
          <w:szCs w:val="21"/>
        </w:rPr>
      </w:pPr>
      <w:bookmarkStart w:id="172" w:name="_Toc28689"/>
      <w:bookmarkStart w:id="173" w:name="_Toc24061"/>
      <w:bookmarkStart w:id="174" w:name="_Toc26271"/>
      <w:r>
        <w:rPr>
          <w:rFonts w:hint="eastAsia" w:ascii="Times New Roman" w:hAnsi="Times New Roman" w:cs="Times New Roman" w:eastAsiaTheme="minorEastAsia"/>
          <w:color w:val="000000"/>
          <w:szCs w:val="21"/>
        </w:rPr>
        <w:t>4.1.15</w:t>
      </w:r>
      <w:r>
        <w:rPr>
          <w:rFonts w:hint="eastAsia" w:asciiTheme="minorEastAsia" w:hAnsiTheme="minorEastAsia" w:eastAsiaTheme="minorEastAsia" w:cstheme="minorEastAsia"/>
          <w:color w:val="000000"/>
          <w:szCs w:val="21"/>
        </w:rPr>
        <w:t xml:space="preserve">  锚杆的防腐设计应根据地下水土介质的腐蚀性和锚杆类型按照本规程第7章的规定。</w:t>
      </w:r>
      <w:bookmarkEnd w:id="172"/>
      <w:bookmarkEnd w:id="173"/>
      <w:bookmarkEnd w:id="174"/>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4.1.16</w:t>
      </w:r>
      <w:r>
        <w:rPr>
          <w:rFonts w:hint="eastAsia" w:asciiTheme="minorEastAsia" w:hAnsiTheme="minorEastAsia" w:eastAsiaTheme="minorEastAsia" w:cstheme="minorEastAsia"/>
          <w:color w:val="000000"/>
          <w:szCs w:val="21"/>
        </w:rPr>
        <w:t xml:space="preserve">  锚杆的结构计算，应根据锚杆类型和构造，按照本规程第5章的规定。</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4.1.17 </w:t>
      </w:r>
      <w:r>
        <w:rPr>
          <w:rFonts w:hint="eastAsia" w:asciiTheme="minorEastAsia" w:hAnsiTheme="minorEastAsia" w:eastAsiaTheme="minorEastAsia" w:cstheme="minorEastAsia"/>
          <w:color w:val="000000"/>
          <w:szCs w:val="21"/>
        </w:rPr>
        <w:t xml:space="preserve"> 压力型锚杆，应分别验算杆体强度、承载体与杆体的连接强度、承载体与囊体的压力强度、注浆体与地层的锚固抗拔力等，每一项均应达到本规程第5章规定的安全系数。</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4.1.18</w:t>
      </w:r>
      <w:r>
        <w:rPr>
          <w:rFonts w:hint="eastAsia" w:asciiTheme="minorEastAsia" w:hAnsiTheme="minorEastAsia" w:eastAsiaTheme="minorEastAsia" w:cstheme="minorEastAsia"/>
          <w:color w:val="000000"/>
          <w:szCs w:val="21"/>
        </w:rPr>
        <w:t xml:space="preserve">  拉力型锚杆，应分别验算杆体强度、杆体与注浆体的粘结强度、注浆体与地层的锚固抗拔力等，杆体底部配有承载体时还应验算承载体与杆体的连接强度以及与水泥浆体的抗压强度，每一项均应满足本规程第5章规定的安全系数。</w:t>
      </w:r>
    </w:p>
    <w:p>
      <w:pPr>
        <w:pStyle w:val="3"/>
        <w:spacing w:before="312" w:beforeLines="100" w:after="156" w:afterLines="50"/>
        <w:rPr>
          <w:rFonts w:asciiTheme="minorEastAsia" w:hAnsiTheme="minorEastAsia" w:eastAsiaTheme="minorEastAsia" w:cstheme="minorEastAsia"/>
        </w:rPr>
      </w:pPr>
      <w:bookmarkStart w:id="175" w:name="_Toc3748"/>
      <w:bookmarkStart w:id="176" w:name="_Toc8064"/>
      <w:bookmarkStart w:id="177" w:name="_Toc17563"/>
      <w:bookmarkStart w:id="178" w:name="_Toc20408"/>
      <w:bookmarkStart w:id="179" w:name="_Toc30720"/>
      <w:bookmarkStart w:id="180" w:name="_Toc21237"/>
      <w:bookmarkStart w:id="181" w:name="_Toc13860"/>
      <w:r>
        <w:rPr>
          <w:rFonts w:hint="eastAsia" w:asciiTheme="minorEastAsia" w:hAnsiTheme="minorEastAsia" w:eastAsiaTheme="minorEastAsia" w:cstheme="minorEastAsia"/>
          <w:sz w:val="22"/>
          <w:szCs w:val="28"/>
        </w:rPr>
        <w:t>4.2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24"/>
        </w:rPr>
        <w:t>建筑结构抗浮</w:t>
      </w:r>
      <w:bookmarkEnd w:id="175"/>
      <w:bookmarkEnd w:id="176"/>
      <w:bookmarkEnd w:id="177"/>
      <w:bookmarkEnd w:id="178"/>
      <w:bookmarkEnd w:id="179"/>
      <w:bookmarkEnd w:id="180"/>
      <w:bookmarkEnd w:id="181"/>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4.2.1</w:t>
      </w:r>
      <w:r>
        <w:rPr>
          <w:rFonts w:hint="eastAsia" w:asciiTheme="minorEastAsia" w:hAnsiTheme="minorEastAsia" w:eastAsiaTheme="minorEastAsia" w:cstheme="minorEastAsia"/>
          <w:color w:val="000000"/>
          <w:szCs w:val="21"/>
        </w:rPr>
        <w:t xml:space="preserve">  新建建筑物地下室抗浮应优先采用非预应力锚杆；所需锚杆长度较大、锚杆变形不能满足要求时，可采用预应力锚杆。既有建筑物地下室增建抗浮宜采用预应力锚杆。建筑物地下室已经发生浮动或抗浮破坏，应采用预应力锚杆。</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4.2.2</w:t>
      </w:r>
      <w:r>
        <w:rPr>
          <w:rFonts w:hint="eastAsia" w:asciiTheme="minorEastAsia" w:hAnsiTheme="minorEastAsia" w:eastAsiaTheme="minorEastAsia" w:cstheme="minorEastAsia"/>
          <w:color w:val="000000"/>
          <w:szCs w:val="21"/>
        </w:rPr>
        <w:t xml:space="preserve">  采用预应力锚杆的，锚杆杆体与地下室底板交接处必须采取可靠的防水措施。</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4.2.3</w:t>
      </w:r>
      <w:r>
        <w:rPr>
          <w:rFonts w:hint="eastAsia" w:asciiTheme="minorEastAsia" w:hAnsiTheme="minorEastAsia" w:eastAsiaTheme="minorEastAsia" w:cstheme="minorEastAsia"/>
          <w:color w:val="000000"/>
          <w:szCs w:val="21"/>
        </w:rPr>
        <w:t xml:space="preserve">  抗浮锚杆的平面布置，应根据浮力大小的区域变化和底板结构形式确定，并兼顾减小底板（梁）弯矩和厚度的要求。锚杆间距不应小于1.5m，不宜小于1.8m。</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4.2.4</w:t>
      </w:r>
      <w:r>
        <w:rPr>
          <w:rFonts w:hint="eastAsia" w:asciiTheme="minorEastAsia" w:hAnsiTheme="minorEastAsia" w:eastAsiaTheme="minorEastAsia" w:cstheme="minorEastAsia"/>
          <w:color w:val="000000"/>
          <w:szCs w:val="21"/>
        </w:rPr>
        <w:t xml:space="preserve">  抗浮锚杆的长度，岩石锚杆不宜小于4m；土层锚杆的长度应使囊体设置在稍密或稍密以上的碎石土、砂土、粉土以及可塑或可塑状态以上的黏性土中，且锚杆长度不宜小于6m。锚杆长度和间距还应满足锚固体稳定性要求，可按本规程第5.3节规定的方法验算。</w:t>
      </w:r>
    </w:p>
    <w:p>
      <w:pPr>
        <w:spacing w:line="34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4.2.5</w:t>
      </w:r>
      <w:r>
        <w:rPr>
          <w:rFonts w:hint="eastAsia" w:asciiTheme="minorEastAsia" w:hAnsiTheme="minorEastAsia" w:eastAsiaTheme="minorEastAsia" w:cstheme="minorEastAsia"/>
          <w:color w:val="000000"/>
          <w:szCs w:val="21"/>
        </w:rPr>
        <w:t xml:space="preserve">  非预应力钢筋锚杆杆体材料可采用精轧螺纹钢或普通螺纹钢。钢筋伸入混凝土内的垂直长度不应小于基础梁高度或板厚度的一半，且不应小于300mm。钢筋伸入混凝土梁板内的锚固长度还应符合现行国家标准《混凝土结构设计规范》GB50010的规定。钢筋采用锚板锚固在梁板混凝土内的，锚板应按抗冲切验算。</w:t>
      </w:r>
    </w:p>
    <w:p>
      <w:pPr>
        <w:spacing w:line="34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4.2.6</w:t>
      </w:r>
      <w:r>
        <w:rPr>
          <w:rFonts w:hint="eastAsia" w:asciiTheme="minorEastAsia" w:hAnsiTheme="minorEastAsia" w:eastAsiaTheme="minorEastAsia" w:cstheme="minorEastAsia"/>
          <w:color w:val="000000"/>
          <w:szCs w:val="21"/>
        </w:rPr>
        <w:t xml:space="preserve">  抗浮锚杆可采用等直径锚杆或扩大头锚杆。岩石和土层中的等直径锚杆构造</w:t>
      </w:r>
      <w:r>
        <w:rPr>
          <w:rFonts w:hint="eastAsia" w:asciiTheme="minorEastAsia" w:hAnsiTheme="minorEastAsia" w:eastAsiaTheme="minorEastAsia" w:cstheme="minorEastAsia"/>
          <w:color w:val="000000"/>
          <w:szCs w:val="21"/>
          <w:lang w:eastAsia="zh-CN"/>
        </w:rPr>
        <w:t>见</w:t>
      </w:r>
      <w:r>
        <w:rPr>
          <w:rFonts w:hint="eastAsia" w:asciiTheme="minorEastAsia" w:hAnsiTheme="minorEastAsia" w:eastAsiaTheme="minorEastAsia" w:cstheme="minorEastAsia"/>
          <w:color w:val="000000"/>
          <w:szCs w:val="21"/>
        </w:rPr>
        <w:t>图4.2.6</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a)，土层扩大头锚杆构造</w:t>
      </w:r>
      <w:r>
        <w:rPr>
          <w:rFonts w:hint="eastAsia" w:asciiTheme="minorEastAsia" w:hAnsiTheme="minorEastAsia" w:eastAsiaTheme="minorEastAsia" w:cstheme="minorEastAsia"/>
          <w:color w:val="000000"/>
          <w:szCs w:val="21"/>
          <w:lang w:eastAsia="zh-CN"/>
        </w:rPr>
        <w:t>见</w:t>
      </w:r>
      <w:r>
        <w:rPr>
          <w:rFonts w:hint="eastAsia" w:asciiTheme="minorEastAsia" w:hAnsiTheme="minorEastAsia" w:eastAsiaTheme="minorEastAsia" w:cstheme="minorEastAsia"/>
          <w:color w:val="000000"/>
          <w:szCs w:val="21"/>
        </w:rPr>
        <w:t>图4.2.6</w:t>
      </w: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rPr>
        <w:t>b)。</w:t>
      </w:r>
    </w:p>
    <w:tbl>
      <w:tblPr>
        <w:tblStyle w:val="18"/>
        <w:tblpPr w:leftFromText="181" w:rightFromText="181" w:vertAnchor="text" w:tblpXSpec="center" w:tblpY="114"/>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5"/>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2" w:hRule="exact"/>
          <w:jc w:val="center"/>
        </w:trPr>
        <w:tc>
          <w:tcPr>
            <w:tcW w:w="2835" w:type="dxa"/>
            <w:vAlign w:val="bottom"/>
          </w:tcPr>
          <w:p>
            <w:pPr>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0" distR="0">
                  <wp:extent cx="1014095" cy="2949575"/>
                  <wp:effectExtent l="0" t="0" r="14605" b="317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8" cstate="print"/>
                          <a:srcRect/>
                          <a:stretch>
                            <a:fillRect/>
                          </a:stretch>
                        </pic:blipFill>
                        <pic:spPr>
                          <a:xfrm>
                            <a:off x="0" y="0"/>
                            <a:ext cx="1017111" cy="2958000"/>
                          </a:xfrm>
                          <a:prstGeom prst="rect">
                            <a:avLst/>
                          </a:prstGeom>
                          <a:noFill/>
                          <a:ln w="9525">
                            <a:noFill/>
                            <a:miter lim="800000"/>
                            <a:headEnd/>
                            <a:tailEnd/>
                          </a:ln>
                        </pic:spPr>
                      </pic:pic>
                    </a:graphicData>
                  </a:graphic>
                </wp:inline>
              </w:drawing>
            </w:r>
          </w:p>
        </w:tc>
        <w:tc>
          <w:tcPr>
            <w:tcW w:w="2835" w:type="dxa"/>
            <w:vAlign w:val="bottom"/>
          </w:tcPr>
          <w:p>
            <w:pPr>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0" distR="0">
                  <wp:extent cx="1047115" cy="2917825"/>
                  <wp:effectExtent l="0" t="0" r="635" b="15875"/>
                  <wp:docPr id="9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7"/>
                          <pic:cNvPicPr>
                            <a:picLocks noChangeAspect="1" noChangeArrowheads="1"/>
                          </pic:cNvPicPr>
                        </pic:nvPicPr>
                        <pic:blipFill>
                          <a:blip r:embed="rId9" cstate="print"/>
                          <a:srcRect/>
                          <a:stretch>
                            <a:fillRect/>
                          </a:stretch>
                        </pic:blipFill>
                        <pic:spPr>
                          <a:xfrm>
                            <a:off x="0" y="0"/>
                            <a:ext cx="1050700" cy="2927290"/>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exact"/>
          <w:jc w:val="center"/>
        </w:trPr>
        <w:tc>
          <w:tcPr>
            <w:tcW w:w="2835" w:type="dxa"/>
            <w:vAlign w:val="center"/>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（a）</w:t>
            </w:r>
          </w:p>
        </w:tc>
        <w:tc>
          <w:tcPr>
            <w:tcW w:w="2835" w:type="dxa"/>
            <w:vAlign w:val="center"/>
          </w:tcPr>
          <w:p>
            <w:pPr>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（b）</w:t>
            </w:r>
          </w:p>
        </w:tc>
      </w:tr>
    </w:tbl>
    <w:p>
      <w:pPr>
        <w:spacing w:line="300"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图4.2.6  等直径和扩大头锚杆构造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1—下锁扣；2—螺纹承载体；3—引浆管出口；4—囊袋；5—袋内注浆体；</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6—笼芯；7—引浆管；8—上锁扣；9—密封套；10—引浆管接头；11—防腐套管；12—防腐涂层或防腐油脂；13—杆体；14—注浆管；15—止水环；</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16—螺旋筋；17—锚板；18—锚具；19—排气管；20—排气管接头；</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21—排气管进气口；22—扩大头</w:t>
      </w:r>
    </w:p>
    <w:p>
      <w:pPr>
        <w:jc w:val="center"/>
        <w:rPr>
          <w:rFonts w:asciiTheme="minorEastAsia" w:hAnsiTheme="minorEastAsia" w:eastAsiaTheme="minorEastAsia" w:cstheme="minorEastAsia"/>
          <w:color w:val="000000"/>
          <w:szCs w:val="21"/>
        </w:rPr>
      </w:pPr>
    </w:p>
    <w:p>
      <w:pPr>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4.2.7</w:t>
      </w:r>
      <w:r>
        <w:rPr>
          <w:rFonts w:hint="eastAsia" w:asciiTheme="minorEastAsia" w:hAnsiTheme="minorEastAsia" w:eastAsiaTheme="minorEastAsia" w:cstheme="minorEastAsia"/>
          <w:color w:val="000000"/>
          <w:szCs w:val="21"/>
        </w:rPr>
        <w:t xml:space="preserve">  锚杆的防腐等级按本规程第7.1节确定，各等级的防腐构造应符合本规程第7章的规定。</w:t>
      </w:r>
    </w:p>
    <w:p>
      <w:pPr>
        <w:jc w:val="center"/>
        <w:rPr>
          <w:rFonts w:asciiTheme="minorEastAsia" w:hAnsiTheme="minorEastAsia" w:eastAsiaTheme="minorEastAsia" w:cstheme="minorEastAsia"/>
          <w:color w:val="000000"/>
          <w:szCs w:val="21"/>
        </w:rPr>
      </w:pPr>
    </w:p>
    <w:p>
      <w:pPr>
        <w:spacing w:before="312" w:beforeLines="100" w:after="312" w:afterLines="100"/>
        <w:jc w:val="center"/>
        <w:outlineLvl w:val="1"/>
        <w:rPr>
          <w:rFonts w:asciiTheme="minorEastAsia" w:hAnsiTheme="minorEastAsia" w:eastAsiaTheme="minorEastAsia" w:cstheme="minorEastAsia"/>
          <w:b/>
          <w:bCs/>
        </w:rPr>
      </w:pPr>
      <w:bookmarkStart w:id="182" w:name="_Toc12130"/>
      <w:bookmarkStart w:id="183" w:name="_Toc25839"/>
      <w:bookmarkStart w:id="184" w:name="_Toc18307"/>
      <w:bookmarkStart w:id="185" w:name="_Toc26522"/>
      <w:bookmarkStart w:id="186" w:name="_Toc4803"/>
      <w:r>
        <w:rPr>
          <w:rFonts w:hint="eastAsia" w:asciiTheme="minorEastAsia" w:hAnsiTheme="minorEastAsia" w:eastAsiaTheme="minorEastAsia" w:cstheme="minorEastAsia"/>
          <w:b/>
          <w:bCs/>
        </w:rPr>
        <w:t>4.3</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b/>
          <w:bCs/>
        </w:rPr>
        <w:t>水工闸室和消力池（塘）抗浮</w:t>
      </w:r>
      <w:bookmarkEnd w:id="182"/>
      <w:bookmarkEnd w:id="183"/>
      <w:bookmarkEnd w:id="184"/>
      <w:bookmarkEnd w:id="185"/>
      <w:bookmarkEnd w:id="186"/>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4.3.1</w:t>
      </w:r>
      <w:r>
        <w:rPr>
          <w:rFonts w:hint="eastAsia" w:asciiTheme="minorEastAsia" w:hAnsiTheme="minorEastAsia" w:eastAsiaTheme="minorEastAsia" w:cstheme="minorEastAsia"/>
          <w:color w:val="000000"/>
          <w:szCs w:val="21"/>
        </w:rPr>
        <w:t xml:space="preserve">  水闸是修建在河道和渠道上利用闸门控制流量和调节水位的低水头水工建筑物。当闸室的稳定性不满足相关要求时，针对适合的闸室地基，可以采用笼芯囊锚杆进行加固。</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4.3.2</w:t>
      </w:r>
      <w:r>
        <w:rPr>
          <w:rFonts w:hint="eastAsia" w:asciiTheme="minorEastAsia" w:hAnsiTheme="minorEastAsia" w:eastAsiaTheme="minorEastAsia" w:cstheme="minorEastAsia"/>
          <w:color w:val="000000"/>
          <w:szCs w:val="21"/>
        </w:rPr>
        <w:t xml:space="preserve">  消力池（塘）是促使在泄水建筑物下游产生底流式水跃的消能设施。</w:t>
      </w:r>
      <w:r>
        <w:rPr>
          <w:rFonts w:hint="eastAsia" w:asciiTheme="minorEastAsia" w:hAnsiTheme="minorEastAsia" w:eastAsiaTheme="minorEastAsia" w:cstheme="minorEastAsia"/>
        </w:rPr>
        <w:t>在进行消力池设计时，消力池底板厚度应根据布置要求、水力设计、抗浮稳定计算、地基条件以及采取的措施，进行综合设计。可以考虑采用笼芯囊锚杆进行底板加固，提高其抗浮稳定性能。</w:t>
      </w:r>
    </w:p>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4.3.3</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当水闸闸室与消力池底板采用钢筋混凝土时，锚杆端头应与混凝土钢筋有效连接。</w:t>
      </w:r>
    </w:p>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4.3.4</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锚杆的布置应避免对相邻建（构）筑物的基础产生不良影响。</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4.3.5</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锚杆构造和防腐设计应按照本规程第6章及本规程第7.2节中相关抗浮锚杆结构进行设计。</w:t>
      </w:r>
    </w:p>
    <w:p>
      <w:pPr>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4.3.6</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rPr>
        <w:t>当闸室采用笼芯囊锚杆进行加固时，其稳定计算应满足《水闸设计规范》SL265第7.3.3条的相关规定。</w:t>
      </w:r>
    </w:p>
    <w:p>
      <w:pPr>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闸室典型受力示意图如图4.3.6：</w:t>
      </w:r>
    </w:p>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2185670" cy="19799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b="15716"/>
                    <a:stretch>
                      <a:fillRect/>
                    </a:stretch>
                  </pic:blipFill>
                  <pic:spPr>
                    <a:xfrm>
                      <a:off x="0" y="0"/>
                      <a:ext cx="2185670" cy="1979930"/>
                    </a:xfrm>
                    <a:prstGeom prst="rect">
                      <a:avLst/>
                    </a:prstGeom>
                    <a:noFill/>
                    <a:ln>
                      <a:noFill/>
                    </a:ln>
                  </pic:spPr>
                </pic:pic>
              </a:graphicData>
            </a:graphic>
          </wp:inline>
        </w:drawing>
      </w:r>
    </w:p>
    <w:p>
      <w:pPr>
        <w:jc w:val="center"/>
        <w:rPr>
          <w:rFonts w:ascii="黑体" w:hAnsi="黑体" w:eastAsia="黑体" w:cs="黑体"/>
          <w:sz w:val="18"/>
          <w:szCs w:val="18"/>
        </w:rPr>
      </w:pPr>
      <w:r>
        <w:rPr>
          <w:rFonts w:hint="eastAsia" w:ascii="黑体" w:hAnsi="黑体" w:eastAsia="黑体" w:cs="黑体"/>
          <w:sz w:val="18"/>
          <w:szCs w:val="18"/>
        </w:rPr>
        <w:t>图4.3.6  水闸在运行情况下的荷载示意图</w:t>
      </w:r>
    </w:p>
    <w:p>
      <w:pPr>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i/>
          <w:iCs/>
          <w:sz w:val="18"/>
          <w:szCs w:val="18"/>
        </w:rPr>
        <w:t>W</w:t>
      </w:r>
      <w:r>
        <w:rPr>
          <w:rFonts w:hint="eastAsia" w:asciiTheme="minorEastAsia" w:hAnsiTheme="minorEastAsia" w:eastAsiaTheme="minorEastAsia" w:cstheme="minorEastAsia"/>
          <w:i/>
          <w:iCs/>
          <w:sz w:val="18"/>
          <w:szCs w:val="18"/>
          <w:vertAlign w:val="subscript"/>
        </w:rPr>
        <w:t>1</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i/>
          <w:iCs/>
          <w:sz w:val="18"/>
          <w:szCs w:val="18"/>
        </w:rPr>
        <w:t>W</w:t>
      </w:r>
      <w:r>
        <w:rPr>
          <w:rFonts w:hint="eastAsia" w:asciiTheme="minorEastAsia" w:hAnsiTheme="minorEastAsia" w:eastAsiaTheme="minorEastAsia" w:cstheme="minorEastAsia"/>
          <w:i/>
          <w:iCs/>
          <w:sz w:val="18"/>
          <w:szCs w:val="18"/>
          <w:vertAlign w:val="subscript"/>
        </w:rPr>
        <w:t>2</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i/>
          <w:iCs/>
          <w:sz w:val="18"/>
          <w:szCs w:val="18"/>
        </w:rPr>
        <w:t>W</w:t>
      </w:r>
      <w:r>
        <w:rPr>
          <w:rFonts w:hint="eastAsia" w:asciiTheme="minorEastAsia" w:hAnsiTheme="minorEastAsia" w:eastAsiaTheme="minorEastAsia" w:cstheme="minorEastAsia"/>
          <w:i/>
          <w:iCs/>
          <w:sz w:val="18"/>
          <w:szCs w:val="18"/>
          <w:vertAlign w:val="subscript"/>
        </w:rPr>
        <w:t>9</w:t>
      </w:r>
      <w:r>
        <w:rPr>
          <w:rFonts w:hint="eastAsia" w:asciiTheme="minorEastAsia" w:hAnsiTheme="minorEastAsia" w:eastAsiaTheme="minorEastAsia" w:cstheme="minorEastAsia"/>
          <w:sz w:val="18"/>
          <w:szCs w:val="18"/>
        </w:rPr>
        <w:t>—闸墩、底板、水、胸墙、闸门及工作桥等结构的重力；</w:t>
      </w:r>
      <w:r>
        <w:rPr>
          <w:rFonts w:hint="eastAsia" w:asciiTheme="minorEastAsia" w:hAnsiTheme="minorEastAsia" w:eastAsiaTheme="minorEastAsia" w:cstheme="minorEastAsia"/>
          <w:i/>
          <w:iCs/>
          <w:sz w:val="18"/>
          <w:szCs w:val="18"/>
        </w:rPr>
        <w:t>P</w:t>
      </w:r>
      <w:r>
        <w:rPr>
          <w:rFonts w:hint="eastAsia" w:asciiTheme="minorEastAsia" w:hAnsiTheme="minorEastAsia" w:eastAsiaTheme="minorEastAsia" w:cstheme="minorEastAsia"/>
          <w:i/>
          <w:iCs/>
          <w:sz w:val="18"/>
          <w:szCs w:val="18"/>
          <w:vertAlign w:val="subscript"/>
        </w:rPr>
        <w:t>1</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i/>
          <w:iCs/>
          <w:sz w:val="18"/>
          <w:szCs w:val="18"/>
        </w:rPr>
        <w:t>P</w:t>
      </w:r>
      <w:r>
        <w:rPr>
          <w:rFonts w:hint="eastAsia" w:asciiTheme="minorEastAsia" w:hAnsiTheme="minorEastAsia" w:eastAsiaTheme="minorEastAsia" w:cstheme="minorEastAsia"/>
          <w:i/>
          <w:iCs/>
          <w:sz w:val="18"/>
          <w:szCs w:val="18"/>
          <w:vertAlign w:val="subscript"/>
        </w:rPr>
        <w:t>2</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i/>
          <w:iCs/>
          <w:sz w:val="18"/>
          <w:szCs w:val="18"/>
        </w:rPr>
        <w:t>P</w:t>
      </w:r>
      <w:r>
        <w:rPr>
          <w:rFonts w:hint="eastAsia" w:asciiTheme="minorEastAsia" w:hAnsiTheme="minorEastAsia" w:eastAsiaTheme="minorEastAsia" w:cstheme="minorEastAsia"/>
          <w:i/>
          <w:iCs/>
          <w:sz w:val="18"/>
          <w:szCs w:val="18"/>
          <w:vertAlign w:val="subscript"/>
        </w:rPr>
        <w:t>9</w:t>
      </w:r>
      <w:r>
        <w:rPr>
          <w:rFonts w:hint="eastAsia" w:asciiTheme="minorEastAsia" w:hAnsiTheme="minorEastAsia" w:eastAsiaTheme="minorEastAsia" w:cstheme="minorEastAsia"/>
          <w:sz w:val="18"/>
          <w:szCs w:val="18"/>
        </w:rPr>
        <w:t>—水压力等荷载；</w:t>
      </w:r>
      <w:r>
        <w:rPr>
          <w:rFonts w:hint="eastAsia" w:asciiTheme="minorEastAsia" w:hAnsiTheme="minorEastAsia" w:eastAsiaTheme="minorEastAsia" w:cstheme="minorEastAsia"/>
          <w:i/>
          <w:iCs/>
          <w:sz w:val="18"/>
          <w:szCs w:val="18"/>
        </w:rPr>
        <w:t>U</w:t>
      </w:r>
      <w:r>
        <w:rPr>
          <w:rFonts w:hint="eastAsia" w:asciiTheme="minorEastAsia" w:hAnsiTheme="minorEastAsia" w:eastAsiaTheme="minorEastAsia" w:cstheme="minorEastAsia"/>
          <w:i/>
          <w:iCs/>
          <w:sz w:val="18"/>
          <w:szCs w:val="18"/>
          <w:vertAlign w:val="subscript"/>
        </w:rPr>
        <w:t>1</w:t>
      </w:r>
      <w:r>
        <w:rPr>
          <w:rFonts w:hint="eastAsia" w:asciiTheme="minorEastAsia" w:hAnsiTheme="minorEastAsia" w:eastAsiaTheme="minorEastAsia" w:cstheme="minorEastAsia"/>
          <w:sz w:val="18"/>
          <w:szCs w:val="18"/>
        </w:rPr>
        <w:t>—浮托力；</w:t>
      </w:r>
      <w:r>
        <w:rPr>
          <w:rFonts w:hint="eastAsia" w:asciiTheme="minorEastAsia" w:hAnsiTheme="minorEastAsia" w:eastAsiaTheme="minorEastAsia" w:cstheme="minorEastAsia"/>
          <w:i/>
          <w:iCs/>
          <w:sz w:val="18"/>
          <w:szCs w:val="18"/>
        </w:rPr>
        <w:t>U</w:t>
      </w:r>
      <w:r>
        <w:rPr>
          <w:rFonts w:hint="eastAsia" w:asciiTheme="minorEastAsia" w:hAnsiTheme="minorEastAsia" w:eastAsiaTheme="minorEastAsia" w:cstheme="minorEastAsia"/>
          <w:i/>
          <w:iCs/>
          <w:sz w:val="18"/>
          <w:szCs w:val="18"/>
          <w:vertAlign w:val="subscript"/>
        </w:rPr>
        <w:t>2</w:t>
      </w:r>
      <w:r>
        <w:rPr>
          <w:rFonts w:hint="eastAsia" w:asciiTheme="minorEastAsia" w:hAnsiTheme="minorEastAsia" w:eastAsiaTheme="minorEastAsia" w:cstheme="minorEastAsia"/>
          <w:sz w:val="18"/>
          <w:szCs w:val="18"/>
        </w:rPr>
        <w:t>—渗透压力</w:t>
      </w:r>
    </w:p>
    <w:p>
      <w:pPr>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土基上沿闸室基底面的抗滑稳定安全系数，对于小型水闸，应按式（4.3.6-1）进行计算；对于大、中型水闸，应按式（4.3.6-2）进行计算:</w:t>
      </w:r>
    </w:p>
    <w:p>
      <w:pPr>
        <w:spacing w:line="180" w:lineRule="auto"/>
        <w:jc w:val="center"/>
        <w:rPr>
          <w:rFonts w:asciiTheme="minorEastAsia" w:hAnsiTheme="minorEastAsia" w:eastAsiaTheme="minorEastAsia" w:cstheme="minorEastAsia"/>
        </w:rPr>
      </w:pPr>
      <w:r>
        <w:rPr>
          <w:rFonts w:hint="eastAsia" w:ascii="Cambria Math" w:hAnsi="Cambria Math" w:eastAsiaTheme="minorEastAsia" w:cstheme="minorEastAsia"/>
          <w:i/>
          <w:position w:val="-26"/>
        </w:rPr>
        <w:object>
          <v:shape id="_x0000_i1025" o:spt="75" type="#_x0000_t75" style="height:31.95pt;width:95.15pt;" o:ole="t" filled="f" o:preferrelative="t" stroked="f" coordsize="21600,21600">
            <v:path/>
            <v:fill on="f" focussize="0,0"/>
            <v:stroke on="f" joinstyle="miter"/>
            <v:imagedata r:id="rId12" o:title=""/>
            <o:lock v:ext="edit" aspectratio="t"/>
            <w10:wrap type="none"/>
            <w10:anchorlock/>
          </v:shape>
          <o:OLEObject Type="Embed" ProgID="Equation.KSEE3" ShapeID="_x0000_i1025" DrawAspect="Content" ObjectID="_1468075725" r:id="rId11">
            <o:LockedField>false</o:LockedField>
          </o:OLEObject>
        </w:objec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color w:val="000000"/>
          <w:sz w:val="24"/>
        </w:rPr>
        <w:t>（4.3.6-1）</w:t>
      </w:r>
    </w:p>
    <w:p>
      <w:pPr>
        <w:spacing w:line="180" w:lineRule="auto"/>
        <w:jc w:val="center"/>
        <w:rPr>
          <w:rFonts w:asciiTheme="minorEastAsia" w:hAnsiTheme="minorEastAsia" w:eastAsiaTheme="minorEastAsia" w:cstheme="minorEastAsia"/>
          <w:color w:val="000000"/>
          <w:sz w:val="24"/>
        </w:rPr>
      </w:pPr>
      <w:r>
        <w:rPr>
          <w:rFonts w:hint="eastAsia" w:ascii="Cambria Math" w:hAnsi="Cambria Math" w:eastAsiaTheme="minorEastAsia" w:cstheme="minorEastAsia"/>
          <w:i/>
          <w:position w:val="-26"/>
        </w:rPr>
        <w:object>
          <v:shape id="_x0000_i1026" o:spt="75" type="#_x0000_t75" style="height:31.95pt;width:145.25pt;" o:ole="t" filled="f" o:preferrelative="t" stroked="f" coordsize="21600,21600">
            <v:path/>
            <v:fill on="f" focussize="0,0"/>
            <v:stroke on="f" joinstyle="miter"/>
            <v:imagedata r:id="rId14" o:title=""/>
            <o:lock v:ext="edit" aspectratio="t"/>
            <w10:wrap type="none"/>
            <w10:anchorlock/>
          </v:shape>
          <o:OLEObject Type="Embed" ProgID="Equation.KSEE3" ShapeID="_x0000_i1026" DrawAspect="Content" ObjectID="_1468075726" r:id="rId13">
            <o:LockedField>false</o:LockedField>
          </o:OLEObject>
        </w:objec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color w:val="000000"/>
          <w:sz w:val="24"/>
        </w:rPr>
        <w:t>（4.3.6-2）</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4"/>
        <w:gridCol w:w="489"/>
        <w:gridCol w:w="413"/>
        <w:gridCol w:w="4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trPr>
        <w:tc>
          <w:tcPr>
            <w:tcW w:w="774" w:type="dxa"/>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rPr>
              <w:t>式中：</w:t>
            </w:r>
          </w:p>
        </w:tc>
        <w:tc>
          <w:tcPr>
            <w:tcW w:w="489" w:type="dxa"/>
          </w:tcPr>
          <w:p>
            <w:pPr>
              <w:jc w:val="center"/>
              <w:rPr>
                <w:rFonts w:ascii="Times New Roman" w:hAnsi="Times New Roman" w:cs="Times New Roman" w:eastAsiaTheme="minorEastAsia"/>
              </w:rPr>
            </w:pPr>
            <m:oMathPara>
              <m:oMath>
                <m:sSub>
                  <m:sSubPr>
                    <m:ctrlPr>
                      <w:rPr>
                        <w:rFonts w:ascii="Cambria Math" w:hAnsi="Cambria Math" w:cs="Times New Roman" w:eastAsiaTheme="minorEastAsia"/>
                      </w:rPr>
                    </m:ctrlPr>
                  </m:sSubPr>
                  <m:e>
                    <m:r>
                      <w:rPr>
                        <w:rFonts w:ascii="Cambria Math" w:hAnsi="Cambria Math" w:cs="Times New Roman" w:eastAsiaTheme="minorEastAsia"/>
                      </w:rPr>
                      <m:t>K</m:t>
                    </m:r>
                    <m:ctrlPr>
                      <w:rPr>
                        <w:rFonts w:ascii="Cambria Math" w:hAnsi="Cambria Math" w:cs="Times New Roman" w:eastAsiaTheme="minorEastAsia"/>
                      </w:rPr>
                    </m:ctrlPr>
                  </m:e>
                  <m:sub>
                    <m:r>
                      <w:rPr>
                        <w:rFonts w:ascii="Cambria Math" w:hAnsi="Cambria Math" w:cs="Times New Roman" w:eastAsiaTheme="minorEastAsia"/>
                      </w:rPr>
                      <m:t>c</m:t>
                    </m:r>
                    <m:ctrlPr>
                      <w:rPr>
                        <w:rFonts w:ascii="Cambria Math" w:hAnsi="Cambria Math" w:cs="Times New Roman" w:eastAsiaTheme="minorEastAsia"/>
                      </w:rPr>
                    </m:ctrlPr>
                  </m:sub>
                </m:sSub>
              </m:oMath>
            </m:oMathPara>
          </w:p>
          <w:p>
            <w:pPr>
              <w:jc w:val="center"/>
              <w:rPr>
                <w:rFonts w:ascii="Times New Roman" w:hAnsi="Times New Roman" w:cs="Times New Roman" w:eastAsiaTheme="minorEastAsia"/>
              </w:rPr>
            </w:pPr>
          </w:p>
          <w:p>
            <w:pPr>
              <w:jc w:val="center"/>
              <w:rPr>
                <w:rFonts w:ascii="Times New Roman" w:hAnsi="Times New Roman" w:cs="Times New Roman" w:eastAsiaTheme="minorEastAsia"/>
              </w:rPr>
            </w:pPr>
            <m:oMathPara>
              <m:oMath>
                <m:r>
                  <w:rPr>
                    <w:rFonts w:ascii="Cambria Math" w:hAnsi="Cambria Math" w:cs="Times New Roman" w:eastAsiaTheme="minorEastAsia"/>
                  </w:rPr>
                  <m:t>f</m:t>
                </m:r>
              </m:oMath>
            </m:oMathPara>
          </w:p>
          <w:p>
            <w:pPr>
              <w:jc w:val="center"/>
              <w:rPr>
                <w:rFonts w:ascii="Times New Roman" w:hAnsi="Times New Roman" w:cs="Times New Roman" w:eastAsiaTheme="minorEastAsia"/>
                <w:sz w:val="15"/>
                <w:szCs w:val="18"/>
              </w:rPr>
            </w:pPr>
            <w:r>
              <w:rPr>
                <w:rFonts w:ascii="Times New Roman" w:hAnsi="Times New Roman" w:cs="Times New Roman" w:eastAsiaTheme="minorEastAsia"/>
                <w:i/>
                <w:iCs/>
                <w:sz w:val="18"/>
                <w:szCs w:val="18"/>
              </w:rPr>
              <w:t>∑H</w:t>
            </w:r>
          </w:p>
          <w:p>
            <w:pPr>
              <w:jc w:val="center"/>
              <w:rPr>
                <w:rFonts w:ascii="Times New Roman" w:hAnsi="Times New Roman" w:cs="Times New Roman" w:eastAsiaTheme="minorEastAsia"/>
              </w:rPr>
            </w:pPr>
            <m:oMath>
              <m:r>
                <w:rPr>
                  <w:rFonts w:ascii="Cambria Math" w:hAnsi="Cambria Math" w:cs="Times New Roman" w:eastAsiaTheme="minorEastAsia"/>
                </w:rPr>
                <m:t>φ</m:t>
              </m:r>
            </m:oMath>
            <w:r>
              <w:rPr>
                <w:rFonts w:ascii="Times New Roman" w:hAnsi="Times New Roman" w:cs="Times New Roman" w:eastAsiaTheme="minorEastAsia"/>
                <w:vertAlign w:val="subscript"/>
              </w:rPr>
              <w:t>1</w:t>
            </w:r>
          </w:p>
          <w:p>
            <w:pPr>
              <w:jc w:val="center"/>
              <w:rPr>
                <w:rFonts w:ascii="Times New Roman" w:hAnsi="Times New Roman" w:cs="Times New Roman" w:eastAsiaTheme="minorEastAsia"/>
              </w:rPr>
            </w:pPr>
            <m:oMath>
              <m:r>
                <w:rPr>
                  <w:rFonts w:ascii="Cambria Math" w:hAnsi="Cambria Math" w:cs="Times New Roman" w:eastAsiaTheme="minorEastAsia"/>
                </w:rPr>
                <m:t>C</m:t>
              </m:r>
            </m:oMath>
            <w:r>
              <w:rPr>
                <w:rFonts w:hint="eastAsia" w:ascii="Cambria Math" w:hAnsi="Cambria Math" w:cs="Times New Roman" w:eastAsiaTheme="minorEastAsia"/>
                <w:vertAlign w:val="subscript"/>
              </w:rPr>
              <w:t>1</w:t>
            </w:r>
          </w:p>
          <w:p>
            <w:pPr>
              <w:jc w:val="center"/>
              <w:rPr>
                <w:rFonts w:ascii="Times New Roman" w:hAnsi="Times New Roman" w:cs="Times New Roman" w:eastAsiaTheme="minorEastAsia"/>
              </w:rPr>
            </w:pPr>
            <w:r>
              <w:rPr>
                <w:rFonts w:ascii="Times New Roman" w:hAnsi="Times New Roman" w:cs="Times New Roman" w:eastAsiaTheme="minorEastAsia"/>
                <w:i/>
                <w:iCs/>
                <w:sz w:val="18"/>
                <w:szCs w:val="18"/>
              </w:rPr>
              <w:t>∑G</w:t>
            </w:r>
          </w:p>
          <w:p>
            <w:pPr>
              <w:jc w:val="center"/>
              <w:rPr>
                <w:rFonts w:ascii="Times New Roman" w:hAnsi="Times New Roman" w:cs="Times New Roman" w:eastAsiaTheme="minorEastAsia"/>
              </w:rPr>
            </w:pPr>
            <m:oMath>
              <m:r>
                <w:rPr>
                  <w:rFonts w:ascii="Cambria Math" w:hAnsi="Cambria Math" w:cs="Times New Roman" w:eastAsiaTheme="minorEastAsia"/>
                </w:rPr>
                <m:t>G</m:t>
              </m:r>
            </m:oMath>
            <w:r>
              <w:rPr>
                <w:rFonts w:ascii="Times New Roman" w:hAnsi="Times New Roman" w:cs="Times New Roman" w:eastAsiaTheme="minorEastAsia"/>
                <w:vertAlign w:val="subscript"/>
              </w:rPr>
              <w:t>m</w:t>
            </w:r>
          </w:p>
          <w:p>
            <w:pPr>
              <w:jc w:val="center"/>
              <w:rPr>
                <w:rFonts w:ascii="Times New Roman" w:hAnsi="Times New Roman" w:cs="Times New Roman" w:eastAsiaTheme="minorEastAsia"/>
              </w:rPr>
            </w:pPr>
          </w:p>
          <w:p>
            <w:pPr>
              <w:jc w:val="center"/>
              <w:rPr>
                <w:rFonts w:ascii="Times New Roman" w:hAnsi="Times New Roman" w:cs="Times New Roman" w:eastAsiaTheme="minorEastAsia"/>
              </w:rPr>
            </w:pPr>
            <m:oMathPara>
              <m:oMath>
                <m:r>
                  <w:rPr>
                    <w:rFonts w:ascii="Cambria Math" w:hAnsi="Cambria Math" w:cs="Times New Roman" w:eastAsiaTheme="minorEastAsia"/>
                  </w:rPr>
                  <m:t>A</m:t>
                </m:r>
              </m:oMath>
            </m:oMathPara>
          </w:p>
        </w:tc>
        <w:tc>
          <w:tcPr>
            <w:tcW w:w="413"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p>
        </w:tc>
        <w:tc>
          <w:tcPr>
            <w:tcW w:w="4721"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沿闸室基底面的抗滑稳定安全系数，按《水闸设计规范》SL265取值；</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闸室基底面与地基之间的摩擦系数；</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作用在闸室上的全部水平荷载（kN）；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闸室基础底面与土质地基之间的摩擦角（°）；</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闸室基底面与土质地基之间的粘聚力（kPa）；</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作用在闸室上的全部竖向荷载（kN）；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作用在闸室上的锚杆锚固力（kN）。可按本规程第5章计算确定；</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闸室基础底面面积（</w:t>
            </w:r>
            <m:oMath>
              <m:sSup>
                <m:sSupPr>
                  <m:ctrlPr>
                    <w:rPr>
                      <w:rFonts w:hint="eastAsia" w:ascii="Cambria Math" w:hAnsi="Cambria Math" w:eastAsiaTheme="minorEastAsia" w:cstheme="minorEastAsia"/>
                    </w:rPr>
                  </m:ctrlPr>
                </m:sSupPr>
                <m:e>
                  <m:r>
                    <w:rPr>
                      <w:rFonts w:hint="eastAsia" w:ascii="Cambria Math" w:hAnsi="Cambria Math" w:eastAsiaTheme="minorEastAsia" w:cstheme="minorEastAsia"/>
                    </w:rPr>
                    <m:t>m</m:t>
                  </m:r>
                  <m:ctrlPr>
                    <w:rPr>
                      <w:rFonts w:hint="eastAsia" w:ascii="Cambria Math" w:hAnsi="Cambria Math" w:eastAsiaTheme="minorEastAsia" w:cstheme="minorEastAsia"/>
                    </w:rPr>
                  </m:ctrlPr>
                </m:e>
                <m:sup>
                  <m:r>
                    <w:rPr>
                      <w:rFonts w:hint="eastAsia" w:ascii="Cambria Math" w:hAnsi="Cambria Math" w:eastAsiaTheme="minorEastAsia" w:cstheme="minorEastAsia"/>
                    </w:rPr>
                    <m:t>2</m:t>
                  </m:r>
                  <m:ctrlPr>
                    <w:rPr>
                      <w:rFonts w:hint="eastAsia" w:ascii="Cambria Math" w:hAnsi="Cambria Math" w:eastAsiaTheme="minorEastAsia" w:cstheme="minorEastAsia"/>
                    </w:rPr>
                  </m:ctrlPr>
                </m:sup>
              </m:sSup>
            </m:oMath>
            <w:r>
              <w:rPr>
                <w:rFonts w:hint="eastAsia" w:ascii="Cambria Math" w:hAnsi="Cambria Math" w:eastAsiaTheme="minorEastAsia" w:cstheme="minorEastAsia"/>
              </w:rPr>
              <w:t>）</w:t>
            </w:r>
            <w:r>
              <w:rPr>
                <w:rFonts w:hint="eastAsia" w:asciiTheme="minorEastAsia" w:hAnsiTheme="minorEastAsia" w:eastAsiaTheme="minorEastAsia" w:cstheme="minorEastAsia"/>
              </w:rPr>
              <w:t>。</w:t>
            </w:r>
          </w:p>
        </w:tc>
      </w:tr>
    </w:tbl>
    <w:p>
      <w:pPr>
        <w:ind w:firstLine="630" w:firstLineChars="300"/>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4.3.7</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rPr>
        <w:t>当闸室设有两道检修闸门或只设一道检修闸门，利用工作闸门与检修闸门进行检修时，需要考虑闸室抗浮、抗滑稳定可按相关规定计算抗浮稳定计算。不论水闸级别和地基条件，在基本荷载组合条件下，闸门抗浮安全系数应满足《水闸设计规范》SL265相关规定。</w:t>
      </w:r>
    </w:p>
    <w:p>
      <w:pPr>
        <w:jc w:val="right"/>
        <w:rPr>
          <w:rFonts w:asciiTheme="minorEastAsia" w:hAnsiTheme="minorEastAsia" w:eastAsiaTheme="minorEastAsia" w:cstheme="minorEastAsia"/>
        </w:rPr>
      </w:pPr>
      <m:oMath>
        <m:sSub>
          <m:sSubPr>
            <m:ctrlPr>
              <w:rPr>
                <w:rFonts w:hint="default" w:ascii="Cambria Math" w:hAnsi="Cambria Math" w:eastAsiaTheme="minorEastAsia" w:cstheme="minorEastAsia"/>
              </w:rPr>
            </m:ctrlPr>
          </m:sSubPr>
          <m:e>
            <m:r>
              <w:rPr>
                <w:rFonts w:hint="default" w:ascii="Cambria Math" w:hAnsi="Cambria Math" w:eastAsiaTheme="minorEastAsia" w:cstheme="minorEastAsia"/>
              </w:rPr>
              <m:t>K</m:t>
            </m:r>
            <m:ctrlPr>
              <w:rPr>
                <w:rFonts w:hint="default" w:ascii="Cambria Math" w:hAnsi="Cambria Math" w:eastAsiaTheme="minorEastAsia" w:cstheme="minorEastAsia"/>
              </w:rPr>
            </m:ctrlPr>
          </m:e>
          <m:sub>
            <m:r>
              <w:rPr>
                <w:rFonts w:hint="default" w:ascii="Cambria Math" w:hAnsi="Cambria Math" w:eastAsiaTheme="minorEastAsia" w:cstheme="minorEastAsia"/>
              </w:rPr>
              <m:t>f</m:t>
            </m:r>
            <m:ctrlPr>
              <w:rPr>
                <w:rFonts w:hint="default" w:ascii="Cambria Math" w:hAnsi="Cambria Math" w:eastAsiaTheme="minorEastAsia" w:cstheme="minorEastAsia"/>
              </w:rPr>
            </m:ctrlPr>
          </m:sub>
        </m:sSub>
        <m:r>
          <w:rPr>
            <w:rFonts w:hint="default" w:ascii="Cambria Math" w:hAnsi="Cambria Math" w:eastAsiaTheme="minorEastAsia" w:cstheme="minorEastAsia"/>
          </w:rPr>
          <m:t>=</m:t>
        </m:r>
        <m:f>
          <m:fPr>
            <m:ctrlPr>
              <w:rPr>
                <w:rFonts w:hint="default" w:ascii="Cambria Math" w:hAnsi="Cambria Math" w:eastAsiaTheme="minorEastAsia" w:cstheme="minorEastAsia"/>
                <w:i/>
              </w:rPr>
            </m:ctrlPr>
          </m:fPr>
          <m:num>
            <m:nary>
              <m:naryPr>
                <m:chr m:val="∑"/>
                <m:limLoc m:val="undOvr"/>
                <m:subHide m:val="1"/>
                <m:supHide m:val="1"/>
                <m:ctrlPr>
                  <w:rPr>
                    <w:rFonts w:hint="default" w:ascii="Cambria Math" w:hAnsi="Cambria Math" w:eastAsiaTheme="minorEastAsia" w:cstheme="minorEastAsia"/>
                    <w:i/>
                  </w:rPr>
                </m:ctrlPr>
              </m:naryPr>
              <m:sub>
                <m:ctrlPr>
                  <w:rPr>
                    <w:rFonts w:hint="default" w:ascii="Cambria Math" w:hAnsi="Cambria Math" w:eastAsiaTheme="minorEastAsia" w:cstheme="minorEastAsia"/>
                    <w:i/>
                  </w:rPr>
                </m:ctrlPr>
              </m:sub>
              <m:sup>
                <m:ctrlPr>
                  <w:rPr>
                    <w:rFonts w:hint="default" w:ascii="Cambria Math" w:hAnsi="Cambria Math" w:eastAsiaTheme="minorEastAsia" w:cstheme="minorEastAsia"/>
                    <w:i/>
                  </w:rPr>
                </m:ctrlPr>
              </m:sup>
              <m:e>
                <m:r>
                  <w:rPr>
                    <w:rFonts w:hint="default" w:ascii="Cambria Math" w:hAnsi="Cambria Math" w:eastAsiaTheme="minorEastAsia" w:cstheme="minorEastAsia"/>
                  </w:rPr>
                  <m:t>V</m:t>
                </m:r>
                <m:ctrlPr>
                  <w:rPr>
                    <w:rFonts w:hint="default" w:ascii="Cambria Math" w:hAnsi="Cambria Math" w:eastAsiaTheme="minorEastAsia" w:cstheme="minorEastAsia"/>
                    <w:i/>
                  </w:rPr>
                </m:ctrlPr>
              </m:e>
            </m:nary>
            <m:r>
              <w:rPr>
                <w:rFonts w:hint="default" w:ascii="Cambria Math" w:hAnsi="Cambria Math" w:eastAsiaTheme="minorEastAsia" w:cstheme="minorEastAsia"/>
              </w:rPr>
              <m:t>+</m:t>
            </m:r>
            <m:sSub>
              <m:sSubPr>
                <m:ctrlPr>
                  <w:rPr>
                    <w:rFonts w:hint="default" w:ascii="Cambria Math" w:hAnsi="Cambria Math" w:eastAsiaTheme="minorEastAsia" w:cstheme="minorEastAsia"/>
                    <w:i/>
                  </w:rPr>
                </m:ctrlPr>
              </m:sSubPr>
              <m:e>
                <m:r>
                  <w:rPr>
                    <w:rFonts w:hint="default" w:ascii="Cambria Math" w:hAnsi="Cambria Math" w:eastAsiaTheme="minorEastAsia" w:cstheme="minorEastAsia"/>
                  </w:rPr>
                  <m:t>V</m:t>
                </m:r>
                <m:ctrlPr>
                  <w:rPr>
                    <w:rFonts w:hint="default" w:ascii="Cambria Math" w:hAnsi="Cambria Math" w:eastAsiaTheme="minorEastAsia" w:cstheme="minorEastAsia"/>
                    <w:i/>
                  </w:rPr>
                </m:ctrlPr>
              </m:e>
              <m:sub>
                <m:r>
                  <w:rPr>
                    <w:rFonts w:hint="default" w:ascii="Cambria Math" w:hAnsi="Cambria Math" w:eastAsiaTheme="minorEastAsia" w:cstheme="minorEastAsia"/>
                  </w:rPr>
                  <m:t>m</m:t>
                </m:r>
                <m:ctrlPr>
                  <w:rPr>
                    <w:rFonts w:hint="default" w:ascii="Cambria Math" w:hAnsi="Cambria Math" w:eastAsiaTheme="minorEastAsia" w:cstheme="minorEastAsia"/>
                    <w:i/>
                  </w:rPr>
                </m:ctrlPr>
              </m:sub>
            </m:sSub>
            <m:ctrlPr>
              <w:rPr>
                <w:rFonts w:hint="default" w:ascii="Cambria Math" w:hAnsi="Cambria Math" w:eastAsiaTheme="minorEastAsia" w:cstheme="minorEastAsia"/>
                <w:i/>
              </w:rPr>
            </m:ctrlPr>
          </m:num>
          <m:den>
            <m:nary>
              <m:naryPr>
                <m:chr m:val="∑"/>
                <m:limLoc m:val="undOvr"/>
                <m:subHide m:val="1"/>
                <m:supHide m:val="1"/>
                <m:ctrlPr>
                  <w:rPr>
                    <w:rFonts w:hint="default" w:ascii="Cambria Math" w:hAnsi="Cambria Math" w:eastAsiaTheme="minorEastAsia" w:cstheme="minorEastAsia"/>
                    <w:i/>
                  </w:rPr>
                </m:ctrlPr>
              </m:naryPr>
              <m:sub>
                <m:ctrlPr>
                  <w:rPr>
                    <w:rFonts w:hint="default" w:ascii="Cambria Math" w:hAnsi="Cambria Math" w:eastAsiaTheme="minorEastAsia" w:cstheme="minorEastAsia"/>
                    <w:i/>
                  </w:rPr>
                </m:ctrlPr>
              </m:sub>
              <m:sup>
                <m:ctrlPr>
                  <w:rPr>
                    <w:rFonts w:hint="default" w:ascii="Cambria Math" w:hAnsi="Cambria Math" w:eastAsiaTheme="minorEastAsia" w:cstheme="minorEastAsia"/>
                    <w:i/>
                  </w:rPr>
                </m:ctrlPr>
              </m:sup>
              <m:e>
                <m:r>
                  <w:rPr>
                    <w:rFonts w:hint="default" w:ascii="Cambria Math" w:hAnsi="Cambria Math" w:eastAsiaTheme="minorEastAsia" w:cstheme="minorEastAsia"/>
                  </w:rPr>
                  <m:t>U</m:t>
                </m:r>
                <m:ctrlPr>
                  <w:rPr>
                    <w:rFonts w:hint="default" w:ascii="Cambria Math" w:hAnsi="Cambria Math" w:eastAsiaTheme="minorEastAsia" w:cstheme="minorEastAsia"/>
                    <w:i/>
                  </w:rPr>
                </m:ctrlPr>
              </m:e>
            </m:nary>
            <m:ctrlPr>
              <w:rPr>
                <w:rFonts w:hint="default" w:ascii="Cambria Math" w:hAnsi="Cambria Math" w:eastAsiaTheme="minorEastAsia" w:cstheme="minorEastAsia"/>
                <w:i/>
              </w:rPr>
            </m:ctrlPr>
          </m:den>
        </m:f>
      </m:oMath>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color w:val="000000"/>
          <w:sz w:val="24"/>
        </w:rPr>
        <w:t>（4.3.7）</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4"/>
        <w:gridCol w:w="489"/>
        <w:gridCol w:w="319"/>
        <w:gridCol w:w="4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74" w:type="dxa"/>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rPr>
              <w:t>式中：</w:t>
            </w:r>
          </w:p>
        </w:tc>
        <w:tc>
          <w:tcPr>
            <w:tcW w:w="489" w:type="dxa"/>
          </w:tcPr>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K</m:t>
                    </m:r>
                    <m:ctrlPr>
                      <w:rPr>
                        <w:rFonts w:hint="eastAsia" w:ascii="Cambria Math" w:hAnsi="Cambria Math" w:eastAsiaTheme="minorEastAsia" w:cstheme="minorEastAsia"/>
                      </w:rPr>
                    </m:ctrlPr>
                  </m:e>
                  <m:sub>
                    <m:r>
                      <w:rPr>
                        <w:rFonts w:hint="eastAsia" w:ascii="Cambria Math" w:hAnsi="Cambria Math" w:eastAsiaTheme="minorEastAsia" w:cstheme="minorEastAsia"/>
                      </w:rPr>
                      <m:t>f</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w:p>
          <w:p>
            <w:pPr>
              <w:jc w:val="left"/>
              <w:rPr>
                <w:rFonts w:ascii="Cambria Math" w:hAnsi="Cambria Math" w:eastAsiaTheme="minorEastAsia" w:cstheme="minorEastAsia"/>
              </w:rPr>
            </w:pPr>
            <w:r>
              <w:rPr>
                <w:rFonts w:ascii="Times New Roman" w:hAnsi="Times New Roman" w:cs="Times New Roman" w:eastAsiaTheme="minorEastAsia"/>
                <w:i/>
                <w:iCs/>
                <w:sz w:val="18"/>
                <w:szCs w:val="18"/>
              </w:rPr>
              <w:t>∑V</w:t>
            </w:r>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i/>
                      </w:rPr>
                    </m:ctrlPr>
                  </m:sSubPr>
                  <m:e>
                    <m:r>
                      <w:rPr>
                        <w:rFonts w:hint="eastAsia" w:ascii="Cambria Math" w:hAnsi="Cambria Math" w:eastAsiaTheme="minorEastAsia" w:cstheme="minorEastAsia"/>
                      </w:rPr>
                      <m:t>V</m:t>
                    </m:r>
                    <m:ctrlPr>
                      <w:rPr>
                        <w:rFonts w:hint="eastAsia" w:ascii="Cambria Math" w:hAnsi="Cambria Math" w:eastAsiaTheme="minorEastAsia" w:cstheme="minorEastAsia"/>
                        <w:i/>
                      </w:rPr>
                    </m:ctrlPr>
                  </m:e>
                  <m:sub>
                    <m:r>
                      <w:rPr>
                        <w:rFonts w:hint="eastAsia" w:ascii="Cambria Math" w:hAnsi="Cambria Math" w:eastAsiaTheme="minorEastAsia" w:cstheme="minorEastAsia"/>
                      </w:rPr>
                      <m:t>m</m:t>
                    </m:r>
                    <m:ctrlPr>
                      <w:rPr>
                        <w:rFonts w:hint="eastAsia" w:ascii="Cambria Math" w:hAnsi="Cambria Math" w:eastAsiaTheme="minorEastAsia" w:cstheme="minorEastAsia"/>
                        <w:i/>
                      </w:rPr>
                    </m:ctrlPr>
                  </m:sub>
                </m:sSub>
              </m:oMath>
            </m:oMathPara>
          </w:p>
          <w:p>
            <w:pPr>
              <w:jc w:val="left"/>
              <w:rPr>
                <w:rFonts w:ascii="Cambria Math" w:hAnsi="Cambria Math" w:eastAsiaTheme="minorEastAsia" w:cstheme="minorEastAsia"/>
              </w:rPr>
            </w:pPr>
          </w:p>
          <w:p>
            <w:pPr>
              <w:jc w:val="left"/>
              <w:rPr>
                <w:rFonts w:ascii="Cambria Math" w:hAnsi="Cambria Math" w:eastAsiaTheme="minorEastAsia" w:cstheme="minorEastAsia"/>
              </w:rPr>
            </w:pPr>
            <w:r>
              <w:rPr>
                <w:rFonts w:ascii="Times New Roman" w:hAnsi="Times New Roman" w:cs="Times New Roman" w:eastAsiaTheme="minorEastAsia"/>
                <w:i/>
                <w:iCs/>
                <w:sz w:val="18"/>
                <w:szCs w:val="18"/>
              </w:rPr>
              <w:t>∑U</w:t>
            </w:r>
          </w:p>
        </w:tc>
        <w:tc>
          <w:tcPr>
            <w:tcW w:w="319" w:type="dxa"/>
            <w:vAlign w:val="center"/>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left"/>
              <w:rPr>
                <w:rFonts w:asciiTheme="minorEastAsia" w:hAnsiTheme="minorEastAsia" w:eastAsiaTheme="minorEastAsia" w:cstheme="minorEastAsia"/>
                <w:color w:val="000000"/>
                <w:sz w:val="24"/>
              </w:rPr>
            </w:pP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left"/>
              <w:rPr>
                <w:rFonts w:asciiTheme="minorEastAsia" w:hAnsiTheme="minorEastAsia" w:eastAsiaTheme="minorEastAsia" w:cstheme="minorEastAsia"/>
                <w:color w:val="000000"/>
                <w:sz w:val="24"/>
              </w:rPr>
            </w:pP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left"/>
              <w:rPr>
                <w:rFonts w:asciiTheme="minorEastAsia" w:hAnsiTheme="minorEastAsia" w:eastAsiaTheme="minorEastAsia" w:cstheme="minorEastAsia"/>
                <w:color w:val="000000"/>
                <w:sz w:val="24"/>
              </w:rPr>
            </w:pPr>
          </w:p>
        </w:tc>
        <w:tc>
          <w:tcPr>
            <w:tcW w:w="4815"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闸室抗浮稳定安全系数,按《水闸设计规范》SL265取值；</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闸室向下荷载力之和（kN）；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笼芯囊锚杆作用在闸室上的铅垂力（kN），可按本规程第5章计算确定；</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闸室基底面的扬压力（kN），扬压力计算可按《水闸设计规范》SL265附录C。</w:t>
            </w:r>
          </w:p>
        </w:tc>
      </w:tr>
    </w:tbl>
    <w:p>
      <w:pPr>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4.3.8</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rPr>
        <w:t>消力池底板抗浮计算应按下式进行，抗浮稳定安全取值标准应结合工程重要性及溢洪道级别、地基条件、荷载确定、计算情况等选用，应符合《溢洪道设计规范》SL253的要求，其中荷载组合及各荷载计算参考《溢洪道设计规范》SL253附录B中规定。</w:t>
      </w:r>
    </w:p>
    <w:p>
      <w:pPr>
        <w:jc w:val="right"/>
        <w:rPr>
          <w:rFonts w:asciiTheme="minorEastAsia" w:hAnsiTheme="minorEastAsia" w:eastAsiaTheme="minorEastAsia" w:cstheme="minorEastAsia"/>
          <w:color w:val="000000"/>
          <w:sz w:val="24"/>
        </w:rPr>
      </w:pPr>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K</m:t>
            </m:r>
            <m:ctrlPr>
              <w:rPr>
                <w:rFonts w:hint="eastAsia" w:ascii="Cambria Math" w:hAnsi="Cambria Math" w:eastAsiaTheme="minorEastAsia" w:cstheme="minorEastAsia"/>
              </w:rPr>
            </m:ctrlPr>
          </m:e>
          <m:sub>
            <m:r>
              <w:rPr>
                <w:rFonts w:hint="eastAsia" w:ascii="Cambria Math" w:hAnsi="Cambria Math" w:eastAsiaTheme="minorEastAsia" w:cstheme="minorEastAsia"/>
              </w:rPr>
              <m:t>f</m:t>
            </m:r>
            <m:ctrlPr>
              <w:rPr>
                <w:rFonts w:hint="eastAsia" w:ascii="Cambria Math" w:hAnsi="Cambria Math" w:eastAsiaTheme="minorEastAsia" w:cstheme="minorEastAsia"/>
              </w:rPr>
            </m:ctrlPr>
          </m:sub>
        </m:sSub>
        <m:r>
          <w:rPr>
            <w:rFonts w:hint="eastAsia" w:ascii="Cambria Math" w:hAnsi="Cambria Math" w:eastAsiaTheme="minorEastAsia" w:cstheme="minorEastAsia"/>
          </w:rPr>
          <m:t>=</m:t>
        </m:r>
        <m:f>
          <m:fPr>
            <m:ctrlPr>
              <w:rPr>
                <w:rFonts w:hint="eastAsia" w:ascii="Cambria Math" w:hAnsi="Cambria Math" w:eastAsiaTheme="minorEastAsia" w:cstheme="minorEastAsia"/>
                <w:i/>
              </w:rPr>
            </m:ctrlPr>
          </m:fPr>
          <m:num>
            <m:sSub>
              <m:sSubPr>
                <m:ctrlPr>
                  <w:rPr>
                    <w:rFonts w:hint="eastAsia" w:ascii="Cambria Math" w:hAnsi="Cambria Math" w:eastAsiaTheme="minorEastAsia" w:cstheme="minorEastAsia"/>
                    <w:i/>
                    <w:szCs w:val="22"/>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i/>
                    <w:szCs w:val="22"/>
                  </w:rPr>
                </m:ctrlPr>
              </m:e>
              <m:sub>
                <m:r>
                  <w:rPr>
                    <w:rFonts w:hint="eastAsia" w:ascii="Cambria Math" w:hAnsi="Cambria Math" w:eastAsiaTheme="minorEastAsia" w:cstheme="minorEastAsia"/>
                  </w:rPr>
                  <m:t>1</m:t>
                </m:r>
                <m:ctrlPr>
                  <w:rPr>
                    <w:rFonts w:hint="eastAsia" w:ascii="Cambria Math" w:hAnsi="Cambria Math" w:eastAsiaTheme="minorEastAsia" w:cstheme="minorEastAsia"/>
                    <w:i/>
                    <w:szCs w:val="22"/>
                  </w:rPr>
                </m:ctrlPr>
              </m:sub>
            </m:sSub>
            <m:r>
              <w:rPr>
                <w:rFonts w:hint="eastAsia" w:ascii="Cambria Math" w:hAnsi="Cambria Math" w:eastAsiaTheme="minorEastAsia" w:cstheme="minorEastAsia"/>
              </w:rPr>
              <m:t>+</m:t>
            </m:r>
            <m:sSub>
              <m:sSubPr>
                <m:ctrlPr>
                  <w:rPr>
                    <w:rFonts w:hint="eastAsia" w:ascii="Cambria Math" w:hAnsi="Cambria Math" w:eastAsiaTheme="minorEastAsia" w:cstheme="minorEastAsia"/>
                    <w:i/>
                    <w:szCs w:val="22"/>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i/>
                    <w:szCs w:val="22"/>
                  </w:rPr>
                </m:ctrlPr>
              </m:e>
              <m:sub>
                <m:r>
                  <w:rPr>
                    <w:rFonts w:hint="eastAsia" w:ascii="Cambria Math" w:hAnsi="Cambria Math" w:eastAsiaTheme="minorEastAsia" w:cstheme="minorEastAsia"/>
                  </w:rPr>
                  <m:t>2</m:t>
                </m:r>
                <m:ctrlPr>
                  <w:rPr>
                    <w:rFonts w:hint="eastAsia" w:ascii="Cambria Math" w:hAnsi="Cambria Math" w:eastAsiaTheme="minorEastAsia" w:cstheme="minorEastAsia"/>
                    <w:i/>
                    <w:szCs w:val="22"/>
                  </w:rPr>
                </m:ctrlPr>
              </m:sub>
            </m:sSub>
            <m:r>
              <w:rPr>
                <w:rFonts w:hint="eastAsia" w:ascii="Cambria Math" w:hAnsi="Cambria Math" w:eastAsiaTheme="minorEastAsia" w:cstheme="minorEastAsia"/>
              </w:rPr>
              <m:t>+</m:t>
            </m:r>
            <m:sSub>
              <m:sSubPr>
                <m:ctrlPr>
                  <w:rPr>
                    <w:rFonts w:hint="eastAsia" w:ascii="Cambria Math" w:hAnsi="Cambria Math" w:eastAsiaTheme="minorEastAsia" w:cstheme="minorEastAsia"/>
                    <w:i/>
                    <w:szCs w:val="22"/>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i/>
                    <w:szCs w:val="22"/>
                  </w:rPr>
                </m:ctrlPr>
              </m:e>
              <m:sub>
                <m:r>
                  <w:rPr>
                    <w:rFonts w:hint="eastAsia" w:ascii="Cambria Math" w:hAnsi="Cambria Math" w:eastAsiaTheme="minorEastAsia" w:cstheme="minorEastAsia"/>
                  </w:rPr>
                  <m:t>3</m:t>
                </m:r>
                <m:ctrlPr>
                  <w:rPr>
                    <w:rFonts w:hint="eastAsia" w:ascii="Cambria Math" w:hAnsi="Cambria Math" w:eastAsiaTheme="minorEastAsia" w:cstheme="minorEastAsia"/>
                    <w:i/>
                    <w:szCs w:val="22"/>
                  </w:rPr>
                </m:ctrlPr>
              </m:sub>
            </m:sSub>
            <m:ctrlPr>
              <w:rPr>
                <w:rFonts w:hint="eastAsia" w:ascii="Cambria Math" w:hAnsi="Cambria Math" w:eastAsiaTheme="minorEastAsia" w:cstheme="minorEastAsia"/>
                <w:i/>
              </w:rPr>
            </m:ctrlPr>
          </m:num>
          <m:den>
            <m:sSub>
              <m:sSubPr>
                <m:ctrlPr>
                  <w:rPr>
                    <w:rFonts w:hint="eastAsia" w:ascii="Cambria Math" w:hAnsi="Cambria Math" w:eastAsiaTheme="minorEastAsia" w:cstheme="minorEastAsia"/>
                    <w:i/>
                    <w:szCs w:val="22"/>
                  </w:rPr>
                </m:ctrlPr>
              </m:sSubPr>
              <m:e>
                <m:r>
                  <w:rPr>
                    <w:rFonts w:hint="eastAsia" w:ascii="Cambria Math" w:hAnsi="Cambria Math" w:eastAsiaTheme="minorEastAsia" w:cstheme="minorEastAsia"/>
                  </w:rPr>
                  <m:t>Q</m:t>
                </m:r>
                <m:ctrlPr>
                  <w:rPr>
                    <w:rFonts w:hint="eastAsia" w:ascii="Cambria Math" w:hAnsi="Cambria Math" w:eastAsiaTheme="minorEastAsia" w:cstheme="minorEastAsia"/>
                    <w:i/>
                    <w:szCs w:val="22"/>
                  </w:rPr>
                </m:ctrlPr>
              </m:e>
              <m:sub>
                <m:r>
                  <w:rPr>
                    <w:rFonts w:hint="eastAsia" w:ascii="Cambria Math" w:hAnsi="Cambria Math" w:eastAsiaTheme="minorEastAsia" w:cstheme="minorEastAsia"/>
                  </w:rPr>
                  <m:t>1</m:t>
                </m:r>
                <m:ctrlPr>
                  <w:rPr>
                    <w:rFonts w:hint="eastAsia" w:ascii="Cambria Math" w:hAnsi="Cambria Math" w:eastAsiaTheme="minorEastAsia" w:cstheme="minorEastAsia"/>
                    <w:i/>
                    <w:szCs w:val="22"/>
                  </w:rPr>
                </m:ctrlPr>
              </m:sub>
            </m:sSub>
            <m:r>
              <w:rPr>
                <w:rFonts w:hint="eastAsia" w:ascii="Cambria Math" w:hAnsi="Cambria Math" w:eastAsiaTheme="minorEastAsia" w:cstheme="minorEastAsia"/>
              </w:rPr>
              <m:t>+</m:t>
            </m:r>
            <m:sSub>
              <m:sSubPr>
                <m:ctrlPr>
                  <w:rPr>
                    <w:rFonts w:hint="eastAsia" w:ascii="Cambria Math" w:hAnsi="Cambria Math" w:eastAsiaTheme="minorEastAsia" w:cstheme="minorEastAsia"/>
                    <w:i/>
                    <w:szCs w:val="22"/>
                  </w:rPr>
                </m:ctrlPr>
              </m:sSubPr>
              <m:e>
                <m:r>
                  <w:rPr>
                    <w:rFonts w:hint="eastAsia" w:ascii="Cambria Math" w:hAnsi="Cambria Math" w:eastAsiaTheme="minorEastAsia" w:cstheme="minorEastAsia"/>
                  </w:rPr>
                  <m:t>Q</m:t>
                </m:r>
                <m:ctrlPr>
                  <w:rPr>
                    <w:rFonts w:hint="eastAsia" w:ascii="Cambria Math" w:hAnsi="Cambria Math" w:eastAsiaTheme="minorEastAsia" w:cstheme="minorEastAsia"/>
                    <w:i/>
                    <w:szCs w:val="22"/>
                  </w:rPr>
                </m:ctrlPr>
              </m:e>
              <m:sub>
                <m:r>
                  <w:rPr>
                    <w:rFonts w:hint="eastAsia" w:ascii="Cambria Math" w:hAnsi="Cambria Math" w:eastAsiaTheme="minorEastAsia" w:cstheme="minorEastAsia"/>
                  </w:rPr>
                  <m:t>2</m:t>
                </m:r>
                <m:ctrlPr>
                  <w:rPr>
                    <w:rFonts w:hint="eastAsia" w:ascii="Cambria Math" w:hAnsi="Cambria Math" w:eastAsiaTheme="minorEastAsia" w:cstheme="minorEastAsia"/>
                    <w:i/>
                    <w:szCs w:val="22"/>
                  </w:rPr>
                </m:ctrlPr>
              </m:sub>
            </m:sSub>
            <m:ctrlPr>
              <w:rPr>
                <w:rFonts w:hint="eastAsia" w:ascii="Cambria Math" w:hAnsi="Cambria Math" w:eastAsiaTheme="minorEastAsia" w:cstheme="minorEastAsia"/>
                <w:i/>
              </w:rPr>
            </m:ctrlPr>
          </m:den>
        </m:f>
      </m:oMath>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color w:val="000000"/>
          <w:sz w:val="24"/>
        </w:rPr>
        <w:t>（4.3.8）</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4"/>
        <w:gridCol w:w="451"/>
        <w:gridCol w:w="346"/>
        <w:gridCol w:w="48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74" w:type="dxa"/>
          </w:tcPr>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rPr>
              <w:t>式中：</w:t>
            </w:r>
          </w:p>
        </w:tc>
        <w:tc>
          <w:tcPr>
            <w:tcW w:w="451" w:type="dxa"/>
          </w:tcPr>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K</m:t>
                    </m:r>
                    <m:ctrlPr>
                      <w:rPr>
                        <w:rFonts w:hint="eastAsia" w:ascii="Cambria Math" w:hAnsi="Cambria Math" w:eastAsiaTheme="minorEastAsia" w:cstheme="minorEastAsia"/>
                      </w:rPr>
                    </m:ctrlPr>
                  </m:e>
                  <m:sub>
                    <m:r>
                      <w:rPr>
                        <w:rFonts w:hint="eastAsia" w:ascii="Cambria Math" w:hAnsi="Cambria Math" w:eastAsiaTheme="minorEastAsia" w:cstheme="minorEastAsia"/>
                      </w:rPr>
                      <m:t>f</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rPr>
                    </m:ctrlPr>
                  </m:e>
                  <m:sub>
                    <m:r>
                      <w:rPr>
                        <w:rFonts w:hint="eastAsia" w:ascii="Cambria Math" w:hAnsi="Cambria Math" w:eastAsiaTheme="minorEastAsia" w:cstheme="minorEastAsia"/>
                      </w:rPr>
                      <m:t>1</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rPr>
                    </m:ctrlPr>
                  </m:e>
                  <m:sub>
                    <m:r>
                      <w:rPr>
                        <w:rFonts w:hint="eastAsia" w:ascii="Cambria Math" w:hAnsi="Cambria Math" w:eastAsiaTheme="minorEastAsia" w:cstheme="minorEastAsia"/>
                      </w:rPr>
                      <m:t>2</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P</m:t>
                    </m:r>
                    <m:ctrlPr>
                      <w:rPr>
                        <w:rFonts w:hint="eastAsia" w:ascii="Cambria Math" w:hAnsi="Cambria Math" w:eastAsiaTheme="minorEastAsia" w:cstheme="minorEastAsia"/>
                      </w:rPr>
                    </m:ctrlPr>
                  </m:e>
                  <m:sub>
                    <m:r>
                      <w:rPr>
                        <w:rFonts w:hint="eastAsia" w:ascii="Cambria Math" w:hAnsi="Cambria Math" w:eastAsiaTheme="minorEastAsia" w:cstheme="minorEastAsia"/>
                      </w:rPr>
                      <m:t>3</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Q</m:t>
                    </m:r>
                    <m:ctrlPr>
                      <w:rPr>
                        <w:rFonts w:hint="eastAsia" w:ascii="Cambria Math" w:hAnsi="Cambria Math" w:eastAsiaTheme="minorEastAsia" w:cstheme="minorEastAsia"/>
                      </w:rPr>
                    </m:ctrlPr>
                  </m:e>
                  <m:sub>
                    <m:r>
                      <w:rPr>
                        <w:rFonts w:hint="eastAsia" w:ascii="Cambria Math" w:hAnsi="Cambria Math" w:eastAsiaTheme="minorEastAsia" w:cstheme="minorEastAsia"/>
                      </w:rPr>
                      <m:t>1</m:t>
                    </m:r>
                    <m:ctrlPr>
                      <w:rPr>
                        <w:rFonts w:hint="eastAsia" w:ascii="Cambria Math" w:hAnsi="Cambria Math" w:eastAsiaTheme="minorEastAsia" w:cstheme="minorEastAsia"/>
                      </w:rPr>
                    </m:ctrlPr>
                  </m:sub>
                </m:sSub>
              </m:oMath>
            </m:oMathPara>
          </w:p>
          <w:p>
            <w:pPr>
              <w:jc w:val="left"/>
              <w:rPr>
                <w:rFonts w:ascii="Cambria Math" w:hAnsi="Cambria Math" w:eastAsiaTheme="minorEastAsia" w:cstheme="minorEastAsia"/>
              </w:rPr>
            </w:pPr>
            <m:oMathPara>
              <m:oMath>
                <m:sSub>
                  <m:sSubPr>
                    <m:ctrlPr>
                      <w:rPr>
                        <w:rFonts w:hint="eastAsia" w:ascii="Cambria Math" w:hAnsi="Cambria Math" w:eastAsiaTheme="minorEastAsia" w:cstheme="minorEastAsia"/>
                      </w:rPr>
                    </m:ctrlPr>
                  </m:sSubPr>
                  <m:e>
                    <m:r>
                      <w:rPr>
                        <w:rFonts w:hint="eastAsia" w:ascii="Cambria Math" w:hAnsi="Cambria Math" w:eastAsiaTheme="minorEastAsia" w:cstheme="minorEastAsia"/>
                      </w:rPr>
                      <m:t>Q</m:t>
                    </m:r>
                    <m:ctrlPr>
                      <w:rPr>
                        <w:rFonts w:hint="eastAsia" w:ascii="Cambria Math" w:hAnsi="Cambria Math" w:eastAsiaTheme="minorEastAsia" w:cstheme="minorEastAsia"/>
                      </w:rPr>
                    </m:ctrlPr>
                  </m:e>
                  <m:sub>
                    <m:r>
                      <w:rPr>
                        <w:rFonts w:hint="eastAsia" w:ascii="Cambria Math" w:hAnsi="Cambria Math" w:eastAsiaTheme="minorEastAsia" w:cstheme="minorEastAsia"/>
                      </w:rPr>
                      <m:t>2</m:t>
                    </m:r>
                    <m:ctrlPr>
                      <w:rPr>
                        <w:rFonts w:hint="eastAsia" w:ascii="Cambria Math" w:hAnsi="Cambria Math" w:eastAsiaTheme="minorEastAsia" w:cstheme="minorEastAsia"/>
                      </w:rPr>
                    </m:ctrlPr>
                  </m:sub>
                </m:sSub>
              </m:oMath>
            </m:oMathPara>
          </w:p>
        </w:tc>
        <w:tc>
          <w:tcPr>
            <w:tcW w:w="346"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w:t>
            </w:r>
          </w:p>
        </w:tc>
        <w:tc>
          <w:tcPr>
            <w:tcW w:w="4826" w:type="dxa"/>
          </w:tcPr>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消力池底板抗浮稳定安全系数，按《溢洪道设计规范》SL253取值；</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底板自重（kN）；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底板顶面上的均压力（kN）；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底板采用锚固措施时，地基的有效重量（kN），可按本规程第5章计算确定；</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底板顶面上的脉动压力（kN）；</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底板底面上的扬压力（kN）；</w:t>
            </w:r>
          </w:p>
        </w:tc>
      </w:tr>
    </w:tbl>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4.3.9</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闸室与消力池底板中的笼芯囊锚杆防护应考虑区域环境对于锚杆材料、笼芯材料及注浆材料的腐蚀。水和土对锚杆系统的腐蚀程度宜按照现行国家标准《岩土工程勘察规范》GB50021确定，并结合本规程第6章及第7章相关内容进行闸室与消力池（塘）底板笼芯囊锚杆的防护设计。</w:t>
      </w:r>
    </w:p>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4.3.10</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外锚头结构应符合下列规定：</w:t>
      </w:r>
    </w:p>
    <w:p>
      <w:pPr>
        <w:spacing w:line="350" w:lineRule="exact"/>
        <w:ind w:firstLine="420"/>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pacing w:val="2"/>
          <w:szCs w:val="21"/>
        </w:rPr>
        <w:t xml:space="preserve"> 外锚头应设置锚板等结构，并且必要时要预留相应厚度与空间，为长期观测提供条件。</w:t>
      </w:r>
    </w:p>
    <w:p>
      <w:pPr>
        <w:spacing w:line="350" w:lineRule="exact"/>
        <w:ind w:firstLine="420"/>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pacing w:val="2"/>
          <w:szCs w:val="21"/>
        </w:rPr>
        <w:t xml:space="preserve"> 外锚头各部件承载能力应与单根笼芯囊锚杆张拉及运行过程相匹配。</w:t>
      </w:r>
    </w:p>
    <w:p>
      <w:pPr>
        <w:spacing w:line="350" w:lineRule="exact"/>
        <w:ind w:firstLine="420"/>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pacing w:val="2"/>
          <w:szCs w:val="21"/>
        </w:rPr>
        <w:t xml:space="preserve"> 外锚头结构应保证锚杆承载力传力均匀，并且外锚头结构与尺寸应根据锚杆载荷设计、施工工艺、地板材料强度及锚杆和底板连接方式合理确定，必要时应核算外锚头和外部连接强度和可靠性。</w:t>
      </w:r>
    </w:p>
    <w:p>
      <w:pPr>
        <w:spacing w:line="350" w:lineRule="exact"/>
        <w:ind w:firstLine="420"/>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pacing w:val="2"/>
          <w:szCs w:val="21"/>
        </w:rPr>
        <w:t>外锚头承压板应垂直于锚孔轴线，其角度偏差宜小于2°。</w:t>
      </w:r>
    </w:p>
    <w:p>
      <w:pPr>
        <w:spacing w:line="350" w:lineRule="exact"/>
        <w:ind w:firstLine="420" w:firstLineChars="200"/>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5</w:t>
      </w:r>
      <w:r>
        <w:rPr>
          <w:rFonts w:hint="eastAsia" w:asciiTheme="minorEastAsia" w:hAnsiTheme="minorEastAsia" w:eastAsiaTheme="minorEastAsia" w:cstheme="minorEastAsia"/>
          <w:color w:val="000000"/>
          <w:spacing w:val="2"/>
          <w:szCs w:val="21"/>
        </w:rPr>
        <w:t xml:space="preserve"> 外锚头应根据水、土及运行条件，按本规程第7章进行防腐设计。</w:t>
      </w:r>
    </w:p>
    <w:p>
      <w:pPr>
        <w:spacing w:before="312" w:beforeLines="100" w:after="156" w:afterLines="50"/>
        <w:jc w:val="center"/>
        <w:outlineLvl w:val="1"/>
        <w:rPr>
          <w:rFonts w:asciiTheme="minorEastAsia" w:hAnsiTheme="minorEastAsia" w:eastAsiaTheme="minorEastAsia" w:cstheme="minorEastAsia"/>
          <w:b/>
          <w:bCs/>
        </w:rPr>
      </w:pPr>
      <w:bookmarkStart w:id="187" w:name="_Toc30703"/>
      <w:bookmarkStart w:id="188" w:name="_Toc28575"/>
      <w:bookmarkStart w:id="189" w:name="_Toc16237"/>
      <w:bookmarkStart w:id="190" w:name="_Toc5074"/>
      <w:bookmarkStart w:id="191" w:name="_Toc27509"/>
      <w:bookmarkStart w:id="192" w:name="_Toc27261"/>
      <w:bookmarkStart w:id="193" w:name="_Toc15091"/>
      <w:r>
        <w:rPr>
          <w:rFonts w:hint="eastAsia" w:asciiTheme="minorEastAsia" w:hAnsiTheme="minorEastAsia" w:eastAsiaTheme="minorEastAsia" w:cstheme="minorEastAsia"/>
          <w:b/>
          <w:bCs/>
        </w:rPr>
        <w:t>4.4  边坡支护</w:t>
      </w:r>
      <w:bookmarkEnd w:id="187"/>
      <w:bookmarkEnd w:id="188"/>
      <w:bookmarkEnd w:id="189"/>
      <w:bookmarkEnd w:id="190"/>
      <w:bookmarkEnd w:id="191"/>
      <w:bookmarkEnd w:id="192"/>
      <w:bookmarkEnd w:id="193"/>
    </w:p>
    <w:p>
      <w:pPr>
        <w:spacing w:line="35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4.4.1</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笼芯囊锚杆用于边坡支护，根据使用要求和场地条件可采用格构梁锚杆支护、挂网喷射混凝土锚杆支护、锚拉排桩支护等结构型式，还可与其他支护结构联合使用。</w:t>
      </w:r>
    </w:p>
    <w:p>
      <w:pPr>
        <w:spacing w:line="35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4.4.2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采用扩大头笼芯囊锚杆的</w:t>
      </w:r>
      <w:r>
        <w:rPr>
          <w:rFonts w:hint="eastAsia" w:asciiTheme="minorEastAsia" w:hAnsiTheme="minorEastAsia" w:eastAsiaTheme="minorEastAsia" w:cstheme="minorEastAsia"/>
          <w:color w:val="000000"/>
          <w:szCs w:val="21"/>
        </w:rPr>
        <w:t>，</w:t>
      </w:r>
      <w:r>
        <w:rPr>
          <w:rFonts w:hint="eastAsia" w:asciiTheme="minorEastAsia" w:hAnsiTheme="minorEastAsia" w:eastAsiaTheme="minorEastAsia" w:cstheme="minorEastAsia"/>
          <w:color w:val="000000"/>
          <w:spacing w:val="2"/>
          <w:szCs w:val="21"/>
        </w:rPr>
        <w:t>锚杆扩大头应设置在具有一定埋深的碎石土、砂土、粉土以及可塑或可塑状态以上硬度的黏性土中。</w:t>
      </w:r>
    </w:p>
    <w:p>
      <w:pPr>
        <w:spacing w:line="35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4.4.3</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锚杆的布置应避免对相邻建（构）筑物的基础产生不良影响。</w:t>
      </w:r>
    </w:p>
    <w:p>
      <w:pPr>
        <w:spacing w:line="35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4.4.4</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边坡支护锚杆除抗拔力应满足支护体系结构计算的要求外，锚杆长度还应满足锚固体稳定性要求。锚固体稳定性验算可按本规程第5.3推荐的方法计算，稳定安全系数应按锚杆所从属的主体建（构）筑物的有关要求确定。</w:t>
      </w:r>
    </w:p>
    <w:p>
      <w:pPr>
        <w:spacing w:line="35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4.4.5</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边坡</w:t>
      </w:r>
      <w:r>
        <w:rPr>
          <w:rFonts w:hint="eastAsia" w:asciiTheme="minorEastAsia" w:hAnsiTheme="minorEastAsia" w:eastAsiaTheme="minorEastAsia" w:cstheme="minorEastAsia"/>
          <w:color w:val="000000"/>
          <w:szCs w:val="21"/>
        </w:rPr>
        <w:t>支护采用格构梁锚杆和挂网喷射混凝土锚杆支护型式的（图4.4.5），笼芯囊锚杆布置水平间距不应小于1.5m,竖向间距不宜小于2.0m；锚杆最小长度，岩石锚杆不应小于4m，土层锚杆不应小于6m。</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98"/>
        <w:gridCol w:w="31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8" w:hRule="exact"/>
        </w:trPr>
        <w:tc>
          <w:tcPr>
            <w:tcW w:w="4264" w:type="dxa"/>
            <w:vAlign w:val="bottom"/>
          </w:tcPr>
          <w:p>
            <w:pPr>
              <w:spacing w:line="360" w:lineRule="auto"/>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inline distT="0" distB="0" distL="114300" distR="114300">
                  <wp:extent cx="1800225" cy="1364615"/>
                  <wp:effectExtent l="0" t="0" r="952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1800225" cy="1364615"/>
                          </a:xfrm>
                          <a:prstGeom prst="rect">
                            <a:avLst/>
                          </a:prstGeom>
                          <a:noFill/>
                          <a:ln>
                            <a:noFill/>
                          </a:ln>
                        </pic:spPr>
                      </pic:pic>
                    </a:graphicData>
                  </a:graphic>
                </wp:inline>
              </w:drawing>
            </w:r>
          </w:p>
        </w:tc>
        <w:tc>
          <w:tcPr>
            <w:tcW w:w="4265" w:type="dxa"/>
            <w:vAlign w:val="bottom"/>
          </w:tcPr>
          <w:p>
            <w:pPr>
              <w:spacing w:line="360" w:lineRule="auto"/>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inline distT="0" distB="0" distL="114300" distR="114300">
                  <wp:extent cx="1800225" cy="1114425"/>
                  <wp:effectExtent l="0" t="0" r="9525" b="952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6"/>
                          <a:stretch>
                            <a:fillRect/>
                          </a:stretch>
                        </pic:blipFill>
                        <pic:spPr>
                          <a:xfrm>
                            <a:off x="0" y="0"/>
                            <a:ext cx="1800225" cy="11144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4264" w:type="dxa"/>
          </w:tcPr>
          <w:p>
            <w:pPr>
              <w:spacing w:line="160" w:lineRule="atLeast"/>
              <w:ind w:firstLine="400" w:firstLineChars="250"/>
              <w:rPr>
                <w:rFonts w:asciiTheme="minorEastAsia" w:hAnsiTheme="minorEastAsia" w:eastAsiaTheme="minorEastAsia" w:cstheme="minorEastAsia"/>
                <w:b/>
                <w:sz w:val="15"/>
                <w:szCs w:val="15"/>
              </w:rPr>
            </w:pPr>
            <w:r>
              <w:rPr>
                <w:rFonts w:hint="eastAsia" w:asciiTheme="minorEastAsia" w:hAnsiTheme="minorEastAsia" w:eastAsiaTheme="minorEastAsia" w:cstheme="minorEastAsia"/>
                <w:color w:val="000000"/>
                <w:sz w:val="16"/>
                <w:szCs w:val="16"/>
              </w:rPr>
              <w:t>（a）格构梁笼芯囊锚杆支护</w:t>
            </w:r>
          </w:p>
        </w:tc>
        <w:tc>
          <w:tcPr>
            <w:tcW w:w="4265" w:type="dxa"/>
          </w:tcPr>
          <w:p>
            <w:pPr>
              <w:spacing w:line="160" w:lineRule="atLeast"/>
              <w:ind w:firstLine="480" w:firstLineChars="300"/>
              <w:rPr>
                <w:rFonts w:asciiTheme="minorEastAsia" w:hAnsiTheme="minorEastAsia" w:eastAsiaTheme="minorEastAsia" w:cstheme="minorEastAsia"/>
                <w:b/>
                <w:sz w:val="15"/>
                <w:szCs w:val="15"/>
              </w:rPr>
            </w:pPr>
            <w:r>
              <w:rPr>
                <w:rFonts w:hint="eastAsia" w:asciiTheme="minorEastAsia" w:hAnsiTheme="minorEastAsia" w:eastAsiaTheme="minorEastAsia" w:cstheme="minorEastAsia"/>
                <w:color w:val="000000"/>
                <w:sz w:val="16"/>
                <w:szCs w:val="16"/>
              </w:rPr>
              <w:t>（b）网喷混凝土笼芯囊锚杆支护</w:t>
            </w:r>
          </w:p>
        </w:tc>
      </w:tr>
    </w:tbl>
    <w:p>
      <w:pPr>
        <w:spacing w:after="156" w:afterLines="50" w:line="160" w:lineRule="atLeast"/>
        <w:jc w:val="center"/>
        <w:rPr>
          <w:rFonts w:ascii="黑体" w:hAnsi="黑体" w:eastAsia="黑体" w:cs="黑体"/>
          <w:color w:val="000000"/>
          <w:sz w:val="18"/>
          <w:szCs w:val="18"/>
        </w:rPr>
      </w:pPr>
      <w:r>
        <w:rPr>
          <w:rFonts w:hint="eastAsia" w:ascii="黑体" w:hAnsi="黑体" w:eastAsia="黑体" w:cs="黑体"/>
          <w:color w:val="000000"/>
          <w:sz w:val="18"/>
          <w:szCs w:val="18"/>
        </w:rPr>
        <w:t>图4.4.5 格构梁和网喷混凝土锚杆支护布置图</w:t>
      </w:r>
    </w:p>
    <w:p>
      <w:pPr>
        <w:spacing w:line="160" w:lineRule="atLeas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4.4.6</w:t>
      </w:r>
      <w:r>
        <w:rPr>
          <w:rFonts w:hint="eastAsia" w:asciiTheme="minorEastAsia" w:hAnsiTheme="minorEastAsia" w:eastAsiaTheme="minorEastAsia" w:cstheme="minorEastAsia"/>
          <w:color w:val="000000"/>
          <w:szCs w:val="21"/>
        </w:rPr>
        <w:t xml:space="preserve">  采用格构梁锚杆支护和挂网喷射混凝土锚杆支护的，宜采用等直径笼芯囊锚杆（图4.4.6），锚杆杆体宜采用单根精轧螺纹钢，不宜采用多根较细的钢筋。</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8" w:hRule="atLeast"/>
          <w:jc w:val="center"/>
        </w:trPr>
        <w:tc>
          <w:tcPr>
            <w:tcW w:w="6397" w:type="dxa"/>
            <w:vAlign w:val="center"/>
          </w:tcPr>
          <w:p>
            <w:pPr>
              <w:spacing w:line="160" w:lineRule="atLeas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inline distT="0" distB="0" distL="114300" distR="114300">
                  <wp:extent cx="3599815" cy="2305685"/>
                  <wp:effectExtent l="0" t="0" r="0"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7"/>
                          <a:stretch>
                            <a:fillRect/>
                          </a:stretch>
                        </pic:blipFill>
                        <pic:spPr>
                          <a:xfrm>
                            <a:off x="0" y="0"/>
                            <a:ext cx="3599815" cy="23056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397" w:type="dxa"/>
            <w:vAlign w:val="center"/>
          </w:tcPr>
          <w:p>
            <w:pPr>
              <w:jc w:val="center"/>
              <w:rPr>
                <w:rFonts w:asciiTheme="minorEastAsia" w:hAnsiTheme="minorEastAsia" w:eastAsiaTheme="minorEastAsia" w:cstheme="minorEastAsia"/>
              </w:rPr>
            </w:pPr>
            <w:r>
              <w:rPr>
                <w:rFonts w:hint="eastAsia" w:ascii="黑体" w:hAnsi="黑体" w:eastAsia="黑体" w:cs="Times New Roman"/>
                <w:color w:val="000000"/>
                <w:sz w:val="15"/>
                <w:szCs w:val="15"/>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vAlign w:val="center"/>
          </w:tcPr>
          <w:p>
            <w:pPr>
              <w:spacing w:line="160" w:lineRule="atLeas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inline distT="0" distB="0" distL="114300" distR="114300">
                  <wp:extent cx="1800225" cy="1017905"/>
                  <wp:effectExtent l="0" t="0" r="952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8"/>
                          <a:stretch>
                            <a:fillRect/>
                          </a:stretch>
                        </pic:blipFill>
                        <pic:spPr>
                          <a:xfrm>
                            <a:off x="0" y="0"/>
                            <a:ext cx="1800225" cy="101790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vAlign w:val="center"/>
          </w:tcPr>
          <w:p>
            <w:pPr>
              <w:spacing w:line="160" w:lineRule="atLeast"/>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(b)</w:t>
            </w:r>
          </w:p>
        </w:tc>
      </w:tr>
    </w:tbl>
    <w:p>
      <w:pPr>
        <w:spacing w:line="312"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图4.4.6  等直径笼芯囊锚杆</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下锁扣；2—囊袋；3—引浆管出口；4—袋内注浆体；5—笼芯；6—引浆管；7—上锁扣；8—引浆管接头；9—注浆管；10—杆体；11—格构梁；12—锚具；13—锚具罩；14—排气管；15—密封套；16—排气管接头；17—排气管进气口；18—螺纹承载体；19—囊袋肩；20—下箍筒</w:t>
      </w:r>
    </w:p>
    <w:p>
      <w:pPr>
        <w:jc w:val="center"/>
        <w:rPr>
          <w:rFonts w:asciiTheme="minorEastAsia" w:hAnsiTheme="minorEastAsia" w:eastAsiaTheme="minorEastAsia" w:cstheme="minorEastAsia"/>
          <w:color w:val="000000"/>
          <w:sz w:val="18"/>
          <w:szCs w:val="18"/>
        </w:rPr>
      </w:pPr>
    </w:p>
    <w:p>
      <w:pPr>
        <w:spacing w:line="360" w:lineRule="exact"/>
        <w:rPr>
          <w:rFonts w:asciiTheme="minorEastAsia" w:hAnsiTheme="minorEastAsia" w:eastAsiaTheme="minorEastAsia" w:cstheme="minorEastAsia"/>
          <w:color w:val="000000"/>
          <w:sz w:val="24"/>
        </w:rPr>
      </w:pPr>
      <w:r>
        <w:rPr>
          <w:rFonts w:ascii="Times New Roman" w:hAnsi="Times New Roman" w:cs="Times New Roman" w:eastAsiaTheme="minorEastAsia"/>
          <w:color w:val="000000"/>
          <w:szCs w:val="21"/>
        </w:rPr>
        <w:t>4.4.7</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采用锚拉排桩支护的，应采用预应力笼芯囊锚杆（图4.4.7）：</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397" w:type="dxa"/>
          </w:tcPr>
          <w:p>
            <w:pPr>
              <w:spacing w:line="312"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rPr>
              <w:drawing>
                <wp:anchor distT="0" distB="0" distL="114300" distR="114300" simplePos="0" relativeHeight="256177152" behindDoc="0" locked="0" layoutInCell="1" allowOverlap="1">
                  <wp:simplePos x="0" y="0"/>
                  <wp:positionH relativeFrom="column">
                    <wp:posOffset>1104900</wp:posOffset>
                  </wp:positionH>
                  <wp:positionV relativeFrom="paragraph">
                    <wp:posOffset>-1403350</wp:posOffset>
                  </wp:positionV>
                  <wp:extent cx="1800225" cy="1630045"/>
                  <wp:effectExtent l="0" t="0" r="9525" b="8255"/>
                  <wp:wrapSquare wrapText="bothSides"/>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19"/>
                          <a:stretch>
                            <a:fillRect/>
                          </a:stretch>
                        </pic:blipFill>
                        <pic:spPr>
                          <a:xfrm>
                            <a:off x="0" y="0"/>
                            <a:ext cx="1800225" cy="1630045"/>
                          </a:xfrm>
                          <a:prstGeom prst="rect">
                            <a:avLst/>
                          </a:prstGeom>
                          <a:noFill/>
                          <a:ln>
                            <a:noFill/>
                          </a:ln>
                        </pic:spPr>
                      </pic:pic>
                    </a:graphicData>
                  </a:graphic>
                </wp:anchor>
              </w:drawing>
            </w:r>
          </w:p>
        </w:tc>
      </w:tr>
    </w:tbl>
    <w:p>
      <w:pPr>
        <w:spacing w:line="312"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图4.4.7 锚拉支护锚杆（预应力）结构示意</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1—囊袋；2—笼芯；3—扩大头；4—锚杆杆体；5—杆体定位器；6—过渡管；</w:t>
      </w:r>
    </w:p>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7—锚头；8—支护桩</w:t>
      </w:r>
    </w:p>
    <w:p>
      <w:pPr>
        <w:spacing w:line="360" w:lineRule="exact"/>
        <w:rPr>
          <w:rFonts w:asciiTheme="minorEastAsia" w:hAnsiTheme="minorEastAsia" w:eastAsiaTheme="minorEastAsia" w:cstheme="minorEastAsia"/>
          <w:color w:val="000000"/>
          <w:szCs w:val="21"/>
        </w:rPr>
      </w:pP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4.4.8</w:t>
      </w:r>
      <w:r>
        <w:rPr>
          <w:rFonts w:hint="eastAsia" w:asciiTheme="minorEastAsia" w:hAnsiTheme="minorEastAsia" w:eastAsiaTheme="minorEastAsia" w:cstheme="minorEastAsia"/>
          <w:color w:val="000000"/>
          <w:szCs w:val="21"/>
        </w:rPr>
        <w:t xml:space="preserve">  边坡支护宜采用压力型锚杆，将锚杆拉力直接传递到锚孔底部。</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4.4.9</w:t>
      </w:r>
      <w:r>
        <w:rPr>
          <w:rFonts w:hint="eastAsia" w:asciiTheme="minorEastAsia" w:hAnsiTheme="minorEastAsia" w:eastAsiaTheme="minorEastAsia" w:cstheme="minorEastAsia"/>
          <w:color w:val="000000"/>
          <w:szCs w:val="21"/>
        </w:rPr>
        <w:t xml:space="preserve">  永久性边坡锚杆防腐等级应按Ⅰ级设计，Ⅰ级防腐压力型锚杆（等直径）构造</w:t>
      </w:r>
      <w:r>
        <w:rPr>
          <w:rFonts w:hint="eastAsia" w:asciiTheme="minorEastAsia" w:hAnsiTheme="minorEastAsia" w:eastAsiaTheme="minorEastAsia" w:cstheme="minorEastAsia"/>
          <w:color w:val="000000"/>
          <w:szCs w:val="21"/>
          <w:lang w:eastAsia="zh-CN"/>
        </w:rPr>
        <w:t>见</w:t>
      </w:r>
      <w:r>
        <w:rPr>
          <w:rFonts w:hint="eastAsia" w:asciiTheme="minorEastAsia" w:hAnsiTheme="minorEastAsia" w:eastAsiaTheme="minorEastAsia" w:cstheme="minorEastAsia"/>
          <w:color w:val="000000"/>
          <w:szCs w:val="21"/>
        </w:rPr>
        <w:t>图4.4.9。</w:t>
      </w:r>
    </w:p>
    <w:tbl>
      <w:tblPr>
        <w:tblStyle w:val="18"/>
        <w:tblpPr w:leftFromText="181" w:rightFromText="181" w:vertAnchor="text" w:tblpXSpec="center" w:tblpY="284"/>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tcPr>
          <w:p>
            <w:pP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rPr>
              <w:drawing>
                <wp:anchor distT="0" distB="0" distL="114300" distR="114300" simplePos="0" relativeHeight="260796416" behindDoc="0" locked="0" layoutInCell="1" allowOverlap="1">
                  <wp:simplePos x="0" y="0"/>
                  <wp:positionH relativeFrom="column">
                    <wp:align>center</wp:align>
                  </wp:positionH>
                  <wp:positionV relativeFrom="paragraph">
                    <wp:posOffset>0</wp:posOffset>
                  </wp:positionV>
                  <wp:extent cx="3019425" cy="1933575"/>
                  <wp:effectExtent l="0" t="0" r="9525" b="9525"/>
                  <wp:wrapSquare wrapText="bothSides"/>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20"/>
                          <a:stretch>
                            <a:fillRect/>
                          </a:stretch>
                        </pic:blipFill>
                        <pic:spPr>
                          <a:xfrm>
                            <a:off x="0" y="0"/>
                            <a:ext cx="3019425" cy="19335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tcPr>
          <w:p>
            <w:pPr>
              <w:jc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tcPr>
          <w:p>
            <w:pPr>
              <w:jc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rPr>
              <w:drawing>
                <wp:inline distT="0" distB="0" distL="114300" distR="114300">
                  <wp:extent cx="2756535" cy="1440180"/>
                  <wp:effectExtent l="0" t="0" r="5715" b="762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21"/>
                          <a:stretch>
                            <a:fillRect/>
                          </a:stretch>
                        </pic:blipFill>
                        <pic:spPr>
                          <a:xfrm>
                            <a:off x="0" y="0"/>
                            <a:ext cx="2756535" cy="14401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6397" w:type="dxa"/>
          </w:tcPr>
          <w:p>
            <w:pPr>
              <w:jc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（b）</w:t>
            </w:r>
          </w:p>
        </w:tc>
      </w:tr>
    </w:tbl>
    <w:p>
      <w:pPr>
        <w:spacing w:line="312"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图4.4.9 Ⅰ级防腐笼芯囊锚杆</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1—下锁扣；2—囊袋；3—引浆管出口；4—袋内注浆体；5—笼芯；6—引浆管；7—上锁扣；8—引浆管接头；9—防腐套管；10—防腐涂层或防腐油脂；</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11—注浆管；12—杆体；13—承载构件；14—锚具；15—锚具罩；16—排气管；17—密封套；18—排气管接头；19—排气管进气口；20—螺纹承载体</w:t>
      </w:r>
    </w:p>
    <w:p>
      <w:pPr>
        <w:spacing w:before="312" w:beforeLines="100" w:after="312" w:afterLines="100"/>
        <w:jc w:val="center"/>
        <w:outlineLvl w:val="1"/>
        <w:rPr>
          <w:rFonts w:asciiTheme="minorEastAsia" w:hAnsiTheme="minorEastAsia" w:eastAsiaTheme="minorEastAsia" w:cstheme="minorEastAsia"/>
          <w:b/>
          <w:bCs/>
        </w:rPr>
      </w:pPr>
      <w:bookmarkStart w:id="194" w:name="_Toc15059"/>
      <w:bookmarkStart w:id="195" w:name="_Toc27740"/>
      <w:bookmarkStart w:id="196" w:name="_Toc31492"/>
      <w:bookmarkStart w:id="197" w:name="_Toc3120"/>
      <w:bookmarkStart w:id="198" w:name="_Toc9069"/>
      <w:r>
        <w:rPr>
          <w:rFonts w:hint="eastAsia" w:asciiTheme="minorEastAsia" w:hAnsiTheme="minorEastAsia" w:eastAsiaTheme="minorEastAsia" w:cstheme="minorEastAsia"/>
          <w:b/>
          <w:bCs/>
        </w:rPr>
        <w:t>4.5  基坑支护</w:t>
      </w:r>
      <w:bookmarkEnd w:id="194"/>
      <w:bookmarkEnd w:id="195"/>
      <w:bookmarkEnd w:id="196"/>
      <w:bookmarkEnd w:id="197"/>
      <w:bookmarkEnd w:id="198"/>
    </w:p>
    <w:p>
      <w:pPr>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4.5.1</w:t>
      </w:r>
      <w:r>
        <w:rPr>
          <w:rFonts w:hint="eastAsia" w:asciiTheme="minorEastAsia" w:hAnsiTheme="minorEastAsia" w:eastAsiaTheme="minorEastAsia" w:cstheme="minorEastAsia"/>
        </w:rPr>
        <w:t xml:space="preserve">  笼芯囊锚杆用于基坑支护，根据场地条件和基坑支护总体设计，可采用锚拉排桩、锚拉地下连续墙型式。</w:t>
      </w:r>
    </w:p>
    <w:p>
      <w:pPr>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4.5.2</w:t>
      </w:r>
      <w:r>
        <w:rPr>
          <w:rFonts w:hint="eastAsia" w:asciiTheme="minorEastAsia" w:hAnsiTheme="minorEastAsia" w:eastAsiaTheme="minorEastAsia" w:cstheme="minorEastAsia"/>
        </w:rPr>
        <w:t xml:space="preserve">  采用锚拉桩墙支护的，锚杆持力层为土层的，应采用扩大头笼芯囊预应力锚杆，杆体宜采用纲绞线；岩石埋深较浅的，应穿过土层进入岩石，采用等直径锚杆，将笼芯囊设置在岩石中；等直径锚杆应采用压力型锚杆，扩大头锚杆可采用拉力型锚杆或压力型锚杆。</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2" w:hRule="atLeast"/>
        </w:trPr>
        <w:tc>
          <w:tcPr>
            <w:tcW w:w="6397" w:type="dxa"/>
          </w:tcPr>
          <w:p>
            <w:pP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rPr>
              <w:drawing>
                <wp:anchor distT="0" distB="0" distL="114300" distR="114300" simplePos="0" relativeHeight="260798464" behindDoc="0" locked="0" layoutInCell="1" allowOverlap="1">
                  <wp:simplePos x="0" y="0"/>
                  <wp:positionH relativeFrom="column">
                    <wp:posOffset>688340</wp:posOffset>
                  </wp:positionH>
                  <wp:positionV relativeFrom="paragraph">
                    <wp:posOffset>95250</wp:posOffset>
                  </wp:positionV>
                  <wp:extent cx="2520315" cy="1788795"/>
                  <wp:effectExtent l="0" t="0" r="13335" b="1905"/>
                  <wp:wrapSquare wrapText="bothSides"/>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22"/>
                          <a:stretch>
                            <a:fillRect/>
                          </a:stretch>
                        </pic:blipFill>
                        <pic:spPr>
                          <a:xfrm>
                            <a:off x="0" y="0"/>
                            <a:ext cx="2520315" cy="1788795"/>
                          </a:xfrm>
                          <a:prstGeom prst="rect">
                            <a:avLst/>
                          </a:prstGeom>
                          <a:noFill/>
                          <a:ln>
                            <a:noFill/>
                          </a:ln>
                        </pic:spPr>
                      </pic:pic>
                    </a:graphicData>
                  </a:graphic>
                </wp:anchor>
              </w:drawing>
            </w:r>
          </w:p>
        </w:tc>
      </w:tr>
    </w:tbl>
    <w:p>
      <w:pPr>
        <w:spacing w:line="312" w:lineRule="exact"/>
        <w:ind w:firstLine="810" w:firstLineChars="450"/>
        <w:jc w:val="center"/>
        <w:rPr>
          <w:rFonts w:asciiTheme="minorEastAsia" w:hAnsiTheme="minorEastAsia" w:eastAsiaTheme="minorEastAsia" w:cstheme="minorEastAsia"/>
          <w:color w:val="000000"/>
          <w:sz w:val="18"/>
          <w:szCs w:val="18"/>
        </w:rPr>
      </w:pPr>
      <w:r>
        <w:rPr>
          <w:rFonts w:hint="eastAsia" w:ascii="黑体" w:hAnsi="黑体" w:eastAsia="黑体" w:cs="黑体"/>
          <w:color w:val="000000"/>
          <w:sz w:val="18"/>
          <w:szCs w:val="18"/>
        </w:rPr>
        <w:t>图4.5.2锚拉桩墙支护锚杆（扩大头）结构示意</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1—囊袋；2—笼芯；3—扩大头；4—锚杆杆体；5—杆体定位器；6—过渡管；</w:t>
      </w:r>
    </w:p>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7—锚头；8—支护桩或地下室连续墙</w:t>
      </w:r>
    </w:p>
    <w:p>
      <w:pPr>
        <w:rPr>
          <w:rFonts w:asciiTheme="minorEastAsia" w:hAnsiTheme="minorEastAsia" w:eastAsiaTheme="minorEastAsia" w:cstheme="minorEastAsia"/>
        </w:rPr>
      </w:pPr>
    </w:p>
    <w:p>
      <w:pPr>
        <w:rPr>
          <w:rFonts w:asciiTheme="minorEastAsia" w:hAnsiTheme="minorEastAsia" w:eastAsiaTheme="minorEastAsia" w:cstheme="minorEastAsia"/>
          <w:szCs w:val="21"/>
        </w:rPr>
      </w:pPr>
      <w:r>
        <w:rPr>
          <w:rFonts w:hint="eastAsia" w:ascii="Times New Roman" w:hAnsi="Times New Roman" w:cs="Times New Roman" w:eastAsiaTheme="minorEastAsia"/>
          <w:color w:val="000000"/>
          <w:szCs w:val="21"/>
        </w:rPr>
        <w:t>4.5.3</w:t>
      </w:r>
      <w:r>
        <w:rPr>
          <w:rFonts w:hint="eastAsia" w:asciiTheme="minorEastAsia" w:hAnsiTheme="minorEastAsia" w:eastAsiaTheme="minorEastAsia" w:cstheme="minorEastAsia"/>
          <w:szCs w:val="21"/>
        </w:rPr>
        <w:t xml:space="preserve">  锚杆的倾角不宜小于20°，不应大于45°。</w:t>
      </w:r>
    </w:p>
    <w:p>
      <w:pPr>
        <w:spacing w:line="312"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4.5.4</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color w:val="000000"/>
          <w:szCs w:val="21"/>
        </w:rPr>
        <w:t>锚杆自由段的长度应按穿过潜在破裂面之后不小于锚孔孔口到基坑底距离的要求来确定，可按式（4.5.4）计算（图4.5.4），且不应小于10m；当扩大头端</w:t>
      </w:r>
      <w:r>
        <w:rPr>
          <w:rFonts w:hint="eastAsia" w:asciiTheme="minorEastAsia" w:hAnsiTheme="minorEastAsia" w:eastAsiaTheme="minorEastAsia" w:cstheme="minorEastAsia"/>
          <w:color w:val="000000"/>
          <w:szCs w:val="21"/>
          <w:lang w:eastAsia="zh-CN"/>
        </w:rPr>
        <w:t>前</w:t>
      </w:r>
      <w:r>
        <w:rPr>
          <w:rFonts w:hint="eastAsia" w:asciiTheme="minorEastAsia" w:hAnsiTheme="minorEastAsia" w:eastAsiaTheme="minorEastAsia" w:cstheme="minorEastAsia"/>
          <w:color w:val="000000"/>
          <w:szCs w:val="21"/>
        </w:rPr>
        <w:t>有软土时，锚杆自由段长度还应完全穿过软土层。</w:t>
      </w:r>
    </w:p>
    <w:tbl>
      <w:tblPr>
        <w:tblStyle w:val="17"/>
        <w:tblW w:w="8052"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191"/>
        <w:gridCol w:w="5048"/>
        <w:gridCol w:w="1813"/>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34" w:hRule="exact"/>
          <w:jc w:val="center"/>
        </w:trPr>
        <w:tc>
          <w:tcPr>
            <w:tcW w:w="1191" w:type="dxa"/>
            <w:tcMar>
              <w:left w:w="0" w:type="dxa"/>
              <w:right w:w="0" w:type="dxa"/>
            </w:tcMar>
            <w:vAlign w:val="center"/>
          </w:tcPr>
          <w:p>
            <w:pPr>
              <w:spacing w:line="312" w:lineRule="exact"/>
              <w:rPr>
                <w:rFonts w:asciiTheme="minorEastAsia" w:hAnsiTheme="minorEastAsia" w:eastAsiaTheme="minorEastAsia" w:cstheme="minorEastAsia"/>
                <w:color w:val="000000"/>
                <w:szCs w:val="21"/>
              </w:rPr>
            </w:pPr>
          </w:p>
        </w:tc>
        <w:tc>
          <w:tcPr>
            <w:tcW w:w="5048" w:type="dxa"/>
            <w:tcMar>
              <w:left w:w="0" w:type="dxa"/>
              <w:right w:w="0" w:type="dxa"/>
            </w:tcMar>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position w:val="-48"/>
                <w:szCs w:val="21"/>
              </w:rPr>
              <w:object>
                <v:shape id="_x0000_i1027" o:spt="75" type="#_x0000_t75" style="height:53.85pt;width:157.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tc>
        <w:tc>
          <w:tcPr>
            <w:tcW w:w="1813" w:type="dxa"/>
            <w:tcMar>
              <w:left w:w="0" w:type="dxa"/>
              <w:right w:w="0" w:type="dxa"/>
            </w:tcMar>
            <w:vAlign w:val="center"/>
          </w:tcPr>
          <w:p>
            <w:pPr>
              <w:spacing w:line="240" w:lineRule="exact"/>
              <w:ind w:right="-8" w:rightChars="-4"/>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(4.5.4)</w:t>
            </w:r>
          </w:p>
        </w:tc>
      </w:tr>
    </w:tbl>
    <w:p>
      <w:pPr>
        <w:spacing w:line="80" w:lineRule="exact"/>
        <w:rPr>
          <w:rFonts w:asciiTheme="minorEastAsia" w:hAnsiTheme="minorEastAsia" w:eastAsiaTheme="minorEastAsia" w:cstheme="minorEastAsia"/>
          <w:color w:val="000000"/>
          <w:szCs w:val="21"/>
        </w:rPr>
      </w:pPr>
    </w:p>
    <w:tbl>
      <w:tblPr>
        <w:tblStyle w:val="17"/>
        <w:tblW w:w="0" w:type="auto"/>
        <w:tblInd w:w="-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680"/>
        <w:gridCol w:w="340"/>
        <w:gridCol w:w="539"/>
        <w:gridCol w:w="660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928" w:hRule="exact"/>
        </w:trPr>
        <w:tc>
          <w:tcPr>
            <w:tcW w:w="680" w:type="dxa"/>
            <w:tcMar>
              <w:left w:w="0" w:type="dxa"/>
              <w:right w:w="28"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式中：</w:t>
            </w:r>
          </w:p>
        </w:tc>
        <w:tc>
          <w:tcPr>
            <w:tcW w:w="340" w:type="dxa"/>
            <w:tcMar>
              <w:left w:w="0" w:type="dxa"/>
              <w:right w:w="28" w:type="dxa"/>
            </w:tcMar>
          </w:tcPr>
          <w:p>
            <w:pPr>
              <w:spacing w:line="312" w:lineRule="exact"/>
              <w:jc w:val="right"/>
              <w:rPr>
                <w:rFonts w:ascii="Times New Roman" w:hAnsi="Times New Roman" w:cs="Times New Roman" w:eastAsiaTheme="minorEastAsia"/>
                <w:i/>
                <w:color w:val="000000"/>
                <w:szCs w:val="21"/>
              </w:rPr>
            </w:pPr>
            <w:r>
              <w:rPr>
                <w:rFonts w:ascii="Times New Roman" w:hAnsi="Times New Roman" w:cs="Times New Roman" w:eastAsiaTheme="minorEastAsia"/>
                <w:i/>
                <w:color w:val="000000"/>
                <w:szCs w:val="21"/>
              </w:rPr>
              <w:t>L</w:t>
            </w:r>
            <w:r>
              <w:rPr>
                <w:rFonts w:ascii="Times New Roman" w:hAnsi="Times New Roman" w:cs="Times New Roman" w:eastAsiaTheme="minorEastAsia"/>
                <w:color w:val="000000"/>
                <w:szCs w:val="21"/>
                <w:vertAlign w:val="subscript"/>
              </w:rPr>
              <w:t>f</w:t>
            </w:r>
          </w:p>
          <w:p>
            <w:pPr>
              <w:spacing w:line="312" w:lineRule="exact"/>
              <w:jc w:val="right"/>
              <w:rPr>
                <w:rFonts w:ascii="Times New Roman" w:hAnsi="Times New Roman" w:cs="Times New Roman" w:eastAsiaTheme="minorEastAsia"/>
                <w:i/>
                <w:color w:val="000000"/>
                <w:szCs w:val="21"/>
                <w:vertAlign w:val="subscript"/>
              </w:rPr>
            </w:pPr>
            <w:r>
              <w:rPr>
                <w:rFonts w:ascii="Times New Roman" w:hAnsi="Times New Roman" w:cs="Times New Roman" w:eastAsiaTheme="minorEastAsia"/>
                <w:i/>
                <w:color w:val="000000"/>
                <w:szCs w:val="21"/>
              </w:rPr>
              <w:t>h</w:t>
            </w:r>
            <w:r>
              <w:rPr>
                <w:rFonts w:ascii="Times New Roman" w:hAnsi="Times New Roman" w:cs="Times New Roman" w:eastAsiaTheme="minorEastAsia"/>
                <w:color w:val="000000"/>
                <w:szCs w:val="21"/>
                <w:vertAlign w:val="subscript"/>
              </w:rPr>
              <w:t>1</w:t>
            </w:r>
          </w:p>
          <w:p>
            <w:pPr>
              <w:spacing w:line="312" w:lineRule="exact"/>
              <w:jc w:val="right"/>
              <w:rPr>
                <w:rFonts w:ascii="Times New Roman" w:hAnsi="Times New Roman" w:cs="Times New Roman" w:eastAsiaTheme="minorEastAsia"/>
                <w:i/>
                <w:color w:val="000000"/>
                <w:szCs w:val="21"/>
                <w:vertAlign w:val="subscript"/>
              </w:rPr>
            </w:pPr>
            <w:r>
              <w:rPr>
                <w:rFonts w:ascii="Times New Roman" w:hAnsi="Times New Roman" w:cs="Times New Roman" w:eastAsiaTheme="minorEastAsia"/>
                <w:i/>
                <w:color w:val="000000"/>
                <w:szCs w:val="21"/>
              </w:rPr>
              <w:t>h</w:t>
            </w:r>
            <w:r>
              <w:rPr>
                <w:rFonts w:ascii="Times New Roman" w:hAnsi="Times New Roman" w:cs="Times New Roman" w:eastAsiaTheme="minorEastAsia"/>
                <w:color w:val="000000"/>
                <w:szCs w:val="21"/>
                <w:vertAlign w:val="subscript"/>
              </w:rPr>
              <w:t>2</w:t>
            </w:r>
          </w:p>
          <w:p>
            <w:pPr>
              <w:spacing w:line="312" w:lineRule="exact"/>
              <w:jc w:val="right"/>
              <w:rPr>
                <w:rFonts w:ascii="Times New Roman" w:hAnsi="Times New Roman" w:cs="Times New Roman" w:eastAsiaTheme="minorEastAsia"/>
                <w:i/>
                <w:color w:val="000000"/>
                <w:szCs w:val="21"/>
                <w:vertAlign w:val="subscript"/>
              </w:rPr>
            </w:pPr>
          </w:p>
          <w:p>
            <w:pPr>
              <w:spacing w:line="312" w:lineRule="exact"/>
              <w:jc w:val="right"/>
              <w:rPr>
                <w:rFonts w:asciiTheme="minorEastAsia" w:hAnsiTheme="minorEastAsia" w:eastAsiaTheme="minorEastAsia" w:cstheme="minorEastAsia"/>
                <w:i/>
                <w:color w:val="000000"/>
                <w:szCs w:val="21"/>
              </w:rPr>
            </w:pPr>
            <w:r>
              <w:rPr>
                <w:rFonts w:ascii="Times New Roman" w:hAnsi="Times New Roman" w:cs="Times New Roman" w:eastAsiaTheme="minorEastAsia"/>
                <w:i/>
                <w:color w:val="000000"/>
                <w:szCs w:val="21"/>
              </w:rPr>
              <w:t>φ</w:t>
            </w:r>
          </w:p>
          <w:p>
            <w:pPr>
              <w:wordWrap w:val="0"/>
              <w:spacing w:line="312" w:lineRule="exact"/>
              <w:jc w:val="right"/>
              <w:rPr>
                <w:rFonts w:asciiTheme="minorEastAsia" w:hAnsiTheme="minorEastAsia" w:eastAsiaTheme="minorEastAsia" w:cstheme="minorEastAsia"/>
                <w:i/>
                <w:color w:val="000000"/>
                <w:szCs w:val="21"/>
              </w:rPr>
            </w:pPr>
          </w:p>
          <w:p>
            <w:pPr>
              <w:wordWrap w:val="0"/>
              <w:spacing w:line="312" w:lineRule="exact"/>
              <w:jc w:val="right"/>
              <w:rPr>
                <w:rFonts w:asciiTheme="minorEastAsia" w:hAnsiTheme="minorEastAsia" w:eastAsiaTheme="minorEastAsia" w:cstheme="minorEastAsia"/>
                <w:i/>
                <w:color w:val="000000"/>
                <w:szCs w:val="21"/>
              </w:rPr>
            </w:pPr>
            <w:r>
              <w:rPr>
                <w:rFonts w:hint="eastAsia" w:asciiTheme="minorEastAsia" w:hAnsiTheme="minorEastAsia" w:eastAsiaTheme="minorEastAsia" w:cstheme="minorEastAsia"/>
                <w:i/>
                <w:color w:val="000000"/>
                <w:szCs w:val="21"/>
              </w:rPr>
              <w:t>α</w:t>
            </w:r>
          </w:p>
        </w:tc>
        <w:tc>
          <w:tcPr>
            <w:tcW w:w="539" w:type="dxa"/>
            <w:tcMar>
              <w:left w:w="0" w:type="dxa"/>
              <w:right w:w="0" w:type="dxa"/>
            </w:tcMar>
          </w:tcPr>
          <w:p>
            <w:pPr>
              <w:spacing w:line="312" w:lineRule="exact"/>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w:t>
            </w:r>
          </w:p>
          <w:p>
            <w:pPr>
              <w:spacing w:line="312" w:lineRule="exact"/>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w:t>
            </w:r>
          </w:p>
          <w:p>
            <w:pPr>
              <w:spacing w:line="312" w:lineRule="exact"/>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w:t>
            </w:r>
          </w:p>
          <w:p>
            <w:pPr>
              <w:spacing w:line="312" w:lineRule="exact"/>
              <w:rPr>
                <w:rFonts w:ascii="Times New Roman" w:hAnsi="Times New Roman" w:cs="Times New Roman" w:eastAsiaTheme="minorEastAsia"/>
                <w:color w:val="000000"/>
                <w:szCs w:val="21"/>
              </w:rPr>
            </w:pPr>
          </w:p>
          <w:p>
            <w:pPr>
              <w:spacing w:line="312" w:lineRule="exact"/>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w:t>
            </w:r>
          </w:p>
          <w:p>
            <w:pPr>
              <w:spacing w:line="312" w:lineRule="exact"/>
              <w:rPr>
                <w:rFonts w:ascii="Times New Roman" w:hAnsi="Times New Roman" w:cs="Times New Roman" w:eastAsiaTheme="minorEastAsia"/>
                <w:color w:val="000000"/>
                <w:szCs w:val="21"/>
              </w:rPr>
            </w:pPr>
          </w:p>
          <w:p>
            <w:pPr>
              <w:spacing w:line="312" w:lineRule="exact"/>
              <w:rPr>
                <w:rFonts w:ascii="Times New Roman" w:hAnsi="Times New Roman" w:cs="Times New Roman" w:eastAsiaTheme="minorEastAsia"/>
                <w:color w:val="000000"/>
                <w:szCs w:val="21"/>
              </w:rPr>
            </w:pPr>
            <w:r>
              <w:rPr>
                <w:rFonts w:ascii="Times New Roman" w:hAnsi="Times New Roman" w:cs="Times New Roman" w:eastAsiaTheme="minorEastAsia"/>
                <w:color w:val="000000"/>
                <w:szCs w:val="21"/>
              </w:rPr>
              <w:t>——</w:t>
            </w:r>
          </w:p>
        </w:tc>
        <w:tc>
          <w:tcPr>
            <w:tcW w:w="6606" w:type="dxa"/>
            <w:tcMar>
              <w:left w:w="0" w:type="dxa"/>
              <w:right w:w="0"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锚杆自由段长度；</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锚杆锚头中点至基坑底面的距离（m）；</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净土压力零点（主动土压力等于被动土压力）到</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基坑底面的深度（m）；</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土体的内摩擦角（°）；对非均质土，</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可取净土压力零点至地面各土层的厚度加权平均值。</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锚杆倾角（°）。</w:t>
            </w:r>
          </w:p>
        </w:tc>
      </w:tr>
    </w:tbl>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drawing>
          <wp:inline distT="0" distB="0" distL="114300" distR="114300">
            <wp:extent cx="3081655" cy="2242820"/>
            <wp:effectExtent l="0" t="0" r="4445" b="5080"/>
            <wp:docPr id="57" name="图片 57"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21"/>
                    <pic:cNvPicPr>
                      <a:picLocks noChangeAspect="1"/>
                    </pic:cNvPicPr>
                  </pic:nvPicPr>
                  <pic:blipFill>
                    <a:blip r:embed="rId25"/>
                    <a:stretch>
                      <a:fillRect/>
                    </a:stretch>
                  </pic:blipFill>
                  <pic:spPr>
                    <a:xfrm>
                      <a:off x="0" y="0"/>
                      <a:ext cx="3081655" cy="2242820"/>
                    </a:xfrm>
                    <a:prstGeom prst="rect">
                      <a:avLst/>
                    </a:prstGeom>
                  </pic:spPr>
                </pic:pic>
              </a:graphicData>
            </a:graphic>
          </wp:inline>
        </w:drawing>
      </w:r>
    </w:p>
    <w:p>
      <w:pPr>
        <w:spacing w:line="312"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图4.5.4  锚杆自由段长度计算简图</w:t>
      </w:r>
    </w:p>
    <w:p>
      <w:pPr>
        <w:rPr>
          <w:rFonts w:asciiTheme="minorEastAsia" w:hAnsiTheme="minorEastAsia" w:eastAsiaTheme="minorEastAsia" w:cstheme="minorEastAsia"/>
          <w:szCs w:val="21"/>
        </w:rPr>
      </w:pPr>
    </w:p>
    <w:p>
      <w:pPr>
        <w:spacing w:line="312"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4.5.5</w:t>
      </w:r>
      <w:r>
        <w:rPr>
          <w:rFonts w:hint="eastAsia" w:asciiTheme="minorEastAsia" w:hAnsiTheme="minorEastAsia" w:eastAsiaTheme="minorEastAsia" w:cstheme="minorEastAsia"/>
          <w:bCs/>
          <w:color w:val="000000"/>
          <w:szCs w:val="21"/>
        </w:rPr>
        <w:t xml:space="preserve">  扩大头长度宜为2～6m，应按本规程第5章的规定计算确定；锚固段总长度（含扩大头长度）宜为6～10m，普通锚固段长度宜为1～4m。扩大头最小埋深不应小于7m。</w:t>
      </w:r>
    </w:p>
    <w:p>
      <w:pPr>
        <w:spacing w:line="312"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4.5.6</w:t>
      </w:r>
      <w:r>
        <w:rPr>
          <w:rFonts w:hint="eastAsia" w:asciiTheme="minorEastAsia" w:hAnsiTheme="minorEastAsia" w:eastAsiaTheme="minorEastAsia" w:cstheme="minorEastAsia"/>
          <w:bCs/>
          <w:color w:val="000000"/>
          <w:szCs w:val="21"/>
        </w:rPr>
        <w:t xml:space="preserve">  锚杆间距应符合下列规定：</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水平间距不应小于1.8m，竖向间距不应小于3m；</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扩大头的水平净距不应小于扩大头直径的1倍，且不应小于1m，竖向净距不应小于扩大头直径的2倍；</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当间距较小时，应加大锚杆长度、加大扩大头埋深，并将扩大头合理错开布置。</w:t>
      </w:r>
    </w:p>
    <w:p>
      <w:pPr>
        <w:spacing w:line="312" w:lineRule="exact"/>
        <w:jc w:val="lef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4.5.7</w:t>
      </w:r>
      <w:r>
        <w:rPr>
          <w:rFonts w:hint="eastAsia" w:asciiTheme="minorEastAsia" w:hAnsiTheme="minorEastAsia" w:eastAsiaTheme="minorEastAsia" w:cstheme="minorEastAsia"/>
          <w:bCs/>
          <w:color w:val="000000"/>
          <w:szCs w:val="21"/>
        </w:rPr>
        <w:t xml:space="preserve">  锚杆的长度、埋深和间距应满足锚固体稳定性要求。</w:t>
      </w:r>
    </w:p>
    <w:p>
      <w:pPr>
        <w:spacing w:line="312" w:lineRule="exact"/>
        <w:jc w:val="lef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4.5.8</w:t>
      </w:r>
      <w:r>
        <w:rPr>
          <w:rFonts w:hint="eastAsia" w:asciiTheme="minorEastAsia" w:hAnsiTheme="minorEastAsia" w:eastAsiaTheme="minorEastAsia" w:cstheme="minorEastAsia"/>
          <w:bCs/>
          <w:color w:val="000000"/>
          <w:szCs w:val="21"/>
        </w:rPr>
        <w:t xml:space="preserve">  对于允许位移较小、位移控制较严格的支护工程或其关键部位，或已建基坑及边坡支护工程出现位移过大或地面开裂等情况须进行加固时，应按位移控制的要求设计位移控制锚杆。</w:t>
      </w:r>
    </w:p>
    <w:p>
      <w:pPr>
        <w:spacing w:line="312"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4.5.9</w:t>
      </w:r>
      <w:r>
        <w:rPr>
          <w:rFonts w:hint="eastAsia" w:asciiTheme="minorEastAsia" w:hAnsiTheme="minorEastAsia" w:eastAsiaTheme="minorEastAsia" w:cstheme="minorEastAsia"/>
          <w:bCs/>
          <w:color w:val="000000"/>
          <w:szCs w:val="21"/>
        </w:rPr>
        <w:t xml:space="preserve">   位移控制锚杆的结构布置应符合下列规定：</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扩大头应设置在基坑开挖影响范围以外的稳定地层之中；</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扩大头应设置于较密实的砂土、粉土或强度较高、压缩性较低的</w:t>
      </w:r>
      <w:r>
        <w:rPr>
          <w:rFonts w:hint="eastAsia" w:asciiTheme="minorEastAsia" w:hAnsiTheme="minorEastAsia" w:eastAsiaTheme="minorEastAsia" w:cstheme="minorEastAsia"/>
          <w:bCs/>
          <w:color w:val="000000"/>
          <w:szCs w:val="21"/>
          <w:lang w:eastAsia="zh-CN"/>
        </w:rPr>
        <w:t>黏</w:t>
      </w:r>
      <w:r>
        <w:rPr>
          <w:rFonts w:hint="eastAsia" w:asciiTheme="minorEastAsia" w:hAnsiTheme="minorEastAsia" w:eastAsiaTheme="minorEastAsia" w:cstheme="minorEastAsia"/>
          <w:bCs/>
          <w:color w:val="000000"/>
          <w:szCs w:val="21"/>
        </w:rPr>
        <w:t>性土中；</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Cs/>
          <w:color w:val="000000"/>
          <w:szCs w:val="21"/>
        </w:rPr>
        <w:t xml:space="preserve"> 锚头至扩大头应全长设置为自由段。</w:t>
      </w:r>
    </w:p>
    <w:p>
      <w:pPr>
        <w:spacing w:line="312" w:lineRule="exact"/>
        <w:jc w:val="lef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4.5.10</w:t>
      </w:r>
      <w:r>
        <w:rPr>
          <w:rFonts w:hint="eastAsia" w:asciiTheme="minorEastAsia" w:hAnsiTheme="minorEastAsia" w:eastAsiaTheme="minorEastAsia" w:cstheme="minorEastAsia"/>
          <w:bCs/>
          <w:color w:val="000000"/>
          <w:szCs w:val="21"/>
        </w:rPr>
        <w:t xml:space="preserve">  位移控制锚杆扩大头的设置除应符合本规程第4.5.5～4.5.9条的规定以外，尚应符合下列规定：</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扩大头端</w:t>
      </w:r>
      <w:r>
        <w:rPr>
          <w:rFonts w:hint="eastAsia" w:asciiTheme="minorEastAsia" w:hAnsiTheme="minorEastAsia" w:eastAsiaTheme="minorEastAsia" w:cstheme="minorEastAsia"/>
          <w:bCs/>
          <w:color w:val="000000"/>
          <w:szCs w:val="21"/>
          <w:lang w:eastAsia="zh-CN"/>
        </w:rPr>
        <w:t>前</w:t>
      </w:r>
      <w:r>
        <w:rPr>
          <w:rFonts w:hint="eastAsia" w:asciiTheme="minorEastAsia" w:hAnsiTheme="minorEastAsia" w:eastAsiaTheme="minorEastAsia" w:cstheme="minorEastAsia"/>
          <w:bCs/>
          <w:color w:val="000000"/>
          <w:szCs w:val="21"/>
        </w:rPr>
        <w:t>有软土层时，前端面到软土的距离不应小于扩大头直径的7倍；</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扩大头前端面到潜在滑裂面的距离不应小于扩大头直径的12倍，扩大头的埋深不应小于扩大头直径的15倍；</w:t>
      </w:r>
    </w:p>
    <w:p>
      <w:pPr>
        <w:spacing w:line="312"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基坑坡体土质条件较差时，可将扩大头设置在基坑底高程之下。</w:t>
      </w:r>
    </w:p>
    <w:p>
      <w:pPr>
        <w:spacing w:line="312"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4.5.11</w:t>
      </w:r>
      <w:r>
        <w:rPr>
          <w:rFonts w:hint="eastAsia" w:asciiTheme="minorEastAsia" w:hAnsiTheme="minorEastAsia" w:eastAsiaTheme="minorEastAsia" w:cstheme="minorEastAsia"/>
          <w:bCs/>
          <w:color w:val="000000"/>
          <w:szCs w:val="21"/>
        </w:rPr>
        <w:t xml:space="preserve">  位移控制锚杆应按I级安全等级设计，且在计算土压力时应根据控制位移的要求和土层力学条件，按位移与土压力的对应关系选取土压力值，必要时可取静止土压力值。</w:t>
      </w:r>
    </w:p>
    <w:p>
      <w:pPr>
        <w:spacing w:line="312"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4.5.12</w:t>
      </w:r>
      <w:r>
        <w:rPr>
          <w:rFonts w:hint="eastAsia" w:asciiTheme="minorEastAsia" w:hAnsiTheme="minorEastAsia" w:eastAsiaTheme="minorEastAsia" w:cstheme="minorEastAsia"/>
          <w:bCs/>
          <w:color w:val="000000"/>
          <w:szCs w:val="21"/>
        </w:rPr>
        <w:t xml:space="preserve">  张拉锁定时，位移控制锚杆最大张拉荷载应为抗拔力特征值的1.2倍。</w:t>
      </w:r>
    </w:p>
    <w:p>
      <w:pPr>
        <w:spacing w:line="312" w:lineRule="exact"/>
        <w:rPr>
          <w:rFonts w:asciiTheme="minorEastAsia" w:hAnsiTheme="minorEastAsia" w:eastAsiaTheme="minorEastAsia" w:cstheme="minorEastAsia"/>
        </w:rPr>
      </w:pPr>
      <w:r>
        <w:rPr>
          <w:rFonts w:hint="eastAsia" w:ascii="Times New Roman" w:hAnsi="Times New Roman" w:cs="Times New Roman" w:eastAsiaTheme="minorEastAsia"/>
          <w:color w:val="000000"/>
          <w:szCs w:val="21"/>
        </w:rPr>
        <w:t>4.5.13</w:t>
      </w:r>
      <w:r>
        <w:rPr>
          <w:rFonts w:hint="eastAsia" w:asciiTheme="minorEastAsia" w:hAnsiTheme="minorEastAsia" w:eastAsiaTheme="minorEastAsia" w:cstheme="minorEastAsia"/>
          <w:bCs/>
          <w:color w:val="000000"/>
          <w:szCs w:val="21"/>
        </w:rPr>
        <w:t xml:space="preserve">  基坑支护锚杆除抗拔力应满足支护体系结构计算的要求外，尚应满足锚固体稳定性要求。锚固体整体稳定性验算可按本规程第5章的规定。</w:t>
      </w:r>
      <w:r>
        <w:rPr>
          <w:rFonts w:hint="eastAsia" w:asciiTheme="minorEastAsia" w:hAnsiTheme="minorEastAsia" w:eastAsiaTheme="minorEastAsia" w:cstheme="minorEastAsia"/>
        </w:rPr>
        <w:br w:type="page"/>
      </w:r>
    </w:p>
    <w:p>
      <w:pPr>
        <w:keepNext/>
        <w:keepLines/>
        <w:spacing w:before="312" w:beforeLines="100" w:after="312" w:afterLines="100"/>
        <w:rPr>
          <w:rFonts w:asciiTheme="minorEastAsia" w:hAnsiTheme="minorEastAsia" w:eastAsiaTheme="minorEastAsia" w:cstheme="minorEastAsia"/>
        </w:rPr>
      </w:pPr>
      <w:bookmarkStart w:id="199" w:name="_Toc32118"/>
    </w:p>
    <w:p>
      <w:pPr>
        <w:pStyle w:val="2"/>
        <w:spacing w:before="312" w:beforeLines="100" w:after="312" w:afterLines="100"/>
        <w:rPr>
          <w:rFonts w:asciiTheme="minorEastAsia" w:hAnsiTheme="minorEastAsia" w:eastAsiaTheme="minorEastAsia" w:cstheme="minorEastAsia"/>
        </w:rPr>
      </w:pPr>
      <w:bookmarkStart w:id="200" w:name="_Toc25147"/>
      <w:bookmarkStart w:id="201" w:name="_Toc30430"/>
      <w:bookmarkStart w:id="202" w:name="_Toc11392"/>
      <w:bookmarkStart w:id="203" w:name="_Toc13652"/>
      <w:r>
        <w:rPr>
          <w:rFonts w:hint="eastAsia" w:asciiTheme="minorEastAsia" w:hAnsiTheme="minorEastAsia" w:eastAsiaTheme="minorEastAsia" w:cstheme="minorEastAsia"/>
        </w:rPr>
        <w:t>5  结构验算</w:t>
      </w:r>
      <w:bookmarkEnd w:id="199"/>
      <w:bookmarkEnd w:id="200"/>
      <w:bookmarkEnd w:id="201"/>
      <w:bookmarkEnd w:id="202"/>
      <w:bookmarkEnd w:id="203"/>
    </w:p>
    <w:p>
      <w:pPr>
        <w:pStyle w:val="3"/>
        <w:spacing w:before="312" w:beforeLines="100" w:after="156" w:afterLines="50"/>
        <w:rPr>
          <w:rFonts w:asciiTheme="minorEastAsia" w:hAnsiTheme="minorEastAsia" w:eastAsiaTheme="minorEastAsia" w:cstheme="minorEastAsia"/>
        </w:rPr>
      </w:pPr>
      <w:bookmarkStart w:id="204" w:name="_Toc21040"/>
      <w:bookmarkStart w:id="205" w:name="_Toc4302"/>
      <w:bookmarkStart w:id="206" w:name="_Toc21290"/>
      <w:bookmarkStart w:id="207" w:name="_Toc21018"/>
      <w:bookmarkStart w:id="208" w:name="_Toc30055"/>
      <w:bookmarkStart w:id="209" w:name="_Toc9814"/>
      <w:bookmarkStart w:id="210" w:name="_Toc4686"/>
      <w:r>
        <w:rPr>
          <w:rFonts w:hint="eastAsia" w:asciiTheme="minorEastAsia" w:hAnsiTheme="minorEastAsia" w:eastAsiaTheme="minorEastAsia" w:cstheme="minorEastAsia"/>
        </w:rPr>
        <w:t>5.1  一般规定</w:t>
      </w:r>
      <w:bookmarkEnd w:id="204"/>
      <w:bookmarkEnd w:id="205"/>
      <w:bookmarkEnd w:id="206"/>
      <w:bookmarkEnd w:id="207"/>
      <w:bookmarkEnd w:id="208"/>
      <w:bookmarkEnd w:id="209"/>
      <w:bookmarkEnd w:id="210"/>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5.1.1</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pacing w:val="2"/>
          <w:szCs w:val="21"/>
        </w:rPr>
        <w:t>锚杆的抗拔安全系数、锚杆杆体与注浆体之间的粘结安全系数以及锚杆结构的重要性系数</w:t>
      </w:r>
      <w:r>
        <w:rPr>
          <w:rFonts w:hint="eastAsia" w:asciiTheme="minorEastAsia" w:hAnsiTheme="minorEastAsia" w:eastAsiaTheme="minorEastAsia" w:cstheme="minorEastAsia"/>
          <w:bCs/>
          <w:color w:val="000000"/>
          <w:szCs w:val="21"/>
        </w:rPr>
        <w:t>，应根据锚杆破坏的危害程度和锚杆的使用年限，按表5.1.1</w:t>
      </w:r>
      <w:r>
        <w:rPr>
          <w:rFonts w:hint="eastAsia" w:asciiTheme="minorEastAsia" w:hAnsiTheme="minorEastAsia" w:eastAsiaTheme="minorEastAsia" w:cstheme="minorEastAsia"/>
          <w:bCs/>
          <w:color w:val="000000"/>
          <w:spacing w:val="2"/>
          <w:szCs w:val="21"/>
        </w:rPr>
        <w:t>确定</w:t>
      </w:r>
      <w:r>
        <w:rPr>
          <w:rFonts w:hint="eastAsia" w:asciiTheme="minorEastAsia" w:hAnsiTheme="minorEastAsia" w:eastAsiaTheme="minorEastAsia" w:cstheme="minorEastAsia"/>
          <w:bCs/>
          <w:color w:val="000000"/>
          <w:szCs w:val="21"/>
        </w:rPr>
        <w:t>。</w:t>
      </w:r>
    </w:p>
    <w:p>
      <w:pPr>
        <w:spacing w:line="360" w:lineRule="auto"/>
        <w:jc w:val="center"/>
        <w:rPr>
          <w:rFonts w:ascii="黑体" w:hAnsi="黑体" w:eastAsia="黑体" w:cs="黑体"/>
          <w:color w:val="000000"/>
          <w:sz w:val="18"/>
          <w:szCs w:val="18"/>
        </w:rPr>
      </w:pPr>
      <w:r>
        <w:rPr>
          <w:rFonts w:hint="eastAsia" w:ascii="黑体" w:hAnsi="黑体" w:eastAsia="黑体" w:cs="黑体"/>
          <w:bCs/>
          <w:color w:val="000000"/>
          <w:sz w:val="18"/>
          <w:szCs w:val="18"/>
        </w:rPr>
        <w:t>表5. 1. 1  锚杆安全系数</w:t>
      </w:r>
    </w:p>
    <w:tbl>
      <w:tblPr>
        <w:tblStyle w:val="17"/>
        <w:tblpPr w:leftFromText="180" w:rightFromText="180" w:vertAnchor="text" w:horzAnchor="page" w:tblpX="932" w:tblpY="109"/>
        <w:tblOverlap w:val="never"/>
        <w:tblW w:w="5982" w:type="dxa"/>
        <w:tblInd w:w="0"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429"/>
        <w:gridCol w:w="1570"/>
        <w:gridCol w:w="581"/>
        <w:gridCol w:w="567"/>
        <w:gridCol w:w="709"/>
        <w:gridCol w:w="708"/>
        <w:gridCol w:w="709"/>
        <w:gridCol w:w="709"/>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32" w:hRule="exact"/>
        </w:trPr>
        <w:tc>
          <w:tcPr>
            <w:tcW w:w="429" w:type="dxa"/>
            <w:vMerge w:val="restart"/>
            <w:tcMar>
              <w:left w:w="28" w:type="dxa"/>
              <w:right w:w="28" w:type="dxa"/>
            </w:tcMar>
            <w:vAlign w:val="center"/>
          </w:tcPr>
          <w:p>
            <w:pPr>
              <w:spacing w:before="156" w:beforeLines="50" w:after="156" w:afterLines="50"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等级</w:t>
            </w:r>
          </w:p>
        </w:tc>
        <w:tc>
          <w:tcPr>
            <w:tcW w:w="1570" w:type="dxa"/>
            <w:vMerge w:val="restart"/>
            <w:tcMar>
              <w:left w:w="28" w:type="dxa"/>
              <w:right w:w="28" w:type="dxa"/>
            </w:tcMar>
            <w:vAlign w:val="center"/>
          </w:tcPr>
          <w:p>
            <w:pPr>
              <w:spacing w:before="156" w:beforeLines="50" w:after="156" w:afterLines="50"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锚杆破坏的</w:t>
            </w:r>
          </w:p>
          <w:p>
            <w:pPr>
              <w:spacing w:before="156" w:beforeLines="50" w:after="156" w:afterLines="50" w:line="24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危害程度</w:t>
            </w:r>
          </w:p>
        </w:tc>
        <w:tc>
          <w:tcPr>
            <w:tcW w:w="1148" w:type="dxa"/>
            <w:gridSpan w:val="2"/>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锚杆抗拔</w:t>
            </w:r>
          </w:p>
          <w:p>
            <w:pPr>
              <w:spacing w:line="24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安全系数</w:t>
            </w:r>
            <w:r>
              <w:rPr>
                <w:rFonts w:hint="eastAsia" w:asciiTheme="minorEastAsia" w:hAnsiTheme="minorEastAsia" w:eastAsiaTheme="minorEastAsia" w:cstheme="minorEastAsia"/>
                <w:i/>
                <w:color w:val="000000"/>
                <w:sz w:val="18"/>
                <w:szCs w:val="18"/>
              </w:rPr>
              <w:t>K</w:t>
            </w:r>
          </w:p>
        </w:tc>
        <w:tc>
          <w:tcPr>
            <w:tcW w:w="1417" w:type="dxa"/>
            <w:gridSpan w:val="2"/>
            <w:tcMar>
              <w:left w:w="28" w:type="dxa"/>
              <w:right w:w="28" w:type="dxa"/>
            </w:tcMar>
            <w:vAlign w:val="center"/>
          </w:tcPr>
          <w:p>
            <w:pPr>
              <w:spacing w:line="24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杆体与注浆体粘结安全系数</w:t>
            </w:r>
            <w:r>
              <w:rPr>
                <w:rFonts w:hint="eastAsia" w:asciiTheme="minorEastAsia" w:hAnsiTheme="minorEastAsia" w:eastAsiaTheme="minorEastAsia" w:cstheme="minorEastAsia"/>
                <w:i/>
                <w:color w:val="000000"/>
                <w:sz w:val="18"/>
                <w:szCs w:val="18"/>
              </w:rPr>
              <w:t>K</w:t>
            </w:r>
            <w:r>
              <w:rPr>
                <w:rFonts w:hint="eastAsia" w:asciiTheme="minorEastAsia" w:hAnsiTheme="minorEastAsia" w:eastAsiaTheme="minorEastAsia" w:cstheme="minorEastAsia"/>
                <w:color w:val="000000"/>
                <w:sz w:val="18"/>
                <w:szCs w:val="18"/>
                <w:vertAlign w:val="subscript"/>
              </w:rPr>
              <w:t>s</w:t>
            </w:r>
          </w:p>
        </w:tc>
        <w:tc>
          <w:tcPr>
            <w:tcW w:w="1418" w:type="dxa"/>
            <w:gridSpan w:val="2"/>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结构重要性</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系数</w:t>
            </w:r>
            <w:r>
              <w:rPr>
                <w:rFonts w:ascii="Times New Roman" w:hAnsi="Times New Roman" w:cs="Times New Roman" w:eastAsiaTheme="minorEastAsia"/>
                <w:i/>
                <w:iCs/>
                <w:color w:val="000000"/>
                <w:sz w:val="22"/>
                <w:szCs w:val="22"/>
              </w:rPr>
              <w:t>γ</w:t>
            </w:r>
            <w:r>
              <w:rPr>
                <w:rFonts w:ascii="Times New Roman" w:hAnsi="Times New Roman" w:cs="Times New Roman" w:eastAsiaTheme="minorEastAsia"/>
                <w:i/>
                <w:iCs/>
                <w:color w:val="000000"/>
                <w:sz w:val="18"/>
                <w:szCs w:val="18"/>
                <w:vertAlign w:val="subscript"/>
              </w:rPr>
              <w:t>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08" w:hRule="exact"/>
        </w:trPr>
        <w:tc>
          <w:tcPr>
            <w:tcW w:w="429" w:type="dxa"/>
            <w:vMerge w:val="continue"/>
            <w:tcMar>
              <w:left w:w="28" w:type="dxa"/>
              <w:right w:w="28" w:type="dxa"/>
            </w:tcMar>
            <w:vAlign w:val="center"/>
          </w:tcPr>
          <w:p>
            <w:pPr>
              <w:spacing w:before="156" w:beforeLines="50" w:after="156" w:afterLines="50" w:line="240" w:lineRule="exact"/>
              <w:jc w:val="center"/>
              <w:rPr>
                <w:rFonts w:asciiTheme="minorEastAsia" w:hAnsiTheme="minorEastAsia" w:eastAsiaTheme="minorEastAsia" w:cstheme="minorEastAsia"/>
                <w:color w:val="000000"/>
                <w:szCs w:val="21"/>
              </w:rPr>
            </w:pPr>
          </w:p>
        </w:tc>
        <w:tc>
          <w:tcPr>
            <w:tcW w:w="1570" w:type="dxa"/>
            <w:vMerge w:val="continue"/>
            <w:tcMar>
              <w:left w:w="28" w:type="dxa"/>
              <w:right w:w="28" w:type="dxa"/>
            </w:tcMar>
            <w:vAlign w:val="center"/>
          </w:tcPr>
          <w:p>
            <w:pPr>
              <w:spacing w:line="280" w:lineRule="exact"/>
              <w:jc w:val="center"/>
              <w:rPr>
                <w:rFonts w:asciiTheme="minorEastAsia" w:hAnsiTheme="minorEastAsia" w:eastAsiaTheme="minorEastAsia" w:cstheme="minorEastAsia"/>
                <w:color w:val="000000"/>
                <w:szCs w:val="21"/>
              </w:rPr>
            </w:pPr>
          </w:p>
        </w:tc>
        <w:tc>
          <w:tcPr>
            <w:tcW w:w="581" w:type="dxa"/>
            <w:tcMar>
              <w:left w:w="28" w:type="dxa"/>
              <w:right w:w="28" w:type="dxa"/>
            </w:tcMar>
            <w:vAlign w:val="center"/>
          </w:tcPr>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临时</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c>
          <w:tcPr>
            <w:tcW w:w="567" w:type="dxa"/>
            <w:tcMar>
              <w:left w:w="28" w:type="dxa"/>
              <w:right w:w="28" w:type="dxa"/>
            </w:tcMar>
            <w:vAlign w:val="center"/>
          </w:tcPr>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永久</w:t>
            </w:r>
          </w:p>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c>
          <w:tcPr>
            <w:tcW w:w="709" w:type="dxa"/>
            <w:tcMar>
              <w:left w:w="28" w:type="dxa"/>
              <w:right w:w="28" w:type="dxa"/>
            </w:tcMar>
            <w:vAlign w:val="center"/>
          </w:tcPr>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临时</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c>
          <w:tcPr>
            <w:tcW w:w="708" w:type="dxa"/>
            <w:tcMar>
              <w:left w:w="28" w:type="dxa"/>
              <w:right w:w="28" w:type="dxa"/>
            </w:tcMar>
            <w:vAlign w:val="center"/>
          </w:tcPr>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永久</w:t>
            </w:r>
          </w:p>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c>
          <w:tcPr>
            <w:tcW w:w="709" w:type="dxa"/>
            <w:tcMar>
              <w:left w:w="28" w:type="dxa"/>
              <w:right w:w="28" w:type="dxa"/>
            </w:tcMar>
            <w:vAlign w:val="center"/>
          </w:tcPr>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临时</w:t>
            </w:r>
          </w:p>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c>
          <w:tcPr>
            <w:tcW w:w="709" w:type="dxa"/>
            <w:tcMar>
              <w:left w:w="28" w:type="dxa"/>
              <w:right w:w="28" w:type="dxa"/>
            </w:tcMar>
            <w:vAlign w:val="center"/>
          </w:tcPr>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永久</w:t>
            </w:r>
          </w:p>
          <w:p>
            <w:pPr>
              <w:widowControl/>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429" w:type="dxa"/>
            <w:tcMar>
              <w:left w:w="28" w:type="dxa"/>
              <w:right w:w="28" w:type="dxa"/>
            </w:tcMar>
            <w:vAlign w:val="center"/>
          </w:tcPr>
          <w:p>
            <w:pPr>
              <w:spacing w:before="156" w:beforeLines="50" w:after="156" w:afterLines="50" w:line="24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Ⅰ</w:t>
            </w:r>
          </w:p>
        </w:tc>
        <w:tc>
          <w:tcPr>
            <w:tcW w:w="1570" w:type="dxa"/>
            <w:tcMar>
              <w:left w:w="28" w:type="dxa"/>
              <w:right w:w="28" w:type="dxa"/>
            </w:tcMar>
            <w:vAlign w:val="center"/>
          </w:tcPr>
          <w:p>
            <w:pPr>
              <w:spacing w:line="28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 w:val="18"/>
                <w:szCs w:val="18"/>
              </w:rPr>
              <w:t>危害大，且会造成公共安全问题</w:t>
            </w:r>
          </w:p>
        </w:tc>
        <w:tc>
          <w:tcPr>
            <w:tcW w:w="581" w:type="dxa"/>
            <w:tcMar>
              <w:left w:w="28" w:type="dxa"/>
              <w:right w:w="28" w:type="dxa"/>
            </w:tcMar>
            <w:vAlign w:val="center"/>
          </w:tcPr>
          <w:p>
            <w:pPr>
              <w:widowControl/>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w:t>
            </w:r>
          </w:p>
        </w:tc>
        <w:tc>
          <w:tcPr>
            <w:tcW w:w="567"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2.2</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1.8</w:t>
            </w:r>
          </w:p>
        </w:tc>
        <w:tc>
          <w:tcPr>
            <w:tcW w:w="708"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1.1</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1.1</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17" w:hRule="atLeast"/>
        </w:trPr>
        <w:tc>
          <w:tcPr>
            <w:tcW w:w="429" w:type="dxa"/>
            <w:tcMar>
              <w:left w:w="28" w:type="dxa"/>
              <w:right w:w="28" w:type="dxa"/>
            </w:tcMar>
            <w:vAlign w:val="center"/>
          </w:tcPr>
          <w:p>
            <w:pPr>
              <w:spacing w:line="28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Ⅱ</w:t>
            </w:r>
          </w:p>
        </w:tc>
        <w:tc>
          <w:tcPr>
            <w:tcW w:w="1570" w:type="dxa"/>
            <w:tcMar>
              <w:left w:w="28" w:type="dxa"/>
              <w:right w:w="28" w:type="dxa"/>
            </w:tcMar>
            <w:vAlign w:val="center"/>
          </w:tcPr>
          <w:p>
            <w:pPr>
              <w:spacing w:line="28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危害较大，但不致造成公共安全问题</w:t>
            </w:r>
          </w:p>
        </w:tc>
        <w:tc>
          <w:tcPr>
            <w:tcW w:w="581"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1.8</w:t>
            </w:r>
          </w:p>
        </w:tc>
        <w:tc>
          <w:tcPr>
            <w:tcW w:w="567"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1.6</w:t>
            </w:r>
          </w:p>
        </w:tc>
        <w:tc>
          <w:tcPr>
            <w:tcW w:w="708"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1.8</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1.1</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429" w:type="dxa"/>
            <w:tcMar>
              <w:left w:w="28" w:type="dxa"/>
              <w:right w:w="28" w:type="dxa"/>
            </w:tcMar>
            <w:vAlign w:val="center"/>
          </w:tcPr>
          <w:p>
            <w:pPr>
              <w:spacing w:line="28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Ⅲ</w:t>
            </w:r>
          </w:p>
        </w:tc>
        <w:tc>
          <w:tcPr>
            <w:tcW w:w="1570" w:type="dxa"/>
            <w:tcMar>
              <w:left w:w="28" w:type="dxa"/>
              <w:right w:w="28" w:type="dxa"/>
            </w:tcMar>
            <w:vAlign w:val="center"/>
          </w:tcPr>
          <w:p>
            <w:pPr>
              <w:spacing w:line="28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危害较轻，且不致造成公共安全问题</w:t>
            </w:r>
          </w:p>
        </w:tc>
        <w:tc>
          <w:tcPr>
            <w:tcW w:w="581"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1.6</w:t>
            </w:r>
          </w:p>
        </w:tc>
        <w:tc>
          <w:tcPr>
            <w:tcW w:w="567"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2.0</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1.4</w:t>
            </w:r>
          </w:p>
        </w:tc>
        <w:tc>
          <w:tcPr>
            <w:tcW w:w="708"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1.6</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c>
          <w:tcPr>
            <w:tcW w:w="709" w:type="dxa"/>
            <w:tcMar>
              <w:left w:w="28" w:type="dxa"/>
              <w:right w:w="28" w:type="dxa"/>
            </w:tcMar>
            <w:vAlign w:val="center"/>
          </w:tcPr>
          <w:p>
            <w:pPr>
              <w:spacing w:before="156" w:beforeLines="50" w:after="156" w:afterLines="50"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1.1</w:t>
            </w:r>
          </w:p>
        </w:tc>
      </w:tr>
    </w:tbl>
    <w:p>
      <w:pPr>
        <w:spacing w:line="200" w:lineRule="exact"/>
        <w:rPr>
          <w:rFonts w:asciiTheme="minorEastAsia" w:hAnsiTheme="minorEastAsia" w:eastAsiaTheme="minorEastAsia" w:cstheme="minorEastAsia"/>
          <w:color w:val="000000"/>
          <w:szCs w:val="21"/>
        </w:rPr>
      </w:pPr>
    </w:p>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5.1.2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锚杆的抗拔力极限值应根据现场基本试验确定。</w:t>
      </w:r>
    </w:p>
    <w:p>
      <w:pPr>
        <w:spacing w:line="360" w:lineRule="exact"/>
        <w:jc w:val="lef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5.1.3</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pacing w:val="2"/>
          <w:szCs w:val="21"/>
        </w:rPr>
        <w:t>锚杆锚头与外部承载构件的梁、板、台座的连接以及相关结构的尺寸和配筋应符合现行国家标准《混凝土结构设计规范》GB50010和《建筑地基基础设计规范》GB50007的有关规定。</w:t>
      </w:r>
    </w:p>
    <w:p>
      <w:pPr>
        <w:rPr>
          <w:rFonts w:asciiTheme="minorEastAsia" w:hAnsiTheme="minorEastAsia" w:eastAsiaTheme="minorEastAsia" w:cstheme="minorEastAsia"/>
          <w:color w:val="000000"/>
          <w:spacing w:val="2"/>
          <w:sz w:val="24"/>
        </w:rPr>
      </w:pPr>
      <w:r>
        <w:rPr>
          <w:rFonts w:hint="eastAsia" w:asciiTheme="minorEastAsia" w:hAnsiTheme="minorEastAsia" w:eastAsiaTheme="minorEastAsia" w:cstheme="minorEastAsia"/>
          <w:color w:val="000000"/>
          <w:spacing w:val="2"/>
          <w:sz w:val="24"/>
        </w:rPr>
        <w:br w:type="page"/>
      </w:r>
    </w:p>
    <w:p>
      <w:pPr>
        <w:spacing w:before="312" w:beforeLines="100" w:after="156" w:afterLines="50"/>
        <w:jc w:val="center"/>
        <w:outlineLvl w:val="1"/>
        <w:rPr>
          <w:rFonts w:asciiTheme="minorEastAsia" w:hAnsiTheme="minorEastAsia" w:eastAsiaTheme="minorEastAsia" w:cstheme="minorEastAsia"/>
          <w:b/>
          <w:bCs/>
        </w:rPr>
      </w:pPr>
      <w:bookmarkStart w:id="211" w:name="_Toc10094"/>
      <w:bookmarkStart w:id="212" w:name="_Toc3726"/>
      <w:bookmarkStart w:id="213" w:name="_Toc24107"/>
      <w:bookmarkStart w:id="214" w:name="_Toc32309"/>
      <w:bookmarkStart w:id="215" w:name="_Toc1249"/>
      <w:bookmarkStart w:id="216" w:name="_Toc6826"/>
      <w:bookmarkStart w:id="217" w:name="_Toc9535"/>
      <w:r>
        <w:rPr>
          <w:rFonts w:hint="eastAsia" w:asciiTheme="minorEastAsia" w:hAnsiTheme="minorEastAsia" w:eastAsiaTheme="minorEastAsia" w:cstheme="minorEastAsia"/>
          <w:b/>
          <w:bCs/>
        </w:rPr>
        <w:t>5.2  锚杆抗拔力验算</w:t>
      </w:r>
      <w:bookmarkEnd w:id="211"/>
      <w:bookmarkEnd w:id="212"/>
      <w:bookmarkEnd w:id="213"/>
      <w:bookmarkEnd w:id="214"/>
      <w:bookmarkEnd w:id="215"/>
      <w:bookmarkEnd w:id="216"/>
      <w:bookmarkEnd w:id="217"/>
    </w:p>
    <w:p>
      <w:pPr>
        <w:spacing w:line="360" w:lineRule="exact"/>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5.2.1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锚杆抗拔力特征值应取所从属的主体建（构）筑物荷载效应标准组合计算的锚杆拉力标准值：</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2"/>
        <w:gridCol w:w="3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4" w:type="dxa"/>
            <w:vAlign w:val="center"/>
          </w:tcPr>
          <w:p>
            <w:pPr>
              <w:spacing w:line="360" w:lineRule="auto"/>
              <w:jc w:val="center"/>
              <w:rPr>
                <w:rFonts w:asciiTheme="minorEastAsia" w:hAnsiTheme="minorEastAsia" w:eastAsiaTheme="minorEastAsia" w:cstheme="minorEastAsia"/>
                <w:color w:val="000000"/>
                <w:sz w:val="24"/>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color w:val="000000"/>
                <w:sz w:val="24"/>
                <w:vertAlign w:val="subscript"/>
                <w:lang w:val="de-DE"/>
              </w:rPr>
              <w:t>ak</w:t>
            </w:r>
            <w:r>
              <w:rPr>
                <w:rFonts w:hint="eastAsia" w:asciiTheme="minorEastAsia" w:hAnsiTheme="minorEastAsia" w:eastAsiaTheme="minorEastAsia" w:cstheme="minorEastAsia"/>
                <w:color w:val="000000"/>
                <w:sz w:val="24"/>
              </w:rPr>
              <w:t>≥</w:t>
            </w:r>
            <w:r>
              <w:rPr>
                <w:rFonts w:ascii="Times New Roman" w:hAnsi="Times New Roman" w:cs="Times New Roman" w:eastAsiaTheme="minorEastAsia"/>
                <w:i/>
                <w:color w:val="000000"/>
                <w:sz w:val="24"/>
                <w:lang w:val="de-DE"/>
              </w:rPr>
              <w:t>N</w:t>
            </w:r>
            <w:r>
              <w:rPr>
                <w:rFonts w:ascii="Times New Roman" w:hAnsi="Times New Roman" w:cs="Times New Roman" w:eastAsiaTheme="minorEastAsia"/>
                <w:color w:val="000000"/>
                <w:sz w:val="24"/>
                <w:vertAlign w:val="subscript"/>
                <w:lang w:val="de-DE"/>
              </w:rPr>
              <w:t>k</w:t>
            </w:r>
          </w:p>
        </w:tc>
        <w:tc>
          <w:tcPr>
            <w:tcW w:w="4265" w:type="dxa"/>
            <w:vAlign w:val="center"/>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（5.2.1）</w:t>
            </w:r>
          </w:p>
        </w:tc>
      </w:tr>
    </w:tbl>
    <w:tbl>
      <w:tblPr>
        <w:tblStyle w:val="17"/>
        <w:tblpPr w:leftFromText="181" w:rightFromText="181" w:vertAnchor="text" w:horzAnchor="margin" w:tblpY="1"/>
        <w:tblOverlap w:val="never"/>
        <w:tblW w:w="5975" w:type="dxa"/>
        <w:tblInd w:w="0" w:type="dxa"/>
        <w:tblLayout w:type="fixed"/>
        <w:tblCellMar>
          <w:top w:w="0" w:type="dxa"/>
          <w:left w:w="108" w:type="dxa"/>
          <w:bottom w:w="0" w:type="dxa"/>
          <w:right w:w="108" w:type="dxa"/>
        </w:tblCellMar>
      </w:tblPr>
      <w:tblGrid>
        <w:gridCol w:w="607"/>
        <w:gridCol w:w="332"/>
        <w:gridCol w:w="525"/>
        <w:gridCol w:w="4511"/>
      </w:tblGrid>
      <w:tr>
        <w:tblPrEx>
          <w:tblCellMar>
            <w:top w:w="0" w:type="dxa"/>
            <w:left w:w="108" w:type="dxa"/>
            <w:bottom w:w="0" w:type="dxa"/>
            <w:right w:w="108" w:type="dxa"/>
          </w:tblCellMar>
        </w:tblPrEx>
        <w:trPr>
          <w:trHeight w:val="935" w:hRule="exact"/>
        </w:trPr>
        <w:tc>
          <w:tcPr>
            <w:tcW w:w="607" w:type="dxa"/>
            <w:tcMar>
              <w:left w:w="0" w:type="dxa"/>
              <w:right w:w="28" w:type="dxa"/>
            </w:tcMar>
          </w:tcPr>
          <w:p>
            <w:pPr>
              <w:spacing w:line="312" w:lineRule="exact"/>
              <w:rPr>
                <w:rFonts w:asciiTheme="minorEastAsia" w:hAnsiTheme="minorEastAsia" w:eastAsiaTheme="minorEastAsia" w:cstheme="minorEastAsia"/>
                <w:color w:val="000000"/>
                <w:sz w:val="24"/>
                <w:vertAlign w:val="subscript"/>
              </w:rPr>
            </w:pPr>
            <w:r>
              <w:rPr>
                <w:rFonts w:hint="eastAsia" w:asciiTheme="minorEastAsia" w:hAnsiTheme="minorEastAsia" w:eastAsiaTheme="minorEastAsia" w:cstheme="minorEastAsia"/>
                <w:color w:val="000000"/>
                <w:szCs w:val="21"/>
              </w:rPr>
              <w:t>式中：</w:t>
            </w:r>
          </w:p>
        </w:tc>
        <w:tc>
          <w:tcPr>
            <w:tcW w:w="332"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lang w:val="de-DE"/>
              </w:rPr>
              <w:t>T</w:t>
            </w:r>
            <w:r>
              <w:rPr>
                <w:rFonts w:ascii="Times New Roman" w:hAnsi="Times New Roman" w:cs="Times New Roman" w:eastAsiaTheme="minorEastAsia"/>
                <w:color w:val="000000"/>
                <w:vertAlign w:val="subscript"/>
                <w:lang w:val="de-DE"/>
              </w:rPr>
              <w:t>ak</w:t>
            </w:r>
          </w:p>
          <w:p>
            <w:pPr>
              <w:spacing w:line="312" w:lineRule="exact"/>
              <w:jc w:val="right"/>
              <w:rPr>
                <w:rFonts w:asciiTheme="minorEastAsia" w:hAnsiTheme="minorEastAsia" w:eastAsiaTheme="minorEastAsia" w:cstheme="minorEastAsia"/>
                <w:i/>
                <w:color w:val="000000"/>
                <w:sz w:val="24"/>
              </w:rPr>
            </w:pPr>
            <w:r>
              <w:rPr>
                <w:rFonts w:ascii="Times New Roman" w:hAnsi="Times New Roman" w:cs="Times New Roman" w:eastAsiaTheme="minorEastAsia"/>
                <w:i/>
                <w:color w:val="000000"/>
                <w:lang w:val="de-DE"/>
              </w:rPr>
              <w:t>N</w:t>
            </w:r>
            <w:r>
              <w:rPr>
                <w:rFonts w:ascii="Times New Roman" w:hAnsi="Times New Roman" w:cs="Times New Roman" w:eastAsiaTheme="minorEastAsia"/>
                <w:color w:val="000000"/>
                <w:vertAlign w:val="subscript"/>
                <w:lang w:val="de-DE"/>
              </w:rPr>
              <w:t>k</w:t>
            </w:r>
          </w:p>
        </w:tc>
        <w:tc>
          <w:tcPr>
            <w:tcW w:w="525"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4511" w:type="dxa"/>
            <w:tcMar>
              <w:left w:w="0" w:type="dxa"/>
              <w:right w:w="0" w:type="dxa"/>
            </w:tcMar>
          </w:tcPr>
          <w:p>
            <w:pPr>
              <w:spacing w:line="312" w:lineRule="exact"/>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锚杆抗拔力特征值（kN）；</w:t>
            </w:r>
          </w:p>
          <w:p>
            <w:pPr>
              <w:spacing w:line="312" w:lineRule="exact"/>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锚杆从属的主体建（构）筑物荷载效应</w:t>
            </w:r>
          </w:p>
          <w:p>
            <w:pPr>
              <w:spacing w:line="312" w:lineRule="exact"/>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标准组合计算的锚杆拉力标准值（kN）。</w:t>
            </w:r>
          </w:p>
        </w:tc>
      </w:tr>
    </w:tbl>
    <w:p>
      <w:pPr>
        <w:spacing w:line="360" w:lineRule="auto"/>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5.2.2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val="de-DE"/>
        </w:rPr>
        <w:t>锚杆杆体的截面面积和材料强度应符合下列公式规定：</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2"/>
        <w:gridCol w:w="3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rPr>
        <w:tc>
          <w:tcPr>
            <w:tcW w:w="4264" w:type="dxa"/>
            <w:vAlign w:val="center"/>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0"/>
                <w:sz w:val="24"/>
              </w:rPr>
              <w:object>
                <v:shape id="_x0000_i1028" o:spt="75" type="#_x0000_t75" style="height:36.95pt;width:29.45pt;" o:ole="t" filled="f" o:preferrelative="t" stroked="f" coordsize="21600,21600">
                  <v:path/>
                  <v:fill on="f" focussize="0,0"/>
                  <v:stroke on="f" joinstyle="miter"/>
                  <v:imagedata r:id="rId27" o:title=""/>
                  <o:lock v:ext="edit" aspectratio="t"/>
                  <w10:wrap type="none"/>
                  <w10:anchorlock/>
                </v:shape>
                <o:OLEObject Type="Embed" ProgID="Equation.KSEE3" ShapeID="_x0000_i1028" DrawAspect="Content" ObjectID="_1468075728" r:id="rId26">
                  <o:LockedField>false</o:LockedField>
                </o:OLEObject>
              </w:objec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position w:val="-12"/>
                <w:sz w:val="24"/>
              </w:rPr>
              <w:object>
                <v:shape id="_x0000_i1029" o:spt="75" type="#_x0000_t75" style="height:18.15pt;width:16.9pt;" o:ole="t" filled="f" o:preferrelative="t" stroked="f" coordsize="21600,21600">
                  <v:path/>
                  <v:fill on="f" focussize="0,0"/>
                  <v:stroke on="f" joinstyle="miter"/>
                  <v:imagedata r:id="rId29" o:title=""/>
                  <o:lock v:ext="edit" aspectratio="t"/>
                  <w10:wrap type="none"/>
                  <w10:anchorlock/>
                </v:shape>
                <o:OLEObject Type="Embed" ProgID="Equation.KSEE3" ShapeID="_x0000_i1029" DrawAspect="Content" ObjectID="_1468075729" r:id="rId28">
                  <o:LockedField>false</o:LockedField>
                </o:OLEObject>
              </w:object>
            </w:r>
          </w:p>
        </w:tc>
        <w:tc>
          <w:tcPr>
            <w:tcW w:w="4265" w:type="dxa"/>
            <w:vAlign w:val="center"/>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rPr>
        <w:tc>
          <w:tcPr>
            <w:tcW w:w="4264" w:type="dxa"/>
            <w:vAlign w:val="center"/>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0"/>
                <w:sz w:val="24"/>
              </w:rPr>
              <w:object>
                <v:shape id="_x0000_i1030" o:spt="75" type="#_x0000_t75" style="height:36.95pt;width:32.55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position w:val="-12"/>
                <w:sz w:val="24"/>
              </w:rPr>
              <w:object>
                <v:shape id="_x0000_i1031" o:spt="75" type="#_x0000_t75" style="height:18.15pt;width:16.9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32">
                  <o:LockedField>false</o:LockedField>
                </o:OLEObject>
              </w:object>
            </w:r>
          </w:p>
        </w:tc>
        <w:tc>
          <w:tcPr>
            <w:tcW w:w="4265" w:type="dxa"/>
            <w:vAlign w:val="center"/>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（5.2.2-2）</w:t>
            </w:r>
          </w:p>
        </w:tc>
      </w:tr>
    </w:tbl>
    <w:tbl>
      <w:tblPr>
        <w:tblStyle w:val="17"/>
        <w:tblpPr w:leftFromText="181" w:rightFromText="181" w:vertAnchor="text" w:horzAnchor="margin" w:tblpY="7"/>
        <w:tblOverlap w:val="never"/>
        <w:tblW w:w="0" w:type="auto"/>
        <w:tblInd w:w="0" w:type="dxa"/>
        <w:tblLayout w:type="autofit"/>
        <w:tblCellMar>
          <w:top w:w="0" w:type="dxa"/>
          <w:left w:w="108" w:type="dxa"/>
          <w:bottom w:w="0" w:type="dxa"/>
          <w:right w:w="108" w:type="dxa"/>
        </w:tblCellMar>
      </w:tblPr>
      <w:tblGrid>
        <w:gridCol w:w="616"/>
        <w:gridCol w:w="591"/>
        <w:gridCol w:w="480"/>
        <w:gridCol w:w="4602"/>
      </w:tblGrid>
      <w:tr>
        <w:tblPrEx>
          <w:tblCellMar>
            <w:top w:w="0" w:type="dxa"/>
            <w:left w:w="108" w:type="dxa"/>
            <w:bottom w:w="0" w:type="dxa"/>
            <w:right w:w="108" w:type="dxa"/>
          </w:tblCellMar>
        </w:tblPrEx>
        <w:trPr>
          <w:trHeight w:val="2840" w:hRule="exact"/>
        </w:trPr>
        <w:tc>
          <w:tcPr>
            <w:tcW w:w="0" w:type="auto"/>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0" w:type="auto"/>
            <w:tcMar>
              <w:left w:w="0" w:type="dxa"/>
              <w:right w:w="28" w:type="dxa"/>
            </w:tcMar>
          </w:tcPr>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t</w:t>
            </w:r>
          </w:p>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iCs/>
                <w:kern w:val="0"/>
                <w:sz w:val="28"/>
                <w:szCs w:val="28"/>
              </w:rPr>
              <w:t>γ</w:t>
            </w:r>
            <w:r>
              <w:rPr>
                <w:rFonts w:ascii="Times New Roman" w:hAnsi="Times New Roman" w:cs="Times New Roman" w:eastAsiaTheme="minorEastAsia"/>
                <w:i/>
                <w:iCs/>
                <w:kern w:val="0"/>
                <w:szCs w:val="21"/>
                <w:vertAlign w:val="subscript"/>
              </w:rPr>
              <w:t>0</w:t>
            </w:r>
          </w:p>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iCs/>
                <w:kern w:val="0"/>
                <w:sz w:val="28"/>
                <w:szCs w:val="28"/>
              </w:rPr>
              <w:t>γ</w:t>
            </w:r>
            <w:r>
              <w:rPr>
                <w:rFonts w:ascii="Times New Roman" w:hAnsi="Times New Roman" w:cs="Times New Roman" w:eastAsiaTheme="minorEastAsia"/>
                <w:i/>
                <w:iCs/>
                <w:kern w:val="0"/>
                <w:sz w:val="20"/>
                <w:szCs w:val="20"/>
                <w:vertAlign w:val="subscript"/>
              </w:rPr>
              <w:t>F</w:t>
            </w:r>
          </w:p>
          <w:p>
            <w:pPr>
              <w:spacing w:line="312" w:lineRule="exact"/>
              <w:jc w:val="right"/>
              <w:rPr>
                <w:rFonts w:ascii="Times New Roman" w:hAnsi="Times New Roman" w:cs="Times New Roman" w:eastAsiaTheme="minorEastAsia"/>
                <w:i/>
                <w:color w:val="000000"/>
                <w:sz w:val="24"/>
              </w:rPr>
            </w:pPr>
          </w:p>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T</w:t>
            </w:r>
            <w:r>
              <w:rPr>
                <w:rFonts w:ascii="Times New Roman" w:hAnsi="Times New Roman" w:cs="Times New Roman" w:eastAsiaTheme="minorEastAsia"/>
                <w:color w:val="000000"/>
                <w:sz w:val="24"/>
                <w:vertAlign w:val="subscript"/>
              </w:rPr>
              <w:t>ak</w:t>
            </w:r>
          </w:p>
          <w:p>
            <w:pPr>
              <w:spacing w:line="312" w:lineRule="exact"/>
              <w:jc w:val="right"/>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A</w:t>
            </w:r>
            <w:r>
              <w:rPr>
                <w:rFonts w:ascii="Times New Roman" w:hAnsi="Times New Roman" w:cs="Times New Roman" w:eastAsiaTheme="minorEastAsia"/>
                <w:i/>
                <w:iCs/>
                <w:color w:val="000000"/>
                <w:sz w:val="24"/>
                <w:vertAlign w:val="subscript"/>
              </w:rPr>
              <w:t>s</w:t>
            </w:r>
          </w:p>
          <w:p>
            <w:pPr>
              <w:spacing w:line="312" w:lineRule="exact"/>
              <w:jc w:val="right"/>
              <w:rPr>
                <w:rFonts w:asciiTheme="minorEastAsia" w:hAnsiTheme="minorEastAsia" w:eastAsiaTheme="minorEastAsia" w:cstheme="minorEastAsia"/>
                <w:color w:val="000000"/>
                <w:sz w:val="24"/>
                <w:vertAlign w:val="subscript"/>
              </w:rPr>
            </w:pP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y</w:t>
            </w:r>
            <w:r>
              <w:rPr>
                <w:rFonts w:ascii="Times New Roman" w:hAnsi="Times New Roman" w:cs="Times New Roman" w:eastAsiaTheme="minorEastAsia"/>
                <w:color w:val="000000"/>
                <w:sz w:val="24"/>
              </w:rPr>
              <w:t>、</w:t>
            </w: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py</w:t>
            </w:r>
          </w:p>
        </w:tc>
        <w:tc>
          <w:tcPr>
            <w:tcW w:w="0" w:type="auto"/>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tc>
        <w:tc>
          <w:tcPr>
            <w:tcW w:w="0" w:type="auto"/>
            <w:tcMar>
              <w:left w:w="0" w:type="dxa"/>
            </w:tcMar>
          </w:tcPr>
          <w:p>
            <w:pPr>
              <w:spacing w:line="312"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锚杆杆体的抗拉断综合安全系数，</w:t>
            </w: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t</w:t>
            </w:r>
            <w:r>
              <w:rPr>
                <w:rFonts w:ascii="Times New Roman" w:hAnsi="Times New Roman" w:cs="Times New Roman" w:eastAsiaTheme="minorEastAsia"/>
                <w:color w:val="000000"/>
                <w:sz w:val="24"/>
              </w:rPr>
              <w:t>=</w:t>
            </w:r>
            <w:r>
              <w:rPr>
                <w:rFonts w:ascii="Times New Roman" w:hAnsi="Times New Roman" w:cs="Times New Roman" w:eastAsiaTheme="minorEastAsia"/>
                <w:i/>
                <w:iCs/>
                <w:color w:val="000000"/>
                <w:sz w:val="32"/>
                <w:szCs w:val="32"/>
              </w:rPr>
              <w:t>γ</w:t>
            </w:r>
            <w:r>
              <w:rPr>
                <w:rFonts w:ascii="Times New Roman" w:hAnsi="Times New Roman" w:cs="Times New Roman" w:eastAsiaTheme="minorEastAsia"/>
                <w:i/>
                <w:iCs/>
                <w:color w:val="000000"/>
                <w:sz w:val="20"/>
                <w:szCs w:val="20"/>
                <w:vertAlign w:val="subscript"/>
              </w:rPr>
              <w:t>0</w:t>
            </w:r>
            <w:r>
              <w:rPr>
                <w:rFonts w:ascii="Times New Roman" w:hAnsi="Times New Roman" w:cs="Times New Roman" w:eastAsiaTheme="minorEastAsia"/>
                <w:i/>
                <w:iCs/>
                <w:color w:val="000000"/>
                <w:sz w:val="32"/>
                <w:szCs w:val="32"/>
              </w:rPr>
              <w:t>γ</w:t>
            </w:r>
            <w:r>
              <w:rPr>
                <w:rFonts w:ascii="Times New Roman" w:hAnsi="Times New Roman" w:cs="Times New Roman" w:eastAsiaTheme="minorEastAsia"/>
                <w:i/>
                <w:iCs/>
                <w:color w:val="000000"/>
                <w:szCs w:val="21"/>
                <w:vertAlign w:val="subscript"/>
              </w:rPr>
              <w:t>F</w:t>
            </w:r>
            <w:r>
              <w:rPr>
                <w:rFonts w:hint="eastAsia" w:asciiTheme="minorEastAsia" w:hAnsiTheme="minorEastAsia" w:eastAsiaTheme="minorEastAsia" w:cstheme="minorEastAsia"/>
                <w:color w:val="000000"/>
                <w:szCs w:val="21"/>
              </w:rPr>
              <w:t>；</w:t>
            </w:r>
          </w:p>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锚杆结构的重要性系数，按表5.1.1取值；</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荷载分项系数，永久性锚杆取1.35，临时性锚杆取1.25；</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锚杆的抗拔力特征值（kN)；</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锚杆杆体截面面积（m</w:t>
            </w:r>
            <w:r>
              <w:rPr>
                <w:rFonts w:hint="eastAsia" w:asciiTheme="minorEastAsia" w:hAnsiTheme="minorEastAsia" w:eastAsiaTheme="minorEastAsia" w:cstheme="minorEastAsia"/>
                <w:color w:val="000000"/>
                <w:szCs w:val="21"/>
                <w:vertAlign w:val="superscript"/>
              </w:rPr>
              <w:t>2</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预应力混凝土用螺纹钢筋和普通热轧钢筋的</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抗拉强度设计值、钢绞线和热处理钢筋的</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抗拉强度设计值（kPa）</w:t>
            </w:r>
            <w:r>
              <w:rPr>
                <w:rFonts w:hint="eastAsia" w:asciiTheme="minorEastAsia" w:hAnsiTheme="minorEastAsia" w:eastAsiaTheme="minorEastAsia" w:cstheme="minorEastAsia"/>
                <w:color w:val="000000"/>
                <w:sz w:val="24"/>
              </w:rPr>
              <w:t>。</w:t>
            </w:r>
          </w:p>
          <w:p>
            <w:pPr>
              <w:spacing w:line="312" w:lineRule="exact"/>
              <w:rPr>
                <w:rFonts w:asciiTheme="minorEastAsia" w:hAnsiTheme="minorEastAsia" w:eastAsiaTheme="minorEastAsia" w:cstheme="minorEastAsia"/>
                <w:color w:val="000000"/>
                <w:sz w:val="24"/>
              </w:rPr>
            </w:pPr>
          </w:p>
        </w:tc>
      </w:tr>
    </w:tbl>
    <w:p>
      <w:pPr>
        <w:spacing w:line="360" w:lineRule="auto"/>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5.2.3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压力型锚杆螺纹承载体与杆体的连接强度应满足下式要求：</w:t>
      </w:r>
    </w:p>
    <w:tbl>
      <w:tblPr>
        <w:tblStyle w:val="18"/>
        <w:tblpPr w:leftFromText="181" w:rightFromText="181" w:vertAnchor="text" w:horzAnchor="page" w:tblpX="1163" w:tblpY="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0"/>
        <w:gridCol w:w="35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2760"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0"/>
                <w:sz w:val="24"/>
              </w:rPr>
              <w:object>
                <v:shape id="_x0000_i1032" o:spt="75" type="#_x0000_t75" style="height:33.8pt;width:48.2pt;" o:ole="t" filled="f" o:preferrelative="t" stroked="f" coordsize="21600,21600">
                  <v:path/>
                  <v:fill on="f" focussize="0,0"/>
                  <v:stroke on="f" joinstyle="miter"/>
                  <v:imagedata r:id="rId34" o:title=""/>
                  <o:lock v:ext="edit" aspectratio="t"/>
                  <w10:wrap type="none"/>
                  <w10:anchorlock/>
                </v:shape>
                <o:OLEObject Type="Embed" ProgID="Equation.KSEE3" ShapeID="_x0000_i1032" DrawAspect="Content" ObjectID="_1468075732" r:id="rId33">
                  <o:LockedField>false</o:LockedField>
                </o:OLEObject>
              </w:object>
            </w:r>
          </w:p>
        </w:tc>
        <w:tc>
          <w:tcPr>
            <w:tcW w:w="3583"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（5.2.3）</w:t>
            </w:r>
          </w:p>
        </w:tc>
      </w:tr>
    </w:tbl>
    <w:tbl>
      <w:tblPr>
        <w:tblStyle w:val="17"/>
        <w:tblpPr w:leftFromText="181" w:rightFromText="181" w:vertAnchor="page" w:horzAnchor="margin" w:tblpY="959"/>
        <w:tblOverlap w:val="never"/>
        <w:tblW w:w="6180" w:type="dxa"/>
        <w:tblInd w:w="0" w:type="dxa"/>
        <w:tblLayout w:type="fixed"/>
        <w:tblCellMar>
          <w:top w:w="0" w:type="dxa"/>
          <w:left w:w="108" w:type="dxa"/>
          <w:bottom w:w="0" w:type="dxa"/>
          <w:right w:w="108" w:type="dxa"/>
        </w:tblCellMar>
      </w:tblPr>
      <w:tblGrid>
        <w:gridCol w:w="565"/>
        <w:gridCol w:w="365"/>
        <w:gridCol w:w="489"/>
        <w:gridCol w:w="4761"/>
      </w:tblGrid>
      <w:tr>
        <w:tblPrEx>
          <w:tblCellMar>
            <w:top w:w="0" w:type="dxa"/>
            <w:left w:w="108" w:type="dxa"/>
            <w:bottom w:w="0" w:type="dxa"/>
            <w:right w:w="108" w:type="dxa"/>
          </w:tblCellMar>
        </w:tblPrEx>
        <w:trPr>
          <w:trHeight w:val="1339" w:hRule="exact"/>
        </w:trPr>
        <w:tc>
          <w:tcPr>
            <w:tcW w:w="567" w:type="dxa"/>
            <w:tcMar>
              <w:left w:w="0" w:type="dxa"/>
              <w:right w:w="28" w:type="dxa"/>
            </w:tcMar>
          </w:tcPr>
          <w:p>
            <w:pPr>
              <w:spacing w:line="312" w:lineRule="exact"/>
              <w:rPr>
                <w:rFonts w:asciiTheme="minorEastAsia" w:hAnsiTheme="minorEastAsia" w:eastAsiaTheme="minorEastAsia" w:cstheme="minorEastAsia"/>
                <w:color w:val="000000"/>
                <w:sz w:val="24"/>
                <w:vertAlign w:val="subscript"/>
              </w:rPr>
            </w:pPr>
            <w:r>
              <w:rPr>
                <w:rFonts w:hint="eastAsia" w:asciiTheme="minorEastAsia" w:hAnsiTheme="minorEastAsia" w:eastAsiaTheme="minorEastAsia" w:cstheme="minorEastAsia"/>
                <w:color w:val="000000"/>
                <w:sz w:val="18"/>
                <w:szCs w:val="18"/>
              </w:rPr>
              <w:t>式中：</w:t>
            </w:r>
          </w:p>
        </w:tc>
        <w:tc>
          <w:tcPr>
            <w:tcW w:w="366" w:type="dxa"/>
            <w:tcMar>
              <w:left w:w="0" w:type="dxa"/>
              <w:right w:w="28" w:type="dxa"/>
            </w:tcMar>
          </w:tcPr>
          <w:p>
            <w:pPr>
              <w:spacing w:line="312" w:lineRule="exact"/>
              <w:jc w:val="left"/>
              <w:rPr>
                <w:rFonts w:ascii="Times New Roman" w:hAnsi="Times New Roman" w:cs="Times New Roman" w:eastAsiaTheme="minorEastAsia"/>
                <w:i/>
                <w:iCs/>
                <w:color w:val="000000"/>
                <w:sz w:val="22"/>
                <w:szCs w:val="22"/>
              </w:rPr>
            </w:pPr>
            <w:r>
              <w:rPr>
                <w:rFonts w:ascii="Times New Roman" w:hAnsi="Times New Roman" w:cs="Times New Roman" w:eastAsiaTheme="minorEastAsia"/>
                <w:i/>
                <w:iCs/>
                <w:color w:val="000000"/>
                <w:sz w:val="22"/>
                <w:szCs w:val="22"/>
              </w:rPr>
              <w:t>F</w:t>
            </w:r>
            <w:r>
              <w:rPr>
                <w:rFonts w:ascii="Times New Roman" w:hAnsi="Times New Roman" w:cs="Times New Roman" w:eastAsiaTheme="minorEastAsia"/>
                <w:i/>
                <w:iCs/>
                <w:color w:val="000000"/>
                <w:sz w:val="15"/>
                <w:szCs w:val="15"/>
                <w:vertAlign w:val="subscript"/>
              </w:rPr>
              <w:t>TU</w:t>
            </w:r>
          </w:p>
          <w:p>
            <w:pPr>
              <w:spacing w:line="312" w:lineRule="exact"/>
              <w:jc w:val="left"/>
              <w:rPr>
                <w:rFonts w:asciiTheme="minorEastAsia" w:hAnsiTheme="minorEastAsia" w:eastAsiaTheme="minorEastAsia" w:cstheme="minorEastAsia"/>
                <w:i/>
                <w:iCs/>
                <w:color w:val="000000"/>
                <w:sz w:val="24"/>
              </w:rPr>
            </w:pPr>
          </w:p>
          <w:p>
            <w:pPr>
              <w:spacing w:line="312" w:lineRule="exact"/>
              <w:jc w:val="left"/>
              <w:rPr>
                <w:rFonts w:ascii="Times New Roman" w:hAnsi="Times New Roman" w:cs="Times New Roman" w:eastAsiaTheme="minorEastAsia"/>
                <w:i/>
                <w:iCs/>
                <w:color w:val="000000"/>
                <w:sz w:val="24"/>
              </w:rPr>
            </w:pPr>
            <w:r>
              <w:rPr>
                <w:rFonts w:ascii="Times New Roman" w:hAnsi="Times New Roman" w:cs="Times New Roman" w:eastAsiaTheme="minorEastAsia"/>
                <w:i/>
                <w:iCs/>
                <w:color w:val="000000"/>
                <w:sz w:val="24"/>
              </w:rPr>
              <w:t>K</w:t>
            </w:r>
            <w:r>
              <w:rPr>
                <w:rFonts w:ascii="Times New Roman" w:hAnsi="Times New Roman" w:cs="Times New Roman" w:eastAsiaTheme="minorEastAsia"/>
                <w:i/>
                <w:iCs/>
                <w:color w:val="000000"/>
                <w:sz w:val="24"/>
                <w:vertAlign w:val="subscript"/>
              </w:rPr>
              <w:t>t</w:t>
            </w:r>
          </w:p>
          <w:p>
            <w:pPr>
              <w:spacing w:line="312" w:lineRule="exact"/>
              <w:jc w:val="left"/>
              <w:rPr>
                <w:rFonts w:ascii="Times New Roman" w:hAnsi="Times New Roman" w:cs="Times New Roman" w:eastAsiaTheme="minorEastAsia"/>
                <w:i/>
                <w:color w:val="000000"/>
                <w:sz w:val="24"/>
              </w:rPr>
            </w:pPr>
            <w:r>
              <w:rPr>
                <w:rFonts w:ascii="Times New Roman" w:hAnsi="Times New Roman" w:cs="Times New Roman" w:eastAsiaTheme="minorEastAsia"/>
                <w:i/>
                <w:iCs/>
                <w:color w:val="000000"/>
                <w:sz w:val="24"/>
              </w:rPr>
              <w:t>T</w:t>
            </w:r>
            <w:r>
              <w:rPr>
                <w:rFonts w:hint="eastAsia" w:ascii="Times New Roman" w:hAnsi="Times New Roman" w:cs="Times New Roman" w:eastAsiaTheme="minorEastAsia"/>
                <w:i/>
                <w:iCs/>
                <w:color w:val="000000"/>
                <w:sz w:val="24"/>
                <w:vertAlign w:val="subscript"/>
                <w:lang w:val="en-US" w:eastAsia="zh-CN"/>
              </w:rPr>
              <w:t>a</w:t>
            </w:r>
            <w:r>
              <w:rPr>
                <w:rFonts w:ascii="Times New Roman" w:hAnsi="Times New Roman" w:cs="Times New Roman" w:eastAsiaTheme="minorEastAsia"/>
                <w:i/>
                <w:iCs/>
                <w:color w:val="000000"/>
                <w:sz w:val="24"/>
                <w:vertAlign w:val="subscript"/>
              </w:rPr>
              <w:t>k</w:t>
            </w:r>
          </w:p>
          <w:p>
            <w:pPr>
              <w:spacing w:line="312" w:lineRule="exact"/>
              <w:jc w:val="left"/>
              <w:rPr>
                <w:rFonts w:asciiTheme="minorEastAsia" w:hAnsiTheme="minorEastAsia" w:eastAsiaTheme="minorEastAsia" w:cstheme="minorEastAsia"/>
                <w:i/>
                <w:iCs/>
                <w:color w:val="000000"/>
                <w:sz w:val="24"/>
                <w:vertAlign w:val="subscript"/>
              </w:rPr>
            </w:pPr>
          </w:p>
          <w:p>
            <w:pPr>
              <w:spacing w:line="312" w:lineRule="exact"/>
              <w:ind w:right="360"/>
              <w:jc w:val="left"/>
              <w:rPr>
                <w:rFonts w:asciiTheme="minorEastAsia" w:hAnsiTheme="minorEastAsia" w:eastAsiaTheme="minorEastAsia" w:cstheme="minorEastAsia"/>
                <w:i/>
                <w:color w:val="000000"/>
                <w:sz w:val="24"/>
              </w:rPr>
            </w:pPr>
          </w:p>
        </w:tc>
        <w:tc>
          <w:tcPr>
            <w:tcW w:w="490"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4776" w:type="dxa"/>
            <w:tcMar>
              <w:left w:w="0" w:type="dxa"/>
              <w:right w:w="0" w:type="dxa"/>
            </w:tcMar>
          </w:tcPr>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杆体和螺纹承载体（螺母）组件的抗拉力值，与杆体材料同批次送检实测；</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锚杆杆体的抗拉断综合安全系数；</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锚杆抗拔力</w:t>
            </w:r>
            <w:r>
              <w:rPr>
                <w:rFonts w:hint="eastAsia" w:asciiTheme="minorEastAsia" w:hAnsiTheme="minorEastAsia" w:eastAsiaTheme="minorEastAsia" w:cstheme="minorEastAsia"/>
                <w:color w:val="000000"/>
                <w:lang w:eastAsia="zh-CN"/>
              </w:rPr>
              <w:t>特征</w:t>
            </w:r>
            <w:r>
              <w:rPr>
                <w:rFonts w:hint="eastAsia" w:asciiTheme="minorEastAsia" w:hAnsiTheme="minorEastAsia" w:eastAsiaTheme="minorEastAsia" w:cstheme="minorEastAsia"/>
                <w:color w:val="000000"/>
              </w:rPr>
              <w:t>值（kN）；</w:t>
            </w:r>
          </w:p>
          <w:p>
            <w:pPr>
              <w:spacing w:line="312" w:lineRule="exact"/>
              <w:rPr>
                <w:rFonts w:asciiTheme="minorEastAsia" w:hAnsiTheme="minorEastAsia" w:eastAsiaTheme="minorEastAsia" w:cstheme="minorEastAsia"/>
                <w:color w:val="000000"/>
              </w:rPr>
            </w:pPr>
          </w:p>
        </w:tc>
      </w:tr>
    </w:tbl>
    <w:p>
      <w:pPr>
        <w:jc w:val="left"/>
        <w:rPr>
          <w:rFonts w:asciiTheme="minorEastAsia" w:hAnsiTheme="minorEastAsia" w:eastAsiaTheme="minorEastAsia" w:cstheme="minorEastAsia"/>
          <w:b/>
          <w:color w:val="000000"/>
          <w:sz w:val="18"/>
          <w:szCs w:val="18"/>
        </w:rPr>
      </w:pPr>
      <w:r>
        <w:rPr>
          <w:rFonts w:hint="eastAsia" w:ascii="Times New Roman" w:hAnsi="Times New Roman" w:cs="Times New Roman" w:eastAsiaTheme="minorEastAsia"/>
          <w:color w:val="000000"/>
          <w:szCs w:val="21"/>
        </w:rPr>
        <w:t>5.2.4</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b/>
          <w:color w:val="000000"/>
          <w:sz w:val="18"/>
          <w:szCs w:val="18"/>
        </w:rPr>
        <w:t xml:space="preserve"> </w:t>
      </w:r>
      <w:r>
        <w:rPr>
          <w:rFonts w:hint="eastAsia" w:asciiTheme="minorEastAsia" w:hAnsiTheme="minorEastAsia" w:eastAsiaTheme="minorEastAsia" w:cstheme="minorEastAsia"/>
          <w:bCs/>
          <w:color w:val="000000"/>
          <w:szCs w:val="21"/>
        </w:rPr>
        <w:t>压力型锚杆承载体应按下式验算承载体的承载面积：</w:t>
      </w:r>
    </w:p>
    <w:tbl>
      <w:tblPr>
        <w:tblStyle w:val="18"/>
        <w:tblpPr w:leftFromText="181" w:rightFromText="181" w:vertAnchor="text" w:tblpY="1"/>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63"/>
        <w:gridCol w:w="2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3563"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2"/>
                <w:sz w:val="24"/>
              </w:rPr>
              <w:object>
                <v:shape id="_x0000_i1033" o:spt="75" type="#_x0000_t75" style="height:35.05pt;width:103.3pt;" o:ole="t" filled="f" o:preferrelative="t" stroked="f" coordsize="21600,21600">
                  <v:path/>
                  <v:fill on="f" focussize="0,0"/>
                  <v:stroke on="f" joinstyle="miter"/>
                  <v:imagedata r:id="rId36" o:title=""/>
                  <o:lock v:ext="edit" aspectratio="t"/>
                  <w10:wrap type="none"/>
                  <w10:anchorlock/>
                </v:shape>
                <o:OLEObject Type="Embed" ProgID="Equation.KSEE3" ShapeID="_x0000_i1033" DrawAspect="Content" ObjectID="_1468075733" r:id="rId35">
                  <o:LockedField>false</o:LockedField>
                </o:OLEObject>
              </w:object>
            </w:r>
          </w:p>
        </w:tc>
        <w:tc>
          <w:tcPr>
            <w:tcW w:w="2780"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（5.2.4）</w:t>
            </w:r>
          </w:p>
        </w:tc>
      </w:tr>
    </w:tbl>
    <w:tbl>
      <w:tblPr>
        <w:tblStyle w:val="17"/>
        <w:tblpPr w:leftFromText="181" w:rightFromText="181" w:vertAnchor="page" w:tblpXSpec="center" w:tblpY="959"/>
        <w:tblOverlap w:val="never"/>
        <w:tblW w:w="6180" w:type="dxa"/>
        <w:jc w:val="center"/>
        <w:tblLayout w:type="fixed"/>
        <w:tblCellMar>
          <w:top w:w="0" w:type="dxa"/>
          <w:left w:w="108" w:type="dxa"/>
          <w:bottom w:w="0" w:type="dxa"/>
          <w:right w:w="108" w:type="dxa"/>
        </w:tblCellMar>
      </w:tblPr>
      <w:tblGrid>
        <w:gridCol w:w="565"/>
        <w:gridCol w:w="365"/>
        <w:gridCol w:w="489"/>
        <w:gridCol w:w="4761"/>
      </w:tblGrid>
      <w:tr>
        <w:tblPrEx>
          <w:tblCellMar>
            <w:top w:w="0" w:type="dxa"/>
            <w:left w:w="108" w:type="dxa"/>
            <w:bottom w:w="0" w:type="dxa"/>
            <w:right w:w="108" w:type="dxa"/>
          </w:tblCellMar>
        </w:tblPrEx>
        <w:trPr>
          <w:trHeight w:val="2343" w:hRule="exact"/>
          <w:jc w:val="center"/>
        </w:trPr>
        <w:tc>
          <w:tcPr>
            <w:tcW w:w="565" w:type="dxa"/>
            <w:tcMar>
              <w:left w:w="0" w:type="dxa"/>
              <w:right w:w="28" w:type="dxa"/>
            </w:tcMar>
          </w:tcPr>
          <w:p>
            <w:pPr>
              <w:spacing w:line="312" w:lineRule="exact"/>
              <w:rPr>
                <w:rFonts w:asciiTheme="minorEastAsia" w:hAnsiTheme="minorEastAsia" w:eastAsiaTheme="minorEastAsia" w:cstheme="minorEastAsia"/>
                <w:color w:val="000000"/>
                <w:sz w:val="24"/>
                <w:vertAlign w:val="subscript"/>
              </w:rPr>
            </w:pPr>
            <w:r>
              <w:rPr>
                <w:rFonts w:hint="eastAsia" w:asciiTheme="minorEastAsia" w:hAnsiTheme="minorEastAsia" w:eastAsiaTheme="minorEastAsia" w:cstheme="minorEastAsia"/>
                <w:color w:val="000000"/>
                <w:sz w:val="18"/>
                <w:szCs w:val="18"/>
              </w:rPr>
              <w:t>式中：</w:t>
            </w:r>
          </w:p>
        </w:tc>
        <w:tc>
          <w:tcPr>
            <w:tcW w:w="365" w:type="dxa"/>
            <w:tcMar>
              <w:left w:w="0" w:type="dxa"/>
              <w:right w:w="28" w:type="dxa"/>
            </w:tcMar>
          </w:tcPr>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T</w:t>
            </w:r>
            <w:r>
              <w:rPr>
                <w:rFonts w:ascii="Times New Roman" w:hAnsi="Times New Roman" w:cs="Times New Roman" w:eastAsiaTheme="minorEastAsia"/>
                <w:i/>
                <w:iCs/>
                <w:color w:val="000000"/>
                <w:sz w:val="24"/>
                <w:vertAlign w:val="subscript"/>
              </w:rPr>
              <w:t>ak</w:t>
            </w:r>
          </w:p>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A</w:t>
            </w:r>
            <w:r>
              <w:rPr>
                <w:rFonts w:ascii="Times New Roman" w:hAnsi="Times New Roman" w:cs="Times New Roman" w:eastAsiaTheme="minorEastAsia"/>
                <w:i/>
                <w:iCs/>
                <w:color w:val="000000"/>
                <w:sz w:val="24"/>
                <w:vertAlign w:val="subscript"/>
              </w:rPr>
              <w:t>p</w:t>
            </w:r>
          </w:p>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A</w:t>
            </w:r>
            <w:r>
              <w:rPr>
                <w:rFonts w:ascii="Times New Roman" w:hAnsi="Times New Roman" w:cs="Times New Roman" w:eastAsiaTheme="minorEastAsia"/>
                <w:i/>
                <w:iCs/>
                <w:color w:val="000000"/>
                <w:sz w:val="24"/>
                <w:vertAlign w:val="subscript"/>
              </w:rPr>
              <w:t>m</w:t>
            </w:r>
          </w:p>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η</w:t>
            </w:r>
            <w:r>
              <w:rPr>
                <w:rFonts w:ascii="Times New Roman" w:hAnsi="Times New Roman" w:cs="Times New Roman" w:eastAsiaTheme="minorEastAsia"/>
                <w:i/>
                <w:iCs/>
                <w:color w:val="000000"/>
                <w:sz w:val="24"/>
                <w:vertAlign w:val="subscript"/>
              </w:rPr>
              <w:t>1</w:t>
            </w:r>
          </w:p>
          <w:p>
            <w:pPr>
              <w:spacing w:line="312" w:lineRule="exact"/>
              <w:ind w:right="360"/>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η</w:t>
            </w:r>
          </w:p>
          <w:p>
            <w:pPr>
              <w:spacing w:line="312" w:lineRule="exact"/>
              <w:ind w:right="360"/>
              <w:jc w:val="center"/>
              <w:rPr>
                <w:rFonts w:ascii="Times New Roman" w:hAnsi="Times New Roman" w:cs="Times New Roman" w:eastAsiaTheme="minorEastAsia"/>
                <w:i/>
                <w:color w:val="000000"/>
                <w:sz w:val="24"/>
              </w:rPr>
            </w:pPr>
          </w:p>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f</w:t>
            </w:r>
            <w:r>
              <w:rPr>
                <w:rFonts w:ascii="Times New Roman" w:hAnsi="Times New Roman" w:cs="Times New Roman" w:eastAsiaTheme="minorEastAsia"/>
                <w:i/>
                <w:iCs/>
                <w:color w:val="000000"/>
                <w:sz w:val="24"/>
                <w:vertAlign w:val="subscript"/>
              </w:rPr>
              <w:t>c</w:t>
            </w:r>
            <w:r>
              <w:rPr>
                <w:rFonts w:hint="eastAsia" w:ascii="Times New Roman" w:hAnsi="Times New Roman" w:cs="Times New Roman" w:eastAsiaTheme="minorEastAsia"/>
                <w:i/>
                <w:iCs/>
                <w:color w:val="000000"/>
                <w:sz w:val="24"/>
                <w:vertAlign w:val="subscript"/>
              </w:rPr>
              <w:t>k</w:t>
            </w:r>
          </w:p>
          <w:p>
            <w:pPr>
              <w:spacing w:line="312" w:lineRule="exact"/>
              <w:ind w:right="360"/>
              <w:jc w:val="left"/>
              <w:rPr>
                <w:rFonts w:asciiTheme="minorEastAsia" w:hAnsiTheme="minorEastAsia" w:eastAsiaTheme="minorEastAsia" w:cstheme="minorEastAsia"/>
                <w:i/>
                <w:color w:val="000000"/>
                <w:sz w:val="24"/>
              </w:rPr>
            </w:pPr>
          </w:p>
        </w:tc>
        <w:tc>
          <w:tcPr>
            <w:tcW w:w="489"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tc>
        <w:tc>
          <w:tcPr>
            <w:tcW w:w="4761" w:type="dxa"/>
            <w:tcMar>
              <w:left w:w="0" w:type="dxa"/>
              <w:right w:w="0" w:type="dxa"/>
            </w:tcMar>
          </w:tcPr>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锚杆抗拔力特征值（kN）；</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承载体与注浆体横截面净接触面积(m²);</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囊体横截面积(m²);</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钢丝笼对注浆体抗压强度增大系数；</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压力型锚杆有侧限锚固段注浆体强度增大系数，土层取</w:t>
            </w:r>
            <w:r>
              <w:rPr>
                <w:rFonts w:hint="default" w:ascii="Times New Roman" w:hAnsi="Times New Roman" w:cs="Times New Roman" w:eastAsiaTheme="minorEastAsia"/>
                <w:color w:val="000000"/>
              </w:rPr>
              <w:t>η=1.0</w:t>
            </w:r>
            <w:r>
              <w:rPr>
                <w:rFonts w:hint="eastAsia" w:asciiTheme="minorEastAsia" w:hAnsiTheme="minorEastAsia" w:eastAsiaTheme="minorEastAsia" w:cstheme="minorEastAsia"/>
                <w:color w:val="000000"/>
              </w:rPr>
              <w:t>，岩石取</w:t>
            </w:r>
            <w:r>
              <w:rPr>
                <w:rFonts w:hint="default" w:ascii="Times New Roman" w:hAnsi="Times New Roman" w:cs="Times New Roman" w:eastAsiaTheme="minorEastAsia"/>
                <w:color w:val="000000"/>
              </w:rPr>
              <w:t>η=1.1~1.8</w:t>
            </w:r>
            <w:r>
              <w:rPr>
                <w:rFonts w:hint="eastAsia" w:asciiTheme="minorEastAsia" w:hAnsiTheme="minorEastAsia" w:eastAsiaTheme="minorEastAsia" w:cstheme="minorEastAsia"/>
                <w:color w:val="000000"/>
              </w:rPr>
              <w:t>并应经现场基本试验验证；</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注浆体抗压强度标准值（kPa）。</w:t>
            </w:r>
          </w:p>
        </w:tc>
      </w:tr>
    </w:tbl>
    <w:p>
      <w:pPr>
        <w:jc w:val="lef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5.2.5</w:t>
      </w:r>
      <w:r>
        <w:rPr>
          <w:rFonts w:hint="eastAsia" w:asciiTheme="minorEastAsia" w:hAnsiTheme="minorEastAsia" w:eastAsiaTheme="minorEastAsia" w:cstheme="minorEastAsia"/>
          <w:b/>
          <w:color w:val="000000"/>
          <w:sz w:val="18"/>
          <w:szCs w:val="18"/>
        </w:rPr>
        <w:t xml:space="preserve">  </w:t>
      </w:r>
      <w:r>
        <w:rPr>
          <w:rFonts w:hint="eastAsia" w:asciiTheme="minorEastAsia" w:hAnsiTheme="minorEastAsia" w:eastAsiaTheme="minorEastAsia" w:cstheme="minorEastAsia"/>
          <w:bCs/>
          <w:color w:val="000000"/>
          <w:szCs w:val="21"/>
        </w:rPr>
        <w:t>拉力型锚杆应按式（5.2.5）验算钢丝笼与水泥浆体的粘结长度；</w:t>
      </w:r>
    </w:p>
    <w:tbl>
      <w:tblPr>
        <w:tblStyle w:val="17"/>
        <w:tblpPr w:leftFromText="181" w:rightFromText="181" w:vertAnchor="text" w:tblpY="1"/>
        <w:tblOverlap w:val="never"/>
        <w:tblW w:w="0" w:type="auto"/>
        <w:tblInd w:w="0" w:type="dxa"/>
        <w:tblLayout w:type="fixed"/>
        <w:tblCellMar>
          <w:top w:w="0" w:type="dxa"/>
          <w:left w:w="108" w:type="dxa"/>
          <w:bottom w:w="0" w:type="dxa"/>
          <w:right w:w="108" w:type="dxa"/>
        </w:tblCellMar>
      </w:tblPr>
      <w:tblGrid>
        <w:gridCol w:w="3550"/>
        <w:gridCol w:w="2847"/>
      </w:tblGrid>
      <w:tr>
        <w:tblPrEx>
          <w:tblCellMar>
            <w:top w:w="0" w:type="dxa"/>
            <w:left w:w="108" w:type="dxa"/>
            <w:bottom w:w="0" w:type="dxa"/>
            <w:right w:w="108" w:type="dxa"/>
          </w:tblCellMar>
        </w:tblPrEx>
        <w:trPr>
          <w:trHeight w:val="731" w:hRule="atLeast"/>
        </w:trPr>
        <w:tc>
          <w:tcPr>
            <w:tcW w:w="3550"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0"/>
                <w:sz w:val="24"/>
              </w:rPr>
              <w:object>
                <v:shape id="_x0000_i1034" o:spt="75" type="#_x0000_t75" style="height:36.3pt;width:147.75pt;" o:ole="t" filled="f" o:preferrelative="t" stroked="f" coordsize="21600,21600">
                  <v:path/>
                  <v:fill on="f" focussize="0,0"/>
                  <v:stroke on="f" joinstyle="miter"/>
                  <v:imagedata r:id="rId38" o:title=""/>
                  <o:lock v:ext="edit" aspectratio="t"/>
                  <w10:wrap type="none"/>
                  <w10:anchorlock/>
                </v:shape>
                <o:OLEObject Type="Embed" ProgID="Equation.KSEE3" ShapeID="_x0000_i1034" DrawAspect="Content" ObjectID="_1468075734" r:id="rId37">
                  <o:LockedField>false</o:LockedField>
                </o:OLEObject>
              </w:object>
            </w:r>
          </w:p>
        </w:tc>
        <w:tc>
          <w:tcPr>
            <w:tcW w:w="2847"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（5.2.5）</w:t>
            </w:r>
          </w:p>
        </w:tc>
      </w:tr>
    </w:tbl>
    <w:tbl>
      <w:tblPr>
        <w:tblStyle w:val="17"/>
        <w:tblpPr w:leftFromText="181" w:rightFromText="181" w:vertAnchor="page" w:tblpXSpec="center" w:tblpY="959"/>
        <w:tblOverlap w:val="never"/>
        <w:tblW w:w="6180" w:type="dxa"/>
        <w:jc w:val="center"/>
        <w:tblLayout w:type="fixed"/>
        <w:tblCellMar>
          <w:top w:w="0" w:type="dxa"/>
          <w:left w:w="108" w:type="dxa"/>
          <w:bottom w:w="0" w:type="dxa"/>
          <w:right w:w="108" w:type="dxa"/>
        </w:tblCellMar>
      </w:tblPr>
      <w:tblGrid>
        <w:gridCol w:w="565"/>
        <w:gridCol w:w="365"/>
        <w:gridCol w:w="489"/>
        <w:gridCol w:w="4761"/>
      </w:tblGrid>
      <w:tr>
        <w:tblPrEx>
          <w:tblCellMar>
            <w:top w:w="0" w:type="dxa"/>
            <w:left w:w="108" w:type="dxa"/>
            <w:bottom w:w="0" w:type="dxa"/>
            <w:right w:w="108" w:type="dxa"/>
          </w:tblCellMar>
        </w:tblPrEx>
        <w:trPr>
          <w:trHeight w:val="1648" w:hRule="exact"/>
          <w:jc w:val="center"/>
        </w:trPr>
        <w:tc>
          <w:tcPr>
            <w:tcW w:w="565" w:type="dxa"/>
            <w:tcMar>
              <w:left w:w="0" w:type="dxa"/>
              <w:right w:w="28" w:type="dxa"/>
            </w:tcMar>
          </w:tcPr>
          <w:p>
            <w:pPr>
              <w:spacing w:line="312" w:lineRule="exact"/>
              <w:rPr>
                <w:rFonts w:asciiTheme="minorEastAsia" w:hAnsiTheme="minorEastAsia" w:eastAsiaTheme="minorEastAsia" w:cstheme="minorEastAsia"/>
                <w:color w:val="000000"/>
                <w:sz w:val="24"/>
                <w:vertAlign w:val="subscript"/>
              </w:rPr>
            </w:pPr>
            <w:r>
              <w:rPr>
                <w:rFonts w:hint="eastAsia" w:asciiTheme="minorEastAsia" w:hAnsiTheme="minorEastAsia" w:eastAsiaTheme="minorEastAsia" w:cstheme="minorEastAsia"/>
                <w:color w:val="000000"/>
                <w:sz w:val="18"/>
                <w:szCs w:val="18"/>
              </w:rPr>
              <w:t>式中：</w:t>
            </w:r>
          </w:p>
        </w:tc>
        <w:tc>
          <w:tcPr>
            <w:tcW w:w="365" w:type="dxa"/>
            <w:tcMar>
              <w:left w:w="0" w:type="dxa"/>
              <w:right w:w="28" w:type="dxa"/>
            </w:tcMar>
          </w:tcPr>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T</w:t>
            </w:r>
            <w:r>
              <w:rPr>
                <w:rFonts w:ascii="Times New Roman" w:hAnsi="Times New Roman" w:cs="Times New Roman" w:eastAsiaTheme="minorEastAsia"/>
                <w:i/>
                <w:iCs/>
                <w:color w:val="000000"/>
                <w:sz w:val="24"/>
                <w:vertAlign w:val="subscript"/>
              </w:rPr>
              <w:t>ak</w:t>
            </w:r>
          </w:p>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K</w:t>
            </w:r>
            <w:r>
              <w:rPr>
                <w:rFonts w:ascii="Times New Roman" w:hAnsi="Times New Roman" w:cs="Times New Roman" w:eastAsiaTheme="minorEastAsia"/>
                <w:i/>
                <w:iCs/>
                <w:color w:val="000000"/>
                <w:sz w:val="24"/>
                <w:vertAlign w:val="subscript"/>
              </w:rPr>
              <w:t>s</w:t>
            </w:r>
          </w:p>
          <w:p>
            <w:pPr>
              <w:spacing w:line="312" w:lineRule="exact"/>
              <w:jc w:val="center"/>
              <w:rPr>
                <w:rFonts w:ascii="Times New Roman" w:hAnsi="Times New Roman" w:cs="Times New Roman" w:eastAsiaTheme="minorEastAsia"/>
                <w:i/>
                <w:iCs/>
                <w:color w:val="000000"/>
                <w:sz w:val="24"/>
              </w:rPr>
            </w:pPr>
          </w:p>
          <w:p>
            <w:pPr>
              <w:spacing w:line="312" w:lineRule="exact"/>
              <w:jc w:val="center"/>
              <w:rPr>
                <w:rFonts w:ascii="Times New Roman" w:hAnsi="Times New Roman" w:cs="Times New Roman" w:eastAsiaTheme="minorEastAsia"/>
                <w:i/>
                <w:iCs/>
                <w:color w:val="000000"/>
                <w:sz w:val="28"/>
                <w:szCs w:val="28"/>
                <w:vertAlign w:val="subscript"/>
              </w:rPr>
            </w:pPr>
            <w:r>
              <w:rPr>
                <w:rFonts w:ascii="Times New Roman" w:hAnsi="Times New Roman" w:cs="Times New Roman" w:eastAsiaTheme="minorEastAsia"/>
                <w:i/>
                <w:iCs/>
                <w:color w:val="000000"/>
                <w:sz w:val="28"/>
                <w:szCs w:val="28"/>
              </w:rPr>
              <w:t>D</w:t>
            </w:r>
            <w:r>
              <w:rPr>
                <w:rFonts w:ascii="Times New Roman" w:hAnsi="Times New Roman" w:cs="Times New Roman" w:eastAsiaTheme="minorEastAsia"/>
                <w:i/>
                <w:iCs/>
                <w:color w:val="000000"/>
                <w:sz w:val="28"/>
                <w:szCs w:val="28"/>
                <w:vertAlign w:val="subscript"/>
              </w:rPr>
              <w:t>3</w:t>
            </w:r>
          </w:p>
          <w:p>
            <w:pPr>
              <w:spacing w:line="312" w:lineRule="exact"/>
              <w:jc w:val="center"/>
              <w:rPr>
                <w:rFonts w:ascii="Times New Roman" w:hAnsi="Times New Roman" w:cs="Times New Roman" w:eastAsiaTheme="minorEastAsia"/>
                <w:i/>
                <w:iCs/>
                <w:color w:val="000000"/>
                <w:sz w:val="28"/>
                <w:szCs w:val="28"/>
                <w:vertAlign w:val="subscript"/>
              </w:rPr>
            </w:pPr>
            <w:r>
              <w:rPr>
                <w:rFonts w:ascii="Times New Roman" w:hAnsi="Times New Roman" w:cs="Times New Roman" w:eastAsiaTheme="minorEastAsia"/>
                <w:i/>
                <w:iCs/>
                <w:color w:val="000000"/>
                <w:sz w:val="24"/>
              </w:rPr>
              <w:t>L</w:t>
            </w:r>
            <w:r>
              <w:rPr>
                <w:rFonts w:ascii="Times New Roman" w:hAnsi="Times New Roman" w:cs="Times New Roman" w:eastAsiaTheme="minorEastAsia"/>
                <w:i/>
                <w:iCs/>
                <w:color w:val="000000"/>
                <w:sz w:val="28"/>
                <w:szCs w:val="28"/>
                <w:vertAlign w:val="subscript"/>
              </w:rPr>
              <w:t>n</w:t>
            </w:r>
          </w:p>
          <w:p>
            <w:pPr>
              <w:spacing w:line="312" w:lineRule="exact"/>
              <w:ind w:right="360"/>
              <w:jc w:val="right"/>
              <w:rPr>
                <w:rFonts w:ascii="Times New Roman" w:hAnsi="Times New Roman" w:cs="Times New Roman" w:eastAsiaTheme="minorEastAsia"/>
                <w:i/>
                <w:color w:val="000000"/>
                <w:sz w:val="24"/>
                <w:vertAlign w:val="subscript"/>
              </w:rPr>
            </w:pPr>
          </w:p>
        </w:tc>
        <w:tc>
          <w:tcPr>
            <w:tcW w:w="489"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tc>
        <w:tc>
          <w:tcPr>
            <w:tcW w:w="4761" w:type="dxa"/>
            <w:tcMar>
              <w:left w:w="0" w:type="dxa"/>
              <w:right w:w="0" w:type="dxa"/>
            </w:tcMar>
          </w:tcPr>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锚杆抗拔力特征值（kN）；</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锚杆与注浆体的粘结安全系数，按本规程表5.1.1取值；</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笼芯直径（m）；</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笼芯长度（m）；</w:t>
            </w:r>
          </w:p>
          <w:p>
            <w:pPr>
              <w:spacing w:line="312" w:lineRule="exact"/>
              <w:rPr>
                <w:rFonts w:asciiTheme="minorEastAsia" w:hAnsiTheme="minorEastAsia" w:eastAsiaTheme="minorEastAsia" w:cstheme="minorEastAsia"/>
                <w:color w:val="000000"/>
              </w:rPr>
            </w:pPr>
          </w:p>
        </w:tc>
      </w:tr>
      <w:tr>
        <w:tblPrEx>
          <w:tblCellMar>
            <w:top w:w="0" w:type="dxa"/>
            <w:left w:w="108" w:type="dxa"/>
            <w:bottom w:w="0" w:type="dxa"/>
            <w:right w:w="108" w:type="dxa"/>
          </w:tblCellMar>
        </w:tblPrEx>
        <w:trPr>
          <w:trHeight w:val="1542" w:hRule="exact"/>
          <w:jc w:val="center"/>
        </w:trPr>
        <w:tc>
          <w:tcPr>
            <w:tcW w:w="565" w:type="dxa"/>
            <w:tcMar>
              <w:left w:w="0" w:type="dxa"/>
              <w:right w:w="28" w:type="dxa"/>
            </w:tcMar>
          </w:tcPr>
          <w:p>
            <w:pPr>
              <w:spacing w:line="312" w:lineRule="exact"/>
              <w:rPr>
                <w:rFonts w:asciiTheme="minorEastAsia" w:hAnsiTheme="minorEastAsia" w:eastAsiaTheme="minorEastAsia" w:cstheme="minorEastAsia"/>
                <w:color w:val="000000"/>
                <w:sz w:val="24"/>
                <w:vertAlign w:val="subscript"/>
              </w:rPr>
            </w:pPr>
          </w:p>
        </w:tc>
        <w:tc>
          <w:tcPr>
            <w:tcW w:w="365" w:type="dxa"/>
            <w:tcMar>
              <w:left w:w="0" w:type="dxa"/>
              <w:right w:w="28" w:type="dxa"/>
            </w:tcMar>
          </w:tcPr>
          <w:p>
            <w:pPr>
              <w:spacing w:line="312" w:lineRule="exact"/>
              <w:jc w:val="center"/>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f</w:t>
            </w:r>
            <w:r>
              <w:rPr>
                <w:rFonts w:ascii="Times New Roman" w:hAnsi="Times New Roman" w:cs="Times New Roman" w:eastAsiaTheme="minorEastAsia"/>
                <w:i/>
                <w:iCs/>
                <w:color w:val="000000"/>
                <w:sz w:val="24"/>
                <w:vertAlign w:val="subscript"/>
              </w:rPr>
              <w:t>ms</w:t>
            </w:r>
          </w:p>
          <w:p>
            <w:pPr>
              <w:spacing w:line="312" w:lineRule="exact"/>
              <w:jc w:val="center"/>
              <w:rPr>
                <w:rFonts w:ascii="Times New Roman" w:hAnsi="Times New Roman" w:cs="Times New Roman" w:eastAsiaTheme="minorEastAsia"/>
                <w:i/>
                <w:iCs/>
                <w:color w:val="000000"/>
                <w:sz w:val="24"/>
              </w:rPr>
            </w:pPr>
          </w:p>
          <w:p>
            <w:pPr>
              <w:spacing w:line="312" w:lineRule="exact"/>
              <w:jc w:val="center"/>
              <w:rPr>
                <w:rFonts w:ascii="Times New Roman" w:hAnsi="Times New Roman" w:cs="Times New Roman" w:eastAsiaTheme="minorEastAsia"/>
                <w:i/>
                <w:iCs/>
                <w:color w:val="000000"/>
                <w:sz w:val="24"/>
              </w:rPr>
            </w:pPr>
          </w:p>
          <w:p>
            <w:pPr>
              <w:spacing w:line="312" w:lineRule="exact"/>
              <w:jc w:val="center"/>
              <w:rPr>
                <w:rFonts w:ascii="Times New Roman" w:hAnsi="Times New Roman" w:cs="Times New Roman" w:eastAsiaTheme="minorEastAsia"/>
                <w:i/>
                <w:iCs/>
                <w:color w:val="000000"/>
                <w:sz w:val="24"/>
              </w:rPr>
            </w:pPr>
          </w:p>
          <w:p>
            <w:pPr>
              <w:spacing w:line="312" w:lineRule="exact"/>
              <w:jc w:val="center"/>
              <w:rPr>
                <w:rFonts w:ascii="Times New Roman" w:hAnsi="Times New Roman" w:cs="Times New Roman" w:eastAsiaTheme="minorEastAsia"/>
                <w:i/>
                <w:iCs/>
                <w:color w:val="000000"/>
                <w:sz w:val="24"/>
              </w:rPr>
            </w:pPr>
            <w:r>
              <w:rPr>
                <w:rFonts w:ascii="Times New Roman" w:hAnsi="Times New Roman" w:cs="Times New Roman" w:eastAsiaTheme="minorEastAsia"/>
                <w:i/>
                <w:iCs/>
                <w:color w:val="000000"/>
                <w:sz w:val="24"/>
              </w:rPr>
              <w:t>f</w:t>
            </w:r>
            <w:r>
              <w:rPr>
                <w:rFonts w:ascii="Times New Roman" w:hAnsi="Times New Roman" w:cs="Times New Roman" w:eastAsiaTheme="minorEastAsia"/>
                <w:i/>
                <w:iCs/>
                <w:color w:val="000000"/>
                <w:sz w:val="24"/>
                <w:vertAlign w:val="subscript"/>
              </w:rPr>
              <w:t>c</w:t>
            </w:r>
            <w:r>
              <w:rPr>
                <w:rFonts w:hint="eastAsia" w:ascii="Times New Roman" w:hAnsi="Times New Roman" w:cs="Times New Roman" w:eastAsiaTheme="minorEastAsia"/>
                <w:i/>
                <w:iCs/>
                <w:color w:val="000000"/>
                <w:sz w:val="24"/>
                <w:vertAlign w:val="subscript"/>
              </w:rPr>
              <w:t>k</w:t>
            </w:r>
          </w:p>
          <w:p>
            <w:pPr>
              <w:spacing w:line="312" w:lineRule="exact"/>
              <w:ind w:right="360"/>
              <w:jc w:val="left"/>
              <w:rPr>
                <w:rFonts w:ascii="Times New Roman" w:hAnsi="Times New Roman" w:cs="Times New Roman" w:eastAsiaTheme="minorEastAsia"/>
                <w:i/>
                <w:color w:val="000000"/>
                <w:sz w:val="24"/>
              </w:rPr>
            </w:pPr>
          </w:p>
        </w:tc>
        <w:tc>
          <w:tcPr>
            <w:tcW w:w="489"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tc>
        <w:tc>
          <w:tcPr>
            <w:tcW w:w="4761" w:type="dxa"/>
            <w:tcMar>
              <w:left w:w="0" w:type="dxa"/>
              <w:right w:w="0" w:type="dxa"/>
            </w:tcMar>
          </w:tcPr>
          <w:p>
            <w:pPr>
              <w:spacing w:line="312" w:lineRule="exact"/>
              <w:jc w:val="left"/>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rPr>
              <w:t>囊袋内注浆体与钢丝笼侧壁粘结强度标准值（kPa）,通过试验确定；当无试验资料时，可</w:t>
            </w:r>
            <w:r>
              <w:rPr>
                <w:rFonts w:hint="eastAsia" w:asciiTheme="minorEastAsia" w:hAnsiTheme="minorEastAsia" w:eastAsiaTheme="minorEastAsia" w:cstheme="minorEastAsia"/>
                <w:color w:val="000000"/>
                <w:lang w:eastAsia="zh-CN"/>
              </w:rPr>
              <w:t>根据注浆体强度</w:t>
            </w:r>
            <w:r>
              <w:rPr>
                <w:rFonts w:hint="eastAsia" w:asciiTheme="minorEastAsia" w:hAnsiTheme="minorEastAsia" w:eastAsiaTheme="minorEastAsia" w:cstheme="minorEastAsia"/>
                <w:color w:val="000000"/>
                <w:lang w:val="en-US" w:eastAsia="zh-CN"/>
              </w:rPr>
              <w:t>(25MPa</w:t>
            </w:r>
            <w:r>
              <w:rPr>
                <w:rFonts w:hint="default" w:ascii="Times New Roman" w:hAnsi="Times New Roman" w:cs="Times New Roman" w:eastAsiaTheme="minorEastAsia"/>
                <w:color w:val="000000"/>
                <w:lang w:val="en-US" w:eastAsia="zh-CN"/>
              </w:rPr>
              <w:t>~</w:t>
            </w:r>
            <w:r>
              <w:rPr>
                <w:rFonts w:hint="eastAsia" w:asciiTheme="minorEastAsia" w:hAnsiTheme="minorEastAsia" w:eastAsiaTheme="minorEastAsia" w:cstheme="minorEastAsia"/>
                <w:color w:val="000000"/>
                <w:lang w:val="en-US" w:eastAsia="zh-CN"/>
              </w:rPr>
              <w:t>40MPa）取</w:t>
            </w:r>
            <w:r>
              <w:rPr>
                <w:rFonts w:hint="default" w:ascii="Times New Roman" w:hAnsi="Times New Roman" w:cs="Times New Roman" w:eastAsiaTheme="minorEastAsia"/>
                <w:color w:val="000000"/>
                <w:lang w:val="en-US" w:eastAsia="zh-CN"/>
              </w:rPr>
              <w:t>fms=2000</w:t>
            </w:r>
            <w:r>
              <w:rPr>
                <w:rFonts w:hint="eastAsia" w:ascii="Times New Roman" w:hAnsi="Times New Roman" w:cs="Times New Roman" w:eastAsiaTheme="minorEastAsia"/>
                <w:color w:val="000000"/>
                <w:lang w:val="en-US" w:eastAsia="zh-CN"/>
              </w:rPr>
              <w:t>kPa</w:t>
            </w:r>
            <w:r>
              <w:rPr>
                <w:rFonts w:hint="default" w:ascii="Times New Roman" w:hAnsi="Times New Roman" w:cs="Times New Roman" w:eastAsiaTheme="minorEastAsia"/>
                <w:color w:val="000000"/>
                <w:lang w:val="en-US" w:eastAsia="zh-CN"/>
              </w:rPr>
              <w:t>~3000kPa</w:t>
            </w:r>
            <w:r>
              <w:rPr>
                <w:rFonts w:hint="eastAsia" w:asciiTheme="minorEastAsia" w:hAnsiTheme="minorEastAsia" w:eastAsiaTheme="minorEastAsia" w:cstheme="minorEastAsia"/>
                <w:color w:val="000000"/>
                <w:lang w:val="en-US" w:eastAsia="zh-CN"/>
              </w:rPr>
              <w:t>,并应经过锚杆基本试验验证确定。</w:t>
            </w:r>
          </w:p>
          <w:p>
            <w:pPr>
              <w:spacing w:line="312" w:lineRule="exac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囊袋前注浆体抗压强度标准值（kPa）。</w:t>
            </w:r>
          </w:p>
        </w:tc>
      </w:tr>
    </w:tbl>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5.2.6</w:t>
      </w:r>
      <w:r>
        <w:rPr>
          <w:rFonts w:hint="eastAsia" w:asciiTheme="minorEastAsia" w:hAnsiTheme="minorEastAsia" w:eastAsiaTheme="minorEastAsia" w:cstheme="minorEastAsia"/>
          <w:color w:val="000000"/>
          <w:szCs w:val="21"/>
        </w:rPr>
        <w:t xml:space="preserve">  扩大头锚杆和等直径锚杆的抗拔力极限值应满足下式要求：</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5"/>
        <w:gridCol w:w="3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3175"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24"/>
                <w:sz w:val="24"/>
              </w:rPr>
              <w:object>
                <v:shape id="_x0000_i1035" o:spt="75" type="#_x0000_t75" style="height:30.7pt;width:20.65pt;" o:ole="t" filled="f" o:preferrelative="t" stroked="f" coordsize="21600,21600">
                  <v:path/>
                  <v:fill on="f" focussize="0,0"/>
                  <v:stroke on="f" joinstyle="miter"/>
                  <v:imagedata r:id="rId40" o:title=""/>
                  <o:lock v:ext="edit" aspectratio="t"/>
                  <w10:wrap type="none"/>
                  <w10:anchorlock/>
                </v:shape>
                <o:OLEObject Type="Embed" ProgID="Equation.KSEE3" ShapeID="_x0000_i1035" DrawAspect="Content" ObjectID="_1468075735" r:id="rId39">
                  <o:LockedField>false</o:LockedField>
                </o:OLEObject>
              </w:objec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position w:val="-12"/>
                <w:sz w:val="24"/>
              </w:rPr>
              <w:object>
                <v:shape id="_x0000_i1036" o:spt="75" type="#_x0000_t75" style="height:18.15pt;width:16.9pt;" o:ole="t" filled="f" o:preferrelative="t" stroked="f" coordsize="21600,21600">
                  <v:path/>
                  <v:fill on="f" focussize="0,0"/>
                  <v:stroke on="f" joinstyle="miter"/>
                  <v:imagedata r:id="rId42" o:title=""/>
                  <o:lock v:ext="edit" aspectratio="t"/>
                  <w10:wrap type="none"/>
                  <w10:anchorlock/>
                </v:shape>
                <o:OLEObject Type="Embed" ProgID="Equation.KSEE3" ShapeID="_x0000_i1036" DrawAspect="Content" ObjectID="_1468075736" r:id="rId41">
                  <o:LockedField>false</o:LockedField>
                </o:OLEObject>
              </w:object>
            </w:r>
          </w:p>
        </w:tc>
        <w:tc>
          <w:tcPr>
            <w:tcW w:w="3222" w:type="dxa"/>
            <w:vAlign w:val="center"/>
          </w:tcPr>
          <w:p>
            <w:pPr>
              <w:spacing w:line="312"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(5.2.6)</w:t>
            </w:r>
          </w:p>
        </w:tc>
      </w:tr>
    </w:tbl>
    <w:tbl>
      <w:tblPr>
        <w:tblStyle w:val="17"/>
        <w:tblpPr w:leftFromText="181" w:rightFromText="181" w:vertAnchor="text" w:horzAnchor="margin" w:tblpY="1"/>
        <w:tblOverlap w:val="never"/>
        <w:tblW w:w="5955" w:type="dxa"/>
        <w:tblInd w:w="0" w:type="dxa"/>
        <w:tblLayout w:type="fixed"/>
        <w:tblCellMar>
          <w:top w:w="0" w:type="dxa"/>
          <w:left w:w="108" w:type="dxa"/>
          <w:bottom w:w="0" w:type="dxa"/>
          <w:right w:w="108" w:type="dxa"/>
        </w:tblCellMar>
      </w:tblPr>
      <w:tblGrid>
        <w:gridCol w:w="585"/>
        <w:gridCol w:w="458"/>
        <w:gridCol w:w="561"/>
        <w:gridCol w:w="4351"/>
      </w:tblGrid>
      <w:tr>
        <w:tblPrEx>
          <w:tblCellMar>
            <w:top w:w="0" w:type="dxa"/>
            <w:left w:w="108" w:type="dxa"/>
            <w:bottom w:w="0" w:type="dxa"/>
            <w:right w:w="108" w:type="dxa"/>
          </w:tblCellMar>
        </w:tblPrEx>
        <w:trPr>
          <w:trHeight w:val="1304" w:hRule="exact"/>
        </w:trPr>
        <w:tc>
          <w:tcPr>
            <w:tcW w:w="585"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458" w:type="dxa"/>
            <w:tcMar>
              <w:left w:w="0" w:type="dxa"/>
              <w:right w:w="28" w:type="dxa"/>
            </w:tcMar>
          </w:tcPr>
          <w:p>
            <w:pPr>
              <w:spacing w:line="312" w:lineRule="exact"/>
              <w:jc w:val="center"/>
              <w:rPr>
                <w:rFonts w:ascii="Times New Roman" w:hAnsi="Times New Roman" w:cs="Times New Roman" w:eastAsiaTheme="minorEastAsia"/>
                <w:i/>
                <w:color w:val="000000"/>
                <w:sz w:val="24"/>
                <w:vertAlign w:val="subscript"/>
                <w:lang w:val="de-DE"/>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i/>
                <w:color w:val="000000"/>
                <w:sz w:val="24"/>
                <w:vertAlign w:val="subscript"/>
                <w:lang w:val="de-DE"/>
              </w:rPr>
              <w:t>uk</w:t>
            </w:r>
          </w:p>
          <w:p>
            <w:pPr>
              <w:spacing w:line="312" w:lineRule="exact"/>
              <w:jc w:val="center"/>
              <w:rPr>
                <w:rFonts w:ascii="Times New Roman" w:hAnsi="Times New Roman" w:cs="Times New Roman" w:eastAsiaTheme="minorEastAsia"/>
                <w:i/>
                <w:color w:val="000000"/>
                <w:sz w:val="24"/>
                <w:lang w:val="de-DE"/>
              </w:rPr>
            </w:pPr>
          </w:p>
          <w:p>
            <w:pPr>
              <w:spacing w:line="312" w:lineRule="exact"/>
              <w:jc w:val="center"/>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i/>
                <w:color w:val="000000"/>
                <w:sz w:val="24"/>
                <w:vertAlign w:val="subscript"/>
                <w:lang w:val="de-DE"/>
              </w:rPr>
              <w:t>ak</w:t>
            </w:r>
          </w:p>
          <w:p>
            <w:pPr>
              <w:spacing w:line="312" w:lineRule="exact"/>
              <w:jc w:val="center"/>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K</w:t>
            </w:r>
          </w:p>
          <w:p>
            <w:pPr>
              <w:spacing w:line="312" w:lineRule="exact"/>
              <w:ind w:right="1440"/>
              <w:jc w:val="center"/>
              <w:rPr>
                <w:rFonts w:asciiTheme="minorEastAsia" w:hAnsiTheme="minorEastAsia" w:eastAsiaTheme="minorEastAsia" w:cstheme="minorEastAsia"/>
                <w:i/>
                <w:color w:val="000000"/>
                <w:sz w:val="24"/>
              </w:rPr>
            </w:pPr>
          </w:p>
        </w:tc>
        <w:tc>
          <w:tcPr>
            <w:tcW w:w="561" w:type="dxa"/>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4351" w:type="dxa"/>
            <w:tcMar>
              <w:left w:w="0" w:type="dxa"/>
              <w:right w:w="28"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锚杆抗拔力极限值（kN)，按下述第5.2.7条</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或第5.2.8条确定；</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锚杆抗拔力特征值（kN）；</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锚杆抗拔安全系数，按表5.1.1取值。</w:t>
            </w:r>
          </w:p>
        </w:tc>
      </w:tr>
    </w:tbl>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5.2.7</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扩大头笼芯囊锚杆抗拔力极限值与土质、扩大头埋深、扩大头尺寸和施工工艺有关，应通过现场原位基本试验确定；无试验资料时，可按式（5.2.7-1）计算，但实际施工时必须通过现场基本试验验证确定。</w:t>
      </w:r>
    </w:p>
    <w:tbl>
      <w:tblPr>
        <w:tblStyle w:val="17"/>
        <w:tblW w:w="6453" w:type="dxa"/>
        <w:jc w:val="center"/>
        <w:tblLayout w:type="fixed"/>
        <w:tblCellMar>
          <w:top w:w="0" w:type="dxa"/>
          <w:left w:w="108" w:type="dxa"/>
          <w:bottom w:w="0" w:type="dxa"/>
          <w:right w:w="108" w:type="dxa"/>
        </w:tblCellMar>
      </w:tblPr>
      <w:tblGrid>
        <w:gridCol w:w="5028"/>
        <w:gridCol w:w="1425"/>
      </w:tblGrid>
      <w:tr>
        <w:tblPrEx>
          <w:tblCellMar>
            <w:top w:w="0" w:type="dxa"/>
            <w:left w:w="108" w:type="dxa"/>
            <w:bottom w:w="0" w:type="dxa"/>
            <w:right w:w="108" w:type="dxa"/>
          </w:tblCellMar>
        </w:tblPrEx>
        <w:trPr>
          <w:trHeight w:val="680" w:hRule="exact"/>
          <w:jc w:val="center"/>
        </w:trPr>
        <w:tc>
          <w:tcPr>
            <w:tcW w:w="5028" w:type="dxa"/>
            <w:vAlign w:val="center"/>
          </w:tcPr>
          <w:p>
            <w:pPr>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position w:val="-24"/>
                <w:sz w:val="20"/>
                <w:szCs w:val="22"/>
              </w:rPr>
              <w:pict>
                <v:shape id="_x0000_s1033" o:spid="_x0000_s1033" o:spt="75" type="#_x0000_t75" style="position:absolute;left:0pt;margin-left:30.95pt;margin-top:1.2pt;height:33.25pt;width:175.45pt;mso-wrap-distance-bottom:0pt;mso-wrap-distance-left:9pt;mso-wrap-distance-right:9pt;mso-wrap-distance-top:0pt;z-index:397982720;mso-width-relative:page;mso-height-relative:page;" o:ole="t" filled="f" o:preferrelative="t" stroked="f" coordsize="21600,21600">
                  <v:path/>
                  <v:fill on="f" focussize="0,0"/>
                  <v:stroke on="f" joinstyle="miter"/>
                  <v:imagedata r:id="rId44" o:title=""/>
                  <o:lock v:ext="edit" aspectratio="t"/>
                  <w10:wrap type="square"/>
                </v:shape>
                <o:OLEObject Type="Embed" ProgID="Equation.3" ShapeID="_x0000_s1033" DrawAspect="Content" ObjectID="_1468075737" r:id="rId43">
                  <o:LockedField>false</o:LockedField>
                </o:OLEObject>
              </w:pict>
            </w:r>
          </w:p>
        </w:tc>
        <w:tc>
          <w:tcPr>
            <w:tcW w:w="1425" w:type="dxa"/>
            <w:vAlign w:val="center"/>
          </w:tcPr>
          <w:p>
            <w:pP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（5.2.7-1）</w:t>
            </w:r>
          </w:p>
        </w:tc>
      </w:tr>
    </w:tbl>
    <w:tbl>
      <w:tblPr>
        <w:tblStyle w:val="17"/>
        <w:tblpPr w:leftFromText="181" w:rightFromText="181" w:vertAnchor="text" w:horzAnchor="margin" w:tblpY="109"/>
        <w:tblOverlap w:val="never"/>
        <w:tblW w:w="5897" w:type="dxa"/>
        <w:tblInd w:w="0" w:type="dxa"/>
        <w:tblLayout w:type="autofit"/>
        <w:tblCellMar>
          <w:top w:w="0" w:type="dxa"/>
          <w:left w:w="108" w:type="dxa"/>
          <w:bottom w:w="0" w:type="dxa"/>
          <w:right w:w="108" w:type="dxa"/>
        </w:tblCellMar>
      </w:tblPr>
      <w:tblGrid>
        <w:gridCol w:w="561"/>
        <w:gridCol w:w="391"/>
        <w:gridCol w:w="529"/>
        <w:gridCol w:w="4416"/>
      </w:tblGrid>
      <w:tr>
        <w:tblPrEx>
          <w:tblCellMar>
            <w:top w:w="0" w:type="dxa"/>
            <w:left w:w="108" w:type="dxa"/>
            <w:bottom w:w="0" w:type="dxa"/>
            <w:right w:w="108" w:type="dxa"/>
          </w:tblCellMar>
        </w:tblPrEx>
        <w:trPr>
          <w:trHeight w:val="2566" w:hRule="exact"/>
        </w:trPr>
        <w:tc>
          <w:tcPr>
            <w:tcW w:w="561"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391"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color w:val="000000"/>
                <w:sz w:val="24"/>
                <w:vertAlign w:val="subscript"/>
                <w:lang w:val="de-DE"/>
              </w:rPr>
              <w:t>uk</w:t>
            </w:r>
          </w:p>
          <w:p>
            <w:pPr>
              <w:spacing w:line="312" w:lineRule="exact"/>
              <w:jc w:val="right"/>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D</w:t>
            </w:r>
            <w:r>
              <w:rPr>
                <w:rFonts w:ascii="Times New Roman" w:hAnsi="Times New Roman" w:cs="Times New Roman" w:eastAsiaTheme="minorEastAsia"/>
                <w:color w:val="000000"/>
                <w:sz w:val="24"/>
                <w:vertAlign w:val="subscript"/>
                <w:lang w:val="de-DE"/>
              </w:rPr>
              <w:t>1</w:t>
            </w:r>
          </w:p>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D</w:t>
            </w:r>
            <w:r>
              <w:rPr>
                <w:rFonts w:ascii="Times New Roman" w:hAnsi="Times New Roman" w:cs="Times New Roman" w:eastAsiaTheme="minorEastAsia"/>
                <w:color w:val="000000"/>
                <w:sz w:val="24"/>
                <w:vertAlign w:val="subscript"/>
              </w:rPr>
              <w:t>2</w:t>
            </w:r>
          </w:p>
          <w:p>
            <w:pPr>
              <w:spacing w:line="312" w:lineRule="exact"/>
              <w:jc w:val="right"/>
              <w:rPr>
                <w:rFonts w:ascii="Times New Roman" w:hAnsi="Times New Roman" w:cs="Times New Roman" w:eastAsiaTheme="minorEastAsia"/>
                <w:i/>
                <w:color w:val="000000"/>
                <w:sz w:val="24"/>
                <w:lang w:val="de-DE"/>
              </w:rPr>
            </w:pP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D</w:t>
            </w:r>
          </w:p>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f</w:t>
            </w:r>
            <w:r>
              <w:rPr>
                <w:rFonts w:ascii="Times New Roman" w:hAnsi="Times New Roman" w:cs="Times New Roman" w:eastAsiaTheme="minorEastAsia"/>
                <w:color w:val="000000"/>
                <w:sz w:val="24"/>
                <w:vertAlign w:val="subscript"/>
              </w:rPr>
              <w:t>mg</w:t>
            </w:r>
          </w:p>
          <w:p>
            <w:pPr>
              <w:spacing w:line="312" w:lineRule="exact"/>
              <w:jc w:val="center"/>
              <w:rPr>
                <w:rFonts w:ascii="Times New Roman" w:hAnsi="Times New Roman" w:cs="Times New Roman" w:eastAsiaTheme="minorEastAsia"/>
                <w:color w:val="000000"/>
                <w:sz w:val="24"/>
                <w:vertAlign w:val="subscript"/>
              </w:rPr>
            </w:pPr>
          </w:p>
          <w:p>
            <w:pPr>
              <w:spacing w:line="312" w:lineRule="exact"/>
              <w:jc w:val="center"/>
              <w:rPr>
                <w:rFonts w:ascii="Times New Roman" w:hAnsi="Times New Roman" w:cs="Times New Roman" w:eastAsiaTheme="minorEastAsia"/>
                <w:color w:val="000000"/>
                <w:sz w:val="24"/>
                <w:vertAlign w:val="subscript"/>
              </w:rPr>
            </w:pPr>
          </w:p>
          <w:p>
            <w:pPr>
              <w:spacing w:line="312" w:lineRule="exact"/>
              <w:jc w:val="right"/>
              <w:rPr>
                <w:rFonts w:ascii="Times New Roman" w:hAnsi="Times New Roman" w:cs="Times New Roman" w:eastAsiaTheme="minorEastAsia"/>
                <w:i/>
                <w:color w:val="000000"/>
                <w:sz w:val="24"/>
                <w:vertAlign w:val="subscript"/>
              </w:rPr>
            </w:pPr>
            <w:r>
              <w:rPr>
                <w:rFonts w:ascii="Times New Roman" w:hAnsi="Times New Roman" w:cs="Times New Roman" w:eastAsiaTheme="minorEastAsia"/>
                <w:i/>
                <w:color w:val="000000"/>
                <w:sz w:val="24"/>
              </w:rPr>
              <w:t>P</w:t>
            </w:r>
            <w:r>
              <w:rPr>
                <w:rFonts w:ascii="Times New Roman" w:hAnsi="Times New Roman" w:cs="Times New Roman" w:eastAsiaTheme="minorEastAsia"/>
                <w:i/>
                <w:color w:val="000000"/>
                <w:vertAlign w:val="subscript"/>
              </w:rPr>
              <w:t>D</w:t>
            </w:r>
          </w:p>
          <w:p>
            <w:pPr>
              <w:spacing w:line="312" w:lineRule="exact"/>
              <w:jc w:val="right"/>
              <w:rPr>
                <w:rFonts w:asciiTheme="minorEastAsia" w:hAnsiTheme="minorEastAsia" w:eastAsiaTheme="minorEastAsia" w:cstheme="minorEastAsia"/>
                <w:i/>
                <w:color w:val="000000"/>
                <w:sz w:val="24"/>
              </w:rPr>
            </w:pPr>
          </w:p>
        </w:tc>
        <w:tc>
          <w:tcPr>
            <w:tcW w:w="529" w:type="dxa"/>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lef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left"/>
              <w:rPr>
                <w:rFonts w:ascii="Times New Roman" w:hAnsi="Times New Roman" w:cs="Times New Roman" w:eastAsiaTheme="minorEastAsia"/>
                <w:color w:val="000000"/>
                <w:sz w:val="24"/>
              </w:rPr>
            </w:pPr>
          </w:p>
          <w:p>
            <w:pPr>
              <w:spacing w:line="312" w:lineRule="exact"/>
              <w:jc w:val="lef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tc>
        <w:tc>
          <w:tcPr>
            <w:tcW w:w="4416" w:type="dxa"/>
            <w:tcMar>
              <w:left w:w="0" w:type="dxa"/>
              <w:right w:w="0" w:type="dxa"/>
            </w:tcMar>
          </w:tcPr>
          <w:p>
            <w:pPr>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锚杆抗拔力极限值（kN)；</w:t>
            </w:r>
          </w:p>
          <w:p>
            <w:pPr>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锚杆钻孔直径（m）；</w:t>
            </w:r>
          </w:p>
          <w:p>
            <w:pPr>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扩大头直径（m）；</w:t>
            </w:r>
          </w:p>
          <w:p>
            <w:pPr>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扩大头长度（m）；</w:t>
            </w:r>
          </w:p>
          <w:p>
            <w:pPr>
              <w:jc w:val="left"/>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扩大头段注浆体与土层间的极限摩阻强度标准值（kPa），按工程勘察报告取值，或者通过试验确定；无试验资料时，可按表5.2.7取值；</w:t>
            </w: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扩大头端前土体对扩大头的抗力强度值（kPa）</w:t>
            </w:r>
            <w:r>
              <w:rPr>
                <w:rFonts w:hint="eastAsia" w:asciiTheme="minorEastAsia" w:hAnsiTheme="minorEastAsia" w:eastAsiaTheme="minorEastAsia" w:cstheme="minorEastAsia"/>
                <w:color w:val="000000"/>
                <w:sz w:val="24"/>
              </w:rPr>
              <w:t>。</w:t>
            </w:r>
          </w:p>
          <w:p>
            <w:pPr>
              <w:jc w:val="left"/>
              <w:rPr>
                <w:rFonts w:asciiTheme="minorEastAsia" w:hAnsiTheme="minorEastAsia" w:eastAsiaTheme="minorEastAsia" w:cstheme="minorEastAsia"/>
                <w:color w:val="000000"/>
                <w:sz w:val="24"/>
              </w:rPr>
            </w:pPr>
          </w:p>
        </w:tc>
      </w:tr>
    </w:tbl>
    <w:p>
      <w:pPr>
        <w:spacing w:line="40" w:lineRule="exact"/>
        <w:rPr>
          <w:rFonts w:asciiTheme="minorEastAsia" w:hAnsiTheme="minorEastAsia" w:eastAsiaTheme="minorEastAsia" w:cstheme="minorEastAsia"/>
          <w:color w:val="000000"/>
          <w:sz w:val="24"/>
        </w:rPr>
      </w:pPr>
    </w:p>
    <w:p>
      <w:pPr>
        <w:spacing w:line="240" w:lineRule="auto"/>
        <w:jc w:val="left"/>
        <w:rPr>
          <w:rFonts w:hint="eastAsia" w:ascii="黑体" w:hAnsi="黑体" w:eastAsia="黑体" w:cs="黑体"/>
          <w:bCs/>
          <w:color w:val="000000"/>
          <w:sz w:val="18"/>
          <w:szCs w:val="18"/>
        </w:rPr>
      </w:pPr>
      <w:r>
        <w:rPr>
          <w:rFonts w:hint="eastAsia" w:ascii="黑体" w:hAnsi="黑体" w:eastAsia="黑体" w:cs="黑体"/>
          <w:bCs/>
          <w:color w:val="000000"/>
          <w:sz w:val="18"/>
          <w:szCs w:val="18"/>
        </w:rPr>
        <w:br w:type="page"/>
      </w:r>
    </w:p>
    <w:p>
      <w:pPr>
        <w:spacing w:line="360" w:lineRule="auto"/>
        <w:jc w:val="center"/>
        <w:rPr>
          <w:rFonts w:ascii="黑体" w:hAnsi="黑体" w:eastAsia="黑体" w:cs="黑体"/>
          <w:bCs/>
          <w:color w:val="000000"/>
          <w:sz w:val="18"/>
          <w:szCs w:val="18"/>
        </w:rPr>
      </w:pPr>
      <w:r>
        <w:rPr>
          <w:rFonts w:hint="eastAsia" w:ascii="黑体" w:hAnsi="黑体" w:eastAsia="黑体" w:cs="黑体"/>
          <w:bCs/>
          <w:color w:val="000000"/>
          <w:sz w:val="18"/>
          <w:szCs w:val="18"/>
        </w:rPr>
        <w:t>表5</w:t>
      </w:r>
      <w:r>
        <w:rPr>
          <w:rFonts w:hint="eastAsia" w:ascii="黑体" w:hAnsi="黑体" w:eastAsia="黑体" w:cs="黑体"/>
          <w:bCs/>
          <w:sz w:val="18"/>
          <w:szCs w:val="18"/>
        </w:rPr>
        <w:t>. 2. 7</w:t>
      </w:r>
      <w:r>
        <w:rPr>
          <w:rFonts w:hint="eastAsia" w:ascii="黑体" w:hAnsi="黑体" w:eastAsia="黑体" w:cs="黑体"/>
          <w:bCs/>
          <w:color w:val="000000"/>
          <w:sz w:val="18"/>
          <w:szCs w:val="18"/>
        </w:rPr>
        <w:t xml:space="preserve">  注浆体与土层间的极限摩阻强度标准值</w:t>
      </w:r>
    </w:p>
    <w:tbl>
      <w:tblPr>
        <w:tblStyle w:val="17"/>
        <w:tblW w:w="5606" w:type="dxa"/>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070"/>
        <w:gridCol w:w="2268"/>
        <w:gridCol w:w="226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4"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土  质</w:t>
            </w:r>
          </w:p>
        </w:tc>
        <w:tc>
          <w:tcPr>
            <w:tcW w:w="2268"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土的状态</w:t>
            </w:r>
          </w:p>
        </w:tc>
        <w:tc>
          <w:tcPr>
            <w:tcW w:w="2268" w:type="dxa"/>
            <w:tcMar>
              <w:left w:w="28" w:type="dxa"/>
              <w:right w:w="28" w:type="dxa"/>
            </w:tcMar>
            <w:vAlign w:val="center"/>
          </w:tcPr>
          <w:p>
            <w:pPr>
              <w:spacing w:line="312" w:lineRule="exact"/>
              <w:jc w:val="center"/>
              <w:rPr>
                <w:rFonts w:asciiTheme="minorEastAsia" w:hAnsiTheme="minorEastAsia" w:eastAsiaTheme="minorEastAsia" w:cstheme="minorEastAsia"/>
                <w:color w:val="000000"/>
                <w:sz w:val="18"/>
                <w:szCs w:val="18"/>
                <w:vertAlign w:val="subscript"/>
                <w:lang w:val="de-DE"/>
              </w:rPr>
            </w:pPr>
            <w:r>
              <w:rPr>
                <w:rFonts w:hint="eastAsia" w:asciiTheme="minorEastAsia" w:hAnsiTheme="minorEastAsia" w:eastAsiaTheme="minorEastAsia" w:cstheme="minorEastAsia"/>
                <w:color w:val="000000"/>
                <w:kern w:val="0"/>
                <w:sz w:val="18"/>
                <w:szCs w:val="18"/>
              </w:rPr>
              <w:t>摩阻强度标准</w:t>
            </w:r>
            <w:r>
              <w:rPr>
                <w:rFonts w:hint="eastAsia" w:asciiTheme="minorEastAsia" w:hAnsiTheme="minorEastAsia" w:eastAsiaTheme="minorEastAsia" w:cstheme="minorEastAsia"/>
                <w:color w:val="000000"/>
                <w:sz w:val="18"/>
                <w:szCs w:val="18"/>
              </w:rPr>
              <w:t>值</w:t>
            </w:r>
            <w:r>
              <w:rPr>
                <w:rFonts w:hint="eastAsia" w:asciiTheme="minorEastAsia" w:hAnsiTheme="minorEastAsia" w:eastAsiaTheme="minorEastAsia" w:cstheme="minorEastAsia"/>
                <w:color w:val="000000"/>
                <w:kern w:val="0"/>
                <w:sz w:val="18"/>
                <w:szCs w:val="18"/>
              </w:rPr>
              <w:t>（kPa）</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淤泥质土</w:t>
            </w:r>
          </w:p>
        </w:tc>
        <w:tc>
          <w:tcPr>
            <w:tcW w:w="2268"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w:t>
            </w:r>
          </w:p>
        </w:tc>
        <w:tc>
          <w:tcPr>
            <w:tcW w:w="2268" w:type="dxa"/>
            <w:tcMar>
              <w:left w:w="28" w:type="dxa"/>
              <w:right w:w="28" w:type="dxa"/>
            </w:tcMar>
            <w:vAlign w:val="center"/>
          </w:tcPr>
          <w:p>
            <w:pPr>
              <w:spacing w:line="30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16～20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1559"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lang w:eastAsia="zh-CN"/>
              </w:rPr>
              <w:t>黏</w:t>
            </w:r>
            <w:r>
              <w:rPr>
                <w:rFonts w:hint="eastAsia" w:asciiTheme="minorEastAsia" w:hAnsiTheme="minorEastAsia" w:eastAsiaTheme="minorEastAsia" w:cstheme="minorEastAsia"/>
                <w:color w:val="000000"/>
                <w:kern w:val="0"/>
                <w:sz w:val="18"/>
                <w:szCs w:val="18"/>
              </w:rPr>
              <w:t>性土</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i/>
                <w:iCs/>
                <w:color w:val="000000"/>
                <w:kern w:val="0"/>
                <w:sz w:val="18"/>
                <w:szCs w:val="18"/>
              </w:rPr>
            </w:pPr>
            <w:r>
              <w:rPr>
                <w:rFonts w:ascii="Times New Roman" w:hAnsi="Times New Roman" w:cs="Times New Roman" w:eastAsiaTheme="minorEastAsia"/>
                <w:i/>
                <w:iCs/>
                <w:color w:val="000000"/>
                <w:kern w:val="0"/>
                <w:sz w:val="18"/>
                <w:szCs w:val="18"/>
              </w:rPr>
              <w:t>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＞1</w:t>
            </w:r>
          </w:p>
          <w:p>
            <w:pPr>
              <w:spacing w:line="240" w:lineRule="exact"/>
              <w:jc w:val="center"/>
              <w:rPr>
                <w:rFonts w:ascii="Times New Roman" w:hAnsi="Times New Roman" w:cs="Times New Roman" w:eastAsiaTheme="minorEastAsia"/>
                <w:i/>
                <w:iCs/>
                <w:color w:val="000000"/>
                <w:kern w:val="0"/>
                <w:sz w:val="18"/>
                <w:szCs w:val="18"/>
              </w:rPr>
            </w:pPr>
            <w:r>
              <w:rPr>
                <w:rFonts w:ascii="Times New Roman" w:hAnsi="Times New Roman" w:cs="Times New Roman" w:eastAsiaTheme="minorEastAsia"/>
                <w:i/>
                <w:iCs/>
                <w:color w:val="000000"/>
                <w:kern w:val="0"/>
                <w:sz w:val="18"/>
                <w:szCs w:val="18"/>
              </w:rPr>
              <w:t>0.75＜I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≤1</w:t>
            </w:r>
          </w:p>
          <w:p>
            <w:pPr>
              <w:spacing w:line="240" w:lineRule="exact"/>
              <w:jc w:val="center"/>
              <w:rPr>
                <w:rFonts w:ascii="Times New Roman" w:hAnsi="Times New Roman" w:cs="Times New Roman" w:eastAsiaTheme="minorEastAsia"/>
                <w:i/>
                <w:iCs/>
                <w:color w:val="000000"/>
                <w:kern w:val="0"/>
                <w:sz w:val="18"/>
                <w:szCs w:val="18"/>
              </w:rPr>
            </w:pPr>
            <w:r>
              <w:rPr>
                <w:rFonts w:ascii="Times New Roman" w:hAnsi="Times New Roman" w:cs="Times New Roman" w:eastAsiaTheme="minorEastAsia"/>
                <w:i/>
                <w:iCs/>
                <w:color w:val="000000"/>
                <w:kern w:val="0"/>
                <w:sz w:val="18"/>
                <w:szCs w:val="18"/>
              </w:rPr>
              <w:t>0.50＜I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≤0.75</w:t>
            </w:r>
          </w:p>
          <w:p>
            <w:pPr>
              <w:spacing w:line="240" w:lineRule="exact"/>
              <w:jc w:val="center"/>
              <w:rPr>
                <w:rFonts w:ascii="Times New Roman" w:hAnsi="Times New Roman" w:cs="Times New Roman" w:eastAsiaTheme="minorEastAsia"/>
                <w:i/>
                <w:iCs/>
                <w:color w:val="000000"/>
                <w:kern w:val="0"/>
                <w:sz w:val="18"/>
                <w:szCs w:val="18"/>
              </w:rPr>
            </w:pPr>
            <w:r>
              <w:rPr>
                <w:rFonts w:ascii="Times New Roman" w:hAnsi="Times New Roman" w:cs="Times New Roman" w:eastAsiaTheme="minorEastAsia"/>
                <w:i/>
                <w:iCs/>
                <w:color w:val="000000"/>
                <w:kern w:val="0"/>
                <w:sz w:val="18"/>
                <w:szCs w:val="18"/>
              </w:rPr>
              <w:t>0.25＜I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≤0.50</w:t>
            </w:r>
          </w:p>
          <w:p>
            <w:pPr>
              <w:spacing w:line="240" w:lineRule="exact"/>
              <w:jc w:val="center"/>
              <w:rPr>
                <w:rFonts w:ascii="Times New Roman" w:hAnsi="Times New Roman" w:cs="Times New Roman" w:eastAsiaTheme="minorEastAsia"/>
                <w:i/>
                <w:iCs/>
                <w:color w:val="000000"/>
                <w:kern w:val="0"/>
                <w:sz w:val="18"/>
                <w:szCs w:val="18"/>
              </w:rPr>
            </w:pPr>
            <w:r>
              <w:rPr>
                <w:rFonts w:ascii="Times New Roman" w:hAnsi="Times New Roman" w:cs="Times New Roman" w:eastAsiaTheme="minorEastAsia"/>
                <w:i/>
                <w:iCs/>
                <w:color w:val="000000"/>
                <w:kern w:val="0"/>
                <w:sz w:val="18"/>
                <w:szCs w:val="18"/>
              </w:rPr>
              <w:t>0＜I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≤0.25</w:t>
            </w:r>
          </w:p>
          <w:p>
            <w:pPr>
              <w:spacing w:line="240" w:lineRule="exact"/>
              <w:jc w:val="center"/>
              <w:rPr>
                <w:rFonts w:asciiTheme="minorEastAsia" w:hAnsiTheme="minorEastAsia" w:eastAsiaTheme="minorEastAsia" w:cstheme="minorEastAsia"/>
                <w:color w:val="000000"/>
                <w:kern w:val="0"/>
                <w:sz w:val="18"/>
                <w:szCs w:val="18"/>
              </w:rPr>
            </w:pPr>
            <w:r>
              <w:rPr>
                <w:rFonts w:ascii="Times New Roman" w:hAnsi="Times New Roman" w:cs="Times New Roman" w:eastAsiaTheme="minorEastAsia"/>
                <w:i/>
                <w:iCs/>
                <w:color w:val="000000"/>
                <w:kern w:val="0"/>
                <w:sz w:val="18"/>
                <w:szCs w:val="18"/>
              </w:rPr>
              <w:t>I</w:t>
            </w:r>
            <w:r>
              <w:rPr>
                <w:rFonts w:ascii="Times New Roman" w:hAnsi="Times New Roman" w:cs="Times New Roman" w:eastAsiaTheme="minorEastAsia"/>
                <w:i/>
                <w:iCs/>
                <w:color w:val="000000"/>
                <w:kern w:val="0"/>
                <w:sz w:val="18"/>
                <w:szCs w:val="18"/>
                <w:vertAlign w:val="subscript"/>
              </w:rPr>
              <w:t>L</w:t>
            </w:r>
            <w:r>
              <w:rPr>
                <w:rFonts w:ascii="Times New Roman" w:hAnsi="Times New Roman" w:cs="Times New Roman" w:eastAsiaTheme="minorEastAsia"/>
                <w:i/>
                <w:iCs/>
                <w:color w:val="000000"/>
                <w:kern w:val="0"/>
                <w:sz w:val="18"/>
                <w:szCs w:val="18"/>
              </w:rPr>
              <w:t>＜0</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18～30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30～40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40～53</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53～65</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65～73</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73～90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50"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粉土</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e＞0.90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0.75＜e≤0.90</w:t>
            </w:r>
          </w:p>
          <w:p>
            <w:pPr>
              <w:spacing w:line="240" w:lineRule="exact"/>
              <w:jc w:val="center"/>
              <w:rPr>
                <w:rFonts w:asciiTheme="minorEastAsia" w:hAnsiTheme="minorEastAsia" w:eastAsiaTheme="minorEastAsia" w:cstheme="minorEastAsia"/>
                <w:color w:val="000000"/>
                <w:kern w:val="0"/>
                <w:sz w:val="18"/>
                <w:szCs w:val="18"/>
              </w:rPr>
            </w:pPr>
            <w:r>
              <w:rPr>
                <w:rFonts w:ascii="Times New Roman" w:hAnsi="Times New Roman" w:cs="Times New Roman" w:eastAsiaTheme="minorEastAsia"/>
                <w:color w:val="000000"/>
                <w:kern w:val="0"/>
                <w:sz w:val="18"/>
                <w:szCs w:val="18"/>
              </w:rPr>
              <w:t>e＜0.75</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22～44</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44～64</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64～100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841"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粉细砂</w:t>
            </w:r>
          </w:p>
        </w:tc>
        <w:tc>
          <w:tcPr>
            <w:tcW w:w="2268" w:type="dxa"/>
            <w:tcMar>
              <w:left w:w="28" w:type="dxa"/>
              <w:right w:w="28" w:type="dxa"/>
            </w:tcMar>
            <w:vAlign w:val="center"/>
          </w:tcPr>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稍密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中密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密实</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22～42</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42～63</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63～85</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69"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中砂</w:t>
            </w:r>
          </w:p>
        </w:tc>
        <w:tc>
          <w:tcPr>
            <w:tcW w:w="2268" w:type="dxa"/>
            <w:tcMar>
              <w:left w:w="28" w:type="dxa"/>
              <w:right w:w="28" w:type="dxa"/>
            </w:tcMar>
            <w:vAlign w:val="center"/>
          </w:tcPr>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稍密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中密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密实</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54～74</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74～90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90～120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767"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粗砂</w:t>
            </w:r>
          </w:p>
        </w:tc>
        <w:tc>
          <w:tcPr>
            <w:tcW w:w="2268" w:type="dxa"/>
            <w:tcMar>
              <w:left w:w="28" w:type="dxa"/>
              <w:right w:w="28" w:type="dxa"/>
            </w:tcMar>
            <w:vAlign w:val="center"/>
          </w:tcPr>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稍密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中密</w:t>
            </w:r>
          </w:p>
          <w:p>
            <w:pPr>
              <w:spacing w:line="24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密实</w:t>
            </w:r>
          </w:p>
        </w:tc>
        <w:tc>
          <w:tcPr>
            <w:tcW w:w="2268" w:type="dxa"/>
            <w:tcMar>
              <w:left w:w="28" w:type="dxa"/>
              <w:right w:w="28" w:type="dxa"/>
            </w:tcMar>
            <w:vAlign w:val="center"/>
          </w:tcPr>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80～120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100～130</w:t>
            </w:r>
          </w:p>
          <w:p>
            <w:pPr>
              <w:spacing w:line="24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120～150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1070"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砾砂</w:t>
            </w:r>
          </w:p>
        </w:tc>
        <w:tc>
          <w:tcPr>
            <w:tcW w:w="2268" w:type="dxa"/>
            <w:tcMar>
              <w:left w:w="28" w:type="dxa"/>
              <w:right w:w="28" w:type="dxa"/>
            </w:tcMar>
            <w:vAlign w:val="center"/>
          </w:tcPr>
          <w:p>
            <w:pPr>
              <w:spacing w:line="300" w:lineRule="exact"/>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中密、密实</w:t>
            </w:r>
          </w:p>
        </w:tc>
        <w:tc>
          <w:tcPr>
            <w:tcW w:w="2268" w:type="dxa"/>
            <w:tcMar>
              <w:left w:w="28" w:type="dxa"/>
              <w:right w:w="28" w:type="dxa"/>
            </w:tcMar>
            <w:vAlign w:val="center"/>
          </w:tcPr>
          <w:p>
            <w:pPr>
              <w:spacing w:line="300" w:lineRule="exact"/>
              <w:jc w:val="center"/>
              <w:rPr>
                <w:rFonts w:ascii="Times New Roman" w:hAnsi="Times New Roman" w:cs="Times New Roman" w:eastAsiaTheme="minorEastAsia"/>
                <w:color w:val="000000"/>
                <w:kern w:val="0"/>
                <w:sz w:val="18"/>
                <w:szCs w:val="18"/>
              </w:rPr>
            </w:pPr>
            <w:r>
              <w:rPr>
                <w:rFonts w:ascii="Times New Roman" w:hAnsi="Times New Roman" w:cs="Times New Roman" w:eastAsiaTheme="minorEastAsia"/>
                <w:color w:val="000000"/>
                <w:kern w:val="0"/>
                <w:sz w:val="18"/>
                <w:szCs w:val="18"/>
              </w:rPr>
              <w:t>140～180</w:t>
            </w:r>
          </w:p>
        </w:tc>
      </w:tr>
    </w:tbl>
    <w:p>
      <w:pPr>
        <w:ind w:firstLine="450" w:firstLineChars="250"/>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w:t>
      </w:r>
      <w:r>
        <w:rPr>
          <w:rFonts w:hint="eastAsia" w:asciiTheme="minorEastAsia" w:hAnsiTheme="minorEastAsia" w:eastAsiaTheme="minorEastAsia" w:cstheme="minorEastAsia"/>
          <w:i/>
          <w:color w:val="000000"/>
          <w:kern w:val="0"/>
          <w:sz w:val="18"/>
          <w:szCs w:val="18"/>
        </w:rPr>
        <w:t>I</w:t>
      </w:r>
      <w:r>
        <w:rPr>
          <w:rFonts w:hint="eastAsia" w:asciiTheme="minorEastAsia" w:hAnsiTheme="minorEastAsia" w:eastAsiaTheme="minorEastAsia" w:cstheme="minorEastAsia"/>
          <w:color w:val="000000"/>
          <w:kern w:val="0"/>
          <w:sz w:val="18"/>
          <w:szCs w:val="18"/>
          <w:vertAlign w:val="subscript"/>
        </w:rPr>
        <w:t>L</w:t>
      </w:r>
      <w:r>
        <w:rPr>
          <w:rFonts w:hint="eastAsia" w:asciiTheme="minorEastAsia" w:hAnsiTheme="minorEastAsia" w:eastAsiaTheme="minorEastAsia" w:cstheme="minorEastAsia"/>
          <w:color w:val="000000"/>
          <w:kern w:val="0"/>
          <w:sz w:val="18"/>
          <w:szCs w:val="18"/>
        </w:rPr>
        <w:t>为</w:t>
      </w:r>
      <w:r>
        <w:rPr>
          <w:rFonts w:hint="eastAsia" w:asciiTheme="minorEastAsia" w:hAnsiTheme="minorEastAsia" w:eastAsiaTheme="minorEastAsia" w:cstheme="minorEastAsia"/>
          <w:color w:val="000000"/>
          <w:kern w:val="0"/>
          <w:sz w:val="18"/>
          <w:szCs w:val="18"/>
          <w:lang w:eastAsia="zh-CN"/>
        </w:rPr>
        <w:t>黏</w:t>
      </w:r>
      <w:r>
        <w:rPr>
          <w:rFonts w:hint="eastAsia" w:asciiTheme="minorEastAsia" w:hAnsiTheme="minorEastAsia" w:eastAsiaTheme="minorEastAsia" w:cstheme="minorEastAsia"/>
          <w:color w:val="000000"/>
          <w:kern w:val="0"/>
          <w:sz w:val="18"/>
          <w:szCs w:val="18"/>
        </w:rPr>
        <w:t>性土的液性指数，</w:t>
      </w:r>
      <w:r>
        <w:rPr>
          <w:rFonts w:hint="eastAsia" w:asciiTheme="minorEastAsia" w:hAnsiTheme="minorEastAsia" w:eastAsiaTheme="minorEastAsia" w:cstheme="minorEastAsia"/>
          <w:i/>
          <w:color w:val="000000"/>
          <w:kern w:val="0"/>
          <w:sz w:val="18"/>
          <w:szCs w:val="18"/>
        </w:rPr>
        <w:t>e</w:t>
      </w:r>
      <w:r>
        <w:rPr>
          <w:rFonts w:hint="eastAsia" w:asciiTheme="minorEastAsia" w:hAnsiTheme="minorEastAsia" w:eastAsiaTheme="minorEastAsia" w:cstheme="minorEastAsia"/>
          <w:color w:val="000000"/>
          <w:kern w:val="0"/>
          <w:sz w:val="18"/>
          <w:szCs w:val="18"/>
        </w:rPr>
        <w:t>为粉土的孔隙比。</w:t>
      </w:r>
    </w:p>
    <w:p>
      <w:pPr>
        <w:keepNext w:val="0"/>
        <w:keepLines w:val="0"/>
        <w:pageBreakBefore w:val="0"/>
        <w:widowControl w:val="0"/>
        <w:kinsoku/>
        <w:wordWrap/>
        <w:overflowPunct/>
        <w:topLinePunct w:val="0"/>
        <w:autoSpaceDE/>
        <w:autoSpaceDN/>
        <w:bidi w:val="0"/>
        <w:adjustRightInd/>
        <w:snapToGrid/>
        <w:ind w:left="105" w:leftChars="50" w:firstLine="420" w:firstLineChars="200"/>
        <w:textAlignment w:val="auto"/>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扩大头端</w:t>
      </w:r>
      <w:r>
        <w:rPr>
          <w:rFonts w:hint="eastAsia" w:asciiTheme="minorEastAsia" w:hAnsiTheme="minorEastAsia" w:eastAsiaTheme="minorEastAsia" w:cstheme="minorEastAsia"/>
          <w:color w:val="000000"/>
          <w:szCs w:val="21"/>
          <w:lang w:eastAsia="zh-CN"/>
        </w:rPr>
        <w:t>前</w:t>
      </w:r>
      <w:r>
        <w:rPr>
          <w:rFonts w:hint="eastAsia" w:asciiTheme="minorEastAsia" w:hAnsiTheme="minorEastAsia" w:eastAsiaTheme="minorEastAsia" w:cstheme="minorEastAsia"/>
          <w:color w:val="000000"/>
          <w:szCs w:val="21"/>
        </w:rPr>
        <w:t>土体对扩大头的抗力强度值，对竖直锚杆应按式（5.2.7-2）计算；对水平或倾斜向锚杆应按式（5.2.7-3）计算:</w:t>
      </w:r>
    </w:p>
    <w:tbl>
      <w:tblPr>
        <w:tblStyle w:val="17"/>
        <w:tblW w:w="0" w:type="auto"/>
        <w:jc w:val="center"/>
        <w:tblLayout w:type="autofit"/>
        <w:tblCellMar>
          <w:top w:w="0" w:type="dxa"/>
          <w:left w:w="108" w:type="dxa"/>
          <w:bottom w:w="0" w:type="dxa"/>
          <w:right w:w="108" w:type="dxa"/>
        </w:tblCellMar>
      </w:tblPr>
      <w:tblGrid>
        <w:gridCol w:w="4535"/>
        <w:gridCol w:w="1080"/>
      </w:tblGrid>
      <w:tr>
        <w:tblPrEx>
          <w:tblCellMar>
            <w:top w:w="0" w:type="dxa"/>
            <w:left w:w="108" w:type="dxa"/>
            <w:bottom w:w="0" w:type="dxa"/>
            <w:right w:w="108" w:type="dxa"/>
          </w:tblCellMar>
        </w:tblPrEx>
        <w:trPr>
          <w:trHeight w:val="992" w:hRule="exact"/>
          <w:jc w:val="center"/>
        </w:trPr>
        <w:tc>
          <w:tcPr>
            <w:tcW w:w="4535" w:type="dxa"/>
            <w:tcMar>
              <w:left w:w="0" w:type="dxa"/>
              <w:right w:w="0" w:type="dxa"/>
            </w:tcMar>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32"/>
                <w:sz w:val="24"/>
              </w:rPr>
              <w:object>
                <v:shape id="_x0000_i1037" o:spt="75" type="#_x0000_t75" style="height:42.55pt;width:154.65pt;" o:ole="t" filled="f" o:preferrelative="t" stroked="f" coordsize="21600,21600">
                  <v:path/>
                  <v:fill on="f" focussize="0,0"/>
                  <v:stroke on="f" joinstyle="miter"/>
                  <v:imagedata r:id="rId46" o:title=""/>
                  <o:lock v:ext="edit" aspectratio="t"/>
                  <w10:wrap type="none"/>
                  <w10:anchorlock/>
                </v:shape>
                <o:OLEObject Type="Embed" ProgID="Equation.3" ShapeID="_x0000_i1037" DrawAspect="Content" ObjectID="_1468075738" r:id="rId45">
                  <o:LockedField>false</o:LockedField>
                </o:OLEObject>
              </w:object>
            </w:r>
          </w:p>
        </w:tc>
        <w:tc>
          <w:tcPr>
            <w:tcW w:w="0" w:type="auto"/>
            <w:tcMar>
              <w:left w:w="0" w:type="dxa"/>
              <w:right w:w="0" w:type="dxa"/>
            </w:tcMar>
            <w:vAlign w:val="center"/>
          </w:tcPr>
          <w:p>
            <w:pPr>
              <w:spacing w:line="440" w:lineRule="exact"/>
              <w:jc w:val="righ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(5.2.7-2)</w:t>
            </w:r>
          </w:p>
        </w:tc>
      </w:tr>
      <w:tr>
        <w:tblPrEx>
          <w:tblCellMar>
            <w:top w:w="0" w:type="dxa"/>
            <w:left w:w="108" w:type="dxa"/>
            <w:bottom w:w="0" w:type="dxa"/>
            <w:right w:w="108" w:type="dxa"/>
          </w:tblCellMar>
        </w:tblPrEx>
        <w:trPr>
          <w:trHeight w:val="992" w:hRule="exact"/>
          <w:jc w:val="center"/>
        </w:trPr>
        <w:tc>
          <w:tcPr>
            <w:tcW w:w="4535" w:type="dxa"/>
            <w:tcMar>
              <w:left w:w="0" w:type="dxa"/>
              <w:right w:w="0" w:type="dxa"/>
            </w:tcMar>
          </w:tcPr>
          <w:p>
            <w:pPr>
              <w:jc w:val="center"/>
              <w:rPr>
                <w:rFonts w:asciiTheme="minorEastAsia" w:hAnsiTheme="minorEastAsia" w:eastAsiaTheme="minorEastAsia" w:cstheme="minorEastAsia"/>
                <w:color w:val="000000"/>
                <w:position w:val="8"/>
                <w:sz w:val="24"/>
              </w:rPr>
            </w:pPr>
            <w:r>
              <w:rPr>
                <w:rFonts w:hint="eastAsia" w:asciiTheme="minorEastAsia" w:hAnsiTheme="minorEastAsia" w:eastAsiaTheme="minorEastAsia" w:cstheme="minorEastAsia"/>
                <w:color w:val="000000"/>
                <w:position w:val="-32"/>
              </w:rPr>
              <w:object>
                <v:shape id="_x0000_i1038" o:spt="75" type="#_x0000_t75" style="height:42.55pt;width:169.05pt;" o:ole="t" filled="f" o:preferrelative="t" stroked="f" coordsize="21600,21600">
                  <v:path/>
                  <v:fill on="f" focussize="0,0"/>
                  <v:stroke on="f" joinstyle="miter"/>
                  <v:imagedata r:id="rId48" o:title=""/>
                  <o:lock v:ext="edit" aspectratio="t"/>
                  <w10:wrap type="none"/>
                  <w10:anchorlock/>
                </v:shape>
                <o:OLEObject Type="Embed" ProgID="Equation.3" ShapeID="_x0000_i1038" DrawAspect="Content" ObjectID="_1468075739" r:id="rId47">
                  <o:LockedField>false</o:LockedField>
                </o:OLEObject>
              </w:object>
            </w:r>
          </w:p>
        </w:tc>
        <w:tc>
          <w:tcPr>
            <w:tcW w:w="0" w:type="auto"/>
            <w:tcMar>
              <w:left w:w="0" w:type="dxa"/>
              <w:right w:w="0" w:type="dxa"/>
            </w:tcMar>
            <w:vAlign w:val="center"/>
          </w:tcPr>
          <w:p>
            <w:pPr>
              <w:spacing w:line="312" w:lineRule="exact"/>
              <w:jc w:val="righ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(5.2.7-3)</w:t>
            </w:r>
          </w:p>
        </w:tc>
      </w:tr>
    </w:tbl>
    <w:p>
      <w:pPr>
        <w:spacing w:line="80" w:lineRule="exact"/>
        <w:rPr>
          <w:rFonts w:asciiTheme="minorEastAsia" w:hAnsiTheme="minorEastAsia" w:eastAsiaTheme="minorEastAsia" w:cstheme="minorEastAsia"/>
          <w:color w:val="000000"/>
        </w:rPr>
      </w:pPr>
    </w:p>
    <w:tbl>
      <w:tblPr>
        <w:tblStyle w:val="17"/>
        <w:tblpPr w:leftFromText="181" w:rightFromText="181" w:vertAnchor="text" w:horzAnchor="margin" w:tblpY="1"/>
        <w:tblOverlap w:val="never"/>
        <w:tblW w:w="0" w:type="auto"/>
        <w:tblInd w:w="0" w:type="dxa"/>
        <w:tblLayout w:type="autofit"/>
        <w:tblCellMar>
          <w:top w:w="0" w:type="dxa"/>
          <w:left w:w="108" w:type="dxa"/>
          <w:bottom w:w="0" w:type="dxa"/>
          <w:right w:w="108" w:type="dxa"/>
        </w:tblCellMar>
      </w:tblPr>
      <w:tblGrid>
        <w:gridCol w:w="678"/>
        <w:gridCol w:w="275"/>
        <w:gridCol w:w="508"/>
        <w:gridCol w:w="4720"/>
      </w:tblGrid>
      <w:tr>
        <w:tblPrEx>
          <w:tblCellMar>
            <w:top w:w="0" w:type="dxa"/>
            <w:left w:w="108" w:type="dxa"/>
            <w:bottom w:w="0" w:type="dxa"/>
            <w:right w:w="108" w:type="dxa"/>
          </w:tblCellMar>
        </w:tblPrEx>
        <w:trPr>
          <w:trHeight w:val="4089" w:hRule="exact"/>
        </w:trPr>
        <w:tc>
          <w:tcPr>
            <w:tcW w:w="678"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0" w:type="auto"/>
            <w:tcMar>
              <w:left w:w="0" w:type="dxa"/>
              <w:right w:w="28" w:type="dxa"/>
            </w:tcMar>
          </w:tcPr>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γ</w:t>
            </w:r>
          </w:p>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h</w:t>
            </w:r>
          </w:p>
          <w:p>
            <w:pPr>
              <w:spacing w:line="312" w:lineRule="exact"/>
              <w:jc w:val="right"/>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o</w:t>
            </w:r>
          </w:p>
          <w:p>
            <w:pPr>
              <w:spacing w:line="312" w:lineRule="exact"/>
              <w:jc w:val="right"/>
              <w:rPr>
                <w:rFonts w:ascii="Times New Roman" w:hAnsi="Times New Roman" w:cs="Times New Roman" w:eastAsiaTheme="minorEastAsia"/>
                <w:color w:val="000000"/>
                <w:sz w:val="24"/>
                <w:vertAlign w:val="subscript"/>
              </w:rPr>
            </w:pPr>
          </w:p>
          <w:p>
            <w:pPr>
              <w:spacing w:line="312" w:lineRule="exact"/>
              <w:jc w:val="right"/>
              <w:rPr>
                <w:rFonts w:ascii="Times New Roman" w:hAnsi="Times New Roman" w:cs="Times New Roman" w:eastAsiaTheme="minorEastAsia"/>
                <w:color w:val="000000"/>
                <w:sz w:val="24"/>
                <w:vertAlign w:val="subscript"/>
              </w:rPr>
            </w:pPr>
          </w:p>
          <w:p>
            <w:pPr>
              <w:spacing w:line="312" w:lineRule="exact"/>
              <w:jc w:val="right"/>
              <w:rPr>
                <w:rFonts w:ascii="Times New Roman" w:hAnsi="Times New Roman" w:cs="Times New Roman" w:eastAsiaTheme="minorEastAsia"/>
                <w:color w:val="000000"/>
                <w:w w:val="90"/>
                <w:sz w:val="24"/>
                <w:vertAlign w:val="subscript"/>
              </w:rPr>
            </w:pP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 w:val="24"/>
                <w:vertAlign w:val="subscript"/>
              </w:rPr>
              <w:t>P</w:t>
            </w:r>
          </w:p>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c</w:t>
            </w:r>
          </w:p>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ξ</w:t>
            </w:r>
          </w:p>
          <w:p>
            <w:pPr>
              <w:spacing w:line="312" w:lineRule="exact"/>
              <w:jc w:val="right"/>
              <w:rPr>
                <w:rFonts w:asciiTheme="minorEastAsia" w:hAnsiTheme="minorEastAsia" w:eastAsiaTheme="minorEastAsia" w:cstheme="minorEastAsia"/>
                <w:i/>
                <w:color w:val="000000"/>
                <w:sz w:val="24"/>
              </w:rPr>
            </w:pPr>
          </w:p>
        </w:tc>
        <w:tc>
          <w:tcPr>
            <w:tcW w:w="0" w:type="auto"/>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0" w:type="auto"/>
            <w:tcMar>
              <w:left w:w="0" w:type="dxa"/>
              <w:right w:w="0"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扩大头上覆土体的容重（kN/m</w:t>
            </w:r>
            <w:r>
              <w:rPr>
                <w:rFonts w:hint="eastAsia" w:asciiTheme="minorEastAsia" w:hAnsiTheme="minorEastAsia" w:eastAsiaTheme="minorEastAsia" w:cstheme="minorEastAsia"/>
                <w:color w:val="000000"/>
                <w:szCs w:val="21"/>
                <w:vertAlign w:val="superscript"/>
              </w:rPr>
              <w:t>3</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扩大头上覆土体的厚度（m）；</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扩大头端前土体的静止土压力系数，可由试验确定。无试验资料时，可按有关地区经验取值,或取</w:t>
            </w:r>
          </w:p>
          <w:p>
            <w:pPr>
              <w:spacing w:line="312" w:lineRule="exact"/>
              <w:rPr>
                <w:rFonts w:asciiTheme="minorEastAsia" w:hAnsiTheme="minorEastAsia" w:eastAsiaTheme="minorEastAsia" w:cstheme="minorEastAsia"/>
                <w:color w:val="000000"/>
                <w:szCs w:val="21"/>
              </w:rPr>
            </w:pPr>
            <w:r>
              <w:rPr>
                <w:rFonts w:ascii="Times New Roman" w:hAnsi="Times New Roman" w:cs="Times New Roman" w:eastAsiaTheme="minorEastAsia"/>
                <w:i/>
                <w:iCs/>
                <w:color w:val="000000"/>
                <w:szCs w:val="21"/>
              </w:rPr>
              <w:t>K</w:t>
            </w:r>
            <w:r>
              <w:rPr>
                <w:rFonts w:ascii="Times New Roman" w:hAnsi="Times New Roman" w:cs="Times New Roman" w:eastAsiaTheme="minorEastAsia"/>
                <w:i/>
                <w:iCs/>
                <w:color w:val="000000"/>
                <w:szCs w:val="21"/>
                <w:vertAlign w:val="subscript"/>
              </w:rPr>
              <w:t>o</w:t>
            </w:r>
            <w:r>
              <w:rPr>
                <w:rFonts w:ascii="Times New Roman" w:hAnsi="Times New Roman" w:cs="Times New Roman" w:eastAsiaTheme="minorEastAsia"/>
                <w:color w:val="000000"/>
                <w:szCs w:val="21"/>
              </w:rPr>
              <w:t>=1－sinφ′</w:t>
            </w:r>
            <w:r>
              <w:rPr>
                <w:rFonts w:hint="eastAsia" w:asciiTheme="minorEastAsia" w:hAnsiTheme="minorEastAsia" w:eastAsiaTheme="minorEastAsia" w:cstheme="minorEastAsia"/>
                <w:color w:val="000000"/>
                <w:szCs w:val="21"/>
              </w:rPr>
              <w:t>（</w:t>
            </w:r>
            <w:r>
              <w:rPr>
                <w:rFonts w:ascii="Times New Roman" w:hAnsi="Times New Roman" w:cs="Times New Roman" w:eastAsiaTheme="minorEastAsia"/>
                <w:color w:val="000000"/>
                <w:szCs w:val="21"/>
              </w:rPr>
              <w:t>φ′</w:t>
            </w:r>
            <w:r>
              <w:rPr>
                <w:rFonts w:hint="eastAsia" w:asciiTheme="minorEastAsia" w:hAnsiTheme="minorEastAsia" w:eastAsiaTheme="minorEastAsia" w:cstheme="minorEastAsia"/>
                <w:color w:val="000000"/>
                <w:szCs w:val="21"/>
              </w:rPr>
              <w:t>为土体的有效内摩擦角）；</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扩大头端前土体的被动土压力系数</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扩大头端前土体的粘聚力（kPa）；</w:t>
            </w:r>
          </w:p>
          <w:p>
            <w:pPr>
              <w:spacing w:line="312"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扩大头向前位移时反映土的挤密效应的侧压力系数，对非预应力锚杆可取</w:t>
            </w:r>
            <w:r>
              <w:rPr>
                <w:rFonts w:ascii="Times New Roman" w:hAnsi="Times New Roman" w:cs="Times New Roman" w:eastAsiaTheme="minorEastAsia"/>
                <w:color w:val="000000"/>
                <w:szCs w:val="21"/>
              </w:rPr>
              <w:t>ξ=（0.50～0.90）</w:t>
            </w:r>
            <w:r>
              <w:rPr>
                <w:rFonts w:ascii="Times New Roman" w:hAnsi="Times New Roman" w:cs="Times New Roman" w:eastAsiaTheme="minorEastAsia"/>
                <w:i/>
                <w:iCs/>
                <w:color w:val="000000"/>
                <w:szCs w:val="21"/>
              </w:rPr>
              <w:t>K</w:t>
            </w:r>
            <w:r>
              <w:rPr>
                <w:rFonts w:ascii="Times New Roman" w:hAnsi="Times New Roman" w:cs="Times New Roman" w:eastAsiaTheme="minorEastAsia"/>
                <w:i/>
                <w:iCs/>
                <w:color w:val="000000"/>
                <w:szCs w:val="21"/>
                <w:vertAlign w:val="subscript"/>
              </w:rPr>
              <w:t>a</w:t>
            </w:r>
            <w:r>
              <w:rPr>
                <w:rFonts w:hint="eastAsia" w:asciiTheme="minorEastAsia" w:hAnsiTheme="minorEastAsia" w:eastAsiaTheme="minorEastAsia" w:cstheme="minorEastAsia"/>
                <w:color w:val="000000"/>
                <w:szCs w:val="21"/>
              </w:rPr>
              <w:t>，对预应力锚杆可取</w:t>
            </w:r>
            <w:r>
              <w:rPr>
                <w:rFonts w:ascii="Times New Roman" w:hAnsi="Times New Roman" w:cs="Times New Roman" w:eastAsiaTheme="minorEastAsia"/>
                <w:color w:val="000000"/>
                <w:szCs w:val="21"/>
              </w:rPr>
              <w:t>ξ=（0.85～0.95）</w:t>
            </w:r>
            <w:r>
              <w:rPr>
                <w:rFonts w:ascii="Times New Roman" w:hAnsi="Times New Roman" w:cs="Times New Roman" w:eastAsiaTheme="minorEastAsia"/>
                <w:i/>
                <w:iCs/>
                <w:color w:val="000000"/>
                <w:szCs w:val="21"/>
              </w:rPr>
              <w:t>K</w:t>
            </w:r>
            <w:r>
              <w:rPr>
                <w:rFonts w:ascii="Times New Roman" w:hAnsi="Times New Roman" w:cs="Times New Roman" w:eastAsiaTheme="minorEastAsia"/>
                <w:i/>
                <w:iCs/>
                <w:color w:val="000000"/>
                <w:szCs w:val="21"/>
                <w:vertAlign w:val="subscript"/>
              </w:rPr>
              <w:t>a</w:t>
            </w:r>
            <w:r>
              <w:rPr>
                <w:rFonts w:hint="eastAsia" w:asciiTheme="minorEastAsia" w:hAnsiTheme="minorEastAsia" w:eastAsiaTheme="minorEastAsia" w:cstheme="minorEastAsia"/>
                <w:color w:val="000000"/>
                <w:szCs w:val="21"/>
              </w:rPr>
              <w:t>，</w:t>
            </w:r>
            <w:r>
              <w:rPr>
                <w:rFonts w:ascii="Times New Roman" w:hAnsi="Times New Roman" w:cs="Times New Roman" w:eastAsiaTheme="minorEastAsia"/>
                <w:i/>
                <w:iCs/>
                <w:color w:val="000000"/>
                <w:szCs w:val="21"/>
              </w:rPr>
              <w:t>K</w:t>
            </w:r>
            <w:r>
              <w:rPr>
                <w:rFonts w:ascii="Times New Roman" w:hAnsi="Times New Roman" w:cs="Times New Roman" w:eastAsiaTheme="minorEastAsia"/>
                <w:i/>
                <w:iCs/>
                <w:color w:val="000000"/>
                <w:szCs w:val="21"/>
                <w:vertAlign w:val="subscript"/>
              </w:rPr>
              <w:t>a</w:t>
            </w:r>
            <w:r>
              <w:rPr>
                <w:rFonts w:hint="eastAsia" w:asciiTheme="minorEastAsia" w:hAnsiTheme="minorEastAsia" w:eastAsiaTheme="minorEastAsia" w:cstheme="minorEastAsia"/>
                <w:color w:val="000000"/>
                <w:szCs w:val="21"/>
              </w:rPr>
              <w:t>为主动土压力系数。</w:t>
            </w:r>
            <w:r>
              <w:rPr>
                <w:rFonts w:ascii="Times New Roman" w:hAnsi="Times New Roman" w:cs="Times New Roman" w:eastAsiaTheme="minorEastAsia"/>
                <w:color w:val="000000"/>
                <w:szCs w:val="21"/>
              </w:rPr>
              <w:t>ξ</w:t>
            </w:r>
            <w:r>
              <w:rPr>
                <w:rFonts w:hint="eastAsia" w:asciiTheme="minorEastAsia" w:hAnsiTheme="minorEastAsia" w:eastAsiaTheme="minorEastAsia" w:cstheme="minorEastAsia"/>
                <w:color w:val="000000"/>
                <w:szCs w:val="21"/>
              </w:rPr>
              <w:t>与扩大头端前土体的强度有关，对强度较好的</w:t>
            </w:r>
            <w:r>
              <w:rPr>
                <w:rFonts w:hint="eastAsia" w:asciiTheme="minorEastAsia" w:hAnsiTheme="minorEastAsia" w:eastAsiaTheme="minorEastAsia" w:cstheme="minorEastAsia"/>
                <w:color w:val="000000"/>
                <w:szCs w:val="21"/>
                <w:lang w:eastAsia="zh-CN"/>
              </w:rPr>
              <w:t>黏</w:t>
            </w:r>
            <w:r>
              <w:rPr>
                <w:rFonts w:hint="eastAsia" w:asciiTheme="minorEastAsia" w:hAnsiTheme="minorEastAsia" w:eastAsiaTheme="minorEastAsia" w:cstheme="minorEastAsia"/>
                <w:color w:val="000000"/>
                <w:szCs w:val="21"/>
              </w:rPr>
              <w:t>性土和较密实的砂性土可取上限值，对强度较低的土应取较小值。</w:t>
            </w:r>
          </w:p>
        </w:tc>
      </w:tr>
    </w:tbl>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5.2.8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等直径笼芯囊锚杆抗拔力极限值与土（岩）质、锚杆埋深和施工工艺有关，应通过现场原位基本试验确定；无试验资料时，可按式（5.2.8）计算，但实际施工时必须经过现场基本试验验证确定。</w:t>
      </w:r>
    </w:p>
    <w:tbl>
      <w:tblPr>
        <w:tblStyle w:val="17"/>
        <w:tblW w:w="0" w:type="auto"/>
        <w:jc w:val="center"/>
        <w:tblLayout w:type="autofit"/>
        <w:tblCellMar>
          <w:top w:w="0" w:type="dxa"/>
          <w:left w:w="108" w:type="dxa"/>
          <w:bottom w:w="0" w:type="dxa"/>
          <w:right w:w="108" w:type="dxa"/>
        </w:tblCellMar>
      </w:tblPr>
      <w:tblGrid>
        <w:gridCol w:w="2767"/>
        <w:gridCol w:w="2608"/>
      </w:tblGrid>
      <w:tr>
        <w:tblPrEx>
          <w:tblCellMar>
            <w:top w:w="0" w:type="dxa"/>
            <w:left w:w="108" w:type="dxa"/>
            <w:bottom w:w="0" w:type="dxa"/>
            <w:right w:w="108" w:type="dxa"/>
          </w:tblCellMar>
        </w:tblPrEx>
        <w:trPr>
          <w:trHeight w:val="567" w:hRule="exact"/>
          <w:jc w:val="center"/>
        </w:trPr>
        <w:tc>
          <w:tcPr>
            <w:tcW w:w="2767" w:type="dxa"/>
            <w:tcMar>
              <w:left w:w="0" w:type="dxa"/>
              <w:right w:w="0" w:type="dxa"/>
            </w:tcMar>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14"/>
              </w:rPr>
              <w:object>
                <v:shape id="_x0000_i1039" o:spt="75" type="#_x0000_t75" style="height:20.65pt;width:87.65pt;" o:ole="t" filled="f" o:preferrelative="t" stroked="f" coordsize="21600,21600">
                  <v:path/>
                  <v:fill on="f" focussize="0,0"/>
                  <v:stroke on="f" joinstyle="miter"/>
                  <v:imagedata r:id="rId50" o:title=""/>
                  <o:lock v:ext="edit" aspectratio="t"/>
                  <w10:wrap type="none"/>
                  <w10:anchorlock/>
                </v:shape>
                <o:OLEObject Type="Embed" ProgID="Equation.3" ShapeID="_x0000_i1039" DrawAspect="Content" ObjectID="_1468075740" r:id="rId49">
                  <o:LockedField>false</o:LockedField>
                </o:OLEObject>
              </w:object>
            </w:r>
          </w:p>
        </w:tc>
        <w:tc>
          <w:tcPr>
            <w:tcW w:w="2608" w:type="dxa"/>
            <w:tcMar>
              <w:left w:w="0" w:type="dxa"/>
              <w:right w:w="0" w:type="dxa"/>
            </w:tcMar>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(5.2.8)</w:t>
            </w:r>
          </w:p>
        </w:tc>
      </w:tr>
    </w:tbl>
    <w:tbl>
      <w:tblPr>
        <w:tblStyle w:val="17"/>
        <w:tblpPr w:leftFromText="181" w:rightFromText="181" w:vertAnchor="text" w:horzAnchor="margin" w:tblpY="1"/>
        <w:tblOverlap w:val="never"/>
        <w:tblW w:w="0" w:type="auto"/>
        <w:tblInd w:w="0" w:type="dxa"/>
        <w:tblLayout w:type="autofit"/>
        <w:tblCellMar>
          <w:top w:w="0" w:type="dxa"/>
          <w:left w:w="8504" w:type="dxa"/>
          <w:bottom w:w="0" w:type="dxa"/>
          <w:right w:w="0" w:type="dxa"/>
        </w:tblCellMar>
      </w:tblPr>
      <w:tblGrid>
        <w:gridCol w:w="561"/>
        <w:gridCol w:w="435"/>
        <w:gridCol w:w="508"/>
        <w:gridCol w:w="4393"/>
      </w:tblGrid>
      <w:tr>
        <w:tblPrEx>
          <w:tblCellMar>
            <w:top w:w="0" w:type="dxa"/>
            <w:left w:w="8504" w:type="dxa"/>
            <w:bottom w:w="0" w:type="dxa"/>
            <w:right w:w="0" w:type="dxa"/>
          </w:tblCellMar>
        </w:tblPrEx>
        <w:trPr>
          <w:trHeight w:val="3656" w:hRule="exact"/>
        </w:trPr>
        <w:tc>
          <w:tcPr>
            <w:tcW w:w="561"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435" w:type="dxa"/>
            <w:tcMar>
              <w:left w:w="0" w:type="dxa"/>
              <w:right w:w="28" w:type="dxa"/>
            </w:tcMar>
          </w:tcPr>
          <w:p>
            <w:pPr>
              <w:spacing w:line="312" w:lineRule="exact"/>
              <w:jc w:val="right"/>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T</w:t>
            </w:r>
            <w:r>
              <w:rPr>
                <w:rFonts w:ascii="Times New Roman" w:hAnsi="Times New Roman" w:cs="Times New Roman" w:eastAsiaTheme="minorEastAsia"/>
                <w:color w:val="000000"/>
                <w:sz w:val="24"/>
                <w:vertAlign w:val="subscript"/>
                <w:lang w:val="de-DE"/>
              </w:rPr>
              <w:t>uk</w:t>
            </w:r>
          </w:p>
          <w:p>
            <w:pPr>
              <w:spacing w:line="312" w:lineRule="exact"/>
              <w:jc w:val="right"/>
              <w:rPr>
                <w:rFonts w:ascii="Times New Roman" w:hAnsi="Times New Roman" w:cs="Times New Roman" w:eastAsiaTheme="minorEastAsia"/>
                <w:color w:val="000000"/>
                <w:sz w:val="24"/>
                <w:vertAlign w:val="subscript"/>
                <w:lang w:val="de-DE"/>
              </w:rPr>
            </w:pPr>
            <w:r>
              <w:rPr>
                <w:rFonts w:ascii="Times New Roman" w:hAnsi="Times New Roman" w:cs="Times New Roman" w:eastAsiaTheme="minorEastAsia"/>
                <w:i/>
                <w:color w:val="000000"/>
                <w:sz w:val="24"/>
                <w:lang w:val="de-DE"/>
              </w:rPr>
              <w:t>L</w:t>
            </w:r>
            <w:r>
              <w:rPr>
                <w:rFonts w:ascii="Times New Roman" w:hAnsi="Times New Roman" w:cs="Times New Roman" w:eastAsiaTheme="minorEastAsia"/>
                <w:color w:val="000000"/>
                <w:sz w:val="24"/>
                <w:vertAlign w:val="subscript"/>
                <w:lang w:val="de-DE"/>
              </w:rPr>
              <w:t>d</w:t>
            </w:r>
          </w:p>
          <w:p>
            <w:pPr>
              <w:spacing w:line="312" w:lineRule="exact"/>
              <w:jc w:val="right"/>
              <w:rPr>
                <w:rFonts w:ascii="Times New Roman" w:hAnsi="Times New Roman" w:cs="Times New Roman" w:eastAsiaTheme="minorEastAsia"/>
                <w:color w:val="000000"/>
                <w:sz w:val="24"/>
                <w:vertAlign w:val="subscript"/>
                <w:lang w:val="de-DE"/>
              </w:rPr>
            </w:pPr>
          </w:p>
          <w:p>
            <w:pPr>
              <w:spacing w:line="312" w:lineRule="exact"/>
              <w:jc w:val="right"/>
              <w:rPr>
                <w:rFonts w:ascii="Times New Roman" w:hAnsi="Times New Roman" w:cs="Times New Roman" w:eastAsiaTheme="minorEastAsia"/>
                <w:color w:val="000000"/>
                <w:sz w:val="24"/>
                <w:vertAlign w:val="subscript"/>
                <w:lang w:val="de-DE"/>
              </w:rPr>
            </w:pPr>
          </w:p>
          <w:p>
            <w:pPr>
              <w:spacing w:line="312" w:lineRule="exact"/>
              <w:jc w:val="right"/>
              <w:rPr>
                <w:rFonts w:ascii="Times New Roman" w:hAnsi="Times New Roman" w:cs="Times New Roman" w:eastAsiaTheme="minorEastAsia"/>
                <w:i/>
                <w:color w:val="000000"/>
                <w:sz w:val="24"/>
                <w:vertAlign w:val="subscript"/>
              </w:rPr>
            </w:pPr>
            <w:r>
              <w:rPr>
                <w:rFonts w:ascii="Times New Roman" w:hAnsi="Times New Roman" w:cs="Times New Roman" w:eastAsiaTheme="minorEastAsia"/>
                <w:i/>
                <w:color w:val="000000"/>
                <w:sz w:val="24"/>
              </w:rPr>
              <w:t>D</w:t>
            </w:r>
            <w:r>
              <w:rPr>
                <w:rFonts w:ascii="Times New Roman" w:hAnsi="Times New Roman" w:cs="Times New Roman" w:eastAsiaTheme="minorEastAsia"/>
                <w:i/>
                <w:color w:val="000000"/>
                <w:sz w:val="24"/>
                <w:vertAlign w:val="subscript"/>
              </w:rPr>
              <w:t>1</w:t>
            </w:r>
          </w:p>
          <w:p>
            <w:pPr>
              <w:spacing w:line="312" w:lineRule="exact"/>
              <w:jc w:val="right"/>
              <w:rPr>
                <w:rFonts w:ascii="Times New Roman" w:hAnsi="Times New Roman" w:cs="Times New Roman" w:eastAsiaTheme="minorEastAsia"/>
                <w:i/>
                <w:color w:val="000000"/>
                <w:sz w:val="24"/>
              </w:rPr>
            </w:pPr>
            <w:r>
              <w:rPr>
                <w:rFonts w:ascii="Times New Roman" w:hAnsi="Times New Roman" w:cs="Times New Roman" w:eastAsiaTheme="minorEastAsia"/>
                <w:i/>
                <w:color w:val="000000"/>
                <w:sz w:val="24"/>
              </w:rPr>
              <w:t>β</w:t>
            </w:r>
          </w:p>
          <w:p>
            <w:pPr>
              <w:spacing w:line="312" w:lineRule="exact"/>
              <w:jc w:val="right"/>
              <w:rPr>
                <w:rFonts w:ascii="Times New Roman" w:hAnsi="Times New Roman" w:cs="Times New Roman" w:eastAsiaTheme="minorEastAsia"/>
                <w:color w:val="000000"/>
                <w:sz w:val="15"/>
                <w:szCs w:val="15"/>
                <w:vertAlign w:val="subscript"/>
              </w:rPr>
            </w:pPr>
          </w:p>
          <w:p>
            <w:pPr>
              <w:spacing w:line="312" w:lineRule="exact"/>
              <w:jc w:val="right"/>
              <w:rPr>
                <w:rFonts w:ascii="Times New Roman" w:hAnsi="Times New Roman" w:cs="Times New Roman" w:eastAsiaTheme="minorEastAsia"/>
                <w:color w:val="000000"/>
                <w:sz w:val="15"/>
                <w:szCs w:val="15"/>
                <w:vertAlign w:val="subscript"/>
              </w:rPr>
            </w:pPr>
          </w:p>
          <w:p>
            <w:pPr>
              <w:spacing w:line="312" w:lineRule="exact"/>
              <w:jc w:val="right"/>
              <w:rPr>
                <w:rFonts w:asciiTheme="minorEastAsia" w:hAnsiTheme="minorEastAsia" w:eastAsiaTheme="minorEastAsia" w:cstheme="minorEastAsia"/>
                <w:color w:val="000000"/>
                <w:sz w:val="24"/>
                <w:vertAlign w:val="subscript"/>
                <w:lang w:val="de-DE"/>
              </w:rPr>
            </w:pPr>
            <w:r>
              <w:rPr>
                <w:rFonts w:ascii="Times New Roman" w:hAnsi="Times New Roman" w:cs="Times New Roman" w:eastAsiaTheme="minorEastAsia"/>
                <w:i/>
                <w:color w:val="000000"/>
                <w:sz w:val="24"/>
                <w:lang w:val="de-DE"/>
              </w:rPr>
              <w:t>f</w:t>
            </w:r>
            <w:r>
              <w:rPr>
                <w:rFonts w:ascii="Times New Roman" w:hAnsi="Times New Roman" w:cs="Times New Roman" w:eastAsiaTheme="minorEastAsia"/>
                <w:color w:val="000000"/>
                <w:sz w:val="24"/>
                <w:vertAlign w:val="subscript"/>
              </w:rPr>
              <w:t>mg</w:t>
            </w:r>
          </w:p>
          <w:p>
            <w:pPr>
              <w:spacing w:line="312" w:lineRule="exact"/>
              <w:jc w:val="right"/>
              <w:rPr>
                <w:rFonts w:asciiTheme="minorEastAsia" w:hAnsiTheme="minorEastAsia" w:eastAsiaTheme="minorEastAsia" w:cstheme="minorEastAsia"/>
                <w:color w:val="000000"/>
                <w:sz w:val="15"/>
                <w:szCs w:val="15"/>
                <w:vertAlign w:val="subscript"/>
              </w:rPr>
            </w:pPr>
          </w:p>
          <w:p>
            <w:pPr>
              <w:spacing w:line="312" w:lineRule="exact"/>
              <w:jc w:val="right"/>
              <w:rPr>
                <w:rFonts w:asciiTheme="minorEastAsia" w:hAnsiTheme="minorEastAsia" w:eastAsiaTheme="minorEastAsia" w:cstheme="minorEastAsia"/>
                <w:color w:val="000000"/>
                <w:sz w:val="15"/>
                <w:szCs w:val="15"/>
                <w:vertAlign w:val="subscript"/>
              </w:rPr>
            </w:pPr>
          </w:p>
          <w:p>
            <w:pPr>
              <w:spacing w:line="312" w:lineRule="exact"/>
              <w:jc w:val="right"/>
              <w:rPr>
                <w:rFonts w:asciiTheme="minorEastAsia" w:hAnsiTheme="minorEastAsia" w:eastAsiaTheme="minorEastAsia" w:cstheme="minorEastAsia"/>
                <w:i/>
                <w:color w:val="000000"/>
                <w:sz w:val="24"/>
              </w:rPr>
            </w:pPr>
          </w:p>
        </w:tc>
        <w:tc>
          <w:tcPr>
            <w:tcW w:w="508" w:type="dxa"/>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4393" w:type="dxa"/>
            <w:tcMar>
              <w:left w:w="0" w:type="dxa"/>
              <w:right w:w="0"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锚杆抗拔力极限值（kN)；</w:t>
            </w:r>
          </w:p>
          <w:p>
            <w:pPr>
              <w:spacing w:line="312" w:lineRule="exact"/>
              <w:jc w:val="left"/>
              <w:rPr>
                <w:rFonts w:asciiTheme="minorEastAsia" w:hAnsiTheme="minorEastAsia" w:eastAsiaTheme="minorEastAsia" w:cstheme="minorEastAsia"/>
                <w:color w:val="000000"/>
                <w:sz w:val="24"/>
                <w:vertAlign w:val="subscript"/>
              </w:rPr>
            </w:pPr>
            <w:r>
              <w:rPr>
                <w:rFonts w:hint="eastAsia" w:asciiTheme="minorEastAsia" w:hAnsiTheme="minorEastAsia" w:eastAsiaTheme="minorEastAsia" w:cstheme="minorEastAsia"/>
                <w:color w:val="000000"/>
                <w:szCs w:val="21"/>
              </w:rPr>
              <w:t>注浆体与锚孔孔壁的摩阻长度（m），当锚孔孔口为临空面时，取实际长度减去7倍锚孔直径；当</w:t>
            </w:r>
            <w:r>
              <w:rPr>
                <w:rFonts w:hint="eastAsia" w:asciiTheme="minorEastAsia" w:hAnsiTheme="minorEastAsia" w:eastAsiaTheme="minorEastAsia" w:cstheme="minorEastAsia"/>
                <w:i/>
                <w:color w:val="000000"/>
                <w:sz w:val="24"/>
                <w:lang w:val="de-DE"/>
              </w:rPr>
              <w:t>L</w:t>
            </w:r>
            <w:r>
              <w:rPr>
                <w:rFonts w:hint="eastAsia" w:asciiTheme="minorEastAsia" w:hAnsiTheme="minorEastAsia" w:eastAsiaTheme="minorEastAsia" w:cstheme="minorEastAsia"/>
                <w:color w:val="000000"/>
                <w:sz w:val="24"/>
                <w:vertAlign w:val="subscript"/>
                <w:lang w:val="de-DE"/>
              </w:rPr>
              <w:t>d</w:t>
            </w:r>
            <w:r>
              <w:rPr>
                <w:rFonts w:hint="eastAsia" w:asciiTheme="minorEastAsia" w:hAnsiTheme="minorEastAsia" w:eastAsiaTheme="minorEastAsia" w:cstheme="minorEastAsia"/>
                <w:color w:val="000000"/>
                <w:szCs w:val="21"/>
                <w:lang w:val="de-DE"/>
              </w:rPr>
              <w:t>≥</w:t>
            </w:r>
            <w:r>
              <w:rPr>
                <w:rFonts w:hint="eastAsia" w:asciiTheme="minorEastAsia" w:hAnsiTheme="minorEastAsia" w:eastAsiaTheme="minorEastAsia" w:cstheme="minorEastAsia"/>
                <w:color w:val="000000"/>
                <w:szCs w:val="21"/>
              </w:rPr>
              <w:t>12m时，取</w:t>
            </w:r>
            <w:r>
              <w:rPr>
                <w:rFonts w:hint="eastAsia" w:asciiTheme="minorEastAsia" w:hAnsiTheme="minorEastAsia" w:eastAsiaTheme="minorEastAsia" w:cstheme="minorEastAsia"/>
                <w:i/>
                <w:color w:val="000000"/>
                <w:sz w:val="24"/>
                <w:lang w:val="de-DE"/>
              </w:rPr>
              <w:t>L</w:t>
            </w:r>
            <w:r>
              <w:rPr>
                <w:rFonts w:hint="eastAsia" w:asciiTheme="minorEastAsia" w:hAnsiTheme="minorEastAsia" w:eastAsiaTheme="minorEastAsia" w:cstheme="minorEastAsia"/>
                <w:color w:val="000000"/>
                <w:sz w:val="24"/>
                <w:vertAlign w:val="subscript"/>
                <w:lang w:val="de-DE"/>
              </w:rPr>
              <w:t>d</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rPr>
              <w:t>12m；</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锚杆钻孔直径（m）；</w:t>
            </w:r>
          </w:p>
          <w:p>
            <w:pPr>
              <w:spacing w:line="312" w:lineRule="exact"/>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压力型锚杆注浆体与孔壁岩土的极限摩阻增强系数，土层取</w:t>
            </w:r>
            <w:r>
              <w:rPr>
                <w:rFonts w:ascii="Times New Roman" w:hAnsi="Times New Roman" w:cs="Times New Roman" w:eastAsiaTheme="minorEastAsia"/>
                <w:i/>
                <w:iCs/>
                <w:color w:val="000000"/>
                <w:szCs w:val="21"/>
              </w:rPr>
              <w:t>β</w:t>
            </w:r>
            <w:r>
              <w:rPr>
                <w:rFonts w:ascii="Times New Roman" w:hAnsi="Times New Roman" w:cs="Times New Roman" w:eastAsiaTheme="minorEastAsia"/>
                <w:color w:val="000000"/>
                <w:szCs w:val="21"/>
              </w:rPr>
              <w:t>=1.1~1.3</w:t>
            </w:r>
            <w:r>
              <w:rPr>
                <w:rFonts w:hint="eastAsia" w:asciiTheme="minorEastAsia" w:hAnsiTheme="minorEastAsia" w:eastAsiaTheme="minorEastAsia" w:cstheme="minorEastAsia"/>
                <w:color w:val="000000"/>
                <w:szCs w:val="21"/>
              </w:rPr>
              <w:t>，岩层取</w:t>
            </w:r>
            <w:r>
              <w:rPr>
                <w:rFonts w:ascii="Times New Roman" w:hAnsi="Times New Roman" w:cs="Times New Roman" w:eastAsiaTheme="minorEastAsia"/>
                <w:i/>
                <w:iCs/>
                <w:color w:val="000000"/>
                <w:szCs w:val="21"/>
              </w:rPr>
              <w:t>β</w:t>
            </w:r>
            <w:r>
              <w:rPr>
                <w:rFonts w:ascii="Times New Roman" w:hAnsi="Times New Roman" w:cs="Times New Roman" w:eastAsiaTheme="minorEastAsia"/>
                <w:color w:val="000000"/>
                <w:szCs w:val="21"/>
              </w:rPr>
              <w:t>=1.2~1.8</w:t>
            </w:r>
            <w:r>
              <w:rPr>
                <w:rFonts w:hint="eastAsia" w:asciiTheme="minorEastAsia" w:hAnsiTheme="minorEastAsia" w:eastAsiaTheme="minorEastAsia" w:cstheme="minorEastAsia"/>
                <w:color w:val="000000"/>
                <w:szCs w:val="21"/>
              </w:rPr>
              <w:t>；对拉力型锚杆，取</w:t>
            </w:r>
            <w:r>
              <w:rPr>
                <w:rFonts w:ascii="Times New Roman" w:hAnsi="Times New Roman" w:cs="Times New Roman" w:eastAsiaTheme="minorEastAsia"/>
                <w:i/>
                <w:iCs/>
                <w:color w:val="000000"/>
                <w:szCs w:val="21"/>
              </w:rPr>
              <w:t>β</w:t>
            </w:r>
            <w:r>
              <w:rPr>
                <w:rFonts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注浆体与锚孔孔壁岩土的极限摩阻强度标准值（kPa），按工程勘察报告取值，或者通过试验确定；无试验资料时，可按表5.2.8取值。</w:t>
            </w:r>
          </w:p>
          <w:p>
            <w:pPr>
              <w:spacing w:line="312" w:lineRule="exact"/>
              <w:rPr>
                <w:rFonts w:asciiTheme="minorEastAsia" w:hAnsiTheme="minorEastAsia" w:eastAsiaTheme="minorEastAsia" w:cstheme="minorEastAsia"/>
                <w:color w:val="000000"/>
                <w:sz w:val="24"/>
              </w:rPr>
            </w:pPr>
          </w:p>
        </w:tc>
      </w:tr>
    </w:tbl>
    <w:p>
      <w:pPr>
        <w:keepNext/>
        <w:keepLines/>
        <w:jc w:val="center"/>
        <w:rPr>
          <w:rFonts w:ascii="黑体" w:hAnsi="黑体" w:eastAsia="黑体" w:cs="黑体"/>
          <w:bCs/>
          <w:sz w:val="18"/>
          <w:szCs w:val="18"/>
        </w:rPr>
      </w:pPr>
      <w:bookmarkStart w:id="218" w:name="_Toc20956"/>
      <w:bookmarkStart w:id="219" w:name="_Toc14709"/>
      <w:bookmarkStart w:id="220" w:name="_Toc4108"/>
      <w:bookmarkStart w:id="221" w:name="_Toc16667"/>
      <w:r>
        <w:rPr>
          <w:rFonts w:hint="eastAsia" w:ascii="黑体" w:hAnsi="黑体" w:eastAsia="黑体" w:cs="黑体"/>
          <w:bCs/>
          <w:sz w:val="18"/>
          <w:szCs w:val="18"/>
        </w:rPr>
        <w:t>表5.2.8锚固体与岩石间粘结强度标准值</w:t>
      </w:r>
      <w:bookmarkEnd w:id="218"/>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pPr>
            <w:r>
              <w:rPr>
                <w:rFonts w:hint="eastAsia"/>
              </w:rPr>
              <w:t>岩石类别</w:t>
            </w:r>
          </w:p>
        </w:tc>
        <w:tc>
          <w:tcPr>
            <w:tcW w:w="2132" w:type="dxa"/>
            <w:vAlign w:val="center"/>
          </w:tcPr>
          <w:p>
            <w:pPr>
              <w:jc w:val="center"/>
              <w:rPr>
                <w:rFonts w:asciiTheme="minorEastAsia" w:hAnsiTheme="minorEastAsia" w:eastAsiaTheme="minorEastAsia" w:cstheme="minorEastAsia"/>
              </w:rPr>
            </w:pPr>
            <w:r>
              <w:rPr>
                <w:rFonts w:hint="eastAsia"/>
              </w:rPr>
              <w:t>岩石天然单轴抗压强度标准值</w:t>
            </w:r>
            <w:r>
              <w:rPr>
                <w:rFonts w:ascii="Times New Roman" w:hAnsi="Times New Roman" w:cs="Times New Roman"/>
                <w:i/>
                <w:iCs/>
              </w:rPr>
              <w:t>f</w:t>
            </w:r>
            <w:r>
              <w:rPr>
                <w:rFonts w:hint="eastAsia" w:ascii="Times New Roman" w:hAnsi="Times New Roman" w:cs="Times New Roman"/>
                <w:i/>
                <w:iCs/>
                <w:vertAlign w:val="subscript"/>
              </w:rPr>
              <w:t>t</w:t>
            </w:r>
            <w:r>
              <w:rPr>
                <w:rFonts w:hint="eastAsia" w:asciiTheme="minorEastAsia" w:hAnsiTheme="minorEastAsia" w:eastAsiaTheme="minorEastAsia" w:cstheme="minorEastAsia"/>
              </w:rPr>
              <w:t>(MPa)</w:t>
            </w:r>
          </w:p>
        </w:tc>
        <w:tc>
          <w:tcPr>
            <w:tcW w:w="2133" w:type="dxa"/>
            <w:vAlign w:val="center"/>
          </w:tcPr>
          <w:p>
            <w:pPr>
              <w:jc w:val="center"/>
              <w:rPr>
                <w:rFonts w:asciiTheme="minorEastAsia" w:hAnsiTheme="minorEastAsia" w:eastAsiaTheme="minorEastAsia" w:cstheme="minorEastAsia"/>
              </w:rPr>
            </w:pPr>
            <w:r>
              <w:rPr>
                <w:rFonts w:hint="eastAsia"/>
              </w:rPr>
              <w:t>锚固体与岩石间粘结强度标准值</w:t>
            </w:r>
            <w:r>
              <w:rPr>
                <w:rFonts w:ascii="Times New Roman" w:hAnsi="Times New Roman" w:cs="Times New Roman"/>
                <w:i/>
                <w:iCs/>
              </w:rPr>
              <w:t>f</w:t>
            </w:r>
            <w:r>
              <w:rPr>
                <w:rFonts w:ascii="Times New Roman" w:hAnsi="Times New Roman" w:cs="Times New Roman"/>
                <w:i/>
                <w:iCs/>
                <w:vertAlign w:val="subscript"/>
              </w:rPr>
              <w:t>mg</w:t>
            </w:r>
            <w:r>
              <w:rPr>
                <w:rFonts w:hint="eastAsia" w:asciiTheme="minorEastAsia" w:hAnsiTheme="minorEastAsia" w:eastAsiaTheme="minorEastAsia" w:cstheme="minorEastAsia"/>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pPr>
            <w:r>
              <w:rPr>
                <w:rFonts w:hint="eastAsia"/>
              </w:rPr>
              <w:t>极软岩</w:t>
            </w:r>
          </w:p>
        </w:tc>
        <w:tc>
          <w:tcPr>
            <w:tcW w:w="2132" w:type="dxa"/>
            <w:vAlign w:val="center"/>
          </w:tcPr>
          <w:p>
            <w:pPr>
              <w:jc w:val="center"/>
            </w:pPr>
            <w:r>
              <w:rPr>
                <w:rFonts w:ascii="Times New Roman" w:hAnsi="Times New Roman" w:cs="Times New Roman"/>
                <w:i/>
                <w:iCs/>
              </w:rPr>
              <w:t>f</w:t>
            </w:r>
            <w:r>
              <w:rPr>
                <w:rFonts w:ascii="Times New Roman" w:hAnsi="Times New Roman" w:cs="Times New Roman"/>
                <w:i/>
                <w:iCs/>
                <w:vertAlign w:val="subscript"/>
              </w:rPr>
              <w:t>t</w:t>
            </w:r>
            <w:r>
              <w:rPr>
                <w:rFonts w:hint="eastAsia" w:ascii="Times New Roman" w:hAnsi="Times New Roman" w:cs="Times New Roman"/>
                <w:i/>
                <w:iCs/>
                <w:vertAlign w:val="subscript"/>
              </w:rPr>
              <w:t xml:space="preserve"> </w:t>
            </w:r>
            <w:r>
              <w:rPr>
                <w:rFonts w:hint="eastAsia" w:ascii="Times New Roman" w:hAnsi="Times New Roman" w:cs="Times New Roman"/>
              </w:rPr>
              <w:t>&lt;5</w:t>
            </w:r>
          </w:p>
        </w:tc>
        <w:tc>
          <w:tcPr>
            <w:tcW w:w="2133" w:type="dxa"/>
            <w:vAlign w:val="center"/>
          </w:tcPr>
          <w:p>
            <w:pPr>
              <w:jc w:val="center"/>
              <w:rPr>
                <w:rFonts w:ascii="Times New Roman" w:hAnsi="Times New Roman" w:cs="Times New Roman"/>
              </w:rPr>
            </w:pPr>
            <w:r>
              <w:rPr>
                <w:rFonts w:ascii="Times New Roman" w:hAnsi="Times New Roman" w:cs="Times New Roman"/>
              </w:rPr>
              <w:t>135~18</w:t>
            </w:r>
            <w:r>
              <w:rPr>
                <w:rFonts w:hint="eastAsia"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pPr>
            <w:r>
              <w:rPr>
                <w:rFonts w:hint="eastAsia"/>
              </w:rPr>
              <w:t>软岩</w:t>
            </w:r>
          </w:p>
        </w:tc>
        <w:tc>
          <w:tcPr>
            <w:tcW w:w="2132" w:type="dxa"/>
            <w:vAlign w:val="center"/>
          </w:tcPr>
          <w:p>
            <w:pPr>
              <w:jc w:val="center"/>
            </w:pPr>
            <w:r>
              <w:rPr>
                <w:rFonts w:hint="eastAsia" w:ascii="Times New Roman" w:hAnsi="Times New Roman" w:cs="Times New Roman"/>
                <w:i/>
                <w:iCs/>
              </w:rPr>
              <w:t>5≤</w:t>
            </w:r>
            <w:r>
              <w:rPr>
                <w:rFonts w:ascii="Times New Roman" w:hAnsi="Times New Roman" w:cs="Times New Roman"/>
                <w:i/>
                <w:iCs/>
              </w:rPr>
              <w:t>f</w:t>
            </w:r>
            <w:r>
              <w:rPr>
                <w:rFonts w:ascii="Times New Roman" w:hAnsi="Times New Roman" w:cs="Times New Roman"/>
                <w:i/>
                <w:iCs/>
                <w:vertAlign w:val="subscript"/>
              </w:rPr>
              <w:t>t</w:t>
            </w:r>
            <w:r>
              <w:rPr>
                <w:rFonts w:hint="eastAsia" w:ascii="Times New Roman" w:hAnsi="Times New Roman" w:cs="Times New Roman"/>
                <w:i/>
                <w:iCs/>
                <w:vertAlign w:val="subscript"/>
              </w:rPr>
              <w:t xml:space="preserve"> </w:t>
            </w:r>
            <w:r>
              <w:rPr>
                <w:rFonts w:hint="eastAsia" w:ascii="Times New Roman" w:hAnsi="Times New Roman" w:cs="Times New Roman"/>
              </w:rPr>
              <w:t>&lt;15</w:t>
            </w:r>
          </w:p>
        </w:tc>
        <w:tc>
          <w:tcPr>
            <w:tcW w:w="2133" w:type="dxa"/>
            <w:vAlign w:val="center"/>
          </w:tcPr>
          <w:p>
            <w:pPr>
              <w:jc w:val="center"/>
              <w:rPr>
                <w:rFonts w:ascii="Times New Roman" w:hAnsi="Times New Roman" w:cs="Times New Roman"/>
              </w:rPr>
            </w:pPr>
            <w:r>
              <w:rPr>
                <w:rFonts w:ascii="Times New Roman" w:hAnsi="Times New Roman" w:cs="Times New Roman"/>
              </w:rPr>
              <w:t>18</w:t>
            </w:r>
            <w:r>
              <w:rPr>
                <w:rFonts w:hint="eastAsia" w:ascii="Times New Roman" w:hAnsi="Times New Roman" w:cs="Times New Roman"/>
              </w:rPr>
              <w:t>0</w:t>
            </w:r>
            <w:r>
              <w:rPr>
                <w:rFonts w:ascii="Times New Roman" w:hAnsi="Times New Roman" w:cs="Times New Roman"/>
              </w:rPr>
              <w:t>~38</w:t>
            </w:r>
            <w:r>
              <w:rPr>
                <w:rFonts w:hint="eastAsia"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2" w:type="dxa"/>
            <w:vAlign w:val="center"/>
          </w:tcPr>
          <w:p>
            <w:pPr>
              <w:jc w:val="center"/>
            </w:pPr>
            <w:r>
              <w:rPr>
                <w:rFonts w:hint="eastAsia"/>
              </w:rPr>
              <w:t>较软岩</w:t>
            </w:r>
          </w:p>
        </w:tc>
        <w:tc>
          <w:tcPr>
            <w:tcW w:w="2132" w:type="dxa"/>
            <w:vAlign w:val="center"/>
          </w:tcPr>
          <w:p>
            <w:pPr>
              <w:jc w:val="center"/>
            </w:pPr>
            <w:r>
              <w:rPr>
                <w:rFonts w:hint="eastAsia" w:ascii="Times New Roman" w:hAnsi="Times New Roman" w:cs="Times New Roman"/>
                <w:i/>
                <w:iCs/>
              </w:rPr>
              <w:t>15≤</w:t>
            </w:r>
            <w:r>
              <w:rPr>
                <w:rFonts w:ascii="Times New Roman" w:hAnsi="Times New Roman" w:cs="Times New Roman"/>
                <w:i/>
                <w:iCs/>
              </w:rPr>
              <w:t>f</w:t>
            </w:r>
            <w:r>
              <w:rPr>
                <w:rFonts w:ascii="Times New Roman" w:hAnsi="Times New Roman" w:cs="Times New Roman"/>
                <w:i/>
                <w:iCs/>
                <w:vertAlign w:val="subscript"/>
              </w:rPr>
              <w:t>t</w:t>
            </w:r>
            <w:r>
              <w:rPr>
                <w:rFonts w:hint="eastAsia" w:ascii="Times New Roman" w:hAnsi="Times New Roman" w:cs="Times New Roman"/>
                <w:i/>
                <w:iCs/>
                <w:vertAlign w:val="subscript"/>
              </w:rPr>
              <w:t xml:space="preserve"> </w:t>
            </w:r>
            <w:r>
              <w:rPr>
                <w:rFonts w:hint="eastAsia" w:ascii="Times New Roman" w:hAnsi="Times New Roman" w:cs="Times New Roman"/>
              </w:rPr>
              <w:t>&lt;30</w:t>
            </w:r>
          </w:p>
        </w:tc>
        <w:tc>
          <w:tcPr>
            <w:tcW w:w="2133" w:type="dxa"/>
            <w:vAlign w:val="center"/>
          </w:tcPr>
          <w:p>
            <w:pPr>
              <w:jc w:val="center"/>
              <w:rPr>
                <w:rFonts w:ascii="Times New Roman" w:hAnsi="Times New Roman" w:cs="Times New Roman"/>
              </w:rPr>
            </w:pPr>
            <w:r>
              <w:rPr>
                <w:rFonts w:ascii="Times New Roman" w:hAnsi="Times New Roman" w:cs="Times New Roman"/>
              </w:rPr>
              <w:t>38</w:t>
            </w:r>
            <w:r>
              <w:rPr>
                <w:rFonts w:hint="eastAsia" w:ascii="Times New Roman" w:hAnsi="Times New Roman" w:cs="Times New Roman"/>
              </w:rPr>
              <w:t>0</w:t>
            </w:r>
            <w:r>
              <w:rPr>
                <w:rFonts w:ascii="Times New Roman" w:hAnsi="Times New Roman" w:cs="Times New Roman"/>
              </w:rPr>
              <w:t>~6</w:t>
            </w:r>
            <w:r>
              <w:rPr>
                <w:rFonts w:hint="eastAsia"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pPr>
            <w:r>
              <w:rPr>
                <w:rFonts w:hint="eastAsia"/>
              </w:rPr>
              <w:t>较硬岩</w:t>
            </w:r>
          </w:p>
        </w:tc>
        <w:tc>
          <w:tcPr>
            <w:tcW w:w="2132" w:type="dxa"/>
            <w:vAlign w:val="center"/>
          </w:tcPr>
          <w:p>
            <w:pPr>
              <w:jc w:val="center"/>
            </w:pPr>
            <w:r>
              <w:rPr>
                <w:rFonts w:hint="eastAsia" w:ascii="Times New Roman" w:hAnsi="Times New Roman" w:cs="Times New Roman"/>
                <w:i/>
                <w:iCs/>
              </w:rPr>
              <w:t>30≤</w:t>
            </w:r>
            <w:r>
              <w:rPr>
                <w:rFonts w:ascii="Times New Roman" w:hAnsi="Times New Roman" w:cs="Times New Roman"/>
                <w:i/>
                <w:iCs/>
              </w:rPr>
              <w:t>f</w:t>
            </w:r>
            <w:r>
              <w:rPr>
                <w:rFonts w:ascii="Times New Roman" w:hAnsi="Times New Roman" w:cs="Times New Roman"/>
                <w:i/>
                <w:iCs/>
                <w:vertAlign w:val="subscript"/>
              </w:rPr>
              <w:t>t</w:t>
            </w:r>
            <w:r>
              <w:rPr>
                <w:rFonts w:hint="eastAsia" w:ascii="Times New Roman" w:hAnsi="Times New Roman" w:cs="Times New Roman"/>
                <w:i/>
                <w:iCs/>
                <w:vertAlign w:val="subscript"/>
              </w:rPr>
              <w:t xml:space="preserve"> </w:t>
            </w:r>
            <w:r>
              <w:rPr>
                <w:rFonts w:hint="eastAsia" w:ascii="Times New Roman" w:hAnsi="Times New Roman" w:cs="Times New Roman"/>
              </w:rPr>
              <w:t>&lt;60</w:t>
            </w:r>
          </w:p>
        </w:tc>
        <w:tc>
          <w:tcPr>
            <w:tcW w:w="2133" w:type="dxa"/>
            <w:vAlign w:val="center"/>
          </w:tcPr>
          <w:p>
            <w:pPr>
              <w:jc w:val="center"/>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00</w:t>
            </w:r>
            <w:r>
              <w:rPr>
                <w:rFonts w:ascii="Times New Roman" w:hAnsi="Times New Roman" w:cs="Times New Roman"/>
              </w:rPr>
              <w:t>~9</w:t>
            </w:r>
            <w:r>
              <w:rPr>
                <w:rFonts w:hint="eastAsia" w:ascii="Times New Roman" w:hAnsi="Times New Roman"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2" w:type="dxa"/>
            <w:vAlign w:val="center"/>
          </w:tcPr>
          <w:p>
            <w:pPr>
              <w:jc w:val="center"/>
            </w:pPr>
            <w:r>
              <w:rPr>
                <w:rFonts w:hint="eastAsia"/>
              </w:rPr>
              <w:t>坚硬岩</w:t>
            </w:r>
          </w:p>
        </w:tc>
        <w:tc>
          <w:tcPr>
            <w:tcW w:w="2132" w:type="dxa"/>
            <w:vAlign w:val="center"/>
          </w:tcPr>
          <w:p>
            <w:pPr>
              <w:jc w:val="center"/>
            </w:pPr>
            <w:r>
              <w:rPr>
                <w:rFonts w:ascii="Times New Roman" w:hAnsi="Times New Roman" w:cs="Times New Roman"/>
                <w:i/>
                <w:iCs/>
              </w:rPr>
              <w:t>f</w:t>
            </w:r>
            <w:r>
              <w:rPr>
                <w:rFonts w:ascii="Times New Roman" w:hAnsi="Times New Roman" w:cs="Times New Roman"/>
                <w:i/>
                <w:iCs/>
                <w:vertAlign w:val="subscript"/>
              </w:rPr>
              <w:t>t</w:t>
            </w:r>
            <w:r>
              <w:rPr>
                <w:rFonts w:hint="eastAsia" w:ascii="Times New Roman" w:hAnsi="Times New Roman" w:cs="Times New Roman"/>
                <w:i/>
                <w:iCs/>
                <w:vertAlign w:val="subscript"/>
              </w:rPr>
              <w:t xml:space="preserve"> </w:t>
            </w:r>
            <w:r>
              <w:rPr>
                <w:rFonts w:hint="eastAsia" w:ascii="Times New Roman" w:hAnsi="Times New Roman" w:cs="Times New Roman"/>
                <w:i/>
                <w:iCs/>
              </w:rPr>
              <w:t>≥</w:t>
            </w:r>
            <w:r>
              <w:rPr>
                <w:rFonts w:hint="eastAsia" w:ascii="Times New Roman" w:hAnsi="Times New Roman" w:cs="Times New Roman"/>
              </w:rPr>
              <w:t>60</w:t>
            </w:r>
          </w:p>
        </w:tc>
        <w:tc>
          <w:tcPr>
            <w:tcW w:w="2133" w:type="dxa"/>
            <w:vAlign w:val="center"/>
          </w:tcPr>
          <w:p>
            <w:pPr>
              <w:jc w:val="center"/>
              <w:rPr>
                <w:rFonts w:ascii="Times New Roman" w:hAnsi="Times New Roman" w:cs="Times New Roman"/>
              </w:rPr>
            </w:pPr>
            <w:r>
              <w:rPr>
                <w:rFonts w:ascii="Times New Roman" w:hAnsi="Times New Roman" w:cs="Times New Roman"/>
              </w:rPr>
              <w:t>9</w:t>
            </w:r>
            <w:r>
              <w:rPr>
                <w:rFonts w:hint="eastAsia" w:ascii="Times New Roman" w:hAnsi="Times New Roman" w:cs="Times New Roman"/>
              </w:rPr>
              <w:t>00</w:t>
            </w:r>
          </w:p>
        </w:tc>
      </w:tr>
    </w:tbl>
    <w:p/>
    <w:p>
      <w:pPr>
        <w:pStyle w:val="3"/>
        <w:spacing w:before="312" w:beforeLines="100" w:after="156" w:afterLines="50"/>
        <w:rPr>
          <w:rFonts w:asciiTheme="minorEastAsia" w:hAnsiTheme="minorEastAsia" w:eastAsiaTheme="minorEastAsia" w:cstheme="minorEastAsia"/>
        </w:rPr>
      </w:pPr>
      <w:bookmarkStart w:id="222" w:name="_Toc1740"/>
      <w:bookmarkStart w:id="223" w:name="_Toc870"/>
      <w:bookmarkStart w:id="224" w:name="_Toc28232"/>
      <w:bookmarkStart w:id="225" w:name="_Toc2298"/>
      <w:r>
        <w:rPr>
          <w:rFonts w:hint="eastAsia" w:asciiTheme="minorEastAsia" w:hAnsiTheme="minorEastAsia" w:eastAsiaTheme="minorEastAsia" w:cstheme="minorEastAsia"/>
          <w:sz w:val="22"/>
          <w:szCs w:val="28"/>
        </w:rPr>
        <w:t xml:space="preserve">5.3 </w:t>
      </w:r>
      <w:r>
        <w:rPr>
          <w:rFonts w:hint="eastAsia" w:asciiTheme="minorEastAsia" w:hAnsiTheme="minorEastAsia" w:eastAsiaTheme="minorEastAsia" w:cstheme="minorEastAsia"/>
        </w:rPr>
        <w:t xml:space="preserve"> 锚固体稳定性验算</w:t>
      </w:r>
      <w:bookmarkEnd w:id="219"/>
      <w:bookmarkEnd w:id="222"/>
      <w:bookmarkEnd w:id="223"/>
      <w:bookmarkEnd w:id="224"/>
      <w:bookmarkEnd w:id="225"/>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5.3.1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边坡及基坑支护锚杆锚固体稳定性可按圆弧滑动法或者《高压喷射扩大头锚杆技术规程》JGJ/T 282附录B Kranz方法进行验算；岩土体有不利结构面的，还应按沿结构面滑移进行验算。</w:t>
      </w:r>
    </w:p>
    <w:bookmarkEnd w:id="220"/>
    <w:bookmarkEnd w:id="221"/>
    <w:p>
      <w:pPr>
        <w:spacing w:line="360" w:lineRule="exact"/>
        <w:rPr>
          <w:rFonts w:asciiTheme="minorEastAsia" w:hAnsiTheme="minorEastAsia" w:eastAsiaTheme="minorEastAsia" w:cstheme="minorEastAsia"/>
          <w:color w:val="000000"/>
          <w:szCs w:val="21"/>
        </w:rPr>
      </w:pPr>
      <w:bookmarkStart w:id="226" w:name="_Toc18184"/>
      <w:bookmarkStart w:id="227" w:name="_Toc10463"/>
      <w:bookmarkStart w:id="228" w:name="_Toc6889"/>
      <w:r>
        <w:rPr>
          <w:rFonts w:ascii="Times New Roman" w:hAnsi="Times New Roman" w:cs="Times New Roman" w:eastAsiaTheme="minorEastAsia"/>
          <w:color w:val="000000"/>
          <w:szCs w:val="21"/>
        </w:rPr>
        <w:t>5.3.2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土层抗浮锚杆，锚固体稳定性验算应针对各不同长度的锚杆分别进行局部稳定性验算；所有局部稳定性验算均满足要求，则整体稳定性满足要求。各不同长度的锚杆，应分别选取间距最小的进行局部稳定性验算，其长度及其与相邻锚杆的间距应满足下式要求：</w:t>
      </w:r>
      <w:bookmarkEnd w:id="226"/>
      <w:bookmarkEnd w:id="227"/>
      <w:bookmarkEnd w:id="228"/>
    </w:p>
    <w:tbl>
      <w:tblPr>
        <w:tblStyle w:val="18"/>
        <w:tblpPr w:leftFromText="181" w:rightFromText="181" w:vertAnchor="text" w:tblpXSpec="center" w:tblpY="1"/>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1"/>
        <w:gridCol w:w="2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71" w:type="dxa"/>
          </w:tcPr>
          <w:p>
            <w:pPr>
              <w:spacing w:line="360" w:lineRule="auto"/>
              <w:jc w:val="center"/>
              <w:rPr>
                <w:rFonts w:asciiTheme="minorEastAsia" w:hAnsiTheme="minorEastAsia" w:eastAsiaTheme="minorEastAsia" w:cstheme="minorEastAsia"/>
                <w:color w:val="000000"/>
                <w:szCs w:val="21"/>
              </w:rPr>
            </w:pPr>
            <w:bookmarkStart w:id="229" w:name="_Toc29432"/>
            <w:bookmarkStart w:id="230" w:name="_Toc291"/>
            <w:bookmarkStart w:id="231" w:name="_Toc14741"/>
            <w:r>
              <w:rPr>
                <w:rFonts w:ascii="Times New Roman" w:hAnsi="Times New Roman" w:cs="Times New Roman" w:eastAsiaTheme="minorEastAsia"/>
                <w:i/>
                <w:color w:val="000000"/>
                <w:sz w:val="24"/>
                <w:lang w:val="de-DE"/>
              </w:rPr>
              <w:t>W</w:t>
            </w:r>
            <w:r>
              <w:rPr>
                <w:rFonts w:hint="eastAsia" w:asciiTheme="minorEastAsia" w:hAnsiTheme="minorEastAsia" w:eastAsiaTheme="minorEastAsia" w:cstheme="minorEastAsia"/>
                <w:i/>
                <w:color w:val="000000"/>
                <w:sz w:val="24"/>
                <w:vertAlign w:val="superscript"/>
              </w:rPr>
              <w:t>’</w:t>
            </w:r>
            <w:r>
              <w:rPr>
                <w:rFonts w:hint="eastAsia" w:ascii="Times New Roman" w:hAnsi="Times New Roman" w:cs="Times New Roman" w:eastAsiaTheme="minorEastAsia"/>
                <w:iCs/>
                <w:color w:val="000000"/>
                <w:sz w:val="24"/>
              </w:rPr>
              <w:t>≥</w:t>
            </w:r>
            <w:r>
              <w:rPr>
                <w:rFonts w:ascii="Times New Roman" w:hAnsi="Times New Roman" w:cs="Times New Roman" w:eastAsiaTheme="minorEastAsia"/>
                <w:i/>
                <w:color w:val="000000"/>
                <w:sz w:val="24"/>
              </w:rPr>
              <w:t>1.05N</w:t>
            </w:r>
            <w:r>
              <w:rPr>
                <w:rFonts w:ascii="Times New Roman" w:hAnsi="Times New Roman" w:cs="Times New Roman" w:eastAsiaTheme="minorEastAsia"/>
                <w:i/>
                <w:color w:val="000000"/>
                <w:sz w:val="24"/>
                <w:vertAlign w:val="subscript"/>
                <w:lang w:val="de-DE"/>
              </w:rPr>
              <w:t>k</w:t>
            </w:r>
            <w:bookmarkEnd w:id="229"/>
            <w:bookmarkEnd w:id="230"/>
            <w:bookmarkEnd w:id="231"/>
          </w:p>
        </w:tc>
        <w:tc>
          <w:tcPr>
            <w:tcW w:w="2900" w:type="dxa"/>
          </w:tcPr>
          <w:p>
            <w:pPr>
              <w:spacing w:line="360" w:lineRule="auto"/>
              <w:jc w:val="center"/>
              <w:rPr>
                <w:rFonts w:asciiTheme="minorEastAsia" w:hAnsiTheme="minorEastAsia" w:eastAsiaTheme="minorEastAsia" w:cstheme="minorEastAsia"/>
                <w:color w:val="000000"/>
                <w:szCs w:val="21"/>
              </w:rPr>
            </w:pPr>
            <w:bookmarkStart w:id="232" w:name="_Toc878"/>
            <w:bookmarkStart w:id="233" w:name="_Toc17504"/>
            <w:bookmarkStart w:id="234" w:name="_Toc5059"/>
            <w:r>
              <w:rPr>
                <w:rFonts w:hint="eastAsia" w:asciiTheme="minorEastAsia" w:hAnsiTheme="minorEastAsia" w:eastAsiaTheme="minorEastAsia" w:cstheme="minorEastAsia"/>
                <w:color w:val="000000"/>
                <w:sz w:val="24"/>
              </w:rPr>
              <w:t>（5.3.2-1）</w:t>
            </w:r>
            <w:bookmarkEnd w:id="232"/>
            <w:bookmarkEnd w:id="233"/>
            <w:bookmarkEnd w:id="234"/>
          </w:p>
        </w:tc>
      </w:tr>
    </w:tbl>
    <w:tbl>
      <w:tblPr>
        <w:tblStyle w:val="17"/>
        <w:tblpPr w:leftFromText="181" w:rightFromText="181" w:vertAnchor="text" w:horzAnchor="margin" w:tblpY="1"/>
        <w:tblOverlap w:val="never"/>
        <w:tblW w:w="5632" w:type="dxa"/>
        <w:tblInd w:w="0" w:type="dxa"/>
        <w:tblLayout w:type="autofit"/>
        <w:tblCellMar>
          <w:top w:w="0" w:type="dxa"/>
          <w:left w:w="108" w:type="dxa"/>
          <w:bottom w:w="0" w:type="dxa"/>
          <w:right w:w="108" w:type="dxa"/>
        </w:tblCellMar>
      </w:tblPr>
      <w:tblGrid>
        <w:gridCol w:w="565"/>
        <w:gridCol w:w="348"/>
        <w:gridCol w:w="508"/>
        <w:gridCol w:w="4211"/>
      </w:tblGrid>
      <w:tr>
        <w:tblPrEx>
          <w:tblCellMar>
            <w:top w:w="0" w:type="dxa"/>
            <w:left w:w="108" w:type="dxa"/>
            <w:bottom w:w="0" w:type="dxa"/>
            <w:right w:w="108" w:type="dxa"/>
          </w:tblCellMar>
        </w:tblPrEx>
        <w:trPr>
          <w:trHeight w:val="1344" w:hRule="exact"/>
        </w:trPr>
        <w:tc>
          <w:tcPr>
            <w:tcW w:w="567"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308" w:type="dxa"/>
            <w:tcMar>
              <w:left w:w="0" w:type="dxa"/>
              <w:right w:w="28" w:type="dxa"/>
            </w:tcMar>
          </w:tcPr>
          <w:p>
            <w:pPr>
              <w:spacing w:line="312" w:lineRule="exact"/>
              <w:jc w:val="right"/>
              <w:rPr>
                <w:rFonts w:asciiTheme="minorEastAsia" w:hAnsiTheme="minorEastAsia" w:eastAsiaTheme="minorEastAsia" w:cstheme="minorEastAsia"/>
                <w:i/>
                <w:iCs/>
                <w:color w:val="000000"/>
                <w:sz w:val="24"/>
                <w:vertAlign w:val="superscript"/>
              </w:rPr>
            </w:pPr>
            <w:r>
              <w:rPr>
                <w:rFonts w:ascii="Times New Roman" w:hAnsi="Times New Roman" w:cs="Times New Roman" w:eastAsiaTheme="minorEastAsia"/>
                <w:i/>
                <w:iCs/>
                <w:color w:val="000000"/>
                <w:sz w:val="24"/>
              </w:rPr>
              <w:t>W</w:t>
            </w:r>
            <w:r>
              <w:rPr>
                <w:rFonts w:hint="eastAsia" w:asciiTheme="minorEastAsia" w:hAnsiTheme="minorEastAsia" w:eastAsiaTheme="minorEastAsia" w:cstheme="minorEastAsia"/>
                <w:i/>
                <w:iCs/>
                <w:color w:val="000000"/>
                <w:sz w:val="24"/>
                <w:vertAlign w:val="superscript"/>
              </w:rPr>
              <w:t>’</w:t>
            </w:r>
          </w:p>
          <w:p>
            <w:pPr>
              <w:spacing w:line="312" w:lineRule="exact"/>
              <w:jc w:val="right"/>
              <w:rPr>
                <w:rFonts w:asciiTheme="minorEastAsia" w:hAnsiTheme="minorEastAsia" w:eastAsiaTheme="minorEastAsia" w:cstheme="minorEastAsia"/>
                <w:i/>
                <w:color w:val="000000"/>
                <w:sz w:val="24"/>
              </w:rPr>
            </w:pPr>
          </w:p>
          <w:p>
            <w:pPr>
              <w:spacing w:line="312" w:lineRule="exact"/>
              <w:jc w:val="right"/>
              <w:rPr>
                <w:rFonts w:asciiTheme="minorEastAsia" w:hAnsiTheme="minorEastAsia" w:eastAsiaTheme="minorEastAsia" w:cstheme="minorEastAsia"/>
                <w:i/>
                <w:color w:val="000000"/>
                <w:sz w:val="24"/>
              </w:rPr>
            </w:pPr>
          </w:p>
          <w:p>
            <w:pPr>
              <w:spacing w:line="312" w:lineRule="exact"/>
              <w:jc w:val="right"/>
              <w:rPr>
                <w:rFonts w:asciiTheme="minorEastAsia" w:hAnsiTheme="minorEastAsia" w:eastAsiaTheme="minorEastAsia" w:cstheme="minorEastAsia"/>
                <w:i/>
                <w:color w:val="000000"/>
                <w:sz w:val="24"/>
              </w:rPr>
            </w:pPr>
            <w:r>
              <w:rPr>
                <w:rFonts w:ascii="Times New Roman" w:hAnsi="Times New Roman" w:cs="Times New Roman" w:eastAsiaTheme="minorEastAsia"/>
                <w:i/>
                <w:color w:val="000000"/>
                <w:sz w:val="24"/>
              </w:rPr>
              <w:t>N</w:t>
            </w:r>
            <w:r>
              <w:rPr>
                <w:rFonts w:ascii="Times New Roman" w:hAnsi="Times New Roman" w:cs="Times New Roman" w:eastAsiaTheme="minorEastAsia"/>
                <w:i/>
                <w:color w:val="000000"/>
                <w:sz w:val="24"/>
                <w:vertAlign w:val="subscript"/>
                <w:lang w:val="de-DE"/>
              </w:rPr>
              <w:t>k</w:t>
            </w:r>
          </w:p>
        </w:tc>
        <w:tc>
          <w:tcPr>
            <w:tcW w:w="508" w:type="dxa"/>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p>
        </w:tc>
        <w:tc>
          <w:tcPr>
            <w:tcW w:w="4249" w:type="dxa"/>
            <w:tcMar>
              <w:left w:w="0" w:type="dxa"/>
              <w:right w:w="0" w:type="dxa"/>
            </w:tcMar>
          </w:tcPr>
          <w:p>
            <w:pPr>
              <w:spacing w:line="312" w:lineRule="exact"/>
              <w:jc w:val="left"/>
              <w:rPr>
                <w:rFonts w:asciiTheme="minorEastAsia" w:hAnsiTheme="minorEastAsia" w:eastAsiaTheme="minorEastAsia" w:cstheme="minorEastAsia"/>
                <w:iCs/>
                <w:color w:val="000000"/>
              </w:rPr>
            </w:pPr>
            <w:r>
              <w:rPr>
                <w:rFonts w:hint="eastAsia" w:asciiTheme="minorEastAsia" w:hAnsiTheme="minorEastAsia" w:eastAsiaTheme="minorEastAsia" w:cstheme="minorEastAsia"/>
                <w:color w:val="000000"/>
              </w:rPr>
              <w:t>锚杆与四周相邻锚杆间距的中心线所围成范围（图5.3.2）内土体按浮重度计算的土体自重标准值</w:t>
            </w:r>
            <w:r>
              <w:rPr>
                <w:rFonts w:hint="eastAsia" w:asciiTheme="minorEastAsia" w:hAnsiTheme="minorEastAsia" w:eastAsiaTheme="minorEastAsia" w:cstheme="minorEastAsia"/>
                <w:iCs/>
                <w:color w:val="000000"/>
              </w:rPr>
              <w:t>（kN）</w:t>
            </w:r>
            <w:r>
              <w:rPr>
                <w:rFonts w:hint="eastAsia" w:asciiTheme="minorEastAsia" w:hAnsiTheme="minorEastAsia" w:eastAsiaTheme="minorEastAsia" w:cstheme="minorEastAsia"/>
                <w:color w:val="000000"/>
              </w:rPr>
              <w:t>；</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锚杆的拉力标准值</w:t>
            </w:r>
            <w:r>
              <w:rPr>
                <w:rFonts w:hint="eastAsia" w:asciiTheme="minorEastAsia" w:hAnsiTheme="minorEastAsia" w:eastAsiaTheme="minorEastAsia" w:cstheme="minorEastAsia"/>
                <w:iCs/>
                <w:color w:val="000000"/>
              </w:rPr>
              <w:t>（kN）</w:t>
            </w:r>
            <w:r>
              <w:rPr>
                <w:rFonts w:hint="eastAsia" w:asciiTheme="minorEastAsia" w:hAnsiTheme="minorEastAsia" w:eastAsiaTheme="minorEastAsia" w:cstheme="minorEastAsia"/>
                <w:color w:val="000000"/>
              </w:rPr>
              <w:t>。</w:t>
            </w:r>
          </w:p>
          <w:p>
            <w:pPr>
              <w:spacing w:line="312" w:lineRule="exact"/>
              <w:rPr>
                <w:rFonts w:asciiTheme="minorEastAsia" w:hAnsiTheme="minorEastAsia" w:eastAsiaTheme="minorEastAsia" w:cstheme="minorEastAsia"/>
                <w:color w:val="000000"/>
                <w:sz w:val="24"/>
              </w:rPr>
            </w:pPr>
          </w:p>
        </w:tc>
      </w:tr>
    </w:tbl>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397" w:type="dxa"/>
          </w:tcPr>
          <w:p>
            <w:pPr>
              <w:spacing w:line="280" w:lineRule="exact"/>
              <w:rPr>
                <w:rFonts w:asciiTheme="minorEastAsia" w:hAnsiTheme="minorEastAsia" w:eastAsiaTheme="minorEastAsia" w:cstheme="minorEastAsia"/>
              </w:rPr>
            </w:pPr>
            <w:bookmarkStart w:id="235" w:name="_Toc15785"/>
            <w:r>
              <w:rPr>
                <w:rFonts w:hint="eastAsia" w:asciiTheme="minorEastAsia" w:hAnsiTheme="minorEastAsia" w:eastAsiaTheme="minorEastAsia" w:cstheme="minorEastAsia"/>
              </w:rPr>
              <w:drawing>
                <wp:anchor distT="0" distB="0" distL="0" distR="0" simplePos="0" relativeHeight="324818944" behindDoc="0" locked="0" layoutInCell="1" allowOverlap="1">
                  <wp:simplePos x="0" y="0"/>
                  <wp:positionH relativeFrom="column">
                    <wp:posOffset>1597025</wp:posOffset>
                  </wp:positionH>
                  <wp:positionV relativeFrom="paragraph">
                    <wp:posOffset>1739265</wp:posOffset>
                  </wp:positionV>
                  <wp:extent cx="670560" cy="560705"/>
                  <wp:effectExtent l="0" t="0" r="15240" b="1079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1" cstate="print"/>
                          <a:stretch>
                            <a:fillRect/>
                          </a:stretch>
                        </pic:blipFill>
                        <pic:spPr>
                          <a:xfrm>
                            <a:off x="0" y="0"/>
                            <a:ext cx="670560" cy="560705"/>
                          </a:xfrm>
                          <a:prstGeom prst="rect">
                            <a:avLst/>
                          </a:prstGeom>
                          <a:noFill/>
                          <a:ln>
                            <a:noFill/>
                          </a:ln>
                        </pic:spPr>
                      </pic:pic>
                    </a:graphicData>
                  </a:graphic>
                </wp:anchor>
              </w:drawing>
            </w:r>
            <w:r>
              <w:rPr>
                <w:rFonts w:hint="eastAsia" w:asciiTheme="minorEastAsia" w:hAnsiTheme="minorEastAsia" w:eastAsiaTheme="minorEastAsia" w:cstheme="minorEastAsia"/>
              </w:rPr>
              <w:drawing>
                <wp:anchor distT="0" distB="0" distL="114300" distR="114300" simplePos="0" relativeHeight="288237568" behindDoc="0" locked="0" layoutInCell="1" allowOverlap="1">
                  <wp:simplePos x="0" y="0"/>
                  <wp:positionH relativeFrom="column">
                    <wp:posOffset>359410</wp:posOffset>
                  </wp:positionH>
                  <wp:positionV relativeFrom="paragraph">
                    <wp:posOffset>208915</wp:posOffset>
                  </wp:positionV>
                  <wp:extent cx="3081020" cy="1509395"/>
                  <wp:effectExtent l="0" t="0" r="5080" b="14605"/>
                  <wp:wrapSquare wrapText="bothSides"/>
                  <wp:docPr id="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2"/>
                          <pic:cNvPicPr>
                            <a:picLocks noChangeAspect="1" noChangeArrowheads="1"/>
                          </pic:cNvPicPr>
                        </pic:nvPicPr>
                        <pic:blipFill>
                          <a:blip r:embed="rId52" cstate="print"/>
                          <a:srcRect/>
                          <a:stretch>
                            <a:fillRect/>
                          </a:stretch>
                        </pic:blipFill>
                        <pic:spPr>
                          <a:xfrm>
                            <a:off x="0" y="0"/>
                            <a:ext cx="3081020" cy="1509395"/>
                          </a:xfrm>
                          <a:prstGeom prst="rect">
                            <a:avLst/>
                          </a:prstGeom>
                          <a:noFill/>
                          <a:ln w="9525">
                            <a:noFill/>
                            <a:miter lim="800000"/>
                            <a:headEnd/>
                            <a:tailEnd/>
                          </a:ln>
                          <a:effectLst/>
                        </pic:spPr>
                      </pic:pic>
                    </a:graphicData>
                  </a:graphic>
                </wp:anchor>
              </w:drawing>
            </w:r>
          </w:p>
        </w:tc>
      </w:tr>
      <w:bookmarkEnd w:id="235"/>
    </w:tbl>
    <w:p>
      <w:pPr>
        <w:spacing w:line="240" w:lineRule="atLeast"/>
        <w:jc w:val="center"/>
        <w:rPr>
          <w:rFonts w:ascii="黑体" w:hAnsi="黑体" w:eastAsia="黑体" w:cs="黑体"/>
          <w:color w:val="000000"/>
          <w:sz w:val="18"/>
          <w:szCs w:val="18"/>
        </w:rPr>
      </w:pPr>
      <w:r>
        <w:rPr>
          <w:rFonts w:hint="eastAsia" w:ascii="黑体" w:hAnsi="黑体" w:eastAsia="黑体" w:cs="黑体"/>
          <w:sz w:val="18"/>
          <w:szCs w:val="18"/>
        </w:rPr>
        <w:t>图5.3.2 抗浮锚杆锚固体局部稳定性示意图</w:t>
      </w:r>
    </w:p>
    <w:p>
      <w:pPr>
        <w:jc w:val="lef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当锚杆平面布置规则时（图5.3.2），可按下式计算：</w:t>
      </w:r>
    </w:p>
    <w:tbl>
      <w:tblPr>
        <w:tblStyle w:val="17"/>
        <w:tblpPr w:leftFromText="181" w:rightFromText="181" w:vertAnchor="text" w:tblpXSpec="center" w:tblpY="245"/>
        <w:tblOverlap w:val="never"/>
        <w:tblW w:w="0" w:type="auto"/>
        <w:jc w:val="center"/>
        <w:tblLayout w:type="autofit"/>
        <w:tblCellMar>
          <w:top w:w="0" w:type="dxa"/>
          <w:left w:w="108" w:type="dxa"/>
          <w:bottom w:w="0" w:type="dxa"/>
          <w:right w:w="108" w:type="dxa"/>
        </w:tblCellMar>
      </w:tblPr>
      <w:tblGrid>
        <w:gridCol w:w="6"/>
        <w:gridCol w:w="4076"/>
        <w:gridCol w:w="1806"/>
      </w:tblGrid>
      <w:tr>
        <w:tblPrEx>
          <w:tblCellMar>
            <w:top w:w="0" w:type="dxa"/>
            <w:left w:w="108" w:type="dxa"/>
            <w:bottom w:w="0" w:type="dxa"/>
            <w:right w:w="108" w:type="dxa"/>
          </w:tblCellMar>
        </w:tblPrEx>
        <w:trPr>
          <w:trHeight w:val="567" w:hRule="exact"/>
          <w:jc w:val="center"/>
        </w:trPr>
        <w:tc>
          <w:tcPr>
            <w:tcW w:w="6" w:type="dxa"/>
            <w:tcMar>
              <w:left w:w="0" w:type="dxa"/>
              <w:right w:w="0" w:type="dxa"/>
            </w:tcMar>
            <w:vAlign w:val="center"/>
          </w:tcPr>
          <w:p>
            <w:pPr>
              <w:spacing w:line="240" w:lineRule="exact"/>
              <w:jc w:val="center"/>
              <w:rPr>
                <w:rFonts w:asciiTheme="minorEastAsia" w:hAnsiTheme="minorEastAsia" w:eastAsiaTheme="minorEastAsia" w:cstheme="minorEastAsia"/>
                <w:color w:val="000000"/>
                <w:sz w:val="24"/>
              </w:rPr>
            </w:pPr>
          </w:p>
        </w:tc>
        <w:tc>
          <w:tcPr>
            <w:tcW w:w="4076" w:type="dxa"/>
            <w:tcMar>
              <w:left w:w="0" w:type="dxa"/>
              <w:right w:w="0" w:type="dxa"/>
            </w:tcMar>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position w:val="-10"/>
                <w:sz w:val="24"/>
              </w:rPr>
              <w:object>
                <v:shape id="_x0000_i1040" o:spt="75" type="#_x0000_t75" style="height:18.15pt;width:109.55pt;" o:ole="t" filled="f" o:preferrelative="t" stroked="f" coordsize="21600,21600">
                  <v:path/>
                  <v:fill on="f" focussize="0,0"/>
                  <v:stroke on="f" joinstyle="miter"/>
                  <v:imagedata r:id="rId54" o:title=""/>
                  <o:lock v:ext="edit" aspectratio="t"/>
                  <w10:wrap type="none"/>
                  <w10:anchorlock/>
                </v:shape>
                <o:OLEObject Type="Embed" ProgID="Equation.KSEE3" ShapeID="_x0000_i1040" DrawAspect="Content" ObjectID="_1468075741" r:id="rId53">
                  <o:LockedField>false</o:LockedField>
                </o:OLEObject>
              </w:objec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position w:val="-12"/>
                <w:sz w:val="24"/>
              </w:rPr>
              <w:object>
                <v:shape id="_x0000_i1041" o:spt="75" type="#_x0000_t75" style="height:18.15pt;width:37.55pt;" o:ole="t" filled="f" o:preferrelative="t" stroked="f" coordsize="21600,21600">
                  <v:path/>
                  <v:fill on="f" focussize="0,0"/>
                  <v:stroke on="f" joinstyle="miter"/>
                  <v:imagedata r:id="rId56" o:title=""/>
                  <o:lock v:ext="edit" aspectratio="t"/>
                  <w10:wrap type="none"/>
                  <w10:anchorlock/>
                </v:shape>
                <o:OLEObject Type="Embed" ProgID="Equation.KSEE3" ShapeID="_x0000_i1041" DrawAspect="Content" ObjectID="_1468075742" r:id="rId55">
                  <o:LockedField>false</o:LockedField>
                </o:OLEObject>
              </w:object>
            </w:r>
          </w:p>
        </w:tc>
        <w:tc>
          <w:tcPr>
            <w:tcW w:w="1806" w:type="dxa"/>
            <w:tcMar>
              <w:left w:w="0" w:type="dxa"/>
              <w:right w:w="0" w:type="dxa"/>
            </w:tcMar>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(5.3.2-2)</w:t>
            </w:r>
          </w:p>
        </w:tc>
      </w:tr>
    </w:tbl>
    <w:tbl>
      <w:tblPr>
        <w:tblStyle w:val="17"/>
        <w:tblpPr w:leftFromText="181" w:rightFromText="181" w:vertAnchor="text" w:tblpXSpec="center" w:tblpY="188"/>
        <w:tblOverlap w:val="never"/>
        <w:tblW w:w="0" w:type="auto"/>
        <w:jc w:val="center"/>
        <w:tblLayout w:type="autofit"/>
        <w:tblCellMar>
          <w:top w:w="0" w:type="dxa"/>
          <w:left w:w="108" w:type="dxa"/>
          <w:bottom w:w="0" w:type="dxa"/>
          <w:right w:w="108" w:type="dxa"/>
        </w:tblCellMar>
      </w:tblPr>
      <w:tblGrid>
        <w:gridCol w:w="553"/>
        <w:gridCol w:w="508"/>
        <w:gridCol w:w="508"/>
        <w:gridCol w:w="3516"/>
      </w:tblGrid>
      <w:tr>
        <w:tblPrEx>
          <w:tblCellMar>
            <w:top w:w="0" w:type="dxa"/>
            <w:left w:w="108" w:type="dxa"/>
            <w:bottom w:w="0" w:type="dxa"/>
            <w:right w:w="108" w:type="dxa"/>
          </w:tblCellMar>
        </w:tblPrEx>
        <w:trPr>
          <w:trHeight w:val="1304" w:hRule="exact"/>
          <w:jc w:val="center"/>
        </w:trPr>
        <w:tc>
          <w:tcPr>
            <w:tcW w:w="553"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508" w:type="dxa"/>
            <w:tcMar>
              <w:left w:w="0" w:type="dxa"/>
              <w:right w:w="28" w:type="dxa"/>
            </w:tcMar>
          </w:tcPr>
          <w:p>
            <w:pPr>
              <w:spacing w:line="312" w:lineRule="exact"/>
              <w:jc w:val="right"/>
              <w:rPr>
                <w:rFonts w:ascii="Times New Roman" w:hAnsi="Times New Roman" w:cs="Times New Roman" w:eastAsiaTheme="minorEastAsia"/>
                <w:color w:val="000000"/>
                <w:sz w:val="15"/>
                <w:szCs w:val="15"/>
                <w:vertAlign w:val="superscript"/>
              </w:rPr>
            </w:pPr>
            <w:r>
              <w:rPr>
                <w:rFonts w:ascii="Times New Roman" w:hAnsi="Times New Roman" w:cs="Times New Roman" w:eastAsiaTheme="minorEastAsia"/>
                <w:i/>
                <w:color w:val="000000"/>
                <w:sz w:val="24"/>
              </w:rPr>
              <w:t>γ’</w:t>
            </w:r>
          </w:p>
          <w:p>
            <w:pPr>
              <w:spacing w:line="312" w:lineRule="exact"/>
              <w:jc w:val="right"/>
              <w:rPr>
                <w:rFonts w:ascii="Times New Roman" w:hAnsi="Times New Roman" w:cs="Times New Roman" w:eastAsiaTheme="minorEastAsia"/>
                <w:color w:val="000000"/>
                <w:sz w:val="15"/>
                <w:szCs w:val="15"/>
                <w:vertAlign w:val="subscript"/>
              </w:rPr>
            </w:pPr>
            <w:r>
              <w:rPr>
                <w:rFonts w:ascii="Times New Roman" w:hAnsi="Times New Roman" w:cs="Times New Roman" w:eastAsiaTheme="minorEastAsia"/>
                <w:i/>
                <w:color w:val="000000"/>
                <w:sz w:val="24"/>
              </w:rPr>
              <w:t>a、b</w:t>
            </w:r>
          </w:p>
          <w:p>
            <w:pPr>
              <w:spacing w:line="312" w:lineRule="exact"/>
              <w:jc w:val="right"/>
              <w:rPr>
                <w:rFonts w:ascii="Times New Roman" w:hAnsi="Times New Roman" w:cs="Times New Roman" w:eastAsiaTheme="minorEastAsia"/>
                <w:color w:val="000000"/>
                <w:sz w:val="15"/>
                <w:szCs w:val="15"/>
                <w:vertAlign w:val="subscript"/>
              </w:rPr>
            </w:pPr>
            <w:r>
              <w:rPr>
                <w:rFonts w:ascii="Times New Roman" w:hAnsi="Times New Roman" w:cs="Times New Roman" w:eastAsiaTheme="minorEastAsia"/>
                <w:i/>
                <w:color w:val="000000"/>
                <w:sz w:val="24"/>
              </w:rPr>
              <w:t>H</w:t>
            </w:r>
          </w:p>
          <w:p>
            <w:pPr>
              <w:spacing w:line="312" w:lineRule="exact"/>
              <w:jc w:val="right"/>
              <w:rPr>
                <w:rFonts w:ascii="Times New Roman" w:hAnsi="Times New Roman" w:cs="Times New Roman" w:eastAsiaTheme="minorEastAsia"/>
                <w:color w:val="000000"/>
                <w:sz w:val="15"/>
                <w:szCs w:val="15"/>
                <w:vertAlign w:val="subscript"/>
              </w:rPr>
            </w:pPr>
            <w:r>
              <w:rPr>
                <w:rFonts w:ascii="Times New Roman" w:hAnsi="Times New Roman" w:cs="Times New Roman" w:eastAsiaTheme="minorEastAsia"/>
                <w:i/>
                <w:color w:val="000000"/>
                <w:sz w:val="24"/>
              </w:rPr>
              <w:t>N</w:t>
            </w:r>
            <w:r>
              <w:rPr>
                <w:rFonts w:ascii="Times New Roman" w:hAnsi="Times New Roman" w:cs="Times New Roman" w:eastAsiaTheme="minorEastAsia"/>
                <w:i/>
                <w:color w:val="000000"/>
                <w:sz w:val="24"/>
                <w:vertAlign w:val="subscript"/>
                <w:lang w:val="de-DE"/>
              </w:rPr>
              <w:t>k</w:t>
            </w:r>
          </w:p>
          <w:p>
            <w:pPr>
              <w:spacing w:line="312" w:lineRule="exact"/>
              <w:jc w:val="right"/>
              <w:rPr>
                <w:rFonts w:ascii="Times New Roman" w:hAnsi="Times New Roman" w:cs="Times New Roman" w:eastAsiaTheme="minorEastAsia"/>
                <w:i/>
                <w:color w:val="000000"/>
                <w:sz w:val="24"/>
              </w:rPr>
            </w:pPr>
          </w:p>
        </w:tc>
        <w:tc>
          <w:tcPr>
            <w:tcW w:w="508" w:type="dxa"/>
            <w:tcMar>
              <w:left w:w="28"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3516" w:type="dxa"/>
            <w:tcMar>
              <w:left w:w="0" w:type="dxa"/>
              <w:right w:w="0"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土体浮容重（kN/m</w:t>
            </w:r>
            <w:r>
              <w:rPr>
                <w:rFonts w:hint="eastAsia" w:asciiTheme="minorEastAsia" w:hAnsiTheme="minorEastAsia" w:eastAsiaTheme="minorEastAsia" w:cstheme="minorEastAsia"/>
                <w:color w:val="000000"/>
                <w:vertAlign w:val="superscript"/>
              </w:rPr>
              <w:t>3</w:t>
            </w:r>
            <w:r>
              <w:rPr>
                <w:rFonts w:hint="eastAsia" w:asciiTheme="minorEastAsia" w:hAnsiTheme="minorEastAsia" w:eastAsiaTheme="minorEastAsia" w:cstheme="minorEastAsia"/>
                <w:color w:val="000000"/>
              </w:rPr>
              <w:t>）；</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锚杆两个方向上的间距（m）；</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锚杆长度（m）；</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锚杆拉力标准值（kN）。</w:t>
            </w:r>
          </w:p>
          <w:p>
            <w:pPr>
              <w:spacing w:line="312" w:lineRule="exact"/>
              <w:rPr>
                <w:rFonts w:asciiTheme="minorEastAsia" w:hAnsiTheme="minorEastAsia" w:eastAsiaTheme="minorEastAsia" w:cstheme="minorEastAsia"/>
                <w:color w:val="000000"/>
                <w:sz w:val="24"/>
              </w:rPr>
            </w:pPr>
          </w:p>
        </w:tc>
      </w:tr>
    </w:tbl>
    <w:p>
      <w:pPr>
        <w:spacing w:line="240" w:lineRule="atLeast"/>
        <w:jc w:val="left"/>
        <w:rPr>
          <w:rFonts w:asciiTheme="minorEastAsia" w:hAnsiTheme="minorEastAsia" w:eastAsiaTheme="minorEastAsia" w:cstheme="minorEastAsia"/>
          <w:color w:val="000000"/>
          <w:szCs w:val="21"/>
        </w:rPr>
      </w:pPr>
    </w:p>
    <w:p>
      <w:pPr>
        <w:pStyle w:val="3"/>
        <w:spacing w:before="312" w:beforeLines="100" w:after="156" w:afterLines="50"/>
        <w:rPr>
          <w:rFonts w:asciiTheme="minorEastAsia" w:hAnsiTheme="minorEastAsia" w:eastAsiaTheme="minorEastAsia" w:cstheme="minorEastAsia"/>
        </w:rPr>
      </w:pPr>
      <w:bookmarkStart w:id="236" w:name="_Toc872"/>
      <w:bookmarkStart w:id="237" w:name="_Toc13563"/>
      <w:bookmarkStart w:id="238" w:name="_Toc31802"/>
      <w:bookmarkStart w:id="239" w:name="_Toc22529"/>
      <w:bookmarkStart w:id="240" w:name="_Toc5811"/>
      <w:bookmarkStart w:id="241" w:name="_Toc30065"/>
      <w:bookmarkStart w:id="242" w:name="_Toc31123"/>
      <w:r>
        <w:rPr>
          <w:rFonts w:hint="eastAsia" w:asciiTheme="minorEastAsia" w:hAnsiTheme="minorEastAsia" w:eastAsiaTheme="minorEastAsia" w:cstheme="minorEastAsia"/>
        </w:rPr>
        <w:t>5.4  变形验算</w:t>
      </w:r>
      <w:bookmarkEnd w:id="236"/>
      <w:bookmarkEnd w:id="237"/>
      <w:bookmarkEnd w:id="238"/>
      <w:bookmarkEnd w:id="239"/>
      <w:bookmarkEnd w:id="240"/>
      <w:bookmarkEnd w:id="241"/>
      <w:bookmarkEnd w:id="242"/>
    </w:p>
    <w:p>
      <w:pPr>
        <w:spacing w:line="360" w:lineRule="exact"/>
        <w:jc w:val="left"/>
        <w:rPr>
          <w:rFonts w:asciiTheme="minorEastAsia" w:hAnsiTheme="minorEastAsia" w:eastAsiaTheme="minorEastAsia" w:cstheme="minorEastAsia"/>
          <w:b/>
          <w:color w:val="000000"/>
          <w:sz w:val="24"/>
        </w:rPr>
      </w:pPr>
      <w:r>
        <w:rPr>
          <w:rFonts w:hint="eastAsia" w:ascii="Times New Roman" w:hAnsi="Times New Roman" w:cs="Times New Roman" w:eastAsiaTheme="minorEastAsia"/>
        </w:rPr>
        <w:t>5.4.1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锚杆变形计算应根据锚杆的使用工况、锚杆刚度和锚杆初始预应力值，结合锚杆所从属的主体建（构）筑物的具体受力条件按照相应的力学公式或数值分析方法计算。</w:t>
      </w:r>
    </w:p>
    <w:p>
      <w:pPr>
        <w:spacing w:line="360" w:lineRule="exact"/>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rPr>
        <w:t>5.4.2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锚杆的轴向刚度系数应由试验确定。当无试验资料时，可按下式估算：</w:t>
      </w:r>
    </w:p>
    <w:tbl>
      <w:tblPr>
        <w:tblStyle w:val="1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222"/>
        <w:gridCol w:w="6056"/>
        <w:gridCol w:w="1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37" w:hRule="exact"/>
          <w:jc w:val="center"/>
        </w:trPr>
        <w:tc>
          <w:tcPr>
            <w:tcW w:w="222" w:type="dxa"/>
            <w:vAlign w:val="center"/>
          </w:tcPr>
          <w:p>
            <w:pPr>
              <w:jc w:val="center"/>
              <w:rPr>
                <w:rFonts w:asciiTheme="minorEastAsia" w:hAnsiTheme="minorEastAsia" w:eastAsiaTheme="minorEastAsia" w:cstheme="minorEastAsia"/>
                <w:color w:val="000000"/>
                <w:sz w:val="24"/>
              </w:rPr>
            </w:pPr>
          </w:p>
        </w:tc>
        <w:tc>
          <w:tcPr>
            <w:tcW w:w="6056" w:type="dxa"/>
            <w:tcMar>
              <w:left w:w="0" w:type="dxa"/>
              <w:right w:w="0" w:type="dxa"/>
            </w:tcMar>
            <w:vAlign w:val="center"/>
          </w:tcPr>
          <w:tbl>
            <w:tblPr>
              <w:tblStyle w:val="18"/>
              <w:tblpPr w:leftFromText="181" w:rightFromText="181" w:vertAnchor="text" w:horzAnchor="margin" w:tblpXSpec="center" w:tblpY="1"/>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13"/>
              <w:gridCol w:w="29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exact"/>
                <w:jc w:val="center"/>
              </w:trPr>
              <w:tc>
                <w:tcPr>
                  <w:tcW w:w="2713" w:type="dxa"/>
                  <w:vAlign w:val="center"/>
                </w:tcPr>
                <w:p>
                  <w:pPr>
                    <w:jc w:val="center"/>
                    <w:rPr>
                      <w:rFonts w:asciiTheme="minorEastAsia" w:hAnsiTheme="minorEastAsia" w:eastAsiaTheme="minorEastAsia" w:cstheme="minorEastAsia"/>
                      <w:color w:val="000000"/>
                      <w:sz w:val="24"/>
                    </w:rPr>
                  </w:pPr>
                  <w:r>
                    <w:rPr>
                      <w:rFonts w:asciiTheme="minorEastAsia" w:hAnsiTheme="minorEastAsia" w:eastAsiaTheme="minorEastAsia" w:cstheme="minorEastAsia"/>
                      <w:color w:val="000000"/>
                      <w:position w:val="-22"/>
                      <w:sz w:val="24"/>
                    </w:rPr>
                    <w:pict>
                      <v:shape id="_x0000_s1030" o:spid="_x0000_s1030" o:spt="75" type="#_x0000_t75" style="position:absolute;left:0pt;margin-top:5.5pt;height:34pt;width:62.55pt;mso-position-horizontal:center;mso-wrap-distance-bottom:0pt;mso-wrap-distance-left:9pt;mso-wrap-distance-right:9pt;mso-wrap-distance-top:0pt;z-index:252289024;mso-width-relative:page;mso-height-relative:page;" o:ole="t" filled="f" o:preferrelative="t" stroked="f" coordsize="21600,21600">
                        <v:path/>
                        <v:fill on="f" focussize="0,0"/>
                        <v:stroke on="f" joinstyle="miter"/>
                        <v:imagedata r:id="rId58" o:title=""/>
                        <o:lock v:ext="edit" aspectratio="t"/>
                        <w10:wrap type="square"/>
                      </v:shape>
                      <o:OLEObject Type="Embed" ProgID="Equation.3" ShapeID="_x0000_s1030" DrawAspect="Content" ObjectID="_1468075743" r:id="rId57">
                        <o:LockedField>false</o:LockedField>
                      </o:OLEObject>
                    </w:pict>
                  </w:r>
                </w:p>
              </w:tc>
              <w:tc>
                <w:tcPr>
                  <w:tcW w:w="2998"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（5.4.2）</w:t>
                  </w:r>
                </w:p>
              </w:tc>
            </w:tr>
          </w:tbl>
          <w:p>
            <w:pPr>
              <w:jc w:val="center"/>
              <w:rPr>
                <w:rFonts w:asciiTheme="minorEastAsia" w:hAnsiTheme="minorEastAsia" w:eastAsiaTheme="minorEastAsia" w:cstheme="minorEastAsia"/>
                <w:color w:val="000000"/>
                <w:sz w:val="24"/>
              </w:rPr>
            </w:pPr>
          </w:p>
        </w:tc>
        <w:tc>
          <w:tcPr>
            <w:tcW w:w="16" w:type="dxa"/>
            <w:tcMar>
              <w:left w:w="0" w:type="dxa"/>
              <w:right w:w="0" w:type="dxa"/>
            </w:tcMar>
            <w:vAlign w:val="center"/>
          </w:tcPr>
          <w:p>
            <w:pPr>
              <w:spacing w:line="240" w:lineRule="exact"/>
              <w:jc w:val="center"/>
              <w:rPr>
                <w:rFonts w:asciiTheme="minorEastAsia" w:hAnsiTheme="minorEastAsia" w:eastAsiaTheme="minorEastAsia" w:cstheme="minorEastAsia"/>
                <w:color w:val="000000"/>
                <w:sz w:val="24"/>
              </w:rPr>
            </w:pPr>
          </w:p>
        </w:tc>
      </w:tr>
    </w:tbl>
    <w:p>
      <w:pPr>
        <w:rPr>
          <w:rFonts w:asciiTheme="minorEastAsia" w:hAnsiTheme="minorEastAsia" w:eastAsiaTheme="minorEastAsia" w:cstheme="minorEastAsia"/>
          <w:color w:val="000000"/>
        </w:rPr>
      </w:pPr>
    </w:p>
    <w:tbl>
      <w:tblPr>
        <w:tblStyle w:val="17"/>
        <w:tblpPr w:leftFromText="181" w:rightFromText="181" w:vertAnchor="text" w:tblpXSpec="center" w:tblpY="-282"/>
        <w:tblW w:w="0" w:type="auto"/>
        <w:jc w:val="center"/>
        <w:tblLayout w:type="autofit"/>
        <w:tblCellMar>
          <w:top w:w="0" w:type="dxa"/>
          <w:left w:w="108" w:type="dxa"/>
          <w:bottom w:w="0" w:type="dxa"/>
          <w:right w:w="108" w:type="dxa"/>
        </w:tblCellMar>
      </w:tblPr>
      <w:tblGrid>
        <w:gridCol w:w="568"/>
        <w:gridCol w:w="298"/>
        <w:gridCol w:w="508"/>
        <w:gridCol w:w="4535"/>
      </w:tblGrid>
      <w:tr>
        <w:tblPrEx>
          <w:tblCellMar>
            <w:top w:w="0" w:type="dxa"/>
            <w:left w:w="108" w:type="dxa"/>
            <w:bottom w:w="0" w:type="dxa"/>
            <w:right w:w="108" w:type="dxa"/>
          </w:tblCellMar>
        </w:tblPrEx>
        <w:trPr>
          <w:trHeight w:val="2222" w:hRule="exact"/>
          <w:jc w:val="center"/>
        </w:trPr>
        <w:tc>
          <w:tcPr>
            <w:tcW w:w="568" w:type="dxa"/>
            <w:tcMar>
              <w:left w:w="0" w:type="dxa"/>
              <w:right w:w="28" w:type="dxa"/>
            </w:tcMar>
          </w:tcPr>
          <w:p>
            <w:pPr>
              <w:spacing w:line="312" w:lineRule="exact"/>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298" w:type="dxa"/>
            <w:tcMar>
              <w:left w:w="0" w:type="dxa"/>
              <w:right w:w="28" w:type="dxa"/>
            </w:tcMar>
          </w:tcPr>
          <w:p>
            <w:pPr>
              <w:spacing w:line="312" w:lineRule="exact"/>
              <w:jc w:val="center"/>
              <w:rPr>
                <w:rFonts w:ascii="Times New Roman" w:hAnsi="Times New Roman" w:cs="Times New Roman" w:eastAsiaTheme="minorEastAsia"/>
                <w:color w:val="000000"/>
                <w:szCs w:val="21"/>
                <w:vertAlign w:val="subscript"/>
              </w:rPr>
            </w:pPr>
            <w:r>
              <w:rPr>
                <w:rFonts w:ascii="Times New Roman" w:hAnsi="Times New Roman" w:cs="Times New Roman" w:eastAsiaTheme="minorEastAsia"/>
                <w:i/>
                <w:color w:val="000000"/>
                <w:sz w:val="24"/>
              </w:rPr>
              <w:t>k</w:t>
            </w:r>
            <w:r>
              <w:rPr>
                <w:rFonts w:ascii="Times New Roman" w:hAnsi="Times New Roman" w:cs="Times New Roman" w:eastAsiaTheme="minorEastAsia"/>
                <w:color w:val="000000"/>
                <w:szCs w:val="21"/>
                <w:vertAlign w:val="subscript"/>
              </w:rPr>
              <w:t>T</w:t>
            </w:r>
          </w:p>
          <w:p>
            <w:pPr>
              <w:spacing w:line="312" w:lineRule="exact"/>
              <w:jc w:val="center"/>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A</w:t>
            </w:r>
            <w:r>
              <w:rPr>
                <w:rFonts w:ascii="Times New Roman" w:hAnsi="Times New Roman" w:cs="Times New Roman" w:eastAsiaTheme="minorEastAsia"/>
                <w:color w:val="000000"/>
                <w:sz w:val="24"/>
                <w:vertAlign w:val="subscript"/>
              </w:rPr>
              <w:t>s</w:t>
            </w:r>
          </w:p>
          <w:p>
            <w:pPr>
              <w:spacing w:line="312" w:lineRule="exact"/>
              <w:jc w:val="center"/>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E</w:t>
            </w:r>
            <w:r>
              <w:rPr>
                <w:rFonts w:ascii="Times New Roman" w:hAnsi="Times New Roman" w:cs="Times New Roman" w:eastAsiaTheme="minorEastAsia"/>
                <w:color w:val="000000"/>
                <w:sz w:val="24"/>
                <w:vertAlign w:val="subscript"/>
              </w:rPr>
              <w:t>s</w:t>
            </w:r>
          </w:p>
          <w:p>
            <w:pPr>
              <w:spacing w:line="312" w:lineRule="exact"/>
              <w:jc w:val="center"/>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c</w:t>
            </w:r>
          </w:p>
          <w:p>
            <w:pPr>
              <w:spacing w:line="312" w:lineRule="exact"/>
              <w:jc w:val="center"/>
              <w:rPr>
                <w:rFonts w:ascii="Times New Roman" w:hAnsi="Times New Roman" w:cs="Times New Roman" w:eastAsiaTheme="minorEastAsia"/>
                <w:color w:val="000000"/>
                <w:sz w:val="24"/>
                <w:vertAlign w:val="subscript"/>
              </w:rPr>
            </w:pPr>
          </w:p>
          <w:p>
            <w:pPr>
              <w:spacing w:line="312" w:lineRule="exact"/>
              <w:jc w:val="center"/>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f</w:t>
            </w:r>
          </w:p>
          <w:p>
            <w:pPr>
              <w:spacing w:line="312" w:lineRule="exact"/>
              <w:jc w:val="center"/>
              <w:rPr>
                <w:rFonts w:ascii="Times New Roman" w:hAnsi="Times New Roman" w:cs="Times New Roman" w:eastAsiaTheme="minorEastAsia"/>
                <w:color w:val="000000"/>
                <w:sz w:val="24"/>
                <w:vertAlign w:val="subscript"/>
              </w:rPr>
            </w:pP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m</w:t>
            </w:r>
          </w:p>
        </w:tc>
        <w:tc>
          <w:tcPr>
            <w:tcW w:w="0" w:type="auto"/>
            <w:tcMar>
              <w:left w:w="0" w:type="dxa"/>
              <w:right w:w="28" w:type="dxa"/>
            </w:tcMar>
          </w:tcPr>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center"/>
              <w:rPr>
                <w:rFonts w:ascii="Times New Roman" w:hAnsi="Times New Roman" w:cs="Times New Roman" w:eastAsiaTheme="minorEastAsia"/>
                <w:color w:val="000000"/>
                <w:sz w:val="24"/>
              </w:rPr>
            </w:pPr>
          </w:p>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jc w:val="center"/>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tc>
        <w:tc>
          <w:tcPr>
            <w:tcW w:w="4535" w:type="dxa"/>
            <w:tcMar>
              <w:left w:w="0" w:type="dxa"/>
              <w:right w:w="0" w:type="dxa"/>
            </w:tcMar>
          </w:tcPr>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锚杆的轴向刚度系数（kN/m）；</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锚杆杆体的截面面积（m</w:t>
            </w:r>
            <w:r>
              <w:rPr>
                <w:rFonts w:hint="eastAsia" w:asciiTheme="minorEastAsia" w:hAnsiTheme="minorEastAsia" w:eastAsiaTheme="minorEastAsia" w:cstheme="minorEastAsia"/>
                <w:color w:val="000000"/>
                <w:szCs w:val="21"/>
                <w:vertAlign w:val="superscript"/>
              </w:rPr>
              <w:t>2</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锚</w:t>
            </w:r>
            <w:r>
              <w:rPr>
                <w:rFonts w:hint="eastAsia" w:asciiTheme="minorEastAsia" w:hAnsiTheme="minorEastAsia" w:eastAsiaTheme="minorEastAsia" w:cstheme="minorEastAsia"/>
                <w:color w:val="000000"/>
                <w:szCs w:val="21"/>
              </w:rPr>
              <w:t>杆杆体的弹性模量（kN/m</w:t>
            </w:r>
            <w:r>
              <w:rPr>
                <w:rFonts w:hint="eastAsia" w:asciiTheme="minorEastAsia" w:hAnsiTheme="minorEastAsia" w:eastAsiaTheme="minorEastAsia" w:cstheme="minorEastAsia"/>
                <w:color w:val="000000"/>
                <w:szCs w:val="21"/>
                <w:vertAlign w:val="superscript"/>
              </w:rPr>
              <w:t>2</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锚杆杆体的变形计算长度（m），</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可取</w:t>
            </w: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c</w:t>
            </w:r>
            <w:r>
              <w:rPr>
                <w:rFonts w:ascii="Times New Roman" w:hAnsi="Times New Roman" w:cs="Times New Roman" w:eastAsiaTheme="minorEastAsia"/>
                <w:color w:val="000000"/>
                <w:szCs w:val="21"/>
              </w:rPr>
              <w:t>=</w:t>
            </w: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f</w:t>
            </w:r>
            <w:r>
              <w:rPr>
                <w:rFonts w:ascii="Times New Roman" w:hAnsi="Times New Roman" w:cs="Times New Roman" w:eastAsiaTheme="minorEastAsia"/>
                <w:color w:val="000000"/>
                <w:szCs w:val="21"/>
              </w:rPr>
              <w:t>～（</w:t>
            </w: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f</w:t>
            </w:r>
            <w:r>
              <w:rPr>
                <w:rFonts w:ascii="Times New Roman" w:hAnsi="Times New Roman" w:cs="Times New Roman" w:eastAsiaTheme="minorEastAsia"/>
                <w:color w:val="000000"/>
                <w:szCs w:val="21"/>
              </w:rPr>
              <w:t>+</w:t>
            </w:r>
            <w:r>
              <w:rPr>
                <w:rFonts w:ascii="Times New Roman" w:hAnsi="Times New Roman" w:cs="Times New Roman" w:eastAsiaTheme="minorEastAsia"/>
                <w:i/>
                <w:color w:val="000000"/>
                <w:sz w:val="24"/>
              </w:rPr>
              <w:t>L</w:t>
            </w:r>
            <w:r>
              <w:rPr>
                <w:rFonts w:ascii="Times New Roman" w:hAnsi="Times New Roman" w:cs="Times New Roman" w:eastAsiaTheme="minorEastAsia"/>
                <w:color w:val="000000"/>
                <w:sz w:val="24"/>
                <w:vertAlign w:val="subscript"/>
              </w:rPr>
              <w:t>m</w:t>
            </w:r>
            <w:r>
              <w:rPr>
                <w:rFonts w:ascii="Times New Roman" w:hAnsi="Times New Roman" w:cs="Times New Roman" w:eastAsiaTheme="minorEastAsia"/>
                <w:color w:val="000000"/>
                <w:sz w:val="22"/>
                <w:szCs w:val="22"/>
              </w:rPr>
              <w:t>）</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rPr>
              <w:t>锚杆杆体的自由段长度（m）；</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rPr>
              <w:t>锚杆杆体与注浆体的粘结长度（m）。</w:t>
            </w:r>
          </w:p>
        </w:tc>
      </w:tr>
    </w:tbl>
    <w:p>
      <w:pPr>
        <w:spacing w:line="360" w:lineRule="exact"/>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rPr>
        <w:t>5.4.3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b w:val="0"/>
          <w:bCs w:val="0"/>
          <w:color w:val="000000"/>
          <w:szCs w:val="21"/>
          <w:lang w:eastAsia="zh-CN"/>
        </w:rPr>
        <w:t>必要时，</w:t>
      </w:r>
      <w:r>
        <w:rPr>
          <w:rFonts w:hint="eastAsia" w:asciiTheme="minorEastAsia" w:hAnsiTheme="minorEastAsia" w:eastAsiaTheme="minorEastAsia" w:cstheme="minorEastAsia"/>
          <w:color w:val="000000"/>
          <w:szCs w:val="21"/>
        </w:rPr>
        <w:t>锚杆变形的容许值应</w:t>
      </w:r>
      <w:r>
        <w:rPr>
          <w:rFonts w:hint="eastAsia" w:asciiTheme="minorEastAsia" w:hAnsiTheme="minorEastAsia" w:eastAsiaTheme="minorEastAsia" w:cstheme="minorEastAsia"/>
          <w:color w:val="000000"/>
          <w:szCs w:val="21"/>
          <w:lang w:eastAsia="zh-CN"/>
        </w:rPr>
        <w:t>根据具体工程</w:t>
      </w:r>
      <w:r>
        <w:rPr>
          <w:rFonts w:hint="eastAsia" w:asciiTheme="minorEastAsia" w:hAnsiTheme="minorEastAsia" w:eastAsiaTheme="minorEastAsia" w:cstheme="minorEastAsia"/>
          <w:color w:val="000000"/>
          <w:szCs w:val="21"/>
        </w:rPr>
        <w:t>按照锚杆所从属的主体建（构）筑物的</w:t>
      </w:r>
      <w:r>
        <w:rPr>
          <w:rFonts w:hint="eastAsia" w:asciiTheme="minorEastAsia" w:hAnsiTheme="minorEastAsia" w:eastAsiaTheme="minorEastAsia" w:cstheme="minorEastAsia"/>
          <w:color w:val="000000"/>
          <w:szCs w:val="21"/>
          <w:lang w:eastAsia="zh-CN"/>
        </w:rPr>
        <w:t>使用变形要求和结构计算确定，可在设计文件中规定锚杆拉力标准值或特征值所对应的锚杆变形容许值。</w:t>
      </w:r>
    </w:p>
    <w:p>
      <w:pPr>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br w:type="page"/>
      </w:r>
    </w:p>
    <w:p>
      <w:pPr>
        <w:rPr>
          <w:rFonts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243" w:name="_Toc15153"/>
      <w:bookmarkStart w:id="244" w:name="_Toc17839"/>
      <w:bookmarkStart w:id="245" w:name="_Toc9524"/>
      <w:bookmarkStart w:id="246" w:name="_Toc22082"/>
      <w:bookmarkStart w:id="247" w:name="_Toc16418"/>
      <w:r>
        <w:rPr>
          <w:rFonts w:hint="eastAsia" w:asciiTheme="minorEastAsia" w:hAnsiTheme="minorEastAsia" w:eastAsiaTheme="minorEastAsia" w:cstheme="minorEastAsia"/>
        </w:rPr>
        <w:t xml:space="preserve">6  </w:t>
      </w:r>
      <w:bookmarkEnd w:id="158"/>
      <w:bookmarkEnd w:id="159"/>
      <w:r>
        <w:rPr>
          <w:rFonts w:hint="eastAsia" w:asciiTheme="minorEastAsia" w:hAnsiTheme="minorEastAsia" w:eastAsiaTheme="minorEastAsia" w:cstheme="minorEastAsia"/>
        </w:rPr>
        <w:t>材料</w:t>
      </w:r>
      <w:bookmarkEnd w:id="243"/>
      <w:r>
        <w:rPr>
          <w:rFonts w:hint="eastAsia" w:asciiTheme="minorEastAsia" w:hAnsiTheme="minorEastAsia" w:eastAsiaTheme="minorEastAsia" w:cstheme="minorEastAsia"/>
        </w:rPr>
        <w:t>和构造</w:t>
      </w:r>
      <w:bookmarkEnd w:id="244"/>
      <w:bookmarkEnd w:id="245"/>
      <w:bookmarkEnd w:id="246"/>
      <w:bookmarkEnd w:id="247"/>
    </w:p>
    <w:p>
      <w:pPr>
        <w:pStyle w:val="3"/>
        <w:spacing w:before="312" w:beforeLines="100" w:after="312" w:afterLines="100"/>
        <w:rPr>
          <w:rFonts w:asciiTheme="minorEastAsia" w:hAnsiTheme="minorEastAsia" w:eastAsiaTheme="minorEastAsia" w:cstheme="minorEastAsia"/>
        </w:rPr>
      </w:pPr>
      <w:bookmarkStart w:id="248" w:name="_Toc20809"/>
      <w:bookmarkStart w:id="249" w:name="_Toc8098"/>
      <w:bookmarkStart w:id="250" w:name="_Toc14869"/>
      <w:bookmarkStart w:id="251" w:name="_Toc31517"/>
      <w:bookmarkStart w:id="252" w:name="_Toc7522"/>
      <w:bookmarkStart w:id="253" w:name="_Toc32009"/>
      <w:bookmarkStart w:id="254" w:name="_Toc8276"/>
      <w:r>
        <w:rPr>
          <w:rFonts w:hint="eastAsia" w:asciiTheme="minorEastAsia" w:hAnsiTheme="minorEastAsia" w:eastAsiaTheme="minorEastAsia" w:cstheme="minorEastAsia"/>
        </w:rPr>
        <w:t>6.1  笼芯囊</w:t>
      </w:r>
      <w:bookmarkEnd w:id="248"/>
      <w:bookmarkEnd w:id="249"/>
      <w:r>
        <w:rPr>
          <w:rFonts w:hint="eastAsia" w:asciiTheme="minorEastAsia" w:hAnsiTheme="minorEastAsia" w:eastAsiaTheme="minorEastAsia" w:cstheme="minorEastAsia"/>
        </w:rPr>
        <w:t>材料</w:t>
      </w:r>
      <w:bookmarkEnd w:id="250"/>
      <w:r>
        <w:rPr>
          <w:rFonts w:hint="eastAsia" w:asciiTheme="minorEastAsia" w:hAnsiTheme="minorEastAsia" w:eastAsiaTheme="minorEastAsia" w:cstheme="minorEastAsia"/>
        </w:rPr>
        <w:t>和构造</w:t>
      </w:r>
      <w:bookmarkEnd w:id="251"/>
      <w:bookmarkEnd w:id="252"/>
      <w:bookmarkEnd w:id="253"/>
      <w:bookmarkEnd w:id="254"/>
    </w:p>
    <w:p>
      <w:pPr>
        <w:spacing w:line="312" w:lineRule="exact"/>
        <w:rPr>
          <w:rFonts w:asciiTheme="minorEastAsia" w:hAnsiTheme="minorEastAsia" w:eastAsiaTheme="minorEastAsia" w:cstheme="minorEastAsia"/>
          <w:color w:val="000000"/>
          <w:szCs w:val="21"/>
        </w:rPr>
      </w:pPr>
      <w:r>
        <w:rPr>
          <w:rFonts w:ascii="Times New Roman" w:hAnsi="Times New Roman" w:cs="Times New Roman" w:eastAsiaTheme="minorEastAsia"/>
        </w:rPr>
        <w:drawing>
          <wp:anchor distT="0" distB="0" distL="0" distR="0" simplePos="0" relativeHeight="251645952" behindDoc="0" locked="0" layoutInCell="1" allowOverlap="1">
            <wp:simplePos x="0" y="0"/>
            <wp:positionH relativeFrom="column">
              <wp:align>center</wp:align>
            </wp:positionH>
            <wp:positionV relativeFrom="paragraph">
              <wp:posOffset>327660</wp:posOffset>
            </wp:positionV>
            <wp:extent cx="1111885" cy="3302000"/>
            <wp:effectExtent l="0" t="0" r="12065" b="12700"/>
            <wp:wrapSquare wrapText="bothSides"/>
            <wp:docPr id="17"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4"/>
                    <pic:cNvPicPr>
                      <a:picLocks noChangeAspect="1" noChangeArrowheads="1"/>
                    </pic:cNvPicPr>
                  </pic:nvPicPr>
                  <pic:blipFill>
                    <a:blip r:embed="rId59" cstate="print"/>
                    <a:srcRect/>
                    <a:stretch>
                      <a:fillRect/>
                    </a:stretch>
                  </pic:blipFill>
                  <pic:spPr>
                    <a:xfrm>
                      <a:off x="0" y="0"/>
                      <a:ext cx="1111885" cy="3302000"/>
                    </a:xfrm>
                    <a:prstGeom prst="rect">
                      <a:avLst/>
                    </a:prstGeom>
                  </pic:spPr>
                </pic:pic>
              </a:graphicData>
            </a:graphic>
          </wp:anchor>
        </w:drawing>
      </w:r>
      <w:r>
        <w:rPr>
          <w:rFonts w:ascii="Times New Roman" w:hAnsi="Times New Roman" w:cs="Times New Roman" w:eastAsiaTheme="minorEastAsia"/>
        </w:rPr>
        <w:t>6</w:t>
      </w:r>
      <w:r>
        <w:rPr>
          <w:rFonts w:ascii="Times New Roman" w:hAnsi="Times New Roman" w:cs="Times New Roman" w:eastAsiaTheme="minorEastAsia"/>
          <w:color w:val="000000"/>
          <w:szCs w:val="21"/>
        </w:rPr>
        <w:t>.1.1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rPr>
        <w:t>笼芯构造（图6.1.1）应符合下列规定</w:t>
      </w:r>
      <w:r>
        <w:rPr>
          <w:rFonts w:hint="eastAsia" w:asciiTheme="minorEastAsia" w:hAnsiTheme="minorEastAsia" w:eastAsiaTheme="minorEastAsia" w:cstheme="minorEastAsia"/>
          <w:color w:val="000000"/>
          <w:szCs w:val="21"/>
        </w:rPr>
        <w:t>：</w:t>
      </w:r>
    </w:p>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mc:AlternateContent>
          <mc:Choice Requires="wps">
            <w:drawing>
              <wp:anchor distT="0" distB="0" distL="114300" distR="114300" simplePos="0" relativeHeight="251666432" behindDoc="0" locked="0" layoutInCell="1" allowOverlap="1">
                <wp:simplePos x="0" y="0"/>
                <wp:positionH relativeFrom="column">
                  <wp:posOffset>2009775</wp:posOffset>
                </wp:positionH>
                <wp:positionV relativeFrom="paragraph">
                  <wp:posOffset>24130</wp:posOffset>
                </wp:positionV>
                <wp:extent cx="1304290" cy="3547745"/>
                <wp:effectExtent l="4445" t="5080" r="5715" b="9525"/>
                <wp:wrapNone/>
                <wp:docPr id="47" name="文本框 110"/>
                <wp:cNvGraphicFramePr/>
                <a:graphic xmlns:a="http://schemas.openxmlformats.org/drawingml/2006/main">
                  <a:graphicData uri="http://schemas.microsoft.com/office/word/2010/wordprocessingShape">
                    <wps:wsp>
                      <wps:cNvSpPr txBox="1"/>
                      <wps:spPr>
                        <a:xfrm>
                          <a:off x="0" y="0"/>
                          <a:ext cx="1304290" cy="354774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Times New Roman" w:hAnsi="Times New Roman" w:cs="Times New Roman"/>
                              </w:rPr>
                            </w:pPr>
                          </w:p>
                        </w:txbxContent>
                      </wps:txbx>
                      <wps:bodyPr wrap="none" upright="1">
                        <a:spAutoFit/>
                      </wps:bodyPr>
                    </wps:wsp>
                  </a:graphicData>
                </a:graphic>
                <wp14:sizeRelH relativeFrom="margin">
                  <wp14:pctWidth>40000</wp14:pctWidth>
                </wp14:sizeRelH>
                <wp14:sizeRelV relativeFrom="margin">
                  <wp14:pctHeight>20000</wp14:pctHeight>
                </wp14:sizeRelV>
              </wp:anchor>
            </w:drawing>
          </mc:Choice>
          <mc:Fallback>
            <w:pict>
              <v:shape id="文本框 110" o:spid="_x0000_s1026" o:spt="202" type="#_x0000_t202" style="position:absolute;left:0pt;margin-left:158.25pt;margin-top:1.9pt;height:279.35pt;width:102.7pt;mso-wrap-style:none;z-index:251666432;mso-width-relative:margin;mso-height-relative:margin;mso-width-percent:400;mso-height-percent:200;" fillcolor="#FFFFFF" filled="t" stroked="t" coordsize="21600,21600" o:gfxdata="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7/RPVAAAACQEAAA8AAAAAAAAAAQAgAAAAIgAAAGRycy9k&#10;b3ducmV2LnhtbFBLAQIUABQAAAAIAIdO4kDK0HYpBQIAACAEAAAOAAAAAAAAAAEAIAAAACQBAABk&#10;cnMvZTJvRG9jLnhtbFBLBQYAAAAABgAGAFkBAACbBQAAAAA=&#10;">
                <v:fill on="t" focussize="0,0"/>
                <v:stroke color="#FFFFFF" joinstyle="miter"/>
                <v:imagedata o:title=""/>
                <o:lock v:ext="edit" aspectratio="f"/>
                <v:textbox style="mso-fit-shape-to-text:t;">
                  <w:txbxContent>
                    <w:p>
                      <w:pPr>
                        <w:rPr>
                          <w:rFonts w:ascii="Times New Roman" w:hAnsi="Times New Roman" w:cs="Times New Roman"/>
                        </w:rPr>
                      </w:pPr>
                    </w:p>
                  </w:txbxContent>
                </v:textbox>
              </v:shape>
            </w:pict>
          </mc:Fallback>
        </mc:AlternateContent>
      </w: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12" w:lineRule="exact"/>
        <w:rPr>
          <w:rFonts w:asciiTheme="minorEastAsia" w:hAnsiTheme="minorEastAsia" w:eastAsiaTheme="minorEastAsia" w:cstheme="minorEastAsia"/>
          <w:color w:val="000000"/>
          <w:sz w:val="24"/>
        </w:rPr>
      </w:pPr>
    </w:p>
    <w:p>
      <w:pPr>
        <w:spacing w:line="360" w:lineRule="auto"/>
        <w:jc w:val="center"/>
        <w:rPr>
          <w:rFonts w:ascii="黑体" w:hAnsi="黑体" w:eastAsia="黑体" w:cs="黑体"/>
          <w:color w:val="000000"/>
          <w:sz w:val="18"/>
          <w:szCs w:val="18"/>
        </w:rPr>
      </w:pPr>
      <w:r>
        <w:rPr>
          <w:rFonts w:hint="eastAsia" w:ascii="黑体" w:hAnsi="黑体" w:eastAsia="黑体" w:cs="黑体"/>
          <w:color w:val="000000"/>
          <w:sz w:val="18"/>
          <w:szCs w:val="18"/>
        </w:rPr>
        <w:t xml:space="preserve">图6.1.1  </w:t>
      </w:r>
      <w:r>
        <w:rPr>
          <w:rFonts w:hint="eastAsia" w:ascii="黑体" w:hAnsi="黑体" w:eastAsia="黑体" w:cs="黑体"/>
          <w:sz w:val="18"/>
          <w:szCs w:val="18"/>
        </w:rPr>
        <w:t>笼芯构造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1—纵筋；2—箍筋；3—排气管进气口；4—排气管接头；5—引浆管接头；</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6—上箍筒；7—引浆管；8—引浆管出口；9—下箍筒或底板</w:t>
      </w:r>
    </w:p>
    <w:p>
      <w:pPr>
        <w:spacing w:line="360" w:lineRule="exact"/>
        <w:rPr>
          <w:rFonts w:asciiTheme="minorEastAsia" w:hAnsiTheme="minorEastAsia" w:eastAsiaTheme="minorEastAsia" w:cstheme="minorEastAsia"/>
          <w:b/>
          <w:bCs/>
          <w:color w:val="000000"/>
          <w:szCs w:val="21"/>
        </w:rPr>
      </w:pP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笼芯应由箍筋和纵筋组成，箍筋与纵筋的每一个交叉点应焊接固定；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箍筋应呈圆形，不得呈椭圆或方形。纵筋和箍筋均应线条平顺，不得有弯折；</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笼芯上端应设上箍筒，上箍筒由底板和侧壁组成。上箍筒应与笼芯纵筋或箍筋焊接。上箍筒底板上应布置锚杆杆体穿入孔、引浆管接头和排气管接头等；</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引浆管应布置在笼芯内靠近笼芯钢丝网侧壁，引浆管接头应伸出上箍筒底板外露不小于150mm,引浆管出口应伸入到笼芯下箍筒内并与下箍筒侧壁焊接固定；</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5</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排气管接头应伸出上箍筒底板适当外露，以方便排气管连接。排气管进气口伸入笼芯内超出上箍筒底板的长度不应超过10mm；</w:t>
      </w:r>
    </w:p>
    <w:p>
      <w:pPr>
        <w:spacing w:line="360" w:lineRule="exact"/>
        <w:ind w:firstLine="420" w:firstLineChars="200"/>
        <w:rPr>
          <w:rFonts w:asciiTheme="minorEastAsia" w:hAnsiTheme="minorEastAsia" w:eastAsiaTheme="minorEastAsia" w:cstheme="minorEastAsia"/>
          <w:color w:val="000000"/>
          <w:spacing w:val="2"/>
          <w:sz w:val="24"/>
        </w:rPr>
      </w:pPr>
      <w:r>
        <w:rPr>
          <w:rFonts w:hint="eastAsia" w:ascii="Times New Roman" w:hAnsi="Times New Roman" w:cs="Times New Roman" w:eastAsiaTheme="minorEastAsia"/>
          <w:color w:val="000000"/>
          <w:szCs w:val="21"/>
        </w:rPr>
        <w:t>6</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笼芯下端应设下箍筒，下箍筒应为圆筒或圆锥筒，当为圆锥筒时，锥孔大小应满足锚杆杆体穿出的要求。下箍筒或底板应与笼芯焊接固定。</w:t>
      </w:r>
    </w:p>
    <w:p>
      <w:pPr>
        <w:spacing w:line="360" w:lineRule="exact"/>
        <w:rPr>
          <w:rFonts w:asciiTheme="minorEastAsia" w:hAnsiTheme="minorEastAsia" w:eastAsiaTheme="minorEastAsia" w:cstheme="minorEastAsia"/>
          <w:color w:val="000000"/>
          <w:spacing w:val="2"/>
          <w:sz w:val="24"/>
        </w:rPr>
      </w:pPr>
      <w:r>
        <w:rPr>
          <w:rFonts w:hint="eastAsia" w:ascii="Times New Roman" w:hAnsi="Times New Roman" w:cs="Times New Roman" w:eastAsiaTheme="minorEastAsia"/>
          <w:color w:val="000000"/>
          <w:szCs w:val="21"/>
        </w:rPr>
        <w:t>6.1.2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笼芯材料，箍筋和纵筋应采用结构钢丝，抗拉强度不应小于400MPa，直径不宜小于3mm；上箍筒和下箍筒应采用结构钢，上箍筒底板和侧壁厚度不应小于2mm。</w:t>
      </w:r>
    </w:p>
    <w:p>
      <w:pPr>
        <w:spacing w:line="360" w:lineRule="exact"/>
        <w:rPr>
          <w:rFonts w:asciiTheme="minorEastAsia" w:hAnsiTheme="minorEastAsia" w:eastAsiaTheme="minorEastAsia" w:cstheme="minorEastAsia"/>
          <w:color w:val="000000"/>
          <w:spacing w:val="2"/>
          <w:sz w:val="24"/>
        </w:rPr>
      </w:pPr>
      <w:r>
        <w:rPr>
          <w:rFonts w:hint="eastAsia" w:ascii="Times New Roman" w:hAnsi="Times New Roman" w:cs="Times New Roman" w:eastAsiaTheme="minorEastAsia"/>
          <w:color w:val="000000"/>
          <w:szCs w:val="21"/>
        </w:rPr>
        <w:t>6.1.3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囊袋构造（图6.1.3）应符合下列规定：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囊袋上口、下口应为圆柱形；囊袋上口和下口直径不宜大于笼芯直径的1.3倍；</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囊袋袋体应为圆柱形，囊袋充满水泥浆后，囊袋侧应平顺、不应有褶皱；</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囊袋应平肩，不应斜肩。囊袋注满水泥浆后，囊袋肩应为垂直于锚杆轴线的平面，囊袋布应平顺无褶皱（照片6.1.3b）。</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98"/>
        <w:gridCol w:w="31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1" w:hRule="exact"/>
        </w:trPr>
        <w:tc>
          <w:tcPr>
            <w:tcW w:w="4264" w:type="dxa"/>
          </w:tcPr>
          <w:p>
            <w:pPr>
              <w:spacing w:line="360" w:lineRule="auto"/>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anchor distT="0" distB="0" distL="114300" distR="114300" simplePos="0" relativeHeight="251665408" behindDoc="0" locked="0" layoutInCell="1" allowOverlap="1">
                  <wp:simplePos x="0" y="0"/>
                  <wp:positionH relativeFrom="column">
                    <wp:align>center</wp:align>
                  </wp:positionH>
                  <wp:positionV relativeFrom="paragraph">
                    <wp:posOffset>97155</wp:posOffset>
                  </wp:positionV>
                  <wp:extent cx="1080135" cy="1380490"/>
                  <wp:effectExtent l="0" t="0" r="0" b="1016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0" cstate="print"/>
                          <a:stretch>
                            <a:fillRect/>
                          </a:stretch>
                        </pic:blipFill>
                        <pic:spPr>
                          <a:xfrm>
                            <a:off x="0" y="0"/>
                            <a:ext cx="1080135" cy="1380490"/>
                          </a:xfrm>
                          <a:prstGeom prst="rect">
                            <a:avLst/>
                          </a:prstGeom>
                          <a:noFill/>
                          <a:ln>
                            <a:noFill/>
                          </a:ln>
                        </pic:spPr>
                      </pic:pic>
                    </a:graphicData>
                  </a:graphic>
                </wp:anchor>
              </w:drawing>
            </w:r>
          </w:p>
        </w:tc>
        <w:tc>
          <w:tcPr>
            <w:tcW w:w="4265" w:type="dxa"/>
          </w:tcPr>
          <w:p>
            <w:pPr>
              <w:spacing w:line="360" w:lineRule="auto"/>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drawing>
                <wp:anchor distT="0" distB="0" distL="114300" distR="114300" simplePos="0" relativeHeight="251644928" behindDoc="0" locked="0" layoutInCell="1" allowOverlap="1">
                  <wp:simplePos x="0" y="0"/>
                  <wp:positionH relativeFrom="column">
                    <wp:align>center</wp:align>
                  </wp:positionH>
                  <wp:positionV relativeFrom="page">
                    <wp:posOffset>93345</wp:posOffset>
                  </wp:positionV>
                  <wp:extent cx="1058545" cy="1415415"/>
                  <wp:effectExtent l="0" t="0" r="8255" b="13335"/>
                  <wp:wrapSquare wrapText="bothSides"/>
                  <wp:docPr id="3" name="图片 49" descr="笼芯囊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笼芯囊图片"/>
                          <pic:cNvPicPr>
                            <a:picLocks noChangeAspect="1"/>
                          </pic:cNvPicPr>
                        </pic:nvPicPr>
                        <pic:blipFill>
                          <a:blip r:embed="rId61" cstate="print"/>
                          <a:stretch>
                            <a:fillRect/>
                          </a:stretch>
                        </pic:blipFill>
                        <pic:spPr>
                          <a:xfrm>
                            <a:off x="0" y="0"/>
                            <a:ext cx="1058545" cy="14154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4264" w:type="dxa"/>
          </w:tcPr>
          <w:p>
            <w:pPr>
              <w:spacing w:line="360" w:lineRule="auto"/>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(a)</w:t>
            </w:r>
          </w:p>
        </w:tc>
        <w:tc>
          <w:tcPr>
            <w:tcW w:w="4265" w:type="dxa"/>
          </w:tcPr>
          <w:p>
            <w:pPr>
              <w:spacing w:line="360" w:lineRule="auto"/>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(b)</w:t>
            </w:r>
          </w:p>
        </w:tc>
      </w:tr>
    </w:tbl>
    <w:p>
      <w:pPr>
        <w:spacing w:line="360" w:lineRule="auto"/>
        <w:jc w:val="center"/>
        <w:rPr>
          <w:rFonts w:ascii="黑体" w:hAnsi="黑体" w:eastAsia="黑体" w:cs="黑体"/>
          <w:color w:val="000000"/>
          <w:spacing w:val="2"/>
          <w:sz w:val="18"/>
          <w:szCs w:val="18"/>
        </w:rPr>
      </w:pPr>
      <w:r>
        <w:rPr>
          <w:rFonts w:hint="eastAsia" w:ascii="黑体" w:hAnsi="黑体" w:eastAsia="黑体" w:cs="黑体"/>
          <w:color w:val="000000"/>
          <w:sz w:val="18"/>
          <w:szCs w:val="18"/>
        </w:rPr>
        <w:t xml:space="preserve">图6.1.3  </w:t>
      </w:r>
      <w:r>
        <w:rPr>
          <w:rFonts w:hint="eastAsia" w:ascii="黑体" w:hAnsi="黑体" w:eastAsia="黑体" w:cs="黑体"/>
          <w:sz w:val="18"/>
          <w:szCs w:val="18"/>
        </w:rPr>
        <w:t>囊袋构造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1—囊袋袋体；2—囊袋上口；3—囊袋下口；4—囊袋肩；5—囊袋侧</w:t>
      </w:r>
    </w:p>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 xml:space="preserve">6.1.4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rPr>
        <w:t>囊袋布宜采用机织长丝土工布，布料径向强度、纬向强度和接缝强度应满足下式要求：</w:t>
      </w:r>
    </w:p>
    <w:tbl>
      <w:tblPr>
        <w:tblStyle w:val="18"/>
        <w:tblW w:w="61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52"/>
        <w:gridCol w:w="1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2" w:type="dxa"/>
          </w:tcPr>
          <w:p>
            <w:pPr>
              <w:jc w:val="center"/>
              <w:rPr>
                <w:rFonts w:asciiTheme="minorEastAsia" w:hAnsiTheme="minorEastAsia" w:eastAsiaTheme="minorEastAsia" w:cstheme="minorEastAsia"/>
                <w:color w:val="000000"/>
                <w:szCs w:val="21"/>
              </w:rPr>
            </w:pPr>
            <w:r>
              <w:rPr>
                <w:rFonts w:ascii="Times New Roman" w:hAnsi="Times New Roman" w:cs="Times New Roman" w:eastAsiaTheme="minorEastAsia"/>
                <w:kern w:val="0"/>
                <w:szCs w:val="21"/>
              </w:rPr>
              <w:t>Min</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color w:val="000000"/>
                <w:spacing w:val="2"/>
                <w:szCs w:val="21"/>
              </w:rPr>
              <w:t>径向、纬向、接缝强度</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color w:val="000000"/>
                <w:kern w:val="0"/>
                <w:szCs w:val="21"/>
              </w:rPr>
              <w:t>≥</w:t>
            </w:r>
            <w:r>
              <w:rPr>
                <w:rFonts w:hint="eastAsia" w:asciiTheme="minorEastAsia" w:hAnsiTheme="minorEastAsia" w:eastAsiaTheme="minorEastAsia" w:cstheme="minorEastAsia"/>
                <w:color w:val="000000"/>
                <w:kern w:val="0"/>
                <w:position w:val="-24"/>
                <w:szCs w:val="21"/>
              </w:rPr>
              <w:object>
                <v:shape id="_x0000_i1042" o:spt="75" type="#_x0000_t75" style="height:30.7pt;width:76.4pt;" o:ole="t" filled="f" o:preferrelative="t" stroked="f" coordsize="21600,21600">
                  <v:path/>
                  <v:fill on="f" focussize="0,0"/>
                  <v:stroke on="f" joinstyle="miter"/>
                  <v:imagedata r:id="rId63" o:title=""/>
                  <o:lock v:ext="edit" aspectratio="t"/>
                  <w10:wrap type="none"/>
                  <w10:anchorlock/>
                </v:shape>
                <o:OLEObject Type="Embed" ProgID="Equation.KSEE3" ShapeID="_x0000_i1042" DrawAspect="Content" ObjectID="_1468075744" r:id="rId62">
                  <o:LockedField>false</o:LockedField>
                </o:OLEObject>
              </w:object>
            </w:r>
          </w:p>
        </w:tc>
        <w:tc>
          <w:tcPr>
            <w:tcW w:w="1161" w:type="dxa"/>
            <w:vAlign w:val="center"/>
          </w:tcPr>
          <w:p>
            <w:pPr>
              <w:spacing w:line="360" w:lineRule="auto"/>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（6.1.4）</w:t>
            </w:r>
          </w:p>
        </w:tc>
      </w:tr>
    </w:tbl>
    <w:tbl>
      <w:tblPr>
        <w:tblStyle w:val="17"/>
        <w:tblpPr w:leftFromText="181" w:rightFromText="181" w:vertAnchor="text" w:horzAnchor="margin" w:tblpY="7"/>
        <w:tblOverlap w:val="never"/>
        <w:tblW w:w="6289" w:type="dxa"/>
        <w:tblInd w:w="0" w:type="dxa"/>
        <w:tblLayout w:type="fixed"/>
        <w:tblCellMar>
          <w:top w:w="0" w:type="dxa"/>
          <w:left w:w="108" w:type="dxa"/>
          <w:bottom w:w="0" w:type="dxa"/>
          <w:right w:w="108" w:type="dxa"/>
        </w:tblCellMar>
      </w:tblPr>
      <w:tblGrid>
        <w:gridCol w:w="592"/>
        <w:gridCol w:w="394"/>
        <w:gridCol w:w="290"/>
        <w:gridCol w:w="5013"/>
      </w:tblGrid>
      <w:tr>
        <w:tblPrEx>
          <w:tblCellMar>
            <w:top w:w="0" w:type="dxa"/>
            <w:left w:w="108" w:type="dxa"/>
            <w:bottom w:w="0" w:type="dxa"/>
            <w:right w:w="108" w:type="dxa"/>
          </w:tblCellMar>
        </w:tblPrEx>
        <w:trPr>
          <w:trHeight w:val="1894" w:hRule="exact"/>
        </w:trPr>
        <w:tc>
          <w:tcPr>
            <w:tcW w:w="592" w:type="dxa"/>
            <w:tcMar>
              <w:left w:w="0" w:type="dxa"/>
              <w:right w:w="28" w:type="dxa"/>
            </w:tcMar>
          </w:tcPr>
          <w:p>
            <w:pPr>
              <w:spacing w:line="312"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Cs w:val="21"/>
              </w:rPr>
              <w:t>式中：</w:t>
            </w:r>
          </w:p>
        </w:tc>
        <w:tc>
          <w:tcPr>
            <w:tcW w:w="394" w:type="dxa"/>
            <w:tcMar>
              <w:left w:w="0" w:type="dxa"/>
              <w:right w:w="28" w:type="dxa"/>
            </w:tcMar>
          </w:tcPr>
          <w:p>
            <w:pPr>
              <w:spacing w:line="312" w:lineRule="exact"/>
              <w:jc w:val="right"/>
              <w:rPr>
                <w:rFonts w:ascii="Times New Roman" w:hAnsi="Times New Roman" w:cs="Times New Roman" w:eastAsiaTheme="minorEastAsia"/>
                <w:i/>
                <w:iCs/>
                <w:color w:val="000000"/>
                <w:sz w:val="24"/>
                <w:vertAlign w:val="subscript"/>
              </w:rPr>
            </w:pPr>
            <w:r>
              <w:rPr>
                <w:rFonts w:ascii="Times New Roman" w:hAnsi="Times New Roman" w:cs="Times New Roman" w:eastAsiaTheme="minorEastAsia"/>
                <w:i/>
                <w:iCs/>
                <w:color w:val="000000"/>
                <w:sz w:val="24"/>
              </w:rPr>
              <w:t>K</w:t>
            </w:r>
            <w:r>
              <w:rPr>
                <w:rFonts w:ascii="Times New Roman" w:hAnsi="Times New Roman" w:cs="Times New Roman" w:eastAsiaTheme="minorEastAsia"/>
                <w:i/>
                <w:iCs/>
                <w:color w:val="000000"/>
                <w:sz w:val="24"/>
                <w:vertAlign w:val="subscript"/>
              </w:rPr>
              <w:t>b</w:t>
            </w:r>
          </w:p>
          <w:p>
            <w:pPr>
              <w:spacing w:line="312" w:lineRule="exact"/>
              <w:jc w:val="right"/>
              <w:rPr>
                <w:rFonts w:ascii="Times New Roman" w:hAnsi="Times New Roman" w:cs="Times New Roman" w:eastAsiaTheme="minorEastAsia"/>
                <w:color w:val="000000"/>
                <w:sz w:val="18"/>
                <w:vertAlign w:val="subscript"/>
              </w:rPr>
            </w:pPr>
            <w:r>
              <w:rPr>
                <w:rFonts w:ascii="Times New Roman" w:hAnsi="Times New Roman" w:cs="Times New Roman" w:eastAsiaTheme="minorEastAsia"/>
                <w:i/>
                <w:color w:val="000000"/>
                <w:sz w:val="24"/>
              </w:rPr>
              <w:t>γ</w:t>
            </w:r>
            <w:r>
              <w:rPr>
                <w:rFonts w:ascii="Times New Roman" w:hAnsi="Times New Roman" w:cs="Times New Roman" w:eastAsiaTheme="minorEastAsia"/>
                <w:color w:val="000000"/>
                <w:sz w:val="18"/>
                <w:vertAlign w:val="subscript"/>
              </w:rPr>
              <w:t xml:space="preserve">1 </w:t>
            </w:r>
          </w:p>
          <w:p>
            <w:pPr>
              <w:spacing w:line="312" w:lineRule="exact"/>
              <w:jc w:val="right"/>
              <w:rPr>
                <w:rFonts w:ascii="Times New Roman" w:hAnsi="Times New Roman" w:cs="Times New Roman" w:eastAsiaTheme="minorEastAsia"/>
                <w:color w:val="000000"/>
                <w:sz w:val="18"/>
                <w:vertAlign w:val="subscript"/>
              </w:rPr>
            </w:pPr>
            <w:r>
              <w:rPr>
                <w:rFonts w:ascii="Times New Roman" w:hAnsi="Times New Roman" w:cs="Times New Roman" w:eastAsiaTheme="minorEastAsia"/>
                <w:i/>
                <w:color w:val="000000"/>
                <w:sz w:val="24"/>
              </w:rPr>
              <w:t>γ</w:t>
            </w:r>
            <w:r>
              <w:rPr>
                <w:rFonts w:ascii="Times New Roman" w:hAnsi="Times New Roman" w:cs="Times New Roman" w:eastAsiaTheme="minorEastAsia"/>
                <w:color w:val="000000"/>
                <w:sz w:val="18"/>
                <w:vertAlign w:val="subscript"/>
              </w:rPr>
              <w:t>2</w:t>
            </w:r>
          </w:p>
          <w:p>
            <w:pPr>
              <w:spacing w:line="312" w:lineRule="exact"/>
              <w:jc w:val="right"/>
              <w:rPr>
                <w:rFonts w:ascii="Times New Roman" w:hAnsi="Times New Roman" w:cs="Times New Roman" w:eastAsiaTheme="minorEastAsia"/>
                <w:i/>
                <w:color w:val="000000"/>
              </w:rPr>
            </w:pPr>
            <w:r>
              <w:rPr>
                <w:rFonts w:ascii="Times New Roman" w:hAnsi="Times New Roman" w:cs="Times New Roman" w:eastAsiaTheme="minorEastAsia"/>
                <w:i/>
                <w:color w:val="000000"/>
              </w:rPr>
              <w:t>h</w:t>
            </w:r>
          </w:p>
          <w:p>
            <w:pPr>
              <w:spacing w:line="312" w:lineRule="exact"/>
              <w:jc w:val="right"/>
              <w:rPr>
                <w:rFonts w:ascii="Times New Roman" w:hAnsi="Times New Roman" w:cs="Times New Roman" w:eastAsiaTheme="minorEastAsia"/>
                <w:i/>
                <w:color w:val="000000"/>
              </w:rPr>
            </w:pPr>
          </w:p>
          <w:p>
            <w:pPr>
              <w:spacing w:line="312" w:lineRule="exact"/>
              <w:jc w:val="right"/>
              <w:rPr>
                <w:rFonts w:ascii="Times New Roman" w:hAnsi="Times New Roman" w:cs="Times New Roman" w:eastAsiaTheme="minorEastAsia"/>
                <w:i/>
                <w:color w:val="000000"/>
              </w:rPr>
            </w:pPr>
            <w:r>
              <w:rPr>
                <w:rFonts w:ascii="Times New Roman" w:hAnsi="Times New Roman" w:cs="Times New Roman" w:eastAsiaTheme="minorEastAsia"/>
                <w:i/>
                <w:color w:val="000000"/>
                <w:spacing w:val="2"/>
              </w:rPr>
              <w:t>D</w:t>
            </w:r>
            <w:r>
              <w:rPr>
                <w:rFonts w:hint="eastAsia" w:ascii="Times New Roman" w:hAnsi="Times New Roman" w:cs="Times New Roman" w:eastAsiaTheme="minorEastAsia"/>
                <w:i/>
                <w:color w:val="000000"/>
                <w:spacing w:val="2"/>
                <w:vertAlign w:val="subscript"/>
              </w:rPr>
              <w:t>4</w:t>
            </w:r>
            <w:r>
              <w:rPr>
                <w:rFonts w:ascii="Times New Roman" w:hAnsi="Times New Roman" w:cs="Times New Roman" w:eastAsiaTheme="minorEastAsia"/>
                <w:i/>
                <w:color w:val="000000"/>
                <w:spacing w:val="2"/>
                <w:vertAlign w:val="subscript"/>
              </w:rPr>
              <w:t xml:space="preserve"> </w:t>
            </w:r>
          </w:p>
        </w:tc>
        <w:tc>
          <w:tcPr>
            <w:tcW w:w="290" w:type="dxa"/>
            <w:tcMar>
              <w:left w:w="0" w:type="dxa"/>
              <w:right w:w="0" w:type="dxa"/>
            </w:tcMar>
          </w:tcPr>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p>
            <w:pPr>
              <w:spacing w:line="312" w:lineRule="exact"/>
              <w:rPr>
                <w:rFonts w:ascii="Times New Roman" w:hAnsi="Times New Roman" w:cs="Times New Roman" w:eastAsiaTheme="minorEastAsia"/>
                <w:color w:val="000000"/>
                <w:sz w:val="24"/>
              </w:rPr>
            </w:pPr>
            <w:r>
              <w:rPr>
                <w:rFonts w:ascii="Times New Roman" w:hAnsi="Times New Roman" w:cs="Times New Roman" w:eastAsiaTheme="minorEastAsia"/>
                <w:color w:val="000000"/>
                <w:sz w:val="24"/>
              </w:rPr>
              <w:t>—</w:t>
            </w:r>
          </w:p>
          <w:p>
            <w:pPr>
              <w:spacing w:line="312" w:lineRule="exact"/>
              <w:rPr>
                <w:rFonts w:ascii="Times New Roman" w:hAnsi="Times New Roman" w:cs="Times New Roman" w:eastAsiaTheme="minorEastAsia"/>
                <w:color w:val="000000"/>
                <w:sz w:val="24"/>
              </w:rPr>
            </w:pPr>
          </w:p>
        </w:tc>
        <w:tc>
          <w:tcPr>
            <w:tcW w:w="5013" w:type="dxa"/>
            <w:tcMar>
              <w:left w:w="0" w:type="dxa"/>
            </w:tcMar>
          </w:tcPr>
          <w:p>
            <w:pPr>
              <w:spacing w:line="312" w:lineRule="exact"/>
              <w:rPr>
                <w:rFonts w:asciiTheme="minorEastAsia" w:hAnsiTheme="minorEastAsia" w:eastAsiaTheme="minorEastAsia" w:cstheme="minorEastAsia"/>
                <w:color w:val="000000"/>
                <w:spacing w:val="2"/>
              </w:rPr>
            </w:pPr>
            <w:r>
              <w:rPr>
                <w:rFonts w:hint="eastAsia" w:asciiTheme="minorEastAsia" w:hAnsiTheme="minorEastAsia" w:eastAsiaTheme="minorEastAsia" w:cstheme="minorEastAsia"/>
                <w:color w:val="000000"/>
                <w:spacing w:val="2"/>
              </w:rPr>
              <w:t>布料强度安全系数，取</w:t>
            </w:r>
            <w:r>
              <w:rPr>
                <w:rFonts w:hint="eastAsia" w:asciiTheme="minorEastAsia" w:hAnsiTheme="minorEastAsia" w:eastAsiaTheme="minorEastAsia" w:cstheme="minorEastAsia"/>
                <w:i/>
                <w:color w:val="000000"/>
              </w:rPr>
              <w:t>K</w:t>
            </w:r>
            <w:r>
              <w:rPr>
                <w:rFonts w:hint="eastAsia" w:asciiTheme="minorEastAsia" w:hAnsiTheme="minorEastAsia" w:eastAsiaTheme="minorEastAsia" w:cstheme="minorEastAsia"/>
                <w:i/>
                <w:color w:val="000000"/>
                <w:vertAlign w:val="subscript"/>
              </w:rPr>
              <w:t>b</w:t>
            </w:r>
            <w:r>
              <w:rPr>
                <w:rFonts w:hint="eastAsia" w:asciiTheme="minorEastAsia" w:hAnsiTheme="minorEastAsia" w:eastAsiaTheme="minorEastAsia" w:cstheme="minorEastAsia"/>
                <w:color w:val="000000"/>
                <w:spacing w:val="2"/>
              </w:rPr>
              <w:t>=3；</w:t>
            </w:r>
          </w:p>
          <w:p>
            <w:pPr>
              <w:spacing w:line="312" w:lineRule="exact"/>
              <w:rPr>
                <w:rFonts w:asciiTheme="minorEastAsia" w:hAnsiTheme="minorEastAsia" w:eastAsiaTheme="minorEastAsia" w:cstheme="minorEastAsia"/>
                <w:color w:val="000000"/>
                <w:spacing w:val="2"/>
              </w:rPr>
            </w:pPr>
            <w:r>
              <w:rPr>
                <w:rFonts w:hint="eastAsia" w:asciiTheme="minorEastAsia" w:hAnsiTheme="minorEastAsia" w:eastAsiaTheme="minorEastAsia" w:cstheme="minorEastAsia"/>
                <w:color w:val="000000"/>
                <w:spacing w:val="2"/>
              </w:rPr>
              <w:t>囊袋外水泥浆的容重（kN/m</w:t>
            </w:r>
            <w:r>
              <w:rPr>
                <w:rFonts w:hint="eastAsia" w:asciiTheme="minorEastAsia" w:hAnsiTheme="minorEastAsia" w:eastAsiaTheme="minorEastAsia" w:cstheme="minorEastAsia"/>
                <w:color w:val="000000"/>
                <w:spacing w:val="2"/>
                <w:vertAlign w:val="superscript"/>
              </w:rPr>
              <w:t>3</w:t>
            </w:r>
            <w:r>
              <w:rPr>
                <w:rFonts w:hint="eastAsia" w:asciiTheme="minorEastAsia" w:hAnsiTheme="minorEastAsia" w:eastAsiaTheme="minorEastAsia" w:cstheme="minorEastAsia"/>
                <w:color w:val="000000"/>
                <w:spacing w:val="2"/>
              </w:rPr>
              <w:t>）；</w:t>
            </w:r>
          </w:p>
          <w:p>
            <w:pPr>
              <w:spacing w:line="312" w:lineRule="exact"/>
              <w:rPr>
                <w:rFonts w:asciiTheme="minorEastAsia" w:hAnsiTheme="minorEastAsia" w:eastAsiaTheme="minorEastAsia" w:cstheme="minorEastAsia"/>
                <w:color w:val="000000"/>
                <w:spacing w:val="2"/>
              </w:rPr>
            </w:pPr>
            <w:r>
              <w:rPr>
                <w:rFonts w:hint="eastAsia" w:asciiTheme="minorEastAsia" w:hAnsiTheme="minorEastAsia" w:eastAsiaTheme="minorEastAsia" w:cstheme="minorEastAsia"/>
                <w:color w:val="000000"/>
                <w:spacing w:val="2"/>
              </w:rPr>
              <w:t>囊袋内水泥浆的容重（kN/m</w:t>
            </w:r>
            <w:r>
              <w:rPr>
                <w:rFonts w:hint="eastAsia" w:asciiTheme="minorEastAsia" w:hAnsiTheme="minorEastAsia" w:eastAsiaTheme="minorEastAsia" w:cstheme="minorEastAsia"/>
                <w:color w:val="000000"/>
                <w:spacing w:val="2"/>
                <w:vertAlign w:val="superscript"/>
              </w:rPr>
              <w:t>3</w:t>
            </w:r>
            <w:r>
              <w:rPr>
                <w:rFonts w:hint="eastAsia" w:asciiTheme="minorEastAsia" w:hAnsiTheme="minorEastAsia" w:eastAsiaTheme="minorEastAsia" w:cstheme="minorEastAsia"/>
                <w:color w:val="000000"/>
                <w:spacing w:val="2"/>
              </w:rPr>
              <w:t>）；</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rPr>
              <w:t>竖直锚杆取</w:t>
            </w:r>
            <w:r>
              <w:rPr>
                <w:rFonts w:hint="eastAsia" w:asciiTheme="minorEastAsia" w:hAnsiTheme="minorEastAsia" w:eastAsiaTheme="minorEastAsia" w:cstheme="minorEastAsia"/>
                <w:color w:val="000000"/>
                <w:spacing w:val="2"/>
              </w:rPr>
              <w:t>囊袋高度（m），倾斜锚杆取囊袋竖向投影高度；</w:t>
            </w:r>
          </w:p>
          <w:p>
            <w:pPr>
              <w:spacing w:line="312" w:lineRule="exact"/>
              <w:rPr>
                <w:rFonts w:asciiTheme="minorEastAsia" w:hAnsiTheme="minorEastAsia" w:eastAsiaTheme="minorEastAsia" w:cstheme="minorEastAsia"/>
                <w:color w:val="000000"/>
                <w:spacing w:val="2"/>
              </w:rPr>
            </w:pPr>
            <w:r>
              <w:rPr>
                <w:rFonts w:hint="eastAsia" w:asciiTheme="minorEastAsia" w:hAnsiTheme="minorEastAsia" w:eastAsiaTheme="minorEastAsia" w:cstheme="minorEastAsia"/>
                <w:color w:val="000000"/>
                <w:spacing w:val="2"/>
              </w:rPr>
              <w:t>囊袋直径（m）。</w:t>
            </w:r>
          </w:p>
        </w:tc>
      </w:tr>
    </w:tbl>
    <w:p>
      <w:pPr>
        <w:spacing w:line="360" w:lineRule="exact"/>
        <w:rPr>
          <w:rFonts w:asciiTheme="minorEastAsia" w:hAnsiTheme="minorEastAsia" w:eastAsiaTheme="minorEastAsia" w:cstheme="minorEastAsia"/>
          <w:color w:val="000000"/>
          <w:spacing w:val="2"/>
          <w:szCs w:val="21"/>
        </w:rPr>
      </w:pPr>
      <w:r>
        <w:rPr>
          <w:rFonts w:hint="eastAsia" w:ascii="Times New Roman" w:hAnsi="Times New Roman" w:cs="Times New Roman" w:eastAsiaTheme="minorEastAsia"/>
          <w:color w:val="000000"/>
          <w:szCs w:val="21"/>
        </w:rPr>
        <w:t xml:space="preserve">6.1.5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rPr>
        <w:t>囊袋布和囊袋接缝应不透浆或弱透浆。</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6.1.6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囊袋布的厚度不宜大于0.6mm。</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6.1.7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囊袋的高度应等于笼芯高度。囊袋直径不应小于囊袋置放处锚孔的直径，不宜大于囊袋置放处锚孔直径+30mm。</w:t>
      </w:r>
    </w:p>
    <w:p>
      <w:pPr>
        <w:rPr>
          <w:rFonts w:asciiTheme="minorEastAsia" w:hAnsiTheme="minorEastAsia" w:eastAsiaTheme="minorEastAsia" w:cstheme="minorEastAsia"/>
          <w:i/>
          <w:color w:val="000000"/>
          <w:szCs w:val="21"/>
        </w:rPr>
      </w:pPr>
      <w:r>
        <w:rPr>
          <w:rFonts w:hint="eastAsia" w:ascii="Times New Roman" w:hAnsi="Times New Roman" w:cs="Times New Roman" w:eastAsiaTheme="minorEastAsia"/>
          <w:color w:val="000000"/>
          <w:szCs w:val="21"/>
        </w:rPr>
        <w:t>6.1.8</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rPr>
        <w:t>囊袋上口与笼芯上箍筒采用螺栓压板套压固定连接，连接应稳固可靠、密封不透浆。</w:t>
      </w:r>
    </w:p>
    <w:p>
      <w:pPr>
        <w:jc w:val="center"/>
        <w:rPr>
          <w:rFonts w:asciiTheme="minorEastAsia" w:hAnsiTheme="minorEastAsia" w:eastAsiaTheme="minorEastAsia" w:cstheme="minorEastAsia"/>
          <w:b/>
          <w:bCs/>
          <w:color w:val="000000"/>
          <w:sz w:val="18"/>
          <w:szCs w:val="18"/>
        </w:rPr>
      </w:pPr>
    </w:p>
    <w:p>
      <w:pPr>
        <w:pStyle w:val="3"/>
        <w:spacing w:before="312" w:beforeLines="100" w:after="312" w:afterLines="100"/>
        <w:rPr>
          <w:rFonts w:asciiTheme="minorEastAsia" w:hAnsiTheme="minorEastAsia" w:eastAsiaTheme="minorEastAsia" w:cstheme="minorEastAsia"/>
        </w:rPr>
      </w:pPr>
      <w:bookmarkStart w:id="255" w:name="_Toc8805"/>
      <w:bookmarkStart w:id="256" w:name="_Toc21825"/>
      <w:bookmarkStart w:id="257" w:name="_Toc8206"/>
      <w:bookmarkStart w:id="258" w:name="_Toc29087"/>
      <w:bookmarkStart w:id="259" w:name="_Toc11596"/>
      <w:r>
        <w:rPr>
          <w:rFonts w:hint="eastAsia" w:asciiTheme="minorEastAsia" w:hAnsiTheme="minorEastAsia" w:eastAsiaTheme="minorEastAsia" w:cstheme="minorEastAsia"/>
        </w:rPr>
        <w:t>6.2  锚杆构造</w:t>
      </w:r>
      <w:bookmarkEnd w:id="255"/>
      <w:bookmarkEnd w:id="256"/>
      <w:bookmarkEnd w:id="257"/>
      <w:bookmarkEnd w:id="258"/>
      <w:bookmarkEnd w:id="259"/>
      <w:r>
        <w:rPr>
          <w:rFonts w:hint="eastAsia" w:asciiTheme="minorEastAsia" w:hAnsiTheme="minorEastAsia" w:eastAsiaTheme="minorEastAsia" w:cstheme="minorEastAsia"/>
        </w:rPr>
        <w:t xml:space="preserve"> </w:t>
      </w:r>
    </w:p>
    <w:p>
      <w:pPr>
        <w:spacing w:line="360" w:lineRule="exact"/>
        <w:rPr>
          <w:rFonts w:asciiTheme="minorEastAsia" w:hAnsiTheme="minorEastAsia" w:eastAsiaTheme="minorEastAsia" w:cstheme="minorEastAsia"/>
          <w:b/>
          <w:bCs/>
          <w:color w:val="000000"/>
          <w:szCs w:val="21"/>
        </w:rPr>
      </w:pPr>
      <w:r>
        <w:rPr>
          <w:rFonts w:hint="eastAsia" w:ascii="Times New Roman" w:hAnsi="Times New Roman" w:cs="Times New Roman" w:eastAsiaTheme="minorEastAsia"/>
          <w:color w:val="000000"/>
          <w:szCs w:val="21"/>
        </w:rPr>
        <w:t xml:space="preserve">6.2.1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rPr>
        <w:t>笼芯囊与钢筋锚杆安装连接（图6.2.1）应符合下列规定</w:t>
      </w:r>
      <w:r>
        <w:rPr>
          <w:rFonts w:hint="eastAsia" w:asciiTheme="minorEastAsia" w:hAnsiTheme="minorEastAsia" w:eastAsiaTheme="minorEastAsia" w:cstheme="minorEastAsia"/>
          <w:color w:val="000000"/>
          <w:szCs w:val="21"/>
        </w:rPr>
        <w:t>：</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笼芯囊上箍筒应通过轴向螺栓和上锁扣与杆体连接固定；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上锁扣应套压密封套并由横向螺栓锁紧在锚杆杆体上，确保水泥浆不能沿锚杆杆体外漏；</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螺纹承载体应螺旋安装于笼芯底部杆体钢筋并将笼芯底部向上抵压压紧；</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4</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笼芯和螺纹承载体应封闭在囊袋内，囊袋下口应套在杆体钢筋尾端并用下锁扣或钢箍将囊袋下口套压在杆体钢筋上并咬合锁紧，确保水泥浆不能沿杆体钢筋外漏；</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5</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螺纹承载体由承载板和内螺纹筒体组成，可以一体，也可以分体。承载板直径不应小于1.1倍笼芯直径。</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6.2.2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注浆管应与引浆管接头密封连接，确保不漏浆。</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6. 2.3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排气管应与排气管接头牢固连接。排气管内径不应小于5mm。排气管可采用PE材料，管壁厚度和硬度应确保在土体中受到泥水或土体挤时不会被压扁堵塞。</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6.2.4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钢绞线锚杆笼芯囊可采用钢丝网格笼芯或钢弹簧螺旋笼芯，安装连接（图6.2.4）应符合下列规定：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囊袋上口和下口内每股钢绞线之间均应设置可靠的密封固定材料，确保密不漏浆并固定可靠；</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引浆管应沿笼芯外伸入囊袋底部；</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排气管进气口应伸入囊袋上部200mm内；</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4</w:t>
      </w:r>
      <w:r>
        <w:rPr>
          <w:rFonts w:ascii="Times New Roman" w:hAnsi="Times New Roman" w:cs="Times New Roman" w:eastAsiaTheme="minorEastAsia"/>
          <w:b/>
          <w:bCs/>
          <w:color w:val="000000"/>
          <w:szCs w:val="21"/>
        </w:rPr>
        <w:t xml:space="preserve">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囊袋上口和下口应采用1～3道锁扣套压锁紧，确保囊袋可靠固定在杆体上。</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3"/>
        <w:gridCol w:w="3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9" w:hRule="atLeast"/>
        </w:trPr>
        <w:tc>
          <w:tcPr>
            <w:tcW w:w="3033" w:type="dxa"/>
            <w:vMerge w:val="restart"/>
            <w:shd w:val="clear" w:color="auto" w:fill="auto"/>
            <w:vAlign w:val="center"/>
          </w:tcPr>
          <w:p>
            <w:pPr>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0" distR="0">
                  <wp:extent cx="1386840" cy="4330065"/>
                  <wp:effectExtent l="19050" t="0" r="3594"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64" cstate="print"/>
                          <a:srcRect/>
                          <a:stretch>
                            <a:fillRect/>
                          </a:stretch>
                        </pic:blipFill>
                        <pic:spPr>
                          <a:xfrm>
                            <a:off x="0" y="0"/>
                            <a:ext cx="1395387" cy="4356470"/>
                          </a:xfrm>
                          <a:prstGeom prst="rect">
                            <a:avLst/>
                          </a:prstGeom>
                          <a:noFill/>
                          <a:ln w="9525">
                            <a:noFill/>
                            <a:miter lim="800000"/>
                            <a:headEnd/>
                            <a:tailEnd/>
                          </a:ln>
                        </pic:spPr>
                      </pic:pic>
                    </a:graphicData>
                  </a:graphic>
                </wp:inline>
              </w:drawing>
            </w:r>
          </w:p>
        </w:tc>
        <w:tc>
          <w:tcPr>
            <w:tcW w:w="3126" w:type="dxa"/>
            <w:shd w:val="clear" w:color="auto" w:fill="auto"/>
            <w:vAlign w:val="center"/>
          </w:tcPr>
          <w:p>
            <w:pPr>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0" distR="0">
                  <wp:extent cx="1764665" cy="1243330"/>
                  <wp:effectExtent l="1905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65" cstate="print"/>
                          <a:srcRect/>
                          <a:stretch>
                            <a:fillRect/>
                          </a:stretch>
                        </pic:blipFill>
                        <pic:spPr>
                          <a:xfrm>
                            <a:off x="0" y="0"/>
                            <a:ext cx="1768294" cy="1246117"/>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3033" w:type="dxa"/>
            <w:vMerge w:val="continue"/>
            <w:shd w:val="clear" w:color="auto" w:fill="auto"/>
            <w:vAlign w:val="center"/>
          </w:tcPr>
          <w:p>
            <w:pPr>
              <w:jc w:val="center"/>
              <w:rPr>
                <w:rFonts w:asciiTheme="minorEastAsia" w:hAnsiTheme="minorEastAsia" w:eastAsiaTheme="minorEastAsia" w:cstheme="minorEastAsia"/>
                <w:color w:val="000000"/>
              </w:rPr>
            </w:pPr>
          </w:p>
        </w:tc>
        <w:tc>
          <w:tcPr>
            <w:tcW w:w="3126" w:type="dxa"/>
            <w:shd w:val="clear" w:color="auto" w:fill="auto"/>
            <w:vAlign w:val="center"/>
          </w:tcPr>
          <w:p>
            <w:pPr>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3033" w:type="dxa"/>
            <w:vMerge w:val="continue"/>
            <w:shd w:val="clear" w:color="auto" w:fill="auto"/>
            <w:vAlign w:val="center"/>
          </w:tcPr>
          <w:p>
            <w:pPr>
              <w:jc w:val="center"/>
              <w:rPr>
                <w:rFonts w:asciiTheme="minorEastAsia" w:hAnsiTheme="minorEastAsia" w:eastAsiaTheme="minorEastAsia" w:cstheme="minorEastAsia"/>
                <w:color w:val="000000"/>
              </w:rPr>
            </w:pPr>
          </w:p>
        </w:tc>
        <w:tc>
          <w:tcPr>
            <w:tcW w:w="3126" w:type="dxa"/>
            <w:shd w:val="clear" w:color="auto" w:fill="auto"/>
            <w:vAlign w:val="center"/>
          </w:tcPr>
          <w:p>
            <w:pPr>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drawing>
                <wp:inline distT="0" distB="0" distL="0" distR="0">
                  <wp:extent cx="1823085" cy="1240155"/>
                  <wp:effectExtent l="1905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66" cstate="print"/>
                          <a:srcRect/>
                          <a:stretch>
                            <a:fillRect/>
                          </a:stretch>
                        </pic:blipFill>
                        <pic:spPr>
                          <a:xfrm>
                            <a:off x="0" y="0"/>
                            <a:ext cx="1823394" cy="1240788"/>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3033" w:type="dxa"/>
            <w:vMerge w:val="continue"/>
            <w:shd w:val="clear" w:color="auto" w:fill="auto"/>
            <w:vAlign w:val="center"/>
          </w:tcPr>
          <w:p>
            <w:pPr>
              <w:jc w:val="center"/>
              <w:rPr>
                <w:rFonts w:asciiTheme="minorEastAsia" w:hAnsiTheme="minorEastAsia" w:eastAsiaTheme="minorEastAsia" w:cstheme="minorEastAsia"/>
                <w:color w:val="000000"/>
              </w:rPr>
            </w:pPr>
          </w:p>
        </w:tc>
        <w:tc>
          <w:tcPr>
            <w:tcW w:w="3126" w:type="dxa"/>
            <w:shd w:val="clear" w:color="auto" w:fill="auto"/>
            <w:vAlign w:val="center"/>
          </w:tcPr>
          <w:p>
            <w:pPr>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trPr>
        <w:tc>
          <w:tcPr>
            <w:tcW w:w="3033" w:type="dxa"/>
            <w:vMerge w:val="continue"/>
            <w:shd w:val="clear" w:color="auto" w:fill="auto"/>
            <w:vAlign w:val="center"/>
          </w:tcPr>
          <w:p>
            <w:pPr>
              <w:jc w:val="center"/>
              <w:rPr>
                <w:rFonts w:asciiTheme="minorEastAsia" w:hAnsiTheme="minorEastAsia" w:eastAsiaTheme="minorEastAsia" w:cstheme="minorEastAsia"/>
                <w:color w:val="000000"/>
              </w:rPr>
            </w:pPr>
          </w:p>
        </w:tc>
        <w:tc>
          <w:tcPr>
            <w:tcW w:w="3126" w:type="dxa"/>
            <w:shd w:val="clear" w:color="auto" w:fill="auto"/>
            <w:vAlign w:val="center"/>
          </w:tcPr>
          <w:p>
            <w:pPr>
              <w:jc w:val="center"/>
              <w:rPr>
                <w:rFonts w:asciiTheme="minorEastAsia" w:hAnsiTheme="minorEastAsia" w:eastAsiaTheme="minorEastAsia" w:cstheme="minorEastAsia"/>
                <w:color w:val="000000"/>
              </w:rPr>
            </w:pPr>
            <w:r>
              <w:drawing>
                <wp:inline distT="0" distB="0" distL="114300" distR="114300">
                  <wp:extent cx="1800225" cy="1224280"/>
                  <wp:effectExtent l="0" t="0" r="9525" b="13970"/>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
                          <pic:cNvPicPr>
                            <a:picLocks noChangeAspect="1"/>
                          </pic:cNvPicPr>
                        </pic:nvPicPr>
                        <pic:blipFill>
                          <a:blip r:embed="rId67"/>
                          <a:stretch>
                            <a:fillRect/>
                          </a:stretch>
                        </pic:blipFill>
                        <pic:spPr>
                          <a:xfrm>
                            <a:off x="0" y="0"/>
                            <a:ext cx="1800225" cy="12242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3033" w:type="dxa"/>
            <w:shd w:val="clear" w:color="auto" w:fill="auto"/>
            <w:vAlign w:val="center"/>
          </w:tcPr>
          <w:p>
            <w:pPr>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（a）</w:t>
            </w:r>
          </w:p>
        </w:tc>
        <w:tc>
          <w:tcPr>
            <w:tcW w:w="3126" w:type="dxa"/>
            <w:shd w:val="clear" w:color="auto" w:fill="auto"/>
            <w:vAlign w:val="center"/>
          </w:tcPr>
          <w:p>
            <w:pPr>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5"/>
                <w:szCs w:val="15"/>
              </w:rPr>
              <w:t>（d）</w:t>
            </w:r>
          </w:p>
        </w:tc>
      </w:tr>
    </w:tbl>
    <w:p>
      <w:pPr>
        <w:jc w:val="center"/>
        <w:rPr>
          <w:rFonts w:ascii="黑体" w:hAnsi="黑体" w:eastAsia="黑体" w:cs="黑体"/>
          <w:color w:val="000000"/>
          <w:sz w:val="18"/>
          <w:szCs w:val="18"/>
        </w:rPr>
      </w:pPr>
      <w:r>
        <w:rPr>
          <w:rFonts w:hint="eastAsia" w:ascii="黑体" w:hAnsi="黑体" w:eastAsia="黑体" w:cs="黑体"/>
          <w:color w:val="000000"/>
          <w:sz w:val="18"/>
        </w:rPr>
        <w:t>图6.2.1  笼芯囊钢筋锚杆安装连接构造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1—杆体；2—囊袋；3—上锁扣；4—下锁扣；5—密封套；6—上箍筒；</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7—注浆管；8—引浆管；9—排气管；10—螺纹承载体；11—囊袋肩；</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12—引浆管接头；13—排气管接头；14—横向螺栓；15—排气管进气口；</w:t>
      </w:r>
    </w:p>
    <w:p>
      <w:pPr>
        <w:jc w:val="center"/>
        <w:rPr>
          <w:rFonts w:asciiTheme="minorEastAsia" w:hAnsiTheme="minorEastAsia" w:eastAsiaTheme="minorEastAsia" w:cstheme="minorEastAsia"/>
          <w:b/>
          <w:bCs/>
          <w:color w:val="000000"/>
          <w:sz w:val="18"/>
          <w:szCs w:val="18"/>
        </w:rPr>
      </w:pPr>
      <w:r>
        <w:rPr>
          <w:rFonts w:hint="eastAsia" w:asciiTheme="minorEastAsia" w:hAnsiTheme="minorEastAsia" w:eastAsiaTheme="minorEastAsia" w:cstheme="minorEastAsia"/>
          <w:color w:val="000000"/>
          <w:sz w:val="18"/>
          <w:szCs w:val="18"/>
        </w:rPr>
        <w:t>16—纵向螺栓；17—引浆管出口；18—下箍筒；19-囊袋底</w:t>
      </w: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3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3" w:hRule="atLeast"/>
          <w:jc w:val="center"/>
        </w:trPr>
        <w:tc>
          <w:tcPr>
            <w:tcW w:w="6397" w:type="dxa"/>
            <w:gridSpan w:val="2"/>
          </w:tcPr>
          <w:p>
            <w:pPr>
              <w:spacing w:line="360" w:lineRule="auto"/>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rPr>
              <w:drawing>
                <wp:inline distT="0" distB="0" distL="114300" distR="114300">
                  <wp:extent cx="3600450" cy="1685925"/>
                  <wp:effectExtent l="0" t="0" r="0" b="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68"/>
                          <a:stretch>
                            <a:fillRect/>
                          </a:stretch>
                        </pic:blipFill>
                        <pic:spPr>
                          <a:xfrm>
                            <a:off x="0" y="0"/>
                            <a:ext cx="3600450" cy="16859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6397" w:type="dxa"/>
            <w:gridSpan w:val="2"/>
            <w:vAlign w:val="center"/>
          </w:tcPr>
          <w:p>
            <w:pPr>
              <w:spacing w:line="360" w:lineRule="auto"/>
              <w:ind w:firstLine="2925" w:firstLineChars="1950"/>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27" w:type="dxa"/>
          </w:tcPr>
          <w:p>
            <w:pPr>
              <w:ind w:right="573" w:rightChars="273"/>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786890" cy="1148715"/>
                  <wp:effectExtent l="1905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69" cstate="print"/>
                          <a:srcRect/>
                          <a:stretch>
                            <a:fillRect/>
                          </a:stretch>
                        </pic:blipFill>
                        <pic:spPr>
                          <a:xfrm>
                            <a:off x="0" y="0"/>
                            <a:ext cx="1793976" cy="1153482"/>
                          </a:xfrm>
                          <a:prstGeom prst="rect">
                            <a:avLst/>
                          </a:prstGeom>
                          <a:noFill/>
                          <a:ln w="9525">
                            <a:noFill/>
                            <a:miter lim="800000"/>
                            <a:headEnd/>
                            <a:tailEnd/>
                          </a:ln>
                        </pic:spPr>
                      </pic:pic>
                    </a:graphicData>
                  </a:graphic>
                </wp:inline>
              </w:drawing>
            </w:r>
          </w:p>
        </w:tc>
        <w:tc>
          <w:tcPr>
            <w:tcW w:w="3170" w:type="dxa"/>
          </w:tcPr>
          <w:p>
            <w:pPr>
              <w:ind w:right="573" w:rightChars="273"/>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755775" cy="1168400"/>
                  <wp:effectExtent l="1905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70" cstate="print"/>
                          <a:srcRect/>
                          <a:stretch>
                            <a:fillRect/>
                          </a:stretch>
                        </pic:blipFill>
                        <pic:spPr>
                          <a:xfrm>
                            <a:off x="0" y="0"/>
                            <a:ext cx="1760635" cy="1171649"/>
                          </a:xfrm>
                          <a:prstGeom prst="rect">
                            <a:avLst/>
                          </a:prstGeom>
                          <a:noFill/>
                          <a:ln w="9525">
                            <a:noFill/>
                            <a:miter lim="800000"/>
                            <a:headEnd/>
                            <a:tailEnd/>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exact"/>
          <w:jc w:val="center"/>
        </w:trPr>
        <w:tc>
          <w:tcPr>
            <w:tcW w:w="3227" w:type="dxa"/>
          </w:tcPr>
          <w:p>
            <w:pPr>
              <w:ind w:right="573" w:rightChars="273"/>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（b）</w:t>
            </w:r>
          </w:p>
        </w:tc>
        <w:tc>
          <w:tcPr>
            <w:tcW w:w="3170" w:type="dxa"/>
          </w:tcPr>
          <w:p>
            <w:pPr>
              <w:ind w:right="573" w:rightChars="273"/>
              <w:jc w:val="cente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      （c）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exact"/>
          <w:jc w:val="center"/>
        </w:trPr>
        <w:tc>
          <w:tcPr>
            <w:tcW w:w="6397" w:type="dxa"/>
            <w:gridSpan w:val="2"/>
            <w:vAlign w:val="center"/>
          </w:tcPr>
          <w:p>
            <w:pPr>
              <w:ind w:right="573" w:rightChars="273"/>
              <w:jc w:val="center"/>
              <w:rPr>
                <w:rFonts w:asciiTheme="minorEastAsia" w:hAnsiTheme="minorEastAsia" w:eastAsiaTheme="minorEastAsia" w:cstheme="minorEastAsia"/>
                <w:szCs w:val="21"/>
              </w:rPr>
            </w:pPr>
            <w:r>
              <w:rPr>
                <w:rFonts w:hint="eastAsia" w:ascii="黑体" w:hAnsi="黑体" w:eastAsia="黑体" w:cs="黑体"/>
                <w:color w:val="000000"/>
                <w:sz w:val="18"/>
                <w:szCs w:val="18"/>
              </w:rPr>
              <w:t xml:space="preserve"> 图6.2.4  笼芯囊钢绞线锚杆安装连接构造</w:t>
            </w:r>
          </w:p>
        </w:tc>
      </w:tr>
    </w:tbl>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1—扩大头；2—囊袋；3—袋内注浆体；4—笼芯；5—锁扣；6—杆体定位器；</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7—防腐套管；8—防腐涂层或防腐油脂；9—杆体；10—注浆管；11—承载构件；12—锚具；13—锚具罩；14—排气管；15—囊袋上口；16—密封固定件；</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17—排气管进气口；18—注浆管出口；19—囊袋下口</w:t>
      </w:r>
    </w:p>
    <w:p>
      <w:pPr>
        <w:jc w:val="center"/>
        <w:rPr>
          <w:rFonts w:asciiTheme="minorEastAsia" w:hAnsiTheme="minorEastAsia" w:eastAsiaTheme="minorEastAsia" w:cstheme="minorEastAsia"/>
          <w:b/>
          <w:bCs/>
          <w:color w:val="000000"/>
          <w:szCs w:val="21"/>
        </w:rPr>
      </w:pPr>
    </w:p>
    <w:p>
      <w:pPr>
        <w:jc w:val="center"/>
        <w:rPr>
          <w:rFonts w:asciiTheme="minorEastAsia" w:hAnsiTheme="minorEastAsia" w:eastAsiaTheme="minorEastAsia" w:cstheme="minorEastAsia"/>
          <w:b/>
          <w:bCs/>
          <w:color w:val="000000"/>
          <w:szCs w:val="21"/>
        </w:rPr>
      </w:pPr>
    </w:p>
    <w:p>
      <w:pPr>
        <w:spacing w:after="313" w:afterLines="100"/>
        <w:jc w:val="center"/>
        <w:outlineLvl w:val="1"/>
        <w:rPr>
          <w:rFonts w:asciiTheme="minorEastAsia" w:hAnsiTheme="minorEastAsia" w:eastAsiaTheme="minorEastAsia" w:cstheme="minorEastAsia"/>
          <w:b/>
          <w:bCs/>
        </w:rPr>
      </w:pPr>
      <w:bookmarkStart w:id="260" w:name="_Toc18595"/>
      <w:bookmarkStart w:id="261" w:name="_Toc6981"/>
      <w:bookmarkStart w:id="262" w:name="_Toc5011"/>
      <w:bookmarkStart w:id="263" w:name="_Toc19273"/>
      <w:bookmarkStart w:id="264" w:name="_Toc25128"/>
      <w:r>
        <w:rPr>
          <w:rFonts w:hint="eastAsia" w:asciiTheme="minorEastAsia" w:hAnsiTheme="minorEastAsia" w:eastAsiaTheme="minorEastAsia" w:cstheme="minorEastAsia"/>
          <w:b/>
          <w:bCs/>
          <w:color w:val="000000"/>
          <w:szCs w:val="21"/>
        </w:rPr>
        <w:t>6.3</w:t>
      </w:r>
      <w:r>
        <w:rPr>
          <w:rFonts w:hint="eastAsia" w:asciiTheme="minorEastAsia" w:hAnsiTheme="minorEastAsia" w:eastAsiaTheme="minorEastAsia" w:cstheme="minorEastAsia"/>
          <w:b/>
          <w:bCs/>
        </w:rPr>
        <w:t xml:space="preserve">  压力型锚杆</w:t>
      </w:r>
      <w:bookmarkEnd w:id="260"/>
      <w:bookmarkEnd w:id="261"/>
      <w:bookmarkEnd w:id="262"/>
      <w:bookmarkEnd w:id="263"/>
      <w:bookmarkEnd w:id="264"/>
    </w:p>
    <w:p>
      <w:pPr>
        <w:spacing w:line="360" w:lineRule="exact"/>
        <w:rPr>
          <w:rFonts w:asciiTheme="minorEastAsia" w:hAnsiTheme="minorEastAsia" w:eastAsiaTheme="minorEastAsia" w:cstheme="minorEastAsia"/>
          <w:bCs/>
          <w:szCs w:val="21"/>
        </w:rPr>
      </w:pPr>
      <w:bookmarkStart w:id="265" w:name="_Toc6428"/>
      <w:bookmarkStart w:id="266" w:name="_Toc23511"/>
      <w:r>
        <w:rPr>
          <w:rFonts w:hint="eastAsia" w:ascii="Times New Roman" w:hAnsi="Times New Roman" w:cs="Times New Roman" w:eastAsiaTheme="minorEastAsia"/>
          <w:szCs w:val="21"/>
        </w:rPr>
        <w:t>6.3.1</w:t>
      </w:r>
      <w:r>
        <w:rPr>
          <w:rFonts w:hint="eastAsia" w:asciiTheme="minorEastAsia" w:hAnsiTheme="minorEastAsia" w:eastAsiaTheme="minorEastAsia" w:cstheme="minorEastAsia"/>
          <w:bCs/>
          <w:szCs w:val="21"/>
        </w:rPr>
        <w:t xml:space="preserve"> 压力型笼芯囊锚杆基本构造（图6.3.1）应符合下列规定：</w:t>
      </w:r>
    </w:p>
    <w:p>
      <w:pPr>
        <w:numPr>
          <w:ilvl w:val="255"/>
          <w:numId w:val="0"/>
        </w:numPr>
        <w:spacing w:line="360" w:lineRule="exact"/>
        <w:ind w:firstLine="420" w:firstLineChars="200"/>
        <w:rPr>
          <w:rFonts w:asciiTheme="minorEastAsia" w:hAnsiTheme="minorEastAsia" w:eastAsiaTheme="minorEastAsia" w:cstheme="minorEastAsia"/>
          <w:szCs w:val="21"/>
        </w:rPr>
      </w:pPr>
      <w:r>
        <w:rPr>
          <w:rFonts w:hint="eastAsia" w:ascii="Times New Roman" w:hAnsi="Times New Roman" w:cs="Times New Roman" w:eastAsiaTheme="minorEastAsia"/>
          <w:szCs w:val="21"/>
        </w:rPr>
        <w:t xml:space="preserve">1 </w:t>
      </w:r>
      <w:r>
        <w:rPr>
          <w:rFonts w:hint="eastAsia" w:asciiTheme="minorEastAsia" w:hAnsiTheme="minorEastAsia" w:eastAsiaTheme="minorEastAsia" w:cstheme="minorEastAsia"/>
          <w:szCs w:val="21"/>
        </w:rPr>
        <w:t xml:space="preserve"> 应在杆体底部设置承载体以承接杆体的全部拉力；</w:t>
      </w:r>
    </w:p>
    <w:p>
      <w:pPr>
        <w:numPr>
          <w:ilvl w:val="255"/>
          <w:numId w:val="0"/>
        </w:numPr>
        <w:spacing w:line="360" w:lineRule="exact"/>
        <w:ind w:firstLine="420" w:firstLineChars="200"/>
        <w:rPr>
          <w:rFonts w:asciiTheme="minorEastAsia" w:hAnsiTheme="minorEastAsia" w:eastAsiaTheme="minorEastAsia" w:cstheme="minorEastAsia"/>
          <w:szCs w:val="21"/>
        </w:rPr>
      </w:pPr>
      <w:r>
        <w:rPr>
          <w:rFonts w:hint="eastAsia" w:ascii="Times New Roman" w:hAnsi="Times New Roman" w:cs="Times New Roman" w:eastAsiaTheme="minorEastAsia"/>
          <w:szCs w:val="21"/>
        </w:rPr>
        <w:t>2</w:t>
      </w:r>
      <w:r>
        <w:rPr>
          <w:rFonts w:hint="eastAsia" w:asciiTheme="minorEastAsia" w:hAnsiTheme="minorEastAsia" w:eastAsiaTheme="minorEastAsia" w:cstheme="minorEastAsia"/>
          <w:szCs w:val="21"/>
        </w:rPr>
        <w:t xml:space="preserve">  承载体的承载面应抵住笼芯钢丝笼，其间不得夹有囊袋布，以免影响承载体与钢丝笼水泥结石囊体之间的力学性能；</w:t>
      </w:r>
    </w:p>
    <w:p>
      <w:pPr>
        <w:numPr>
          <w:ilvl w:val="255"/>
          <w:numId w:val="0"/>
        </w:numPr>
        <w:spacing w:line="360" w:lineRule="exact"/>
        <w:ind w:firstLine="420" w:firstLineChars="200"/>
        <w:rPr>
          <w:rFonts w:asciiTheme="minorEastAsia" w:hAnsiTheme="minorEastAsia" w:eastAsiaTheme="minorEastAsia" w:cstheme="minorEastAsia"/>
          <w:szCs w:val="21"/>
        </w:rPr>
      </w:pPr>
      <w:r>
        <w:rPr>
          <w:rFonts w:ascii="Times New Roman" w:hAnsi="Times New Roman" w:cs="Times New Roman" w:eastAsiaTheme="minorEastAsia"/>
          <w:szCs w:val="21"/>
        </w:rPr>
        <w:t>3</w:t>
      </w:r>
      <w:r>
        <w:rPr>
          <w:rFonts w:hint="eastAsia" w:asciiTheme="minorEastAsia" w:hAnsiTheme="minorEastAsia" w:eastAsiaTheme="minorEastAsia" w:cstheme="minorEastAsia"/>
          <w:szCs w:val="21"/>
        </w:rPr>
        <w:t xml:space="preserve">  杆体从锚孔孔口或之上到承载体的承载面，应全长套设隔离管，隔离管内应充填沥青或防腐润滑油脂，隔离杆体与注浆体的力学联系并可自由伸缩变形，以确保杆体拉力全部传递给承载体。</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397" w:type="dxa"/>
          </w:tcPr>
          <w:p>
            <w:pPr>
              <w:numPr>
                <w:ilvl w:val="255"/>
                <w:numId w:val="0"/>
              </w:numPr>
              <w:spacing w:line="36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anchor distT="0" distB="0" distL="114300" distR="114300" simplePos="0" relativeHeight="260799488" behindDoc="0" locked="0" layoutInCell="1" allowOverlap="1">
                  <wp:simplePos x="0" y="0"/>
                  <wp:positionH relativeFrom="column">
                    <wp:align>center</wp:align>
                  </wp:positionH>
                  <wp:positionV relativeFrom="paragraph">
                    <wp:posOffset>-2408555</wp:posOffset>
                  </wp:positionV>
                  <wp:extent cx="791845" cy="2573020"/>
                  <wp:effectExtent l="0" t="0" r="0" b="17780"/>
                  <wp:wrapSquare wrapText="bothSides"/>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71"/>
                          <a:stretch>
                            <a:fillRect/>
                          </a:stretch>
                        </pic:blipFill>
                        <pic:spPr>
                          <a:xfrm>
                            <a:off x="0" y="0"/>
                            <a:ext cx="791845" cy="2573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97" w:type="dxa"/>
          </w:tcPr>
          <w:p>
            <w:pPr>
              <w:numPr>
                <w:ilvl w:val="255"/>
                <w:numId w:val="0"/>
              </w:numPr>
              <w:spacing w:line="360" w:lineRule="exact"/>
              <w:jc w:val="center"/>
              <w:rPr>
                <w:rFonts w:asciiTheme="minorEastAsia" w:hAnsiTheme="minorEastAsia" w:eastAsiaTheme="minorEastAsia" w:cstheme="minorEastAsia"/>
              </w:rPr>
            </w:pPr>
            <w:r>
              <w:rPr>
                <w:rFonts w:hint="eastAsia" w:ascii="黑体" w:hAnsi="黑体" w:eastAsia="黑体" w:cs="黑体"/>
                <w:sz w:val="18"/>
                <w:szCs w:val="18"/>
              </w:rPr>
              <w:t>图6.3.1 压力型笼芯囊锚杆构造</w:t>
            </w:r>
          </w:p>
        </w:tc>
      </w:tr>
    </w:tbl>
    <w:p>
      <w:pPr>
        <w:numPr>
          <w:ilvl w:val="255"/>
          <w:numId w:val="0"/>
        </w:num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1—承载体；2—笼芯；3—囊袋；4—隔离管；5—杆体</w:t>
      </w:r>
    </w:p>
    <w:p>
      <w:pPr>
        <w:keepNext/>
        <w:keepLines/>
        <w:spacing w:line="360" w:lineRule="exact"/>
        <w:jc w:val="left"/>
        <w:rPr>
          <w:rFonts w:asciiTheme="minorEastAsia" w:hAnsiTheme="minorEastAsia" w:eastAsiaTheme="minorEastAsia" w:cstheme="minorEastAsia"/>
          <w:bCs/>
          <w:szCs w:val="21"/>
        </w:rPr>
      </w:pPr>
      <w:r>
        <w:rPr>
          <w:rFonts w:hint="eastAsia" w:ascii="Times New Roman" w:hAnsi="Times New Roman" w:cs="Times New Roman" w:eastAsiaTheme="minorEastAsia"/>
          <w:bCs/>
          <w:szCs w:val="21"/>
        </w:rPr>
        <w:t>6.3.2</w:t>
      </w:r>
      <w:r>
        <w:rPr>
          <w:rFonts w:hint="eastAsia" w:asciiTheme="minorEastAsia" w:hAnsiTheme="minorEastAsia" w:eastAsiaTheme="minorEastAsia" w:cstheme="minorEastAsia"/>
          <w:bCs/>
          <w:szCs w:val="21"/>
        </w:rPr>
        <w:t xml:space="preserve">  承载体应采用结构钢，承载面大小应满足本规程第5.2节的要求。</w:t>
      </w:r>
    </w:p>
    <w:p>
      <w:pPr>
        <w:keepNext/>
        <w:keepLines/>
        <w:spacing w:line="360" w:lineRule="exact"/>
        <w:jc w:val="left"/>
        <w:rPr>
          <w:rFonts w:asciiTheme="minorEastAsia" w:hAnsiTheme="minorEastAsia" w:eastAsiaTheme="minorEastAsia" w:cstheme="minorEastAsia"/>
          <w:bCs/>
          <w:szCs w:val="21"/>
        </w:rPr>
      </w:pPr>
      <w:r>
        <w:rPr>
          <w:rFonts w:hint="eastAsia" w:ascii="Times New Roman" w:hAnsi="Times New Roman" w:cs="Times New Roman" w:eastAsiaTheme="minorEastAsia"/>
          <w:bCs/>
          <w:szCs w:val="21"/>
        </w:rPr>
        <w:t xml:space="preserve">6.3.3 </w:t>
      </w:r>
      <w:r>
        <w:rPr>
          <w:rFonts w:hint="eastAsia" w:asciiTheme="minorEastAsia" w:hAnsiTheme="minorEastAsia" w:eastAsiaTheme="minorEastAsia" w:cstheme="minorEastAsia"/>
          <w:bCs/>
          <w:szCs w:val="21"/>
        </w:rPr>
        <w:t xml:space="preserve"> 承载体应与杆体可靠连接，连接强度应满足本规程第5.2节的要求。</w:t>
      </w:r>
    </w:p>
    <w:p>
      <w:pPr>
        <w:keepNext/>
        <w:keepLines/>
        <w:spacing w:line="360" w:lineRule="exact"/>
        <w:jc w:val="left"/>
        <w:rPr>
          <w:rFonts w:asciiTheme="minorEastAsia" w:hAnsiTheme="minorEastAsia" w:eastAsiaTheme="minorEastAsia" w:cstheme="minorEastAsia"/>
          <w:bCs/>
          <w:szCs w:val="21"/>
        </w:rPr>
      </w:pPr>
      <w:r>
        <w:rPr>
          <w:rFonts w:hint="eastAsia" w:ascii="Times New Roman" w:hAnsi="Times New Roman" w:cs="Times New Roman" w:eastAsiaTheme="minorEastAsia"/>
          <w:bCs/>
          <w:szCs w:val="21"/>
        </w:rPr>
        <w:t>6.3.4</w:t>
      </w:r>
      <w:r>
        <w:rPr>
          <w:rFonts w:hint="eastAsia" w:asciiTheme="minorEastAsia" w:hAnsiTheme="minorEastAsia" w:eastAsiaTheme="minorEastAsia" w:cstheme="minorEastAsia"/>
          <w:bCs/>
          <w:szCs w:val="21"/>
        </w:rPr>
        <w:t xml:space="preserve">  承载体应置于囊袋内并被囊袋封闭包围，不得出露在囊袋之外，以避免囊袋外的泥浆和非纯净水泥浆掺杂侵入影响承载体与钢丝笼及注浆体之间的力学性能。</w:t>
      </w:r>
    </w:p>
    <w:p>
      <w:pPr>
        <w:numPr>
          <w:ilvl w:val="255"/>
          <w:numId w:val="0"/>
        </w:numPr>
        <w:spacing w:line="360" w:lineRule="exact"/>
        <w:jc w:val="left"/>
        <w:rPr>
          <w:rFonts w:asciiTheme="minorEastAsia" w:hAnsiTheme="minorEastAsia" w:eastAsiaTheme="minorEastAsia" w:cstheme="minorEastAsia"/>
          <w:sz w:val="18"/>
          <w:szCs w:val="18"/>
        </w:rPr>
      </w:pPr>
    </w:p>
    <w:p>
      <w:pPr>
        <w:pStyle w:val="3"/>
        <w:spacing w:before="312" w:beforeLines="100" w:after="312" w:afterLines="100"/>
        <w:rPr>
          <w:rFonts w:asciiTheme="minorEastAsia" w:hAnsiTheme="minorEastAsia" w:eastAsiaTheme="minorEastAsia" w:cstheme="minorEastAsia"/>
          <w:szCs w:val="21"/>
        </w:rPr>
      </w:pPr>
      <w:bookmarkStart w:id="267" w:name="_Toc21549"/>
      <w:bookmarkStart w:id="268" w:name="_Toc14969"/>
      <w:bookmarkStart w:id="269" w:name="_Toc21756"/>
      <w:bookmarkStart w:id="270" w:name="_Toc31579"/>
      <w:bookmarkStart w:id="271" w:name="_Toc17143"/>
      <w:r>
        <w:rPr>
          <w:rFonts w:hint="eastAsia" w:asciiTheme="minorEastAsia" w:hAnsiTheme="minorEastAsia" w:eastAsiaTheme="minorEastAsia" w:cstheme="minorEastAsia"/>
          <w:szCs w:val="21"/>
        </w:rPr>
        <w:t>6.4  拉力型锚杆</w:t>
      </w:r>
      <w:bookmarkEnd w:id="267"/>
      <w:bookmarkEnd w:id="268"/>
      <w:bookmarkEnd w:id="269"/>
      <w:bookmarkEnd w:id="270"/>
      <w:bookmarkEnd w:id="271"/>
    </w:p>
    <w:p>
      <w:pPr>
        <w:keepNext/>
        <w:keepLines/>
        <w:spacing w:line="360" w:lineRule="exact"/>
        <w:jc w:val="left"/>
        <w:rPr>
          <w:rFonts w:asciiTheme="minorEastAsia" w:hAnsiTheme="minorEastAsia" w:eastAsiaTheme="minorEastAsia" w:cstheme="minorEastAsia"/>
          <w:bCs/>
          <w:szCs w:val="21"/>
        </w:rPr>
      </w:pPr>
      <w:r>
        <w:rPr>
          <w:rFonts w:ascii="Times New Roman" w:hAnsi="Times New Roman" w:cs="Times New Roman" w:eastAsiaTheme="minorEastAsia"/>
          <w:bCs/>
          <w:szCs w:val="21"/>
        </w:rPr>
        <w:t>6.4.1</w:t>
      </w:r>
      <w:r>
        <w:rPr>
          <w:rFonts w:hint="eastAsia" w:asciiTheme="minorEastAsia" w:hAnsiTheme="minorEastAsia" w:eastAsiaTheme="minorEastAsia" w:cstheme="minorEastAsia"/>
          <w:b/>
          <w:szCs w:val="21"/>
        </w:rPr>
        <w:t xml:space="preserve">  </w:t>
      </w:r>
      <w:r>
        <w:rPr>
          <w:rFonts w:hint="eastAsia" w:asciiTheme="minorEastAsia" w:hAnsiTheme="minorEastAsia" w:eastAsiaTheme="minorEastAsia" w:cstheme="minorEastAsia"/>
          <w:bCs/>
          <w:szCs w:val="21"/>
        </w:rPr>
        <w:t>拉力型笼芯囊锚杆基本构造（图6.4.1）应符合下列规定：</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397" w:type="dxa"/>
          </w:tcPr>
          <w:p>
            <w:pPr>
              <w:keepNext/>
              <w:keepLines/>
              <w:numPr>
                <w:ilvl w:val="255"/>
                <w:numId w:val="0"/>
              </w:numPr>
              <w:spacing w:line="360" w:lineRule="exact"/>
              <w:jc w:val="left"/>
              <w:rPr>
                <w:rFonts w:asciiTheme="minorEastAsia" w:hAnsiTheme="minorEastAsia" w:eastAsiaTheme="minorEastAsia" w:cstheme="minorEastAsia"/>
                <w:bCs/>
                <w:szCs w:val="21"/>
              </w:rPr>
            </w:pPr>
            <w:r>
              <w:drawing>
                <wp:anchor distT="0" distB="0" distL="114300" distR="114300" simplePos="0" relativeHeight="471243776" behindDoc="0" locked="0" layoutInCell="1" allowOverlap="1">
                  <wp:simplePos x="0" y="0"/>
                  <wp:positionH relativeFrom="column">
                    <wp:align>center</wp:align>
                  </wp:positionH>
                  <wp:positionV relativeFrom="paragraph">
                    <wp:posOffset>-1854200</wp:posOffset>
                  </wp:positionV>
                  <wp:extent cx="949960" cy="2574290"/>
                  <wp:effectExtent l="0" t="0" r="2540" b="16510"/>
                  <wp:wrapSquare wrapText="bothSides"/>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72"/>
                          <a:stretch>
                            <a:fillRect/>
                          </a:stretch>
                        </pic:blipFill>
                        <pic:spPr>
                          <a:xfrm>
                            <a:off x="0" y="0"/>
                            <a:ext cx="949960" cy="2574290"/>
                          </a:xfrm>
                          <a:prstGeom prst="rect">
                            <a:avLst/>
                          </a:prstGeom>
                          <a:noFill/>
                          <a:ln>
                            <a:noFill/>
                          </a:ln>
                        </pic:spPr>
                      </pic:pic>
                    </a:graphicData>
                  </a:graphic>
                </wp:anchor>
              </w:drawing>
            </w:r>
          </w:p>
        </w:tc>
      </w:tr>
    </w:tbl>
    <w:p>
      <w:pPr>
        <w:keepNext/>
        <w:keepLines/>
        <w:numPr>
          <w:ilvl w:val="255"/>
          <w:numId w:val="0"/>
        </w:numPr>
        <w:spacing w:line="360" w:lineRule="exact"/>
        <w:jc w:val="center"/>
        <w:rPr>
          <w:rFonts w:ascii="黑体" w:hAnsi="黑体" w:eastAsia="黑体" w:cs="黑体"/>
          <w:bCs/>
          <w:sz w:val="18"/>
          <w:szCs w:val="18"/>
        </w:rPr>
      </w:pPr>
      <w:r>
        <w:rPr>
          <w:rFonts w:hint="eastAsia" w:ascii="黑体" w:hAnsi="黑体" w:eastAsia="黑体" w:cs="黑体"/>
          <w:bCs/>
          <w:sz w:val="18"/>
          <w:szCs w:val="18"/>
        </w:rPr>
        <w:t>图6.4.1 拉力型笼芯囊锚杆构造</w:t>
      </w:r>
    </w:p>
    <w:p>
      <w:pPr>
        <w:numPr>
          <w:ilvl w:val="255"/>
          <w:numId w:val="0"/>
        </w:numPr>
        <w:spacing w:line="36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1—承载体；2—笼芯；3—囊袋；4—隔离管；5—杆体；6—密封套</w:t>
      </w:r>
    </w:p>
    <w:p>
      <w:pPr>
        <w:numPr>
          <w:ilvl w:val="255"/>
          <w:numId w:val="0"/>
        </w:numPr>
        <w:spacing w:line="360" w:lineRule="exact"/>
        <w:jc w:val="center"/>
        <w:rPr>
          <w:rFonts w:asciiTheme="minorEastAsia" w:hAnsiTheme="minorEastAsia" w:eastAsiaTheme="minorEastAsia" w:cstheme="minorEastAsia"/>
          <w:sz w:val="18"/>
          <w:szCs w:val="18"/>
        </w:rPr>
      </w:pPr>
    </w:p>
    <w:p>
      <w:pPr>
        <w:ind w:firstLine="420" w:firstLineChars="200"/>
        <w:rPr>
          <w:rFonts w:asciiTheme="minorEastAsia" w:hAnsiTheme="minorEastAsia" w:eastAsiaTheme="minorEastAsia" w:cstheme="minorEastAsia"/>
          <w:bCs/>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szCs w:val="21"/>
        </w:rPr>
        <w:t xml:space="preserve">  杆体从锚孔孔口或以上到囊袋密封套应套设隔离管，隔离管内应充填沥青或防腐油脂，隔断杆体与注浆体的力学联系并可自由伸缩变形，确保杆体拉力全部传递给钢丝笼水泥结石囊体；</w:t>
      </w:r>
    </w:p>
    <w:p>
      <w:pPr>
        <w:ind w:firstLine="420" w:firstLineChars="200"/>
        <w:rPr>
          <w:rFonts w:asciiTheme="minorEastAsia" w:hAnsiTheme="minorEastAsia" w:eastAsiaTheme="minorEastAsia" w:cstheme="minorEastAsia"/>
          <w:bCs/>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Cs/>
          <w:szCs w:val="21"/>
        </w:rPr>
        <w:t xml:space="preserve"> 囊袋内杆体应清洁干净，不得受油脂或沥青以及其他任何可能影响杆体与水泥浆粘结凝固的材料或泥浆沾染；</w:t>
      </w:r>
    </w:p>
    <w:p>
      <w:pPr>
        <w:ind w:firstLine="420" w:firstLineChars="200"/>
        <w:rPr>
          <w:rFonts w:asciiTheme="minorEastAsia" w:hAnsiTheme="minorEastAsia" w:eastAsiaTheme="minorEastAsia" w:cstheme="minorEastAsia"/>
          <w:bCs/>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Cs/>
          <w:szCs w:val="21"/>
        </w:rPr>
        <w:t xml:space="preserve"> 杆体底部应设置铸铁或钢质承载体抵住钢丝笼，承载体的承载面应大于钢丝笼横截面；</w:t>
      </w:r>
    </w:p>
    <w:p>
      <w:pPr>
        <w:ind w:firstLine="420" w:firstLineChars="200"/>
        <w:rPr>
          <w:rFonts w:asciiTheme="minorEastAsia" w:hAnsiTheme="minorEastAsia" w:eastAsiaTheme="minorEastAsia" w:cstheme="minorEastAsia"/>
          <w:bCs/>
          <w:szCs w:val="21"/>
        </w:rPr>
      </w:pPr>
      <w:r>
        <w:rPr>
          <w:rFonts w:ascii="Times New Roman" w:hAnsi="Times New Roman" w:cs="Times New Roman" w:eastAsiaTheme="minorEastAsia"/>
          <w:bCs/>
          <w:szCs w:val="21"/>
        </w:rPr>
        <w:t>4</w:t>
      </w:r>
      <w:r>
        <w:rPr>
          <w:rFonts w:hint="eastAsia" w:asciiTheme="minorEastAsia" w:hAnsiTheme="minorEastAsia" w:eastAsiaTheme="minorEastAsia" w:cstheme="minorEastAsia"/>
          <w:bCs/>
          <w:szCs w:val="21"/>
        </w:rPr>
        <w:t xml:space="preserve">  承载体和钢丝笼应由囊袋封闭包围，避免囊袋外泥浆和非纯净水泥浆掺杂侵入袋内影响水泥浆体与杆体及钢丝笼的粘结强度。</w:t>
      </w:r>
    </w:p>
    <w:p>
      <w:pPr>
        <w:rPr>
          <w:rFonts w:asciiTheme="minorEastAsia" w:hAnsiTheme="minorEastAsia" w:eastAsiaTheme="minorEastAsia" w:cstheme="minorEastAsia"/>
          <w:bCs/>
          <w:szCs w:val="21"/>
        </w:rPr>
      </w:pPr>
      <w:r>
        <w:rPr>
          <w:rFonts w:hint="eastAsia" w:ascii="Times New Roman" w:hAnsi="Times New Roman" w:cs="Times New Roman" w:eastAsiaTheme="minorEastAsia"/>
          <w:color w:val="000000"/>
          <w:szCs w:val="21"/>
        </w:rPr>
        <w:t>6.4.2</w:t>
      </w:r>
      <w:r>
        <w:rPr>
          <w:rFonts w:hint="eastAsia" w:asciiTheme="minorEastAsia" w:hAnsiTheme="minorEastAsia" w:eastAsiaTheme="minorEastAsia" w:cstheme="minorEastAsia"/>
          <w:bCs/>
          <w:szCs w:val="21"/>
        </w:rPr>
        <w:t xml:space="preserve">  囊袋内水泥浆体与杆体和钢丝笼应粘结可靠，钢丝笼长度和直径应满足本规程第5.2节粘结强度验算的要求。</w:t>
      </w:r>
    </w:p>
    <w:p>
      <w:pPr>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outlineLvl w:val="9"/>
        <w:rPr>
          <w:rFonts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272" w:name="_Toc28919"/>
      <w:bookmarkStart w:id="273" w:name="_Toc12239"/>
      <w:bookmarkStart w:id="274" w:name="_Toc7726"/>
      <w:bookmarkStart w:id="275" w:name="_Toc32002"/>
      <w:bookmarkStart w:id="276" w:name="_Toc10839"/>
      <w:r>
        <w:rPr>
          <w:rFonts w:hint="eastAsia" w:asciiTheme="minorEastAsia" w:hAnsiTheme="minorEastAsia" w:eastAsiaTheme="minorEastAsia" w:cstheme="minorEastAsia"/>
        </w:rPr>
        <w:t>7  防腐</w:t>
      </w:r>
      <w:bookmarkEnd w:id="265"/>
      <w:bookmarkEnd w:id="266"/>
      <w:bookmarkEnd w:id="272"/>
      <w:r>
        <w:rPr>
          <w:rFonts w:hint="eastAsia" w:asciiTheme="minorEastAsia" w:hAnsiTheme="minorEastAsia" w:eastAsiaTheme="minorEastAsia" w:cstheme="minorEastAsia"/>
        </w:rPr>
        <w:t>设计</w:t>
      </w:r>
      <w:bookmarkEnd w:id="273"/>
      <w:bookmarkEnd w:id="274"/>
      <w:bookmarkEnd w:id="275"/>
      <w:bookmarkEnd w:id="276"/>
    </w:p>
    <w:p>
      <w:pPr>
        <w:pStyle w:val="3"/>
        <w:spacing w:before="312" w:beforeLines="100" w:after="156" w:afterLines="50"/>
        <w:rPr>
          <w:rFonts w:asciiTheme="minorEastAsia" w:hAnsiTheme="minorEastAsia" w:eastAsiaTheme="minorEastAsia" w:cstheme="minorEastAsia"/>
        </w:rPr>
      </w:pPr>
      <w:bookmarkStart w:id="277" w:name="_Toc24926"/>
      <w:bookmarkStart w:id="278" w:name="_Toc14785"/>
      <w:bookmarkStart w:id="279" w:name="_Toc6578"/>
      <w:bookmarkStart w:id="280" w:name="_Toc30476"/>
      <w:bookmarkStart w:id="281" w:name="_Toc928"/>
      <w:bookmarkStart w:id="282" w:name="_Toc23043"/>
      <w:bookmarkStart w:id="283" w:name="_Toc32512"/>
      <w:r>
        <w:rPr>
          <w:rFonts w:hint="eastAsia" w:asciiTheme="minorEastAsia" w:hAnsiTheme="minorEastAsia" w:eastAsiaTheme="minorEastAsia" w:cstheme="minorEastAsia"/>
        </w:rPr>
        <w:t>7.1  防腐等级</w:t>
      </w:r>
      <w:bookmarkEnd w:id="277"/>
      <w:bookmarkEnd w:id="278"/>
      <w:bookmarkEnd w:id="279"/>
      <w:bookmarkEnd w:id="280"/>
      <w:bookmarkEnd w:id="281"/>
      <w:bookmarkEnd w:id="282"/>
      <w:bookmarkEnd w:id="283"/>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7.1.1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地层水土介质对锚杆的腐蚀性评价，可根据环境类型、锚杆所处地层的渗透性、地下水位变化状态和地层介质中腐蚀成份的含量按照现行国家标准《岩土工程勘察规范》GB50021分为微、弱、中、强四个腐蚀等级。抗浮锚杆和其他长期处于最低地下水位以下的锚杆可按长期浸水处理，边坡和基坑支护锚杆应按干湿交替处理。</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7.1.2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锚杆的防腐等级根据地层水土介质的腐蚀等级和锚杆使用年限确定（表7.1.2），强或中等腐蚀环境中的永久性锚杆和强腐蚀环境中的临时性锚杆应采用Ⅰ级防腐构造；弱腐蚀环境中的永久性锚杆和中等腐蚀环境中的临时性锚杆应采用Ⅱ级防腐构造；微腐蚀环境中的永久性锚杆和弱腐蚀环境中的临时性锚杆应采用Ⅲ级防腐构造。微腐蚀环境中的临时性锚杆可不采取专门的防腐构造。</w:t>
      </w:r>
    </w:p>
    <w:p>
      <w:pPr>
        <w:spacing w:before="312" w:beforeLines="100" w:after="156" w:afterLines="50"/>
        <w:jc w:val="center"/>
        <w:rPr>
          <w:rFonts w:ascii="黑体" w:hAnsi="黑体" w:eastAsia="黑体" w:cs="黑体"/>
          <w:sz w:val="18"/>
          <w:szCs w:val="18"/>
        </w:rPr>
      </w:pPr>
      <w:bookmarkStart w:id="284" w:name="_Toc30624"/>
      <w:bookmarkStart w:id="285" w:name="_Toc8839"/>
      <w:r>
        <w:rPr>
          <w:rFonts w:hint="eastAsia" w:ascii="黑体" w:hAnsi="黑体" w:eastAsia="黑体" w:cs="黑体"/>
          <w:sz w:val="18"/>
          <w:szCs w:val="18"/>
        </w:rPr>
        <w:t>表7.1.2  锚杆防腐等级</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279"/>
        <w:gridCol w:w="1279"/>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地层水土介质腐蚀性</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强</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中</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弱</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永久性锚杆</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Ⅰ</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Ⅰ</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Ⅱ</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临时性锚杆</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Ⅰ</w:t>
            </w:r>
          </w:p>
        </w:tc>
        <w:tc>
          <w:tcPr>
            <w:tcW w:w="1279"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Ⅱ</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Ⅲ</w:t>
            </w:r>
          </w:p>
        </w:tc>
        <w:tc>
          <w:tcPr>
            <w:tcW w:w="1280"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p>
        </w:tc>
      </w:tr>
    </w:tbl>
    <w:p>
      <w:pPr>
        <w:rPr>
          <w:rFonts w:asciiTheme="minorEastAsia" w:hAnsiTheme="minorEastAsia" w:eastAsiaTheme="minorEastAsia" w:cstheme="minorEastAsia"/>
        </w:rPr>
      </w:pPr>
    </w:p>
    <w:p>
      <w:pPr>
        <w:pStyle w:val="3"/>
        <w:spacing w:before="312" w:beforeLines="100" w:after="156" w:afterLines="50"/>
        <w:rPr>
          <w:rFonts w:asciiTheme="minorEastAsia" w:hAnsiTheme="minorEastAsia" w:eastAsiaTheme="minorEastAsia" w:cstheme="minorEastAsia"/>
        </w:rPr>
      </w:pPr>
      <w:bookmarkStart w:id="286" w:name="_Toc5745"/>
      <w:bookmarkStart w:id="287" w:name="_Toc5176"/>
      <w:bookmarkStart w:id="288" w:name="_Toc2907"/>
      <w:bookmarkStart w:id="289" w:name="_Toc10833"/>
      <w:bookmarkStart w:id="290" w:name="_Toc10259"/>
      <w:r>
        <w:rPr>
          <w:rFonts w:hint="eastAsia" w:asciiTheme="minorEastAsia" w:hAnsiTheme="minorEastAsia" w:eastAsiaTheme="minorEastAsia" w:cstheme="minorEastAsia"/>
        </w:rPr>
        <w:t>7.2  Ⅰ级防腐</w:t>
      </w:r>
      <w:bookmarkEnd w:id="284"/>
      <w:bookmarkEnd w:id="285"/>
      <w:bookmarkEnd w:id="286"/>
      <w:bookmarkEnd w:id="287"/>
      <w:bookmarkEnd w:id="288"/>
      <w:bookmarkEnd w:id="289"/>
      <w:bookmarkEnd w:id="290"/>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7.2.1</w:t>
      </w:r>
      <w:r>
        <w:rPr>
          <w:rFonts w:hint="eastAsia" w:asciiTheme="minorEastAsia" w:hAnsiTheme="minorEastAsia" w:eastAsiaTheme="minorEastAsia" w:cstheme="minorEastAsia"/>
          <w:color w:val="000000"/>
          <w:szCs w:val="21"/>
        </w:rPr>
        <w:t xml:space="preserve">  锚杆Ⅰ级防腐的基本要求，杆体至少全长设置两层防腐保护：</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设置隔离层封闭包围杆体与地下水土隔离。隔离层应采用不透水的热缩管、套管或囊袋等。隔离层两段或多段的，各段隔离段之间应密封搭接；</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在杆体与隔离层之间还应设置防护层全面覆盖包围并粘结于杆体表面形成对杆体的第二层防护。防护层应采用沥青、防腐油脂或防腐涂层、钢丝网水泥浆等材料。</w:t>
      </w:r>
    </w:p>
    <w:p>
      <w:pPr>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7.2.2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 xml:space="preserve"> Ⅰ级防腐压力型锚杆应符合下列规定：</w:t>
      </w:r>
    </w:p>
    <w:p>
      <w:pPr>
        <w:ind w:firstLine="420" w:firstLineChars="200"/>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color w:val="000000"/>
          <w:szCs w:val="21"/>
        </w:rPr>
        <w:t xml:space="preserve"> 杆体从锚头混凝土过渡管或止水环一直到底部承载体，应全长套设隔离管，隔离管内应充填防腐油脂或沥青；</w:t>
      </w:r>
    </w:p>
    <w:p>
      <w:pPr>
        <w:ind w:firstLine="420" w:firstLineChars="200"/>
        <w:jc w:val="lef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 xml:space="preserve"> 承载体应封闭包围在囊袋之内，与地下水土隔离。</w:t>
      </w:r>
    </w:p>
    <w:p>
      <w:pPr>
        <w:spacing w:line="360" w:lineRule="exact"/>
        <w:rPr>
          <w:rFonts w:asciiTheme="minorEastAsia" w:hAnsiTheme="minorEastAsia" w:eastAsiaTheme="minorEastAsia" w:cstheme="minorEastAsia"/>
          <w:b/>
          <w:bCs/>
          <w:color w:val="000000"/>
          <w:sz w:val="24"/>
        </w:rPr>
      </w:pPr>
      <w:r>
        <w:rPr>
          <w:rFonts w:hint="eastAsia" w:ascii="Times New Roman" w:hAnsi="Times New Roman" w:cs="Times New Roman" w:eastAsiaTheme="minorEastAsia"/>
          <w:color w:val="000000"/>
          <w:szCs w:val="21"/>
        </w:rPr>
        <w:t>7.2.3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Ⅰ级防腐拉力型钢筋锚杆应符合下列规定：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杆体下段由不透水的囊袋封闭包围形成隔离层与地下水土隔离，囊袋内由钢丝笼水泥浆体环绕包围并粘结于杆体形成防护层；</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杆体上段向上一直到锚头混凝土过渡管或止水环应采用隔离管封闭包围形成隔离层与地下水土隔离，隔离管内杆体充填防腐油脂或沥青全面覆盖包围并粘结于杆体形成防护层；</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杆体上段的隔离层和防护层向下应一直伸入囊袋密封套，搭接长度不应少于100mm,并应采用钢质锁扣将搭接段套压锁定在杆体上；</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设置有承载体的，承载体还应封闭包围在囊袋之内与地下水土隔离。</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7.2.4</w:t>
      </w:r>
      <w:r>
        <w:rPr>
          <w:rFonts w:hint="eastAsia" w:asciiTheme="minorEastAsia" w:hAnsiTheme="minorEastAsia" w:eastAsiaTheme="minorEastAsia" w:cstheme="minorEastAsia"/>
          <w:color w:val="000000"/>
          <w:szCs w:val="21"/>
        </w:rPr>
        <w:t xml:space="preserve">  Ⅰ级防腐压力型钢筋锚杆防腐横向构造如下（图7.2.4）：</w:t>
      </w:r>
    </w:p>
    <w:tbl>
      <w:tblPr>
        <w:tblStyle w:val="18"/>
        <w:tblpPr w:leftFromText="181" w:rightFromText="181" w:vertAnchor="text" w:tblpXSpec="center" w:tblpY="80"/>
        <w:tblOverlap w:val="never"/>
        <w:tblW w:w="6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75"/>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1" w:hRule="exact"/>
          <w:jc w:val="center"/>
        </w:trPr>
        <w:tc>
          <w:tcPr>
            <w:tcW w:w="3375" w:type="dxa"/>
          </w:tcPr>
          <w:p>
            <w:pPr>
              <w:jc w:val="center"/>
              <w:rPr>
                <w:rFonts w:asciiTheme="minorEastAsia" w:hAnsiTheme="minorEastAsia" w:eastAsiaTheme="minorEastAsia" w:cstheme="minorEastAsia"/>
              </w:rPr>
            </w:pPr>
            <w:r>
              <w:drawing>
                <wp:anchor distT="0" distB="0" distL="114300" distR="114300" simplePos="0" relativeHeight="471244800" behindDoc="0" locked="0" layoutInCell="1" allowOverlap="1">
                  <wp:simplePos x="0" y="0"/>
                  <wp:positionH relativeFrom="column">
                    <wp:posOffset>97155</wp:posOffset>
                  </wp:positionH>
                  <wp:positionV relativeFrom="paragraph">
                    <wp:posOffset>70485</wp:posOffset>
                  </wp:positionV>
                  <wp:extent cx="1691005" cy="2879725"/>
                  <wp:effectExtent l="0" t="0" r="4445" b="15875"/>
                  <wp:wrapSquare wrapText="bothSides"/>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73"/>
                          <a:stretch>
                            <a:fillRect/>
                          </a:stretch>
                        </pic:blipFill>
                        <pic:spPr>
                          <a:xfrm>
                            <a:off x="0" y="0"/>
                            <a:ext cx="1691005" cy="2879725"/>
                          </a:xfrm>
                          <a:prstGeom prst="rect">
                            <a:avLst/>
                          </a:prstGeom>
                          <a:noFill/>
                          <a:ln>
                            <a:noFill/>
                          </a:ln>
                        </pic:spPr>
                      </pic:pic>
                    </a:graphicData>
                  </a:graphic>
                </wp:anchor>
              </w:drawing>
            </w:r>
            <w:r>
              <w:rPr>
                <w:rFonts w:hint="eastAsia" w:asciiTheme="minorEastAsia" w:hAnsiTheme="minorEastAsia" w:eastAsiaTheme="minorEastAsia" w:cstheme="minorEastAsia"/>
              </w:rPr>
              <mc:AlternateContent>
                <mc:Choice Requires="wps">
                  <w:drawing>
                    <wp:anchor distT="0" distB="0" distL="114300" distR="114300" simplePos="0" relativeHeight="398599168" behindDoc="0" locked="0" layoutInCell="1" allowOverlap="1">
                      <wp:simplePos x="0" y="0"/>
                      <wp:positionH relativeFrom="column">
                        <wp:posOffset>165100</wp:posOffset>
                      </wp:positionH>
                      <wp:positionV relativeFrom="paragraph">
                        <wp:posOffset>191135</wp:posOffset>
                      </wp:positionV>
                      <wp:extent cx="1558925" cy="1289685"/>
                      <wp:effectExtent l="5080" t="4445" r="17145" b="20320"/>
                      <wp:wrapSquare wrapText="bothSides"/>
                      <wp:docPr id="30" name="文本框 163"/>
                      <wp:cNvGraphicFramePr/>
                      <a:graphic xmlns:a="http://schemas.openxmlformats.org/drawingml/2006/main">
                        <a:graphicData uri="http://schemas.microsoft.com/office/word/2010/wordprocessingShape">
                          <wps:wsp>
                            <wps:cNvSpPr txBox="1"/>
                            <wps:spPr>
                              <a:xfrm>
                                <a:off x="0" y="0"/>
                                <a:ext cx="1558925" cy="1289685"/>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163" o:spid="_x0000_s1026" o:spt="202" type="#_x0000_t202" style="position:absolute;left:0pt;margin-left:13pt;margin-top:15.05pt;height:101.55pt;width:122.75pt;mso-wrap-distance-bottom:0pt;mso-wrap-distance-left:9pt;mso-wrap-distance-right:9pt;mso-wrap-distance-top:0pt;z-index:398599168;mso-width-relative:margin;mso-height-relative:margin;mso-width-percent:400;mso-height-percent:200;" fillcolor="#FFFFFF" filled="t" stroked="t" coordsize="21600,21600" o:gfxdata="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zO2cNcAAAAJAQAADwAAAAAAAAABACAAAAAiAAAAZHJzL2Rvd25yZXYueG1s&#10;UEsBAhQAFAAAAAgAh07iQICNIIr5AQAABgQAAA4AAAAAAAAAAQAgAAAAJgEAAGRycy9lMm9Eb2Mu&#10;eG1sUEsFBgAAAAAGAAYAWQEAAJEFAAAAAA==&#10;">
                      <v:fill on="t" focussize="0,0"/>
                      <v:stroke color="#FFFFFF" joinstyle="miter"/>
                      <v:imagedata o:title=""/>
                      <o:lock v:ext="edit" aspectratio="f"/>
                      <v:textbox style="mso-fit-shape-to-text:t;">
                        <w:txbxContent>
                          <w:p/>
                        </w:txbxContent>
                      </v:textbox>
                      <w10:wrap type="square"/>
                    </v:shape>
                  </w:pict>
                </mc:Fallback>
              </mc:AlternateContent>
            </w: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color w:val="000000"/>
                <w:szCs w:val="21"/>
              </w:rPr>
            </w:pPr>
          </w:p>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mc:AlternateContent>
                <mc:Choice Requires="wps">
                  <w:drawing>
                    <wp:anchor distT="0" distB="0" distL="114300" distR="114300" simplePos="0" relativeHeight="398601216" behindDoc="0" locked="0" layoutInCell="1" allowOverlap="1">
                      <wp:simplePos x="0" y="0"/>
                      <wp:positionH relativeFrom="column">
                        <wp:posOffset>931545</wp:posOffset>
                      </wp:positionH>
                      <wp:positionV relativeFrom="paragraph">
                        <wp:posOffset>3303270</wp:posOffset>
                      </wp:positionV>
                      <wp:extent cx="156210" cy="0"/>
                      <wp:effectExtent l="0" t="0" r="0" b="0"/>
                      <wp:wrapNone/>
                      <wp:docPr id="31" name="自选图形 189"/>
                      <wp:cNvGraphicFramePr/>
                      <a:graphic xmlns:a="http://schemas.openxmlformats.org/drawingml/2006/main">
                        <a:graphicData uri="http://schemas.microsoft.com/office/word/2010/wordprocessingShape">
                          <wps:wsp>
                            <wps:cNvCnPr/>
                            <wps:spPr>
                              <a:xfrm>
                                <a:off x="0" y="0"/>
                                <a:ext cx="156210" cy="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189" o:spid="_x0000_s1026" o:spt="32" type="#_x0000_t32" style="position:absolute;left:0pt;margin-left:73.35pt;margin-top:260.1pt;height:0pt;width:12.3pt;z-index:398601216;mso-width-relative:page;mso-height-relative:page;" filled="f" stroked="t" coordsize="21600,21600" o:gfxdata="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0JbdtcAAAALAQAADwAAAAAA&#10;AAABACAAAAAiAAAAZHJzL2Rvd25yZXYueG1sUEsBAhQAFAAAAAgAh07iQFAzxQLbAQAAlwMAAA4A&#10;AAAAAAAAAQAgAAAAJgEAAGRycy9lMm9Eb2MueG1sUEsFBgAAAAAGAAYAWQEAAHMFAAAAAA==&#10;">
                      <v:fill on="f" focussize="0,0"/>
                      <v:stroke weight="0.25pt" color="#000000" joinstyle="round"/>
                      <v:imagedata o:title=""/>
                      <o:lock v:ext="edit" aspectratio="f"/>
                    </v:shape>
                  </w:pict>
                </mc:Fallback>
              </mc:AlternateContent>
            </w:r>
          </w:p>
        </w:tc>
        <w:tc>
          <w:tcPr>
            <w:tcW w:w="3020" w:type="dxa"/>
            <w:vAlign w:val="center"/>
          </w:tcPr>
          <w:p>
            <w:pPr>
              <w:jc w:val="center"/>
              <w:rPr>
                <w:rFonts w:asciiTheme="minorEastAsia" w:hAnsiTheme="minorEastAsia" w:eastAsiaTheme="minorEastAsia" w:cstheme="minorEastAsia"/>
              </w:rPr>
            </w:pPr>
            <w:r>
              <w:drawing>
                <wp:anchor distT="0" distB="0" distL="114300" distR="114300" simplePos="0" relativeHeight="471240704" behindDoc="0" locked="0" layoutInCell="1" allowOverlap="1">
                  <wp:simplePos x="0" y="0"/>
                  <wp:positionH relativeFrom="column">
                    <wp:posOffset>618490</wp:posOffset>
                  </wp:positionH>
                  <wp:positionV relativeFrom="paragraph">
                    <wp:posOffset>233045</wp:posOffset>
                  </wp:positionV>
                  <wp:extent cx="793115" cy="2700020"/>
                  <wp:effectExtent l="0" t="0" r="6985" b="5080"/>
                  <wp:wrapSquare wrapText="bothSides"/>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74"/>
                          <a:stretch>
                            <a:fillRect/>
                          </a:stretch>
                        </pic:blipFill>
                        <pic:spPr>
                          <a:xfrm>
                            <a:off x="0" y="0"/>
                            <a:ext cx="793115" cy="27000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exact"/>
          <w:jc w:val="center"/>
        </w:trPr>
        <w:tc>
          <w:tcPr>
            <w:tcW w:w="3375" w:type="dxa"/>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w:t>
            </w:r>
          </w:p>
          <w:p>
            <w:pPr>
              <w:jc w:val="center"/>
              <w:rPr>
                <w:rFonts w:asciiTheme="minorEastAsia" w:hAnsiTheme="minorEastAsia" w:eastAsiaTheme="minorEastAsia" w:cstheme="minorEastAsia"/>
                <w:color w:val="000000"/>
                <w:szCs w:val="21"/>
              </w:rPr>
            </w:pPr>
          </w:p>
        </w:tc>
        <w:tc>
          <w:tcPr>
            <w:tcW w:w="3020" w:type="dxa"/>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w:t>
            </w:r>
          </w:p>
        </w:tc>
      </w:tr>
    </w:tbl>
    <w:p>
      <w:pPr>
        <w:spacing w:line="360" w:lineRule="auto"/>
        <w:jc w:val="center"/>
        <w:rPr>
          <w:rFonts w:ascii="黑体" w:hAnsi="黑体" w:eastAsia="黑体" w:cs="黑体"/>
          <w:color w:val="000000"/>
          <w:sz w:val="18"/>
          <w:szCs w:val="18"/>
        </w:rPr>
      </w:pPr>
      <w:r>
        <w:rPr>
          <w:rFonts w:hint="eastAsia" w:ascii="黑体" w:hAnsi="黑体" w:eastAsia="黑体" w:cs="黑体"/>
          <w:color w:val="000000"/>
          <w:sz w:val="18"/>
          <w:szCs w:val="18"/>
        </w:rPr>
        <w:t>图7.2.4  Ⅰ级防腐压力型锚杆构造</w:t>
      </w:r>
    </w:p>
    <w:p>
      <w:pPr>
        <w:spacing w:line="216" w:lineRule="auto"/>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1—杆体；2—防腐油脂；3—隔离管；4—水泥浆体；5—钢丝网；</w:t>
      </w:r>
    </w:p>
    <w:p>
      <w:pPr>
        <w:spacing w:line="216" w:lineRule="auto"/>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6—囊袋；7—止水环；8—螺纹承载体；9—定位器</w:t>
      </w:r>
    </w:p>
    <w:p>
      <w:pPr>
        <w:spacing w:line="360" w:lineRule="exact"/>
        <w:rPr>
          <w:rFonts w:asciiTheme="minorEastAsia" w:hAnsiTheme="minorEastAsia" w:eastAsiaTheme="minorEastAsia" w:cstheme="minorEastAsia"/>
          <w:color w:val="000000"/>
          <w:szCs w:val="21"/>
        </w:rPr>
      </w:pP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囊袋内杆体防腐保护层依次为防腐油脂、隔离管、隔离管与钢丝网之间的水泥浆体、钢丝网、钢丝网与囊袋之间的水泥浆体、囊袋等；</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囊袋外杆体防腐保护层依次为防腐油脂、隔离管、水泥浆体等，定位器的外缘直径应使水泥浆体保护层厚度不小于30mm。</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7.2.5</w:t>
      </w:r>
      <w:r>
        <w:rPr>
          <w:rFonts w:hint="eastAsia" w:asciiTheme="minorEastAsia" w:hAnsiTheme="minorEastAsia" w:eastAsiaTheme="minorEastAsia" w:cstheme="minorEastAsia"/>
          <w:color w:val="000000"/>
          <w:szCs w:val="21"/>
        </w:rPr>
        <w:t xml:space="preserve">  Ⅰ级防腐拉力型钢筋锚杆防腐横向构造如下（图7.2.5）：</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囊袋内杆体防腐保护层依次为粘结于杆体上的水泥浆体、钢丝网、钢丝网与囊袋之间的水泥浆体、囊袋等；</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囊袋外杆体防腐保护层依次为防腐油脂、隔离管、水泥浆体等，定位器的外缘直径应使水泥浆体保护层厚度不小于30mm。</w:t>
      </w:r>
    </w:p>
    <w:tbl>
      <w:tblPr>
        <w:tblStyle w:val="18"/>
        <w:tblpPr w:leftFromText="181" w:rightFromText="181" w:vertAnchor="text" w:tblpXSpec="center" w:tblpY="80"/>
        <w:tblOverlap w:val="never"/>
        <w:tblW w:w="6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51"/>
        <w:gridCol w:w="32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3" w:hRule="exact"/>
          <w:jc w:val="center"/>
        </w:trPr>
        <w:tc>
          <w:tcPr>
            <w:tcW w:w="3151" w:type="dxa"/>
          </w:tcPr>
          <w:p>
            <w:pPr>
              <w:jc w:val="center"/>
              <w:rPr>
                <w:rFonts w:asciiTheme="minorEastAsia" w:hAnsiTheme="minorEastAsia" w:eastAsiaTheme="minorEastAsia" w:cstheme="minorEastAsia"/>
              </w:rPr>
            </w:pPr>
            <w:r>
              <w:drawing>
                <wp:inline distT="0" distB="0" distL="114300" distR="114300">
                  <wp:extent cx="1673225" cy="3060065"/>
                  <wp:effectExtent l="0" t="0" r="3175" b="698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75"/>
                          <a:stretch>
                            <a:fillRect/>
                          </a:stretch>
                        </pic:blipFill>
                        <pic:spPr>
                          <a:xfrm>
                            <a:off x="0" y="0"/>
                            <a:ext cx="1673225" cy="3060065"/>
                          </a:xfrm>
                          <a:prstGeom prst="rect">
                            <a:avLst/>
                          </a:prstGeom>
                          <a:noFill/>
                          <a:ln>
                            <a:noFill/>
                          </a:ln>
                        </pic:spPr>
                      </pic:pic>
                    </a:graphicData>
                  </a:graphic>
                </wp:inline>
              </w:drawing>
            </w: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color w:val="000000"/>
                <w:szCs w:val="21"/>
              </w:rPr>
            </w:pPr>
          </w:p>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mc:AlternateContent>
                <mc:Choice Requires="wps">
                  <w:drawing>
                    <wp:anchor distT="0" distB="0" distL="114300" distR="114300" simplePos="0" relativeHeight="471238656" behindDoc="0" locked="0" layoutInCell="1" allowOverlap="1">
                      <wp:simplePos x="0" y="0"/>
                      <wp:positionH relativeFrom="column">
                        <wp:posOffset>931545</wp:posOffset>
                      </wp:positionH>
                      <wp:positionV relativeFrom="paragraph">
                        <wp:posOffset>3303270</wp:posOffset>
                      </wp:positionV>
                      <wp:extent cx="156210" cy="0"/>
                      <wp:effectExtent l="0" t="0" r="0" b="0"/>
                      <wp:wrapNone/>
                      <wp:docPr id="34" name="自选图形 189"/>
                      <wp:cNvGraphicFramePr/>
                      <a:graphic xmlns:a="http://schemas.openxmlformats.org/drawingml/2006/main">
                        <a:graphicData uri="http://schemas.microsoft.com/office/word/2010/wordprocessingShape">
                          <wps:wsp>
                            <wps:cNvCnPr/>
                            <wps:spPr>
                              <a:xfrm>
                                <a:off x="0" y="0"/>
                                <a:ext cx="156210" cy="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189" o:spid="_x0000_s1026" o:spt="32" type="#_x0000_t32" style="position:absolute;left:0pt;margin-left:73.35pt;margin-top:260.1pt;height:0pt;width:12.3pt;z-index:471238656;mso-width-relative:page;mso-height-relative:page;" filled="f" stroked="t" coordsize="21600,21600" o:gfxdata="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dCW3bXAAAACwEAAA8AAAAA&#10;AAAAAQAgAAAAIgAAAGRycy9kb3ducmV2LnhtbFBLAQIUABQAAAAIAIdO4kDCtp1o3AEAAJcDAAAO&#10;AAAAAAAAAAEAIAAAACYBAABkcnMvZTJvRG9jLnhtbFBLBQYAAAAABgAGAFkBAAB0BQAAAAA=&#10;">
                      <v:fill on="f" focussize="0,0"/>
                      <v:stroke weight="0.25pt" color="#000000" joinstyle="round"/>
                      <v:imagedata o:title=""/>
                      <o:lock v:ext="edit" aspectratio="f"/>
                    </v:shape>
                  </w:pict>
                </mc:Fallback>
              </mc:AlternateContent>
            </w:r>
          </w:p>
        </w:tc>
        <w:tc>
          <w:tcPr>
            <w:tcW w:w="3244" w:type="dxa"/>
            <w:vAlign w:val="center"/>
          </w:tcPr>
          <w:p>
            <w:pPr>
              <w:jc w:val="center"/>
              <w:rPr>
                <w:rFonts w:asciiTheme="minorEastAsia" w:hAnsiTheme="minorEastAsia" w:eastAsiaTheme="minorEastAsia" w:cstheme="minorEastAsia"/>
                <w:color w:val="000000"/>
                <w:szCs w:val="21"/>
              </w:rPr>
            </w:pPr>
            <w:r>
              <w:drawing>
                <wp:anchor distT="0" distB="0" distL="114300" distR="114300" simplePos="0" relativeHeight="471242752" behindDoc="0" locked="0" layoutInCell="1" allowOverlap="1">
                  <wp:simplePos x="0" y="0"/>
                  <wp:positionH relativeFrom="column">
                    <wp:posOffset>613410</wp:posOffset>
                  </wp:positionH>
                  <wp:positionV relativeFrom="paragraph">
                    <wp:posOffset>254000</wp:posOffset>
                  </wp:positionV>
                  <wp:extent cx="755015" cy="2879725"/>
                  <wp:effectExtent l="0" t="0" r="6985" b="15875"/>
                  <wp:wrapSquare wrapText="bothSides"/>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76"/>
                          <a:stretch>
                            <a:fillRect/>
                          </a:stretch>
                        </pic:blipFill>
                        <pic:spPr>
                          <a:xfrm>
                            <a:off x="0" y="0"/>
                            <a:ext cx="755015" cy="2879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exact"/>
          <w:jc w:val="center"/>
        </w:trPr>
        <w:tc>
          <w:tcPr>
            <w:tcW w:w="3151" w:type="dxa"/>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w:t>
            </w:r>
          </w:p>
          <w:p>
            <w:pPr>
              <w:jc w:val="center"/>
              <w:rPr>
                <w:rFonts w:asciiTheme="minorEastAsia" w:hAnsiTheme="minorEastAsia" w:eastAsiaTheme="minorEastAsia" w:cstheme="minorEastAsia"/>
              </w:rPr>
            </w:pPr>
          </w:p>
        </w:tc>
        <w:tc>
          <w:tcPr>
            <w:tcW w:w="3244" w:type="dxa"/>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w:t>
            </w:r>
          </w:p>
        </w:tc>
      </w:tr>
    </w:tbl>
    <w:p>
      <w:pPr>
        <w:spacing w:line="360" w:lineRule="auto"/>
        <w:jc w:val="center"/>
        <w:rPr>
          <w:rFonts w:ascii="黑体" w:hAnsi="黑体" w:eastAsia="黑体" w:cs="黑体"/>
          <w:color w:val="000000"/>
          <w:sz w:val="18"/>
          <w:szCs w:val="18"/>
        </w:rPr>
      </w:pPr>
      <w:r>
        <w:rPr>
          <w:rFonts w:hint="eastAsia" w:ascii="黑体" w:hAnsi="黑体" w:eastAsia="黑体" w:cs="黑体"/>
          <w:color w:val="000000"/>
          <w:sz w:val="18"/>
          <w:szCs w:val="18"/>
        </w:rPr>
        <w:t>图7.2.5  Ⅰ级防腐拉力型锚杆构造</w:t>
      </w:r>
    </w:p>
    <w:p>
      <w:pPr>
        <w:spacing w:line="216" w:lineRule="auto"/>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1—杆体；2—防腐油脂；3—隔离管；4—注浆体；5—钢丝网；</w:t>
      </w:r>
    </w:p>
    <w:p>
      <w:pPr>
        <w:spacing w:line="216" w:lineRule="auto"/>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6—囊袋；7—止水环；8—密封套；9—定位器</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7.2.6</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Ⅰ级防腐拉力型钢绞线锚杆防腐横向构造如下（图7.2.6）：</w:t>
      </w:r>
    </w:p>
    <w:p>
      <w:pPr>
        <w:spacing w:line="360" w:lineRule="exact"/>
        <w:ind w:firstLine="315" w:firstLineChars="15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囊袋内钢绞线防腐保护层依次为粘结于钢绞线的水泥浆体、钢丝网、水泥浆体、囊袋等；</w:t>
      </w:r>
    </w:p>
    <w:p>
      <w:pPr>
        <w:spacing w:line="360" w:lineRule="exact"/>
        <w:ind w:firstLine="315" w:firstLineChars="15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囊袋外钢绞线防腐保护层依次为防腐油脂、隔离管和水泥浆体等，定位器的外缘直径应使水泥浆体保护层厚度不小于20mm。</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4" w:hRule="exact"/>
        </w:trPr>
        <w:tc>
          <w:tcPr>
            <w:tcW w:w="8529" w:type="dxa"/>
          </w:tcPr>
          <w:p>
            <w:pPr>
              <w:jc w:val="center"/>
              <w:rPr>
                <w:rFonts w:asciiTheme="minorEastAsia" w:hAnsiTheme="minorEastAsia" w:eastAsiaTheme="minorEastAsia" w:cstheme="minorEastAsia"/>
                <w:color w:val="000000"/>
              </w:rPr>
            </w:pPr>
            <w:r>
              <w:drawing>
                <wp:inline distT="0" distB="0" distL="114300" distR="114300">
                  <wp:extent cx="3780155" cy="1397000"/>
                  <wp:effectExtent l="0" t="0" r="10795" b="1270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77"/>
                          <a:stretch>
                            <a:fillRect/>
                          </a:stretch>
                        </pic:blipFill>
                        <pic:spPr>
                          <a:xfrm>
                            <a:off x="0" y="0"/>
                            <a:ext cx="3780155" cy="1397000"/>
                          </a:xfrm>
                          <a:prstGeom prst="rect">
                            <a:avLst/>
                          </a:prstGeom>
                          <a:noFill/>
                          <a:ln>
                            <a:noFill/>
                          </a:ln>
                        </pic:spPr>
                      </pic:pic>
                    </a:graphicData>
                  </a:graphic>
                </wp:inline>
              </w:drawing>
            </w:r>
          </w:p>
        </w:tc>
      </w:tr>
    </w:tbl>
    <w:p>
      <w:pPr>
        <w:spacing w:line="360" w:lineRule="auto"/>
        <w:jc w:val="center"/>
        <w:rPr>
          <w:rFonts w:ascii="黑体" w:hAnsi="黑体" w:eastAsia="黑体" w:cs="黑体"/>
          <w:color w:val="000000"/>
          <w:sz w:val="18"/>
          <w:szCs w:val="18"/>
        </w:rPr>
      </w:pPr>
      <w:r>
        <w:rPr>
          <w:rFonts w:hint="eastAsia" w:ascii="黑体" w:hAnsi="黑体" w:eastAsia="黑体" w:cs="黑体"/>
          <w:color w:val="000000"/>
          <w:sz w:val="18"/>
          <w:szCs w:val="18"/>
        </w:rPr>
        <w:t>图7.2.6  钢绞线锚杆Ⅰ级防腐构造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1—杆体；2—防腐油脂；3—隔离管；4—水泥浆体；5—钢丝网；6—囊袋；</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7—密封固定件；8—过渡管；9—定位器</w:t>
      </w:r>
    </w:p>
    <w:p>
      <w:pPr>
        <w:pStyle w:val="3"/>
        <w:spacing w:before="312" w:beforeLines="100" w:after="156" w:afterLines="50"/>
        <w:rPr>
          <w:rFonts w:asciiTheme="minorEastAsia" w:hAnsiTheme="minorEastAsia" w:eastAsiaTheme="minorEastAsia" w:cstheme="minorEastAsia"/>
        </w:rPr>
      </w:pPr>
      <w:bookmarkStart w:id="291" w:name="_Toc29253"/>
      <w:bookmarkStart w:id="292" w:name="_Toc15620"/>
      <w:bookmarkStart w:id="293" w:name="_Toc18866"/>
      <w:bookmarkStart w:id="294" w:name="_Toc26381"/>
      <w:bookmarkStart w:id="295" w:name="_Toc24468"/>
      <w:bookmarkStart w:id="296" w:name="_Toc11973"/>
      <w:bookmarkStart w:id="297" w:name="_Toc8543"/>
      <w:r>
        <w:rPr>
          <w:rFonts w:hint="eastAsia" w:asciiTheme="minorEastAsia" w:hAnsiTheme="minorEastAsia" w:eastAsiaTheme="minorEastAsia" w:cstheme="minorEastAsia"/>
        </w:rPr>
        <w:t>7.3  Ⅱ级防腐</w:t>
      </w:r>
      <w:bookmarkEnd w:id="291"/>
      <w:bookmarkEnd w:id="292"/>
      <w:bookmarkEnd w:id="293"/>
      <w:bookmarkEnd w:id="294"/>
      <w:bookmarkEnd w:id="295"/>
      <w:bookmarkEnd w:id="296"/>
      <w:bookmarkEnd w:id="297"/>
    </w:p>
    <w:p>
      <w:pPr>
        <w:spacing w:line="360" w:lineRule="exact"/>
        <w:rPr>
          <w:rFonts w:ascii="Times New Roman" w:hAnsi="Times New Roman" w:cs="Times New Roman" w:eastAsiaTheme="minorEastAsia"/>
          <w:color w:val="000000"/>
          <w:szCs w:val="21"/>
        </w:rPr>
      </w:pPr>
      <w:r>
        <w:rPr>
          <w:rFonts w:hint="eastAsia" w:ascii="Times New Roman" w:hAnsi="Times New Roman" w:cs="Times New Roman" w:eastAsiaTheme="minorEastAsia"/>
          <w:color w:val="000000"/>
          <w:szCs w:val="21"/>
        </w:rPr>
        <w:t>7.3.1  锚杆Ⅱ级防腐的基本要求，杆体应全长设置不少于一层防腐保护。</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7.3.</w:t>
      </w: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Ⅱ级防腐钢筋锚杆构造应符合下列规定（图7.3.2）：</w:t>
      </w:r>
    </w:p>
    <w:p>
      <w:pPr>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杆体下段由不透浆的囊袋封闭包围形成隔离层与地下水土介质隔离，囊袋内由钢丝笼水泥浆体环绕包围并粘结于杆体表面形成防护层；</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2</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杆体上段向上一直到止水环应采用防腐涂层涂装，全面覆盖包围并粘结于杆体形成防护层，且防腐涂层外注浆体保护层厚度不应小于20mm；</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杆体上段防腐涂层向下进入囊袋密封套，搭接长度不应小于100mm,并应采用钢质锁扣锁定；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设有承载体的，承载体还应封闭包围在囊袋之内。</w:t>
      </w:r>
    </w:p>
    <w:p>
      <w:pPr>
        <w:spacing w:line="360" w:lineRule="exact"/>
        <w:rPr>
          <w:rFonts w:asciiTheme="minorEastAsia" w:hAnsiTheme="minorEastAsia" w:eastAsiaTheme="minorEastAsia" w:cstheme="minorEastAsia"/>
          <w:color w:val="000000"/>
          <w:szCs w:val="21"/>
        </w:rPr>
      </w:pPr>
    </w:p>
    <w:tbl>
      <w:tblPr>
        <w:tblStyle w:val="17"/>
        <w:tblpPr w:leftFromText="181" w:rightFromText="181" w:vertAnchor="text" w:tblpXSpec="center" w:tblpY="80"/>
        <w:tblOverlap w:val="never"/>
        <w:tblW w:w="6395" w:type="dxa"/>
        <w:jc w:val="center"/>
        <w:tblLayout w:type="autofit"/>
        <w:tblCellMar>
          <w:top w:w="0" w:type="dxa"/>
          <w:left w:w="108" w:type="dxa"/>
          <w:bottom w:w="0" w:type="dxa"/>
          <w:right w:w="108" w:type="dxa"/>
        </w:tblCellMar>
      </w:tblPr>
      <w:tblGrid>
        <w:gridCol w:w="3151"/>
        <w:gridCol w:w="3244"/>
      </w:tblGrid>
      <w:tr>
        <w:tblPrEx>
          <w:tblCellMar>
            <w:top w:w="0" w:type="dxa"/>
            <w:left w:w="108" w:type="dxa"/>
            <w:bottom w:w="0" w:type="dxa"/>
            <w:right w:w="108" w:type="dxa"/>
          </w:tblCellMar>
        </w:tblPrEx>
        <w:trPr>
          <w:trHeight w:val="5669" w:hRule="exact"/>
          <w:jc w:val="center"/>
        </w:trPr>
        <w:tc>
          <w:tcPr>
            <w:tcW w:w="3151" w:type="dxa"/>
          </w:tcPr>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r>
              <w:drawing>
                <wp:anchor distT="0" distB="0" distL="114300" distR="114300" simplePos="0" relativeHeight="471245824" behindDoc="0" locked="0" layoutInCell="1" allowOverlap="1">
                  <wp:simplePos x="0" y="0"/>
                  <wp:positionH relativeFrom="column">
                    <wp:posOffset>69215</wp:posOffset>
                  </wp:positionH>
                  <wp:positionV relativeFrom="paragraph">
                    <wp:posOffset>11430</wp:posOffset>
                  </wp:positionV>
                  <wp:extent cx="1692275" cy="3175635"/>
                  <wp:effectExtent l="0" t="0" r="3175" b="5715"/>
                  <wp:wrapSquare wrapText="bothSides"/>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78"/>
                          <a:stretch>
                            <a:fillRect/>
                          </a:stretch>
                        </pic:blipFill>
                        <pic:spPr>
                          <a:xfrm>
                            <a:off x="0" y="0"/>
                            <a:ext cx="1692275" cy="3175635"/>
                          </a:xfrm>
                          <a:prstGeom prst="rect">
                            <a:avLst/>
                          </a:prstGeom>
                          <a:noFill/>
                          <a:ln>
                            <a:noFill/>
                          </a:ln>
                        </pic:spPr>
                      </pic:pic>
                    </a:graphicData>
                  </a:graphic>
                </wp:anchor>
              </w:drawing>
            </w: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rPr>
            </w:pPr>
          </w:p>
          <w:p>
            <w:pPr>
              <w:jc w:val="center"/>
              <w:rPr>
                <w:rFonts w:asciiTheme="minorEastAsia" w:hAnsiTheme="minorEastAsia" w:eastAsiaTheme="minorEastAsia" w:cstheme="minorEastAsia"/>
                <w:color w:val="000000"/>
                <w:szCs w:val="21"/>
              </w:rPr>
            </w:pPr>
          </w:p>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mc:AlternateContent>
                <mc:Choice Requires="wps">
                  <w:drawing>
                    <wp:anchor distT="0" distB="0" distL="114300" distR="114300" simplePos="0" relativeHeight="260794368" behindDoc="0" locked="0" layoutInCell="1" allowOverlap="1">
                      <wp:simplePos x="0" y="0"/>
                      <wp:positionH relativeFrom="column">
                        <wp:posOffset>931545</wp:posOffset>
                      </wp:positionH>
                      <wp:positionV relativeFrom="paragraph">
                        <wp:posOffset>3303270</wp:posOffset>
                      </wp:positionV>
                      <wp:extent cx="156210" cy="0"/>
                      <wp:effectExtent l="0" t="0" r="0" b="0"/>
                      <wp:wrapNone/>
                      <wp:docPr id="74" name="自选图形 189"/>
                      <wp:cNvGraphicFramePr/>
                      <a:graphic xmlns:a="http://schemas.openxmlformats.org/drawingml/2006/main">
                        <a:graphicData uri="http://schemas.microsoft.com/office/word/2010/wordprocessingShape">
                          <wps:wsp>
                            <wps:cNvCnPr/>
                            <wps:spPr>
                              <a:xfrm>
                                <a:off x="0" y="0"/>
                                <a:ext cx="156210" cy="0"/>
                              </a:xfrm>
                              <a:prstGeom prst="straightConnector1">
                                <a:avLst/>
                              </a:prstGeom>
                              <a:ln w="3175" cap="flat" cmpd="sng">
                                <a:solidFill>
                                  <a:srgbClr val="000000"/>
                                </a:solidFill>
                                <a:prstDash val="solid"/>
                                <a:headEnd type="none" w="med" len="med"/>
                                <a:tailEnd type="none" w="med" len="med"/>
                              </a:ln>
                            </wps:spPr>
                            <wps:bodyPr/>
                          </wps:wsp>
                        </a:graphicData>
                      </a:graphic>
                    </wp:anchor>
                  </w:drawing>
                </mc:Choice>
                <mc:Fallback>
                  <w:pict>
                    <v:shape id="自选图形 189" o:spid="_x0000_s1026" o:spt="32" type="#_x0000_t32" style="position:absolute;left:0pt;margin-left:73.35pt;margin-top:260.1pt;height:0pt;width:12.3pt;z-index:260794368;mso-width-relative:page;mso-height-relative:page;" filled="f" stroked="t" coordsize="21600,21600" o:gfxdata="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dCW3bXAAAACwEAAA8AAAAA&#10;AAAAAQAgAAAAIgAAAGRycy9kb3ducmV2LnhtbFBLAQIUABQAAAAIAIdO4kDMPYur3AEAAJcDAAAO&#10;AAAAAAAAAAEAIAAAACYBAABkcnMvZTJvRG9jLnhtbFBLBQYAAAAABgAGAFkBAAB0BQAAAAA=&#10;">
                      <v:fill on="f" focussize="0,0"/>
                      <v:stroke weight="0.25pt" color="#000000" joinstyle="round"/>
                      <v:imagedata o:title=""/>
                      <o:lock v:ext="edit" aspectratio="f"/>
                    </v:shape>
                  </w:pict>
                </mc:Fallback>
              </mc:AlternateContent>
            </w:r>
          </w:p>
        </w:tc>
        <w:tc>
          <w:tcPr>
            <w:tcW w:w="3244" w:type="dxa"/>
            <w:vAlign w:val="center"/>
          </w:tcPr>
          <w:p>
            <w:pPr>
              <w:jc w:val="center"/>
              <w:rPr>
                <w:rFonts w:asciiTheme="minorEastAsia" w:hAnsiTheme="minorEastAsia" w:eastAsiaTheme="minorEastAsia" w:cstheme="minorEastAsia"/>
                <w:color w:val="000000"/>
                <w:szCs w:val="21"/>
              </w:rPr>
            </w:pPr>
            <w:r>
              <w:drawing>
                <wp:inline distT="0" distB="0" distL="114300" distR="114300">
                  <wp:extent cx="741045" cy="3060065"/>
                  <wp:effectExtent l="0" t="0" r="1905" b="6985"/>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79"/>
                          <a:stretch>
                            <a:fillRect/>
                          </a:stretch>
                        </pic:blipFill>
                        <pic:spPr>
                          <a:xfrm>
                            <a:off x="0" y="0"/>
                            <a:ext cx="741045" cy="30600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08" w:hRule="exact"/>
          <w:jc w:val="center"/>
        </w:trPr>
        <w:tc>
          <w:tcPr>
            <w:tcW w:w="3151" w:type="dxa"/>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w:t>
            </w:r>
          </w:p>
          <w:p>
            <w:pPr>
              <w:jc w:val="center"/>
              <w:rPr>
                <w:rFonts w:asciiTheme="minorEastAsia" w:hAnsiTheme="minorEastAsia" w:eastAsiaTheme="minorEastAsia" w:cstheme="minorEastAsia"/>
              </w:rPr>
            </w:pPr>
          </w:p>
        </w:tc>
        <w:tc>
          <w:tcPr>
            <w:tcW w:w="3244" w:type="dxa"/>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w:t>
            </w:r>
          </w:p>
        </w:tc>
      </w:tr>
    </w:tbl>
    <w:p>
      <w:pPr>
        <w:spacing w:line="312" w:lineRule="exact"/>
        <w:jc w:val="center"/>
        <w:rPr>
          <w:rFonts w:ascii="黑体" w:hAnsi="黑体" w:eastAsia="黑体" w:cs="黑体"/>
          <w:color w:val="000000"/>
          <w:sz w:val="18"/>
          <w:szCs w:val="18"/>
        </w:rPr>
      </w:pPr>
      <w:r>
        <w:rPr>
          <w:rFonts w:hint="eastAsia" w:ascii="黑体" w:hAnsi="黑体" w:eastAsia="黑体" w:cs="黑体"/>
          <w:color w:val="000000"/>
          <w:sz w:val="18"/>
          <w:szCs w:val="18"/>
        </w:rPr>
        <w:t>图7.3.2 Ⅱ级防腐锚杆构造</w:t>
      </w:r>
    </w:p>
    <w:p>
      <w:pPr>
        <w:spacing w:line="216" w:lineRule="auto"/>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1—杆体；2—防腐涂层；3—注浆体；4—钢丝网；5—囊袋；6—止水环；7—密封套；8—定位器</w:t>
      </w:r>
    </w:p>
    <w:p>
      <w:pPr>
        <w:spacing w:line="360" w:lineRule="auto"/>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7.3.3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rPr>
        <w:t>Ⅱ级防腐钢绞线锚杆应符合下列规定（图7.3.3）：</w:t>
      </w:r>
    </w:p>
    <w:p>
      <w:pPr>
        <w:spacing w:line="360" w:lineRule="exact"/>
        <w:ind w:firstLine="420" w:firstLineChars="200"/>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1</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color w:val="000000"/>
          <w:szCs w:val="21"/>
        </w:rPr>
        <w:t xml:space="preserve"> 杆体下段由囊袋封闭包围形成隔离层与地下水土隔离，囊袋内由钢丝笼水泥浆体环绕包围并粘结于杆体表面形成防护层；</w:t>
      </w:r>
    </w:p>
    <w:p>
      <w:pPr>
        <w:spacing w:line="360" w:lineRule="exact"/>
        <w:ind w:firstLine="420" w:firstLineChars="200"/>
        <w:jc w:val="lef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杆体上段由套管封闭包围形成隔离层与地下水土隔离，套管内杆体涂装防腐油脂或沥青全面覆盖包围并粘结于杆体表面形成防护层；</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color w:val="000000"/>
          <w:szCs w:val="21"/>
        </w:rPr>
        <w:t xml:space="preserve"> 杆体上段的套管向下伸入囊袋密封套，搭接长度不应少于100mm,并应采用钢质锁扣将搭接段套压锁定在杆体上；</w:t>
      </w:r>
    </w:p>
    <w:p>
      <w:pPr>
        <w:spacing w:line="360" w:lineRule="exact"/>
        <w:ind w:firstLine="420" w:firstLineChars="200"/>
        <w:rPr>
          <w:rFonts w:asciiTheme="minorEastAsia" w:hAnsiTheme="minorEastAsia" w:eastAsiaTheme="minorEastAsia" w:cstheme="minorEastAsia"/>
          <w:color w:val="000000"/>
          <w:sz w:val="24"/>
        </w:rPr>
      </w:pPr>
      <w:r>
        <w:rPr>
          <w:rFonts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杆体上段套管向上应进入过渡管或外部承载构件止水结构。</w:t>
      </w:r>
    </w:p>
    <w:tbl>
      <w:tblPr>
        <w:tblStyle w:val="1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4" w:hRule="exact"/>
        </w:trPr>
        <w:tc>
          <w:tcPr>
            <w:tcW w:w="6397" w:type="dxa"/>
          </w:tcPr>
          <w:p>
            <w:pPr>
              <w:jc w:val="center"/>
              <w:rPr>
                <w:rFonts w:asciiTheme="minorEastAsia" w:hAnsiTheme="minorEastAsia" w:eastAsiaTheme="minorEastAsia" w:cstheme="minorEastAsia"/>
                <w:color w:val="000000"/>
              </w:rPr>
            </w:pPr>
            <w:r>
              <w:drawing>
                <wp:inline distT="0" distB="0" distL="114300" distR="114300">
                  <wp:extent cx="3923665" cy="1448435"/>
                  <wp:effectExtent l="0" t="0" r="0" b="18415"/>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80"/>
                          <a:stretch>
                            <a:fillRect/>
                          </a:stretch>
                        </pic:blipFill>
                        <pic:spPr>
                          <a:xfrm>
                            <a:off x="0" y="0"/>
                            <a:ext cx="3923665" cy="1448435"/>
                          </a:xfrm>
                          <a:prstGeom prst="rect">
                            <a:avLst/>
                          </a:prstGeom>
                          <a:noFill/>
                          <a:ln>
                            <a:noFill/>
                          </a:ln>
                        </pic:spPr>
                      </pic:pic>
                    </a:graphicData>
                  </a:graphic>
                </wp:inline>
              </w:drawing>
            </w:r>
          </w:p>
        </w:tc>
      </w:tr>
    </w:tbl>
    <w:p>
      <w:pPr>
        <w:spacing w:line="360" w:lineRule="auto"/>
        <w:jc w:val="center"/>
        <w:rPr>
          <w:rFonts w:ascii="黑体" w:hAnsi="黑体" w:eastAsia="黑体" w:cs="黑体"/>
          <w:color w:val="000000"/>
          <w:sz w:val="18"/>
          <w:szCs w:val="18"/>
        </w:rPr>
      </w:pPr>
      <w:r>
        <w:rPr>
          <w:rFonts w:hint="eastAsia" w:ascii="黑体" w:hAnsi="黑体" w:eastAsia="黑体" w:cs="黑体"/>
          <w:color w:val="000000"/>
          <w:sz w:val="18"/>
          <w:szCs w:val="18"/>
        </w:rPr>
        <w:t>图7. 3. 3  钢绞线锚杆Ⅱ级防腐构造</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1—杆体；2—防腐油脂；3—隔离管；4—水泥浆体；5—钢丝网；6—囊袋；</w:t>
      </w:r>
    </w:p>
    <w:p>
      <w:pPr>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7—密封固定件；8—过渡管；9—定位器</w:t>
      </w:r>
    </w:p>
    <w:p>
      <w:pPr>
        <w:jc w:val="center"/>
        <w:rPr>
          <w:rFonts w:asciiTheme="minorEastAsia" w:hAnsiTheme="minorEastAsia" w:eastAsiaTheme="minorEastAsia" w:cstheme="minorEastAsia"/>
          <w:color w:val="000000"/>
          <w:sz w:val="18"/>
          <w:szCs w:val="18"/>
        </w:rPr>
      </w:pPr>
    </w:p>
    <w:p>
      <w:pPr>
        <w:pStyle w:val="3"/>
        <w:spacing w:before="312" w:beforeLines="100" w:after="156" w:afterLines="50"/>
        <w:rPr>
          <w:rFonts w:asciiTheme="minorEastAsia" w:hAnsiTheme="minorEastAsia" w:eastAsiaTheme="minorEastAsia" w:cstheme="minorEastAsia"/>
        </w:rPr>
      </w:pPr>
      <w:bookmarkStart w:id="298" w:name="_Toc26184"/>
      <w:bookmarkStart w:id="299" w:name="_Toc25284"/>
      <w:bookmarkStart w:id="300" w:name="_Toc7757"/>
      <w:bookmarkStart w:id="301" w:name="_Toc17932"/>
      <w:bookmarkStart w:id="302" w:name="_Toc1609"/>
      <w:bookmarkStart w:id="303" w:name="_Toc25891"/>
      <w:bookmarkStart w:id="304" w:name="_Toc23265"/>
      <w:r>
        <w:rPr>
          <w:rFonts w:hint="eastAsia" w:asciiTheme="minorEastAsia" w:hAnsiTheme="minorEastAsia" w:eastAsiaTheme="minorEastAsia" w:cstheme="minorEastAsia"/>
        </w:rPr>
        <w:t>7.4  Ⅲ级防腐</w:t>
      </w:r>
      <w:bookmarkEnd w:id="298"/>
      <w:bookmarkEnd w:id="299"/>
      <w:bookmarkEnd w:id="300"/>
      <w:bookmarkEnd w:id="301"/>
      <w:bookmarkEnd w:id="302"/>
      <w:bookmarkEnd w:id="303"/>
      <w:bookmarkEnd w:id="304"/>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7.4.1</w:t>
      </w:r>
      <w:r>
        <w:rPr>
          <w:rFonts w:hint="eastAsia" w:asciiTheme="minorEastAsia" w:hAnsiTheme="minorEastAsia" w:eastAsiaTheme="minorEastAsia" w:cstheme="minorEastAsia"/>
          <w:color w:val="000000"/>
          <w:szCs w:val="21"/>
        </w:rPr>
        <w:t xml:space="preserve">  钢筋锚杆Ⅲ级防腐构造应符合下列规定：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锚头位于地面或坡面的锚杆，锚头至地下水位变幅最低点和冻融最深点以下2m范围内的锚杆杆体，应采用内充防腐油脂的套管密封保护，或采用防腐涂层保护；套管或防腐涂层应向上延伸进入外部承载构件混凝土止水环等防水结构；</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锚头位于地下室底板的锚杆，地下室底板底面以下2m范围内的锚杆杆体，应采用内充防腐油脂的套管密封保护，或采用防腐涂层保护；套管或防腐涂层应向上延伸进入地下室底板止水环等防水结构。</w:t>
      </w:r>
    </w:p>
    <w:p>
      <w:pPr>
        <w:pStyle w:val="3"/>
        <w:spacing w:before="312" w:beforeLines="100" w:after="156" w:afterLines="50"/>
        <w:rPr>
          <w:rFonts w:asciiTheme="minorEastAsia" w:hAnsiTheme="minorEastAsia" w:eastAsiaTheme="minorEastAsia" w:cstheme="minorEastAsia"/>
        </w:rPr>
      </w:pPr>
      <w:bookmarkStart w:id="305" w:name="_Toc18505"/>
      <w:bookmarkStart w:id="306" w:name="_Toc7229"/>
      <w:bookmarkStart w:id="307" w:name="_Toc12572"/>
      <w:bookmarkStart w:id="308" w:name="_Toc24318"/>
      <w:bookmarkStart w:id="309" w:name="_Toc14143"/>
      <w:bookmarkStart w:id="310" w:name="_Toc19305"/>
      <w:bookmarkStart w:id="311" w:name="_Toc30045"/>
      <w:r>
        <w:rPr>
          <w:rFonts w:hint="eastAsia" w:asciiTheme="minorEastAsia" w:hAnsiTheme="minorEastAsia" w:eastAsiaTheme="minorEastAsia" w:cstheme="minorEastAsia"/>
        </w:rPr>
        <w:t>7.5  锚头防腐</w:t>
      </w:r>
      <w:bookmarkEnd w:id="305"/>
      <w:bookmarkEnd w:id="306"/>
      <w:bookmarkEnd w:id="307"/>
      <w:bookmarkEnd w:id="308"/>
      <w:bookmarkEnd w:id="309"/>
      <w:bookmarkEnd w:id="310"/>
      <w:bookmarkEnd w:id="311"/>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7.5.1</w:t>
      </w:r>
      <w:r>
        <w:rPr>
          <w:rFonts w:hint="eastAsia" w:asciiTheme="minorEastAsia" w:hAnsiTheme="minorEastAsia" w:eastAsiaTheme="minorEastAsia" w:cstheme="minorEastAsia"/>
          <w:color w:val="000000"/>
          <w:szCs w:val="21"/>
        </w:rPr>
        <w:t xml:space="preserve">  永久性锚杆锚头防腐保护应符合下列规定：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预应力锚杆在预应力张拉作业完成后，应及时进行保护；</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须调整拉力的锚杆，应采用可调节拉力的锚具，锚具和承压板应采用锚具罩封闭，锚具罩内应填充防腐油脂；</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zCs w:val="21"/>
        </w:rPr>
        <w:t xml:space="preserve">  不须调整拉力的锚杆，锚具和承压板可采用混凝土封闭，封锚混凝土保护层最小厚度不应小于50mm，封锚混凝土与承载构件之间应设置锚筋或钢丝网。</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7.5.2</w:t>
      </w:r>
      <w:r>
        <w:rPr>
          <w:rFonts w:hint="eastAsia" w:asciiTheme="minorEastAsia" w:hAnsiTheme="minorEastAsia" w:eastAsiaTheme="minorEastAsia" w:cstheme="minorEastAsia"/>
          <w:color w:val="000000"/>
          <w:szCs w:val="21"/>
        </w:rPr>
        <w:t xml:space="preserve">  临时性锚杆锚头防腐保护应符合下列规定：</w:t>
      </w:r>
    </w:p>
    <w:p>
      <w:pPr>
        <w:spacing w:line="360" w:lineRule="exact"/>
        <w:ind w:firstLine="411" w:firstLineChars="196"/>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在腐蚀环境中，锚具和承压板应装设锚具罩，锚具罩内应充填防腐油脂；</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 xml:space="preserve"> 在非腐蚀环境中，外露锚具和承压板可采用防腐涂层保护。</w:t>
      </w:r>
    </w:p>
    <w:p>
      <w:pPr>
        <w:spacing w:line="36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7.5.3  锚头伸入外部承载构件的，杆体隔离层和防护层应伸入外部承载构件混凝土之中到混凝土止水环等防水结构。</w:t>
      </w:r>
    </w:p>
    <w:p>
      <w:pPr>
        <w:pStyle w:val="3"/>
        <w:spacing w:before="312" w:beforeLines="100" w:after="156" w:afterLines="50"/>
        <w:rPr>
          <w:rFonts w:asciiTheme="minorEastAsia" w:hAnsiTheme="minorEastAsia" w:eastAsiaTheme="minorEastAsia" w:cstheme="minorEastAsia"/>
        </w:rPr>
      </w:pPr>
      <w:bookmarkStart w:id="312" w:name="_Toc20818"/>
      <w:bookmarkStart w:id="313" w:name="_Toc31293"/>
      <w:bookmarkStart w:id="314" w:name="_Toc15322"/>
      <w:bookmarkStart w:id="315" w:name="_Toc3526"/>
      <w:bookmarkStart w:id="316" w:name="_Toc14032"/>
      <w:bookmarkStart w:id="317" w:name="_Toc9771"/>
      <w:bookmarkStart w:id="318" w:name="_Toc27471"/>
      <w:r>
        <w:rPr>
          <w:rFonts w:hint="eastAsia" w:asciiTheme="minorEastAsia" w:hAnsiTheme="minorEastAsia" w:eastAsiaTheme="minorEastAsia" w:cstheme="minorEastAsia"/>
        </w:rPr>
        <w:t>7.6  其他</w:t>
      </w:r>
      <w:bookmarkEnd w:id="312"/>
      <w:bookmarkEnd w:id="313"/>
      <w:bookmarkEnd w:id="314"/>
      <w:bookmarkEnd w:id="315"/>
      <w:bookmarkEnd w:id="316"/>
      <w:bookmarkEnd w:id="317"/>
      <w:bookmarkEnd w:id="318"/>
    </w:p>
    <w:p>
      <w:pPr>
        <w:spacing w:line="360" w:lineRule="exact"/>
        <w:rPr>
          <w:rFonts w:asciiTheme="minorEastAsia" w:hAnsiTheme="minorEastAsia" w:eastAsiaTheme="minorEastAsia" w:cstheme="minorEastAsia"/>
          <w:color w:val="000000"/>
          <w:szCs w:val="21"/>
        </w:rPr>
      </w:pPr>
      <w:bookmarkStart w:id="319" w:name="_Toc18022"/>
      <w:bookmarkStart w:id="320" w:name="_Toc27883"/>
      <w:bookmarkStart w:id="321" w:name="_Toc18520"/>
      <w:r>
        <w:rPr>
          <w:rFonts w:hint="eastAsia" w:ascii="Times New Roman" w:hAnsi="Times New Roman" w:cs="Times New Roman" w:eastAsiaTheme="minorEastAsia"/>
          <w:color w:val="000000"/>
          <w:szCs w:val="21"/>
        </w:rPr>
        <w:t>7.6.1</w:t>
      </w:r>
      <w:r>
        <w:rPr>
          <w:rFonts w:hint="eastAsia" w:asciiTheme="minorEastAsia" w:hAnsiTheme="minorEastAsia" w:eastAsiaTheme="minorEastAsia" w:cstheme="minorEastAsia"/>
          <w:color w:val="000000"/>
          <w:szCs w:val="21"/>
        </w:rPr>
        <w:t xml:space="preserve">  地下水土对混凝土类材料有腐蚀的，</w:t>
      </w:r>
      <w:r>
        <w:rPr>
          <w:rFonts w:hint="eastAsia" w:asciiTheme="minorEastAsia" w:hAnsiTheme="minorEastAsia" w:eastAsiaTheme="minorEastAsia" w:cstheme="minorEastAsia"/>
          <w:color w:val="000000"/>
          <w:szCs w:val="21"/>
          <w:lang w:eastAsia="zh-CN"/>
        </w:rPr>
        <w:t>注浆体应针对地层介质中腐蚀成分的类别按现行国家标准《工业建筑防腐设计规范》</w:t>
      </w:r>
      <w:r>
        <w:rPr>
          <w:rFonts w:hint="eastAsia" w:asciiTheme="minorEastAsia" w:hAnsiTheme="minorEastAsia" w:eastAsiaTheme="minorEastAsia" w:cstheme="minorEastAsia"/>
          <w:color w:val="000000"/>
          <w:szCs w:val="21"/>
          <w:lang w:val="en-US" w:eastAsia="zh-CN"/>
        </w:rPr>
        <w:t>GB 50046的规定采用能抗地层介质腐蚀的水泥或掺入耐腐蚀材料</w:t>
      </w:r>
      <w:r>
        <w:rPr>
          <w:rFonts w:hint="eastAsia" w:asciiTheme="minorEastAsia" w:hAnsiTheme="minorEastAsia" w:eastAsiaTheme="minorEastAsia" w:cstheme="minorEastAsia"/>
          <w:color w:val="000000"/>
          <w:szCs w:val="21"/>
        </w:rPr>
        <w:t>。</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7.6.2</w:t>
      </w:r>
      <w:r>
        <w:rPr>
          <w:rFonts w:hint="eastAsia" w:asciiTheme="minorEastAsia" w:hAnsiTheme="minorEastAsia" w:eastAsiaTheme="minorEastAsia" w:cstheme="minorEastAsia"/>
          <w:color w:val="000000"/>
          <w:szCs w:val="21"/>
        </w:rPr>
        <w:t xml:space="preserve">  防腐涂层的材料和厚度应符合现行国家标准《工业建筑防腐蚀设计规范》GB50046的规定。</w:t>
      </w:r>
      <w:bookmarkEnd w:id="319"/>
      <w:bookmarkEnd w:id="320"/>
      <w:bookmarkEnd w:id="321"/>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7.6.3</w:t>
      </w:r>
      <w:r>
        <w:rPr>
          <w:rFonts w:hint="eastAsia" w:asciiTheme="minorEastAsia" w:hAnsiTheme="minorEastAsia" w:eastAsiaTheme="minorEastAsia" w:cstheme="minorEastAsia"/>
          <w:color w:val="000000"/>
          <w:szCs w:val="21"/>
        </w:rPr>
        <w:t xml:space="preserve">  在正常使用期间，若锚杆防腐体系发生破坏或失效，应及时采取有效的修补措施。</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br w:type="page"/>
      </w:r>
    </w:p>
    <w:p>
      <w:pPr>
        <w:keepNext/>
        <w:keepLines/>
        <w:outlineLvl w:val="9"/>
        <w:rPr>
          <w:rFonts w:asciiTheme="minorEastAsia" w:hAnsiTheme="minorEastAsia" w:eastAsiaTheme="minorEastAsia" w:cstheme="minorEastAsia"/>
        </w:rPr>
      </w:pPr>
      <w:bookmarkStart w:id="322" w:name="_Toc3571"/>
      <w:bookmarkStart w:id="323" w:name="_Toc11860"/>
    </w:p>
    <w:bookmarkEnd w:id="322"/>
    <w:bookmarkEnd w:id="323"/>
    <w:p>
      <w:pPr>
        <w:pStyle w:val="2"/>
        <w:spacing w:before="312" w:beforeLines="100" w:after="312" w:afterLines="100"/>
        <w:rPr>
          <w:rFonts w:asciiTheme="minorEastAsia" w:hAnsiTheme="minorEastAsia" w:eastAsiaTheme="minorEastAsia" w:cstheme="minorEastAsia"/>
        </w:rPr>
      </w:pPr>
      <w:bookmarkStart w:id="324" w:name="_Toc6720"/>
      <w:bookmarkStart w:id="325" w:name="_Toc5696"/>
      <w:bookmarkStart w:id="326" w:name="_Toc22862"/>
      <w:bookmarkStart w:id="327" w:name="_Toc13052"/>
      <w:bookmarkStart w:id="328" w:name="_Toc576"/>
      <w:bookmarkStart w:id="329" w:name="_Toc15286"/>
      <w:bookmarkStart w:id="330" w:name="_Toc12313"/>
      <w:bookmarkStart w:id="331" w:name="_Toc10747"/>
      <w:r>
        <w:rPr>
          <w:rFonts w:hint="eastAsia" w:asciiTheme="minorEastAsia" w:hAnsiTheme="minorEastAsia" w:eastAsiaTheme="minorEastAsia" w:cstheme="minorEastAsia"/>
        </w:rPr>
        <w:t>8  施工</w:t>
      </w:r>
      <w:bookmarkEnd w:id="324"/>
      <w:bookmarkEnd w:id="325"/>
      <w:bookmarkEnd w:id="326"/>
      <w:bookmarkEnd w:id="327"/>
      <w:bookmarkEnd w:id="328"/>
      <w:bookmarkEnd w:id="329"/>
      <w:bookmarkEnd w:id="330"/>
      <w:bookmarkEnd w:id="331"/>
    </w:p>
    <w:p>
      <w:pPr>
        <w:pStyle w:val="3"/>
        <w:spacing w:before="312" w:beforeLines="100" w:after="156" w:afterLines="50"/>
        <w:rPr>
          <w:rFonts w:asciiTheme="minorEastAsia" w:hAnsiTheme="minorEastAsia" w:eastAsiaTheme="minorEastAsia" w:cstheme="minorEastAsia"/>
        </w:rPr>
      </w:pPr>
      <w:bookmarkStart w:id="332" w:name="_Toc25592"/>
      <w:bookmarkStart w:id="333" w:name="_Toc28937"/>
      <w:bookmarkStart w:id="334" w:name="_Toc23921"/>
      <w:bookmarkStart w:id="335" w:name="_Toc6479"/>
      <w:bookmarkStart w:id="336" w:name="_Toc12644"/>
      <w:bookmarkStart w:id="337" w:name="_Toc15075"/>
      <w:bookmarkStart w:id="338" w:name="_Toc31328"/>
      <w:r>
        <w:rPr>
          <w:rFonts w:hint="eastAsia" w:asciiTheme="minorEastAsia" w:hAnsiTheme="minorEastAsia" w:eastAsiaTheme="minorEastAsia" w:cstheme="minorEastAsia"/>
        </w:rPr>
        <w:t>8.1  一般规定</w:t>
      </w:r>
      <w:bookmarkEnd w:id="332"/>
      <w:bookmarkEnd w:id="333"/>
      <w:bookmarkEnd w:id="334"/>
      <w:bookmarkEnd w:id="335"/>
      <w:bookmarkEnd w:id="336"/>
      <w:bookmarkEnd w:id="337"/>
      <w:bookmarkEnd w:id="338"/>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8.1.1</w:t>
      </w:r>
      <w:r>
        <w:rPr>
          <w:rFonts w:hint="eastAsia" w:asciiTheme="minorEastAsia" w:hAnsiTheme="minorEastAsia" w:eastAsiaTheme="minorEastAsia" w:cstheme="minorEastAsia"/>
          <w:color w:val="000000"/>
          <w:szCs w:val="21"/>
        </w:rPr>
        <w:t xml:space="preserve">  施工前应查明锚杆施工可能涉及影响范围内地下管线、埋藏物以及相邻建筑物基础等具体情况，确保锚杆施工对地下环境和相邻建筑物不造成有害影响。</w:t>
      </w:r>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8.1.2</w:t>
      </w:r>
      <w:r>
        <w:rPr>
          <w:rFonts w:hint="eastAsia" w:asciiTheme="minorEastAsia" w:hAnsiTheme="minorEastAsia" w:eastAsiaTheme="minorEastAsia" w:cstheme="minorEastAsia"/>
          <w:color w:val="000000"/>
          <w:szCs w:val="21"/>
        </w:rPr>
        <w:t xml:space="preserve">  施工前应针对设计要求和地质条件进行现场基本试验，调整和确定合适的工艺参数，检验有关设计参数和锚杆抗拔力。</w:t>
      </w:r>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8.1.3</w:t>
      </w:r>
      <w:r>
        <w:rPr>
          <w:rFonts w:hint="eastAsia" w:asciiTheme="minorEastAsia" w:hAnsiTheme="minorEastAsia" w:eastAsiaTheme="minorEastAsia" w:cstheme="minorEastAsia"/>
          <w:color w:val="000000"/>
          <w:szCs w:val="21"/>
        </w:rPr>
        <w:t xml:space="preserve">  施工过程中宜采用囊袋注浆监控仪实时监控囊袋注浆量和囊袋张开直径，确保囊袋张开达到设计直径。</w:t>
      </w:r>
    </w:p>
    <w:p>
      <w:pPr>
        <w:spacing w:line="360" w:lineRule="exact"/>
        <w:rPr>
          <w:rFonts w:asciiTheme="minorEastAsia" w:hAnsiTheme="minorEastAsia" w:eastAsiaTheme="minorEastAsia" w:cstheme="minorEastAsia"/>
          <w:color w:val="000000"/>
          <w:spacing w:val="2"/>
          <w:sz w:val="24"/>
        </w:rPr>
      </w:pPr>
      <w:r>
        <w:rPr>
          <w:rFonts w:hint="eastAsia" w:ascii="Times New Roman" w:hAnsi="Times New Roman" w:cs="Times New Roman" w:eastAsiaTheme="minorEastAsia"/>
          <w:color w:val="000000"/>
          <w:szCs w:val="21"/>
        </w:rPr>
        <w:t>8.1.4</w:t>
      </w:r>
      <w:r>
        <w:rPr>
          <w:rFonts w:hint="eastAsia" w:asciiTheme="minorEastAsia" w:hAnsiTheme="minorEastAsia" w:eastAsiaTheme="minorEastAsia" w:cstheme="minorEastAsia"/>
          <w:color w:val="000000"/>
          <w:szCs w:val="21"/>
        </w:rPr>
        <w:t xml:space="preserve">  工程锚杆达到</w:t>
      </w:r>
      <w:r>
        <w:rPr>
          <w:rFonts w:ascii="Times New Roman" w:hAnsi="Times New Roman" w:cs="Times New Roman" w:eastAsiaTheme="minorEastAsia"/>
          <w:color w:val="000000"/>
          <w:szCs w:val="21"/>
        </w:rPr>
        <w:t>28d</w:t>
      </w:r>
      <w:r>
        <w:rPr>
          <w:rFonts w:hint="eastAsia" w:asciiTheme="minorEastAsia" w:hAnsiTheme="minorEastAsia" w:eastAsiaTheme="minorEastAsia" w:cstheme="minorEastAsia"/>
          <w:color w:val="000000"/>
          <w:szCs w:val="21"/>
        </w:rPr>
        <w:t>龄期或浆体强度达到设计强度的80%后，应进行抗拔力验收试验以检验锚杆施工质量。</w:t>
      </w:r>
    </w:p>
    <w:p>
      <w:pPr>
        <w:pStyle w:val="3"/>
        <w:spacing w:before="312" w:beforeLines="100" w:after="156" w:afterLines="50"/>
        <w:rPr>
          <w:rFonts w:asciiTheme="minorEastAsia" w:hAnsiTheme="minorEastAsia" w:eastAsiaTheme="minorEastAsia" w:cstheme="minorEastAsia"/>
        </w:rPr>
      </w:pPr>
      <w:bookmarkStart w:id="339" w:name="_Toc27906"/>
      <w:bookmarkStart w:id="340" w:name="_Toc5702"/>
      <w:bookmarkStart w:id="341" w:name="_Toc27829"/>
      <w:bookmarkStart w:id="342" w:name="_Toc20955"/>
      <w:bookmarkStart w:id="343" w:name="_Toc21925"/>
      <w:bookmarkStart w:id="344" w:name="_Toc31545"/>
      <w:bookmarkStart w:id="345" w:name="_Toc23081"/>
      <w:r>
        <w:rPr>
          <w:rFonts w:hint="eastAsia" w:asciiTheme="minorEastAsia" w:hAnsiTheme="minorEastAsia" w:eastAsiaTheme="minorEastAsia" w:cstheme="minorEastAsia"/>
        </w:rPr>
        <w:t>8.2  制锚</w:t>
      </w:r>
      <w:bookmarkEnd w:id="339"/>
      <w:bookmarkEnd w:id="340"/>
      <w:bookmarkEnd w:id="341"/>
      <w:bookmarkEnd w:id="342"/>
      <w:bookmarkEnd w:id="343"/>
      <w:bookmarkEnd w:id="344"/>
      <w:bookmarkEnd w:id="345"/>
    </w:p>
    <w:p>
      <w:pPr>
        <w:spacing w:line="360" w:lineRule="exact"/>
        <w:rPr>
          <w:rFonts w:asciiTheme="minorEastAsia" w:hAnsiTheme="minorEastAsia" w:eastAsiaTheme="minorEastAsia" w:cstheme="minorEastAsia"/>
          <w:color w:val="000000"/>
          <w:sz w:val="24"/>
        </w:rPr>
      </w:pPr>
      <w:bookmarkStart w:id="346" w:name="_Toc26476"/>
      <w:bookmarkStart w:id="347" w:name="_Toc3213"/>
      <w:r>
        <w:rPr>
          <w:rFonts w:hint="eastAsia" w:ascii="Times New Roman" w:hAnsi="Times New Roman" w:cs="Times New Roman" w:eastAsiaTheme="minorEastAsia"/>
          <w:color w:val="000000"/>
          <w:szCs w:val="21"/>
        </w:rPr>
        <w:t>8.1.1</w:t>
      </w:r>
      <w:r>
        <w:rPr>
          <w:rFonts w:hint="eastAsia" w:asciiTheme="minorEastAsia" w:hAnsiTheme="minorEastAsia" w:eastAsiaTheme="minorEastAsia" w:cstheme="minorEastAsia"/>
          <w:color w:val="000000"/>
          <w:szCs w:val="21"/>
        </w:rPr>
        <w:t xml:space="preserve">  笼芯囊锚杆杆体原材料应符合下列规定：</w:t>
      </w:r>
      <w:bookmarkEnd w:id="346"/>
      <w:bookmarkEnd w:id="347"/>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杆体原材料上不应带有可能影响其与注浆体有效粘结或影响锚杆使用寿命的有害物质；受有害物质污染的杆体原材料不得使用；</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 xml:space="preserve"> 钢筋、钢绞线或钢丝应采用切割机切断，不得采用电弧切割；</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zCs w:val="21"/>
        </w:rPr>
        <w:t xml:space="preserve">  加工完成的锚杆杆体在储存、搬运、安放时，应避免机械损伤、腐蚀介质侵蚀和污染。</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8.2.2</w:t>
      </w:r>
      <w:r>
        <w:rPr>
          <w:rFonts w:hint="eastAsia" w:asciiTheme="minorEastAsia" w:hAnsiTheme="minorEastAsia" w:eastAsiaTheme="minorEastAsia" w:cstheme="minorEastAsia"/>
          <w:color w:val="000000"/>
          <w:szCs w:val="21"/>
        </w:rPr>
        <w:t xml:space="preserve">  钢筋锚杆杆体的制作应符合下列规定：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color w:val="000000"/>
          <w:szCs w:val="21"/>
        </w:rPr>
        <w:t xml:space="preserve"> 制作前钢筋应平直、除锈；</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 xml:space="preserve"> 预应力混凝土用螺纹钢筋接长应采用专用连接器。普通螺纹钢筋接长可采用焊接或机械连接。当采用双面焊接时，焊缝长度不应小于5倍钢筋直径；</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zCs w:val="21"/>
        </w:rPr>
        <w:t xml:space="preserve">  当锚杆的杆体采用预应力混凝土用螺纹钢筋时，严禁在杆体上进行任何电焊操作。</w:t>
      </w:r>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8.2.3</w:t>
      </w:r>
      <w:r>
        <w:rPr>
          <w:rFonts w:hint="eastAsia" w:asciiTheme="minorEastAsia" w:hAnsiTheme="minorEastAsia" w:eastAsiaTheme="minorEastAsia" w:cstheme="minorEastAsia"/>
          <w:color w:val="000000"/>
          <w:szCs w:val="21"/>
        </w:rPr>
        <w:t xml:space="preserve">  钢绞线或高强钢丝锚杆杆体的制作应符合下列规定：</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钢绞线或高强钢丝应清除锈斑，下料长度应考虑钻孔深度和张拉锁定长度，应确保有效长度不小于设计长度；</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 xml:space="preserve"> 钢绞线或高强钢丝应平直排列。</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8.2.4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拉力型锚杆</w:t>
      </w:r>
      <w:r>
        <w:rPr>
          <w:rFonts w:hint="eastAsia" w:asciiTheme="minorEastAsia" w:hAnsiTheme="minorEastAsia" w:eastAsiaTheme="minorEastAsia" w:cstheme="minorEastAsia"/>
          <w:color w:val="000000"/>
          <w:szCs w:val="21"/>
        </w:rPr>
        <w:t>囊袋外杆体应按照设计文件规定的防腐等级和防腐构造设置防腐，杆体防腐段应伸入囊袋密封套搭接长度不应小于100mm，应采用钢质锁扣将密封套搭接段扣压并牢固锁定在杆体上。</w:t>
      </w:r>
    </w:p>
    <w:p>
      <w:pPr>
        <w:spacing w:line="360" w:lineRule="exact"/>
        <w:rPr>
          <w:rFonts w:hint="eastAsia"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8.2.5</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拉力型锚杆</w:t>
      </w:r>
      <w:r>
        <w:rPr>
          <w:rFonts w:hint="eastAsia" w:asciiTheme="minorEastAsia" w:hAnsiTheme="minorEastAsia" w:eastAsiaTheme="minorEastAsia" w:cstheme="minorEastAsia"/>
          <w:color w:val="000000"/>
          <w:szCs w:val="21"/>
        </w:rPr>
        <w:t>杆体穿入囊袋，囊袋内杆体必须清洁干净，不得涂刷任何防腐油脂或涂层，不得有任何泥土泥浆粘结，不得有任何油类污染，不得有任何影响杆体与水泥浆体粘结的附着物。</w:t>
      </w:r>
    </w:p>
    <w:p>
      <w:pPr>
        <w:spacing w:line="360" w:lineRule="exact"/>
        <w:rPr>
          <w:rFonts w:hint="default" w:asciiTheme="minorEastAsia" w:hAnsiTheme="minorEastAsia" w:eastAsiaTheme="minorEastAsia" w:cstheme="minorEastAsia"/>
          <w:color w:val="000000"/>
          <w:szCs w:val="21"/>
          <w:lang w:val="en-US" w:eastAsia="zh-CN"/>
        </w:rPr>
      </w:pPr>
      <w:r>
        <w:rPr>
          <w:rFonts w:hint="eastAsia" w:ascii="Times New Roman" w:hAnsi="Times New Roman" w:cs="Times New Roman" w:eastAsiaTheme="minorEastAsia"/>
          <w:color w:val="000000"/>
          <w:szCs w:val="21"/>
        </w:rPr>
        <w:t>8.2.6</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压力型锚杆杆体应按照设计文件规定的防腐等级和防腐构造设置防腐和隔离管，然后穿入囊袋。隔离管外侧必须清洁干净，不得有任何油类污染，不得有任何可能影响水泥浆凝固的物质。</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8.2.</w:t>
      </w:r>
      <w:r>
        <w:rPr>
          <w:rFonts w:hint="eastAsia" w:ascii="Times New Roman" w:hAnsi="Times New Roman" w:cs="Times New Roman" w:eastAsiaTheme="minorEastAsia"/>
          <w:color w:val="000000"/>
          <w:szCs w:val="21"/>
          <w:lang w:val="en-US" w:eastAsia="zh-CN"/>
        </w:rPr>
        <w:t>7</w:t>
      </w:r>
      <w:r>
        <w:rPr>
          <w:rFonts w:hint="eastAsia" w:asciiTheme="minorEastAsia" w:hAnsiTheme="minorEastAsia" w:eastAsiaTheme="minorEastAsia" w:cstheme="minorEastAsia"/>
          <w:color w:val="000000"/>
          <w:szCs w:val="21"/>
        </w:rPr>
        <w:t xml:space="preserve">  杆体插入囊袋到设计位置后应采用锁扣等将笼芯与杆体连接固定。上锁扣应套压囊袋密封套形成密封。囊袋下口应由下锁扣锁紧固定在杆体上形成密封。</w:t>
      </w:r>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8.2.</w:t>
      </w:r>
      <w:r>
        <w:rPr>
          <w:rFonts w:hint="eastAsia" w:ascii="Times New Roman" w:hAnsi="Times New Roman" w:cs="Times New Roman" w:eastAsiaTheme="minorEastAsia"/>
          <w:color w:val="000000"/>
          <w:szCs w:val="21"/>
          <w:lang w:val="en-US" w:eastAsia="zh-CN"/>
        </w:rPr>
        <w:t>8</w:t>
      </w:r>
      <w:r>
        <w:rPr>
          <w:rFonts w:hint="eastAsia" w:asciiTheme="minorEastAsia" w:hAnsiTheme="minorEastAsia" w:eastAsiaTheme="minorEastAsia" w:cstheme="minorEastAsia"/>
          <w:color w:val="000000"/>
          <w:szCs w:val="21"/>
        </w:rPr>
        <w:t xml:space="preserve">  锚杆杆体的储存应符合下列规定：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杆体制作完成后应尽早使用，不宜长期存放；</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color w:val="000000"/>
          <w:szCs w:val="21"/>
        </w:rPr>
        <w:t xml:space="preserve"> 制作完成的杆体不得露天存放，宜存放在干燥清洁的场所。应避免阳光照晒或油渍溅落在杆体和囊袋上；</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zCs w:val="21"/>
        </w:rPr>
        <w:t xml:space="preserve">  制作完成的杆体应单层平放，不得叠层，不得堆放。应避免堆压损伤或碰撞损伤；</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对存放时间较长的杆体，在使用前应进行严格检查</w:t>
      </w:r>
      <w:r>
        <w:rPr>
          <w:rFonts w:hint="eastAsia" w:asciiTheme="minorEastAsia" w:hAnsiTheme="minorEastAsia" w:eastAsiaTheme="minorEastAsia" w:cstheme="minorEastAsia"/>
          <w:color w:val="000000"/>
          <w:sz w:val="24"/>
        </w:rPr>
        <w:t>。</w:t>
      </w:r>
    </w:p>
    <w:p>
      <w:pPr>
        <w:pStyle w:val="3"/>
        <w:spacing w:before="312" w:beforeLines="100" w:after="156" w:afterLines="50"/>
        <w:rPr>
          <w:rFonts w:asciiTheme="minorEastAsia" w:hAnsiTheme="minorEastAsia" w:eastAsiaTheme="minorEastAsia" w:cstheme="minorEastAsia"/>
        </w:rPr>
      </w:pPr>
      <w:bookmarkStart w:id="348" w:name="_Toc24317"/>
      <w:bookmarkStart w:id="349" w:name="_Toc2616"/>
      <w:bookmarkStart w:id="350" w:name="_Toc6256"/>
      <w:bookmarkStart w:id="351" w:name="_Toc23933"/>
      <w:bookmarkStart w:id="352" w:name="_Toc25013"/>
      <w:bookmarkStart w:id="353" w:name="_Toc18632"/>
      <w:bookmarkStart w:id="354" w:name="_Toc9557"/>
      <w:r>
        <w:rPr>
          <w:rFonts w:hint="eastAsia" w:asciiTheme="minorEastAsia" w:hAnsiTheme="minorEastAsia" w:eastAsiaTheme="minorEastAsia" w:cstheme="minorEastAsia"/>
        </w:rPr>
        <w:t>8.3  钻孔</w:t>
      </w:r>
      <w:bookmarkEnd w:id="348"/>
      <w:bookmarkEnd w:id="349"/>
      <w:bookmarkEnd w:id="350"/>
      <w:bookmarkEnd w:id="351"/>
      <w:bookmarkEnd w:id="352"/>
      <w:bookmarkEnd w:id="353"/>
      <w:bookmarkEnd w:id="354"/>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8.3.1</w:t>
      </w:r>
      <w:r>
        <w:rPr>
          <w:rFonts w:hint="eastAsia" w:asciiTheme="minorEastAsia" w:hAnsiTheme="minorEastAsia" w:eastAsiaTheme="minorEastAsia" w:cstheme="minorEastAsia"/>
          <w:color w:val="000000"/>
          <w:szCs w:val="21"/>
        </w:rPr>
        <w:t xml:space="preserve">  笼芯囊锚杆钻孔应符合下列规定：</w:t>
      </w:r>
    </w:p>
    <w:p>
      <w:pPr>
        <w:spacing w:line="360" w:lineRule="exact"/>
        <w:ind w:firstLine="420" w:firstLineChars="200"/>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钻孔前，应根据设计要求和地层条件，定出孔位，做出标记；</w:t>
      </w:r>
    </w:p>
    <w:p>
      <w:pPr>
        <w:spacing w:line="360" w:lineRule="exact"/>
        <w:ind w:firstLine="420" w:firstLineChars="200"/>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锚杆孔距误差不应大于100mm。钻头直径最小不应小于设计钻孔直径3mm；</w:t>
      </w:r>
    </w:p>
    <w:p>
      <w:pPr>
        <w:spacing w:line="360" w:lineRule="exact"/>
        <w:ind w:firstLine="420" w:firstLineChars="200"/>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color w:val="000000"/>
          <w:szCs w:val="21"/>
        </w:rPr>
        <w:t xml:space="preserve"> 钻孔角度偏差不应大于2°；</w:t>
      </w:r>
    </w:p>
    <w:p>
      <w:pPr>
        <w:spacing w:line="360" w:lineRule="exact"/>
        <w:ind w:firstLine="420" w:firstLineChars="200"/>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锚杆钻孔的深度不应小于设计长度，且不宜大于设计长度500mm。</w:t>
      </w:r>
    </w:p>
    <w:p>
      <w:pPr>
        <w:spacing w:line="360" w:lineRule="exact"/>
        <w:jc w:val="left"/>
        <w:rPr>
          <w:rFonts w:asciiTheme="minorEastAsia" w:hAnsiTheme="minorEastAsia" w:eastAsiaTheme="minorEastAsia" w:cstheme="minorEastAsia"/>
          <w:color w:val="000000"/>
          <w:sz w:val="24"/>
        </w:rPr>
      </w:pPr>
      <w:r>
        <w:rPr>
          <w:rFonts w:ascii="Times New Roman" w:hAnsi="Times New Roman" w:cs="Times New Roman" w:eastAsiaTheme="minorEastAsia"/>
          <w:color w:val="000000"/>
          <w:szCs w:val="21"/>
        </w:rPr>
        <w:t>8.3.2</w:t>
      </w:r>
      <w:r>
        <w:rPr>
          <w:rFonts w:hint="eastAsia" w:asciiTheme="minorEastAsia" w:hAnsiTheme="minorEastAsia" w:eastAsiaTheme="minorEastAsia" w:cstheme="minorEastAsia"/>
          <w:color w:val="000000"/>
          <w:szCs w:val="21"/>
        </w:rPr>
        <w:t xml:space="preserve">  在不会出现塌孔和涌砂流土的稳定地层中，对于竖直向锚杆可采用钻杆钻孔；对于下列各种情形均应采用套管护壁钻孔：</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存在不稳定地层；</w:t>
      </w:r>
    </w:p>
    <w:p>
      <w:pPr>
        <w:spacing w:line="360" w:lineRule="exact"/>
        <w:ind w:firstLine="420" w:firstLineChars="200"/>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存在受扰动易出现涌砂流土的粉土</w:t>
      </w:r>
      <w:r>
        <w:rPr>
          <w:rFonts w:hint="eastAsia" w:asciiTheme="minorEastAsia" w:hAnsiTheme="minorEastAsia" w:eastAsiaTheme="minorEastAsia" w:cstheme="minorEastAsia"/>
          <w:color w:val="000000"/>
          <w:sz w:val="24"/>
        </w:rPr>
        <w:t>；</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color w:val="000000"/>
          <w:szCs w:val="21"/>
        </w:rPr>
        <w:t xml:space="preserve"> 存在易塌孔的砂层；</w:t>
      </w:r>
    </w:p>
    <w:p>
      <w:pPr>
        <w:spacing w:line="360" w:lineRule="exact"/>
        <w:ind w:firstLine="420" w:firstLineChars="200"/>
        <w:rPr>
          <w:rFonts w:hint="eastAsia"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存在易缩颈的淤泥等软土地层。</w:t>
      </w:r>
    </w:p>
    <w:p>
      <w:pPr>
        <w:spacing w:line="360" w:lineRule="exact"/>
        <w:rPr>
          <w:rFonts w:hint="eastAsia" w:asciiTheme="minorEastAsia" w:hAnsiTheme="minorEastAsia" w:eastAsiaTheme="minorEastAsia" w:cstheme="minorEastAsia"/>
          <w:color w:val="000000"/>
          <w:szCs w:val="21"/>
          <w:lang w:eastAsia="zh-CN"/>
        </w:rPr>
      </w:pPr>
      <w:r>
        <w:rPr>
          <w:rFonts w:ascii="Times New Roman" w:hAnsi="Times New Roman" w:cs="Times New Roman" w:eastAsiaTheme="minorEastAsia"/>
          <w:color w:val="000000"/>
          <w:szCs w:val="21"/>
        </w:rPr>
        <w:t>8.3.3</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钻孔完成后应清孔，将孔内残渣和泥浆清洗干净。清孔可采用清水或高压风。</w:t>
      </w:r>
    </w:p>
    <w:p>
      <w:pPr>
        <w:spacing w:line="360" w:lineRule="exact"/>
        <w:rPr>
          <w:rFonts w:asciiTheme="minorEastAsia" w:hAnsiTheme="minorEastAsia" w:eastAsiaTheme="minorEastAsia" w:cstheme="minorEastAsia"/>
          <w:color w:val="000000"/>
          <w:szCs w:val="21"/>
        </w:rPr>
      </w:pPr>
      <w:r>
        <w:rPr>
          <w:rFonts w:ascii="Times New Roman" w:hAnsi="Times New Roman" w:cs="Times New Roman" w:eastAsiaTheme="minorEastAsia"/>
          <w:color w:val="000000"/>
          <w:szCs w:val="21"/>
        </w:rPr>
        <w:t>8.3.</w:t>
      </w:r>
      <w:r>
        <w:rPr>
          <w:rFonts w:hint="eastAsia" w:ascii="Times New Roman" w:hAnsi="Times New Roman" w:cs="Times New Roman" w:eastAsiaTheme="minorEastAsia"/>
          <w:color w:val="000000"/>
          <w:szCs w:val="21"/>
          <w:lang w:val="en-US" w:eastAsia="zh-CN"/>
        </w:rPr>
        <w:t>4</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color w:val="000000"/>
          <w:szCs w:val="21"/>
        </w:rPr>
        <w:t xml:space="preserve"> 扩大头锚杆的扩孔施工还应符合行业标准《高压喷射扩大头锚杆技术规程》JGJ/T 282的规定和有关设计要求。</w:t>
      </w:r>
    </w:p>
    <w:p>
      <w:pPr>
        <w:pStyle w:val="3"/>
        <w:spacing w:before="312" w:beforeLines="100" w:after="156" w:afterLines="50"/>
        <w:rPr>
          <w:rFonts w:asciiTheme="minorEastAsia" w:hAnsiTheme="minorEastAsia" w:eastAsiaTheme="minorEastAsia" w:cstheme="minorEastAsia"/>
        </w:rPr>
      </w:pPr>
      <w:bookmarkStart w:id="355" w:name="_Toc3504"/>
      <w:bookmarkStart w:id="356" w:name="_Toc30782"/>
      <w:bookmarkStart w:id="357" w:name="_Toc14424"/>
      <w:bookmarkStart w:id="358" w:name="_Toc20343"/>
      <w:bookmarkStart w:id="359" w:name="_Toc30978"/>
      <w:bookmarkStart w:id="360" w:name="_Toc25172"/>
      <w:bookmarkStart w:id="361" w:name="_Toc11246"/>
      <w:r>
        <w:rPr>
          <w:rFonts w:hint="eastAsia" w:asciiTheme="minorEastAsia" w:hAnsiTheme="minorEastAsia" w:eastAsiaTheme="minorEastAsia" w:cstheme="minorEastAsia"/>
        </w:rPr>
        <w:t>8.4  锚孔注浆</w:t>
      </w:r>
      <w:bookmarkEnd w:id="355"/>
      <w:bookmarkEnd w:id="356"/>
      <w:bookmarkEnd w:id="357"/>
      <w:bookmarkEnd w:id="358"/>
      <w:bookmarkEnd w:id="359"/>
      <w:bookmarkEnd w:id="360"/>
      <w:bookmarkEnd w:id="361"/>
    </w:p>
    <w:p>
      <w:pPr>
        <w:spacing w:line="360" w:lineRule="exact"/>
        <w:rPr>
          <w:rFonts w:asciiTheme="minorEastAsia" w:hAnsiTheme="minorEastAsia" w:eastAsiaTheme="minorEastAsia" w:cstheme="minorEastAsia"/>
          <w:bCs/>
          <w:color w:val="000000"/>
          <w:szCs w:val="21"/>
        </w:rPr>
      </w:pPr>
      <w:r>
        <w:rPr>
          <w:rFonts w:ascii="Times New Roman" w:hAnsi="Times New Roman" w:cs="Times New Roman" w:eastAsiaTheme="minorEastAsia"/>
          <w:color w:val="000000"/>
          <w:szCs w:val="21"/>
        </w:rPr>
        <w:t>8.4.1</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钻</w:t>
      </w:r>
      <w:r>
        <w:rPr>
          <w:rFonts w:hint="eastAsia" w:asciiTheme="minorEastAsia" w:hAnsiTheme="minorEastAsia" w:eastAsiaTheme="minorEastAsia" w:cstheme="minorEastAsia"/>
          <w:bCs/>
          <w:color w:val="000000"/>
          <w:szCs w:val="21"/>
        </w:rPr>
        <w:t>孔</w:t>
      </w:r>
      <w:r>
        <w:rPr>
          <w:rFonts w:hint="eastAsia" w:asciiTheme="minorEastAsia" w:hAnsiTheme="minorEastAsia" w:eastAsiaTheme="minorEastAsia" w:cstheme="minorEastAsia"/>
          <w:bCs/>
          <w:color w:val="000000"/>
          <w:szCs w:val="21"/>
          <w:lang w:eastAsia="zh-CN"/>
        </w:rPr>
        <w:t>和清孔</w:t>
      </w:r>
      <w:r>
        <w:rPr>
          <w:rFonts w:hint="eastAsia" w:asciiTheme="minorEastAsia" w:hAnsiTheme="minorEastAsia" w:eastAsiaTheme="minorEastAsia" w:cstheme="minorEastAsia"/>
          <w:bCs/>
          <w:color w:val="000000"/>
          <w:szCs w:val="21"/>
        </w:rPr>
        <w:t>完成后应立即对锚孔注浆，用水泥浆充填锚孔并向地层渗透。锚孔注浆应符合下列规定：</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注浆材料应采用纯水泥浆，扩大头笼芯囊锚杆水灰比宜为0.6～1.0，等直径笼芯囊锚杆水灰比宜为</w:t>
      </w:r>
      <w:r>
        <w:rPr>
          <w:rFonts w:ascii="Times New Roman" w:hAnsi="Times New Roman" w:cs="Times New Roman" w:eastAsiaTheme="minorEastAsia"/>
          <w:bCs/>
          <w:color w:val="000000"/>
          <w:szCs w:val="21"/>
        </w:rPr>
        <w:t>0.6~0.8</w:t>
      </w:r>
      <w:r>
        <w:rPr>
          <w:rFonts w:hint="eastAsia" w:asciiTheme="minorEastAsia" w:hAnsiTheme="minorEastAsia" w:eastAsiaTheme="minorEastAsia" w:cstheme="minorEastAsia"/>
          <w:bCs/>
          <w:color w:val="000000"/>
          <w:szCs w:val="21"/>
        </w:rPr>
        <w:t>；不得使用水泥砂浆；</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Cs/>
          <w:color w:val="000000"/>
          <w:szCs w:val="21"/>
        </w:rPr>
        <w:t xml:space="preserve"> 注浆管应插入锚孔底部，至锚孔底距离不应大于300mm；</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Cs/>
          <w:color w:val="000000"/>
          <w:szCs w:val="21"/>
        </w:rPr>
        <w:t xml:space="preserve"> 当孔口溢出的浆液不含泥土泥浆且颜色和浓度与注入浆液一致时，方可停止注浆。</w:t>
      </w:r>
    </w:p>
    <w:p>
      <w:pPr>
        <w:spacing w:line="360" w:lineRule="exact"/>
        <w:rPr>
          <w:rFonts w:asciiTheme="minorEastAsia" w:hAnsiTheme="minorEastAsia" w:eastAsiaTheme="minorEastAsia" w:cstheme="minorEastAsia"/>
          <w:bCs/>
          <w:color w:val="000000"/>
          <w:szCs w:val="21"/>
        </w:rPr>
      </w:pPr>
      <w:r>
        <w:rPr>
          <w:rFonts w:ascii="Times New Roman" w:hAnsi="Times New Roman" w:cs="Times New Roman" w:eastAsiaTheme="minorEastAsia"/>
          <w:color w:val="000000"/>
          <w:szCs w:val="21"/>
        </w:rPr>
        <w:t>8.4.2</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bCs/>
          <w:color w:val="000000"/>
          <w:szCs w:val="21"/>
        </w:rPr>
        <w:t xml:space="preserve"> 扩大头锚杆采用高压喷射扩孔施工，最后一遍扩孔采用水泥浆喷射注浆的，当符合上一条第1款和第3款的规定时，可以不再进行锚孔注浆。</w:t>
      </w:r>
    </w:p>
    <w:p>
      <w:pPr>
        <w:pStyle w:val="3"/>
        <w:spacing w:before="312" w:beforeLines="100" w:after="156" w:afterLines="50"/>
        <w:rPr>
          <w:rFonts w:asciiTheme="minorEastAsia" w:hAnsiTheme="minorEastAsia" w:eastAsiaTheme="minorEastAsia" w:cstheme="minorEastAsia"/>
        </w:rPr>
      </w:pPr>
      <w:bookmarkStart w:id="362" w:name="_Toc17741"/>
      <w:bookmarkStart w:id="363" w:name="_Toc32273"/>
      <w:bookmarkStart w:id="364" w:name="_Toc8266"/>
      <w:bookmarkStart w:id="365" w:name="_Toc23769"/>
      <w:bookmarkStart w:id="366" w:name="_Toc20178"/>
      <w:bookmarkStart w:id="367" w:name="_Toc17721"/>
      <w:bookmarkStart w:id="368" w:name="_Toc10426"/>
      <w:r>
        <w:rPr>
          <w:rFonts w:hint="eastAsia" w:asciiTheme="minorEastAsia" w:hAnsiTheme="minorEastAsia" w:eastAsiaTheme="minorEastAsia" w:cstheme="minorEastAsia"/>
        </w:rPr>
        <w:t>8.5  下锚</w:t>
      </w:r>
      <w:bookmarkEnd w:id="362"/>
      <w:bookmarkEnd w:id="363"/>
      <w:bookmarkEnd w:id="364"/>
      <w:bookmarkEnd w:id="365"/>
      <w:bookmarkEnd w:id="366"/>
      <w:bookmarkEnd w:id="367"/>
      <w:bookmarkEnd w:id="368"/>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8.5.1</w:t>
      </w:r>
      <w:r>
        <w:rPr>
          <w:rFonts w:hint="eastAsia" w:asciiTheme="minorEastAsia" w:hAnsiTheme="minorEastAsia" w:eastAsiaTheme="minorEastAsia" w:cstheme="minorEastAsia"/>
          <w:color w:val="000000"/>
          <w:szCs w:val="21"/>
        </w:rPr>
        <w:t xml:space="preserve">  下锚前应检查囊袋与锚杆杆体安装连接是否牢固，杆体防腐是否符合设计图纸的规定，注浆管与囊袋引浆管接头是否连接可靠，排气管与排气管接口是否连接可靠。</w:t>
      </w:r>
    </w:p>
    <w:p>
      <w:pPr>
        <w:spacing w:line="360" w:lineRule="exac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 xml:space="preserve">8.5.2 </w:t>
      </w:r>
      <w:r>
        <w:rPr>
          <w:rFonts w:hint="eastAsia" w:asciiTheme="minorEastAsia" w:hAnsiTheme="minorEastAsia" w:eastAsiaTheme="minorEastAsia" w:cstheme="minorEastAsia"/>
          <w:color w:val="000000"/>
          <w:szCs w:val="21"/>
        </w:rPr>
        <w:t xml:space="preserve"> 锚孔注浆完成后应立即下锚。下锚时，锚孔内必须充满水泥浆液，否则不得下锚。锚孔内水泥浆液液面低于孔口300mm以上时，应先补浆至孔口并观察孔内浆液液面是否稳定，当浆液液面稳定后方可下锚。</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8.5.3 </w:t>
      </w:r>
      <w:r>
        <w:rPr>
          <w:rFonts w:hint="eastAsia" w:asciiTheme="minorEastAsia" w:hAnsiTheme="minorEastAsia" w:eastAsiaTheme="minorEastAsia" w:cstheme="minorEastAsia"/>
          <w:color w:val="000000"/>
          <w:szCs w:val="21"/>
        </w:rPr>
        <w:t xml:space="preserve"> 锚杆杆体放入锚孔应符合下列规定：</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color w:val="000000"/>
          <w:szCs w:val="21"/>
        </w:rPr>
        <w:t xml:space="preserve">  注浆管和排气管应随杆体一同放入锚孔；应防止扭结和弯曲；</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color w:val="000000"/>
          <w:szCs w:val="21"/>
        </w:rPr>
        <w:t xml:space="preserve">  安放杆体时，不得损坏防腐层，不得损坏囊袋，不得损坏注浆管和排气管；</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color w:val="000000"/>
          <w:szCs w:val="21"/>
        </w:rPr>
        <w:t xml:space="preserve">  锚杆杆体插入孔内的深度不应小于设计长度；杆体角度偏差不应大于2%；</w:t>
      </w:r>
    </w:p>
    <w:p>
      <w:pPr>
        <w:spacing w:line="360" w:lineRule="exact"/>
        <w:ind w:firstLine="420" w:firstLineChars="200"/>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color w:val="000000"/>
          <w:szCs w:val="21"/>
        </w:rPr>
        <w:t xml:space="preserve"> 杆体安放到位后，注浆管和排气管出露在锚孔孔口外的长度不应小于200mm。</w:t>
      </w:r>
    </w:p>
    <w:p>
      <w:pPr>
        <w:pStyle w:val="3"/>
        <w:spacing w:before="312" w:beforeLines="100" w:after="156" w:afterLines="50"/>
        <w:rPr>
          <w:rFonts w:asciiTheme="minorEastAsia" w:hAnsiTheme="minorEastAsia" w:eastAsiaTheme="minorEastAsia" w:cstheme="minorEastAsia"/>
        </w:rPr>
      </w:pPr>
      <w:bookmarkStart w:id="369" w:name="_Toc16753"/>
      <w:bookmarkStart w:id="370" w:name="_Toc29743"/>
      <w:bookmarkStart w:id="371" w:name="_Toc16039"/>
      <w:bookmarkStart w:id="372" w:name="_Toc25840"/>
      <w:bookmarkStart w:id="373" w:name="_Toc20398"/>
      <w:bookmarkStart w:id="374" w:name="_Toc11103"/>
      <w:bookmarkStart w:id="375" w:name="_Toc26048"/>
      <w:r>
        <w:rPr>
          <w:rFonts w:hint="eastAsia" w:asciiTheme="minorEastAsia" w:hAnsiTheme="minorEastAsia" w:eastAsiaTheme="minorEastAsia" w:cstheme="minorEastAsia"/>
        </w:rPr>
        <w:t>8.6  囊袋注浆与监控</w:t>
      </w:r>
      <w:bookmarkEnd w:id="369"/>
      <w:bookmarkEnd w:id="370"/>
      <w:bookmarkEnd w:id="371"/>
      <w:bookmarkEnd w:id="372"/>
      <w:bookmarkEnd w:id="373"/>
      <w:bookmarkEnd w:id="374"/>
      <w:bookmarkEnd w:id="375"/>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8.6.1</w:t>
      </w:r>
      <w:r>
        <w:rPr>
          <w:rFonts w:hint="eastAsia" w:asciiTheme="minorEastAsia" w:hAnsiTheme="minorEastAsia" w:eastAsiaTheme="minorEastAsia" w:cstheme="minorEastAsia"/>
          <w:bCs/>
          <w:color w:val="000000"/>
          <w:szCs w:val="21"/>
        </w:rPr>
        <w:t xml:space="preserve">  下锚后应立即对囊袋注浆。囊袋注浆应符合下列规定：</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囊袋注浆应采用纯水泥浆或者水泥砂浆。采用纯水泥浆的，水灰比应为0.4～0.6。采用水泥砂浆的，应进行现场配比试验，检验浆液流动性和浆体强度确保达到施工工艺和设计要求；</w:t>
      </w:r>
    </w:p>
    <w:p>
      <w:pPr>
        <w:spacing w:line="360" w:lineRule="exact"/>
        <w:ind w:firstLine="525" w:firstLineChars="25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Cs/>
          <w:color w:val="000000"/>
          <w:szCs w:val="21"/>
        </w:rPr>
        <w:t xml:space="preserve"> 配浆和注浆时，应采用密度计测量浆液容重确保大于18.2KN/m</w:t>
      </w:r>
      <w:r>
        <w:rPr>
          <w:rFonts w:hint="eastAsia" w:asciiTheme="minorEastAsia" w:hAnsiTheme="minorEastAsia" w:eastAsiaTheme="minorEastAsia" w:cstheme="minorEastAsia"/>
          <w:bCs/>
          <w:color w:val="000000"/>
          <w:szCs w:val="21"/>
          <w:vertAlign w:val="superscript"/>
        </w:rPr>
        <w:t>3</w:t>
      </w:r>
      <w:r>
        <w:rPr>
          <w:rFonts w:hint="eastAsia" w:asciiTheme="minorEastAsia" w:hAnsiTheme="minorEastAsia" w:eastAsiaTheme="minorEastAsia" w:cstheme="minorEastAsia"/>
          <w:bCs/>
          <w:color w:val="000000"/>
          <w:szCs w:val="21"/>
        </w:rPr>
        <w:t>；</w:t>
      </w:r>
    </w:p>
    <w:p>
      <w:pPr>
        <w:spacing w:line="360" w:lineRule="exact"/>
        <w:ind w:firstLine="525" w:firstLineChars="25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Cs/>
          <w:color w:val="000000"/>
          <w:szCs w:val="21"/>
        </w:rPr>
        <w:t xml:space="preserve"> 注浆管路上应安装囊袋注浆监控仪，注浆时应全程监控囊袋张开直径；</w:t>
      </w:r>
    </w:p>
    <w:p>
      <w:pPr>
        <w:spacing w:line="360" w:lineRule="exact"/>
        <w:ind w:firstLine="525" w:firstLineChars="25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bCs/>
          <w:color w:val="000000"/>
          <w:szCs w:val="21"/>
        </w:rPr>
        <w:t xml:space="preserve"> 注浆时应观察排气管排气、排水、排浆情况；</w:t>
      </w:r>
    </w:p>
    <w:p>
      <w:pPr>
        <w:spacing w:line="360" w:lineRule="exact"/>
        <w:ind w:firstLine="525" w:firstLineChars="25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5</w:t>
      </w:r>
      <w:r>
        <w:rPr>
          <w:rFonts w:hint="eastAsia" w:asciiTheme="minorEastAsia" w:hAnsiTheme="minorEastAsia" w:eastAsiaTheme="minorEastAsia" w:cstheme="minorEastAsia"/>
          <w:bCs/>
          <w:color w:val="000000"/>
          <w:szCs w:val="21"/>
        </w:rPr>
        <w:t xml:space="preserve">  注浆监控仪显示囊袋张开直径达到设计值，且袋内空气和水排放干净后方可停止注浆；</w:t>
      </w:r>
    </w:p>
    <w:p>
      <w:pPr>
        <w:spacing w:line="360" w:lineRule="exact"/>
        <w:ind w:firstLine="525" w:firstLineChars="25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6  </w:t>
      </w:r>
      <w:r>
        <w:rPr>
          <w:rFonts w:hint="eastAsia" w:asciiTheme="minorEastAsia" w:hAnsiTheme="minorEastAsia" w:eastAsiaTheme="minorEastAsia" w:cstheme="minorEastAsia"/>
          <w:bCs/>
          <w:color w:val="000000"/>
          <w:szCs w:val="21"/>
        </w:rPr>
        <w:t>停止注浆后应由注浆监控仪打印注浆记录。</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8.6.2 </w:t>
      </w:r>
      <w:r>
        <w:rPr>
          <w:rFonts w:hint="eastAsia" w:asciiTheme="minorEastAsia" w:hAnsiTheme="minorEastAsia" w:eastAsiaTheme="minorEastAsia" w:cstheme="minorEastAsia"/>
          <w:bCs/>
          <w:color w:val="000000"/>
          <w:szCs w:val="21"/>
        </w:rPr>
        <w:t xml:space="preserve"> 锚孔注浆和囊袋注浆均应采用强度等级不低于42.5的普通硅酸盐水泥。囊袋注浆浆液的容重必须大于锚孔注浆浆液的容重。</w:t>
      </w:r>
    </w:p>
    <w:p>
      <w:pPr>
        <w:spacing w:line="36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rPr>
        <w:t>8.6.3</w:t>
      </w:r>
      <w:r>
        <w:rPr>
          <w:rFonts w:hint="eastAsia" w:asciiTheme="minorEastAsia" w:hAnsiTheme="minorEastAsia" w:eastAsiaTheme="minorEastAsia" w:cstheme="minorEastAsia"/>
          <w:bCs/>
          <w:color w:val="000000"/>
          <w:szCs w:val="21"/>
        </w:rPr>
        <w:t xml:space="preserve">  锚孔注浆浆体的28天抗压强度不应小于25MPa,囊袋注浆浆体的28天抗压强度不宜小于40MPa。浆体强度检验用的试块每30根锚杆一组或每天</w:t>
      </w:r>
      <w:r>
        <w:rPr>
          <w:rFonts w:hint="eastAsia" w:asciiTheme="minorEastAsia" w:hAnsiTheme="minorEastAsia" w:eastAsiaTheme="minorEastAsia" w:cstheme="minorEastAsia"/>
          <w:color w:val="000000"/>
          <w:szCs w:val="21"/>
        </w:rPr>
        <w:t>不少于一组，每组不应少于6个试块。</w:t>
      </w:r>
    </w:p>
    <w:p>
      <w:pPr>
        <w:pStyle w:val="3"/>
        <w:spacing w:before="312" w:beforeLines="100" w:after="156" w:afterLines="50"/>
        <w:rPr>
          <w:rFonts w:asciiTheme="minorEastAsia" w:hAnsiTheme="minorEastAsia" w:eastAsiaTheme="minorEastAsia" w:cstheme="minorEastAsia"/>
        </w:rPr>
      </w:pPr>
      <w:bookmarkStart w:id="376" w:name="_Toc23544"/>
      <w:bookmarkStart w:id="377" w:name="_Toc7571"/>
      <w:bookmarkStart w:id="378" w:name="_Toc21257"/>
      <w:bookmarkStart w:id="379" w:name="_Toc6500"/>
      <w:bookmarkStart w:id="380" w:name="_Toc1508"/>
      <w:bookmarkStart w:id="381" w:name="_Toc13340"/>
      <w:bookmarkStart w:id="382" w:name="_Toc9441"/>
      <w:r>
        <w:rPr>
          <w:rFonts w:hint="eastAsia" w:asciiTheme="minorEastAsia" w:hAnsiTheme="minorEastAsia" w:eastAsiaTheme="minorEastAsia" w:cstheme="minorEastAsia"/>
        </w:rPr>
        <w:t>8.7  张拉和锁定</w:t>
      </w:r>
      <w:bookmarkEnd w:id="376"/>
      <w:bookmarkEnd w:id="377"/>
      <w:bookmarkEnd w:id="378"/>
      <w:bookmarkEnd w:id="379"/>
      <w:bookmarkEnd w:id="380"/>
      <w:bookmarkEnd w:id="381"/>
      <w:bookmarkEnd w:id="382"/>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8.7.1</w:t>
      </w:r>
      <w:r>
        <w:rPr>
          <w:rFonts w:hint="eastAsia" w:asciiTheme="minorEastAsia" w:hAnsiTheme="minorEastAsia" w:eastAsiaTheme="minorEastAsia" w:cstheme="minorEastAsia"/>
          <w:bCs/>
          <w:color w:val="000000"/>
          <w:szCs w:val="21"/>
        </w:rPr>
        <w:t xml:space="preserve">  笼芯囊锚杆用作预应力锚杆时，其张拉和锁定应符合下列规定：</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bCs/>
          <w:color w:val="000000"/>
          <w:szCs w:val="21"/>
        </w:rPr>
        <w:t xml:space="preserve"> 外部承载构件的承压面应平整，并与锚杆轴线方向垂直；</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2 </w:t>
      </w:r>
      <w:r>
        <w:rPr>
          <w:rFonts w:hint="eastAsia" w:asciiTheme="minorEastAsia" w:hAnsiTheme="minorEastAsia" w:eastAsiaTheme="minorEastAsia" w:cstheme="minorEastAsia"/>
          <w:bCs/>
          <w:color w:val="000000"/>
          <w:szCs w:val="21"/>
        </w:rPr>
        <w:t xml:space="preserve"> 锚杆张拉前应对张拉设备进行标定；</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3 </w:t>
      </w:r>
      <w:r>
        <w:rPr>
          <w:rFonts w:hint="eastAsia" w:asciiTheme="minorEastAsia" w:hAnsiTheme="minorEastAsia" w:eastAsiaTheme="minorEastAsia" w:cstheme="minorEastAsia"/>
          <w:bCs/>
          <w:color w:val="000000"/>
          <w:szCs w:val="21"/>
        </w:rPr>
        <w:t xml:space="preserve"> 锚杆张拉应在同批次锚杆验收试验合格后，且承载构件的混凝土抗压强度值不低于设计要求时进行；</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4</w:t>
      </w:r>
      <w:r>
        <w:rPr>
          <w:rFonts w:hint="eastAsia" w:asciiTheme="minorEastAsia" w:hAnsiTheme="minorEastAsia" w:eastAsiaTheme="minorEastAsia" w:cstheme="minorEastAsia"/>
          <w:bCs/>
          <w:color w:val="000000"/>
          <w:szCs w:val="21"/>
        </w:rPr>
        <w:t xml:space="preserve">  杆体为钢绞线的，锚杆正式张拉前，应取0.1～0.2倍抗拔力特征值</w:t>
      </w:r>
      <w:r>
        <w:rPr>
          <w:rFonts w:ascii="Times New Roman" w:hAnsi="Times New Roman" w:cs="Times New Roman" w:eastAsiaTheme="minorEastAsia"/>
          <w:bCs/>
          <w:i/>
          <w:color w:val="000000"/>
          <w:szCs w:val="21"/>
        </w:rPr>
        <w:t>T</w:t>
      </w:r>
      <w:r>
        <w:rPr>
          <w:rFonts w:ascii="Times New Roman" w:hAnsi="Times New Roman" w:cs="Times New Roman" w:eastAsiaTheme="minorEastAsia"/>
          <w:bCs/>
          <w:i/>
          <w:color w:val="000000"/>
          <w:szCs w:val="21"/>
          <w:vertAlign w:val="subscript"/>
        </w:rPr>
        <w:t>ak</w:t>
      </w:r>
      <w:r>
        <w:rPr>
          <w:rFonts w:hint="eastAsia" w:asciiTheme="minorEastAsia" w:hAnsiTheme="minorEastAsia" w:eastAsiaTheme="minorEastAsia" w:cstheme="minorEastAsia"/>
          <w:bCs/>
          <w:color w:val="000000"/>
          <w:szCs w:val="21"/>
        </w:rPr>
        <w:t>对锚杆预张拉1～2次，每次均应松开锚具工具夹片调平钢绞线后重新安装夹片，使杆体完全平顺，各股钢绞线受力均匀；</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5</w:t>
      </w:r>
      <w:r>
        <w:rPr>
          <w:rFonts w:hint="eastAsia" w:asciiTheme="minorEastAsia" w:hAnsiTheme="minorEastAsia" w:eastAsiaTheme="minorEastAsia" w:cstheme="minorEastAsia"/>
          <w:bCs/>
          <w:color w:val="000000"/>
          <w:szCs w:val="21"/>
        </w:rPr>
        <w:t xml:space="preserve">  杆体为钢绞线的，应采用符合《预应力筋用锚具、夹具和连接器》GB/T14370和设计要求的锚具；杆体为预应力混凝土用螺纹钢筋的，应采用与杆体钢筋匹配成套的螺母锚具。</w:t>
      </w:r>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8.7.2</w:t>
      </w:r>
      <w:r>
        <w:rPr>
          <w:rFonts w:hint="eastAsia" w:asciiTheme="minorEastAsia" w:hAnsiTheme="minorEastAsia" w:eastAsiaTheme="minorEastAsia" w:cstheme="minorEastAsia"/>
          <w:bCs/>
          <w:color w:val="000000"/>
          <w:szCs w:val="21"/>
        </w:rPr>
        <w:t xml:space="preserve">  锚杆张拉至</w:t>
      </w:r>
      <w:r>
        <w:rPr>
          <w:rFonts w:ascii="Times New Roman" w:hAnsi="Times New Roman" w:cs="Times New Roman" w:eastAsiaTheme="minorEastAsia"/>
          <w:bCs/>
          <w:color w:val="000000"/>
          <w:szCs w:val="21"/>
        </w:rPr>
        <w:t>1.00</w:t>
      </w:r>
      <w:r>
        <w:rPr>
          <w:rFonts w:ascii="Times New Roman" w:hAnsi="Times New Roman" w:cs="Times New Roman" w:eastAsiaTheme="minorEastAsia"/>
          <w:bCs/>
          <w:i/>
          <w:color w:val="000000"/>
          <w:szCs w:val="21"/>
        </w:rPr>
        <w:t>T</w:t>
      </w:r>
      <w:r>
        <w:rPr>
          <w:rFonts w:ascii="Times New Roman" w:hAnsi="Times New Roman" w:cs="Times New Roman" w:eastAsiaTheme="minorEastAsia"/>
          <w:bCs/>
          <w:i/>
          <w:color w:val="000000"/>
          <w:szCs w:val="21"/>
          <w:vertAlign w:val="subscript"/>
        </w:rPr>
        <w:t>ak</w:t>
      </w:r>
      <w:r>
        <w:rPr>
          <w:rFonts w:ascii="Times New Roman" w:hAnsi="Times New Roman" w:cs="Times New Roman" w:eastAsiaTheme="minorEastAsia"/>
          <w:bCs/>
          <w:i/>
          <w:color w:val="000000"/>
          <w:szCs w:val="21"/>
        </w:rPr>
        <w:t>～</w:t>
      </w:r>
      <w:r>
        <w:rPr>
          <w:rFonts w:ascii="Times New Roman" w:hAnsi="Times New Roman" w:cs="Times New Roman" w:eastAsiaTheme="minorEastAsia"/>
          <w:bCs/>
          <w:color w:val="000000"/>
          <w:szCs w:val="21"/>
        </w:rPr>
        <w:t>1.20</w:t>
      </w:r>
      <w:r>
        <w:rPr>
          <w:rFonts w:ascii="Times New Roman" w:hAnsi="Times New Roman" w:cs="Times New Roman" w:eastAsiaTheme="minorEastAsia"/>
          <w:bCs/>
          <w:i/>
          <w:color w:val="000000"/>
          <w:szCs w:val="21"/>
        </w:rPr>
        <w:t>T</w:t>
      </w:r>
      <w:r>
        <w:rPr>
          <w:rFonts w:ascii="Times New Roman" w:hAnsi="Times New Roman" w:cs="Times New Roman" w:eastAsiaTheme="minorEastAsia"/>
          <w:bCs/>
          <w:i/>
          <w:color w:val="000000"/>
          <w:szCs w:val="21"/>
          <w:vertAlign w:val="subscript"/>
        </w:rPr>
        <w:t>ak</w:t>
      </w:r>
      <w:r>
        <w:rPr>
          <w:rFonts w:hint="eastAsia" w:asciiTheme="minorEastAsia" w:hAnsiTheme="minorEastAsia" w:eastAsiaTheme="minorEastAsia" w:cstheme="minorEastAsia"/>
          <w:bCs/>
          <w:color w:val="000000"/>
          <w:szCs w:val="21"/>
        </w:rPr>
        <w:t>时，对砂性土层应持荷10min，对</w:t>
      </w:r>
      <w:r>
        <w:rPr>
          <w:rFonts w:hint="eastAsia" w:asciiTheme="minorEastAsia" w:hAnsiTheme="minorEastAsia" w:eastAsiaTheme="minorEastAsia" w:cstheme="minorEastAsia"/>
          <w:bCs/>
          <w:color w:val="000000"/>
          <w:szCs w:val="21"/>
          <w:lang w:eastAsia="zh-CN"/>
        </w:rPr>
        <w:t>黏</w:t>
      </w:r>
      <w:r>
        <w:rPr>
          <w:rFonts w:hint="eastAsia" w:asciiTheme="minorEastAsia" w:hAnsiTheme="minorEastAsia" w:eastAsiaTheme="minorEastAsia" w:cstheme="minorEastAsia"/>
          <w:bCs/>
          <w:color w:val="000000"/>
          <w:szCs w:val="21"/>
        </w:rPr>
        <w:t>性土层应持荷15min，然后卸荷至设计要求的张拉锁定值进行锁定。锚杆张拉荷载的分级和位移观测时间应按表8.7.2的规定。</w:t>
      </w:r>
    </w:p>
    <w:p>
      <w:pPr>
        <w:rPr>
          <w:rFonts w:asciiTheme="minorEastAsia" w:hAnsiTheme="minorEastAsia" w:eastAsiaTheme="minorEastAsia" w:cstheme="minorEastAsia"/>
          <w:b/>
          <w:color w:val="000000"/>
          <w:szCs w:val="21"/>
        </w:rPr>
      </w:pPr>
    </w:p>
    <w:p>
      <w:pPr>
        <w:spacing w:line="360" w:lineRule="auto"/>
        <w:jc w:val="center"/>
        <w:rPr>
          <w:rFonts w:ascii="黑体" w:hAnsi="黑体" w:eastAsia="黑体" w:cs="黑体"/>
          <w:bCs/>
          <w:color w:val="000000"/>
          <w:sz w:val="18"/>
          <w:szCs w:val="18"/>
        </w:rPr>
      </w:pPr>
      <w:r>
        <w:rPr>
          <w:rFonts w:hint="eastAsia" w:ascii="黑体" w:hAnsi="黑体" w:eastAsia="黑体" w:cs="黑体"/>
          <w:bCs/>
          <w:color w:val="000000"/>
          <w:sz w:val="18"/>
          <w:szCs w:val="18"/>
        </w:rPr>
        <w:t>表</w:t>
      </w:r>
      <w:r>
        <w:rPr>
          <w:rFonts w:hint="eastAsia" w:ascii="黑体" w:hAnsi="黑体" w:eastAsia="黑体" w:cs="黑体"/>
          <w:bCs/>
          <w:sz w:val="18"/>
          <w:szCs w:val="18"/>
        </w:rPr>
        <w:t>8. 7. 2</w:t>
      </w:r>
      <w:r>
        <w:rPr>
          <w:rFonts w:hint="eastAsia" w:ascii="黑体" w:hAnsi="黑体" w:eastAsia="黑体" w:cs="黑体"/>
          <w:bCs/>
          <w:color w:val="000000"/>
          <w:sz w:val="18"/>
          <w:szCs w:val="18"/>
        </w:rPr>
        <w:t xml:space="preserve">  锚杆张拉荷载分级和位移观测时间</w:t>
      </w:r>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1814"/>
        <w:gridCol w:w="1276"/>
        <w:gridCol w:w="847"/>
        <w:gridCol w:w="190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82" w:hRule="exact"/>
          <w:jc w:val="center"/>
        </w:trPr>
        <w:tc>
          <w:tcPr>
            <w:tcW w:w="1814" w:type="dxa"/>
            <w:vMerge w:val="restart"/>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荷 载 分 级</w:t>
            </w:r>
          </w:p>
        </w:tc>
        <w:tc>
          <w:tcPr>
            <w:tcW w:w="2123" w:type="dxa"/>
            <w:gridSpan w:val="2"/>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位移观测时间（min）</w:t>
            </w:r>
          </w:p>
        </w:tc>
        <w:tc>
          <w:tcPr>
            <w:tcW w:w="1901" w:type="dxa"/>
            <w:vMerge w:val="restart"/>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加荷速率（kN/min）</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562" w:hRule="exact"/>
          <w:jc w:val="center"/>
        </w:trPr>
        <w:tc>
          <w:tcPr>
            <w:tcW w:w="1814" w:type="dxa"/>
            <w:vMerge w:val="continue"/>
            <w:vAlign w:val="center"/>
          </w:tcPr>
          <w:p>
            <w:pPr>
              <w:spacing w:line="240" w:lineRule="exact"/>
              <w:jc w:val="center"/>
              <w:rPr>
                <w:rFonts w:asciiTheme="minorEastAsia" w:hAnsiTheme="minorEastAsia" w:eastAsiaTheme="minorEastAsia" w:cstheme="minorEastAsia"/>
                <w:color w:val="000000"/>
                <w:sz w:val="18"/>
                <w:szCs w:val="18"/>
              </w:rPr>
            </w:pPr>
          </w:p>
        </w:tc>
        <w:tc>
          <w:tcPr>
            <w:tcW w:w="1276" w:type="dxa"/>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岩层、砂土层</w:t>
            </w:r>
          </w:p>
        </w:tc>
        <w:tc>
          <w:tcPr>
            <w:tcW w:w="847" w:type="dxa"/>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粘性</w:t>
            </w:r>
          </w:p>
          <w:p>
            <w:pPr>
              <w:spacing w:line="240" w:lineRule="exact"/>
              <w:jc w:val="center"/>
              <w:rPr>
                <w:rFonts w:asciiTheme="minorEastAsia" w:hAnsiTheme="minorEastAsia" w:eastAsiaTheme="minorEastAsia" w:cstheme="minorEastAsia"/>
                <w:color w:val="000000"/>
                <w:sz w:val="15"/>
                <w:szCs w:val="15"/>
              </w:rPr>
            </w:pPr>
            <w:r>
              <w:rPr>
                <w:rFonts w:hint="eastAsia" w:asciiTheme="minorEastAsia" w:hAnsiTheme="minorEastAsia" w:eastAsiaTheme="minorEastAsia" w:cstheme="minorEastAsia"/>
                <w:color w:val="000000"/>
                <w:sz w:val="18"/>
                <w:szCs w:val="18"/>
              </w:rPr>
              <w:t>土层</w:t>
            </w:r>
          </w:p>
        </w:tc>
        <w:tc>
          <w:tcPr>
            <w:tcW w:w="1901" w:type="dxa"/>
            <w:vMerge w:val="continue"/>
            <w:vAlign w:val="center"/>
          </w:tcPr>
          <w:p>
            <w:pPr>
              <w:widowControl/>
              <w:spacing w:line="240" w:lineRule="exact"/>
              <w:jc w:val="center"/>
              <w:rPr>
                <w:rFonts w:asciiTheme="minorEastAsia" w:hAnsiTheme="minorEastAsia" w:eastAsiaTheme="minorEastAsia" w:cstheme="minorEastAsia"/>
                <w:color w:val="000000"/>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25" w:hRule="exact"/>
          <w:jc w:val="center"/>
        </w:trPr>
        <w:tc>
          <w:tcPr>
            <w:tcW w:w="1814"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0.10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r>
              <w:rPr>
                <w:rFonts w:ascii="Times New Roman" w:hAnsi="Times New Roman" w:cs="Times New Roman" w:eastAsiaTheme="minorEastAsia"/>
                <w:color w:val="000000"/>
                <w:sz w:val="18"/>
                <w:szCs w:val="18"/>
              </w:rPr>
              <w:t>～0.20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p>
        </w:tc>
        <w:tc>
          <w:tcPr>
            <w:tcW w:w="1276"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w:t>
            </w:r>
          </w:p>
        </w:tc>
        <w:tc>
          <w:tcPr>
            <w:tcW w:w="847"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2</w:t>
            </w:r>
          </w:p>
        </w:tc>
        <w:tc>
          <w:tcPr>
            <w:tcW w:w="1901" w:type="dxa"/>
            <w:vMerge w:val="restart"/>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不大于100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25" w:hRule="exact"/>
          <w:jc w:val="center"/>
        </w:trPr>
        <w:tc>
          <w:tcPr>
            <w:tcW w:w="1814"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0.50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p>
        </w:tc>
        <w:tc>
          <w:tcPr>
            <w:tcW w:w="1276"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847"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1901" w:type="dxa"/>
            <w:vMerge w:val="continue"/>
            <w:vAlign w:val="center"/>
          </w:tcPr>
          <w:p>
            <w:pPr>
              <w:spacing w:line="240" w:lineRule="exact"/>
              <w:jc w:val="center"/>
              <w:rPr>
                <w:rFonts w:asciiTheme="minorEastAsia" w:hAnsiTheme="minorEastAsia" w:eastAsiaTheme="minorEastAsia" w:cstheme="minorEastAsia"/>
                <w:color w:val="000000"/>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25" w:hRule="exact"/>
          <w:jc w:val="center"/>
        </w:trPr>
        <w:tc>
          <w:tcPr>
            <w:tcW w:w="1814"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0.75</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p>
        </w:tc>
        <w:tc>
          <w:tcPr>
            <w:tcW w:w="1276"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847"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1901" w:type="dxa"/>
            <w:vMerge w:val="continue"/>
            <w:vAlign w:val="center"/>
          </w:tcPr>
          <w:p>
            <w:pPr>
              <w:spacing w:line="240" w:lineRule="exact"/>
              <w:jc w:val="center"/>
              <w:rPr>
                <w:rFonts w:asciiTheme="minorEastAsia" w:hAnsiTheme="minorEastAsia" w:eastAsiaTheme="minorEastAsia" w:cstheme="minorEastAsia"/>
                <w:color w:val="000000"/>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25" w:hRule="exact"/>
          <w:jc w:val="center"/>
        </w:trPr>
        <w:tc>
          <w:tcPr>
            <w:tcW w:w="1814"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p>
        </w:tc>
        <w:tc>
          <w:tcPr>
            <w:tcW w:w="1276"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5</w:t>
            </w:r>
          </w:p>
        </w:tc>
        <w:tc>
          <w:tcPr>
            <w:tcW w:w="847"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c>
          <w:tcPr>
            <w:tcW w:w="1901" w:type="dxa"/>
            <w:vMerge w:val="restart"/>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不大于50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cantSplit/>
          <w:trHeight w:val="425" w:hRule="exact"/>
          <w:jc w:val="center"/>
        </w:trPr>
        <w:tc>
          <w:tcPr>
            <w:tcW w:w="1814"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1.10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r>
              <w:rPr>
                <w:rFonts w:ascii="Times New Roman" w:hAnsi="Times New Roman" w:cs="Times New Roman" w:eastAsiaTheme="minorEastAsia"/>
                <w:color w:val="000000"/>
                <w:sz w:val="18"/>
                <w:szCs w:val="18"/>
              </w:rPr>
              <w:t>～1.20</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p>
        </w:tc>
        <w:tc>
          <w:tcPr>
            <w:tcW w:w="1276"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10</w:t>
            </w:r>
          </w:p>
        </w:tc>
        <w:tc>
          <w:tcPr>
            <w:tcW w:w="847" w:type="dxa"/>
            <w:vAlign w:val="center"/>
          </w:tcPr>
          <w:p>
            <w:pPr>
              <w:spacing w:line="240" w:lineRule="exact"/>
              <w:jc w:val="center"/>
              <w:rPr>
                <w:rFonts w:ascii="Times New Roman" w:hAnsi="Times New Roman" w:cs="Times New Roman" w:eastAsiaTheme="minorEastAsia"/>
                <w:color w:val="000000"/>
                <w:sz w:val="18"/>
                <w:szCs w:val="18"/>
              </w:rPr>
            </w:pPr>
            <w:r>
              <w:rPr>
                <w:rFonts w:ascii="Times New Roman" w:hAnsi="Times New Roman" w:cs="Times New Roman" w:eastAsiaTheme="minorEastAsia"/>
                <w:color w:val="000000"/>
                <w:sz w:val="18"/>
                <w:szCs w:val="18"/>
              </w:rPr>
              <w:t>15</w:t>
            </w:r>
          </w:p>
        </w:tc>
        <w:tc>
          <w:tcPr>
            <w:tcW w:w="1901" w:type="dxa"/>
            <w:vMerge w:val="continue"/>
            <w:vAlign w:val="center"/>
          </w:tcPr>
          <w:p>
            <w:pPr>
              <w:spacing w:line="240" w:lineRule="exact"/>
              <w:jc w:val="center"/>
              <w:rPr>
                <w:rFonts w:asciiTheme="minorEastAsia" w:hAnsiTheme="minorEastAsia" w:eastAsiaTheme="minorEastAsia" w:cstheme="minorEastAsia"/>
                <w:color w:val="000000"/>
                <w:sz w:val="18"/>
                <w:szCs w:val="18"/>
              </w:rPr>
            </w:pPr>
          </w:p>
        </w:tc>
      </w:tr>
    </w:tbl>
    <w:p>
      <w:pPr>
        <w:spacing w:line="360" w:lineRule="auto"/>
        <w:ind w:firstLine="180" w:firstLineChars="100"/>
        <w:jc w:val="lef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w:t>
      </w:r>
      <w:r>
        <w:rPr>
          <w:rFonts w:ascii="Times New Roman" w:hAnsi="Times New Roman" w:cs="Times New Roman" w:eastAsiaTheme="minorEastAsia"/>
          <w:i/>
          <w:color w:val="000000"/>
          <w:sz w:val="18"/>
          <w:szCs w:val="18"/>
        </w:rPr>
        <w:t>T</w:t>
      </w:r>
      <w:r>
        <w:rPr>
          <w:rFonts w:ascii="Times New Roman" w:hAnsi="Times New Roman" w:cs="Times New Roman" w:eastAsiaTheme="minorEastAsia"/>
          <w:color w:val="000000"/>
          <w:sz w:val="18"/>
          <w:szCs w:val="18"/>
          <w:vertAlign w:val="subscript"/>
        </w:rPr>
        <w:t>ak</w:t>
      </w:r>
      <w:r>
        <w:rPr>
          <w:rFonts w:hint="eastAsia" w:asciiTheme="minorEastAsia" w:hAnsiTheme="minorEastAsia" w:eastAsiaTheme="minorEastAsia" w:cstheme="minorEastAsia"/>
          <w:color w:val="000000"/>
          <w:sz w:val="18"/>
          <w:szCs w:val="18"/>
        </w:rPr>
        <w:t>—锚杆抗拔力特征值。</w:t>
      </w:r>
    </w:p>
    <w:p>
      <w:pPr>
        <w:spacing w:line="360" w:lineRule="exact"/>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8.7.3 </w:t>
      </w:r>
      <w:r>
        <w:rPr>
          <w:rFonts w:hint="eastAsia" w:asciiTheme="minorEastAsia" w:hAnsiTheme="minorEastAsia" w:eastAsiaTheme="minorEastAsia" w:cstheme="minorEastAsia"/>
          <w:bCs/>
          <w:color w:val="000000"/>
          <w:szCs w:val="21"/>
        </w:rPr>
        <w:t xml:space="preserve"> 抗浮预应力锚杆锁定时间的确定，应考虑现场条件和后续主体结构施工对预应力值的影响。</w:t>
      </w:r>
    </w:p>
    <w:p>
      <w:pPr>
        <w:spacing w:line="360" w:lineRule="exact"/>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8.7.4</w:t>
      </w:r>
      <w:r>
        <w:rPr>
          <w:rFonts w:hint="eastAsia" w:asciiTheme="minorEastAsia" w:hAnsiTheme="minorEastAsia" w:eastAsiaTheme="minorEastAsia" w:cstheme="minorEastAsia"/>
          <w:bCs/>
          <w:color w:val="000000"/>
          <w:szCs w:val="21"/>
        </w:rPr>
        <w:t xml:space="preserve">  基坑和边坡支护预应力锚杆的锁定，应在该层锚杆孔口高程以下土方开挖之前完成。</w:t>
      </w:r>
    </w:p>
    <w:p>
      <w:pPr>
        <w:keepNext/>
        <w:keepLines/>
        <w:outlineLvl w:val="9"/>
        <w:rPr>
          <w:rFonts w:asciiTheme="minorEastAsia" w:hAnsiTheme="minorEastAsia" w:eastAsiaTheme="minorEastAsia" w:cstheme="minorEastAsia"/>
        </w:rPr>
      </w:pPr>
      <w:bookmarkStart w:id="383" w:name="_Toc14302"/>
      <w:bookmarkStart w:id="384" w:name="_Toc10986"/>
    </w:p>
    <w:p>
      <w:pPr>
        <w:pStyle w:val="2"/>
        <w:spacing w:before="312" w:beforeLines="100" w:after="156" w:afterLines="50"/>
        <w:rPr>
          <w:rFonts w:asciiTheme="minorEastAsia" w:hAnsiTheme="minorEastAsia" w:eastAsiaTheme="minorEastAsia" w:cstheme="minorEastAsia"/>
        </w:rPr>
      </w:pPr>
      <w:bookmarkStart w:id="385" w:name="_Toc27988"/>
      <w:bookmarkStart w:id="386" w:name="_Toc32348"/>
      <w:bookmarkStart w:id="387" w:name="_Toc14799"/>
      <w:bookmarkStart w:id="388" w:name="_Toc29005"/>
      <w:bookmarkStart w:id="389" w:name="_Toc5010"/>
      <w:r>
        <w:rPr>
          <w:rFonts w:hint="eastAsia" w:asciiTheme="minorEastAsia" w:hAnsiTheme="minorEastAsia" w:eastAsiaTheme="minorEastAsia" w:cstheme="minorEastAsia"/>
        </w:rPr>
        <w:t>9  工程质量检验、验收和监测</w:t>
      </w:r>
      <w:bookmarkEnd w:id="385"/>
      <w:bookmarkEnd w:id="386"/>
      <w:bookmarkEnd w:id="387"/>
      <w:bookmarkEnd w:id="388"/>
      <w:bookmarkEnd w:id="389"/>
    </w:p>
    <w:p>
      <w:pPr>
        <w:pStyle w:val="3"/>
        <w:spacing w:before="312" w:beforeLines="100" w:after="156" w:afterLines="50"/>
        <w:rPr>
          <w:rFonts w:asciiTheme="minorEastAsia" w:hAnsiTheme="minorEastAsia" w:eastAsiaTheme="minorEastAsia" w:cstheme="minorEastAsia"/>
        </w:rPr>
      </w:pPr>
      <w:bookmarkStart w:id="390" w:name="_Toc27609"/>
      <w:bookmarkStart w:id="391" w:name="_Toc26192"/>
      <w:bookmarkStart w:id="392" w:name="_Toc22422"/>
      <w:bookmarkStart w:id="393" w:name="_Toc22706"/>
      <w:bookmarkStart w:id="394" w:name="_Toc22323"/>
      <w:r>
        <w:rPr>
          <w:rFonts w:hint="eastAsia" w:asciiTheme="minorEastAsia" w:hAnsiTheme="minorEastAsia" w:eastAsiaTheme="minorEastAsia" w:cstheme="minorEastAsia"/>
        </w:rPr>
        <w:t>9.1  工程质量检验</w:t>
      </w:r>
      <w:bookmarkEnd w:id="383"/>
      <w:bookmarkEnd w:id="384"/>
      <w:bookmarkEnd w:id="390"/>
      <w:bookmarkEnd w:id="391"/>
      <w:bookmarkEnd w:id="392"/>
      <w:bookmarkEnd w:id="393"/>
      <w:bookmarkEnd w:id="394"/>
    </w:p>
    <w:p>
      <w:pPr>
        <w:spacing w:line="360" w:lineRule="exac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9.1.1</w:t>
      </w:r>
      <w:r>
        <w:rPr>
          <w:rFonts w:hint="eastAsia" w:asciiTheme="minorEastAsia" w:hAnsiTheme="minorEastAsia" w:eastAsiaTheme="minorEastAsia" w:cstheme="minorEastAsia"/>
          <w:bCs/>
          <w:color w:val="000000"/>
          <w:szCs w:val="21"/>
        </w:rPr>
        <w:t xml:space="preserve">  笼芯囊锚杆原材料的质量检验应包括下列内容：</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1</w:t>
      </w:r>
      <w:r>
        <w:rPr>
          <w:rFonts w:hint="eastAsia" w:asciiTheme="minorEastAsia" w:hAnsiTheme="minorEastAsia" w:eastAsiaTheme="minorEastAsia" w:cstheme="minorEastAsia"/>
          <w:bCs/>
          <w:color w:val="000000"/>
          <w:szCs w:val="21"/>
        </w:rPr>
        <w:t xml:space="preserve">  水泥、杆体钢筋或钢绞线、笼芯囊和锚具的出厂合格证；</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水泥、杆体钢筋或钢绞线材料现场抽检试验报告；</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注浆体强度等级检验报告。</w:t>
      </w:r>
    </w:p>
    <w:p>
      <w:pPr>
        <w:spacing w:line="360" w:lineRule="exact"/>
        <w:jc w:val="left"/>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9.1.2 </w:t>
      </w:r>
      <w:r>
        <w:rPr>
          <w:rFonts w:hint="eastAsia" w:asciiTheme="minorEastAsia" w:hAnsiTheme="minorEastAsia" w:eastAsiaTheme="minorEastAsia" w:cstheme="minorEastAsia"/>
          <w:bCs/>
          <w:color w:val="000000"/>
          <w:szCs w:val="21"/>
        </w:rPr>
        <w:t xml:space="preserve"> 锚杆的抗拔力检验应按照本规程第</w:t>
      </w:r>
      <w:r>
        <w:rPr>
          <w:rFonts w:ascii="Times New Roman" w:hAnsi="Times New Roman" w:cs="Times New Roman" w:eastAsiaTheme="minorEastAsia"/>
          <w:bCs/>
          <w:color w:val="000000"/>
          <w:szCs w:val="21"/>
        </w:rPr>
        <w:t>9.２</w:t>
      </w:r>
      <w:r>
        <w:rPr>
          <w:rFonts w:hint="eastAsia" w:asciiTheme="minorEastAsia" w:hAnsiTheme="minorEastAsia" w:eastAsiaTheme="minorEastAsia" w:cstheme="minorEastAsia"/>
          <w:bCs/>
          <w:color w:val="000000"/>
          <w:szCs w:val="21"/>
        </w:rPr>
        <w:t>节验收试验的规定进行。抗拔力验收试验的数量不应小于工程锚杆总数的5%且不少于3根。锚杆验收试验出现不合格锚杆时，应增加锚杆试验数量，增加的锚杆试验根数应为不合格锚杆的3倍。</w:t>
      </w:r>
    </w:p>
    <w:p>
      <w:pPr>
        <w:spacing w:line="360" w:lineRule="exact"/>
        <w:jc w:val="left"/>
        <w:rPr>
          <w:rFonts w:asciiTheme="minorEastAsia" w:hAnsiTheme="minorEastAsia" w:eastAsiaTheme="minorEastAsia" w:cstheme="minorEastAsia"/>
          <w:color w:val="000000"/>
          <w:sz w:val="24"/>
        </w:rPr>
      </w:pPr>
      <w:r>
        <w:rPr>
          <w:rFonts w:hint="eastAsia" w:ascii="Times New Roman" w:hAnsi="Times New Roman" w:cs="Times New Roman" w:eastAsiaTheme="minorEastAsia"/>
          <w:color w:val="000000"/>
          <w:szCs w:val="21"/>
        </w:rPr>
        <w:t>9.1.3</w:t>
      </w:r>
      <w:r>
        <w:rPr>
          <w:rFonts w:hint="eastAsia" w:asciiTheme="minorEastAsia" w:hAnsiTheme="minorEastAsia" w:eastAsiaTheme="minorEastAsia" w:cstheme="minorEastAsia"/>
          <w:bCs/>
          <w:color w:val="000000"/>
          <w:szCs w:val="21"/>
        </w:rPr>
        <w:t xml:space="preserve">  锚杆的质量检验应符合表</w:t>
      </w:r>
      <w:r>
        <w:rPr>
          <w:rFonts w:hint="eastAsia" w:ascii="Times New Roman" w:hAnsi="Times New Roman" w:cs="Times New Roman" w:eastAsiaTheme="minorEastAsia"/>
          <w:bCs/>
          <w:color w:val="000000"/>
          <w:szCs w:val="21"/>
        </w:rPr>
        <w:t>9</w:t>
      </w:r>
      <w:r>
        <w:rPr>
          <w:rFonts w:ascii="Times New Roman" w:hAnsi="Times New Roman" w:cs="Times New Roman" w:eastAsiaTheme="minorEastAsia"/>
          <w:bCs/>
          <w:color w:val="000000"/>
          <w:szCs w:val="21"/>
        </w:rPr>
        <w:t>.1.3</w:t>
      </w:r>
      <w:r>
        <w:rPr>
          <w:rFonts w:hint="eastAsia" w:asciiTheme="minorEastAsia" w:hAnsiTheme="minorEastAsia" w:eastAsiaTheme="minorEastAsia" w:cstheme="minorEastAsia"/>
          <w:bCs/>
          <w:color w:val="000000"/>
          <w:szCs w:val="21"/>
        </w:rPr>
        <w:t>的规定</w:t>
      </w:r>
      <w:r>
        <w:rPr>
          <w:rFonts w:hint="eastAsia" w:asciiTheme="minorEastAsia" w:hAnsiTheme="minorEastAsia" w:eastAsiaTheme="minorEastAsia" w:cstheme="minorEastAsia"/>
          <w:bCs/>
          <w:color w:val="000000"/>
          <w:sz w:val="24"/>
        </w:rPr>
        <w:t>。</w:t>
      </w:r>
    </w:p>
    <w:p>
      <w:pPr>
        <w:rPr>
          <w:rFonts w:hint="eastAsia" w:cs="黑体" w:asciiTheme="minorEastAsia" w:hAnsiTheme="minorEastAsia" w:eastAsiaTheme="minorEastAsia"/>
          <w:b w:val="0"/>
          <w:bCs/>
          <w:color w:val="000000"/>
          <w:szCs w:val="21"/>
        </w:rPr>
      </w:pPr>
      <w:r>
        <w:rPr>
          <w:rFonts w:ascii="Times New Roman" w:hAnsi="Times New Roman" w:cs="Times New Roman" w:eastAsiaTheme="minorEastAsia"/>
          <w:b w:val="0"/>
          <w:bCs/>
          <w:color w:val="000000"/>
          <w:szCs w:val="21"/>
        </w:rPr>
        <w:t>9.1.4</w:t>
      </w:r>
      <w:r>
        <w:rPr>
          <w:rFonts w:cs="黑体" w:asciiTheme="minorEastAsia" w:hAnsiTheme="minorEastAsia" w:eastAsiaTheme="minorEastAsia"/>
          <w:b w:val="0"/>
          <w:bCs/>
          <w:color w:val="000000"/>
          <w:szCs w:val="21"/>
        </w:rPr>
        <w:t xml:space="preserve"> </w:t>
      </w:r>
      <w:r>
        <w:rPr>
          <w:rFonts w:hint="eastAsia" w:cs="黑体" w:asciiTheme="minorEastAsia" w:hAnsiTheme="minorEastAsia" w:eastAsiaTheme="minorEastAsia"/>
          <w:b w:val="0"/>
          <w:bCs/>
          <w:color w:val="000000"/>
          <w:szCs w:val="21"/>
        </w:rPr>
        <w:t>锚杆质量检测还应满足《锚杆锚固质量无损检测技术规程》J</w:t>
      </w:r>
      <w:r>
        <w:rPr>
          <w:rFonts w:cs="黑体" w:asciiTheme="minorEastAsia" w:hAnsiTheme="minorEastAsia" w:eastAsiaTheme="minorEastAsia"/>
          <w:b w:val="0"/>
          <w:bCs/>
          <w:color w:val="000000"/>
          <w:szCs w:val="21"/>
        </w:rPr>
        <w:t>G</w:t>
      </w:r>
      <w:r>
        <w:rPr>
          <w:rFonts w:hint="eastAsia" w:cs="黑体" w:asciiTheme="minorEastAsia" w:hAnsiTheme="minorEastAsia" w:eastAsiaTheme="minorEastAsia"/>
          <w:b w:val="0"/>
          <w:bCs/>
          <w:color w:val="000000"/>
          <w:szCs w:val="21"/>
        </w:rPr>
        <w:t>J</w:t>
      </w:r>
      <w:r>
        <w:rPr>
          <w:rFonts w:cs="黑体" w:asciiTheme="minorEastAsia" w:hAnsiTheme="minorEastAsia" w:eastAsiaTheme="minorEastAsia"/>
          <w:b w:val="0"/>
          <w:bCs/>
          <w:color w:val="000000"/>
          <w:szCs w:val="21"/>
        </w:rPr>
        <w:t>/T 182</w:t>
      </w:r>
      <w:r>
        <w:rPr>
          <w:rFonts w:hint="eastAsia" w:cs="黑体" w:asciiTheme="minorEastAsia" w:hAnsiTheme="minorEastAsia" w:eastAsiaTheme="minorEastAsia"/>
          <w:b w:val="0"/>
          <w:bCs/>
          <w:color w:val="000000"/>
          <w:szCs w:val="21"/>
        </w:rPr>
        <w:t>中相关要求。</w:t>
      </w:r>
    </w:p>
    <w:p>
      <w:pPr>
        <w:spacing w:line="360" w:lineRule="auto"/>
        <w:jc w:val="center"/>
        <w:rPr>
          <w:rFonts w:ascii="黑体" w:hAnsi="黑体" w:eastAsia="黑体" w:cs="黑体"/>
          <w:bCs/>
          <w:color w:val="000000"/>
          <w:sz w:val="18"/>
          <w:szCs w:val="18"/>
        </w:rPr>
      </w:pPr>
      <w:r>
        <w:rPr>
          <w:rFonts w:hint="eastAsia" w:ascii="黑体" w:hAnsi="黑体" w:eastAsia="黑体" w:cs="黑体"/>
          <w:bCs/>
          <w:color w:val="000000"/>
          <w:sz w:val="18"/>
          <w:szCs w:val="18"/>
        </w:rPr>
        <w:t>表9</w:t>
      </w:r>
      <w:r>
        <w:rPr>
          <w:rFonts w:hint="eastAsia" w:ascii="黑体" w:hAnsi="黑体" w:eastAsia="黑体" w:cs="黑体"/>
          <w:bCs/>
          <w:sz w:val="18"/>
          <w:szCs w:val="18"/>
        </w:rPr>
        <w:t>.1.3</w:t>
      </w:r>
      <w:r>
        <w:rPr>
          <w:rFonts w:hint="eastAsia" w:ascii="黑体" w:hAnsi="黑体" w:eastAsia="黑体" w:cs="黑体"/>
          <w:bCs/>
          <w:color w:val="000000"/>
          <w:sz w:val="18"/>
          <w:szCs w:val="18"/>
        </w:rPr>
        <w:t xml:space="preserve">  锚杆工程质量检验标准</w:t>
      </w:r>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416"/>
        <w:gridCol w:w="416"/>
        <w:gridCol w:w="1856"/>
        <w:gridCol w:w="1451"/>
        <w:gridCol w:w="170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612" w:hRule="exact"/>
          <w:jc w:val="center"/>
        </w:trPr>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序号</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检查项目</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允许偏差或</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允许值</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检查方法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59" w:hRule="exact"/>
          <w:jc w:val="center"/>
        </w:trPr>
        <w:tc>
          <w:tcPr>
            <w:tcW w:w="0" w:type="auto"/>
            <w:vMerge w:val="restart"/>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主</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控</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目</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锚杆杆体插入</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长度（mm）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+100</w:t>
            </w:r>
          </w:p>
          <w:p>
            <w:pPr>
              <w:spacing w:line="240" w:lineRule="exact"/>
              <w:ind w:left="-105" w:leftChars="-50"/>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－30</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用钢尺量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锚杆拉力特征值（kN）</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设计要求</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验收试验</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钻孔直径（mm）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≥1.0倍设计直径</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测量钻头直径</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4</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囊袋长度（mm）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±100</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用钢尺量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5</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囊袋直径（mm）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≥1.0倍设计直径</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注浆监控仪监测记录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6</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笼芯直径(mm)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100±5</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用钢尺量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7</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笼芯钢丝直径（mm）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3.0±0.3</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用游标卡尺量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8</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注浆体强度（MPa）</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设计要求</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试样送检</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restart"/>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一</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般</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w:t>
            </w:r>
          </w:p>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目</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锚杆位置（mm）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100</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用钢尺量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钻孔倾斜度（°）</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测斜仪等</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3</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囊袋注浆量（L）</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不小于设计浆量</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注浆监控仪监测记录</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0" w:type="auto"/>
            <w:vMerge w:val="continue"/>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4</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杆体总长度（m）</w:t>
            </w:r>
          </w:p>
        </w:tc>
        <w:tc>
          <w:tcPr>
            <w:tcW w:w="0" w:type="auto"/>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不小于设计长度</w:t>
            </w:r>
          </w:p>
        </w:tc>
        <w:tc>
          <w:tcPr>
            <w:tcW w:w="1701" w:type="dxa"/>
            <w:tcMar>
              <w:left w:w="28" w:type="dxa"/>
              <w:right w:w="28" w:type="dxa"/>
            </w:tcMar>
            <w:vAlign w:val="center"/>
          </w:tcPr>
          <w:p>
            <w:pPr>
              <w:spacing w:line="240" w:lineRule="exact"/>
              <w:jc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用钢尺量</w:t>
            </w:r>
          </w:p>
        </w:tc>
      </w:tr>
    </w:tbl>
    <w:p>
      <w:pPr>
        <w:spacing w:line="360" w:lineRule="exact"/>
        <w:rPr>
          <w:rFonts w:asciiTheme="minorEastAsia" w:hAnsiTheme="minorEastAsia" w:eastAsiaTheme="minorEastAsia" w:cstheme="minorEastAsia"/>
          <w:b/>
          <w:color w:val="000000"/>
          <w:szCs w:val="21"/>
        </w:rPr>
      </w:pPr>
    </w:p>
    <w:p>
      <w:pPr>
        <w:spacing w:line="360" w:lineRule="exact"/>
        <w:jc w:val="center"/>
        <w:rPr>
          <w:rFonts w:asciiTheme="minorEastAsia" w:hAnsiTheme="minorEastAsia" w:eastAsiaTheme="minorEastAsia" w:cstheme="minorEastAsia"/>
          <w:b/>
          <w:color w:val="000000"/>
          <w:szCs w:val="21"/>
        </w:rPr>
      </w:pPr>
    </w:p>
    <w:p>
      <w:pPr>
        <w:spacing w:line="360" w:lineRule="exact"/>
        <w:jc w:val="center"/>
        <w:outlineLvl w:val="1"/>
        <w:rPr>
          <w:rFonts w:asciiTheme="minorEastAsia" w:hAnsiTheme="minorEastAsia" w:eastAsiaTheme="minorEastAsia" w:cstheme="minorEastAsia"/>
          <w:b/>
          <w:color w:val="000000"/>
          <w:szCs w:val="21"/>
        </w:rPr>
      </w:pPr>
      <w:bookmarkStart w:id="395" w:name="_Toc23066"/>
      <w:bookmarkStart w:id="396" w:name="_Toc5638"/>
      <w:bookmarkStart w:id="397" w:name="_Toc26386"/>
      <w:bookmarkStart w:id="398" w:name="_Toc1329"/>
      <w:bookmarkStart w:id="399" w:name="_Toc24935"/>
      <w:r>
        <w:rPr>
          <w:rFonts w:hint="eastAsia" w:asciiTheme="minorEastAsia" w:hAnsiTheme="minorEastAsia" w:eastAsiaTheme="minorEastAsia" w:cstheme="minorEastAsia"/>
          <w:b/>
          <w:color w:val="000000"/>
          <w:szCs w:val="21"/>
        </w:rPr>
        <w:t>9.2  工程质量验收</w:t>
      </w:r>
      <w:bookmarkEnd w:id="395"/>
      <w:bookmarkEnd w:id="396"/>
      <w:bookmarkEnd w:id="397"/>
      <w:bookmarkEnd w:id="398"/>
      <w:bookmarkEnd w:id="399"/>
    </w:p>
    <w:p>
      <w:pPr>
        <w:spacing w:line="360" w:lineRule="exact"/>
        <w:jc w:val="center"/>
        <w:rPr>
          <w:rFonts w:asciiTheme="minorEastAsia" w:hAnsiTheme="minorEastAsia" w:eastAsiaTheme="minorEastAsia" w:cstheme="minorEastAsia"/>
          <w:b/>
          <w:color w:val="000000"/>
          <w:szCs w:val="21"/>
        </w:rPr>
      </w:pPr>
    </w:p>
    <w:p>
      <w:pPr>
        <w:spacing w:line="360" w:lineRule="exact"/>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9.2.1</w:t>
      </w:r>
      <w:r>
        <w:rPr>
          <w:rFonts w:hint="eastAsia" w:asciiTheme="minorEastAsia" w:hAnsiTheme="minorEastAsia" w:eastAsiaTheme="minorEastAsia" w:cstheme="minorEastAsia"/>
          <w:bCs/>
          <w:color w:val="000000"/>
          <w:szCs w:val="21"/>
        </w:rPr>
        <w:t xml:space="preserve">  锚杆工程验收应提交下列资料：</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1 </w:t>
      </w:r>
      <w:r>
        <w:rPr>
          <w:rFonts w:hint="eastAsia" w:asciiTheme="minorEastAsia" w:hAnsiTheme="minorEastAsia" w:eastAsiaTheme="minorEastAsia" w:cstheme="minorEastAsia"/>
          <w:bCs/>
          <w:color w:val="000000"/>
          <w:szCs w:val="21"/>
        </w:rPr>
        <w:t xml:space="preserve"> 原材料出厂合格证、原材料现场抽检试验报告、水泥浆或水泥砂浆试块抗压强度等级试验报告；</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2</w:t>
      </w:r>
      <w:r>
        <w:rPr>
          <w:rFonts w:hint="eastAsia" w:asciiTheme="minorEastAsia" w:hAnsiTheme="minorEastAsia" w:eastAsiaTheme="minorEastAsia" w:cstheme="minorEastAsia"/>
          <w:bCs/>
          <w:color w:val="000000"/>
          <w:szCs w:val="21"/>
        </w:rPr>
        <w:t xml:space="preserve">  囊袋注浆监控仪的监测记录和锚杆工程施工记录；</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3</w:t>
      </w:r>
      <w:r>
        <w:rPr>
          <w:rFonts w:hint="eastAsia" w:asciiTheme="minorEastAsia" w:hAnsiTheme="minorEastAsia" w:eastAsiaTheme="minorEastAsia" w:cstheme="minorEastAsia"/>
          <w:bCs/>
          <w:color w:val="000000"/>
          <w:szCs w:val="21"/>
        </w:rPr>
        <w:t xml:space="preserve">  锚杆验收试验报告；</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4 </w:t>
      </w:r>
      <w:r>
        <w:rPr>
          <w:rFonts w:hint="eastAsia" w:asciiTheme="minorEastAsia" w:hAnsiTheme="minorEastAsia" w:eastAsiaTheme="minorEastAsia" w:cstheme="minorEastAsia"/>
          <w:bCs/>
          <w:color w:val="000000"/>
          <w:szCs w:val="21"/>
        </w:rPr>
        <w:t xml:space="preserve"> 隐蔽工程检查验收记录；</w:t>
      </w:r>
    </w:p>
    <w:p>
      <w:pPr>
        <w:spacing w:line="360" w:lineRule="exact"/>
        <w:ind w:firstLine="420" w:firstLineChars="200"/>
        <w:rPr>
          <w:rFonts w:asciiTheme="minorEastAsia" w:hAnsiTheme="minorEastAsia" w:eastAsiaTheme="minorEastAsia" w:cstheme="minorEastAsia"/>
          <w:bCs/>
          <w:color w:val="000000"/>
          <w:sz w:val="24"/>
        </w:rPr>
      </w:pPr>
      <w:r>
        <w:rPr>
          <w:rFonts w:hint="eastAsia" w:ascii="Times New Roman" w:hAnsi="Times New Roman" w:cs="Times New Roman" w:eastAsiaTheme="minorEastAsia"/>
          <w:color w:val="000000"/>
          <w:szCs w:val="21"/>
        </w:rPr>
        <w:t xml:space="preserve">5 </w:t>
      </w:r>
      <w:r>
        <w:rPr>
          <w:rFonts w:hint="eastAsia" w:asciiTheme="minorEastAsia" w:hAnsiTheme="minorEastAsia" w:eastAsiaTheme="minorEastAsia" w:cstheme="minorEastAsia"/>
          <w:bCs/>
          <w:color w:val="000000"/>
          <w:szCs w:val="21"/>
        </w:rPr>
        <w:t xml:space="preserve"> 设计变更报告；</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6 </w:t>
      </w:r>
      <w:r>
        <w:rPr>
          <w:rFonts w:hint="eastAsia" w:asciiTheme="minorEastAsia" w:hAnsiTheme="minorEastAsia" w:eastAsiaTheme="minorEastAsia" w:cstheme="minorEastAsia"/>
          <w:bCs/>
          <w:color w:val="000000"/>
          <w:szCs w:val="21"/>
        </w:rPr>
        <w:t xml:space="preserve"> 工程重大问题处理文件；</w:t>
      </w:r>
    </w:p>
    <w:p>
      <w:pPr>
        <w:spacing w:line="360" w:lineRule="exact"/>
        <w:ind w:firstLine="420" w:firstLineChars="200"/>
        <w:rPr>
          <w:rFonts w:asciiTheme="minorEastAsia" w:hAnsiTheme="minorEastAsia" w:eastAsiaTheme="minorEastAsia" w:cstheme="minorEastAsia"/>
          <w:bCs/>
          <w:color w:val="000000"/>
          <w:szCs w:val="21"/>
        </w:rPr>
      </w:pPr>
      <w:r>
        <w:rPr>
          <w:rFonts w:hint="eastAsia" w:ascii="Times New Roman" w:hAnsi="Times New Roman" w:cs="Times New Roman" w:eastAsiaTheme="minorEastAsia"/>
          <w:color w:val="000000"/>
          <w:szCs w:val="21"/>
        </w:rPr>
        <w:t xml:space="preserve">7 </w:t>
      </w:r>
      <w:r>
        <w:rPr>
          <w:rFonts w:hint="eastAsia" w:asciiTheme="minorEastAsia" w:hAnsiTheme="minorEastAsia" w:eastAsiaTheme="minorEastAsia" w:cstheme="minorEastAsia"/>
          <w:bCs/>
          <w:color w:val="000000"/>
          <w:szCs w:val="21"/>
        </w:rPr>
        <w:t xml:space="preserve"> 竣工图。</w:t>
      </w:r>
    </w:p>
    <w:p>
      <w:pPr>
        <w:rPr>
          <w:rFonts w:asciiTheme="minorEastAsia" w:hAnsiTheme="minorEastAsia" w:eastAsiaTheme="minorEastAsia" w:cstheme="minorEastAsia"/>
          <w:b/>
          <w:bCs/>
          <w:color w:val="000000"/>
          <w:szCs w:val="21"/>
        </w:rPr>
      </w:pPr>
    </w:p>
    <w:p>
      <w:pPr>
        <w:jc w:val="center"/>
        <w:outlineLvl w:val="1"/>
        <w:rPr>
          <w:rFonts w:asciiTheme="minorEastAsia" w:hAnsiTheme="minorEastAsia" w:eastAsiaTheme="minorEastAsia" w:cstheme="minorEastAsia"/>
          <w:b/>
          <w:bCs/>
          <w:color w:val="000000"/>
          <w:szCs w:val="21"/>
        </w:rPr>
      </w:pPr>
      <w:bookmarkStart w:id="400" w:name="_Toc29789"/>
      <w:bookmarkStart w:id="401" w:name="_Toc3884"/>
      <w:bookmarkStart w:id="402" w:name="_Toc26034"/>
      <w:bookmarkStart w:id="403" w:name="_Toc21039"/>
      <w:bookmarkStart w:id="404" w:name="_Toc30456"/>
      <w:r>
        <w:rPr>
          <w:rFonts w:hint="eastAsia" w:asciiTheme="minorEastAsia" w:hAnsiTheme="minorEastAsia" w:eastAsiaTheme="minorEastAsia" w:cstheme="minorEastAsia"/>
          <w:b/>
          <w:bCs/>
          <w:color w:val="000000"/>
          <w:szCs w:val="21"/>
        </w:rPr>
        <w:t>9.3  监测</w:t>
      </w:r>
      <w:bookmarkEnd w:id="400"/>
      <w:bookmarkEnd w:id="401"/>
      <w:bookmarkEnd w:id="402"/>
      <w:bookmarkEnd w:id="403"/>
      <w:bookmarkEnd w:id="404"/>
    </w:p>
    <w:p>
      <w:pPr>
        <w:jc w:val="center"/>
        <w:rPr>
          <w:rFonts w:asciiTheme="minorEastAsia" w:hAnsiTheme="minorEastAsia" w:eastAsiaTheme="minorEastAsia" w:cstheme="minorEastAsia"/>
          <w:b/>
          <w:bCs/>
          <w:color w:val="000000"/>
          <w:szCs w:val="21"/>
        </w:rPr>
      </w:pPr>
    </w:p>
    <w:p>
      <w:pPr>
        <w:spacing w:line="340" w:lineRule="exact"/>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eastAsiaTheme="minorEastAsia"/>
          <w:color w:val="000000"/>
          <w:szCs w:val="21"/>
        </w:rPr>
        <w:t>9.3.1</w:t>
      </w:r>
      <w:r>
        <w:rPr>
          <w:rFonts w:hint="eastAsia" w:ascii="Times New Roman" w:hAnsi="Times New Roman" w:cs="Times New Roman" w:eastAsiaTheme="minorEastAsia"/>
          <w:color w:val="000000"/>
          <w:szCs w:val="21"/>
          <w:lang w:val="en-US" w:eastAsia="zh-CN"/>
        </w:rPr>
        <w:t xml:space="preserve">  锚杆工程应根椐设计要求或工程施工安全需要，对涉及施工安全、周边环境安全，以及可能对人身财产安全造成危害的对象或被保护对象进行工程监测。</w:t>
      </w:r>
    </w:p>
    <w:p>
      <w:pPr>
        <w:spacing w:line="340" w:lineRule="exact"/>
        <w:rPr>
          <w:rFonts w:asciiTheme="minorEastAsia" w:hAnsiTheme="minorEastAsia" w:eastAsiaTheme="minorEastAsia" w:cstheme="minorEastAsia"/>
          <w:color w:val="000000"/>
          <w:szCs w:val="21"/>
        </w:rPr>
      </w:pPr>
      <w:r>
        <w:rPr>
          <w:rFonts w:hint="eastAsia" w:ascii="Times New Roman" w:hAnsi="Times New Roman" w:cs="Times New Roman" w:eastAsiaTheme="minorEastAsia"/>
          <w:color w:val="000000"/>
          <w:szCs w:val="21"/>
          <w:lang w:val="en-US" w:eastAsia="zh-CN"/>
        </w:rPr>
        <w:t>9.3.2</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color w:val="000000"/>
          <w:szCs w:val="21"/>
        </w:rPr>
        <w:t xml:space="preserve"> 笼芯囊锚杆的监测和维护管理应符合所从属的主体建（构）筑物的相关要求。</w:t>
      </w:r>
    </w:p>
    <w:p>
      <w:pPr>
        <w:rPr>
          <w:rFonts w:asciiTheme="minorEastAsia" w:hAnsiTheme="minorEastAsia" w:eastAsiaTheme="minorEastAsia" w:cstheme="minorEastAsia"/>
        </w:rPr>
      </w:pPr>
      <w:r>
        <w:rPr>
          <w:rFonts w:ascii="Times New Roman" w:hAnsi="Times New Roman" w:cs="Times New Roman" w:eastAsiaTheme="minorEastAsia"/>
          <w:color w:val="000000"/>
          <w:szCs w:val="21"/>
        </w:rPr>
        <w:t>9.3.</w:t>
      </w:r>
      <w:r>
        <w:rPr>
          <w:rFonts w:hint="eastAsia" w:ascii="Times New Roman" w:hAnsi="Times New Roman" w:cs="Times New Roman" w:eastAsiaTheme="minorEastAsia"/>
          <w:color w:val="000000"/>
          <w:szCs w:val="21"/>
          <w:lang w:val="en-US" w:eastAsia="zh-CN"/>
        </w:rPr>
        <w:t>3</w:t>
      </w:r>
      <w:r>
        <w:rPr>
          <w:rFonts w:hint="eastAsia" w:asciiTheme="minorEastAsia" w:hAnsiTheme="minorEastAsia" w:eastAsiaTheme="minorEastAsia" w:cstheme="minorEastAsia"/>
          <w:color w:val="000000"/>
          <w:szCs w:val="21"/>
        </w:rPr>
        <w:t xml:space="preserve">  非预应力锚杆宜监测杆体应力、应变，预应力锚杆宜监测锚杆拉力。</w:t>
      </w:r>
      <w:bookmarkStart w:id="405" w:name="_Toc18215"/>
      <w:bookmarkStart w:id="406" w:name="_Toc7801"/>
      <w:r>
        <w:rPr>
          <w:rFonts w:hint="eastAsia" w:asciiTheme="minorEastAsia" w:hAnsiTheme="minorEastAsia" w:eastAsiaTheme="minorEastAsia" w:cstheme="minorEastAsia"/>
        </w:rPr>
        <w:br w:type="page"/>
      </w:r>
    </w:p>
    <w:p>
      <w:pPr>
        <w:keepNext/>
        <w:keepLines/>
        <w:spacing w:before="312" w:beforeLines="100" w:after="156" w:afterLines="50"/>
        <w:rPr>
          <w:rFonts w:ascii="宋体" w:hAnsi="宋体" w:cs="宋体"/>
          <w:bCs/>
          <w:sz w:val="24"/>
        </w:rPr>
      </w:pPr>
      <w:bookmarkStart w:id="407" w:name="_Toc3998"/>
      <w:bookmarkStart w:id="408" w:name="_Toc6127"/>
    </w:p>
    <w:p>
      <w:pPr>
        <w:pStyle w:val="2"/>
        <w:spacing w:before="312" w:beforeLines="100" w:after="156" w:afterLines="50"/>
        <w:rPr>
          <w:rFonts w:ascii="宋体" w:hAnsi="宋体" w:eastAsia="宋体" w:cs="宋体"/>
        </w:rPr>
      </w:pPr>
      <w:bookmarkStart w:id="409" w:name="_Toc26039"/>
      <w:bookmarkStart w:id="410" w:name="_Toc21876"/>
      <w:bookmarkStart w:id="411" w:name="_Toc5432"/>
      <w:bookmarkStart w:id="412" w:name="_Toc16234"/>
      <w:r>
        <w:rPr>
          <w:rFonts w:hint="eastAsia" w:ascii="宋体" w:hAnsi="宋体" w:cs="宋体"/>
        </w:rPr>
        <w:t xml:space="preserve">附录A  </w:t>
      </w:r>
      <w:r>
        <w:rPr>
          <w:rFonts w:hint="eastAsia" w:ascii="宋体" w:hAnsi="宋体" w:eastAsia="宋体" w:cs="宋体"/>
        </w:rPr>
        <w:t>基本试验</w:t>
      </w:r>
      <w:bookmarkEnd w:id="407"/>
      <w:bookmarkEnd w:id="408"/>
      <w:bookmarkEnd w:id="409"/>
      <w:bookmarkEnd w:id="410"/>
      <w:bookmarkEnd w:id="411"/>
      <w:bookmarkEnd w:id="412"/>
    </w:p>
    <w:p/>
    <w:p>
      <w:pPr>
        <w:spacing w:line="360" w:lineRule="exact"/>
        <w:rPr>
          <w:rFonts w:ascii="宋体" w:hAnsi="宋体" w:cs="Times New Roman"/>
          <w:color w:val="000000"/>
          <w:szCs w:val="21"/>
        </w:rPr>
      </w:pPr>
      <w:r>
        <w:rPr>
          <w:rFonts w:hint="eastAsia" w:ascii="Times New Roman" w:hAnsi="Times New Roman" w:cs="Times New Roman"/>
          <w:color w:val="000000"/>
          <w:szCs w:val="21"/>
        </w:rPr>
        <w:t>A.0.1</w:t>
      </w:r>
      <w:r>
        <w:rPr>
          <w:rFonts w:hint="eastAsia" w:ascii="Times New Roman" w:hAnsi="Times New Roman" w:cs="Times New Roman"/>
          <w:b/>
          <w:bCs/>
          <w:color w:val="000000"/>
          <w:szCs w:val="21"/>
        </w:rPr>
        <w:t xml:space="preserve">  </w:t>
      </w:r>
      <w:r>
        <w:rPr>
          <w:rFonts w:hint="eastAsia" w:ascii="宋体" w:hAnsi="宋体" w:cs="Times New Roman"/>
          <w:color w:val="000000"/>
          <w:szCs w:val="21"/>
        </w:rPr>
        <w:t>笼芯囊</w:t>
      </w:r>
      <w:r>
        <w:rPr>
          <w:rFonts w:ascii="宋体" w:hAnsi="宋体" w:cs="Times New Roman"/>
          <w:color w:val="000000"/>
          <w:szCs w:val="21"/>
        </w:rPr>
        <w:t>锚杆应</w:t>
      </w:r>
      <w:r>
        <w:rPr>
          <w:rFonts w:hint="eastAsia" w:ascii="宋体" w:hAnsi="宋体" w:cs="Times New Roman"/>
          <w:color w:val="000000"/>
          <w:szCs w:val="21"/>
        </w:rPr>
        <w:t>在工程现场</w:t>
      </w:r>
      <w:r>
        <w:rPr>
          <w:rFonts w:ascii="宋体" w:hAnsi="宋体" w:cs="Times New Roman"/>
          <w:color w:val="000000"/>
          <w:szCs w:val="21"/>
        </w:rPr>
        <w:t>进行</w:t>
      </w:r>
      <w:r>
        <w:rPr>
          <w:rFonts w:hint="eastAsia" w:ascii="宋体" w:hAnsi="宋体" w:cs="Times New Roman"/>
          <w:color w:val="000000"/>
          <w:szCs w:val="21"/>
        </w:rPr>
        <w:t>基本试验以确定锚杆的抗拔力极限值</w:t>
      </w:r>
      <w:r>
        <w:rPr>
          <w:rFonts w:ascii="宋体" w:hAnsi="宋体" w:cs="Times New Roman"/>
          <w:color w:val="000000"/>
          <w:szCs w:val="21"/>
        </w:rPr>
        <w:t>。</w:t>
      </w:r>
    </w:p>
    <w:p>
      <w:pPr>
        <w:spacing w:line="360" w:lineRule="exact"/>
        <w:rPr>
          <w:rFonts w:ascii="宋体" w:hAnsi="宋体" w:cs="Times New Roman"/>
          <w:color w:val="000000"/>
          <w:szCs w:val="21"/>
        </w:rPr>
      </w:pPr>
      <w:r>
        <w:rPr>
          <w:rFonts w:hint="eastAsia" w:ascii="Times New Roman" w:hAnsi="Times New Roman" w:cs="Times New Roman"/>
          <w:color w:val="000000"/>
          <w:szCs w:val="21"/>
        </w:rPr>
        <w:t>A.0.2</w:t>
      </w:r>
      <w:r>
        <w:rPr>
          <w:rFonts w:hint="eastAsia" w:ascii="Times New Roman" w:hAnsi="Times New Roman" w:cs="Times New Roman"/>
          <w:b/>
          <w:bCs/>
          <w:color w:val="000000"/>
          <w:szCs w:val="21"/>
        </w:rPr>
        <w:t xml:space="preserve">  </w:t>
      </w:r>
      <w:r>
        <w:rPr>
          <w:rFonts w:ascii="宋体" w:hAnsi="宋体" w:cs="Times New Roman"/>
          <w:color w:val="000000"/>
          <w:szCs w:val="21"/>
        </w:rPr>
        <w:t>锚杆</w:t>
      </w:r>
      <w:r>
        <w:rPr>
          <w:rFonts w:hint="eastAsia" w:ascii="宋体" w:hAnsi="宋体" w:cs="Times New Roman"/>
          <w:color w:val="000000"/>
          <w:szCs w:val="21"/>
        </w:rPr>
        <w:t>基本</w:t>
      </w:r>
      <w:r>
        <w:rPr>
          <w:rFonts w:ascii="宋体" w:hAnsi="宋体" w:cs="Times New Roman"/>
          <w:color w:val="000000"/>
          <w:szCs w:val="21"/>
        </w:rPr>
        <w:t>试验采用的地层条件、杆体材料、锚杆参数和施工工艺应与工程锚杆相同，且试验数量不应少于3根。为得出锚固体的抗拔力极限</w:t>
      </w:r>
      <w:r>
        <w:rPr>
          <w:rFonts w:hint="eastAsia" w:ascii="宋体" w:hAnsi="宋体" w:cs="Times New Roman"/>
          <w:color w:val="000000"/>
          <w:szCs w:val="21"/>
        </w:rPr>
        <w:t>值</w:t>
      </w:r>
      <w:r>
        <w:rPr>
          <w:rFonts w:ascii="宋体" w:hAnsi="宋体" w:cs="Times New Roman"/>
          <w:color w:val="000000"/>
          <w:szCs w:val="21"/>
        </w:rPr>
        <w:t>，</w:t>
      </w:r>
      <w:r>
        <w:rPr>
          <w:rFonts w:hint="eastAsia" w:ascii="宋体" w:hAnsi="宋体" w:cs="Times New Roman"/>
          <w:color w:val="000000"/>
          <w:szCs w:val="21"/>
        </w:rPr>
        <w:t>避免杆体先行断裂，当杆体强度不能满足本规程第A.0.1条时，可采用强度较高的杆体材料，但杆体截面面积应相等</w:t>
      </w:r>
      <w:r>
        <w:rPr>
          <w:rFonts w:ascii="宋体" w:hAnsi="宋体" w:cs="Times New Roman"/>
          <w:color w:val="000000"/>
          <w:szCs w:val="21"/>
        </w:rPr>
        <w:t>。</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A.0. 3</w:t>
      </w:r>
      <w:r>
        <w:rPr>
          <w:rFonts w:ascii="宋体" w:hAnsi="宋体" w:cs="Times New Roman"/>
          <w:color w:val="000000"/>
          <w:szCs w:val="21"/>
        </w:rPr>
        <w:t xml:space="preserve">  锚杆</w:t>
      </w:r>
      <w:r>
        <w:rPr>
          <w:rFonts w:hint="eastAsia" w:ascii="宋体" w:hAnsi="宋体" w:cs="Times New Roman"/>
          <w:color w:val="000000"/>
          <w:szCs w:val="21"/>
        </w:rPr>
        <w:t>基本</w:t>
      </w:r>
      <w:r>
        <w:rPr>
          <w:rFonts w:ascii="宋体" w:hAnsi="宋体" w:cs="Times New Roman"/>
          <w:color w:val="000000"/>
          <w:szCs w:val="21"/>
        </w:rPr>
        <w:t>试验应采用分级循环加荷，加荷等级和位移观测时间应符合表</w:t>
      </w:r>
      <w:r>
        <w:rPr>
          <w:rFonts w:hint="eastAsia" w:ascii="宋体" w:hAnsi="宋体" w:cs="Times New Roman"/>
          <w:color w:val="000000"/>
          <w:szCs w:val="21"/>
        </w:rPr>
        <w:t>A.0.3</w:t>
      </w:r>
      <w:r>
        <w:rPr>
          <w:rFonts w:ascii="宋体" w:hAnsi="宋体" w:cs="Times New Roman"/>
          <w:color w:val="000000"/>
          <w:szCs w:val="21"/>
        </w:rPr>
        <w:t>的规定。</w:t>
      </w:r>
    </w:p>
    <w:p>
      <w:pPr>
        <w:spacing w:line="312" w:lineRule="exact"/>
        <w:jc w:val="center"/>
        <w:rPr>
          <w:rFonts w:ascii="宋体" w:hAnsi="宋体" w:cs="Times New Roman"/>
          <w:b/>
          <w:color w:val="000000"/>
          <w:szCs w:val="21"/>
        </w:rPr>
      </w:pPr>
      <w:r>
        <w:rPr>
          <w:rFonts w:hint="eastAsia" w:ascii="黑体" w:hAnsi="宋体" w:eastAsia="黑体" w:cs="Times New Roman"/>
          <w:b/>
          <w:color w:val="000000"/>
          <w:szCs w:val="21"/>
        </w:rPr>
        <w:t>表A</w:t>
      </w:r>
      <w:r>
        <w:rPr>
          <w:rFonts w:ascii="Times New Roman" w:hAnsi="Times New Roman" w:cs="Times New Roman"/>
          <w:b/>
          <w:color w:val="000000"/>
          <w:szCs w:val="21"/>
        </w:rPr>
        <w:t>.</w:t>
      </w:r>
      <w:r>
        <w:rPr>
          <w:rFonts w:hint="eastAsia" w:ascii="Times New Roman" w:hAnsi="Times New Roman" w:cs="Times New Roman"/>
          <w:b/>
          <w:color w:val="000000"/>
          <w:szCs w:val="21"/>
        </w:rPr>
        <w:t>0</w:t>
      </w:r>
      <w:r>
        <w:rPr>
          <w:rFonts w:ascii="Times New Roman" w:hAnsi="Times New Roman" w:cs="Times New Roman"/>
          <w:b/>
          <w:color w:val="000000"/>
          <w:szCs w:val="21"/>
        </w:rPr>
        <w:t>. 3</w:t>
      </w:r>
      <w:r>
        <w:rPr>
          <w:rFonts w:ascii="黑体" w:hAnsi="宋体" w:eastAsia="黑体" w:cs="Times New Roman"/>
          <w:b/>
          <w:color w:val="000000"/>
          <w:szCs w:val="21"/>
        </w:rPr>
        <w:t>锚杆基本试验循环加荷等级和观测时间</w:t>
      </w:r>
    </w:p>
    <w:tbl>
      <w:tblPr>
        <w:tblStyle w:val="17"/>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211"/>
        <w:gridCol w:w="1056"/>
        <w:gridCol w:w="567"/>
        <w:gridCol w:w="567"/>
        <w:gridCol w:w="567"/>
        <w:gridCol w:w="567"/>
        <w:gridCol w:w="567"/>
        <w:gridCol w:w="567"/>
        <w:gridCol w:w="56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restart"/>
            <w:tcMar>
              <w:left w:w="28" w:type="dxa"/>
              <w:right w:w="28" w:type="dxa"/>
            </w:tcMar>
            <w:vAlign w:val="center"/>
          </w:tcPr>
          <w:p>
            <w:pPr>
              <w:spacing w:line="280" w:lineRule="exact"/>
              <w:jc w:val="center"/>
              <w:rPr>
                <w:rFonts w:ascii="Times New Roman" w:hAnsi="宋体" w:cs="Times New Roman"/>
                <w:color w:val="000000"/>
                <w:szCs w:val="21"/>
              </w:rPr>
            </w:pPr>
            <w:r>
              <w:rPr>
                <w:rFonts w:ascii="Times New Roman" w:hAnsi="宋体" w:cs="Times New Roman"/>
                <w:color w:val="000000"/>
                <w:szCs w:val="21"/>
              </w:rPr>
              <w:t>预应力锚杆</w:t>
            </w:r>
          </w:p>
          <w:p>
            <w:pPr>
              <w:spacing w:line="280" w:lineRule="exact"/>
              <w:jc w:val="center"/>
              <w:rPr>
                <w:rFonts w:ascii="Times New Roman" w:hAnsi="宋体" w:cs="Times New Roman"/>
                <w:color w:val="000000"/>
                <w:szCs w:val="21"/>
              </w:rPr>
            </w:pPr>
            <w:r>
              <w:rPr>
                <w:rFonts w:ascii="Times New Roman" w:hAnsi="宋体" w:cs="Times New Roman"/>
                <w:color w:val="000000"/>
                <w:szCs w:val="21"/>
              </w:rPr>
              <w:t>加荷量</w:t>
            </w:r>
          </w:p>
          <w:p>
            <w:pPr>
              <w:jc w:val="center"/>
              <w:rPr>
                <w:rFonts w:ascii="Times New Roman" w:hAnsi="Times New Roman" w:cs="Times New Roman"/>
                <w:color w:val="000000"/>
                <w:szCs w:val="21"/>
              </w:rPr>
            </w:pPr>
            <w:r>
              <w:rPr>
                <w:rFonts w:ascii="Times New Roman" w:hAnsi="Times New Roman" w:cs="Times New Roman"/>
                <w:color w:val="000000"/>
                <w:position w:val="-26"/>
                <w:szCs w:val="21"/>
              </w:rPr>
              <w:object>
                <v:shape id="_x0000_i1043" o:spt="75" type="#_x0000_t75" style="height:25.05pt;width:46.95pt;" o:ole="t" filled="f" o:preferrelative="t" stroked="f" coordsize="21600,21600">
                  <v:path/>
                  <v:fill on="f" focussize="0,0"/>
                  <v:stroke on="f" joinstyle="miter"/>
                  <v:imagedata r:id="rId82" o:title=""/>
                  <o:lock v:ext="edit" aspectratio="t"/>
                  <w10:wrap type="none"/>
                  <w10:anchorlock/>
                </v:shape>
                <o:OLEObject Type="Embed" ProgID="Equation.3" ShapeID="_x0000_i1043" DrawAspect="Content" ObjectID="_1468075745" r:id="rId81">
                  <o:LockedField>false</o:LockedField>
                </o:OLEObject>
              </w:object>
            </w:r>
            <w:r>
              <w:rPr>
                <w:rFonts w:ascii="Times New Roman" w:hAnsi="宋体" w:cs="Times New Roman"/>
                <w:color w:val="000000"/>
                <w:position w:val="-4"/>
                <w:szCs w:val="21"/>
              </w:rPr>
              <w:t>或</w:t>
            </w:r>
          </w:p>
          <w:p>
            <w:pPr>
              <w:jc w:val="center"/>
              <w:rPr>
                <w:rFonts w:ascii="Times New Roman" w:hAnsi="Times New Roman" w:cs="Times New Roman"/>
                <w:i/>
                <w:color w:val="000000"/>
                <w:szCs w:val="21"/>
              </w:rPr>
            </w:pPr>
            <w:r>
              <w:rPr>
                <w:rFonts w:ascii="Times New Roman" w:hAnsi="Times New Roman" w:cs="Times New Roman"/>
                <w:color w:val="000000"/>
                <w:position w:val="-26"/>
                <w:szCs w:val="21"/>
              </w:rPr>
              <w:object>
                <v:shape id="_x0000_i1044" o:spt="75" type="#_x0000_t75" style="height:25.05pt;width:46.95pt;" o:ole="t" filled="f" o:preferrelative="t" stroked="f" coordsize="21600,21600">
                  <v:path/>
                  <v:fill on="f" focussize="0,0"/>
                  <v:stroke on="f" joinstyle="miter"/>
                  <v:imagedata r:id="rId84" o:title=""/>
                  <o:lock v:ext="edit" aspectratio="t"/>
                  <w10:wrap type="none"/>
                  <w10:anchorlock/>
                </v:shape>
                <o:OLEObject Type="Embed" ProgID="Equation.3" ShapeID="_x0000_i1044" DrawAspect="Content" ObjectID="_1468075746" r:id="rId83">
                  <o:LockedField>false</o:LockedField>
                </o:OLEObject>
              </w:object>
            </w: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初始荷载</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第一循环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第二循环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第三循环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30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第四循环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40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第五循环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70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211" w:type="dxa"/>
            <w:vMerge w:val="continue"/>
            <w:vAlign w:val="center"/>
          </w:tcPr>
          <w:p>
            <w:pPr>
              <w:spacing w:line="280" w:lineRule="exact"/>
              <w:jc w:val="center"/>
              <w:rPr>
                <w:rFonts w:ascii="Times New Roman" w:hAnsi="Times New Roman" w:cs="Times New Roman"/>
                <w:color w:val="000000"/>
                <w:szCs w:val="21"/>
              </w:rPr>
            </w:pPr>
          </w:p>
        </w:tc>
        <w:tc>
          <w:tcPr>
            <w:tcW w:w="1056" w:type="dxa"/>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第六循环</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70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70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2267" w:type="dxa"/>
            <w:gridSpan w:val="2"/>
            <w:vAlign w:val="center"/>
          </w:tcPr>
          <w:p>
            <w:pPr>
              <w:spacing w:line="280" w:lineRule="exact"/>
              <w:jc w:val="center"/>
              <w:rPr>
                <w:rFonts w:ascii="Times New Roman" w:hAnsi="Times New Roman" w:cs="Times New Roman"/>
                <w:color w:val="000000"/>
                <w:szCs w:val="21"/>
              </w:rPr>
            </w:pPr>
            <w:r>
              <w:rPr>
                <w:rFonts w:ascii="Times New Roman" w:hAnsi="宋体" w:cs="Times New Roman"/>
                <w:color w:val="000000"/>
                <w:szCs w:val="21"/>
              </w:rPr>
              <w:t>观测时间（</w:t>
            </w:r>
            <w:r>
              <w:rPr>
                <w:rFonts w:ascii="Times New Roman" w:hAnsi="Times New Roman" w:cs="Times New Roman"/>
                <w:color w:val="000000"/>
                <w:szCs w:val="21"/>
              </w:rPr>
              <w:t>min</w:t>
            </w:r>
            <w:r>
              <w:rPr>
                <w:rFonts w:ascii="Times New Roman" w:hAnsi="宋体" w:cs="Times New Roman"/>
                <w:color w:val="000000"/>
                <w:szCs w:val="21"/>
              </w:rPr>
              <w:t>）</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567" w:type="dxa"/>
            <w:vAlign w:val="center"/>
          </w:tcPr>
          <w:p>
            <w:pPr>
              <w:spacing w:line="280" w:lineRule="exact"/>
              <w:jc w:val="center"/>
              <w:rPr>
                <w:rFonts w:ascii="Times New Roman" w:hAnsi="Times New Roman" w:cs="Times New Roman"/>
                <w:color w:val="000000"/>
                <w:szCs w:val="21"/>
              </w:rPr>
            </w:pPr>
            <w:r>
              <w:rPr>
                <w:rFonts w:ascii="Times New Roman" w:hAnsi="Times New Roman" w:cs="Times New Roman"/>
                <w:color w:val="000000"/>
                <w:szCs w:val="21"/>
              </w:rPr>
              <w:t>5</w:t>
            </w:r>
          </w:p>
        </w:tc>
      </w:tr>
    </w:tbl>
    <w:p>
      <w:pPr>
        <w:rPr>
          <w:rFonts w:ascii="Times New Roman" w:hAnsi="Times New Roman" w:cs="Times New Roman"/>
          <w:color w:val="000000"/>
          <w:sz w:val="18"/>
          <w:szCs w:val="18"/>
        </w:rPr>
      </w:pPr>
      <w:r>
        <w:rPr>
          <w:rFonts w:ascii="宋体" w:hAnsi="宋体" w:cs="Times New Roman"/>
          <w:color w:val="000000"/>
          <w:sz w:val="18"/>
          <w:szCs w:val="18"/>
        </w:rPr>
        <w:t>注：1  第五循环前加荷速率为</w:t>
      </w:r>
      <w:r>
        <w:rPr>
          <w:rFonts w:ascii="Times New Roman" w:hAnsi="Times New Roman" w:cs="Times New Roman"/>
          <w:color w:val="000000"/>
          <w:sz w:val="18"/>
          <w:szCs w:val="18"/>
        </w:rPr>
        <w:t>100kN/min</w:t>
      </w:r>
      <w:r>
        <w:rPr>
          <w:rFonts w:ascii="Times New Roman" w:hAnsi="宋体" w:cs="Times New Roman"/>
          <w:color w:val="000000"/>
          <w:sz w:val="18"/>
          <w:szCs w:val="18"/>
        </w:rPr>
        <w:t>，第六循环的加荷速率为</w:t>
      </w:r>
      <w:r>
        <w:rPr>
          <w:rFonts w:ascii="Times New Roman" w:hAnsi="Times New Roman" w:cs="Times New Roman"/>
          <w:color w:val="000000"/>
          <w:sz w:val="18"/>
          <w:szCs w:val="18"/>
        </w:rPr>
        <w:t>50kN/min</w:t>
      </w:r>
      <w:r>
        <w:rPr>
          <w:rFonts w:ascii="Times New Roman" w:hAnsi="宋体" w:cs="Times New Roman"/>
          <w:color w:val="000000"/>
          <w:sz w:val="18"/>
          <w:szCs w:val="18"/>
        </w:rPr>
        <w:t>；</w:t>
      </w:r>
    </w:p>
    <w:p>
      <w:pPr>
        <w:ind w:firstLine="360" w:firstLineChars="200"/>
        <w:rPr>
          <w:rFonts w:ascii="Times New Roman" w:hAnsi="Times New Roman" w:cs="Times New Roman"/>
          <w:color w:val="000000"/>
          <w:sz w:val="18"/>
          <w:szCs w:val="18"/>
        </w:rPr>
      </w:pPr>
      <w:bookmarkStart w:id="413" w:name="_Toc7174"/>
      <w:bookmarkStart w:id="414" w:name="_Toc22697"/>
      <w:bookmarkStart w:id="415" w:name="_Toc12618"/>
      <w:r>
        <w:rPr>
          <w:rFonts w:ascii="Times New Roman" w:hAnsi="Times New Roman" w:cs="Times New Roman"/>
          <w:color w:val="000000"/>
          <w:sz w:val="18"/>
          <w:szCs w:val="18"/>
        </w:rPr>
        <w:t xml:space="preserve">2  </w:t>
      </w:r>
      <w:r>
        <w:rPr>
          <w:rFonts w:ascii="Times New Roman" w:hAnsi="宋体" w:cs="Times New Roman"/>
          <w:color w:val="000000"/>
          <w:sz w:val="18"/>
          <w:szCs w:val="18"/>
        </w:rPr>
        <w:t>在每级加荷观测时间内，测读位移不应少于</w:t>
      </w:r>
      <w:r>
        <w:rPr>
          <w:rFonts w:ascii="Times New Roman" w:hAnsi="Times New Roman" w:cs="Times New Roman"/>
          <w:color w:val="000000"/>
          <w:sz w:val="18"/>
          <w:szCs w:val="18"/>
        </w:rPr>
        <w:t>3</w:t>
      </w:r>
      <w:r>
        <w:rPr>
          <w:rFonts w:ascii="Times New Roman" w:hAnsi="宋体" w:cs="Times New Roman"/>
          <w:color w:val="000000"/>
          <w:sz w:val="18"/>
          <w:szCs w:val="18"/>
        </w:rPr>
        <w:t>次；</w:t>
      </w:r>
      <w:bookmarkEnd w:id="413"/>
      <w:bookmarkEnd w:id="414"/>
      <w:bookmarkEnd w:id="415"/>
    </w:p>
    <w:p>
      <w:pPr>
        <w:ind w:left="630" w:hanging="630" w:hangingChars="350"/>
        <w:rPr>
          <w:rFonts w:ascii="宋体" w:hAnsi="宋体" w:cs="Times New Roman"/>
          <w:color w:val="000000"/>
          <w:spacing w:val="-2"/>
          <w:sz w:val="24"/>
        </w:rPr>
      </w:pPr>
      <w:r>
        <w:rPr>
          <w:rFonts w:ascii="Times New Roman" w:hAnsi="Times New Roman" w:cs="Times New Roman"/>
          <w:color w:val="000000"/>
          <w:sz w:val="18"/>
          <w:szCs w:val="18"/>
        </w:rPr>
        <w:t xml:space="preserve">    3  </w:t>
      </w:r>
      <w:r>
        <w:rPr>
          <w:rFonts w:ascii="Times New Roman" w:hAnsi="宋体" w:cs="Times New Roman"/>
          <w:color w:val="000000"/>
          <w:sz w:val="18"/>
          <w:szCs w:val="18"/>
        </w:rPr>
        <w:t>在每级加荷观测时间内，锚头位移增量小于</w:t>
      </w:r>
      <w:r>
        <w:rPr>
          <w:rFonts w:ascii="Times New Roman" w:hAnsi="Times New Roman" w:cs="Times New Roman"/>
          <w:color w:val="000000"/>
          <w:sz w:val="18"/>
          <w:szCs w:val="18"/>
        </w:rPr>
        <w:t>0.1mm</w:t>
      </w:r>
      <w:r>
        <w:rPr>
          <w:rFonts w:ascii="Times New Roman" w:hAnsi="宋体" w:cs="Times New Roman"/>
          <w:color w:val="000000"/>
          <w:sz w:val="18"/>
          <w:szCs w:val="18"/>
        </w:rPr>
        <w:t>时，可施加下一级荷载，否</w:t>
      </w:r>
      <w:r>
        <w:rPr>
          <w:rFonts w:ascii="Times New Roman" w:hAnsi="宋体" w:cs="Times New Roman"/>
          <w:color w:val="000000"/>
          <w:spacing w:val="-2"/>
          <w:sz w:val="18"/>
          <w:szCs w:val="18"/>
        </w:rPr>
        <w:t>则应延长观测时间，直至锚头位移增量在</w:t>
      </w:r>
      <w:r>
        <w:rPr>
          <w:rFonts w:ascii="Times New Roman" w:hAnsi="Times New Roman" w:cs="Times New Roman"/>
          <w:color w:val="000000"/>
          <w:spacing w:val="-2"/>
          <w:sz w:val="18"/>
          <w:szCs w:val="18"/>
        </w:rPr>
        <w:t>2</w:t>
      </w:r>
      <w:r>
        <w:rPr>
          <w:rFonts w:hint="eastAsia" w:ascii="Times New Roman" w:hAnsi="Times New Roman" w:cs="Times New Roman"/>
          <w:color w:val="000000"/>
          <w:spacing w:val="-2"/>
          <w:sz w:val="18"/>
          <w:szCs w:val="18"/>
        </w:rPr>
        <w:t>h</w:t>
      </w:r>
      <w:r>
        <w:rPr>
          <w:rFonts w:ascii="Times New Roman" w:hAnsi="宋体" w:cs="Times New Roman"/>
          <w:color w:val="000000"/>
          <w:spacing w:val="-2"/>
          <w:sz w:val="18"/>
          <w:szCs w:val="18"/>
        </w:rPr>
        <w:t>内小于</w:t>
      </w:r>
      <w:r>
        <w:rPr>
          <w:rFonts w:ascii="Times New Roman" w:hAnsi="Times New Roman" w:cs="Times New Roman"/>
          <w:color w:val="000000"/>
          <w:spacing w:val="-2"/>
          <w:sz w:val="18"/>
          <w:szCs w:val="18"/>
        </w:rPr>
        <w:t>2.0m</w:t>
      </w:r>
      <w:r>
        <w:rPr>
          <w:rFonts w:ascii="宋体" w:hAnsi="宋体" w:cs="Times New Roman"/>
          <w:color w:val="000000"/>
          <w:spacing w:val="-2"/>
          <w:sz w:val="18"/>
          <w:szCs w:val="18"/>
        </w:rPr>
        <w:t>m时，方可施加下一级荷载。</w:t>
      </w:r>
    </w:p>
    <w:p>
      <w:pPr>
        <w:spacing w:line="360" w:lineRule="exact"/>
        <w:rPr>
          <w:rFonts w:ascii="宋体" w:hAnsi="宋体" w:cs="Times New Roman"/>
          <w:color w:val="000000"/>
          <w:szCs w:val="21"/>
        </w:rPr>
      </w:pPr>
      <w:r>
        <w:rPr>
          <w:rFonts w:hint="eastAsia" w:ascii="Times New Roman" w:hAnsi="Times New Roman" w:cs="Times New Roman"/>
          <w:color w:val="000000"/>
          <w:szCs w:val="21"/>
        </w:rPr>
        <w:t>A.0. 4</w:t>
      </w:r>
      <w:r>
        <w:rPr>
          <w:rFonts w:ascii="宋体" w:hAnsi="宋体" w:cs="Times New Roman"/>
          <w:color w:val="000000"/>
          <w:szCs w:val="21"/>
        </w:rPr>
        <w:t xml:space="preserve"> </w:t>
      </w:r>
      <w:r>
        <w:rPr>
          <w:rFonts w:hint="eastAsia" w:ascii="宋体" w:hAnsi="宋体" w:cs="Times New Roman"/>
          <w:color w:val="000000"/>
          <w:szCs w:val="21"/>
        </w:rPr>
        <w:t xml:space="preserve"> </w:t>
      </w:r>
      <w:r>
        <w:rPr>
          <w:rFonts w:ascii="宋体" w:hAnsi="宋体" w:cs="Times New Roman"/>
          <w:color w:val="000000"/>
          <w:szCs w:val="21"/>
        </w:rPr>
        <w:t>锚杆</w:t>
      </w:r>
      <w:r>
        <w:rPr>
          <w:rFonts w:hint="eastAsia" w:ascii="宋体" w:hAnsi="宋体" w:cs="Times New Roman"/>
          <w:color w:val="000000"/>
          <w:szCs w:val="21"/>
        </w:rPr>
        <w:t>基本</w:t>
      </w:r>
      <w:r>
        <w:rPr>
          <w:rFonts w:ascii="宋体" w:hAnsi="宋体" w:cs="Times New Roman"/>
          <w:color w:val="000000"/>
          <w:szCs w:val="21"/>
        </w:rPr>
        <w:t>试验出现下列情况之一时，可判定锚杆破坏：</w:t>
      </w:r>
    </w:p>
    <w:p>
      <w:pPr>
        <w:spacing w:line="360" w:lineRule="exact"/>
        <w:ind w:firstLine="420" w:firstLineChars="200"/>
        <w:rPr>
          <w:rFonts w:ascii="宋体" w:hAnsi="宋体" w:cs="Times New Roman"/>
          <w:color w:val="000000"/>
          <w:szCs w:val="21"/>
        </w:rPr>
      </w:pPr>
      <w:r>
        <w:rPr>
          <w:rFonts w:hint="eastAsia" w:ascii="Times New Roman" w:hAnsi="Times New Roman" w:cs="Times New Roman"/>
          <w:color w:val="000000"/>
          <w:szCs w:val="21"/>
        </w:rPr>
        <w:t>1</w:t>
      </w:r>
      <w:r>
        <w:rPr>
          <w:rFonts w:ascii="宋体" w:hAnsi="宋体" w:cs="Times New Roman"/>
          <w:color w:val="000000"/>
          <w:szCs w:val="21"/>
        </w:rPr>
        <w:t xml:space="preserve"> </w:t>
      </w:r>
      <w:r>
        <w:rPr>
          <w:rFonts w:hint="eastAsia" w:ascii="宋体" w:hAnsi="宋体" w:cs="Times New Roman"/>
          <w:color w:val="000000"/>
          <w:szCs w:val="21"/>
        </w:rPr>
        <w:t xml:space="preserve"> </w:t>
      </w:r>
      <w:r>
        <w:rPr>
          <w:rFonts w:ascii="宋体" w:hAnsi="宋体" w:cs="Times New Roman"/>
          <w:color w:val="000000"/>
          <w:szCs w:val="21"/>
        </w:rPr>
        <w:t>后一级荷载产生的锚头位移增量达到或超过前一级荷载产生的位移增量的2倍；</w:t>
      </w:r>
    </w:p>
    <w:p>
      <w:pPr>
        <w:spacing w:line="360" w:lineRule="exact"/>
        <w:ind w:firstLine="420" w:firstLineChars="200"/>
        <w:rPr>
          <w:rFonts w:ascii="宋体" w:hAnsi="宋体" w:cs="Times New Roman"/>
          <w:color w:val="000000"/>
          <w:szCs w:val="21"/>
        </w:rPr>
      </w:pPr>
      <w:r>
        <w:rPr>
          <w:rFonts w:hint="eastAsia" w:ascii="Times New Roman" w:hAnsi="Times New Roman" w:cs="Times New Roman"/>
          <w:color w:val="000000"/>
          <w:szCs w:val="21"/>
        </w:rPr>
        <w:t xml:space="preserve">2 </w:t>
      </w:r>
      <w:r>
        <w:rPr>
          <w:rFonts w:hint="eastAsia" w:ascii="宋体" w:hAnsi="宋体" w:cs="Times New Roman"/>
          <w:color w:val="000000"/>
          <w:szCs w:val="21"/>
        </w:rPr>
        <w:t xml:space="preserve"> </w:t>
      </w:r>
      <w:r>
        <w:rPr>
          <w:rFonts w:ascii="宋体" w:hAnsi="宋体" w:cs="Times New Roman"/>
          <w:color w:val="000000"/>
          <w:szCs w:val="21"/>
        </w:rPr>
        <w:t>锚头位移持续增长；</w:t>
      </w:r>
    </w:p>
    <w:p>
      <w:pPr>
        <w:spacing w:line="360" w:lineRule="exact"/>
        <w:ind w:firstLine="420" w:firstLineChars="200"/>
        <w:rPr>
          <w:rFonts w:ascii="宋体" w:hAnsi="宋体" w:cs="Times New Roman"/>
          <w:color w:val="000000"/>
          <w:szCs w:val="21"/>
        </w:rPr>
      </w:pPr>
      <w:r>
        <w:rPr>
          <w:rFonts w:hint="eastAsia" w:ascii="Times New Roman" w:hAnsi="Times New Roman" w:cs="Times New Roman"/>
          <w:color w:val="000000"/>
          <w:szCs w:val="21"/>
        </w:rPr>
        <w:t xml:space="preserve">3 </w:t>
      </w:r>
      <w:r>
        <w:rPr>
          <w:rFonts w:hint="eastAsia" w:ascii="宋体" w:hAnsi="宋体" w:cs="Times New Roman"/>
          <w:color w:val="000000"/>
          <w:szCs w:val="21"/>
        </w:rPr>
        <w:t xml:space="preserve"> </w:t>
      </w:r>
      <w:r>
        <w:rPr>
          <w:rFonts w:ascii="宋体" w:hAnsi="宋体" w:cs="Times New Roman"/>
          <w:color w:val="000000"/>
          <w:szCs w:val="21"/>
        </w:rPr>
        <w:t>锚杆杆体破坏。</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A.0. 5</w:t>
      </w:r>
      <w:r>
        <w:rPr>
          <w:rFonts w:ascii="宋体" w:hAnsi="宋体" w:cs="Times New Roman"/>
          <w:color w:val="000000"/>
          <w:szCs w:val="21"/>
        </w:rPr>
        <w:t xml:space="preserve"> </w:t>
      </w:r>
      <w:r>
        <w:rPr>
          <w:rFonts w:hint="eastAsia" w:ascii="宋体" w:hAnsi="宋体" w:cs="Times New Roman"/>
          <w:color w:val="000000"/>
          <w:szCs w:val="21"/>
        </w:rPr>
        <w:t xml:space="preserve"> </w:t>
      </w:r>
      <w:r>
        <w:rPr>
          <w:rFonts w:ascii="宋体" w:hAnsi="宋体" w:cs="Times New Roman"/>
          <w:color w:val="000000"/>
          <w:szCs w:val="21"/>
        </w:rPr>
        <w:t>锚杆</w:t>
      </w:r>
      <w:r>
        <w:rPr>
          <w:rFonts w:hint="eastAsia" w:ascii="宋体" w:hAnsi="宋体" w:cs="Times New Roman"/>
          <w:color w:val="000000"/>
          <w:szCs w:val="21"/>
        </w:rPr>
        <w:t>基本</w:t>
      </w:r>
      <w:r>
        <w:rPr>
          <w:rFonts w:ascii="宋体" w:hAnsi="宋体" w:cs="Times New Roman"/>
          <w:color w:val="000000"/>
          <w:szCs w:val="21"/>
        </w:rPr>
        <w:t>试验结果宜按荷载与对应的锚头位移列表整理，并绘制锚杆荷载</w:t>
      </w:r>
      <w:r>
        <w:rPr>
          <w:rFonts w:hint="eastAsia" w:ascii="宋体" w:hAnsi="宋体" w:cs="Times New Roman"/>
          <w:color w:val="000000"/>
          <w:szCs w:val="21"/>
        </w:rPr>
        <w:t>－</w:t>
      </w:r>
      <w:r>
        <w:rPr>
          <w:rFonts w:ascii="宋体" w:hAnsi="宋体" w:cs="Times New Roman"/>
          <w:color w:val="000000"/>
          <w:szCs w:val="21"/>
        </w:rPr>
        <w:t>位移（P</w:t>
      </w:r>
      <w:r>
        <w:rPr>
          <w:rFonts w:hint="eastAsia" w:ascii="宋体" w:hAnsi="宋体" w:cs="Times New Roman"/>
          <w:color w:val="000000"/>
          <w:szCs w:val="21"/>
        </w:rPr>
        <w:t>-S</w:t>
      </w:r>
      <w:r>
        <w:rPr>
          <w:rFonts w:ascii="宋体" w:hAnsi="宋体" w:cs="Times New Roman"/>
          <w:color w:val="000000"/>
          <w:szCs w:val="21"/>
        </w:rPr>
        <w:t>）曲线、锚杆荷载</w:t>
      </w:r>
      <w:r>
        <w:rPr>
          <w:rFonts w:hint="eastAsia" w:ascii="宋体" w:hAnsi="宋体" w:cs="Times New Roman"/>
          <w:color w:val="000000"/>
          <w:szCs w:val="21"/>
        </w:rPr>
        <w:t>－</w:t>
      </w:r>
      <w:r>
        <w:rPr>
          <w:rFonts w:ascii="宋体" w:hAnsi="宋体" w:cs="Times New Roman"/>
          <w:color w:val="000000"/>
          <w:szCs w:val="21"/>
        </w:rPr>
        <w:t>弹性位移（P</w:t>
      </w:r>
      <w:r>
        <w:rPr>
          <w:rFonts w:hint="eastAsia" w:ascii="宋体" w:hAnsi="宋体" w:cs="Times New Roman"/>
          <w:color w:val="000000"/>
          <w:szCs w:val="21"/>
        </w:rPr>
        <w:t>-S</w:t>
      </w:r>
      <w:r>
        <w:rPr>
          <w:rFonts w:ascii="宋体" w:hAnsi="宋体" w:cs="Times New Roman"/>
          <w:color w:val="000000"/>
          <w:szCs w:val="21"/>
        </w:rPr>
        <w:t>e）曲线和锚杆荷载</w:t>
      </w:r>
      <w:r>
        <w:rPr>
          <w:rFonts w:hint="eastAsia" w:ascii="宋体" w:hAnsi="宋体" w:cs="Times New Roman"/>
          <w:color w:val="000000"/>
          <w:szCs w:val="21"/>
        </w:rPr>
        <w:t>－</w:t>
      </w:r>
      <w:r>
        <w:rPr>
          <w:rFonts w:ascii="宋体" w:hAnsi="宋体" w:cs="Times New Roman"/>
          <w:color w:val="000000"/>
          <w:szCs w:val="21"/>
        </w:rPr>
        <w:t>塑性位移（P</w:t>
      </w:r>
      <w:r>
        <w:rPr>
          <w:rFonts w:hint="eastAsia" w:ascii="宋体" w:hAnsi="宋体" w:cs="Times New Roman"/>
          <w:color w:val="000000"/>
          <w:szCs w:val="21"/>
        </w:rPr>
        <w:t>-S</w:t>
      </w:r>
      <w:r>
        <w:rPr>
          <w:rFonts w:ascii="宋体" w:hAnsi="宋体" w:cs="Times New Roman"/>
          <w:color w:val="000000"/>
          <w:szCs w:val="21"/>
        </w:rPr>
        <w:t>p）曲线。</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A.0.6</w:t>
      </w:r>
      <w:r>
        <w:rPr>
          <w:rFonts w:hint="eastAsia" w:ascii="宋体" w:hAnsi="宋体" w:cs="Times New Roman"/>
          <w:color w:val="000000"/>
          <w:szCs w:val="21"/>
        </w:rPr>
        <w:t xml:space="preserve">  单根</w:t>
      </w:r>
      <w:r>
        <w:rPr>
          <w:rFonts w:ascii="宋体" w:hAnsi="宋体" w:cs="Times New Roman"/>
          <w:color w:val="000000"/>
          <w:szCs w:val="21"/>
        </w:rPr>
        <w:t>锚杆</w:t>
      </w:r>
      <w:r>
        <w:rPr>
          <w:rFonts w:hint="eastAsia" w:ascii="宋体" w:hAnsi="宋体" w:cs="Times New Roman"/>
          <w:color w:val="000000"/>
          <w:szCs w:val="21"/>
        </w:rPr>
        <w:t>抗拔力</w:t>
      </w:r>
      <w:r>
        <w:rPr>
          <w:rFonts w:ascii="宋体" w:hAnsi="宋体" w:cs="Times New Roman"/>
          <w:color w:val="000000"/>
          <w:szCs w:val="21"/>
        </w:rPr>
        <w:t>极限</w:t>
      </w:r>
      <w:r>
        <w:rPr>
          <w:rFonts w:hint="eastAsia" w:ascii="宋体" w:hAnsi="宋体" w:cs="Times New Roman"/>
          <w:color w:val="000000"/>
          <w:szCs w:val="21"/>
        </w:rPr>
        <w:t>值</w:t>
      </w:r>
      <w:r>
        <w:rPr>
          <w:rFonts w:ascii="宋体" w:hAnsi="宋体" w:cs="Times New Roman"/>
          <w:color w:val="000000"/>
          <w:szCs w:val="21"/>
        </w:rPr>
        <w:t>应取破坏荷载的前一级荷载。在最大试验荷载下未达到本规程第</w:t>
      </w:r>
      <w:r>
        <w:rPr>
          <w:rFonts w:hint="eastAsia" w:ascii="宋体" w:hAnsi="宋体" w:cs="Times New Roman"/>
          <w:color w:val="000000"/>
          <w:szCs w:val="21"/>
        </w:rPr>
        <w:t>A</w:t>
      </w:r>
      <w:r>
        <w:rPr>
          <w:rFonts w:ascii="宋体" w:hAnsi="宋体" w:cs="Times New Roman"/>
          <w:color w:val="000000"/>
          <w:szCs w:val="21"/>
        </w:rPr>
        <w:t>.</w:t>
      </w:r>
      <w:r>
        <w:rPr>
          <w:rFonts w:hint="eastAsia" w:ascii="宋体" w:hAnsi="宋体" w:cs="Times New Roman"/>
          <w:color w:val="000000"/>
          <w:szCs w:val="21"/>
        </w:rPr>
        <w:t>0</w:t>
      </w:r>
      <w:r>
        <w:rPr>
          <w:rFonts w:ascii="宋体" w:hAnsi="宋体" w:cs="Times New Roman"/>
          <w:color w:val="000000"/>
          <w:szCs w:val="21"/>
        </w:rPr>
        <w:t>.4条规定的破坏标准时，锚杆的</w:t>
      </w:r>
      <w:r>
        <w:rPr>
          <w:rFonts w:hint="eastAsia" w:ascii="宋体" w:hAnsi="宋体" w:cs="Times New Roman"/>
          <w:color w:val="000000"/>
          <w:szCs w:val="21"/>
        </w:rPr>
        <w:t>抗拔力</w:t>
      </w:r>
      <w:r>
        <w:rPr>
          <w:rFonts w:ascii="宋体" w:hAnsi="宋体" w:cs="Times New Roman"/>
          <w:color w:val="000000"/>
          <w:szCs w:val="21"/>
        </w:rPr>
        <w:t>极限</w:t>
      </w:r>
      <w:r>
        <w:rPr>
          <w:rFonts w:hint="eastAsia" w:ascii="宋体" w:hAnsi="宋体" w:cs="Times New Roman"/>
          <w:color w:val="000000"/>
          <w:szCs w:val="21"/>
        </w:rPr>
        <w:t>值</w:t>
      </w:r>
      <w:r>
        <w:rPr>
          <w:rFonts w:ascii="宋体" w:hAnsi="宋体" w:cs="Times New Roman"/>
          <w:color w:val="000000"/>
          <w:szCs w:val="21"/>
        </w:rPr>
        <w:t>应取最大试验荷载。</w:t>
      </w:r>
    </w:p>
    <w:p>
      <w:pPr>
        <w:rPr>
          <w:rFonts w:asciiTheme="minorEastAsia" w:hAnsiTheme="minorEastAsia" w:eastAsiaTheme="minorEastAsia" w:cstheme="minorEastAsia"/>
        </w:rPr>
      </w:pPr>
      <w:r>
        <w:rPr>
          <w:rFonts w:hint="eastAsia" w:ascii="Times New Roman" w:hAnsi="Times New Roman" w:cs="Times New Roman"/>
          <w:color w:val="000000"/>
          <w:szCs w:val="21"/>
        </w:rPr>
        <w:t xml:space="preserve">A.0.7 </w:t>
      </w:r>
      <w:r>
        <w:rPr>
          <w:rFonts w:hint="eastAsia" w:ascii="宋体" w:hAnsi="宋体" w:cs="Times New Roman"/>
          <w:color w:val="000000"/>
          <w:szCs w:val="21"/>
        </w:rPr>
        <w:t xml:space="preserve"> </w:t>
      </w:r>
      <w:r>
        <w:rPr>
          <w:rFonts w:ascii="宋体" w:hAnsi="宋体" w:cs="Times New Roman"/>
          <w:color w:val="000000"/>
          <w:szCs w:val="21"/>
        </w:rPr>
        <w:t>当每组试验锚杆</w:t>
      </w:r>
      <w:r>
        <w:rPr>
          <w:rFonts w:hint="eastAsia" w:ascii="宋体" w:hAnsi="宋体" w:cs="Times New Roman"/>
          <w:color w:val="000000"/>
          <w:szCs w:val="21"/>
        </w:rPr>
        <w:t>抗拔力</w:t>
      </w:r>
      <w:r>
        <w:rPr>
          <w:rFonts w:ascii="宋体" w:hAnsi="宋体" w:cs="Times New Roman"/>
          <w:color w:val="000000"/>
          <w:szCs w:val="21"/>
        </w:rPr>
        <w:t>极限</w:t>
      </w:r>
      <w:r>
        <w:rPr>
          <w:rFonts w:hint="eastAsia" w:ascii="宋体" w:hAnsi="宋体" w:cs="Times New Roman"/>
          <w:color w:val="000000"/>
          <w:szCs w:val="21"/>
        </w:rPr>
        <w:t>值</w:t>
      </w:r>
      <w:r>
        <w:rPr>
          <w:rFonts w:ascii="宋体" w:hAnsi="宋体" w:cs="Times New Roman"/>
          <w:color w:val="000000"/>
          <w:szCs w:val="21"/>
        </w:rPr>
        <w:t>的</w:t>
      </w:r>
      <w:r>
        <w:rPr>
          <w:rFonts w:hint="eastAsia" w:ascii="宋体" w:hAnsi="宋体" w:cs="Times New Roman"/>
          <w:color w:val="000000"/>
          <w:szCs w:val="21"/>
        </w:rPr>
        <w:t>极</w:t>
      </w:r>
      <w:r>
        <w:rPr>
          <w:rFonts w:ascii="宋体" w:hAnsi="宋体" w:cs="Times New Roman"/>
          <w:color w:val="000000"/>
          <w:szCs w:val="21"/>
        </w:rPr>
        <w:t>差</w:t>
      </w:r>
      <w:r>
        <w:rPr>
          <w:rFonts w:hint="eastAsia" w:ascii="宋体" w:hAnsi="宋体" w:cs="Times New Roman"/>
          <w:color w:val="000000"/>
          <w:szCs w:val="21"/>
        </w:rPr>
        <w:t>与平均</w:t>
      </w:r>
      <w:r>
        <w:rPr>
          <w:rFonts w:ascii="宋体" w:hAnsi="宋体" w:cs="Times New Roman"/>
          <w:color w:val="000000"/>
          <w:szCs w:val="21"/>
        </w:rPr>
        <w:t>值</w:t>
      </w:r>
      <w:r>
        <w:rPr>
          <w:rFonts w:hint="eastAsia" w:ascii="宋体" w:hAnsi="宋体" w:cs="Times New Roman"/>
          <w:color w:val="000000"/>
          <w:szCs w:val="21"/>
        </w:rPr>
        <w:t>的比值</w:t>
      </w:r>
      <w:r>
        <w:rPr>
          <w:rFonts w:ascii="宋体" w:hAnsi="宋体" w:cs="Times New Roman"/>
          <w:color w:val="000000"/>
          <w:szCs w:val="21"/>
        </w:rPr>
        <w:t>不大于</w:t>
      </w:r>
      <w:r>
        <w:rPr>
          <w:rFonts w:hint="eastAsia" w:ascii="宋体" w:hAnsi="宋体" w:cs="Times New Roman"/>
          <w:color w:val="000000"/>
          <w:szCs w:val="21"/>
        </w:rPr>
        <w:t>0.3</w:t>
      </w:r>
      <w:r>
        <w:rPr>
          <w:rFonts w:ascii="宋体" w:hAnsi="宋体" w:cs="Times New Roman"/>
          <w:color w:val="000000"/>
          <w:szCs w:val="21"/>
        </w:rPr>
        <w:t>时，应取</w:t>
      </w:r>
      <w:r>
        <w:rPr>
          <w:rFonts w:hint="eastAsia" w:ascii="宋体" w:hAnsi="宋体" w:cs="Times New Roman"/>
          <w:color w:val="000000"/>
          <w:szCs w:val="21"/>
        </w:rPr>
        <w:t>平均</w:t>
      </w:r>
      <w:r>
        <w:rPr>
          <w:rFonts w:ascii="宋体" w:hAnsi="宋体" w:cs="Times New Roman"/>
          <w:color w:val="000000"/>
          <w:szCs w:val="21"/>
        </w:rPr>
        <w:t>值</w:t>
      </w:r>
      <w:r>
        <w:rPr>
          <w:rFonts w:hint="eastAsia" w:ascii="宋体" w:hAnsi="宋体" w:cs="Times New Roman"/>
          <w:color w:val="000000"/>
          <w:szCs w:val="21"/>
        </w:rPr>
        <w:t>的95%与最小值之间的较大者</w:t>
      </w:r>
      <w:r>
        <w:rPr>
          <w:rFonts w:ascii="宋体" w:hAnsi="宋体" w:cs="Times New Roman"/>
          <w:color w:val="000000"/>
          <w:szCs w:val="21"/>
        </w:rPr>
        <w:t>作为锚杆</w:t>
      </w:r>
      <w:r>
        <w:rPr>
          <w:rFonts w:hint="eastAsia" w:ascii="宋体" w:hAnsi="宋体" w:cs="Times New Roman"/>
          <w:color w:val="000000"/>
          <w:szCs w:val="21"/>
        </w:rPr>
        <w:t>抗拔力</w:t>
      </w:r>
      <w:r>
        <w:rPr>
          <w:rFonts w:ascii="宋体" w:hAnsi="宋体" w:cs="Times New Roman"/>
          <w:color w:val="000000"/>
          <w:szCs w:val="21"/>
        </w:rPr>
        <w:t>极限</w:t>
      </w:r>
      <w:r>
        <w:rPr>
          <w:rFonts w:hint="eastAsia" w:ascii="宋体" w:hAnsi="宋体" w:cs="Times New Roman"/>
          <w:color w:val="000000"/>
          <w:szCs w:val="21"/>
        </w:rPr>
        <w:t>值</w:t>
      </w:r>
      <w:r>
        <w:rPr>
          <w:rFonts w:ascii="宋体" w:hAnsi="宋体" w:cs="Times New Roman"/>
          <w:color w:val="000000"/>
          <w:szCs w:val="21"/>
        </w:rPr>
        <w:t>。当</w:t>
      </w:r>
      <w:r>
        <w:rPr>
          <w:rFonts w:hint="eastAsia" w:ascii="宋体" w:hAnsi="宋体" w:cs="Times New Roman"/>
          <w:color w:val="000000"/>
          <w:szCs w:val="21"/>
        </w:rPr>
        <w:t>极</w:t>
      </w:r>
      <w:r>
        <w:rPr>
          <w:rFonts w:ascii="宋体" w:hAnsi="宋体" w:cs="Times New Roman"/>
          <w:color w:val="000000"/>
          <w:szCs w:val="21"/>
        </w:rPr>
        <w:t>差</w:t>
      </w:r>
      <w:r>
        <w:rPr>
          <w:rFonts w:hint="eastAsia" w:ascii="宋体" w:hAnsi="宋体" w:cs="Times New Roman"/>
          <w:color w:val="000000"/>
          <w:szCs w:val="21"/>
        </w:rPr>
        <w:t>与平均</w:t>
      </w:r>
      <w:r>
        <w:rPr>
          <w:rFonts w:ascii="宋体" w:hAnsi="宋体" w:cs="Times New Roman"/>
          <w:color w:val="000000"/>
          <w:szCs w:val="21"/>
        </w:rPr>
        <w:t>值</w:t>
      </w:r>
      <w:r>
        <w:rPr>
          <w:rFonts w:hint="eastAsia" w:ascii="宋体" w:hAnsi="宋体" w:cs="Times New Roman"/>
          <w:color w:val="000000"/>
          <w:szCs w:val="21"/>
        </w:rPr>
        <w:t>的比值</w:t>
      </w:r>
      <w:r>
        <w:rPr>
          <w:rFonts w:ascii="宋体" w:hAnsi="宋体" w:cs="Times New Roman"/>
          <w:color w:val="000000"/>
          <w:szCs w:val="21"/>
        </w:rPr>
        <w:t>大于</w:t>
      </w:r>
      <w:r>
        <w:rPr>
          <w:rFonts w:hint="eastAsia" w:ascii="宋体" w:hAnsi="宋体" w:cs="Times New Roman"/>
          <w:color w:val="000000"/>
          <w:szCs w:val="21"/>
        </w:rPr>
        <w:t>0.3</w:t>
      </w:r>
      <w:r>
        <w:rPr>
          <w:rFonts w:ascii="宋体" w:hAnsi="宋体" w:cs="Times New Roman"/>
          <w:color w:val="000000"/>
          <w:szCs w:val="21"/>
        </w:rPr>
        <w:t>时，</w:t>
      </w:r>
      <w:r>
        <w:rPr>
          <w:rFonts w:hint="eastAsia" w:ascii="宋体" w:hAnsi="宋体" w:cs="Times New Roman"/>
          <w:color w:val="000000"/>
          <w:szCs w:val="21"/>
        </w:rPr>
        <w:t>可</w:t>
      </w:r>
      <w:r>
        <w:rPr>
          <w:rFonts w:ascii="宋体" w:hAnsi="宋体" w:cs="Times New Roman"/>
          <w:color w:val="000000"/>
          <w:szCs w:val="21"/>
        </w:rPr>
        <w:t>增加试验锚杆数量，</w:t>
      </w:r>
      <w:r>
        <w:rPr>
          <w:rFonts w:hint="eastAsia" w:ascii="宋体" w:hAnsi="宋体" w:cs="Times New Roman"/>
          <w:color w:val="000000"/>
          <w:szCs w:val="21"/>
        </w:rPr>
        <w:t>分析离差过大的原因，结合工程具体情况确定抗拔力极限值。</w:t>
      </w:r>
      <w:r>
        <w:rPr>
          <w:rFonts w:hint="eastAsia" w:asciiTheme="minorEastAsia" w:hAnsiTheme="minorEastAsia" w:eastAsiaTheme="minorEastAsia" w:cstheme="minorEastAsia"/>
        </w:rPr>
        <w:br w:type="page"/>
      </w:r>
    </w:p>
    <w:p>
      <w:pPr>
        <w:keepNext/>
        <w:keepLines/>
        <w:spacing w:before="312" w:beforeLines="100" w:after="156" w:afterLines="50"/>
        <w:rPr>
          <w:rFonts w:asciiTheme="minorEastAsia" w:hAnsiTheme="minorEastAsia" w:eastAsiaTheme="minorEastAsia" w:cstheme="minorEastAsia"/>
          <w:b/>
          <w:sz w:val="24"/>
        </w:rPr>
      </w:pPr>
      <w:bookmarkStart w:id="416" w:name="_Toc27124"/>
      <w:bookmarkStart w:id="417" w:name="_Toc16938"/>
    </w:p>
    <w:p>
      <w:pPr>
        <w:pStyle w:val="2"/>
        <w:spacing w:before="312" w:beforeLines="100" w:after="156" w:afterLines="50"/>
        <w:rPr>
          <w:rFonts w:asciiTheme="minorEastAsia" w:hAnsiTheme="minorEastAsia" w:eastAsiaTheme="minorEastAsia" w:cstheme="minorEastAsia"/>
        </w:rPr>
      </w:pPr>
      <w:bookmarkStart w:id="418" w:name="_Toc11814"/>
      <w:bookmarkStart w:id="419" w:name="_Toc10690"/>
      <w:bookmarkStart w:id="420" w:name="_Toc10945"/>
      <w:bookmarkStart w:id="421" w:name="_Toc6544"/>
      <w:r>
        <w:rPr>
          <w:rFonts w:hint="eastAsia" w:asciiTheme="minorEastAsia" w:hAnsiTheme="minorEastAsia" w:eastAsiaTheme="minorEastAsia" w:cstheme="minorEastAsia"/>
        </w:rPr>
        <w:t>附录B  验收试验</w:t>
      </w:r>
      <w:bookmarkEnd w:id="416"/>
      <w:bookmarkEnd w:id="417"/>
      <w:bookmarkEnd w:id="418"/>
      <w:bookmarkEnd w:id="419"/>
      <w:bookmarkEnd w:id="420"/>
      <w:bookmarkEnd w:id="421"/>
    </w:p>
    <w:p/>
    <w:p>
      <w:pPr>
        <w:spacing w:line="360" w:lineRule="exact"/>
        <w:rPr>
          <w:rFonts w:ascii="宋体" w:hAnsi="宋体" w:cs="Times New Roman"/>
          <w:color w:val="000000"/>
          <w:szCs w:val="21"/>
        </w:rPr>
      </w:pPr>
      <w:r>
        <w:rPr>
          <w:rFonts w:hint="eastAsia" w:ascii="Times New Roman" w:hAnsi="Times New Roman" w:cs="Times New Roman"/>
          <w:color w:val="000000"/>
          <w:szCs w:val="21"/>
        </w:rPr>
        <w:t>B.0.1</w:t>
      </w:r>
      <w:r>
        <w:rPr>
          <w:rFonts w:hint="eastAsia" w:ascii="Times New Roman" w:hAnsi="Times New Roman" w:cs="Times New Roman"/>
          <w:b/>
          <w:bCs/>
          <w:color w:val="000000"/>
          <w:szCs w:val="21"/>
        </w:rPr>
        <w:t xml:space="preserve">  </w:t>
      </w:r>
      <w:r>
        <w:rPr>
          <w:rFonts w:ascii="宋体" w:hAnsi="宋体" w:cs="Times New Roman"/>
          <w:color w:val="000000"/>
          <w:szCs w:val="21"/>
        </w:rPr>
        <w:t>永久性</w:t>
      </w:r>
      <w:r>
        <w:rPr>
          <w:rFonts w:hint="eastAsia" w:ascii="宋体" w:hAnsi="宋体" w:cs="Times New Roman"/>
          <w:color w:val="000000"/>
          <w:szCs w:val="21"/>
        </w:rPr>
        <w:t>笼芯囊</w:t>
      </w:r>
      <w:r>
        <w:rPr>
          <w:rFonts w:ascii="宋体" w:hAnsi="宋体" w:cs="Times New Roman"/>
          <w:color w:val="000000"/>
          <w:szCs w:val="21"/>
        </w:rPr>
        <w:t>锚杆最大试验荷载</w:t>
      </w:r>
      <w:r>
        <w:rPr>
          <w:rFonts w:hint="eastAsia" w:ascii="宋体" w:hAnsi="宋体" w:cs="Times New Roman"/>
          <w:color w:val="000000"/>
          <w:szCs w:val="21"/>
        </w:rPr>
        <w:t>不应小于</w:t>
      </w:r>
      <w:r>
        <w:rPr>
          <w:rFonts w:ascii="宋体" w:hAnsi="宋体" w:cs="Times New Roman"/>
          <w:color w:val="000000"/>
          <w:szCs w:val="21"/>
        </w:rPr>
        <w:t>锚杆抗拔力</w:t>
      </w:r>
      <w:r>
        <w:rPr>
          <w:rFonts w:hint="eastAsia" w:ascii="宋体" w:hAnsi="宋体" w:cs="Times New Roman"/>
          <w:color w:val="000000"/>
          <w:szCs w:val="21"/>
        </w:rPr>
        <w:t>特征</w:t>
      </w:r>
      <w:r>
        <w:rPr>
          <w:rFonts w:ascii="宋体" w:hAnsi="宋体" w:cs="Times New Roman"/>
          <w:color w:val="000000"/>
          <w:szCs w:val="21"/>
        </w:rPr>
        <w:t>值的1.5倍；临时性锚杆的最大试验荷载</w:t>
      </w:r>
      <w:r>
        <w:rPr>
          <w:rFonts w:hint="eastAsia" w:ascii="宋体" w:hAnsi="宋体" w:cs="Times New Roman"/>
          <w:color w:val="000000"/>
          <w:szCs w:val="21"/>
        </w:rPr>
        <w:t>不应小于</w:t>
      </w:r>
      <w:r>
        <w:rPr>
          <w:rFonts w:ascii="宋体" w:hAnsi="宋体" w:cs="Times New Roman"/>
          <w:color w:val="000000"/>
          <w:szCs w:val="21"/>
        </w:rPr>
        <w:t>锚杆抗拔力</w:t>
      </w:r>
      <w:r>
        <w:rPr>
          <w:rFonts w:hint="eastAsia" w:ascii="宋体" w:hAnsi="宋体" w:cs="Times New Roman"/>
          <w:color w:val="000000"/>
          <w:szCs w:val="21"/>
        </w:rPr>
        <w:t>特征</w:t>
      </w:r>
      <w:r>
        <w:rPr>
          <w:rFonts w:ascii="宋体" w:hAnsi="宋体" w:cs="Times New Roman"/>
          <w:color w:val="000000"/>
          <w:szCs w:val="21"/>
        </w:rPr>
        <w:t>值的1.2倍。</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B.0.2</w:t>
      </w:r>
      <w:r>
        <w:rPr>
          <w:rFonts w:ascii="宋体" w:hAnsi="宋体" w:cs="Times New Roman"/>
          <w:color w:val="000000"/>
          <w:szCs w:val="21"/>
        </w:rPr>
        <w:t xml:space="preserve">  验收试验应分级加荷，初始荷载宜取锚杆抗拔力</w:t>
      </w:r>
      <w:r>
        <w:rPr>
          <w:rFonts w:hint="eastAsia" w:ascii="宋体" w:hAnsi="宋体" w:cs="Times New Roman"/>
          <w:color w:val="000000"/>
          <w:szCs w:val="21"/>
        </w:rPr>
        <w:t>特征</w:t>
      </w:r>
      <w:r>
        <w:rPr>
          <w:rFonts w:ascii="宋体" w:hAnsi="宋体" w:cs="Times New Roman"/>
          <w:color w:val="000000"/>
          <w:szCs w:val="21"/>
        </w:rPr>
        <w:t>值的0.10倍，分级加荷值宜取锚杆抗拔力</w:t>
      </w:r>
      <w:r>
        <w:rPr>
          <w:rFonts w:hint="eastAsia" w:ascii="宋体" w:hAnsi="宋体" w:cs="Times New Roman"/>
          <w:color w:val="000000"/>
          <w:szCs w:val="21"/>
        </w:rPr>
        <w:t>特征</w:t>
      </w:r>
      <w:r>
        <w:rPr>
          <w:rFonts w:ascii="宋体" w:hAnsi="宋体" w:cs="Times New Roman"/>
          <w:color w:val="000000"/>
          <w:szCs w:val="21"/>
        </w:rPr>
        <w:t>值的0.50倍、0.75倍、1.00倍、1.20倍、1.35倍和1.50倍。</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B.0.3</w:t>
      </w:r>
      <w:r>
        <w:rPr>
          <w:rFonts w:ascii="宋体" w:hAnsi="宋体" w:cs="Times New Roman"/>
          <w:color w:val="000000"/>
          <w:szCs w:val="21"/>
        </w:rPr>
        <w:t xml:space="preserve">  验收试验中，每级荷载</w:t>
      </w:r>
      <w:r>
        <w:rPr>
          <w:rFonts w:hint="eastAsia" w:ascii="宋体" w:hAnsi="宋体" w:cs="Times New Roman"/>
          <w:color w:val="000000"/>
          <w:szCs w:val="21"/>
        </w:rPr>
        <w:t>的</w:t>
      </w:r>
      <w:r>
        <w:rPr>
          <w:rFonts w:ascii="宋体" w:hAnsi="宋体" w:cs="Times New Roman"/>
          <w:color w:val="000000"/>
          <w:szCs w:val="21"/>
        </w:rPr>
        <w:t>稳定</w:t>
      </w:r>
      <w:r>
        <w:rPr>
          <w:rFonts w:hint="eastAsia" w:ascii="宋体" w:hAnsi="宋体" w:cs="Times New Roman"/>
          <w:color w:val="000000"/>
          <w:szCs w:val="21"/>
        </w:rPr>
        <w:t>时间均不应小于</w:t>
      </w:r>
      <w:r>
        <w:rPr>
          <w:rFonts w:ascii="宋体" w:hAnsi="宋体" w:cs="Times New Roman"/>
          <w:color w:val="000000"/>
          <w:szCs w:val="21"/>
        </w:rPr>
        <w:t>5min，最后一级荷载</w:t>
      </w:r>
      <w:r>
        <w:rPr>
          <w:rFonts w:hint="eastAsia" w:ascii="宋体" w:hAnsi="宋体" w:cs="Times New Roman"/>
          <w:color w:val="000000"/>
          <w:szCs w:val="21"/>
        </w:rPr>
        <w:t>的稳定时间应为</w:t>
      </w:r>
      <w:r>
        <w:rPr>
          <w:rFonts w:ascii="宋体" w:hAnsi="宋体" w:cs="Times New Roman"/>
          <w:color w:val="000000"/>
          <w:szCs w:val="21"/>
        </w:rPr>
        <w:t>10min</w:t>
      </w:r>
      <w:r>
        <w:rPr>
          <w:rFonts w:hint="eastAsia" w:ascii="宋体" w:hAnsi="宋体" w:cs="Times New Roman"/>
          <w:color w:val="000000"/>
          <w:szCs w:val="21"/>
        </w:rPr>
        <w:t>，</w:t>
      </w:r>
      <w:r>
        <w:rPr>
          <w:rFonts w:ascii="宋体" w:hAnsi="宋体" w:cs="Times New Roman"/>
          <w:color w:val="000000"/>
          <w:szCs w:val="21"/>
        </w:rPr>
        <w:t>并</w:t>
      </w:r>
      <w:r>
        <w:rPr>
          <w:rFonts w:hint="eastAsia" w:ascii="宋体" w:hAnsi="宋体" w:cs="Times New Roman"/>
          <w:color w:val="000000"/>
          <w:szCs w:val="21"/>
        </w:rPr>
        <w:t>应</w:t>
      </w:r>
      <w:r>
        <w:rPr>
          <w:rFonts w:ascii="宋体" w:hAnsi="宋体" w:cs="Times New Roman"/>
          <w:color w:val="000000"/>
          <w:szCs w:val="21"/>
        </w:rPr>
        <w:t>记录每级荷载</w:t>
      </w:r>
      <w:r>
        <w:rPr>
          <w:rFonts w:hint="eastAsia" w:ascii="宋体" w:hAnsi="宋体" w:cs="Times New Roman"/>
          <w:color w:val="000000"/>
          <w:szCs w:val="21"/>
        </w:rPr>
        <w:t>下的</w:t>
      </w:r>
      <w:r>
        <w:rPr>
          <w:rFonts w:ascii="宋体" w:hAnsi="宋体" w:cs="Times New Roman"/>
          <w:color w:val="000000"/>
          <w:szCs w:val="21"/>
        </w:rPr>
        <w:t>位移增量。如在</w:t>
      </w:r>
      <w:r>
        <w:rPr>
          <w:rFonts w:hint="eastAsia" w:ascii="宋体" w:hAnsi="宋体" w:cs="Times New Roman"/>
          <w:color w:val="000000"/>
          <w:szCs w:val="21"/>
        </w:rPr>
        <w:t>上述稳定时间</w:t>
      </w:r>
      <w:r>
        <w:rPr>
          <w:rFonts w:ascii="宋体" w:hAnsi="宋体" w:cs="Times New Roman"/>
          <w:color w:val="000000"/>
          <w:szCs w:val="21"/>
        </w:rPr>
        <w:t>内锚头位移增量</w:t>
      </w:r>
      <w:r>
        <w:rPr>
          <w:rFonts w:hint="eastAsia" w:ascii="宋体" w:hAnsi="宋体" w:cs="Times New Roman"/>
          <w:color w:val="000000"/>
          <w:szCs w:val="21"/>
        </w:rPr>
        <w:t>不</w:t>
      </w:r>
      <w:r>
        <w:rPr>
          <w:rFonts w:ascii="宋体" w:hAnsi="宋体" w:cs="Times New Roman"/>
          <w:color w:val="000000"/>
          <w:szCs w:val="21"/>
        </w:rPr>
        <w:t>超过1.0mm，</w:t>
      </w:r>
      <w:r>
        <w:rPr>
          <w:rFonts w:hint="eastAsia" w:ascii="宋体" w:hAnsi="宋体" w:cs="Times New Roman"/>
          <w:color w:val="000000"/>
          <w:szCs w:val="21"/>
        </w:rPr>
        <w:t>可认为锚头位移收敛稳定；否</w:t>
      </w:r>
      <w:r>
        <w:rPr>
          <w:rFonts w:ascii="宋体" w:hAnsi="宋体" w:cs="Times New Roman"/>
          <w:color w:val="000000"/>
          <w:szCs w:val="21"/>
        </w:rPr>
        <w:t>则该级荷载应再维持50min，并在</w:t>
      </w:r>
      <w:r>
        <w:rPr>
          <w:rFonts w:hint="eastAsia" w:ascii="宋体" w:hAnsi="宋体" w:cs="Times New Roman"/>
          <w:color w:val="000000"/>
          <w:szCs w:val="21"/>
        </w:rPr>
        <w:t>20</w:t>
      </w:r>
      <w:r>
        <w:rPr>
          <w:rFonts w:ascii="宋体" w:hAnsi="宋体" w:cs="Times New Roman"/>
          <w:color w:val="000000"/>
          <w:szCs w:val="21"/>
        </w:rPr>
        <w:t>、</w:t>
      </w:r>
      <w:r>
        <w:rPr>
          <w:rFonts w:hint="eastAsia" w:ascii="宋体" w:hAnsi="宋体" w:cs="Times New Roman"/>
          <w:color w:val="000000"/>
          <w:szCs w:val="21"/>
        </w:rPr>
        <w:t>30</w:t>
      </w:r>
      <w:r>
        <w:rPr>
          <w:rFonts w:ascii="宋体" w:hAnsi="宋体" w:cs="Times New Roman"/>
          <w:color w:val="000000"/>
          <w:szCs w:val="21"/>
        </w:rPr>
        <w:t>、</w:t>
      </w:r>
      <w:r>
        <w:rPr>
          <w:rFonts w:hint="eastAsia" w:ascii="宋体" w:hAnsi="宋体" w:cs="Times New Roman"/>
          <w:color w:val="000000"/>
          <w:szCs w:val="21"/>
        </w:rPr>
        <w:t>40</w:t>
      </w:r>
      <w:r>
        <w:rPr>
          <w:rFonts w:ascii="宋体" w:hAnsi="宋体" w:cs="Times New Roman"/>
          <w:color w:val="000000"/>
          <w:szCs w:val="21"/>
        </w:rPr>
        <w:t>、</w:t>
      </w:r>
      <w:r>
        <w:rPr>
          <w:rFonts w:hint="eastAsia" w:ascii="宋体" w:hAnsi="宋体" w:cs="Times New Roman"/>
          <w:color w:val="000000"/>
          <w:szCs w:val="21"/>
        </w:rPr>
        <w:t>50</w:t>
      </w:r>
      <w:r>
        <w:rPr>
          <w:rFonts w:ascii="宋体" w:hAnsi="宋体" w:cs="Times New Roman"/>
          <w:color w:val="000000"/>
          <w:szCs w:val="21"/>
        </w:rPr>
        <w:t>和60min时记录锚杆位移增量。</w:t>
      </w:r>
    </w:p>
    <w:p>
      <w:pPr>
        <w:spacing w:line="360" w:lineRule="exact"/>
        <w:jc w:val="left"/>
        <w:rPr>
          <w:rFonts w:ascii="宋体" w:hAnsi="宋体" w:cs="Times New Roman"/>
          <w:color w:val="000000"/>
          <w:szCs w:val="21"/>
        </w:rPr>
      </w:pPr>
      <w:r>
        <w:rPr>
          <w:rFonts w:hint="eastAsia" w:ascii="Times New Roman" w:hAnsi="Times New Roman" w:cs="Times New Roman"/>
          <w:color w:val="000000"/>
          <w:szCs w:val="21"/>
        </w:rPr>
        <w:t>B.0.4</w:t>
      </w:r>
      <w:r>
        <w:rPr>
          <w:rFonts w:ascii="宋体" w:hAnsi="宋体" w:cs="Times New Roman"/>
          <w:color w:val="000000"/>
          <w:szCs w:val="21"/>
        </w:rPr>
        <w:t xml:space="preserve">  加荷至最大试验荷载并观测10min，待位移稳定后即卸荷，然后加荷至锁定荷载锁定。</w:t>
      </w:r>
      <w:r>
        <w:rPr>
          <w:rFonts w:hint="eastAsia" w:ascii="宋体" w:hAnsi="宋体" w:cs="Times New Roman"/>
          <w:color w:val="000000"/>
          <w:szCs w:val="21"/>
        </w:rPr>
        <w:t>试验结果应</w:t>
      </w:r>
      <w:r>
        <w:rPr>
          <w:rFonts w:ascii="宋体" w:hAnsi="宋体" w:cs="Times New Roman"/>
          <w:color w:val="000000"/>
          <w:szCs w:val="21"/>
        </w:rPr>
        <w:t>绘制荷载</w:t>
      </w:r>
      <w:r>
        <w:rPr>
          <w:rFonts w:hint="eastAsia" w:ascii="宋体" w:hAnsi="宋体" w:cs="Times New Roman"/>
          <w:color w:val="000000"/>
          <w:szCs w:val="21"/>
        </w:rPr>
        <w:t>－</w:t>
      </w:r>
      <w:r>
        <w:rPr>
          <w:rFonts w:ascii="宋体" w:hAnsi="宋体" w:cs="Times New Roman"/>
          <w:color w:val="000000"/>
          <w:szCs w:val="21"/>
        </w:rPr>
        <w:t>位移（P</w:t>
      </w:r>
      <w:r>
        <w:rPr>
          <w:rFonts w:hint="eastAsia" w:ascii="宋体" w:hAnsi="宋体" w:cs="Times New Roman"/>
          <w:color w:val="000000"/>
          <w:szCs w:val="21"/>
        </w:rPr>
        <w:t>-S</w:t>
      </w:r>
      <w:r>
        <w:rPr>
          <w:rFonts w:ascii="宋体" w:hAnsi="宋体" w:cs="Times New Roman"/>
          <w:color w:val="000000"/>
          <w:szCs w:val="21"/>
        </w:rPr>
        <w:t>）曲线。</w:t>
      </w:r>
    </w:p>
    <w:p>
      <w:pPr>
        <w:spacing w:line="360" w:lineRule="exact"/>
        <w:rPr>
          <w:rFonts w:ascii="宋体" w:hAnsi="宋体" w:cs="Times New Roman"/>
          <w:color w:val="000000"/>
          <w:szCs w:val="21"/>
        </w:rPr>
      </w:pPr>
      <w:r>
        <w:rPr>
          <w:rFonts w:hint="eastAsia" w:ascii="Times New Roman" w:hAnsi="Times New Roman" w:cs="Times New Roman"/>
          <w:color w:val="000000"/>
          <w:szCs w:val="21"/>
        </w:rPr>
        <w:t>B.0.5</w:t>
      </w:r>
      <w:r>
        <w:rPr>
          <w:rFonts w:hint="eastAsia" w:ascii="Times New Roman" w:hAnsi="Times New Roman" w:cs="Times New Roman"/>
          <w:b/>
          <w:bCs/>
          <w:color w:val="000000"/>
          <w:szCs w:val="21"/>
        </w:rPr>
        <w:t xml:space="preserve">  </w:t>
      </w:r>
      <w:r>
        <w:rPr>
          <w:rFonts w:hint="eastAsia" w:ascii="宋体" w:hAnsi="宋体" w:cs="Times New Roman"/>
          <w:color w:val="000000"/>
          <w:szCs w:val="21"/>
        </w:rPr>
        <w:t>对预应力锚杆，</w:t>
      </w:r>
      <w:r>
        <w:rPr>
          <w:rFonts w:ascii="宋体" w:hAnsi="宋体" w:cs="Times New Roman"/>
          <w:color w:val="000000"/>
          <w:szCs w:val="21"/>
        </w:rPr>
        <w:t>当符合下列要求时，应判定验收合格：</w:t>
      </w:r>
    </w:p>
    <w:p>
      <w:pPr>
        <w:spacing w:line="360" w:lineRule="exact"/>
        <w:ind w:firstLine="420" w:firstLineChars="200"/>
        <w:rPr>
          <w:rFonts w:ascii="宋体" w:hAnsi="宋体" w:cs="Times New Roman"/>
          <w:color w:val="000000"/>
          <w:szCs w:val="21"/>
        </w:rPr>
      </w:pPr>
      <w:r>
        <w:rPr>
          <w:rFonts w:hint="eastAsia" w:ascii="Times New Roman" w:hAnsi="Times New Roman" w:cs="Times New Roman"/>
          <w:color w:val="000000"/>
          <w:szCs w:val="21"/>
        </w:rPr>
        <w:t>1</w:t>
      </w:r>
      <w:r>
        <w:rPr>
          <w:rFonts w:ascii="宋体" w:hAnsi="宋体" w:cs="Times New Roman"/>
          <w:color w:val="000000"/>
          <w:szCs w:val="21"/>
        </w:rPr>
        <w:t xml:space="preserve">  在最大试验荷载下所测得的弹性位移量，</w:t>
      </w:r>
      <w:r>
        <w:rPr>
          <w:rFonts w:hint="eastAsia" w:ascii="宋体" w:hAnsi="宋体" w:cs="Times New Roman"/>
          <w:color w:val="000000"/>
          <w:szCs w:val="21"/>
        </w:rPr>
        <w:t>大于</w:t>
      </w:r>
      <w:r>
        <w:rPr>
          <w:rFonts w:ascii="宋体" w:hAnsi="宋体" w:cs="Times New Roman"/>
          <w:color w:val="000000"/>
          <w:szCs w:val="21"/>
        </w:rPr>
        <w:t>该荷载下杆体</w:t>
      </w:r>
    </w:p>
    <w:p>
      <w:pPr>
        <w:spacing w:line="360" w:lineRule="exact"/>
        <w:ind w:firstLine="420" w:firstLineChars="200"/>
        <w:rPr>
          <w:rFonts w:ascii="宋体" w:hAnsi="宋体" w:cs="Times New Roman"/>
          <w:color w:val="000000"/>
          <w:szCs w:val="21"/>
        </w:rPr>
      </w:pPr>
      <w:r>
        <w:rPr>
          <w:rFonts w:ascii="宋体" w:hAnsi="宋体" w:cs="Times New Roman"/>
          <w:color w:val="000000"/>
          <w:szCs w:val="21"/>
        </w:rPr>
        <w:t>自由段长度理论弹性伸长值的</w:t>
      </w:r>
      <w:r>
        <w:rPr>
          <w:rFonts w:hint="eastAsia" w:ascii="宋体" w:hAnsi="宋体" w:cs="Times New Roman"/>
          <w:color w:val="000000"/>
          <w:szCs w:val="21"/>
        </w:rPr>
        <w:t>6</w:t>
      </w:r>
      <w:r>
        <w:rPr>
          <w:rFonts w:ascii="宋体" w:hAnsi="宋体" w:cs="Times New Roman"/>
          <w:color w:val="000000"/>
          <w:szCs w:val="21"/>
        </w:rPr>
        <w:t>0％</w:t>
      </w:r>
      <w:r>
        <w:rPr>
          <w:rFonts w:hint="eastAsia" w:ascii="宋体" w:hAnsi="宋体" w:cs="Times New Roman"/>
          <w:color w:val="000000"/>
          <w:szCs w:val="21"/>
        </w:rPr>
        <w:t>（非位移控制锚杆）或80%（位移控制锚杆）</w:t>
      </w:r>
      <w:r>
        <w:rPr>
          <w:rFonts w:ascii="宋体" w:hAnsi="宋体" w:cs="Times New Roman"/>
          <w:color w:val="000000"/>
          <w:szCs w:val="21"/>
        </w:rPr>
        <w:t>，且小于锚头到</w:t>
      </w:r>
      <w:r>
        <w:rPr>
          <w:rFonts w:hint="eastAsia" w:ascii="宋体" w:hAnsi="宋体" w:cs="Times New Roman"/>
          <w:color w:val="000000"/>
          <w:szCs w:val="21"/>
        </w:rPr>
        <w:t>囊体底部或底部螺纹承载体之间</w:t>
      </w:r>
      <w:r>
        <w:rPr>
          <w:rFonts w:ascii="宋体" w:hAnsi="宋体" w:cs="Times New Roman"/>
          <w:color w:val="000000"/>
          <w:szCs w:val="21"/>
        </w:rPr>
        <w:t>杆体长度的理论弹性伸长值；</w:t>
      </w:r>
    </w:p>
    <w:p>
      <w:pPr>
        <w:spacing w:line="360" w:lineRule="exact"/>
        <w:ind w:firstLine="420" w:firstLineChars="200"/>
        <w:rPr>
          <w:rFonts w:ascii="宋体" w:hAnsi="宋体" w:cs="Times New Roman"/>
          <w:color w:val="000000"/>
          <w:szCs w:val="21"/>
        </w:rPr>
      </w:pPr>
      <w:r>
        <w:rPr>
          <w:rFonts w:hint="eastAsia" w:ascii="Times New Roman" w:hAnsi="Times New Roman" w:cs="Times New Roman"/>
          <w:color w:val="000000"/>
          <w:szCs w:val="21"/>
        </w:rPr>
        <w:t>2</w:t>
      </w:r>
      <w:r>
        <w:rPr>
          <w:rFonts w:ascii="宋体" w:hAnsi="宋体" w:cs="Times New Roman"/>
          <w:color w:val="000000"/>
          <w:szCs w:val="21"/>
        </w:rPr>
        <w:t xml:space="preserve">  在最后一级荷载作用下锚头位移收敛稳定</w:t>
      </w:r>
      <w:r>
        <w:rPr>
          <w:rFonts w:hint="eastAsia" w:ascii="宋体" w:hAnsi="宋体" w:cs="Times New Roman"/>
          <w:color w:val="000000"/>
          <w:szCs w:val="21"/>
        </w:rPr>
        <w:t>后，方可开展下一级张拉。</w:t>
      </w:r>
    </w:p>
    <w:p>
      <w:pPr>
        <w:spacing w:line="360" w:lineRule="exact"/>
        <w:rPr>
          <w:rFonts w:ascii="宋体" w:hAnsi="宋体" w:cs="Times New Roman"/>
          <w:color w:val="000000"/>
          <w:szCs w:val="21"/>
        </w:rPr>
      </w:pPr>
      <w:r>
        <w:rPr>
          <w:rFonts w:hint="eastAsia" w:ascii="Times New Roman" w:hAnsi="Times New Roman" w:cs="Times New Roman"/>
          <w:color w:val="000000"/>
          <w:szCs w:val="21"/>
        </w:rPr>
        <w:t>B.0.6</w:t>
      </w:r>
      <w:r>
        <w:rPr>
          <w:rFonts w:hint="eastAsia" w:ascii="宋体" w:hAnsi="宋体" w:cs="Times New Roman"/>
          <w:color w:val="000000"/>
          <w:szCs w:val="21"/>
        </w:rPr>
        <w:t xml:space="preserve">  对非预应力锚杆，当符合下列要求时，应判定验收合格：</w:t>
      </w:r>
    </w:p>
    <w:p>
      <w:pPr>
        <w:spacing w:line="360" w:lineRule="exact"/>
        <w:ind w:firstLine="411" w:firstLineChars="196"/>
        <w:rPr>
          <w:rFonts w:ascii="宋体" w:hAnsi="宋体" w:cs="Times New Roman"/>
          <w:color w:val="000000"/>
          <w:szCs w:val="21"/>
        </w:rPr>
      </w:pPr>
      <w:r>
        <w:rPr>
          <w:rFonts w:hint="eastAsia" w:ascii="Times New Roman" w:hAnsi="Times New Roman" w:cs="Times New Roman"/>
          <w:color w:val="000000"/>
          <w:szCs w:val="21"/>
        </w:rPr>
        <w:t>1</w:t>
      </w:r>
      <w:r>
        <w:rPr>
          <w:rFonts w:ascii="宋体" w:hAnsi="宋体" w:cs="Times New Roman"/>
          <w:color w:val="000000"/>
          <w:szCs w:val="21"/>
        </w:rPr>
        <w:t xml:space="preserve">  在</w:t>
      </w:r>
      <w:r>
        <w:rPr>
          <w:rFonts w:hint="eastAsia" w:ascii="宋体" w:hAnsi="宋体" w:cs="Times New Roman"/>
          <w:color w:val="000000"/>
          <w:szCs w:val="21"/>
        </w:rPr>
        <w:t>抗拔力特征值荷载下所测得的位移量小于锚杆工作位移允许值；</w:t>
      </w:r>
    </w:p>
    <w:p>
      <w:pPr>
        <w:spacing w:line="360" w:lineRule="exact"/>
        <w:ind w:firstLine="411" w:firstLineChars="196"/>
        <w:rPr>
          <w:rFonts w:ascii="宋体" w:hAnsi="宋体" w:cs="Times New Roman"/>
          <w:color w:val="000000"/>
          <w:szCs w:val="21"/>
        </w:rPr>
      </w:pPr>
      <w:r>
        <w:rPr>
          <w:rFonts w:hint="eastAsia" w:ascii="Times New Roman" w:hAnsi="Times New Roman" w:cs="Times New Roman"/>
          <w:color w:val="000000"/>
          <w:szCs w:val="21"/>
        </w:rPr>
        <w:t>2</w:t>
      </w:r>
      <w:r>
        <w:rPr>
          <w:rFonts w:ascii="宋体" w:hAnsi="宋体" w:cs="Times New Roman"/>
          <w:color w:val="000000"/>
          <w:szCs w:val="21"/>
        </w:rPr>
        <w:t xml:space="preserve">  在</w:t>
      </w:r>
      <w:r>
        <w:rPr>
          <w:rFonts w:hint="eastAsia" w:ascii="宋体" w:hAnsi="宋体" w:cs="Times New Roman"/>
          <w:color w:val="000000"/>
          <w:szCs w:val="21"/>
        </w:rPr>
        <w:t>最后一级荷载作用下锚头位移收敛稳定后，方可进行下一步操作。</w:t>
      </w:r>
    </w:p>
    <w:p>
      <w:pPr>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asciiTheme="minorEastAsia" w:hAnsiTheme="minorEastAsia" w:eastAsiaTheme="minorEastAsia" w:cstheme="minorEastAsia"/>
        </w:rPr>
      </w:pPr>
    </w:p>
    <w:p>
      <w:pPr>
        <w:keepNext/>
        <w:keepLines/>
        <w:spacing w:before="312" w:beforeLines="100" w:after="312" w:afterLines="100"/>
        <w:jc w:val="center"/>
        <w:outlineLvl w:val="0"/>
        <w:rPr>
          <w:rFonts w:asciiTheme="minorEastAsia" w:hAnsiTheme="minorEastAsia" w:eastAsiaTheme="minorEastAsia" w:cstheme="minorEastAsia"/>
          <w:b/>
          <w:bCs/>
          <w:sz w:val="24"/>
        </w:rPr>
      </w:pPr>
      <w:bookmarkStart w:id="422" w:name="_Toc1751"/>
      <w:bookmarkStart w:id="423" w:name="_Toc26766"/>
      <w:bookmarkStart w:id="424" w:name="_Toc18083"/>
      <w:bookmarkStart w:id="425" w:name="_Toc17373"/>
      <w:r>
        <w:rPr>
          <w:rFonts w:hint="eastAsia" w:asciiTheme="minorEastAsia" w:hAnsiTheme="minorEastAsia" w:eastAsiaTheme="minorEastAsia" w:cstheme="minorEastAsia"/>
          <w:b/>
          <w:bCs/>
          <w:sz w:val="24"/>
        </w:rPr>
        <w:t>本规程用词说明</w:t>
      </w:r>
      <w:bookmarkEnd w:id="405"/>
      <w:bookmarkEnd w:id="406"/>
      <w:bookmarkEnd w:id="422"/>
      <w:bookmarkEnd w:id="423"/>
      <w:bookmarkEnd w:id="424"/>
      <w:bookmarkEnd w:id="425"/>
    </w:p>
    <w:p>
      <w:pPr>
        <w:spacing w:line="312" w:lineRule="exact"/>
        <w:rPr>
          <w:rFonts w:asciiTheme="minorEastAsia" w:hAnsiTheme="minorEastAsia" w:eastAsiaTheme="minorEastAsia" w:cstheme="minorEastAsia"/>
          <w:color w:val="000000"/>
          <w:sz w:val="24"/>
        </w:rPr>
      </w:pPr>
    </w:p>
    <w:p>
      <w:pPr>
        <w:spacing w:line="360" w:lineRule="auto"/>
        <w:ind w:firstLine="420" w:firstLineChars="200"/>
        <w:rPr>
          <w:rFonts w:asciiTheme="minorEastAsia" w:hAnsiTheme="minorEastAsia" w:eastAsiaTheme="minorEastAsia" w:cstheme="minorEastAsia"/>
          <w:color w:val="000000"/>
          <w:szCs w:val="21"/>
        </w:rPr>
      </w:pPr>
      <w:bookmarkStart w:id="426" w:name="_Toc17489"/>
      <w:bookmarkStart w:id="427" w:name="_Toc16070"/>
      <w:bookmarkStart w:id="428" w:name="_Toc24850"/>
      <w:r>
        <w:rPr>
          <w:rFonts w:hint="eastAsia" w:asciiTheme="minorEastAsia" w:hAnsiTheme="minorEastAsia" w:eastAsiaTheme="minorEastAsia" w:cstheme="minorEastAsia"/>
          <w:color w:val="000000"/>
          <w:szCs w:val="21"/>
        </w:rPr>
        <w:t>1  为便于执行本规程条文时区别对待，对要求严格程度不同的用词说明如下：</w:t>
      </w:r>
      <w:bookmarkEnd w:id="426"/>
      <w:bookmarkEnd w:id="427"/>
      <w:bookmarkEnd w:id="428"/>
    </w:p>
    <w:p>
      <w:pPr>
        <w:spacing w:line="360" w:lineRule="auto"/>
        <w:ind w:firstLine="630" w:firstLineChars="300"/>
        <w:rPr>
          <w:rFonts w:asciiTheme="minorEastAsia" w:hAnsiTheme="minorEastAsia" w:eastAsiaTheme="minorEastAsia" w:cstheme="minorEastAsia"/>
          <w:color w:val="000000"/>
          <w:szCs w:val="21"/>
        </w:rPr>
      </w:pPr>
      <w:bookmarkStart w:id="429" w:name="_Toc18613"/>
      <w:bookmarkStart w:id="430" w:name="_Toc28181"/>
      <w:r>
        <w:rPr>
          <w:rFonts w:hint="eastAsia" w:asciiTheme="minorEastAsia" w:hAnsiTheme="minorEastAsia" w:eastAsiaTheme="minorEastAsia" w:cstheme="minorEastAsia"/>
          <w:color w:val="000000"/>
          <w:szCs w:val="21"/>
        </w:rPr>
        <w:t>1）表示很严格，非这样做不可的：</w:t>
      </w:r>
      <w:bookmarkEnd w:id="429"/>
      <w:bookmarkEnd w:id="430"/>
    </w:p>
    <w:p>
      <w:pPr>
        <w:spacing w:line="360" w:lineRule="auto"/>
        <w:ind w:firstLine="945" w:firstLineChars="4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正面词采用“必须”，反面词采用“严禁”；</w:t>
      </w:r>
    </w:p>
    <w:p>
      <w:pPr>
        <w:spacing w:line="360" w:lineRule="auto"/>
        <w:ind w:firstLine="630" w:firstLineChars="300"/>
        <w:rPr>
          <w:rFonts w:asciiTheme="minorEastAsia" w:hAnsiTheme="minorEastAsia" w:eastAsiaTheme="minorEastAsia" w:cstheme="minorEastAsia"/>
          <w:color w:val="000000"/>
          <w:szCs w:val="21"/>
        </w:rPr>
      </w:pPr>
      <w:bookmarkStart w:id="431" w:name="_Toc13282"/>
      <w:bookmarkStart w:id="432" w:name="_Toc25165"/>
      <w:r>
        <w:rPr>
          <w:rFonts w:hint="eastAsia" w:asciiTheme="minorEastAsia" w:hAnsiTheme="minorEastAsia" w:eastAsiaTheme="minorEastAsia" w:cstheme="minorEastAsia"/>
          <w:color w:val="000000"/>
          <w:szCs w:val="21"/>
        </w:rPr>
        <w:t>2）表示严格，在正常情况下均应这样做的：</w:t>
      </w:r>
      <w:bookmarkEnd w:id="431"/>
      <w:bookmarkEnd w:id="432"/>
    </w:p>
    <w:p>
      <w:pPr>
        <w:spacing w:line="360" w:lineRule="auto"/>
        <w:ind w:firstLine="945" w:firstLineChars="4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正面词采用“应”，反面词采用“不应”或“不得”；</w:t>
      </w:r>
    </w:p>
    <w:p>
      <w:pPr>
        <w:spacing w:line="360" w:lineRule="auto"/>
        <w:ind w:firstLine="630" w:firstLineChars="300"/>
        <w:rPr>
          <w:rFonts w:asciiTheme="minorEastAsia" w:hAnsiTheme="minorEastAsia" w:eastAsiaTheme="minorEastAsia" w:cstheme="minorEastAsia"/>
          <w:color w:val="000000"/>
          <w:szCs w:val="21"/>
        </w:rPr>
      </w:pPr>
      <w:bookmarkStart w:id="433" w:name="_Toc4584"/>
      <w:bookmarkStart w:id="434" w:name="_Toc6212"/>
      <w:r>
        <w:rPr>
          <w:rFonts w:hint="eastAsia" w:asciiTheme="minorEastAsia" w:hAnsiTheme="minorEastAsia" w:eastAsiaTheme="minorEastAsia" w:cstheme="minorEastAsia"/>
          <w:color w:val="000000"/>
          <w:szCs w:val="21"/>
        </w:rPr>
        <w:t>3）表示允许稍有选择，在条件许可时首先应这样做的：</w:t>
      </w:r>
      <w:bookmarkEnd w:id="433"/>
      <w:bookmarkEnd w:id="434"/>
    </w:p>
    <w:p>
      <w:pPr>
        <w:spacing w:line="360" w:lineRule="auto"/>
        <w:ind w:firstLine="945" w:firstLineChars="45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正面词采用“宜”，反面词采用“不宜”；</w:t>
      </w:r>
    </w:p>
    <w:p>
      <w:pPr>
        <w:spacing w:line="360" w:lineRule="auto"/>
        <w:ind w:firstLine="630" w:firstLineChars="300"/>
        <w:rPr>
          <w:rFonts w:asciiTheme="minorEastAsia" w:hAnsiTheme="minorEastAsia" w:eastAsiaTheme="minorEastAsia" w:cstheme="minorEastAsia"/>
          <w:color w:val="000000"/>
          <w:szCs w:val="21"/>
        </w:rPr>
      </w:pPr>
      <w:bookmarkStart w:id="435" w:name="_Toc30447"/>
      <w:bookmarkStart w:id="436" w:name="_Toc31711"/>
      <w:r>
        <w:rPr>
          <w:rFonts w:hint="eastAsia" w:asciiTheme="minorEastAsia" w:hAnsiTheme="minorEastAsia" w:eastAsiaTheme="minorEastAsia" w:cstheme="minorEastAsia"/>
          <w:color w:val="000000"/>
          <w:szCs w:val="21"/>
        </w:rPr>
        <w:t>4）表示有选择，在一定条件下可以这样做的，采用“可”。</w:t>
      </w:r>
      <w:bookmarkEnd w:id="435"/>
      <w:bookmarkEnd w:id="436"/>
    </w:p>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  条文中指明应按其他有关标准执行的写法为：“应符合……的规定”或“应按……执行”。</w:t>
      </w:r>
    </w:p>
    <w:p>
      <w:pPr>
        <w:rPr>
          <w:rFonts w:asciiTheme="minorEastAsia" w:hAnsiTheme="minorEastAsia" w:eastAsiaTheme="minorEastAsia" w:cstheme="minorEastAsia"/>
          <w:color w:val="000000"/>
          <w:szCs w:val="21"/>
          <w:u w:val="double"/>
        </w:rPr>
      </w:pPr>
      <w:r>
        <w:rPr>
          <w:rFonts w:hint="eastAsia" w:asciiTheme="minorEastAsia" w:hAnsiTheme="minorEastAsia" w:eastAsiaTheme="minorEastAsia" w:cstheme="minorEastAsia"/>
          <w:color w:val="000000"/>
          <w:szCs w:val="21"/>
          <w:u w:val="double"/>
        </w:rPr>
        <w:br w:type="page"/>
      </w:r>
    </w:p>
    <w:p>
      <w:pPr>
        <w:keepNext/>
        <w:keepLines/>
        <w:rPr>
          <w:sz w:val="24"/>
        </w:rPr>
      </w:pPr>
    </w:p>
    <w:p>
      <w:pPr>
        <w:pStyle w:val="2"/>
        <w:rPr>
          <w:rFonts w:asciiTheme="minorEastAsia" w:hAnsiTheme="minorEastAsia" w:eastAsiaTheme="minorEastAsia" w:cstheme="minorEastAsia"/>
          <w:color w:val="FF0000"/>
        </w:rPr>
      </w:pPr>
      <w:bookmarkStart w:id="437" w:name="_Toc4216"/>
      <w:bookmarkStart w:id="438" w:name="_Toc13242"/>
      <w:bookmarkStart w:id="439" w:name="_Toc17973"/>
      <w:bookmarkStart w:id="440" w:name="_Toc24874"/>
      <w:r>
        <w:rPr>
          <w:rFonts w:hint="eastAsia" w:asciiTheme="minorEastAsia" w:hAnsiTheme="minorEastAsia" w:eastAsiaTheme="minorEastAsia" w:cstheme="minorEastAsia"/>
        </w:rPr>
        <w:t>引用标准名录</w:t>
      </w:r>
      <w:bookmarkEnd w:id="437"/>
      <w:bookmarkEnd w:id="438"/>
      <w:bookmarkEnd w:id="439"/>
      <w:bookmarkEnd w:id="440"/>
    </w:p>
    <w:p>
      <w:pPr>
        <w:tabs>
          <w:tab w:val="left" w:pos="19"/>
        </w:tabs>
        <w:spacing w:line="360" w:lineRule="auto"/>
        <w:rPr>
          <w:bCs/>
          <w:sz w:val="24"/>
        </w:rPr>
      </w:pP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bCs/>
          <w:szCs w:val="21"/>
        </w:rPr>
        <w:t>1</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 xml:space="preserve"> 《岩土工程勘察规范》GB 50021</w:t>
      </w:r>
    </w:p>
    <w:p>
      <w:pPr>
        <w:tabs>
          <w:tab w:val="left" w:pos="19"/>
        </w:tabs>
        <w:spacing w:line="360" w:lineRule="auto"/>
        <w:rPr>
          <w:rFonts w:asciiTheme="minorEastAsia" w:hAnsiTheme="minorEastAsia" w:eastAsiaTheme="minorEastAsia" w:cstheme="minorEastAsia"/>
          <w:szCs w:val="21"/>
        </w:rPr>
      </w:pPr>
      <w:r>
        <w:rPr>
          <w:rFonts w:hint="eastAsia" w:ascii="Times New Roman" w:hAnsi="Times New Roman" w:cs="Times New Roman" w:eastAsiaTheme="minorEastAsia"/>
          <w:bCs/>
          <w:szCs w:val="21"/>
        </w:rPr>
        <w:t>2</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 xml:space="preserve"> 《混凝土结构设计规范》GB 50010</w:t>
      </w:r>
    </w:p>
    <w:p>
      <w:pPr>
        <w:tabs>
          <w:tab w:val="left" w:pos="19"/>
        </w:tabs>
        <w:spacing w:line="360" w:lineRule="auto"/>
        <w:rPr>
          <w:rFonts w:asciiTheme="minorEastAsia" w:hAnsiTheme="minorEastAsia" w:eastAsiaTheme="minorEastAsia" w:cstheme="minorEastAsia"/>
          <w:szCs w:val="21"/>
        </w:rPr>
      </w:pPr>
      <w:r>
        <w:rPr>
          <w:rFonts w:hint="eastAsia" w:ascii="Times New Roman" w:hAnsi="Times New Roman" w:cs="Times New Roman" w:eastAsiaTheme="minorEastAsia"/>
          <w:bCs/>
          <w:szCs w:val="21"/>
        </w:rPr>
        <w:t>3</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 xml:space="preserve"> 《建筑地基基础设计规范》GB 50007</w:t>
      </w:r>
    </w:p>
    <w:p>
      <w:pPr>
        <w:tabs>
          <w:tab w:val="left" w:pos="19"/>
        </w:tabs>
        <w:spacing w:line="360" w:lineRule="auto"/>
        <w:rPr>
          <w:rFonts w:asciiTheme="minorEastAsia" w:hAnsiTheme="minorEastAsia" w:eastAsiaTheme="minorEastAsia" w:cstheme="minorEastAsia"/>
          <w:szCs w:val="21"/>
        </w:rPr>
      </w:pPr>
      <w:r>
        <w:rPr>
          <w:rFonts w:asciiTheme="minorEastAsia" w:hAnsiTheme="minorEastAsia" w:eastAsiaTheme="minorEastAsia" w:cstheme="minorEastAsia"/>
          <w:szCs w:val="21"/>
        </w:rPr>
        <w:t xml:space="preserve">4  </w:t>
      </w:r>
      <w:r>
        <w:rPr>
          <w:rFonts w:hint="eastAsia" w:asciiTheme="minorEastAsia" w:hAnsiTheme="minorEastAsia" w:eastAsiaTheme="minorEastAsia" w:cstheme="minorEastAsia"/>
          <w:szCs w:val="21"/>
        </w:rPr>
        <w:t>《锚杆喷射混凝土支护技术规程》GB</w:t>
      </w:r>
      <w:r>
        <w:rPr>
          <w:rFonts w:asciiTheme="minorEastAsia" w:hAnsiTheme="minorEastAsia" w:eastAsiaTheme="minorEastAsia" w:cstheme="minorEastAsia"/>
          <w:szCs w:val="21"/>
        </w:rPr>
        <w:t xml:space="preserve"> 50086</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bCs/>
          <w:szCs w:val="21"/>
        </w:rPr>
        <w:t>5</w:t>
      </w:r>
      <w:r>
        <w:rPr>
          <w:rFonts w:hint="eastAsia" w:ascii="Times New Roman" w:hAnsi="Times New Roman" w:cs="Times New Roman" w:eastAsiaTheme="minorEastAsia"/>
          <w:bCs/>
          <w:szCs w:val="21"/>
        </w:rPr>
        <w:t xml:space="preserve"> </w:t>
      </w:r>
      <w:r>
        <w:rPr>
          <w:rFonts w:hint="eastAsia" w:asciiTheme="minorEastAsia" w:hAnsiTheme="minorEastAsia" w:eastAsiaTheme="minorEastAsia" w:cstheme="minorEastAsia"/>
          <w:szCs w:val="21"/>
        </w:rPr>
        <w:t xml:space="preserve"> 《工业建筑防腐设计规范》GB 50046</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bCs/>
          <w:szCs w:val="21"/>
        </w:rPr>
        <w:t>6</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 xml:space="preserve"> 《预应力筋用锚具、夹具和连接器》GB/T 14370</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bCs/>
          <w:szCs w:val="21"/>
        </w:rPr>
        <w:t>7</w:t>
      </w:r>
      <w:r>
        <w:rPr>
          <w:rFonts w:hint="eastAsia" w:asciiTheme="minorEastAsia" w:hAnsiTheme="minorEastAsia" w:eastAsiaTheme="minorEastAsia" w:cstheme="minorEastAsia"/>
          <w:b/>
          <w:bCs/>
          <w:szCs w:val="21"/>
        </w:rPr>
        <w:t xml:space="preserve"> </w:t>
      </w:r>
      <w:r>
        <w:rPr>
          <w:rFonts w:hint="eastAsia" w:asciiTheme="minorEastAsia" w:hAnsiTheme="minorEastAsia" w:eastAsiaTheme="minorEastAsia" w:cstheme="minorEastAsia"/>
          <w:szCs w:val="21"/>
        </w:rPr>
        <w:t xml:space="preserve"> 《建筑抗浮技术标准》JGJ 476</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szCs w:val="21"/>
        </w:rPr>
        <w:t xml:space="preserve">8  </w:t>
      </w:r>
      <w:r>
        <w:rPr>
          <w:rFonts w:hint="eastAsia" w:asciiTheme="minorEastAsia" w:hAnsiTheme="minorEastAsia" w:eastAsiaTheme="minorEastAsia" w:cstheme="minorEastAsia"/>
          <w:szCs w:val="21"/>
        </w:rPr>
        <w:t xml:space="preserve"> 《高压喷射扩大头锚杆技术规程》JGJ/T 282</w:t>
      </w:r>
    </w:p>
    <w:p>
      <w:pPr>
        <w:tabs>
          <w:tab w:val="left" w:pos="19"/>
        </w:tabs>
        <w:spacing w:line="360" w:lineRule="auto"/>
        <w:rPr>
          <w:rFonts w:asciiTheme="minorEastAsia" w:hAnsiTheme="minorEastAsia" w:eastAsiaTheme="minorEastAsia" w:cstheme="minorEastAsia"/>
          <w:szCs w:val="21"/>
        </w:rPr>
      </w:pPr>
      <w:r>
        <w:rPr>
          <w:rFonts w:asciiTheme="minorEastAsia" w:hAnsiTheme="minorEastAsia" w:eastAsiaTheme="minorEastAsia" w:cstheme="minorEastAsia"/>
          <w:szCs w:val="21"/>
        </w:rPr>
        <w:t xml:space="preserve">9  </w:t>
      </w:r>
      <w:r>
        <w:rPr>
          <w:rFonts w:hint="eastAsia" w:asciiTheme="minorEastAsia" w:hAnsiTheme="minorEastAsia" w:eastAsiaTheme="minorEastAsia" w:cstheme="minorEastAsia"/>
          <w:szCs w:val="21"/>
        </w:rPr>
        <w:t>《锚杆锚固质量无损检测技术规程》JGJ</w:t>
      </w:r>
      <w:r>
        <w:rPr>
          <w:rFonts w:asciiTheme="minorEastAsia" w:hAnsiTheme="minorEastAsia" w:eastAsiaTheme="minorEastAsia" w:cstheme="minorEastAsia"/>
          <w:szCs w:val="21"/>
        </w:rPr>
        <w:t>/T 182</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szCs w:val="21"/>
        </w:rPr>
        <w:t>10</w:t>
      </w:r>
      <w:r>
        <w:rPr>
          <w:rFonts w:hint="eastAsia" w:asciiTheme="minorEastAsia" w:hAnsiTheme="minorEastAsia" w:eastAsiaTheme="minorEastAsia" w:cstheme="minorEastAsia"/>
          <w:szCs w:val="21"/>
        </w:rPr>
        <w:t xml:space="preserve">  《水闸设计规范》SL 265</w:t>
      </w:r>
    </w:p>
    <w:p>
      <w:pPr>
        <w:tabs>
          <w:tab w:val="left" w:pos="19"/>
        </w:tabs>
        <w:spacing w:line="360" w:lineRule="auto"/>
        <w:rPr>
          <w:rFonts w:asciiTheme="minorEastAsia" w:hAnsiTheme="minorEastAsia" w:eastAsiaTheme="minorEastAsia" w:cstheme="minorEastAsia"/>
          <w:szCs w:val="21"/>
        </w:rPr>
      </w:pPr>
      <w:r>
        <w:rPr>
          <w:rFonts w:ascii="Times New Roman" w:hAnsi="Times New Roman" w:cs="Times New Roman" w:eastAsiaTheme="minorEastAsia"/>
          <w:szCs w:val="21"/>
        </w:rPr>
        <w:t>11</w:t>
      </w:r>
      <w:r>
        <w:rPr>
          <w:rFonts w:hint="eastAsia" w:asciiTheme="minorEastAsia" w:hAnsiTheme="minorEastAsia" w:eastAsiaTheme="minorEastAsia" w:cstheme="minorEastAsia"/>
          <w:szCs w:val="21"/>
        </w:rPr>
        <w:t xml:space="preserve">  《溢洪道设计规范》SL 253</w:t>
      </w:r>
    </w:p>
    <w:p>
      <w:pPr>
        <w:tabs>
          <w:tab w:val="left" w:pos="19"/>
        </w:tabs>
        <w:spacing w:line="360" w:lineRule="auto"/>
        <w:rPr>
          <w:rFonts w:asciiTheme="minorEastAsia" w:hAnsiTheme="minorEastAsia" w:eastAsiaTheme="minorEastAsia" w:cstheme="minorEastAsia"/>
          <w:szCs w:val="21"/>
        </w:rPr>
      </w:pPr>
      <w:r>
        <w:rPr>
          <w:rFonts w:hint="default" w:ascii="Times New Roman" w:hAnsi="Times New Roman" w:cs="Times New Roman" w:eastAsiaTheme="minorEastAsia"/>
          <w:szCs w:val="21"/>
        </w:rPr>
        <w:t>12</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《水利水电工程锚喷支护技术规范》SL</w:t>
      </w:r>
      <w:r>
        <w:rPr>
          <w:rFonts w:hint="eastAsia" w:asciiTheme="minorEastAsia" w:hAnsiTheme="minorEastAsia" w:eastAsiaTheme="minorEastAsia" w:cstheme="minorEastAsia"/>
          <w:szCs w:val="21"/>
          <w:lang w:val="en-US" w:eastAsia="zh-CN"/>
        </w:rPr>
        <w:t xml:space="preserve"> </w:t>
      </w:r>
      <w:r>
        <w:rPr>
          <w:rFonts w:asciiTheme="minorEastAsia" w:hAnsiTheme="minorEastAsia" w:eastAsiaTheme="minorEastAsia" w:cstheme="minorEastAsia"/>
          <w:szCs w:val="21"/>
        </w:rPr>
        <w:t>377</w:t>
      </w:r>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bCs/>
          <w:spacing w:val="20"/>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bCs/>
          <w:spacing w:val="20"/>
          <w:sz w:val="32"/>
          <w:szCs w:val="32"/>
        </w:rPr>
      </w:pPr>
      <w:r>
        <w:rPr>
          <w:rFonts w:hint="eastAsia" w:ascii="黑体" w:hAnsi="黑体" w:eastAsia="黑体"/>
          <w:bCs/>
          <w:spacing w:val="20"/>
          <w:sz w:val="32"/>
          <w:szCs w:val="32"/>
        </w:rPr>
        <w:t>中国工程建设协会标准</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Cs/>
          <w:spacing w:val="20"/>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微软雅黑"/>
          <w:sz w:val="36"/>
          <w:szCs w:val="36"/>
          <w:lang w:eastAsia="zh-CN"/>
        </w:rPr>
      </w:pPr>
      <w:r>
        <w:rPr>
          <w:rFonts w:hint="eastAsia" w:ascii="宋体" w:hAnsi="宋体" w:cs="微软雅黑"/>
          <w:sz w:val="36"/>
          <w:szCs w:val="36"/>
          <w:lang w:eastAsia="zh-CN"/>
        </w:rPr>
        <w:t>笼芯囊锚杆技术规程</w:t>
      </w:r>
    </w:p>
    <w:p>
      <w:pPr>
        <w:keepNext w:val="0"/>
        <w:keepLines w:val="0"/>
        <w:pageBreakBefore w:val="0"/>
        <w:widowControl w:val="0"/>
        <w:kinsoku/>
        <w:wordWrap/>
        <w:overflowPunct/>
        <w:topLinePunct w:val="0"/>
        <w:autoSpaceDE/>
        <w:autoSpaceDN/>
        <w:bidi w:val="0"/>
        <w:adjustRightInd/>
        <w:snapToGrid/>
        <w:spacing w:after="95"/>
        <w:ind w:right="155"/>
        <w:jc w:val="center"/>
        <w:textAlignment w:val="auto"/>
        <w:rPr>
          <w:rFonts w:ascii="Times New Roman" w:hAnsi="Times New Roman"/>
        </w:rPr>
      </w:pPr>
      <w:r>
        <w:rPr>
          <w:rFonts w:ascii="Times New Roman" w:hAnsi="Times New Roman"/>
          <w:sz w:val="30"/>
        </w:rPr>
        <w:t>CECS  XXX</w:t>
      </w:r>
      <w:r>
        <w:rPr>
          <w:rFonts w:hint="eastAsia" w:ascii="宋体" w:hAnsi="宋体" w:cs="宋体"/>
          <w:sz w:val="24"/>
          <w:szCs w:val="24"/>
        </w:rPr>
        <w:t>∶</w:t>
      </w:r>
      <w:r>
        <w:rPr>
          <w:rFonts w:ascii="Times New Roman" w:hAnsi="Times New Roman"/>
          <w:sz w:val="30"/>
        </w:rPr>
        <w:t xml:space="preserve">20XX </w:t>
      </w:r>
    </w:p>
    <w:p>
      <w:pPr>
        <w:pStyle w:val="2"/>
        <w:keepNext/>
        <w:keepLines/>
        <w:pageBreakBefore w:val="0"/>
        <w:widowControl w:val="0"/>
        <w:kinsoku/>
        <w:wordWrap/>
        <w:overflowPunct/>
        <w:topLinePunct w:val="0"/>
        <w:autoSpaceDE/>
        <w:autoSpaceDN/>
        <w:bidi w:val="0"/>
        <w:adjustRightInd/>
        <w:snapToGrid/>
        <w:spacing w:before="0" w:after="0"/>
        <w:jc w:val="center"/>
        <w:textAlignment w:val="auto"/>
        <w:outlineLvl w:val="0"/>
      </w:pPr>
      <w:bookmarkStart w:id="441" w:name="_Toc48641704"/>
      <w:bookmarkStart w:id="442" w:name="_Toc19304"/>
      <w:bookmarkStart w:id="443" w:name="_Toc21451"/>
      <w:bookmarkStart w:id="444" w:name="_Toc8536"/>
      <w:r>
        <w:t>条文说明</w:t>
      </w:r>
      <w:bookmarkEnd w:id="441"/>
      <w:bookmarkEnd w:id="442"/>
      <w:bookmarkEnd w:id="443"/>
      <w:bookmarkEnd w:id="444"/>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br w:type="page"/>
      </w:r>
    </w:p>
    <w:sdt>
      <w:sdtPr>
        <w:rPr>
          <w:rFonts w:ascii="宋体" w:hAnsi="宋体" w:eastAsia="宋体" w:cstheme="minorBidi"/>
          <w:kern w:val="2"/>
          <w:sz w:val="21"/>
          <w:szCs w:val="24"/>
          <w:lang w:val="en-US" w:eastAsia="zh-CN" w:bidi="ar-SA"/>
        </w:rPr>
        <w:id w:val="147470464"/>
        <w15:color w:val="DBDBDB"/>
        <w:docPartObj>
          <w:docPartGallery w:val="Table of Contents"/>
          <w:docPartUnique/>
        </w:docPartObj>
      </w:sdtPr>
      <w:sdtEndPr>
        <w:rPr>
          <w:rFonts w:hint="eastAsia" w:asciiTheme="minorEastAsia" w:hAnsiTheme="minorEastAsia" w:eastAsiaTheme="minorEastAsia" w:cstheme="minorEastAsia"/>
          <w:b w:val="0"/>
          <w:bCs w:val="0"/>
          <w:kern w:val="2"/>
          <w:sz w:val="18"/>
          <w:szCs w:val="1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b w:val="0"/>
              <w:bCs w:val="0"/>
              <w:sz w:val="21"/>
            </w:rPr>
          </w:pPr>
          <w:r>
            <w:rPr>
              <w:rFonts w:hint="eastAsia" w:asciiTheme="minorEastAsia" w:hAnsiTheme="minorEastAsia" w:eastAsiaTheme="minorEastAsia" w:cstheme="minorEastAsia"/>
              <w:b w:val="0"/>
              <w:bCs w:val="0"/>
              <w:sz w:val="21"/>
            </w:rPr>
            <w:t>目</w:t>
          </w:r>
          <w:r>
            <w:rPr>
              <w:rFonts w:hint="eastAsia" w:asciiTheme="minorEastAsia" w:hAnsiTheme="minorEastAsia" w:eastAsiaTheme="minorEastAsia" w:cstheme="minorEastAsia"/>
              <w:b w:val="0"/>
              <w:bCs w:val="0"/>
              <w:sz w:val="21"/>
              <w:lang w:val="en-US" w:eastAsia="zh-CN"/>
            </w:rPr>
            <w:t xml:space="preserve">  </w:t>
          </w:r>
          <w:r>
            <w:rPr>
              <w:rFonts w:hint="eastAsia" w:asciiTheme="minorEastAsia" w:hAnsiTheme="minorEastAsia" w:eastAsiaTheme="minorEastAsia" w:cstheme="minorEastAsia"/>
              <w:b w:val="0"/>
              <w:bCs w:val="0"/>
              <w:sz w:val="21"/>
            </w:rPr>
            <w:t>录</w:t>
          </w:r>
        </w:p>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b w:val="0"/>
              <w:bCs w:val="0"/>
              <w:sz w:val="21"/>
            </w:rPr>
          </w:pP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sz w:val="18"/>
              <w:szCs w:val="18"/>
            </w:rPr>
            <w:fldChar w:fldCharType="begin"/>
          </w:r>
          <w:r>
            <w:rPr>
              <w:rFonts w:hint="eastAsia" w:asciiTheme="minorEastAsia" w:hAnsiTheme="minorEastAsia" w:eastAsiaTheme="minorEastAsia" w:cstheme="minorEastAsia"/>
              <w:b w:val="0"/>
              <w:bCs w:val="0"/>
              <w:sz w:val="18"/>
              <w:szCs w:val="18"/>
            </w:rPr>
            <w:instrText xml:space="preserve">TOC \o "1-2" \h \u </w:instrText>
          </w:r>
          <w:r>
            <w:rPr>
              <w:rFonts w:hint="eastAsia" w:asciiTheme="minorEastAsia" w:hAnsiTheme="minorEastAsia" w:eastAsiaTheme="minorEastAsia" w:cstheme="minorEastAsia"/>
              <w:b w:val="0"/>
              <w:bCs w:val="0"/>
              <w:sz w:val="18"/>
              <w:szCs w:val="18"/>
            </w:rPr>
            <w:fldChar w:fldCharType="separate"/>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_Toc4732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1  总则</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_Toc4732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_Toc31795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3  基本规定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_Toc31795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_Toc20757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4  设计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_Toc20757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4.1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_Toc32556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szCs w:val="28"/>
            </w:rPr>
            <w:t>4.2</w:t>
          </w:r>
          <w:r>
            <w:rPr>
              <w:rFonts w:hint="eastAsia" w:asciiTheme="minorEastAsia" w:hAnsiTheme="minorEastAsia" w:eastAsiaTheme="minorEastAsia" w:cstheme="minorEastAsia"/>
            </w:rPr>
            <w:t xml:space="preserve">  建筑结构抗浮</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_Toc32556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_Toc24286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bCs/>
            </w:rPr>
            <w:t>4.4  边坡支护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_Toc24286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_Toc25898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bCs/>
            </w:rPr>
            <w:t>4.5  基坑支护</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_Toc25898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_Toc27853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5  结构验算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_Toc27853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_Toc9791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5.1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_Toc9791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_Toc26891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bCs/>
            </w:rPr>
            <w:t>5.2  锚杆抗拔力验算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_Toc26891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_Toc29364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szCs w:val="28"/>
            </w:rPr>
            <w:t xml:space="preserve">5.3 </w:t>
          </w:r>
          <w:r>
            <w:rPr>
              <w:rFonts w:hint="eastAsia" w:asciiTheme="minorEastAsia" w:hAnsiTheme="minorEastAsia" w:eastAsiaTheme="minorEastAsia" w:cstheme="minorEastAsia"/>
            </w:rPr>
            <w:t xml:space="preserve"> 锚固体稳定性验算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_Toc29364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_Toc16707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szCs w:val="28"/>
            </w:rPr>
            <w:t>5.</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变形</w:t>
          </w:r>
          <w:r>
            <w:rPr>
              <w:rFonts w:hint="eastAsia" w:asciiTheme="minorEastAsia" w:hAnsiTheme="minorEastAsia" w:eastAsiaTheme="minorEastAsia" w:cstheme="minorEastAsia"/>
            </w:rPr>
            <w:t>验算</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_Toc16707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_Toc11752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6  材料和构造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_Toc11752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_Toc11541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6.1  笼芯囊材料和构造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_Toc11541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_Toc14804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6.2  锚杆构造</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_Toc14804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_Toc1006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bCs/>
              <w:szCs w:val="21"/>
            </w:rPr>
            <w:t>6.3</w:t>
          </w:r>
          <w:r>
            <w:rPr>
              <w:rFonts w:hint="eastAsia" w:asciiTheme="minorEastAsia" w:hAnsiTheme="minorEastAsia" w:eastAsiaTheme="minorEastAsia" w:cstheme="minorEastAsia"/>
              <w:bCs/>
            </w:rPr>
            <w:t xml:space="preserve">  压力型锚杆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_Toc1006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_Toc21075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szCs w:val="21"/>
            </w:rPr>
            <w:t>6.4  拉力型锚杆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_Toc21075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7  防腐设计</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_Toc3379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7.1  防腐等级</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_Toc3379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_Toc16396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7.2  Ⅰ级防腐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_Toc16396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_Toc212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7.3  Ⅱ级防腐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_Toc14645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7.5  锚头防腐</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_Toc14645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2"/>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_Toc19412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  施工</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_Toc19412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_Toc7393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8.1  一般规定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_Toc7393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_Toc6758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8.2  制锚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_Toc6758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_Toc28037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8.3  钻孔</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_Toc28037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_Toc30737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8.4  锚孔注浆</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_Toc30737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_Toc22497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8.5  下锚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_Toc22497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_Toc22659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8.6  囊袋注浆与监控</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_Toc22659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pStyle w:val="15"/>
            <w:tabs>
              <w:tab w:val="right" w:leader="dot" w:pos="6181"/>
            </w:tabs>
            <w:rPr>
              <w:rFonts w:hint="eastAsia" w:asciiTheme="minorEastAsia" w:hAnsiTheme="minorEastAsia" w:eastAsiaTheme="minorEastAsia" w:cstheme="minorEastAsia"/>
            </w:rPr>
          </w:pPr>
          <w:r>
            <w:rPr>
              <w:rFonts w:hint="eastAsia" w:asciiTheme="minorEastAsia" w:hAnsiTheme="minorEastAsia" w:eastAsiaTheme="minorEastAsia" w:cstheme="minorEastAsia"/>
              <w:bCs w:val="0"/>
              <w:szCs w:val="18"/>
            </w:rPr>
            <w:fldChar w:fldCharType="begin"/>
          </w:r>
          <w:r>
            <w:rPr>
              <w:rFonts w:hint="eastAsia" w:asciiTheme="minorEastAsia" w:hAnsiTheme="minorEastAsia" w:eastAsiaTheme="minorEastAsia" w:cstheme="minorEastAsia"/>
              <w:bCs w:val="0"/>
              <w:szCs w:val="18"/>
            </w:rPr>
            <w:instrText xml:space="preserve"> HYPERLINK \l _Toc23323 </w:instrText>
          </w:r>
          <w:r>
            <w:rPr>
              <w:rFonts w:hint="eastAsia" w:asciiTheme="minorEastAsia" w:hAnsiTheme="minorEastAsia" w:eastAsiaTheme="minorEastAsia" w:cstheme="minorEastAsia"/>
              <w:bCs w:val="0"/>
              <w:szCs w:val="18"/>
            </w:rPr>
            <w:fldChar w:fldCharType="separate"/>
          </w:r>
          <w:r>
            <w:rPr>
              <w:rFonts w:hint="eastAsia" w:asciiTheme="minorEastAsia" w:hAnsiTheme="minorEastAsia" w:eastAsiaTheme="minorEastAsia" w:cstheme="minorEastAsia"/>
            </w:rPr>
            <w:t>8.7  张拉和锁定</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_Toc23323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bCs w:val="0"/>
              <w:szCs w:val="18"/>
            </w:rPr>
            <w:fldChar w:fldCharType="end"/>
          </w:r>
        </w:p>
        <w:p>
          <w:pPr>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Cs w:val="0"/>
              <w:szCs w:val="18"/>
            </w:rPr>
            <w:fldChar w:fldCharType="end"/>
          </w:r>
        </w:p>
      </w:sdtContent>
    </w:sdt>
    <w:p>
      <w:pPr>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z w:val="18"/>
          <w:szCs w:val="18"/>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445" w:name="_Toc6487"/>
      <w:bookmarkStart w:id="446" w:name="_Toc4732"/>
      <w:r>
        <w:rPr>
          <w:rFonts w:hint="eastAsia" w:asciiTheme="minorEastAsia" w:hAnsiTheme="minorEastAsia" w:eastAsiaTheme="minorEastAsia" w:cstheme="minorEastAsia"/>
        </w:rPr>
        <w:t>1  总则</w:t>
      </w:r>
      <w:bookmarkEnd w:id="445"/>
      <w:bookmarkEnd w:id="446"/>
    </w:p>
    <w:p>
      <w:pPr>
        <w:spacing w:line="360" w:lineRule="exact"/>
        <w:rPr>
          <w:rFonts w:hint="default" w:asciiTheme="minorEastAsia" w:hAnsiTheme="minorEastAsia" w:eastAsiaTheme="minorEastAsia" w:cstheme="minorEastAsia"/>
          <w:bCs/>
          <w:color w:val="000000"/>
          <w:szCs w:val="21"/>
          <w:lang w:val="en-US" w:eastAsia="zh-CN"/>
        </w:rPr>
      </w:pPr>
      <w:r>
        <w:rPr>
          <w:rFonts w:hint="eastAsia" w:ascii="Times New Roman" w:hAnsi="Times New Roman" w:cs="Times New Roman" w:eastAsiaTheme="minorEastAsia"/>
          <w:color w:val="000000"/>
          <w:szCs w:val="21"/>
        </w:rPr>
        <w:t>1.0.1</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笼芯囊锚杆作为一种新型的锚固结构，抗拔力大，位移小，可靠性高，安全性好，可以降低工程造价，提高安全水平，尤其是可以解决锚杆防腐问题，符合行业技术发展的方向。</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imes New Roman" w:hAnsi="Times New Roman" w:cs="Times New Roman" w:eastAsiaTheme="minorEastAsia"/>
          <w:color w:val="000000"/>
          <w:szCs w:val="21"/>
          <w:lang w:val="en-US" w:eastAsia="zh-CN"/>
        </w:rPr>
      </w:pPr>
      <w:r>
        <w:rPr>
          <w:rFonts w:hint="eastAsia" w:ascii="Times New Roman" w:hAnsi="Times New Roman" w:cs="Times New Roman" w:eastAsiaTheme="minorEastAsia"/>
          <w:color w:val="000000"/>
          <w:szCs w:val="21"/>
        </w:rPr>
        <w:t>1.0.</w:t>
      </w:r>
      <w:r>
        <w:rPr>
          <w:rFonts w:hint="eastAsia" w:ascii="Times New Roman" w:hAnsi="Times New Roman" w:cs="Times New Roman" w:eastAsiaTheme="minorEastAsia"/>
          <w:color w:val="000000"/>
          <w:szCs w:val="21"/>
          <w:lang w:val="en-US" w:eastAsia="zh-CN"/>
        </w:rPr>
        <w:t>2  笼芯囊锚杆适用于工业与民用建筑、水利水电、市政工程、城市地铁轨道交通、地下空间资源开发等建设工程的基础抗浮、基坑支护和边坡支护工程。</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imes New Roman" w:hAnsi="Times New Roman" w:cs="Times New Roman" w:eastAsiaTheme="minorEastAsia"/>
          <w:color w:val="000000"/>
          <w:szCs w:val="21"/>
          <w:lang w:val="en-US" w:eastAsia="zh-CN"/>
        </w:rPr>
      </w:pPr>
      <w:r>
        <w:rPr>
          <w:rFonts w:hint="eastAsia" w:ascii="Times New Roman" w:hAnsi="Times New Roman" w:cs="Times New Roman" w:eastAsiaTheme="minorEastAsia"/>
          <w:color w:val="000000"/>
          <w:szCs w:val="21"/>
        </w:rPr>
        <w:t>1.0.</w:t>
      </w:r>
      <w:r>
        <w:rPr>
          <w:rFonts w:hint="eastAsia" w:ascii="Times New Roman" w:hAnsi="Times New Roman" w:cs="Times New Roman" w:eastAsiaTheme="minorEastAsia"/>
          <w:color w:val="000000"/>
          <w:szCs w:val="21"/>
          <w:lang w:val="en-US" w:eastAsia="zh-CN"/>
        </w:rPr>
        <w:t>4  本规程未明确处，按现行国家标准和相关行业标准执行。</w:t>
      </w:r>
    </w:p>
    <w:p>
      <w:pPr>
        <w:rPr>
          <w:rFonts w:hint="eastAsia" w:ascii="Times New Roman" w:hAnsi="Times New Roman" w:cs="Times New Roman" w:eastAsiaTheme="minorEastAsia"/>
          <w:color w:val="000000"/>
          <w:szCs w:val="21"/>
          <w:lang w:val="en-US" w:eastAsia="zh-CN"/>
        </w:rPr>
      </w:pPr>
      <w:r>
        <w:rPr>
          <w:rFonts w:hint="eastAsia" w:ascii="Times New Roman" w:hAnsi="Times New Roman" w:cs="Times New Roman" w:eastAsiaTheme="minorEastAsia"/>
          <w:color w:val="000000"/>
          <w:szCs w:val="21"/>
          <w:lang w:val="en-US" w:eastAsia="zh-CN"/>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p>
    <w:p>
      <w:pPr>
        <w:pStyle w:val="2"/>
        <w:spacing w:before="312" w:beforeLines="100" w:after="312" w:afterLines="100"/>
        <w:rPr>
          <w:rFonts w:asciiTheme="minorEastAsia" w:hAnsiTheme="minorEastAsia" w:eastAsiaTheme="minorEastAsia" w:cstheme="minorEastAsia"/>
        </w:rPr>
      </w:pPr>
      <w:bookmarkStart w:id="447" w:name="_Toc1078"/>
      <w:bookmarkStart w:id="448" w:name="_Toc31795"/>
      <w:r>
        <w:rPr>
          <w:rFonts w:hint="eastAsia" w:asciiTheme="minorEastAsia" w:hAnsiTheme="minorEastAsia" w:eastAsiaTheme="minorEastAsia" w:cstheme="minorEastAsia"/>
        </w:rPr>
        <w:t>3  基本规定</w:t>
      </w:r>
      <w:bookmarkEnd w:id="447"/>
      <w:bookmarkEnd w:id="448"/>
    </w:p>
    <w:p>
      <w:pPr>
        <w:spacing w:line="360" w:lineRule="exact"/>
        <w:rPr>
          <w:rFonts w:hint="eastAsia" w:asciiTheme="minorEastAsia" w:hAnsiTheme="minorEastAsia" w:eastAsiaTheme="minorEastAsia" w:cstheme="minorEastAsia"/>
          <w:bCs/>
          <w:color w:val="000000"/>
          <w:szCs w:val="21"/>
          <w:lang w:eastAsia="zh-CN"/>
        </w:rPr>
      </w:pPr>
      <w:r>
        <w:rPr>
          <w:rFonts w:hint="eastAsia" w:ascii="Times New Roman" w:hAnsi="Times New Roman" w:cs="Times New Roman" w:eastAsiaTheme="minorEastAsia"/>
          <w:color w:val="000000"/>
          <w:szCs w:val="21"/>
        </w:rPr>
        <w:t>3.0.1</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本条所述设计使用年限，对抗浮锚杆，应与锚杆所连接的主体建筑物的设计使用年限相同；对边坡支护锚杆，应与边坡的设计使用年限相同；对基坑支护锚杆，应与基坑的设计使用年限相同。</w:t>
      </w:r>
    </w:p>
    <w:p>
      <w:pPr>
        <w:spacing w:line="360" w:lineRule="exact"/>
        <w:rPr>
          <w:rFonts w:hint="eastAsia" w:asciiTheme="minorEastAsia" w:hAnsiTheme="minorEastAsia" w:eastAsiaTheme="minorEastAsia" w:cstheme="minorEastAsia"/>
          <w:bCs/>
          <w:color w:val="000000"/>
          <w:szCs w:val="21"/>
          <w:lang w:eastAsia="zh-CN"/>
        </w:rPr>
      </w:pPr>
      <w:r>
        <w:rPr>
          <w:rFonts w:hint="eastAsia" w:ascii="Times New Roman" w:hAnsi="Times New Roman" w:cs="Times New Roman" w:eastAsiaTheme="minorEastAsia"/>
          <w:color w:val="000000"/>
          <w:szCs w:val="21"/>
        </w:rPr>
        <w:t>3.0.</w:t>
      </w:r>
      <w:r>
        <w:rPr>
          <w:rFonts w:hint="eastAsia" w:ascii="Times New Roman" w:hAnsi="Times New Roman" w:cs="Times New Roman" w:eastAsiaTheme="minorEastAsia"/>
          <w:color w:val="000000"/>
          <w:szCs w:val="21"/>
          <w:lang w:val="en-US" w:eastAsia="zh-CN"/>
        </w:rPr>
        <w:t>5</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笼芯囊锚杆设计和施工应根据工程地质勘察报告进行。</w:t>
      </w:r>
    </w:p>
    <w:p>
      <w:pPr>
        <w:rPr>
          <w:rFonts w:hint="eastAsia" w:asciiTheme="minorEastAsia" w:hAnsiTheme="minorEastAsia" w:eastAsiaTheme="minorEastAsia" w:cstheme="minorEastAsia"/>
          <w:bCs/>
          <w:color w:val="000000"/>
          <w:szCs w:val="21"/>
          <w:lang w:eastAsia="zh-CN"/>
        </w:rPr>
      </w:pPr>
      <w:r>
        <w:rPr>
          <w:rFonts w:hint="eastAsia" w:asciiTheme="minorEastAsia" w:hAnsiTheme="minorEastAsia" w:eastAsiaTheme="minorEastAsia" w:cstheme="minorEastAsia"/>
          <w:bCs/>
          <w:color w:val="000000"/>
          <w:szCs w:val="21"/>
          <w:lang w:eastAsia="zh-CN"/>
        </w:rPr>
        <w:br w:type="page"/>
      </w:r>
    </w:p>
    <w:p>
      <w:pPr>
        <w:keepNext/>
        <w:keepLines/>
        <w:outlineLvl w:val="9"/>
        <w:rPr>
          <w:rFonts w:asciiTheme="minorEastAsia" w:hAnsiTheme="minorEastAsia" w:eastAsiaTheme="minorEastAsia" w:cstheme="minorEastAsia"/>
        </w:rPr>
      </w:pPr>
      <w:bookmarkStart w:id="504" w:name="_GoBack"/>
      <w:bookmarkEnd w:id="504"/>
    </w:p>
    <w:p>
      <w:pPr>
        <w:pStyle w:val="2"/>
        <w:spacing w:before="312" w:beforeLines="100" w:after="312" w:afterLines="100"/>
        <w:rPr>
          <w:rFonts w:asciiTheme="minorEastAsia" w:hAnsiTheme="minorEastAsia" w:eastAsiaTheme="minorEastAsia" w:cstheme="minorEastAsia"/>
        </w:rPr>
      </w:pPr>
      <w:bookmarkStart w:id="449" w:name="_Toc15808"/>
      <w:bookmarkStart w:id="450" w:name="_Toc20757"/>
      <w:r>
        <w:rPr>
          <w:rFonts w:hint="eastAsia" w:asciiTheme="minorEastAsia" w:hAnsiTheme="minorEastAsia" w:eastAsiaTheme="minorEastAsia" w:cstheme="minorEastAsia"/>
        </w:rPr>
        <w:t>4  设计</w:t>
      </w:r>
      <w:bookmarkEnd w:id="449"/>
      <w:bookmarkEnd w:id="450"/>
    </w:p>
    <w:p>
      <w:pPr>
        <w:pStyle w:val="3"/>
        <w:spacing w:before="312" w:beforeLines="100" w:after="156" w:afterLines="50"/>
        <w:rPr>
          <w:rFonts w:asciiTheme="minorEastAsia" w:hAnsiTheme="minorEastAsia" w:eastAsiaTheme="minorEastAsia" w:cstheme="minorEastAsia"/>
        </w:rPr>
      </w:pPr>
      <w:bookmarkStart w:id="451" w:name="_Toc23712"/>
      <w:bookmarkStart w:id="452" w:name="_Toc16"/>
      <w:r>
        <w:rPr>
          <w:rFonts w:hint="eastAsia" w:asciiTheme="minorEastAsia" w:hAnsiTheme="minorEastAsia" w:eastAsiaTheme="minorEastAsia" w:cstheme="minorEastAsia"/>
        </w:rPr>
        <w:t>4.1  一般规定</w:t>
      </w:r>
      <w:bookmarkEnd w:id="451"/>
      <w:bookmarkEnd w:id="452"/>
    </w:p>
    <w:p>
      <w:pPr>
        <w:spacing w:line="360" w:lineRule="exact"/>
        <w:jc w:val="left"/>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4.1.1</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锚杆防腐是必要的，一些新发布的行标、国标已经将防腐设计列为强条。</w:t>
      </w:r>
    </w:p>
    <w:p>
      <w:pPr>
        <w:spacing w:line="360" w:lineRule="exact"/>
        <w:jc w:val="left"/>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4.1.</w:t>
      </w:r>
      <w:r>
        <w:rPr>
          <w:rFonts w:hint="eastAsia" w:ascii="Times New Roman" w:hAnsi="Times New Roman" w:cs="Times New Roman" w:eastAsiaTheme="minorEastAsia"/>
          <w:color w:val="000000"/>
          <w:szCs w:val="21"/>
          <w:lang w:val="en-US" w:eastAsia="zh-CN"/>
        </w:rPr>
        <w:t>4</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一根钢筋居于注浆体的中央，底部安装一个承载体，是压力型锚杆的最优受力状态。如果采用多根钢筋，尤其是多股钢绞线呈蛇形结构，即使底部有承载体、杆体与注浆体无粘结，注浆体或局部也会出现拉应力，不能保证全部为压应力。</w:t>
      </w:r>
    </w:p>
    <w:p>
      <w:pPr>
        <w:spacing w:line="360" w:lineRule="exact"/>
        <w:rPr>
          <w:rFonts w:hint="default" w:asciiTheme="minorEastAsia" w:hAnsiTheme="minorEastAsia" w:eastAsiaTheme="minorEastAsia" w:cstheme="minorEastAsia"/>
          <w:bCs/>
          <w:color w:val="000000"/>
          <w:szCs w:val="21"/>
          <w:lang w:val="en-US" w:eastAsia="zh-CN"/>
        </w:rPr>
      </w:pPr>
      <w:r>
        <w:rPr>
          <w:rFonts w:hint="eastAsia" w:ascii="Times New Roman" w:hAnsi="Times New Roman" w:cs="Times New Roman" w:eastAsiaTheme="minorEastAsia"/>
          <w:color w:val="000000"/>
          <w:szCs w:val="21"/>
        </w:rPr>
        <w:t>4.1.</w:t>
      </w:r>
      <w:r>
        <w:rPr>
          <w:rFonts w:hint="eastAsia" w:ascii="Times New Roman" w:hAnsi="Times New Roman" w:cs="Times New Roman" w:eastAsiaTheme="minorEastAsia"/>
          <w:color w:val="000000"/>
          <w:szCs w:val="21"/>
          <w:lang w:val="en-US" w:eastAsia="zh-CN"/>
        </w:rPr>
        <w:t>5</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采用预应力锚杆抗浮，漏水问题难以完全解决。因此，新建工程抗浮采用预应力锚杆的越来越少。</w:t>
      </w:r>
    </w:p>
    <w:p>
      <w:pPr>
        <w:spacing w:line="360" w:lineRule="exact"/>
        <w:rPr>
          <w:rFonts w:hint="eastAsia" w:asciiTheme="minorEastAsia" w:hAnsiTheme="minorEastAsia" w:eastAsiaTheme="minorEastAsia" w:cstheme="minorEastAsia"/>
          <w:color w:val="000000"/>
          <w:szCs w:val="21"/>
          <w:lang w:val="en-US" w:eastAsia="zh-CN"/>
        </w:rPr>
      </w:pPr>
      <w:r>
        <w:rPr>
          <w:rFonts w:hint="eastAsia" w:ascii="Times New Roman" w:hAnsi="Times New Roman" w:cs="Times New Roman" w:eastAsiaTheme="minorEastAsia"/>
          <w:color w:val="000000"/>
          <w:szCs w:val="21"/>
        </w:rPr>
        <w:t>4.1.</w:t>
      </w:r>
      <w:r>
        <w:rPr>
          <w:rFonts w:hint="eastAsia" w:ascii="Times New Roman" w:hAnsi="Times New Roman" w:cs="Times New Roman" w:eastAsiaTheme="minorEastAsia"/>
          <w:color w:val="000000"/>
          <w:szCs w:val="21"/>
          <w:lang w:val="en-US" w:eastAsia="zh-CN"/>
        </w:rPr>
        <w:t>8</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钢丝种类非常多且复杂，结构钢丝的强度不低于</w:t>
      </w:r>
      <w:r>
        <w:rPr>
          <w:rFonts w:hint="eastAsia" w:asciiTheme="minorEastAsia" w:hAnsiTheme="minorEastAsia" w:eastAsiaTheme="minorEastAsia" w:cstheme="minorEastAsia"/>
          <w:color w:val="000000"/>
          <w:szCs w:val="21"/>
          <w:lang w:val="en-US" w:eastAsia="zh-CN"/>
        </w:rPr>
        <w:t>400MPa。钢丝直径不小于3mm，钢丝笼强度和刚度好。</w:t>
      </w:r>
    </w:p>
    <w:p>
      <w:pPr>
        <w:spacing w:line="360" w:lineRule="exact"/>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4.1.</w:t>
      </w:r>
      <w:r>
        <w:rPr>
          <w:rFonts w:hint="eastAsia" w:ascii="Times New Roman" w:hAnsi="Times New Roman" w:cs="Times New Roman" w:eastAsiaTheme="minorEastAsia"/>
          <w:color w:val="000000"/>
          <w:szCs w:val="21"/>
          <w:lang w:val="en-US" w:eastAsia="zh-CN"/>
        </w:rPr>
        <w:t>14</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等直径锚杆不采用压力型锚杆不能充分体现笼芯囊力学性能的优越性和技术经济价值。</w:t>
      </w:r>
    </w:p>
    <w:p>
      <w:pPr>
        <w:pStyle w:val="3"/>
        <w:spacing w:before="312" w:beforeLines="100" w:after="156" w:afterLines="50"/>
        <w:rPr>
          <w:rFonts w:asciiTheme="minorEastAsia" w:hAnsiTheme="minorEastAsia" w:eastAsiaTheme="minorEastAsia" w:cstheme="minorEastAsia"/>
        </w:rPr>
      </w:pPr>
      <w:bookmarkStart w:id="453" w:name="_Toc12212"/>
      <w:bookmarkStart w:id="454" w:name="_Toc32556"/>
      <w:r>
        <w:rPr>
          <w:rFonts w:hint="eastAsia" w:asciiTheme="minorEastAsia" w:hAnsiTheme="minorEastAsia" w:eastAsiaTheme="minorEastAsia" w:cstheme="minorEastAsia"/>
          <w:sz w:val="22"/>
          <w:szCs w:val="28"/>
        </w:rPr>
        <w:t>4.2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24"/>
        </w:rPr>
        <w:t>建筑结构抗浮</w:t>
      </w:r>
      <w:bookmarkEnd w:id="453"/>
      <w:bookmarkEnd w:id="454"/>
    </w:p>
    <w:p>
      <w:pPr>
        <w:spacing w:line="360" w:lineRule="exact"/>
        <w:rPr>
          <w:rFonts w:hint="eastAsia" w:asciiTheme="minorEastAsia" w:hAnsiTheme="minorEastAsia" w:eastAsiaTheme="minorEastAsia" w:cstheme="minorEastAsia"/>
          <w:color w:val="000000"/>
          <w:szCs w:val="21"/>
          <w:lang w:val="en-US" w:eastAsia="zh-CN"/>
        </w:rPr>
      </w:pPr>
      <w:r>
        <w:rPr>
          <w:rFonts w:hint="eastAsia" w:ascii="Times New Roman" w:hAnsi="Times New Roman" w:cs="Times New Roman" w:eastAsiaTheme="minorEastAsia"/>
          <w:color w:val="000000"/>
          <w:szCs w:val="21"/>
        </w:rPr>
        <w:t>4.2.1</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新建建筑物地下室都有防水要求，预应力锚杆的防水问题是一个难点，应优先采用非预应力锚杆。</w:t>
      </w:r>
    </w:p>
    <w:p>
      <w:pPr>
        <w:spacing w:before="312" w:beforeLines="100" w:after="156" w:afterLines="50"/>
        <w:jc w:val="center"/>
        <w:outlineLvl w:val="1"/>
        <w:rPr>
          <w:rFonts w:asciiTheme="minorEastAsia" w:hAnsiTheme="minorEastAsia" w:eastAsiaTheme="minorEastAsia" w:cstheme="minorEastAsia"/>
          <w:b/>
          <w:bCs/>
        </w:rPr>
      </w:pPr>
      <w:bookmarkStart w:id="455" w:name="_Toc12493"/>
      <w:bookmarkStart w:id="456" w:name="_Toc24286"/>
      <w:r>
        <w:rPr>
          <w:rFonts w:hint="eastAsia" w:asciiTheme="minorEastAsia" w:hAnsiTheme="minorEastAsia" w:eastAsiaTheme="minorEastAsia" w:cstheme="minorEastAsia"/>
          <w:b/>
          <w:bCs/>
        </w:rPr>
        <w:t>4.4  边坡支护</w:t>
      </w:r>
      <w:bookmarkEnd w:id="455"/>
      <w:bookmarkEnd w:id="456"/>
    </w:p>
    <w:p>
      <w:pPr>
        <w:spacing w:line="350" w:lineRule="exact"/>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4.4.</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锚杆扩大头的埋深和所在土层的土质情况是影响锚杆抗拔力和锚固体稳定性的两个主要因素，在设计时应予以充分重视。</w:t>
      </w:r>
    </w:p>
    <w:p>
      <w:pPr>
        <w:spacing w:line="350" w:lineRule="exact"/>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4.4.</w:t>
      </w:r>
      <w:r>
        <w:rPr>
          <w:rFonts w:hint="eastAsia" w:ascii="Times New Roman" w:hAnsi="Times New Roman" w:cs="Times New Roman" w:eastAsiaTheme="minorEastAsia"/>
          <w:color w:val="000000"/>
          <w:szCs w:val="21"/>
          <w:lang w:val="en-US" w:eastAsia="zh-CN"/>
        </w:rPr>
        <w:t>6</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采用等直径压力型笼芯囊锚杆，可以发挥抗拔力大、可直接将荷载传递到锚孔底部的力学特点，有利于边坡稳定。</w:t>
      </w:r>
    </w:p>
    <w:p>
      <w:pPr>
        <w:spacing w:line="350" w:lineRule="exact"/>
        <w:rPr>
          <w:rFonts w:hint="default" w:asciiTheme="minorEastAsia" w:hAnsiTheme="minorEastAsia" w:eastAsiaTheme="minorEastAsia" w:cstheme="minorEastAsia"/>
          <w:color w:val="000000"/>
          <w:szCs w:val="21"/>
          <w:lang w:val="en-US" w:eastAsia="zh-CN"/>
        </w:rPr>
      </w:pPr>
      <w:r>
        <w:rPr>
          <w:rFonts w:hint="eastAsia" w:ascii="Times New Roman" w:hAnsi="Times New Roman" w:cs="Times New Roman" w:eastAsiaTheme="minorEastAsia"/>
          <w:color w:val="000000"/>
          <w:szCs w:val="21"/>
        </w:rPr>
        <w:t>4.4.</w:t>
      </w:r>
      <w:r>
        <w:rPr>
          <w:rFonts w:hint="eastAsia" w:ascii="Times New Roman" w:hAnsi="Times New Roman" w:cs="Times New Roman" w:eastAsiaTheme="minorEastAsia"/>
          <w:color w:val="000000"/>
          <w:szCs w:val="21"/>
          <w:lang w:val="en-US" w:eastAsia="zh-CN"/>
        </w:rPr>
        <w:t>9</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永久性边坡坡体水位变幅较大且有不确定性，勘察报告一般难以全面反映坡体地下水的变化，一般也缺乏较长时期的多年地下水位观测，因此，考虑到地下水位变化对锚杆防腐的不利影响，本条规定永久性边坡均应按Ⅰ级防腐设计。</w:t>
      </w:r>
    </w:p>
    <w:p>
      <w:pPr>
        <w:spacing w:before="312" w:beforeLines="100" w:after="312" w:afterLines="100"/>
        <w:jc w:val="center"/>
        <w:outlineLvl w:val="1"/>
        <w:rPr>
          <w:rFonts w:asciiTheme="minorEastAsia" w:hAnsiTheme="minorEastAsia" w:eastAsiaTheme="minorEastAsia" w:cstheme="minorEastAsia"/>
          <w:b/>
          <w:bCs/>
        </w:rPr>
      </w:pPr>
      <w:bookmarkStart w:id="457" w:name="_Toc25141"/>
      <w:bookmarkStart w:id="458" w:name="_Toc25898"/>
      <w:r>
        <w:rPr>
          <w:rFonts w:hint="eastAsia" w:asciiTheme="minorEastAsia" w:hAnsiTheme="minorEastAsia" w:eastAsiaTheme="minorEastAsia" w:cstheme="minorEastAsia"/>
          <w:b/>
          <w:bCs/>
        </w:rPr>
        <w:t>4.5  基坑支护</w:t>
      </w:r>
      <w:bookmarkEnd w:id="457"/>
      <w:bookmarkEnd w:id="458"/>
    </w:p>
    <w:p>
      <w:pPr>
        <w:rPr>
          <w:rFonts w:hint="default" w:asciiTheme="minorEastAsia" w:hAnsiTheme="minorEastAsia" w:eastAsiaTheme="minorEastAsia" w:cstheme="minorEastAsia"/>
          <w:lang w:val="en-US" w:eastAsia="zh-CN"/>
        </w:rPr>
      </w:pPr>
      <w:r>
        <w:rPr>
          <w:rFonts w:hint="eastAsia" w:ascii="Times New Roman" w:hAnsi="Times New Roman" w:cs="Times New Roman" w:eastAsiaTheme="minorEastAsia"/>
          <w:color w:val="000000"/>
          <w:szCs w:val="21"/>
        </w:rPr>
        <w:t>4.5.</w:t>
      </w:r>
      <w:r>
        <w:rPr>
          <w:rFonts w:hint="eastAsia" w:ascii="Times New Roman" w:hAnsi="Times New Roman" w:cs="Times New Roman" w:eastAsiaTheme="minorEastAsia"/>
          <w:color w:val="000000"/>
          <w:szCs w:val="21"/>
          <w:lang w:val="en-US" w:eastAsia="zh-CN"/>
        </w:rPr>
        <w:t>8</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当周边环境对基坑位移要求严格时，支护结构设计应以位移控制为设计条件。普通预应力锚杆自由段短，没有穿过基坑开挖变形影响范围，基坑下挖时锚固段会随基坑坡体一起位移。普通锚杆锚固段太长，在受力过程中随着应力向锚固段后端传递而发生较大的位移，因此普通预应力是不能严格控制基坑位移的。采用笼芯囊锚杆，一是设置足够长的自由段，以完全穿过基坑变形影响范围（工程实践中，当周边建筑物对位移敏感时，可以将扩大头设置在基坑底高程以下，完全不受基坑开挖的影响）；二是采用很短的锚固长度（一般仅以</w:t>
      </w:r>
      <w:r>
        <w:rPr>
          <w:rFonts w:hint="default" w:ascii="Times New Roman" w:hAnsi="Times New Roman" w:cs="Times New Roman" w:eastAsiaTheme="minorEastAsia"/>
          <w:lang w:val="en-US" w:eastAsia="zh-CN"/>
        </w:rPr>
        <w:t>4m~6m</w:t>
      </w:r>
      <w:r>
        <w:rPr>
          <w:rFonts w:hint="eastAsia" w:asciiTheme="minorEastAsia" w:hAnsiTheme="minorEastAsia" w:eastAsiaTheme="minorEastAsia" w:cstheme="minorEastAsia"/>
          <w:lang w:val="en-US" w:eastAsia="zh-CN"/>
        </w:rPr>
        <w:t>长度的扩大头为锚固段），消除或者显著减小锚杆工作期间由于应力传递产生的位移；三是采用较大的拉力进行预张拉后再锁定，以消除或减小锚杆工作期间锚固体范围土体的变形，这样，可以使基坑的位移基本上由锚杆自由段的弹性控制，这个变形是可计算的和可控制的。</w:t>
      </w:r>
    </w:p>
    <w:p>
      <w:pPr>
        <w:spacing w:line="360" w:lineRule="exact"/>
        <w:rPr>
          <w:rFonts w:hint="eastAsia" w:asciiTheme="minorEastAsia" w:hAnsiTheme="minorEastAsia" w:eastAsiaTheme="minorEastAsia" w:cstheme="minorEastAsia"/>
          <w:lang w:val="en-US" w:eastAsia="zh-CN"/>
        </w:rPr>
      </w:pPr>
      <w:r>
        <w:rPr>
          <w:rFonts w:hint="eastAsia" w:ascii="Times New Roman" w:hAnsi="Times New Roman" w:cs="Times New Roman" w:eastAsiaTheme="minorEastAsia"/>
          <w:color w:val="000000"/>
          <w:szCs w:val="21"/>
        </w:rPr>
        <w:t>4.5.</w:t>
      </w:r>
      <w:r>
        <w:rPr>
          <w:rFonts w:hint="eastAsia" w:ascii="Times New Roman" w:hAnsi="Times New Roman" w:cs="Times New Roman" w:eastAsiaTheme="minorEastAsia"/>
          <w:color w:val="000000"/>
          <w:szCs w:val="21"/>
          <w:lang w:val="en-US" w:eastAsia="zh-CN"/>
        </w:rPr>
        <w:t>9</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基坑边坡坡体可分为滑裂区、滑裂松动区和变形影响区，位移控制锚杆的布置应使自由段穿过这三个区域，将扩大头布置在不受基坑开挖和变形影响的稳定地层之中，且要求土质较好，以确保扩大头基本不发生位移，成为一个相对固定的锚固点。本条第</w:t>
      </w:r>
      <w:r>
        <w:rPr>
          <w:rFonts w:hint="eastAsia" w:asciiTheme="minorEastAsia" w:hAnsiTheme="minorEastAsia" w:eastAsiaTheme="minorEastAsia" w:cstheme="minorEastAsia"/>
          <w:lang w:val="en-US" w:eastAsia="zh-CN"/>
        </w:rPr>
        <w:t>1款规定应以扩大头设置在变形影响区以外为原则，当基坑坡体土质较差、变形影响区较大时，应将扩大头设置在基坑底面高程以下。</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扩大头到锚头之间全长设置为自由段，实现扩大头到锚头之间“点到点”的弹性拉结和力的传递，将荷载直接传递给扩大头，避免由于锚固段应力峰值的向后迁移而出现不可测、不可控制的附加位移。</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lang w:val="en-US" w:eastAsia="zh-CN"/>
        </w:rPr>
      </w:pPr>
      <w:r>
        <w:rPr>
          <w:rFonts w:hint="eastAsia" w:ascii="Times New Roman" w:hAnsi="Times New Roman" w:cs="Times New Roman" w:eastAsiaTheme="minorEastAsia"/>
          <w:color w:val="000000"/>
          <w:szCs w:val="21"/>
        </w:rPr>
        <w:t>4.5.</w:t>
      </w:r>
      <w:r>
        <w:rPr>
          <w:rFonts w:hint="eastAsia" w:ascii="Times New Roman" w:hAnsi="Times New Roman" w:cs="Times New Roman" w:eastAsiaTheme="minorEastAsia"/>
          <w:color w:val="000000"/>
          <w:szCs w:val="21"/>
          <w:lang w:val="en-US" w:eastAsia="zh-CN"/>
        </w:rPr>
        <w:t>10</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扩大头端前软土层对扩大头的位移是有影响的，根据数值模拟研究并参考相关资料，这个距离为</w:t>
      </w:r>
      <w:r>
        <w:rPr>
          <w:rFonts w:hint="eastAsia" w:asciiTheme="minorEastAsia" w:hAnsiTheme="minorEastAsia" w:eastAsiaTheme="minorEastAsia" w:cstheme="minorEastAsia"/>
          <w:lang w:val="en-US" w:eastAsia="zh-CN"/>
        </w:rPr>
        <w:t>7倍~12倍扩大头直径。基坑坡体土质较差，如淤泥或淤泥质土，基坑开挖变形影响范围很远，应将扩大头设置在基坑底高程以下，以避免基坑变形的影响。</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lang w:eastAsia="zh-CN"/>
        </w:rPr>
      </w:pPr>
      <w:r>
        <w:rPr>
          <w:rFonts w:hint="eastAsia" w:ascii="Times New Roman" w:hAnsi="Times New Roman" w:cs="Times New Roman" w:eastAsiaTheme="minorEastAsia"/>
          <w:color w:val="000000"/>
          <w:szCs w:val="21"/>
        </w:rPr>
        <w:t>4.5.</w:t>
      </w:r>
      <w:r>
        <w:rPr>
          <w:rFonts w:hint="eastAsia" w:ascii="Times New Roman" w:hAnsi="Times New Roman" w:cs="Times New Roman" w:eastAsiaTheme="minorEastAsia"/>
          <w:color w:val="000000"/>
          <w:szCs w:val="21"/>
          <w:lang w:val="en-US" w:eastAsia="zh-CN"/>
        </w:rPr>
        <w:t>11</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主动土压力和被动土压力都是以较大的位移量为前提的，当位移控制值较小时，实际土压力值将与主动土压力和被动土压力有差异。</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lang w:eastAsia="zh-CN"/>
        </w:rPr>
      </w:pPr>
      <w:r>
        <w:rPr>
          <w:rFonts w:hint="eastAsia" w:ascii="Times New Roman" w:hAnsi="Times New Roman" w:cs="Times New Roman" w:eastAsiaTheme="minorEastAsia"/>
          <w:color w:val="000000"/>
          <w:szCs w:val="21"/>
        </w:rPr>
        <w:t>4.5.</w:t>
      </w:r>
      <w:r>
        <w:rPr>
          <w:rFonts w:hint="eastAsia" w:ascii="Times New Roman" w:hAnsi="Times New Roman" w:cs="Times New Roman" w:eastAsiaTheme="minorEastAsia"/>
          <w:color w:val="000000"/>
          <w:szCs w:val="21"/>
          <w:lang w:val="en-US" w:eastAsia="zh-CN"/>
        </w:rPr>
        <w:t>12</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张拉荷载比普通锚杆提高是为了尽量减小锚固段土体的后期变形。</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bookmarkStart w:id="459" w:name="_Toc1243"/>
      <w:bookmarkStart w:id="460" w:name="_Toc27853"/>
    </w:p>
    <w:p>
      <w:pPr>
        <w:pStyle w:val="2"/>
        <w:spacing w:before="312" w:beforeLines="100" w:after="312" w:afterLines="100"/>
        <w:rPr>
          <w:rFonts w:asciiTheme="minorEastAsia" w:hAnsiTheme="minorEastAsia" w:eastAsiaTheme="minorEastAsia" w:cstheme="minorEastAsia"/>
        </w:rPr>
      </w:pPr>
      <w:r>
        <w:rPr>
          <w:rFonts w:hint="eastAsia" w:asciiTheme="minorEastAsia" w:hAnsiTheme="minorEastAsia" w:eastAsiaTheme="minorEastAsia" w:cstheme="minorEastAsia"/>
        </w:rPr>
        <w:t>5  结构验算</w:t>
      </w:r>
      <w:bookmarkEnd w:id="459"/>
      <w:bookmarkEnd w:id="460"/>
    </w:p>
    <w:p>
      <w:pPr>
        <w:pStyle w:val="3"/>
        <w:spacing w:before="312" w:beforeLines="100" w:after="156" w:afterLines="50"/>
        <w:rPr>
          <w:rFonts w:asciiTheme="minorEastAsia" w:hAnsiTheme="minorEastAsia" w:eastAsiaTheme="minorEastAsia" w:cstheme="minorEastAsia"/>
        </w:rPr>
      </w:pPr>
      <w:bookmarkStart w:id="461" w:name="_Toc14717"/>
      <w:bookmarkStart w:id="462" w:name="_Toc9791"/>
      <w:r>
        <w:rPr>
          <w:rFonts w:hint="eastAsia" w:asciiTheme="minorEastAsia" w:hAnsiTheme="minorEastAsia" w:eastAsiaTheme="minorEastAsia" w:cstheme="minorEastAsia"/>
        </w:rPr>
        <w:t>5.1  一般规定</w:t>
      </w:r>
      <w:bookmarkEnd w:id="461"/>
      <w:bookmarkEnd w:id="462"/>
    </w:p>
    <w:p>
      <w:pPr>
        <w:spacing w:line="360" w:lineRule="exact"/>
        <w:rPr>
          <w:rFonts w:hint="default" w:asciiTheme="minorEastAsia" w:hAnsiTheme="minorEastAsia" w:eastAsiaTheme="minorEastAsia" w:cstheme="minorEastAsia"/>
          <w:bCs/>
          <w:color w:val="000000"/>
          <w:szCs w:val="21"/>
          <w:lang w:val="en-US" w:eastAsia="zh-CN"/>
        </w:rPr>
      </w:pPr>
      <w:r>
        <w:rPr>
          <w:rFonts w:hint="eastAsia" w:ascii="Times New Roman" w:hAnsi="Times New Roman" w:cs="Times New Roman" w:eastAsiaTheme="minorEastAsia"/>
          <w:color w:val="000000"/>
          <w:szCs w:val="21"/>
        </w:rPr>
        <w:t>5.1.1</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本条规定将杆体与注浆体粘结安全系数和注浆体与地层抗拔安全系数分别处理。杆体和注浆体属于人工材料，其力学参数的离散性比地层土体小，为达到相同的可靠度要求，杆体与注浆体的粘结安全系数比注浆体与地层抗拔的安全系数小。</w:t>
      </w:r>
    </w:p>
    <w:p>
      <w:pPr>
        <w:spacing w:before="312" w:beforeLines="100" w:after="156" w:afterLines="50"/>
        <w:jc w:val="center"/>
        <w:outlineLvl w:val="1"/>
        <w:rPr>
          <w:rFonts w:asciiTheme="minorEastAsia" w:hAnsiTheme="minorEastAsia" w:eastAsiaTheme="minorEastAsia" w:cstheme="minorEastAsia"/>
          <w:b/>
          <w:bCs/>
        </w:rPr>
      </w:pPr>
      <w:bookmarkStart w:id="463" w:name="_Toc16969"/>
      <w:bookmarkStart w:id="464" w:name="_Toc26891"/>
      <w:r>
        <w:rPr>
          <w:rFonts w:hint="eastAsia" w:asciiTheme="minorEastAsia" w:hAnsiTheme="minorEastAsia" w:eastAsiaTheme="minorEastAsia" w:cstheme="minorEastAsia"/>
          <w:b/>
          <w:bCs/>
        </w:rPr>
        <w:t>5.2  锚杆抗拔力验算</w:t>
      </w:r>
      <w:bookmarkEnd w:id="463"/>
      <w:bookmarkEnd w:id="464"/>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5.2.</w:t>
      </w:r>
      <w:r>
        <w:rPr>
          <w:rFonts w:hint="eastAsia" w:ascii="Times New Roman" w:hAnsi="Times New Roman" w:cs="Times New Roman" w:eastAsiaTheme="minorEastAsia"/>
          <w:color w:val="000000"/>
          <w:szCs w:val="21"/>
          <w:lang w:val="en-US" w:eastAsia="zh-CN"/>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螺纹承载体的螺母一般都是工厂生产的与钢筋配套的成品，因材料和厂家较多，杆体和螺纹承载体（螺母）组件的抗拉力值应与杆体材料同批次送检实测。</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szCs w:val="21"/>
          <w:vertAlign w:val="baseline"/>
          <w:lang w:val="en-US" w:eastAsia="zh-CN"/>
        </w:rPr>
      </w:pPr>
      <w:r>
        <w:rPr>
          <w:rFonts w:hint="eastAsia" w:ascii="Times New Roman" w:hAnsi="Times New Roman" w:cs="Times New Roman" w:eastAsiaTheme="minorEastAsia"/>
          <w:color w:val="000000"/>
          <w:szCs w:val="21"/>
        </w:rPr>
        <w:t>5.2.</w:t>
      </w:r>
      <w:r>
        <w:rPr>
          <w:rFonts w:hint="eastAsia" w:ascii="Times New Roman" w:hAnsi="Times New Roman" w:cs="Times New Roman" w:eastAsiaTheme="minorEastAsia"/>
          <w:color w:val="000000"/>
          <w:szCs w:val="21"/>
          <w:lang w:val="en-US" w:eastAsia="zh-CN"/>
        </w:rPr>
        <w:t>4</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公式（</w:t>
      </w:r>
      <w:r>
        <w:rPr>
          <w:rFonts w:hint="eastAsia" w:asciiTheme="minorEastAsia" w:hAnsiTheme="minorEastAsia" w:eastAsiaTheme="minorEastAsia" w:cstheme="minorEastAsia"/>
          <w:color w:val="000000"/>
          <w:szCs w:val="21"/>
          <w:lang w:val="en-US" w:eastAsia="zh-CN"/>
        </w:rPr>
        <w:t>5.2.4）参照《岩土锚杆与喷射混凝土支护工程技术规范》GB50086-2015第4.6.15条。笼芯囊体为钢丝笼水泥浆结石体，引入的</w:t>
      </w:r>
      <w:r>
        <w:rPr>
          <w:rFonts w:hint="default" w:ascii="Times New Roman" w:hAnsi="Times New Roman" w:cs="Times New Roman" w:eastAsiaTheme="minorEastAsia"/>
          <w:color w:val="000000"/>
          <w:szCs w:val="21"/>
          <w:lang w:val="en-US" w:eastAsia="zh-CN"/>
        </w:rPr>
        <w:t>η</w:t>
      </w:r>
      <w:r>
        <w:rPr>
          <w:rFonts w:hint="default" w:ascii="Times New Roman" w:hAnsi="Times New Roman" w:cs="Times New Roman" w:eastAsiaTheme="minorEastAsia"/>
          <w:color w:val="000000"/>
          <w:szCs w:val="21"/>
          <w:vertAlign w:val="subscript"/>
          <w:lang w:val="en-US" w:eastAsia="zh-CN"/>
        </w:rPr>
        <w:t>1</w:t>
      </w:r>
      <w:r>
        <w:rPr>
          <w:rFonts w:hint="eastAsia" w:asciiTheme="minorEastAsia" w:hAnsiTheme="minorEastAsia" w:eastAsiaTheme="minorEastAsia" w:cstheme="minorEastAsia"/>
          <w:color w:val="000000"/>
          <w:szCs w:val="21"/>
          <w:vertAlign w:val="baseline"/>
          <w:lang w:val="en-US" w:eastAsia="zh-CN"/>
        </w:rPr>
        <w:t>系数为钢丝笼对注浆体抗压强度增大系数，可按有关钢筋混凝土结构公式计算。</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imes New Roman" w:hAnsi="Times New Roman" w:cs="Times New Roman" w:eastAsiaTheme="minorEastAsia"/>
          <w:b w:val="0"/>
          <w:bCs w:val="0"/>
          <w:i w:val="0"/>
          <w:iCs w:val="0"/>
          <w:color w:val="000000"/>
          <w:szCs w:val="21"/>
          <w:vertAlign w:val="baseline"/>
          <w:lang w:val="en-US" w:eastAsia="zh-CN"/>
        </w:rPr>
      </w:pPr>
      <w:r>
        <w:rPr>
          <w:rFonts w:hint="eastAsia" w:ascii="Times New Roman" w:hAnsi="Times New Roman" w:cs="Times New Roman" w:eastAsiaTheme="minorEastAsia"/>
          <w:color w:val="000000"/>
          <w:szCs w:val="21"/>
        </w:rPr>
        <w:t>5.2.</w:t>
      </w:r>
      <w:r>
        <w:rPr>
          <w:rFonts w:hint="eastAsia" w:ascii="Times New Roman" w:hAnsi="Times New Roman" w:cs="Times New Roman" w:eastAsiaTheme="minorEastAsia"/>
          <w:color w:val="000000"/>
          <w:szCs w:val="21"/>
          <w:lang w:val="en-US" w:eastAsia="zh-CN"/>
        </w:rPr>
        <w:t>5</w:t>
      </w:r>
      <w:r>
        <w:rPr>
          <w:rFonts w:hint="eastAsia" w:asciiTheme="minorEastAsia" w:hAnsiTheme="minorEastAsia" w:eastAsiaTheme="minorEastAsia" w:cstheme="minorEastAsia"/>
          <w:b/>
          <w:bCs/>
          <w:color w:val="000000"/>
          <w:szCs w:val="21"/>
        </w:rPr>
        <w:t xml:space="preserve">  </w:t>
      </w:r>
      <w:r>
        <w:rPr>
          <w:rFonts w:hint="default" w:ascii="Times New Roman" w:hAnsi="Times New Roman" w:cs="Times New Roman" w:eastAsiaTheme="minorEastAsia"/>
          <w:b w:val="0"/>
          <w:bCs w:val="0"/>
          <w:i/>
          <w:iCs/>
          <w:color w:val="000000"/>
          <w:szCs w:val="21"/>
          <w:lang w:val="en-US" w:eastAsia="zh-CN"/>
        </w:rPr>
        <w:t>f</w:t>
      </w:r>
      <w:r>
        <w:rPr>
          <w:rFonts w:hint="default" w:ascii="Times New Roman" w:hAnsi="Times New Roman" w:cs="Times New Roman" w:eastAsiaTheme="minorEastAsia"/>
          <w:b w:val="0"/>
          <w:bCs w:val="0"/>
          <w:i/>
          <w:iCs/>
          <w:color w:val="000000"/>
          <w:szCs w:val="21"/>
          <w:vertAlign w:val="subscript"/>
          <w:lang w:val="en-US" w:eastAsia="zh-CN"/>
        </w:rPr>
        <w:t>ck</w:t>
      </w:r>
      <w:r>
        <w:rPr>
          <w:rFonts w:hint="eastAsia" w:ascii="Times New Roman" w:hAnsi="Times New Roman" w:cs="Times New Roman" w:eastAsiaTheme="minorEastAsia"/>
          <w:b w:val="0"/>
          <w:bCs w:val="0"/>
          <w:i w:val="0"/>
          <w:iCs w:val="0"/>
          <w:color w:val="000000"/>
          <w:szCs w:val="21"/>
          <w:vertAlign w:val="baseline"/>
          <w:lang w:val="en-US" w:eastAsia="zh-CN"/>
        </w:rPr>
        <w:t>应按锚孔注浆体的强度标号取值。</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szCs w:val="21"/>
          <w:lang w:val="en-US" w:eastAsia="zh-CN"/>
        </w:rPr>
      </w:pPr>
      <w:r>
        <w:rPr>
          <w:rFonts w:hint="eastAsia" w:ascii="Times New Roman" w:hAnsi="Times New Roman" w:cs="Times New Roman" w:eastAsiaTheme="minorEastAsia"/>
          <w:color w:val="000000"/>
          <w:szCs w:val="21"/>
        </w:rPr>
        <w:t>5.2.</w:t>
      </w:r>
      <w:r>
        <w:rPr>
          <w:rFonts w:hint="eastAsia" w:ascii="Times New Roman" w:hAnsi="Times New Roman" w:cs="Times New Roman" w:eastAsiaTheme="minorEastAsia"/>
          <w:color w:val="000000"/>
          <w:szCs w:val="21"/>
          <w:lang w:val="en-US" w:eastAsia="zh-CN"/>
        </w:rPr>
        <w:t>7</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公式（</w:t>
      </w:r>
      <w:r>
        <w:rPr>
          <w:rFonts w:hint="eastAsia" w:asciiTheme="minorEastAsia" w:hAnsiTheme="minorEastAsia" w:eastAsiaTheme="minorEastAsia" w:cstheme="minorEastAsia"/>
          <w:color w:val="000000"/>
          <w:szCs w:val="21"/>
          <w:lang w:val="en-US" w:eastAsia="zh-CN"/>
        </w:rPr>
        <w:t>5.2.7-1）、（5.2.7-2）、（5.2.7-3）参照《高压喷射扩大头锚杆技术规程》JGJ/T282-2012第4.6.3条，去掉了钻孔段的抗拔力项。</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imes New Roman" w:hAnsi="Times New Roman" w:cs="Times New Roman" w:eastAsiaTheme="minorEastAsia"/>
          <w:i w:val="0"/>
          <w:iCs w:val="0"/>
          <w:color w:val="000000"/>
          <w:szCs w:val="21"/>
          <w:lang w:val="en-US" w:eastAsia="zh-CN"/>
        </w:rPr>
      </w:pPr>
      <w:r>
        <w:rPr>
          <w:rFonts w:hint="eastAsia" w:ascii="Times New Roman" w:hAnsi="Times New Roman" w:cs="Times New Roman" w:eastAsiaTheme="minorEastAsia"/>
          <w:color w:val="000000"/>
          <w:szCs w:val="21"/>
        </w:rPr>
        <w:t>5.2.</w:t>
      </w:r>
      <w:r>
        <w:rPr>
          <w:rFonts w:hint="eastAsia" w:ascii="Times New Roman" w:hAnsi="Times New Roman" w:cs="Times New Roman" w:eastAsiaTheme="minorEastAsia"/>
          <w:color w:val="000000"/>
          <w:szCs w:val="21"/>
          <w:lang w:val="en-US" w:eastAsia="zh-CN"/>
        </w:rPr>
        <w:t>8</w:t>
      </w:r>
      <w:r>
        <w:rPr>
          <w:rFonts w:hint="eastAsia" w:asciiTheme="minorEastAsia" w:hAnsiTheme="minorEastAsia" w:eastAsiaTheme="minorEastAsia" w:cstheme="minorEastAsia"/>
          <w:b/>
          <w:bCs/>
          <w:color w:val="000000"/>
          <w:szCs w:val="21"/>
        </w:rPr>
        <w:t xml:space="preserve">  </w:t>
      </w:r>
      <w:r>
        <w:rPr>
          <w:rFonts w:hint="default" w:ascii="Times New Roman" w:hAnsi="Times New Roman" w:cs="Times New Roman" w:eastAsiaTheme="minorEastAsia"/>
          <w:i/>
          <w:iCs/>
          <w:color w:val="000000"/>
          <w:szCs w:val="21"/>
          <w:lang w:eastAsia="zh-CN"/>
        </w:rPr>
        <w:t>β</w:t>
      </w:r>
      <w:r>
        <w:rPr>
          <w:rFonts w:hint="eastAsia" w:asciiTheme="minorEastAsia" w:hAnsiTheme="minorEastAsia" w:eastAsiaTheme="minorEastAsia" w:cstheme="minorEastAsia"/>
          <w:i w:val="0"/>
          <w:iCs w:val="0"/>
          <w:color w:val="000000"/>
          <w:szCs w:val="21"/>
          <w:lang w:eastAsia="zh-CN"/>
        </w:rPr>
        <w:t>为压力型锚杆注浆体与孔壁的摩阻增强系数。现行勘察报告推荐的</w:t>
      </w:r>
      <w:r>
        <w:rPr>
          <w:rFonts w:hint="default" w:ascii="Times New Roman" w:hAnsi="Times New Roman" w:cs="Times New Roman" w:eastAsiaTheme="minorEastAsia"/>
          <w:i/>
          <w:iCs/>
          <w:color w:val="000000"/>
          <w:szCs w:val="21"/>
          <w:lang w:val="en-US" w:eastAsia="zh-CN"/>
        </w:rPr>
        <w:t>f</w:t>
      </w:r>
      <w:r>
        <w:rPr>
          <w:rFonts w:hint="default" w:ascii="Times New Roman" w:hAnsi="Times New Roman" w:cs="Times New Roman" w:eastAsiaTheme="minorEastAsia"/>
          <w:i/>
          <w:iCs/>
          <w:color w:val="000000"/>
          <w:szCs w:val="21"/>
          <w:vertAlign w:val="subscript"/>
          <w:lang w:val="en-US" w:eastAsia="zh-CN"/>
        </w:rPr>
        <w:t>mg</w:t>
      </w:r>
      <w:r>
        <w:rPr>
          <w:rFonts w:hint="eastAsia" w:ascii="Times New Roman" w:hAnsi="Times New Roman" w:cs="Times New Roman" w:eastAsiaTheme="minorEastAsia"/>
          <w:i w:val="0"/>
          <w:iCs w:val="0"/>
          <w:color w:val="000000"/>
          <w:szCs w:val="21"/>
          <w:vertAlign w:val="baseline"/>
          <w:lang w:val="en-US" w:eastAsia="zh-CN"/>
        </w:rPr>
        <w:t>值均为拉力型锚杆的经验值或测试值，因此，对拉力型锚杆取</w:t>
      </w:r>
      <w:r>
        <w:rPr>
          <w:rFonts w:hint="default" w:ascii="Times New Roman" w:hAnsi="Times New Roman" w:cs="Times New Roman" w:eastAsiaTheme="minorEastAsia"/>
          <w:i/>
          <w:iCs/>
          <w:color w:val="000000"/>
          <w:szCs w:val="21"/>
          <w:lang w:eastAsia="zh-CN"/>
        </w:rPr>
        <w:t>β</w:t>
      </w:r>
      <w:r>
        <w:rPr>
          <w:rFonts w:hint="eastAsia" w:ascii="Times New Roman" w:hAnsi="Times New Roman" w:cs="Times New Roman" w:eastAsiaTheme="minorEastAsia"/>
          <w:i/>
          <w:iCs/>
          <w:color w:val="000000"/>
          <w:szCs w:val="21"/>
          <w:lang w:val="en-US" w:eastAsia="zh-CN"/>
        </w:rPr>
        <w:t>=</w:t>
      </w:r>
      <w:r>
        <w:rPr>
          <w:rFonts w:hint="eastAsia" w:ascii="Times New Roman" w:hAnsi="Times New Roman" w:cs="Times New Roman" w:eastAsiaTheme="minorEastAsia"/>
          <w:i w:val="0"/>
          <w:iCs w:val="0"/>
          <w:color w:val="000000"/>
          <w:szCs w:val="21"/>
          <w:lang w:val="en-US" w:eastAsia="zh-CN"/>
        </w:rPr>
        <w:t>1</w:t>
      </w:r>
      <w:r>
        <w:rPr>
          <w:rFonts w:hint="eastAsia" w:ascii="Times New Roman" w:hAnsi="Times New Roman" w:cs="Times New Roman" w:eastAsiaTheme="minorEastAsia"/>
          <w:i/>
          <w:iCs/>
          <w:color w:val="000000"/>
          <w:szCs w:val="21"/>
          <w:lang w:val="en-US" w:eastAsia="zh-CN"/>
        </w:rPr>
        <w:t>，</w:t>
      </w:r>
      <w:r>
        <w:rPr>
          <w:rFonts w:hint="eastAsia" w:ascii="Times New Roman" w:hAnsi="Times New Roman" w:cs="Times New Roman" w:eastAsiaTheme="minorEastAsia"/>
          <w:i w:val="0"/>
          <w:iCs w:val="0"/>
          <w:color w:val="000000"/>
          <w:szCs w:val="21"/>
          <w:lang w:val="en-US" w:eastAsia="zh-CN"/>
        </w:rPr>
        <w:t>压力型锚杆取</w:t>
      </w:r>
      <w:r>
        <w:rPr>
          <w:rFonts w:hint="default" w:ascii="Times New Roman" w:hAnsi="Times New Roman" w:cs="Times New Roman" w:eastAsiaTheme="minorEastAsia"/>
          <w:i/>
          <w:iCs/>
          <w:color w:val="000000"/>
          <w:szCs w:val="21"/>
          <w:lang w:eastAsia="zh-CN"/>
        </w:rPr>
        <w:t>β</w:t>
      </w:r>
      <w:r>
        <w:rPr>
          <w:rFonts w:hint="eastAsia" w:ascii="Times New Roman" w:hAnsi="Times New Roman" w:cs="Times New Roman" w:eastAsiaTheme="minorEastAsia"/>
          <w:i/>
          <w:iCs/>
          <w:color w:val="000000"/>
          <w:szCs w:val="21"/>
          <w:lang w:val="en-US" w:eastAsia="zh-CN"/>
        </w:rPr>
        <w:t>&gt;</w:t>
      </w:r>
      <w:r>
        <w:rPr>
          <w:rFonts w:hint="eastAsia" w:ascii="Times New Roman" w:hAnsi="Times New Roman" w:cs="Times New Roman" w:eastAsiaTheme="minorEastAsia"/>
          <w:i w:val="0"/>
          <w:iCs w:val="0"/>
          <w:color w:val="000000"/>
          <w:szCs w:val="21"/>
          <w:lang w:val="en-US" w:eastAsia="zh-CN"/>
        </w:rPr>
        <w:t>1。</w:t>
      </w:r>
    </w:p>
    <w:p>
      <w:pPr>
        <w:pStyle w:val="3"/>
        <w:spacing w:before="312" w:beforeLines="100" w:after="156" w:afterLines="50"/>
        <w:rPr>
          <w:rFonts w:asciiTheme="minorEastAsia" w:hAnsiTheme="minorEastAsia" w:eastAsiaTheme="minorEastAsia" w:cstheme="minorEastAsia"/>
        </w:rPr>
      </w:pPr>
      <w:bookmarkStart w:id="465" w:name="_Toc32380"/>
      <w:bookmarkStart w:id="466" w:name="_Toc29364"/>
      <w:r>
        <w:rPr>
          <w:rFonts w:hint="eastAsia" w:asciiTheme="minorEastAsia" w:hAnsiTheme="minorEastAsia" w:eastAsiaTheme="minorEastAsia" w:cstheme="minorEastAsia"/>
          <w:sz w:val="22"/>
          <w:szCs w:val="28"/>
        </w:rPr>
        <w:t xml:space="preserve">5.3 </w:t>
      </w:r>
      <w:r>
        <w:rPr>
          <w:rFonts w:hint="eastAsia" w:asciiTheme="minorEastAsia" w:hAnsiTheme="minorEastAsia" w:eastAsiaTheme="minorEastAsia" w:cstheme="minorEastAsia"/>
        </w:rPr>
        <w:t xml:space="preserve"> 锚固体稳定性验算</w:t>
      </w:r>
      <w:bookmarkEnd w:id="465"/>
      <w:bookmarkEnd w:id="466"/>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420" w:firstLineChars="200"/>
        <w:jc w:val="left"/>
        <w:textAlignment w:val="auto"/>
        <w:rPr>
          <w:rFonts w:hint="default" w:asciiTheme="minorEastAsia" w:hAnsiTheme="minorEastAsia" w:eastAsiaTheme="minorEastAsia" w:cstheme="minorEastAsia"/>
          <w:i w:val="0"/>
          <w:iCs w:val="0"/>
          <w:color w:val="000000"/>
          <w:szCs w:val="21"/>
          <w:vertAlign w:val="baseline"/>
          <w:lang w:val="en-US" w:eastAsia="zh-CN"/>
        </w:rPr>
      </w:pPr>
      <w:r>
        <w:rPr>
          <w:rFonts w:hint="eastAsia" w:ascii="Times New Roman" w:hAnsi="Times New Roman" w:cs="Times New Roman" w:eastAsiaTheme="minorEastAsia"/>
          <w:color w:val="000000"/>
          <w:szCs w:val="21"/>
        </w:rPr>
        <w:t>5.</w:t>
      </w:r>
      <w:r>
        <w:rPr>
          <w:rFonts w:hint="eastAsia" w:ascii="Times New Roman" w:hAnsi="Times New Roman" w:cs="Times New Roman" w:eastAsiaTheme="minorEastAsia"/>
          <w:color w:val="000000"/>
          <w:szCs w:val="21"/>
          <w:lang w:val="en-US" w:eastAsia="zh-CN"/>
        </w:rPr>
        <w:t>3.2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公式（</w:t>
      </w:r>
      <w:r>
        <w:rPr>
          <w:rFonts w:hint="eastAsia" w:asciiTheme="minorEastAsia" w:hAnsiTheme="minorEastAsia" w:eastAsiaTheme="minorEastAsia" w:cstheme="minorEastAsia"/>
          <w:color w:val="000000"/>
          <w:szCs w:val="21"/>
          <w:lang w:val="en-US" w:eastAsia="zh-CN"/>
        </w:rPr>
        <w:t>5.3.2-1）和（5.3.2-2）中，右边</w:t>
      </w:r>
      <w:r>
        <w:rPr>
          <w:rFonts w:hint="default" w:ascii="Times New Roman" w:hAnsi="Times New Roman" w:cs="Times New Roman" w:eastAsiaTheme="minorEastAsia"/>
          <w:i/>
          <w:iCs/>
          <w:color w:val="000000"/>
          <w:szCs w:val="21"/>
          <w:lang w:val="en-US" w:eastAsia="zh-CN"/>
        </w:rPr>
        <w:t>N</w:t>
      </w:r>
      <w:r>
        <w:rPr>
          <w:rFonts w:hint="default" w:ascii="Times New Roman" w:hAnsi="Times New Roman" w:cs="Times New Roman" w:eastAsiaTheme="minorEastAsia"/>
          <w:i/>
          <w:iCs/>
          <w:color w:val="000000"/>
          <w:szCs w:val="21"/>
          <w:vertAlign w:val="subscript"/>
          <w:lang w:val="en-US" w:eastAsia="zh-CN"/>
        </w:rPr>
        <w:t>k</w:t>
      </w:r>
      <w:r>
        <w:rPr>
          <w:rFonts w:hint="eastAsia" w:asciiTheme="minorEastAsia" w:hAnsiTheme="minorEastAsia" w:eastAsiaTheme="minorEastAsia" w:cstheme="minorEastAsia"/>
          <w:i w:val="0"/>
          <w:iCs w:val="0"/>
          <w:color w:val="000000"/>
          <w:szCs w:val="21"/>
          <w:vertAlign w:val="baseline"/>
          <w:lang w:val="en-US" w:eastAsia="zh-CN"/>
        </w:rPr>
        <w:t>为锚杆拉力标准值而不是特征值。标准值</w:t>
      </w:r>
      <w:r>
        <w:rPr>
          <w:rFonts w:hint="default" w:ascii="Times New Roman" w:hAnsi="Times New Roman" w:cs="Times New Roman" w:eastAsiaTheme="minorEastAsia"/>
          <w:i/>
          <w:iCs/>
          <w:color w:val="000000"/>
          <w:szCs w:val="21"/>
          <w:lang w:val="en-US" w:eastAsia="zh-CN"/>
        </w:rPr>
        <w:t>N</w:t>
      </w:r>
      <w:r>
        <w:rPr>
          <w:rFonts w:hint="default" w:ascii="Times New Roman" w:hAnsi="Times New Roman" w:cs="Times New Roman" w:eastAsiaTheme="minorEastAsia"/>
          <w:i/>
          <w:iCs/>
          <w:color w:val="000000"/>
          <w:szCs w:val="21"/>
          <w:vertAlign w:val="subscript"/>
          <w:lang w:val="en-US" w:eastAsia="zh-CN"/>
        </w:rPr>
        <w:t>k</w:t>
      </w:r>
      <w:r>
        <w:rPr>
          <w:rFonts w:hint="eastAsia" w:asciiTheme="minorEastAsia" w:hAnsiTheme="minorEastAsia" w:eastAsiaTheme="minorEastAsia" w:cstheme="minorEastAsia"/>
          <w:i w:val="0"/>
          <w:iCs w:val="0"/>
          <w:color w:val="000000"/>
          <w:szCs w:val="21"/>
          <w:vertAlign w:val="baseline"/>
          <w:lang w:val="en-US" w:eastAsia="zh-CN"/>
        </w:rPr>
        <w:t>一般小于等于特征值，应由结构计算提供。在设计时应按各根锚杆实际的拉力标准值分别计算。</w:t>
      </w:r>
    </w:p>
    <w:p>
      <w:pPr>
        <w:pStyle w:val="3"/>
        <w:spacing w:before="312" w:beforeLines="100" w:after="156" w:afterLines="50"/>
        <w:rPr>
          <w:rFonts w:asciiTheme="minorEastAsia" w:hAnsiTheme="minorEastAsia" w:eastAsiaTheme="minorEastAsia" w:cstheme="minorEastAsia"/>
        </w:rPr>
      </w:pPr>
      <w:bookmarkStart w:id="467" w:name="_Toc16707"/>
      <w:r>
        <w:rPr>
          <w:rFonts w:hint="eastAsia" w:asciiTheme="minorEastAsia" w:hAnsiTheme="minorEastAsia" w:eastAsiaTheme="minorEastAsia" w:cstheme="minorEastAsia"/>
          <w:sz w:val="22"/>
          <w:szCs w:val="28"/>
        </w:rPr>
        <w:t>5.</w:t>
      </w:r>
      <w:r>
        <w:rPr>
          <w:rFonts w:hint="eastAsia" w:asciiTheme="minorEastAsia" w:hAnsiTheme="minorEastAsia" w:eastAsiaTheme="minorEastAsia" w:cstheme="minorEastAsia"/>
          <w:sz w:val="22"/>
          <w:szCs w:val="28"/>
          <w:lang w:val="en-US" w:eastAsia="zh-CN"/>
        </w:rPr>
        <w:t>4</w:t>
      </w:r>
      <w:r>
        <w:rPr>
          <w:rFonts w:hint="eastAsia" w:asciiTheme="minorEastAsia" w:hAnsiTheme="minorEastAsia" w:eastAsiaTheme="minorEastAsia" w:cstheme="minorEastAsia"/>
          <w:sz w:val="22"/>
          <w:szCs w:val="28"/>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变形</w:t>
      </w:r>
      <w:r>
        <w:rPr>
          <w:rFonts w:hint="eastAsia" w:asciiTheme="minorEastAsia" w:hAnsiTheme="minorEastAsia" w:eastAsiaTheme="minorEastAsia" w:cstheme="minorEastAsia"/>
        </w:rPr>
        <w:t>验算</w:t>
      </w:r>
      <w:bookmarkEnd w:id="467"/>
    </w:p>
    <w:p>
      <w:pPr>
        <w:keepNext w:val="0"/>
        <w:keepLines w:val="0"/>
        <w:pageBreakBefore w:val="0"/>
        <w:widowControl w:val="0"/>
        <w:tabs>
          <w:tab w:val="left" w:pos="19"/>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5.</w:t>
      </w:r>
      <w:r>
        <w:rPr>
          <w:rFonts w:hint="eastAsia" w:ascii="Times New Roman" w:hAnsi="Times New Roman" w:cs="Times New Roman" w:eastAsiaTheme="minorEastAsia"/>
          <w:color w:val="000000"/>
          <w:szCs w:val="21"/>
          <w:lang w:val="en-US" w:eastAsia="zh-CN"/>
        </w:rPr>
        <w:t>4</w:t>
      </w:r>
      <w:r>
        <w:rPr>
          <w:rFonts w:hint="eastAsia" w:ascii="Times New Roman" w:hAnsi="Times New Roman" w:cs="Times New Roman" w:eastAsiaTheme="minorEastAsia"/>
          <w:color w:val="000000"/>
          <w:szCs w:val="21"/>
        </w:rPr>
        <w:t>.</w:t>
      </w:r>
      <w:r>
        <w:rPr>
          <w:rFonts w:hint="eastAsia" w:ascii="Times New Roman" w:hAnsi="Times New Roman" w:cs="Times New Roman" w:eastAsiaTheme="minorEastAsia"/>
          <w:color w:val="000000"/>
          <w:szCs w:val="21"/>
          <w:lang w:val="en-US" w:eastAsia="zh-CN"/>
        </w:rPr>
        <w:t>4</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锚杆变形的容许值不能统一规定，应针对具体工程根据使用要求和受力体系设计计算确定。结构安全和使用要求对锚杆变形有限制的工程项目，应以限制值作为锚杆变形的容许值。结构安全和使用要求对锚杆变形没有明确限制的，可不必专门规定锚杆变形的容许值，以发挥锚杆柔性受力的特点，使整个受力体系的协调性更好，各部件受力协调均衡。</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t>基本试验中已包含了判断锚杆是否破坏的变形准则，本条所述锚杆变形的容许值只是针对使用要求和外部构件需要的一个限制性指标。</w:t>
      </w:r>
    </w:p>
    <w:p>
      <w:pP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bookmarkStart w:id="468" w:name="_Toc9740"/>
      <w:bookmarkStart w:id="469" w:name="_Toc11752"/>
    </w:p>
    <w:p>
      <w:pPr>
        <w:pStyle w:val="2"/>
        <w:spacing w:before="312" w:beforeLines="100" w:after="312" w:afterLines="100"/>
        <w:rPr>
          <w:rFonts w:asciiTheme="minorEastAsia" w:hAnsiTheme="minorEastAsia" w:eastAsiaTheme="minorEastAsia" w:cstheme="minorEastAsia"/>
        </w:rPr>
      </w:pPr>
      <w:r>
        <w:rPr>
          <w:rFonts w:hint="eastAsia" w:asciiTheme="minorEastAsia" w:hAnsiTheme="minorEastAsia" w:eastAsiaTheme="minorEastAsia" w:cstheme="minorEastAsia"/>
        </w:rPr>
        <w:t>6  材料和构造</w:t>
      </w:r>
      <w:bookmarkEnd w:id="468"/>
      <w:bookmarkEnd w:id="469"/>
    </w:p>
    <w:p>
      <w:pPr>
        <w:pStyle w:val="3"/>
        <w:spacing w:before="312" w:beforeLines="100" w:after="312" w:afterLines="100"/>
        <w:rPr>
          <w:rFonts w:asciiTheme="minorEastAsia" w:hAnsiTheme="minorEastAsia" w:eastAsiaTheme="minorEastAsia" w:cstheme="minorEastAsia"/>
        </w:rPr>
      </w:pPr>
      <w:bookmarkStart w:id="470" w:name="_Toc15118"/>
      <w:bookmarkStart w:id="471" w:name="_Toc11541"/>
      <w:r>
        <w:rPr>
          <w:rFonts w:hint="eastAsia" w:asciiTheme="minorEastAsia" w:hAnsiTheme="minorEastAsia" w:eastAsiaTheme="minorEastAsia" w:cstheme="minorEastAsia"/>
        </w:rPr>
        <w:t>6.1  笼芯囊材料和构造</w:t>
      </w:r>
      <w:bookmarkEnd w:id="470"/>
      <w:bookmarkEnd w:id="471"/>
    </w:p>
    <w:p>
      <w:pPr>
        <w:spacing w:line="312" w:lineRule="exact"/>
        <w:rPr>
          <w:rFonts w:hint="eastAsia" w:asciiTheme="minorEastAsia" w:hAnsiTheme="minorEastAsia" w:eastAsiaTheme="minorEastAsia" w:cstheme="minorEastAsia"/>
          <w:color w:val="000000"/>
          <w:spacing w:val="2"/>
          <w:szCs w:val="21"/>
          <w:lang w:eastAsia="zh-CN"/>
        </w:rPr>
      </w:pPr>
      <w:r>
        <w:rPr>
          <w:rFonts w:ascii="Times New Roman" w:hAnsi="Times New Roman" w:cs="Times New Roman" w:eastAsiaTheme="minorEastAsia"/>
        </w:rPr>
        <w:t>6</w:t>
      </w:r>
      <w:r>
        <w:rPr>
          <w:rFonts w:ascii="Times New Roman" w:hAnsi="Times New Roman" w:cs="Times New Roman" w:eastAsiaTheme="minorEastAsia"/>
          <w:color w:val="000000"/>
          <w:szCs w:val="21"/>
        </w:rPr>
        <w:t>.1.1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lang w:eastAsia="zh-CN"/>
        </w:rPr>
        <w:t>箍筋和纵筋交叉点焊接很重要，可以保证钢丝笼的整体刚度。</w:t>
      </w:r>
    </w:p>
    <w:p>
      <w:pPr>
        <w:keepNext w:val="0"/>
        <w:keepLines w:val="0"/>
        <w:pageBreakBefore w:val="0"/>
        <w:widowControl w:val="0"/>
        <w:kinsoku/>
        <w:wordWrap/>
        <w:overflowPunct/>
        <w:topLinePunct w:val="0"/>
        <w:autoSpaceDE/>
        <w:autoSpaceDN/>
        <w:bidi w:val="0"/>
        <w:adjustRightInd/>
        <w:snapToGrid/>
        <w:spacing w:line="312" w:lineRule="exact"/>
        <w:ind w:firstLine="428" w:firstLineChars="200"/>
        <w:textAlignment w:val="auto"/>
        <w:rPr>
          <w:rFonts w:hint="eastAsia" w:asciiTheme="minorEastAsia" w:hAnsiTheme="minorEastAsia" w:eastAsiaTheme="minorEastAsia" w:cstheme="minorEastAsia"/>
          <w:color w:val="000000"/>
          <w:spacing w:val="2"/>
          <w:szCs w:val="21"/>
          <w:lang w:eastAsia="zh-CN"/>
        </w:rPr>
      </w:pPr>
      <w:r>
        <w:rPr>
          <w:rFonts w:hint="eastAsia" w:asciiTheme="minorEastAsia" w:hAnsiTheme="minorEastAsia" w:eastAsiaTheme="minorEastAsia" w:cstheme="minorEastAsia"/>
          <w:color w:val="000000"/>
          <w:spacing w:val="2"/>
          <w:szCs w:val="21"/>
          <w:lang w:eastAsia="zh-CN"/>
        </w:rPr>
        <w:t>箍筋呈圆形比椭圆和方形形状的刚度有质的差别。试验表明，椭圆和方形箍筋的钢筋笼，对混凝土抗压强度的提高没有明显作用，在设计计算时可以忽略不计；而圆形箍筋的钢筋笼可以使混凝土抗压强度明显提高。</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420" w:firstLineChars="200"/>
        <w:jc w:val="left"/>
        <w:textAlignment w:val="auto"/>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val="en-US" w:eastAsia="zh-CN"/>
        </w:rPr>
        <w:t>上箍筒、下箍筒结合锁扣和承载体，可使笼芯与杆体组成一个受力整体。</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eastAsia="zh-CN"/>
        </w:rPr>
      </w:pPr>
      <w:r>
        <w:rPr>
          <w:rFonts w:ascii="Times New Roman" w:hAnsi="Times New Roman" w:cs="Times New Roman" w:eastAsiaTheme="minorEastAsia"/>
        </w:rPr>
        <w:t>6</w:t>
      </w:r>
      <w:r>
        <w:rPr>
          <w:rFonts w:ascii="Times New Roman" w:hAnsi="Times New Roman" w:cs="Times New Roman" w:eastAsiaTheme="minorEastAsia"/>
          <w:color w:val="000000"/>
          <w:szCs w:val="21"/>
        </w:rPr>
        <w:t>.1.</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lang w:eastAsia="zh-CN"/>
        </w:rPr>
        <w:t>笼芯有受力作用，应采用结构钢丝和结构钢。</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eastAsia="zh-CN"/>
        </w:rPr>
      </w:pPr>
      <w:r>
        <w:rPr>
          <w:rFonts w:ascii="Times New Roman" w:hAnsi="Times New Roman" w:cs="Times New Roman" w:eastAsiaTheme="minorEastAsia"/>
        </w:rPr>
        <w:t>6</w:t>
      </w:r>
      <w:r>
        <w:rPr>
          <w:rFonts w:ascii="Times New Roman" w:hAnsi="Times New Roman" w:cs="Times New Roman" w:eastAsiaTheme="minorEastAsia"/>
          <w:color w:val="000000"/>
          <w:szCs w:val="21"/>
        </w:rPr>
        <w:t>.1.</w:t>
      </w:r>
      <w:r>
        <w:rPr>
          <w:rFonts w:hint="eastAsia" w:ascii="Times New Roman" w:hAnsi="Times New Roman" w:cs="Times New Roman" w:eastAsiaTheme="minorEastAsia"/>
          <w:color w:val="000000"/>
          <w:szCs w:val="21"/>
          <w:lang w:val="en-US" w:eastAsia="zh-CN"/>
        </w:rPr>
        <w:t>3</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lang w:eastAsia="zh-CN"/>
        </w:rPr>
        <w:t>如果囊袋肩不平、有褶皱，或者不与锚杆轴线垂直，对受力会有影响。</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val="en-US" w:eastAsia="zh-CN"/>
        </w:rPr>
      </w:pPr>
      <w:r>
        <w:rPr>
          <w:rFonts w:ascii="Times New Roman" w:hAnsi="Times New Roman" w:cs="Times New Roman" w:eastAsiaTheme="minorEastAsia"/>
        </w:rPr>
        <w:t>6</w:t>
      </w:r>
      <w:r>
        <w:rPr>
          <w:rFonts w:ascii="Times New Roman" w:hAnsi="Times New Roman" w:cs="Times New Roman" w:eastAsiaTheme="minorEastAsia"/>
          <w:color w:val="000000"/>
          <w:szCs w:val="21"/>
        </w:rPr>
        <w:t>.1.</w:t>
      </w:r>
      <w:r>
        <w:rPr>
          <w:rFonts w:hint="eastAsia" w:ascii="Times New Roman" w:hAnsi="Times New Roman" w:cs="Times New Roman" w:eastAsiaTheme="minorEastAsia"/>
          <w:color w:val="000000"/>
          <w:szCs w:val="21"/>
          <w:lang w:val="en-US" w:eastAsia="zh-CN"/>
        </w:rPr>
        <w:t>4</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lang w:eastAsia="zh-CN"/>
        </w:rPr>
        <w:t>囊袋布的径向、纬向以及接缝强度均应满足式</w:t>
      </w:r>
      <w:r>
        <w:rPr>
          <w:rFonts w:hint="eastAsia" w:asciiTheme="minorEastAsia" w:hAnsiTheme="minorEastAsia" w:eastAsiaTheme="minorEastAsia" w:cstheme="minorEastAsia"/>
          <w:color w:val="000000"/>
          <w:spacing w:val="2"/>
          <w:szCs w:val="21"/>
          <w:lang w:val="en-US" w:eastAsia="zh-CN"/>
        </w:rPr>
        <w:t>(6.1.4)的要求。</w:t>
      </w:r>
    </w:p>
    <w:p>
      <w:pPr>
        <w:pStyle w:val="3"/>
        <w:spacing w:before="312" w:beforeLines="100" w:after="312" w:afterLines="100"/>
        <w:rPr>
          <w:rFonts w:asciiTheme="minorEastAsia" w:hAnsiTheme="minorEastAsia" w:eastAsiaTheme="minorEastAsia" w:cstheme="minorEastAsia"/>
        </w:rPr>
      </w:pPr>
      <w:bookmarkStart w:id="472" w:name="_Toc14436"/>
      <w:bookmarkStart w:id="473" w:name="_Toc14804"/>
      <w:r>
        <w:rPr>
          <w:rFonts w:hint="eastAsia" w:asciiTheme="minorEastAsia" w:hAnsiTheme="minorEastAsia" w:eastAsiaTheme="minorEastAsia" w:cstheme="minorEastAsia"/>
        </w:rPr>
        <w:t>6.2  锚杆构造</w:t>
      </w:r>
      <w:bookmarkEnd w:id="472"/>
      <w:bookmarkEnd w:id="473"/>
      <w:r>
        <w:rPr>
          <w:rFonts w:hint="eastAsia" w:asciiTheme="minorEastAsia" w:hAnsiTheme="minorEastAsia" w:eastAsiaTheme="minorEastAsia" w:cstheme="minorEastAsia"/>
        </w:rPr>
        <w:t xml:space="preserve"> </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eastAsia="zh-CN"/>
        </w:rPr>
      </w:pPr>
      <w:r>
        <w:rPr>
          <w:rFonts w:hint="eastAsia" w:ascii="Times New Roman" w:hAnsi="Times New Roman" w:cs="Times New Roman" w:eastAsiaTheme="minorEastAsia"/>
          <w:color w:val="000000"/>
          <w:szCs w:val="21"/>
        </w:rPr>
        <w:t xml:space="preserve">6.2.1 </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pacing w:val="2"/>
          <w:szCs w:val="21"/>
          <w:lang w:eastAsia="zh-CN"/>
        </w:rPr>
        <w:t>在工程施工中，如果把承载体安装在囊袋之外，这存在两方面的隐患：</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val="en-US" w:eastAsia="zh-CN"/>
        </w:rPr>
      </w:pPr>
      <w:r>
        <w:rPr>
          <w:rFonts w:hint="eastAsia" w:asciiTheme="minorEastAsia" w:hAnsiTheme="minorEastAsia" w:eastAsiaTheme="minorEastAsia" w:cstheme="minorEastAsia"/>
          <w:color w:val="000000"/>
          <w:spacing w:val="2"/>
          <w:szCs w:val="21"/>
          <w:lang w:val="en-US" w:eastAsia="zh-CN"/>
        </w:rPr>
        <w:t>1  承载体暴露在囊袋外，没有得到防腐保护；</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pacing w:val="2"/>
          <w:szCs w:val="21"/>
          <w:lang w:val="en-US" w:eastAsia="zh-CN"/>
        </w:rPr>
      </w:pPr>
      <w:r>
        <w:rPr>
          <w:rFonts w:hint="eastAsia" w:asciiTheme="minorEastAsia" w:hAnsiTheme="minorEastAsia" w:eastAsiaTheme="minorEastAsia" w:cstheme="minorEastAsia"/>
          <w:color w:val="000000"/>
          <w:spacing w:val="2"/>
          <w:szCs w:val="21"/>
          <w:lang w:val="en-US" w:eastAsia="zh-CN"/>
        </w:rPr>
        <w:t>2  囊袋注浆张开的过程中，囊袋布与承载体之间不可避免地会夹有不纯水泥浆，承载体与钢丝笼水泥结石囊体之间隔着一层布和不纯不泥浆渣，对受力有影响。</w:t>
      </w:r>
    </w:p>
    <w:p>
      <w:pPr>
        <w:rPr>
          <w:rFonts w:hint="default" w:asciiTheme="minorEastAsia" w:hAnsiTheme="minorEastAsia" w:eastAsiaTheme="minorEastAsia" w:cstheme="minorEastAsia"/>
          <w:color w:val="000000"/>
          <w:spacing w:val="2"/>
          <w:szCs w:val="21"/>
          <w:lang w:val="en-US" w:eastAsia="zh-CN"/>
        </w:rPr>
      </w:pPr>
    </w:p>
    <w:p>
      <w:pPr>
        <w:rPr>
          <w:rFonts w:hint="default" w:asciiTheme="minorEastAsia" w:hAnsiTheme="minorEastAsia" w:eastAsiaTheme="minorEastAsia" w:cstheme="minorEastAsia"/>
          <w:color w:val="000000"/>
          <w:spacing w:val="2"/>
          <w:szCs w:val="21"/>
          <w:lang w:val="en-US" w:eastAsia="zh-CN"/>
        </w:rPr>
      </w:pPr>
    </w:p>
    <w:p>
      <w:pPr>
        <w:rPr>
          <w:rFonts w:hint="default" w:asciiTheme="minorEastAsia" w:hAnsiTheme="minorEastAsia" w:eastAsiaTheme="minorEastAsia" w:cstheme="minorEastAsia"/>
          <w:color w:val="000000"/>
          <w:spacing w:val="2"/>
          <w:szCs w:val="21"/>
          <w:lang w:val="en-US" w:eastAsia="zh-CN"/>
        </w:rPr>
      </w:pPr>
    </w:p>
    <w:p>
      <w:pPr>
        <w:spacing w:after="313" w:afterLines="100"/>
        <w:jc w:val="center"/>
        <w:outlineLvl w:val="1"/>
        <w:rPr>
          <w:rFonts w:asciiTheme="minorEastAsia" w:hAnsiTheme="minorEastAsia" w:eastAsiaTheme="minorEastAsia" w:cstheme="minorEastAsia"/>
          <w:b/>
          <w:bCs/>
        </w:rPr>
      </w:pPr>
      <w:bookmarkStart w:id="474" w:name="_Toc11516"/>
      <w:bookmarkStart w:id="475" w:name="_Toc1006"/>
      <w:r>
        <w:rPr>
          <w:rFonts w:hint="eastAsia" w:asciiTheme="minorEastAsia" w:hAnsiTheme="minorEastAsia" w:eastAsiaTheme="minorEastAsia" w:cstheme="minorEastAsia"/>
          <w:b/>
          <w:bCs/>
          <w:color w:val="000000"/>
          <w:szCs w:val="21"/>
        </w:rPr>
        <w:t>6.3</w:t>
      </w:r>
      <w:r>
        <w:rPr>
          <w:rFonts w:hint="eastAsia" w:asciiTheme="minorEastAsia" w:hAnsiTheme="minorEastAsia" w:eastAsiaTheme="minorEastAsia" w:cstheme="minorEastAsia"/>
          <w:b/>
          <w:bCs/>
        </w:rPr>
        <w:t xml:space="preserve">  压力型锚杆</w:t>
      </w:r>
      <w:bookmarkEnd w:id="474"/>
      <w:bookmarkEnd w:id="475"/>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szCs w:val="21"/>
          <w:lang w:eastAsia="zh-CN"/>
        </w:rPr>
      </w:pPr>
      <w:r>
        <w:rPr>
          <w:rFonts w:hint="eastAsia" w:ascii="Times New Roman" w:hAnsi="Times New Roman" w:cs="Times New Roman" w:eastAsiaTheme="minorEastAsia"/>
          <w:szCs w:val="21"/>
        </w:rPr>
        <w:t>6.3.1</w:t>
      </w:r>
      <w:r>
        <w:rPr>
          <w:rFonts w:hint="eastAsia" w:asciiTheme="minorEastAsia" w:hAnsiTheme="minorEastAsia" w:eastAsiaTheme="minorEastAsia" w:cstheme="minorEastAsia"/>
          <w:bCs/>
          <w:szCs w:val="21"/>
        </w:rPr>
        <w:t xml:space="preserve"> </w:t>
      </w:r>
      <w:r>
        <w:rPr>
          <w:rFonts w:hint="eastAsia" w:asciiTheme="minorEastAsia" w:hAnsiTheme="minorEastAsia" w:eastAsiaTheme="minorEastAsia" w:cstheme="minorEastAsia"/>
          <w:bCs/>
          <w:szCs w:val="21"/>
          <w:lang w:val="en-US" w:eastAsia="zh-CN"/>
        </w:rPr>
        <w:t xml:space="preserve"> </w:t>
      </w:r>
      <w:r>
        <w:rPr>
          <w:rFonts w:hint="eastAsia" w:asciiTheme="minorEastAsia" w:hAnsiTheme="minorEastAsia" w:eastAsiaTheme="minorEastAsia" w:cstheme="minorEastAsia"/>
          <w:bCs/>
          <w:szCs w:val="21"/>
        </w:rPr>
        <w:t>压力型</w:t>
      </w:r>
      <w:r>
        <w:rPr>
          <w:rFonts w:hint="eastAsia" w:asciiTheme="minorEastAsia" w:hAnsiTheme="minorEastAsia" w:eastAsiaTheme="minorEastAsia" w:cstheme="minorEastAsia"/>
          <w:bCs/>
          <w:szCs w:val="21"/>
          <w:lang w:eastAsia="zh-CN"/>
        </w:rPr>
        <w:t>锚杆的结构，应确保杆体与水泥浆体无粘结，锚杆荷载全部由承载体以压力方式传递给笼芯囊体。</w:t>
      </w:r>
    </w:p>
    <w:p>
      <w:pPr>
        <w:pStyle w:val="3"/>
        <w:spacing w:before="312" w:beforeLines="100" w:after="312" w:afterLines="100"/>
        <w:rPr>
          <w:rFonts w:asciiTheme="minorEastAsia" w:hAnsiTheme="minorEastAsia" w:eastAsiaTheme="minorEastAsia" w:cstheme="minorEastAsia"/>
          <w:szCs w:val="21"/>
        </w:rPr>
      </w:pPr>
      <w:bookmarkStart w:id="476" w:name="_Toc25687"/>
      <w:bookmarkStart w:id="477" w:name="_Toc21075"/>
      <w:r>
        <w:rPr>
          <w:rFonts w:hint="eastAsia" w:asciiTheme="minorEastAsia" w:hAnsiTheme="minorEastAsia" w:eastAsiaTheme="minorEastAsia" w:cstheme="minorEastAsia"/>
          <w:szCs w:val="21"/>
        </w:rPr>
        <w:t>6.4  拉力型锚杆</w:t>
      </w:r>
      <w:bookmarkEnd w:id="476"/>
      <w:bookmarkEnd w:id="477"/>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szCs w:val="21"/>
          <w:lang w:eastAsia="zh-CN"/>
        </w:rPr>
      </w:pPr>
      <w:r>
        <w:rPr>
          <w:rFonts w:ascii="Times New Roman" w:hAnsi="Times New Roman" w:cs="Times New Roman" w:eastAsiaTheme="minorEastAsia"/>
          <w:bCs/>
          <w:szCs w:val="21"/>
        </w:rPr>
        <w:t>6.4.1</w:t>
      </w:r>
      <w:r>
        <w:rPr>
          <w:rFonts w:hint="eastAsia" w:asciiTheme="minorEastAsia" w:hAnsiTheme="minorEastAsia" w:eastAsiaTheme="minorEastAsia" w:cstheme="minorEastAsia"/>
          <w:b/>
          <w:szCs w:val="21"/>
        </w:rPr>
        <w:t xml:space="preserve">  </w:t>
      </w:r>
      <w:r>
        <w:rPr>
          <w:rFonts w:hint="eastAsia" w:asciiTheme="minorEastAsia" w:hAnsiTheme="minorEastAsia" w:eastAsiaTheme="minorEastAsia" w:cstheme="minorEastAsia"/>
          <w:bCs/>
          <w:szCs w:val="21"/>
          <w:lang w:eastAsia="zh-CN"/>
        </w:rPr>
        <w:t>杆体在囊袋内与水泥浆体粘结，锚杆荷载通过这种粘结传递给水泥浆体，因此拉力型锚杆应确保粘结可靠。</w:t>
      </w:r>
    </w:p>
    <w:p>
      <w:pP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lang w:eastAsia="zh-CN"/>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bookmarkStart w:id="478" w:name="_Toc11793"/>
      <w:bookmarkStart w:id="479" w:name="_Toc6"/>
    </w:p>
    <w:p>
      <w:pPr>
        <w:pStyle w:val="2"/>
        <w:spacing w:before="312" w:beforeLines="100" w:after="312" w:afterLines="100"/>
        <w:rPr>
          <w:rFonts w:asciiTheme="minorEastAsia" w:hAnsiTheme="minorEastAsia" w:eastAsiaTheme="minorEastAsia" w:cstheme="minorEastAsia"/>
        </w:rPr>
      </w:pPr>
      <w:r>
        <w:rPr>
          <w:rFonts w:hint="eastAsia" w:asciiTheme="minorEastAsia" w:hAnsiTheme="minorEastAsia" w:eastAsiaTheme="minorEastAsia" w:cstheme="minorEastAsia"/>
        </w:rPr>
        <w:t>7  防腐设计</w:t>
      </w:r>
      <w:bookmarkEnd w:id="478"/>
      <w:bookmarkEnd w:id="479"/>
    </w:p>
    <w:p>
      <w:pPr>
        <w:pStyle w:val="3"/>
        <w:spacing w:before="312" w:beforeLines="100" w:after="156" w:afterLines="50"/>
        <w:rPr>
          <w:rFonts w:asciiTheme="minorEastAsia" w:hAnsiTheme="minorEastAsia" w:eastAsiaTheme="minorEastAsia" w:cstheme="minorEastAsia"/>
        </w:rPr>
      </w:pPr>
      <w:bookmarkStart w:id="480" w:name="_Toc13299"/>
      <w:bookmarkStart w:id="481" w:name="_Toc3379"/>
      <w:r>
        <w:rPr>
          <w:rFonts w:hint="eastAsia" w:asciiTheme="minorEastAsia" w:hAnsiTheme="minorEastAsia" w:eastAsiaTheme="minorEastAsia" w:cstheme="minorEastAsia"/>
        </w:rPr>
        <w:t>7.1  防腐等级</w:t>
      </w:r>
      <w:bookmarkEnd w:id="480"/>
      <w:bookmarkEnd w:id="481"/>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7.1.1</w:t>
      </w:r>
      <w:r>
        <w:rPr>
          <w:rFonts w:hint="eastAsia" w:asciiTheme="minorEastAsia" w:hAnsiTheme="minorEastAsia" w:eastAsiaTheme="minorEastAsia" w:cstheme="minorEastAsia"/>
          <w:b/>
          <w:bCs/>
          <w:color w:val="000000"/>
          <w:szCs w:val="21"/>
        </w:rPr>
        <w:t xml:space="preserve">  </w:t>
      </w:r>
      <w:r>
        <w:rPr>
          <w:rFonts w:hint="eastAsia" w:asciiTheme="minorEastAsia" w:hAnsiTheme="minorEastAsia" w:eastAsiaTheme="minorEastAsia" w:cstheme="minorEastAsia"/>
          <w:color w:val="000000"/>
          <w:szCs w:val="21"/>
          <w:lang w:eastAsia="zh-CN"/>
        </w:rPr>
        <w:t>钢材长期浸泡在水中时，由于氧溶入较少，不易发生化学反应，故钢材不易被腐蚀；相反，处于干湿交潜状态的钢材，由于氧溶入较多，易发生电化学反应，钢材易被腐蚀。边坡和基坑支护锚杆，由于坡体和坡面水环境复杂，水位变化频繁复杂，锚杆易被腐蚀。</w:t>
      </w:r>
    </w:p>
    <w:p>
      <w:pPr>
        <w:pStyle w:val="3"/>
        <w:spacing w:before="312" w:beforeLines="100" w:after="156" w:afterLines="50"/>
        <w:rPr>
          <w:rFonts w:asciiTheme="minorEastAsia" w:hAnsiTheme="minorEastAsia" w:eastAsiaTheme="minorEastAsia" w:cstheme="minorEastAsia"/>
        </w:rPr>
      </w:pPr>
      <w:bookmarkStart w:id="482" w:name="_Toc8647"/>
      <w:bookmarkStart w:id="483" w:name="_Toc16396"/>
      <w:r>
        <w:rPr>
          <w:rFonts w:hint="eastAsia" w:asciiTheme="minorEastAsia" w:hAnsiTheme="minorEastAsia" w:eastAsiaTheme="minorEastAsia" w:cstheme="minorEastAsia"/>
        </w:rPr>
        <w:t>7.2  Ⅰ级防腐</w:t>
      </w:r>
      <w:bookmarkEnd w:id="482"/>
      <w:bookmarkEnd w:id="483"/>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7.2.1</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防腐问题是永久性锚杆应用的一个突出难题。对Ⅰ级防腐锚杆，采用套管密封保护使锚杆杆体与地层介质完全隔离，是根本解决办法。</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7.2.</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隔离管是压力型锚杆的必要组件，又具有了防腐隔离的作用。</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7.2.</w:t>
      </w:r>
      <w:r>
        <w:rPr>
          <w:rFonts w:hint="eastAsia" w:ascii="Times New Roman" w:hAnsi="Times New Roman" w:cs="Times New Roman" w:eastAsiaTheme="minorEastAsia"/>
          <w:color w:val="000000"/>
          <w:szCs w:val="21"/>
          <w:lang w:val="en-US" w:eastAsia="zh-CN"/>
        </w:rPr>
        <w:t>3</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钢筋的腐蚀机理本质上是一种电化反应。钢丝笼环绕包围杆体钢筋，起屏蔽作用，防止杆体钢筋腐蚀。钢丝笼与水泥浆体凝结一体，形成钢丝笼水泥结石体，与素水泥浆体相比，抗拉强度提高，抗裂性能提高。因此，拉力型笼芯囊锚杆也可以达到Ⅰ级防腐的要求。</w:t>
      </w:r>
    </w:p>
    <w:p>
      <w:pPr>
        <w:pStyle w:val="3"/>
        <w:spacing w:before="312" w:beforeLines="100" w:after="156" w:afterLines="50"/>
        <w:rPr>
          <w:rFonts w:asciiTheme="minorEastAsia" w:hAnsiTheme="minorEastAsia" w:eastAsiaTheme="minorEastAsia" w:cstheme="minorEastAsia"/>
        </w:rPr>
      </w:pPr>
      <w:bookmarkStart w:id="484" w:name="_Toc8146"/>
      <w:bookmarkStart w:id="485" w:name="_Toc212"/>
      <w:r>
        <w:rPr>
          <w:rFonts w:hint="eastAsia" w:asciiTheme="minorEastAsia" w:hAnsiTheme="minorEastAsia" w:eastAsiaTheme="minorEastAsia" w:cstheme="minorEastAsia"/>
        </w:rPr>
        <w:t>7.3  Ⅱ级防腐</w:t>
      </w:r>
      <w:bookmarkEnd w:id="484"/>
      <w:bookmarkEnd w:id="485"/>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cs="Times New Roman" w:eastAsiaTheme="minorEastAsia"/>
          <w:color w:val="000000"/>
          <w:szCs w:val="21"/>
          <w:lang w:val="en-US" w:eastAsia="zh-CN"/>
        </w:rPr>
      </w:pPr>
      <w:r>
        <w:rPr>
          <w:rFonts w:hint="eastAsia" w:ascii="Times New Roman" w:hAnsi="Times New Roman" w:cs="Times New Roman" w:eastAsiaTheme="minorEastAsia"/>
          <w:color w:val="000000"/>
          <w:szCs w:val="21"/>
        </w:rPr>
        <w:t>7.3.</w:t>
      </w:r>
      <w:r>
        <w:rPr>
          <w:rFonts w:hint="eastAsia" w:ascii="Times New Roman" w:hAnsi="Times New Roman" w:cs="Times New Roman" w:eastAsiaTheme="minorEastAsia"/>
          <w:color w:val="000000"/>
          <w:szCs w:val="21"/>
          <w:lang w:val="en-US" w:eastAsia="zh-CN"/>
        </w:rPr>
        <w:t>2</w:t>
      </w:r>
      <w:r>
        <w:rPr>
          <w:rFonts w:hint="eastAsia" w:ascii="Times New Roman" w:hAnsi="Times New Roman" w:cs="Times New Roman" w:eastAsiaTheme="minorEastAsia"/>
          <w:color w:val="000000"/>
          <w:szCs w:val="21"/>
        </w:rPr>
        <w:t xml:space="preserve">  </w:t>
      </w:r>
      <w:r>
        <w:rPr>
          <w:rFonts w:hint="eastAsia" w:ascii="Times New Roman" w:hAnsi="Times New Roman" w:cs="Times New Roman" w:eastAsiaTheme="minorEastAsia"/>
          <w:color w:val="000000"/>
          <w:szCs w:val="21"/>
          <w:lang w:eastAsia="zh-CN"/>
        </w:rPr>
        <w:t>Ⅱ级防腐锚杆通常是依靠注浆体保护。《岩土锚杆（索）技术规程》</w:t>
      </w:r>
      <w:r>
        <w:rPr>
          <w:rFonts w:hint="eastAsia" w:ascii="Times New Roman" w:hAnsi="Times New Roman" w:cs="Times New Roman" w:eastAsiaTheme="minorEastAsia"/>
          <w:color w:val="000000"/>
          <w:szCs w:val="21"/>
          <w:lang w:val="en-US" w:eastAsia="zh-CN"/>
        </w:rPr>
        <w:t>CECS 22: 2005第6.3节规定，</w:t>
      </w:r>
      <w:r>
        <w:rPr>
          <w:rFonts w:hint="eastAsia" w:ascii="Times New Roman" w:hAnsi="Times New Roman" w:cs="Times New Roman" w:eastAsiaTheme="minorEastAsia"/>
          <w:color w:val="000000"/>
          <w:szCs w:val="21"/>
          <w:lang w:eastAsia="zh-CN"/>
        </w:rPr>
        <w:t>Ⅱ级防腐的永久性锚杆杆体水泥浆保护层厚度不应小于</w:t>
      </w:r>
      <w:r>
        <w:rPr>
          <w:rFonts w:hint="eastAsia" w:ascii="Times New Roman" w:hAnsi="Times New Roman" w:cs="Times New Roman" w:eastAsiaTheme="minorEastAsia"/>
          <w:color w:val="000000"/>
          <w:szCs w:val="21"/>
          <w:lang w:val="en-US" w:eastAsia="zh-CN"/>
        </w:rPr>
        <w:t>20mm，临时性锚杆不应小于10mm。《建筑桩基技术规范》JGJ 94 2008第4.1.2条规定，主筋的混凝土保护层厚度不应小于35mm，水下灌注混凝土不得小于50mm。本条规定防腐以结构层（囊袋和防腐涂层）为主，铺以注浆体保护层，比传统锚杆和桩的防腐效果和可靠性提高。</w:t>
      </w:r>
    </w:p>
    <w:p>
      <w:pPr>
        <w:pStyle w:val="3"/>
        <w:spacing w:before="312" w:beforeLines="100" w:after="156" w:afterLines="50"/>
        <w:rPr>
          <w:rFonts w:asciiTheme="minorEastAsia" w:hAnsiTheme="minorEastAsia" w:eastAsiaTheme="minorEastAsia" w:cstheme="minorEastAsia"/>
        </w:rPr>
      </w:pPr>
      <w:bookmarkStart w:id="486" w:name="_Toc15696"/>
      <w:bookmarkStart w:id="487" w:name="_Toc14645"/>
      <w:r>
        <w:rPr>
          <w:rFonts w:hint="eastAsia" w:asciiTheme="minorEastAsia" w:hAnsiTheme="minorEastAsia" w:eastAsiaTheme="minorEastAsia" w:cstheme="minorEastAsia"/>
        </w:rPr>
        <w:t>7.5  锚头防腐</w:t>
      </w:r>
      <w:bookmarkEnd w:id="486"/>
      <w:bookmarkEnd w:id="487"/>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7.5.1</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封锚混凝土为二次浇筑，设置锚筋或钢丝网可防止混凝土保护层开裂、脱落。</w:t>
      </w:r>
    </w:p>
    <w:p>
      <w:pP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lang w:eastAsia="zh-CN"/>
        </w:rPr>
        <w:br w:type="page"/>
      </w:r>
    </w:p>
    <w:p>
      <w:pPr>
        <w:keepNext/>
        <w:keepLines/>
        <w:pageBreakBefore w:val="0"/>
        <w:widowControl w:val="0"/>
        <w:kinsoku/>
        <w:wordWrap/>
        <w:overflowPunct/>
        <w:topLinePunct w:val="0"/>
        <w:autoSpaceDE/>
        <w:autoSpaceDN/>
        <w:bidi w:val="0"/>
        <w:adjustRightInd/>
        <w:snapToGrid/>
        <w:spacing w:before="312" w:beforeLines="100" w:after="312" w:afterLines="100"/>
        <w:textAlignment w:val="auto"/>
        <w:outlineLvl w:val="9"/>
        <w:rPr>
          <w:rFonts w:hint="eastAsia" w:asciiTheme="minorEastAsia" w:hAnsiTheme="minorEastAsia" w:eastAsiaTheme="minorEastAsia" w:cstheme="minorEastAsia"/>
        </w:rPr>
      </w:pPr>
      <w:bookmarkStart w:id="488" w:name="_Toc4969"/>
      <w:bookmarkStart w:id="489" w:name="_Toc19412"/>
    </w:p>
    <w:p>
      <w:pPr>
        <w:pStyle w:val="2"/>
        <w:spacing w:before="312" w:beforeLines="100" w:after="312" w:afterLines="100"/>
        <w:rPr>
          <w:rFonts w:asciiTheme="minorEastAsia" w:hAnsiTheme="minorEastAsia" w:eastAsiaTheme="minorEastAsia" w:cstheme="minorEastAsia"/>
        </w:rPr>
      </w:pPr>
      <w:r>
        <w:rPr>
          <w:rFonts w:hint="eastAsia" w:asciiTheme="minorEastAsia" w:hAnsiTheme="minorEastAsia" w:eastAsiaTheme="minorEastAsia" w:cstheme="minorEastAsia"/>
        </w:rPr>
        <w:t>8  施工</w:t>
      </w:r>
      <w:bookmarkEnd w:id="488"/>
      <w:bookmarkEnd w:id="489"/>
    </w:p>
    <w:p>
      <w:pPr>
        <w:pStyle w:val="3"/>
        <w:spacing w:before="312" w:beforeLines="100" w:after="156" w:afterLines="50"/>
        <w:rPr>
          <w:rFonts w:asciiTheme="minorEastAsia" w:hAnsiTheme="minorEastAsia" w:eastAsiaTheme="minorEastAsia" w:cstheme="minorEastAsia"/>
        </w:rPr>
      </w:pPr>
      <w:bookmarkStart w:id="490" w:name="_Toc25873"/>
      <w:bookmarkStart w:id="491" w:name="_Toc7393"/>
      <w:r>
        <w:rPr>
          <w:rFonts w:hint="eastAsia" w:asciiTheme="minorEastAsia" w:hAnsiTheme="minorEastAsia" w:eastAsiaTheme="minorEastAsia" w:cstheme="minorEastAsia"/>
        </w:rPr>
        <w:t>8.1  一般规定</w:t>
      </w:r>
      <w:bookmarkEnd w:id="490"/>
      <w:bookmarkEnd w:id="491"/>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8.1.</w:t>
      </w:r>
      <w:r>
        <w:rPr>
          <w:rFonts w:hint="eastAsia" w:ascii="Times New Roman" w:hAnsi="Times New Roman" w:cs="Times New Roman" w:eastAsiaTheme="minorEastAsia"/>
          <w:color w:val="000000"/>
          <w:szCs w:val="21"/>
          <w:lang w:val="en-US" w:eastAsia="zh-CN"/>
        </w:rPr>
        <w:t>3</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囊袋是否注浆张开到设计尺寸是施工质量的关键之一，采用囊袋注浆监控仪实时监控，可以较好地确保施工监测记录客观、真实、可靠。</w:t>
      </w:r>
    </w:p>
    <w:p>
      <w:pPr>
        <w:pStyle w:val="3"/>
        <w:spacing w:before="312" w:beforeLines="100" w:after="156" w:afterLines="50"/>
        <w:rPr>
          <w:rFonts w:asciiTheme="minorEastAsia" w:hAnsiTheme="minorEastAsia" w:eastAsiaTheme="minorEastAsia" w:cstheme="minorEastAsia"/>
        </w:rPr>
      </w:pPr>
      <w:bookmarkStart w:id="492" w:name="_Toc5422"/>
      <w:bookmarkStart w:id="493" w:name="_Toc6758"/>
      <w:r>
        <w:rPr>
          <w:rFonts w:hint="eastAsia" w:asciiTheme="minorEastAsia" w:hAnsiTheme="minorEastAsia" w:eastAsiaTheme="minorEastAsia" w:cstheme="minorEastAsia"/>
        </w:rPr>
        <w:t>8.2  制锚</w:t>
      </w:r>
      <w:bookmarkEnd w:id="492"/>
      <w:bookmarkEnd w:id="493"/>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8.</w:t>
      </w:r>
      <w:r>
        <w:rPr>
          <w:rFonts w:hint="eastAsia" w:ascii="Times New Roman" w:hAnsi="Times New Roman" w:cs="Times New Roman" w:eastAsiaTheme="minorEastAsia"/>
          <w:color w:val="000000"/>
          <w:szCs w:val="21"/>
          <w:lang w:val="en-US" w:eastAsia="zh-CN"/>
        </w:rPr>
        <w:t>2</w:t>
      </w:r>
      <w:r>
        <w:rPr>
          <w:rFonts w:hint="eastAsia" w:ascii="Times New Roman" w:hAnsi="Times New Roman" w:cs="Times New Roman" w:eastAsiaTheme="minorEastAsia"/>
          <w:color w:val="000000"/>
          <w:szCs w:val="21"/>
        </w:rPr>
        <w:t>.</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锚杆杆体尤其是精轧螺纹钢和钢绞线不得采用电焊等高温方式熔断。钢绞线的力学性能对表面的机械损伤非常敏感，应避免擦刮、碰撞、锤击等，否则应报废。</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8.</w:t>
      </w:r>
      <w:r>
        <w:rPr>
          <w:rFonts w:hint="eastAsia" w:ascii="Times New Roman" w:hAnsi="Times New Roman" w:cs="Times New Roman" w:eastAsiaTheme="minorEastAsia"/>
          <w:color w:val="000000"/>
          <w:szCs w:val="21"/>
          <w:lang w:val="en-US" w:eastAsia="zh-CN"/>
        </w:rPr>
        <w:t>2</w:t>
      </w:r>
      <w:r>
        <w:rPr>
          <w:rFonts w:hint="eastAsia" w:ascii="Times New Roman" w:hAnsi="Times New Roman" w:cs="Times New Roman" w:eastAsiaTheme="minorEastAsia"/>
          <w:color w:val="000000"/>
          <w:szCs w:val="21"/>
        </w:rPr>
        <w:t>.</w:t>
      </w:r>
      <w:r>
        <w:rPr>
          <w:rFonts w:hint="eastAsia" w:ascii="Times New Roman" w:hAnsi="Times New Roman" w:cs="Times New Roman" w:eastAsiaTheme="minorEastAsia"/>
          <w:color w:val="000000"/>
          <w:szCs w:val="21"/>
          <w:lang w:val="en-US" w:eastAsia="zh-CN"/>
        </w:rPr>
        <w:t>6</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制锚时应注意避免将油脂类物质粘染在隔离管（套管）外侧，以免影响水泥浆凝固。</w:t>
      </w:r>
    </w:p>
    <w:p>
      <w:pPr>
        <w:pStyle w:val="3"/>
        <w:spacing w:before="312" w:beforeLines="100" w:after="156" w:afterLines="50"/>
        <w:rPr>
          <w:rFonts w:asciiTheme="minorEastAsia" w:hAnsiTheme="minorEastAsia" w:eastAsiaTheme="minorEastAsia" w:cstheme="minorEastAsia"/>
        </w:rPr>
      </w:pPr>
      <w:bookmarkStart w:id="494" w:name="_Toc29383"/>
      <w:bookmarkStart w:id="495" w:name="_Toc28037"/>
      <w:r>
        <w:rPr>
          <w:rFonts w:hint="eastAsia" w:asciiTheme="minorEastAsia" w:hAnsiTheme="minorEastAsia" w:eastAsiaTheme="minorEastAsia" w:cstheme="minorEastAsia"/>
        </w:rPr>
        <w:t>8.3  钻孔</w:t>
      </w:r>
      <w:bookmarkEnd w:id="494"/>
      <w:bookmarkEnd w:id="495"/>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8.3.</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采用套管护壁钻孔，对后续杆体安放有利，因此，除土层稳定的竖向锚杆以外，均推荐采用套管护壁钻孔；对回转型锚杆，因杆体安放时对孔壁有抗压作用，应采用套管护壁成孔。</w:t>
      </w:r>
    </w:p>
    <w:p>
      <w:pPr>
        <w:pStyle w:val="3"/>
        <w:spacing w:before="312" w:beforeLines="100" w:after="156" w:afterLines="50"/>
        <w:rPr>
          <w:rFonts w:asciiTheme="minorEastAsia" w:hAnsiTheme="minorEastAsia" w:eastAsiaTheme="minorEastAsia" w:cstheme="minorEastAsia"/>
        </w:rPr>
      </w:pPr>
      <w:bookmarkStart w:id="496" w:name="_Toc14493"/>
      <w:bookmarkStart w:id="497" w:name="_Toc30737"/>
      <w:r>
        <w:rPr>
          <w:rFonts w:hint="eastAsia" w:asciiTheme="minorEastAsia" w:hAnsiTheme="minorEastAsia" w:eastAsiaTheme="minorEastAsia" w:cstheme="minorEastAsia"/>
        </w:rPr>
        <w:t>8.4  锚孔注浆</w:t>
      </w:r>
      <w:bookmarkEnd w:id="496"/>
      <w:bookmarkEnd w:id="497"/>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color w:val="000000"/>
          <w:szCs w:val="21"/>
          <w:lang w:eastAsia="zh-CN"/>
        </w:rPr>
      </w:pPr>
      <w:r>
        <w:rPr>
          <w:rFonts w:ascii="Times New Roman" w:hAnsi="Times New Roman" w:cs="Times New Roman" w:eastAsiaTheme="minorEastAsia"/>
          <w:color w:val="000000"/>
          <w:szCs w:val="21"/>
        </w:rPr>
        <w:t>8.4.1</w:t>
      </w:r>
      <w:r>
        <w:rPr>
          <w:rFonts w:hint="eastAsia" w:ascii="Times New Roman" w:hAnsi="Times New Roman" w:cs="Times New Roman" w:eastAsiaTheme="minorEastAsia"/>
          <w:color w:val="000000"/>
          <w:szCs w:val="21"/>
        </w:rPr>
        <w:t xml:space="preserve"> </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钻孔和清孔完成后应立即进行锚孔注浆，如果间隔时间较长，孔壁裂隙闭合，会影响水泥浆向孔壁渗透。锚孔注浆不得使用水泥砂浆，以免影响后续囊袋注浆张开。</w:t>
      </w:r>
    </w:p>
    <w:p>
      <w:pPr>
        <w:pStyle w:val="3"/>
        <w:spacing w:before="312" w:beforeLines="100" w:after="156" w:afterLines="50"/>
        <w:rPr>
          <w:rFonts w:asciiTheme="minorEastAsia" w:hAnsiTheme="minorEastAsia" w:eastAsiaTheme="minorEastAsia" w:cstheme="minorEastAsia"/>
        </w:rPr>
      </w:pPr>
      <w:bookmarkStart w:id="498" w:name="_Toc4583"/>
      <w:bookmarkStart w:id="499" w:name="_Toc22497"/>
      <w:r>
        <w:rPr>
          <w:rFonts w:hint="eastAsia" w:asciiTheme="minorEastAsia" w:hAnsiTheme="minorEastAsia" w:eastAsiaTheme="minorEastAsia" w:cstheme="minorEastAsia"/>
        </w:rPr>
        <w:t>8.5  下锚</w:t>
      </w:r>
      <w:bookmarkEnd w:id="498"/>
      <w:bookmarkEnd w:id="499"/>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color w:val="000000"/>
          <w:szCs w:val="21"/>
          <w:lang w:eastAsia="zh-CN"/>
        </w:rPr>
      </w:pPr>
      <w:r>
        <w:rPr>
          <w:rFonts w:hint="eastAsia" w:ascii="Times New Roman" w:hAnsi="Times New Roman" w:cs="Times New Roman" w:eastAsiaTheme="minorEastAsia"/>
          <w:color w:val="000000"/>
          <w:szCs w:val="21"/>
        </w:rPr>
        <w:t>8.5.</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eastAsia="zh-CN"/>
        </w:rPr>
        <w:t>锚孔注浆完成后应立即下锚。如果间隔时间较长，不仅会影响下锚到设计深度，还会影响后续囊袋张开。</w:t>
      </w:r>
    </w:p>
    <w:p>
      <w:pPr>
        <w:pStyle w:val="3"/>
        <w:spacing w:before="312" w:beforeLines="100" w:after="156" w:afterLines="50"/>
        <w:rPr>
          <w:rFonts w:asciiTheme="minorEastAsia" w:hAnsiTheme="minorEastAsia" w:eastAsiaTheme="minorEastAsia" w:cstheme="minorEastAsia"/>
        </w:rPr>
      </w:pPr>
      <w:bookmarkStart w:id="500" w:name="_Toc29082"/>
      <w:bookmarkStart w:id="501" w:name="_Toc22659"/>
      <w:r>
        <w:rPr>
          <w:rFonts w:hint="eastAsia" w:asciiTheme="minorEastAsia" w:hAnsiTheme="minorEastAsia" w:eastAsiaTheme="minorEastAsia" w:cstheme="minorEastAsia"/>
        </w:rPr>
        <w:t>8.6  囊袋注浆与监控</w:t>
      </w:r>
      <w:bookmarkEnd w:id="500"/>
      <w:bookmarkEnd w:id="501"/>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color w:val="000000"/>
          <w:szCs w:val="21"/>
          <w:lang w:eastAsia="zh-CN"/>
        </w:rPr>
      </w:pPr>
      <w:r>
        <w:rPr>
          <w:rFonts w:hint="eastAsia" w:ascii="Times New Roman" w:hAnsi="Times New Roman" w:cs="Times New Roman" w:eastAsiaTheme="minorEastAsia"/>
          <w:color w:val="000000"/>
          <w:szCs w:val="21"/>
        </w:rPr>
        <w:t>8.6.1</w:t>
      </w:r>
      <w:r>
        <w:rPr>
          <w:rFonts w:hint="eastAsia" w:asciiTheme="minorEastAsia" w:hAnsiTheme="minorEastAsia" w:eastAsiaTheme="minorEastAsia" w:cstheme="minorEastAsia"/>
          <w:bCs/>
          <w:color w:val="000000"/>
          <w:szCs w:val="21"/>
        </w:rPr>
        <w:t xml:space="preserve">  下锚后应</w:t>
      </w:r>
      <w:r>
        <w:rPr>
          <w:rFonts w:hint="eastAsia" w:asciiTheme="minorEastAsia" w:hAnsiTheme="minorEastAsia" w:eastAsiaTheme="minorEastAsia" w:cstheme="minorEastAsia"/>
          <w:bCs/>
          <w:color w:val="000000"/>
          <w:szCs w:val="21"/>
          <w:lang w:eastAsia="zh-CN"/>
        </w:rPr>
        <w:t>立即对囊袋注浆，不能间隔较长时间，否则会影响囊袋张开，增加囊袋向外挤压排开锚孔内浆液的难度。</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color w:val="000000"/>
          <w:szCs w:val="21"/>
          <w:lang w:eastAsia="zh-CN"/>
        </w:rPr>
      </w:pPr>
      <w:r>
        <w:rPr>
          <w:rFonts w:hint="eastAsia" w:ascii="Times New Roman" w:hAnsi="Times New Roman" w:cs="Times New Roman" w:eastAsiaTheme="minorEastAsia"/>
          <w:color w:val="000000"/>
          <w:szCs w:val="21"/>
        </w:rPr>
        <w:t>8.6.</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囊袋注浆浆液的容重大于锚孔浆液容重，有利于囊袋借助重力向外挤压锚孔浆液并持续自然扩孔，形成较大直径的囊体。</w:t>
      </w:r>
    </w:p>
    <w:p>
      <w:pPr>
        <w:pStyle w:val="3"/>
        <w:spacing w:before="312" w:beforeLines="100" w:after="156" w:afterLines="50"/>
        <w:rPr>
          <w:rFonts w:asciiTheme="minorEastAsia" w:hAnsiTheme="minorEastAsia" w:eastAsiaTheme="minorEastAsia" w:cstheme="minorEastAsia"/>
        </w:rPr>
      </w:pPr>
      <w:bookmarkStart w:id="502" w:name="_Toc3070"/>
      <w:bookmarkStart w:id="503" w:name="_Toc23323"/>
      <w:r>
        <w:rPr>
          <w:rFonts w:hint="eastAsia" w:asciiTheme="minorEastAsia" w:hAnsiTheme="minorEastAsia" w:eastAsiaTheme="minorEastAsia" w:cstheme="minorEastAsia"/>
        </w:rPr>
        <w:t>8.7  张拉和锁定</w:t>
      </w:r>
      <w:bookmarkEnd w:id="502"/>
      <w:bookmarkEnd w:id="503"/>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eastAsia" w:asciiTheme="minorEastAsia" w:hAnsiTheme="minorEastAsia" w:eastAsiaTheme="minorEastAsia" w:cstheme="minorEastAsia"/>
          <w:bCs/>
          <w:color w:val="000000"/>
          <w:szCs w:val="21"/>
          <w:lang w:val="en-US" w:eastAsia="zh-CN"/>
        </w:rPr>
      </w:pPr>
      <w:r>
        <w:rPr>
          <w:rFonts w:hint="eastAsia" w:ascii="Times New Roman" w:hAnsi="Times New Roman" w:cs="Times New Roman" w:eastAsiaTheme="minorEastAsia"/>
          <w:color w:val="000000"/>
          <w:szCs w:val="21"/>
        </w:rPr>
        <w:t>8.7.1</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锚杆张拉和锁定是锚杆施工的最后一道工序，对台座、锚具的检查控制是十分必要的。由于扩大头锚杆的自由段一般较长，应重视在正式张拉前取</w:t>
      </w:r>
      <w:r>
        <w:rPr>
          <w:rFonts w:hint="eastAsia" w:asciiTheme="minorEastAsia" w:hAnsiTheme="minorEastAsia" w:eastAsiaTheme="minorEastAsia" w:cstheme="minorEastAsia"/>
          <w:bCs/>
          <w:color w:val="000000"/>
          <w:szCs w:val="21"/>
          <w:lang w:val="en-US" w:eastAsia="zh-CN"/>
        </w:rPr>
        <w:t>10%~20%抗拔力特征值进行的预张拉。为调平摆正自由段，必要时还可以在预张拉过程卸下千斤顶重新安装夹片。</w:t>
      </w:r>
    </w:p>
    <w:p>
      <w:pPr>
        <w:keepNext w:val="0"/>
        <w:keepLines w:val="0"/>
        <w:pageBreakBefore w:val="0"/>
        <w:widowControl w:val="0"/>
        <w:tabs>
          <w:tab w:val="left" w:pos="19"/>
        </w:tabs>
        <w:kinsoku/>
        <w:wordWrap/>
        <w:overflowPunct/>
        <w:topLinePunct w:val="0"/>
        <w:autoSpaceDE/>
        <w:autoSpaceDN/>
        <w:bidi w:val="0"/>
        <w:adjustRightInd/>
        <w:snapToGrid/>
        <w:spacing w:line="360" w:lineRule="exact"/>
        <w:ind w:firstLine="0" w:firstLineChars="0"/>
        <w:jc w:val="left"/>
        <w:textAlignment w:val="auto"/>
        <w:rPr>
          <w:rFonts w:hint="default" w:asciiTheme="minorEastAsia" w:hAnsiTheme="minorEastAsia" w:eastAsiaTheme="minorEastAsia" w:cstheme="minorEastAsia"/>
          <w:bCs/>
          <w:color w:val="000000"/>
          <w:szCs w:val="21"/>
          <w:lang w:val="en-US" w:eastAsia="zh-CN"/>
        </w:rPr>
      </w:pPr>
      <w:r>
        <w:rPr>
          <w:rFonts w:hint="eastAsia" w:ascii="Times New Roman" w:hAnsi="Times New Roman" w:cs="Times New Roman" w:eastAsiaTheme="minorEastAsia"/>
          <w:color w:val="000000"/>
          <w:szCs w:val="21"/>
        </w:rPr>
        <w:t>8.7.</w:t>
      </w:r>
      <w:r>
        <w:rPr>
          <w:rFonts w:hint="eastAsia" w:ascii="Times New Roman" w:hAnsi="Times New Roman" w:cs="Times New Roman" w:eastAsiaTheme="minorEastAsia"/>
          <w:color w:val="000000"/>
          <w:szCs w:val="21"/>
          <w:lang w:val="en-US" w:eastAsia="zh-CN"/>
        </w:rPr>
        <w:t>2</w:t>
      </w:r>
      <w:r>
        <w:rPr>
          <w:rFonts w:hint="eastAsia" w:asciiTheme="minorEastAsia" w:hAnsiTheme="minorEastAsia" w:eastAsiaTheme="minorEastAsia" w:cstheme="minorEastAsia"/>
          <w:bCs/>
          <w:color w:val="000000"/>
          <w:szCs w:val="21"/>
        </w:rPr>
        <w:t xml:space="preserve">  </w:t>
      </w:r>
      <w:r>
        <w:rPr>
          <w:rFonts w:hint="eastAsia" w:asciiTheme="minorEastAsia" w:hAnsiTheme="minorEastAsia" w:eastAsiaTheme="minorEastAsia" w:cstheme="minorEastAsia"/>
          <w:bCs/>
          <w:color w:val="000000"/>
          <w:szCs w:val="21"/>
          <w:lang w:eastAsia="zh-CN"/>
        </w:rPr>
        <w:t>锁定时，为了达到设计要求的张拉锁定值，锁定荷载应高于张拉锁定值，根据经验一般可取张拉锁定值的</w:t>
      </w:r>
      <w:r>
        <w:rPr>
          <w:rFonts w:hint="default" w:ascii="Times New Roman" w:hAnsi="Times New Roman" w:cs="Times New Roman" w:eastAsiaTheme="minorEastAsia"/>
          <w:bCs/>
          <w:color w:val="000000"/>
          <w:szCs w:val="21"/>
          <w:lang w:val="en-US" w:eastAsia="zh-CN"/>
        </w:rPr>
        <w:t>1.1</w:t>
      </w:r>
      <w:r>
        <w:rPr>
          <w:rFonts w:hint="eastAsia" w:asciiTheme="minorEastAsia" w:hAnsiTheme="minorEastAsia" w:eastAsiaTheme="minorEastAsia" w:cstheme="minorEastAsia"/>
          <w:bCs/>
          <w:color w:val="000000"/>
          <w:szCs w:val="21"/>
          <w:lang w:val="en-US" w:eastAsia="zh-CN"/>
        </w:rPr>
        <w:t>倍</w:t>
      </w:r>
      <w:r>
        <w:rPr>
          <w:rFonts w:hint="default" w:ascii="Times New Roman" w:hAnsi="Times New Roman" w:cs="Times New Roman" w:eastAsiaTheme="minorEastAsia"/>
          <w:bCs/>
          <w:color w:val="000000"/>
          <w:szCs w:val="21"/>
          <w:lang w:val="en-US" w:eastAsia="zh-CN"/>
        </w:rPr>
        <w:t>~1.2</w:t>
      </w:r>
      <w:r>
        <w:rPr>
          <w:rFonts w:hint="eastAsia" w:asciiTheme="minorEastAsia" w:hAnsiTheme="minorEastAsia" w:eastAsiaTheme="minorEastAsia" w:cstheme="minorEastAsia"/>
          <w:bCs/>
          <w:color w:val="000000"/>
          <w:szCs w:val="21"/>
          <w:lang w:val="en-US" w:eastAsia="zh-CN"/>
        </w:rPr>
        <w:t>倍，必要进可采用拉力传感器和油压千斤顶现场对比测试确定。</w:t>
      </w:r>
    </w:p>
    <w:sectPr>
      <w:footerReference r:id="rId5" w:type="default"/>
      <w:footerReference r:id="rId6" w:type="even"/>
      <w:pgSz w:w="7881" w:h="11453"/>
      <w:pgMar w:top="850" w:right="850" w:bottom="567" w:left="850" w:header="851" w:footer="567"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Tiger Expert">
    <w:panose1 w:val="02070300020205020404"/>
    <w:charset w:val="00"/>
    <w:family w:val="auto"/>
    <w:pitch w:val="default"/>
    <w:sig w:usb0="A00003AF" w:usb1="100078FF" w:usb2="00000000" w:usb3="00000000" w:csb0="6000019F" w:csb1="DFF70000"/>
  </w:font>
  <w:font w:name="Tiger">
    <w:panose1 w:val="02070300020205020404"/>
    <w:charset w:val="00"/>
    <w:family w:val="auto"/>
    <w:pitch w:val="default"/>
    <w:sig w:usb0="A00003AF" w:usb1="100078FF" w:usb2="00000000" w:usb3="00000000" w:csb0="6000019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qXRUQ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6l0VEAIAAAkEAAAOAAAAAAAAAAEAIAAA&#10;AB8BAABkcnMvZTJvRG9jLnhtbFBLBQYAAAAABgAGAFkBAAChBQAAAAA=&#10;">
              <v:fill on="f" focussize="0,0"/>
              <v:stroke on="f" weight="0.5pt"/>
              <v:imagedata o:title=""/>
              <o:lock v:ext="edit" aspectratio="f"/>
              <v:textbox inset="0mm,0mm,0mm,0mm" style="mso-fit-shape-to-text:t;">
                <w:txbxContent>
                  <w:p>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mziA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kmziAPAgAACQQAAA4AAAAAAAAAAQAgAAAA&#10;HwEAAGRycy9lMm9Eb2MueG1sUEsFBgAAAAAGAAYAWQEAAKAFA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E836FA"/>
    <w:multiLevelType w:val="singleLevel"/>
    <w:tmpl w:val="61E836FA"/>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BC8"/>
    <w:rsid w:val="000034D9"/>
    <w:rsid w:val="0001157F"/>
    <w:rsid w:val="0001244C"/>
    <w:rsid w:val="00013A3F"/>
    <w:rsid w:val="00015EAB"/>
    <w:rsid w:val="000176F5"/>
    <w:rsid w:val="00020831"/>
    <w:rsid w:val="0003147F"/>
    <w:rsid w:val="00033668"/>
    <w:rsid w:val="00033B12"/>
    <w:rsid w:val="00033DBD"/>
    <w:rsid w:val="00034653"/>
    <w:rsid w:val="00034BFF"/>
    <w:rsid w:val="00035E21"/>
    <w:rsid w:val="00037C41"/>
    <w:rsid w:val="00041D45"/>
    <w:rsid w:val="0004370A"/>
    <w:rsid w:val="00046031"/>
    <w:rsid w:val="00050FF1"/>
    <w:rsid w:val="000554CA"/>
    <w:rsid w:val="00066557"/>
    <w:rsid w:val="00074901"/>
    <w:rsid w:val="00075662"/>
    <w:rsid w:val="000759B6"/>
    <w:rsid w:val="00081BDD"/>
    <w:rsid w:val="00082603"/>
    <w:rsid w:val="00097E1D"/>
    <w:rsid w:val="000A139E"/>
    <w:rsid w:val="000A5F87"/>
    <w:rsid w:val="000A6666"/>
    <w:rsid w:val="000C1688"/>
    <w:rsid w:val="000C31A9"/>
    <w:rsid w:val="000D022F"/>
    <w:rsid w:val="000D5BC7"/>
    <w:rsid w:val="000E0E5F"/>
    <w:rsid w:val="000E4631"/>
    <w:rsid w:val="000E5202"/>
    <w:rsid w:val="000E5D61"/>
    <w:rsid w:val="000F04D4"/>
    <w:rsid w:val="000F0DE2"/>
    <w:rsid w:val="000F3D72"/>
    <w:rsid w:val="000F4F4F"/>
    <w:rsid w:val="0010363A"/>
    <w:rsid w:val="0010654B"/>
    <w:rsid w:val="0011334E"/>
    <w:rsid w:val="001154A5"/>
    <w:rsid w:val="0012179F"/>
    <w:rsid w:val="001358FD"/>
    <w:rsid w:val="0014098F"/>
    <w:rsid w:val="0014113F"/>
    <w:rsid w:val="00145341"/>
    <w:rsid w:val="00151CAB"/>
    <w:rsid w:val="00162590"/>
    <w:rsid w:val="00162EBD"/>
    <w:rsid w:val="00164C06"/>
    <w:rsid w:val="001661B4"/>
    <w:rsid w:val="00172A27"/>
    <w:rsid w:val="001747D9"/>
    <w:rsid w:val="0017494A"/>
    <w:rsid w:val="0017651F"/>
    <w:rsid w:val="001766D3"/>
    <w:rsid w:val="00177121"/>
    <w:rsid w:val="001776B1"/>
    <w:rsid w:val="00177D5B"/>
    <w:rsid w:val="00183D6D"/>
    <w:rsid w:val="0018456C"/>
    <w:rsid w:val="0018468E"/>
    <w:rsid w:val="001951BF"/>
    <w:rsid w:val="001A630E"/>
    <w:rsid w:val="001C39D5"/>
    <w:rsid w:val="001C3A8B"/>
    <w:rsid w:val="001C668B"/>
    <w:rsid w:val="001D1502"/>
    <w:rsid w:val="001D1F81"/>
    <w:rsid w:val="001D2586"/>
    <w:rsid w:val="001D2A16"/>
    <w:rsid w:val="001D5A73"/>
    <w:rsid w:val="001D7C91"/>
    <w:rsid w:val="001E16C6"/>
    <w:rsid w:val="001E2284"/>
    <w:rsid w:val="001E2D95"/>
    <w:rsid w:val="001F27F5"/>
    <w:rsid w:val="001F5F34"/>
    <w:rsid w:val="001F66BF"/>
    <w:rsid w:val="001F68C7"/>
    <w:rsid w:val="00203A1B"/>
    <w:rsid w:val="0021194C"/>
    <w:rsid w:val="00212C93"/>
    <w:rsid w:val="002150FF"/>
    <w:rsid w:val="00221B77"/>
    <w:rsid w:val="00226ED6"/>
    <w:rsid w:val="00227899"/>
    <w:rsid w:val="00242690"/>
    <w:rsid w:val="00245513"/>
    <w:rsid w:val="00247680"/>
    <w:rsid w:val="0025312C"/>
    <w:rsid w:val="00253E47"/>
    <w:rsid w:val="0026160E"/>
    <w:rsid w:val="0026201A"/>
    <w:rsid w:val="00262466"/>
    <w:rsid w:val="002637BF"/>
    <w:rsid w:val="00265A4B"/>
    <w:rsid w:val="00270BEC"/>
    <w:rsid w:val="00273DE7"/>
    <w:rsid w:val="00274176"/>
    <w:rsid w:val="00274B92"/>
    <w:rsid w:val="002756A3"/>
    <w:rsid w:val="00280FFB"/>
    <w:rsid w:val="00283262"/>
    <w:rsid w:val="00283997"/>
    <w:rsid w:val="00290E66"/>
    <w:rsid w:val="002954EC"/>
    <w:rsid w:val="00297426"/>
    <w:rsid w:val="002A2BA2"/>
    <w:rsid w:val="002A2CE0"/>
    <w:rsid w:val="002A49B7"/>
    <w:rsid w:val="002A5919"/>
    <w:rsid w:val="002A7E47"/>
    <w:rsid w:val="002B087F"/>
    <w:rsid w:val="002B281B"/>
    <w:rsid w:val="002B7A0D"/>
    <w:rsid w:val="002C084D"/>
    <w:rsid w:val="002C2BAD"/>
    <w:rsid w:val="002C3C3F"/>
    <w:rsid w:val="002C6696"/>
    <w:rsid w:val="002D0438"/>
    <w:rsid w:val="002D2F0F"/>
    <w:rsid w:val="002D584E"/>
    <w:rsid w:val="002D6B99"/>
    <w:rsid w:val="002E2E37"/>
    <w:rsid w:val="002E568A"/>
    <w:rsid w:val="002E6036"/>
    <w:rsid w:val="002E613B"/>
    <w:rsid w:val="002F03B4"/>
    <w:rsid w:val="002F1829"/>
    <w:rsid w:val="002F2C46"/>
    <w:rsid w:val="002F44B4"/>
    <w:rsid w:val="002F4AE9"/>
    <w:rsid w:val="00302183"/>
    <w:rsid w:val="00302B3D"/>
    <w:rsid w:val="00302D38"/>
    <w:rsid w:val="0031193A"/>
    <w:rsid w:val="00312433"/>
    <w:rsid w:val="00314E38"/>
    <w:rsid w:val="00316E69"/>
    <w:rsid w:val="00317FBE"/>
    <w:rsid w:val="00321545"/>
    <w:rsid w:val="003220F7"/>
    <w:rsid w:val="00323963"/>
    <w:rsid w:val="0032613E"/>
    <w:rsid w:val="0033274E"/>
    <w:rsid w:val="00335AF3"/>
    <w:rsid w:val="00346645"/>
    <w:rsid w:val="00346B5E"/>
    <w:rsid w:val="003534D5"/>
    <w:rsid w:val="003568B6"/>
    <w:rsid w:val="00362091"/>
    <w:rsid w:val="00363F7A"/>
    <w:rsid w:val="00377C3B"/>
    <w:rsid w:val="003805AF"/>
    <w:rsid w:val="00381134"/>
    <w:rsid w:val="003871F0"/>
    <w:rsid w:val="00395717"/>
    <w:rsid w:val="003A2DC1"/>
    <w:rsid w:val="003A796D"/>
    <w:rsid w:val="003B2A1B"/>
    <w:rsid w:val="003B2EFB"/>
    <w:rsid w:val="003B5DFF"/>
    <w:rsid w:val="003B5FED"/>
    <w:rsid w:val="003B64C9"/>
    <w:rsid w:val="003B6F6C"/>
    <w:rsid w:val="003B7F52"/>
    <w:rsid w:val="003C0265"/>
    <w:rsid w:val="003C23C0"/>
    <w:rsid w:val="003C5ADE"/>
    <w:rsid w:val="003C5CAF"/>
    <w:rsid w:val="003C68C0"/>
    <w:rsid w:val="003D1257"/>
    <w:rsid w:val="003D2FA4"/>
    <w:rsid w:val="003D44BC"/>
    <w:rsid w:val="003D53E6"/>
    <w:rsid w:val="003E0591"/>
    <w:rsid w:val="003E0DF7"/>
    <w:rsid w:val="003E52BB"/>
    <w:rsid w:val="003E5DDF"/>
    <w:rsid w:val="003E6749"/>
    <w:rsid w:val="003E7128"/>
    <w:rsid w:val="003F0740"/>
    <w:rsid w:val="003F3CCD"/>
    <w:rsid w:val="003F3E47"/>
    <w:rsid w:val="003F4317"/>
    <w:rsid w:val="003F64D8"/>
    <w:rsid w:val="003F7FBD"/>
    <w:rsid w:val="00406BF7"/>
    <w:rsid w:val="00415226"/>
    <w:rsid w:val="004219C6"/>
    <w:rsid w:val="004252D7"/>
    <w:rsid w:val="00426837"/>
    <w:rsid w:val="004270DC"/>
    <w:rsid w:val="00435F05"/>
    <w:rsid w:val="00440FB1"/>
    <w:rsid w:val="004452FA"/>
    <w:rsid w:val="00447DBF"/>
    <w:rsid w:val="004501B2"/>
    <w:rsid w:val="00452D60"/>
    <w:rsid w:val="00453D9A"/>
    <w:rsid w:val="00454057"/>
    <w:rsid w:val="004549FF"/>
    <w:rsid w:val="004572CA"/>
    <w:rsid w:val="00462567"/>
    <w:rsid w:val="00462DDE"/>
    <w:rsid w:val="004649EA"/>
    <w:rsid w:val="00486FC5"/>
    <w:rsid w:val="00487D1C"/>
    <w:rsid w:val="00490DDC"/>
    <w:rsid w:val="00492043"/>
    <w:rsid w:val="00495825"/>
    <w:rsid w:val="00497483"/>
    <w:rsid w:val="004A2AFF"/>
    <w:rsid w:val="004A4542"/>
    <w:rsid w:val="004A4D8D"/>
    <w:rsid w:val="004A4DF6"/>
    <w:rsid w:val="004A5A3A"/>
    <w:rsid w:val="004B1FA8"/>
    <w:rsid w:val="004B2093"/>
    <w:rsid w:val="004C28BA"/>
    <w:rsid w:val="004D381E"/>
    <w:rsid w:val="004D7582"/>
    <w:rsid w:val="004E0F34"/>
    <w:rsid w:val="004E2835"/>
    <w:rsid w:val="005015EA"/>
    <w:rsid w:val="00503B02"/>
    <w:rsid w:val="005134B2"/>
    <w:rsid w:val="00515DCE"/>
    <w:rsid w:val="005240F5"/>
    <w:rsid w:val="00524283"/>
    <w:rsid w:val="0052511F"/>
    <w:rsid w:val="005258C6"/>
    <w:rsid w:val="00532D82"/>
    <w:rsid w:val="005454C3"/>
    <w:rsid w:val="00546BA7"/>
    <w:rsid w:val="00551425"/>
    <w:rsid w:val="00551B92"/>
    <w:rsid w:val="005522AB"/>
    <w:rsid w:val="00561AD6"/>
    <w:rsid w:val="005623BC"/>
    <w:rsid w:val="00562B4F"/>
    <w:rsid w:val="00566E9A"/>
    <w:rsid w:val="00570D3F"/>
    <w:rsid w:val="005713E9"/>
    <w:rsid w:val="00572065"/>
    <w:rsid w:val="005721FE"/>
    <w:rsid w:val="0057603A"/>
    <w:rsid w:val="0058433F"/>
    <w:rsid w:val="00587095"/>
    <w:rsid w:val="00591591"/>
    <w:rsid w:val="005A0A32"/>
    <w:rsid w:val="005A1108"/>
    <w:rsid w:val="005A147B"/>
    <w:rsid w:val="005A1618"/>
    <w:rsid w:val="005A23E1"/>
    <w:rsid w:val="005A53CD"/>
    <w:rsid w:val="005A6CBE"/>
    <w:rsid w:val="005B1828"/>
    <w:rsid w:val="005B5310"/>
    <w:rsid w:val="005B70B8"/>
    <w:rsid w:val="005C5409"/>
    <w:rsid w:val="005C6A45"/>
    <w:rsid w:val="005D1FC2"/>
    <w:rsid w:val="005D351F"/>
    <w:rsid w:val="005D5EDA"/>
    <w:rsid w:val="005E0B26"/>
    <w:rsid w:val="005E1F2A"/>
    <w:rsid w:val="005E28A2"/>
    <w:rsid w:val="005E47CC"/>
    <w:rsid w:val="005F1228"/>
    <w:rsid w:val="005F28D8"/>
    <w:rsid w:val="00601AF6"/>
    <w:rsid w:val="006024C9"/>
    <w:rsid w:val="00603B5D"/>
    <w:rsid w:val="00610C55"/>
    <w:rsid w:val="00612738"/>
    <w:rsid w:val="006207D6"/>
    <w:rsid w:val="0062085C"/>
    <w:rsid w:val="0062171D"/>
    <w:rsid w:val="00623EF3"/>
    <w:rsid w:val="00625139"/>
    <w:rsid w:val="006267DA"/>
    <w:rsid w:val="00630073"/>
    <w:rsid w:val="0063102D"/>
    <w:rsid w:val="00631AE1"/>
    <w:rsid w:val="00632013"/>
    <w:rsid w:val="00632300"/>
    <w:rsid w:val="00634405"/>
    <w:rsid w:val="00634552"/>
    <w:rsid w:val="00636CE0"/>
    <w:rsid w:val="00637524"/>
    <w:rsid w:val="006437F3"/>
    <w:rsid w:val="0064665F"/>
    <w:rsid w:val="00647496"/>
    <w:rsid w:val="006549FF"/>
    <w:rsid w:val="00655B7B"/>
    <w:rsid w:val="00661251"/>
    <w:rsid w:val="0066773D"/>
    <w:rsid w:val="00680F03"/>
    <w:rsid w:val="006818ED"/>
    <w:rsid w:val="00687654"/>
    <w:rsid w:val="0069184B"/>
    <w:rsid w:val="00691A5F"/>
    <w:rsid w:val="00697D7A"/>
    <w:rsid w:val="006A37C1"/>
    <w:rsid w:val="006A540F"/>
    <w:rsid w:val="006A5B0B"/>
    <w:rsid w:val="006A7ED3"/>
    <w:rsid w:val="006B33B3"/>
    <w:rsid w:val="006B3EFC"/>
    <w:rsid w:val="006B69B7"/>
    <w:rsid w:val="006C0762"/>
    <w:rsid w:val="006C2C5F"/>
    <w:rsid w:val="006C4239"/>
    <w:rsid w:val="006D2C0B"/>
    <w:rsid w:val="006D3067"/>
    <w:rsid w:val="006E22C2"/>
    <w:rsid w:val="006E6329"/>
    <w:rsid w:val="006F0938"/>
    <w:rsid w:val="006F1D8E"/>
    <w:rsid w:val="006F26CE"/>
    <w:rsid w:val="006F2EE0"/>
    <w:rsid w:val="006F6EFE"/>
    <w:rsid w:val="007005D5"/>
    <w:rsid w:val="0070317E"/>
    <w:rsid w:val="00712E91"/>
    <w:rsid w:val="0071449E"/>
    <w:rsid w:val="007156BE"/>
    <w:rsid w:val="00716D8A"/>
    <w:rsid w:val="007243DB"/>
    <w:rsid w:val="00734F83"/>
    <w:rsid w:val="00741441"/>
    <w:rsid w:val="00750BC9"/>
    <w:rsid w:val="00751637"/>
    <w:rsid w:val="007517AE"/>
    <w:rsid w:val="00755633"/>
    <w:rsid w:val="007573BD"/>
    <w:rsid w:val="0076255A"/>
    <w:rsid w:val="00765E86"/>
    <w:rsid w:val="00770D92"/>
    <w:rsid w:val="00774BC1"/>
    <w:rsid w:val="0078130E"/>
    <w:rsid w:val="00781CA9"/>
    <w:rsid w:val="00784650"/>
    <w:rsid w:val="007879CB"/>
    <w:rsid w:val="00790EDE"/>
    <w:rsid w:val="00791338"/>
    <w:rsid w:val="0079182B"/>
    <w:rsid w:val="00794C04"/>
    <w:rsid w:val="00797718"/>
    <w:rsid w:val="007A2E08"/>
    <w:rsid w:val="007A565D"/>
    <w:rsid w:val="007B0FFE"/>
    <w:rsid w:val="007B55F8"/>
    <w:rsid w:val="007B637A"/>
    <w:rsid w:val="007B6509"/>
    <w:rsid w:val="007C0DCF"/>
    <w:rsid w:val="007C1A5C"/>
    <w:rsid w:val="007C39D0"/>
    <w:rsid w:val="007C6A8A"/>
    <w:rsid w:val="007D0B86"/>
    <w:rsid w:val="007D6D3F"/>
    <w:rsid w:val="007D6DCF"/>
    <w:rsid w:val="007E3BD8"/>
    <w:rsid w:val="007E6613"/>
    <w:rsid w:val="007F0B53"/>
    <w:rsid w:val="007F1371"/>
    <w:rsid w:val="007F4545"/>
    <w:rsid w:val="00800350"/>
    <w:rsid w:val="00802AD3"/>
    <w:rsid w:val="00803A5A"/>
    <w:rsid w:val="008043E5"/>
    <w:rsid w:val="008077A7"/>
    <w:rsid w:val="008112C4"/>
    <w:rsid w:val="00817B44"/>
    <w:rsid w:val="008219BF"/>
    <w:rsid w:val="0082474C"/>
    <w:rsid w:val="00826965"/>
    <w:rsid w:val="008303CF"/>
    <w:rsid w:val="008313B5"/>
    <w:rsid w:val="0083234D"/>
    <w:rsid w:val="008323BE"/>
    <w:rsid w:val="008332BC"/>
    <w:rsid w:val="00834684"/>
    <w:rsid w:val="0084324C"/>
    <w:rsid w:val="00844963"/>
    <w:rsid w:val="00845727"/>
    <w:rsid w:val="00852554"/>
    <w:rsid w:val="00853ABB"/>
    <w:rsid w:val="00855D2C"/>
    <w:rsid w:val="00861F58"/>
    <w:rsid w:val="00862956"/>
    <w:rsid w:val="00862DB6"/>
    <w:rsid w:val="00866C64"/>
    <w:rsid w:val="00872226"/>
    <w:rsid w:val="008739E8"/>
    <w:rsid w:val="00877100"/>
    <w:rsid w:val="00880552"/>
    <w:rsid w:val="00880691"/>
    <w:rsid w:val="008808A8"/>
    <w:rsid w:val="00883659"/>
    <w:rsid w:val="0088412C"/>
    <w:rsid w:val="00887223"/>
    <w:rsid w:val="00893C91"/>
    <w:rsid w:val="008A17D4"/>
    <w:rsid w:val="008A18CE"/>
    <w:rsid w:val="008A5400"/>
    <w:rsid w:val="008B1D08"/>
    <w:rsid w:val="008B3606"/>
    <w:rsid w:val="008B7192"/>
    <w:rsid w:val="008C4393"/>
    <w:rsid w:val="008D0C5D"/>
    <w:rsid w:val="008F5FBA"/>
    <w:rsid w:val="00903F75"/>
    <w:rsid w:val="00907C0F"/>
    <w:rsid w:val="009127AA"/>
    <w:rsid w:val="00913DE6"/>
    <w:rsid w:val="009155DD"/>
    <w:rsid w:val="00917925"/>
    <w:rsid w:val="00920E38"/>
    <w:rsid w:val="009212D6"/>
    <w:rsid w:val="00921530"/>
    <w:rsid w:val="009239E5"/>
    <w:rsid w:val="00927639"/>
    <w:rsid w:val="009277BA"/>
    <w:rsid w:val="00927FE5"/>
    <w:rsid w:val="0093187C"/>
    <w:rsid w:val="00935646"/>
    <w:rsid w:val="00935C4E"/>
    <w:rsid w:val="009429C1"/>
    <w:rsid w:val="009530C5"/>
    <w:rsid w:val="009552F8"/>
    <w:rsid w:val="009556B5"/>
    <w:rsid w:val="009566E7"/>
    <w:rsid w:val="00956EFF"/>
    <w:rsid w:val="00957A32"/>
    <w:rsid w:val="009627A4"/>
    <w:rsid w:val="00966ECE"/>
    <w:rsid w:val="0097346C"/>
    <w:rsid w:val="009745B6"/>
    <w:rsid w:val="009767CD"/>
    <w:rsid w:val="0097779B"/>
    <w:rsid w:val="00981DD4"/>
    <w:rsid w:val="009820DC"/>
    <w:rsid w:val="009863DE"/>
    <w:rsid w:val="00990398"/>
    <w:rsid w:val="00990F10"/>
    <w:rsid w:val="00993A5A"/>
    <w:rsid w:val="00993BBA"/>
    <w:rsid w:val="009A1FBB"/>
    <w:rsid w:val="009A2F84"/>
    <w:rsid w:val="009A7170"/>
    <w:rsid w:val="009B4A24"/>
    <w:rsid w:val="009B6026"/>
    <w:rsid w:val="009B64FA"/>
    <w:rsid w:val="009B6986"/>
    <w:rsid w:val="009B7089"/>
    <w:rsid w:val="009B7A73"/>
    <w:rsid w:val="009C0ED6"/>
    <w:rsid w:val="009C33ED"/>
    <w:rsid w:val="009C3F78"/>
    <w:rsid w:val="009C4E1C"/>
    <w:rsid w:val="009C4E6E"/>
    <w:rsid w:val="009D047C"/>
    <w:rsid w:val="009D1E7F"/>
    <w:rsid w:val="009D4CF9"/>
    <w:rsid w:val="009E0912"/>
    <w:rsid w:val="009E42A7"/>
    <w:rsid w:val="009E540E"/>
    <w:rsid w:val="009E58A2"/>
    <w:rsid w:val="009E6E8B"/>
    <w:rsid w:val="009F5CDD"/>
    <w:rsid w:val="009F7593"/>
    <w:rsid w:val="00A035A9"/>
    <w:rsid w:val="00A042E4"/>
    <w:rsid w:val="00A07ACB"/>
    <w:rsid w:val="00A12C12"/>
    <w:rsid w:val="00A13493"/>
    <w:rsid w:val="00A140FC"/>
    <w:rsid w:val="00A22199"/>
    <w:rsid w:val="00A3291D"/>
    <w:rsid w:val="00A338EC"/>
    <w:rsid w:val="00A36A0A"/>
    <w:rsid w:val="00A43B15"/>
    <w:rsid w:val="00A444FB"/>
    <w:rsid w:val="00A4731A"/>
    <w:rsid w:val="00A502EE"/>
    <w:rsid w:val="00A645C0"/>
    <w:rsid w:val="00A64E77"/>
    <w:rsid w:val="00A65484"/>
    <w:rsid w:val="00A66399"/>
    <w:rsid w:val="00A6681C"/>
    <w:rsid w:val="00A66D81"/>
    <w:rsid w:val="00A80C73"/>
    <w:rsid w:val="00A90B2D"/>
    <w:rsid w:val="00A91D08"/>
    <w:rsid w:val="00A954F1"/>
    <w:rsid w:val="00AA1954"/>
    <w:rsid w:val="00AA1D1B"/>
    <w:rsid w:val="00AB031B"/>
    <w:rsid w:val="00AB0FE5"/>
    <w:rsid w:val="00AB4A87"/>
    <w:rsid w:val="00AC2074"/>
    <w:rsid w:val="00AC2E9E"/>
    <w:rsid w:val="00AC2F49"/>
    <w:rsid w:val="00AD0F31"/>
    <w:rsid w:val="00AD4E6C"/>
    <w:rsid w:val="00AD51BA"/>
    <w:rsid w:val="00AE59F5"/>
    <w:rsid w:val="00AF3051"/>
    <w:rsid w:val="00AF3860"/>
    <w:rsid w:val="00AF51F2"/>
    <w:rsid w:val="00B17F1C"/>
    <w:rsid w:val="00B236CE"/>
    <w:rsid w:val="00B243A5"/>
    <w:rsid w:val="00B26C87"/>
    <w:rsid w:val="00B3457B"/>
    <w:rsid w:val="00B35CD1"/>
    <w:rsid w:val="00B368AE"/>
    <w:rsid w:val="00B40EA5"/>
    <w:rsid w:val="00B4156C"/>
    <w:rsid w:val="00B511F4"/>
    <w:rsid w:val="00B52073"/>
    <w:rsid w:val="00B533E9"/>
    <w:rsid w:val="00B6666A"/>
    <w:rsid w:val="00B709A0"/>
    <w:rsid w:val="00B71D70"/>
    <w:rsid w:val="00B7455E"/>
    <w:rsid w:val="00B81D0B"/>
    <w:rsid w:val="00B86DCC"/>
    <w:rsid w:val="00B872D7"/>
    <w:rsid w:val="00B875C9"/>
    <w:rsid w:val="00B930CE"/>
    <w:rsid w:val="00B94280"/>
    <w:rsid w:val="00B9462F"/>
    <w:rsid w:val="00B955FF"/>
    <w:rsid w:val="00B96334"/>
    <w:rsid w:val="00BA06D5"/>
    <w:rsid w:val="00BA40AB"/>
    <w:rsid w:val="00BB0777"/>
    <w:rsid w:val="00BB7F02"/>
    <w:rsid w:val="00BC4735"/>
    <w:rsid w:val="00BC746F"/>
    <w:rsid w:val="00BC7E4B"/>
    <w:rsid w:val="00BD289C"/>
    <w:rsid w:val="00BD304D"/>
    <w:rsid w:val="00BD6A1B"/>
    <w:rsid w:val="00BF7AAE"/>
    <w:rsid w:val="00C01115"/>
    <w:rsid w:val="00C02779"/>
    <w:rsid w:val="00C05071"/>
    <w:rsid w:val="00C05DAD"/>
    <w:rsid w:val="00C065E9"/>
    <w:rsid w:val="00C1215D"/>
    <w:rsid w:val="00C132A8"/>
    <w:rsid w:val="00C22267"/>
    <w:rsid w:val="00C235C3"/>
    <w:rsid w:val="00C3101F"/>
    <w:rsid w:val="00C31B41"/>
    <w:rsid w:val="00C32004"/>
    <w:rsid w:val="00C3212C"/>
    <w:rsid w:val="00C33851"/>
    <w:rsid w:val="00C36A8A"/>
    <w:rsid w:val="00C374E6"/>
    <w:rsid w:val="00C42839"/>
    <w:rsid w:val="00C4372B"/>
    <w:rsid w:val="00C528B5"/>
    <w:rsid w:val="00C52AE9"/>
    <w:rsid w:val="00C63984"/>
    <w:rsid w:val="00C656CD"/>
    <w:rsid w:val="00C75A45"/>
    <w:rsid w:val="00C801DF"/>
    <w:rsid w:val="00C81488"/>
    <w:rsid w:val="00C85E5B"/>
    <w:rsid w:val="00C87CC4"/>
    <w:rsid w:val="00C916CE"/>
    <w:rsid w:val="00C93476"/>
    <w:rsid w:val="00C94E29"/>
    <w:rsid w:val="00CA53B8"/>
    <w:rsid w:val="00CA7C3E"/>
    <w:rsid w:val="00CA7CD4"/>
    <w:rsid w:val="00CB3FD4"/>
    <w:rsid w:val="00CB53EB"/>
    <w:rsid w:val="00CC65BB"/>
    <w:rsid w:val="00CD6C14"/>
    <w:rsid w:val="00CD7DC6"/>
    <w:rsid w:val="00CE0E04"/>
    <w:rsid w:val="00CE19E1"/>
    <w:rsid w:val="00CE6055"/>
    <w:rsid w:val="00CF2A93"/>
    <w:rsid w:val="00CF556E"/>
    <w:rsid w:val="00CF5A48"/>
    <w:rsid w:val="00CF74BB"/>
    <w:rsid w:val="00D02927"/>
    <w:rsid w:val="00D03AC7"/>
    <w:rsid w:val="00D07C09"/>
    <w:rsid w:val="00D161DC"/>
    <w:rsid w:val="00D16F47"/>
    <w:rsid w:val="00D22B9C"/>
    <w:rsid w:val="00D23564"/>
    <w:rsid w:val="00D2379F"/>
    <w:rsid w:val="00D3182E"/>
    <w:rsid w:val="00D418B6"/>
    <w:rsid w:val="00D42202"/>
    <w:rsid w:val="00D445B8"/>
    <w:rsid w:val="00D453A3"/>
    <w:rsid w:val="00D4642A"/>
    <w:rsid w:val="00D472DD"/>
    <w:rsid w:val="00D477C2"/>
    <w:rsid w:val="00D511A2"/>
    <w:rsid w:val="00D532C1"/>
    <w:rsid w:val="00D62542"/>
    <w:rsid w:val="00D6346E"/>
    <w:rsid w:val="00D7027E"/>
    <w:rsid w:val="00D7776A"/>
    <w:rsid w:val="00D82BA8"/>
    <w:rsid w:val="00D9192A"/>
    <w:rsid w:val="00D96193"/>
    <w:rsid w:val="00D96695"/>
    <w:rsid w:val="00DA1117"/>
    <w:rsid w:val="00DA20FD"/>
    <w:rsid w:val="00DB0E91"/>
    <w:rsid w:val="00DB2A8D"/>
    <w:rsid w:val="00DB4EC0"/>
    <w:rsid w:val="00DB77C6"/>
    <w:rsid w:val="00DC02DD"/>
    <w:rsid w:val="00DC59B8"/>
    <w:rsid w:val="00DC6210"/>
    <w:rsid w:val="00DC7136"/>
    <w:rsid w:val="00DC76C4"/>
    <w:rsid w:val="00DD0404"/>
    <w:rsid w:val="00DD3284"/>
    <w:rsid w:val="00DE085E"/>
    <w:rsid w:val="00DE376D"/>
    <w:rsid w:val="00DE7CB7"/>
    <w:rsid w:val="00DF7403"/>
    <w:rsid w:val="00E02FE6"/>
    <w:rsid w:val="00E05F7C"/>
    <w:rsid w:val="00E066B3"/>
    <w:rsid w:val="00E068A2"/>
    <w:rsid w:val="00E07475"/>
    <w:rsid w:val="00E1218F"/>
    <w:rsid w:val="00E12AA1"/>
    <w:rsid w:val="00E13216"/>
    <w:rsid w:val="00E1462F"/>
    <w:rsid w:val="00E160CE"/>
    <w:rsid w:val="00E17FAB"/>
    <w:rsid w:val="00E23B02"/>
    <w:rsid w:val="00E3178C"/>
    <w:rsid w:val="00E32433"/>
    <w:rsid w:val="00E3417D"/>
    <w:rsid w:val="00E35CE5"/>
    <w:rsid w:val="00E374F8"/>
    <w:rsid w:val="00E4254F"/>
    <w:rsid w:val="00E436C9"/>
    <w:rsid w:val="00E445D2"/>
    <w:rsid w:val="00E46D58"/>
    <w:rsid w:val="00E47B2F"/>
    <w:rsid w:val="00E51CFC"/>
    <w:rsid w:val="00E54399"/>
    <w:rsid w:val="00E61743"/>
    <w:rsid w:val="00E6463D"/>
    <w:rsid w:val="00E65B4F"/>
    <w:rsid w:val="00E66B5F"/>
    <w:rsid w:val="00E6730F"/>
    <w:rsid w:val="00E73C56"/>
    <w:rsid w:val="00E7613A"/>
    <w:rsid w:val="00E80CCC"/>
    <w:rsid w:val="00E834BA"/>
    <w:rsid w:val="00E85FC6"/>
    <w:rsid w:val="00E87A1B"/>
    <w:rsid w:val="00E97CAA"/>
    <w:rsid w:val="00EA6C13"/>
    <w:rsid w:val="00EB0746"/>
    <w:rsid w:val="00EB12D0"/>
    <w:rsid w:val="00EB3460"/>
    <w:rsid w:val="00EB4D1E"/>
    <w:rsid w:val="00EB7074"/>
    <w:rsid w:val="00EC08AF"/>
    <w:rsid w:val="00EC6E81"/>
    <w:rsid w:val="00ED15B9"/>
    <w:rsid w:val="00ED5837"/>
    <w:rsid w:val="00ED71DB"/>
    <w:rsid w:val="00EE26B9"/>
    <w:rsid w:val="00EE3C2F"/>
    <w:rsid w:val="00EF526C"/>
    <w:rsid w:val="00EF5BC2"/>
    <w:rsid w:val="00F12D91"/>
    <w:rsid w:val="00F14CE0"/>
    <w:rsid w:val="00F16C51"/>
    <w:rsid w:val="00F223C3"/>
    <w:rsid w:val="00F26FFA"/>
    <w:rsid w:val="00F3239A"/>
    <w:rsid w:val="00F3474D"/>
    <w:rsid w:val="00F348A7"/>
    <w:rsid w:val="00F41586"/>
    <w:rsid w:val="00F4198C"/>
    <w:rsid w:val="00F46202"/>
    <w:rsid w:val="00F4782F"/>
    <w:rsid w:val="00F56F32"/>
    <w:rsid w:val="00F57492"/>
    <w:rsid w:val="00F62597"/>
    <w:rsid w:val="00F62B88"/>
    <w:rsid w:val="00F63A60"/>
    <w:rsid w:val="00F6655E"/>
    <w:rsid w:val="00F72910"/>
    <w:rsid w:val="00F733DF"/>
    <w:rsid w:val="00F75AFC"/>
    <w:rsid w:val="00F83BEF"/>
    <w:rsid w:val="00F85DDA"/>
    <w:rsid w:val="00F90076"/>
    <w:rsid w:val="00F92405"/>
    <w:rsid w:val="00FA0EFA"/>
    <w:rsid w:val="00FA2C14"/>
    <w:rsid w:val="00FA478A"/>
    <w:rsid w:val="00FA522B"/>
    <w:rsid w:val="00FA69E2"/>
    <w:rsid w:val="00FB48A6"/>
    <w:rsid w:val="00FC194E"/>
    <w:rsid w:val="00FC31A7"/>
    <w:rsid w:val="00FC78EB"/>
    <w:rsid w:val="00FD1930"/>
    <w:rsid w:val="00FD516C"/>
    <w:rsid w:val="00FD5329"/>
    <w:rsid w:val="00FE0460"/>
    <w:rsid w:val="00FE0761"/>
    <w:rsid w:val="00FE2D6E"/>
    <w:rsid w:val="00FE663E"/>
    <w:rsid w:val="00FF06AF"/>
    <w:rsid w:val="00FF0818"/>
    <w:rsid w:val="00FF3AFB"/>
    <w:rsid w:val="00FF3CBB"/>
    <w:rsid w:val="00FF4059"/>
    <w:rsid w:val="00FF5318"/>
    <w:rsid w:val="00FF6FAE"/>
    <w:rsid w:val="00FF7211"/>
    <w:rsid w:val="01E56B2E"/>
    <w:rsid w:val="02063CBB"/>
    <w:rsid w:val="022C5ABA"/>
    <w:rsid w:val="025360F4"/>
    <w:rsid w:val="02693832"/>
    <w:rsid w:val="02B86AAE"/>
    <w:rsid w:val="02C945F0"/>
    <w:rsid w:val="03500CE7"/>
    <w:rsid w:val="03873FF0"/>
    <w:rsid w:val="039B7AC4"/>
    <w:rsid w:val="03B76836"/>
    <w:rsid w:val="03C95072"/>
    <w:rsid w:val="03D707E1"/>
    <w:rsid w:val="03F1339A"/>
    <w:rsid w:val="04030F8C"/>
    <w:rsid w:val="040614F9"/>
    <w:rsid w:val="044021E6"/>
    <w:rsid w:val="046B547B"/>
    <w:rsid w:val="047251F7"/>
    <w:rsid w:val="04EB7572"/>
    <w:rsid w:val="05AC6559"/>
    <w:rsid w:val="05CB076E"/>
    <w:rsid w:val="05E67D12"/>
    <w:rsid w:val="066622D1"/>
    <w:rsid w:val="067B3187"/>
    <w:rsid w:val="079B48D0"/>
    <w:rsid w:val="079E3390"/>
    <w:rsid w:val="0967701A"/>
    <w:rsid w:val="0A0A77DF"/>
    <w:rsid w:val="0A5A48AD"/>
    <w:rsid w:val="0A7358C9"/>
    <w:rsid w:val="0AA60DB0"/>
    <w:rsid w:val="0ABC3035"/>
    <w:rsid w:val="0B02584D"/>
    <w:rsid w:val="0B242FA0"/>
    <w:rsid w:val="0B335891"/>
    <w:rsid w:val="0BB47780"/>
    <w:rsid w:val="0C4C1E5D"/>
    <w:rsid w:val="0CFD5FF7"/>
    <w:rsid w:val="0D5F34C2"/>
    <w:rsid w:val="0D816139"/>
    <w:rsid w:val="0DD36E88"/>
    <w:rsid w:val="0E0364A2"/>
    <w:rsid w:val="0E5125FB"/>
    <w:rsid w:val="0EB16075"/>
    <w:rsid w:val="0F6B1926"/>
    <w:rsid w:val="0F8C463F"/>
    <w:rsid w:val="0FD1142E"/>
    <w:rsid w:val="0FE930C8"/>
    <w:rsid w:val="10965C59"/>
    <w:rsid w:val="10E759FE"/>
    <w:rsid w:val="11853DDC"/>
    <w:rsid w:val="118A45A9"/>
    <w:rsid w:val="11F24E1F"/>
    <w:rsid w:val="11F71EC2"/>
    <w:rsid w:val="12260647"/>
    <w:rsid w:val="128B7656"/>
    <w:rsid w:val="13051521"/>
    <w:rsid w:val="13461F60"/>
    <w:rsid w:val="13813515"/>
    <w:rsid w:val="138D743A"/>
    <w:rsid w:val="141D047C"/>
    <w:rsid w:val="1443136F"/>
    <w:rsid w:val="14A0197E"/>
    <w:rsid w:val="15992FEF"/>
    <w:rsid w:val="16660B34"/>
    <w:rsid w:val="16705130"/>
    <w:rsid w:val="16755EE1"/>
    <w:rsid w:val="16954184"/>
    <w:rsid w:val="16B8733A"/>
    <w:rsid w:val="16EF6FC8"/>
    <w:rsid w:val="17755CFB"/>
    <w:rsid w:val="17870B87"/>
    <w:rsid w:val="17B23C8F"/>
    <w:rsid w:val="17BB5E6C"/>
    <w:rsid w:val="18D108DE"/>
    <w:rsid w:val="18F94C16"/>
    <w:rsid w:val="190302DF"/>
    <w:rsid w:val="19271A23"/>
    <w:rsid w:val="19440207"/>
    <w:rsid w:val="199023D5"/>
    <w:rsid w:val="19CF06D7"/>
    <w:rsid w:val="19D72E84"/>
    <w:rsid w:val="1A856F49"/>
    <w:rsid w:val="1ADB30B1"/>
    <w:rsid w:val="1B130881"/>
    <w:rsid w:val="1B7979F3"/>
    <w:rsid w:val="1C780104"/>
    <w:rsid w:val="1D1F6825"/>
    <w:rsid w:val="1D286E76"/>
    <w:rsid w:val="1D3D0AC9"/>
    <w:rsid w:val="1D7259D5"/>
    <w:rsid w:val="1DA15B48"/>
    <w:rsid w:val="1ED63CD4"/>
    <w:rsid w:val="1F1F0737"/>
    <w:rsid w:val="1F3A2800"/>
    <w:rsid w:val="1F4616AD"/>
    <w:rsid w:val="1F582AFA"/>
    <w:rsid w:val="1FBD4977"/>
    <w:rsid w:val="201B4631"/>
    <w:rsid w:val="20691C7D"/>
    <w:rsid w:val="20CF24D3"/>
    <w:rsid w:val="20FE02BC"/>
    <w:rsid w:val="21680C9E"/>
    <w:rsid w:val="21B7492B"/>
    <w:rsid w:val="22226799"/>
    <w:rsid w:val="222D42BD"/>
    <w:rsid w:val="22A67D52"/>
    <w:rsid w:val="22E4216D"/>
    <w:rsid w:val="2352555E"/>
    <w:rsid w:val="235D7E94"/>
    <w:rsid w:val="23626C7E"/>
    <w:rsid w:val="2440398F"/>
    <w:rsid w:val="24437C89"/>
    <w:rsid w:val="24D92031"/>
    <w:rsid w:val="2564394D"/>
    <w:rsid w:val="25A70A73"/>
    <w:rsid w:val="27303116"/>
    <w:rsid w:val="27F60393"/>
    <w:rsid w:val="28915461"/>
    <w:rsid w:val="28B12A6B"/>
    <w:rsid w:val="28D130B1"/>
    <w:rsid w:val="29151B73"/>
    <w:rsid w:val="2922631B"/>
    <w:rsid w:val="296B357A"/>
    <w:rsid w:val="2A4C2792"/>
    <w:rsid w:val="2B067ED6"/>
    <w:rsid w:val="2B5D6984"/>
    <w:rsid w:val="2C0938E7"/>
    <w:rsid w:val="2D4639A0"/>
    <w:rsid w:val="2D604DCB"/>
    <w:rsid w:val="2D71356D"/>
    <w:rsid w:val="2DD52D7B"/>
    <w:rsid w:val="2DFC26D1"/>
    <w:rsid w:val="2E0A02F2"/>
    <w:rsid w:val="2E0D613F"/>
    <w:rsid w:val="2E126597"/>
    <w:rsid w:val="2E3A7B3C"/>
    <w:rsid w:val="2F53596B"/>
    <w:rsid w:val="2F647817"/>
    <w:rsid w:val="302D19B6"/>
    <w:rsid w:val="307B6D47"/>
    <w:rsid w:val="30893BE1"/>
    <w:rsid w:val="308B5B3E"/>
    <w:rsid w:val="308F0157"/>
    <w:rsid w:val="30C92DD1"/>
    <w:rsid w:val="313D5A03"/>
    <w:rsid w:val="31610696"/>
    <w:rsid w:val="319E032C"/>
    <w:rsid w:val="31B574BE"/>
    <w:rsid w:val="32341A46"/>
    <w:rsid w:val="329D054D"/>
    <w:rsid w:val="32EE4440"/>
    <w:rsid w:val="33515CE6"/>
    <w:rsid w:val="336A71C8"/>
    <w:rsid w:val="33C7779E"/>
    <w:rsid w:val="33E05953"/>
    <w:rsid w:val="34627959"/>
    <w:rsid w:val="350E075A"/>
    <w:rsid w:val="35C9356A"/>
    <w:rsid w:val="35D1572C"/>
    <w:rsid w:val="370E30FB"/>
    <w:rsid w:val="372C7538"/>
    <w:rsid w:val="374E5432"/>
    <w:rsid w:val="37612843"/>
    <w:rsid w:val="37725BCE"/>
    <w:rsid w:val="382B3D0C"/>
    <w:rsid w:val="38691589"/>
    <w:rsid w:val="38F97BAD"/>
    <w:rsid w:val="3A2553EE"/>
    <w:rsid w:val="3A466E78"/>
    <w:rsid w:val="3ABC413C"/>
    <w:rsid w:val="3AC53CC6"/>
    <w:rsid w:val="3AD9018C"/>
    <w:rsid w:val="3B3E756C"/>
    <w:rsid w:val="3BA856A4"/>
    <w:rsid w:val="3BBA6AE1"/>
    <w:rsid w:val="3C9A1455"/>
    <w:rsid w:val="3D111371"/>
    <w:rsid w:val="3D2A3750"/>
    <w:rsid w:val="3D343212"/>
    <w:rsid w:val="3D7B2451"/>
    <w:rsid w:val="3DD32A9F"/>
    <w:rsid w:val="3E6757CF"/>
    <w:rsid w:val="3EEE4A38"/>
    <w:rsid w:val="3F544F2A"/>
    <w:rsid w:val="3FFB1D75"/>
    <w:rsid w:val="405822DE"/>
    <w:rsid w:val="40804EE3"/>
    <w:rsid w:val="40ED3F0C"/>
    <w:rsid w:val="410322AE"/>
    <w:rsid w:val="41090504"/>
    <w:rsid w:val="41122D4A"/>
    <w:rsid w:val="416B6D63"/>
    <w:rsid w:val="41DA2095"/>
    <w:rsid w:val="425142C8"/>
    <w:rsid w:val="42EB158D"/>
    <w:rsid w:val="436B506F"/>
    <w:rsid w:val="43881859"/>
    <w:rsid w:val="442A330A"/>
    <w:rsid w:val="446778EE"/>
    <w:rsid w:val="44E54EAC"/>
    <w:rsid w:val="44EB7A59"/>
    <w:rsid w:val="44F343F7"/>
    <w:rsid w:val="4579088E"/>
    <w:rsid w:val="46A43138"/>
    <w:rsid w:val="472C5A41"/>
    <w:rsid w:val="479556A7"/>
    <w:rsid w:val="483C5EA3"/>
    <w:rsid w:val="48CB3E4F"/>
    <w:rsid w:val="494E76AE"/>
    <w:rsid w:val="497D6A31"/>
    <w:rsid w:val="499018B6"/>
    <w:rsid w:val="49AA1F6A"/>
    <w:rsid w:val="49C92738"/>
    <w:rsid w:val="49E07DA2"/>
    <w:rsid w:val="4A116AF4"/>
    <w:rsid w:val="4A6A62AC"/>
    <w:rsid w:val="4AFE7D21"/>
    <w:rsid w:val="4B2932AE"/>
    <w:rsid w:val="4B2A6FEC"/>
    <w:rsid w:val="4B2E3F58"/>
    <w:rsid w:val="4B7D5606"/>
    <w:rsid w:val="4C0C6E86"/>
    <w:rsid w:val="4C6D36EB"/>
    <w:rsid w:val="4CC83709"/>
    <w:rsid w:val="4CE73457"/>
    <w:rsid w:val="4D1578F5"/>
    <w:rsid w:val="4DEB230C"/>
    <w:rsid w:val="4E666FE0"/>
    <w:rsid w:val="4EA2619C"/>
    <w:rsid w:val="4EBD45EE"/>
    <w:rsid w:val="4EE044A9"/>
    <w:rsid w:val="4F0C2BDA"/>
    <w:rsid w:val="4F357BD2"/>
    <w:rsid w:val="4F547FFA"/>
    <w:rsid w:val="50531488"/>
    <w:rsid w:val="50560918"/>
    <w:rsid w:val="50A264EB"/>
    <w:rsid w:val="50C96FAD"/>
    <w:rsid w:val="510E382B"/>
    <w:rsid w:val="514C0BEB"/>
    <w:rsid w:val="51BF7F6C"/>
    <w:rsid w:val="522C17CB"/>
    <w:rsid w:val="52A27A15"/>
    <w:rsid w:val="53C239D2"/>
    <w:rsid w:val="53D467F0"/>
    <w:rsid w:val="53DF5DDD"/>
    <w:rsid w:val="54672291"/>
    <w:rsid w:val="54B84AE0"/>
    <w:rsid w:val="54D3790F"/>
    <w:rsid w:val="54F160FD"/>
    <w:rsid w:val="54FC3D3C"/>
    <w:rsid w:val="550207D2"/>
    <w:rsid w:val="551C025A"/>
    <w:rsid w:val="55434B72"/>
    <w:rsid w:val="55FD1EC1"/>
    <w:rsid w:val="56BF111E"/>
    <w:rsid w:val="56F13C51"/>
    <w:rsid w:val="56F95893"/>
    <w:rsid w:val="570C6213"/>
    <w:rsid w:val="57C024F8"/>
    <w:rsid w:val="57E04F7E"/>
    <w:rsid w:val="58365126"/>
    <w:rsid w:val="58A51349"/>
    <w:rsid w:val="58F92BFA"/>
    <w:rsid w:val="596A5151"/>
    <w:rsid w:val="59CE165E"/>
    <w:rsid w:val="59DC4344"/>
    <w:rsid w:val="59E22050"/>
    <w:rsid w:val="5A180271"/>
    <w:rsid w:val="5A2C4E50"/>
    <w:rsid w:val="5A7A3769"/>
    <w:rsid w:val="5AC64D5F"/>
    <w:rsid w:val="5ACE1A13"/>
    <w:rsid w:val="5B3E1B13"/>
    <w:rsid w:val="5BBC2713"/>
    <w:rsid w:val="5BDA75DA"/>
    <w:rsid w:val="5C1F0E5B"/>
    <w:rsid w:val="5C47743C"/>
    <w:rsid w:val="5C587E72"/>
    <w:rsid w:val="5C7E093D"/>
    <w:rsid w:val="5C950571"/>
    <w:rsid w:val="5D042C2D"/>
    <w:rsid w:val="5D0C41F0"/>
    <w:rsid w:val="5DB47548"/>
    <w:rsid w:val="5E4D56FD"/>
    <w:rsid w:val="5EC1667C"/>
    <w:rsid w:val="5F3E0A54"/>
    <w:rsid w:val="5F5E1128"/>
    <w:rsid w:val="5F86689B"/>
    <w:rsid w:val="5FCB2050"/>
    <w:rsid w:val="5FD23756"/>
    <w:rsid w:val="5FDC5BE5"/>
    <w:rsid w:val="60064C30"/>
    <w:rsid w:val="603A54D7"/>
    <w:rsid w:val="60F939E0"/>
    <w:rsid w:val="6105247A"/>
    <w:rsid w:val="617E6211"/>
    <w:rsid w:val="62417C8C"/>
    <w:rsid w:val="626A49BB"/>
    <w:rsid w:val="63176FBA"/>
    <w:rsid w:val="636F1087"/>
    <w:rsid w:val="63725A63"/>
    <w:rsid w:val="63BD29FC"/>
    <w:rsid w:val="63EF40C9"/>
    <w:rsid w:val="644812F1"/>
    <w:rsid w:val="64516ECB"/>
    <w:rsid w:val="64875EB6"/>
    <w:rsid w:val="64D070C9"/>
    <w:rsid w:val="65B47DB1"/>
    <w:rsid w:val="66120279"/>
    <w:rsid w:val="664C772D"/>
    <w:rsid w:val="66E10549"/>
    <w:rsid w:val="670A49B0"/>
    <w:rsid w:val="673C27BC"/>
    <w:rsid w:val="67427DE1"/>
    <w:rsid w:val="676920CC"/>
    <w:rsid w:val="67D460AB"/>
    <w:rsid w:val="68AD1B35"/>
    <w:rsid w:val="69223B6B"/>
    <w:rsid w:val="693236CF"/>
    <w:rsid w:val="6987082A"/>
    <w:rsid w:val="69C90BD5"/>
    <w:rsid w:val="69F4211F"/>
    <w:rsid w:val="6A0012FB"/>
    <w:rsid w:val="6A265523"/>
    <w:rsid w:val="6A4C7A4E"/>
    <w:rsid w:val="6A7725AC"/>
    <w:rsid w:val="6AB42FBF"/>
    <w:rsid w:val="6AF14DC7"/>
    <w:rsid w:val="6B4C64D7"/>
    <w:rsid w:val="6B4E7D8C"/>
    <w:rsid w:val="6B8769CD"/>
    <w:rsid w:val="6BD622D4"/>
    <w:rsid w:val="6C425F17"/>
    <w:rsid w:val="6D17072C"/>
    <w:rsid w:val="6D714DD4"/>
    <w:rsid w:val="6DDC6F6C"/>
    <w:rsid w:val="6E5B0FCB"/>
    <w:rsid w:val="6EBD36BE"/>
    <w:rsid w:val="6F17085F"/>
    <w:rsid w:val="6F4245CC"/>
    <w:rsid w:val="6FF073D2"/>
    <w:rsid w:val="700F0DC1"/>
    <w:rsid w:val="708C0076"/>
    <w:rsid w:val="7096377C"/>
    <w:rsid w:val="70EE3135"/>
    <w:rsid w:val="710E6A16"/>
    <w:rsid w:val="71324612"/>
    <w:rsid w:val="713F5B5B"/>
    <w:rsid w:val="71A95BC8"/>
    <w:rsid w:val="71EF5135"/>
    <w:rsid w:val="71F9415D"/>
    <w:rsid w:val="72372720"/>
    <w:rsid w:val="72AC440A"/>
    <w:rsid w:val="72CE3075"/>
    <w:rsid w:val="73714719"/>
    <w:rsid w:val="73FE00CE"/>
    <w:rsid w:val="74176CAF"/>
    <w:rsid w:val="74414141"/>
    <w:rsid w:val="74491EA7"/>
    <w:rsid w:val="746558FF"/>
    <w:rsid w:val="74CB4590"/>
    <w:rsid w:val="74FE0BA3"/>
    <w:rsid w:val="7500580B"/>
    <w:rsid w:val="753E1D97"/>
    <w:rsid w:val="759A193B"/>
    <w:rsid w:val="76CE1EDF"/>
    <w:rsid w:val="76DA6F53"/>
    <w:rsid w:val="76DC2EA5"/>
    <w:rsid w:val="76DD04F7"/>
    <w:rsid w:val="76DE2222"/>
    <w:rsid w:val="76EF56B5"/>
    <w:rsid w:val="772F4F6B"/>
    <w:rsid w:val="778A27C7"/>
    <w:rsid w:val="77974A11"/>
    <w:rsid w:val="77B06003"/>
    <w:rsid w:val="77B603A3"/>
    <w:rsid w:val="78094129"/>
    <w:rsid w:val="794922EF"/>
    <w:rsid w:val="794A0435"/>
    <w:rsid w:val="79784BE1"/>
    <w:rsid w:val="79D945FC"/>
    <w:rsid w:val="79F136E8"/>
    <w:rsid w:val="7A6C5D85"/>
    <w:rsid w:val="7A6C7BCB"/>
    <w:rsid w:val="7ADA7B7F"/>
    <w:rsid w:val="7B472792"/>
    <w:rsid w:val="7B4F07F8"/>
    <w:rsid w:val="7C615B2F"/>
    <w:rsid w:val="7CCC6B0C"/>
    <w:rsid w:val="7CE3721E"/>
    <w:rsid w:val="7CFE4B1E"/>
    <w:rsid w:val="7D0354AD"/>
    <w:rsid w:val="7D19173A"/>
    <w:rsid w:val="7D507ACE"/>
    <w:rsid w:val="7D5368BD"/>
    <w:rsid w:val="7E8D4CAE"/>
    <w:rsid w:val="7EDF2CEF"/>
    <w:rsid w:val="7EEC01E5"/>
    <w:rsid w:val="7F554D4F"/>
    <w:rsid w:val="7F61360C"/>
    <w:rsid w:val="7F953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spacing w:line="360" w:lineRule="auto"/>
      <w:jc w:val="center"/>
      <w:outlineLvl w:val="0"/>
    </w:pPr>
    <w:rPr>
      <w:rFonts w:eastAsia="黑体"/>
      <w:b/>
      <w:kern w:val="44"/>
      <w:sz w:val="24"/>
    </w:rPr>
  </w:style>
  <w:style w:type="paragraph" w:styleId="3">
    <w:name w:val="heading 2"/>
    <w:basedOn w:val="1"/>
    <w:next w:val="1"/>
    <w:unhideWhenUsed/>
    <w:qFormat/>
    <w:uiPriority w:val="0"/>
    <w:pPr>
      <w:keepNext/>
      <w:keepLines/>
      <w:spacing w:line="360" w:lineRule="auto"/>
      <w:jc w:val="center"/>
      <w:outlineLvl w:val="1"/>
    </w:pPr>
    <w:rPr>
      <w:rFonts w:ascii="Arial" w:hAnsi="Arial"/>
      <w:b/>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rPr>
      <w:rFonts w:eastAsiaTheme="minorEastAsia"/>
      <w:szCs w:val="22"/>
    </w:rPr>
  </w:style>
  <w:style w:type="paragraph" w:styleId="5">
    <w:name w:val="toc 5"/>
    <w:basedOn w:val="1"/>
    <w:next w:val="1"/>
    <w:unhideWhenUsed/>
    <w:qFormat/>
    <w:uiPriority w:val="39"/>
    <w:pPr>
      <w:ind w:left="1680" w:leftChars="800"/>
    </w:pPr>
    <w:rPr>
      <w:rFonts w:eastAsiaTheme="minorEastAsia"/>
      <w:szCs w:val="22"/>
    </w:rPr>
  </w:style>
  <w:style w:type="paragraph" w:styleId="6">
    <w:name w:val="toc 3"/>
    <w:basedOn w:val="1"/>
    <w:next w:val="1"/>
    <w:unhideWhenUsed/>
    <w:qFormat/>
    <w:uiPriority w:val="39"/>
    <w:pPr>
      <w:ind w:left="840" w:leftChars="400"/>
    </w:pPr>
    <w:rPr>
      <w:rFonts w:eastAsiaTheme="minorEastAsia"/>
      <w:szCs w:val="22"/>
    </w:rPr>
  </w:style>
  <w:style w:type="paragraph" w:styleId="7">
    <w:name w:val="Plain Text"/>
    <w:basedOn w:val="1"/>
    <w:semiHidden/>
    <w:unhideWhenUsed/>
    <w:qFormat/>
    <w:uiPriority w:val="99"/>
    <w:rPr>
      <w:rFonts w:hAnsi="Courier New" w:cs="Courier New" w:asciiTheme="minorEastAsia" w:eastAsiaTheme="minorEastAsia"/>
    </w:rPr>
  </w:style>
  <w:style w:type="paragraph" w:styleId="8">
    <w:name w:val="toc 8"/>
    <w:basedOn w:val="1"/>
    <w:next w:val="1"/>
    <w:unhideWhenUsed/>
    <w:qFormat/>
    <w:uiPriority w:val="39"/>
    <w:pPr>
      <w:ind w:left="2940" w:leftChars="1400"/>
    </w:pPr>
    <w:rPr>
      <w:rFonts w:eastAsiaTheme="minorEastAsia"/>
      <w:szCs w:val="22"/>
    </w:rPr>
  </w:style>
  <w:style w:type="paragraph" w:styleId="9">
    <w:name w:val="Balloon Text"/>
    <w:basedOn w:val="1"/>
    <w:link w:val="23"/>
    <w:qFormat/>
    <w:uiPriority w:val="0"/>
    <w:rPr>
      <w:sz w:val="18"/>
      <w:szCs w:val="18"/>
    </w:rPr>
  </w:style>
  <w:style w:type="paragraph" w:styleId="10">
    <w:name w:val="footer"/>
    <w:basedOn w:val="1"/>
    <w:link w:val="25"/>
    <w:unhideWhenUsed/>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4"/>
    <w:basedOn w:val="1"/>
    <w:next w:val="1"/>
    <w:unhideWhenUsed/>
    <w:qFormat/>
    <w:uiPriority w:val="39"/>
    <w:pPr>
      <w:ind w:left="1260" w:leftChars="600"/>
    </w:pPr>
    <w:rPr>
      <w:rFonts w:eastAsiaTheme="minorEastAsia"/>
      <w:szCs w:val="22"/>
    </w:rPr>
  </w:style>
  <w:style w:type="paragraph" w:styleId="14">
    <w:name w:val="toc 6"/>
    <w:basedOn w:val="1"/>
    <w:next w:val="1"/>
    <w:unhideWhenUsed/>
    <w:qFormat/>
    <w:uiPriority w:val="39"/>
    <w:pPr>
      <w:ind w:left="2100" w:leftChars="1000"/>
    </w:pPr>
    <w:rPr>
      <w:rFonts w:eastAsiaTheme="minorEastAsia"/>
      <w:szCs w:val="22"/>
    </w:rPr>
  </w:style>
  <w:style w:type="paragraph" w:styleId="15">
    <w:name w:val="toc 2"/>
    <w:basedOn w:val="1"/>
    <w:next w:val="1"/>
    <w:qFormat/>
    <w:uiPriority w:val="39"/>
    <w:pPr>
      <w:ind w:left="420" w:leftChars="200"/>
    </w:pPr>
  </w:style>
  <w:style w:type="paragraph" w:styleId="16">
    <w:name w:val="toc 9"/>
    <w:basedOn w:val="1"/>
    <w:next w:val="1"/>
    <w:unhideWhenUsed/>
    <w:qFormat/>
    <w:uiPriority w:val="39"/>
    <w:pPr>
      <w:ind w:left="3360" w:leftChars="1600"/>
    </w:pPr>
    <w:rPr>
      <w:rFonts w:eastAsiaTheme="minorEastAsia"/>
      <w:szCs w:val="22"/>
    </w:rPr>
  </w:style>
  <w:style w:type="table" w:styleId="18">
    <w:name w:val="Table Grid"/>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paragraph" w:customStyle="1" w:styleId="21">
    <w:name w:val="WPSOffice手动目录 1"/>
    <w:qFormat/>
    <w:uiPriority w:val="0"/>
    <w:rPr>
      <w:rFonts w:asciiTheme="minorHAnsi" w:hAnsiTheme="minorHAnsi" w:eastAsiaTheme="minorEastAsia" w:cstheme="minorBidi"/>
      <w:lang w:val="en-US" w:eastAsia="zh-CN" w:bidi="ar-SA"/>
    </w:rPr>
  </w:style>
  <w:style w:type="paragraph" w:customStyle="1" w:styleId="22">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3">
    <w:name w:val="批注框文本 字符"/>
    <w:basedOn w:val="19"/>
    <w:link w:val="9"/>
    <w:qFormat/>
    <w:uiPriority w:val="0"/>
    <w:rPr>
      <w:rFonts w:eastAsia="宋体"/>
      <w:kern w:val="2"/>
      <w:sz w:val="18"/>
      <w:szCs w:val="18"/>
    </w:rPr>
  </w:style>
  <w:style w:type="paragraph" w:styleId="24">
    <w:name w:val="List Paragraph"/>
    <w:basedOn w:val="1"/>
    <w:unhideWhenUsed/>
    <w:qFormat/>
    <w:uiPriority w:val="99"/>
    <w:pPr>
      <w:ind w:firstLine="420" w:firstLineChars="200"/>
    </w:pPr>
  </w:style>
  <w:style w:type="character" w:customStyle="1" w:styleId="25">
    <w:name w:val="页脚 字符"/>
    <w:basedOn w:val="19"/>
    <w:link w:val="10"/>
    <w:qFormat/>
    <w:uiPriority w:val="99"/>
    <w:rPr>
      <w:rFonts w:eastAsia="宋体"/>
      <w:kern w:val="2"/>
      <w:sz w:val="18"/>
      <w:szCs w:val="24"/>
    </w:rPr>
  </w:style>
  <w:style w:type="paragraph" w:customStyle="1" w:styleId="26">
    <w:name w:val="标准扉页（福建省工程建设地方标准）"/>
    <w:basedOn w:val="1"/>
    <w:qFormat/>
    <w:uiPriority w:val="0"/>
    <w:pPr>
      <w:jc w:val="center"/>
    </w:pPr>
    <w:rPr>
      <w:rFonts w:eastAsia="黑体"/>
      <w:sz w:val="28"/>
      <w:szCs w:val="20"/>
    </w:rPr>
  </w:style>
  <w:style w:type="paragraph" w:customStyle="1" w:styleId="27">
    <w:name w:val="标准扉页（标准名称）"/>
    <w:basedOn w:val="1"/>
    <w:qFormat/>
    <w:uiPriority w:val="0"/>
    <w:pPr>
      <w:jc w:val="center"/>
    </w:pPr>
    <w:rPr>
      <w:rFonts w:eastAsia="黑体"/>
      <w:sz w:val="30"/>
      <w:szCs w:val="20"/>
    </w:rPr>
  </w:style>
  <w:style w:type="paragraph" w:customStyle="1" w:styleId="28">
    <w:name w:val="规程英文名称（封面）"/>
    <w:basedOn w:val="7"/>
    <w:qFormat/>
    <w:uiPriority w:val="0"/>
    <w:pPr>
      <w:widowControl/>
      <w:snapToGrid w:val="0"/>
      <w:spacing w:line="360" w:lineRule="auto"/>
      <w:ind w:left="178" w:leftChars="85"/>
      <w:jc w:val="center"/>
    </w:pPr>
    <w:rPr>
      <w:rFonts w:ascii="Times New Roman" w:hAnsi="Times New Roman" w:eastAsia="黑体" w:cs="Times New Roman"/>
      <w:sz w:val="44"/>
      <w:szCs w:val="44"/>
    </w:rPr>
  </w:style>
  <w:style w:type="paragraph" w:customStyle="1" w:styleId="29">
    <w:name w:val="扉页（出版时间地点）"/>
    <w:basedOn w:val="1"/>
    <w:qFormat/>
    <w:uiPriority w:val="0"/>
    <w:pPr>
      <w:jc w:val="center"/>
    </w:pPr>
    <w:rPr>
      <w:rFonts w:eastAsia="黑体" w:cs="宋体"/>
      <w:szCs w:val="20"/>
    </w:rPr>
  </w:style>
  <w:style w:type="paragraph" w:customStyle="1" w:styleId="30">
    <w:name w:val="条文"/>
    <w:basedOn w:val="1"/>
    <w:qFormat/>
    <w:uiPriority w:val="0"/>
    <w:pPr>
      <w:spacing w:line="300" w:lineRule="auto"/>
      <w:ind w:firstLine="200" w:firstLineChars="200"/>
    </w:pPr>
    <w:rPr>
      <w:sz w:val="24"/>
    </w:rPr>
  </w:style>
  <w:style w:type="paragraph" w:customStyle="1" w:styleId="31">
    <w:name w:val="说明"/>
    <w:basedOn w:val="1"/>
    <w:qFormat/>
    <w:uiPriority w:val="0"/>
    <w:pPr>
      <w:adjustRightInd w:val="0"/>
      <w:spacing w:line="300" w:lineRule="auto"/>
      <w:ind w:firstLine="200" w:firstLineChars="200"/>
      <w:textAlignment w:val="baseline"/>
    </w:pPr>
    <w:rPr>
      <w:rFonts w:eastAsia="楷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55.wmf"/><Relationship Id="rId83" Type="http://schemas.openxmlformats.org/officeDocument/2006/relationships/oleObject" Target="embeddings/oleObject22.bin"/><Relationship Id="rId82" Type="http://schemas.openxmlformats.org/officeDocument/2006/relationships/image" Target="media/image54.wmf"/><Relationship Id="rId81" Type="http://schemas.openxmlformats.org/officeDocument/2006/relationships/oleObject" Target="embeddings/oleObject21.bin"/><Relationship Id="rId80" Type="http://schemas.openxmlformats.org/officeDocument/2006/relationships/image" Target="media/image53.emf"/><Relationship Id="rId8" Type="http://schemas.openxmlformats.org/officeDocument/2006/relationships/image" Target="media/image1.emf"/><Relationship Id="rId79" Type="http://schemas.openxmlformats.org/officeDocument/2006/relationships/image" Target="media/image52.emf"/><Relationship Id="rId78" Type="http://schemas.openxmlformats.org/officeDocument/2006/relationships/image" Target="media/image51.emf"/><Relationship Id="rId77" Type="http://schemas.openxmlformats.org/officeDocument/2006/relationships/image" Target="media/image50.emf"/><Relationship Id="rId76" Type="http://schemas.openxmlformats.org/officeDocument/2006/relationships/image" Target="media/image49.emf"/><Relationship Id="rId75" Type="http://schemas.openxmlformats.org/officeDocument/2006/relationships/image" Target="media/image48.emf"/><Relationship Id="rId74" Type="http://schemas.openxmlformats.org/officeDocument/2006/relationships/image" Target="media/image47.emf"/><Relationship Id="rId73" Type="http://schemas.openxmlformats.org/officeDocument/2006/relationships/image" Target="media/image46.emf"/><Relationship Id="rId72" Type="http://schemas.openxmlformats.org/officeDocument/2006/relationships/image" Target="media/image45.emf"/><Relationship Id="rId71" Type="http://schemas.openxmlformats.org/officeDocument/2006/relationships/image" Target="media/image44.emf"/><Relationship Id="rId70" Type="http://schemas.openxmlformats.org/officeDocument/2006/relationships/image" Target="media/image43.emf"/><Relationship Id="rId7" Type="http://schemas.openxmlformats.org/officeDocument/2006/relationships/theme" Target="theme/theme1.xml"/><Relationship Id="rId69" Type="http://schemas.openxmlformats.org/officeDocument/2006/relationships/image" Target="media/image42.emf"/><Relationship Id="rId68" Type="http://schemas.openxmlformats.org/officeDocument/2006/relationships/image" Target="media/image41.emf"/><Relationship Id="rId67" Type="http://schemas.openxmlformats.org/officeDocument/2006/relationships/image" Target="media/image40.emf"/><Relationship Id="rId66" Type="http://schemas.openxmlformats.org/officeDocument/2006/relationships/image" Target="media/image39.emf"/><Relationship Id="rId65" Type="http://schemas.openxmlformats.org/officeDocument/2006/relationships/image" Target="media/image38.emf"/><Relationship Id="rId64" Type="http://schemas.openxmlformats.org/officeDocument/2006/relationships/image" Target="media/image37.emf"/><Relationship Id="rId63" Type="http://schemas.openxmlformats.org/officeDocument/2006/relationships/image" Target="media/image36.wmf"/><Relationship Id="rId62" Type="http://schemas.openxmlformats.org/officeDocument/2006/relationships/oleObject" Target="embeddings/oleObject20.bin"/><Relationship Id="rId61" Type="http://schemas.openxmlformats.org/officeDocument/2006/relationships/image" Target="media/image35.jpeg"/><Relationship Id="rId60" Type="http://schemas.openxmlformats.org/officeDocument/2006/relationships/image" Target="media/image34.emf"/><Relationship Id="rId6" Type="http://schemas.openxmlformats.org/officeDocument/2006/relationships/footer" Target="footer4.xml"/><Relationship Id="rId59" Type="http://schemas.openxmlformats.org/officeDocument/2006/relationships/image" Target="media/image33.png"/><Relationship Id="rId58" Type="http://schemas.openxmlformats.org/officeDocument/2006/relationships/image" Target="media/image32.wmf"/><Relationship Id="rId57" Type="http://schemas.openxmlformats.org/officeDocument/2006/relationships/oleObject" Target="embeddings/oleObject19.bin"/><Relationship Id="rId56" Type="http://schemas.openxmlformats.org/officeDocument/2006/relationships/image" Target="media/image31.wmf"/><Relationship Id="rId55" Type="http://schemas.openxmlformats.org/officeDocument/2006/relationships/oleObject" Target="embeddings/oleObject18.bin"/><Relationship Id="rId54" Type="http://schemas.openxmlformats.org/officeDocument/2006/relationships/image" Target="media/image30.wmf"/><Relationship Id="rId53" Type="http://schemas.openxmlformats.org/officeDocument/2006/relationships/oleObject" Target="embeddings/oleObject17.bin"/><Relationship Id="rId52" Type="http://schemas.openxmlformats.org/officeDocument/2006/relationships/image" Target="media/image29.emf"/><Relationship Id="rId51" Type="http://schemas.openxmlformats.org/officeDocument/2006/relationships/image" Target="media/image28.emf"/><Relationship Id="rId50" Type="http://schemas.openxmlformats.org/officeDocument/2006/relationships/image" Target="media/image27.wmf"/><Relationship Id="rId5" Type="http://schemas.openxmlformats.org/officeDocument/2006/relationships/footer" Target="footer3.xml"/><Relationship Id="rId49" Type="http://schemas.openxmlformats.org/officeDocument/2006/relationships/oleObject" Target="embeddings/oleObject16.bin"/><Relationship Id="rId48" Type="http://schemas.openxmlformats.org/officeDocument/2006/relationships/image" Target="media/image26.wmf"/><Relationship Id="rId47" Type="http://schemas.openxmlformats.org/officeDocument/2006/relationships/oleObject" Target="embeddings/oleObject15.bin"/><Relationship Id="rId46" Type="http://schemas.openxmlformats.org/officeDocument/2006/relationships/image" Target="media/image25.wmf"/><Relationship Id="rId45" Type="http://schemas.openxmlformats.org/officeDocument/2006/relationships/oleObject" Target="embeddings/oleObject14.bin"/><Relationship Id="rId44" Type="http://schemas.openxmlformats.org/officeDocument/2006/relationships/image" Target="media/image24.wmf"/><Relationship Id="rId43" Type="http://schemas.openxmlformats.org/officeDocument/2006/relationships/oleObject" Target="embeddings/oleObject13.bin"/><Relationship Id="rId42" Type="http://schemas.openxmlformats.org/officeDocument/2006/relationships/image" Target="media/image23.wmf"/><Relationship Id="rId41" Type="http://schemas.openxmlformats.org/officeDocument/2006/relationships/oleObject" Target="embeddings/oleObject12.bin"/><Relationship Id="rId40" Type="http://schemas.openxmlformats.org/officeDocument/2006/relationships/image" Target="media/image22.wmf"/><Relationship Id="rId4" Type="http://schemas.openxmlformats.org/officeDocument/2006/relationships/footer" Target="footer2.xml"/><Relationship Id="rId39" Type="http://schemas.openxmlformats.org/officeDocument/2006/relationships/oleObject" Target="embeddings/oleObject11.bin"/><Relationship Id="rId38" Type="http://schemas.openxmlformats.org/officeDocument/2006/relationships/image" Target="media/image21.wmf"/><Relationship Id="rId37" Type="http://schemas.openxmlformats.org/officeDocument/2006/relationships/oleObject" Target="embeddings/oleObject10.bin"/><Relationship Id="rId36" Type="http://schemas.openxmlformats.org/officeDocument/2006/relationships/image" Target="media/image20.wmf"/><Relationship Id="rId35" Type="http://schemas.openxmlformats.org/officeDocument/2006/relationships/oleObject" Target="embeddings/oleObject9.bin"/><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oleObject" Target="embeddings/oleObject7.bin"/><Relationship Id="rId31" Type="http://schemas.openxmlformats.org/officeDocument/2006/relationships/image" Target="media/image18.wmf"/><Relationship Id="rId30" Type="http://schemas.openxmlformats.org/officeDocument/2006/relationships/oleObject" Target="embeddings/oleObject6.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5.bin"/><Relationship Id="rId27" Type="http://schemas.openxmlformats.org/officeDocument/2006/relationships/image" Target="media/image16.wmf"/><Relationship Id="rId26" Type="http://schemas.openxmlformats.org/officeDocument/2006/relationships/oleObject" Target="embeddings/oleObject4.bin"/><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3"/>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22195</Words>
  <Characters>24858</Characters>
  <Lines>218</Lines>
  <Paragraphs>61</Paragraphs>
  <TotalTime>62</TotalTime>
  <ScaleCrop>false</ScaleCrop>
  <LinksUpToDate>false</LinksUpToDate>
  <CharactersWithSpaces>27602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2020-03-02T01:59:00Z</dcterms:created>
  <dc:creator>Administrator</dc:creator>
  <cp:lastModifiedBy>letwesay</cp:lastModifiedBy>
  <cp:lastPrinted>2020-09-14T01:40:30Z</cp:lastPrinted>
  <dcterms:modified xsi:type="dcterms:W3CDTF">2020-09-14T03:09:40Z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