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E5F5F" w:rsidRPr="00DE5F5F">
        <w:rPr>
          <w:rFonts w:ascii="宋体" w:hAnsi="宋体" w:hint="eastAsia"/>
          <w:b/>
          <w:sz w:val="28"/>
          <w:szCs w:val="32"/>
        </w:rPr>
        <w:t>钢与混凝土组合梁斜拉桥设计标准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12" w:rsidRDefault="00387A12" w:rsidP="00892971">
      <w:r>
        <w:separator/>
      </w:r>
    </w:p>
  </w:endnote>
  <w:endnote w:type="continuationSeparator" w:id="0">
    <w:p w:rsidR="00387A12" w:rsidRDefault="00387A1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12" w:rsidRDefault="00387A12" w:rsidP="00892971">
      <w:r>
        <w:separator/>
      </w:r>
    </w:p>
  </w:footnote>
  <w:footnote w:type="continuationSeparator" w:id="0">
    <w:p w:rsidR="00387A12" w:rsidRDefault="00387A1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A12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5F43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5F5F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F74D4-8A3F-40F6-B8BA-5C21CA53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姜洋</cp:lastModifiedBy>
  <cp:revision>5</cp:revision>
  <dcterms:created xsi:type="dcterms:W3CDTF">2020-06-15T06:18:00Z</dcterms:created>
  <dcterms:modified xsi:type="dcterms:W3CDTF">2021-05-24T07:57:00Z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