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156" w:after="156"/>
        <w:rPr>
          <w:rFonts w:ascii="Times New Roman" w:hAnsi="Times New Roman" w:cs="Times New Roman"/>
          <w:sz w:val="28"/>
          <w:szCs w:val="28"/>
        </w:rPr>
      </w:pPr>
      <w:r>
        <w:rPr>
          <w:rFonts w:ascii="Times New Roman" w:hAnsi="Times New Roman" w:cs="Times New Roman"/>
          <w:sz w:val="28"/>
          <w:szCs w:val="28"/>
        </w:rPr>
        <w:t xml:space="preserve">                                                                                                                                                                                                                                                                                                   </w:t>
      </w:r>
    </w:p>
    <w:p>
      <w:pPr>
        <w:rPr>
          <w:rFonts w:eastAsia="黑体"/>
          <w:sz w:val="28"/>
          <w:szCs w:val="28"/>
        </w:rPr>
      </w:pPr>
      <w:r>
        <w:rPr>
          <w:rFonts w:eastAsia="黑体"/>
          <w:sz w:val="28"/>
          <w:szCs w:val="28"/>
        </w:rPr>
        <w:drawing>
          <wp:inline distT="0" distB="0" distL="0" distR="0">
            <wp:extent cx="1313815" cy="932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313815" cy="932815"/>
                    </a:xfrm>
                    <a:prstGeom prst="rect">
                      <a:avLst/>
                    </a:prstGeom>
                    <a:noFill/>
                    <a:ln>
                      <a:noFill/>
                    </a:ln>
                  </pic:spPr>
                </pic:pic>
              </a:graphicData>
            </a:graphic>
          </wp:inline>
        </w:drawing>
      </w:r>
      <w:r>
        <w:rPr>
          <w:rFonts w:eastAsia="黑体"/>
          <w:sz w:val="28"/>
          <w:szCs w:val="28"/>
        </w:rPr>
        <w:t xml:space="preserve">                          T/</w:t>
      </w:r>
      <w:r>
        <w:rPr>
          <w:rFonts w:eastAsia="黑体"/>
          <w:sz w:val="30"/>
          <w:szCs w:val="30"/>
        </w:rPr>
        <w:t>CECS XXX:202X</w:t>
      </w:r>
    </w:p>
    <w:p>
      <w:pPr>
        <w:rPr>
          <w:rFonts w:eastAsia="黑体"/>
          <w:sz w:val="28"/>
          <w:szCs w:val="28"/>
        </w:rPr>
      </w:pPr>
    </w:p>
    <w:p>
      <w:pPr>
        <w:jc w:val="center"/>
        <w:rPr>
          <w:rFonts w:eastAsia="黑体"/>
          <w:sz w:val="28"/>
          <w:szCs w:val="28"/>
        </w:rPr>
      </w:pPr>
      <w:r>
        <w:rPr>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514340" cy="0"/>
                <wp:effectExtent l="0" t="0" r="10160" b="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51434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pt;margin-top:0pt;height:0pt;width:434.2pt;z-index:251659264;mso-width-relative:page;mso-height-relative:page;" filled="f" stroked="t" coordsize="21600,21600" o:gfxdata="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dAq2fSAAAAAgEAAA8A&#10;AAAAAAAAAQAgAAAAIgAAAGRycy9kb3ducmV2LnhtbFBLAQIUABQAAAAIAIdO4kCsi/bq5AEAAKoD&#10;AAAOAAAAAAAAAAEAIAAAACEBAABkcnMvZTJvRG9jLnhtbFBLBQYAAAAABgAGAFkBAAB3BQAAAAA=&#10;">
                <v:fill on="f" focussize="0,0"/>
                <v:stroke color="#000000" joinstyle="round"/>
                <v:imagedata o:title=""/>
                <o:lock v:ext="edit" aspectratio="f"/>
              </v:line>
            </w:pict>
          </mc:Fallback>
        </mc:AlternateContent>
      </w:r>
    </w:p>
    <w:p>
      <w:pPr>
        <w:jc w:val="center"/>
        <w:rPr>
          <w:rFonts w:eastAsia="黑体"/>
          <w:sz w:val="28"/>
          <w:szCs w:val="28"/>
        </w:rPr>
      </w:pPr>
    </w:p>
    <w:p>
      <w:pPr>
        <w:jc w:val="center"/>
        <w:rPr>
          <w:rFonts w:eastAsia="黑体"/>
          <w:sz w:val="28"/>
          <w:szCs w:val="28"/>
        </w:rPr>
      </w:pPr>
      <w:r>
        <w:rPr>
          <w:rFonts w:eastAsia="黑体"/>
          <w:sz w:val="28"/>
          <w:szCs w:val="28"/>
        </w:rPr>
        <w:t>中国工程建设协会标准</w:t>
      </w:r>
    </w:p>
    <w:p>
      <w:pPr>
        <w:jc w:val="center"/>
        <w:rPr>
          <w:rFonts w:eastAsia="黑体"/>
          <w:sz w:val="28"/>
          <w:szCs w:val="28"/>
        </w:rPr>
      </w:pPr>
    </w:p>
    <w:p>
      <w:pPr>
        <w:jc w:val="center"/>
        <w:rPr>
          <w:rFonts w:hint="eastAsia" w:eastAsia="黑体"/>
          <w:sz w:val="28"/>
          <w:szCs w:val="28"/>
          <w:lang w:eastAsia="zh-CN"/>
        </w:rPr>
      </w:pPr>
      <w:bookmarkStart w:id="114" w:name="_GoBack"/>
      <w:r>
        <w:rPr>
          <w:rFonts w:hint="eastAsia" w:eastAsia="黑体"/>
          <w:sz w:val="32"/>
          <w:szCs w:val="32"/>
          <w:lang w:eastAsia="zh-CN"/>
        </w:rPr>
        <w:t>非固化橡胶沥青防水涂料应用技术规程</w:t>
      </w:r>
    </w:p>
    <w:bookmarkEnd w:id="114"/>
    <w:p>
      <w:pPr>
        <w:jc w:val="center"/>
        <w:rPr>
          <w:rFonts w:eastAsia="黑体"/>
          <w:sz w:val="32"/>
          <w:szCs w:val="32"/>
        </w:rPr>
      </w:pPr>
    </w:p>
    <w:p>
      <w:pPr>
        <w:jc w:val="center"/>
        <w:rPr>
          <w:rFonts w:eastAsia="黑体"/>
          <w:sz w:val="24"/>
        </w:rPr>
      </w:pPr>
      <w:r>
        <w:rPr>
          <w:rFonts w:eastAsia="黑体"/>
          <w:sz w:val="24"/>
        </w:rPr>
        <w:t xml:space="preserve">Technical specification for </w:t>
      </w:r>
      <w:r>
        <w:rPr>
          <w:rFonts w:hint="eastAsia" w:eastAsia="黑体"/>
          <w:sz w:val="24"/>
        </w:rPr>
        <w:t>Non-curable Rubber Modified Asphalt Material</w:t>
      </w:r>
    </w:p>
    <w:p>
      <w:pPr>
        <w:rPr>
          <w:rFonts w:eastAsia="黑体"/>
          <w:szCs w:val="21"/>
        </w:rPr>
      </w:pPr>
    </w:p>
    <w:p>
      <w:pPr>
        <w:jc w:val="center"/>
        <w:rPr>
          <w:rFonts w:eastAsia="黑体"/>
          <w:szCs w:val="21"/>
        </w:rPr>
      </w:pPr>
    </w:p>
    <w:p>
      <w:pPr>
        <w:jc w:val="center"/>
        <w:rPr>
          <w:rFonts w:eastAsia="黑体"/>
          <w:szCs w:val="21"/>
        </w:rPr>
      </w:pPr>
      <w:r>
        <w:rPr>
          <w:rFonts w:eastAsia="黑体"/>
          <w:szCs w:val="21"/>
        </w:rPr>
        <w:t>（征求意见稿）</w:t>
      </w:r>
    </w:p>
    <w:p>
      <w:pPr>
        <w:spacing w:line="360" w:lineRule="auto"/>
        <w:ind w:left="1752"/>
        <w:rPr>
          <w:rFonts w:eastAsia="黑体"/>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jc w:val="center"/>
        <w:rPr>
          <w:rFonts w:eastAsia="黑体"/>
          <w:sz w:val="28"/>
          <w:szCs w:val="28"/>
        </w:rPr>
      </w:pPr>
      <w:r>
        <w:rPr>
          <w:rFonts w:eastAsia="黑体"/>
          <w:sz w:val="28"/>
          <w:szCs w:val="28"/>
        </w:rPr>
        <w:t>中国计划出版社</w:t>
      </w:r>
    </w:p>
    <w:p>
      <w:pPr>
        <w:jc w:val="center"/>
        <w:rPr>
          <w:rFonts w:eastAsia="黑体"/>
          <w:sz w:val="28"/>
          <w:szCs w:val="28"/>
        </w:rPr>
      </w:pPr>
    </w:p>
    <w:p>
      <w:pPr>
        <w:jc w:val="center"/>
        <w:rPr>
          <w:rFonts w:eastAsia="黑体"/>
          <w:sz w:val="28"/>
          <w:szCs w:val="28"/>
        </w:rPr>
      </w:pPr>
    </w:p>
    <w:p>
      <w:pPr>
        <w:jc w:val="center"/>
        <w:rPr>
          <w:rFonts w:eastAsia="黑体"/>
          <w:sz w:val="28"/>
          <w:szCs w:val="28"/>
        </w:rPr>
      </w:pPr>
    </w:p>
    <w:p>
      <w:pPr>
        <w:adjustRightInd w:val="0"/>
        <w:snapToGrid w:val="0"/>
        <w:spacing w:line="360" w:lineRule="auto"/>
        <w:jc w:val="center"/>
        <w:rPr>
          <w:b/>
          <w:sz w:val="30"/>
          <w:szCs w:val="30"/>
        </w:rPr>
      </w:pPr>
      <w:r>
        <w:rPr>
          <w:b/>
          <w:sz w:val="30"/>
          <w:szCs w:val="30"/>
        </w:rPr>
        <w:t>前  言</w:t>
      </w:r>
    </w:p>
    <w:p>
      <w:pPr>
        <w:adjustRightInd w:val="0"/>
        <w:snapToGrid w:val="0"/>
        <w:spacing w:line="420" w:lineRule="exact"/>
        <w:ind w:firstLine="480" w:firstLineChars="200"/>
        <w:rPr>
          <w:sz w:val="24"/>
        </w:rPr>
      </w:pPr>
      <w:r>
        <w:rPr>
          <w:sz w:val="24"/>
        </w:rPr>
        <w:t>根据中国工程建设标准化协会《关于发布&lt;2015年第</w:t>
      </w:r>
      <w:r>
        <w:rPr>
          <w:rFonts w:hint="eastAsia"/>
          <w:sz w:val="24"/>
        </w:rPr>
        <w:t>二</w:t>
      </w:r>
      <w:r>
        <w:rPr>
          <w:sz w:val="24"/>
        </w:rPr>
        <w:t>批工程建设协会标准制订、修订计划&gt;的通知》（</w:t>
      </w:r>
      <w:r>
        <w:rPr>
          <w:rFonts w:hint="eastAsia"/>
          <w:sz w:val="24"/>
        </w:rPr>
        <w:t>建标协字[2015] 099号文</w:t>
      </w:r>
      <w:r>
        <w:rPr>
          <w:sz w:val="24"/>
        </w:rPr>
        <w:t>）的要求，规程编制组经过深入调查研究，认真总结工程实践经验，参考有关国际标准和国外先进标准，并在广泛征求意见的基础上，制定本规程。</w:t>
      </w:r>
    </w:p>
    <w:p>
      <w:pPr>
        <w:adjustRightInd w:val="0"/>
        <w:snapToGrid w:val="0"/>
        <w:spacing w:line="420" w:lineRule="exact"/>
        <w:ind w:firstLine="480" w:firstLineChars="200"/>
        <w:rPr>
          <w:sz w:val="24"/>
        </w:rPr>
      </w:pPr>
      <w:r>
        <w:rPr>
          <w:sz w:val="24"/>
        </w:rPr>
        <w:t>本规程共分为</w:t>
      </w:r>
      <w:r>
        <w:rPr>
          <w:rFonts w:hint="eastAsia"/>
          <w:sz w:val="24"/>
        </w:rPr>
        <w:t>八</w:t>
      </w:r>
      <w:r>
        <w:rPr>
          <w:sz w:val="24"/>
        </w:rPr>
        <w:t>章和1个附录，主要技术内容包括：总则，术语，</w:t>
      </w:r>
      <w:r>
        <w:rPr>
          <w:rFonts w:hint="eastAsia"/>
          <w:sz w:val="24"/>
        </w:rPr>
        <w:t>基本规定，</w:t>
      </w:r>
      <w:r>
        <w:rPr>
          <w:sz w:val="24"/>
        </w:rPr>
        <w:t>材料，</w:t>
      </w:r>
      <w:r>
        <w:rPr>
          <w:rFonts w:hint="eastAsia"/>
          <w:sz w:val="24"/>
        </w:rPr>
        <w:t>设备和机具，细部构造，</w:t>
      </w:r>
      <w:r>
        <w:rPr>
          <w:sz w:val="24"/>
        </w:rPr>
        <w:t>施工，质量验收</w:t>
      </w:r>
      <w:r>
        <w:rPr>
          <w:rFonts w:hint="eastAsia"/>
          <w:sz w:val="24"/>
        </w:rPr>
        <w:t>。</w:t>
      </w:r>
    </w:p>
    <w:p>
      <w:pPr>
        <w:adjustRightInd w:val="0"/>
        <w:snapToGrid w:val="0"/>
        <w:spacing w:line="420" w:lineRule="exact"/>
        <w:ind w:firstLine="480" w:firstLineChars="200"/>
        <w:rPr>
          <w:sz w:val="24"/>
        </w:rPr>
      </w:pPr>
      <w:r>
        <w:rPr>
          <w:sz w:val="24"/>
        </w:rPr>
        <w:t>请注意本规程的某些内容可能直接或间接涉及专利，本规程的发布机构不承担识别这些专利的责任。</w:t>
      </w:r>
    </w:p>
    <w:p>
      <w:pPr>
        <w:adjustRightInd w:val="0"/>
        <w:snapToGrid w:val="0"/>
        <w:spacing w:line="420" w:lineRule="exact"/>
        <w:ind w:firstLine="480" w:firstLineChars="200"/>
        <w:rPr>
          <w:sz w:val="24"/>
        </w:rPr>
      </w:pPr>
      <w:r>
        <w:rPr>
          <w:sz w:val="24"/>
        </w:rPr>
        <w:t>本规程由中国工程建设标准化协会防水防护与修复专委会归口管理，由</w:t>
      </w:r>
      <w:r>
        <w:rPr>
          <w:rFonts w:hint="eastAsia"/>
          <w:sz w:val="24"/>
        </w:rPr>
        <w:t>中建一局集团建设发展有限公司</w:t>
      </w:r>
      <w:r>
        <w:rPr>
          <w:sz w:val="24"/>
        </w:rPr>
        <w:t>负责具体技术内容的解释。本规程在执行过程中如有需要修改或补充之处，请将有关资料和建议寄送解释单位（地址：</w:t>
      </w:r>
      <w:r>
        <w:rPr>
          <w:rFonts w:hint="eastAsia"/>
          <w:sz w:val="24"/>
        </w:rPr>
        <w:t>北京市朝阳区望花路西里1</w:t>
      </w:r>
      <w:r>
        <w:rPr>
          <w:sz w:val="24"/>
        </w:rPr>
        <w:t>7</w:t>
      </w:r>
      <w:r>
        <w:rPr>
          <w:rFonts w:hint="eastAsia"/>
          <w:sz w:val="24"/>
        </w:rPr>
        <w:t>号</w:t>
      </w:r>
      <w:r>
        <w:rPr>
          <w:sz w:val="24"/>
        </w:rPr>
        <w:t>，邮政编码：100102），以供修订时参考。</w:t>
      </w:r>
    </w:p>
    <w:p>
      <w:pPr>
        <w:adjustRightInd w:val="0"/>
        <w:snapToGrid w:val="0"/>
        <w:spacing w:line="420" w:lineRule="exact"/>
        <w:ind w:firstLine="480" w:firstLineChars="200"/>
        <w:rPr>
          <w:sz w:val="24"/>
        </w:rPr>
      </w:pPr>
      <w:bookmarkStart w:id="0" w:name="_Hlk63282117"/>
      <w:r>
        <w:rPr>
          <w:sz w:val="24"/>
        </w:rPr>
        <w:t xml:space="preserve">主编单位： </w:t>
      </w:r>
      <w:r>
        <w:rPr>
          <w:rFonts w:hint="eastAsia"/>
          <w:sz w:val="24"/>
        </w:rPr>
        <w:t>中建一局集团建设发展有限公司</w:t>
      </w:r>
    </w:p>
    <w:p>
      <w:pPr>
        <w:adjustRightInd w:val="0"/>
        <w:snapToGrid w:val="0"/>
        <w:spacing w:line="420" w:lineRule="exact"/>
        <w:rPr>
          <w:sz w:val="24"/>
        </w:rPr>
      </w:pPr>
      <w:r>
        <w:rPr>
          <w:sz w:val="24"/>
        </w:rPr>
        <w:t xml:space="preserve">               </w:t>
      </w:r>
      <w:r>
        <w:rPr>
          <w:rFonts w:hint="eastAsia"/>
          <w:sz w:val="24"/>
        </w:rPr>
        <w:t>北京东方雨虹防水技术股份有限公司</w:t>
      </w:r>
    </w:p>
    <w:bookmarkEnd w:id="0"/>
    <w:p>
      <w:pPr>
        <w:adjustRightInd w:val="0"/>
        <w:snapToGrid w:val="0"/>
        <w:spacing w:line="420" w:lineRule="exact"/>
        <w:ind w:firstLine="480" w:firstLineChars="200"/>
        <w:rPr>
          <w:sz w:val="24"/>
        </w:rPr>
      </w:pPr>
      <w:r>
        <w:rPr>
          <w:sz w:val="24"/>
        </w:rPr>
        <w:t xml:space="preserve">参编单位： </w:t>
      </w:r>
      <w:r>
        <w:rPr>
          <w:rFonts w:hint="eastAsia"/>
          <w:sz w:val="24"/>
        </w:rPr>
        <w:t>中国建材检验认证集团苏州有限公司</w:t>
      </w:r>
    </w:p>
    <w:p>
      <w:pPr>
        <w:adjustRightInd w:val="0"/>
        <w:snapToGrid w:val="0"/>
        <w:spacing w:line="420" w:lineRule="exact"/>
        <w:ind w:firstLine="1800" w:firstLineChars="750"/>
        <w:rPr>
          <w:sz w:val="24"/>
        </w:rPr>
      </w:pPr>
      <w:r>
        <w:rPr>
          <w:rFonts w:hint="eastAsia"/>
          <w:sz w:val="24"/>
        </w:rPr>
        <w:t>中国建筑科学研究院有限公司</w:t>
      </w:r>
    </w:p>
    <w:p>
      <w:pPr>
        <w:adjustRightInd w:val="0"/>
        <w:snapToGrid w:val="0"/>
        <w:spacing w:line="420" w:lineRule="exact"/>
        <w:ind w:firstLine="1800" w:firstLineChars="750"/>
        <w:rPr>
          <w:sz w:val="24"/>
        </w:rPr>
      </w:pPr>
      <w:r>
        <w:rPr>
          <w:rFonts w:hint="eastAsia"/>
          <w:sz w:val="24"/>
        </w:rPr>
        <w:t>北京圣洁防水材料有限公司</w:t>
      </w:r>
    </w:p>
    <w:p>
      <w:pPr>
        <w:adjustRightInd w:val="0"/>
        <w:snapToGrid w:val="0"/>
        <w:spacing w:line="420" w:lineRule="exact"/>
        <w:ind w:firstLine="1800" w:firstLineChars="750"/>
        <w:rPr>
          <w:sz w:val="24"/>
        </w:rPr>
      </w:pPr>
      <w:r>
        <w:rPr>
          <w:rFonts w:hint="eastAsia"/>
          <w:sz w:val="24"/>
        </w:rPr>
        <w:t>科顺防水科技股份有限公司</w:t>
      </w:r>
    </w:p>
    <w:p>
      <w:pPr>
        <w:adjustRightInd w:val="0"/>
        <w:snapToGrid w:val="0"/>
        <w:spacing w:line="420" w:lineRule="exact"/>
        <w:ind w:firstLine="1800" w:firstLineChars="750"/>
        <w:rPr>
          <w:sz w:val="24"/>
        </w:rPr>
      </w:pPr>
      <w:r>
        <w:rPr>
          <w:rFonts w:hint="eastAsia"/>
          <w:sz w:val="24"/>
        </w:rPr>
        <w:t>中建一局集团第一建筑有限公司</w:t>
      </w:r>
    </w:p>
    <w:p>
      <w:pPr>
        <w:adjustRightInd w:val="0"/>
        <w:snapToGrid w:val="0"/>
        <w:spacing w:line="420" w:lineRule="exact"/>
        <w:ind w:firstLine="1800" w:firstLineChars="750"/>
        <w:rPr>
          <w:sz w:val="24"/>
        </w:rPr>
      </w:pPr>
      <w:r>
        <w:rPr>
          <w:rFonts w:hint="eastAsia"/>
          <w:sz w:val="24"/>
        </w:rPr>
        <w:t>中建一局集团第五建筑有限公司</w:t>
      </w:r>
    </w:p>
    <w:p>
      <w:pPr>
        <w:adjustRightInd w:val="0"/>
        <w:snapToGrid w:val="0"/>
        <w:spacing w:line="420" w:lineRule="exact"/>
        <w:ind w:firstLine="1800" w:firstLineChars="750"/>
        <w:rPr>
          <w:sz w:val="24"/>
        </w:rPr>
      </w:pPr>
      <w:r>
        <w:rPr>
          <w:rFonts w:hint="eastAsia"/>
          <w:sz w:val="24"/>
        </w:rPr>
        <w:t>潍坊市宏源防水材料有限公司</w:t>
      </w:r>
    </w:p>
    <w:p>
      <w:pPr>
        <w:adjustRightInd w:val="0"/>
        <w:snapToGrid w:val="0"/>
        <w:spacing w:line="420" w:lineRule="exact"/>
        <w:ind w:firstLine="1800" w:firstLineChars="750"/>
        <w:rPr>
          <w:sz w:val="24"/>
        </w:rPr>
      </w:pPr>
      <w:r>
        <w:rPr>
          <w:rFonts w:hint="eastAsia"/>
          <w:sz w:val="24"/>
        </w:rPr>
        <w:t>深圳市卓宝科技股份有限公司</w:t>
      </w:r>
    </w:p>
    <w:p>
      <w:pPr>
        <w:adjustRightInd w:val="0"/>
        <w:snapToGrid w:val="0"/>
        <w:spacing w:line="420" w:lineRule="exact"/>
        <w:ind w:firstLine="1800" w:firstLineChars="750"/>
        <w:rPr>
          <w:sz w:val="24"/>
        </w:rPr>
      </w:pPr>
      <w:r>
        <w:rPr>
          <w:rFonts w:hint="eastAsia"/>
          <w:sz w:val="24"/>
        </w:rPr>
        <w:t>北京市建筑工程研究院有限责任公司</w:t>
      </w:r>
    </w:p>
    <w:p>
      <w:pPr>
        <w:adjustRightInd w:val="0"/>
        <w:snapToGrid w:val="0"/>
        <w:spacing w:line="420" w:lineRule="exact"/>
        <w:ind w:firstLine="1800" w:firstLineChars="750"/>
        <w:rPr>
          <w:sz w:val="24"/>
        </w:rPr>
      </w:pPr>
      <w:r>
        <w:rPr>
          <w:rFonts w:hint="eastAsia"/>
          <w:sz w:val="24"/>
        </w:rPr>
        <w:t>北京卓越金控高科技有限公司</w:t>
      </w:r>
    </w:p>
    <w:p>
      <w:pPr>
        <w:adjustRightInd w:val="0"/>
        <w:snapToGrid w:val="0"/>
        <w:spacing w:line="420" w:lineRule="exact"/>
        <w:ind w:firstLine="1800" w:firstLineChars="750"/>
        <w:rPr>
          <w:sz w:val="24"/>
        </w:rPr>
      </w:pPr>
      <w:r>
        <w:rPr>
          <w:rFonts w:hint="eastAsia"/>
          <w:sz w:val="24"/>
        </w:rPr>
        <w:t>北京固瑞恩科技有限公司</w:t>
      </w:r>
    </w:p>
    <w:p>
      <w:pPr>
        <w:adjustRightInd w:val="0"/>
        <w:snapToGrid w:val="0"/>
        <w:spacing w:line="420" w:lineRule="exact"/>
        <w:ind w:firstLine="1800" w:firstLineChars="750"/>
        <w:rPr>
          <w:sz w:val="24"/>
        </w:rPr>
      </w:pPr>
      <w:r>
        <w:rPr>
          <w:rFonts w:hint="eastAsia"/>
          <w:sz w:val="24"/>
        </w:rPr>
        <w:t>山东华特知新化工有限公司</w:t>
      </w:r>
    </w:p>
    <w:p>
      <w:pPr>
        <w:adjustRightInd w:val="0"/>
        <w:snapToGrid w:val="0"/>
        <w:spacing w:line="420" w:lineRule="exact"/>
        <w:ind w:firstLine="1800" w:firstLineChars="750"/>
        <w:rPr>
          <w:sz w:val="24"/>
        </w:rPr>
      </w:pPr>
      <w:r>
        <w:rPr>
          <w:rFonts w:hint="eastAsia"/>
          <w:sz w:val="24"/>
        </w:rPr>
        <w:t>中国人民解放军海军工程质量监督站</w:t>
      </w:r>
    </w:p>
    <w:p>
      <w:pPr>
        <w:adjustRightInd w:val="0"/>
        <w:snapToGrid w:val="0"/>
        <w:spacing w:line="420" w:lineRule="exact"/>
        <w:ind w:firstLine="1800" w:firstLineChars="750"/>
        <w:rPr>
          <w:sz w:val="24"/>
        </w:rPr>
      </w:pPr>
      <w:r>
        <w:rPr>
          <w:rFonts w:hint="eastAsia"/>
          <w:sz w:val="24"/>
        </w:rPr>
        <w:t>湖北永阳材料股份有限公司</w:t>
      </w:r>
    </w:p>
    <w:p>
      <w:pPr>
        <w:adjustRightInd w:val="0"/>
        <w:snapToGrid w:val="0"/>
        <w:spacing w:line="420" w:lineRule="exact"/>
        <w:ind w:firstLine="1800" w:firstLineChars="750"/>
        <w:rPr>
          <w:sz w:val="24"/>
        </w:rPr>
      </w:pPr>
      <w:r>
        <w:rPr>
          <w:rFonts w:hint="eastAsia"/>
          <w:sz w:val="24"/>
        </w:rPr>
        <w:t>浙江鲁班建材科技股份有限公司</w:t>
      </w:r>
    </w:p>
    <w:p>
      <w:pPr>
        <w:adjustRightInd w:val="0"/>
        <w:snapToGrid w:val="0"/>
        <w:spacing w:line="420" w:lineRule="exact"/>
        <w:ind w:firstLine="1800" w:firstLineChars="750"/>
        <w:rPr>
          <w:sz w:val="24"/>
        </w:rPr>
      </w:pPr>
      <w:r>
        <w:rPr>
          <w:rFonts w:hint="eastAsia"/>
          <w:sz w:val="24"/>
        </w:rPr>
        <w:t>上海三棵树防水技术有限公司</w:t>
      </w:r>
    </w:p>
    <w:p>
      <w:pPr>
        <w:jc w:val="center"/>
        <w:rPr>
          <w:rFonts w:eastAsia="黑体"/>
          <w:sz w:val="28"/>
          <w:szCs w:val="28"/>
        </w:rPr>
      </w:pPr>
    </w:p>
    <w:p>
      <w:pPr>
        <w:widowControl/>
        <w:jc w:val="center"/>
        <w:rPr>
          <w:rFonts w:eastAsia="黑体"/>
          <w:sz w:val="30"/>
          <w:szCs w:val="30"/>
        </w:rPr>
      </w:pPr>
      <w:r>
        <w:rPr>
          <w:rFonts w:eastAsia="黑体"/>
          <w:sz w:val="30"/>
          <w:szCs w:val="30"/>
        </w:rPr>
        <w:t xml:space="preserve">目  </w:t>
      </w:r>
      <w:r>
        <w:rPr>
          <w:rFonts w:hint="eastAsia" w:eastAsia="黑体"/>
          <w:sz w:val="30"/>
          <w:szCs w:val="30"/>
        </w:rPr>
        <w:t>次</w:t>
      </w:r>
    </w:p>
    <w:p>
      <w:pPr>
        <w:widowControl/>
        <w:spacing w:line="80" w:lineRule="atLeast"/>
        <w:jc w:val="center"/>
        <w:rPr>
          <w:rFonts w:eastAsia="黑体"/>
          <w:sz w:val="16"/>
          <w:szCs w:val="30"/>
        </w:rPr>
      </w:pPr>
    </w:p>
    <w:p>
      <w:pPr>
        <w:pStyle w:val="14"/>
        <w:tabs>
          <w:tab w:val="right" w:leader="dot" w:pos="8296"/>
        </w:tabs>
        <w:rPr>
          <w:rFonts w:asciiTheme="minorHAnsi" w:hAnsiTheme="minorHAnsi" w:eastAsiaTheme="minorEastAsia" w:cstheme="minorBidi"/>
          <w:szCs w:val="22"/>
        </w:rPr>
      </w:pPr>
      <w:r>
        <w:rPr>
          <w:rFonts w:eastAsia="黑体"/>
          <w:sz w:val="30"/>
          <w:szCs w:val="30"/>
        </w:rPr>
        <w:fldChar w:fldCharType="begin"/>
      </w:r>
      <w:r>
        <w:rPr>
          <w:rFonts w:eastAsia="黑体"/>
          <w:sz w:val="30"/>
          <w:szCs w:val="30"/>
        </w:rPr>
        <w:instrText xml:space="preserve"> TOC \o "1-3" \h \z \u </w:instrText>
      </w:r>
      <w:r>
        <w:rPr>
          <w:rFonts w:eastAsia="黑体"/>
          <w:sz w:val="30"/>
          <w:szCs w:val="30"/>
        </w:rPr>
        <w:fldChar w:fldCharType="separate"/>
      </w:r>
      <w:r>
        <w:fldChar w:fldCharType="begin"/>
      </w:r>
      <w:r>
        <w:instrText xml:space="preserve"> HYPERLINK \l "_Toc87885947" </w:instrText>
      </w:r>
      <w:r>
        <w:fldChar w:fldCharType="separate"/>
      </w:r>
      <w:r>
        <w:rPr>
          <w:rStyle w:val="26"/>
        </w:rPr>
        <w:t>1  总  则</w:t>
      </w:r>
      <w:r>
        <w:tab/>
      </w:r>
      <w:r>
        <w:fldChar w:fldCharType="begin"/>
      </w:r>
      <w:r>
        <w:instrText xml:space="preserve"> PAGEREF _Toc87885947 \h </w:instrText>
      </w:r>
      <w:r>
        <w:fldChar w:fldCharType="separate"/>
      </w:r>
      <w:r>
        <w:t>1</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"_Toc87885948" </w:instrText>
      </w:r>
      <w:r>
        <w:fldChar w:fldCharType="separate"/>
      </w:r>
      <w:r>
        <w:rPr>
          <w:rStyle w:val="26"/>
        </w:rPr>
        <w:t>2  术  语</w:t>
      </w:r>
      <w:r>
        <w:tab/>
      </w:r>
      <w:r>
        <w:fldChar w:fldCharType="begin"/>
      </w:r>
      <w:r>
        <w:instrText xml:space="preserve"> PAGEREF _Toc87885948 \h </w:instrText>
      </w:r>
      <w:r>
        <w:fldChar w:fldCharType="separate"/>
      </w:r>
      <w:r>
        <w:t>2</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"_Toc87885949" </w:instrText>
      </w:r>
      <w:r>
        <w:fldChar w:fldCharType="separate"/>
      </w:r>
      <w:r>
        <w:rPr>
          <w:rStyle w:val="26"/>
        </w:rPr>
        <w:t>3  基 本 规 定</w:t>
      </w:r>
      <w:r>
        <w:tab/>
      </w:r>
      <w:r>
        <w:fldChar w:fldCharType="begin"/>
      </w:r>
      <w:r>
        <w:instrText xml:space="preserve"> PAGEREF _Toc87885949 \h </w:instrText>
      </w:r>
      <w:r>
        <w:fldChar w:fldCharType="separate"/>
      </w:r>
      <w:r>
        <w:t>3</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"_Toc87885950" </w:instrText>
      </w:r>
      <w:r>
        <w:fldChar w:fldCharType="separate"/>
      </w:r>
      <w:r>
        <w:rPr>
          <w:rStyle w:val="26"/>
        </w:rPr>
        <w:t>4  材  料</w:t>
      </w:r>
      <w:r>
        <w:tab/>
      </w:r>
      <w:r>
        <w:fldChar w:fldCharType="begin"/>
      </w:r>
      <w:r>
        <w:instrText xml:space="preserve"> PAGEREF _Toc87885950 \h </w:instrText>
      </w:r>
      <w:r>
        <w:fldChar w:fldCharType="separate"/>
      </w:r>
      <w:r>
        <w:t>5</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"_Toc87885951" </w:instrText>
      </w:r>
      <w:r>
        <w:fldChar w:fldCharType="separate"/>
      </w:r>
      <w:r>
        <w:rPr>
          <w:rStyle w:val="26"/>
        </w:rPr>
        <w:t>5  设备及机具</w:t>
      </w:r>
      <w:r>
        <w:tab/>
      </w:r>
      <w:r>
        <w:fldChar w:fldCharType="begin"/>
      </w:r>
      <w:r>
        <w:instrText xml:space="preserve"> PAGEREF _Toc87885951 \h </w:instrText>
      </w:r>
      <w:r>
        <w:fldChar w:fldCharType="separate"/>
      </w:r>
      <w:r>
        <w:t>8</w:t>
      </w:r>
      <w:r>
        <w:fldChar w:fldCharType="end"/>
      </w:r>
      <w:r>
        <w:fldChar w:fldCharType="end"/>
      </w:r>
    </w:p>
    <w:p>
      <w:pPr>
        <w:pStyle w:val="8"/>
        <w:tabs>
          <w:tab w:val="right" w:leader="dot" w:pos="8296"/>
        </w:tabs>
      </w:pPr>
      <w:r>
        <w:fldChar w:fldCharType="begin"/>
      </w:r>
      <w:r>
        <w:instrText xml:space="preserve"> HYPERLINK \l "_Toc87885952" </w:instrText>
      </w:r>
      <w:r>
        <w:fldChar w:fldCharType="separate"/>
      </w:r>
      <w:r>
        <w:rPr>
          <w:rStyle w:val="26"/>
          <w:rFonts w:eastAsia="黑体"/>
          <w:lang w:bidi="en-US"/>
        </w:rPr>
        <w:t xml:space="preserve">5.1  </w:t>
      </w:r>
      <w:r>
        <w:rPr>
          <w:rStyle w:val="26"/>
          <w:rFonts w:asciiTheme="majorEastAsia" w:hAnsiTheme="majorEastAsia" w:eastAsiaTheme="majorEastAsia"/>
          <w:lang w:bidi="en-US"/>
        </w:rPr>
        <w:t>非固化防水涂料施工设备及机具</w:t>
      </w:r>
      <w:r>
        <w:tab/>
      </w:r>
      <w:r>
        <w:fldChar w:fldCharType="begin"/>
      </w:r>
      <w:r>
        <w:instrText xml:space="preserve"> PAGEREF _Toc87885952 \h </w:instrText>
      </w:r>
      <w:r>
        <w:fldChar w:fldCharType="separate"/>
      </w:r>
      <w:r>
        <w:t>8</w:t>
      </w:r>
      <w:r>
        <w:fldChar w:fldCharType="end"/>
      </w:r>
      <w:r>
        <w:fldChar w:fldCharType="end"/>
      </w:r>
    </w:p>
    <w:p>
      <w:pPr>
        <w:pStyle w:val="8"/>
        <w:tabs>
          <w:tab w:val="right" w:leader="dot" w:pos="8296"/>
        </w:tabs>
      </w:pPr>
      <w:r>
        <w:fldChar w:fldCharType="begin"/>
      </w:r>
      <w:r>
        <w:instrText xml:space="preserve"> HYPERLINK \l "_Toc87885953" </w:instrText>
      </w:r>
      <w:r>
        <w:fldChar w:fldCharType="separate"/>
      </w:r>
      <w:r>
        <w:rPr>
          <w:rStyle w:val="26"/>
          <w:rFonts w:eastAsiaTheme="majorEastAsia"/>
          <w:lang w:bidi="en-US"/>
        </w:rPr>
        <w:t xml:space="preserve">5.2  </w:t>
      </w:r>
      <w:r>
        <w:rPr>
          <w:rStyle w:val="26"/>
          <w:rFonts w:asciiTheme="majorEastAsia" w:hAnsiTheme="majorEastAsia" w:eastAsiaTheme="majorEastAsia"/>
          <w:lang w:bidi="en-US"/>
        </w:rPr>
        <w:t>非固化橡胶沥青防水注浆堵漏机具</w:t>
      </w:r>
      <w:r>
        <w:tab/>
      </w:r>
      <w:r>
        <w:fldChar w:fldCharType="begin"/>
      </w:r>
      <w:r>
        <w:instrText xml:space="preserve"> PAGEREF _Toc87885953 \h </w:instrText>
      </w:r>
      <w:r>
        <w:fldChar w:fldCharType="separate"/>
      </w:r>
      <w:r>
        <w:t>8</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"_Toc87885954" </w:instrText>
      </w:r>
      <w:r>
        <w:fldChar w:fldCharType="separate"/>
      </w:r>
      <w:r>
        <w:rPr>
          <w:rStyle w:val="26"/>
        </w:rPr>
        <w:t>6  细 部 构 造</w:t>
      </w:r>
      <w:r>
        <w:tab/>
      </w:r>
      <w:r>
        <w:fldChar w:fldCharType="begin"/>
      </w:r>
      <w:r>
        <w:instrText xml:space="preserve"> PAGEREF _Toc87885954 \h </w:instrText>
      </w:r>
      <w:r>
        <w:fldChar w:fldCharType="separate"/>
      </w:r>
      <w:r>
        <w:t>9</w:t>
      </w:r>
      <w:r>
        <w:fldChar w:fldCharType="end"/>
      </w:r>
      <w:r>
        <w:fldChar w:fldCharType="end"/>
      </w:r>
    </w:p>
    <w:p>
      <w:pPr>
        <w:pStyle w:val="18"/>
        <w:tabs>
          <w:tab w:val="right" w:leader="dot" w:pos="8296"/>
        </w:tabs>
        <w:rPr>
          <w:rFonts w:asciiTheme="minorHAnsi" w:hAnsiTheme="minorHAnsi" w:eastAsiaTheme="minorEastAsia" w:cstheme="minorBidi"/>
          <w:szCs w:val="22"/>
        </w:rPr>
      </w:pPr>
      <w:r>
        <w:fldChar w:fldCharType="begin"/>
      </w:r>
      <w:r>
        <w:instrText xml:space="preserve"> HYPERLINK \l "_Toc87885955" </w:instrText>
      </w:r>
      <w:r>
        <w:fldChar w:fldCharType="separate"/>
      </w:r>
      <w:r>
        <w:rPr>
          <w:rStyle w:val="26"/>
          <w:rFonts w:asciiTheme="majorEastAsia" w:hAnsiTheme="majorEastAsia" w:eastAsiaTheme="majorEastAsia"/>
          <w:lang w:bidi="en-US"/>
        </w:rPr>
        <w:t>I  非固化橡胶沥青防水涂料</w:t>
      </w:r>
      <w:r>
        <w:tab/>
      </w:r>
      <w:r>
        <w:fldChar w:fldCharType="begin"/>
      </w:r>
      <w:r>
        <w:instrText xml:space="preserve"> PAGEREF _Toc87885955 \h </w:instrText>
      </w:r>
      <w:r>
        <w:fldChar w:fldCharType="separate"/>
      </w:r>
      <w:r>
        <w:t>9</w:t>
      </w:r>
      <w:r>
        <w:fldChar w:fldCharType="end"/>
      </w:r>
      <w:r>
        <w:fldChar w:fldCharType="end"/>
      </w:r>
    </w:p>
    <w:p>
      <w:pPr>
        <w:pStyle w:val="8"/>
        <w:tabs>
          <w:tab w:val="right" w:leader="dot" w:pos="8296"/>
        </w:tabs>
      </w:pPr>
      <w:r>
        <w:fldChar w:fldCharType="begin"/>
      </w:r>
      <w:r>
        <w:instrText xml:space="preserve"> HYPERLINK \l "_Toc87885956" </w:instrText>
      </w:r>
      <w:r>
        <w:fldChar w:fldCharType="separate"/>
      </w:r>
      <w:r>
        <w:rPr>
          <w:rStyle w:val="26"/>
          <w:lang w:bidi="en-US"/>
        </w:rPr>
        <w:t>6.1  防水基本构造层次</w:t>
      </w:r>
      <w:r>
        <w:tab/>
      </w:r>
      <w:r>
        <w:fldChar w:fldCharType="begin"/>
      </w:r>
      <w:r>
        <w:instrText xml:space="preserve"> PAGEREF _Toc87885956 \h </w:instrText>
      </w:r>
      <w:r>
        <w:fldChar w:fldCharType="separate"/>
      </w:r>
      <w:r>
        <w:t>9</w:t>
      </w:r>
      <w:r>
        <w:fldChar w:fldCharType="end"/>
      </w:r>
      <w:r>
        <w:fldChar w:fldCharType="end"/>
      </w:r>
    </w:p>
    <w:p>
      <w:pPr>
        <w:pStyle w:val="8"/>
        <w:tabs>
          <w:tab w:val="right" w:leader="dot" w:pos="8296"/>
        </w:tabs>
      </w:pPr>
      <w:r>
        <w:fldChar w:fldCharType="begin"/>
      </w:r>
      <w:r>
        <w:instrText xml:space="preserve"> HYPERLINK \l "_Toc87885957" </w:instrText>
      </w:r>
      <w:r>
        <w:fldChar w:fldCharType="separate"/>
      </w:r>
      <w:r>
        <w:rPr>
          <w:rStyle w:val="26"/>
          <w:lang w:bidi="en-US"/>
        </w:rPr>
        <w:t>6.2  屋面工程防水细部构造</w:t>
      </w:r>
      <w:r>
        <w:tab/>
      </w:r>
      <w:r>
        <w:fldChar w:fldCharType="begin"/>
      </w:r>
      <w:r>
        <w:instrText xml:space="preserve"> PAGEREF _Toc87885957 \h </w:instrText>
      </w:r>
      <w:r>
        <w:fldChar w:fldCharType="separate"/>
      </w:r>
      <w:r>
        <w:t>10</w:t>
      </w:r>
      <w:r>
        <w:fldChar w:fldCharType="end"/>
      </w:r>
      <w:r>
        <w:fldChar w:fldCharType="end"/>
      </w:r>
    </w:p>
    <w:p>
      <w:pPr>
        <w:pStyle w:val="8"/>
        <w:tabs>
          <w:tab w:val="right" w:leader="dot" w:pos="8296"/>
        </w:tabs>
      </w:pPr>
      <w:r>
        <w:fldChar w:fldCharType="begin"/>
      </w:r>
      <w:r>
        <w:instrText xml:space="preserve"> HYPERLINK \l "_Toc87885958" </w:instrText>
      </w:r>
      <w:r>
        <w:fldChar w:fldCharType="separate"/>
      </w:r>
      <w:r>
        <w:rPr>
          <w:rStyle w:val="26"/>
          <w:lang w:bidi="en-US"/>
        </w:rPr>
        <w:t>6.3  地下工程防水细部构造</w:t>
      </w:r>
      <w:r>
        <w:tab/>
      </w:r>
      <w:r>
        <w:fldChar w:fldCharType="begin"/>
      </w:r>
      <w:r>
        <w:instrText xml:space="preserve"> PAGEREF _Toc87885958 \h </w:instrText>
      </w:r>
      <w:r>
        <w:fldChar w:fldCharType="separate"/>
      </w:r>
      <w:r>
        <w:t>18</w:t>
      </w:r>
      <w:r>
        <w:fldChar w:fldCharType="end"/>
      </w:r>
      <w:r>
        <w:fldChar w:fldCharType="end"/>
      </w:r>
    </w:p>
    <w:p>
      <w:pPr>
        <w:pStyle w:val="18"/>
        <w:tabs>
          <w:tab w:val="right" w:leader="dot" w:pos="8296"/>
        </w:tabs>
        <w:rPr>
          <w:rFonts w:asciiTheme="minorHAnsi" w:hAnsiTheme="minorHAnsi" w:eastAsiaTheme="minorEastAsia" w:cstheme="minorBidi"/>
          <w:szCs w:val="22"/>
        </w:rPr>
      </w:pPr>
      <w:r>
        <w:fldChar w:fldCharType="begin"/>
      </w:r>
      <w:r>
        <w:instrText xml:space="preserve"> HYPERLINK \l "_Toc87885959" </w:instrText>
      </w:r>
      <w:r>
        <w:fldChar w:fldCharType="separate"/>
      </w:r>
      <w:r>
        <w:rPr>
          <w:rStyle w:val="26"/>
          <w:rFonts w:asciiTheme="majorEastAsia" w:hAnsiTheme="majorEastAsia" w:eastAsiaTheme="majorEastAsia"/>
          <w:lang w:bidi="en-US"/>
        </w:rPr>
        <w:t>II  非固化注浆材料细部构造</w:t>
      </w:r>
      <w:r>
        <w:tab/>
      </w:r>
      <w:r>
        <w:fldChar w:fldCharType="begin"/>
      </w:r>
      <w:r>
        <w:instrText xml:space="preserve"> PAGEREF _Toc87885959 \h </w:instrText>
      </w:r>
      <w:r>
        <w:fldChar w:fldCharType="separate"/>
      </w:r>
      <w:r>
        <w:t>24</w:t>
      </w:r>
      <w:r>
        <w:fldChar w:fldCharType="end"/>
      </w:r>
      <w:r>
        <w:fldChar w:fldCharType="end"/>
      </w:r>
    </w:p>
    <w:p>
      <w:pPr>
        <w:pStyle w:val="8"/>
        <w:tabs>
          <w:tab w:val="right" w:leader="dot" w:pos="8296"/>
        </w:tabs>
      </w:pPr>
      <w:r>
        <w:fldChar w:fldCharType="begin"/>
      </w:r>
      <w:r>
        <w:instrText xml:space="preserve"> HYPERLINK \l "_Toc87885960" </w:instrText>
      </w:r>
      <w:r>
        <w:fldChar w:fldCharType="separate"/>
      </w:r>
      <w:r>
        <w:rPr>
          <w:rStyle w:val="26"/>
          <w:lang w:bidi="en-US"/>
        </w:rPr>
        <w:t>6.4  非固化橡胶沥青防水注浆构造</w:t>
      </w:r>
      <w:r>
        <w:tab/>
      </w:r>
      <w:r>
        <w:fldChar w:fldCharType="begin"/>
      </w:r>
      <w:r>
        <w:instrText xml:space="preserve"> PAGEREF _Toc87885960 \h </w:instrText>
      </w:r>
      <w:r>
        <w:fldChar w:fldCharType="separate"/>
      </w:r>
      <w:r>
        <w:t>24</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"_Toc87885961" </w:instrText>
      </w:r>
      <w:r>
        <w:fldChar w:fldCharType="separate"/>
      </w:r>
      <w:r>
        <w:rPr>
          <w:rStyle w:val="26"/>
        </w:rPr>
        <w:t>7  施  工</w:t>
      </w:r>
      <w:r>
        <w:tab/>
      </w:r>
      <w:r>
        <w:fldChar w:fldCharType="begin"/>
      </w:r>
      <w:r>
        <w:instrText xml:space="preserve"> PAGEREF _Toc87885961 \h </w:instrText>
      </w:r>
      <w:r>
        <w:fldChar w:fldCharType="separate"/>
      </w:r>
      <w:r>
        <w:t>28</w:t>
      </w:r>
      <w:r>
        <w:fldChar w:fldCharType="end"/>
      </w:r>
      <w:r>
        <w:fldChar w:fldCharType="end"/>
      </w:r>
    </w:p>
    <w:p>
      <w:pPr>
        <w:pStyle w:val="8"/>
        <w:tabs>
          <w:tab w:val="right" w:leader="dot" w:pos="8296"/>
        </w:tabs>
      </w:pPr>
      <w:r>
        <w:fldChar w:fldCharType="begin"/>
      </w:r>
      <w:r>
        <w:instrText xml:space="preserve"> HYPERLINK \l "_Toc87885962" </w:instrText>
      </w:r>
      <w:r>
        <w:fldChar w:fldCharType="separate"/>
      </w:r>
      <w:r>
        <w:rPr>
          <w:rStyle w:val="26"/>
          <w:lang w:bidi="en-US"/>
        </w:rPr>
        <w:t>7.1  一般规定</w:t>
      </w:r>
      <w:r>
        <w:tab/>
      </w:r>
      <w:r>
        <w:fldChar w:fldCharType="begin"/>
      </w:r>
      <w:r>
        <w:instrText xml:space="preserve"> PAGEREF _Toc87885962 \h </w:instrText>
      </w:r>
      <w:r>
        <w:fldChar w:fldCharType="separate"/>
      </w:r>
      <w:r>
        <w:t>28</w:t>
      </w:r>
      <w:r>
        <w:fldChar w:fldCharType="end"/>
      </w:r>
      <w:r>
        <w:fldChar w:fldCharType="end"/>
      </w:r>
    </w:p>
    <w:p>
      <w:pPr>
        <w:pStyle w:val="18"/>
        <w:tabs>
          <w:tab w:val="right" w:leader="dot" w:pos="8296"/>
        </w:tabs>
        <w:rPr>
          <w:rFonts w:asciiTheme="minorHAnsi" w:hAnsiTheme="minorHAnsi" w:eastAsiaTheme="minorEastAsia" w:cstheme="minorBidi"/>
          <w:szCs w:val="22"/>
        </w:rPr>
      </w:pPr>
      <w:r>
        <w:fldChar w:fldCharType="begin"/>
      </w:r>
      <w:r>
        <w:instrText xml:space="preserve"> HYPERLINK \l "_Toc87885963" </w:instrText>
      </w:r>
      <w:r>
        <w:fldChar w:fldCharType="separate"/>
      </w:r>
      <w:r>
        <w:rPr>
          <w:rStyle w:val="26"/>
          <w:rFonts w:asciiTheme="majorEastAsia" w:hAnsiTheme="majorEastAsia" w:eastAsiaTheme="majorEastAsia"/>
          <w:lang w:bidi="en-US"/>
        </w:rPr>
        <w:t>I  非固化橡胶沥青防水涂料</w:t>
      </w:r>
      <w:r>
        <w:tab/>
      </w:r>
      <w:r>
        <w:fldChar w:fldCharType="begin"/>
      </w:r>
      <w:r>
        <w:instrText xml:space="preserve"> PAGEREF _Toc87885963 \h </w:instrText>
      </w:r>
      <w:r>
        <w:fldChar w:fldCharType="separate"/>
      </w:r>
      <w:r>
        <w:t>28</w:t>
      </w:r>
      <w:r>
        <w:fldChar w:fldCharType="end"/>
      </w:r>
      <w:r>
        <w:fldChar w:fldCharType="end"/>
      </w:r>
    </w:p>
    <w:p>
      <w:pPr>
        <w:pStyle w:val="8"/>
        <w:tabs>
          <w:tab w:val="right" w:leader="dot" w:pos="8296"/>
        </w:tabs>
      </w:pPr>
      <w:r>
        <w:fldChar w:fldCharType="begin"/>
      </w:r>
      <w:r>
        <w:instrText xml:space="preserve"> HYPERLINK \l "_Toc87885964" </w:instrText>
      </w:r>
      <w:r>
        <w:fldChar w:fldCharType="separate"/>
      </w:r>
      <w:r>
        <w:rPr>
          <w:rStyle w:val="26"/>
          <w:lang w:bidi="en-US"/>
        </w:rPr>
        <w:t>7.2  屋面工程防水施工</w:t>
      </w:r>
      <w:r>
        <w:tab/>
      </w:r>
      <w:r>
        <w:fldChar w:fldCharType="begin"/>
      </w:r>
      <w:r>
        <w:instrText xml:space="preserve"> PAGEREF _Toc87885964 \h </w:instrText>
      </w:r>
      <w:r>
        <w:fldChar w:fldCharType="separate"/>
      </w:r>
      <w:r>
        <w:t>28</w:t>
      </w:r>
      <w:r>
        <w:fldChar w:fldCharType="end"/>
      </w:r>
      <w:r>
        <w:fldChar w:fldCharType="end"/>
      </w:r>
    </w:p>
    <w:p>
      <w:pPr>
        <w:pStyle w:val="8"/>
        <w:tabs>
          <w:tab w:val="right" w:leader="dot" w:pos="8296"/>
        </w:tabs>
      </w:pPr>
      <w:r>
        <w:fldChar w:fldCharType="begin"/>
      </w:r>
      <w:r>
        <w:instrText xml:space="preserve"> HYPERLINK \l "_Toc87885965" </w:instrText>
      </w:r>
      <w:r>
        <w:fldChar w:fldCharType="separate"/>
      </w:r>
      <w:r>
        <w:rPr>
          <w:rStyle w:val="26"/>
          <w:lang w:bidi="en-US"/>
        </w:rPr>
        <w:t>7.3  地下工程防水施工</w:t>
      </w:r>
      <w:r>
        <w:tab/>
      </w:r>
      <w:r>
        <w:fldChar w:fldCharType="begin"/>
      </w:r>
      <w:r>
        <w:instrText xml:space="preserve"> PAGEREF _Toc87885965 \h </w:instrText>
      </w:r>
      <w:r>
        <w:fldChar w:fldCharType="separate"/>
      </w:r>
      <w:r>
        <w:t>30</w:t>
      </w:r>
      <w:r>
        <w:fldChar w:fldCharType="end"/>
      </w:r>
      <w:r>
        <w:fldChar w:fldCharType="end"/>
      </w:r>
    </w:p>
    <w:p>
      <w:pPr>
        <w:pStyle w:val="18"/>
        <w:tabs>
          <w:tab w:val="right" w:leader="dot" w:pos="8296"/>
        </w:tabs>
        <w:rPr>
          <w:rFonts w:asciiTheme="minorHAnsi" w:hAnsiTheme="minorHAnsi" w:eastAsiaTheme="minorEastAsia" w:cstheme="minorBidi"/>
          <w:szCs w:val="22"/>
        </w:rPr>
      </w:pPr>
      <w:r>
        <w:fldChar w:fldCharType="begin"/>
      </w:r>
      <w:r>
        <w:instrText xml:space="preserve"> HYPERLINK \l "_Toc87885966" </w:instrText>
      </w:r>
      <w:r>
        <w:fldChar w:fldCharType="separate"/>
      </w:r>
      <w:r>
        <w:rPr>
          <w:rStyle w:val="26"/>
          <w:rFonts w:asciiTheme="majorEastAsia" w:hAnsiTheme="majorEastAsia" w:eastAsiaTheme="majorEastAsia"/>
          <w:lang w:bidi="en-US"/>
        </w:rPr>
        <w:t>II  非固化注浆材料</w:t>
      </w:r>
      <w:r>
        <w:tab/>
      </w:r>
      <w:r>
        <w:fldChar w:fldCharType="begin"/>
      </w:r>
      <w:r>
        <w:instrText xml:space="preserve"> PAGEREF _Toc87885966 \h </w:instrText>
      </w:r>
      <w:r>
        <w:fldChar w:fldCharType="separate"/>
      </w:r>
      <w:r>
        <w:t>30</w:t>
      </w:r>
      <w:r>
        <w:fldChar w:fldCharType="end"/>
      </w:r>
      <w:r>
        <w:fldChar w:fldCharType="end"/>
      </w:r>
    </w:p>
    <w:p>
      <w:pPr>
        <w:pStyle w:val="8"/>
        <w:tabs>
          <w:tab w:val="right" w:leader="dot" w:pos="8296"/>
        </w:tabs>
      </w:pPr>
      <w:r>
        <w:fldChar w:fldCharType="begin"/>
      </w:r>
      <w:r>
        <w:instrText xml:space="preserve"> HYPERLINK \l "_Toc87885967" </w:instrText>
      </w:r>
      <w:r>
        <w:fldChar w:fldCharType="separate"/>
      </w:r>
      <w:r>
        <w:rPr>
          <w:rStyle w:val="26"/>
          <w:lang w:bidi="en-US"/>
        </w:rPr>
        <w:t>7.4  非固化注浆材料施工</w:t>
      </w:r>
      <w:r>
        <w:tab/>
      </w:r>
      <w:r>
        <w:fldChar w:fldCharType="begin"/>
      </w:r>
      <w:r>
        <w:instrText xml:space="preserve"> PAGEREF _Toc87885967 \h </w:instrText>
      </w:r>
      <w:r>
        <w:fldChar w:fldCharType="separate"/>
      </w:r>
      <w:r>
        <w:t>30</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"_Toc87885968" </w:instrText>
      </w:r>
      <w:r>
        <w:fldChar w:fldCharType="separate"/>
      </w:r>
      <w:r>
        <w:rPr>
          <w:rStyle w:val="26"/>
        </w:rPr>
        <w:t>8  工程质量验收</w:t>
      </w:r>
      <w:r>
        <w:tab/>
      </w:r>
      <w:r>
        <w:fldChar w:fldCharType="begin"/>
      </w:r>
      <w:r>
        <w:instrText xml:space="preserve"> PAGEREF _Toc87885968 \h </w:instrText>
      </w:r>
      <w:r>
        <w:fldChar w:fldCharType="separate"/>
      </w:r>
      <w:r>
        <w:t>32</w:t>
      </w:r>
      <w:r>
        <w:fldChar w:fldCharType="end"/>
      </w:r>
      <w:r>
        <w:fldChar w:fldCharType="end"/>
      </w:r>
    </w:p>
    <w:p>
      <w:pPr>
        <w:pStyle w:val="8"/>
        <w:tabs>
          <w:tab w:val="right" w:leader="dot" w:pos="8296"/>
        </w:tabs>
      </w:pPr>
      <w:r>
        <w:fldChar w:fldCharType="begin"/>
      </w:r>
      <w:r>
        <w:instrText xml:space="preserve"> HYPERLINK \l "_Toc87885969" </w:instrText>
      </w:r>
      <w:r>
        <w:fldChar w:fldCharType="separate"/>
      </w:r>
      <w:r>
        <w:rPr>
          <w:rStyle w:val="26"/>
          <w:lang w:bidi="en-US"/>
        </w:rPr>
        <w:t>8.1  一般规定</w:t>
      </w:r>
      <w:r>
        <w:tab/>
      </w:r>
      <w:r>
        <w:fldChar w:fldCharType="begin"/>
      </w:r>
      <w:r>
        <w:instrText xml:space="preserve"> PAGEREF _Toc87885969 \h </w:instrText>
      </w:r>
      <w:r>
        <w:fldChar w:fldCharType="separate"/>
      </w:r>
      <w:r>
        <w:t>32</w:t>
      </w:r>
      <w:r>
        <w:fldChar w:fldCharType="end"/>
      </w:r>
      <w:r>
        <w:fldChar w:fldCharType="end"/>
      </w:r>
    </w:p>
    <w:p>
      <w:pPr>
        <w:pStyle w:val="8"/>
        <w:tabs>
          <w:tab w:val="right" w:leader="dot" w:pos="8296"/>
        </w:tabs>
      </w:pPr>
      <w:r>
        <w:fldChar w:fldCharType="begin"/>
      </w:r>
      <w:r>
        <w:instrText xml:space="preserve"> HYPERLINK \l "_Toc87885970" </w:instrText>
      </w:r>
      <w:r>
        <w:fldChar w:fldCharType="separate"/>
      </w:r>
      <w:r>
        <w:rPr>
          <w:rStyle w:val="26"/>
          <w:lang w:bidi="en-US"/>
        </w:rPr>
        <w:t>8.2  屋面防水工程</w:t>
      </w:r>
      <w:r>
        <w:tab/>
      </w:r>
      <w:r>
        <w:fldChar w:fldCharType="begin"/>
      </w:r>
      <w:r>
        <w:instrText xml:space="preserve"> PAGEREF _Toc87885970 \h </w:instrText>
      </w:r>
      <w:r>
        <w:fldChar w:fldCharType="separate"/>
      </w:r>
      <w:r>
        <w:t>32</w:t>
      </w:r>
      <w:r>
        <w:fldChar w:fldCharType="end"/>
      </w:r>
      <w:r>
        <w:fldChar w:fldCharType="end"/>
      </w:r>
    </w:p>
    <w:p>
      <w:pPr>
        <w:pStyle w:val="8"/>
        <w:tabs>
          <w:tab w:val="right" w:leader="dot" w:pos="8296"/>
        </w:tabs>
      </w:pPr>
      <w:r>
        <w:fldChar w:fldCharType="begin"/>
      </w:r>
      <w:r>
        <w:instrText xml:space="preserve"> HYPERLINK \l "_Toc87885971" </w:instrText>
      </w:r>
      <w:r>
        <w:fldChar w:fldCharType="separate"/>
      </w:r>
      <w:r>
        <w:rPr>
          <w:rStyle w:val="26"/>
          <w:lang w:bidi="en-US"/>
        </w:rPr>
        <w:t>8.3  地下防水工程</w:t>
      </w:r>
      <w:r>
        <w:tab/>
      </w:r>
      <w:r>
        <w:fldChar w:fldCharType="begin"/>
      </w:r>
      <w:r>
        <w:instrText xml:space="preserve"> PAGEREF _Toc87885971 \h </w:instrText>
      </w:r>
      <w:r>
        <w:fldChar w:fldCharType="separate"/>
      </w:r>
      <w:r>
        <w:t>34</w:t>
      </w:r>
      <w:r>
        <w:fldChar w:fldCharType="end"/>
      </w:r>
      <w:r>
        <w:fldChar w:fldCharType="end"/>
      </w:r>
    </w:p>
    <w:p>
      <w:pPr>
        <w:pStyle w:val="8"/>
        <w:tabs>
          <w:tab w:val="right" w:leader="dot" w:pos="8296"/>
        </w:tabs>
      </w:pPr>
      <w:r>
        <w:fldChar w:fldCharType="begin"/>
      </w:r>
      <w:r>
        <w:instrText xml:space="preserve"> HYPERLINK \l "_Toc87885972" </w:instrText>
      </w:r>
      <w:r>
        <w:fldChar w:fldCharType="separate"/>
      </w:r>
      <w:r>
        <w:rPr>
          <w:rStyle w:val="26"/>
          <w:lang w:bidi="en-US"/>
        </w:rPr>
        <w:t>8.4  非固化注浆工程</w:t>
      </w:r>
      <w:r>
        <w:tab/>
      </w:r>
      <w:r>
        <w:fldChar w:fldCharType="begin"/>
      </w:r>
      <w:r>
        <w:instrText xml:space="preserve"> PAGEREF _Toc87885972 \h </w:instrText>
      </w:r>
      <w:r>
        <w:fldChar w:fldCharType="separate"/>
      </w:r>
      <w:r>
        <w:t>35</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"_Toc87885973" </w:instrText>
      </w:r>
      <w:r>
        <w:fldChar w:fldCharType="separate"/>
      </w:r>
      <w:r>
        <w:rPr>
          <w:rStyle w:val="26"/>
        </w:rPr>
        <w:t>附录A  与卷材复合的立面抗滑移性试验方法</w:t>
      </w:r>
      <w:r>
        <w:tab/>
      </w:r>
      <w:r>
        <w:fldChar w:fldCharType="begin"/>
      </w:r>
      <w:r>
        <w:instrText xml:space="preserve"> PAGEREF _Toc87885973 \h </w:instrText>
      </w:r>
      <w:r>
        <w:fldChar w:fldCharType="separate"/>
      </w:r>
      <w:r>
        <w:t>37</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"_Toc87885974" </w:instrText>
      </w:r>
      <w:r>
        <w:fldChar w:fldCharType="separate"/>
      </w:r>
      <w:r>
        <w:rPr>
          <w:rStyle w:val="26"/>
        </w:rPr>
        <w:t>本规程用词说明</w:t>
      </w:r>
      <w:r>
        <w:tab/>
      </w:r>
      <w:r>
        <w:fldChar w:fldCharType="begin"/>
      </w:r>
      <w:r>
        <w:instrText xml:space="preserve"> PAGEREF _Toc87885974 \h </w:instrText>
      </w:r>
      <w:r>
        <w:fldChar w:fldCharType="separate"/>
      </w:r>
      <w:r>
        <w:t>38</w:t>
      </w:r>
      <w:r>
        <w:fldChar w:fldCharType="end"/>
      </w:r>
      <w:r>
        <w:fldChar w:fldCharType="end"/>
      </w:r>
    </w:p>
    <w:p>
      <w:pPr>
        <w:pStyle w:val="14"/>
        <w:tabs>
          <w:tab w:val="right" w:leader="dot" w:pos="8296"/>
        </w:tabs>
        <w:rPr>
          <w:rFonts w:asciiTheme="minorHAnsi" w:hAnsiTheme="minorHAnsi" w:eastAsiaTheme="minorEastAsia" w:cstheme="minorBidi"/>
          <w:szCs w:val="22"/>
        </w:rPr>
      </w:pPr>
      <w:r>
        <w:fldChar w:fldCharType="begin"/>
      </w:r>
      <w:r>
        <w:instrText xml:space="preserve"> HYPERLINK \l "_Toc87885975" </w:instrText>
      </w:r>
      <w:r>
        <w:fldChar w:fldCharType="separate"/>
      </w:r>
      <w:r>
        <w:rPr>
          <w:rStyle w:val="26"/>
        </w:rPr>
        <w:t>引用规程名录</w:t>
      </w:r>
      <w:r>
        <w:tab/>
      </w:r>
      <w:r>
        <w:fldChar w:fldCharType="begin"/>
      </w:r>
      <w:r>
        <w:instrText xml:space="preserve"> PAGEREF _Toc87885975 \h </w:instrText>
      </w:r>
      <w:r>
        <w:fldChar w:fldCharType="separate"/>
      </w:r>
      <w:r>
        <w:t>39</w:t>
      </w:r>
      <w:r>
        <w:fldChar w:fldCharType="end"/>
      </w:r>
      <w:r>
        <w:fldChar w:fldCharType="end"/>
      </w:r>
    </w:p>
    <w:p>
      <w:pPr>
        <w:pStyle w:val="14"/>
        <w:tabs>
          <w:tab w:val="right" w:leader="dot" w:pos="8296"/>
        </w:tabs>
      </w:pPr>
      <w:r>
        <w:fldChar w:fldCharType="begin"/>
      </w:r>
      <w:r>
        <w:instrText xml:space="preserve"> HYPERLINK \l "_Toc87885976" </w:instrText>
      </w:r>
      <w:r>
        <w:fldChar w:fldCharType="separate"/>
      </w:r>
      <w:r>
        <w:rPr>
          <w:rFonts w:hint="eastAsia"/>
        </w:rPr>
        <w:t>条文说明</w:t>
      </w:r>
      <w:r>
        <w:tab/>
      </w:r>
      <w:r>
        <w:fldChar w:fldCharType="begin"/>
      </w:r>
      <w:r>
        <w:instrText xml:space="preserve"> PAGEREF _Toc87885976 \h </w:instrText>
      </w:r>
      <w:r>
        <w:fldChar w:fldCharType="separate"/>
      </w:r>
      <w:r>
        <w:t>4</w:t>
      </w:r>
      <w:r>
        <w:fldChar w:fldCharType="end"/>
      </w:r>
      <w:r>
        <w:fldChar w:fldCharType="end"/>
      </w:r>
      <w:r>
        <w:t>0</w:t>
      </w:r>
    </w:p>
    <w:p>
      <w:pPr>
        <w:widowControl/>
        <w:jc w:val="left"/>
        <w:rPr>
          <w:bCs/>
          <w:sz w:val="30"/>
          <w:szCs w:val="20"/>
        </w:rPr>
        <w:sectPr>
          <w:footerReference r:id="rId3" w:type="default"/>
          <w:pgSz w:w="11906" w:h="16838"/>
          <w:pgMar w:top="1440" w:right="1800" w:bottom="1440" w:left="1800" w:header="851" w:footer="992" w:gutter="0"/>
          <w:cols w:space="425" w:num="1"/>
          <w:docGrid w:type="lines" w:linePitch="312" w:charSpace="0"/>
        </w:sectPr>
      </w:pPr>
      <w:r>
        <w:rPr>
          <w:rFonts w:eastAsia="黑体"/>
          <w:sz w:val="30"/>
          <w:szCs w:val="30"/>
        </w:rPr>
        <w:fldChar w:fldCharType="end"/>
      </w:r>
      <w:r>
        <w:rPr>
          <w:rFonts w:eastAsia="黑体"/>
          <w:sz w:val="30"/>
          <w:szCs w:val="30"/>
        </w:rPr>
        <w:t xml:space="preserve"> </w:t>
      </w:r>
      <w:bookmarkStart w:id="1" w:name="_Toc369245639"/>
      <w:r>
        <w:rPr>
          <w:bCs/>
          <w:sz w:val="30"/>
          <w:szCs w:val="20"/>
        </w:rPr>
        <w:br w:type="page"/>
      </w:r>
    </w:p>
    <w:p>
      <w:pPr>
        <w:widowControl/>
        <w:jc w:val="center"/>
        <w:rPr>
          <w:rFonts w:eastAsia="黑体"/>
          <w:sz w:val="30"/>
          <w:szCs w:val="30"/>
        </w:rPr>
      </w:pPr>
      <w:r>
        <w:rPr>
          <w:rFonts w:eastAsia="黑体"/>
          <w:sz w:val="30"/>
          <w:szCs w:val="30"/>
        </w:rPr>
        <w:t>Contents</w:t>
      </w:r>
    </w:p>
    <w:p>
      <w:pPr>
        <w:tabs>
          <w:tab w:val="right" w:leader="dot" w:pos="8296"/>
        </w:tabs>
        <w:rPr>
          <w:rFonts w:ascii="等线" w:hAnsi="等线" w:eastAsia="等线"/>
          <w:szCs w:val="22"/>
        </w:rPr>
      </w:pPr>
      <w:r>
        <w:t>1  General provisions</w:t>
      </w:r>
      <w:r>
        <w:tab/>
      </w:r>
      <w:r>
        <w:t>1</w:t>
      </w:r>
    </w:p>
    <w:p>
      <w:pPr>
        <w:tabs>
          <w:tab w:val="right" w:leader="dot" w:pos="8296"/>
        </w:tabs>
        <w:rPr>
          <w:rFonts w:eastAsia="等线"/>
          <w:szCs w:val="22"/>
        </w:rPr>
      </w:pPr>
      <w:r>
        <w:t>2  Terms</w:t>
      </w:r>
      <w:r>
        <w:tab/>
      </w:r>
      <w:r>
        <w:t>2</w:t>
      </w:r>
    </w:p>
    <w:p>
      <w:pPr>
        <w:tabs>
          <w:tab w:val="right" w:leader="dot" w:pos="8296"/>
        </w:tabs>
        <w:rPr>
          <w:rFonts w:eastAsia="等线"/>
          <w:szCs w:val="22"/>
        </w:rPr>
      </w:pPr>
      <w:r>
        <w:t>3  Basic requirements</w:t>
      </w:r>
      <w:r>
        <w:tab/>
      </w:r>
      <w:r>
        <w:t>3</w:t>
      </w:r>
    </w:p>
    <w:p>
      <w:pPr>
        <w:tabs>
          <w:tab w:val="right" w:leader="dot" w:pos="8296"/>
        </w:tabs>
        <w:rPr>
          <w:rFonts w:eastAsia="等线"/>
          <w:szCs w:val="22"/>
        </w:rPr>
      </w:pPr>
      <w:r>
        <w:t>4  Materials</w:t>
      </w:r>
      <w:r>
        <w:tab/>
      </w:r>
      <w:r>
        <w:t>5</w:t>
      </w:r>
    </w:p>
    <w:p>
      <w:pPr>
        <w:tabs>
          <w:tab w:val="right" w:leader="dot" w:pos="8296"/>
        </w:tabs>
        <w:rPr>
          <w:rFonts w:eastAsia="等线"/>
          <w:szCs w:val="22"/>
        </w:rPr>
      </w:pPr>
      <w:r>
        <w:t>5  Construction equipments</w:t>
      </w:r>
      <w:r>
        <w:tab/>
      </w:r>
      <w:r>
        <w:fldChar w:fldCharType="begin"/>
      </w:r>
      <w:r>
        <w:instrText xml:space="preserve"> PAGEREF _Toc87885951 \h </w:instrText>
      </w:r>
      <w:r>
        <w:fldChar w:fldCharType="separate"/>
      </w:r>
      <w:r>
        <w:t>8</w:t>
      </w:r>
      <w:r>
        <w:fldChar w:fldCharType="end"/>
      </w:r>
    </w:p>
    <w:p>
      <w:pPr>
        <w:tabs>
          <w:tab w:val="right" w:leader="dot" w:pos="8296"/>
        </w:tabs>
        <w:ind w:left="840" w:leftChars="400"/>
        <w:rPr>
          <w:rFonts w:ascii="等线" w:hAnsi="等线" w:eastAsia="等线 Light"/>
          <w:szCs w:val="22"/>
          <w:lang w:bidi="en-US"/>
        </w:rPr>
      </w:pPr>
      <w:r>
        <w:rPr>
          <w:rFonts w:ascii="等线" w:hAnsi="等线" w:eastAsia="黑体"/>
          <w:szCs w:val="22"/>
          <w:lang w:bidi="en-US"/>
        </w:rPr>
        <w:t xml:space="preserve">5.1  </w:t>
      </w:r>
      <w:r>
        <w:rPr>
          <w:rFonts w:ascii="等线" w:hAnsi="等线" w:eastAsia="等线"/>
          <w:szCs w:val="22"/>
        </w:rPr>
        <w:t>Liquid applied machines</w:t>
      </w:r>
      <w:r>
        <w:rPr>
          <w:rFonts w:ascii="等线" w:hAnsi="等线" w:eastAsia="等线"/>
          <w:szCs w:val="22"/>
        </w:rPr>
        <w:tab/>
      </w:r>
      <w:r>
        <w:rPr>
          <w:rFonts w:ascii="等线" w:hAnsi="等线" w:eastAsia="等线"/>
          <w:szCs w:val="22"/>
        </w:rPr>
        <w:t>8</w:t>
      </w:r>
    </w:p>
    <w:p>
      <w:pPr>
        <w:tabs>
          <w:tab w:val="right" w:leader="dot" w:pos="8296"/>
        </w:tabs>
        <w:ind w:left="840" w:leftChars="400"/>
        <w:rPr>
          <w:rFonts w:ascii="等线" w:hAnsi="等线" w:eastAsia="等线 Light"/>
          <w:szCs w:val="22"/>
          <w:lang w:bidi="en-US"/>
        </w:rPr>
      </w:pPr>
      <w:r>
        <w:rPr>
          <w:rFonts w:ascii="等线" w:hAnsi="等线" w:eastAsia="等线 Light"/>
          <w:szCs w:val="22"/>
          <w:lang w:bidi="en-US"/>
        </w:rPr>
        <w:t xml:space="preserve">5.2  </w:t>
      </w:r>
      <w:r>
        <w:rPr>
          <w:rFonts w:ascii="等线" w:hAnsi="等线" w:eastAsia="等线"/>
          <w:szCs w:val="22"/>
        </w:rPr>
        <w:t>Underground grouting machines</w:t>
      </w:r>
      <w:r>
        <w:rPr>
          <w:rFonts w:ascii="等线" w:hAnsi="等线" w:eastAsia="等线"/>
          <w:szCs w:val="22"/>
        </w:rPr>
        <w:tab/>
      </w:r>
      <w:r>
        <w:rPr>
          <w:rFonts w:ascii="等线" w:hAnsi="等线" w:eastAsia="等线"/>
          <w:szCs w:val="22"/>
        </w:rPr>
        <w:t>8</w:t>
      </w:r>
    </w:p>
    <w:p>
      <w:pPr>
        <w:tabs>
          <w:tab w:val="right" w:leader="dot" w:pos="8296"/>
        </w:tabs>
        <w:rPr>
          <w:rFonts w:eastAsia="等线"/>
          <w:szCs w:val="22"/>
        </w:rPr>
      </w:pPr>
      <w:r>
        <w:t xml:space="preserve">6  </w:t>
      </w:r>
      <w:r>
        <w:rPr>
          <w:lang w:bidi="en-US"/>
        </w:rPr>
        <w:t>Detailings</w:t>
      </w:r>
      <w:r>
        <w:tab/>
      </w:r>
      <w:r>
        <w:fldChar w:fldCharType="begin"/>
      </w:r>
      <w:r>
        <w:instrText xml:space="preserve"> PAGEREF _Toc87885954 \h </w:instrText>
      </w:r>
      <w:r>
        <w:fldChar w:fldCharType="separate"/>
      </w:r>
      <w:r>
        <w:t>9</w:t>
      </w:r>
      <w:r>
        <w:fldChar w:fldCharType="end"/>
      </w:r>
    </w:p>
    <w:p>
      <w:pPr>
        <w:tabs>
          <w:tab w:val="right" w:leader="dot" w:pos="8296"/>
        </w:tabs>
        <w:ind w:left="420" w:leftChars="200"/>
      </w:pPr>
      <w:r>
        <w:fldChar w:fldCharType="begin"/>
      </w:r>
      <w:r>
        <w:instrText xml:space="preserve"> HYPERLINK \l "_Toc87885955" </w:instrText>
      </w:r>
      <w:r>
        <w:fldChar w:fldCharType="separate"/>
      </w:r>
      <w:r>
        <w:t>I  Waterprofing coating with non-curable rubber modified asphalt</w:t>
      </w:r>
      <w:r>
        <w:tab/>
      </w:r>
      <w:r>
        <w:t>9</w:t>
      </w:r>
      <w:r>
        <w:fldChar w:fldCharType="end"/>
      </w:r>
    </w:p>
    <w:p>
      <w:pPr>
        <w:tabs>
          <w:tab w:val="right" w:leader="dot" w:pos="8296"/>
        </w:tabs>
        <w:ind w:left="840" w:leftChars="400"/>
        <w:rPr>
          <w:rFonts w:ascii="等线" w:hAnsi="等线" w:eastAsia="等线"/>
          <w:szCs w:val="22"/>
        </w:rPr>
      </w:pPr>
      <w:r>
        <w:rPr>
          <w:rFonts w:ascii="等线" w:hAnsi="等线" w:eastAsia="等线"/>
          <w:szCs w:val="22"/>
          <w:lang w:bidi="en-US"/>
        </w:rPr>
        <w:t>6.1  Gerneral waterproofing construction</w:t>
      </w:r>
      <w:r>
        <w:rPr>
          <w:rFonts w:ascii="等线" w:hAnsi="等线" w:eastAsia="等线"/>
          <w:szCs w:val="22"/>
        </w:rPr>
        <w:tab/>
      </w:r>
      <w:r>
        <w:rPr>
          <w:rFonts w:ascii="等线" w:hAnsi="等线" w:eastAsia="等线"/>
          <w:szCs w:val="22"/>
        </w:rPr>
        <w:t>9</w:t>
      </w:r>
    </w:p>
    <w:p>
      <w:pPr>
        <w:tabs>
          <w:tab w:val="right" w:leader="dot" w:pos="8296"/>
        </w:tabs>
        <w:ind w:left="840" w:leftChars="400"/>
        <w:rPr>
          <w:rFonts w:ascii="等线" w:hAnsi="等线" w:eastAsia="等线"/>
          <w:szCs w:val="22"/>
        </w:rPr>
      </w:pPr>
      <w:r>
        <w:rPr>
          <w:rFonts w:ascii="等线" w:hAnsi="等线" w:eastAsia="等线"/>
          <w:szCs w:val="22"/>
          <w:lang w:bidi="en-US"/>
        </w:rPr>
        <w:t>6.2  Roof engineering</w:t>
      </w:r>
      <w:r>
        <w:rPr>
          <w:rFonts w:ascii="等线" w:hAnsi="等线" w:eastAsia="等线"/>
          <w:szCs w:val="22"/>
        </w:rPr>
        <w:tab/>
      </w:r>
      <w:r>
        <w:rPr>
          <w:rFonts w:ascii="等线" w:hAnsi="等线" w:eastAsia="等线"/>
          <w:szCs w:val="22"/>
        </w:rPr>
        <w:fldChar w:fldCharType="begin"/>
      </w:r>
      <w:r>
        <w:rPr>
          <w:rFonts w:ascii="等线" w:hAnsi="等线" w:eastAsia="等线"/>
          <w:szCs w:val="22"/>
        </w:rPr>
        <w:instrText xml:space="preserve"> PAGEREF _Toc87885957 \h </w:instrText>
      </w:r>
      <w:r>
        <w:rPr>
          <w:rFonts w:ascii="等线" w:hAnsi="等线" w:eastAsia="等线"/>
          <w:szCs w:val="22"/>
        </w:rPr>
        <w:fldChar w:fldCharType="separate"/>
      </w:r>
      <w:r>
        <w:rPr>
          <w:rFonts w:ascii="等线" w:hAnsi="等线" w:eastAsia="等线"/>
          <w:szCs w:val="22"/>
        </w:rPr>
        <w:t>10</w:t>
      </w:r>
      <w:r>
        <w:rPr>
          <w:rFonts w:ascii="等线" w:hAnsi="等线" w:eastAsia="等线"/>
          <w:szCs w:val="22"/>
        </w:rPr>
        <w:fldChar w:fldCharType="end"/>
      </w:r>
    </w:p>
    <w:p>
      <w:pPr>
        <w:tabs>
          <w:tab w:val="right" w:leader="dot" w:pos="8296"/>
        </w:tabs>
        <w:ind w:left="840" w:leftChars="400"/>
        <w:rPr>
          <w:rFonts w:ascii="等线" w:hAnsi="等线" w:eastAsia="等线"/>
          <w:szCs w:val="22"/>
        </w:rPr>
      </w:pPr>
      <w:r>
        <w:rPr>
          <w:rFonts w:ascii="等线" w:hAnsi="等线" w:eastAsia="等线"/>
          <w:szCs w:val="22"/>
          <w:lang w:bidi="en-US"/>
        </w:rPr>
        <w:t>6.3  Underground waterproofing</w:t>
      </w:r>
      <w:r>
        <w:rPr>
          <w:rFonts w:ascii="等线" w:hAnsi="等线" w:eastAsia="等线"/>
          <w:szCs w:val="22"/>
        </w:rPr>
        <w:tab/>
      </w:r>
      <w:r>
        <w:rPr>
          <w:rFonts w:ascii="等线" w:hAnsi="等线" w:eastAsia="等线"/>
          <w:szCs w:val="22"/>
        </w:rPr>
        <w:fldChar w:fldCharType="begin"/>
      </w:r>
      <w:r>
        <w:rPr>
          <w:rFonts w:ascii="等线" w:hAnsi="等线" w:eastAsia="等线"/>
          <w:szCs w:val="22"/>
        </w:rPr>
        <w:instrText xml:space="preserve"> PAGEREF _Toc87885958 \h </w:instrText>
      </w:r>
      <w:r>
        <w:rPr>
          <w:rFonts w:ascii="等线" w:hAnsi="等线" w:eastAsia="等线"/>
          <w:szCs w:val="22"/>
        </w:rPr>
        <w:fldChar w:fldCharType="separate"/>
      </w:r>
      <w:r>
        <w:rPr>
          <w:rFonts w:ascii="等线" w:hAnsi="等线" w:eastAsia="等线"/>
          <w:szCs w:val="22"/>
        </w:rPr>
        <w:t>18</w:t>
      </w:r>
      <w:r>
        <w:rPr>
          <w:rFonts w:ascii="等线" w:hAnsi="等线" w:eastAsia="等线"/>
          <w:szCs w:val="22"/>
        </w:rPr>
        <w:fldChar w:fldCharType="end"/>
      </w:r>
    </w:p>
    <w:p>
      <w:pPr>
        <w:tabs>
          <w:tab w:val="right" w:leader="dot" w:pos="8296"/>
        </w:tabs>
        <w:ind w:left="420" w:leftChars="200"/>
        <w:rPr>
          <w:rFonts w:eastAsia="等线"/>
          <w:szCs w:val="22"/>
        </w:rPr>
      </w:pPr>
      <w:r>
        <w:rPr>
          <w:lang w:bidi="en-US"/>
        </w:rPr>
        <w:t>II Grouting materials with non-curable rubber modified asphalt</w:t>
      </w:r>
      <w:r>
        <w:tab/>
      </w:r>
      <w:r>
        <w:fldChar w:fldCharType="begin"/>
      </w:r>
      <w:r>
        <w:instrText xml:space="preserve"> PAGEREF _Toc87885959 \h </w:instrText>
      </w:r>
      <w:r>
        <w:fldChar w:fldCharType="separate"/>
      </w:r>
      <w:r>
        <w:t>24</w:t>
      </w:r>
      <w:r>
        <w:fldChar w:fldCharType="end"/>
      </w:r>
    </w:p>
    <w:p>
      <w:pPr>
        <w:tabs>
          <w:tab w:val="right" w:leader="dot" w:pos="8296"/>
        </w:tabs>
        <w:ind w:left="840" w:leftChars="400"/>
        <w:rPr>
          <w:rFonts w:ascii="等线" w:hAnsi="等线" w:eastAsia="等线"/>
          <w:szCs w:val="22"/>
        </w:rPr>
      </w:pPr>
      <w:r>
        <w:rPr>
          <w:rFonts w:ascii="等线" w:hAnsi="等线" w:eastAsia="等线"/>
          <w:szCs w:val="22"/>
          <w:lang w:bidi="en-US"/>
        </w:rPr>
        <w:t>6.4  Underground remedial waterproofing</w:t>
      </w:r>
      <w:r>
        <w:rPr>
          <w:rFonts w:ascii="等线" w:hAnsi="等线" w:eastAsia="等线"/>
          <w:szCs w:val="22"/>
        </w:rPr>
        <w:tab/>
      </w:r>
      <w:r>
        <w:rPr>
          <w:rFonts w:ascii="等线" w:hAnsi="等线" w:eastAsia="等线"/>
          <w:szCs w:val="22"/>
        </w:rPr>
        <w:t>24</w:t>
      </w:r>
    </w:p>
    <w:p>
      <w:pPr>
        <w:tabs>
          <w:tab w:val="right" w:leader="dot" w:pos="8296"/>
        </w:tabs>
      </w:pPr>
      <w:r>
        <w:t>7  Construction</w:t>
      </w:r>
      <w:r>
        <w:tab/>
      </w:r>
      <w:r>
        <w:t>28</w:t>
      </w:r>
    </w:p>
    <w:p>
      <w:pPr>
        <w:tabs>
          <w:tab w:val="right" w:leader="dot" w:pos="8296"/>
        </w:tabs>
      </w:pPr>
      <w:r>
        <w:fldChar w:fldCharType="begin"/>
      </w:r>
      <w:r>
        <w:instrText xml:space="preserve"> HYPERLINK \l "_Toc87885962" </w:instrText>
      </w:r>
      <w:r>
        <w:fldChar w:fldCharType="separate"/>
      </w:r>
      <w:r>
        <w:t>7.1  General requirements</w:t>
      </w:r>
      <w:r>
        <w:tab/>
      </w:r>
      <w:r>
        <w:t>28</w:t>
      </w:r>
      <w:r>
        <w:fldChar w:fldCharType="end"/>
      </w:r>
    </w:p>
    <w:p>
      <w:pPr>
        <w:tabs>
          <w:tab w:val="right" w:leader="dot" w:pos="8296"/>
        </w:tabs>
      </w:pPr>
      <w:r>
        <w:fldChar w:fldCharType="begin"/>
      </w:r>
      <w:r>
        <w:instrText xml:space="preserve"> HYPERLINK \l "_Toc87885963" </w:instrText>
      </w:r>
      <w:r>
        <w:fldChar w:fldCharType="separate"/>
      </w:r>
      <w:r>
        <w:t>I  Waterprofing coating with non-curable rubber modified asphalt</w:t>
      </w:r>
      <w:r>
        <w:tab/>
      </w:r>
      <w:r>
        <w:t>28</w:t>
      </w:r>
      <w:r>
        <w:fldChar w:fldCharType="end"/>
      </w:r>
    </w:p>
    <w:p>
      <w:pPr>
        <w:tabs>
          <w:tab w:val="right" w:leader="dot" w:pos="8296"/>
        </w:tabs>
      </w:pPr>
      <w:r>
        <w:fldChar w:fldCharType="begin"/>
      </w:r>
      <w:r>
        <w:instrText xml:space="preserve"> HYPERLINK \l "_Toc87885964" </w:instrText>
      </w:r>
      <w:r>
        <w:fldChar w:fldCharType="separate"/>
      </w:r>
      <w:r>
        <w:t>7.2  Roof Engineering</w:t>
      </w:r>
      <w:r>
        <w:tab/>
      </w:r>
      <w:r>
        <w:t>28</w:t>
      </w:r>
      <w:r>
        <w:fldChar w:fldCharType="end"/>
      </w:r>
    </w:p>
    <w:p>
      <w:pPr>
        <w:tabs>
          <w:tab w:val="right" w:leader="dot" w:pos="8296"/>
        </w:tabs>
      </w:pPr>
      <w:r>
        <w:fldChar w:fldCharType="begin"/>
      </w:r>
      <w:r>
        <w:instrText xml:space="preserve"> HYPERLINK \l "_Toc87885965" </w:instrText>
      </w:r>
      <w:r>
        <w:fldChar w:fldCharType="separate"/>
      </w:r>
      <w:r>
        <w:t>7.3  Underground waterproof Engineering</w:t>
      </w:r>
      <w:r>
        <w:tab/>
      </w:r>
      <w:r>
        <w:t>30</w:t>
      </w:r>
      <w:r>
        <w:fldChar w:fldCharType="end"/>
      </w:r>
    </w:p>
    <w:p>
      <w:pPr>
        <w:tabs>
          <w:tab w:val="right" w:leader="dot" w:pos="8296"/>
        </w:tabs>
      </w:pPr>
      <w:r>
        <w:t>II  Grouting materials with non-curable rubber modified asphalt</w:t>
      </w:r>
      <w:r>
        <w:tab/>
      </w:r>
      <w:r>
        <w:t>30</w:t>
      </w:r>
    </w:p>
    <w:p>
      <w:pPr>
        <w:tabs>
          <w:tab w:val="right" w:leader="dot" w:pos="8296"/>
        </w:tabs>
      </w:pPr>
      <w:r>
        <w:t xml:space="preserve">7.4  </w:t>
      </w:r>
      <w:r>
        <w:rPr>
          <w:rFonts w:hint="eastAsia"/>
        </w:rPr>
        <w:t>R</w:t>
      </w:r>
      <w:r>
        <w:t>emedial waterproofing engineering</w:t>
      </w:r>
      <w:r>
        <w:tab/>
      </w:r>
      <w:r>
        <w:t>30</w:t>
      </w:r>
    </w:p>
    <w:p>
      <w:pPr>
        <w:tabs>
          <w:tab w:val="right" w:leader="dot" w:pos="8296"/>
        </w:tabs>
      </w:pPr>
      <w:r>
        <w:t>8  Acceptance of construction quality</w:t>
      </w:r>
      <w:r>
        <w:tab/>
      </w:r>
      <w:r>
        <w:fldChar w:fldCharType="begin"/>
      </w:r>
      <w:r>
        <w:instrText xml:space="preserve"> PAGEREF _Toc87885968 \h </w:instrText>
      </w:r>
      <w:r>
        <w:fldChar w:fldCharType="separate"/>
      </w:r>
      <w:r>
        <w:t>32</w:t>
      </w:r>
      <w:r>
        <w:fldChar w:fldCharType="end"/>
      </w:r>
    </w:p>
    <w:p>
      <w:pPr>
        <w:tabs>
          <w:tab w:val="right" w:leader="dot" w:pos="8296"/>
        </w:tabs>
      </w:pPr>
      <w:r>
        <w:t>8.1  General requirements</w:t>
      </w:r>
      <w:r>
        <w:tab/>
      </w:r>
      <w:r>
        <w:fldChar w:fldCharType="begin"/>
      </w:r>
      <w:r>
        <w:instrText xml:space="preserve"> PAGEREF _Toc87885969 \h </w:instrText>
      </w:r>
      <w:r>
        <w:fldChar w:fldCharType="separate"/>
      </w:r>
      <w:r>
        <w:t>32</w:t>
      </w:r>
      <w:r>
        <w:fldChar w:fldCharType="end"/>
      </w:r>
    </w:p>
    <w:p>
      <w:pPr>
        <w:tabs>
          <w:tab w:val="right" w:leader="dot" w:pos="8296"/>
        </w:tabs>
      </w:pPr>
      <w:r>
        <w:t>8.2  Roof engineering</w:t>
      </w:r>
      <w:r>
        <w:tab/>
      </w:r>
      <w:r>
        <w:fldChar w:fldCharType="begin"/>
      </w:r>
      <w:r>
        <w:instrText xml:space="preserve"> PAGEREF _Toc87885970 \h </w:instrText>
      </w:r>
      <w:r>
        <w:fldChar w:fldCharType="separate"/>
      </w:r>
      <w:r>
        <w:t>32</w:t>
      </w:r>
      <w:r>
        <w:fldChar w:fldCharType="end"/>
      </w:r>
    </w:p>
    <w:p>
      <w:pPr>
        <w:tabs>
          <w:tab w:val="right" w:leader="dot" w:pos="8296"/>
        </w:tabs>
      </w:pPr>
      <w:r>
        <w:t xml:space="preserve">8.3  </w:t>
      </w:r>
      <w:r>
        <w:rPr>
          <w:rFonts w:hint="eastAsia"/>
        </w:rPr>
        <w:t>Underground</w:t>
      </w:r>
      <w:r>
        <w:t xml:space="preserve"> waterproofing engineering</w:t>
      </w:r>
      <w:r>
        <w:tab/>
      </w:r>
      <w:r>
        <w:t>34</w:t>
      </w:r>
    </w:p>
    <w:p>
      <w:pPr>
        <w:tabs>
          <w:tab w:val="right" w:leader="dot" w:pos="8296"/>
        </w:tabs>
      </w:pPr>
      <w:r>
        <w:t xml:space="preserve">8.4  </w:t>
      </w:r>
      <w:r>
        <w:rPr>
          <w:rFonts w:hint="eastAsia"/>
        </w:rPr>
        <w:t>R</w:t>
      </w:r>
      <w:r>
        <w:t>emedial waterproofing engineering</w:t>
      </w:r>
      <w:r>
        <w:tab/>
      </w:r>
      <w:r>
        <w:t>35</w:t>
      </w:r>
    </w:p>
    <w:p>
      <w:pPr>
        <w:tabs>
          <w:tab w:val="right" w:leader="dot" w:pos="8296"/>
        </w:tabs>
      </w:pPr>
      <w:r>
        <w:rPr>
          <w:rFonts w:hint="eastAsia"/>
        </w:rPr>
        <w:t>Appendix A</w:t>
      </w:r>
      <w:r>
        <w:t xml:space="preserve">  Inspection method for anti-sliding performance </w:t>
      </w:r>
      <w:r>
        <w:rPr>
          <w:rFonts w:hint="eastAsia"/>
        </w:rPr>
        <w:t>b</w:t>
      </w:r>
      <w:r>
        <w:t xml:space="preserve">etween waterproof coating and sheets </w:t>
      </w:r>
      <w:r>
        <w:tab/>
      </w:r>
      <w:r>
        <w:fldChar w:fldCharType="begin"/>
      </w:r>
      <w:r>
        <w:instrText xml:space="preserve"> PAGEREF _Toc87885973 \h </w:instrText>
      </w:r>
      <w:r>
        <w:fldChar w:fldCharType="separate"/>
      </w:r>
      <w:r>
        <w:t>37</w:t>
      </w:r>
      <w:r>
        <w:fldChar w:fldCharType="end"/>
      </w:r>
    </w:p>
    <w:p>
      <w:pPr>
        <w:tabs>
          <w:tab w:val="right" w:leader="dot" w:pos="8296"/>
        </w:tabs>
      </w:pPr>
      <w:r>
        <w:fldChar w:fldCharType="begin"/>
      </w:r>
      <w:r>
        <w:instrText xml:space="preserve"> HYPERLINK \l "_Toc24109854" </w:instrText>
      </w:r>
      <w:r>
        <w:fldChar w:fldCharType="separate"/>
      </w:r>
      <w:r>
        <w:t>Explanation of wording in this specification</w:t>
      </w:r>
      <w:r>
        <w:tab/>
      </w:r>
      <w:r>
        <w:fldChar w:fldCharType="end"/>
      </w:r>
      <w:r>
        <w:t>38</w:t>
      </w:r>
    </w:p>
    <w:p>
      <w:pPr>
        <w:tabs>
          <w:tab w:val="right" w:leader="dot" w:pos="8296"/>
        </w:tabs>
      </w:pPr>
      <w:r>
        <w:t xml:space="preserve">List </w:t>
      </w:r>
      <w:r>
        <w:fldChar w:fldCharType="begin"/>
      </w:r>
      <w:r>
        <w:instrText xml:space="preserve"> HYPERLINK \l "_Toc24109855" </w:instrText>
      </w:r>
      <w:r>
        <w:fldChar w:fldCharType="separate"/>
      </w:r>
      <w:r>
        <w:t>of quoted standards</w:t>
      </w:r>
      <w:r>
        <w:tab/>
      </w:r>
      <w:r>
        <w:t>39</w:t>
      </w:r>
      <w:r>
        <w:fldChar w:fldCharType="end"/>
      </w:r>
    </w:p>
    <w:p>
      <w:pPr>
        <w:widowControl/>
        <w:jc w:val="center"/>
        <w:rPr>
          <w:rFonts w:eastAsia="黑体"/>
          <w:sz w:val="30"/>
          <w:szCs w:val="30"/>
        </w:rPr>
      </w:pPr>
      <w:r>
        <w:fldChar w:fldCharType="begin"/>
      </w:r>
      <w:r>
        <w:instrText xml:space="preserve"> HYPERLINK \l "_Toc24109856" </w:instrText>
      </w:r>
      <w:r>
        <w:fldChar w:fldCharType="separate"/>
      </w:r>
      <w:r>
        <w:t>Addition:Explanation of provisions</w:t>
      </w:r>
      <w:r>
        <w:rPr>
          <w:rFonts w:hint="eastAsia"/>
        </w:rPr>
        <w:t>………………………………………………………………</w:t>
      </w:r>
      <w:r>
        <w:t>40</w:t>
      </w:r>
      <w:r>
        <w:fldChar w:fldCharType="end"/>
      </w:r>
    </w:p>
    <w:p>
      <w:pPr>
        <w:pStyle w:val="14"/>
        <w:tabs>
          <w:tab w:val="right" w:leader="dot" w:pos="8296"/>
        </w:tabs>
        <w:rPr>
          <w:bCs/>
          <w:sz w:val="30"/>
          <w:szCs w:val="20"/>
        </w:rPr>
        <w:sectPr>
          <w:pgSz w:w="11906" w:h="16838"/>
          <w:pgMar w:top="1440" w:right="1800" w:bottom="1440" w:left="1800" w:header="851" w:footer="992" w:gutter="0"/>
          <w:cols w:space="425" w:num="1"/>
          <w:docGrid w:type="lines" w:linePitch="312" w:charSpace="0"/>
        </w:sectPr>
      </w:pPr>
      <w:r>
        <w:rPr>
          <w:rFonts w:eastAsia="黑体"/>
          <w:sz w:val="30"/>
          <w:szCs w:val="30"/>
        </w:rPr>
        <w:fldChar w:fldCharType="begin"/>
      </w:r>
      <w:r>
        <w:rPr>
          <w:rFonts w:eastAsia="黑体"/>
          <w:sz w:val="30"/>
          <w:szCs w:val="30"/>
        </w:rPr>
        <w:instrText xml:space="preserve"> TOC \o "1-3" \h \z \u </w:instrText>
      </w:r>
      <w:r>
        <w:rPr>
          <w:rFonts w:eastAsia="黑体"/>
          <w:sz w:val="30"/>
          <w:szCs w:val="30"/>
        </w:rPr>
        <w:fldChar w:fldCharType="separate"/>
      </w:r>
      <w:r>
        <w:rPr>
          <w:rFonts w:eastAsia="黑体"/>
          <w:sz w:val="30"/>
          <w:szCs w:val="30"/>
        </w:rPr>
        <w:fldChar w:fldCharType="end"/>
      </w:r>
    </w:p>
    <w:p>
      <w:pPr>
        <w:pStyle w:val="2"/>
        <w:tabs>
          <w:tab w:val="left" w:pos="425"/>
        </w:tabs>
        <w:spacing w:before="0" w:after="0" w:line="360" w:lineRule="auto"/>
        <w:jc w:val="center"/>
      </w:pPr>
      <w:bookmarkStart w:id="2" w:name="_Toc87885947"/>
      <w:bookmarkStart w:id="3" w:name="_Toc87885880"/>
      <w:r>
        <w:rPr>
          <w:bCs w:val="0"/>
          <w:sz w:val="30"/>
          <w:szCs w:val="20"/>
        </w:rPr>
        <w:t>1  总  则</w:t>
      </w:r>
      <w:bookmarkEnd w:id="1"/>
      <w:bookmarkEnd w:id="2"/>
      <w:bookmarkEnd w:id="3"/>
    </w:p>
    <w:p>
      <w:pPr>
        <w:spacing w:line="360" w:lineRule="auto"/>
        <w:rPr>
          <w:sz w:val="24"/>
          <w:szCs w:val="20"/>
        </w:rPr>
      </w:pPr>
      <w:r>
        <w:rPr>
          <w:b/>
          <w:sz w:val="24"/>
          <w:szCs w:val="20"/>
        </w:rPr>
        <w:t>1.0.1</w:t>
      </w:r>
      <w:r>
        <w:rPr>
          <w:sz w:val="24"/>
          <w:szCs w:val="20"/>
        </w:rPr>
        <w:t xml:space="preserve">  为规范非固化橡胶沥青防水涂料的施工与质量验收，做到技术先进、经济合理、安全环保、保证工程质量，制定本规程。</w:t>
      </w:r>
    </w:p>
    <w:p>
      <w:pPr>
        <w:spacing w:line="360" w:lineRule="auto"/>
        <w:rPr>
          <w:sz w:val="24"/>
          <w:szCs w:val="20"/>
        </w:rPr>
      </w:pPr>
      <w:r>
        <w:rPr>
          <w:b/>
          <w:sz w:val="24"/>
          <w:szCs w:val="20"/>
        </w:rPr>
        <w:t xml:space="preserve">1.0.2  </w:t>
      </w:r>
      <w:r>
        <w:rPr>
          <w:sz w:val="24"/>
          <w:szCs w:val="20"/>
        </w:rPr>
        <w:t>本规程适用于新建、改扩建或维修工程的屋面及地下等防水工程。</w:t>
      </w:r>
    </w:p>
    <w:p>
      <w:pPr>
        <w:spacing w:line="360" w:lineRule="auto"/>
        <w:rPr>
          <w:sz w:val="24"/>
          <w:szCs w:val="20"/>
        </w:rPr>
      </w:pPr>
      <w:r>
        <w:rPr>
          <w:b/>
          <w:sz w:val="24"/>
          <w:szCs w:val="20"/>
        </w:rPr>
        <w:t>1.0.3</w:t>
      </w:r>
      <w:r>
        <w:rPr>
          <w:sz w:val="24"/>
          <w:szCs w:val="20"/>
        </w:rPr>
        <w:t xml:space="preserve">  非固化橡胶沥青涂料防水工程的构造、施工、质量验收除应符合本规程外，尚应符合国家、行业现行有关标准的规定。</w:t>
      </w:r>
    </w:p>
    <w:p>
      <w:pPr>
        <w:spacing w:line="360" w:lineRule="auto"/>
        <w:rPr>
          <w:rFonts w:eastAsiaTheme="minorEastAsia"/>
          <w:sz w:val="24"/>
        </w:rPr>
      </w:pPr>
    </w:p>
    <w:p>
      <w:pPr>
        <w:widowControl/>
        <w:spacing w:line="360" w:lineRule="auto"/>
        <w:jc w:val="left"/>
        <w:rPr>
          <w:rFonts w:eastAsiaTheme="minorEastAsia"/>
          <w:sz w:val="24"/>
        </w:rPr>
      </w:pPr>
      <w:r>
        <w:rPr>
          <w:rFonts w:eastAsiaTheme="minorEastAsia"/>
          <w:sz w:val="24"/>
        </w:rPr>
        <w:br w:type="page"/>
      </w:r>
    </w:p>
    <w:p>
      <w:pPr>
        <w:pStyle w:val="2"/>
        <w:tabs>
          <w:tab w:val="left" w:pos="425"/>
        </w:tabs>
        <w:spacing w:before="0" w:after="0" w:line="360" w:lineRule="auto"/>
        <w:jc w:val="center"/>
        <w:rPr>
          <w:bCs w:val="0"/>
          <w:sz w:val="30"/>
          <w:szCs w:val="20"/>
        </w:rPr>
      </w:pPr>
      <w:bookmarkStart w:id="4" w:name="_Toc87885881"/>
      <w:bookmarkStart w:id="5" w:name="_Toc87885948"/>
      <w:r>
        <w:rPr>
          <w:bCs w:val="0"/>
          <w:sz w:val="30"/>
          <w:szCs w:val="20"/>
        </w:rPr>
        <w:t>2  术  语</w:t>
      </w:r>
      <w:bookmarkEnd w:id="4"/>
      <w:bookmarkEnd w:id="5"/>
    </w:p>
    <w:p>
      <w:pPr>
        <w:spacing w:line="360" w:lineRule="auto"/>
        <w:rPr>
          <w:sz w:val="24"/>
          <w:szCs w:val="20"/>
        </w:rPr>
      </w:pPr>
      <w:r>
        <w:rPr>
          <w:b/>
          <w:sz w:val="24"/>
          <w:szCs w:val="20"/>
        </w:rPr>
        <w:t>2.0.1</w:t>
      </w:r>
      <w:r>
        <w:rPr>
          <w:sz w:val="24"/>
          <w:szCs w:val="20"/>
        </w:rPr>
        <w:t xml:space="preserve">  非固化橡胶沥青防水涂料  non-curable rubber modified asphalt coating for waterproofing</w:t>
      </w:r>
    </w:p>
    <w:p>
      <w:pPr>
        <w:spacing w:line="360" w:lineRule="auto"/>
        <w:ind w:firstLine="480" w:firstLineChars="200"/>
        <w:rPr>
          <w:sz w:val="24"/>
          <w:szCs w:val="20"/>
        </w:rPr>
      </w:pPr>
      <w:r>
        <w:rPr>
          <w:sz w:val="24"/>
          <w:szCs w:val="20"/>
        </w:rPr>
        <w:t>以石油沥青为原料，以橡胶及添加剂等为改性材料配制而成，施工后在有效使用期内不固化，具有蠕变性和自愈合功能的弹塑性膏状材料。</w:t>
      </w:r>
    </w:p>
    <w:p>
      <w:pPr>
        <w:spacing w:line="360" w:lineRule="auto"/>
        <w:rPr>
          <w:sz w:val="24"/>
          <w:szCs w:val="20"/>
        </w:rPr>
      </w:pPr>
      <w:r>
        <w:rPr>
          <w:b/>
          <w:sz w:val="24"/>
          <w:szCs w:val="20"/>
        </w:rPr>
        <w:t xml:space="preserve">2.0.2  </w:t>
      </w:r>
      <w:r>
        <w:rPr>
          <w:sz w:val="24"/>
          <w:szCs w:val="20"/>
        </w:rPr>
        <w:t>复合防水层  multilayer compound waterproof layer</w:t>
      </w:r>
    </w:p>
    <w:p>
      <w:pPr>
        <w:spacing w:line="360" w:lineRule="auto"/>
        <w:ind w:firstLine="480" w:firstLineChars="200"/>
        <w:rPr>
          <w:sz w:val="24"/>
          <w:szCs w:val="20"/>
        </w:rPr>
      </w:pPr>
      <w:r>
        <w:rPr>
          <w:sz w:val="24"/>
          <w:szCs w:val="20"/>
        </w:rPr>
        <w:t>由非固化橡胶沥青涂料和相容的卷材或覆面增强材料组合而成的防水层。</w:t>
      </w:r>
    </w:p>
    <w:p>
      <w:pPr>
        <w:spacing w:line="360" w:lineRule="auto"/>
        <w:rPr>
          <w:sz w:val="24"/>
          <w:szCs w:val="20"/>
        </w:rPr>
      </w:pPr>
      <w:r>
        <w:rPr>
          <w:b/>
          <w:sz w:val="24"/>
          <w:szCs w:val="20"/>
        </w:rPr>
        <w:t xml:space="preserve">2.0.3  </w:t>
      </w:r>
      <w:r>
        <w:rPr>
          <w:sz w:val="24"/>
          <w:szCs w:val="20"/>
        </w:rPr>
        <w:t>相容性  compatibility</w:t>
      </w:r>
    </w:p>
    <w:p>
      <w:pPr>
        <w:spacing w:line="360" w:lineRule="auto"/>
        <w:ind w:firstLine="480" w:firstLineChars="200"/>
        <w:rPr>
          <w:sz w:val="24"/>
          <w:szCs w:val="20"/>
        </w:rPr>
      </w:pPr>
      <w:r>
        <w:rPr>
          <w:sz w:val="24"/>
          <w:szCs w:val="20"/>
        </w:rPr>
        <w:t>相邻两种材料之间互不产生有害的物理和化学作用的性能。</w:t>
      </w:r>
    </w:p>
    <w:p>
      <w:pPr>
        <w:spacing w:line="360" w:lineRule="auto"/>
        <w:rPr>
          <w:sz w:val="24"/>
          <w:szCs w:val="20"/>
        </w:rPr>
      </w:pPr>
      <w:r>
        <w:rPr>
          <w:b/>
          <w:sz w:val="24"/>
          <w:szCs w:val="20"/>
        </w:rPr>
        <w:t>2.0.4</w:t>
      </w:r>
      <w:r>
        <w:rPr>
          <w:sz w:val="24"/>
          <w:szCs w:val="20"/>
        </w:rPr>
        <w:t xml:space="preserve">  增强材料  reinforcement material</w:t>
      </w:r>
    </w:p>
    <w:p>
      <w:pPr>
        <w:spacing w:line="360" w:lineRule="auto"/>
        <w:ind w:firstLine="480" w:firstLineChars="200"/>
        <w:rPr>
          <w:sz w:val="24"/>
          <w:szCs w:val="20"/>
        </w:rPr>
      </w:pPr>
      <w:r>
        <w:rPr>
          <w:sz w:val="24"/>
          <w:szCs w:val="20"/>
        </w:rPr>
        <w:t>夹铺在非固化橡胶沥青涂层中或覆盖在涂层表面起到增涂层机械性能的材料。</w:t>
      </w:r>
    </w:p>
    <w:p>
      <w:pPr>
        <w:spacing w:line="360" w:lineRule="auto"/>
        <w:ind w:firstLine="480" w:firstLineChars="200"/>
        <w:rPr>
          <w:sz w:val="24"/>
          <w:szCs w:val="20"/>
        </w:rPr>
      </w:pPr>
    </w:p>
    <w:p>
      <w:pPr>
        <w:widowControl/>
        <w:jc w:val="left"/>
        <w:rPr>
          <w:b/>
          <w:kern w:val="44"/>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6" w:name="_Toc87885949"/>
      <w:bookmarkStart w:id="7" w:name="_Toc87885882"/>
      <w:r>
        <w:rPr>
          <w:bCs w:val="0"/>
          <w:sz w:val="30"/>
          <w:szCs w:val="20"/>
        </w:rPr>
        <w:t>3  基 本 规 定</w:t>
      </w:r>
      <w:bookmarkEnd w:id="6"/>
      <w:bookmarkEnd w:id="7"/>
    </w:p>
    <w:p>
      <w:pPr>
        <w:spacing w:line="360" w:lineRule="auto"/>
        <w:rPr>
          <w:b/>
          <w:sz w:val="24"/>
          <w:szCs w:val="20"/>
        </w:rPr>
      </w:pPr>
    </w:p>
    <w:p>
      <w:pPr>
        <w:spacing w:line="360" w:lineRule="auto"/>
        <w:rPr>
          <w:sz w:val="24"/>
          <w:szCs w:val="20"/>
        </w:rPr>
      </w:pPr>
      <w:r>
        <w:rPr>
          <w:b/>
          <w:sz w:val="24"/>
          <w:szCs w:val="20"/>
        </w:rPr>
        <w:t>3.0.1</w:t>
      </w:r>
      <w:r>
        <w:rPr>
          <w:sz w:val="24"/>
          <w:szCs w:val="20"/>
        </w:rPr>
        <w:t xml:space="preserve">  根据建筑物的性质、重要程度、防水设防等级、使用功能要求等，选择非固化橡胶沥青防水涂料复合防水层。</w:t>
      </w:r>
    </w:p>
    <w:p>
      <w:pPr>
        <w:spacing w:line="360" w:lineRule="auto"/>
        <w:rPr>
          <w:sz w:val="24"/>
          <w:szCs w:val="20"/>
        </w:rPr>
      </w:pPr>
      <w:r>
        <w:rPr>
          <w:b/>
          <w:sz w:val="24"/>
          <w:szCs w:val="20"/>
        </w:rPr>
        <w:t xml:space="preserve">3.0.2  </w:t>
      </w:r>
      <w:r>
        <w:rPr>
          <w:sz w:val="24"/>
          <w:szCs w:val="20"/>
        </w:rPr>
        <w:t>非固化橡胶沥青防水涂料应和防水卷材配合使用。</w:t>
      </w:r>
    </w:p>
    <w:p>
      <w:pPr>
        <w:spacing w:line="360" w:lineRule="auto"/>
        <w:rPr>
          <w:sz w:val="24"/>
          <w:szCs w:val="20"/>
        </w:rPr>
      </w:pPr>
      <w:r>
        <w:rPr>
          <w:b/>
          <w:sz w:val="24"/>
          <w:szCs w:val="20"/>
        </w:rPr>
        <w:t xml:space="preserve">3.0.3  </w:t>
      </w:r>
      <w:r>
        <w:rPr>
          <w:sz w:val="24"/>
          <w:szCs w:val="20"/>
        </w:rPr>
        <w:t>非固化橡胶沥青防水涂料复合防水层中涂料或卷材的最小厚度应符合表3.0.3-1和表3.0.3-2的规定：</w:t>
      </w:r>
    </w:p>
    <w:p>
      <w:pPr>
        <w:spacing w:line="360" w:lineRule="auto"/>
        <w:jc w:val="center"/>
        <w:rPr>
          <w:b/>
          <w:sz w:val="24"/>
          <w:szCs w:val="20"/>
        </w:rPr>
      </w:pPr>
      <w:r>
        <w:rPr>
          <w:b/>
          <w:sz w:val="24"/>
          <w:szCs w:val="20"/>
        </w:rPr>
        <w:t xml:space="preserve">表3.0.3-1  </w:t>
      </w:r>
      <w:r>
        <w:rPr>
          <w:sz w:val="24"/>
          <w:szCs w:val="20"/>
        </w:rPr>
        <w:t>屋面工程复合防水层的最小厚度（mm）</w:t>
      </w:r>
    </w:p>
    <w:tbl>
      <w:tblPr>
        <w:tblStyle w:val="22"/>
        <w:tblW w:w="8647" w:type="dxa"/>
        <w:tblInd w:w="-172" w:type="dxa"/>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Layout w:type="fixed"/>
        <w:tblCellMar>
          <w:top w:w="0" w:type="dxa"/>
          <w:left w:w="108" w:type="dxa"/>
          <w:bottom w:w="0" w:type="dxa"/>
          <w:right w:w="108" w:type="dxa"/>
        </w:tblCellMar>
      </w:tblPr>
      <w:tblGrid>
        <w:gridCol w:w="850"/>
        <w:gridCol w:w="1949"/>
        <w:gridCol w:w="1949"/>
        <w:gridCol w:w="1949"/>
        <w:gridCol w:w="1950"/>
      </w:tblGrid>
      <w:tr>
        <w:tblPrEx>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CellMar>
            <w:top w:w="0" w:type="dxa"/>
            <w:left w:w="108" w:type="dxa"/>
            <w:bottom w:w="0" w:type="dxa"/>
            <w:right w:w="108" w:type="dxa"/>
          </w:tblCellMar>
        </w:tblPrEx>
        <w:tc>
          <w:tcPr>
            <w:tcW w:w="850" w:type="dxa"/>
            <w:vAlign w:val="center"/>
          </w:tcPr>
          <w:p>
            <w:pPr>
              <w:jc w:val="center"/>
            </w:pPr>
            <w:r>
              <w:t>防水</w:t>
            </w:r>
          </w:p>
          <w:p>
            <w:pPr>
              <w:jc w:val="center"/>
            </w:pPr>
            <w:r>
              <w:t>等级</w:t>
            </w:r>
          </w:p>
        </w:tc>
        <w:tc>
          <w:tcPr>
            <w:tcW w:w="1949" w:type="dxa"/>
            <w:shd w:val="clear" w:color="auto" w:fill="auto"/>
            <w:vAlign w:val="center"/>
          </w:tcPr>
          <w:p>
            <w:pPr>
              <w:jc w:val="center"/>
            </w:pPr>
            <w:r>
              <w:t>非固化橡胶沥青涂料+高分子膜基无胎自粘聚合物改性沥青防水卷材或非固化橡胶沥青防水卷材</w:t>
            </w:r>
          </w:p>
        </w:tc>
        <w:tc>
          <w:tcPr>
            <w:tcW w:w="1949" w:type="dxa"/>
            <w:vAlign w:val="center"/>
          </w:tcPr>
          <w:p>
            <w:pPr>
              <w:jc w:val="center"/>
            </w:pPr>
            <w:r>
              <w:t>非固化橡胶沥青涂料+自粘聚酯胎聚合物改性沥青防水卷材</w:t>
            </w:r>
          </w:p>
        </w:tc>
        <w:tc>
          <w:tcPr>
            <w:tcW w:w="1949" w:type="dxa"/>
            <w:vAlign w:val="center"/>
          </w:tcPr>
          <w:p>
            <w:pPr>
              <w:jc w:val="center"/>
            </w:pPr>
            <w:r>
              <w:t>非固化橡胶沥青涂料+高聚物改性沥青防水卷材（聚酯胎）</w:t>
            </w:r>
          </w:p>
        </w:tc>
        <w:tc>
          <w:tcPr>
            <w:tcW w:w="1950" w:type="dxa"/>
            <w:vAlign w:val="center"/>
          </w:tcPr>
          <w:p>
            <w:pPr>
              <w:jc w:val="center"/>
            </w:pPr>
            <w:r>
              <w:t>非固化橡胶沥青涂料+聚乙烯丙纶防水卷材</w:t>
            </w:r>
          </w:p>
        </w:tc>
      </w:tr>
      <w:tr>
        <w:tblPrEx>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CellMar>
            <w:top w:w="0" w:type="dxa"/>
            <w:left w:w="108" w:type="dxa"/>
            <w:bottom w:w="0" w:type="dxa"/>
            <w:right w:w="108" w:type="dxa"/>
          </w:tblCellMar>
        </w:tblPrEx>
        <w:tc>
          <w:tcPr>
            <w:tcW w:w="850" w:type="dxa"/>
            <w:vAlign w:val="center"/>
          </w:tcPr>
          <w:p>
            <w:pPr>
              <w:jc w:val="center"/>
            </w:pPr>
            <w:r>
              <w:fldChar w:fldCharType="begin"/>
            </w:r>
            <w:r>
              <w:instrText xml:space="preserve"> = 1 \* ROMAN </w:instrText>
            </w:r>
            <w:r>
              <w:fldChar w:fldCharType="separate"/>
            </w:r>
            <w:r>
              <w:t>I</w:t>
            </w:r>
            <w:r>
              <w:fldChar w:fldCharType="end"/>
            </w:r>
            <w:r>
              <w:t>级</w:t>
            </w:r>
          </w:p>
        </w:tc>
        <w:tc>
          <w:tcPr>
            <w:tcW w:w="1949" w:type="dxa"/>
          </w:tcPr>
          <w:p>
            <w:pPr>
              <w:jc w:val="center"/>
            </w:pPr>
            <w:r>
              <w:t>2.0+1.5</w:t>
            </w:r>
          </w:p>
        </w:tc>
        <w:tc>
          <w:tcPr>
            <w:tcW w:w="1949" w:type="dxa"/>
          </w:tcPr>
          <w:p>
            <w:pPr>
              <w:jc w:val="center"/>
            </w:pPr>
            <w:r>
              <w:t>2.0+3.0</w:t>
            </w:r>
          </w:p>
        </w:tc>
        <w:tc>
          <w:tcPr>
            <w:tcW w:w="1949" w:type="dxa"/>
            <w:vAlign w:val="center"/>
          </w:tcPr>
          <w:p>
            <w:pPr>
              <w:jc w:val="center"/>
            </w:pPr>
            <w:r>
              <w:t>2.0+3.0</w:t>
            </w:r>
          </w:p>
        </w:tc>
        <w:tc>
          <w:tcPr>
            <w:tcW w:w="1950" w:type="dxa"/>
          </w:tcPr>
          <w:p>
            <w:pPr>
              <w:jc w:val="center"/>
            </w:pPr>
            <w:r>
              <w:t>（2.0+0.7）×2</w:t>
            </w:r>
          </w:p>
        </w:tc>
      </w:tr>
      <w:tr>
        <w:tblPrEx>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CellMar>
            <w:top w:w="0" w:type="dxa"/>
            <w:left w:w="108" w:type="dxa"/>
            <w:bottom w:w="0" w:type="dxa"/>
            <w:right w:w="108" w:type="dxa"/>
          </w:tblCellMar>
        </w:tblPrEx>
        <w:tc>
          <w:tcPr>
            <w:tcW w:w="850" w:type="dxa"/>
            <w:vAlign w:val="center"/>
          </w:tcPr>
          <w:p>
            <w:pPr>
              <w:jc w:val="center"/>
            </w:pPr>
            <w:r>
              <w:fldChar w:fldCharType="begin"/>
            </w:r>
            <w:r>
              <w:instrText xml:space="preserve"> = 2 \* ROMAN </w:instrText>
            </w:r>
            <w:r>
              <w:fldChar w:fldCharType="separate"/>
            </w:r>
            <w:r>
              <w:t>II</w:t>
            </w:r>
            <w:r>
              <w:fldChar w:fldCharType="end"/>
            </w:r>
            <w:r>
              <w:t>级</w:t>
            </w:r>
          </w:p>
        </w:tc>
        <w:tc>
          <w:tcPr>
            <w:tcW w:w="1949" w:type="dxa"/>
            <w:vAlign w:val="center"/>
          </w:tcPr>
          <w:p>
            <w:pPr>
              <w:jc w:val="center"/>
            </w:pPr>
            <w:r>
              <w:t>1.5+1.5</w:t>
            </w:r>
          </w:p>
        </w:tc>
        <w:tc>
          <w:tcPr>
            <w:tcW w:w="1949" w:type="dxa"/>
            <w:vAlign w:val="center"/>
          </w:tcPr>
          <w:p>
            <w:pPr>
              <w:jc w:val="center"/>
            </w:pPr>
            <w:r>
              <w:t>1.5+3.0</w:t>
            </w:r>
          </w:p>
        </w:tc>
        <w:tc>
          <w:tcPr>
            <w:tcW w:w="1949" w:type="dxa"/>
            <w:vAlign w:val="center"/>
          </w:tcPr>
          <w:p>
            <w:pPr>
              <w:jc w:val="center"/>
            </w:pPr>
            <w:r>
              <w:t>1.5+3.0</w:t>
            </w:r>
          </w:p>
        </w:tc>
        <w:tc>
          <w:tcPr>
            <w:tcW w:w="1950" w:type="dxa"/>
          </w:tcPr>
          <w:p>
            <w:pPr>
              <w:jc w:val="center"/>
            </w:pPr>
            <w:r>
              <w:t>2.0+0.8</w:t>
            </w:r>
          </w:p>
        </w:tc>
      </w:tr>
    </w:tbl>
    <w:p>
      <w:pPr>
        <w:spacing w:line="360" w:lineRule="auto"/>
        <w:jc w:val="center"/>
        <w:rPr>
          <w:b/>
          <w:sz w:val="24"/>
          <w:szCs w:val="20"/>
        </w:rPr>
      </w:pPr>
    </w:p>
    <w:p>
      <w:pPr>
        <w:spacing w:line="360" w:lineRule="auto"/>
        <w:jc w:val="center"/>
        <w:rPr>
          <w:b/>
          <w:sz w:val="24"/>
          <w:szCs w:val="20"/>
        </w:rPr>
      </w:pPr>
      <w:r>
        <w:rPr>
          <w:b/>
          <w:sz w:val="24"/>
          <w:szCs w:val="20"/>
        </w:rPr>
        <w:t xml:space="preserve">表3.0.3-2  </w:t>
      </w:r>
      <w:r>
        <w:rPr>
          <w:sz w:val="24"/>
          <w:szCs w:val="20"/>
        </w:rPr>
        <w:t>地下工程复合防水层的最小厚度（mm）</w:t>
      </w:r>
    </w:p>
    <w:tbl>
      <w:tblPr>
        <w:tblStyle w:val="22"/>
        <w:tblW w:w="8647" w:type="dxa"/>
        <w:tblInd w:w="-172" w:type="dxa"/>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Layout w:type="fixed"/>
        <w:tblCellMar>
          <w:top w:w="0" w:type="dxa"/>
          <w:left w:w="108" w:type="dxa"/>
          <w:bottom w:w="0" w:type="dxa"/>
          <w:right w:w="108" w:type="dxa"/>
        </w:tblCellMar>
      </w:tblPr>
      <w:tblGrid>
        <w:gridCol w:w="850"/>
        <w:gridCol w:w="1949"/>
        <w:gridCol w:w="1949"/>
        <w:gridCol w:w="1949"/>
        <w:gridCol w:w="1950"/>
      </w:tblGrid>
      <w:tr>
        <w:tblPrEx>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CellMar>
            <w:top w:w="0" w:type="dxa"/>
            <w:left w:w="108" w:type="dxa"/>
            <w:bottom w:w="0" w:type="dxa"/>
            <w:right w:w="108" w:type="dxa"/>
          </w:tblCellMar>
        </w:tblPrEx>
        <w:tc>
          <w:tcPr>
            <w:tcW w:w="850" w:type="dxa"/>
            <w:vAlign w:val="center"/>
          </w:tcPr>
          <w:p>
            <w:pPr>
              <w:jc w:val="center"/>
              <w:rPr>
                <w:sz w:val="22"/>
                <w:szCs w:val="20"/>
              </w:rPr>
            </w:pPr>
            <w:r>
              <w:rPr>
                <w:sz w:val="22"/>
                <w:szCs w:val="20"/>
              </w:rPr>
              <w:t>防水</w:t>
            </w:r>
          </w:p>
          <w:p>
            <w:pPr>
              <w:jc w:val="center"/>
              <w:rPr>
                <w:sz w:val="22"/>
                <w:szCs w:val="20"/>
              </w:rPr>
            </w:pPr>
            <w:r>
              <w:rPr>
                <w:sz w:val="22"/>
                <w:szCs w:val="20"/>
              </w:rPr>
              <w:t>等级</w:t>
            </w:r>
          </w:p>
        </w:tc>
        <w:tc>
          <w:tcPr>
            <w:tcW w:w="1949" w:type="dxa"/>
            <w:vAlign w:val="center"/>
          </w:tcPr>
          <w:p>
            <w:pPr>
              <w:jc w:val="center"/>
              <w:rPr>
                <w:sz w:val="22"/>
                <w:szCs w:val="20"/>
              </w:rPr>
            </w:pPr>
            <w:r>
              <w:rPr>
                <w:sz w:val="22"/>
                <w:szCs w:val="20"/>
              </w:rPr>
              <w:t>非固化橡胶沥青涂料+高分子膜基无胎自粘聚合物改性沥青防水卷材</w:t>
            </w:r>
          </w:p>
        </w:tc>
        <w:tc>
          <w:tcPr>
            <w:tcW w:w="1949" w:type="dxa"/>
            <w:vAlign w:val="center"/>
          </w:tcPr>
          <w:p>
            <w:pPr>
              <w:jc w:val="center"/>
              <w:rPr>
                <w:sz w:val="22"/>
                <w:szCs w:val="20"/>
              </w:rPr>
            </w:pPr>
            <w:r>
              <w:rPr>
                <w:sz w:val="22"/>
                <w:szCs w:val="20"/>
              </w:rPr>
              <w:t>非固化橡胶沥青涂料+自粘聚酯胎聚合物改性沥青防水卷材</w:t>
            </w:r>
          </w:p>
        </w:tc>
        <w:tc>
          <w:tcPr>
            <w:tcW w:w="1949" w:type="dxa"/>
            <w:vAlign w:val="center"/>
          </w:tcPr>
          <w:p>
            <w:pPr>
              <w:jc w:val="center"/>
              <w:rPr>
                <w:sz w:val="22"/>
                <w:szCs w:val="20"/>
              </w:rPr>
            </w:pPr>
            <w:r>
              <w:rPr>
                <w:sz w:val="22"/>
                <w:szCs w:val="20"/>
              </w:rPr>
              <w:t>非固化橡胶沥青涂料+高聚物改性沥青防水卷材（聚酯胎）</w:t>
            </w:r>
          </w:p>
        </w:tc>
        <w:tc>
          <w:tcPr>
            <w:tcW w:w="1950" w:type="dxa"/>
            <w:vAlign w:val="center"/>
          </w:tcPr>
          <w:p>
            <w:pPr>
              <w:jc w:val="center"/>
              <w:rPr>
                <w:sz w:val="22"/>
                <w:szCs w:val="20"/>
              </w:rPr>
            </w:pPr>
            <w:r>
              <w:rPr>
                <w:sz w:val="22"/>
                <w:szCs w:val="20"/>
              </w:rPr>
              <w:t>非固化橡胶沥青涂料+聚乙烯丙纶防水卷材</w:t>
            </w:r>
          </w:p>
        </w:tc>
      </w:tr>
      <w:tr>
        <w:tblPrEx>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CellMar>
            <w:top w:w="0" w:type="dxa"/>
            <w:left w:w="108" w:type="dxa"/>
            <w:bottom w:w="0" w:type="dxa"/>
            <w:right w:w="108" w:type="dxa"/>
          </w:tblCellMar>
        </w:tblPrEx>
        <w:tc>
          <w:tcPr>
            <w:tcW w:w="850" w:type="dxa"/>
            <w:vAlign w:val="center"/>
          </w:tcPr>
          <w:p>
            <w:pPr>
              <w:jc w:val="center"/>
              <w:rPr>
                <w:sz w:val="22"/>
                <w:szCs w:val="20"/>
              </w:rPr>
            </w:pPr>
            <w:r>
              <w:rPr>
                <w:sz w:val="22"/>
                <w:szCs w:val="20"/>
              </w:rPr>
              <w:fldChar w:fldCharType="begin"/>
            </w:r>
            <w:r>
              <w:rPr>
                <w:sz w:val="22"/>
                <w:szCs w:val="20"/>
              </w:rPr>
              <w:instrText xml:space="preserve"> = 1 \* ROMAN </w:instrText>
            </w:r>
            <w:r>
              <w:rPr>
                <w:sz w:val="22"/>
                <w:szCs w:val="20"/>
              </w:rPr>
              <w:fldChar w:fldCharType="separate"/>
            </w:r>
            <w:r>
              <w:rPr>
                <w:sz w:val="22"/>
                <w:szCs w:val="20"/>
              </w:rPr>
              <w:t>I</w:t>
            </w:r>
            <w:r>
              <w:rPr>
                <w:sz w:val="22"/>
                <w:szCs w:val="20"/>
              </w:rPr>
              <w:fldChar w:fldCharType="end"/>
            </w:r>
            <w:r>
              <w:rPr>
                <w:sz w:val="22"/>
                <w:szCs w:val="20"/>
              </w:rPr>
              <w:t>级</w:t>
            </w:r>
          </w:p>
        </w:tc>
        <w:tc>
          <w:tcPr>
            <w:tcW w:w="1949" w:type="dxa"/>
            <w:vAlign w:val="center"/>
          </w:tcPr>
          <w:p>
            <w:pPr>
              <w:jc w:val="center"/>
              <w:rPr>
                <w:sz w:val="22"/>
                <w:szCs w:val="20"/>
              </w:rPr>
            </w:pPr>
            <w:r>
              <w:rPr>
                <w:sz w:val="22"/>
                <w:szCs w:val="20"/>
              </w:rPr>
              <w:t>2.0+1.5</w:t>
            </w:r>
          </w:p>
        </w:tc>
        <w:tc>
          <w:tcPr>
            <w:tcW w:w="1949" w:type="dxa"/>
            <w:vAlign w:val="center"/>
          </w:tcPr>
          <w:p>
            <w:pPr>
              <w:jc w:val="center"/>
              <w:rPr>
                <w:sz w:val="22"/>
                <w:szCs w:val="20"/>
              </w:rPr>
            </w:pPr>
            <w:r>
              <w:rPr>
                <w:sz w:val="22"/>
                <w:szCs w:val="20"/>
              </w:rPr>
              <w:t>2.0+3.0</w:t>
            </w:r>
          </w:p>
        </w:tc>
        <w:tc>
          <w:tcPr>
            <w:tcW w:w="1949" w:type="dxa"/>
            <w:vAlign w:val="center"/>
          </w:tcPr>
          <w:p>
            <w:pPr>
              <w:jc w:val="center"/>
              <w:rPr>
                <w:sz w:val="22"/>
                <w:szCs w:val="20"/>
              </w:rPr>
            </w:pPr>
            <w:r>
              <w:rPr>
                <w:sz w:val="22"/>
                <w:szCs w:val="20"/>
              </w:rPr>
              <w:t>2.0+4.0</w:t>
            </w:r>
          </w:p>
        </w:tc>
        <w:tc>
          <w:tcPr>
            <w:tcW w:w="1950" w:type="dxa"/>
            <w:vAlign w:val="center"/>
          </w:tcPr>
          <w:p>
            <w:pPr>
              <w:jc w:val="center"/>
              <w:rPr>
                <w:sz w:val="22"/>
                <w:szCs w:val="20"/>
              </w:rPr>
            </w:pPr>
            <w:r>
              <w:rPr>
                <w:sz w:val="22"/>
                <w:szCs w:val="20"/>
              </w:rPr>
              <w:t>（2.0+0.8）×2</w:t>
            </w:r>
          </w:p>
        </w:tc>
      </w:tr>
      <w:tr>
        <w:tblPrEx>
          <w:tblBorders>
            <w:top w:val="thinThickSmallGap" w:color="auto" w:sz="12" w:space="0"/>
            <w:left w:val="thinThickSmallGap" w:color="auto" w:sz="12" w:space="0"/>
            <w:bottom w:val="thickThinSmallGap" w:color="auto" w:sz="12" w:space="0"/>
            <w:right w:val="thickThinSmallGap" w:color="auto" w:sz="12" w:space="0"/>
            <w:insideH w:val="double" w:color="auto" w:sz="4" w:space="0"/>
            <w:insideV w:val="double" w:color="auto" w:sz="4" w:space="0"/>
          </w:tblBorders>
          <w:tblCellMar>
            <w:top w:w="0" w:type="dxa"/>
            <w:left w:w="108" w:type="dxa"/>
            <w:bottom w:w="0" w:type="dxa"/>
            <w:right w:w="108" w:type="dxa"/>
          </w:tblCellMar>
        </w:tblPrEx>
        <w:tc>
          <w:tcPr>
            <w:tcW w:w="850" w:type="dxa"/>
            <w:vAlign w:val="center"/>
          </w:tcPr>
          <w:p>
            <w:pPr>
              <w:jc w:val="center"/>
              <w:rPr>
                <w:sz w:val="22"/>
                <w:szCs w:val="20"/>
              </w:rPr>
            </w:pPr>
            <w:r>
              <w:rPr>
                <w:sz w:val="22"/>
                <w:szCs w:val="20"/>
              </w:rPr>
              <w:fldChar w:fldCharType="begin"/>
            </w:r>
            <w:r>
              <w:rPr>
                <w:sz w:val="22"/>
                <w:szCs w:val="20"/>
              </w:rPr>
              <w:instrText xml:space="preserve"> = 2 \* ROMAN </w:instrText>
            </w:r>
            <w:r>
              <w:rPr>
                <w:sz w:val="22"/>
                <w:szCs w:val="20"/>
              </w:rPr>
              <w:fldChar w:fldCharType="separate"/>
            </w:r>
            <w:r>
              <w:rPr>
                <w:sz w:val="22"/>
                <w:szCs w:val="20"/>
              </w:rPr>
              <w:t>II</w:t>
            </w:r>
            <w:r>
              <w:rPr>
                <w:sz w:val="22"/>
                <w:szCs w:val="20"/>
              </w:rPr>
              <w:fldChar w:fldCharType="end"/>
            </w:r>
            <w:r>
              <w:rPr>
                <w:sz w:val="22"/>
                <w:szCs w:val="20"/>
              </w:rPr>
              <w:t>级</w:t>
            </w:r>
          </w:p>
        </w:tc>
        <w:tc>
          <w:tcPr>
            <w:tcW w:w="1949" w:type="dxa"/>
            <w:vAlign w:val="center"/>
          </w:tcPr>
          <w:p>
            <w:pPr>
              <w:jc w:val="center"/>
              <w:rPr>
                <w:sz w:val="22"/>
                <w:szCs w:val="20"/>
              </w:rPr>
            </w:pPr>
            <w:r>
              <w:rPr>
                <w:sz w:val="22"/>
                <w:szCs w:val="20"/>
              </w:rPr>
              <w:t>1.5+1.5</w:t>
            </w:r>
          </w:p>
        </w:tc>
        <w:tc>
          <w:tcPr>
            <w:tcW w:w="1949" w:type="dxa"/>
            <w:vAlign w:val="center"/>
          </w:tcPr>
          <w:p>
            <w:pPr>
              <w:jc w:val="center"/>
              <w:rPr>
                <w:sz w:val="22"/>
                <w:szCs w:val="20"/>
              </w:rPr>
            </w:pPr>
            <w:r>
              <w:rPr>
                <w:sz w:val="22"/>
                <w:szCs w:val="20"/>
              </w:rPr>
              <w:t>1.5+3.0</w:t>
            </w:r>
          </w:p>
        </w:tc>
        <w:tc>
          <w:tcPr>
            <w:tcW w:w="1949" w:type="dxa"/>
            <w:vAlign w:val="center"/>
          </w:tcPr>
          <w:p>
            <w:pPr>
              <w:jc w:val="center"/>
              <w:rPr>
                <w:sz w:val="22"/>
                <w:szCs w:val="20"/>
              </w:rPr>
            </w:pPr>
            <w:r>
              <w:rPr>
                <w:sz w:val="22"/>
                <w:szCs w:val="20"/>
              </w:rPr>
              <w:t>1.5+3.0</w:t>
            </w:r>
          </w:p>
        </w:tc>
        <w:tc>
          <w:tcPr>
            <w:tcW w:w="1950" w:type="dxa"/>
            <w:vAlign w:val="center"/>
          </w:tcPr>
          <w:p>
            <w:pPr>
              <w:jc w:val="center"/>
              <w:rPr>
                <w:sz w:val="22"/>
                <w:szCs w:val="20"/>
              </w:rPr>
            </w:pPr>
            <w:r>
              <w:rPr>
                <w:sz w:val="22"/>
                <w:szCs w:val="20"/>
              </w:rPr>
              <w:t>（1.5+0.7）×2</w:t>
            </w:r>
          </w:p>
        </w:tc>
      </w:tr>
    </w:tbl>
    <w:p>
      <w:pPr>
        <w:spacing w:line="360" w:lineRule="auto"/>
        <w:rPr>
          <w:sz w:val="24"/>
          <w:szCs w:val="20"/>
        </w:rPr>
      </w:pPr>
      <w:r>
        <w:rPr>
          <w:b/>
          <w:sz w:val="24"/>
          <w:szCs w:val="20"/>
        </w:rPr>
        <w:t>3.0.4</w:t>
      </w:r>
      <w:r>
        <w:rPr>
          <w:sz w:val="24"/>
          <w:szCs w:val="20"/>
        </w:rPr>
        <w:t xml:space="preserve">  非固化橡胶沥青防水涂料不得外露使用。屋面工程单独使用时，应在涂层内夹铺胎体增强材料，并在涂层表面覆盖隔离层，平面使用时，涂料的厚度不低于2.5mm。立面使用时，涂料的厚度不低于2.0mm。</w:t>
      </w:r>
    </w:p>
    <w:p>
      <w:pPr>
        <w:spacing w:line="360" w:lineRule="auto"/>
        <w:rPr>
          <w:b/>
          <w:sz w:val="24"/>
          <w:szCs w:val="20"/>
        </w:rPr>
      </w:pPr>
      <w:r>
        <w:rPr>
          <w:b/>
          <w:sz w:val="24"/>
          <w:szCs w:val="20"/>
        </w:rPr>
        <w:t xml:space="preserve">3.0.5  </w:t>
      </w:r>
      <w:r>
        <w:rPr>
          <w:sz w:val="24"/>
          <w:szCs w:val="20"/>
        </w:rPr>
        <w:t>与非固化橡胶沥青涂料直接接触的材料应具有相容性。</w:t>
      </w:r>
    </w:p>
    <w:p>
      <w:pPr>
        <w:spacing w:line="360" w:lineRule="auto"/>
        <w:rPr>
          <w:sz w:val="24"/>
          <w:szCs w:val="20"/>
        </w:rPr>
      </w:pPr>
      <w:r>
        <w:rPr>
          <w:b/>
          <w:sz w:val="24"/>
          <w:szCs w:val="20"/>
        </w:rPr>
        <w:t xml:space="preserve">3.0.6  </w:t>
      </w:r>
      <w:r>
        <w:rPr>
          <w:sz w:val="24"/>
          <w:szCs w:val="20"/>
        </w:rPr>
        <w:t>穿出地下室顶板、屋面、地下室外墙的管道、设施和预埋件等，应在防水层施工前安装牢固。</w:t>
      </w:r>
    </w:p>
    <w:p>
      <w:pPr>
        <w:spacing w:line="360" w:lineRule="auto"/>
        <w:rPr>
          <w:sz w:val="24"/>
          <w:szCs w:val="20"/>
        </w:rPr>
      </w:pPr>
      <w:r>
        <w:rPr>
          <w:b/>
          <w:sz w:val="24"/>
          <w:szCs w:val="20"/>
        </w:rPr>
        <w:t>3.0.7</w:t>
      </w:r>
      <w:r>
        <w:rPr>
          <w:sz w:val="24"/>
          <w:szCs w:val="20"/>
        </w:rPr>
        <w:t xml:space="preserve">  防水层的基层应充分养护，并做到表面坚固、平整、干净，无起皮、起砂等现象；基层宜干燥。</w:t>
      </w:r>
    </w:p>
    <w:p>
      <w:pPr>
        <w:spacing w:line="360" w:lineRule="auto"/>
        <w:rPr>
          <w:sz w:val="24"/>
          <w:szCs w:val="20"/>
        </w:rPr>
      </w:pPr>
      <w:r>
        <w:rPr>
          <w:b/>
          <w:sz w:val="24"/>
          <w:szCs w:val="20"/>
        </w:rPr>
        <w:t>3.0.8</w:t>
      </w:r>
      <w:r>
        <w:rPr>
          <w:sz w:val="24"/>
          <w:szCs w:val="20"/>
        </w:rPr>
        <w:t xml:space="preserve">  非固化橡胶沥青防水涂料施工应符合下列规定：</w:t>
      </w:r>
    </w:p>
    <w:p>
      <w:pPr>
        <w:spacing w:line="360" w:lineRule="auto"/>
        <w:ind w:firstLine="482" w:firstLineChars="200"/>
        <w:rPr>
          <w:sz w:val="24"/>
          <w:szCs w:val="20"/>
        </w:rPr>
      </w:pPr>
      <w:r>
        <w:rPr>
          <w:b/>
          <w:sz w:val="24"/>
          <w:szCs w:val="20"/>
        </w:rPr>
        <w:t xml:space="preserve">1  </w:t>
      </w:r>
      <w:r>
        <w:rPr>
          <w:sz w:val="24"/>
          <w:szCs w:val="20"/>
        </w:rPr>
        <w:t>施工人员应穿戴防护服和防护用品；高空作业时，操作人员必须系好安全带并扣好保险钩。</w:t>
      </w:r>
    </w:p>
    <w:p>
      <w:pPr>
        <w:spacing w:line="360" w:lineRule="auto"/>
        <w:ind w:firstLine="482" w:firstLineChars="200"/>
        <w:rPr>
          <w:sz w:val="24"/>
          <w:szCs w:val="20"/>
        </w:rPr>
      </w:pPr>
      <w:r>
        <w:rPr>
          <w:b/>
          <w:sz w:val="24"/>
          <w:szCs w:val="20"/>
        </w:rPr>
        <w:t xml:space="preserve">2  </w:t>
      </w:r>
      <w:r>
        <w:rPr>
          <w:sz w:val="24"/>
          <w:szCs w:val="20"/>
        </w:rPr>
        <w:t>屋面周边和预留孔洞部位： 临边应连续设置两道防护栏杆，高度不低于1.2m，并设置密目式安全立网封闭严密。短边长度1.5m以下的洞口，应用坚实盖板封闭，有防止挪动、位移的措施，盖板应加警示标识；短边长度超过1.5m的洞口，四周必须搭设两道不低于1.2m的防护栏杆，孔洞中间设置水平安全网。若洞口尺寸过大，无法设置水平安全网的，应按照临边防护标准进行防护。</w:t>
      </w:r>
    </w:p>
    <w:p>
      <w:pPr>
        <w:spacing w:line="360" w:lineRule="auto"/>
        <w:ind w:firstLine="482" w:firstLineChars="200"/>
        <w:rPr>
          <w:sz w:val="24"/>
          <w:szCs w:val="20"/>
        </w:rPr>
      </w:pPr>
      <w:r>
        <w:rPr>
          <w:b/>
          <w:sz w:val="24"/>
          <w:szCs w:val="20"/>
        </w:rPr>
        <w:t xml:space="preserve">3  </w:t>
      </w:r>
      <w:r>
        <w:rPr>
          <w:sz w:val="24"/>
          <w:szCs w:val="20"/>
        </w:rPr>
        <w:t>雨天、雪天不得施工，四级风以上时不宜施工。</w:t>
      </w:r>
    </w:p>
    <w:p>
      <w:pPr>
        <w:spacing w:line="360" w:lineRule="auto"/>
        <w:ind w:firstLine="482" w:firstLineChars="200"/>
        <w:rPr>
          <w:sz w:val="24"/>
          <w:szCs w:val="20"/>
        </w:rPr>
      </w:pPr>
      <w:r>
        <w:rPr>
          <w:b/>
          <w:sz w:val="24"/>
          <w:szCs w:val="20"/>
        </w:rPr>
        <w:t xml:space="preserve">4  </w:t>
      </w:r>
      <w:r>
        <w:rPr>
          <w:sz w:val="24"/>
          <w:szCs w:val="20"/>
        </w:rPr>
        <w:t>施工环境温度宜为5℃～35℃，不宜在低于-10℃及高于35℃或烈日曝晒下施工。</w:t>
      </w:r>
    </w:p>
    <w:p>
      <w:pPr>
        <w:spacing w:line="360" w:lineRule="auto"/>
        <w:rPr>
          <w:sz w:val="24"/>
          <w:szCs w:val="20"/>
        </w:rPr>
      </w:pPr>
      <w:r>
        <w:rPr>
          <w:b/>
          <w:sz w:val="24"/>
          <w:szCs w:val="20"/>
        </w:rPr>
        <w:t xml:space="preserve">3.0.9  </w:t>
      </w:r>
      <w:r>
        <w:rPr>
          <w:sz w:val="24"/>
          <w:szCs w:val="20"/>
        </w:rPr>
        <w:t>防水层完成后应采取成品保护措施，不得在防水层上凿孔、打洞、利器划伤或重物撞击。</w:t>
      </w:r>
    </w:p>
    <w:p>
      <w:pPr>
        <w:spacing w:line="360" w:lineRule="auto"/>
        <w:rPr>
          <w:sz w:val="24"/>
          <w:szCs w:val="20"/>
        </w:rPr>
      </w:pPr>
      <w:r>
        <w:rPr>
          <w:b/>
          <w:sz w:val="24"/>
          <w:szCs w:val="20"/>
        </w:rPr>
        <w:t xml:space="preserve">3.0.10  </w:t>
      </w:r>
      <w:r>
        <w:rPr>
          <w:sz w:val="24"/>
          <w:szCs w:val="20"/>
        </w:rPr>
        <w:t>非固化橡胶沥青防水涂料的适用环境如表3.0.10所示。</w:t>
      </w:r>
    </w:p>
    <w:p>
      <w:pPr>
        <w:spacing w:line="360" w:lineRule="auto"/>
        <w:jc w:val="center"/>
        <w:rPr>
          <w:sz w:val="24"/>
          <w:szCs w:val="20"/>
        </w:rPr>
      </w:pPr>
      <w:r>
        <w:rPr>
          <w:b/>
          <w:sz w:val="24"/>
          <w:szCs w:val="20"/>
        </w:rPr>
        <w:t xml:space="preserve">表3.0.10  </w:t>
      </w:r>
      <w:r>
        <w:rPr>
          <w:sz w:val="24"/>
          <w:szCs w:val="20"/>
        </w:rPr>
        <w:t>非固化橡胶沥青防水涂料的适用环境</w:t>
      </w:r>
    </w:p>
    <w:tbl>
      <w:tblPr>
        <w:tblStyle w:val="23"/>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6"/>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应用部位</w:t>
            </w:r>
          </w:p>
        </w:tc>
        <w:tc>
          <w:tcPr>
            <w:tcW w:w="4253" w:type="dxa"/>
            <w:vAlign w:val="center"/>
          </w:tcPr>
          <w:p>
            <w:pPr>
              <w:jc w:val="center"/>
              <w:rPr>
                <w:spacing w:val="4"/>
                <w:kern w:val="0"/>
                <w:szCs w:val="21"/>
              </w:rPr>
            </w:pPr>
            <w:r>
              <w:rPr>
                <w:spacing w:val="4"/>
                <w:kern w:val="0"/>
                <w:szCs w:val="21"/>
              </w:rPr>
              <w:t>适用性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地下室底板</w:t>
            </w:r>
          </w:p>
        </w:tc>
        <w:tc>
          <w:tcPr>
            <w:tcW w:w="4253" w:type="dxa"/>
            <w:vAlign w:val="center"/>
          </w:tcPr>
          <w:p>
            <w:pPr>
              <w:jc w:val="center"/>
              <w:rPr>
                <w:spacing w:val="4"/>
                <w:kern w:val="0"/>
                <w:szCs w:val="21"/>
              </w:rPr>
            </w:pPr>
            <w:r>
              <w:rPr>
                <w:spacing w:val="4"/>
                <w:kern w:val="0"/>
                <w:szCs w:val="21"/>
              </w:rPr>
              <w:t>可用，满粘在稳定地基的垫层上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地下室外墙</w:t>
            </w:r>
          </w:p>
        </w:tc>
        <w:tc>
          <w:tcPr>
            <w:tcW w:w="4253" w:type="dxa"/>
            <w:vAlign w:val="center"/>
          </w:tcPr>
          <w:p>
            <w:pPr>
              <w:jc w:val="center"/>
              <w:rPr>
                <w:spacing w:val="4"/>
                <w:kern w:val="0"/>
                <w:szCs w:val="21"/>
              </w:rPr>
            </w:pPr>
            <w:r>
              <w:rPr>
                <w:spacing w:val="4"/>
                <w:kern w:val="0"/>
                <w:szCs w:val="21"/>
              </w:rPr>
              <w:t>可用，卷材采取防下坠措施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地下室顶板</w:t>
            </w:r>
          </w:p>
        </w:tc>
        <w:tc>
          <w:tcPr>
            <w:tcW w:w="4253" w:type="dxa"/>
            <w:vAlign w:val="center"/>
          </w:tcPr>
          <w:p>
            <w:pPr>
              <w:jc w:val="center"/>
              <w:rPr>
                <w:spacing w:val="4"/>
                <w:kern w:val="0"/>
                <w:szCs w:val="21"/>
              </w:rPr>
            </w:pPr>
            <w:r>
              <w:rPr>
                <w:spacing w:val="4"/>
                <w:kern w:val="0"/>
                <w:szCs w:val="21"/>
              </w:rPr>
              <w:t>可用，满粘在稳定的结构基层上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平屋面</w:t>
            </w:r>
          </w:p>
        </w:tc>
        <w:tc>
          <w:tcPr>
            <w:tcW w:w="4253" w:type="dxa"/>
            <w:vAlign w:val="center"/>
          </w:tcPr>
          <w:p>
            <w:pPr>
              <w:jc w:val="center"/>
              <w:rPr>
                <w:spacing w:val="4"/>
                <w:kern w:val="0"/>
                <w:szCs w:val="21"/>
              </w:rPr>
            </w:pPr>
            <w:r>
              <w:rPr>
                <w:spacing w:val="4"/>
                <w:kern w:val="0"/>
                <w:szCs w:val="21"/>
              </w:rPr>
              <w:t>可用，满粘在稳定的结构基层上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瓦屋面</w:t>
            </w:r>
          </w:p>
        </w:tc>
        <w:tc>
          <w:tcPr>
            <w:tcW w:w="4253" w:type="dxa"/>
            <w:vAlign w:val="center"/>
          </w:tcPr>
          <w:p>
            <w:pPr>
              <w:jc w:val="center"/>
              <w:rPr>
                <w:spacing w:val="4"/>
                <w:kern w:val="0"/>
                <w:szCs w:val="21"/>
              </w:rPr>
            </w:pPr>
            <w:r>
              <w:rPr>
                <w:spacing w:val="4"/>
                <w:kern w:val="0"/>
                <w:szCs w:val="21"/>
              </w:rPr>
              <w:t>不应使用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106" w:type="dxa"/>
            <w:vAlign w:val="center"/>
          </w:tcPr>
          <w:p>
            <w:pPr>
              <w:jc w:val="center"/>
              <w:rPr>
                <w:spacing w:val="4"/>
                <w:kern w:val="0"/>
                <w:szCs w:val="21"/>
              </w:rPr>
            </w:pPr>
            <w:r>
              <w:rPr>
                <w:spacing w:val="4"/>
                <w:kern w:val="0"/>
                <w:szCs w:val="21"/>
              </w:rPr>
              <w:t>室内楼（地）面有水房间</w:t>
            </w:r>
          </w:p>
        </w:tc>
        <w:tc>
          <w:tcPr>
            <w:tcW w:w="4253" w:type="dxa"/>
            <w:vAlign w:val="center"/>
          </w:tcPr>
          <w:p>
            <w:pPr>
              <w:jc w:val="center"/>
              <w:rPr>
                <w:spacing w:val="4"/>
                <w:kern w:val="0"/>
                <w:szCs w:val="21"/>
              </w:rPr>
            </w:pPr>
            <w:r>
              <w:rPr>
                <w:spacing w:val="4"/>
                <w:kern w:val="0"/>
                <w:szCs w:val="21"/>
              </w:rPr>
              <w:t>不建议使用</w:t>
            </w:r>
          </w:p>
        </w:tc>
      </w:tr>
    </w:tbl>
    <w:p>
      <w:pPr>
        <w:spacing w:line="360" w:lineRule="auto"/>
        <w:rPr>
          <w:sz w:val="24"/>
          <w:szCs w:val="20"/>
        </w:rPr>
      </w:pPr>
      <w:r>
        <w:rPr>
          <w:sz w:val="24"/>
          <w:szCs w:val="20"/>
        </w:rPr>
        <w:t>条文说明：缓坡屋面采用非固化橡胶沥青防水涂料时需要慎重使用。因材料本身在高温环境下容易沿坡度向下滑移、流淌，可能存在安全隐患。</w:t>
      </w:r>
    </w:p>
    <w:p>
      <w:pPr>
        <w:spacing w:line="360" w:lineRule="auto"/>
        <w:rPr>
          <w:b/>
          <w:kern w:val="44"/>
          <w:sz w:val="30"/>
          <w:szCs w:val="20"/>
        </w:rPr>
      </w:pPr>
      <w:r>
        <w:rPr>
          <w:b/>
          <w:sz w:val="24"/>
          <w:szCs w:val="20"/>
        </w:rPr>
        <w:t xml:space="preserve">3.0.11  </w:t>
      </w:r>
      <w:r>
        <w:rPr>
          <w:sz w:val="24"/>
          <w:szCs w:val="20"/>
        </w:rPr>
        <w:t>防水层与刚性保护层之间应设置隔离层。</w:t>
      </w:r>
      <w:bookmarkStart w:id="8" w:name="_Toc508629254"/>
      <w:r>
        <w:rPr>
          <w:bCs/>
          <w:sz w:val="30"/>
          <w:szCs w:val="20"/>
        </w:rPr>
        <w:br w:type="page"/>
      </w:r>
    </w:p>
    <w:p>
      <w:pPr>
        <w:pStyle w:val="2"/>
        <w:tabs>
          <w:tab w:val="left" w:pos="425"/>
        </w:tabs>
        <w:spacing w:before="0" w:after="0" w:line="360" w:lineRule="auto"/>
        <w:jc w:val="center"/>
        <w:rPr>
          <w:rFonts w:eastAsiaTheme="majorEastAsia"/>
          <w:sz w:val="32"/>
          <w:szCs w:val="32"/>
        </w:rPr>
      </w:pPr>
      <w:bookmarkStart w:id="9" w:name="_Toc87885950"/>
      <w:bookmarkStart w:id="10" w:name="_Toc87885883"/>
      <w:r>
        <w:rPr>
          <w:bCs w:val="0"/>
          <w:sz w:val="30"/>
          <w:szCs w:val="20"/>
        </w:rPr>
        <w:t>4  材  料</w:t>
      </w:r>
      <w:bookmarkEnd w:id="8"/>
      <w:bookmarkEnd w:id="9"/>
      <w:bookmarkEnd w:id="10"/>
    </w:p>
    <w:p>
      <w:pPr>
        <w:autoSpaceDE w:val="0"/>
        <w:autoSpaceDN w:val="0"/>
        <w:adjustRightInd w:val="0"/>
        <w:spacing w:line="360" w:lineRule="auto"/>
        <w:jc w:val="left"/>
        <w:rPr>
          <w:color w:val="000000"/>
          <w:spacing w:val="4"/>
          <w:sz w:val="28"/>
          <w:szCs w:val="28"/>
        </w:rPr>
      </w:pPr>
      <w:r>
        <w:rPr>
          <w:b/>
          <w:spacing w:val="4"/>
          <w:kern w:val="0"/>
          <w:sz w:val="24"/>
        </w:rPr>
        <w:t>4.1.1</w:t>
      </w:r>
      <w:r>
        <w:rPr>
          <w:spacing w:val="4"/>
          <w:kern w:val="0"/>
          <w:sz w:val="24"/>
        </w:rPr>
        <w:t xml:space="preserve">  非固化橡胶沥青防水涂料的物理性能应符合下列要求：</w:t>
      </w:r>
    </w:p>
    <w:p>
      <w:pPr>
        <w:spacing w:line="360" w:lineRule="auto"/>
        <w:ind w:firstLine="498" w:firstLineChars="200"/>
        <w:rPr>
          <w:sz w:val="24"/>
        </w:rPr>
      </w:pPr>
      <w:r>
        <w:rPr>
          <w:b/>
          <w:color w:val="000000"/>
          <w:spacing w:val="4"/>
          <w:sz w:val="24"/>
        </w:rPr>
        <w:t xml:space="preserve">1  </w:t>
      </w:r>
      <w:r>
        <w:rPr>
          <w:color w:val="000000"/>
          <w:spacing w:val="4"/>
          <w:sz w:val="24"/>
        </w:rPr>
        <w:t>非固化橡胶沥青防水涂料</w:t>
      </w:r>
      <w:r>
        <w:rPr>
          <w:color w:val="000000"/>
          <w:sz w:val="24"/>
        </w:rPr>
        <w:t>的主要物理力学性能指标应符合表4.1.1-1的规定。</w:t>
      </w:r>
    </w:p>
    <w:p>
      <w:pPr>
        <w:spacing w:line="400" w:lineRule="exact"/>
        <w:jc w:val="center"/>
        <w:rPr>
          <w:b/>
          <w:color w:val="000000"/>
          <w:szCs w:val="28"/>
        </w:rPr>
      </w:pPr>
      <w:r>
        <w:rPr>
          <w:b/>
          <w:color w:val="000000"/>
          <w:szCs w:val="28"/>
        </w:rPr>
        <w:t xml:space="preserve">表4.1.1-1  </w:t>
      </w:r>
      <w:r>
        <w:rPr>
          <w:color w:val="000000"/>
          <w:szCs w:val="28"/>
        </w:rPr>
        <w:t>非固化橡胶沥青防水涂料的物理力学性能</w:t>
      </w:r>
    </w:p>
    <w:tbl>
      <w:tblPr>
        <w:tblStyle w:val="22"/>
        <w:tblW w:w="882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490"/>
        <w:gridCol w:w="2835"/>
        <w:gridCol w:w="1751"/>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992" w:type="dxa"/>
            <w:vMerge w:val="restart"/>
            <w:vAlign w:val="center"/>
          </w:tcPr>
          <w:p>
            <w:pPr>
              <w:snapToGrid w:val="0"/>
              <w:jc w:val="center"/>
              <w:rPr>
                <w:sz w:val="24"/>
              </w:rPr>
            </w:pPr>
            <w:r>
              <w:rPr>
                <w:sz w:val="24"/>
              </w:rPr>
              <w:t>序号</w:t>
            </w:r>
          </w:p>
        </w:tc>
        <w:tc>
          <w:tcPr>
            <w:tcW w:w="4325" w:type="dxa"/>
            <w:gridSpan w:val="2"/>
            <w:vMerge w:val="restart"/>
            <w:vAlign w:val="center"/>
          </w:tcPr>
          <w:p>
            <w:pPr>
              <w:snapToGrid w:val="0"/>
              <w:jc w:val="center"/>
              <w:rPr>
                <w:sz w:val="24"/>
              </w:rPr>
            </w:pPr>
            <w:r>
              <w:rPr>
                <w:sz w:val="24"/>
              </w:rPr>
              <w:t>项    目</w:t>
            </w:r>
          </w:p>
        </w:tc>
        <w:tc>
          <w:tcPr>
            <w:tcW w:w="3503" w:type="dxa"/>
            <w:gridSpan w:val="2"/>
            <w:vAlign w:val="center"/>
          </w:tcPr>
          <w:p>
            <w:pPr>
              <w:snapToGrid w:val="0"/>
              <w:jc w:val="center"/>
              <w:rPr>
                <w:sz w:val="24"/>
              </w:rPr>
            </w:pPr>
            <w:r>
              <w:rPr>
                <w:sz w:val="24"/>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992" w:type="dxa"/>
            <w:vMerge w:val="continue"/>
            <w:vAlign w:val="center"/>
          </w:tcPr>
          <w:p>
            <w:pPr>
              <w:snapToGrid w:val="0"/>
              <w:jc w:val="center"/>
              <w:rPr>
                <w:sz w:val="24"/>
              </w:rPr>
            </w:pPr>
          </w:p>
        </w:tc>
        <w:tc>
          <w:tcPr>
            <w:tcW w:w="4325" w:type="dxa"/>
            <w:gridSpan w:val="2"/>
            <w:vMerge w:val="continue"/>
            <w:vAlign w:val="center"/>
          </w:tcPr>
          <w:p>
            <w:pPr>
              <w:snapToGrid w:val="0"/>
              <w:jc w:val="center"/>
              <w:rPr>
                <w:sz w:val="24"/>
              </w:rPr>
            </w:pPr>
          </w:p>
        </w:tc>
        <w:tc>
          <w:tcPr>
            <w:tcW w:w="1751" w:type="dxa"/>
            <w:vAlign w:val="center"/>
          </w:tcPr>
          <w:p>
            <w:pPr>
              <w:snapToGrid w:val="0"/>
              <w:jc w:val="center"/>
              <w:rPr>
                <w:sz w:val="24"/>
              </w:rPr>
            </w:pPr>
            <w:r>
              <w:rPr>
                <w:sz w:val="24"/>
              </w:rPr>
              <w:t xml:space="preserve">H </w:t>
            </w:r>
            <w:r>
              <w:rPr>
                <w:sz w:val="24"/>
                <w:vertAlign w:val="superscript"/>
              </w:rPr>
              <w:t>*</w:t>
            </w:r>
          </w:p>
        </w:tc>
        <w:tc>
          <w:tcPr>
            <w:tcW w:w="1752" w:type="dxa"/>
            <w:vAlign w:val="center"/>
          </w:tcPr>
          <w:p>
            <w:pPr>
              <w:snapToGrid w:val="0"/>
              <w:jc w:val="center"/>
              <w:rPr>
                <w:sz w:val="24"/>
              </w:rPr>
            </w:pPr>
            <w:r>
              <w:rPr>
                <w:sz w:val="24"/>
              </w:rPr>
              <w:t xml:space="preserve">V </w:t>
            </w:r>
            <w:r>
              <w:rPr>
                <w:sz w:val="24"/>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Align w:val="center"/>
          </w:tcPr>
          <w:p>
            <w:pPr>
              <w:snapToGrid w:val="0"/>
              <w:jc w:val="center"/>
              <w:rPr>
                <w:sz w:val="24"/>
              </w:rPr>
            </w:pPr>
            <w:r>
              <w:rPr>
                <w:sz w:val="24"/>
              </w:rPr>
              <w:t>1</w:t>
            </w:r>
          </w:p>
        </w:tc>
        <w:tc>
          <w:tcPr>
            <w:tcW w:w="4325" w:type="dxa"/>
            <w:gridSpan w:val="2"/>
            <w:vAlign w:val="center"/>
          </w:tcPr>
          <w:p>
            <w:pPr>
              <w:wordWrap w:val="0"/>
              <w:snapToGrid w:val="0"/>
              <w:jc w:val="right"/>
              <w:rPr>
                <w:sz w:val="24"/>
              </w:rPr>
            </w:pPr>
            <w:r>
              <w:rPr>
                <w:sz w:val="24"/>
              </w:rPr>
              <w:t>闪点（℃）                ≥</w:t>
            </w:r>
          </w:p>
        </w:tc>
        <w:tc>
          <w:tcPr>
            <w:tcW w:w="3503" w:type="dxa"/>
            <w:gridSpan w:val="2"/>
            <w:vAlign w:val="center"/>
          </w:tcPr>
          <w:p>
            <w:pPr>
              <w:snapToGrid w:val="0"/>
              <w:jc w:val="center"/>
              <w:rPr>
                <w:sz w:val="24"/>
              </w:rPr>
            </w:pPr>
            <w:r>
              <w:rPr>
                <w:sz w:val="24"/>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Align w:val="center"/>
          </w:tcPr>
          <w:p>
            <w:pPr>
              <w:snapToGrid w:val="0"/>
              <w:jc w:val="center"/>
              <w:rPr>
                <w:sz w:val="24"/>
              </w:rPr>
            </w:pPr>
            <w:r>
              <w:rPr>
                <w:sz w:val="24"/>
              </w:rPr>
              <w:t>2</w:t>
            </w:r>
          </w:p>
        </w:tc>
        <w:tc>
          <w:tcPr>
            <w:tcW w:w="4325" w:type="dxa"/>
            <w:gridSpan w:val="2"/>
            <w:vAlign w:val="center"/>
          </w:tcPr>
          <w:p>
            <w:pPr>
              <w:snapToGrid w:val="0"/>
              <w:jc w:val="right"/>
              <w:rPr>
                <w:sz w:val="24"/>
              </w:rPr>
            </w:pPr>
            <w:r>
              <w:rPr>
                <w:sz w:val="24"/>
              </w:rPr>
              <w:t>固含量（%）               ≥</w:t>
            </w:r>
          </w:p>
        </w:tc>
        <w:tc>
          <w:tcPr>
            <w:tcW w:w="3503" w:type="dxa"/>
            <w:gridSpan w:val="2"/>
            <w:vAlign w:val="center"/>
          </w:tcPr>
          <w:p>
            <w:pPr>
              <w:snapToGrid w:val="0"/>
              <w:jc w:val="center"/>
              <w:rPr>
                <w:sz w:val="24"/>
              </w:rPr>
            </w:pPr>
            <w:r>
              <w:rPr>
                <w:sz w:val="24"/>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restart"/>
            <w:vAlign w:val="center"/>
          </w:tcPr>
          <w:p>
            <w:pPr>
              <w:snapToGrid w:val="0"/>
              <w:jc w:val="center"/>
              <w:rPr>
                <w:sz w:val="24"/>
              </w:rPr>
            </w:pPr>
            <w:r>
              <w:rPr>
                <w:sz w:val="24"/>
              </w:rPr>
              <w:t>3</w:t>
            </w:r>
          </w:p>
        </w:tc>
        <w:tc>
          <w:tcPr>
            <w:tcW w:w="1490" w:type="dxa"/>
            <w:vMerge w:val="restart"/>
            <w:vAlign w:val="center"/>
          </w:tcPr>
          <w:p>
            <w:pPr>
              <w:snapToGrid w:val="0"/>
              <w:jc w:val="center"/>
              <w:rPr>
                <w:sz w:val="24"/>
              </w:rPr>
            </w:pPr>
            <w:r>
              <w:rPr>
                <w:sz w:val="24"/>
              </w:rPr>
              <w:t>粘结性能</w:t>
            </w:r>
          </w:p>
        </w:tc>
        <w:tc>
          <w:tcPr>
            <w:tcW w:w="2835" w:type="dxa"/>
            <w:vAlign w:val="center"/>
          </w:tcPr>
          <w:p>
            <w:pPr>
              <w:snapToGrid w:val="0"/>
              <w:jc w:val="center"/>
              <w:rPr>
                <w:sz w:val="24"/>
              </w:rPr>
            </w:pPr>
            <w:r>
              <w:rPr>
                <w:sz w:val="24"/>
              </w:rPr>
              <w:t>干燥基面</w:t>
            </w:r>
          </w:p>
        </w:tc>
        <w:tc>
          <w:tcPr>
            <w:tcW w:w="3503" w:type="dxa"/>
            <w:gridSpan w:val="2"/>
            <w:vMerge w:val="restart"/>
            <w:vAlign w:val="center"/>
          </w:tcPr>
          <w:p>
            <w:pPr>
              <w:snapToGrid w:val="0"/>
              <w:jc w:val="center"/>
              <w:rPr>
                <w:sz w:val="24"/>
              </w:rPr>
            </w:pPr>
            <w:r>
              <w:rPr>
                <w:sz w:val="24"/>
              </w:rPr>
              <w:t>100%内聚破坏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snapToGrid w:val="0"/>
              <w:jc w:val="center"/>
              <w:rPr>
                <w:sz w:val="24"/>
              </w:rPr>
            </w:pPr>
          </w:p>
        </w:tc>
        <w:tc>
          <w:tcPr>
            <w:tcW w:w="2835" w:type="dxa"/>
            <w:vAlign w:val="center"/>
          </w:tcPr>
          <w:p>
            <w:pPr>
              <w:wordWrap w:val="0"/>
              <w:snapToGrid w:val="0"/>
              <w:jc w:val="center"/>
              <w:rPr>
                <w:sz w:val="24"/>
              </w:rPr>
            </w:pPr>
            <w:r>
              <w:rPr>
                <w:sz w:val="24"/>
              </w:rPr>
              <w:t>潮湿基面</w:t>
            </w:r>
          </w:p>
        </w:tc>
        <w:tc>
          <w:tcPr>
            <w:tcW w:w="3503" w:type="dxa"/>
            <w:gridSpan w:val="2"/>
            <w:vMerge w:val="continue"/>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Align w:val="center"/>
          </w:tcPr>
          <w:p>
            <w:pPr>
              <w:snapToGrid w:val="0"/>
              <w:jc w:val="center"/>
              <w:rPr>
                <w:sz w:val="24"/>
              </w:rPr>
            </w:pPr>
            <w:r>
              <w:rPr>
                <w:sz w:val="24"/>
              </w:rPr>
              <w:t>4</w:t>
            </w:r>
          </w:p>
        </w:tc>
        <w:tc>
          <w:tcPr>
            <w:tcW w:w="4325" w:type="dxa"/>
            <w:gridSpan w:val="2"/>
            <w:vAlign w:val="center"/>
          </w:tcPr>
          <w:p>
            <w:pPr>
              <w:autoSpaceDE w:val="0"/>
              <w:autoSpaceDN w:val="0"/>
              <w:adjustRightInd w:val="0"/>
              <w:snapToGrid w:val="0"/>
              <w:jc w:val="right"/>
              <w:rPr>
                <w:kern w:val="0"/>
                <w:sz w:val="24"/>
              </w:rPr>
            </w:pPr>
            <w:r>
              <w:rPr>
                <w:kern w:val="0"/>
                <w:sz w:val="24"/>
              </w:rPr>
              <w:t xml:space="preserve">延伸性（mm）             </w:t>
            </w:r>
            <w:r>
              <w:rPr>
                <w:sz w:val="24"/>
              </w:rPr>
              <w:t>≥</w:t>
            </w:r>
          </w:p>
        </w:tc>
        <w:tc>
          <w:tcPr>
            <w:tcW w:w="3503" w:type="dxa"/>
            <w:gridSpan w:val="2"/>
            <w:vAlign w:val="center"/>
          </w:tcPr>
          <w:p>
            <w:pPr>
              <w:snapToGrid w:val="0"/>
              <w:jc w:val="center"/>
              <w:rPr>
                <w:sz w:val="24"/>
              </w:rPr>
            </w:pPr>
            <w:r>
              <w:rPr>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Align w:val="center"/>
          </w:tcPr>
          <w:p>
            <w:pPr>
              <w:snapToGrid w:val="0"/>
              <w:jc w:val="center"/>
              <w:rPr>
                <w:sz w:val="24"/>
              </w:rPr>
            </w:pPr>
            <w:r>
              <w:rPr>
                <w:sz w:val="24"/>
              </w:rPr>
              <w:t>5</w:t>
            </w:r>
          </w:p>
        </w:tc>
        <w:tc>
          <w:tcPr>
            <w:tcW w:w="4325" w:type="dxa"/>
            <w:gridSpan w:val="2"/>
            <w:vAlign w:val="center"/>
          </w:tcPr>
          <w:p>
            <w:pPr>
              <w:autoSpaceDE w:val="0"/>
              <w:autoSpaceDN w:val="0"/>
              <w:adjustRightInd w:val="0"/>
              <w:snapToGrid w:val="0"/>
              <w:jc w:val="center"/>
              <w:rPr>
                <w:kern w:val="0"/>
                <w:sz w:val="24"/>
              </w:rPr>
            </w:pPr>
            <w:r>
              <w:rPr>
                <w:kern w:val="0"/>
                <w:sz w:val="24"/>
              </w:rPr>
              <w:t>低温柔性</w:t>
            </w:r>
          </w:p>
        </w:tc>
        <w:tc>
          <w:tcPr>
            <w:tcW w:w="3503" w:type="dxa"/>
            <w:gridSpan w:val="2"/>
            <w:vAlign w:val="center"/>
          </w:tcPr>
          <w:p>
            <w:pPr>
              <w:snapToGrid w:val="0"/>
              <w:jc w:val="center"/>
              <w:rPr>
                <w:sz w:val="24"/>
              </w:rPr>
            </w:pPr>
            <w:r>
              <w:rPr>
                <w:sz w:val="24"/>
              </w:rPr>
              <w:t>-20</w:t>
            </w:r>
            <w:r>
              <w:rPr>
                <w:kern w:val="0"/>
                <w:sz w:val="24"/>
              </w:rPr>
              <w:t>℃，无断裂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992" w:type="dxa"/>
            <w:vMerge w:val="restart"/>
            <w:vAlign w:val="center"/>
          </w:tcPr>
          <w:p>
            <w:pPr>
              <w:snapToGrid w:val="0"/>
              <w:jc w:val="center"/>
              <w:rPr>
                <w:sz w:val="24"/>
              </w:rPr>
            </w:pPr>
            <w:r>
              <w:rPr>
                <w:sz w:val="24"/>
              </w:rPr>
              <w:t>6</w:t>
            </w:r>
          </w:p>
        </w:tc>
        <w:tc>
          <w:tcPr>
            <w:tcW w:w="4325" w:type="dxa"/>
            <w:gridSpan w:val="2"/>
            <w:vMerge w:val="restart"/>
            <w:vAlign w:val="center"/>
          </w:tcPr>
          <w:p>
            <w:pPr>
              <w:autoSpaceDE w:val="0"/>
              <w:autoSpaceDN w:val="0"/>
              <w:adjustRightInd w:val="0"/>
              <w:snapToGrid w:val="0"/>
              <w:jc w:val="center"/>
              <w:rPr>
                <w:kern w:val="0"/>
                <w:sz w:val="24"/>
              </w:rPr>
            </w:pPr>
            <w:r>
              <w:rPr>
                <w:kern w:val="0"/>
                <w:sz w:val="24"/>
              </w:rPr>
              <w:t>耐热性（℃）</w:t>
            </w:r>
          </w:p>
        </w:tc>
        <w:tc>
          <w:tcPr>
            <w:tcW w:w="1751" w:type="dxa"/>
            <w:vAlign w:val="center"/>
          </w:tcPr>
          <w:p>
            <w:pPr>
              <w:snapToGrid w:val="0"/>
              <w:jc w:val="center"/>
              <w:rPr>
                <w:sz w:val="24"/>
              </w:rPr>
            </w:pPr>
            <w:r>
              <w:rPr>
                <w:sz w:val="24"/>
              </w:rPr>
              <w:t>70</w:t>
            </w:r>
          </w:p>
        </w:tc>
        <w:tc>
          <w:tcPr>
            <w:tcW w:w="1752" w:type="dxa"/>
            <w:vAlign w:val="center"/>
          </w:tcPr>
          <w:p>
            <w:pPr>
              <w:snapToGrid w:val="0"/>
              <w:jc w:val="center"/>
              <w:rPr>
                <w:sz w:val="24"/>
              </w:rPr>
            </w:pPr>
            <w:r>
              <w:rPr>
                <w:sz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2" w:type="dxa"/>
            <w:vMerge w:val="continue"/>
            <w:vAlign w:val="center"/>
          </w:tcPr>
          <w:p>
            <w:pPr>
              <w:numPr>
                <w:ilvl w:val="0"/>
                <w:numId w:val="2"/>
              </w:numPr>
              <w:snapToGrid w:val="0"/>
              <w:jc w:val="center"/>
              <w:rPr>
                <w:sz w:val="24"/>
              </w:rPr>
            </w:pPr>
          </w:p>
        </w:tc>
        <w:tc>
          <w:tcPr>
            <w:tcW w:w="4325" w:type="dxa"/>
            <w:gridSpan w:val="2"/>
            <w:vMerge w:val="continue"/>
            <w:vAlign w:val="center"/>
          </w:tcPr>
          <w:p>
            <w:pPr>
              <w:autoSpaceDE w:val="0"/>
              <w:autoSpaceDN w:val="0"/>
              <w:adjustRightInd w:val="0"/>
              <w:snapToGrid w:val="0"/>
              <w:jc w:val="center"/>
              <w:rPr>
                <w:kern w:val="0"/>
                <w:sz w:val="24"/>
              </w:rPr>
            </w:pPr>
          </w:p>
        </w:tc>
        <w:tc>
          <w:tcPr>
            <w:tcW w:w="3503" w:type="dxa"/>
            <w:gridSpan w:val="2"/>
            <w:vAlign w:val="center"/>
          </w:tcPr>
          <w:p>
            <w:pPr>
              <w:snapToGrid w:val="0"/>
              <w:jc w:val="center"/>
              <w:rPr>
                <w:sz w:val="24"/>
              </w:rPr>
            </w:pPr>
            <w:r>
              <w:rPr>
                <w:sz w:val="24"/>
              </w:rPr>
              <w:t>无滑动、流淌、滴落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2" w:type="dxa"/>
            <w:vMerge w:val="restart"/>
            <w:vAlign w:val="center"/>
          </w:tcPr>
          <w:p>
            <w:pPr>
              <w:snapToGrid w:val="0"/>
              <w:jc w:val="center"/>
              <w:rPr>
                <w:sz w:val="24"/>
              </w:rPr>
            </w:pPr>
            <w:r>
              <w:rPr>
                <w:sz w:val="24"/>
              </w:rPr>
              <w:t>7</w:t>
            </w:r>
          </w:p>
        </w:tc>
        <w:tc>
          <w:tcPr>
            <w:tcW w:w="1490" w:type="dxa"/>
            <w:vMerge w:val="restart"/>
            <w:vAlign w:val="center"/>
          </w:tcPr>
          <w:p>
            <w:pPr>
              <w:autoSpaceDE w:val="0"/>
              <w:autoSpaceDN w:val="0"/>
              <w:adjustRightInd w:val="0"/>
              <w:snapToGrid w:val="0"/>
              <w:jc w:val="center"/>
              <w:rPr>
                <w:kern w:val="0"/>
                <w:sz w:val="24"/>
              </w:rPr>
            </w:pPr>
            <w:r>
              <w:rPr>
                <w:kern w:val="0"/>
                <w:sz w:val="24"/>
              </w:rPr>
              <w:t>热老化</w:t>
            </w:r>
          </w:p>
          <w:p>
            <w:pPr>
              <w:autoSpaceDE w:val="0"/>
              <w:autoSpaceDN w:val="0"/>
              <w:adjustRightInd w:val="0"/>
              <w:snapToGrid w:val="0"/>
              <w:jc w:val="center"/>
              <w:rPr>
                <w:kern w:val="0"/>
                <w:sz w:val="24"/>
              </w:rPr>
            </w:pPr>
            <w:r>
              <w:rPr>
                <w:kern w:val="0"/>
                <w:sz w:val="24"/>
              </w:rPr>
              <w:t>（70℃，168h）</w:t>
            </w:r>
          </w:p>
        </w:tc>
        <w:tc>
          <w:tcPr>
            <w:tcW w:w="2835" w:type="dxa"/>
            <w:vAlign w:val="center"/>
          </w:tcPr>
          <w:p>
            <w:pPr>
              <w:wordWrap w:val="0"/>
              <w:autoSpaceDE w:val="0"/>
              <w:autoSpaceDN w:val="0"/>
              <w:adjustRightInd w:val="0"/>
              <w:snapToGrid w:val="0"/>
              <w:jc w:val="right"/>
              <w:rPr>
                <w:kern w:val="0"/>
                <w:sz w:val="24"/>
              </w:rPr>
            </w:pPr>
            <w:r>
              <w:rPr>
                <w:kern w:val="0"/>
                <w:sz w:val="24"/>
              </w:rPr>
              <w:t xml:space="preserve">延伸性（mm）   </w:t>
            </w:r>
            <w:r>
              <w:rPr>
                <w:sz w:val="24"/>
              </w:rPr>
              <w:t>≥</w:t>
            </w:r>
          </w:p>
        </w:tc>
        <w:tc>
          <w:tcPr>
            <w:tcW w:w="3503" w:type="dxa"/>
            <w:gridSpan w:val="2"/>
            <w:vAlign w:val="center"/>
          </w:tcPr>
          <w:p>
            <w:pPr>
              <w:snapToGrid w:val="0"/>
              <w:jc w:val="center"/>
              <w:rPr>
                <w:sz w:val="24"/>
              </w:rPr>
            </w:pPr>
            <w:r>
              <w:rPr>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autoSpaceDE w:val="0"/>
              <w:autoSpaceDN w:val="0"/>
              <w:adjustRightInd w:val="0"/>
              <w:snapToGrid w:val="0"/>
              <w:jc w:val="center"/>
              <w:rPr>
                <w:kern w:val="0"/>
                <w:sz w:val="24"/>
              </w:rPr>
            </w:pPr>
            <w:r>
              <w:rPr>
                <w:kern w:val="0"/>
                <w:sz w:val="24"/>
              </w:rPr>
              <w:t>低温柔性</w:t>
            </w:r>
          </w:p>
        </w:tc>
        <w:tc>
          <w:tcPr>
            <w:tcW w:w="3503" w:type="dxa"/>
            <w:gridSpan w:val="2"/>
            <w:vAlign w:val="center"/>
          </w:tcPr>
          <w:p>
            <w:pPr>
              <w:snapToGrid w:val="0"/>
              <w:jc w:val="center"/>
              <w:rPr>
                <w:sz w:val="24"/>
              </w:rPr>
            </w:pPr>
            <w:r>
              <w:rPr>
                <w:sz w:val="24"/>
              </w:rPr>
              <w:t>-15</w:t>
            </w:r>
            <w:r>
              <w:rPr>
                <w:kern w:val="0"/>
                <w:sz w:val="24"/>
              </w:rPr>
              <w:t>℃，无断裂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restart"/>
            <w:vAlign w:val="center"/>
          </w:tcPr>
          <w:p>
            <w:pPr>
              <w:snapToGrid w:val="0"/>
              <w:jc w:val="center"/>
              <w:rPr>
                <w:sz w:val="24"/>
              </w:rPr>
            </w:pPr>
            <w:r>
              <w:rPr>
                <w:sz w:val="24"/>
              </w:rPr>
              <w:t>8</w:t>
            </w:r>
          </w:p>
        </w:tc>
        <w:tc>
          <w:tcPr>
            <w:tcW w:w="1490" w:type="dxa"/>
            <w:vMerge w:val="restart"/>
            <w:vAlign w:val="center"/>
          </w:tcPr>
          <w:p>
            <w:pPr>
              <w:autoSpaceDE w:val="0"/>
              <w:autoSpaceDN w:val="0"/>
              <w:adjustRightInd w:val="0"/>
              <w:snapToGrid w:val="0"/>
              <w:jc w:val="center"/>
              <w:rPr>
                <w:kern w:val="0"/>
                <w:sz w:val="24"/>
              </w:rPr>
            </w:pPr>
            <w:r>
              <w:rPr>
                <w:kern w:val="0"/>
                <w:sz w:val="24"/>
              </w:rPr>
              <w:t>耐酸性（</w:t>
            </w:r>
            <w:r>
              <w:rPr>
                <w:sz w:val="24"/>
              </w:rPr>
              <w:t>2%H</w:t>
            </w:r>
            <w:r>
              <w:rPr>
                <w:sz w:val="24"/>
                <w:vertAlign w:val="subscript"/>
              </w:rPr>
              <w:t>2</w:t>
            </w:r>
            <w:r>
              <w:rPr>
                <w:sz w:val="24"/>
              </w:rPr>
              <w:t>SO</w:t>
            </w:r>
            <w:r>
              <w:rPr>
                <w:sz w:val="24"/>
                <w:vertAlign w:val="subscript"/>
              </w:rPr>
              <w:t>4</w:t>
            </w:r>
            <w:r>
              <w:rPr>
                <w:sz w:val="24"/>
              </w:rPr>
              <w:t>溶液）</w:t>
            </w:r>
          </w:p>
        </w:tc>
        <w:tc>
          <w:tcPr>
            <w:tcW w:w="2835" w:type="dxa"/>
            <w:vAlign w:val="center"/>
          </w:tcPr>
          <w:p>
            <w:pPr>
              <w:autoSpaceDE w:val="0"/>
              <w:autoSpaceDN w:val="0"/>
              <w:adjustRightInd w:val="0"/>
              <w:snapToGrid w:val="0"/>
              <w:jc w:val="center"/>
              <w:rPr>
                <w:kern w:val="0"/>
                <w:sz w:val="24"/>
              </w:rPr>
            </w:pPr>
            <w:r>
              <w:rPr>
                <w:kern w:val="0"/>
                <w:sz w:val="24"/>
              </w:rPr>
              <w:t>外观</w:t>
            </w:r>
          </w:p>
        </w:tc>
        <w:tc>
          <w:tcPr>
            <w:tcW w:w="3503" w:type="dxa"/>
            <w:gridSpan w:val="2"/>
            <w:vAlign w:val="center"/>
          </w:tcPr>
          <w:p>
            <w:pPr>
              <w:snapToGrid w:val="0"/>
              <w:jc w:val="center"/>
              <w:rPr>
                <w:sz w:val="24"/>
              </w:rPr>
            </w:pPr>
            <w:r>
              <w:rPr>
                <w:kern w:val="0"/>
                <w:sz w:val="24"/>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autoSpaceDE w:val="0"/>
              <w:autoSpaceDN w:val="0"/>
              <w:adjustRightInd w:val="0"/>
              <w:snapToGrid w:val="0"/>
              <w:jc w:val="right"/>
              <w:rPr>
                <w:kern w:val="0"/>
                <w:sz w:val="24"/>
              </w:rPr>
            </w:pPr>
            <w:r>
              <w:rPr>
                <w:kern w:val="0"/>
                <w:sz w:val="24"/>
              </w:rPr>
              <w:t xml:space="preserve">延伸性（mm）    </w:t>
            </w:r>
            <w:r>
              <w:rPr>
                <w:sz w:val="24"/>
              </w:rPr>
              <w:t>≥</w:t>
            </w:r>
          </w:p>
        </w:tc>
        <w:tc>
          <w:tcPr>
            <w:tcW w:w="3503" w:type="dxa"/>
            <w:gridSpan w:val="2"/>
            <w:vAlign w:val="center"/>
          </w:tcPr>
          <w:p>
            <w:pPr>
              <w:snapToGrid w:val="0"/>
              <w:jc w:val="center"/>
              <w:rPr>
                <w:sz w:val="24"/>
              </w:rPr>
            </w:pPr>
            <w:r>
              <w:rPr>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autoSpaceDE w:val="0"/>
              <w:autoSpaceDN w:val="0"/>
              <w:adjustRightInd w:val="0"/>
              <w:snapToGrid w:val="0"/>
              <w:jc w:val="center"/>
              <w:rPr>
                <w:kern w:val="0"/>
                <w:sz w:val="24"/>
              </w:rPr>
            </w:pPr>
            <w:r>
              <w:rPr>
                <w:kern w:val="0"/>
                <w:sz w:val="24"/>
              </w:rPr>
              <w:t>质量变化（%）</w:t>
            </w:r>
          </w:p>
        </w:tc>
        <w:tc>
          <w:tcPr>
            <w:tcW w:w="3503" w:type="dxa"/>
            <w:gridSpan w:val="2"/>
            <w:vAlign w:val="center"/>
          </w:tcPr>
          <w:p>
            <w:pPr>
              <w:snapToGrid w:val="0"/>
              <w:jc w:val="center"/>
              <w:rPr>
                <w:kern w:val="0"/>
                <w:sz w:val="24"/>
              </w:rPr>
            </w:pPr>
            <w:r>
              <w:rPr>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restart"/>
            <w:vAlign w:val="center"/>
          </w:tcPr>
          <w:p>
            <w:pPr>
              <w:snapToGrid w:val="0"/>
              <w:jc w:val="center"/>
              <w:rPr>
                <w:sz w:val="24"/>
              </w:rPr>
            </w:pPr>
            <w:r>
              <w:rPr>
                <w:sz w:val="24"/>
              </w:rPr>
              <w:t>9</w:t>
            </w:r>
          </w:p>
        </w:tc>
        <w:tc>
          <w:tcPr>
            <w:tcW w:w="1490" w:type="dxa"/>
            <w:vMerge w:val="restart"/>
            <w:vAlign w:val="center"/>
          </w:tcPr>
          <w:p>
            <w:pPr>
              <w:autoSpaceDE w:val="0"/>
              <w:autoSpaceDN w:val="0"/>
              <w:adjustRightInd w:val="0"/>
              <w:snapToGrid w:val="0"/>
              <w:rPr>
                <w:kern w:val="0"/>
                <w:sz w:val="24"/>
              </w:rPr>
            </w:pPr>
            <w:r>
              <w:rPr>
                <w:kern w:val="0"/>
                <w:sz w:val="24"/>
              </w:rPr>
              <w:t>耐碱性[0.1%NaOH+饱和Ca（OH）</w:t>
            </w:r>
            <w:r>
              <w:rPr>
                <w:kern w:val="0"/>
                <w:sz w:val="24"/>
                <w:vertAlign w:val="subscript"/>
              </w:rPr>
              <w:t>2</w:t>
            </w:r>
            <w:r>
              <w:rPr>
                <w:kern w:val="0"/>
                <w:sz w:val="24"/>
              </w:rPr>
              <w:t>溶液]</w:t>
            </w:r>
          </w:p>
        </w:tc>
        <w:tc>
          <w:tcPr>
            <w:tcW w:w="2835" w:type="dxa"/>
            <w:vAlign w:val="center"/>
          </w:tcPr>
          <w:p>
            <w:pPr>
              <w:autoSpaceDE w:val="0"/>
              <w:autoSpaceDN w:val="0"/>
              <w:adjustRightInd w:val="0"/>
              <w:snapToGrid w:val="0"/>
              <w:jc w:val="center"/>
              <w:rPr>
                <w:kern w:val="0"/>
                <w:sz w:val="24"/>
              </w:rPr>
            </w:pPr>
            <w:r>
              <w:rPr>
                <w:kern w:val="0"/>
                <w:sz w:val="24"/>
              </w:rPr>
              <w:t>外观</w:t>
            </w:r>
          </w:p>
        </w:tc>
        <w:tc>
          <w:tcPr>
            <w:tcW w:w="3503" w:type="dxa"/>
            <w:gridSpan w:val="2"/>
            <w:vAlign w:val="center"/>
          </w:tcPr>
          <w:p>
            <w:pPr>
              <w:snapToGrid w:val="0"/>
              <w:jc w:val="center"/>
              <w:rPr>
                <w:sz w:val="24"/>
              </w:rPr>
            </w:pPr>
            <w:r>
              <w:rPr>
                <w:kern w:val="0"/>
                <w:sz w:val="24"/>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wordWrap w:val="0"/>
              <w:autoSpaceDE w:val="0"/>
              <w:autoSpaceDN w:val="0"/>
              <w:adjustRightInd w:val="0"/>
              <w:snapToGrid w:val="0"/>
              <w:jc w:val="right"/>
              <w:rPr>
                <w:kern w:val="0"/>
                <w:sz w:val="24"/>
              </w:rPr>
            </w:pPr>
            <w:r>
              <w:rPr>
                <w:kern w:val="0"/>
                <w:sz w:val="24"/>
              </w:rPr>
              <w:t xml:space="preserve">延伸性（mm）   </w:t>
            </w:r>
            <w:r>
              <w:rPr>
                <w:sz w:val="24"/>
              </w:rPr>
              <w:t>≥</w:t>
            </w:r>
          </w:p>
        </w:tc>
        <w:tc>
          <w:tcPr>
            <w:tcW w:w="3503" w:type="dxa"/>
            <w:gridSpan w:val="2"/>
            <w:vAlign w:val="center"/>
          </w:tcPr>
          <w:p>
            <w:pPr>
              <w:snapToGrid w:val="0"/>
              <w:jc w:val="center"/>
              <w:rPr>
                <w:sz w:val="24"/>
              </w:rPr>
            </w:pPr>
            <w:r>
              <w:rPr>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autoSpaceDE w:val="0"/>
              <w:autoSpaceDN w:val="0"/>
              <w:adjustRightInd w:val="0"/>
              <w:snapToGrid w:val="0"/>
              <w:jc w:val="center"/>
              <w:rPr>
                <w:kern w:val="0"/>
                <w:sz w:val="24"/>
              </w:rPr>
            </w:pPr>
            <w:r>
              <w:rPr>
                <w:kern w:val="0"/>
                <w:sz w:val="24"/>
              </w:rPr>
              <w:t>质量变化（%）</w:t>
            </w:r>
          </w:p>
        </w:tc>
        <w:tc>
          <w:tcPr>
            <w:tcW w:w="3503" w:type="dxa"/>
            <w:gridSpan w:val="2"/>
            <w:vAlign w:val="center"/>
          </w:tcPr>
          <w:p>
            <w:pPr>
              <w:snapToGrid w:val="0"/>
              <w:jc w:val="center"/>
              <w:rPr>
                <w:kern w:val="0"/>
                <w:sz w:val="24"/>
              </w:rPr>
            </w:pPr>
            <w:r>
              <w:rPr>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restart"/>
            <w:vAlign w:val="center"/>
          </w:tcPr>
          <w:p>
            <w:pPr>
              <w:snapToGrid w:val="0"/>
              <w:jc w:val="center"/>
              <w:rPr>
                <w:sz w:val="24"/>
              </w:rPr>
            </w:pPr>
            <w:r>
              <w:rPr>
                <w:sz w:val="24"/>
              </w:rPr>
              <w:t>10</w:t>
            </w:r>
          </w:p>
        </w:tc>
        <w:tc>
          <w:tcPr>
            <w:tcW w:w="1490" w:type="dxa"/>
            <w:vMerge w:val="restart"/>
            <w:vAlign w:val="center"/>
          </w:tcPr>
          <w:p>
            <w:pPr>
              <w:autoSpaceDE w:val="0"/>
              <w:autoSpaceDN w:val="0"/>
              <w:adjustRightInd w:val="0"/>
              <w:snapToGrid w:val="0"/>
              <w:jc w:val="center"/>
              <w:rPr>
                <w:kern w:val="0"/>
                <w:sz w:val="24"/>
              </w:rPr>
            </w:pPr>
            <w:r>
              <w:rPr>
                <w:kern w:val="0"/>
                <w:sz w:val="24"/>
              </w:rPr>
              <w:t>耐盐性(3%NaCl溶液)</w:t>
            </w:r>
          </w:p>
        </w:tc>
        <w:tc>
          <w:tcPr>
            <w:tcW w:w="2835" w:type="dxa"/>
            <w:vAlign w:val="center"/>
          </w:tcPr>
          <w:p>
            <w:pPr>
              <w:autoSpaceDE w:val="0"/>
              <w:autoSpaceDN w:val="0"/>
              <w:adjustRightInd w:val="0"/>
              <w:snapToGrid w:val="0"/>
              <w:jc w:val="center"/>
              <w:rPr>
                <w:kern w:val="0"/>
                <w:sz w:val="24"/>
              </w:rPr>
            </w:pPr>
            <w:r>
              <w:rPr>
                <w:kern w:val="0"/>
                <w:sz w:val="24"/>
              </w:rPr>
              <w:t>外观</w:t>
            </w:r>
          </w:p>
        </w:tc>
        <w:tc>
          <w:tcPr>
            <w:tcW w:w="3503" w:type="dxa"/>
            <w:gridSpan w:val="2"/>
            <w:vAlign w:val="center"/>
          </w:tcPr>
          <w:p>
            <w:pPr>
              <w:snapToGrid w:val="0"/>
              <w:jc w:val="center"/>
              <w:rPr>
                <w:sz w:val="24"/>
              </w:rPr>
            </w:pPr>
            <w:r>
              <w:rPr>
                <w:kern w:val="0"/>
                <w:sz w:val="24"/>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autoSpaceDE w:val="0"/>
              <w:autoSpaceDN w:val="0"/>
              <w:adjustRightInd w:val="0"/>
              <w:snapToGrid w:val="0"/>
              <w:jc w:val="right"/>
              <w:rPr>
                <w:kern w:val="0"/>
                <w:sz w:val="24"/>
              </w:rPr>
            </w:pPr>
            <w:r>
              <w:rPr>
                <w:kern w:val="0"/>
                <w:sz w:val="24"/>
              </w:rPr>
              <w:t xml:space="preserve">延伸性（mm）   </w:t>
            </w:r>
            <w:r>
              <w:rPr>
                <w:sz w:val="24"/>
              </w:rPr>
              <w:t>≥</w:t>
            </w:r>
          </w:p>
        </w:tc>
        <w:tc>
          <w:tcPr>
            <w:tcW w:w="3503" w:type="dxa"/>
            <w:gridSpan w:val="2"/>
            <w:vAlign w:val="center"/>
          </w:tcPr>
          <w:p>
            <w:pPr>
              <w:snapToGrid w:val="0"/>
              <w:jc w:val="center"/>
              <w:rPr>
                <w:sz w:val="24"/>
              </w:rPr>
            </w:pPr>
            <w:r>
              <w:rPr>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kern w:val="0"/>
                <w:sz w:val="24"/>
              </w:rPr>
            </w:pPr>
          </w:p>
        </w:tc>
        <w:tc>
          <w:tcPr>
            <w:tcW w:w="2835" w:type="dxa"/>
            <w:vAlign w:val="center"/>
          </w:tcPr>
          <w:p>
            <w:pPr>
              <w:autoSpaceDE w:val="0"/>
              <w:autoSpaceDN w:val="0"/>
              <w:adjustRightInd w:val="0"/>
              <w:snapToGrid w:val="0"/>
              <w:jc w:val="center"/>
              <w:rPr>
                <w:kern w:val="0"/>
                <w:sz w:val="24"/>
              </w:rPr>
            </w:pPr>
            <w:r>
              <w:rPr>
                <w:kern w:val="0"/>
                <w:sz w:val="24"/>
              </w:rPr>
              <w:t>质量变化（%）</w:t>
            </w:r>
          </w:p>
        </w:tc>
        <w:tc>
          <w:tcPr>
            <w:tcW w:w="3503" w:type="dxa"/>
            <w:gridSpan w:val="2"/>
            <w:vAlign w:val="center"/>
          </w:tcPr>
          <w:p>
            <w:pPr>
              <w:snapToGrid w:val="0"/>
              <w:jc w:val="center"/>
              <w:rPr>
                <w:kern w:val="0"/>
                <w:sz w:val="24"/>
              </w:rPr>
            </w:pPr>
            <w:r>
              <w:rPr>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Align w:val="center"/>
          </w:tcPr>
          <w:p>
            <w:pPr>
              <w:snapToGrid w:val="0"/>
              <w:jc w:val="center"/>
              <w:rPr>
                <w:sz w:val="24"/>
              </w:rPr>
            </w:pPr>
            <w:r>
              <w:rPr>
                <w:sz w:val="24"/>
              </w:rPr>
              <w:t>11</w:t>
            </w:r>
          </w:p>
        </w:tc>
        <w:tc>
          <w:tcPr>
            <w:tcW w:w="4325" w:type="dxa"/>
            <w:gridSpan w:val="2"/>
            <w:vAlign w:val="center"/>
          </w:tcPr>
          <w:p>
            <w:pPr>
              <w:autoSpaceDE w:val="0"/>
              <w:autoSpaceDN w:val="0"/>
              <w:adjustRightInd w:val="0"/>
              <w:snapToGrid w:val="0"/>
              <w:jc w:val="center"/>
              <w:rPr>
                <w:kern w:val="0"/>
                <w:sz w:val="24"/>
                <w:lang w:val="it-IT"/>
              </w:rPr>
            </w:pPr>
            <w:r>
              <w:rPr>
                <w:kern w:val="0"/>
                <w:sz w:val="24"/>
              </w:rPr>
              <w:t>自愈性</w:t>
            </w:r>
          </w:p>
        </w:tc>
        <w:tc>
          <w:tcPr>
            <w:tcW w:w="3503" w:type="dxa"/>
            <w:gridSpan w:val="2"/>
            <w:vAlign w:val="center"/>
          </w:tcPr>
          <w:p>
            <w:pPr>
              <w:autoSpaceDE w:val="0"/>
              <w:autoSpaceDN w:val="0"/>
              <w:adjustRightInd w:val="0"/>
              <w:snapToGrid w:val="0"/>
              <w:jc w:val="center"/>
              <w:rPr>
                <w:kern w:val="0"/>
                <w:sz w:val="24"/>
              </w:rPr>
            </w:pPr>
            <w:r>
              <w:rPr>
                <w:kern w:val="0"/>
                <w:sz w:val="24"/>
              </w:rPr>
              <w:t>无</w:t>
            </w:r>
            <w:r>
              <w:rPr>
                <w:sz w:val="24"/>
              </w:rPr>
              <w:t>渗水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vAlign w:val="center"/>
          </w:tcPr>
          <w:p>
            <w:pPr>
              <w:snapToGrid w:val="0"/>
              <w:jc w:val="center"/>
              <w:rPr>
                <w:sz w:val="24"/>
              </w:rPr>
            </w:pPr>
            <w:r>
              <w:rPr>
                <w:sz w:val="24"/>
              </w:rPr>
              <w:t>12</w:t>
            </w:r>
          </w:p>
        </w:tc>
        <w:tc>
          <w:tcPr>
            <w:tcW w:w="4325" w:type="dxa"/>
            <w:gridSpan w:val="2"/>
            <w:vAlign w:val="center"/>
          </w:tcPr>
          <w:p>
            <w:pPr>
              <w:wordWrap w:val="0"/>
              <w:autoSpaceDE w:val="0"/>
              <w:autoSpaceDN w:val="0"/>
              <w:adjustRightInd w:val="0"/>
              <w:snapToGrid w:val="0"/>
              <w:jc w:val="right"/>
              <w:rPr>
                <w:kern w:val="0"/>
                <w:sz w:val="24"/>
              </w:rPr>
            </w:pPr>
            <w:r>
              <w:rPr>
                <w:kern w:val="0"/>
                <w:sz w:val="24"/>
              </w:rPr>
              <w:t>渗油性（张）                 ≤</w:t>
            </w:r>
          </w:p>
        </w:tc>
        <w:tc>
          <w:tcPr>
            <w:tcW w:w="3503" w:type="dxa"/>
            <w:gridSpan w:val="2"/>
            <w:vAlign w:val="center"/>
          </w:tcPr>
          <w:p>
            <w:pPr>
              <w:autoSpaceDE w:val="0"/>
              <w:autoSpaceDN w:val="0"/>
              <w:adjustRightInd w:val="0"/>
              <w:snapToGrid w:val="0"/>
              <w:jc w:val="center"/>
              <w:rPr>
                <w:sz w:val="24"/>
              </w:rPr>
            </w:pPr>
            <w:r>
              <w:rPr>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92" w:type="dxa"/>
            <w:vMerge w:val="restart"/>
            <w:vAlign w:val="center"/>
          </w:tcPr>
          <w:p>
            <w:pPr>
              <w:snapToGrid w:val="0"/>
              <w:jc w:val="center"/>
              <w:rPr>
                <w:sz w:val="24"/>
              </w:rPr>
            </w:pPr>
            <w:r>
              <w:rPr>
                <w:sz w:val="24"/>
              </w:rPr>
              <w:t>13</w:t>
            </w:r>
          </w:p>
        </w:tc>
        <w:tc>
          <w:tcPr>
            <w:tcW w:w="1490" w:type="dxa"/>
            <w:vMerge w:val="restart"/>
            <w:vAlign w:val="center"/>
          </w:tcPr>
          <w:p>
            <w:pPr>
              <w:autoSpaceDE w:val="0"/>
              <w:autoSpaceDN w:val="0"/>
              <w:adjustRightInd w:val="0"/>
              <w:snapToGrid w:val="0"/>
              <w:jc w:val="center"/>
              <w:rPr>
                <w:kern w:val="0"/>
                <w:sz w:val="24"/>
              </w:rPr>
            </w:pPr>
            <w:r>
              <w:rPr>
                <w:kern w:val="0"/>
                <w:sz w:val="24"/>
              </w:rPr>
              <w:t>应力松弛（%） ≤</w:t>
            </w:r>
          </w:p>
        </w:tc>
        <w:tc>
          <w:tcPr>
            <w:tcW w:w="2835" w:type="dxa"/>
            <w:vAlign w:val="center"/>
          </w:tcPr>
          <w:p>
            <w:pPr>
              <w:autoSpaceDE w:val="0"/>
              <w:autoSpaceDN w:val="0"/>
              <w:adjustRightInd w:val="0"/>
              <w:snapToGrid w:val="0"/>
              <w:jc w:val="center"/>
              <w:rPr>
                <w:kern w:val="0"/>
                <w:sz w:val="24"/>
              </w:rPr>
            </w:pPr>
            <w:r>
              <w:rPr>
                <w:kern w:val="0"/>
                <w:sz w:val="24"/>
              </w:rPr>
              <w:t>无处理</w:t>
            </w:r>
          </w:p>
        </w:tc>
        <w:tc>
          <w:tcPr>
            <w:tcW w:w="3503" w:type="dxa"/>
            <w:gridSpan w:val="2"/>
            <w:vMerge w:val="restart"/>
            <w:vAlign w:val="center"/>
          </w:tcPr>
          <w:p>
            <w:pPr>
              <w:snapToGrid w:val="0"/>
              <w:jc w:val="center"/>
              <w:rPr>
                <w:sz w:val="24"/>
              </w:rPr>
            </w:pPr>
            <w:r>
              <w:rPr>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992" w:type="dxa"/>
            <w:vMerge w:val="continue"/>
            <w:vAlign w:val="center"/>
          </w:tcPr>
          <w:p>
            <w:pPr>
              <w:numPr>
                <w:ilvl w:val="0"/>
                <w:numId w:val="2"/>
              </w:numPr>
              <w:snapToGrid w:val="0"/>
              <w:jc w:val="center"/>
              <w:rPr>
                <w:sz w:val="24"/>
              </w:rPr>
            </w:pPr>
          </w:p>
        </w:tc>
        <w:tc>
          <w:tcPr>
            <w:tcW w:w="1490" w:type="dxa"/>
            <w:vMerge w:val="continue"/>
            <w:vAlign w:val="center"/>
          </w:tcPr>
          <w:p>
            <w:pPr>
              <w:autoSpaceDE w:val="0"/>
              <w:autoSpaceDN w:val="0"/>
              <w:adjustRightInd w:val="0"/>
              <w:snapToGrid w:val="0"/>
              <w:jc w:val="center"/>
              <w:rPr>
                <w:sz w:val="24"/>
              </w:rPr>
            </w:pPr>
          </w:p>
        </w:tc>
        <w:tc>
          <w:tcPr>
            <w:tcW w:w="2835" w:type="dxa"/>
            <w:vAlign w:val="center"/>
          </w:tcPr>
          <w:p>
            <w:pPr>
              <w:autoSpaceDE w:val="0"/>
              <w:autoSpaceDN w:val="0"/>
              <w:adjustRightInd w:val="0"/>
              <w:snapToGrid w:val="0"/>
              <w:jc w:val="center"/>
              <w:rPr>
                <w:sz w:val="24"/>
              </w:rPr>
            </w:pPr>
            <w:r>
              <w:rPr>
                <w:sz w:val="24"/>
              </w:rPr>
              <w:t>热老化（</w:t>
            </w:r>
            <w:r>
              <w:rPr>
                <w:kern w:val="0"/>
                <w:sz w:val="24"/>
              </w:rPr>
              <w:t>70℃，168h）</w:t>
            </w:r>
          </w:p>
        </w:tc>
        <w:tc>
          <w:tcPr>
            <w:tcW w:w="3503" w:type="dxa"/>
            <w:gridSpan w:val="2"/>
            <w:vMerge w:val="continue"/>
            <w:vAlign w:val="center"/>
          </w:tcPr>
          <w:p>
            <w:pPr>
              <w:snapToGrid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992" w:type="dxa"/>
            <w:vAlign w:val="center"/>
          </w:tcPr>
          <w:p>
            <w:pPr>
              <w:snapToGrid w:val="0"/>
              <w:jc w:val="center"/>
              <w:rPr>
                <w:sz w:val="24"/>
              </w:rPr>
            </w:pPr>
            <w:r>
              <w:rPr>
                <w:sz w:val="24"/>
              </w:rPr>
              <w:t>14</w:t>
            </w:r>
          </w:p>
        </w:tc>
        <w:tc>
          <w:tcPr>
            <w:tcW w:w="4325" w:type="dxa"/>
            <w:gridSpan w:val="2"/>
            <w:vAlign w:val="center"/>
          </w:tcPr>
          <w:p>
            <w:pPr>
              <w:autoSpaceDE w:val="0"/>
              <w:autoSpaceDN w:val="0"/>
              <w:adjustRightInd w:val="0"/>
              <w:snapToGrid w:val="0"/>
              <w:jc w:val="center"/>
              <w:rPr>
                <w:kern w:val="0"/>
                <w:sz w:val="24"/>
              </w:rPr>
            </w:pPr>
            <w:r>
              <w:rPr>
                <w:kern w:val="0"/>
                <w:sz w:val="24"/>
              </w:rPr>
              <w:t>抗窜水性/0.6MPa</w:t>
            </w:r>
          </w:p>
        </w:tc>
        <w:tc>
          <w:tcPr>
            <w:tcW w:w="3503" w:type="dxa"/>
            <w:gridSpan w:val="2"/>
            <w:vAlign w:val="center"/>
          </w:tcPr>
          <w:p>
            <w:pPr>
              <w:snapToGrid w:val="0"/>
              <w:jc w:val="center"/>
              <w:rPr>
                <w:sz w:val="24"/>
              </w:rPr>
            </w:pPr>
            <w:r>
              <w:rPr>
                <w:kern w:val="0"/>
                <w:sz w:val="24"/>
              </w:rPr>
              <w:t>无窜水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992" w:type="dxa"/>
            <w:vAlign w:val="center"/>
          </w:tcPr>
          <w:p>
            <w:pPr>
              <w:snapToGrid w:val="0"/>
              <w:jc w:val="center"/>
              <w:rPr>
                <w:sz w:val="24"/>
              </w:rPr>
            </w:pPr>
            <w:r>
              <w:rPr>
                <w:sz w:val="24"/>
              </w:rPr>
              <w:t>15</w:t>
            </w:r>
          </w:p>
        </w:tc>
        <w:tc>
          <w:tcPr>
            <w:tcW w:w="4325" w:type="dxa"/>
            <w:gridSpan w:val="2"/>
            <w:vAlign w:val="center"/>
          </w:tcPr>
          <w:p>
            <w:pPr>
              <w:widowControl/>
              <w:ind w:right="420"/>
              <w:jc w:val="center"/>
              <w:rPr>
                <w:sz w:val="24"/>
              </w:rPr>
            </w:pPr>
            <w:r>
              <w:rPr>
                <w:sz w:val="24"/>
              </w:rPr>
              <w:t>粘度/mpas,130℃  ≤</w:t>
            </w:r>
          </w:p>
        </w:tc>
        <w:tc>
          <w:tcPr>
            <w:tcW w:w="3503" w:type="dxa"/>
            <w:gridSpan w:val="2"/>
            <w:vAlign w:val="center"/>
          </w:tcPr>
          <w:p>
            <w:pPr>
              <w:widowControl/>
              <w:ind w:right="420"/>
              <w:jc w:val="center"/>
              <w:rPr>
                <w:sz w:val="24"/>
              </w:rPr>
            </w:pPr>
            <w:r>
              <w:rPr>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992" w:type="dxa"/>
            <w:vAlign w:val="center"/>
          </w:tcPr>
          <w:p>
            <w:pPr>
              <w:snapToGrid w:val="0"/>
              <w:jc w:val="center"/>
              <w:rPr>
                <w:sz w:val="24"/>
              </w:rPr>
            </w:pPr>
            <w:r>
              <w:rPr>
                <w:sz w:val="24"/>
              </w:rPr>
              <w:t>16</w:t>
            </w:r>
          </w:p>
        </w:tc>
        <w:tc>
          <w:tcPr>
            <w:tcW w:w="4325" w:type="dxa"/>
            <w:gridSpan w:val="2"/>
            <w:vAlign w:val="center"/>
          </w:tcPr>
          <w:p>
            <w:pPr>
              <w:widowControl/>
              <w:ind w:right="420"/>
              <w:jc w:val="center"/>
              <w:rPr>
                <w:sz w:val="24"/>
              </w:rPr>
            </w:pPr>
            <w:r>
              <w:rPr>
                <w:sz w:val="24"/>
              </w:rPr>
              <w:t>涂料与卷材复合防水层的立面滑移</w:t>
            </w:r>
          </w:p>
        </w:tc>
        <w:tc>
          <w:tcPr>
            <w:tcW w:w="1751" w:type="dxa"/>
            <w:vAlign w:val="center"/>
          </w:tcPr>
          <w:p>
            <w:pPr>
              <w:widowControl/>
              <w:ind w:right="420"/>
              <w:jc w:val="center"/>
              <w:rPr>
                <w:sz w:val="24"/>
              </w:rPr>
            </w:pPr>
            <w:r>
              <w:rPr>
                <w:sz w:val="24"/>
              </w:rPr>
              <w:t>/</w:t>
            </w:r>
          </w:p>
        </w:tc>
        <w:tc>
          <w:tcPr>
            <w:tcW w:w="1752" w:type="dxa"/>
            <w:vAlign w:val="center"/>
          </w:tcPr>
          <w:p>
            <w:pPr>
              <w:autoSpaceDE w:val="0"/>
              <w:autoSpaceDN w:val="0"/>
              <w:adjustRightInd w:val="0"/>
              <w:snapToGrid w:val="0"/>
              <w:jc w:val="center"/>
              <w:rPr>
                <w:sz w:val="24"/>
              </w:rPr>
            </w:pPr>
            <w:r>
              <w:rPr>
                <w:kern w:val="0"/>
                <w:sz w:val="24"/>
              </w:rPr>
              <w:t>90℃1h无滑移无流淌</w:t>
            </w:r>
          </w:p>
        </w:tc>
      </w:tr>
    </w:tbl>
    <w:p>
      <w:pPr>
        <w:rPr>
          <w:spacing w:val="4"/>
          <w:sz w:val="24"/>
        </w:rPr>
      </w:pPr>
      <w:r>
        <w:rPr>
          <w:spacing w:val="4"/>
          <w:sz w:val="24"/>
        </w:rPr>
        <w:t>注：检测方法按《非固化橡胶沥青防水涂料》（JC/T 2428）执行。</w:t>
      </w:r>
    </w:p>
    <w:p>
      <w:pPr>
        <w:autoSpaceDE w:val="0"/>
        <w:autoSpaceDN w:val="0"/>
        <w:adjustRightInd w:val="0"/>
        <w:spacing w:line="360" w:lineRule="auto"/>
        <w:jc w:val="left"/>
        <w:rPr>
          <w:spacing w:val="4"/>
          <w:kern w:val="0"/>
          <w:sz w:val="24"/>
        </w:rPr>
      </w:pPr>
      <w:r>
        <w:rPr>
          <w:color w:val="000000"/>
          <w:spacing w:val="4"/>
          <w:sz w:val="24"/>
        </w:rPr>
        <w:t>*H- 平面用   V-立面用。</w:t>
      </w:r>
    </w:p>
    <w:p>
      <w:pPr>
        <w:spacing w:line="360" w:lineRule="auto"/>
        <w:ind w:firstLine="482" w:firstLineChars="200"/>
        <w:rPr>
          <w:color w:val="000000"/>
          <w:sz w:val="24"/>
        </w:rPr>
      </w:pPr>
      <w:r>
        <w:rPr>
          <w:b/>
          <w:color w:val="000000"/>
          <w:sz w:val="24"/>
        </w:rPr>
        <w:t>2</w:t>
      </w:r>
      <w:r>
        <w:rPr>
          <w:color w:val="000000"/>
          <w:sz w:val="24"/>
        </w:rPr>
        <w:t xml:space="preserve">  非固化橡胶沥青防水涂料与卷材复合的抗滑移性应达到90℃无流淌。</w:t>
      </w:r>
    </w:p>
    <w:p>
      <w:pPr>
        <w:spacing w:line="360" w:lineRule="auto"/>
        <w:ind w:firstLine="482" w:firstLineChars="200"/>
        <w:rPr>
          <w:color w:val="000000"/>
          <w:sz w:val="24"/>
        </w:rPr>
      </w:pPr>
      <w:r>
        <w:rPr>
          <w:b/>
          <w:color w:val="000000"/>
          <w:sz w:val="24"/>
        </w:rPr>
        <w:t>3</w:t>
      </w:r>
      <w:r>
        <w:rPr>
          <w:color w:val="000000"/>
          <w:sz w:val="24"/>
        </w:rPr>
        <w:t xml:space="preserve">  非固化橡胶沥青防水涂料环保性能指标应符合表4.1.1-2的要求。</w:t>
      </w:r>
    </w:p>
    <w:p>
      <w:pPr>
        <w:spacing w:line="400" w:lineRule="exact"/>
        <w:jc w:val="center"/>
        <w:rPr>
          <w:color w:val="000000"/>
          <w:szCs w:val="28"/>
        </w:rPr>
      </w:pPr>
      <w:r>
        <w:rPr>
          <w:b/>
          <w:color w:val="000000"/>
          <w:szCs w:val="28"/>
        </w:rPr>
        <w:t xml:space="preserve">表4.1.1-2  </w:t>
      </w:r>
      <w:r>
        <w:rPr>
          <w:color w:val="000000"/>
          <w:szCs w:val="28"/>
        </w:rPr>
        <w:t>非固化橡胶沥青防水涂料环保性能指标</w:t>
      </w:r>
    </w:p>
    <w:tbl>
      <w:tblPr>
        <w:tblStyle w:val="22"/>
        <w:tblW w:w="8928" w:type="dxa"/>
        <w:tblInd w:w="-1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71"/>
        <w:gridCol w:w="4637"/>
        <w:gridCol w:w="34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71" w:type="dxa"/>
            <w:vMerge w:val="restart"/>
            <w:tcBorders>
              <w:top w:val="single" w:color="auto" w:sz="12" w:space="0"/>
            </w:tcBorders>
            <w:vAlign w:val="center"/>
          </w:tcPr>
          <w:p>
            <w:pPr>
              <w:jc w:val="center"/>
              <w:rPr>
                <w:sz w:val="24"/>
              </w:rPr>
            </w:pPr>
            <w:r>
              <w:rPr>
                <w:sz w:val="24"/>
              </w:rPr>
              <w:t>序号</w:t>
            </w:r>
          </w:p>
        </w:tc>
        <w:tc>
          <w:tcPr>
            <w:tcW w:w="4637" w:type="dxa"/>
            <w:vMerge w:val="restart"/>
            <w:tcBorders>
              <w:top w:val="single" w:color="auto" w:sz="12" w:space="0"/>
            </w:tcBorders>
            <w:vAlign w:val="center"/>
          </w:tcPr>
          <w:p>
            <w:pPr>
              <w:jc w:val="center"/>
              <w:rPr>
                <w:sz w:val="24"/>
              </w:rPr>
            </w:pPr>
            <w:r>
              <w:rPr>
                <w:sz w:val="24"/>
              </w:rPr>
              <w:t>检验项目</w:t>
            </w:r>
          </w:p>
        </w:tc>
        <w:tc>
          <w:tcPr>
            <w:tcW w:w="3420" w:type="dxa"/>
            <w:tcBorders>
              <w:top w:val="single" w:color="auto" w:sz="12" w:space="0"/>
            </w:tcBorders>
            <w:vAlign w:val="center"/>
          </w:tcPr>
          <w:p>
            <w:pPr>
              <w:jc w:val="center"/>
              <w:rPr>
                <w:sz w:val="24"/>
              </w:rPr>
            </w:pPr>
            <w:r>
              <w:rPr>
                <w:sz w:val="24"/>
              </w:rPr>
              <w:t>标准要求</w:t>
            </w:r>
          </w:p>
          <w:p>
            <w:pPr>
              <w:jc w:val="center"/>
              <w:rPr>
                <w:sz w:val="24"/>
              </w:rPr>
            </w:pPr>
            <w:r>
              <w:rPr>
                <w:sz w:val="24"/>
              </w:rPr>
              <w:t>（水性）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71" w:type="dxa"/>
            <w:vMerge w:val="continue"/>
            <w:vAlign w:val="center"/>
          </w:tcPr>
          <w:p>
            <w:pPr>
              <w:jc w:val="center"/>
              <w:rPr>
                <w:sz w:val="24"/>
              </w:rPr>
            </w:pPr>
          </w:p>
        </w:tc>
        <w:tc>
          <w:tcPr>
            <w:tcW w:w="4637" w:type="dxa"/>
            <w:vMerge w:val="continue"/>
            <w:vAlign w:val="center"/>
          </w:tcPr>
          <w:p>
            <w:pPr>
              <w:jc w:val="left"/>
              <w:rPr>
                <w:sz w:val="24"/>
              </w:rPr>
            </w:pPr>
          </w:p>
        </w:tc>
        <w:tc>
          <w:tcPr>
            <w:tcW w:w="3420" w:type="dxa"/>
            <w:vAlign w:val="center"/>
          </w:tcPr>
          <w:p>
            <w:pPr>
              <w:jc w:val="center"/>
              <w:rPr>
                <w:sz w:val="24"/>
              </w:rPr>
            </w:pPr>
            <w:r>
              <w:rPr>
                <w:sz w:val="24"/>
              </w:rPr>
              <w:t>A级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6" w:hRule="atLeast"/>
        </w:trPr>
        <w:tc>
          <w:tcPr>
            <w:tcW w:w="871" w:type="dxa"/>
            <w:vAlign w:val="center"/>
          </w:tcPr>
          <w:p>
            <w:pPr>
              <w:jc w:val="center"/>
              <w:rPr>
                <w:sz w:val="24"/>
              </w:rPr>
            </w:pPr>
            <w:r>
              <w:rPr>
                <w:sz w:val="24"/>
              </w:rPr>
              <w:t>1</w:t>
            </w:r>
          </w:p>
        </w:tc>
        <w:tc>
          <w:tcPr>
            <w:tcW w:w="4637" w:type="dxa"/>
            <w:vAlign w:val="center"/>
          </w:tcPr>
          <w:p>
            <w:pPr>
              <w:jc w:val="left"/>
              <w:rPr>
                <w:szCs w:val="21"/>
              </w:rPr>
            </w:pPr>
            <w:r>
              <w:rPr>
                <w:szCs w:val="21"/>
              </w:rPr>
              <w:t>挥发性有机化合物（VOC),(g/L)       ≤</w:t>
            </w:r>
          </w:p>
        </w:tc>
        <w:tc>
          <w:tcPr>
            <w:tcW w:w="3420" w:type="dxa"/>
            <w:vAlign w:val="center"/>
          </w:tcPr>
          <w:p>
            <w:pPr>
              <w:jc w:val="center"/>
              <w:rPr>
                <w:sz w:val="24"/>
              </w:rPr>
            </w:pPr>
            <w:r>
              <w:rPr>
                <w:sz w:val="24"/>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71" w:type="dxa"/>
            <w:vAlign w:val="center"/>
          </w:tcPr>
          <w:p>
            <w:pPr>
              <w:spacing w:line="360" w:lineRule="auto"/>
              <w:jc w:val="center"/>
              <w:rPr>
                <w:sz w:val="24"/>
              </w:rPr>
            </w:pPr>
            <w:r>
              <w:rPr>
                <w:sz w:val="24"/>
              </w:rPr>
              <w:t>2</w:t>
            </w:r>
          </w:p>
        </w:tc>
        <w:tc>
          <w:tcPr>
            <w:tcW w:w="4637" w:type="dxa"/>
            <w:vAlign w:val="center"/>
          </w:tcPr>
          <w:p>
            <w:pPr>
              <w:spacing w:line="360" w:lineRule="auto"/>
              <w:jc w:val="left"/>
              <w:rPr>
                <w:szCs w:val="21"/>
              </w:rPr>
            </w:pPr>
            <w:r>
              <w:rPr>
                <w:szCs w:val="21"/>
              </w:rPr>
              <w:t>游离甲醛/ mg/kg                    ≤</w:t>
            </w:r>
          </w:p>
        </w:tc>
        <w:tc>
          <w:tcPr>
            <w:tcW w:w="3420" w:type="dxa"/>
            <w:vAlign w:val="center"/>
          </w:tcPr>
          <w:p>
            <w:pPr>
              <w:spacing w:line="360" w:lineRule="auto"/>
              <w:jc w:val="center"/>
              <w:rPr>
                <w:sz w:val="24"/>
              </w:rPr>
            </w:pPr>
            <w:r>
              <w:rPr>
                <w:sz w:val="24"/>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71" w:type="dxa"/>
            <w:vAlign w:val="center"/>
          </w:tcPr>
          <w:p>
            <w:pPr>
              <w:spacing w:line="360" w:lineRule="auto"/>
              <w:jc w:val="center"/>
              <w:rPr>
                <w:sz w:val="24"/>
              </w:rPr>
            </w:pPr>
            <w:r>
              <w:rPr>
                <w:sz w:val="24"/>
              </w:rPr>
              <w:t>3</w:t>
            </w:r>
          </w:p>
        </w:tc>
        <w:tc>
          <w:tcPr>
            <w:tcW w:w="4637" w:type="dxa"/>
            <w:vAlign w:val="center"/>
          </w:tcPr>
          <w:p>
            <w:pPr>
              <w:spacing w:line="360" w:lineRule="auto"/>
              <w:jc w:val="left"/>
              <w:rPr>
                <w:szCs w:val="21"/>
              </w:rPr>
            </w:pPr>
            <w:r>
              <w:rPr>
                <w:szCs w:val="21"/>
              </w:rPr>
              <w:t>苯、甲苯、乙苯和二甲苯总和/mg/kg   ≤</w:t>
            </w:r>
          </w:p>
        </w:tc>
        <w:tc>
          <w:tcPr>
            <w:tcW w:w="3420" w:type="dxa"/>
            <w:vAlign w:val="center"/>
          </w:tcPr>
          <w:p>
            <w:pPr>
              <w:spacing w:line="360" w:lineRule="auto"/>
              <w:jc w:val="center"/>
              <w:rPr>
                <w:sz w:val="24"/>
              </w:rPr>
            </w:pPr>
            <w:r>
              <w:rPr>
                <w:sz w:val="24"/>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71" w:type="dxa"/>
            <w:tcBorders>
              <w:bottom w:val="single" w:color="auto" w:sz="12" w:space="0"/>
            </w:tcBorders>
            <w:vAlign w:val="center"/>
          </w:tcPr>
          <w:p>
            <w:pPr>
              <w:spacing w:line="360" w:lineRule="auto"/>
              <w:jc w:val="center"/>
              <w:rPr>
                <w:sz w:val="24"/>
              </w:rPr>
            </w:pPr>
            <w:r>
              <w:rPr>
                <w:sz w:val="24"/>
              </w:rPr>
              <w:t>4</w:t>
            </w:r>
          </w:p>
        </w:tc>
        <w:tc>
          <w:tcPr>
            <w:tcW w:w="4637" w:type="dxa"/>
            <w:tcBorders>
              <w:bottom w:val="single" w:color="auto" w:sz="12" w:space="0"/>
            </w:tcBorders>
            <w:vAlign w:val="center"/>
          </w:tcPr>
          <w:p>
            <w:pPr>
              <w:spacing w:line="360" w:lineRule="auto"/>
              <w:jc w:val="left"/>
              <w:rPr>
                <w:szCs w:val="21"/>
              </w:rPr>
            </w:pPr>
            <w:r>
              <w:rPr>
                <w:szCs w:val="21"/>
              </w:rPr>
              <w:t>氨/ mg/kg                          ≤</w:t>
            </w:r>
          </w:p>
        </w:tc>
        <w:tc>
          <w:tcPr>
            <w:tcW w:w="3420" w:type="dxa"/>
            <w:tcBorders>
              <w:bottom w:val="single" w:color="auto" w:sz="12" w:space="0"/>
            </w:tcBorders>
            <w:vAlign w:val="center"/>
          </w:tcPr>
          <w:p>
            <w:pPr>
              <w:spacing w:line="360" w:lineRule="auto"/>
              <w:jc w:val="center"/>
              <w:rPr>
                <w:sz w:val="24"/>
              </w:rPr>
            </w:pPr>
            <w:r>
              <w:rPr>
                <w:sz w:val="24"/>
              </w:rPr>
              <w:t>500</w:t>
            </w:r>
          </w:p>
        </w:tc>
      </w:tr>
    </w:tbl>
    <w:p>
      <w:pPr>
        <w:autoSpaceDE w:val="0"/>
        <w:autoSpaceDN w:val="0"/>
        <w:adjustRightInd w:val="0"/>
        <w:jc w:val="left"/>
        <w:rPr>
          <w:spacing w:val="4"/>
          <w:kern w:val="0"/>
        </w:rPr>
      </w:pPr>
      <w:r>
        <w:rPr>
          <w:spacing w:val="4"/>
        </w:rPr>
        <w:t>注：检测方法按《建筑防水涂料中有害物质限量》JC 1066执行。</w:t>
      </w:r>
    </w:p>
    <w:p>
      <w:pPr>
        <w:autoSpaceDE w:val="0"/>
        <w:autoSpaceDN w:val="0"/>
        <w:adjustRightInd w:val="0"/>
        <w:spacing w:line="340" w:lineRule="exact"/>
        <w:rPr>
          <w:spacing w:val="4"/>
          <w:kern w:val="0"/>
          <w:szCs w:val="21"/>
        </w:rPr>
      </w:pPr>
    </w:p>
    <w:p>
      <w:pPr>
        <w:autoSpaceDE w:val="0"/>
        <w:autoSpaceDN w:val="0"/>
        <w:adjustRightInd w:val="0"/>
        <w:spacing w:line="360" w:lineRule="auto"/>
        <w:jc w:val="left"/>
        <w:rPr>
          <w:b/>
          <w:spacing w:val="4"/>
          <w:kern w:val="0"/>
          <w:sz w:val="24"/>
        </w:rPr>
      </w:pPr>
      <w:r>
        <w:rPr>
          <w:b/>
          <w:spacing w:val="4"/>
          <w:kern w:val="0"/>
          <w:sz w:val="24"/>
        </w:rPr>
        <w:t xml:space="preserve">4.1.2  </w:t>
      </w:r>
      <w:r>
        <w:rPr>
          <w:spacing w:val="4"/>
          <w:kern w:val="0"/>
          <w:sz w:val="24"/>
        </w:rPr>
        <w:t>上人屋面宜采用细石混凝土或块体材料等作保护层；非上人屋面宜采用水泥砂浆作保护层。保护层材料的技术要求和适用范围应符合表4.1.2的规定。</w:t>
      </w:r>
    </w:p>
    <w:p>
      <w:pPr>
        <w:spacing w:line="400" w:lineRule="exact"/>
        <w:jc w:val="center"/>
        <w:rPr>
          <w:color w:val="000000"/>
          <w:szCs w:val="28"/>
        </w:rPr>
      </w:pPr>
      <w:r>
        <w:rPr>
          <w:b/>
          <w:color w:val="000000"/>
          <w:szCs w:val="28"/>
        </w:rPr>
        <w:t>表4.1.2</w:t>
      </w:r>
      <w:r>
        <w:rPr>
          <w:color w:val="000000"/>
          <w:szCs w:val="28"/>
        </w:rPr>
        <w:t xml:space="preserve">  保护层材料的技术要求和适用范围</w:t>
      </w:r>
    </w:p>
    <w:tbl>
      <w:tblPr>
        <w:tblStyle w:val="22"/>
        <w:tblW w:w="8931"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5050"/>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6" w:type="dxa"/>
            <w:vAlign w:val="center"/>
          </w:tcPr>
          <w:p>
            <w:pPr>
              <w:autoSpaceDE w:val="0"/>
              <w:autoSpaceDN w:val="0"/>
              <w:adjustRightInd w:val="0"/>
              <w:spacing w:line="340" w:lineRule="exact"/>
              <w:jc w:val="center"/>
              <w:rPr>
                <w:spacing w:val="4"/>
                <w:kern w:val="0"/>
                <w:sz w:val="24"/>
              </w:rPr>
            </w:pPr>
            <w:r>
              <w:rPr>
                <w:spacing w:val="4"/>
                <w:kern w:val="0"/>
                <w:sz w:val="24"/>
              </w:rPr>
              <w:t>保护层材料</w:t>
            </w:r>
          </w:p>
        </w:tc>
        <w:tc>
          <w:tcPr>
            <w:tcW w:w="5050" w:type="dxa"/>
            <w:vAlign w:val="center"/>
          </w:tcPr>
          <w:p>
            <w:pPr>
              <w:autoSpaceDE w:val="0"/>
              <w:autoSpaceDN w:val="0"/>
              <w:adjustRightInd w:val="0"/>
              <w:spacing w:line="340" w:lineRule="exact"/>
              <w:jc w:val="center"/>
              <w:rPr>
                <w:spacing w:val="4"/>
                <w:kern w:val="0"/>
                <w:sz w:val="24"/>
              </w:rPr>
            </w:pPr>
            <w:r>
              <w:rPr>
                <w:spacing w:val="4"/>
                <w:kern w:val="0"/>
                <w:sz w:val="24"/>
              </w:rPr>
              <w:t>技术要求</w:t>
            </w:r>
          </w:p>
        </w:tc>
        <w:tc>
          <w:tcPr>
            <w:tcW w:w="2145" w:type="dxa"/>
            <w:vAlign w:val="center"/>
          </w:tcPr>
          <w:p>
            <w:pPr>
              <w:autoSpaceDE w:val="0"/>
              <w:autoSpaceDN w:val="0"/>
              <w:adjustRightInd w:val="0"/>
              <w:spacing w:line="340" w:lineRule="exact"/>
              <w:jc w:val="center"/>
              <w:rPr>
                <w:spacing w:val="4"/>
                <w:kern w:val="0"/>
                <w:sz w:val="24"/>
              </w:rPr>
            </w:pPr>
            <w:r>
              <w:rPr>
                <w:spacing w:val="4"/>
                <w:kern w:val="0"/>
                <w:sz w:val="24"/>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6" w:type="dxa"/>
            <w:vAlign w:val="center"/>
          </w:tcPr>
          <w:p>
            <w:pPr>
              <w:autoSpaceDE w:val="0"/>
              <w:autoSpaceDN w:val="0"/>
              <w:adjustRightInd w:val="0"/>
              <w:spacing w:line="340" w:lineRule="exact"/>
              <w:jc w:val="center"/>
              <w:rPr>
                <w:spacing w:val="4"/>
                <w:kern w:val="0"/>
                <w:sz w:val="24"/>
              </w:rPr>
            </w:pPr>
            <w:r>
              <w:rPr>
                <w:spacing w:val="4"/>
                <w:kern w:val="0"/>
                <w:sz w:val="24"/>
              </w:rPr>
              <w:t>细石混凝土</w:t>
            </w:r>
          </w:p>
        </w:tc>
        <w:tc>
          <w:tcPr>
            <w:tcW w:w="5050" w:type="dxa"/>
            <w:vAlign w:val="center"/>
          </w:tcPr>
          <w:p>
            <w:pPr>
              <w:autoSpaceDE w:val="0"/>
              <w:autoSpaceDN w:val="0"/>
              <w:adjustRightInd w:val="0"/>
              <w:spacing w:line="340" w:lineRule="exact"/>
              <w:rPr>
                <w:spacing w:val="4"/>
                <w:kern w:val="0"/>
                <w:sz w:val="24"/>
              </w:rPr>
            </w:pPr>
            <w:r>
              <w:rPr>
                <w:spacing w:val="4"/>
                <w:kern w:val="0"/>
                <w:sz w:val="24"/>
              </w:rPr>
              <w:t>40mm厚C20细石混凝土或50mm厚C20细石混凝土内配ф4@100双向钢筋网片</w:t>
            </w:r>
          </w:p>
        </w:tc>
        <w:tc>
          <w:tcPr>
            <w:tcW w:w="2145" w:type="dxa"/>
            <w:vAlign w:val="center"/>
          </w:tcPr>
          <w:p>
            <w:pPr>
              <w:autoSpaceDE w:val="0"/>
              <w:autoSpaceDN w:val="0"/>
              <w:adjustRightInd w:val="0"/>
              <w:spacing w:line="340" w:lineRule="exact"/>
              <w:jc w:val="center"/>
              <w:rPr>
                <w:spacing w:val="4"/>
                <w:kern w:val="0"/>
                <w:sz w:val="24"/>
              </w:rPr>
            </w:pPr>
            <w:r>
              <w:rPr>
                <w:spacing w:val="4"/>
                <w:kern w:val="0"/>
                <w:sz w:val="24"/>
              </w:rPr>
              <w:t>上人屋面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6" w:type="dxa"/>
            <w:vAlign w:val="center"/>
          </w:tcPr>
          <w:p>
            <w:pPr>
              <w:autoSpaceDE w:val="0"/>
              <w:autoSpaceDN w:val="0"/>
              <w:adjustRightInd w:val="0"/>
              <w:spacing w:line="340" w:lineRule="exact"/>
              <w:jc w:val="center"/>
              <w:rPr>
                <w:spacing w:val="4"/>
                <w:kern w:val="0"/>
                <w:sz w:val="24"/>
              </w:rPr>
            </w:pPr>
            <w:r>
              <w:rPr>
                <w:spacing w:val="4"/>
                <w:kern w:val="0"/>
                <w:sz w:val="24"/>
              </w:rPr>
              <w:t>块体材料</w:t>
            </w:r>
          </w:p>
        </w:tc>
        <w:tc>
          <w:tcPr>
            <w:tcW w:w="5050" w:type="dxa"/>
            <w:vAlign w:val="center"/>
          </w:tcPr>
          <w:p>
            <w:pPr>
              <w:autoSpaceDE w:val="0"/>
              <w:autoSpaceDN w:val="0"/>
              <w:adjustRightInd w:val="0"/>
              <w:spacing w:line="340" w:lineRule="exact"/>
              <w:rPr>
                <w:spacing w:val="4"/>
                <w:kern w:val="0"/>
                <w:sz w:val="24"/>
              </w:rPr>
            </w:pPr>
            <w:r>
              <w:rPr>
                <w:spacing w:val="4"/>
                <w:kern w:val="0"/>
                <w:sz w:val="24"/>
              </w:rPr>
              <w:t>地砖或30mm厚C20细石混凝土预制块</w:t>
            </w:r>
          </w:p>
        </w:tc>
        <w:tc>
          <w:tcPr>
            <w:tcW w:w="2145" w:type="dxa"/>
            <w:vAlign w:val="center"/>
          </w:tcPr>
          <w:p>
            <w:pPr>
              <w:autoSpaceDE w:val="0"/>
              <w:autoSpaceDN w:val="0"/>
              <w:adjustRightInd w:val="0"/>
              <w:spacing w:line="340" w:lineRule="exact"/>
              <w:jc w:val="center"/>
              <w:rPr>
                <w:spacing w:val="4"/>
                <w:kern w:val="0"/>
                <w:sz w:val="24"/>
              </w:rPr>
            </w:pPr>
            <w:r>
              <w:rPr>
                <w:spacing w:val="4"/>
                <w:kern w:val="0"/>
                <w:sz w:val="24"/>
              </w:rPr>
              <w:t>上人屋面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6" w:type="dxa"/>
            <w:vAlign w:val="center"/>
          </w:tcPr>
          <w:p>
            <w:pPr>
              <w:autoSpaceDE w:val="0"/>
              <w:autoSpaceDN w:val="0"/>
              <w:adjustRightInd w:val="0"/>
              <w:spacing w:line="340" w:lineRule="exact"/>
              <w:jc w:val="center"/>
              <w:rPr>
                <w:spacing w:val="4"/>
                <w:kern w:val="0"/>
                <w:sz w:val="24"/>
              </w:rPr>
            </w:pPr>
            <w:r>
              <w:rPr>
                <w:spacing w:val="4"/>
                <w:kern w:val="0"/>
                <w:sz w:val="24"/>
              </w:rPr>
              <w:t>水泥砂浆</w:t>
            </w:r>
          </w:p>
        </w:tc>
        <w:tc>
          <w:tcPr>
            <w:tcW w:w="5050" w:type="dxa"/>
            <w:vAlign w:val="center"/>
          </w:tcPr>
          <w:p>
            <w:pPr>
              <w:autoSpaceDE w:val="0"/>
              <w:autoSpaceDN w:val="0"/>
              <w:adjustRightInd w:val="0"/>
              <w:spacing w:line="340" w:lineRule="exact"/>
              <w:rPr>
                <w:spacing w:val="4"/>
                <w:kern w:val="0"/>
                <w:sz w:val="24"/>
              </w:rPr>
            </w:pPr>
            <w:r>
              <w:rPr>
                <w:spacing w:val="4"/>
                <w:kern w:val="0"/>
                <w:sz w:val="24"/>
              </w:rPr>
              <w:t>20mm厚1:2.5或M15水泥砂浆</w:t>
            </w:r>
          </w:p>
        </w:tc>
        <w:tc>
          <w:tcPr>
            <w:tcW w:w="2145" w:type="dxa"/>
            <w:vAlign w:val="center"/>
          </w:tcPr>
          <w:p>
            <w:pPr>
              <w:autoSpaceDE w:val="0"/>
              <w:autoSpaceDN w:val="0"/>
              <w:adjustRightInd w:val="0"/>
              <w:spacing w:line="340" w:lineRule="exact"/>
              <w:jc w:val="center"/>
              <w:rPr>
                <w:spacing w:val="4"/>
                <w:kern w:val="0"/>
                <w:sz w:val="24"/>
              </w:rPr>
            </w:pPr>
            <w:r>
              <w:rPr>
                <w:spacing w:val="4"/>
                <w:kern w:val="0"/>
                <w:sz w:val="24"/>
              </w:rPr>
              <w:t>非上人屋面</w:t>
            </w:r>
          </w:p>
        </w:tc>
      </w:tr>
    </w:tbl>
    <w:p>
      <w:pPr>
        <w:autoSpaceDE w:val="0"/>
        <w:autoSpaceDN w:val="0"/>
        <w:adjustRightInd w:val="0"/>
        <w:spacing w:line="420" w:lineRule="exact"/>
        <w:rPr>
          <w:rFonts w:eastAsia="黑体"/>
          <w:spacing w:val="4"/>
          <w:kern w:val="0"/>
          <w:sz w:val="28"/>
          <w:szCs w:val="28"/>
        </w:rPr>
      </w:pPr>
    </w:p>
    <w:p>
      <w:pPr>
        <w:autoSpaceDE w:val="0"/>
        <w:autoSpaceDN w:val="0"/>
        <w:adjustRightInd w:val="0"/>
        <w:spacing w:line="360" w:lineRule="auto"/>
        <w:jc w:val="left"/>
        <w:rPr>
          <w:spacing w:val="4"/>
          <w:kern w:val="0"/>
          <w:sz w:val="24"/>
        </w:rPr>
      </w:pPr>
      <w:r>
        <w:rPr>
          <w:b/>
          <w:spacing w:val="4"/>
          <w:kern w:val="0"/>
          <w:sz w:val="24"/>
        </w:rPr>
        <w:t xml:space="preserve">4.1.3  </w:t>
      </w:r>
      <w:r>
        <w:rPr>
          <w:spacing w:val="4"/>
          <w:kern w:val="0"/>
          <w:sz w:val="24"/>
        </w:rPr>
        <w:t>胎体增强材料可采用聚酯无纺布、耐碱玻纤网格布等。其主要物理力学性能指标应符合表4.1.3的规定。</w:t>
      </w:r>
    </w:p>
    <w:p>
      <w:pPr>
        <w:spacing w:line="400" w:lineRule="exact"/>
        <w:jc w:val="center"/>
        <w:rPr>
          <w:color w:val="000000"/>
          <w:szCs w:val="28"/>
        </w:rPr>
      </w:pPr>
      <w:r>
        <w:rPr>
          <w:b/>
          <w:color w:val="000000"/>
          <w:szCs w:val="28"/>
        </w:rPr>
        <w:t xml:space="preserve">表4.1.3  </w:t>
      </w:r>
      <w:r>
        <w:rPr>
          <w:color w:val="000000"/>
          <w:szCs w:val="28"/>
        </w:rPr>
        <w:t>胎体增强材料的主要物理力学性能指标</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239"/>
        <w:gridCol w:w="2693"/>
        <w:gridCol w:w="329"/>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69" w:type="dxa"/>
            <w:gridSpan w:val="2"/>
            <w:vMerge w:val="restart"/>
            <w:vAlign w:val="center"/>
          </w:tcPr>
          <w:p>
            <w:pPr>
              <w:autoSpaceDE w:val="0"/>
              <w:autoSpaceDN w:val="0"/>
              <w:adjustRightInd w:val="0"/>
              <w:spacing w:line="340" w:lineRule="exact"/>
              <w:jc w:val="center"/>
              <w:rPr>
                <w:spacing w:val="4"/>
                <w:kern w:val="0"/>
                <w:sz w:val="24"/>
              </w:rPr>
            </w:pPr>
            <w:r>
              <w:rPr>
                <w:spacing w:val="4"/>
                <w:kern w:val="0"/>
                <w:sz w:val="24"/>
              </w:rPr>
              <w:t>项目</w:t>
            </w:r>
          </w:p>
        </w:tc>
        <w:tc>
          <w:tcPr>
            <w:tcW w:w="5153" w:type="dxa"/>
            <w:gridSpan w:val="3"/>
            <w:vAlign w:val="center"/>
          </w:tcPr>
          <w:p>
            <w:pPr>
              <w:autoSpaceDE w:val="0"/>
              <w:autoSpaceDN w:val="0"/>
              <w:adjustRightInd w:val="0"/>
              <w:spacing w:line="340" w:lineRule="exact"/>
              <w:jc w:val="center"/>
              <w:rPr>
                <w:spacing w:val="4"/>
                <w:kern w:val="0"/>
                <w:sz w:val="24"/>
              </w:rPr>
            </w:pPr>
            <w:r>
              <w:rPr>
                <w:spacing w:val="4"/>
                <w:kern w:val="0"/>
                <w:sz w:val="24"/>
              </w:rPr>
              <w:t>胎体增强材料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69" w:type="dxa"/>
            <w:gridSpan w:val="2"/>
            <w:vMerge w:val="continue"/>
            <w:vAlign w:val="center"/>
          </w:tcPr>
          <w:p>
            <w:pPr>
              <w:autoSpaceDE w:val="0"/>
              <w:autoSpaceDN w:val="0"/>
              <w:adjustRightInd w:val="0"/>
              <w:spacing w:line="340" w:lineRule="exact"/>
              <w:jc w:val="center"/>
              <w:rPr>
                <w:spacing w:val="4"/>
                <w:kern w:val="0"/>
                <w:sz w:val="24"/>
              </w:rPr>
            </w:pPr>
          </w:p>
        </w:tc>
        <w:tc>
          <w:tcPr>
            <w:tcW w:w="2693" w:type="dxa"/>
            <w:vAlign w:val="center"/>
          </w:tcPr>
          <w:p>
            <w:pPr>
              <w:autoSpaceDE w:val="0"/>
              <w:autoSpaceDN w:val="0"/>
              <w:adjustRightInd w:val="0"/>
              <w:spacing w:line="340" w:lineRule="exact"/>
              <w:jc w:val="center"/>
              <w:rPr>
                <w:spacing w:val="4"/>
                <w:kern w:val="0"/>
                <w:sz w:val="24"/>
              </w:rPr>
            </w:pPr>
            <w:r>
              <w:rPr>
                <w:spacing w:val="4"/>
                <w:kern w:val="0"/>
                <w:sz w:val="24"/>
              </w:rPr>
              <w:t>聚酯无纺布</w:t>
            </w:r>
          </w:p>
        </w:tc>
        <w:tc>
          <w:tcPr>
            <w:tcW w:w="2460" w:type="dxa"/>
            <w:gridSpan w:val="2"/>
            <w:vAlign w:val="center"/>
          </w:tcPr>
          <w:p>
            <w:pPr>
              <w:autoSpaceDE w:val="0"/>
              <w:autoSpaceDN w:val="0"/>
              <w:adjustRightInd w:val="0"/>
              <w:spacing w:line="340" w:lineRule="exact"/>
              <w:jc w:val="center"/>
              <w:rPr>
                <w:spacing w:val="4"/>
                <w:kern w:val="0"/>
                <w:sz w:val="24"/>
              </w:rPr>
            </w:pPr>
            <w:r>
              <w:rPr>
                <w:spacing w:val="4"/>
                <w:kern w:val="0"/>
                <w:sz w:val="24"/>
              </w:rPr>
              <w:t>耐碱玻纤网格布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69" w:type="dxa"/>
            <w:gridSpan w:val="2"/>
            <w:vAlign w:val="center"/>
          </w:tcPr>
          <w:p>
            <w:pPr>
              <w:autoSpaceDE w:val="0"/>
              <w:autoSpaceDN w:val="0"/>
              <w:adjustRightInd w:val="0"/>
              <w:spacing w:line="340" w:lineRule="exact"/>
              <w:jc w:val="center"/>
              <w:rPr>
                <w:spacing w:val="4"/>
                <w:kern w:val="0"/>
                <w:sz w:val="24"/>
              </w:rPr>
            </w:pPr>
            <w:r>
              <w:rPr>
                <w:spacing w:val="4"/>
                <w:kern w:val="0"/>
                <w:sz w:val="24"/>
              </w:rPr>
              <w:t>外观</w:t>
            </w:r>
          </w:p>
        </w:tc>
        <w:tc>
          <w:tcPr>
            <w:tcW w:w="5153" w:type="dxa"/>
            <w:gridSpan w:val="3"/>
            <w:vAlign w:val="center"/>
          </w:tcPr>
          <w:p>
            <w:pPr>
              <w:autoSpaceDE w:val="0"/>
              <w:autoSpaceDN w:val="0"/>
              <w:adjustRightInd w:val="0"/>
              <w:spacing w:line="340" w:lineRule="exact"/>
              <w:jc w:val="center"/>
              <w:rPr>
                <w:spacing w:val="4"/>
                <w:kern w:val="0"/>
                <w:sz w:val="24"/>
              </w:rPr>
            </w:pPr>
            <w:r>
              <w:rPr>
                <w:spacing w:val="4"/>
                <w:kern w:val="0"/>
                <w:sz w:val="24"/>
              </w:rPr>
              <w:t>均匀、无团状、平整无皱折。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0" w:type="dxa"/>
            <w:vMerge w:val="restart"/>
            <w:vAlign w:val="center"/>
          </w:tcPr>
          <w:p>
            <w:pPr>
              <w:autoSpaceDE w:val="0"/>
              <w:autoSpaceDN w:val="0"/>
              <w:adjustRightInd w:val="0"/>
              <w:spacing w:line="340" w:lineRule="exact"/>
              <w:jc w:val="center"/>
              <w:rPr>
                <w:spacing w:val="4"/>
                <w:kern w:val="0"/>
                <w:sz w:val="24"/>
              </w:rPr>
            </w:pPr>
            <w:r>
              <w:rPr>
                <w:spacing w:val="4"/>
                <w:kern w:val="0"/>
                <w:sz w:val="24"/>
              </w:rPr>
              <w:t>拉力（N/50mm）</w:t>
            </w:r>
          </w:p>
        </w:tc>
        <w:tc>
          <w:tcPr>
            <w:tcW w:w="1239" w:type="dxa"/>
            <w:vAlign w:val="center"/>
          </w:tcPr>
          <w:p>
            <w:pPr>
              <w:autoSpaceDE w:val="0"/>
              <w:autoSpaceDN w:val="0"/>
              <w:adjustRightInd w:val="0"/>
              <w:spacing w:line="340" w:lineRule="exact"/>
              <w:jc w:val="center"/>
              <w:rPr>
                <w:spacing w:val="4"/>
                <w:kern w:val="0"/>
                <w:sz w:val="24"/>
              </w:rPr>
            </w:pPr>
            <w:r>
              <w:rPr>
                <w:spacing w:val="4"/>
                <w:kern w:val="0"/>
                <w:sz w:val="24"/>
              </w:rPr>
              <w:t>纵向</w:t>
            </w:r>
          </w:p>
        </w:tc>
        <w:tc>
          <w:tcPr>
            <w:tcW w:w="3022" w:type="dxa"/>
            <w:gridSpan w:val="2"/>
            <w:vAlign w:val="center"/>
          </w:tcPr>
          <w:p>
            <w:pPr>
              <w:autoSpaceDE w:val="0"/>
              <w:autoSpaceDN w:val="0"/>
              <w:adjustRightInd w:val="0"/>
              <w:spacing w:line="340" w:lineRule="exact"/>
              <w:jc w:val="center"/>
              <w:rPr>
                <w:spacing w:val="4"/>
                <w:kern w:val="0"/>
                <w:sz w:val="24"/>
              </w:rPr>
            </w:pPr>
            <w:r>
              <w:rPr>
                <w:sz w:val="24"/>
              </w:rPr>
              <w:t>≥150</w:t>
            </w:r>
          </w:p>
        </w:tc>
        <w:tc>
          <w:tcPr>
            <w:tcW w:w="2131" w:type="dxa"/>
            <w:vAlign w:val="center"/>
          </w:tcPr>
          <w:p>
            <w:pPr>
              <w:autoSpaceDE w:val="0"/>
              <w:autoSpaceDN w:val="0"/>
              <w:adjustRightInd w:val="0"/>
              <w:spacing w:line="340" w:lineRule="exact"/>
              <w:jc w:val="center"/>
              <w:rPr>
                <w:spacing w:val="4"/>
                <w:kern w:val="0"/>
                <w:sz w:val="24"/>
              </w:rPr>
            </w:pPr>
            <w:r>
              <w:rPr>
                <w:sz w:val="24"/>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0" w:type="dxa"/>
            <w:vMerge w:val="continue"/>
            <w:vAlign w:val="center"/>
          </w:tcPr>
          <w:p>
            <w:pPr>
              <w:autoSpaceDE w:val="0"/>
              <w:autoSpaceDN w:val="0"/>
              <w:adjustRightInd w:val="0"/>
              <w:spacing w:line="340" w:lineRule="exact"/>
              <w:jc w:val="center"/>
              <w:rPr>
                <w:spacing w:val="4"/>
                <w:kern w:val="0"/>
                <w:sz w:val="24"/>
              </w:rPr>
            </w:pPr>
          </w:p>
        </w:tc>
        <w:tc>
          <w:tcPr>
            <w:tcW w:w="1239" w:type="dxa"/>
            <w:vAlign w:val="center"/>
          </w:tcPr>
          <w:p>
            <w:pPr>
              <w:autoSpaceDE w:val="0"/>
              <w:autoSpaceDN w:val="0"/>
              <w:adjustRightInd w:val="0"/>
              <w:spacing w:line="340" w:lineRule="exact"/>
              <w:jc w:val="center"/>
              <w:rPr>
                <w:spacing w:val="4"/>
                <w:kern w:val="0"/>
                <w:sz w:val="24"/>
              </w:rPr>
            </w:pPr>
            <w:r>
              <w:rPr>
                <w:spacing w:val="4"/>
                <w:kern w:val="0"/>
                <w:sz w:val="24"/>
              </w:rPr>
              <w:t>横向</w:t>
            </w:r>
          </w:p>
        </w:tc>
        <w:tc>
          <w:tcPr>
            <w:tcW w:w="3022" w:type="dxa"/>
            <w:gridSpan w:val="2"/>
            <w:vAlign w:val="center"/>
          </w:tcPr>
          <w:p>
            <w:pPr>
              <w:jc w:val="center"/>
              <w:rPr>
                <w:sz w:val="24"/>
              </w:rPr>
            </w:pPr>
            <w:r>
              <w:rPr>
                <w:sz w:val="24"/>
              </w:rPr>
              <w:t>≥100</w:t>
            </w:r>
          </w:p>
        </w:tc>
        <w:tc>
          <w:tcPr>
            <w:tcW w:w="2131" w:type="dxa"/>
            <w:vAlign w:val="center"/>
          </w:tcPr>
          <w:p>
            <w:pPr>
              <w:jc w:val="center"/>
              <w:rPr>
                <w:sz w:val="24"/>
              </w:rPr>
            </w:pPr>
            <w:r>
              <w:rPr>
                <w:sz w:val="24"/>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0" w:type="dxa"/>
            <w:vMerge w:val="restart"/>
            <w:vAlign w:val="center"/>
          </w:tcPr>
          <w:p>
            <w:pPr>
              <w:autoSpaceDE w:val="0"/>
              <w:autoSpaceDN w:val="0"/>
              <w:adjustRightInd w:val="0"/>
              <w:spacing w:line="340" w:lineRule="exact"/>
              <w:jc w:val="center"/>
              <w:rPr>
                <w:spacing w:val="4"/>
                <w:kern w:val="0"/>
                <w:sz w:val="24"/>
              </w:rPr>
            </w:pPr>
            <w:r>
              <w:rPr>
                <w:spacing w:val="4"/>
                <w:kern w:val="0"/>
                <w:sz w:val="24"/>
              </w:rPr>
              <w:t>延伸率（%）</w:t>
            </w:r>
          </w:p>
        </w:tc>
        <w:tc>
          <w:tcPr>
            <w:tcW w:w="1239" w:type="dxa"/>
            <w:vAlign w:val="center"/>
          </w:tcPr>
          <w:p>
            <w:pPr>
              <w:autoSpaceDE w:val="0"/>
              <w:autoSpaceDN w:val="0"/>
              <w:adjustRightInd w:val="0"/>
              <w:spacing w:line="340" w:lineRule="exact"/>
              <w:jc w:val="center"/>
              <w:rPr>
                <w:spacing w:val="4"/>
                <w:kern w:val="0"/>
                <w:sz w:val="24"/>
              </w:rPr>
            </w:pPr>
            <w:r>
              <w:rPr>
                <w:spacing w:val="4"/>
                <w:kern w:val="0"/>
                <w:sz w:val="24"/>
              </w:rPr>
              <w:t>纵向</w:t>
            </w:r>
          </w:p>
        </w:tc>
        <w:tc>
          <w:tcPr>
            <w:tcW w:w="3022" w:type="dxa"/>
            <w:gridSpan w:val="2"/>
            <w:vAlign w:val="center"/>
          </w:tcPr>
          <w:p>
            <w:pPr>
              <w:jc w:val="center"/>
              <w:rPr>
                <w:sz w:val="24"/>
              </w:rPr>
            </w:pPr>
            <w:r>
              <w:rPr>
                <w:sz w:val="24"/>
              </w:rPr>
              <w:t>≥10</w:t>
            </w:r>
          </w:p>
        </w:tc>
        <w:tc>
          <w:tcPr>
            <w:tcW w:w="2131" w:type="dxa"/>
            <w:vAlign w:val="center"/>
          </w:tcPr>
          <w:p>
            <w:pPr>
              <w:autoSpaceDE w:val="0"/>
              <w:autoSpaceDN w:val="0"/>
              <w:adjustRightInd w:val="0"/>
              <w:spacing w:line="340" w:lineRule="exact"/>
              <w:jc w:val="center"/>
              <w:rPr>
                <w:spacing w:val="4"/>
                <w:kern w:val="0"/>
                <w:sz w:val="24"/>
              </w:rPr>
            </w:pPr>
            <w:r>
              <w:rPr>
                <w:spacing w:val="4"/>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0" w:type="dxa"/>
            <w:vMerge w:val="continue"/>
            <w:vAlign w:val="center"/>
          </w:tcPr>
          <w:p>
            <w:pPr>
              <w:autoSpaceDE w:val="0"/>
              <w:autoSpaceDN w:val="0"/>
              <w:adjustRightInd w:val="0"/>
              <w:spacing w:line="340" w:lineRule="exact"/>
              <w:jc w:val="center"/>
              <w:rPr>
                <w:spacing w:val="4"/>
                <w:kern w:val="0"/>
                <w:sz w:val="24"/>
              </w:rPr>
            </w:pPr>
          </w:p>
        </w:tc>
        <w:tc>
          <w:tcPr>
            <w:tcW w:w="1239" w:type="dxa"/>
            <w:vAlign w:val="center"/>
          </w:tcPr>
          <w:p>
            <w:pPr>
              <w:autoSpaceDE w:val="0"/>
              <w:autoSpaceDN w:val="0"/>
              <w:adjustRightInd w:val="0"/>
              <w:spacing w:line="340" w:lineRule="exact"/>
              <w:jc w:val="center"/>
              <w:rPr>
                <w:spacing w:val="4"/>
                <w:kern w:val="0"/>
                <w:sz w:val="24"/>
              </w:rPr>
            </w:pPr>
            <w:r>
              <w:rPr>
                <w:spacing w:val="4"/>
                <w:kern w:val="0"/>
                <w:sz w:val="24"/>
              </w:rPr>
              <w:t>横向</w:t>
            </w:r>
          </w:p>
        </w:tc>
        <w:tc>
          <w:tcPr>
            <w:tcW w:w="3022" w:type="dxa"/>
            <w:gridSpan w:val="2"/>
            <w:vAlign w:val="center"/>
          </w:tcPr>
          <w:p>
            <w:pPr>
              <w:jc w:val="center"/>
              <w:rPr>
                <w:sz w:val="24"/>
              </w:rPr>
            </w:pPr>
            <w:r>
              <w:rPr>
                <w:sz w:val="24"/>
              </w:rPr>
              <w:t>≥20</w:t>
            </w:r>
          </w:p>
        </w:tc>
        <w:tc>
          <w:tcPr>
            <w:tcW w:w="2131" w:type="dxa"/>
            <w:vAlign w:val="center"/>
          </w:tcPr>
          <w:p>
            <w:pPr>
              <w:autoSpaceDE w:val="0"/>
              <w:autoSpaceDN w:val="0"/>
              <w:adjustRightInd w:val="0"/>
              <w:spacing w:line="340" w:lineRule="exact"/>
              <w:jc w:val="center"/>
              <w:rPr>
                <w:spacing w:val="4"/>
                <w:kern w:val="0"/>
                <w:sz w:val="24"/>
              </w:rPr>
            </w:pPr>
            <w:r>
              <w:rPr>
                <w:spacing w:val="4"/>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0" w:type="dxa"/>
            <w:vMerge w:val="restart"/>
            <w:vAlign w:val="center"/>
          </w:tcPr>
          <w:p>
            <w:pPr>
              <w:autoSpaceDE w:val="0"/>
              <w:autoSpaceDN w:val="0"/>
              <w:adjustRightInd w:val="0"/>
              <w:spacing w:line="340" w:lineRule="exact"/>
              <w:jc w:val="center"/>
              <w:rPr>
                <w:spacing w:val="4"/>
                <w:kern w:val="0"/>
                <w:sz w:val="24"/>
              </w:rPr>
            </w:pPr>
            <w:r>
              <w:rPr>
                <w:spacing w:val="4"/>
                <w:kern w:val="0"/>
                <w:sz w:val="24"/>
              </w:rPr>
              <w:t>断裂应变（%）</w:t>
            </w:r>
          </w:p>
        </w:tc>
        <w:tc>
          <w:tcPr>
            <w:tcW w:w="1239" w:type="dxa"/>
            <w:vAlign w:val="center"/>
          </w:tcPr>
          <w:p>
            <w:pPr>
              <w:autoSpaceDE w:val="0"/>
              <w:autoSpaceDN w:val="0"/>
              <w:adjustRightInd w:val="0"/>
              <w:spacing w:line="340" w:lineRule="exact"/>
              <w:jc w:val="center"/>
              <w:rPr>
                <w:spacing w:val="4"/>
                <w:kern w:val="0"/>
                <w:sz w:val="24"/>
              </w:rPr>
            </w:pPr>
            <w:r>
              <w:rPr>
                <w:spacing w:val="4"/>
                <w:kern w:val="0"/>
                <w:sz w:val="24"/>
              </w:rPr>
              <w:t>纵向</w:t>
            </w:r>
          </w:p>
        </w:tc>
        <w:tc>
          <w:tcPr>
            <w:tcW w:w="3022" w:type="dxa"/>
            <w:gridSpan w:val="2"/>
            <w:vAlign w:val="center"/>
          </w:tcPr>
          <w:p>
            <w:pPr>
              <w:autoSpaceDE w:val="0"/>
              <w:autoSpaceDN w:val="0"/>
              <w:adjustRightInd w:val="0"/>
              <w:spacing w:line="340" w:lineRule="exact"/>
              <w:jc w:val="center"/>
              <w:rPr>
                <w:spacing w:val="4"/>
                <w:kern w:val="0"/>
                <w:sz w:val="24"/>
              </w:rPr>
            </w:pPr>
            <w:r>
              <w:rPr>
                <w:spacing w:val="4"/>
                <w:kern w:val="0"/>
                <w:sz w:val="24"/>
              </w:rPr>
              <w:t>/</w:t>
            </w:r>
          </w:p>
        </w:tc>
        <w:tc>
          <w:tcPr>
            <w:tcW w:w="2131" w:type="dxa"/>
            <w:vAlign w:val="center"/>
          </w:tcPr>
          <w:p>
            <w:pPr>
              <w:jc w:val="center"/>
              <w:rPr>
                <w:sz w:val="24"/>
              </w:rPr>
            </w:pPr>
            <w:r>
              <w:rPr>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130" w:type="dxa"/>
            <w:vMerge w:val="continue"/>
            <w:vAlign w:val="center"/>
          </w:tcPr>
          <w:p>
            <w:pPr>
              <w:autoSpaceDE w:val="0"/>
              <w:autoSpaceDN w:val="0"/>
              <w:adjustRightInd w:val="0"/>
              <w:spacing w:line="340" w:lineRule="exact"/>
              <w:jc w:val="center"/>
              <w:rPr>
                <w:spacing w:val="4"/>
                <w:kern w:val="0"/>
                <w:sz w:val="24"/>
              </w:rPr>
            </w:pPr>
          </w:p>
        </w:tc>
        <w:tc>
          <w:tcPr>
            <w:tcW w:w="1239" w:type="dxa"/>
            <w:vAlign w:val="center"/>
          </w:tcPr>
          <w:p>
            <w:pPr>
              <w:autoSpaceDE w:val="0"/>
              <w:autoSpaceDN w:val="0"/>
              <w:adjustRightInd w:val="0"/>
              <w:spacing w:line="340" w:lineRule="exact"/>
              <w:jc w:val="center"/>
              <w:rPr>
                <w:spacing w:val="4"/>
                <w:kern w:val="0"/>
                <w:sz w:val="24"/>
              </w:rPr>
            </w:pPr>
            <w:r>
              <w:rPr>
                <w:spacing w:val="4"/>
                <w:kern w:val="0"/>
                <w:sz w:val="24"/>
              </w:rPr>
              <w:t>横向</w:t>
            </w:r>
          </w:p>
        </w:tc>
        <w:tc>
          <w:tcPr>
            <w:tcW w:w="3022" w:type="dxa"/>
            <w:gridSpan w:val="2"/>
            <w:vAlign w:val="center"/>
          </w:tcPr>
          <w:p>
            <w:pPr>
              <w:autoSpaceDE w:val="0"/>
              <w:autoSpaceDN w:val="0"/>
              <w:adjustRightInd w:val="0"/>
              <w:spacing w:line="340" w:lineRule="exact"/>
              <w:jc w:val="center"/>
              <w:rPr>
                <w:spacing w:val="4"/>
                <w:kern w:val="0"/>
                <w:sz w:val="24"/>
              </w:rPr>
            </w:pPr>
            <w:r>
              <w:rPr>
                <w:spacing w:val="4"/>
                <w:kern w:val="0"/>
                <w:sz w:val="24"/>
              </w:rPr>
              <w:t>/</w:t>
            </w:r>
          </w:p>
        </w:tc>
        <w:tc>
          <w:tcPr>
            <w:tcW w:w="2131" w:type="dxa"/>
            <w:vAlign w:val="center"/>
          </w:tcPr>
          <w:p>
            <w:pPr>
              <w:jc w:val="center"/>
              <w:rPr>
                <w:sz w:val="24"/>
              </w:rPr>
            </w:pPr>
            <w:r>
              <w:rPr>
                <w:sz w:val="24"/>
              </w:rPr>
              <w:t>≤5.0</w:t>
            </w:r>
          </w:p>
        </w:tc>
      </w:tr>
    </w:tbl>
    <w:p>
      <w:pPr>
        <w:autoSpaceDE w:val="0"/>
        <w:autoSpaceDN w:val="0"/>
        <w:adjustRightInd w:val="0"/>
        <w:spacing w:line="340" w:lineRule="exact"/>
        <w:rPr>
          <w:rFonts w:eastAsiaTheme="minorEastAsia"/>
          <w:spacing w:val="4"/>
          <w:kern w:val="0"/>
          <w:sz w:val="24"/>
        </w:rPr>
      </w:pPr>
    </w:p>
    <w:p>
      <w:pPr>
        <w:autoSpaceDE w:val="0"/>
        <w:autoSpaceDN w:val="0"/>
        <w:adjustRightInd w:val="0"/>
        <w:spacing w:line="360" w:lineRule="auto"/>
        <w:jc w:val="left"/>
        <w:rPr>
          <w:spacing w:val="4"/>
          <w:kern w:val="0"/>
          <w:sz w:val="24"/>
        </w:rPr>
      </w:pPr>
      <w:r>
        <w:rPr>
          <w:b/>
          <w:spacing w:val="4"/>
          <w:kern w:val="0"/>
          <w:sz w:val="24"/>
        </w:rPr>
        <w:t>4.1.4</w:t>
      </w:r>
      <w:r>
        <w:rPr>
          <w:spacing w:val="4"/>
          <w:kern w:val="0"/>
          <w:sz w:val="24"/>
        </w:rPr>
        <w:t xml:space="preserve">  隔离层可采用塑料膜、聚酯无纺布和卷材等。其技术要求应符合表4.1.4的规定。</w:t>
      </w:r>
    </w:p>
    <w:p>
      <w:pPr>
        <w:spacing w:line="400" w:lineRule="exact"/>
        <w:jc w:val="center"/>
        <w:rPr>
          <w:color w:val="000000"/>
          <w:szCs w:val="28"/>
        </w:rPr>
      </w:pPr>
      <w:r>
        <w:rPr>
          <w:b/>
          <w:color w:val="000000"/>
          <w:szCs w:val="28"/>
        </w:rPr>
        <w:t>表4.1.4</w:t>
      </w:r>
      <w:r>
        <w:rPr>
          <w:color w:val="000000"/>
          <w:szCs w:val="28"/>
        </w:rPr>
        <w:t xml:space="preserve">  隔离层材料技术要求</w:t>
      </w:r>
    </w:p>
    <w:tbl>
      <w:tblPr>
        <w:tblStyle w:val="22"/>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6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pPr>
              <w:autoSpaceDE w:val="0"/>
              <w:autoSpaceDN w:val="0"/>
              <w:adjustRightInd w:val="0"/>
              <w:spacing w:line="312" w:lineRule="auto"/>
              <w:jc w:val="center"/>
              <w:rPr>
                <w:sz w:val="24"/>
              </w:rPr>
            </w:pPr>
            <w:r>
              <w:rPr>
                <w:sz w:val="24"/>
              </w:rPr>
              <w:t>隔离层材料</w:t>
            </w:r>
          </w:p>
        </w:tc>
        <w:tc>
          <w:tcPr>
            <w:tcW w:w="6838" w:type="dxa"/>
            <w:vAlign w:val="center"/>
          </w:tcPr>
          <w:p>
            <w:pPr>
              <w:autoSpaceDE w:val="0"/>
              <w:autoSpaceDN w:val="0"/>
              <w:adjustRightInd w:val="0"/>
              <w:spacing w:line="312" w:lineRule="auto"/>
              <w:jc w:val="center"/>
              <w:rPr>
                <w:sz w:val="24"/>
              </w:rPr>
            </w:pPr>
            <w:r>
              <w:rPr>
                <w:sz w:val="24"/>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pPr>
              <w:autoSpaceDE w:val="0"/>
              <w:autoSpaceDN w:val="0"/>
              <w:adjustRightInd w:val="0"/>
              <w:spacing w:line="312" w:lineRule="auto"/>
              <w:jc w:val="center"/>
              <w:rPr>
                <w:sz w:val="24"/>
              </w:rPr>
            </w:pPr>
            <w:r>
              <w:rPr>
                <w:sz w:val="24"/>
              </w:rPr>
              <w:t>塑料膜</w:t>
            </w:r>
          </w:p>
        </w:tc>
        <w:tc>
          <w:tcPr>
            <w:tcW w:w="6838" w:type="dxa"/>
            <w:vAlign w:val="center"/>
          </w:tcPr>
          <w:p>
            <w:pPr>
              <w:autoSpaceDE w:val="0"/>
              <w:autoSpaceDN w:val="0"/>
              <w:adjustRightInd w:val="0"/>
              <w:spacing w:line="312" w:lineRule="auto"/>
              <w:rPr>
                <w:sz w:val="24"/>
              </w:rPr>
            </w:pPr>
            <w:r>
              <w:rPr>
                <w:sz w:val="24"/>
              </w:rPr>
              <w:t>0.3mm厚聚乙烯膜或5mm厚发泡聚乙烯片材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pPr>
              <w:autoSpaceDE w:val="0"/>
              <w:autoSpaceDN w:val="0"/>
              <w:adjustRightInd w:val="0"/>
              <w:spacing w:line="312" w:lineRule="auto"/>
              <w:jc w:val="center"/>
              <w:rPr>
                <w:sz w:val="24"/>
              </w:rPr>
            </w:pPr>
            <w:r>
              <w:rPr>
                <w:sz w:val="24"/>
              </w:rPr>
              <w:t>聚酯无纺布</w:t>
            </w:r>
          </w:p>
        </w:tc>
        <w:tc>
          <w:tcPr>
            <w:tcW w:w="6838" w:type="dxa"/>
            <w:vAlign w:val="center"/>
          </w:tcPr>
          <w:p>
            <w:pPr>
              <w:autoSpaceDE w:val="0"/>
              <w:autoSpaceDN w:val="0"/>
              <w:adjustRightInd w:val="0"/>
              <w:spacing w:line="312" w:lineRule="auto"/>
              <w:rPr>
                <w:sz w:val="24"/>
              </w:rPr>
            </w:pPr>
            <w:r>
              <w:rPr>
                <w:sz w:val="24"/>
              </w:rPr>
              <w:t>200g/㎡聚酯无纺布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26" w:type="dxa"/>
            <w:vAlign w:val="center"/>
          </w:tcPr>
          <w:p>
            <w:pPr>
              <w:jc w:val="center"/>
              <w:rPr>
                <w:sz w:val="24"/>
              </w:rPr>
            </w:pPr>
            <w:r>
              <w:rPr>
                <w:sz w:val="24"/>
              </w:rPr>
              <w:t>卷材</w:t>
            </w:r>
          </w:p>
        </w:tc>
        <w:tc>
          <w:tcPr>
            <w:tcW w:w="6838" w:type="dxa"/>
            <w:vAlign w:val="center"/>
          </w:tcPr>
          <w:p>
            <w:pPr>
              <w:autoSpaceDE w:val="0"/>
              <w:autoSpaceDN w:val="0"/>
              <w:adjustRightInd w:val="0"/>
              <w:spacing w:line="312" w:lineRule="auto"/>
              <w:rPr>
                <w:sz w:val="24"/>
              </w:rPr>
            </w:pPr>
            <w:r>
              <w:rPr>
                <w:sz w:val="24"/>
              </w:rPr>
              <w:t>石油沥青卷材一层</w:t>
            </w:r>
          </w:p>
        </w:tc>
      </w:tr>
    </w:tbl>
    <w:p>
      <w:pPr>
        <w:tabs>
          <w:tab w:val="left" w:pos="419"/>
          <w:tab w:val="right" w:leader="middleDot" w:pos="8280"/>
        </w:tabs>
        <w:autoSpaceDE w:val="0"/>
        <w:autoSpaceDN w:val="0"/>
        <w:adjustRightInd w:val="0"/>
        <w:spacing w:line="360" w:lineRule="auto"/>
        <w:jc w:val="center"/>
        <w:rPr>
          <w:b/>
          <w:bCs/>
          <w:kern w:val="44"/>
          <w:sz w:val="36"/>
          <w:szCs w:val="44"/>
        </w:rPr>
      </w:pPr>
    </w:p>
    <w:p>
      <w:pPr>
        <w:widowControl/>
        <w:jc w:val="left"/>
        <w:rPr>
          <w:b/>
          <w:kern w:val="44"/>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11" w:name="_Toc87885884"/>
      <w:bookmarkStart w:id="12" w:name="_Toc87885951"/>
      <w:r>
        <w:rPr>
          <w:bCs w:val="0"/>
          <w:sz w:val="30"/>
          <w:szCs w:val="20"/>
        </w:rPr>
        <w:t>5  设备及机具</w:t>
      </w:r>
      <w:bookmarkEnd w:id="11"/>
      <w:bookmarkEnd w:id="12"/>
    </w:p>
    <w:p>
      <w:pPr>
        <w:pStyle w:val="4"/>
        <w:spacing w:before="0" w:after="0" w:line="240" w:lineRule="auto"/>
        <w:jc w:val="center"/>
        <w:rPr>
          <w:rFonts w:eastAsia="黑体"/>
          <w:b w:val="0"/>
          <w:bCs w:val="0"/>
          <w:sz w:val="28"/>
          <w:szCs w:val="28"/>
          <w:lang w:bidi="en-US"/>
        </w:rPr>
      </w:pPr>
      <w:bookmarkStart w:id="13" w:name="_Toc87885885"/>
      <w:bookmarkStart w:id="14" w:name="_Toc87885952"/>
      <w:r>
        <w:rPr>
          <w:rFonts w:eastAsia="黑体"/>
          <w:bCs w:val="0"/>
          <w:sz w:val="28"/>
          <w:szCs w:val="28"/>
          <w:lang w:bidi="en-US"/>
        </w:rPr>
        <w:t xml:space="preserve">5.1  </w:t>
      </w:r>
      <w:r>
        <w:rPr>
          <w:rFonts w:asciiTheme="majorEastAsia" w:hAnsiTheme="majorEastAsia" w:eastAsiaTheme="majorEastAsia"/>
          <w:b w:val="0"/>
          <w:bCs w:val="0"/>
          <w:sz w:val="28"/>
          <w:szCs w:val="28"/>
          <w:lang w:bidi="en-US"/>
        </w:rPr>
        <w:t>非固化防水涂料施工设备及机具</w:t>
      </w:r>
      <w:bookmarkEnd w:id="13"/>
      <w:bookmarkEnd w:id="14"/>
    </w:p>
    <w:p>
      <w:pPr>
        <w:spacing w:line="360" w:lineRule="auto"/>
        <w:rPr>
          <w:sz w:val="24"/>
          <w:szCs w:val="20"/>
        </w:rPr>
      </w:pPr>
      <w:r>
        <w:rPr>
          <w:b/>
          <w:sz w:val="24"/>
          <w:szCs w:val="20"/>
        </w:rPr>
        <w:t xml:space="preserve">5.1.1  </w:t>
      </w:r>
      <w:r>
        <w:rPr>
          <w:sz w:val="24"/>
          <w:szCs w:val="20"/>
        </w:rPr>
        <w:t>非固化橡胶沥青防水涂料施工用脱桶器应符合下列规定：</w:t>
      </w:r>
    </w:p>
    <w:p>
      <w:pPr>
        <w:spacing w:line="360" w:lineRule="auto"/>
        <w:ind w:firstLine="482" w:firstLineChars="200"/>
        <w:rPr>
          <w:sz w:val="24"/>
          <w:szCs w:val="20"/>
        </w:rPr>
      </w:pPr>
      <w:r>
        <w:rPr>
          <w:b/>
          <w:sz w:val="24"/>
          <w:szCs w:val="20"/>
        </w:rPr>
        <w:t xml:space="preserve">1  </w:t>
      </w:r>
      <w:r>
        <w:rPr>
          <w:sz w:val="24"/>
          <w:szCs w:val="20"/>
        </w:rPr>
        <w:t>脱桶器设备应具有重量轻、体积小、节省空间、移动方便等特点。</w:t>
      </w:r>
    </w:p>
    <w:p>
      <w:pPr>
        <w:spacing w:line="360" w:lineRule="auto"/>
        <w:ind w:firstLine="482" w:firstLineChars="200"/>
        <w:rPr>
          <w:sz w:val="24"/>
          <w:szCs w:val="20"/>
        </w:rPr>
      </w:pPr>
      <w:r>
        <w:rPr>
          <w:b/>
          <w:sz w:val="24"/>
          <w:szCs w:val="20"/>
        </w:rPr>
        <w:t xml:space="preserve">2  </w:t>
      </w:r>
      <w:r>
        <w:rPr>
          <w:sz w:val="24"/>
          <w:szCs w:val="20"/>
        </w:rPr>
        <w:t>脱桶器设备应采用封闭电加热方式，设备宜使用额定电压为380V的动力电，且应具备较高的热转换效率，设备容量应与加热桶的桶径相匹配。</w:t>
      </w:r>
    </w:p>
    <w:p>
      <w:pPr>
        <w:spacing w:line="360" w:lineRule="auto"/>
        <w:ind w:firstLine="482" w:firstLineChars="200"/>
        <w:rPr>
          <w:b/>
          <w:sz w:val="24"/>
          <w:szCs w:val="20"/>
        </w:rPr>
      </w:pPr>
      <w:r>
        <w:rPr>
          <w:b/>
          <w:sz w:val="24"/>
          <w:szCs w:val="20"/>
        </w:rPr>
        <w:t xml:space="preserve">3  </w:t>
      </w:r>
      <w:r>
        <w:rPr>
          <w:sz w:val="24"/>
          <w:szCs w:val="20"/>
        </w:rPr>
        <w:t>脱桶器不得作为加热设备使用。</w:t>
      </w:r>
    </w:p>
    <w:p>
      <w:pPr>
        <w:spacing w:line="360" w:lineRule="auto"/>
        <w:rPr>
          <w:b/>
          <w:sz w:val="24"/>
          <w:szCs w:val="20"/>
        </w:rPr>
      </w:pPr>
      <w:r>
        <w:rPr>
          <w:b/>
          <w:sz w:val="24"/>
          <w:szCs w:val="20"/>
        </w:rPr>
        <w:t xml:space="preserve">5.1.2  </w:t>
      </w:r>
      <w:r>
        <w:rPr>
          <w:sz w:val="24"/>
          <w:szCs w:val="20"/>
        </w:rPr>
        <w:t>非固化涂料加热设备应符合下列规定</w:t>
      </w:r>
    </w:p>
    <w:p>
      <w:pPr>
        <w:spacing w:line="360" w:lineRule="auto"/>
        <w:ind w:firstLine="482" w:firstLineChars="200"/>
        <w:rPr>
          <w:sz w:val="24"/>
          <w:szCs w:val="20"/>
        </w:rPr>
      </w:pPr>
      <w:r>
        <w:rPr>
          <w:b/>
          <w:sz w:val="24"/>
          <w:szCs w:val="20"/>
        </w:rPr>
        <w:t xml:space="preserve">1  </w:t>
      </w:r>
      <w:r>
        <w:rPr>
          <w:sz w:val="24"/>
          <w:szCs w:val="20"/>
        </w:rPr>
        <w:t>加热设备宜满足刮涂与喷涂两种功能的需要。</w:t>
      </w:r>
    </w:p>
    <w:p>
      <w:pPr>
        <w:spacing w:line="360" w:lineRule="auto"/>
        <w:ind w:firstLine="482" w:firstLineChars="200"/>
        <w:rPr>
          <w:sz w:val="24"/>
          <w:szCs w:val="20"/>
        </w:rPr>
      </w:pPr>
      <w:r>
        <w:rPr>
          <w:b/>
          <w:sz w:val="24"/>
          <w:szCs w:val="20"/>
        </w:rPr>
        <w:t xml:space="preserve">2  </w:t>
      </w:r>
      <w:r>
        <w:rPr>
          <w:sz w:val="24"/>
          <w:szCs w:val="20"/>
        </w:rPr>
        <w:t>加热设备的各组件均应设置温控器。</w:t>
      </w:r>
    </w:p>
    <w:p>
      <w:pPr>
        <w:spacing w:line="360" w:lineRule="auto"/>
        <w:ind w:firstLine="482" w:firstLineChars="200"/>
        <w:rPr>
          <w:sz w:val="24"/>
          <w:szCs w:val="20"/>
        </w:rPr>
      </w:pPr>
      <w:r>
        <w:rPr>
          <w:b/>
          <w:sz w:val="24"/>
          <w:szCs w:val="20"/>
        </w:rPr>
        <w:t xml:space="preserve">3  </w:t>
      </w:r>
      <w:r>
        <w:rPr>
          <w:sz w:val="24"/>
          <w:szCs w:val="20"/>
        </w:rPr>
        <w:t>加热设备除主体外，喷枪和连接设备等应设置电加热器。</w:t>
      </w:r>
    </w:p>
    <w:p>
      <w:pPr>
        <w:spacing w:line="360" w:lineRule="auto"/>
        <w:ind w:firstLine="482" w:firstLineChars="200"/>
        <w:rPr>
          <w:b/>
          <w:sz w:val="24"/>
          <w:szCs w:val="20"/>
        </w:rPr>
      </w:pPr>
      <w:r>
        <w:rPr>
          <w:b/>
          <w:sz w:val="24"/>
          <w:szCs w:val="20"/>
        </w:rPr>
        <w:t xml:space="preserve">4  </w:t>
      </w:r>
      <w:r>
        <w:rPr>
          <w:sz w:val="24"/>
          <w:szCs w:val="20"/>
        </w:rPr>
        <w:t>非固化防水涂料的加热设备应配备集成控制装置，具备移动方便、可远程控制、作业半径大、施工效率高、喷涂均匀的特点。</w:t>
      </w:r>
    </w:p>
    <w:p>
      <w:pPr>
        <w:spacing w:line="360" w:lineRule="auto"/>
        <w:ind w:firstLine="482" w:firstLineChars="200"/>
        <w:rPr>
          <w:b/>
          <w:sz w:val="24"/>
          <w:szCs w:val="20"/>
        </w:rPr>
      </w:pPr>
      <w:r>
        <w:rPr>
          <w:b/>
          <w:sz w:val="24"/>
          <w:szCs w:val="20"/>
        </w:rPr>
        <w:t xml:space="preserve">5  </w:t>
      </w:r>
      <w:r>
        <w:rPr>
          <w:sz w:val="24"/>
          <w:szCs w:val="20"/>
        </w:rPr>
        <w:t>应设置投料时防止涂料飞溅的装置，涂料的液面顶标高不高于桶高的4/5。</w:t>
      </w:r>
    </w:p>
    <w:p>
      <w:pPr>
        <w:spacing w:line="360" w:lineRule="auto"/>
        <w:ind w:firstLine="482" w:firstLineChars="200"/>
        <w:rPr>
          <w:b/>
          <w:sz w:val="24"/>
          <w:szCs w:val="20"/>
        </w:rPr>
      </w:pPr>
      <w:r>
        <w:rPr>
          <w:b/>
          <w:sz w:val="24"/>
          <w:szCs w:val="20"/>
        </w:rPr>
        <w:t xml:space="preserve">6  </w:t>
      </w:r>
      <w:r>
        <w:rPr>
          <w:sz w:val="24"/>
          <w:szCs w:val="20"/>
        </w:rPr>
        <w:t>压力设备与管道连接应牢固可靠，不得泄漏。</w:t>
      </w:r>
    </w:p>
    <w:p>
      <w:pPr>
        <w:spacing w:line="360" w:lineRule="auto"/>
        <w:rPr>
          <w:b/>
          <w:sz w:val="24"/>
          <w:szCs w:val="20"/>
        </w:rPr>
      </w:pPr>
      <w:r>
        <w:rPr>
          <w:b/>
          <w:sz w:val="24"/>
          <w:szCs w:val="20"/>
        </w:rPr>
        <w:t>5.1.3  非固化防水涂料施工设备的使用应遵循以下规定：</w:t>
      </w:r>
    </w:p>
    <w:p>
      <w:pPr>
        <w:spacing w:line="360" w:lineRule="auto"/>
        <w:ind w:firstLine="482" w:firstLineChars="200"/>
        <w:rPr>
          <w:b/>
          <w:sz w:val="24"/>
          <w:szCs w:val="20"/>
        </w:rPr>
      </w:pPr>
      <w:r>
        <w:rPr>
          <w:b/>
          <w:sz w:val="24"/>
          <w:szCs w:val="20"/>
        </w:rPr>
        <w:t xml:space="preserve">1  </w:t>
      </w:r>
      <w:r>
        <w:rPr>
          <w:sz w:val="24"/>
          <w:szCs w:val="20"/>
        </w:rPr>
        <w:t>操作人员在使用各种电气设备之前，应详细阅读产品说明书，经专门操作安全培训或交底。熟练掌握高温设备的使用和调试操作要领后，方可进行实际作业。</w:t>
      </w:r>
    </w:p>
    <w:p>
      <w:pPr>
        <w:spacing w:line="360" w:lineRule="auto"/>
        <w:ind w:firstLine="482" w:firstLineChars="200"/>
        <w:rPr>
          <w:b/>
          <w:sz w:val="24"/>
          <w:szCs w:val="20"/>
        </w:rPr>
      </w:pPr>
      <w:r>
        <w:rPr>
          <w:b/>
          <w:sz w:val="24"/>
          <w:szCs w:val="20"/>
        </w:rPr>
        <w:t xml:space="preserve">2  </w:t>
      </w:r>
      <w:r>
        <w:rPr>
          <w:sz w:val="24"/>
          <w:szCs w:val="20"/>
        </w:rPr>
        <w:t>操作人员在施工全程应佩戴好劳保用品。</w:t>
      </w:r>
    </w:p>
    <w:p>
      <w:pPr>
        <w:spacing w:line="360" w:lineRule="auto"/>
        <w:ind w:firstLine="482" w:firstLineChars="200"/>
        <w:rPr>
          <w:b/>
          <w:sz w:val="24"/>
          <w:szCs w:val="20"/>
        </w:rPr>
      </w:pPr>
      <w:r>
        <w:rPr>
          <w:b/>
          <w:sz w:val="24"/>
          <w:szCs w:val="20"/>
        </w:rPr>
        <w:t xml:space="preserve">3  </w:t>
      </w:r>
      <w:r>
        <w:rPr>
          <w:sz w:val="24"/>
          <w:szCs w:val="20"/>
        </w:rPr>
        <w:t>施工操作过程中，严禁喷枪对人。</w:t>
      </w:r>
    </w:p>
    <w:p>
      <w:pPr>
        <w:spacing w:line="360" w:lineRule="auto"/>
        <w:ind w:firstLine="482" w:firstLineChars="200"/>
        <w:rPr>
          <w:b/>
          <w:sz w:val="24"/>
          <w:szCs w:val="20"/>
        </w:rPr>
      </w:pPr>
      <w:r>
        <w:rPr>
          <w:b/>
          <w:sz w:val="24"/>
          <w:szCs w:val="20"/>
        </w:rPr>
        <w:t xml:space="preserve">4  </w:t>
      </w:r>
      <w:r>
        <w:rPr>
          <w:sz w:val="24"/>
          <w:szCs w:val="20"/>
        </w:rPr>
        <w:t>材料脱桶和化料加热应采用有温度控制的电加热设备，不得采用明火加热。</w:t>
      </w:r>
    </w:p>
    <w:p>
      <w:pPr>
        <w:pStyle w:val="4"/>
        <w:spacing w:before="0" w:after="0" w:line="240" w:lineRule="auto"/>
        <w:jc w:val="center"/>
        <w:rPr>
          <w:rFonts w:asciiTheme="majorEastAsia" w:hAnsiTheme="majorEastAsia" w:eastAsiaTheme="majorEastAsia"/>
          <w:b w:val="0"/>
          <w:bCs w:val="0"/>
          <w:sz w:val="28"/>
          <w:szCs w:val="28"/>
          <w:lang w:bidi="en-US"/>
        </w:rPr>
      </w:pPr>
      <w:bookmarkStart w:id="15" w:name="_Toc87885953"/>
      <w:bookmarkStart w:id="16" w:name="_Toc87885886"/>
      <w:r>
        <w:rPr>
          <w:rFonts w:eastAsiaTheme="majorEastAsia"/>
          <w:bCs w:val="0"/>
          <w:sz w:val="28"/>
          <w:szCs w:val="28"/>
          <w:lang w:bidi="en-US"/>
        </w:rPr>
        <w:t xml:space="preserve">5.2  </w:t>
      </w:r>
      <w:r>
        <w:rPr>
          <w:rFonts w:asciiTheme="majorEastAsia" w:hAnsiTheme="majorEastAsia" w:eastAsiaTheme="majorEastAsia"/>
          <w:b w:val="0"/>
          <w:bCs w:val="0"/>
          <w:sz w:val="28"/>
          <w:szCs w:val="28"/>
          <w:lang w:bidi="en-US"/>
        </w:rPr>
        <w:t>非固化橡胶沥青防水注浆堵漏机具</w:t>
      </w:r>
      <w:bookmarkEnd w:id="15"/>
      <w:bookmarkEnd w:id="16"/>
    </w:p>
    <w:p>
      <w:pPr>
        <w:spacing w:line="360" w:lineRule="auto"/>
        <w:rPr>
          <w:sz w:val="24"/>
          <w:szCs w:val="20"/>
        </w:rPr>
      </w:pPr>
      <w:r>
        <w:rPr>
          <w:b/>
          <w:sz w:val="24"/>
          <w:szCs w:val="20"/>
        </w:rPr>
        <w:t>5.2.1</w:t>
      </w:r>
      <w:r>
        <w:rPr>
          <w:sz w:val="24"/>
          <w:szCs w:val="20"/>
        </w:rPr>
        <w:t xml:space="preserve">  注浆泵应满足不间断连续加料，能满足结构孔深2m，注浆压力范围为0.1~0.5MPa。</w:t>
      </w:r>
    </w:p>
    <w:p>
      <w:pPr>
        <w:spacing w:line="360" w:lineRule="auto"/>
        <w:rPr>
          <w:sz w:val="24"/>
          <w:szCs w:val="20"/>
        </w:rPr>
      </w:pPr>
      <w:r>
        <w:rPr>
          <w:b/>
          <w:sz w:val="24"/>
          <w:szCs w:val="20"/>
        </w:rPr>
        <w:t>5.2.2</w:t>
      </w:r>
      <w:r>
        <w:rPr>
          <w:sz w:val="24"/>
          <w:szCs w:val="20"/>
        </w:rPr>
        <w:t xml:space="preserve">  钻头直径</w:t>
      </w:r>
      <w:r>
        <w:rPr>
          <w:rFonts w:hint="eastAsia"/>
          <w:sz w:val="24"/>
          <w:szCs w:val="20"/>
        </w:rPr>
        <w:t>宜为</w:t>
      </w:r>
      <w:r>
        <w:rPr>
          <w:sz w:val="24"/>
          <w:szCs w:val="20"/>
        </w:rPr>
        <w:t>10~18mm，钻杆长</w:t>
      </w:r>
      <w:r>
        <w:rPr>
          <w:rFonts w:hint="eastAsia"/>
          <w:sz w:val="24"/>
          <w:szCs w:val="20"/>
        </w:rPr>
        <w:t>宜为</w:t>
      </w:r>
      <w:r>
        <w:rPr>
          <w:sz w:val="24"/>
          <w:szCs w:val="20"/>
        </w:rPr>
        <w:t>300~1500mm。</w:t>
      </w:r>
    </w:p>
    <w:p>
      <w:pPr>
        <w:pStyle w:val="2"/>
        <w:tabs>
          <w:tab w:val="left" w:pos="425"/>
        </w:tabs>
        <w:spacing w:before="0" w:after="0" w:line="360" w:lineRule="auto"/>
        <w:jc w:val="center"/>
        <w:rPr>
          <w:bCs w:val="0"/>
          <w:sz w:val="30"/>
          <w:szCs w:val="20"/>
        </w:rPr>
      </w:pPr>
      <w:bookmarkStart w:id="17" w:name="_Toc87885887"/>
      <w:bookmarkStart w:id="18" w:name="_Toc87885954"/>
      <w:r>
        <w:rPr>
          <w:bCs w:val="0"/>
          <w:sz w:val="30"/>
          <w:szCs w:val="20"/>
        </w:rPr>
        <w:t>6  细 部 构 造</w:t>
      </w:r>
      <w:bookmarkEnd w:id="17"/>
      <w:bookmarkEnd w:id="18"/>
    </w:p>
    <w:p>
      <w:pPr>
        <w:keepNext/>
        <w:keepLines/>
        <w:spacing w:before="120" w:after="120" w:line="360" w:lineRule="auto"/>
        <w:jc w:val="center"/>
        <w:outlineLvl w:val="1"/>
        <w:rPr>
          <w:rFonts w:asciiTheme="majorEastAsia" w:hAnsiTheme="majorEastAsia" w:eastAsiaTheme="majorEastAsia"/>
          <w:b/>
          <w:bCs/>
          <w:sz w:val="28"/>
          <w:szCs w:val="28"/>
          <w:lang w:bidi="en-US"/>
        </w:rPr>
      </w:pPr>
      <w:bookmarkStart w:id="19" w:name="_Toc87885955"/>
      <w:bookmarkStart w:id="20" w:name="_Toc87885888"/>
      <w:r>
        <w:rPr>
          <w:rFonts w:asciiTheme="majorEastAsia" w:hAnsiTheme="majorEastAsia" w:eastAsiaTheme="majorEastAsia"/>
          <w:b/>
          <w:bCs/>
          <w:sz w:val="28"/>
          <w:szCs w:val="28"/>
          <w:lang w:bidi="en-US"/>
        </w:rPr>
        <w:t>I  非固化橡胶沥青防水涂料</w:t>
      </w:r>
      <w:bookmarkEnd w:id="19"/>
      <w:bookmarkEnd w:id="20"/>
    </w:p>
    <w:p>
      <w:pPr>
        <w:pStyle w:val="4"/>
        <w:jc w:val="center"/>
        <w:rPr>
          <w:sz w:val="28"/>
          <w:lang w:bidi="en-US"/>
        </w:rPr>
      </w:pPr>
      <w:bookmarkStart w:id="21" w:name="_Toc87885956"/>
      <w:bookmarkStart w:id="22" w:name="_Toc87885889"/>
      <w:r>
        <w:rPr>
          <w:sz w:val="28"/>
          <w:lang w:bidi="en-US"/>
        </w:rPr>
        <w:t>6.1  防水基本构造层次</w:t>
      </w:r>
      <w:bookmarkEnd w:id="21"/>
      <w:bookmarkEnd w:id="22"/>
    </w:p>
    <w:p>
      <w:pPr>
        <w:spacing w:line="360" w:lineRule="auto"/>
        <w:rPr>
          <w:sz w:val="24"/>
          <w:szCs w:val="20"/>
        </w:rPr>
      </w:pPr>
      <w:r>
        <w:rPr>
          <w:b/>
          <w:sz w:val="24"/>
          <w:szCs w:val="20"/>
        </w:rPr>
        <w:t xml:space="preserve">6.1.1  </w:t>
      </w:r>
      <w:r>
        <w:rPr>
          <w:sz w:val="24"/>
          <w:szCs w:val="20"/>
        </w:rPr>
        <w:t>非固化橡胶沥青防水涂料可与卷材防水层形成热粘复合防水系统，如图6.1.1；</w:t>
      </w:r>
    </w:p>
    <w:p>
      <w:pPr>
        <w:pStyle w:val="35"/>
        <w:rPr>
          <w:rFonts w:ascii="Times New Roman" w:hAnsi="Times New Roman" w:cs="Times New Roman"/>
        </w:rPr>
      </w:pPr>
    </w:p>
    <w:p>
      <w:pPr>
        <w:pStyle w:val="52"/>
        <w:ind w:left="0" w:leftChars="-1" w:hanging="2"/>
        <w:jc w:val="center"/>
        <w:rPr>
          <w:rFonts w:ascii="Times New Roman"/>
        </w:rPr>
      </w:pPr>
      <w:r>
        <w:rPr>
          <w:rFonts w:ascii="Times New Roman"/>
        </w:rPr>
        <w:object>
          <v:shape id="_x0000_i1025" o:spt="75" type="#_x0000_t75" style="height:163.6pt;width:248.85pt;" o:ole="t" filled="f" o:preferrelative="t" stroked="f" coordsize="21600,21600">
            <v:path/>
            <v:fill on="f" focussize="0,0"/>
            <v:stroke on="f" joinstyle="miter"/>
            <v:imagedata r:id="rId8" cropright="13197f" cropbottom="13614f" o:title=""/>
            <o:lock v:ext="edit" aspectratio="t"/>
            <w10:wrap type="none"/>
            <w10:anchorlock/>
          </v:shape>
          <o:OLEObject Type="Embed" ProgID="ICAD.Drawing" ShapeID="_x0000_i1025" DrawAspect="Content" ObjectID="_1468075725" r:id="rId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图6.1.1  复合防水层构造</w:t>
      </w:r>
    </w:p>
    <w:p>
      <w:pPr>
        <w:pStyle w:val="35"/>
        <w:rPr>
          <w:rFonts w:ascii="Times New Roman" w:hAnsi="Times New Roman" w:cs="Times New Roman"/>
        </w:rPr>
      </w:pPr>
    </w:p>
    <w:p>
      <w:pPr>
        <w:spacing w:line="360" w:lineRule="auto"/>
        <w:rPr>
          <w:b/>
          <w:sz w:val="24"/>
          <w:szCs w:val="20"/>
        </w:rPr>
      </w:pPr>
      <w:r>
        <w:rPr>
          <w:b/>
          <w:sz w:val="24"/>
          <w:szCs w:val="20"/>
        </w:rPr>
        <w:t xml:space="preserve">6.1.2  </w:t>
      </w:r>
      <w:r>
        <w:rPr>
          <w:sz w:val="24"/>
          <w:szCs w:val="20"/>
        </w:rPr>
        <w:t>非固化橡胶沥青防水涂料也可在涂层表面覆盖聚酯无纺布作为一道独立防水层，如图6.1.2。</w:t>
      </w:r>
    </w:p>
    <w:p>
      <w:pPr>
        <w:pStyle w:val="52"/>
        <w:ind w:left="0" w:leftChars="-1" w:hanging="2"/>
        <w:jc w:val="center"/>
        <w:rPr>
          <w:rFonts w:ascii="Times New Roman"/>
        </w:rPr>
      </w:pPr>
      <w:r>
        <w:rPr>
          <w:rFonts w:ascii="Times New Roman"/>
        </w:rPr>
        <w:object>
          <v:shape id="_x0000_i1026" o:spt="75" type="#_x0000_t75" style="height:142.25pt;width:253.45pt;" o:ole="t" filled="f" o:preferrelative="t" stroked="f" coordsize="21600,21600">
            <v:path/>
            <v:fill on="f" focussize="0,0"/>
            <v:stroke on="f" joinstyle="miter"/>
            <v:imagedata r:id="rId10" croptop="3842f" cropright="13184f" cropbottom="17242f" o:title=""/>
            <o:lock v:ext="edit" aspectratio="t"/>
            <w10:wrap type="none"/>
            <w10:anchorlock/>
          </v:shape>
          <o:OLEObject Type="Embed" ProgID="ICAD.Drawing" ShapeID="_x0000_i1026" DrawAspect="Content" ObjectID="_1468075726" r:id="rId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图6.1.2  独立防水层构造</w:t>
      </w:r>
    </w:p>
    <w:p>
      <w:pPr>
        <w:spacing w:line="360" w:lineRule="auto"/>
        <w:jc w:val="center"/>
        <w:rPr>
          <w:rFonts w:eastAsia="黑体"/>
          <w:sz w:val="24"/>
        </w:rPr>
      </w:pPr>
    </w:p>
    <w:p>
      <w:pPr>
        <w:pStyle w:val="4"/>
        <w:jc w:val="center"/>
        <w:rPr>
          <w:sz w:val="28"/>
          <w:lang w:bidi="en-US"/>
        </w:rPr>
      </w:pPr>
      <w:bookmarkStart w:id="23" w:name="_Toc87885890"/>
      <w:bookmarkStart w:id="24" w:name="_Toc87885957"/>
      <w:r>
        <w:rPr>
          <w:sz w:val="28"/>
          <w:lang w:bidi="en-US"/>
        </w:rPr>
        <w:t>6.2  屋面工程防水细部构造</w:t>
      </w:r>
      <w:bookmarkEnd w:id="23"/>
      <w:bookmarkEnd w:id="24"/>
    </w:p>
    <w:p>
      <w:pPr>
        <w:spacing w:line="360" w:lineRule="auto"/>
        <w:rPr>
          <w:b/>
          <w:sz w:val="24"/>
          <w:szCs w:val="20"/>
        </w:rPr>
      </w:pPr>
      <w:r>
        <w:rPr>
          <w:b/>
          <w:sz w:val="24"/>
          <w:szCs w:val="20"/>
        </w:rPr>
        <w:t xml:space="preserve">6.2.1  </w:t>
      </w:r>
      <w:r>
        <w:rPr>
          <w:sz w:val="24"/>
          <w:szCs w:val="20"/>
        </w:rPr>
        <w:t>复合防水层在檐口部位应钉压固定、封闭严密。檐口下端应做滴水槽，其防水构造如图6.2.1</w:t>
      </w:r>
      <w:r>
        <w:rPr>
          <w:b/>
          <w:sz w:val="24"/>
          <w:szCs w:val="20"/>
        </w:rPr>
        <w:t>。</w:t>
      </w:r>
    </w:p>
    <w:p>
      <w:pPr>
        <w:autoSpaceDE w:val="0"/>
        <w:autoSpaceDN w:val="0"/>
        <w:adjustRightInd w:val="0"/>
        <w:spacing w:line="312" w:lineRule="auto"/>
        <w:jc w:val="center"/>
        <w:rPr>
          <w:szCs w:val="22"/>
        </w:rPr>
      </w:pPr>
      <w:r>
        <w:rPr>
          <w:szCs w:val="22"/>
        </w:rPr>
        <w:object>
          <v:shape id="_x0000_i1027" o:spt="75" type="#_x0000_t75" style="height:205.65pt;width:190.1pt;" o:ole="t" filled="f" o:preferrelative="t" stroked="f" coordsize="21600,21600">
            <v:path/>
            <v:fill on="f" focussize="0,0"/>
            <v:stroke on="f" joinstyle="miter"/>
            <v:imagedata r:id="rId12" cropleft="26734f" croptop="7498f" cropright="21601f" cropbottom="12998f" o:title=""/>
            <o:lock v:ext="edit" aspectratio="t"/>
            <w10:wrap type="none"/>
            <w10:anchorlock/>
          </v:shape>
          <o:OLEObject Type="Embed" ProgID="ICAD.Drawing" ShapeID="_x0000_i1027" DrawAspect="Content" ObjectID="_1468075727" r:id="rId1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图6.2.1  檐口防水构造</w:t>
      </w:r>
    </w:p>
    <w:p>
      <w:pPr>
        <w:spacing w:line="360" w:lineRule="auto"/>
        <w:rPr>
          <w:sz w:val="24"/>
          <w:szCs w:val="20"/>
        </w:rPr>
      </w:pPr>
      <w:r>
        <w:rPr>
          <w:b/>
          <w:sz w:val="24"/>
          <w:szCs w:val="20"/>
        </w:rPr>
        <w:t>6.2.2</w:t>
      </w:r>
      <w:r>
        <w:rPr>
          <w:sz w:val="24"/>
          <w:szCs w:val="20"/>
        </w:rPr>
        <w:t xml:space="preserve">  天沟、檐沟复合防水层下应增设非固化橡胶沥青涂层附加层，复合防水层应由沟底翻上至沟外侧顶部，防水层的收头应钉压固定、封闭严密，其防水构造见图6.2.2-1、图6.2.2-2。</w:t>
      </w:r>
    </w:p>
    <w:p>
      <w:pPr>
        <w:autoSpaceDE w:val="0"/>
        <w:autoSpaceDN w:val="0"/>
        <w:adjustRightInd w:val="0"/>
        <w:spacing w:line="312" w:lineRule="auto"/>
        <w:jc w:val="center"/>
        <w:rPr>
          <w:szCs w:val="22"/>
        </w:rPr>
      </w:pPr>
      <w:r>
        <w:rPr>
          <w:szCs w:val="22"/>
        </w:rPr>
        <w:object>
          <v:shape id="_x0000_i1028" o:spt="75" type="#_x0000_t75" style="height:258.05pt;width:275.9pt;" o:ole="t" filled="f" o:preferrelative="t" stroked="f" coordsize="21600,21600">
            <v:path/>
            <v:fill on="f" focussize="0,0"/>
            <v:stroke on="f" joinstyle="miter"/>
            <v:imagedata r:id="rId14" cropleft="23971f" croptop="7560f" cropright="23953f" cropbottom="14205f" o:title=""/>
            <o:lock v:ext="edit" aspectratio="t"/>
            <w10:wrap type="none"/>
            <w10:anchorlock/>
          </v:shape>
          <o:OLEObject Type="Embed" ProgID="ICAD.Drawing" ShapeID="_x0000_i1028" DrawAspect="Content" ObjectID="_1468075728" r:id="rId13">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图6.2.2-1  檐沟防水构造（一）</w:t>
      </w:r>
    </w:p>
    <w:p>
      <w:pPr>
        <w:autoSpaceDE w:val="0"/>
        <w:autoSpaceDN w:val="0"/>
        <w:adjustRightInd w:val="0"/>
        <w:spacing w:line="312" w:lineRule="auto"/>
        <w:jc w:val="center"/>
        <w:rPr>
          <w:szCs w:val="22"/>
        </w:rPr>
      </w:pPr>
    </w:p>
    <w:p>
      <w:pPr>
        <w:autoSpaceDE w:val="0"/>
        <w:autoSpaceDN w:val="0"/>
        <w:adjustRightInd w:val="0"/>
        <w:spacing w:line="312" w:lineRule="auto"/>
        <w:jc w:val="center"/>
        <w:rPr>
          <w:szCs w:val="22"/>
        </w:rPr>
      </w:pPr>
      <w:r>
        <w:rPr>
          <w:szCs w:val="22"/>
        </w:rPr>
        <w:object>
          <v:shape id="_x0000_i1029" o:spt="75" type="#_x0000_t75" style="height:263.8pt;width:389.4pt;" o:ole="t" filled="f" o:preferrelative="t" stroked="f" coordsize="21600,21600">
            <v:path/>
            <v:fill on="f" focussize="0,0"/>
            <v:stroke on="f" joinstyle="miter"/>
            <v:imagedata r:id="rId16" cropleft="28610f" croptop="10671f" cropright="18143f" cropbottom="22664f" o:title=""/>
            <o:lock v:ext="edit" aspectratio="t"/>
            <w10:wrap type="none"/>
            <w10:anchorlock/>
          </v:shape>
          <o:OLEObject Type="Embed" ProgID="ICAD.Drawing" ShapeID="_x0000_i1029" DrawAspect="Content" ObjectID="_1468075729" r:id="rId1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图6.2.2-2  檐沟防水构造（二）</w:t>
      </w:r>
    </w:p>
    <w:p>
      <w:pPr>
        <w:spacing w:line="360" w:lineRule="auto"/>
        <w:rPr>
          <w:sz w:val="24"/>
          <w:szCs w:val="20"/>
        </w:rPr>
      </w:pPr>
      <w:r>
        <w:rPr>
          <w:b/>
          <w:sz w:val="24"/>
          <w:szCs w:val="20"/>
        </w:rPr>
        <w:t>6.2.3</w:t>
      </w:r>
      <w:r>
        <w:rPr>
          <w:sz w:val="24"/>
          <w:szCs w:val="20"/>
        </w:rPr>
        <w:t xml:space="preserve">  低女儿墙泛水处的复合防水层可直接粘铺至压顶下，防水层的收头应钉压固定、封闭严密，压顶应做防水处理，压顶下端应做鹰嘴，其防水构造见图6.1.4。</w:t>
      </w:r>
    </w:p>
    <w:p>
      <w:pPr>
        <w:autoSpaceDE w:val="0"/>
        <w:autoSpaceDN w:val="0"/>
        <w:adjustRightInd w:val="0"/>
        <w:spacing w:line="312" w:lineRule="auto"/>
        <w:jc w:val="center"/>
        <w:rPr>
          <w:szCs w:val="22"/>
        </w:rPr>
      </w:pPr>
    </w:p>
    <w:p>
      <w:pPr>
        <w:autoSpaceDE w:val="0"/>
        <w:autoSpaceDN w:val="0"/>
        <w:adjustRightInd w:val="0"/>
        <w:spacing w:line="312" w:lineRule="auto"/>
        <w:jc w:val="center"/>
        <w:rPr>
          <w:szCs w:val="22"/>
        </w:rPr>
      </w:pPr>
      <w:r>
        <w:rPr>
          <w:szCs w:val="22"/>
        </w:rPr>
        <w:object>
          <v:shape id="_x0000_i1030" o:spt="75" type="#_x0000_t75" style="height:275.9pt;width:364.05pt;" o:ole="t" filled="f" o:preferrelative="t" stroked="f" coordsize="21600,21600">
            <v:path/>
            <v:fill on="f" focussize="0,0"/>
            <v:stroke on="f" joinstyle="miter"/>
            <v:imagedata r:id="rId18" cropleft="16342f" croptop="10055f" cropright="24664f" cropbottom="6768f" o:title=""/>
            <o:lock v:ext="edit" aspectratio="t"/>
            <w10:wrap type="none"/>
            <w10:anchorlock/>
          </v:shape>
          <o:OLEObject Type="Embed" ProgID="ICAD.Drawing" ShapeID="_x0000_i1030" DrawAspect="Content" ObjectID="_1468075730" r:id="rId1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图6.2.3  低女儿墙防水构造</w:t>
      </w:r>
    </w:p>
    <w:p>
      <w:pPr>
        <w:widowControl/>
        <w:jc w:val="left"/>
        <w:rPr>
          <w:b/>
          <w:sz w:val="24"/>
          <w:szCs w:val="20"/>
        </w:rPr>
      </w:pPr>
      <w:r>
        <w:rPr>
          <w:b/>
          <w:sz w:val="24"/>
          <w:szCs w:val="20"/>
        </w:rPr>
        <w:br w:type="page"/>
      </w:r>
    </w:p>
    <w:p>
      <w:pPr>
        <w:spacing w:line="360" w:lineRule="auto"/>
        <w:rPr>
          <w:b/>
          <w:sz w:val="24"/>
          <w:szCs w:val="20"/>
        </w:rPr>
      </w:pPr>
      <w:r>
        <w:rPr>
          <w:b/>
          <w:sz w:val="24"/>
          <w:szCs w:val="20"/>
        </w:rPr>
        <w:t xml:space="preserve">6.2.4  </w:t>
      </w:r>
      <w:r>
        <w:rPr>
          <w:sz w:val="24"/>
          <w:szCs w:val="20"/>
        </w:rPr>
        <w:t>高女儿墙复合防水层的泛水高度不应小于250mm，其收头应钉压固定、封闭严密；泛水上部的墙体应铺抹防水砂浆或涂刷防水涂料进行防水处理。其防水构造见图6.2.4。</w:t>
      </w:r>
    </w:p>
    <w:p>
      <w:pPr>
        <w:autoSpaceDE w:val="0"/>
        <w:autoSpaceDN w:val="0"/>
        <w:adjustRightInd w:val="0"/>
        <w:spacing w:line="312" w:lineRule="auto"/>
        <w:jc w:val="center"/>
        <w:rPr>
          <w:spacing w:val="4"/>
          <w:kern w:val="0"/>
          <w:sz w:val="24"/>
        </w:rPr>
      </w:pPr>
      <w:r>
        <w:rPr>
          <w:sz w:val="24"/>
        </w:rPr>
        <w:object>
          <v:shape id="_x0000_i1031" o:spt="75" type="#_x0000_t75" style="height:351.35pt;width:288.6pt;" o:ole="t" filled="f" o:preferrelative="t" stroked="f" coordsize="21600,21600">
            <v:path/>
            <v:fill on="f" focussize="0,0"/>
            <v:stroke on="f" joinstyle="miter"/>
            <v:imagedata r:id="rId20" cropleft="18683f" croptop="1888f" cropright="17739f" cropbottom="3911f" o:title=""/>
            <o:lock v:ext="edit" aspectratio="t"/>
            <w10:wrap type="none"/>
            <w10:anchorlock/>
          </v:shape>
          <o:OLEObject Type="Embed" ProgID="ICAD.Drawing" ShapeID="_x0000_i1031" DrawAspect="Content" ObjectID="_1468075731" r:id="rId1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图6.2.4  高女儿墙防水构造</w:t>
      </w:r>
    </w:p>
    <w:p>
      <w:pPr>
        <w:widowControl/>
        <w:jc w:val="left"/>
        <w:rPr>
          <w:b/>
          <w:sz w:val="24"/>
          <w:szCs w:val="20"/>
        </w:rPr>
      </w:pPr>
      <w:r>
        <w:rPr>
          <w:b/>
          <w:sz w:val="24"/>
          <w:szCs w:val="20"/>
        </w:rPr>
        <w:br w:type="page"/>
      </w:r>
    </w:p>
    <w:p>
      <w:pPr>
        <w:spacing w:line="360" w:lineRule="auto"/>
        <w:rPr>
          <w:b/>
          <w:sz w:val="24"/>
          <w:szCs w:val="20"/>
        </w:rPr>
      </w:pPr>
      <w:r>
        <w:rPr>
          <w:b/>
          <w:sz w:val="24"/>
          <w:szCs w:val="20"/>
        </w:rPr>
        <w:t xml:space="preserve">6.2.5  </w:t>
      </w:r>
      <w:r>
        <w:rPr>
          <w:sz w:val="24"/>
          <w:szCs w:val="20"/>
        </w:rPr>
        <w:t>水落口周边500mm范围内坡度不应小于5%，复合防水层下应增设附加层，附加层采用在非固化橡胶沥青涂层表面铺设胎体增强材料的做法，复合防水层和附加层伸入水落口内不应小于50mm，其防水构造见图6.2.5-1、图6.2.5-2。</w:t>
      </w:r>
    </w:p>
    <w:p>
      <w:pPr>
        <w:autoSpaceDE w:val="0"/>
        <w:autoSpaceDN w:val="0"/>
        <w:adjustRightInd w:val="0"/>
        <w:spacing w:line="360" w:lineRule="auto"/>
        <w:jc w:val="center"/>
        <w:rPr>
          <w:b/>
          <w:spacing w:val="4"/>
          <w:kern w:val="0"/>
          <w:sz w:val="24"/>
        </w:rPr>
      </w:pPr>
      <w:r>
        <w:rPr>
          <w:b/>
          <w:spacing w:val="4"/>
          <w:kern w:val="0"/>
          <w:sz w:val="24"/>
        </w:rPr>
        <w:object>
          <v:shape id="_x0000_i1032" o:spt="75" type="#_x0000_t75" style="height:256.9pt;width:393.4pt;" o:ole="t" filled="f" o:preferrelative="t" stroked="f" coordsize="21600,21600">
            <v:path/>
            <v:fill on="f" focussize="0,0"/>
            <v:stroke on="f" joinstyle="miter"/>
            <v:imagedata r:id="rId22" cropleft="24841f" croptop="9054f" cropright="24633f" cropbottom="11025f" o:title=""/>
            <o:lock v:ext="edit" aspectratio="t"/>
            <w10:wrap type="none"/>
            <w10:anchorlock/>
          </v:shape>
          <o:OLEObject Type="Embed" ProgID="ICAD.Drawing" ShapeID="_x0000_i1032" DrawAspect="Content" ObjectID="_1468075732" r:id="rId2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图6.2.5-1 横式水落口防水构造</w:t>
      </w:r>
    </w:p>
    <w:p>
      <w:pPr>
        <w:autoSpaceDE w:val="0"/>
        <w:autoSpaceDN w:val="0"/>
        <w:adjustRightInd w:val="0"/>
        <w:spacing w:line="440" w:lineRule="exact"/>
        <w:jc w:val="center"/>
        <w:rPr>
          <w:sz w:val="24"/>
        </w:rPr>
      </w:pPr>
    </w:p>
    <w:p>
      <w:pPr>
        <w:autoSpaceDE w:val="0"/>
        <w:autoSpaceDN w:val="0"/>
        <w:adjustRightInd w:val="0"/>
        <w:spacing w:line="312" w:lineRule="auto"/>
        <w:jc w:val="center"/>
        <w:rPr>
          <w:sz w:val="24"/>
        </w:rPr>
      </w:pPr>
      <w:r>
        <w:rPr>
          <w:sz w:val="24"/>
        </w:rPr>
        <w:object>
          <v:shape id="_x0000_i1033" o:spt="75" type="#_x0000_t75" style="height:277.05pt;width:429.1pt;" o:ole="t" filled="f" o:preferrelative="t" stroked="f" coordsize="21600,21600">
            <v:path/>
            <v:fill on="f" focussize="0,0"/>
            <v:stroke on="f" joinstyle="miter"/>
            <v:imagedata r:id="rId24" cropleft="27729f" croptop="10356f" cropright="7670f" cropbottom="24198f" o:title=""/>
            <o:lock v:ext="edit" aspectratio="t"/>
            <w10:wrap type="none"/>
            <w10:anchorlock/>
          </v:shape>
          <o:OLEObject Type="Embed" ProgID="ICAD.Drawing" ShapeID="_x0000_i1033" DrawAspect="Content" ObjectID="_1468075733" r:id="rId23">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图6.2.5-2  直式水落口防水构造</w:t>
      </w:r>
    </w:p>
    <w:p>
      <w:pPr>
        <w:autoSpaceDE w:val="0"/>
        <w:autoSpaceDN w:val="0"/>
        <w:adjustRightInd w:val="0"/>
        <w:spacing w:line="440" w:lineRule="exact"/>
        <w:jc w:val="center"/>
        <w:rPr>
          <w:b/>
          <w:spacing w:val="4"/>
          <w:kern w:val="0"/>
          <w:sz w:val="24"/>
        </w:rPr>
      </w:pPr>
    </w:p>
    <w:p>
      <w:pPr>
        <w:spacing w:line="360" w:lineRule="auto"/>
        <w:rPr>
          <w:b/>
          <w:sz w:val="24"/>
          <w:szCs w:val="20"/>
        </w:rPr>
      </w:pPr>
      <w:r>
        <w:rPr>
          <w:b/>
          <w:sz w:val="24"/>
          <w:szCs w:val="20"/>
        </w:rPr>
        <w:t xml:space="preserve">6.2.6  </w:t>
      </w:r>
      <w:r>
        <w:rPr>
          <w:sz w:val="24"/>
          <w:szCs w:val="20"/>
        </w:rPr>
        <w:t>伸出屋面管道周围应抹成圆锥台，泛水处复合防水层的高度不应小于250mm，其收头应用金属箍箍紧，并用密封材料封严，其防水构造见图6.2.6-1、图6.2.6-2。</w:t>
      </w:r>
    </w:p>
    <w:p>
      <w:pPr>
        <w:autoSpaceDE w:val="0"/>
        <w:autoSpaceDN w:val="0"/>
        <w:adjustRightInd w:val="0"/>
        <w:spacing w:line="312" w:lineRule="auto"/>
        <w:jc w:val="center"/>
        <w:rPr>
          <w:sz w:val="24"/>
        </w:rPr>
      </w:pPr>
      <w:r>
        <w:rPr>
          <w:sz w:val="24"/>
        </w:rPr>
        <w:object>
          <v:shape id="_x0000_i1034" o:spt="75" type="#_x0000_t75" style="height:241.35pt;width:300.65pt;" o:ole="t" filled="f" o:preferrelative="t" stroked="f" coordsize="21600,21600">
            <v:path/>
            <v:fill on="f" focussize="0,0"/>
            <v:stroke on="f" joinstyle="miter"/>
            <v:imagedata r:id="rId26" cropleft="16367f" croptop="12073f" cropright="16187f" cropbottom="10506f" o:title=""/>
            <o:lock v:ext="edit" aspectratio="t"/>
            <w10:wrap type="none"/>
            <w10:anchorlock/>
          </v:shape>
          <o:OLEObject Type="Embed" ProgID="ICAD.Drawing" ShapeID="_x0000_i1034" DrawAspect="Content" ObjectID="_1468075734" r:id="rId2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图6.2.6-1  伸出屋面管道防水构造</w:t>
      </w:r>
    </w:p>
    <w:p>
      <w:pPr>
        <w:autoSpaceDE w:val="0"/>
        <w:autoSpaceDN w:val="0"/>
        <w:adjustRightInd w:val="0"/>
        <w:spacing w:line="312" w:lineRule="auto"/>
        <w:jc w:val="center"/>
        <w:rPr>
          <w:sz w:val="24"/>
        </w:rPr>
      </w:pPr>
    </w:p>
    <w:p>
      <w:pPr>
        <w:autoSpaceDE w:val="0"/>
        <w:autoSpaceDN w:val="0"/>
        <w:adjustRightInd w:val="0"/>
        <w:spacing w:line="312" w:lineRule="auto"/>
        <w:jc w:val="center"/>
        <w:rPr>
          <w:spacing w:val="4"/>
          <w:kern w:val="0"/>
          <w:sz w:val="24"/>
        </w:rPr>
      </w:pPr>
      <w:r>
        <w:rPr>
          <w:sz w:val="24"/>
        </w:rPr>
        <w:object>
          <v:shape id="_x0000_i1035" o:spt="75" type="#_x0000_t75" style="height:292.05pt;width:430.85pt;" o:ole="t" filled="f" o:preferrelative="t" stroked="f" coordsize="21600,21600">
            <v:path/>
            <v:fill on="f" focussize="0,0"/>
            <v:stroke on="f" joinstyle="miter"/>
            <v:imagedata r:id="rId28" cropleft="4253f" croptop="8177f" cropright="17974f" cropbottom="9038f" o:title=""/>
            <o:lock v:ext="edit" aspectratio="t"/>
            <w10:wrap type="none"/>
            <w10:anchorlock/>
          </v:shape>
          <o:OLEObject Type="Embed" ProgID="ICAD.Drawing" ShapeID="_x0000_i1035" DrawAspect="Content" ObjectID="_1468075735" r:id="rId27">
            <o:LockedField>false</o:LockedField>
          </o:OLEObject>
        </w:object>
      </w:r>
      <w:r>
        <w:rPr>
          <w:b/>
          <w:color w:val="000000"/>
          <w:spacing w:val="4"/>
          <w:kern w:val="0"/>
          <w:szCs w:val="21"/>
        </w:rPr>
        <w:t>图6.2.6-2  伸出屋面排汽道防水构造</w:t>
      </w:r>
    </w:p>
    <w:p>
      <w:pPr>
        <w:autoSpaceDE w:val="0"/>
        <w:autoSpaceDN w:val="0"/>
        <w:adjustRightInd w:val="0"/>
        <w:spacing w:line="312" w:lineRule="auto"/>
        <w:jc w:val="center"/>
        <w:rPr>
          <w:spacing w:val="4"/>
          <w:kern w:val="0"/>
          <w:sz w:val="24"/>
        </w:rPr>
      </w:pPr>
    </w:p>
    <w:p>
      <w:pPr>
        <w:spacing w:line="360" w:lineRule="auto"/>
        <w:rPr>
          <w:b/>
          <w:sz w:val="24"/>
          <w:szCs w:val="20"/>
        </w:rPr>
      </w:pPr>
      <w:r>
        <w:rPr>
          <w:b/>
          <w:sz w:val="24"/>
          <w:szCs w:val="20"/>
        </w:rPr>
        <w:t xml:space="preserve">6.2.7  </w:t>
      </w:r>
      <w:r>
        <w:rPr>
          <w:sz w:val="24"/>
          <w:szCs w:val="20"/>
        </w:rPr>
        <w:t>设施基座与结构层相连时，复合防水层应包裹设施基座的上部并做好保护层，在地脚螺栓周围应做密封处理，其防水构造见图6.2.7；在复合防水层上放置设施时，复合防水层上应增设卷材附加层。</w:t>
      </w:r>
    </w:p>
    <w:p>
      <w:pPr>
        <w:autoSpaceDE w:val="0"/>
        <w:autoSpaceDN w:val="0"/>
        <w:adjustRightInd w:val="0"/>
        <w:spacing w:line="312" w:lineRule="auto"/>
        <w:jc w:val="center"/>
        <w:rPr>
          <w:sz w:val="24"/>
        </w:rPr>
      </w:pPr>
      <w:r>
        <w:rPr>
          <w:sz w:val="24"/>
        </w:rPr>
        <w:object>
          <v:shape id="_x0000_i1036" o:spt="75" type="#_x0000_t75" style="height:194.1pt;width:304.15pt;" o:ole="t" filled="f" o:preferrelative="t" stroked="f" coordsize="21600,21600">
            <v:path/>
            <v:fill on="f" focussize="0,0"/>
            <v:stroke on="f" joinstyle="miter"/>
            <v:imagedata r:id="rId30" cropleft="5005f" croptop="6922f" cropright="10511f" cropbottom="6681f" o:title=""/>
            <o:lock v:ext="edit" aspectratio="t"/>
            <w10:wrap type="none"/>
            <w10:anchorlock/>
          </v:shape>
          <o:OLEObject Type="Embed" ProgID="ICAD.Drawing" ShapeID="_x0000_i1036" DrawAspect="Content" ObjectID="_1468075736" r:id="rId2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图6.2.7 设施基座防水构造</w:t>
      </w:r>
    </w:p>
    <w:p>
      <w:pPr>
        <w:autoSpaceDE w:val="0"/>
        <w:autoSpaceDN w:val="0"/>
        <w:adjustRightInd w:val="0"/>
        <w:spacing w:line="440" w:lineRule="exact"/>
        <w:jc w:val="center"/>
        <w:rPr>
          <w:b/>
          <w:spacing w:val="4"/>
          <w:kern w:val="0"/>
          <w:sz w:val="24"/>
        </w:rPr>
      </w:pPr>
    </w:p>
    <w:p>
      <w:pPr>
        <w:spacing w:line="360" w:lineRule="auto"/>
        <w:rPr>
          <w:sz w:val="24"/>
          <w:szCs w:val="20"/>
        </w:rPr>
      </w:pPr>
      <w:r>
        <w:rPr>
          <w:b/>
          <w:sz w:val="24"/>
          <w:szCs w:val="20"/>
        </w:rPr>
        <w:t xml:space="preserve">6.2.8  </w:t>
      </w:r>
      <w:r>
        <w:rPr>
          <w:sz w:val="24"/>
          <w:szCs w:val="20"/>
        </w:rPr>
        <w:t>屋面变形缝泛水处应增设附加层，附加层在平面和立面的宽度不应小于250mm；变形缝内应填放不燃保温材料，上部应采用防水卷材覆盖，并放置衬垫材料，再在其上覆盖一层卷材；等高变形缝的顶部宜加扣混凝土或金属盖板，其防水构造见图6.2.8-1、图6.2.8-2；高低跨变形缝处，应采用能适应变形要求的材料和构造进行固定和密封处理，其防水构造见图6.2.8-3。</w:t>
      </w:r>
    </w:p>
    <w:p>
      <w:pPr>
        <w:spacing w:line="360" w:lineRule="auto"/>
        <w:jc w:val="center"/>
        <w:rPr>
          <w:sz w:val="24"/>
          <w:szCs w:val="20"/>
        </w:rPr>
      </w:pPr>
      <w:r>
        <w:rPr>
          <w:sz w:val="24"/>
          <w:szCs w:val="20"/>
        </w:rPr>
        <w:object>
          <v:shape id="_x0000_i1037" o:spt="75" type="#_x0000_t75" style="height:217.15pt;width:372.65pt;" o:ole="t" filled="f" o:preferrelative="t" stroked="f" coordsize="21600,21600">
            <v:path/>
            <v:fill on="f" focussize="0,0"/>
            <v:stroke on="f" joinstyle="miter"/>
            <v:imagedata r:id="rId32" cropleft="20628f" croptop="15506f" cropright="10431f" cropbottom="17348f" o:title=""/>
            <o:lock v:ext="edit" aspectratio="t"/>
            <w10:wrap type="none"/>
            <w10:anchorlock/>
          </v:shape>
          <o:OLEObject Type="Embed" ProgID="ICAD.Drawing" ShapeID="_x0000_i1037" DrawAspect="Content" ObjectID="_1468075737" r:id="rId3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图6.2.8-1 等高变形缝防水构造（一）</w:t>
      </w:r>
    </w:p>
    <w:p>
      <w:pPr>
        <w:spacing w:line="360" w:lineRule="auto"/>
        <w:jc w:val="center"/>
        <w:rPr>
          <w:sz w:val="24"/>
          <w:szCs w:val="20"/>
        </w:rPr>
      </w:pPr>
    </w:p>
    <w:p>
      <w:pPr>
        <w:autoSpaceDE w:val="0"/>
        <w:autoSpaceDN w:val="0"/>
        <w:adjustRightInd w:val="0"/>
        <w:spacing w:line="312" w:lineRule="auto"/>
        <w:jc w:val="center"/>
        <w:rPr>
          <w:sz w:val="24"/>
        </w:rPr>
      </w:pPr>
      <w:r>
        <w:rPr>
          <w:sz w:val="24"/>
        </w:rPr>
        <w:object>
          <v:shape id="_x0000_i1038" o:spt="75" type="#_x0000_t75" style="height:273pt;width:357.1pt;" o:ole="t" filled="f" o:preferrelative="t" stroked="f" coordsize="21600,21600">
            <v:path/>
            <v:fill on="f" focussize="0,0"/>
            <v:stroke on="f" joinstyle="miter"/>
            <v:imagedata r:id="rId34" cropleft="17077f" croptop="17025f" cropright="15477f" cropbottom="7469f" o:title=""/>
            <o:lock v:ext="edit" aspectratio="t"/>
            <w10:wrap type="none"/>
            <w10:anchorlock/>
          </v:shape>
          <o:OLEObject Type="Embed" ProgID="ICAD.Drawing" ShapeID="_x0000_i1038" DrawAspect="Content" ObjectID="_1468075738" r:id="rId33">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图6.2.8-2等高变形缝防水构造（二）</w:t>
      </w:r>
    </w:p>
    <w:p>
      <w:pPr>
        <w:spacing w:line="360" w:lineRule="auto"/>
        <w:jc w:val="center"/>
        <w:rPr>
          <w:spacing w:val="4"/>
          <w:kern w:val="0"/>
          <w:sz w:val="24"/>
        </w:rPr>
      </w:pPr>
    </w:p>
    <w:p>
      <w:pPr>
        <w:autoSpaceDE w:val="0"/>
        <w:autoSpaceDN w:val="0"/>
        <w:adjustRightInd w:val="0"/>
        <w:spacing w:line="312" w:lineRule="auto"/>
        <w:jc w:val="center"/>
        <w:rPr>
          <w:sz w:val="24"/>
        </w:rPr>
      </w:pPr>
      <w:r>
        <w:rPr>
          <w:sz w:val="24"/>
        </w:rPr>
        <w:object>
          <v:shape id="_x0000_i1039" o:spt="75" type="#_x0000_t75" style="height:304.15pt;width:337.55pt;" o:ole="t" filled="f" o:preferrelative="t" stroked="f" coordsize="21600,21600">
            <v:path/>
            <v:fill on="f" focussize="0,0"/>
            <v:stroke on="f" joinstyle="miter"/>
            <v:imagedata r:id="rId36" cropleft="22758f" croptop="24421f" cropright="21457f" cropbottom="9819f" o:title=""/>
            <o:lock v:ext="edit" aspectratio="t"/>
            <w10:wrap type="none"/>
            <w10:anchorlock/>
          </v:shape>
          <o:OLEObject Type="Embed" ProgID="ICAD.Drawing" ShapeID="_x0000_i1039" DrawAspect="Content" ObjectID="_1468075739" r:id="rId3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图6.2.8-3 高低跨变形缝防水构造</w:t>
      </w:r>
    </w:p>
    <w:p>
      <w:pPr>
        <w:widowControl/>
        <w:jc w:val="left"/>
        <w:rPr>
          <w:b/>
          <w:sz w:val="24"/>
          <w:szCs w:val="20"/>
        </w:rPr>
      </w:pPr>
      <w:r>
        <w:rPr>
          <w:b/>
          <w:sz w:val="24"/>
          <w:szCs w:val="20"/>
        </w:rPr>
        <w:br w:type="page"/>
      </w:r>
    </w:p>
    <w:p>
      <w:pPr>
        <w:spacing w:line="360" w:lineRule="auto"/>
        <w:rPr>
          <w:b/>
          <w:sz w:val="24"/>
          <w:szCs w:val="20"/>
        </w:rPr>
      </w:pPr>
      <w:r>
        <w:rPr>
          <w:b/>
          <w:sz w:val="24"/>
          <w:szCs w:val="20"/>
        </w:rPr>
        <w:t xml:space="preserve">6.2.9  </w:t>
      </w:r>
      <w:r>
        <w:rPr>
          <w:sz w:val="24"/>
          <w:szCs w:val="20"/>
        </w:rPr>
        <w:t>种植屋面应设置挡墙或缓冲带，复合防水层的面层应为耐根穿刺的高聚物改性沥青防水卷材，其防水构造见图6.2.9-1、图6.2.9-2和图6.2.9-3。</w:t>
      </w:r>
    </w:p>
    <w:p>
      <w:pPr>
        <w:autoSpaceDE w:val="0"/>
        <w:autoSpaceDN w:val="0"/>
        <w:adjustRightInd w:val="0"/>
        <w:spacing w:line="312" w:lineRule="auto"/>
        <w:rPr>
          <w:sz w:val="24"/>
        </w:rPr>
      </w:pPr>
      <w:r>
        <w:rPr>
          <w:sz w:val="24"/>
        </w:rPr>
        <w:object>
          <v:shape id="_x0000_i1040" o:spt="75" type="#_x0000_t75" style="height:255.15pt;width:413.55pt;" o:ole="t" filled="f" o:preferrelative="t" stroked="f" coordsize="21600,21600">
            <v:path/>
            <v:fill on="f" focussize="0,0"/>
            <v:stroke on="f" joinstyle="miter"/>
            <v:imagedata r:id="rId38" cropleft="8542f" croptop="1712f" cropright="17916f" cropbottom="11406f" o:title=""/>
            <o:lock v:ext="edit" aspectratio="t"/>
            <w10:wrap type="none"/>
            <w10:anchorlock/>
          </v:shape>
          <o:OLEObject Type="Embed" ProgID="ICAD.Drawing" ShapeID="_x0000_i1040" DrawAspect="Content" ObjectID="_1468075740" r:id="rId3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图6.2.9-1 种植屋面防水构造（一）</w:t>
      </w:r>
    </w:p>
    <w:p>
      <w:pPr>
        <w:autoSpaceDE w:val="0"/>
        <w:autoSpaceDN w:val="0"/>
        <w:adjustRightInd w:val="0"/>
        <w:spacing w:line="312" w:lineRule="auto"/>
        <w:jc w:val="center"/>
        <w:rPr>
          <w:sz w:val="24"/>
        </w:rPr>
      </w:pPr>
    </w:p>
    <w:p>
      <w:pPr>
        <w:autoSpaceDE w:val="0"/>
        <w:autoSpaceDN w:val="0"/>
        <w:adjustRightInd w:val="0"/>
        <w:spacing w:line="312" w:lineRule="auto"/>
        <w:jc w:val="center"/>
        <w:rPr>
          <w:sz w:val="24"/>
        </w:rPr>
      </w:pPr>
      <w:r>
        <w:rPr>
          <w:sz w:val="24"/>
        </w:rPr>
        <w:object>
          <v:shape id="_x0000_i1041" o:spt="75" type="#_x0000_t75" style="height:268.4pt;width:444.1pt;" o:ole="t" filled="f" o:preferrelative="t" stroked="f" coordsize="21600,21600">
            <v:path/>
            <v:fill on="f" focussize="0,0"/>
            <v:stroke on="f" joinstyle="miter"/>
            <v:imagedata r:id="rId40" cropleft="1454f" croptop="12238f" cropright="15074f" cropbottom="5027f" o:title=""/>
            <o:lock v:ext="edit" aspectratio="t"/>
            <w10:wrap type="none"/>
            <w10:anchorlock/>
          </v:shape>
          <o:OLEObject Type="Embed" ProgID="ICAD.Drawing" ShapeID="_x0000_i1041" DrawAspect="Content" ObjectID="_1468075741" r:id="rId3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图6.2.9-2 种植屋面防水构造（二）</w:t>
      </w:r>
    </w:p>
    <w:p>
      <w:pPr>
        <w:spacing w:line="360" w:lineRule="auto"/>
        <w:jc w:val="center"/>
        <w:rPr>
          <w:sz w:val="24"/>
        </w:rPr>
      </w:pPr>
    </w:p>
    <w:p>
      <w:pPr>
        <w:autoSpaceDE w:val="0"/>
        <w:autoSpaceDN w:val="0"/>
        <w:adjustRightInd w:val="0"/>
        <w:spacing w:line="312" w:lineRule="auto"/>
        <w:jc w:val="center"/>
        <w:rPr>
          <w:sz w:val="24"/>
        </w:rPr>
      </w:pPr>
      <w:r>
        <w:rPr>
          <w:sz w:val="24"/>
        </w:rPr>
        <w:object>
          <v:shape id="_x0000_i1042" o:spt="75" type="#_x0000_t75" style="height:283.95pt;width:395.15pt;" o:ole="t" filled="f" o:preferrelative="t" stroked="f" coordsize="21600,21600">
            <v:path/>
            <v:fill on="f" focussize="0,0"/>
            <v:stroke on="f" joinstyle="miter"/>
            <v:imagedata r:id="rId42" cropleft="23432f" croptop="18495f" cropright="17577f" cropbottom="12574f" o:title=""/>
            <o:lock v:ext="edit" aspectratio="t"/>
            <w10:wrap type="none"/>
            <w10:anchorlock/>
          </v:shape>
          <o:OLEObject Type="Embed" ProgID="ICAD.Drawing" ShapeID="_x0000_i1042" DrawAspect="Content" ObjectID="_1468075742" r:id="rId4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图6.2.9-3种植屋面防水构造（三）</w:t>
      </w:r>
    </w:p>
    <w:p>
      <w:pPr>
        <w:pStyle w:val="4"/>
        <w:jc w:val="center"/>
        <w:rPr>
          <w:sz w:val="28"/>
          <w:lang w:bidi="en-US"/>
        </w:rPr>
      </w:pPr>
      <w:bookmarkStart w:id="25" w:name="_Toc87885958"/>
      <w:bookmarkStart w:id="26" w:name="_Toc87885891"/>
      <w:r>
        <w:rPr>
          <w:sz w:val="28"/>
          <w:lang w:bidi="en-US"/>
        </w:rPr>
        <w:t>6.3  地下工程防水细部构造</w:t>
      </w:r>
      <w:bookmarkEnd w:id="25"/>
      <w:bookmarkEnd w:id="26"/>
    </w:p>
    <w:p>
      <w:pPr>
        <w:spacing w:line="360" w:lineRule="auto"/>
        <w:rPr>
          <w:b/>
          <w:sz w:val="24"/>
          <w:szCs w:val="20"/>
        </w:rPr>
      </w:pPr>
      <w:r>
        <w:rPr>
          <w:b/>
          <w:sz w:val="24"/>
          <w:szCs w:val="20"/>
        </w:rPr>
        <w:t xml:space="preserve">6.3.1  </w:t>
      </w:r>
      <w:r>
        <w:rPr>
          <w:sz w:val="24"/>
          <w:szCs w:val="20"/>
        </w:rPr>
        <w:t>底板与立墙外防外贴法施工复合防水层连接部位甩槎与接槎的防水构造见图6.3.1。</w:t>
      </w:r>
    </w:p>
    <w:p>
      <w:pPr>
        <w:autoSpaceDE w:val="0"/>
        <w:autoSpaceDN w:val="0"/>
        <w:adjustRightInd w:val="0"/>
        <w:spacing w:line="312" w:lineRule="auto"/>
        <w:ind w:firstLine="360" w:firstLineChars="150"/>
        <w:jc w:val="center"/>
        <w:rPr>
          <w:sz w:val="24"/>
        </w:rPr>
      </w:pPr>
      <w:r>
        <w:rPr>
          <w:sz w:val="24"/>
        </w:rPr>
        <w:object>
          <v:shape id="_x0000_i1043" o:spt="75" type="#_x0000_t75" style="height:250.55pt;width:339.85pt;" o:ole="t" filled="f" o:preferrelative="t" stroked="f" coordsize="21600,21600">
            <v:path/>
            <v:fill on="f" focussize="0,0"/>
            <v:stroke on="f" joinstyle="miter"/>
            <v:imagedata r:id="rId44" cropleft="11295f" croptop="18921f" cropright="27251f" cropbottom="5897f" o:title=""/>
            <o:lock v:ext="edit" aspectratio="t"/>
            <w10:wrap type="none"/>
            <w10:anchorlock/>
          </v:shape>
          <o:OLEObject Type="Embed" ProgID="ICAD.Drawing" ShapeID="_x0000_i1043" DrawAspect="Content" ObjectID="_1468075743" r:id="rId43">
            <o:LockedField>false</o:LockedField>
          </o:OLEObject>
        </w:object>
      </w:r>
    </w:p>
    <w:p>
      <w:pPr>
        <w:autoSpaceDE w:val="0"/>
        <w:autoSpaceDN w:val="0"/>
        <w:adjustRightInd w:val="0"/>
        <w:spacing w:line="312" w:lineRule="auto"/>
        <w:jc w:val="center"/>
        <w:rPr>
          <w:sz w:val="24"/>
        </w:rPr>
      </w:pPr>
      <w:r>
        <w:rPr>
          <w:sz w:val="24"/>
        </w:rPr>
        <w:object>
          <v:shape id="_x0000_i1044" o:spt="75" type="#_x0000_t75" style="height:302.4pt;width:364.05pt;" o:ole="t" filled="f" o:preferrelative="t" stroked="f" coordsize="21600,21600">
            <v:path/>
            <v:fill on="f" focussize="0,0"/>
            <v:stroke on="f" joinstyle="miter"/>
            <v:imagedata r:id="rId46" cropleft="22758f" croptop="14780f" cropright="11522f" cropbottom="8580f" o:title=""/>
            <o:lock v:ext="edit" aspectratio="t"/>
            <w10:wrap type="none"/>
            <w10:anchorlock/>
          </v:shape>
          <o:OLEObject Type="Embed" ProgID="ICAD.Drawing" ShapeID="_x0000_i1044" DrawAspect="Content" ObjectID="_1468075744" r:id="rId4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图6.3.1 复合防水层甩槎、接槎构造</w:t>
      </w:r>
    </w:p>
    <w:p>
      <w:pPr>
        <w:autoSpaceDE w:val="0"/>
        <w:autoSpaceDN w:val="0"/>
        <w:adjustRightInd w:val="0"/>
        <w:spacing w:line="312" w:lineRule="auto"/>
        <w:jc w:val="center"/>
        <w:rPr>
          <w:sz w:val="24"/>
        </w:rPr>
      </w:pPr>
    </w:p>
    <w:p>
      <w:pPr>
        <w:spacing w:line="360" w:lineRule="auto"/>
        <w:rPr>
          <w:b/>
          <w:sz w:val="24"/>
          <w:szCs w:val="20"/>
        </w:rPr>
      </w:pPr>
      <w:r>
        <w:rPr>
          <w:b/>
          <w:sz w:val="24"/>
          <w:szCs w:val="20"/>
        </w:rPr>
        <w:t xml:space="preserve">6.3.2  </w:t>
      </w:r>
      <w:r>
        <w:rPr>
          <w:sz w:val="24"/>
          <w:szCs w:val="20"/>
        </w:rPr>
        <w:t>后浇带应增设非固化橡胶沥青防水涂料附加层，附加层表面铺设覆面胎体增强材料，附加层从后浇带两侧向外延伸的宽度不应小于250mm，其防水构造见图6.3.2-1、图6.3.2-2、图6.3.2-3、图6.3.2-4。</w:t>
      </w:r>
    </w:p>
    <w:p>
      <w:pPr>
        <w:autoSpaceDE w:val="0"/>
        <w:autoSpaceDN w:val="0"/>
        <w:adjustRightInd w:val="0"/>
        <w:spacing w:line="312" w:lineRule="auto"/>
        <w:jc w:val="center"/>
        <w:rPr>
          <w:spacing w:val="4"/>
          <w:kern w:val="0"/>
          <w:sz w:val="24"/>
        </w:rPr>
      </w:pPr>
      <w:r>
        <w:rPr>
          <w:sz w:val="24"/>
        </w:rPr>
        <w:object>
          <v:shape id="_x0000_i1045" o:spt="75" type="#_x0000_t75" style="height:206.8pt;width:319.1pt;" o:ole="t" filled="f" o:preferrelative="t" stroked="f" coordsize="21600,21600">
            <v:path/>
            <v:fill on="f" focussize="0,0"/>
            <v:stroke on="f" joinstyle="miter"/>
            <v:imagedata r:id="rId48" cropleft="7091f" croptop="2809f" cropright="8036f" cropbottom="6644f" o:title=""/>
            <o:lock v:ext="edit" aspectratio="t"/>
            <w10:wrap type="none"/>
            <w10:anchorlock/>
          </v:shape>
          <o:OLEObject Type="Embed" ProgID="ICAD.Drawing" ShapeID="_x0000_i1045" DrawAspect="Content" ObjectID="_1468075745" r:id="rId4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图6.3.2-1 顶板后浇带防水构造</w:t>
      </w:r>
    </w:p>
    <w:p>
      <w:pPr>
        <w:autoSpaceDE w:val="0"/>
        <w:autoSpaceDN w:val="0"/>
        <w:adjustRightInd w:val="0"/>
        <w:spacing w:line="312" w:lineRule="auto"/>
        <w:jc w:val="center"/>
        <w:rPr>
          <w:sz w:val="24"/>
        </w:rPr>
      </w:pPr>
    </w:p>
    <w:p>
      <w:pPr>
        <w:autoSpaceDE w:val="0"/>
        <w:autoSpaceDN w:val="0"/>
        <w:adjustRightInd w:val="0"/>
        <w:spacing w:line="312" w:lineRule="auto"/>
        <w:jc w:val="center"/>
        <w:rPr>
          <w:spacing w:val="4"/>
          <w:kern w:val="0"/>
          <w:sz w:val="24"/>
        </w:rPr>
      </w:pPr>
      <w:r>
        <w:rPr>
          <w:sz w:val="24"/>
        </w:rPr>
        <w:object>
          <v:shape id="_x0000_i1046" o:spt="75" type="#_x0000_t75" style="height:250.55pt;width:415.3pt;" o:ole="t" filled="f" o:preferrelative="t" stroked="f" coordsize="21600,21600">
            <v:path/>
            <v:fill on="f" focussize="0,0"/>
            <v:stroke on="f" joinstyle="miter"/>
            <v:imagedata r:id="rId50" cropleft="16559f" croptop="20287f" cropright="19987f" cropbottom="19978f" o:title=""/>
            <o:lock v:ext="edit" aspectratio="t"/>
            <w10:wrap type="none"/>
            <w10:anchorlock/>
          </v:shape>
          <o:OLEObject Type="Embed" ProgID="ICAD.Drawing" ShapeID="_x0000_i1046" DrawAspect="Content" ObjectID="_1468075746" r:id="rId4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图6.3.2-2 底板后浇带防水构造（一）</w:t>
      </w:r>
    </w:p>
    <w:p>
      <w:pPr>
        <w:spacing w:line="360" w:lineRule="auto"/>
        <w:jc w:val="center"/>
        <w:rPr>
          <w:spacing w:val="4"/>
          <w:kern w:val="0"/>
          <w:sz w:val="24"/>
        </w:rPr>
      </w:pPr>
    </w:p>
    <w:p>
      <w:pPr>
        <w:spacing w:line="360" w:lineRule="auto"/>
        <w:jc w:val="center"/>
        <w:rPr>
          <w:spacing w:val="4"/>
          <w:kern w:val="0"/>
          <w:sz w:val="24"/>
        </w:rPr>
      </w:pPr>
    </w:p>
    <w:p>
      <w:pPr>
        <w:spacing w:line="360" w:lineRule="auto"/>
        <w:jc w:val="center"/>
        <w:rPr>
          <w:sz w:val="24"/>
        </w:rPr>
      </w:pPr>
      <w:r>
        <w:rPr>
          <w:sz w:val="24"/>
        </w:rPr>
        <w:object>
          <v:shape id="_x0000_i1047" o:spt="75" type="#_x0000_t75" style="height:260.35pt;width:404.35pt;" o:ole="t" filled="f" o:preferrelative="t" stroked="f" coordsize="21600,21600">
            <v:path/>
            <v:fill on="f" focussize="0,0"/>
            <v:stroke on="f" joinstyle="miter"/>
            <v:imagedata r:id="rId52" cropleft="22001f" croptop="16905f" cropright="10878f" cropbottom="18407f" o:title=""/>
            <o:lock v:ext="edit" aspectratio="t"/>
            <w10:wrap type="none"/>
            <w10:anchorlock/>
          </v:shape>
          <o:OLEObject Type="Embed" ProgID="ICAD.Drawing" ShapeID="_x0000_i1047" DrawAspect="Content" ObjectID="_1468075747" r:id="rId5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图6.3.2-3 底板后浇带防水构造（二）</w:t>
      </w:r>
    </w:p>
    <w:p>
      <w:pPr>
        <w:autoSpaceDE w:val="0"/>
        <w:autoSpaceDN w:val="0"/>
        <w:adjustRightInd w:val="0"/>
        <w:spacing w:line="312" w:lineRule="auto"/>
        <w:jc w:val="center"/>
        <w:rPr>
          <w:sz w:val="24"/>
        </w:rPr>
      </w:pPr>
      <w:r>
        <w:rPr>
          <w:sz w:val="24"/>
        </w:rPr>
        <w:object>
          <v:shape id="_x0000_i1048" o:spt="75" type="#_x0000_t75" style="height:297.2pt;width:283.95pt;" o:ole="t" filled="f" o:preferrelative="t" stroked="f" coordsize="21600,21600">
            <v:path/>
            <v:fill on="f" focussize="0,0"/>
            <v:stroke on="f" joinstyle="miter"/>
            <v:imagedata r:id="rId54" cropleft="27818f" croptop="7167f" cropright="25465f" cropbottom="4363f" o:title=""/>
            <o:lock v:ext="edit" aspectratio="t"/>
            <w10:wrap type="none"/>
            <w10:anchorlock/>
          </v:shape>
          <o:OLEObject Type="Embed" ProgID="ICAD.Drawing" ShapeID="_x0000_i1048" DrawAspect="Content" ObjectID="_1468075748" r:id="rId53">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图6.3.2-4 外墙后浇带防水构造</w:t>
      </w:r>
    </w:p>
    <w:p>
      <w:pPr>
        <w:spacing w:line="360" w:lineRule="auto"/>
        <w:rPr>
          <w:sz w:val="24"/>
          <w:szCs w:val="20"/>
        </w:rPr>
      </w:pPr>
      <w:r>
        <w:rPr>
          <w:b/>
          <w:sz w:val="24"/>
          <w:szCs w:val="20"/>
        </w:rPr>
        <w:t xml:space="preserve">6.3.3  </w:t>
      </w:r>
      <w:r>
        <w:rPr>
          <w:sz w:val="24"/>
          <w:szCs w:val="20"/>
        </w:rPr>
        <w:t>外墙复合防水层应高出地坪以上500mm，防水层的收头应钉压固定、密封严密，其防水构造见图6.3.3。</w:t>
      </w:r>
    </w:p>
    <w:p>
      <w:pPr>
        <w:autoSpaceDE w:val="0"/>
        <w:autoSpaceDN w:val="0"/>
        <w:adjustRightInd w:val="0"/>
        <w:spacing w:line="312" w:lineRule="auto"/>
        <w:jc w:val="center"/>
        <w:rPr>
          <w:sz w:val="24"/>
        </w:rPr>
      </w:pPr>
      <w:r>
        <w:rPr>
          <w:sz w:val="24"/>
        </w:rPr>
        <w:object>
          <v:shape id="_x0000_i1049" o:spt="75" type="#_x0000_t75" style="height:231pt;width:308.15pt;" o:ole="t" filled="f" o:preferrelative="t" stroked="f" coordsize="21600,21600">
            <v:path/>
            <v:fill on="f" focussize="0,0"/>
            <v:stroke on="f" joinstyle="miter"/>
            <v:imagedata r:id="rId56" cropleft="33943f" croptop="15025f" cropright="3925f" cropbottom="11522f" o:title=""/>
            <o:lock v:ext="edit" aspectratio="t"/>
            <w10:wrap type="none"/>
            <w10:anchorlock/>
          </v:shape>
          <o:OLEObject Type="Embed" ProgID="ICAD.Drawing" ShapeID="_x0000_i1049" DrawAspect="Content" ObjectID="_1468075749" r:id="rId5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图6.3.3  外墙收头复合防水构造</w:t>
      </w:r>
    </w:p>
    <w:p>
      <w:pPr>
        <w:spacing w:line="360" w:lineRule="auto"/>
        <w:rPr>
          <w:sz w:val="24"/>
          <w:szCs w:val="20"/>
        </w:rPr>
      </w:pPr>
      <w:r>
        <w:rPr>
          <w:b/>
          <w:sz w:val="24"/>
          <w:szCs w:val="20"/>
        </w:rPr>
        <w:t xml:space="preserve">6.3.4  </w:t>
      </w:r>
      <w:r>
        <w:rPr>
          <w:sz w:val="24"/>
          <w:szCs w:val="20"/>
        </w:rPr>
        <w:t>外墙穿墙管收头处的复合防水层应用金属箍箍紧，并做好密封处理，其防水构造见图6.3.4。</w:t>
      </w:r>
    </w:p>
    <w:p>
      <w:pPr>
        <w:autoSpaceDE w:val="0"/>
        <w:autoSpaceDN w:val="0"/>
        <w:adjustRightInd w:val="0"/>
        <w:spacing w:line="312" w:lineRule="auto"/>
        <w:ind w:firstLine="120" w:firstLineChars="50"/>
        <w:jc w:val="center"/>
        <w:rPr>
          <w:sz w:val="24"/>
        </w:rPr>
      </w:pPr>
      <w:r>
        <w:rPr>
          <w:sz w:val="24"/>
        </w:rPr>
        <w:object>
          <v:shape id="_x0000_i1050" o:spt="75" type="#_x0000_t75" style="height:313.9pt;width:320.85pt;" o:ole="t" filled="f" o:preferrelative="t" stroked="f" coordsize="21600,21600">
            <v:path/>
            <v:fill on="f" focussize="0,0"/>
            <v:stroke on="f" joinstyle="miter"/>
            <v:imagedata r:id="rId58" cropleft="13527f" croptop="12073f" cropright="22923f" cropbottom="7073f" o:title=""/>
            <o:lock v:ext="edit" aspectratio="t"/>
            <w10:wrap type="none"/>
            <w10:anchorlock/>
          </v:shape>
          <o:OLEObject Type="Embed" ProgID="ICAD.Drawing" ShapeID="_x0000_i1050" DrawAspect="Content" ObjectID="_1468075750" r:id="rId5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图6.3.4 穿墙管复合防水构造</w:t>
      </w:r>
    </w:p>
    <w:p>
      <w:pPr>
        <w:spacing w:line="360" w:lineRule="auto"/>
        <w:rPr>
          <w:sz w:val="24"/>
          <w:szCs w:val="20"/>
        </w:rPr>
      </w:pPr>
      <w:r>
        <w:rPr>
          <w:b/>
          <w:sz w:val="24"/>
          <w:szCs w:val="20"/>
        </w:rPr>
        <w:t xml:space="preserve">6.3.5 </w:t>
      </w:r>
      <w:r>
        <w:rPr>
          <w:sz w:val="24"/>
          <w:szCs w:val="20"/>
        </w:rPr>
        <w:t xml:space="preserve"> 底板变形缝应增设复合防水附加层，附加层在变形缝两侧向外延伸的宽度不应小于250mm，其防水构造见图6.3.5。</w:t>
      </w:r>
    </w:p>
    <w:p>
      <w:pPr>
        <w:spacing w:line="312" w:lineRule="auto"/>
        <w:jc w:val="center"/>
        <w:rPr>
          <w:sz w:val="24"/>
        </w:rPr>
      </w:pPr>
      <w:r>
        <w:rPr>
          <w:sz w:val="24"/>
        </w:rPr>
        <w:object>
          <v:shape id="_x0000_i1051" o:spt="75" type="#_x0000_t75" style="height:273pt;width:381.9pt;" o:ole="t" filled="f" o:preferrelative="t" stroked="f" coordsize="21600,21600">
            <v:path/>
            <v:fill on="f" focussize="0,0"/>
            <v:stroke on="f" joinstyle="miter"/>
            <v:imagedata r:id="rId60" cropleft="22758f" croptop="11743f" cropright="9394f" cropbottom="19746f" o:title=""/>
            <o:lock v:ext="edit" aspectratio="t"/>
            <w10:wrap type="none"/>
            <w10:anchorlock/>
          </v:shape>
          <o:OLEObject Type="Embed" ProgID="ICAD.Drawing" ShapeID="_x0000_i1051" DrawAspect="Content" ObjectID="_1468075751" r:id="rId5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图6.3.5  底板变形缝复合防水构造</w:t>
      </w:r>
    </w:p>
    <w:p>
      <w:pPr>
        <w:spacing w:line="360" w:lineRule="auto"/>
        <w:rPr>
          <w:sz w:val="24"/>
          <w:szCs w:val="20"/>
        </w:rPr>
      </w:pPr>
      <w:r>
        <w:rPr>
          <w:b/>
          <w:sz w:val="24"/>
          <w:szCs w:val="20"/>
        </w:rPr>
        <w:t>6.3.6</w:t>
      </w:r>
      <w:r>
        <w:rPr>
          <w:sz w:val="24"/>
          <w:szCs w:val="20"/>
        </w:rPr>
        <w:t xml:space="preserve">  桩头及立面与垫层250mm范围内均应涂刷水泥基渗透结晶型防水涂料，涂层厚度不应小于1.0mm；垫层的复合防水层和附加层应与桩体周边连接并做好密封处理，其防水构造见图6.3.6-1、图6.3.6-2。</w:t>
      </w:r>
    </w:p>
    <w:p>
      <w:pPr>
        <w:spacing w:line="312" w:lineRule="auto"/>
        <w:ind w:firstLine="120" w:firstLineChars="50"/>
        <w:jc w:val="center"/>
        <w:rPr>
          <w:sz w:val="24"/>
        </w:rPr>
      </w:pPr>
      <w:r>
        <w:rPr>
          <w:sz w:val="24"/>
        </w:rPr>
        <w:object>
          <v:shape id="_x0000_i1052" o:spt="75" type="#_x0000_t75" style="height:258.6pt;width:320.85pt;" o:ole="t" filled="f" o:preferrelative="t" stroked="f" coordsize="21600,21600">
            <v:path/>
            <v:fill on="f" focussize="0,0"/>
            <v:stroke on="f" joinstyle="miter"/>
            <v:imagedata r:id="rId62" cropleft="17787f" croptop="11974f" cropright="13652f" cropbottom="8905f" o:title=""/>
            <o:lock v:ext="edit" aspectratio="t"/>
            <w10:wrap type="none"/>
            <w10:anchorlock/>
          </v:shape>
          <o:OLEObject Type="Embed" ProgID="ICAD.Drawing" ShapeID="_x0000_i1052" DrawAspect="Content" ObjectID="_1468075752" r:id="rId6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图6.3.6-1  桩头复合防水构造（一）</w:t>
      </w:r>
    </w:p>
    <w:p>
      <w:pPr>
        <w:spacing w:line="312" w:lineRule="auto"/>
        <w:ind w:firstLine="120" w:firstLineChars="50"/>
        <w:jc w:val="center"/>
        <w:rPr>
          <w:sz w:val="24"/>
        </w:rPr>
      </w:pPr>
    </w:p>
    <w:p>
      <w:pPr>
        <w:spacing w:line="312" w:lineRule="auto"/>
        <w:ind w:firstLine="120" w:firstLineChars="50"/>
        <w:jc w:val="center"/>
        <w:rPr>
          <w:sz w:val="24"/>
        </w:rPr>
      </w:pPr>
      <w:r>
        <w:rPr>
          <w:sz w:val="24"/>
        </w:rPr>
        <w:object>
          <v:shape id="_x0000_i1053" o:spt="75" type="#_x0000_t75" style="height:260.95pt;width:364.6pt;" o:ole="t" filled="f" o:preferrelative="t" stroked="f" coordsize="21600,21600">
            <v:path/>
            <v:fill on="f" focussize="0,0"/>
            <v:stroke on="f" joinstyle="miter"/>
            <v:imagedata r:id="rId64" cropleft="20628f" croptop="6922f" cropright="7993f" cropbottom="15630f" o:title=""/>
            <o:lock v:ext="edit" aspectratio="t"/>
            <w10:wrap type="none"/>
            <w10:anchorlock/>
          </v:shape>
          <o:OLEObject Type="Embed" ProgID="ICAD.Drawing" ShapeID="_x0000_i1053" DrawAspect="Content" ObjectID="_1468075753" r:id="rId63">
            <o:LockedField>false</o:LockedField>
          </o:OLEObject>
        </w:object>
      </w:r>
    </w:p>
    <w:p>
      <w:pPr>
        <w:spacing w:line="312" w:lineRule="auto"/>
        <w:ind w:firstLine="120" w:firstLineChars="50"/>
        <w:jc w:val="center"/>
        <w:rPr>
          <w:sz w:val="24"/>
        </w:rPr>
      </w:pP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图6.3.6-2  桩头复合防水构造（二）</w:t>
      </w:r>
    </w:p>
    <w:p>
      <w:pPr>
        <w:keepNext/>
        <w:keepLines/>
        <w:spacing w:before="120" w:after="120" w:line="360" w:lineRule="auto"/>
        <w:jc w:val="center"/>
        <w:outlineLvl w:val="1"/>
        <w:rPr>
          <w:rFonts w:asciiTheme="majorEastAsia" w:hAnsiTheme="majorEastAsia" w:eastAsiaTheme="majorEastAsia"/>
          <w:b/>
          <w:bCs/>
          <w:sz w:val="28"/>
          <w:szCs w:val="28"/>
          <w:lang w:bidi="en-US"/>
        </w:rPr>
      </w:pPr>
      <w:bookmarkStart w:id="27" w:name="_Toc87885959"/>
      <w:bookmarkStart w:id="28" w:name="_Toc87885892"/>
      <w:r>
        <w:rPr>
          <w:rFonts w:asciiTheme="majorEastAsia" w:hAnsiTheme="majorEastAsia" w:eastAsiaTheme="majorEastAsia"/>
          <w:b/>
          <w:bCs/>
          <w:sz w:val="28"/>
          <w:szCs w:val="28"/>
          <w:lang w:bidi="en-US"/>
        </w:rPr>
        <w:t>II  非固化注浆材料细部构造</w:t>
      </w:r>
      <w:bookmarkEnd w:id="27"/>
      <w:bookmarkEnd w:id="28"/>
    </w:p>
    <w:p>
      <w:pPr>
        <w:pStyle w:val="4"/>
        <w:jc w:val="center"/>
        <w:rPr>
          <w:sz w:val="28"/>
          <w:lang w:bidi="en-US"/>
        </w:rPr>
      </w:pPr>
      <w:bookmarkStart w:id="29" w:name="_Toc87885960"/>
      <w:bookmarkStart w:id="30" w:name="_Toc87885893"/>
      <w:r>
        <w:rPr>
          <w:sz w:val="28"/>
          <w:lang w:bidi="en-US"/>
        </w:rPr>
        <w:t>6.4  非固化橡胶沥青防水注浆构造</w:t>
      </w:r>
      <w:bookmarkEnd w:id="29"/>
      <w:bookmarkEnd w:id="30"/>
    </w:p>
    <w:p>
      <w:pPr>
        <w:spacing w:line="360" w:lineRule="auto"/>
        <w:rPr>
          <w:sz w:val="24"/>
          <w:szCs w:val="20"/>
        </w:rPr>
      </w:pPr>
      <w:r>
        <w:rPr>
          <w:sz w:val="24"/>
          <w:szCs w:val="20"/>
        </w:rPr>
        <w:t>6.4.1  地下钢筋混凝土结构墙体、底板大面积渗漏时，可进行整体注浆。整体注浆防水构造见图1。</w:t>
      </w:r>
    </w:p>
    <w:p>
      <w:pPr>
        <w:jc w:val="center"/>
        <w:rPr>
          <w:spacing w:val="4"/>
          <w:sz w:val="28"/>
          <w:szCs w:val="28"/>
        </w:rPr>
      </w:pPr>
      <w:r>
        <w:rPr>
          <w:spacing w:val="4"/>
          <w:sz w:val="28"/>
          <w:szCs w:val="28"/>
        </w:rPr>
        <w:object>
          <v:shape id="_x0000_i1054" o:spt="75" type="#_x0000_t75" style="height:161.85pt;width:247.7pt;" o:ole="t" filled="f" o:preferrelative="t" stroked="f" coordsize="21600,21600">
            <v:path/>
            <v:fill on="f" focussize="0,0"/>
            <v:stroke on="f" joinstyle="miter"/>
            <v:imagedata r:id="rId66" cropright="9473f" o:title=""/>
            <o:lock v:ext="edit" aspectratio="t"/>
            <w10:wrap type="none"/>
            <w10:anchorlock/>
          </v:shape>
          <o:OLEObject Type="Embed" ProgID="AutoCAD.Drawing.16" ShapeID="_x0000_i1054" DrawAspect="Content" ObjectID="_1468075754" r:id="rId6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图6.4.1  地下室墙、地面整体注浆</w:t>
      </w:r>
    </w:p>
    <w:p>
      <w:pPr>
        <w:spacing w:line="360" w:lineRule="auto"/>
        <w:jc w:val="left"/>
        <w:rPr>
          <w:sz w:val="24"/>
          <w:szCs w:val="20"/>
        </w:rPr>
      </w:pPr>
      <w:r>
        <w:rPr>
          <w:sz w:val="24"/>
          <w:szCs w:val="20"/>
        </w:rPr>
        <w:t>条文说明：即在墙体、底板钻注浆孔，将结构层打透，待注浆时，在结构层处形成一层注浆料防水层。</w:t>
      </w:r>
    </w:p>
    <w:p>
      <w:pPr>
        <w:spacing w:line="360" w:lineRule="auto"/>
        <w:jc w:val="left"/>
        <w:rPr>
          <w:sz w:val="24"/>
          <w:szCs w:val="20"/>
        </w:rPr>
      </w:pPr>
      <w:r>
        <w:rPr>
          <w:sz w:val="24"/>
          <w:szCs w:val="20"/>
        </w:rPr>
        <w:t>6.4.2  地下混凝土结构变形缝处渗漏水，可采用在变形缝两侧钻孔注浆堵漏止水。钻孔时不宜打穿原止水带。注浆钻孔位置尺寸见图6.4.2-1，注浆见图6.4.2-2。</w:t>
      </w:r>
    </w:p>
    <w:p>
      <w:pPr>
        <w:jc w:val="center"/>
        <w:rPr>
          <w:spacing w:val="4"/>
          <w:sz w:val="28"/>
          <w:szCs w:val="28"/>
        </w:rPr>
      </w:pPr>
      <w:r>
        <w:rPr>
          <w:spacing w:val="4"/>
          <w:sz w:val="28"/>
          <w:szCs w:val="28"/>
        </w:rPr>
        <w:object>
          <v:shape id="_x0000_i1055" o:spt="75" type="#_x0000_t75" style="height:195.85pt;width:263.8pt;" o:ole="t" filled="f" o:preferrelative="t" stroked="f" coordsize="21600,21600">
            <v:path/>
            <v:fill on="f" focussize="0,0"/>
            <v:stroke on="f" joinstyle="miter"/>
            <v:imagedata r:id="rId68" cropleft="4132f" cropright="14342f" cropbottom="3180f" o:title=""/>
            <o:lock v:ext="edit" aspectratio="t"/>
            <w10:wrap type="none"/>
            <w10:anchorlock/>
          </v:shape>
          <o:OLEObject Type="Embed" ProgID="AutoCAD.Drawing.16" ShapeID="_x0000_i1055" DrawAspect="Content" ObjectID="_1468075755" r:id="rId6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图6.4.2-1  混凝土变形缝注浆孔位置</w:t>
      </w:r>
    </w:p>
    <w:p>
      <w:pPr>
        <w:jc w:val="center"/>
        <w:rPr>
          <w:spacing w:val="4"/>
          <w:sz w:val="24"/>
        </w:rPr>
      </w:pPr>
      <w:r>
        <w:rPr>
          <w:spacing w:val="4"/>
          <w:sz w:val="24"/>
        </w:rPr>
        <w:object>
          <v:shape id="_x0000_i1056" o:spt="75" type="#_x0000_t75" style="height:166.45pt;width:293.2pt;" o:ole="t" filled="f" o:preferrelative="t" stroked="f" coordsize="21600,21600">
            <v:path/>
            <v:fill on="f" focussize="0,0"/>
            <v:stroke on="f" joinstyle="miter"/>
            <v:imagedata r:id="rId70" cropleft="5106f" croptop="4681f" o:title=""/>
            <o:lock v:ext="edit" aspectratio="t"/>
            <w10:wrap type="none"/>
            <w10:anchorlock/>
          </v:shape>
          <o:OLEObject Type="Embed" ProgID="AutoCAD.Drawing.16" ShapeID="_x0000_i1056" DrawAspect="Content" ObjectID="_1468075756" r:id="rId6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图6.4.2-2  混凝土变形缝注浆剖面图</w:t>
      </w:r>
    </w:p>
    <w:p>
      <w:pPr>
        <w:spacing w:line="360" w:lineRule="auto"/>
        <w:jc w:val="center"/>
        <w:rPr>
          <w:sz w:val="24"/>
          <w:szCs w:val="20"/>
        </w:rPr>
      </w:pPr>
    </w:p>
    <w:p>
      <w:pPr>
        <w:spacing w:line="360" w:lineRule="auto"/>
        <w:jc w:val="left"/>
        <w:rPr>
          <w:sz w:val="24"/>
          <w:szCs w:val="20"/>
        </w:rPr>
      </w:pPr>
      <w:r>
        <w:rPr>
          <w:sz w:val="24"/>
          <w:szCs w:val="20"/>
        </w:rPr>
        <w:t>6.4.3  在进行注浆堵漏时，先钻孔注浆。止水后，采用无纺布或遏水膨胀止水条封堵注浆孔，外抹防水砂浆。注浆孔构造见图6.4.3。</w:t>
      </w:r>
    </w:p>
    <w:p>
      <w:pPr>
        <w:autoSpaceDE w:val="0"/>
        <w:autoSpaceDN w:val="0"/>
        <w:adjustRightInd w:val="0"/>
        <w:spacing w:line="340" w:lineRule="exact"/>
        <w:rPr>
          <w:spacing w:val="4"/>
          <w:sz w:val="28"/>
          <w:szCs w:val="28"/>
        </w:rPr>
      </w:pPr>
    </w:p>
    <w:p>
      <w:pPr>
        <w:jc w:val="right"/>
        <w:rPr>
          <w:spacing w:val="4"/>
          <w:sz w:val="28"/>
          <w:szCs w:val="28"/>
        </w:rPr>
      </w:pPr>
      <w:r>
        <w:rPr>
          <w:spacing w:val="4"/>
          <w:sz w:val="28"/>
          <w:szCs w:val="28"/>
        </w:rPr>
        <w:object>
          <v:shape id="_x0000_i1057" o:spt="75" type="#_x0000_t75" style="height:245.95pt;width:402.05pt;" o:ole="t" filled="f" o:preferrelative="t" stroked="f" coordsize="21600,21600">
            <v:path/>
            <v:fill on="f" focussize="0,0"/>
            <v:stroke on="f" joinstyle="miter"/>
            <v:imagedata r:id="rId72" cropleft="5499f" cropright="25561f" cropbottom="6424f" o:title=""/>
            <o:lock v:ext="edit" aspectratio="t"/>
            <w10:wrap type="none"/>
            <w10:anchorlock/>
          </v:shape>
          <o:OLEObject Type="Embed" ProgID="AutoCAD.Drawing.16" ShapeID="_x0000_i1057" DrawAspect="Content" ObjectID="_1468075757" r:id="rId71">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图6.4.3  混凝土注浆孔构造</w:t>
      </w:r>
    </w:p>
    <w:p>
      <w:pPr>
        <w:spacing w:line="360" w:lineRule="auto"/>
        <w:ind w:firstLine="480" w:firstLineChars="200"/>
        <w:jc w:val="left"/>
        <w:rPr>
          <w:sz w:val="24"/>
          <w:szCs w:val="20"/>
        </w:rPr>
      </w:pPr>
      <w:r>
        <w:rPr>
          <w:sz w:val="24"/>
          <w:szCs w:val="20"/>
        </w:rPr>
        <w:t>当采用注浆堵漏施工时，可根据工程渗漏情况制定注浆堵漏方案。注浆孔也可穿透结构主体，在结构主体外表面形成一道新防水层。</w:t>
      </w:r>
    </w:p>
    <w:p>
      <w:pPr>
        <w:spacing w:line="360" w:lineRule="auto"/>
        <w:ind w:firstLine="480" w:firstLineChars="200"/>
        <w:jc w:val="left"/>
        <w:rPr>
          <w:sz w:val="24"/>
          <w:szCs w:val="20"/>
        </w:rPr>
      </w:pPr>
    </w:p>
    <w:p>
      <w:pPr>
        <w:spacing w:line="360" w:lineRule="auto"/>
        <w:jc w:val="left"/>
        <w:rPr>
          <w:sz w:val="24"/>
          <w:szCs w:val="20"/>
        </w:rPr>
      </w:pPr>
      <w:r>
        <w:rPr>
          <w:sz w:val="24"/>
          <w:szCs w:val="20"/>
        </w:rPr>
        <w:t>6.4.4  地下混凝土底板、墙面出现裂缝，造成渗漏水，可采用注浆堵漏，形成局部防水层，底板注浆见图6.2.10-1，墙面注浆见图6.2.10-2。</w:t>
      </w:r>
    </w:p>
    <w:p>
      <w:pPr>
        <w:jc w:val="center"/>
        <w:rPr>
          <w:rFonts w:eastAsiaTheme="minorEastAsia"/>
          <w:spacing w:val="4"/>
          <w:sz w:val="24"/>
        </w:rPr>
      </w:pPr>
      <w:r>
        <w:rPr>
          <w:rFonts w:eastAsiaTheme="minorEastAsia"/>
          <w:spacing w:val="4"/>
          <w:sz w:val="24"/>
        </w:rPr>
        <w:object>
          <v:shape id="_x0000_i1058" o:spt="75" type="#_x0000_t75" style="height:195.85pt;width:339.85pt;" o:ole="t" filled="f" o:preferrelative="t" stroked="f" coordsize="21600,21600">
            <v:path/>
            <v:fill on="f" focussize="0,0"/>
            <v:stroke on="f" joinstyle="miter"/>
            <v:imagedata r:id="rId74" cropleft="1398f" cropright="5953f" cropbottom="5947f" o:title=""/>
            <o:lock v:ext="edit" aspectratio="t"/>
            <w10:wrap type="none"/>
            <w10:anchorlock/>
          </v:shape>
          <o:OLEObject Type="Embed" ProgID="AutoCAD.Drawing.16" ShapeID="_x0000_i1058" DrawAspect="Content" ObjectID="_1468075758" r:id="rId73">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图6.4.4-1  混凝土底板裂缝注浆</w:t>
      </w:r>
    </w:p>
    <w:p>
      <w:pPr>
        <w:autoSpaceDE w:val="0"/>
        <w:autoSpaceDN w:val="0"/>
        <w:adjustRightInd w:val="0"/>
        <w:spacing w:line="340" w:lineRule="exact"/>
        <w:jc w:val="center"/>
        <w:rPr>
          <w:rFonts w:eastAsiaTheme="minorEastAsia"/>
          <w:spacing w:val="4"/>
          <w:sz w:val="24"/>
        </w:rPr>
      </w:pPr>
    </w:p>
    <w:p>
      <w:pPr>
        <w:jc w:val="center"/>
        <w:rPr>
          <w:rFonts w:eastAsiaTheme="minorEastAsia"/>
          <w:spacing w:val="4"/>
          <w:sz w:val="24"/>
        </w:rPr>
      </w:pPr>
      <w:r>
        <w:rPr>
          <w:rFonts w:eastAsiaTheme="minorEastAsia"/>
          <w:spacing w:val="4"/>
          <w:sz w:val="24"/>
        </w:rPr>
        <w:object>
          <v:shape id="_x0000_i1059" o:spt="75" type="#_x0000_t75" style="height:295.5pt;width:258.05pt;" o:ole="t" filled="f" o:preferrelative="t" stroked="f" coordsize="21600,21600">
            <v:path/>
            <v:fill on="f" focussize="0,0"/>
            <v:stroke on="f" joinstyle="miter"/>
            <v:imagedata r:id="rId76" cropleft="20539f" cropright="14847f" cropbottom="4309f" o:title=""/>
            <o:lock v:ext="edit" aspectratio="t"/>
            <w10:wrap type="none"/>
            <w10:anchorlock/>
          </v:shape>
          <o:OLEObject Type="Embed" ProgID="AutoCAD.Drawing.16" ShapeID="_x0000_i1059" DrawAspect="Content" ObjectID="_1468075759" r:id="rId75">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图6.4.4-2   墙面裂缝注浆</w:t>
      </w:r>
    </w:p>
    <w:p>
      <w:pPr>
        <w:spacing w:line="360" w:lineRule="auto"/>
        <w:jc w:val="left"/>
        <w:rPr>
          <w:sz w:val="24"/>
          <w:szCs w:val="20"/>
        </w:rPr>
      </w:pPr>
      <w:r>
        <w:rPr>
          <w:sz w:val="24"/>
          <w:szCs w:val="20"/>
        </w:rPr>
        <w:t>6.4.5  当地下室顶板出现裂缝造成渗漏水，可采用注浆堵漏，形成局部防水层，见图6.4.5-1，混凝土注浆孔构造见图6.4.5-2。</w:t>
      </w:r>
    </w:p>
    <w:p>
      <w:pPr>
        <w:spacing w:line="360" w:lineRule="auto"/>
        <w:jc w:val="left"/>
        <w:rPr>
          <w:rFonts w:eastAsiaTheme="minorEastAsia"/>
          <w:spacing w:val="4"/>
          <w:sz w:val="24"/>
        </w:rPr>
      </w:pPr>
    </w:p>
    <w:p>
      <w:pPr>
        <w:spacing w:line="360" w:lineRule="auto"/>
        <w:jc w:val="center"/>
        <w:rPr>
          <w:rFonts w:eastAsiaTheme="minorEastAsia"/>
          <w:spacing w:val="4"/>
          <w:sz w:val="24"/>
        </w:rPr>
      </w:pPr>
      <w:r>
        <w:rPr>
          <w:rFonts w:eastAsiaTheme="minorEastAsia"/>
          <w:spacing w:val="4"/>
          <w:sz w:val="24"/>
        </w:rPr>
        <w:object>
          <v:shape id="_x0000_i1060" o:spt="75" type="#_x0000_t75" style="height:226.95pt;width:260.95pt;" o:ole="t" filled="f" o:preferrelative="t" stroked="f" coordsize="21600,21600">
            <v:path/>
            <v:fill on="f" focussize="0,0"/>
            <v:stroke on="f" joinstyle="miter"/>
            <v:imagedata r:id="rId78" cropleft="20539f" cropright="2525f" o:title=""/>
            <o:lock v:ext="edit" aspectratio="t"/>
            <w10:wrap type="none"/>
            <w10:anchorlock/>
          </v:shape>
          <o:OLEObject Type="Embed" ProgID="AutoCAD.Drawing.16" ShapeID="_x0000_i1060" DrawAspect="Content" ObjectID="_1468075760" r:id="rId77">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 6.4.5-1  地下室顶板裂缝注浆</w:t>
      </w:r>
    </w:p>
    <w:p>
      <w:pPr>
        <w:spacing w:line="340" w:lineRule="exact"/>
        <w:rPr>
          <w:rFonts w:eastAsiaTheme="minorEastAsia"/>
          <w:spacing w:val="4"/>
          <w:sz w:val="24"/>
        </w:rPr>
      </w:pPr>
    </w:p>
    <w:p>
      <w:pPr>
        <w:spacing w:line="360" w:lineRule="auto"/>
        <w:rPr>
          <w:rFonts w:eastAsiaTheme="minorEastAsia"/>
          <w:spacing w:val="4"/>
          <w:sz w:val="24"/>
        </w:rPr>
      </w:pPr>
      <w:r>
        <w:rPr>
          <w:rFonts w:eastAsiaTheme="minorEastAsia"/>
          <w:spacing w:val="4"/>
          <w:sz w:val="24"/>
        </w:rPr>
        <w:object>
          <v:shape id="_x0000_i1061" o:spt="75" type="#_x0000_t75" style="height:171.65pt;width:404.35pt;" o:ole="t" filled="f" o:preferrelative="t" stroked="f" coordsize="21600,21600">
            <v:path/>
            <v:fill on="f" focussize="0,0"/>
            <v:stroke on="f" joinstyle="miter"/>
            <v:imagedata r:id="rId72" cropleft="5499f" cropright="10726f" cropbottom="6424f" o:title=""/>
            <o:lock v:ext="edit" aspectratio="t"/>
            <w10:wrap type="none"/>
            <w10:anchorlock/>
          </v:shape>
          <o:OLEObject Type="Embed" ProgID="AutoCAD.Drawing.16" ShapeID="_x0000_i1061" DrawAspect="Content" ObjectID="_1468075761" r:id="rId79">
            <o:LockedField>false</o:LockedField>
          </o:OLEObject>
        </w:object>
      </w:r>
    </w:p>
    <w:p>
      <w:pPr>
        <w:pStyle w:val="52"/>
        <w:ind w:left="0" w:leftChars="-1" w:hanging="2"/>
        <w:jc w:val="center"/>
        <w:rPr>
          <w:rFonts w:ascii="Times New Roman"/>
          <w:b/>
          <w:color w:val="000000"/>
          <w:spacing w:val="4"/>
          <w:sz w:val="21"/>
          <w:szCs w:val="21"/>
        </w:rPr>
      </w:pPr>
      <w:r>
        <w:rPr>
          <w:rFonts w:ascii="Times New Roman"/>
          <w:b/>
          <w:color w:val="000000"/>
          <w:spacing w:val="4"/>
          <w:sz w:val="21"/>
          <w:szCs w:val="21"/>
        </w:rPr>
        <w:t>图6.4.5-2  混凝土注浆孔构造</w:t>
      </w:r>
    </w:p>
    <w:p>
      <w:pPr>
        <w:pStyle w:val="35"/>
        <w:rPr>
          <w:rFonts w:ascii="Times New Roman" w:hAnsi="Times New Roman" w:cs="Times New Roman"/>
        </w:rPr>
      </w:pPr>
    </w:p>
    <w:p>
      <w:pPr>
        <w:autoSpaceDE w:val="0"/>
        <w:autoSpaceDN w:val="0"/>
        <w:adjustRightInd w:val="0"/>
        <w:spacing w:line="312" w:lineRule="auto"/>
        <w:ind w:firstLine="495"/>
        <w:outlineLvl w:val="0"/>
        <w:rPr>
          <w:rFonts w:eastAsiaTheme="minorEastAsia"/>
          <w:spacing w:val="4"/>
          <w:sz w:val="24"/>
        </w:rPr>
      </w:pPr>
      <w:r>
        <w:rPr>
          <w:rFonts w:eastAsiaTheme="minorEastAsia"/>
          <w:spacing w:val="4"/>
          <w:sz w:val="24"/>
        </w:rPr>
        <w:br w:type="page"/>
      </w:r>
    </w:p>
    <w:p>
      <w:pPr>
        <w:pStyle w:val="2"/>
        <w:tabs>
          <w:tab w:val="left" w:pos="425"/>
        </w:tabs>
        <w:spacing w:before="0" w:after="0" w:line="360" w:lineRule="auto"/>
        <w:jc w:val="center"/>
        <w:rPr>
          <w:bCs w:val="0"/>
          <w:sz w:val="30"/>
          <w:szCs w:val="20"/>
        </w:rPr>
      </w:pPr>
      <w:bookmarkStart w:id="31" w:name="_Toc87885961"/>
      <w:bookmarkStart w:id="32" w:name="_Toc87885894"/>
      <w:r>
        <w:rPr>
          <w:bCs w:val="0"/>
          <w:sz w:val="30"/>
          <w:szCs w:val="20"/>
        </w:rPr>
        <w:t>7  施  工</w:t>
      </w:r>
      <w:bookmarkEnd w:id="31"/>
      <w:bookmarkEnd w:id="32"/>
    </w:p>
    <w:p>
      <w:pPr>
        <w:pStyle w:val="4"/>
        <w:jc w:val="center"/>
        <w:rPr>
          <w:sz w:val="28"/>
          <w:lang w:bidi="en-US"/>
        </w:rPr>
      </w:pPr>
      <w:bookmarkStart w:id="33" w:name="_Toc87885895"/>
      <w:bookmarkStart w:id="34" w:name="_Toc87885962"/>
      <w:r>
        <w:rPr>
          <w:sz w:val="28"/>
          <w:lang w:bidi="en-US"/>
        </w:rPr>
        <w:t>7.1  一般规定</w:t>
      </w:r>
      <w:bookmarkEnd w:id="33"/>
      <w:bookmarkEnd w:id="34"/>
    </w:p>
    <w:p>
      <w:pPr>
        <w:spacing w:line="360" w:lineRule="auto"/>
        <w:jc w:val="left"/>
        <w:rPr>
          <w:sz w:val="24"/>
          <w:szCs w:val="20"/>
        </w:rPr>
      </w:pPr>
      <w:r>
        <w:rPr>
          <w:b/>
          <w:sz w:val="24"/>
          <w:szCs w:val="20"/>
        </w:rPr>
        <w:t xml:space="preserve">7.1.1  </w:t>
      </w:r>
      <w:r>
        <w:rPr>
          <w:sz w:val="24"/>
          <w:szCs w:val="20"/>
        </w:rPr>
        <w:t>非固化橡胶沥青防水涂料加热和喷涂作业的人员应经过专业培训，主要操作人员必须持证上岗。</w:t>
      </w:r>
    </w:p>
    <w:p>
      <w:pPr>
        <w:spacing w:line="360" w:lineRule="auto"/>
        <w:jc w:val="left"/>
        <w:rPr>
          <w:sz w:val="24"/>
          <w:szCs w:val="20"/>
        </w:rPr>
      </w:pPr>
      <w:r>
        <w:rPr>
          <w:b/>
          <w:sz w:val="24"/>
          <w:szCs w:val="20"/>
        </w:rPr>
        <w:t xml:space="preserve">7.1.2  </w:t>
      </w:r>
      <w:r>
        <w:rPr>
          <w:sz w:val="24"/>
          <w:szCs w:val="20"/>
        </w:rPr>
        <w:t>防水施工前应对图纸进行会审，掌握细部构造及关键技术要求，编制防水施工方案，并经审批后方可实施，实施前应向操作人员进行安全、技术交底。</w:t>
      </w:r>
    </w:p>
    <w:p>
      <w:pPr>
        <w:spacing w:line="360" w:lineRule="auto"/>
        <w:jc w:val="left"/>
        <w:rPr>
          <w:sz w:val="24"/>
          <w:szCs w:val="20"/>
        </w:rPr>
      </w:pPr>
      <w:r>
        <w:rPr>
          <w:b/>
          <w:sz w:val="24"/>
          <w:szCs w:val="20"/>
        </w:rPr>
        <w:t xml:space="preserve">7.1.3  </w:t>
      </w:r>
      <w:r>
        <w:rPr>
          <w:sz w:val="24"/>
          <w:szCs w:val="20"/>
        </w:rPr>
        <w:t>进场的防水材料应有出厂合格证和型式检验报告。材料的各项性能指标应符合国家相关标准的规定。</w:t>
      </w:r>
    </w:p>
    <w:p>
      <w:pPr>
        <w:spacing w:line="360" w:lineRule="auto"/>
        <w:jc w:val="left"/>
        <w:rPr>
          <w:sz w:val="24"/>
          <w:szCs w:val="20"/>
        </w:rPr>
      </w:pPr>
      <w:r>
        <w:rPr>
          <w:b/>
          <w:sz w:val="24"/>
          <w:szCs w:val="20"/>
        </w:rPr>
        <w:t xml:space="preserve">7.1.4  </w:t>
      </w:r>
      <w:r>
        <w:rPr>
          <w:sz w:val="24"/>
          <w:szCs w:val="20"/>
        </w:rPr>
        <w:t>防水材料及主要辅料进入施工现场后，应见证抽样复验。抽样复验的涂料应按20t为一批次，不足20t也作为一批次，其复验项目为：固体含量、粘结性能、低温柔性、耐热性、渗油性；卷材应按1万㎡为一批次，不足1万㎡也作为一批次，其复验项目为：可溶物含量、拉力（纵、横向）、最大拉力时延伸率（纵、横向）、低温柔性、耐热性、不透水性；复验合格后才能使用。</w:t>
      </w:r>
    </w:p>
    <w:p>
      <w:pPr>
        <w:spacing w:line="360" w:lineRule="auto"/>
        <w:jc w:val="left"/>
        <w:rPr>
          <w:sz w:val="24"/>
          <w:szCs w:val="20"/>
        </w:rPr>
      </w:pPr>
      <w:r>
        <w:rPr>
          <w:b/>
          <w:sz w:val="24"/>
          <w:szCs w:val="20"/>
        </w:rPr>
        <w:t xml:space="preserve">7.1.5  </w:t>
      </w:r>
      <w:r>
        <w:rPr>
          <w:sz w:val="24"/>
          <w:szCs w:val="20"/>
        </w:rPr>
        <w:t>非固化橡胶沥青防水涂料应采用专用设备加热。采用涂刮方法施工时，加热温度宜为100℃～120℃；采用喷涂方法施工时，加热温度不应高于170℃。</w:t>
      </w:r>
    </w:p>
    <w:p>
      <w:pPr>
        <w:spacing w:line="360" w:lineRule="auto"/>
        <w:jc w:val="left"/>
        <w:rPr>
          <w:sz w:val="24"/>
          <w:szCs w:val="20"/>
        </w:rPr>
      </w:pPr>
      <w:r>
        <w:rPr>
          <w:b/>
          <w:sz w:val="24"/>
          <w:szCs w:val="20"/>
        </w:rPr>
        <w:t xml:space="preserve">7.1.6  </w:t>
      </w:r>
      <w:r>
        <w:rPr>
          <w:sz w:val="24"/>
          <w:szCs w:val="20"/>
        </w:rPr>
        <w:t>非固化橡胶沥青防水涂料的类型应符合施工部位的要求。平面型的防水涂料不得用于立面，立面型的防水涂料可以用于立面和平面。</w:t>
      </w:r>
    </w:p>
    <w:p>
      <w:pPr>
        <w:spacing w:line="360" w:lineRule="auto"/>
        <w:jc w:val="left"/>
        <w:rPr>
          <w:sz w:val="24"/>
          <w:szCs w:val="20"/>
        </w:rPr>
      </w:pPr>
      <w:r>
        <w:rPr>
          <w:b/>
          <w:sz w:val="24"/>
          <w:szCs w:val="20"/>
        </w:rPr>
        <w:t xml:space="preserve">7.1.7  </w:t>
      </w:r>
      <w:r>
        <w:rPr>
          <w:sz w:val="24"/>
          <w:szCs w:val="20"/>
        </w:rPr>
        <w:t>防水涂料的喷涂或涂刷施工应均匀一致，并在涂料高温状态下及时进行卷材防水层复合及接缝密封防水施工。</w:t>
      </w:r>
    </w:p>
    <w:p>
      <w:pPr>
        <w:keepNext/>
        <w:keepLines/>
        <w:spacing w:before="120" w:after="120" w:line="360" w:lineRule="auto"/>
        <w:jc w:val="center"/>
        <w:outlineLvl w:val="1"/>
        <w:rPr>
          <w:rFonts w:asciiTheme="majorEastAsia" w:hAnsiTheme="majorEastAsia" w:eastAsiaTheme="majorEastAsia"/>
          <w:b/>
          <w:bCs/>
          <w:sz w:val="28"/>
          <w:szCs w:val="28"/>
          <w:lang w:bidi="en-US"/>
        </w:rPr>
      </w:pPr>
      <w:bookmarkStart w:id="35" w:name="_Toc87885896"/>
      <w:bookmarkStart w:id="36" w:name="_Toc87885963"/>
      <w:r>
        <w:rPr>
          <w:rFonts w:asciiTheme="majorEastAsia" w:hAnsiTheme="majorEastAsia" w:eastAsiaTheme="majorEastAsia"/>
          <w:b/>
          <w:bCs/>
          <w:sz w:val="28"/>
          <w:szCs w:val="28"/>
          <w:lang w:bidi="en-US"/>
        </w:rPr>
        <w:t>I  非固化橡胶沥青防水涂料</w:t>
      </w:r>
      <w:bookmarkEnd w:id="35"/>
      <w:bookmarkEnd w:id="36"/>
    </w:p>
    <w:p>
      <w:pPr>
        <w:pStyle w:val="4"/>
        <w:jc w:val="center"/>
        <w:rPr>
          <w:sz w:val="28"/>
          <w:lang w:bidi="en-US"/>
        </w:rPr>
      </w:pPr>
      <w:bookmarkStart w:id="37" w:name="_Toc87885964"/>
      <w:bookmarkStart w:id="38" w:name="_Toc87885897"/>
      <w:r>
        <w:rPr>
          <w:sz w:val="28"/>
          <w:lang w:bidi="en-US"/>
        </w:rPr>
        <w:t>7.2  屋面工程防水施工</w:t>
      </w:r>
      <w:bookmarkEnd w:id="37"/>
      <w:bookmarkEnd w:id="38"/>
    </w:p>
    <w:p>
      <w:pPr>
        <w:spacing w:line="360" w:lineRule="auto"/>
        <w:jc w:val="left"/>
        <w:rPr>
          <w:sz w:val="24"/>
          <w:szCs w:val="20"/>
        </w:rPr>
      </w:pPr>
      <w:r>
        <w:rPr>
          <w:b/>
          <w:sz w:val="24"/>
          <w:szCs w:val="20"/>
        </w:rPr>
        <w:t xml:space="preserve">7.2.1  </w:t>
      </w:r>
      <w:r>
        <w:rPr>
          <w:sz w:val="24"/>
          <w:szCs w:val="20"/>
        </w:rPr>
        <w:t>屋面基层应坚实、平整，无起砂和裂缝，施工前应用专用工具将基层浮浆及尘土杂物清理干净。</w:t>
      </w:r>
    </w:p>
    <w:p>
      <w:pPr>
        <w:spacing w:line="360" w:lineRule="auto"/>
        <w:jc w:val="left"/>
        <w:rPr>
          <w:sz w:val="24"/>
          <w:szCs w:val="20"/>
        </w:rPr>
      </w:pPr>
      <w:r>
        <w:rPr>
          <w:b/>
          <w:sz w:val="24"/>
          <w:szCs w:val="20"/>
        </w:rPr>
        <w:t xml:space="preserve">7.2.2  </w:t>
      </w:r>
      <w:r>
        <w:rPr>
          <w:sz w:val="24"/>
          <w:szCs w:val="20"/>
        </w:rPr>
        <w:t>细部附加层的施工应符合下列规定：</w:t>
      </w:r>
    </w:p>
    <w:p>
      <w:pPr>
        <w:spacing w:line="360" w:lineRule="auto"/>
        <w:ind w:firstLine="482" w:firstLineChars="200"/>
        <w:jc w:val="left"/>
        <w:rPr>
          <w:sz w:val="24"/>
          <w:szCs w:val="20"/>
        </w:rPr>
      </w:pPr>
      <w:r>
        <w:rPr>
          <w:b/>
          <w:sz w:val="24"/>
          <w:szCs w:val="20"/>
        </w:rPr>
        <w:t xml:space="preserve">1  </w:t>
      </w:r>
      <w:r>
        <w:rPr>
          <w:sz w:val="24"/>
          <w:szCs w:val="20"/>
        </w:rPr>
        <w:t>施工时应先确定附加层的部位，阴阳角以及管道周边附加层的宽度不应小于250mm。</w:t>
      </w:r>
    </w:p>
    <w:p>
      <w:pPr>
        <w:spacing w:line="360" w:lineRule="auto"/>
        <w:ind w:firstLine="482" w:firstLineChars="200"/>
        <w:jc w:val="left"/>
        <w:rPr>
          <w:sz w:val="24"/>
          <w:szCs w:val="20"/>
        </w:rPr>
      </w:pPr>
      <w:r>
        <w:rPr>
          <w:b/>
          <w:sz w:val="24"/>
          <w:szCs w:val="20"/>
        </w:rPr>
        <w:t xml:space="preserve">2  </w:t>
      </w:r>
      <w:r>
        <w:rPr>
          <w:sz w:val="24"/>
          <w:szCs w:val="20"/>
        </w:rPr>
        <w:t>在水落口、出屋面的管道、阴阳角、天沟等部位应铺设附加层。施工时应均匀刮涂非固化橡胶沥青防水涂料，其厚度不应小于1.5mm，并应在涂层内夹铺胎体增强材料或在涂层表面铺设覆面增强材料。</w:t>
      </w:r>
    </w:p>
    <w:p>
      <w:pPr>
        <w:spacing w:line="360" w:lineRule="auto"/>
        <w:jc w:val="left"/>
        <w:rPr>
          <w:sz w:val="24"/>
          <w:szCs w:val="20"/>
        </w:rPr>
      </w:pPr>
      <w:r>
        <w:rPr>
          <w:b/>
          <w:sz w:val="24"/>
          <w:szCs w:val="20"/>
        </w:rPr>
        <w:t xml:space="preserve">7.2.3  </w:t>
      </w:r>
      <w:r>
        <w:rPr>
          <w:sz w:val="24"/>
          <w:szCs w:val="20"/>
        </w:rPr>
        <w:t>复合防水层的施工应符合下列规定：</w:t>
      </w:r>
    </w:p>
    <w:p>
      <w:pPr>
        <w:spacing w:line="360" w:lineRule="auto"/>
        <w:ind w:firstLine="482" w:firstLineChars="200"/>
        <w:jc w:val="left"/>
        <w:rPr>
          <w:sz w:val="24"/>
          <w:szCs w:val="20"/>
        </w:rPr>
      </w:pPr>
      <w:r>
        <w:rPr>
          <w:b/>
          <w:sz w:val="24"/>
          <w:szCs w:val="20"/>
        </w:rPr>
        <w:t xml:space="preserve">1  </w:t>
      </w:r>
      <w:r>
        <w:rPr>
          <w:sz w:val="24"/>
          <w:szCs w:val="20"/>
        </w:rPr>
        <w:t>非固化橡胶沥青防水涂料宜采用刮涂或喷涂法施工</w:t>
      </w:r>
    </w:p>
    <w:p>
      <w:pPr>
        <w:spacing w:line="360" w:lineRule="auto"/>
        <w:ind w:firstLine="723" w:firstLineChars="300"/>
        <w:jc w:val="left"/>
        <w:rPr>
          <w:sz w:val="24"/>
          <w:szCs w:val="20"/>
        </w:rPr>
      </w:pPr>
      <w:r>
        <w:rPr>
          <w:b/>
          <w:sz w:val="24"/>
          <w:szCs w:val="20"/>
        </w:rPr>
        <w:t xml:space="preserve">1）  </w:t>
      </w:r>
      <w:r>
        <w:rPr>
          <w:sz w:val="24"/>
          <w:szCs w:val="20"/>
        </w:rPr>
        <w:t>刮涂法施工时，应将涂料放入专用设备中进行加热，把加热熔融的涂料注入施工桶中，在平面施工时宜将涂料倒在基面上，用齿状刮板涂刮，涂层的厚度应符合表3.0.3-1的规定。刮涂时应一次形成规定厚度，每次刮涂的宽度应比粘铺的卷材或保护隔离材料宽100mm左右。</w:t>
      </w:r>
    </w:p>
    <w:p>
      <w:pPr>
        <w:spacing w:line="360" w:lineRule="auto"/>
        <w:ind w:firstLine="723" w:firstLineChars="300"/>
        <w:jc w:val="left"/>
        <w:rPr>
          <w:sz w:val="24"/>
          <w:szCs w:val="20"/>
        </w:rPr>
      </w:pPr>
      <w:r>
        <w:rPr>
          <w:b/>
          <w:sz w:val="24"/>
          <w:szCs w:val="20"/>
        </w:rPr>
        <w:t xml:space="preserve">2）  </w:t>
      </w:r>
      <w:r>
        <w:rPr>
          <w:sz w:val="24"/>
          <w:szCs w:val="20"/>
        </w:rPr>
        <w:t>喷涂法施工时，将涂料加热达到预定温度后，启动专用的喷涂设备，检查喷枪、喷嘴运行是否正常。开启喷枪进行试喷，达到正常状态后，进行大面积喷涂施工，同层涂膜的先后搭压宽度宜为30～50mm。调整喷嘴与基面的距离及喷涂设备压力，使喷涂的涂层厚薄均匀，涂层的厚度应符合表3.0.3-1的规定。每一喷涂作业面的幅宽应大于卷材或保护隔离材料宽100mm左右。</w:t>
      </w:r>
    </w:p>
    <w:p>
      <w:pPr>
        <w:spacing w:line="360" w:lineRule="auto"/>
        <w:ind w:firstLine="482" w:firstLineChars="200"/>
        <w:jc w:val="left"/>
        <w:rPr>
          <w:sz w:val="24"/>
          <w:szCs w:val="20"/>
        </w:rPr>
      </w:pPr>
      <w:r>
        <w:rPr>
          <w:b/>
          <w:sz w:val="24"/>
          <w:szCs w:val="20"/>
        </w:rPr>
        <w:t xml:space="preserve">2  </w:t>
      </w:r>
      <w:r>
        <w:rPr>
          <w:sz w:val="24"/>
          <w:szCs w:val="20"/>
        </w:rPr>
        <w:t>粘铺卷材层的施工根据施工的气温和非固化橡胶沥青防水涂料与复合用卷材的特点，选择卷材铺设的时间和铺贴方法。</w:t>
      </w:r>
    </w:p>
    <w:p>
      <w:pPr>
        <w:spacing w:line="360" w:lineRule="auto"/>
        <w:ind w:firstLine="723" w:firstLineChars="300"/>
        <w:jc w:val="left"/>
        <w:rPr>
          <w:sz w:val="24"/>
          <w:szCs w:val="20"/>
        </w:rPr>
      </w:pPr>
      <w:r>
        <w:rPr>
          <w:b/>
          <w:sz w:val="24"/>
          <w:szCs w:val="20"/>
        </w:rPr>
        <w:t xml:space="preserve">1）  </w:t>
      </w:r>
      <w:r>
        <w:rPr>
          <w:sz w:val="24"/>
          <w:szCs w:val="20"/>
        </w:rPr>
        <w:t>每一幅宽的涂层完成后，随即粘铺卷材，卷材宜平行屋脊铺贴，其搭接宽度不应小于100mm。铺贴的卷材应顺直、平整、无折皱。</w:t>
      </w:r>
    </w:p>
    <w:p>
      <w:pPr>
        <w:spacing w:line="360" w:lineRule="auto"/>
        <w:ind w:firstLine="723" w:firstLineChars="300"/>
        <w:jc w:val="left"/>
        <w:rPr>
          <w:sz w:val="24"/>
          <w:szCs w:val="20"/>
        </w:rPr>
      </w:pPr>
      <w:r>
        <w:rPr>
          <w:b/>
          <w:sz w:val="24"/>
          <w:szCs w:val="20"/>
        </w:rPr>
        <w:t xml:space="preserve">2）  </w:t>
      </w:r>
      <w:r>
        <w:rPr>
          <w:sz w:val="24"/>
          <w:szCs w:val="20"/>
        </w:rPr>
        <w:t>自粘改性沥青卷材的搭接缝应采用冷粘法施工，施工时，应将搭接部位自粘卷材的隔离膜撕去，即可直接粘合，并用压辊滚压粘牢封严。自粘卷材的搭接宽度不应小于80mm。</w:t>
      </w:r>
    </w:p>
    <w:p>
      <w:pPr>
        <w:spacing w:line="360" w:lineRule="auto"/>
        <w:ind w:firstLine="723" w:firstLineChars="300"/>
        <w:jc w:val="left"/>
        <w:rPr>
          <w:sz w:val="24"/>
          <w:szCs w:val="20"/>
        </w:rPr>
      </w:pPr>
      <w:r>
        <w:rPr>
          <w:b/>
          <w:sz w:val="24"/>
          <w:szCs w:val="20"/>
        </w:rPr>
        <w:t xml:space="preserve">3）  </w:t>
      </w:r>
      <w:r>
        <w:rPr>
          <w:sz w:val="24"/>
          <w:szCs w:val="20"/>
        </w:rPr>
        <w:t>高聚物改性沥青防水卷材的搭接缝宜采用热熔法施工，施工时，应用加热器加热卷材搭接缝部位的上下层卷材，待卷材表面开始熔融时，即可粘合搭接缝，并使接缝边缘溢出热熔的沥青胶。</w:t>
      </w:r>
    </w:p>
    <w:p>
      <w:pPr>
        <w:spacing w:line="360" w:lineRule="auto"/>
        <w:ind w:firstLine="723" w:firstLineChars="300"/>
        <w:jc w:val="left"/>
        <w:rPr>
          <w:sz w:val="24"/>
          <w:szCs w:val="20"/>
        </w:rPr>
      </w:pPr>
      <w:r>
        <w:rPr>
          <w:b/>
          <w:sz w:val="24"/>
          <w:szCs w:val="20"/>
        </w:rPr>
        <w:t xml:space="preserve">4） </w:t>
      </w:r>
      <w:r>
        <w:rPr>
          <w:sz w:val="24"/>
          <w:szCs w:val="20"/>
        </w:rPr>
        <w:t xml:space="preserve"> 聚乙烯丙纶卷材的搭接缝宜刮涂非固化橡胶沥青涂料粘合，并封闭严密。</w:t>
      </w:r>
    </w:p>
    <w:p>
      <w:pPr>
        <w:spacing w:line="360" w:lineRule="auto"/>
        <w:jc w:val="left"/>
        <w:rPr>
          <w:sz w:val="24"/>
          <w:szCs w:val="20"/>
        </w:rPr>
      </w:pPr>
      <w:r>
        <w:rPr>
          <w:b/>
          <w:sz w:val="24"/>
          <w:szCs w:val="20"/>
        </w:rPr>
        <w:t xml:space="preserve">7.2.4  </w:t>
      </w:r>
      <w:r>
        <w:rPr>
          <w:sz w:val="24"/>
          <w:szCs w:val="20"/>
        </w:rPr>
        <w:t>复合防水层施工完成经验收合格后，应及时施工保护层。用块体材料、水泥砂浆或细石混凝土等作保护层时，保护层与复合防水层之间应设置塑料膜、聚酯无纺布和卷材等作隔离层。</w:t>
      </w:r>
    </w:p>
    <w:p>
      <w:pPr>
        <w:pStyle w:val="4"/>
        <w:jc w:val="center"/>
        <w:rPr>
          <w:sz w:val="28"/>
          <w:lang w:bidi="en-US"/>
        </w:rPr>
      </w:pPr>
      <w:bookmarkStart w:id="39" w:name="_Toc87885898"/>
      <w:bookmarkStart w:id="40" w:name="_Toc87885965"/>
      <w:r>
        <w:rPr>
          <w:sz w:val="28"/>
          <w:lang w:bidi="en-US"/>
        </w:rPr>
        <w:t>7.3  地下工程防水施工</w:t>
      </w:r>
      <w:bookmarkEnd w:id="39"/>
      <w:bookmarkEnd w:id="40"/>
    </w:p>
    <w:p>
      <w:pPr>
        <w:spacing w:line="360" w:lineRule="auto"/>
        <w:jc w:val="left"/>
        <w:rPr>
          <w:sz w:val="24"/>
          <w:szCs w:val="20"/>
        </w:rPr>
      </w:pPr>
      <w:r>
        <w:rPr>
          <w:b/>
          <w:sz w:val="24"/>
          <w:szCs w:val="20"/>
        </w:rPr>
        <w:t xml:space="preserve">7.3.1  </w:t>
      </w:r>
      <w:r>
        <w:rPr>
          <w:sz w:val="24"/>
          <w:szCs w:val="20"/>
        </w:rPr>
        <w:t>地下防水工程宜采用复合防水构造，外墙防水层的铺设宜采用外防外贴的方法进行施工。</w:t>
      </w:r>
    </w:p>
    <w:p>
      <w:pPr>
        <w:spacing w:line="360" w:lineRule="auto"/>
        <w:jc w:val="left"/>
        <w:rPr>
          <w:sz w:val="24"/>
          <w:szCs w:val="20"/>
        </w:rPr>
      </w:pPr>
      <w:r>
        <w:rPr>
          <w:b/>
          <w:sz w:val="24"/>
          <w:szCs w:val="20"/>
        </w:rPr>
        <w:t xml:space="preserve">7.3.2  </w:t>
      </w:r>
      <w:r>
        <w:rPr>
          <w:sz w:val="24"/>
          <w:szCs w:val="20"/>
        </w:rPr>
        <w:t>地下工程的管根、阴阳角、后浇带、施工缝及变形缝部位应先施工非固化橡胶沥青防水涂料，并在涂层表面铺设胎体增强材料组成增强层，增强层的厚度不应小于1.5mm。</w:t>
      </w:r>
    </w:p>
    <w:p>
      <w:pPr>
        <w:spacing w:line="360" w:lineRule="auto"/>
        <w:jc w:val="left"/>
        <w:rPr>
          <w:sz w:val="24"/>
          <w:szCs w:val="20"/>
        </w:rPr>
      </w:pPr>
      <w:r>
        <w:rPr>
          <w:b/>
          <w:sz w:val="24"/>
          <w:szCs w:val="20"/>
        </w:rPr>
        <w:t>7.3.3</w:t>
      </w:r>
      <w:r>
        <w:rPr>
          <w:sz w:val="24"/>
          <w:szCs w:val="20"/>
        </w:rPr>
        <w:t xml:space="preserve">  复合防水层的施工方法与7.2.3条基本相同，但立墙施工时宜采用喷涂非固化橡胶沥青防水涂料并及时粘贴卷材，使其形成整体的复合防水层，同时应采取防止卷材下滑的固定措施。</w:t>
      </w:r>
    </w:p>
    <w:p>
      <w:pPr>
        <w:spacing w:line="360" w:lineRule="auto"/>
        <w:jc w:val="left"/>
        <w:rPr>
          <w:sz w:val="24"/>
          <w:szCs w:val="20"/>
        </w:rPr>
      </w:pPr>
      <w:r>
        <w:rPr>
          <w:b/>
          <w:sz w:val="24"/>
          <w:szCs w:val="20"/>
        </w:rPr>
        <w:t>7.3.4</w:t>
      </w:r>
      <w:r>
        <w:rPr>
          <w:sz w:val="24"/>
          <w:szCs w:val="20"/>
        </w:rPr>
        <w:t xml:space="preserve">  复合防水层施工完毕，经质量验收合格后，应及时按设计要求施工保护层。底板防水层上的细石混凝土保护层厚度不应小于50mm。外墙采用外防外贴法施工复合防水层时，防水层外表面的保护层宜采用砌筑砖墙或铺贴挤塑聚苯乙烯泡沫板或塑料排水板等进行保护。外墙保护层完工后，应及时回填并分层夯实。</w:t>
      </w:r>
    </w:p>
    <w:p>
      <w:pPr>
        <w:keepNext/>
        <w:keepLines/>
        <w:spacing w:before="120" w:after="120" w:line="360" w:lineRule="auto"/>
        <w:jc w:val="center"/>
        <w:outlineLvl w:val="1"/>
        <w:rPr>
          <w:rFonts w:asciiTheme="majorEastAsia" w:hAnsiTheme="majorEastAsia" w:eastAsiaTheme="majorEastAsia"/>
          <w:b/>
          <w:bCs/>
          <w:sz w:val="28"/>
          <w:szCs w:val="28"/>
          <w:lang w:bidi="en-US"/>
        </w:rPr>
      </w:pPr>
      <w:bookmarkStart w:id="41" w:name="_Toc87885966"/>
      <w:bookmarkStart w:id="42" w:name="_Toc87885899"/>
      <w:r>
        <w:rPr>
          <w:rFonts w:asciiTheme="majorEastAsia" w:hAnsiTheme="majorEastAsia" w:eastAsiaTheme="majorEastAsia"/>
          <w:b/>
          <w:bCs/>
          <w:sz w:val="28"/>
          <w:szCs w:val="28"/>
          <w:lang w:bidi="en-US"/>
        </w:rPr>
        <w:t>II  非固化注浆材料</w:t>
      </w:r>
      <w:bookmarkEnd w:id="41"/>
      <w:bookmarkEnd w:id="42"/>
    </w:p>
    <w:p>
      <w:pPr>
        <w:pStyle w:val="4"/>
        <w:jc w:val="center"/>
        <w:rPr>
          <w:sz w:val="28"/>
          <w:lang w:bidi="en-US"/>
        </w:rPr>
      </w:pPr>
      <w:bookmarkStart w:id="43" w:name="_Toc87885900"/>
      <w:bookmarkStart w:id="44" w:name="_Toc87885967"/>
      <w:r>
        <w:rPr>
          <w:sz w:val="28"/>
          <w:lang w:bidi="en-US"/>
        </w:rPr>
        <w:t>7.4  非固化注浆材料施工</w:t>
      </w:r>
      <w:bookmarkEnd w:id="43"/>
      <w:bookmarkEnd w:id="44"/>
    </w:p>
    <w:p>
      <w:pPr>
        <w:spacing w:line="360" w:lineRule="auto"/>
        <w:jc w:val="left"/>
        <w:rPr>
          <w:sz w:val="24"/>
          <w:szCs w:val="20"/>
        </w:rPr>
      </w:pPr>
      <w:r>
        <w:rPr>
          <w:b/>
          <w:sz w:val="24"/>
          <w:szCs w:val="20"/>
        </w:rPr>
        <w:t xml:space="preserve">7.4.1  </w:t>
      </w:r>
      <w:r>
        <w:rPr>
          <w:sz w:val="24"/>
          <w:szCs w:val="20"/>
        </w:rPr>
        <w:t>非固化橡胶沥青注浆材料工艺流程</w:t>
      </w:r>
    </w:p>
    <w:p>
      <w:pPr>
        <w:spacing w:line="360" w:lineRule="auto"/>
        <w:ind w:firstLine="480" w:firstLineChars="200"/>
        <w:jc w:val="left"/>
        <w:rPr>
          <w:sz w:val="24"/>
          <w:szCs w:val="20"/>
        </w:rPr>
      </w:pPr>
      <w:r>
        <w:rPr>
          <w:rFonts w:hint="eastAsia"/>
          <w:sz w:val="24"/>
          <w:szCs w:val="20"/>
        </w:rPr>
        <w:t>清理基层→排孔、钻孔→安装注浆管→封堵裂缝→注浆→封闭注浆孔</w:t>
      </w:r>
    </w:p>
    <w:p>
      <w:pPr>
        <w:spacing w:line="360" w:lineRule="auto"/>
        <w:jc w:val="left"/>
        <w:rPr>
          <w:sz w:val="24"/>
          <w:szCs w:val="20"/>
        </w:rPr>
      </w:pPr>
      <w:r>
        <w:rPr>
          <w:b/>
          <w:sz w:val="24"/>
          <w:szCs w:val="20"/>
        </w:rPr>
        <w:t xml:space="preserve">7.4.2  </w:t>
      </w:r>
      <w:r>
        <w:rPr>
          <w:sz w:val="24"/>
          <w:szCs w:val="20"/>
        </w:rPr>
        <w:t>非固化橡胶沥青注浆材料操作应符合下列规定：</w:t>
      </w:r>
    </w:p>
    <w:p>
      <w:pPr>
        <w:spacing w:line="360" w:lineRule="auto"/>
        <w:ind w:firstLine="482" w:firstLineChars="200"/>
        <w:jc w:val="left"/>
        <w:rPr>
          <w:sz w:val="24"/>
          <w:szCs w:val="20"/>
        </w:rPr>
      </w:pPr>
      <w:r>
        <w:rPr>
          <w:b/>
          <w:sz w:val="24"/>
          <w:szCs w:val="20"/>
        </w:rPr>
        <w:t xml:space="preserve">1  </w:t>
      </w:r>
      <w:r>
        <w:rPr>
          <w:sz w:val="24"/>
          <w:szCs w:val="20"/>
        </w:rPr>
        <w:t>清理基层：将基层面及裂缝内的浮浆、杂物、水垢及麻面清理干净，清理到坚实的混凝土基层。</w:t>
      </w:r>
    </w:p>
    <w:p>
      <w:pPr>
        <w:spacing w:line="360" w:lineRule="auto"/>
        <w:ind w:firstLine="482" w:firstLineChars="200"/>
        <w:jc w:val="left"/>
        <w:rPr>
          <w:sz w:val="24"/>
          <w:szCs w:val="20"/>
        </w:rPr>
      </w:pPr>
      <w:r>
        <w:rPr>
          <w:b/>
          <w:sz w:val="24"/>
          <w:szCs w:val="20"/>
        </w:rPr>
        <w:t xml:space="preserve">2  </w:t>
      </w:r>
      <w:r>
        <w:rPr>
          <w:sz w:val="24"/>
          <w:szCs w:val="20"/>
        </w:rPr>
        <w:t>排孔、钻孔</w:t>
      </w:r>
    </w:p>
    <w:p>
      <w:pPr>
        <w:spacing w:line="360" w:lineRule="auto"/>
        <w:ind w:firstLine="723" w:firstLineChars="300"/>
        <w:jc w:val="left"/>
        <w:rPr>
          <w:sz w:val="24"/>
          <w:szCs w:val="20"/>
        </w:rPr>
      </w:pPr>
      <w:r>
        <w:rPr>
          <w:b/>
          <w:sz w:val="24"/>
          <w:szCs w:val="20"/>
        </w:rPr>
        <w:t xml:space="preserve">1）  </w:t>
      </w:r>
      <w:r>
        <w:rPr>
          <w:sz w:val="24"/>
          <w:szCs w:val="20"/>
        </w:rPr>
        <w:t>排孔：注浆孔距应根据工程具体情况确定。按施工方案确定孔距，进行排孔，孔距500~1000mm。大面积渗漏，布孔宜密；裂缝渗漏，布孔宜疏，钻孔宜深。</w:t>
      </w:r>
    </w:p>
    <w:p>
      <w:pPr>
        <w:spacing w:line="360" w:lineRule="auto"/>
        <w:ind w:firstLine="723" w:firstLineChars="300"/>
        <w:jc w:val="left"/>
        <w:rPr>
          <w:sz w:val="24"/>
          <w:szCs w:val="20"/>
        </w:rPr>
      </w:pPr>
      <w:r>
        <w:rPr>
          <w:b/>
          <w:sz w:val="24"/>
          <w:szCs w:val="20"/>
        </w:rPr>
        <w:t>2）</w:t>
      </w:r>
      <w:r>
        <w:rPr>
          <w:sz w:val="24"/>
          <w:szCs w:val="20"/>
        </w:rPr>
        <w:t xml:space="preserve">  钻孔：钻孔前应划出钢筋位置，钻孔时避开结构主筋，设定好孔深，进行钻孔。</w:t>
      </w:r>
    </w:p>
    <w:p>
      <w:pPr>
        <w:spacing w:line="360" w:lineRule="auto"/>
        <w:ind w:firstLine="723" w:firstLineChars="300"/>
        <w:jc w:val="left"/>
        <w:rPr>
          <w:sz w:val="24"/>
          <w:szCs w:val="20"/>
        </w:rPr>
      </w:pPr>
      <w:r>
        <w:rPr>
          <w:b/>
          <w:sz w:val="24"/>
          <w:szCs w:val="20"/>
        </w:rPr>
        <w:t>3）</w:t>
      </w:r>
      <w:r>
        <w:rPr>
          <w:sz w:val="24"/>
          <w:szCs w:val="20"/>
        </w:rPr>
        <w:t xml:space="preserve">  清孔：钻孔后应将孔内清洗干净。有流水的孔待水流变清即可；无流水的孔可用压力水将孔中的灰浆清洗干净。</w:t>
      </w:r>
    </w:p>
    <w:p>
      <w:pPr>
        <w:spacing w:line="360" w:lineRule="auto"/>
        <w:ind w:firstLine="482" w:firstLineChars="200"/>
        <w:jc w:val="left"/>
        <w:rPr>
          <w:sz w:val="24"/>
          <w:szCs w:val="20"/>
        </w:rPr>
      </w:pPr>
      <w:r>
        <w:rPr>
          <w:b/>
          <w:sz w:val="24"/>
          <w:szCs w:val="20"/>
        </w:rPr>
        <w:t xml:space="preserve">3  </w:t>
      </w:r>
      <w:r>
        <w:rPr>
          <w:sz w:val="24"/>
          <w:szCs w:val="20"/>
        </w:rPr>
        <w:t>安装注浆管：在清理干净的孔内安装专用注浆管。</w:t>
      </w:r>
    </w:p>
    <w:p>
      <w:pPr>
        <w:spacing w:line="360" w:lineRule="auto"/>
        <w:ind w:firstLine="482" w:firstLineChars="200"/>
        <w:jc w:val="left"/>
        <w:rPr>
          <w:sz w:val="24"/>
          <w:szCs w:val="20"/>
        </w:rPr>
      </w:pPr>
      <w:r>
        <w:rPr>
          <w:b/>
          <w:sz w:val="24"/>
          <w:szCs w:val="20"/>
        </w:rPr>
        <w:t xml:space="preserve">4  </w:t>
      </w:r>
      <w:r>
        <w:rPr>
          <w:sz w:val="24"/>
          <w:szCs w:val="20"/>
        </w:rPr>
        <w:t>封堵裂缝：用速凝止水材料将裂缝封严，避免注浆液从裂缝流出。</w:t>
      </w:r>
    </w:p>
    <w:p>
      <w:pPr>
        <w:spacing w:line="360" w:lineRule="auto"/>
        <w:ind w:firstLine="482" w:firstLineChars="200"/>
        <w:jc w:val="left"/>
        <w:rPr>
          <w:sz w:val="24"/>
          <w:szCs w:val="20"/>
        </w:rPr>
      </w:pPr>
      <w:r>
        <w:rPr>
          <w:b/>
          <w:sz w:val="24"/>
          <w:szCs w:val="20"/>
        </w:rPr>
        <w:t xml:space="preserve">5  </w:t>
      </w:r>
      <w:r>
        <w:rPr>
          <w:sz w:val="24"/>
          <w:szCs w:val="20"/>
        </w:rPr>
        <w:t>注浆：将注浆管连接注浆泵，使注浆料徐徐注入注浆孔内。开始时应使料循环一次，等注浆料变稀后开始注浆。</w:t>
      </w:r>
    </w:p>
    <w:p>
      <w:pPr>
        <w:spacing w:line="360" w:lineRule="auto"/>
        <w:ind w:firstLine="480" w:firstLineChars="200"/>
        <w:jc w:val="left"/>
        <w:rPr>
          <w:sz w:val="24"/>
          <w:szCs w:val="20"/>
        </w:rPr>
      </w:pPr>
      <w:r>
        <w:rPr>
          <w:sz w:val="24"/>
          <w:szCs w:val="20"/>
        </w:rPr>
        <w:t>当相邻孔流出注浆液时停止，卸下连接管，随即将准备好的封孔材料（遏水膨胀橡胶止水条或专用无纺布），用工具压入孔内，堵住浆液。</w:t>
      </w:r>
    </w:p>
    <w:p>
      <w:pPr>
        <w:spacing w:line="360" w:lineRule="auto"/>
        <w:ind w:firstLine="480" w:firstLineChars="200"/>
        <w:jc w:val="left"/>
        <w:rPr>
          <w:sz w:val="24"/>
          <w:szCs w:val="20"/>
        </w:rPr>
      </w:pPr>
      <w:r>
        <w:rPr>
          <w:sz w:val="24"/>
          <w:szCs w:val="20"/>
        </w:rPr>
        <w:t>注浆顺序自下而上，宜按先底板、后立墙、再顶（拱）的顺序依次进行。注浆时应纪录每孔注入浆料的数量，做到心中有数。当发现单孔注浆量突然加大或减少时，应分析原因，并及时处理。</w:t>
      </w:r>
    </w:p>
    <w:p>
      <w:pPr>
        <w:spacing w:line="360" w:lineRule="auto"/>
        <w:ind w:firstLine="482" w:firstLineChars="200"/>
        <w:jc w:val="left"/>
        <w:rPr>
          <w:sz w:val="24"/>
          <w:szCs w:val="20"/>
        </w:rPr>
      </w:pPr>
      <w:r>
        <w:rPr>
          <w:b/>
          <w:sz w:val="24"/>
          <w:szCs w:val="20"/>
        </w:rPr>
        <w:t xml:space="preserve">6  </w:t>
      </w:r>
      <w:r>
        <w:rPr>
          <w:sz w:val="24"/>
          <w:szCs w:val="20"/>
        </w:rPr>
        <w:t>封闭注浆孔：待注浆堵漏全部完成并观察12h无变化时，用防水砂浆将注浆孔注个填塞、抹压平整。</w:t>
      </w:r>
    </w:p>
    <w:p>
      <w:pPr>
        <w:spacing w:line="360" w:lineRule="auto"/>
        <w:ind w:firstLine="480" w:firstLineChars="200"/>
        <w:jc w:val="left"/>
        <w:rPr>
          <w:sz w:val="24"/>
          <w:szCs w:val="20"/>
        </w:rPr>
      </w:pPr>
    </w:p>
    <w:p>
      <w:pPr>
        <w:widowControl/>
        <w:jc w:val="left"/>
        <w:rPr>
          <w:b/>
          <w:kern w:val="44"/>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45" w:name="_Toc87885968"/>
      <w:bookmarkStart w:id="46" w:name="_Toc87885901"/>
      <w:r>
        <w:rPr>
          <w:bCs w:val="0"/>
          <w:sz w:val="30"/>
          <w:szCs w:val="20"/>
        </w:rPr>
        <w:t>8  工程质量验收</w:t>
      </w:r>
      <w:bookmarkEnd w:id="45"/>
      <w:bookmarkEnd w:id="46"/>
    </w:p>
    <w:p>
      <w:pPr>
        <w:pStyle w:val="4"/>
        <w:jc w:val="center"/>
        <w:rPr>
          <w:sz w:val="28"/>
          <w:lang w:bidi="en-US"/>
        </w:rPr>
      </w:pPr>
      <w:bookmarkStart w:id="47" w:name="_Toc87885969"/>
      <w:bookmarkStart w:id="48" w:name="_Toc87885902"/>
      <w:r>
        <w:rPr>
          <w:sz w:val="28"/>
          <w:lang w:bidi="en-US"/>
        </w:rPr>
        <w:t>8.1  一般规定</w:t>
      </w:r>
      <w:bookmarkEnd w:id="47"/>
      <w:bookmarkEnd w:id="48"/>
    </w:p>
    <w:p>
      <w:pPr>
        <w:spacing w:line="360" w:lineRule="auto"/>
        <w:jc w:val="left"/>
        <w:rPr>
          <w:rFonts w:eastAsiaTheme="minorEastAsia"/>
          <w:spacing w:val="4"/>
          <w:kern w:val="0"/>
          <w:sz w:val="24"/>
        </w:rPr>
      </w:pPr>
      <w:r>
        <w:rPr>
          <w:b/>
          <w:sz w:val="24"/>
          <w:szCs w:val="20"/>
        </w:rPr>
        <w:t>8.1.1</w:t>
      </w:r>
      <w:r>
        <w:rPr>
          <w:rFonts w:eastAsiaTheme="minorEastAsia"/>
          <w:spacing w:val="4"/>
          <w:kern w:val="0"/>
          <w:sz w:val="24"/>
        </w:rPr>
        <w:t xml:space="preserve">  防水层质量验收时应提交下列相应的资料：</w:t>
      </w:r>
    </w:p>
    <w:p>
      <w:pPr>
        <w:spacing w:line="360" w:lineRule="auto"/>
        <w:ind w:firstLine="482" w:firstLineChars="200"/>
        <w:jc w:val="left"/>
        <w:rPr>
          <w:sz w:val="24"/>
          <w:szCs w:val="20"/>
        </w:rPr>
      </w:pPr>
      <w:r>
        <w:rPr>
          <w:b/>
          <w:sz w:val="24"/>
          <w:szCs w:val="20"/>
        </w:rPr>
        <w:t>1</w:t>
      </w:r>
      <w:r>
        <w:rPr>
          <w:sz w:val="24"/>
          <w:szCs w:val="20"/>
        </w:rPr>
        <w:t xml:space="preserve">  防水设计图及会审纪录，设计变更洽商单。</w:t>
      </w:r>
    </w:p>
    <w:p>
      <w:pPr>
        <w:spacing w:line="360" w:lineRule="auto"/>
        <w:ind w:firstLine="482" w:firstLineChars="200"/>
        <w:jc w:val="left"/>
        <w:rPr>
          <w:sz w:val="24"/>
          <w:szCs w:val="20"/>
        </w:rPr>
      </w:pPr>
      <w:r>
        <w:rPr>
          <w:b/>
          <w:sz w:val="24"/>
          <w:szCs w:val="20"/>
        </w:rPr>
        <w:t>2</w:t>
      </w:r>
      <w:r>
        <w:rPr>
          <w:sz w:val="24"/>
          <w:szCs w:val="20"/>
        </w:rPr>
        <w:t xml:space="preserve">  防水施工技术方案。</w:t>
      </w:r>
    </w:p>
    <w:p>
      <w:pPr>
        <w:spacing w:line="360" w:lineRule="auto"/>
        <w:ind w:firstLine="482" w:firstLineChars="200"/>
        <w:jc w:val="left"/>
        <w:rPr>
          <w:sz w:val="24"/>
          <w:szCs w:val="20"/>
        </w:rPr>
      </w:pPr>
      <w:r>
        <w:rPr>
          <w:b/>
          <w:sz w:val="24"/>
          <w:szCs w:val="20"/>
        </w:rPr>
        <w:t>3</w:t>
      </w:r>
      <w:r>
        <w:rPr>
          <w:sz w:val="24"/>
          <w:szCs w:val="20"/>
        </w:rPr>
        <w:t xml:space="preserve">  防水施工安全、技术交底书。</w:t>
      </w:r>
    </w:p>
    <w:p>
      <w:pPr>
        <w:spacing w:line="360" w:lineRule="auto"/>
        <w:ind w:firstLine="482" w:firstLineChars="200"/>
        <w:jc w:val="left"/>
        <w:rPr>
          <w:sz w:val="24"/>
          <w:szCs w:val="20"/>
        </w:rPr>
      </w:pPr>
      <w:r>
        <w:rPr>
          <w:b/>
          <w:sz w:val="24"/>
          <w:szCs w:val="20"/>
        </w:rPr>
        <w:t>4</w:t>
      </w:r>
      <w:r>
        <w:rPr>
          <w:sz w:val="24"/>
          <w:szCs w:val="20"/>
        </w:rPr>
        <w:t xml:space="preserve">  防水材料质量证明文件：出厂合格证、材料质量检验报告、现场见证取样复验报告。</w:t>
      </w:r>
    </w:p>
    <w:p>
      <w:pPr>
        <w:spacing w:line="360" w:lineRule="auto"/>
        <w:ind w:firstLine="482" w:firstLineChars="200"/>
        <w:jc w:val="left"/>
        <w:rPr>
          <w:sz w:val="24"/>
          <w:szCs w:val="20"/>
        </w:rPr>
      </w:pPr>
      <w:r>
        <w:rPr>
          <w:b/>
          <w:sz w:val="24"/>
          <w:szCs w:val="20"/>
        </w:rPr>
        <w:t>5</w:t>
      </w:r>
      <w:r>
        <w:rPr>
          <w:sz w:val="24"/>
          <w:szCs w:val="20"/>
        </w:rPr>
        <w:t xml:space="preserve">  中间检查记录：分项工程质量验收记录、隐蔽工程质量验收记录、施工检查记录。</w:t>
      </w:r>
    </w:p>
    <w:p>
      <w:pPr>
        <w:spacing w:line="360" w:lineRule="auto"/>
        <w:jc w:val="left"/>
        <w:rPr>
          <w:sz w:val="24"/>
          <w:szCs w:val="20"/>
        </w:rPr>
      </w:pPr>
      <w:r>
        <w:rPr>
          <w:b/>
          <w:sz w:val="24"/>
          <w:szCs w:val="20"/>
        </w:rPr>
        <w:t>8.1.2</w:t>
      </w:r>
      <w:r>
        <w:rPr>
          <w:sz w:val="24"/>
          <w:szCs w:val="20"/>
        </w:rPr>
        <w:t xml:space="preserve">  防水层表面应平整、顺直、无褶皱。</w:t>
      </w:r>
    </w:p>
    <w:p>
      <w:pPr>
        <w:spacing w:line="360" w:lineRule="auto"/>
        <w:jc w:val="left"/>
        <w:rPr>
          <w:sz w:val="24"/>
          <w:szCs w:val="20"/>
        </w:rPr>
      </w:pPr>
      <w:r>
        <w:rPr>
          <w:b/>
          <w:sz w:val="24"/>
          <w:szCs w:val="20"/>
        </w:rPr>
        <w:t>8.1.3</w:t>
      </w:r>
      <w:r>
        <w:rPr>
          <w:sz w:val="24"/>
          <w:szCs w:val="20"/>
        </w:rPr>
        <w:t xml:space="preserve">  卷材铺贴方向应符合设计要求。</w:t>
      </w:r>
    </w:p>
    <w:p>
      <w:pPr>
        <w:spacing w:line="360" w:lineRule="auto"/>
        <w:jc w:val="left"/>
        <w:rPr>
          <w:sz w:val="24"/>
          <w:szCs w:val="20"/>
        </w:rPr>
      </w:pPr>
      <w:r>
        <w:rPr>
          <w:b/>
          <w:sz w:val="24"/>
          <w:szCs w:val="20"/>
        </w:rPr>
        <w:t>8.1.4</w:t>
      </w:r>
      <w:r>
        <w:rPr>
          <w:sz w:val="24"/>
          <w:szCs w:val="20"/>
        </w:rPr>
        <w:t xml:space="preserve">  防水层应按防水面积每100㎡抽查一处，每处应为10㎡，且不得少于3处。细部构造应全数检查。</w:t>
      </w:r>
    </w:p>
    <w:p>
      <w:pPr>
        <w:spacing w:line="360" w:lineRule="auto"/>
        <w:jc w:val="left"/>
        <w:rPr>
          <w:sz w:val="24"/>
          <w:szCs w:val="20"/>
        </w:rPr>
      </w:pPr>
      <w:r>
        <w:rPr>
          <w:b/>
          <w:sz w:val="24"/>
          <w:szCs w:val="20"/>
        </w:rPr>
        <w:t>8.1.5</w:t>
      </w:r>
      <w:r>
        <w:rPr>
          <w:sz w:val="24"/>
          <w:szCs w:val="20"/>
        </w:rPr>
        <w:t xml:space="preserve">  非固化橡胶沥青防水涂料的类型应符合施工部位及施工方法的要求。</w:t>
      </w:r>
    </w:p>
    <w:p>
      <w:pPr>
        <w:spacing w:line="360" w:lineRule="auto"/>
        <w:jc w:val="left"/>
        <w:rPr>
          <w:sz w:val="24"/>
          <w:szCs w:val="20"/>
        </w:rPr>
      </w:pPr>
      <w:r>
        <w:rPr>
          <w:b/>
          <w:sz w:val="24"/>
          <w:szCs w:val="20"/>
        </w:rPr>
        <w:t>8.1.6</w:t>
      </w:r>
      <w:r>
        <w:rPr>
          <w:sz w:val="24"/>
          <w:szCs w:val="20"/>
        </w:rPr>
        <w:t xml:space="preserve">  喷涂或涂刷应均匀一致，并应及时进行卷材防水层及接缝密封防水施工。</w:t>
      </w:r>
    </w:p>
    <w:p>
      <w:pPr>
        <w:spacing w:line="360" w:lineRule="auto"/>
        <w:jc w:val="left"/>
        <w:rPr>
          <w:sz w:val="24"/>
          <w:szCs w:val="20"/>
        </w:rPr>
      </w:pPr>
      <w:r>
        <w:rPr>
          <w:b/>
          <w:sz w:val="24"/>
          <w:szCs w:val="20"/>
        </w:rPr>
        <w:t>8.1.7</w:t>
      </w:r>
      <w:r>
        <w:rPr>
          <w:sz w:val="24"/>
          <w:szCs w:val="20"/>
        </w:rPr>
        <w:t xml:space="preserve">  屋面坡度大于25%时，卷材应采取满粘和钉压固定措施，固定点应密封。</w:t>
      </w:r>
    </w:p>
    <w:p>
      <w:pPr>
        <w:pStyle w:val="4"/>
        <w:jc w:val="center"/>
        <w:rPr>
          <w:sz w:val="28"/>
          <w:lang w:bidi="en-US"/>
        </w:rPr>
      </w:pPr>
      <w:bookmarkStart w:id="49" w:name="_Toc87885903"/>
      <w:bookmarkStart w:id="50" w:name="_Toc87885970"/>
      <w:r>
        <w:rPr>
          <w:sz w:val="28"/>
          <w:lang w:bidi="en-US"/>
        </w:rPr>
        <w:t>8.2  屋面防水工程</w:t>
      </w:r>
      <w:bookmarkEnd w:id="49"/>
      <w:bookmarkEnd w:id="50"/>
    </w:p>
    <w:p>
      <w:pPr>
        <w:autoSpaceDE w:val="0"/>
        <w:autoSpaceDN w:val="0"/>
        <w:adjustRightInd w:val="0"/>
        <w:spacing w:line="312" w:lineRule="auto"/>
        <w:jc w:val="left"/>
        <w:rPr>
          <w:rFonts w:eastAsiaTheme="minorEastAsia"/>
          <w:spacing w:val="4"/>
          <w:kern w:val="0"/>
          <w:sz w:val="24"/>
        </w:rPr>
      </w:pPr>
      <w:r>
        <w:rPr>
          <w:b/>
          <w:sz w:val="24"/>
          <w:szCs w:val="20"/>
        </w:rPr>
        <w:t>8.2.1</w:t>
      </w:r>
      <w:r>
        <w:rPr>
          <w:rFonts w:eastAsiaTheme="minorEastAsia"/>
          <w:spacing w:val="4"/>
          <w:kern w:val="0"/>
          <w:sz w:val="24"/>
        </w:rPr>
        <w:t xml:space="preserve">  卷材与涂料复合使用时，防水卷材的粘结质量应符合表8.2.1.2的规定。</w:t>
      </w:r>
    </w:p>
    <w:p>
      <w:pPr>
        <w:spacing w:line="360" w:lineRule="auto"/>
        <w:jc w:val="center"/>
        <w:rPr>
          <w:b/>
          <w:sz w:val="24"/>
          <w:szCs w:val="20"/>
        </w:rPr>
      </w:pPr>
      <w:r>
        <w:rPr>
          <w:b/>
          <w:sz w:val="24"/>
          <w:szCs w:val="20"/>
        </w:rPr>
        <w:t>表8.2.1.2 防水卷材的粘结质量</w:t>
      </w:r>
    </w:p>
    <w:tbl>
      <w:tblPr>
        <w:tblStyle w:val="45"/>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34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项目</w:t>
            </w:r>
          </w:p>
        </w:tc>
        <w:tc>
          <w:tcPr>
            <w:tcW w:w="2340"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自粘聚合物改性沥青防水卷材和带自粘层防水卷材</w:t>
            </w:r>
          </w:p>
        </w:tc>
        <w:tc>
          <w:tcPr>
            <w:tcW w:w="2131"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高聚物改性沥青防水卷材胶粘剂</w:t>
            </w:r>
          </w:p>
        </w:tc>
        <w:tc>
          <w:tcPr>
            <w:tcW w:w="2131"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合成高分子防水卷材胶粘剂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粘结剥离强度（N/10mm）</w:t>
            </w:r>
          </w:p>
        </w:tc>
        <w:tc>
          <w:tcPr>
            <w:tcW w:w="2340"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≥10或卷材断裂</w:t>
            </w:r>
          </w:p>
        </w:tc>
        <w:tc>
          <w:tcPr>
            <w:tcW w:w="2131"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≥8或卷材断裂</w:t>
            </w:r>
          </w:p>
        </w:tc>
        <w:tc>
          <w:tcPr>
            <w:tcW w:w="2131"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≥15或卷材断裂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剪切状态下的粘合强度（N/10mm）</w:t>
            </w:r>
          </w:p>
        </w:tc>
        <w:tc>
          <w:tcPr>
            <w:tcW w:w="2340"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≥20或卷材断裂</w:t>
            </w:r>
          </w:p>
        </w:tc>
        <w:tc>
          <w:tcPr>
            <w:tcW w:w="2131"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≥20或卷材断裂</w:t>
            </w:r>
          </w:p>
        </w:tc>
        <w:tc>
          <w:tcPr>
            <w:tcW w:w="2131" w:type="dxa"/>
            <w:vAlign w:val="center"/>
          </w:tcPr>
          <w:p>
            <w:pPr>
              <w:autoSpaceDE w:val="0"/>
              <w:autoSpaceDN w:val="0"/>
              <w:adjustRightInd w:val="0"/>
              <w:spacing w:line="360" w:lineRule="auto"/>
              <w:jc w:val="center"/>
              <w:rPr>
                <w:rFonts w:eastAsiaTheme="minorEastAsia"/>
                <w:spacing w:val="4"/>
                <w:kern w:val="0"/>
              </w:rPr>
            </w:pPr>
            <w:r>
              <w:rPr>
                <w:rFonts w:eastAsiaTheme="minorEastAsia"/>
                <w:spacing w:val="4"/>
                <w:kern w:val="0"/>
              </w:rPr>
              <w:t>≥20或卷材断裂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vAlign w:val="center"/>
          </w:tcPr>
          <w:p>
            <w:pPr>
              <w:autoSpaceDE w:val="0"/>
              <w:autoSpaceDN w:val="0"/>
              <w:adjustRightInd w:val="0"/>
              <w:jc w:val="center"/>
              <w:rPr>
                <w:rFonts w:eastAsiaTheme="minorEastAsia"/>
                <w:spacing w:val="4"/>
                <w:kern w:val="0"/>
              </w:rPr>
            </w:pPr>
            <w:r>
              <w:rPr>
                <w:rFonts w:eastAsiaTheme="minorEastAsia"/>
                <w:spacing w:val="4"/>
                <w:kern w:val="0"/>
              </w:rPr>
              <w:t>浸水168h后粘结剥离强度保持率（%）</w:t>
            </w:r>
          </w:p>
        </w:tc>
        <w:tc>
          <w:tcPr>
            <w:tcW w:w="2340" w:type="dxa"/>
            <w:vAlign w:val="center"/>
          </w:tcPr>
          <w:p>
            <w:pPr>
              <w:autoSpaceDE w:val="0"/>
              <w:autoSpaceDN w:val="0"/>
              <w:adjustRightInd w:val="0"/>
              <w:jc w:val="center"/>
              <w:rPr>
                <w:rFonts w:eastAsiaTheme="minorEastAsia"/>
                <w:spacing w:val="4"/>
                <w:kern w:val="0"/>
              </w:rPr>
            </w:pPr>
            <w:r>
              <w:rPr>
                <w:rFonts w:eastAsiaTheme="minorEastAsia"/>
                <w:spacing w:val="4"/>
                <w:kern w:val="0"/>
              </w:rPr>
              <w:t>——</w:t>
            </w:r>
          </w:p>
        </w:tc>
        <w:tc>
          <w:tcPr>
            <w:tcW w:w="2131" w:type="dxa"/>
            <w:vAlign w:val="center"/>
          </w:tcPr>
          <w:p>
            <w:pPr>
              <w:autoSpaceDE w:val="0"/>
              <w:autoSpaceDN w:val="0"/>
              <w:adjustRightInd w:val="0"/>
              <w:jc w:val="center"/>
              <w:rPr>
                <w:rFonts w:eastAsiaTheme="minorEastAsia"/>
                <w:spacing w:val="4"/>
                <w:kern w:val="0"/>
              </w:rPr>
            </w:pPr>
            <w:r>
              <w:rPr>
                <w:rFonts w:eastAsiaTheme="minorEastAsia"/>
                <w:spacing w:val="4"/>
                <w:kern w:val="0"/>
              </w:rPr>
              <w:t>——</w:t>
            </w:r>
          </w:p>
        </w:tc>
        <w:tc>
          <w:tcPr>
            <w:tcW w:w="2131" w:type="dxa"/>
            <w:vAlign w:val="center"/>
          </w:tcPr>
          <w:p>
            <w:pPr>
              <w:autoSpaceDE w:val="0"/>
              <w:autoSpaceDN w:val="0"/>
              <w:adjustRightInd w:val="0"/>
              <w:jc w:val="center"/>
              <w:rPr>
                <w:rFonts w:eastAsiaTheme="minorEastAsia"/>
                <w:spacing w:val="4"/>
                <w:kern w:val="0"/>
              </w:rPr>
            </w:pPr>
            <w:r>
              <w:rPr>
                <w:rFonts w:eastAsiaTheme="minorEastAsia"/>
                <w:spacing w:val="4"/>
                <w:kern w:val="0"/>
              </w:rPr>
              <w:t>≥70</w:t>
            </w:r>
          </w:p>
        </w:tc>
      </w:tr>
    </w:tbl>
    <w:p>
      <w:pPr>
        <w:autoSpaceDE w:val="0"/>
        <w:autoSpaceDN w:val="0"/>
        <w:adjustRightInd w:val="0"/>
        <w:spacing w:line="360" w:lineRule="auto"/>
        <w:jc w:val="left"/>
        <w:rPr>
          <w:rFonts w:eastAsiaTheme="minorEastAsia"/>
          <w:spacing w:val="4"/>
          <w:kern w:val="0"/>
        </w:rPr>
      </w:pPr>
      <w:r>
        <w:rPr>
          <w:rFonts w:eastAsiaTheme="minorEastAsia"/>
          <w:spacing w:val="4"/>
          <w:kern w:val="0"/>
        </w:rPr>
        <w:t>注：防水涂料作为防水卷材粘结材料复合使用时，应符合相应的防水卷材胶粘剂规定。</w:t>
      </w:r>
    </w:p>
    <w:p>
      <w:pPr>
        <w:autoSpaceDE w:val="0"/>
        <w:autoSpaceDN w:val="0"/>
        <w:adjustRightInd w:val="0"/>
        <w:spacing w:line="360" w:lineRule="auto"/>
        <w:jc w:val="center"/>
        <w:rPr>
          <w:rFonts w:eastAsiaTheme="minorEastAsia"/>
          <w:spacing w:val="4"/>
          <w:kern w:val="0"/>
          <w:sz w:val="24"/>
        </w:rPr>
      </w:pPr>
      <w:r>
        <w:rPr>
          <w:rFonts w:eastAsiaTheme="minorEastAsia"/>
          <w:spacing w:val="4"/>
          <w:kern w:val="0"/>
          <w:sz w:val="24"/>
        </w:rPr>
        <w:fldChar w:fldCharType="begin"/>
      </w:r>
      <w:r>
        <w:rPr>
          <w:rFonts w:eastAsiaTheme="minorEastAsia"/>
          <w:spacing w:val="4"/>
          <w:kern w:val="0"/>
          <w:sz w:val="24"/>
        </w:rPr>
        <w:instrText xml:space="preserve"> = 1 \* ROMAN </w:instrText>
      </w:r>
      <w:r>
        <w:rPr>
          <w:rFonts w:eastAsiaTheme="minorEastAsia"/>
          <w:spacing w:val="4"/>
          <w:kern w:val="0"/>
          <w:sz w:val="24"/>
        </w:rPr>
        <w:fldChar w:fldCharType="separate"/>
      </w:r>
      <w:r>
        <w:rPr>
          <w:rFonts w:eastAsiaTheme="minorEastAsia"/>
          <w:spacing w:val="4"/>
          <w:kern w:val="0"/>
          <w:sz w:val="24"/>
        </w:rPr>
        <w:t>I</w:t>
      </w:r>
      <w:r>
        <w:rPr>
          <w:rFonts w:eastAsiaTheme="minorEastAsia"/>
          <w:spacing w:val="4"/>
          <w:kern w:val="0"/>
          <w:sz w:val="24"/>
        </w:rPr>
        <w:fldChar w:fldCharType="end"/>
      </w:r>
      <w:r>
        <w:rPr>
          <w:rFonts w:eastAsiaTheme="minorEastAsia"/>
          <w:spacing w:val="4"/>
          <w:kern w:val="0"/>
          <w:sz w:val="24"/>
        </w:rPr>
        <w:t xml:space="preserve">  主控项目</w:t>
      </w:r>
    </w:p>
    <w:p>
      <w:pPr>
        <w:autoSpaceDE w:val="0"/>
        <w:autoSpaceDN w:val="0"/>
        <w:adjustRightInd w:val="0"/>
        <w:spacing w:line="360" w:lineRule="auto"/>
        <w:rPr>
          <w:rFonts w:eastAsiaTheme="minorEastAsia"/>
          <w:spacing w:val="4"/>
          <w:kern w:val="0"/>
          <w:sz w:val="24"/>
        </w:rPr>
      </w:pPr>
      <w:r>
        <w:rPr>
          <w:b/>
          <w:sz w:val="24"/>
          <w:szCs w:val="20"/>
        </w:rPr>
        <w:t>8.2.2</w:t>
      </w:r>
      <w:r>
        <w:rPr>
          <w:sz w:val="24"/>
          <w:szCs w:val="20"/>
        </w:rPr>
        <w:t xml:space="preserve">  </w:t>
      </w:r>
      <w:r>
        <w:rPr>
          <w:rFonts w:eastAsiaTheme="minorEastAsia"/>
          <w:spacing w:val="4"/>
          <w:kern w:val="0"/>
          <w:sz w:val="24"/>
        </w:rPr>
        <w:t>防水层所使用的材料及其主要配套材料的质量应符合设计要求。</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检验方法：检查出厂合格证、质量检验报告及现场抽样复验报告。</w:t>
      </w:r>
    </w:p>
    <w:p>
      <w:pPr>
        <w:autoSpaceDE w:val="0"/>
        <w:autoSpaceDN w:val="0"/>
        <w:adjustRightInd w:val="0"/>
        <w:spacing w:line="360" w:lineRule="auto"/>
        <w:rPr>
          <w:sz w:val="24"/>
          <w:szCs w:val="20"/>
        </w:rPr>
      </w:pPr>
      <w:r>
        <w:rPr>
          <w:b/>
          <w:sz w:val="24"/>
          <w:szCs w:val="20"/>
        </w:rPr>
        <w:t>8.2.3</w:t>
      </w:r>
      <w:r>
        <w:rPr>
          <w:sz w:val="24"/>
          <w:szCs w:val="20"/>
        </w:rPr>
        <w:t xml:space="preserve">  防水层的厚度应符合设计要求。</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检验方法：用针测法或测厚仪检查并检查材料用量表。</w:t>
      </w:r>
    </w:p>
    <w:p>
      <w:pPr>
        <w:autoSpaceDE w:val="0"/>
        <w:autoSpaceDN w:val="0"/>
        <w:adjustRightInd w:val="0"/>
        <w:spacing w:line="360" w:lineRule="auto"/>
        <w:rPr>
          <w:rFonts w:eastAsiaTheme="minorEastAsia"/>
          <w:spacing w:val="4"/>
          <w:kern w:val="0"/>
          <w:sz w:val="24"/>
        </w:rPr>
      </w:pPr>
      <w:r>
        <w:rPr>
          <w:b/>
          <w:sz w:val="24"/>
          <w:szCs w:val="20"/>
        </w:rPr>
        <w:t>8.2.4</w:t>
      </w:r>
      <w:r>
        <w:rPr>
          <w:rFonts w:eastAsiaTheme="minorEastAsia"/>
          <w:spacing w:val="4"/>
          <w:kern w:val="0"/>
          <w:sz w:val="24"/>
        </w:rPr>
        <w:t xml:space="preserve">  防水层在檐口、天沟、檐沟、水落口、泛水、变形缝、女儿墙收头和伸出屋面管道的防水构造，应符合设计要求。</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8.2.5</w:t>
      </w:r>
      <w:r>
        <w:rPr>
          <w:rFonts w:eastAsiaTheme="minorEastAsia"/>
          <w:spacing w:val="4"/>
          <w:kern w:val="0"/>
          <w:sz w:val="24"/>
        </w:rPr>
        <w:t xml:space="preserve">  防水层不得有渗漏和积水现象。</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检验方法：雨后观察或淋水、蓄水检查。</w:t>
      </w:r>
    </w:p>
    <w:p>
      <w:pPr>
        <w:autoSpaceDE w:val="0"/>
        <w:autoSpaceDN w:val="0"/>
        <w:adjustRightInd w:val="0"/>
        <w:spacing w:line="312" w:lineRule="auto"/>
        <w:jc w:val="left"/>
        <w:rPr>
          <w:rFonts w:eastAsiaTheme="minorEastAsia"/>
          <w:spacing w:val="4"/>
          <w:kern w:val="0"/>
          <w:sz w:val="24"/>
        </w:rPr>
      </w:pPr>
      <w:r>
        <w:rPr>
          <w:rFonts w:eastAsiaTheme="minorEastAsia"/>
          <w:b/>
          <w:spacing w:val="4"/>
          <w:kern w:val="0"/>
          <w:sz w:val="24"/>
        </w:rPr>
        <w:t>8.2.6</w:t>
      </w:r>
      <w:r>
        <w:rPr>
          <w:rFonts w:eastAsiaTheme="minorEastAsia"/>
          <w:spacing w:val="4"/>
          <w:kern w:val="0"/>
          <w:sz w:val="24"/>
        </w:rPr>
        <w:t xml:space="preserve">  涂料防水层的平均厚度应符合设计要求，且最小厚度不得小于设计厚度的80%。</w:t>
      </w:r>
    </w:p>
    <w:p>
      <w:pPr>
        <w:autoSpaceDE w:val="0"/>
        <w:autoSpaceDN w:val="0"/>
        <w:adjustRightInd w:val="0"/>
        <w:spacing w:line="312" w:lineRule="auto"/>
        <w:ind w:firstLine="496" w:firstLineChars="200"/>
        <w:jc w:val="left"/>
        <w:rPr>
          <w:rFonts w:eastAsiaTheme="minorEastAsia"/>
          <w:spacing w:val="4"/>
          <w:kern w:val="0"/>
          <w:sz w:val="24"/>
        </w:rPr>
      </w:pPr>
      <w:r>
        <w:rPr>
          <w:rFonts w:eastAsiaTheme="minorEastAsia"/>
          <w:spacing w:val="4"/>
          <w:kern w:val="0"/>
          <w:sz w:val="24"/>
        </w:rPr>
        <w:t>检验方法：针测法或取样量测。</w:t>
      </w:r>
    </w:p>
    <w:p>
      <w:pPr>
        <w:autoSpaceDE w:val="0"/>
        <w:autoSpaceDN w:val="0"/>
        <w:adjustRightInd w:val="0"/>
        <w:spacing w:line="360" w:lineRule="auto"/>
        <w:jc w:val="center"/>
        <w:rPr>
          <w:rFonts w:eastAsiaTheme="minorEastAsia"/>
          <w:spacing w:val="4"/>
          <w:kern w:val="0"/>
          <w:sz w:val="24"/>
        </w:rPr>
      </w:pPr>
      <w:r>
        <w:rPr>
          <w:rFonts w:eastAsiaTheme="minorEastAsia"/>
          <w:spacing w:val="4"/>
          <w:kern w:val="0"/>
          <w:sz w:val="24"/>
        </w:rPr>
        <w:t>II  一般项目</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8.2.7</w:t>
      </w:r>
      <w:r>
        <w:rPr>
          <w:rFonts w:eastAsiaTheme="minorEastAsia"/>
          <w:spacing w:val="4"/>
          <w:kern w:val="0"/>
          <w:sz w:val="24"/>
        </w:rPr>
        <w:t xml:space="preserve">  防水层应形成整体构造并与基层粘结紧密，不得有鼓泡和翘边等现象。</w:t>
      </w:r>
    </w:p>
    <w:p>
      <w:pPr>
        <w:autoSpaceDE w:val="0"/>
        <w:autoSpaceDN w:val="0"/>
        <w:adjustRightInd w:val="0"/>
        <w:spacing w:line="360" w:lineRule="auto"/>
        <w:ind w:firstLine="523" w:firstLineChars="211"/>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ind w:firstLine="523" w:firstLineChars="211"/>
        <w:rPr>
          <w:rFonts w:eastAsiaTheme="minorEastAsia"/>
          <w:spacing w:val="4"/>
          <w:kern w:val="0"/>
          <w:sz w:val="24"/>
        </w:rPr>
      </w:pPr>
      <w:r>
        <w:rPr>
          <w:rFonts w:eastAsiaTheme="minorEastAsia"/>
          <w:spacing w:val="4"/>
          <w:kern w:val="0"/>
          <w:sz w:val="24"/>
        </w:rPr>
        <w:t>复合防水层应形成整体构造，并与基层粘结牢固，表面应平整，不得有空鼓和分层现象。</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8.2.8</w:t>
      </w:r>
      <w:r>
        <w:rPr>
          <w:rFonts w:eastAsiaTheme="minorEastAsia"/>
          <w:spacing w:val="4"/>
          <w:kern w:val="0"/>
          <w:sz w:val="24"/>
        </w:rPr>
        <w:t xml:space="preserve">  涂料附加层或增强层应夹铺或覆盖胎体材料。夹铺时涂料应浸透胎体材料，不得有外露现象。</w:t>
      </w:r>
    </w:p>
    <w:p>
      <w:pPr>
        <w:autoSpaceDE w:val="0"/>
        <w:autoSpaceDN w:val="0"/>
        <w:adjustRightInd w:val="0"/>
        <w:spacing w:line="360" w:lineRule="auto"/>
        <w:ind w:firstLine="523" w:firstLineChars="211"/>
        <w:rPr>
          <w:rFonts w:eastAsiaTheme="minorEastAsia"/>
          <w:spacing w:val="4"/>
          <w:kern w:val="0"/>
          <w:sz w:val="24"/>
        </w:rPr>
      </w:pPr>
      <w:r>
        <w:rPr>
          <w:rFonts w:eastAsiaTheme="minorEastAsia"/>
          <w:spacing w:val="4"/>
          <w:kern w:val="0"/>
          <w:sz w:val="24"/>
        </w:rPr>
        <w:t>涂料附加层应夹铺或覆盖无碱玻纤网格布进行增强处理。夹铺时涂料应浸透玻纤布，不得有外露现象。</w:t>
      </w:r>
    </w:p>
    <w:p>
      <w:pPr>
        <w:autoSpaceDE w:val="0"/>
        <w:autoSpaceDN w:val="0"/>
        <w:adjustRightInd w:val="0"/>
        <w:spacing w:line="360" w:lineRule="auto"/>
        <w:ind w:firstLine="520" w:firstLineChars="210"/>
        <w:rPr>
          <w:rFonts w:eastAsiaTheme="minorEastAsia"/>
          <w:spacing w:val="4"/>
          <w:kern w:val="0"/>
          <w:sz w:val="24"/>
        </w:rPr>
      </w:pPr>
      <w:r>
        <w:rPr>
          <w:rFonts w:eastAsiaTheme="minorEastAsia"/>
          <w:spacing w:val="4"/>
          <w:kern w:val="0"/>
          <w:sz w:val="24"/>
        </w:rPr>
        <w:t>检验方法：观察检查和检查隐蔽工程验收记录。</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8.2.9</w:t>
      </w:r>
      <w:r>
        <w:rPr>
          <w:rFonts w:eastAsiaTheme="minorEastAsia"/>
          <w:spacing w:val="4"/>
          <w:kern w:val="0"/>
          <w:sz w:val="24"/>
        </w:rPr>
        <w:t xml:space="preserve">  复合防水层中面层卷材的搭接缝应粘结牢固，封闭严密，不得有翘边现象。</w:t>
      </w:r>
    </w:p>
    <w:p>
      <w:pPr>
        <w:autoSpaceDE w:val="0"/>
        <w:autoSpaceDN w:val="0"/>
        <w:adjustRightInd w:val="0"/>
        <w:spacing w:line="360" w:lineRule="auto"/>
        <w:ind w:firstLine="523" w:firstLineChars="211"/>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8.2.10</w:t>
      </w:r>
      <w:r>
        <w:rPr>
          <w:rFonts w:eastAsiaTheme="minorEastAsia"/>
          <w:spacing w:val="4"/>
          <w:kern w:val="0"/>
          <w:sz w:val="24"/>
        </w:rPr>
        <w:t xml:space="preserve">  复合防水层中面层卷材的铺设方向应正确，卷材搭接宽度的允许偏差为-10mm。</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检验方法：观察和尺量检查。</w:t>
      </w:r>
    </w:p>
    <w:p>
      <w:pPr>
        <w:autoSpaceDE w:val="0"/>
        <w:autoSpaceDN w:val="0"/>
        <w:adjustRightInd w:val="0"/>
        <w:spacing w:line="312" w:lineRule="auto"/>
        <w:jc w:val="left"/>
        <w:rPr>
          <w:rFonts w:eastAsiaTheme="minorEastAsia"/>
          <w:spacing w:val="4"/>
          <w:kern w:val="0"/>
          <w:sz w:val="24"/>
        </w:rPr>
      </w:pPr>
      <w:r>
        <w:rPr>
          <w:rFonts w:eastAsiaTheme="minorEastAsia"/>
          <w:b/>
          <w:spacing w:val="4"/>
          <w:kern w:val="0"/>
          <w:sz w:val="24"/>
        </w:rPr>
        <w:t>8.2.11</w:t>
      </w:r>
      <w:r>
        <w:rPr>
          <w:rFonts w:eastAsiaTheme="minorEastAsia"/>
          <w:spacing w:val="4"/>
          <w:kern w:val="0"/>
          <w:sz w:val="24"/>
        </w:rPr>
        <w:t xml:space="preserve">  卷材防水层的收头应与基层粘结，钉压应牢固，密封应严密。</w:t>
      </w:r>
    </w:p>
    <w:p>
      <w:pPr>
        <w:autoSpaceDE w:val="0"/>
        <w:autoSpaceDN w:val="0"/>
        <w:adjustRightInd w:val="0"/>
        <w:spacing w:line="312" w:lineRule="auto"/>
        <w:ind w:firstLine="496" w:firstLineChars="200"/>
        <w:jc w:val="left"/>
        <w:rPr>
          <w:rFonts w:eastAsiaTheme="minorEastAsia"/>
          <w:spacing w:val="4"/>
          <w:kern w:val="0"/>
          <w:sz w:val="24"/>
        </w:rPr>
      </w:pPr>
      <w:r>
        <w:rPr>
          <w:rFonts w:eastAsiaTheme="minorEastAsia"/>
          <w:spacing w:val="4"/>
          <w:kern w:val="0"/>
          <w:sz w:val="24"/>
        </w:rPr>
        <w:t>检验方法：观察检查。</w:t>
      </w:r>
    </w:p>
    <w:p>
      <w:pPr>
        <w:pStyle w:val="4"/>
        <w:jc w:val="center"/>
        <w:rPr>
          <w:sz w:val="28"/>
          <w:lang w:bidi="en-US"/>
        </w:rPr>
      </w:pPr>
      <w:bookmarkStart w:id="51" w:name="_Toc87885904"/>
      <w:bookmarkStart w:id="52" w:name="_Toc87885971"/>
      <w:r>
        <w:rPr>
          <w:sz w:val="28"/>
          <w:lang w:bidi="en-US"/>
        </w:rPr>
        <w:t>8.3  地下防水工程</w:t>
      </w:r>
      <w:bookmarkEnd w:id="51"/>
      <w:bookmarkEnd w:id="52"/>
    </w:p>
    <w:p>
      <w:pPr>
        <w:autoSpaceDE w:val="0"/>
        <w:autoSpaceDN w:val="0"/>
        <w:adjustRightInd w:val="0"/>
        <w:spacing w:line="360" w:lineRule="auto"/>
        <w:jc w:val="left"/>
        <w:rPr>
          <w:rFonts w:eastAsiaTheme="minorEastAsia"/>
          <w:spacing w:val="4"/>
          <w:kern w:val="0"/>
          <w:sz w:val="24"/>
        </w:rPr>
      </w:pPr>
      <w:r>
        <w:rPr>
          <w:rFonts w:eastAsiaTheme="minorEastAsia"/>
          <w:b/>
          <w:spacing w:val="4"/>
          <w:kern w:val="0"/>
          <w:sz w:val="24"/>
        </w:rPr>
        <w:t>8.3.1</w:t>
      </w:r>
      <w:r>
        <w:rPr>
          <w:rFonts w:eastAsiaTheme="minorEastAsia"/>
          <w:spacing w:val="4"/>
          <w:kern w:val="0"/>
          <w:sz w:val="24"/>
        </w:rPr>
        <w:t xml:space="preserve">  复合防水层设置在主体结构的迎水面。</w:t>
      </w:r>
    </w:p>
    <w:p>
      <w:pPr>
        <w:autoSpaceDE w:val="0"/>
        <w:autoSpaceDN w:val="0"/>
        <w:adjustRightInd w:val="0"/>
        <w:spacing w:line="360" w:lineRule="auto"/>
        <w:jc w:val="left"/>
        <w:rPr>
          <w:rFonts w:eastAsiaTheme="minorEastAsia"/>
          <w:spacing w:val="4"/>
          <w:kern w:val="0"/>
          <w:sz w:val="24"/>
        </w:rPr>
      </w:pPr>
      <w:r>
        <w:rPr>
          <w:rFonts w:eastAsiaTheme="minorEastAsia"/>
          <w:b/>
          <w:spacing w:val="4"/>
          <w:kern w:val="0"/>
          <w:sz w:val="24"/>
        </w:rPr>
        <w:t xml:space="preserve">8.3.2 </w:t>
      </w:r>
      <w:r>
        <w:rPr>
          <w:rFonts w:eastAsiaTheme="minorEastAsia"/>
          <w:spacing w:val="4"/>
          <w:kern w:val="0"/>
          <w:sz w:val="24"/>
        </w:rPr>
        <w:t xml:space="preserve"> 防水涂料层的施工应符合下列规定：  </w:t>
      </w:r>
    </w:p>
    <w:p>
      <w:pPr>
        <w:spacing w:line="360" w:lineRule="auto"/>
        <w:ind w:firstLine="482" w:firstLineChars="200"/>
        <w:jc w:val="left"/>
        <w:rPr>
          <w:sz w:val="24"/>
          <w:szCs w:val="20"/>
        </w:rPr>
      </w:pPr>
      <w:r>
        <w:rPr>
          <w:b/>
          <w:sz w:val="24"/>
          <w:szCs w:val="20"/>
        </w:rPr>
        <w:t>1</w:t>
      </w:r>
      <w:r>
        <w:rPr>
          <w:sz w:val="24"/>
          <w:szCs w:val="20"/>
        </w:rPr>
        <w:t xml:space="preserve">  涂料应分层涂刷或喷涂，涂层应均匀；（不存在分层涂刷）</w:t>
      </w:r>
    </w:p>
    <w:p>
      <w:pPr>
        <w:spacing w:line="360" w:lineRule="auto"/>
        <w:ind w:firstLine="482" w:firstLineChars="200"/>
        <w:jc w:val="left"/>
        <w:rPr>
          <w:sz w:val="24"/>
          <w:szCs w:val="20"/>
        </w:rPr>
      </w:pPr>
      <w:r>
        <w:rPr>
          <w:b/>
          <w:sz w:val="24"/>
          <w:szCs w:val="20"/>
        </w:rPr>
        <w:t>2</w:t>
      </w:r>
      <w:r>
        <w:rPr>
          <w:sz w:val="24"/>
          <w:szCs w:val="20"/>
        </w:rPr>
        <w:t xml:space="preserve">  涂料防水层施工应一次做完，不得甩槎；（应该是存在甩槎）</w:t>
      </w:r>
    </w:p>
    <w:p>
      <w:pPr>
        <w:spacing w:line="360" w:lineRule="auto"/>
        <w:ind w:firstLine="482" w:firstLineChars="200"/>
        <w:jc w:val="left"/>
        <w:rPr>
          <w:sz w:val="24"/>
          <w:szCs w:val="20"/>
        </w:rPr>
      </w:pPr>
      <w:r>
        <w:rPr>
          <w:b/>
          <w:sz w:val="24"/>
          <w:szCs w:val="20"/>
        </w:rPr>
        <w:t>3</w:t>
      </w:r>
      <w:r>
        <w:rPr>
          <w:sz w:val="24"/>
          <w:szCs w:val="20"/>
        </w:rPr>
        <w:t xml:space="preserve">  在基层阴阳角处应做成圆弧；在转角处、变形缝、施工缝、穿墙管等部位应增加胎体增强材料和增涂防水涂料，宽度不应小于500mm；增加到施工那章</w:t>
      </w:r>
    </w:p>
    <w:p>
      <w:pPr>
        <w:spacing w:line="360" w:lineRule="auto"/>
        <w:ind w:firstLine="482" w:firstLineChars="200"/>
        <w:jc w:val="left"/>
        <w:rPr>
          <w:sz w:val="24"/>
          <w:szCs w:val="20"/>
        </w:rPr>
      </w:pPr>
      <w:r>
        <w:rPr>
          <w:b/>
          <w:sz w:val="24"/>
          <w:szCs w:val="20"/>
        </w:rPr>
        <w:t>4</w:t>
      </w:r>
      <w:r>
        <w:rPr>
          <w:sz w:val="24"/>
          <w:szCs w:val="20"/>
        </w:rPr>
        <w:t xml:space="preserve">  胎体增强材料的搭接宽度不应小于100mm。上下两层和相邻两幅胎体的接缝应错开1/3幅宽，且上下两层胎体不得相互垂直铺贴。</w:t>
      </w:r>
    </w:p>
    <w:p>
      <w:pPr>
        <w:autoSpaceDE w:val="0"/>
        <w:autoSpaceDN w:val="0"/>
        <w:adjustRightInd w:val="0"/>
        <w:spacing w:line="360" w:lineRule="auto"/>
        <w:jc w:val="center"/>
        <w:rPr>
          <w:rFonts w:eastAsiaTheme="minorEastAsia"/>
          <w:spacing w:val="4"/>
          <w:kern w:val="0"/>
          <w:sz w:val="24"/>
        </w:rPr>
      </w:pPr>
      <w:r>
        <w:rPr>
          <w:rFonts w:eastAsiaTheme="minorEastAsia"/>
          <w:spacing w:val="4"/>
          <w:kern w:val="0"/>
          <w:sz w:val="24"/>
        </w:rPr>
        <w:fldChar w:fldCharType="begin"/>
      </w:r>
      <w:r>
        <w:rPr>
          <w:rFonts w:eastAsiaTheme="minorEastAsia"/>
          <w:spacing w:val="4"/>
          <w:kern w:val="0"/>
          <w:sz w:val="24"/>
        </w:rPr>
        <w:instrText xml:space="preserve"> = 1 \* ROMAN </w:instrText>
      </w:r>
      <w:r>
        <w:rPr>
          <w:rFonts w:eastAsiaTheme="minorEastAsia"/>
          <w:spacing w:val="4"/>
          <w:kern w:val="0"/>
          <w:sz w:val="24"/>
        </w:rPr>
        <w:fldChar w:fldCharType="separate"/>
      </w:r>
      <w:r>
        <w:rPr>
          <w:rFonts w:eastAsiaTheme="minorEastAsia"/>
          <w:spacing w:val="4"/>
          <w:kern w:val="0"/>
          <w:sz w:val="24"/>
        </w:rPr>
        <w:t>I</w:t>
      </w:r>
      <w:r>
        <w:rPr>
          <w:rFonts w:eastAsiaTheme="minorEastAsia"/>
          <w:spacing w:val="4"/>
          <w:kern w:val="0"/>
          <w:sz w:val="24"/>
        </w:rPr>
        <w:fldChar w:fldCharType="end"/>
      </w:r>
      <w:r>
        <w:rPr>
          <w:rFonts w:eastAsiaTheme="minorEastAsia"/>
          <w:spacing w:val="4"/>
          <w:kern w:val="0"/>
          <w:sz w:val="24"/>
        </w:rPr>
        <w:t xml:space="preserve">  主控项目</w:t>
      </w:r>
    </w:p>
    <w:p>
      <w:pPr>
        <w:autoSpaceDE w:val="0"/>
        <w:autoSpaceDN w:val="0"/>
        <w:adjustRightInd w:val="0"/>
        <w:spacing w:line="360" w:lineRule="auto"/>
        <w:jc w:val="left"/>
        <w:rPr>
          <w:rFonts w:eastAsiaTheme="minorEastAsia"/>
          <w:spacing w:val="4"/>
          <w:kern w:val="0"/>
          <w:sz w:val="24"/>
        </w:rPr>
      </w:pPr>
      <w:r>
        <w:rPr>
          <w:rFonts w:eastAsiaTheme="minorEastAsia"/>
          <w:b/>
          <w:spacing w:val="4"/>
          <w:kern w:val="0"/>
          <w:sz w:val="24"/>
        </w:rPr>
        <w:t>8.3.1</w:t>
      </w:r>
      <w:r>
        <w:rPr>
          <w:rFonts w:eastAsiaTheme="minorEastAsia"/>
          <w:spacing w:val="4"/>
          <w:kern w:val="0"/>
          <w:sz w:val="24"/>
        </w:rPr>
        <w:t xml:space="preserve">  复合防水层所使用的材料及其主要配套材料的质量应符合设计要求。</w:t>
      </w:r>
    </w:p>
    <w:p>
      <w:pPr>
        <w:autoSpaceDE w:val="0"/>
        <w:autoSpaceDN w:val="0"/>
        <w:adjustRightInd w:val="0"/>
        <w:spacing w:line="360" w:lineRule="auto"/>
        <w:ind w:firstLine="496" w:firstLineChars="200"/>
        <w:jc w:val="left"/>
        <w:rPr>
          <w:rFonts w:eastAsiaTheme="minorEastAsia"/>
          <w:spacing w:val="4"/>
          <w:kern w:val="0"/>
          <w:sz w:val="24"/>
        </w:rPr>
      </w:pPr>
      <w:r>
        <w:rPr>
          <w:rFonts w:eastAsiaTheme="minorEastAsia"/>
          <w:spacing w:val="4"/>
          <w:kern w:val="0"/>
          <w:sz w:val="24"/>
        </w:rPr>
        <w:t>检验方法：检查出厂合格证、质量检验报告和进场材料复验报告。</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8.3.2</w:t>
      </w:r>
      <w:r>
        <w:rPr>
          <w:rFonts w:eastAsiaTheme="minorEastAsia"/>
          <w:spacing w:val="4"/>
          <w:kern w:val="0"/>
          <w:sz w:val="24"/>
        </w:rPr>
        <w:t xml:space="preserve">  复合防水层在转角处、变形缝、施工缝、后浇带、穿墙管等部位的构造做法应符合设计要求。</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检验方法：观察检查和检查隐蔽工程验收记录。</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8.3.3</w:t>
      </w:r>
      <w:r>
        <w:rPr>
          <w:rFonts w:eastAsiaTheme="minorEastAsia"/>
          <w:spacing w:val="4"/>
          <w:kern w:val="0"/>
          <w:sz w:val="24"/>
        </w:rPr>
        <w:t xml:space="preserve">  复合防水层的总厚度应符合设计要求。</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检验方法：用针测法检查并检查材料用量表。</w:t>
      </w:r>
    </w:p>
    <w:p>
      <w:pPr>
        <w:autoSpaceDE w:val="0"/>
        <w:autoSpaceDN w:val="0"/>
        <w:adjustRightInd w:val="0"/>
        <w:spacing w:line="360" w:lineRule="auto"/>
        <w:jc w:val="left"/>
        <w:rPr>
          <w:rFonts w:eastAsiaTheme="minorEastAsia"/>
          <w:spacing w:val="4"/>
          <w:kern w:val="0"/>
          <w:sz w:val="24"/>
        </w:rPr>
      </w:pPr>
      <w:r>
        <w:rPr>
          <w:rFonts w:eastAsiaTheme="minorEastAsia"/>
          <w:b/>
          <w:spacing w:val="4"/>
          <w:kern w:val="0"/>
          <w:sz w:val="24"/>
        </w:rPr>
        <w:t>8.3.4</w:t>
      </w:r>
      <w:r>
        <w:rPr>
          <w:rFonts w:eastAsiaTheme="minorEastAsia"/>
          <w:spacing w:val="4"/>
          <w:kern w:val="0"/>
          <w:sz w:val="24"/>
        </w:rPr>
        <w:t xml:space="preserve">  涂料防水层的平均厚度应符合设计要求，最小厚度不得小于设计厚度的90%。</w:t>
      </w:r>
    </w:p>
    <w:p>
      <w:pPr>
        <w:autoSpaceDE w:val="0"/>
        <w:autoSpaceDN w:val="0"/>
        <w:adjustRightInd w:val="0"/>
        <w:spacing w:line="360" w:lineRule="auto"/>
        <w:ind w:firstLine="496" w:firstLineChars="200"/>
        <w:jc w:val="left"/>
        <w:rPr>
          <w:rFonts w:eastAsiaTheme="minorEastAsia"/>
          <w:spacing w:val="4"/>
          <w:kern w:val="0"/>
          <w:sz w:val="24"/>
        </w:rPr>
      </w:pPr>
      <w:r>
        <w:rPr>
          <w:rFonts w:eastAsiaTheme="minorEastAsia"/>
          <w:spacing w:val="4"/>
          <w:kern w:val="0"/>
          <w:sz w:val="24"/>
        </w:rPr>
        <w:t>检验方法：用针测法检查。</w:t>
      </w:r>
    </w:p>
    <w:p>
      <w:pPr>
        <w:autoSpaceDE w:val="0"/>
        <w:autoSpaceDN w:val="0"/>
        <w:adjustRightInd w:val="0"/>
        <w:spacing w:line="360" w:lineRule="auto"/>
        <w:jc w:val="center"/>
        <w:rPr>
          <w:rFonts w:eastAsiaTheme="minorEastAsia"/>
          <w:spacing w:val="4"/>
          <w:kern w:val="0"/>
          <w:sz w:val="24"/>
        </w:rPr>
      </w:pPr>
      <w:r>
        <w:rPr>
          <w:rFonts w:eastAsiaTheme="minorEastAsia"/>
          <w:spacing w:val="4"/>
          <w:kern w:val="0"/>
          <w:sz w:val="24"/>
        </w:rPr>
        <w:fldChar w:fldCharType="begin"/>
      </w:r>
      <w:r>
        <w:rPr>
          <w:rFonts w:eastAsiaTheme="minorEastAsia"/>
          <w:spacing w:val="4"/>
          <w:kern w:val="0"/>
          <w:sz w:val="24"/>
        </w:rPr>
        <w:instrText xml:space="preserve"> = 2 \* ROMAN </w:instrText>
      </w:r>
      <w:r>
        <w:rPr>
          <w:rFonts w:eastAsiaTheme="minorEastAsia"/>
          <w:spacing w:val="4"/>
          <w:kern w:val="0"/>
          <w:sz w:val="24"/>
        </w:rPr>
        <w:fldChar w:fldCharType="separate"/>
      </w:r>
      <w:r>
        <w:rPr>
          <w:rFonts w:eastAsiaTheme="minorEastAsia"/>
          <w:spacing w:val="4"/>
          <w:kern w:val="0"/>
          <w:sz w:val="24"/>
        </w:rPr>
        <w:t>II</w:t>
      </w:r>
      <w:r>
        <w:rPr>
          <w:rFonts w:eastAsiaTheme="minorEastAsia"/>
          <w:spacing w:val="4"/>
          <w:kern w:val="0"/>
          <w:sz w:val="24"/>
        </w:rPr>
        <w:fldChar w:fldCharType="end"/>
      </w:r>
      <w:r>
        <w:rPr>
          <w:rFonts w:eastAsiaTheme="minorEastAsia"/>
          <w:spacing w:val="4"/>
          <w:kern w:val="0"/>
          <w:sz w:val="24"/>
        </w:rPr>
        <w:t xml:space="preserve">  一般项目</w:t>
      </w:r>
    </w:p>
    <w:p>
      <w:pPr>
        <w:autoSpaceDE w:val="0"/>
        <w:autoSpaceDN w:val="0"/>
        <w:adjustRightInd w:val="0"/>
        <w:spacing w:line="360" w:lineRule="auto"/>
        <w:jc w:val="left"/>
        <w:rPr>
          <w:rFonts w:eastAsiaTheme="minorEastAsia"/>
          <w:spacing w:val="4"/>
          <w:kern w:val="0"/>
          <w:sz w:val="24"/>
        </w:rPr>
      </w:pPr>
      <w:r>
        <w:rPr>
          <w:rFonts w:eastAsiaTheme="minorEastAsia"/>
          <w:b/>
          <w:spacing w:val="4"/>
          <w:kern w:val="0"/>
          <w:sz w:val="24"/>
        </w:rPr>
        <w:t>8.3.5</w:t>
      </w:r>
      <w:r>
        <w:rPr>
          <w:rFonts w:eastAsiaTheme="minorEastAsia"/>
          <w:spacing w:val="4"/>
          <w:kern w:val="0"/>
          <w:sz w:val="24"/>
        </w:rPr>
        <w:t xml:space="preserve">  复合防水层应形成整体，并与基层粘结紧密，封闭严实。</w:t>
      </w:r>
    </w:p>
    <w:p>
      <w:pPr>
        <w:autoSpaceDE w:val="0"/>
        <w:autoSpaceDN w:val="0"/>
        <w:adjustRightInd w:val="0"/>
        <w:spacing w:line="360" w:lineRule="auto"/>
        <w:ind w:firstLine="496" w:firstLineChars="200"/>
        <w:jc w:val="left"/>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jc w:val="left"/>
        <w:rPr>
          <w:rFonts w:eastAsiaTheme="minorEastAsia"/>
          <w:spacing w:val="4"/>
          <w:kern w:val="0"/>
          <w:sz w:val="24"/>
        </w:rPr>
      </w:pPr>
      <w:r>
        <w:rPr>
          <w:rFonts w:hint="eastAsia" w:eastAsiaTheme="minorEastAsia"/>
          <w:b/>
          <w:spacing w:val="4"/>
          <w:kern w:val="0"/>
          <w:sz w:val="24"/>
        </w:rPr>
        <w:t>8</w:t>
      </w:r>
      <w:r>
        <w:rPr>
          <w:rFonts w:eastAsiaTheme="minorEastAsia"/>
          <w:b/>
          <w:spacing w:val="4"/>
          <w:kern w:val="0"/>
          <w:sz w:val="24"/>
        </w:rPr>
        <w:t>.3.6</w:t>
      </w:r>
      <w:r>
        <w:rPr>
          <w:rFonts w:eastAsiaTheme="minorEastAsia"/>
          <w:spacing w:val="4"/>
          <w:kern w:val="0"/>
          <w:sz w:val="24"/>
        </w:rPr>
        <w:t xml:space="preserve">  涂料防水层应与基层粘结牢固，涂刷均匀，不得流淌、鼓泡、露槎。</w:t>
      </w:r>
    </w:p>
    <w:p>
      <w:pPr>
        <w:autoSpaceDE w:val="0"/>
        <w:autoSpaceDN w:val="0"/>
        <w:adjustRightInd w:val="0"/>
        <w:spacing w:line="360" w:lineRule="auto"/>
        <w:ind w:firstLine="496" w:firstLineChars="200"/>
        <w:jc w:val="left"/>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8.3.7</w:t>
      </w:r>
      <w:r>
        <w:rPr>
          <w:rFonts w:eastAsiaTheme="minorEastAsia"/>
          <w:spacing w:val="4"/>
          <w:kern w:val="0"/>
          <w:sz w:val="24"/>
        </w:rPr>
        <w:t xml:space="preserve">  复合防水层中面层卷材的搭接缝应粘结牢固，封闭严密，不得有扭曲、褶皱、翘边和起泡现象。</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8.3.8</w:t>
      </w:r>
      <w:r>
        <w:rPr>
          <w:rFonts w:eastAsiaTheme="minorEastAsia"/>
          <w:spacing w:val="4"/>
          <w:kern w:val="0"/>
          <w:sz w:val="24"/>
        </w:rPr>
        <w:t xml:space="preserve">  复合防水层的接槎宽度和构造应符合设计要求。卷材之间搭接宽度的允许偏差为-10mm。</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检验方法：观察和尺量检查。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8.3.9</w:t>
      </w:r>
      <w:r>
        <w:rPr>
          <w:rFonts w:eastAsiaTheme="minorEastAsia"/>
          <w:spacing w:val="4"/>
          <w:kern w:val="0"/>
          <w:sz w:val="24"/>
        </w:rPr>
        <w:t xml:space="preserve">  涂料加强层应夹铺或覆盖胎体材料进行增强处理，胎体材料应浸透涂料，不得有外露现象。</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8.3.10</w:t>
      </w:r>
      <w:r>
        <w:rPr>
          <w:rFonts w:eastAsiaTheme="minorEastAsia"/>
          <w:spacing w:val="4"/>
          <w:kern w:val="0"/>
          <w:sz w:val="24"/>
        </w:rPr>
        <w:t xml:space="preserve">  侧墙复合防水层的保护层与防水层应结合紧密，保护层厚度应符合设计要求。</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检验方法：观察和尺量检查。</w:t>
      </w:r>
    </w:p>
    <w:p>
      <w:pPr>
        <w:pStyle w:val="4"/>
        <w:jc w:val="center"/>
        <w:rPr>
          <w:b w:val="0"/>
          <w:sz w:val="28"/>
          <w:lang w:bidi="en-US"/>
        </w:rPr>
      </w:pPr>
      <w:bookmarkStart w:id="53" w:name="_Toc87885972"/>
      <w:bookmarkStart w:id="54" w:name="_Toc87885905"/>
      <w:r>
        <w:rPr>
          <w:rFonts w:hint="eastAsia"/>
          <w:sz w:val="28"/>
          <w:lang w:bidi="en-US"/>
        </w:rPr>
        <w:t>8</w:t>
      </w:r>
      <w:r>
        <w:rPr>
          <w:sz w:val="28"/>
          <w:lang w:bidi="en-US"/>
        </w:rPr>
        <w:t xml:space="preserve">.4  </w:t>
      </w:r>
      <w:r>
        <w:rPr>
          <w:rFonts w:hint="eastAsia"/>
          <w:b w:val="0"/>
          <w:sz w:val="28"/>
          <w:lang w:bidi="en-US"/>
        </w:rPr>
        <w:t>非固化注浆工程</w:t>
      </w:r>
      <w:bookmarkEnd w:id="53"/>
      <w:bookmarkEnd w:id="54"/>
    </w:p>
    <w:p>
      <w:pPr>
        <w:autoSpaceDE w:val="0"/>
        <w:autoSpaceDN w:val="0"/>
        <w:adjustRightInd w:val="0"/>
        <w:spacing w:line="360" w:lineRule="auto"/>
        <w:jc w:val="center"/>
        <w:rPr>
          <w:rFonts w:eastAsiaTheme="minorEastAsia"/>
          <w:spacing w:val="4"/>
          <w:kern w:val="0"/>
          <w:sz w:val="24"/>
        </w:rPr>
      </w:pPr>
      <w:r>
        <w:rPr>
          <w:rFonts w:eastAsiaTheme="minorEastAsia"/>
          <w:spacing w:val="4"/>
          <w:kern w:val="0"/>
          <w:sz w:val="24"/>
        </w:rPr>
        <w:fldChar w:fldCharType="begin"/>
      </w:r>
      <w:r>
        <w:rPr>
          <w:rFonts w:eastAsiaTheme="minorEastAsia"/>
          <w:spacing w:val="4"/>
          <w:kern w:val="0"/>
          <w:sz w:val="24"/>
        </w:rPr>
        <w:instrText xml:space="preserve"> = 1 \* ROMAN </w:instrText>
      </w:r>
      <w:r>
        <w:rPr>
          <w:rFonts w:eastAsiaTheme="minorEastAsia"/>
          <w:spacing w:val="4"/>
          <w:kern w:val="0"/>
          <w:sz w:val="24"/>
        </w:rPr>
        <w:fldChar w:fldCharType="separate"/>
      </w:r>
      <w:r>
        <w:rPr>
          <w:rFonts w:eastAsiaTheme="minorEastAsia"/>
          <w:spacing w:val="4"/>
          <w:kern w:val="0"/>
          <w:sz w:val="24"/>
        </w:rPr>
        <w:t>I</w:t>
      </w:r>
      <w:r>
        <w:rPr>
          <w:rFonts w:eastAsiaTheme="minorEastAsia"/>
          <w:spacing w:val="4"/>
          <w:kern w:val="0"/>
          <w:sz w:val="24"/>
        </w:rPr>
        <w:fldChar w:fldCharType="end"/>
      </w:r>
      <w:r>
        <w:rPr>
          <w:rFonts w:eastAsiaTheme="minorEastAsia"/>
          <w:spacing w:val="4"/>
          <w:kern w:val="0"/>
          <w:sz w:val="24"/>
        </w:rPr>
        <w:t xml:space="preserve">  主控项目</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8.4.1</w:t>
      </w:r>
      <w:r>
        <w:rPr>
          <w:rFonts w:eastAsiaTheme="minorEastAsia"/>
          <w:spacing w:val="4"/>
          <w:kern w:val="0"/>
          <w:sz w:val="24"/>
        </w:rPr>
        <w:t xml:space="preserve">  </w:t>
      </w:r>
      <w:r>
        <w:rPr>
          <w:rFonts w:hint="eastAsia" w:eastAsiaTheme="minorEastAsia"/>
          <w:spacing w:val="4"/>
          <w:kern w:val="0"/>
          <w:sz w:val="24"/>
        </w:rPr>
        <w:t>材料性能应符合设计要求。</w:t>
      </w:r>
    </w:p>
    <w:p>
      <w:pPr>
        <w:autoSpaceDE w:val="0"/>
        <w:autoSpaceDN w:val="0"/>
        <w:adjustRightInd w:val="0"/>
        <w:spacing w:line="360" w:lineRule="auto"/>
        <w:ind w:firstLine="496" w:firstLineChars="200"/>
        <w:rPr>
          <w:rFonts w:eastAsiaTheme="minorEastAsia"/>
          <w:spacing w:val="4"/>
          <w:kern w:val="0"/>
          <w:sz w:val="24"/>
        </w:rPr>
      </w:pPr>
      <w:r>
        <w:rPr>
          <w:rFonts w:hint="eastAsia" w:eastAsiaTheme="minorEastAsia"/>
          <w:spacing w:val="4"/>
          <w:kern w:val="0"/>
          <w:sz w:val="24"/>
        </w:rPr>
        <w:t>检验方法：检查出厂合格证、质量检测报告等。进场抽检复验的材料还应提交进场抽样复检合格报告。</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8.4.2</w:t>
      </w:r>
      <w:r>
        <w:rPr>
          <w:rFonts w:eastAsiaTheme="minorEastAsia"/>
          <w:spacing w:val="4"/>
          <w:kern w:val="0"/>
          <w:sz w:val="24"/>
        </w:rPr>
        <w:t xml:space="preserve">  </w:t>
      </w:r>
      <w:r>
        <w:rPr>
          <w:rFonts w:hint="eastAsia" w:eastAsiaTheme="minorEastAsia"/>
          <w:spacing w:val="4"/>
          <w:kern w:val="0"/>
          <w:sz w:val="24"/>
        </w:rPr>
        <w:t>浆液配合比应符合设计要求。</w:t>
      </w:r>
    </w:p>
    <w:p>
      <w:pPr>
        <w:autoSpaceDE w:val="0"/>
        <w:autoSpaceDN w:val="0"/>
        <w:adjustRightInd w:val="0"/>
        <w:spacing w:line="360" w:lineRule="auto"/>
        <w:ind w:firstLine="496" w:firstLineChars="200"/>
        <w:rPr>
          <w:rFonts w:eastAsiaTheme="minorEastAsia"/>
          <w:spacing w:val="4"/>
          <w:kern w:val="0"/>
          <w:sz w:val="24"/>
        </w:rPr>
      </w:pPr>
      <w:r>
        <w:rPr>
          <w:rFonts w:hint="eastAsia" w:eastAsiaTheme="minorEastAsia"/>
          <w:spacing w:val="4"/>
          <w:kern w:val="0"/>
          <w:sz w:val="24"/>
        </w:rPr>
        <w:t>检验方法：检查计量措施或试验报告及隐蔽工程验收记录。</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8.4.3</w:t>
      </w:r>
      <w:r>
        <w:rPr>
          <w:rFonts w:eastAsiaTheme="minorEastAsia"/>
          <w:spacing w:val="4"/>
          <w:kern w:val="0"/>
          <w:sz w:val="24"/>
        </w:rPr>
        <w:t xml:space="preserve">  </w:t>
      </w:r>
      <w:r>
        <w:rPr>
          <w:rFonts w:hint="eastAsia" w:eastAsiaTheme="minorEastAsia"/>
          <w:spacing w:val="4"/>
          <w:kern w:val="0"/>
          <w:sz w:val="24"/>
        </w:rPr>
        <w:t>注浆效果应符合设计要求。</w:t>
      </w:r>
    </w:p>
    <w:p>
      <w:pPr>
        <w:autoSpaceDE w:val="0"/>
        <w:autoSpaceDN w:val="0"/>
        <w:adjustRightInd w:val="0"/>
        <w:spacing w:line="360" w:lineRule="auto"/>
        <w:ind w:firstLine="496" w:firstLineChars="200"/>
        <w:rPr>
          <w:rFonts w:eastAsiaTheme="minorEastAsia"/>
          <w:spacing w:val="4"/>
          <w:kern w:val="0"/>
          <w:sz w:val="24"/>
        </w:rPr>
      </w:pPr>
      <w:r>
        <w:rPr>
          <w:rFonts w:hint="eastAsia" w:eastAsiaTheme="minorEastAsia"/>
          <w:spacing w:val="4"/>
          <w:kern w:val="0"/>
          <w:sz w:val="24"/>
        </w:rPr>
        <w:t>检验方法：观察检查或采用钻孔取芯等方法检查。</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8.4.4</w:t>
      </w:r>
      <w:r>
        <w:rPr>
          <w:rFonts w:eastAsiaTheme="minorEastAsia"/>
          <w:spacing w:val="4"/>
          <w:kern w:val="0"/>
          <w:sz w:val="24"/>
        </w:rPr>
        <w:t xml:space="preserve">  </w:t>
      </w:r>
      <w:r>
        <w:rPr>
          <w:rFonts w:hint="eastAsia" w:eastAsiaTheme="minorEastAsia"/>
          <w:spacing w:val="4"/>
          <w:kern w:val="0"/>
          <w:sz w:val="24"/>
        </w:rPr>
        <w:t>渗漏治理效果应符合设计要求。</w:t>
      </w:r>
    </w:p>
    <w:p>
      <w:pPr>
        <w:autoSpaceDE w:val="0"/>
        <w:autoSpaceDN w:val="0"/>
        <w:adjustRightInd w:val="0"/>
        <w:spacing w:line="360" w:lineRule="auto"/>
        <w:ind w:firstLine="496" w:firstLineChars="200"/>
        <w:rPr>
          <w:rFonts w:eastAsiaTheme="minorEastAsia"/>
          <w:spacing w:val="4"/>
          <w:kern w:val="0"/>
          <w:sz w:val="24"/>
        </w:rPr>
      </w:pPr>
      <w:r>
        <w:rPr>
          <w:rFonts w:hint="eastAsia" w:eastAsiaTheme="minorEastAsia"/>
          <w:spacing w:val="4"/>
          <w:kern w:val="0"/>
          <w:sz w:val="24"/>
        </w:rPr>
        <w:t>检验方法：观察检查。</w:t>
      </w:r>
    </w:p>
    <w:p>
      <w:pPr>
        <w:jc w:val="center"/>
        <w:rPr>
          <w:rFonts w:eastAsiaTheme="minorEastAsia"/>
          <w:spacing w:val="4"/>
          <w:kern w:val="0"/>
          <w:sz w:val="24"/>
        </w:rPr>
      </w:pPr>
      <w:r>
        <w:rPr>
          <w:rFonts w:eastAsiaTheme="minorEastAsia"/>
          <w:spacing w:val="4"/>
          <w:kern w:val="0"/>
          <w:sz w:val="24"/>
        </w:rPr>
        <w:fldChar w:fldCharType="begin"/>
      </w:r>
      <w:r>
        <w:rPr>
          <w:rFonts w:eastAsiaTheme="minorEastAsia"/>
          <w:spacing w:val="4"/>
          <w:kern w:val="0"/>
          <w:sz w:val="24"/>
        </w:rPr>
        <w:instrText xml:space="preserve"> = 2 \* ROMAN </w:instrText>
      </w:r>
      <w:r>
        <w:rPr>
          <w:rFonts w:eastAsiaTheme="minorEastAsia"/>
          <w:spacing w:val="4"/>
          <w:kern w:val="0"/>
          <w:sz w:val="24"/>
        </w:rPr>
        <w:fldChar w:fldCharType="separate"/>
      </w:r>
      <w:r>
        <w:rPr>
          <w:rFonts w:eastAsiaTheme="minorEastAsia"/>
          <w:spacing w:val="4"/>
          <w:kern w:val="0"/>
          <w:sz w:val="24"/>
        </w:rPr>
        <w:t>II</w:t>
      </w:r>
      <w:r>
        <w:rPr>
          <w:rFonts w:eastAsiaTheme="minorEastAsia"/>
          <w:spacing w:val="4"/>
          <w:kern w:val="0"/>
          <w:sz w:val="24"/>
        </w:rPr>
        <w:fldChar w:fldCharType="end"/>
      </w:r>
      <w:r>
        <w:rPr>
          <w:rFonts w:eastAsiaTheme="minorEastAsia"/>
          <w:spacing w:val="4"/>
          <w:kern w:val="0"/>
          <w:sz w:val="24"/>
        </w:rPr>
        <w:t xml:space="preserve">  一般项目</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8.4.5</w:t>
      </w:r>
      <w:r>
        <w:rPr>
          <w:rFonts w:eastAsiaTheme="minorEastAsia"/>
          <w:spacing w:val="4"/>
          <w:kern w:val="0"/>
          <w:sz w:val="24"/>
        </w:rPr>
        <w:t xml:space="preserve">  </w:t>
      </w:r>
      <w:r>
        <w:rPr>
          <w:rFonts w:hint="eastAsia" w:eastAsiaTheme="minorEastAsia"/>
          <w:spacing w:val="4"/>
          <w:kern w:val="0"/>
          <w:sz w:val="24"/>
        </w:rPr>
        <w:t>注浆孔的数量、钻孔间距、钻孔深度及角度应符合设计要求。</w:t>
      </w:r>
    </w:p>
    <w:p>
      <w:pPr>
        <w:autoSpaceDE w:val="0"/>
        <w:autoSpaceDN w:val="0"/>
        <w:adjustRightInd w:val="0"/>
        <w:spacing w:line="360" w:lineRule="auto"/>
        <w:ind w:firstLine="496" w:firstLineChars="200"/>
        <w:rPr>
          <w:rFonts w:eastAsiaTheme="minorEastAsia"/>
          <w:spacing w:val="4"/>
          <w:kern w:val="0"/>
          <w:sz w:val="24"/>
        </w:rPr>
      </w:pPr>
      <w:r>
        <w:rPr>
          <w:rFonts w:hint="eastAsia" w:eastAsiaTheme="minorEastAsia"/>
          <w:spacing w:val="4"/>
          <w:kern w:val="0"/>
          <w:sz w:val="24"/>
        </w:rPr>
        <w:t>检验方法：检查隐蔽工程验收记录。</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8.4.6</w:t>
      </w:r>
      <w:r>
        <w:rPr>
          <w:rFonts w:eastAsiaTheme="minorEastAsia"/>
          <w:spacing w:val="4"/>
          <w:kern w:val="0"/>
          <w:sz w:val="24"/>
        </w:rPr>
        <w:t xml:space="preserve">  </w:t>
      </w:r>
      <w:r>
        <w:rPr>
          <w:rFonts w:hint="eastAsia" w:eastAsiaTheme="minorEastAsia"/>
          <w:spacing w:val="4"/>
          <w:kern w:val="0"/>
          <w:sz w:val="24"/>
        </w:rPr>
        <w:t>注浆过程的压力控制和进浆量应符合设计要求。</w:t>
      </w:r>
    </w:p>
    <w:p>
      <w:pPr>
        <w:autoSpaceDE w:val="0"/>
        <w:autoSpaceDN w:val="0"/>
        <w:adjustRightInd w:val="0"/>
        <w:spacing w:line="360" w:lineRule="auto"/>
        <w:ind w:firstLine="496" w:firstLineChars="200"/>
        <w:rPr>
          <w:rFonts w:eastAsiaTheme="minorEastAsia"/>
          <w:spacing w:val="4"/>
          <w:kern w:val="0"/>
          <w:sz w:val="24"/>
        </w:rPr>
      </w:pPr>
      <w:r>
        <w:rPr>
          <w:rFonts w:hint="eastAsia" w:eastAsiaTheme="minorEastAsia"/>
          <w:spacing w:val="4"/>
          <w:kern w:val="0"/>
          <w:sz w:val="24"/>
        </w:rPr>
        <w:t>检验方法：检查施工记录及隐蔽工程验收记录。</w:t>
      </w:r>
    </w:p>
    <w:p/>
    <w:p>
      <w:pPr>
        <w:autoSpaceDE w:val="0"/>
        <w:autoSpaceDN w:val="0"/>
        <w:adjustRightInd w:val="0"/>
        <w:spacing w:line="360" w:lineRule="auto"/>
        <w:jc w:val="center"/>
        <w:rPr>
          <w:bCs/>
          <w:sz w:val="30"/>
          <w:szCs w:val="20"/>
        </w:rPr>
      </w:pPr>
      <w:bookmarkStart w:id="55" w:name="_Toc21701195"/>
      <w:bookmarkStart w:id="56" w:name="_Toc531701399"/>
      <w:bookmarkStart w:id="57" w:name="_Toc22739476"/>
      <w:bookmarkStart w:id="58" w:name="_Toc22739546"/>
      <w:bookmarkStart w:id="59" w:name="_Toc21701458"/>
      <w:bookmarkStart w:id="60" w:name="_Toc21701491"/>
      <w:r>
        <w:rPr>
          <w:bCs/>
          <w:sz w:val="30"/>
          <w:szCs w:val="20"/>
        </w:rPr>
        <w:br w:type="page"/>
      </w:r>
    </w:p>
    <w:p>
      <w:pPr>
        <w:pStyle w:val="2"/>
        <w:tabs>
          <w:tab w:val="left" w:pos="425"/>
        </w:tabs>
        <w:spacing w:before="0" w:after="0" w:line="360" w:lineRule="auto"/>
        <w:jc w:val="center"/>
        <w:rPr>
          <w:bCs w:val="0"/>
          <w:sz w:val="30"/>
          <w:szCs w:val="20"/>
        </w:rPr>
      </w:pPr>
      <w:bookmarkStart w:id="61" w:name="_Toc87885973"/>
      <w:bookmarkStart w:id="62" w:name="_Toc87885906"/>
      <w:r>
        <w:rPr>
          <w:bCs w:val="0"/>
          <w:sz w:val="30"/>
          <w:szCs w:val="20"/>
        </w:rPr>
        <w:t>附录</w:t>
      </w:r>
      <w:r>
        <w:rPr>
          <w:rFonts w:hint="eastAsia"/>
          <w:bCs w:val="0"/>
          <w:sz w:val="30"/>
          <w:szCs w:val="20"/>
        </w:rPr>
        <w:t xml:space="preserve">A </w:t>
      </w:r>
      <w:r>
        <w:rPr>
          <w:bCs w:val="0"/>
          <w:sz w:val="30"/>
          <w:szCs w:val="20"/>
        </w:rPr>
        <w:t xml:space="preserve"> 与卷材复合的立面抗滑移性试验方法</w:t>
      </w:r>
      <w:bookmarkEnd w:id="61"/>
      <w:bookmarkEnd w:id="62"/>
    </w:p>
    <w:p>
      <w:pPr>
        <w:autoSpaceDE w:val="0"/>
        <w:autoSpaceDN w:val="0"/>
        <w:adjustRightInd w:val="0"/>
        <w:spacing w:line="360" w:lineRule="auto"/>
        <w:jc w:val="center"/>
        <w:rPr>
          <w:b/>
          <w:spacing w:val="4"/>
          <w:kern w:val="0"/>
          <w:sz w:val="24"/>
          <w:highlight w:val="yellow"/>
        </w:rPr>
      </w:pPr>
    </w:p>
    <w:p>
      <w:pPr>
        <w:autoSpaceDE w:val="0"/>
        <w:autoSpaceDN w:val="0"/>
        <w:adjustRightInd w:val="0"/>
        <w:spacing w:line="360" w:lineRule="auto"/>
        <w:jc w:val="left"/>
        <w:rPr>
          <w:spacing w:val="4"/>
          <w:kern w:val="0"/>
        </w:rPr>
      </w:pPr>
      <w:r>
        <w:rPr>
          <w:b/>
          <w:spacing w:val="4"/>
          <w:kern w:val="0"/>
        </w:rPr>
        <w:t>A.0.1</w:t>
      </w:r>
      <w:r>
        <w:rPr>
          <w:spacing w:val="4"/>
          <w:kern w:val="0"/>
        </w:rPr>
        <w:t xml:space="preserve">  试件制备：将试样加热至熔融（135-145℃）状态，确保具有一定的流动性。刮涂至400mm×200mm×40mm的混凝土板上，涂覆面积为(110×110)mm， 厚度为(2±0.2)mm，涂覆位置宜在混凝土板一侧，以预留测试空间。取准备好的3mm厚沥青基自粘防水卷材（产品符合GB 23441的II型标准）粘贴在涂层上，卷材尺寸(110×110)mm， 用质量为2Kg的压辊依次来回滚压三次，确保卷材和试样涂层完全粘合。在标准条件下水平放置24h。</w:t>
      </w:r>
    </w:p>
    <w:p>
      <w:pPr>
        <w:autoSpaceDE w:val="0"/>
        <w:autoSpaceDN w:val="0"/>
        <w:adjustRightInd w:val="0"/>
        <w:spacing w:line="360" w:lineRule="auto"/>
        <w:jc w:val="left"/>
        <w:rPr>
          <w:spacing w:val="4"/>
          <w:kern w:val="0"/>
        </w:rPr>
      </w:pPr>
      <w:r>
        <w:rPr>
          <w:b/>
          <w:spacing w:val="4"/>
          <w:kern w:val="0"/>
        </w:rPr>
        <w:t>A.0.2</w:t>
      </w:r>
      <w:r>
        <w:rPr>
          <w:spacing w:val="4"/>
          <w:kern w:val="0"/>
        </w:rPr>
        <w:t xml:space="preserve">  试验步骤：将试件垂直放入已恒温至90±2℃的电热鼓风干燥箱中，试件与干燥箱壁间距离不小于50mm。试件处理1h±5min后取出，观察试件。共试验3个试件。</w:t>
      </w:r>
    </w:p>
    <w:p>
      <w:pPr>
        <w:autoSpaceDE w:val="0"/>
        <w:autoSpaceDN w:val="0"/>
        <w:adjustRightInd w:val="0"/>
        <w:spacing w:line="360" w:lineRule="auto"/>
        <w:jc w:val="left"/>
        <w:rPr>
          <w:spacing w:val="4"/>
          <w:kern w:val="0"/>
        </w:rPr>
      </w:pPr>
      <w:r>
        <w:rPr>
          <w:b/>
          <w:spacing w:val="4"/>
          <w:kern w:val="0"/>
        </w:rPr>
        <w:t>A.0.3</w:t>
      </w:r>
      <w:r>
        <w:rPr>
          <w:spacing w:val="4"/>
          <w:kern w:val="0"/>
        </w:rPr>
        <w:t xml:space="preserve">  试验结果：试验后记录涂料是否流挂、卷材是否滑动，流挂、滑动距离不超过 2mm判定为无流挂、滑移，视为合格。</w:t>
      </w:r>
    </w:p>
    <w:p>
      <w:pPr>
        <w:widowControl/>
        <w:jc w:val="left"/>
        <w:rPr>
          <w:bCs/>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63" w:name="_Toc87885907"/>
      <w:bookmarkStart w:id="64" w:name="_Toc87885974"/>
      <w:r>
        <w:rPr>
          <w:bCs w:val="0"/>
          <w:sz w:val="30"/>
          <w:szCs w:val="20"/>
        </w:rPr>
        <w:t>本规程用词说明</w:t>
      </w:r>
      <w:bookmarkEnd w:id="55"/>
      <w:bookmarkEnd w:id="56"/>
      <w:bookmarkEnd w:id="57"/>
      <w:bookmarkEnd w:id="58"/>
      <w:bookmarkEnd w:id="59"/>
      <w:bookmarkEnd w:id="60"/>
      <w:bookmarkEnd w:id="63"/>
      <w:bookmarkEnd w:id="64"/>
    </w:p>
    <w:p>
      <w:pPr>
        <w:rPr>
          <w:lang w:val="zh-CN"/>
        </w:rPr>
      </w:pP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1</w:t>
      </w:r>
      <w:r>
        <w:rPr>
          <w:rFonts w:hint="eastAsia" w:eastAsiaTheme="minorEastAsia"/>
          <w:b/>
          <w:spacing w:val="4"/>
          <w:kern w:val="0"/>
          <w:sz w:val="24"/>
        </w:rPr>
        <w:t xml:space="preserve"> </w:t>
      </w:r>
      <w:r>
        <w:rPr>
          <w:rFonts w:eastAsiaTheme="minorEastAsia"/>
          <w:b/>
          <w:spacing w:val="4"/>
          <w:kern w:val="0"/>
          <w:sz w:val="24"/>
        </w:rPr>
        <w:t xml:space="preserve"> </w:t>
      </w:r>
      <w:r>
        <w:rPr>
          <w:rFonts w:eastAsiaTheme="minorEastAsia"/>
          <w:spacing w:val="4"/>
          <w:kern w:val="0"/>
          <w:sz w:val="24"/>
        </w:rPr>
        <w:t>为便于在执行本规程条文时区别对待，对要求严格程度不同的用词说明如下：</w:t>
      </w:r>
    </w:p>
    <w:p>
      <w:pPr>
        <w:autoSpaceDE w:val="0"/>
        <w:autoSpaceDN w:val="0"/>
        <w:adjustRightInd w:val="0"/>
        <w:spacing w:line="360" w:lineRule="auto"/>
        <w:ind w:firstLine="498" w:firstLineChars="200"/>
        <w:rPr>
          <w:rFonts w:eastAsiaTheme="minorEastAsia"/>
          <w:spacing w:val="4"/>
          <w:kern w:val="0"/>
          <w:sz w:val="24"/>
        </w:rPr>
      </w:pPr>
      <w:r>
        <w:rPr>
          <w:rFonts w:eastAsiaTheme="minorEastAsia"/>
          <w:b/>
          <w:spacing w:val="4"/>
          <w:kern w:val="0"/>
          <w:sz w:val="24"/>
        </w:rPr>
        <w:t>1）</w:t>
      </w:r>
      <w:r>
        <w:rPr>
          <w:rFonts w:eastAsiaTheme="minorEastAsia"/>
          <w:spacing w:val="4"/>
          <w:kern w:val="0"/>
          <w:sz w:val="24"/>
        </w:rPr>
        <w:t>表示很严格，非这样做不可的用词</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正面词采用“必须”，反面词采用“严禁”。</w:t>
      </w:r>
    </w:p>
    <w:p>
      <w:pPr>
        <w:autoSpaceDE w:val="0"/>
        <w:autoSpaceDN w:val="0"/>
        <w:adjustRightInd w:val="0"/>
        <w:spacing w:line="360" w:lineRule="auto"/>
        <w:ind w:firstLine="498" w:firstLineChars="200"/>
        <w:rPr>
          <w:rFonts w:eastAsiaTheme="minorEastAsia"/>
          <w:spacing w:val="4"/>
          <w:kern w:val="0"/>
          <w:sz w:val="24"/>
        </w:rPr>
      </w:pPr>
      <w:r>
        <w:rPr>
          <w:rFonts w:eastAsiaTheme="minorEastAsia"/>
          <w:b/>
          <w:spacing w:val="4"/>
          <w:kern w:val="0"/>
          <w:sz w:val="24"/>
        </w:rPr>
        <w:t>2）</w:t>
      </w:r>
      <w:r>
        <w:rPr>
          <w:rFonts w:eastAsiaTheme="minorEastAsia"/>
          <w:spacing w:val="4"/>
          <w:kern w:val="0"/>
          <w:sz w:val="24"/>
        </w:rPr>
        <w:t>表示严格，在正常情况下均应这样做的用词：</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正面词采用“应”，反面词采用“不应”或“不得”。</w:t>
      </w:r>
    </w:p>
    <w:p>
      <w:pPr>
        <w:autoSpaceDE w:val="0"/>
        <w:autoSpaceDN w:val="0"/>
        <w:adjustRightInd w:val="0"/>
        <w:spacing w:line="360" w:lineRule="auto"/>
        <w:ind w:firstLine="498" w:firstLineChars="200"/>
        <w:rPr>
          <w:rFonts w:eastAsiaTheme="minorEastAsia"/>
          <w:spacing w:val="4"/>
          <w:kern w:val="0"/>
          <w:sz w:val="24"/>
        </w:rPr>
      </w:pPr>
      <w:r>
        <w:rPr>
          <w:rFonts w:eastAsiaTheme="minorEastAsia"/>
          <w:b/>
          <w:spacing w:val="4"/>
          <w:kern w:val="0"/>
          <w:sz w:val="24"/>
        </w:rPr>
        <w:t>3）</w:t>
      </w:r>
      <w:r>
        <w:rPr>
          <w:rFonts w:eastAsiaTheme="minorEastAsia"/>
          <w:spacing w:val="4"/>
          <w:kern w:val="0"/>
          <w:sz w:val="24"/>
        </w:rPr>
        <w:t>表示允许稍有选择，在条件许可时首先应这样做的用词</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正面词采用“宜”，反面词采用“不宜”。</w:t>
      </w:r>
    </w:p>
    <w:p>
      <w:pPr>
        <w:autoSpaceDE w:val="0"/>
        <w:autoSpaceDN w:val="0"/>
        <w:adjustRightInd w:val="0"/>
        <w:spacing w:line="360" w:lineRule="auto"/>
        <w:ind w:firstLine="496" w:firstLineChars="200"/>
        <w:rPr>
          <w:rFonts w:eastAsiaTheme="minorEastAsia"/>
          <w:spacing w:val="4"/>
          <w:kern w:val="0"/>
          <w:sz w:val="24"/>
        </w:rPr>
      </w:pPr>
      <w:r>
        <w:rPr>
          <w:rFonts w:eastAsiaTheme="minorEastAsia"/>
          <w:spacing w:val="4"/>
          <w:kern w:val="0"/>
          <w:sz w:val="24"/>
        </w:rPr>
        <w:t>表示有选择，在一定条件下可以这样做的用词，采用“可”。</w:t>
      </w:r>
    </w:p>
    <w:p>
      <w:pPr>
        <w:autoSpaceDE w:val="0"/>
        <w:autoSpaceDN w:val="0"/>
        <w:adjustRightInd w:val="0"/>
        <w:spacing w:line="360" w:lineRule="auto"/>
        <w:rPr>
          <w:rFonts w:eastAsiaTheme="minorEastAsia"/>
          <w:spacing w:val="4"/>
          <w:kern w:val="0"/>
          <w:sz w:val="24"/>
        </w:rPr>
      </w:pPr>
      <w:r>
        <w:rPr>
          <w:rFonts w:eastAsiaTheme="minorEastAsia"/>
          <w:b/>
          <w:spacing w:val="4"/>
          <w:kern w:val="0"/>
          <w:sz w:val="24"/>
        </w:rPr>
        <w:t>2</w:t>
      </w:r>
      <w:r>
        <w:rPr>
          <w:rFonts w:hint="eastAsia" w:eastAsiaTheme="minorEastAsia"/>
          <w:b/>
          <w:spacing w:val="4"/>
          <w:kern w:val="0"/>
          <w:sz w:val="24"/>
        </w:rPr>
        <w:t xml:space="preserve"> </w:t>
      </w:r>
      <w:r>
        <w:rPr>
          <w:rFonts w:eastAsiaTheme="minorEastAsia"/>
          <w:b/>
          <w:spacing w:val="4"/>
          <w:kern w:val="0"/>
          <w:sz w:val="24"/>
        </w:rPr>
        <w:t xml:space="preserve"> </w:t>
      </w:r>
      <w:r>
        <w:rPr>
          <w:rFonts w:eastAsiaTheme="minorEastAsia"/>
          <w:spacing w:val="4"/>
          <w:kern w:val="0"/>
          <w:sz w:val="24"/>
        </w:rPr>
        <w:t>本规程中指明应按其他有关规程、规范执行的写法为“应符合-----的规定”或“应按------执行”。</w:t>
      </w:r>
    </w:p>
    <w:p>
      <w:pPr>
        <w:spacing w:line="300" w:lineRule="auto"/>
        <w:ind w:firstLine="480"/>
        <w:rPr>
          <w:b/>
          <w:szCs w:val="21"/>
        </w:rPr>
      </w:pPr>
    </w:p>
    <w:p>
      <w:pPr>
        <w:autoSpaceDE w:val="0"/>
        <w:autoSpaceDN w:val="0"/>
        <w:adjustRightInd w:val="0"/>
        <w:spacing w:line="360" w:lineRule="auto"/>
        <w:ind w:firstLine="496" w:firstLineChars="200"/>
        <w:rPr>
          <w:rFonts w:eastAsiaTheme="minorEastAsia"/>
          <w:spacing w:val="4"/>
          <w:kern w:val="0"/>
          <w:sz w:val="24"/>
        </w:rPr>
      </w:pPr>
      <w:bookmarkStart w:id="65" w:name="_Toc413161578"/>
      <w:bookmarkStart w:id="66" w:name="_Toc512504158"/>
      <w:bookmarkStart w:id="67" w:name="_Toc428436093"/>
      <w:r>
        <w:rPr>
          <w:rFonts w:eastAsiaTheme="minorEastAsia"/>
          <w:spacing w:val="4"/>
          <w:kern w:val="0"/>
          <w:sz w:val="24"/>
        </w:rPr>
        <w:br w:type="page"/>
      </w:r>
      <w:bookmarkStart w:id="68" w:name="_Toc531701400"/>
      <w:bookmarkStart w:id="69" w:name="_Toc22739547"/>
      <w:bookmarkStart w:id="70" w:name="_Toc21701196"/>
      <w:bookmarkStart w:id="71" w:name="_Toc21701459"/>
      <w:bookmarkStart w:id="72" w:name="_Toc21701492"/>
      <w:bookmarkStart w:id="73" w:name="_Toc22739477"/>
    </w:p>
    <w:p>
      <w:pPr>
        <w:autoSpaceDE w:val="0"/>
        <w:autoSpaceDN w:val="0"/>
        <w:adjustRightInd w:val="0"/>
        <w:spacing w:line="360" w:lineRule="auto"/>
        <w:ind w:firstLine="420" w:firstLineChars="200"/>
      </w:pPr>
    </w:p>
    <w:p>
      <w:pPr>
        <w:pStyle w:val="2"/>
        <w:tabs>
          <w:tab w:val="left" w:pos="425"/>
        </w:tabs>
        <w:spacing w:before="0" w:after="0" w:line="360" w:lineRule="auto"/>
        <w:jc w:val="center"/>
      </w:pPr>
      <w:bookmarkStart w:id="74" w:name="_Toc87885975"/>
      <w:bookmarkStart w:id="75" w:name="_Toc87885908"/>
      <w:r>
        <w:rPr>
          <w:bCs w:val="0"/>
          <w:sz w:val="30"/>
          <w:szCs w:val="20"/>
        </w:rPr>
        <w:t>引用规程名录</w:t>
      </w:r>
      <w:bookmarkEnd w:id="65"/>
      <w:bookmarkEnd w:id="66"/>
      <w:bookmarkEnd w:id="67"/>
      <w:bookmarkEnd w:id="68"/>
      <w:bookmarkEnd w:id="69"/>
      <w:bookmarkEnd w:id="70"/>
      <w:bookmarkEnd w:id="71"/>
      <w:bookmarkEnd w:id="72"/>
      <w:bookmarkEnd w:id="73"/>
      <w:bookmarkEnd w:id="74"/>
      <w:bookmarkEnd w:id="75"/>
    </w:p>
    <w:p>
      <w:pPr>
        <w:pStyle w:val="59"/>
        <w:ind w:firstLine="555" w:firstLineChars="0"/>
        <w:rPr>
          <w:rFonts w:ascii="Times New Roman" w:hAnsi="Times New Roman"/>
          <w:color w:val="000000"/>
          <w:szCs w:val="24"/>
        </w:rPr>
      </w:pPr>
      <w:bookmarkStart w:id="76" w:name="1"/>
      <w:bookmarkEnd w:id="76"/>
      <w:r>
        <w:rPr>
          <w:rFonts w:ascii="Times New Roman" w:hAnsi="Times New Roman"/>
          <w:color w:val="000000"/>
          <w:szCs w:val="24"/>
        </w:rPr>
        <w:t>《地下工程防水技术规范》</w:t>
      </w:r>
      <w:r>
        <w:rPr>
          <w:rFonts w:hint="eastAsia" w:ascii="Times New Roman" w:hAnsi="Times New Roman"/>
          <w:color w:val="000000"/>
          <w:szCs w:val="24"/>
        </w:rPr>
        <w:t xml:space="preserve"> </w:t>
      </w:r>
      <w:r>
        <w:rPr>
          <w:rFonts w:ascii="Times New Roman" w:hAnsi="Times New Roman"/>
          <w:color w:val="000000"/>
          <w:szCs w:val="24"/>
        </w:rPr>
        <w:t xml:space="preserve">                          GB 50108</w:t>
      </w:r>
    </w:p>
    <w:p>
      <w:pPr>
        <w:pStyle w:val="59"/>
        <w:ind w:firstLine="555" w:firstLineChars="0"/>
        <w:rPr>
          <w:rFonts w:ascii="Times New Roman" w:hAnsi="Times New Roman"/>
          <w:color w:val="000000"/>
          <w:szCs w:val="24"/>
        </w:rPr>
      </w:pPr>
      <w:r>
        <w:rPr>
          <w:rFonts w:ascii="Times New Roman" w:hAnsi="Times New Roman"/>
          <w:color w:val="000000"/>
          <w:szCs w:val="24"/>
        </w:rPr>
        <w:t>《屋面工程质量验收规范》</w:t>
      </w:r>
      <w:r>
        <w:rPr>
          <w:rFonts w:hint="eastAsia" w:ascii="Times New Roman" w:hAnsi="Times New Roman"/>
          <w:color w:val="000000"/>
          <w:szCs w:val="24"/>
        </w:rPr>
        <w:t xml:space="preserve"> </w:t>
      </w:r>
      <w:r>
        <w:rPr>
          <w:rFonts w:ascii="Times New Roman" w:hAnsi="Times New Roman"/>
          <w:color w:val="000000"/>
          <w:szCs w:val="24"/>
        </w:rPr>
        <w:t xml:space="preserve">                          GB 50207</w:t>
      </w:r>
    </w:p>
    <w:p>
      <w:pPr>
        <w:pStyle w:val="59"/>
        <w:ind w:firstLine="555" w:firstLineChars="0"/>
        <w:rPr>
          <w:rFonts w:ascii="Times New Roman" w:hAnsi="Times New Roman"/>
          <w:color w:val="000000"/>
          <w:szCs w:val="24"/>
        </w:rPr>
      </w:pPr>
      <w:r>
        <w:rPr>
          <w:rFonts w:ascii="Times New Roman" w:hAnsi="Times New Roman"/>
          <w:color w:val="000000"/>
          <w:szCs w:val="24"/>
        </w:rPr>
        <w:t>《地下防水工程质量验收规范》</w:t>
      </w:r>
      <w:r>
        <w:rPr>
          <w:rFonts w:hint="eastAsia" w:ascii="Times New Roman" w:hAnsi="Times New Roman"/>
          <w:color w:val="000000"/>
          <w:szCs w:val="24"/>
        </w:rPr>
        <w:t xml:space="preserve"> </w:t>
      </w:r>
      <w:r>
        <w:rPr>
          <w:rFonts w:ascii="Times New Roman" w:hAnsi="Times New Roman"/>
          <w:color w:val="000000"/>
          <w:szCs w:val="24"/>
        </w:rPr>
        <w:t xml:space="preserve">                      GB 50208</w:t>
      </w:r>
    </w:p>
    <w:p>
      <w:pPr>
        <w:pStyle w:val="59"/>
        <w:ind w:firstLine="555" w:firstLineChars="0"/>
        <w:rPr>
          <w:rFonts w:ascii="Times New Roman" w:hAnsi="Times New Roman"/>
          <w:color w:val="000000"/>
          <w:szCs w:val="24"/>
        </w:rPr>
      </w:pPr>
      <w:r>
        <w:rPr>
          <w:rFonts w:ascii="Times New Roman" w:hAnsi="Times New Roman"/>
          <w:color w:val="000000"/>
          <w:szCs w:val="24"/>
        </w:rPr>
        <w:t>《屋面工程技术规范》</w:t>
      </w:r>
      <w:r>
        <w:rPr>
          <w:rFonts w:hint="eastAsia" w:ascii="Times New Roman" w:hAnsi="Times New Roman"/>
          <w:color w:val="000000"/>
          <w:szCs w:val="24"/>
        </w:rPr>
        <w:t xml:space="preserve"> </w:t>
      </w:r>
      <w:r>
        <w:rPr>
          <w:rFonts w:ascii="Times New Roman" w:hAnsi="Times New Roman"/>
          <w:color w:val="000000"/>
          <w:szCs w:val="24"/>
        </w:rPr>
        <w:t xml:space="preserve">                              GB 50345</w:t>
      </w:r>
    </w:p>
    <w:p>
      <w:pPr>
        <w:pStyle w:val="59"/>
        <w:ind w:firstLine="555" w:firstLineChars="0"/>
        <w:rPr>
          <w:rFonts w:ascii="Times New Roman" w:hAnsi="Times New Roman"/>
          <w:color w:val="000000"/>
          <w:szCs w:val="24"/>
        </w:rPr>
      </w:pPr>
      <w:r>
        <w:rPr>
          <w:rFonts w:ascii="Times New Roman" w:hAnsi="Times New Roman"/>
          <w:color w:val="000000"/>
          <w:szCs w:val="24"/>
        </w:rPr>
        <w:t>《种植屋面工程技术规程》</w:t>
      </w:r>
      <w:r>
        <w:rPr>
          <w:rFonts w:hint="eastAsia" w:ascii="Times New Roman" w:hAnsi="Times New Roman"/>
          <w:color w:val="000000"/>
          <w:szCs w:val="24"/>
        </w:rPr>
        <w:t xml:space="preserve"> </w:t>
      </w:r>
      <w:r>
        <w:rPr>
          <w:rFonts w:ascii="Times New Roman" w:hAnsi="Times New Roman"/>
          <w:color w:val="000000"/>
          <w:szCs w:val="24"/>
        </w:rPr>
        <w:t xml:space="preserve">                            JGJ 155</w:t>
      </w:r>
    </w:p>
    <w:p>
      <w:pPr>
        <w:pStyle w:val="59"/>
        <w:ind w:firstLine="555" w:firstLineChars="0"/>
        <w:rPr>
          <w:rFonts w:ascii="Times New Roman" w:hAnsi="Times New Roman"/>
          <w:color w:val="000000"/>
          <w:szCs w:val="24"/>
        </w:rPr>
      </w:pPr>
      <w:r>
        <w:rPr>
          <w:rFonts w:hint="eastAsia" w:ascii="Times New Roman" w:hAnsi="Times New Roman"/>
          <w:color w:val="000000"/>
          <w:szCs w:val="24"/>
        </w:rPr>
        <w:t xml:space="preserve">《建筑防水卷材试验方法》 </w:t>
      </w:r>
      <w:r>
        <w:rPr>
          <w:rFonts w:ascii="Times New Roman" w:hAnsi="Times New Roman"/>
          <w:color w:val="000000"/>
          <w:szCs w:val="24"/>
        </w:rPr>
        <w:t xml:space="preserve">                     </w:t>
      </w:r>
      <w:r>
        <w:rPr>
          <w:rFonts w:hint="eastAsia" w:ascii="Times New Roman" w:hAnsi="Times New Roman"/>
          <w:color w:val="000000"/>
          <w:szCs w:val="24"/>
        </w:rPr>
        <w:t>GB/T</w:t>
      </w:r>
      <w:r>
        <w:rPr>
          <w:rFonts w:ascii="Times New Roman" w:hAnsi="Times New Roman"/>
          <w:color w:val="000000"/>
          <w:szCs w:val="24"/>
        </w:rPr>
        <w:t xml:space="preserve"> </w:t>
      </w:r>
      <w:r>
        <w:rPr>
          <w:rFonts w:hint="eastAsia" w:ascii="Times New Roman" w:hAnsi="Times New Roman"/>
          <w:color w:val="000000"/>
          <w:szCs w:val="24"/>
        </w:rPr>
        <w:t>328.1～27</w:t>
      </w:r>
    </w:p>
    <w:p>
      <w:pPr>
        <w:pStyle w:val="59"/>
        <w:ind w:firstLine="555" w:firstLineChars="0"/>
        <w:rPr>
          <w:rFonts w:ascii="Times New Roman" w:hAnsi="Times New Roman"/>
          <w:color w:val="000000"/>
          <w:szCs w:val="24"/>
        </w:rPr>
      </w:pPr>
      <w:r>
        <w:rPr>
          <w:rFonts w:ascii="Times New Roman" w:hAnsi="Times New Roman"/>
          <w:color w:val="000000"/>
          <w:szCs w:val="24"/>
        </w:rPr>
        <w:t>《石油产品闪点与燃点测定法（开口杯法）》</w:t>
      </w:r>
      <w:r>
        <w:rPr>
          <w:rFonts w:hint="eastAsia" w:ascii="Times New Roman" w:hAnsi="Times New Roman"/>
          <w:color w:val="000000"/>
          <w:szCs w:val="24"/>
        </w:rPr>
        <w:t xml:space="preserve"> </w:t>
      </w:r>
      <w:r>
        <w:rPr>
          <w:rFonts w:ascii="Times New Roman" w:hAnsi="Times New Roman"/>
          <w:color w:val="000000"/>
          <w:szCs w:val="24"/>
        </w:rPr>
        <w:t xml:space="preserve">            GB/T 267</w:t>
      </w:r>
    </w:p>
    <w:p>
      <w:pPr>
        <w:pStyle w:val="59"/>
        <w:ind w:firstLine="555" w:firstLineChars="0"/>
        <w:rPr>
          <w:rFonts w:ascii="Times New Roman" w:hAnsi="Times New Roman"/>
          <w:color w:val="000000"/>
          <w:szCs w:val="24"/>
        </w:rPr>
      </w:pPr>
      <w:r>
        <w:rPr>
          <w:rFonts w:ascii="Times New Roman" w:hAnsi="Times New Roman"/>
          <w:color w:val="000000"/>
          <w:szCs w:val="24"/>
        </w:rPr>
        <w:t>《沥青延度测定法》</w:t>
      </w:r>
      <w:r>
        <w:rPr>
          <w:rFonts w:hint="eastAsia" w:ascii="Times New Roman" w:hAnsi="Times New Roman"/>
          <w:color w:val="000000"/>
          <w:szCs w:val="24"/>
        </w:rPr>
        <w:t xml:space="preserve"> </w:t>
      </w:r>
      <w:r>
        <w:rPr>
          <w:rFonts w:ascii="Times New Roman" w:hAnsi="Times New Roman"/>
          <w:color w:val="000000"/>
          <w:szCs w:val="24"/>
        </w:rPr>
        <w:t xml:space="preserve">                                GB/T 4508</w:t>
      </w:r>
    </w:p>
    <w:p>
      <w:pPr>
        <w:pStyle w:val="59"/>
        <w:ind w:firstLine="555" w:firstLineChars="0"/>
        <w:rPr>
          <w:rFonts w:ascii="Times New Roman" w:hAnsi="Times New Roman"/>
          <w:color w:val="000000"/>
          <w:szCs w:val="24"/>
        </w:rPr>
      </w:pPr>
      <w:r>
        <w:rPr>
          <w:rFonts w:ascii="Times New Roman" w:hAnsi="Times New Roman"/>
          <w:color w:val="000000"/>
          <w:szCs w:val="24"/>
        </w:rPr>
        <w:t>《建筑防水涂料试验方法》</w:t>
      </w:r>
      <w:r>
        <w:rPr>
          <w:rFonts w:hint="eastAsia" w:ascii="Times New Roman" w:hAnsi="Times New Roman"/>
          <w:color w:val="000000"/>
          <w:szCs w:val="24"/>
        </w:rPr>
        <w:t xml:space="preserve"> </w:t>
      </w:r>
      <w:r>
        <w:rPr>
          <w:rFonts w:ascii="Times New Roman" w:hAnsi="Times New Roman"/>
          <w:color w:val="000000"/>
          <w:szCs w:val="24"/>
        </w:rPr>
        <w:t xml:space="preserve">                          GB/T 16777</w:t>
      </w:r>
    </w:p>
    <w:p>
      <w:pPr>
        <w:pStyle w:val="59"/>
        <w:ind w:firstLine="555" w:firstLineChars="0"/>
        <w:rPr>
          <w:rFonts w:ascii="Times New Roman" w:hAnsi="Times New Roman"/>
          <w:color w:val="000000"/>
          <w:szCs w:val="24"/>
        </w:rPr>
      </w:pPr>
      <w:r>
        <w:rPr>
          <w:rFonts w:ascii="Times New Roman" w:hAnsi="Times New Roman"/>
          <w:color w:val="000000"/>
          <w:szCs w:val="24"/>
        </w:rPr>
        <w:t>《建筑防水涂料有害物质限量》</w:t>
      </w:r>
      <w:r>
        <w:rPr>
          <w:rFonts w:hint="eastAsia" w:ascii="Times New Roman" w:hAnsi="Times New Roman"/>
          <w:color w:val="000000"/>
          <w:szCs w:val="24"/>
        </w:rPr>
        <w:t xml:space="preserve"> </w:t>
      </w:r>
      <w:r>
        <w:rPr>
          <w:rFonts w:ascii="Times New Roman" w:hAnsi="Times New Roman"/>
          <w:color w:val="000000"/>
          <w:szCs w:val="24"/>
        </w:rPr>
        <w:t xml:space="preserve">                          JC 1066</w:t>
      </w:r>
    </w:p>
    <w:p>
      <w:pPr>
        <w:pStyle w:val="59"/>
        <w:ind w:firstLine="555" w:firstLineChars="0"/>
        <w:rPr>
          <w:rFonts w:ascii="Times New Roman" w:hAnsi="Times New Roman"/>
          <w:color w:val="000000"/>
          <w:szCs w:val="24"/>
        </w:rPr>
      </w:pPr>
      <w:r>
        <w:rPr>
          <w:rFonts w:hint="eastAsia" w:ascii="Times New Roman" w:hAnsi="Times New Roman"/>
          <w:color w:val="000000"/>
          <w:szCs w:val="24"/>
        </w:rPr>
        <w:t xml:space="preserve">《非固化橡胶沥青防水涂料》 </w:t>
      </w:r>
      <w:r>
        <w:rPr>
          <w:rFonts w:ascii="Times New Roman" w:hAnsi="Times New Roman"/>
          <w:color w:val="000000"/>
          <w:szCs w:val="24"/>
        </w:rPr>
        <w:t xml:space="preserve">                           </w:t>
      </w:r>
      <w:r>
        <w:rPr>
          <w:rFonts w:hint="eastAsia" w:ascii="Times New Roman" w:hAnsi="Times New Roman"/>
          <w:color w:val="000000"/>
          <w:szCs w:val="24"/>
        </w:rPr>
        <w:t>JC/T 2428</w:t>
      </w:r>
    </w:p>
    <w:p>
      <w:pPr>
        <w:pStyle w:val="59"/>
        <w:ind w:firstLine="555" w:firstLineChars="0"/>
        <w:rPr>
          <w:rFonts w:ascii="Times New Roman" w:hAnsi="Times New Roman"/>
          <w:color w:val="000000"/>
          <w:szCs w:val="24"/>
        </w:rPr>
      </w:pPr>
      <w:r>
        <w:rPr>
          <w:rFonts w:hint="eastAsia" w:ascii="Times New Roman" w:hAnsi="Times New Roman"/>
          <w:color w:val="000000"/>
          <w:szCs w:val="24"/>
        </w:rPr>
        <w:t>《特种</w:t>
      </w:r>
      <w:r>
        <w:rPr>
          <w:rFonts w:ascii="Times New Roman" w:hAnsi="Times New Roman"/>
          <w:color w:val="000000"/>
          <w:szCs w:val="24"/>
        </w:rPr>
        <w:t>非固化橡胶沥青防水涂料</w:t>
      </w:r>
      <w:r>
        <w:rPr>
          <w:rFonts w:hint="eastAsia" w:ascii="Times New Roman" w:hAnsi="Times New Roman"/>
          <w:color w:val="000000"/>
          <w:szCs w:val="24"/>
        </w:rPr>
        <w:t xml:space="preserve">》 </w:t>
      </w:r>
      <w:r>
        <w:rPr>
          <w:rFonts w:ascii="Times New Roman" w:hAnsi="Times New Roman"/>
          <w:color w:val="000000"/>
          <w:szCs w:val="24"/>
        </w:rPr>
        <w:t xml:space="preserve">                      T/CBMF 44</w:t>
      </w:r>
    </w:p>
    <w:p>
      <w:pPr>
        <w:pStyle w:val="59"/>
        <w:ind w:firstLine="555" w:firstLineChars="0"/>
        <w:rPr>
          <w:rFonts w:ascii="Times New Roman" w:hAnsi="Times New Roman"/>
          <w:color w:val="000000"/>
          <w:szCs w:val="24"/>
        </w:rPr>
      </w:pPr>
    </w:p>
    <w:p>
      <w:pPr>
        <w:pStyle w:val="59"/>
        <w:ind w:firstLine="555" w:firstLineChars="0"/>
        <w:rPr>
          <w:rFonts w:eastAsiaTheme="minorEastAsia"/>
          <w:spacing w:val="4"/>
          <w:kern w:val="0"/>
        </w:rPr>
        <w:sectPr>
          <w:footerReference r:id="rId4" w:type="default"/>
          <w:pgSz w:w="11906" w:h="16838"/>
          <w:pgMar w:top="1440" w:right="1800" w:bottom="1440" w:left="1800" w:header="851" w:footer="992" w:gutter="0"/>
          <w:pgNumType w:start="1"/>
          <w:cols w:space="425" w:num="1"/>
          <w:docGrid w:type="lines" w:linePitch="312" w:charSpace="0"/>
        </w:sectPr>
      </w:pPr>
    </w:p>
    <w:p>
      <w:pPr>
        <w:autoSpaceDE w:val="0"/>
        <w:autoSpaceDN w:val="0"/>
        <w:adjustRightInd w:val="0"/>
        <w:ind w:firstLine="2352" w:firstLineChars="840"/>
        <w:rPr>
          <w:b/>
          <w:sz w:val="28"/>
          <w:szCs w:val="28"/>
        </w:rPr>
      </w:pPr>
    </w:p>
    <w:p>
      <w:pPr>
        <w:autoSpaceDE w:val="0"/>
        <w:autoSpaceDN w:val="0"/>
        <w:adjustRightInd w:val="0"/>
        <w:ind w:firstLine="2352" w:firstLineChars="840"/>
        <w:rPr>
          <w:b/>
          <w:sz w:val="28"/>
          <w:szCs w:val="28"/>
        </w:rPr>
      </w:pPr>
    </w:p>
    <w:p>
      <w:pPr>
        <w:autoSpaceDE w:val="0"/>
        <w:autoSpaceDN w:val="0"/>
        <w:adjustRightInd w:val="0"/>
        <w:ind w:firstLine="2352" w:firstLineChars="840"/>
        <w:rPr>
          <w:b/>
          <w:sz w:val="28"/>
          <w:szCs w:val="28"/>
        </w:rPr>
      </w:pPr>
    </w:p>
    <w:p>
      <w:pPr>
        <w:jc w:val="center"/>
        <w:rPr>
          <w:rFonts w:eastAsia="黑体"/>
          <w:sz w:val="28"/>
          <w:szCs w:val="28"/>
        </w:rPr>
      </w:pPr>
      <w:r>
        <w:rPr>
          <w:rFonts w:eastAsia="黑体"/>
          <w:sz w:val="28"/>
          <w:szCs w:val="28"/>
        </w:rPr>
        <w:t>中国工程建设协会标准</w:t>
      </w:r>
    </w:p>
    <w:p>
      <w:pPr>
        <w:jc w:val="center"/>
        <w:rPr>
          <w:rFonts w:eastAsia="黑体"/>
          <w:sz w:val="28"/>
          <w:szCs w:val="28"/>
        </w:rPr>
      </w:pPr>
    </w:p>
    <w:p>
      <w:pPr>
        <w:jc w:val="center"/>
        <w:rPr>
          <w:rFonts w:hint="eastAsia" w:eastAsia="黑体"/>
          <w:sz w:val="28"/>
          <w:szCs w:val="28"/>
          <w:lang w:eastAsia="zh-CN"/>
        </w:rPr>
      </w:pPr>
      <w:r>
        <w:rPr>
          <w:rFonts w:hint="eastAsia" w:eastAsia="黑体"/>
          <w:sz w:val="32"/>
          <w:szCs w:val="32"/>
          <w:lang w:eastAsia="zh-CN"/>
        </w:rPr>
        <w:t>非固化橡胶沥青防水涂料应用技术规程</w:t>
      </w:r>
    </w:p>
    <w:p>
      <w:pPr>
        <w:jc w:val="center"/>
        <w:rPr>
          <w:rFonts w:eastAsia="黑体"/>
          <w:sz w:val="32"/>
          <w:szCs w:val="32"/>
        </w:rPr>
      </w:pPr>
    </w:p>
    <w:p>
      <w:pPr>
        <w:jc w:val="center"/>
        <w:rPr>
          <w:rFonts w:eastAsia="黑体"/>
          <w:sz w:val="24"/>
        </w:rPr>
      </w:pPr>
      <w:r>
        <w:rPr>
          <w:rFonts w:eastAsia="黑体"/>
          <w:sz w:val="24"/>
        </w:rPr>
        <w:t>Technical specification for simultaneous grouting material in</w:t>
      </w:r>
      <w:r>
        <w:rPr>
          <w:szCs w:val="21"/>
        </w:rPr>
        <w:t xml:space="preserve"> s</w:t>
      </w:r>
      <w:r>
        <w:rPr>
          <w:rFonts w:eastAsia="黑体"/>
          <w:sz w:val="24"/>
        </w:rPr>
        <w:t>hield projects</w:t>
      </w:r>
    </w:p>
    <w:p>
      <w:pPr>
        <w:rPr>
          <w:rFonts w:eastAsia="黑体"/>
          <w:szCs w:val="21"/>
        </w:rPr>
      </w:pPr>
    </w:p>
    <w:p>
      <w:pPr>
        <w:jc w:val="center"/>
        <w:rPr>
          <w:rFonts w:eastAsia="黑体"/>
          <w:szCs w:val="21"/>
        </w:rPr>
      </w:pPr>
    </w:p>
    <w:p>
      <w:pPr>
        <w:overflowPunct w:val="0"/>
        <w:autoSpaceDE w:val="0"/>
        <w:autoSpaceDN w:val="0"/>
        <w:adjustRightInd w:val="0"/>
        <w:jc w:val="center"/>
        <w:rPr>
          <w:b/>
          <w:sz w:val="56"/>
        </w:rPr>
      </w:pPr>
      <w:r>
        <w:rPr>
          <w:rFonts w:hint="eastAsia" w:eastAsia="黑体"/>
          <w:sz w:val="36"/>
          <w:szCs w:val="21"/>
        </w:rPr>
        <w:t>条 文 说 明</w:t>
      </w:r>
    </w:p>
    <w:p>
      <w:pPr>
        <w:overflowPunct w:val="0"/>
        <w:autoSpaceDE w:val="0"/>
        <w:autoSpaceDN w:val="0"/>
        <w:adjustRightInd w:val="0"/>
        <w:ind w:firstLine="2788" w:firstLineChars="1328"/>
        <w:rPr>
          <w:b/>
        </w:rPr>
      </w:pPr>
    </w:p>
    <w:p>
      <w:pPr>
        <w:overflowPunct w:val="0"/>
        <w:autoSpaceDE w:val="0"/>
        <w:autoSpaceDN w:val="0"/>
        <w:adjustRightInd w:val="0"/>
        <w:ind w:firstLine="2788" w:firstLineChars="1328"/>
        <w:rPr>
          <w:b/>
        </w:rPr>
      </w:pPr>
    </w:p>
    <w:p>
      <w:pPr>
        <w:overflowPunct w:val="0"/>
        <w:autoSpaceDE w:val="0"/>
        <w:autoSpaceDN w:val="0"/>
        <w:adjustRightInd w:val="0"/>
        <w:ind w:firstLine="2788" w:firstLineChars="1328"/>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pStyle w:val="2"/>
        <w:jc w:val="center"/>
        <w:rPr>
          <w:szCs w:val="32"/>
        </w:rPr>
      </w:pPr>
      <w:bookmarkStart w:id="77" w:name="_Toc21701493"/>
      <w:bookmarkStart w:id="78" w:name="_Toc87885909"/>
      <w:bookmarkStart w:id="79" w:name="_Toc531700055"/>
      <w:bookmarkStart w:id="80" w:name="_Toc22739548"/>
      <w:bookmarkStart w:id="81" w:name="_Toc87885976"/>
      <w:bookmarkStart w:id="82" w:name="_Toc22739478"/>
      <w:bookmarkStart w:id="83" w:name="_Toc531701401"/>
      <w:bookmarkStart w:id="84" w:name="_Toc8306949"/>
      <w:bookmarkStart w:id="85" w:name="_Toc21701197"/>
      <w:bookmarkStart w:id="86" w:name="_Toc8307608"/>
      <w:bookmarkStart w:id="87" w:name="_Toc21701460"/>
      <w:r>
        <w:rPr>
          <w:szCs w:val="32"/>
        </w:rPr>
        <w:t>目  次</w:t>
      </w:r>
      <w:bookmarkEnd w:id="77"/>
      <w:bookmarkEnd w:id="78"/>
      <w:bookmarkEnd w:id="79"/>
      <w:bookmarkEnd w:id="80"/>
      <w:bookmarkEnd w:id="81"/>
      <w:bookmarkEnd w:id="82"/>
      <w:bookmarkEnd w:id="83"/>
      <w:bookmarkEnd w:id="84"/>
      <w:bookmarkEnd w:id="85"/>
      <w:bookmarkEnd w:id="86"/>
      <w:bookmarkEnd w:id="87"/>
    </w:p>
    <w:p>
      <w:pPr>
        <w:pStyle w:val="8"/>
        <w:tabs>
          <w:tab w:val="right" w:leader="dot" w:pos="8296"/>
        </w:tabs>
        <w:rPr>
          <w:rStyle w:val="26"/>
          <w:b/>
          <w:lang w:bidi="en-US"/>
        </w:rPr>
      </w:pPr>
      <w:r>
        <w:rPr>
          <w:szCs w:val="21"/>
        </w:rPr>
        <w:fldChar w:fldCharType="begin"/>
      </w:r>
      <w:r>
        <w:rPr>
          <w:szCs w:val="21"/>
        </w:rPr>
        <w:instrText xml:space="preserve"> TOC \o "1-3" \h \z \u </w:instrText>
      </w:r>
      <w:r>
        <w:rPr>
          <w:szCs w:val="21"/>
        </w:rPr>
        <w:fldChar w:fldCharType="separate"/>
      </w:r>
    </w:p>
    <w:p>
      <w:pPr>
        <w:pStyle w:val="8"/>
        <w:tabs>
          <w:tab w:val="right" w:leader="dot" w:pos="8296"/>
        </w:tabs>
        <w:rPr>
          <w:rStyle w:val="26"/>
          <w:b/>
          <w:lang w:bidi="en-US"/>
        </w:rPr>
      </w:pPr>
    </w:p>
    <w:p>
      <w:pPr>
        <w:pStyle w:val="8"/>
        <w:tabs>
          <w:tab w:val="right" w:leader="dot" w:pos="8296"/>
        </w:tabs>
        <w:spacing w:line="360" w:lineRule="auto"/>
        <w:rPr>
          <w:rStyle w:val="26"/>
          <w:b/>
          <w:lang w:bidi="en-US"/>
        </w:rPr>
      </w:pPr>
      <w:r>
        <w:fldChar w:fldCharType="begin"/>
      </w:r>
      <w:r>
        <w:instrText xml:space="preserve"> HYPERLINK \l "_Toc87885910" </w:instrText>
      </w:r>
      <w:r>
        <w:fldChar w:fldCharType="separate"/>
      </w:r>
      <w:r>
        <w:rPr>
          <w:rStyle w:val="26"/>
          <w:b/>
          <w:lang w:bidi="en-US"/>
        </w:rPr>
        <w:t>1  总  则</w:t>
      </w:r>
      <w:r>
        <w:rPr>
          <w:rStyle w:val="26"/>
          <w:b/>
          <w:lang w:bidi="en-US"/>
        </w:rPr>
        <w:tab/>
      </w:r>
      <w:r>
        <w:rPr>
          <w:rStyle w:val="26"/>
          <w:b/>
          <w:lang w:bidi="en-US"/>
        </w:rPr>
        <w:fldChar w:fldCharType="begin"/>
      </w:r>
      <w:r>
        <w:rPr>
          <w:rStyle w:val="26"/>
          <w:b/>
          <w:lang w:bidi="en-US"/>
        </w:rPr>
        <w:instrText xml:space="preserve"> PAGEREF _Toc87885910 \h </w:instrText>
      </w:r>
      <w:r>
        <w:rPr>
          <w:rStyle w:val="26"/>
          <w:b/>
          <w:lang w:bidi="en-US"/>
        </w:rPr>
        <w:fldChar w:fldCharType="separate"/>
      </w:r>
      <w:r>
        <w:rPr>
          <w:rStyle w:val="26"/>
          <w:b/>
          <w:lang w:bidi="en-US"/>
        </w:rPr>
        <w:t>46</w:t>
      </w:r>
      <w:r>
        <w:rPr>
          <w:rStyle w:val="26"/>
          <w:b/>
          <w:lang w:bidi="en-US"/>
        </w:rPr>
        <w:fldChar w:fldCharType="end"/>
      </w:r>
      <w:r>
        <w:rPr>
          <w:rStyle w:val="26"/>
          <w:b/>
          <w:lang w:bidi="en-US"/>
        </w:rPr>
        <w:fldChar w:fldCharType="end"/>
      </w:r>
    </w:p>
    <w:p>
      <w:pPr>
        <w:pStyle w:val="8"/>
        <w:tabs>
          <w:tab w:val="right" w:leader="dot" w:pos="8296"/>
        </w:tabs>
        <w:spacing w:line="360" w:lineRule="auto"/>
        <w:rPr>
          <w:rStyle w:val="26"/>
          <w:b/>
          <w:lang w:bidi="en-US"/>
        </w:rPr>
      </w:pPr>
      <w:r>
        <w:fldChar w:fldCharType="begin"/>
      </w:r>
      <w:r>
        <w:instrText xml:space="preserve"> HYPERLINK \l "_Toc87885911" </w:instrText>
      </w:r>
      <w:r>
        <w:fldChar w:fldCharType="separate"/>
      </w:r>
      <w:r>
        <w:rPr>
          <w:rStyle w:val="26"/>
          <w:b/>
          <w:lang w:bidi="en-US"/>
        </w:rPr>
        <w:t>2  术  语</w:t>
      </w:r>
      <w:r>
        <w:rPr>
          <w:rStyle w:val="26"/>
          <w:b/>
          <w:lang w:bidi="en-US"/>
        </w:rPr>
        <w:tab/>
      </w:r>
      <w:r>
        <w:rPr>
          <w:rStyle w:val="26"/>
          <w:b/>
          <w:lang w:bidi="en-US"/>
        </w:rPr>
        <w:fldChar w:fldCharType="begin"/>
      </w:r>
      <w:r>
        <w:rPr>
          <w:rStyle w:val="26"/>
          <w:b/>
          <w:lang w:bidi="en-US"/>
        </w:rPr>
        <w:instrText xml:space="preserve"> PAGEREF _Toc87885911 \h </w:instrText>
      </w:r>
      <w:r>
        <w:rPr>
          <w:rStyle w:val="26"/>
          <w:b/>
          <w:lang w:bidi="en-US"/>
        </w:rPr>
        <w:fldChar w:fldCharType="separate"/>
      </w:r>
      <w:r>
        <w:rPr>
          <w:rStyle w:val="26"/>
          <w:b/>
          <w:lang w:bidi="en-US"/>
        </w:rPr>
        <w:t>47</w:t>
      </w:r>
      <w:r>
        <w:rPr>
          <w:rStyle w:val="26"/>
          <w:b/>
          <w:lang w:bidi="en-US"/>
        </w:rPr>
        <w:fldChar w:fldCharType="end"/>
      </w:r>
      <w:r>
        <w:rPr>
          <w:rStyle w:val="26"/>
          <w:b/>
          <w:lang w:bidi="en-US"/>
        </w:rPr>
        <w:fldChar w:fldCharType="end"/>
      </w:r>
    </w:p>
    <w:p>
      <w:pPr>
        <w:pStyle w:val="8"/>
        <w:tabs>
          <w:tab w:val="right" w:leader="dot" w:pos="8296"/>
        </w:tabs>
        <w:spacing w:line="360" w:lineRule="auto"/>
        <w:rPr>
          <w:rStyle w:val="26"/>
          <w:b/>
          <w:lang w:bidi="en-US"/>
        </w:rPr>
      </w:pPr>
      <w:r>
        <w:fldChar w:fldCharType="begin"/>
      </w:r>
      <w:r>
        <w:instrText xml:space="preserve"> HYPERLINK \l "_Toc87885912" </w:instrText>
      </w:r>
      <w:r>
        <w:fldChar w:fldCharType="separate"/>
      </w:r>
      <w:r>
        <w:rPr>
          <w:rStyle w:val="26"/>
          <w:b/>
          <w:lang w:bidi="en-US"/>
        </w:rPr>
        <w:t>3  基 本 规 定</w:t>
      </w:r>
      <w:r>
        <w:rPr>
          <w:rStyle w:val="26"/>
          <w:b/>
          <w:lang w:bidi="en-US"/>
        </w:rPr>
        <w:tab/>
      </w:r>
      <w:r>
        <w:rPr>
          <w:rStyle w:val="26"/>
          <w:b/>
          <w:lang w:bidi="en-US"/>
        </w:rPr>
        <w:fldChar w:fldCharType="begin"/>
      </w:r>
      <w:r>
        <w:rPr>
          <w:rStyle w:val="26"/>
          <w:b/>
          <w:lang w:bidi="en-US"/>
        </w:rPr>
        <w:instrText xml:space="preserve"> PAGEREF _Toc87885912 \h </w:instrText>
      </w:r>
      <w:r>
        <w:rPr>
          <w:rStyle w:val="26"/>
          <w:b/>
          <w:lang w:bidi="en-US"/>
        </w:rPr>
        <w:fldChar w:fldCharType="separate"/>
      </w:r>
      <w:r>
        <w:rPr>
          <w:rStyle w:val="26"/>
          <w:b/>
          <w:lang w:bidi="en-US"/>
        </w:rPr>
        <w:t>48</w:t>
      </w:r>
      <w:r>
        <w:rPr>
          <w:rStyle w:val="26"/>
          <w:b/>
          <w:lang w:bidi="en-US"/>
        </w:rPr>
        <w:fldChar w:fldCharType="end"/>
      </w:r>
      <w:r>
        <w:rPr>
          <w:rStyle w:val="26"/>
          <w:b/>
          <w:lang w:bidi="en-US"/>
        </w:rPr>
        <w:fldChar w:fldCharType="end"/>
      </w:r>
    </w:p>
    <w:p>
      <w:pPr>
        <w:pStyle w:val="8"/>
        <w:tabs>
          <w:tab w:val="right" w:leader="dot" w:pos="8296"/>
        </w:tabs>
        <w:spacing w:line="360" w:lineRule="auto"/>
        <w:rPr>
          <w:rStyle w:val="26"/>
          <w:b/>
          <w:lang w:bidi="en-US"/>
        </w:rPr>
      </w:pPr>
      <w:r>
        <w:fldChar w:fldCharType="begin"/>
      </w:r>
      <w:r>
        <w:instrText xml:space="preserve"> HYPERLINK \l "_Toc87885913" </w:instrText>
      </w:r>
      <w:r>
        <w:fldChar w:fldCharType="separate"/>
      </w:r>
      <w:r>
        <w:rPr>
          <w:rStyle w:val="26"/>
          <w:b/>
          <w:lang w:bidi="en-US"/>
        </w:rPr>
        <w:t>4  材  料</w:t>
      </w:r>
      <w:r>
        <w:rPr>
          <w:rStyle w:val="26"/>
          <w:b/>
          <w:lang w:bidi="en-US"/>
        </w:rPr>
        <w:tab/>
      </w:r>
      <w:r>
        <w:rPr>
          <w:rStyle w:val="26"/>
          <w:b/>
          <w:lang w:bidi="en-US"/>
        </w:rPr>
        <w:fldChar w:fldCharType="begin"/>
      </w:r>
      <w:r>
        <w:rPr>
          <w:rStyle w:val="26"/>
          <w:b/>
          <w:lang w:bidi="en-US"/>
        </w:rPr>
        <w:instrText xml:space="preserve"> PAGEREF _Toc87885913 \h </w:instrText>
      </w:r>
      <w:r>
        <w:rPr>
          <w:rStyle w:val="26"/>
          <w:b/>
          <w:lang w:bidi="en-US"/>
        </w:rPr>
        <w:fldChar w:fldCharType="separate"/>
      </w:r>
      <w:r>
        <w:rPr>
          <w:rStyle w:val="26"/>
          <w:b/>
          <w:lang w:bidi="en-US"/>
        </w:rPr>
        <w:t>49</w:t>
      </w:r>
      <w:r>
        <w:rPr>
          <w:rStyle w:val="26"/>
          <w:b/>
          <w:lang w:bidi="en-US"/>
        </w:rPr>
        <w:fldChar w:fldCharType="end"/>
      </w:r>
      <w:r>
        <w:rPr>
          <w:rStyle w:val="26"/>
          <w:b/>
          <w:lang w:bidi="en-US"/>
        </w:rPr>
        <w:fldChar w:fldCharType="end"/>
      </w:r>
    </w:p>
    <w:p>
      <w:pPr>
        <w:pStyle w:val="8"/>
        <w:tabs>
          <w:tab w:val="right" w:leader="dot" w:pos="8296"/>
        </w:tabs>
        <w:spacing w:line="360" w:lineRule="auto"/>
        <w:rPr>
          <w:rStyle w:val="26"/>
          <w:b/>
          <w:lang w:bidi="en-US"/>
        </w:rPr>
      </w:pPr>
      <w:r>
        <w:fldChar w:fldCharType="begin"/>
      </w:r>
      <w:r>
        <w:instrText xml:space="preserve"> HYPERLINK \l "_Toc87885914" </w:instrText>
      </w:r>
      <w:r>
        <w:fldChar w:fldCharType="separate"/>
      </w:r>
      <w:r>
        <w:rPr>
          <w:rStyle w:val="26"/>
          <w:b/>
          <w:lang w:bidi="en-US"/>
        </w:rPr>
        <w:t>5  设备及机具</w:t>
      </w:r>
      <w:r>
        <w:rPr>
          <w:rStyle w:val="26"/>
          <w:b/>
          <w:lang w:bidi="en-US"/>
        </w:rPr>
        <w:tab/>
      </w:r>
      <w:r>
        <w:rPr>
          <w:rStyle w:val="26"/>
          <w:b/>
          <w:lang w:bidi="en-US"/>
        </w:rPr>
        <w:fldChar w:fldCharType="begin"/>
      </w:r>
      <w:r>
        <w:rPr>
          <w:rStyle w:val="26"/>
          <w:b/>
          <w:lang w:bidi="en-US"/>
        </w:rPr>
        <w:instrText xml:space="preserve"> PAGEREF _Toc87885914 \h </w:instrText>
      </w:r>
      <w:r>
        <w:rPr>
          <w:rStyle w:val="26"/>
          <w:b/>
          <w:lang w:bidi="en-US"/>
        </w:rPr>
        <w:fldChar w:fldCharType="separate"/>
      </w:r>
      <w:r>
        <w:rPr>
          <w:rStyle w:val="26"/>
          <w:b/>
          <w:lang w:bidi="en-US"/>
        </w:rPr>
        <w:t>50</w:t>
      </w:r>
      <w:r>
        <w:rPr>
          <w:rStyle w:val="26"/>
          <w:b/>
          <w:lang w:bidi="en-US"/>
        </w:rPr>
        <w:fldChar w:fldCharType="end"/>
      </w:r>
      <w:r>
        <w:rPr>
          <w:rStyle w:val="26"/>
          <w:b/>
          <w:lang w:bidi="en-US"/>
        </w:rPr>
        <w:fldChar w:fldCharType="end"/>
      </w:r>
    </w:p>
    <w:p>
      <w:pPr>
        <w:pStyle w:val="8"/>
        <w:tabs>
          <w:tab w:val="right" w:leader="dot" w:pos="8296"/>
        </w:tabs>
        <w:spacing w:line="360" w:lineRule="auto"/>
        <w:rPr>
          <w:rStyle w:val="26"/>
          <w:b/>
          <w:lang w:bidi="en-US"/>
        </w:rPr>
      </w:pPr>
      <w:r>
        <w:fldChar w:fldCharType="begin"/>
      </w:r>
      <w:r>
        <w:instrText xml:space="preserve"> HYPERLINK \l "_Toc87885915" </w:instrText>
      </w:r>
      <w:r>
        <w:fldChar w:fldCharType="separate"/>
      </w:r>
      <w:r>
        <w:rPr>
          <w:rStyle w:val="26"/>
          <w:b/>
          <w:lang w:bidi="en-US"/>
        </w:rPr>
        <w:t>6  细 部 构 造</w:t>
      </w:r>
      <w:r>
        <w:rPr>
          <w:rStyle w:val="26"/>
          <w:b/>
          <w:lang w:bidi="en-US"/>
        </w:rPr>
        <w:tab/>
      </w:r>
      <w:r>
        <w:rPr>
          <w:rStyle w:val="26"/>
          <w:b/>
          <w:lang w:bidi="en-US"/>
        </w:rPr>
        <w:fldChar w:fldCharType="begin"/>
      </w:r>
      <w:r>
        <w:rPr>
          <w:rStyle w:val="26"/>
          <w:b/>
          <w:lang w:bidi="en-US"/>
        </w:rPr>
        <w:instrText xml:space="preserve"> PAGEREF _Toc87885915 \h </w:instrText>
      </w:r>
      <w:r>
        <w:rPr>
          <w:rStyle w:val="26"/>
          <w:b/>
          <w:lang w:bidi="en-US"/>
        </w:rPr>
        <w:fldChar w:fldCharType="separate"/>
      </w:r>
      <w:r>
        <w:rPr>
          <w:rStyle w:val="26"/>
          <w:b/>
          <w:lang w:bidi="en-US"/>
        </w:rPr>
        <w:t>51</w:t>
      </w:r>
      <w:r>
        <w:rPr>
          <w:rStyle w:val="26"/>
          <w:b/>
          <w:lang w:bidi="en-US"/>
        </w:rPr>
        <w:fldChar w:fldCharType="end"/>
      </w:r>
      <w:r>
        <w:rPr>
          <w:rStyle w:val="26"/>
          <w:b/>
          <w:lang w:bidi="en-US"/>
        </w:rPr>
        <w:fldChar w:fldCharType="end"/>
      </w:r>
    </w:p>
    <w:p>
      <w:pPr>
        <w:pStyle w:val="8"/>
        <w:tabs>
          <w:tab w:val="right" w:leader="dot" w:pos="8296"/>
        </w:tabs>
        <w:spacing w:line="360" w:lineRule="auto"/>
      </w:pPr>
      <w:r>
        <w:fldChar w:fldCharType="begin"/>
      </w:r>
      <w:r>
        <w:instrText xml:space="preserve"> HYPERLINK \l "_Toc87885916" </w:instrText>
      </w:r>
      <w:r>
        <w:fldChar w:fldCharType="separate"/>
      </w:r>
      <w:r>
        <w:rPr>
          <w:rStyle w:val="26"/>
          <w:b/>
          <w:lang w:bidi="en-US"/>
        </w:rPr>
        <w:t>7  施  工</w:t>
      </w:r>
      <w:r>
        <w:rPr>
          <w:rStyle w:val="26"/>
          <w:b/>
          <w:lang w:bidi="en-US"/>
        </w:rPr>
        <w:tab/>
      </w:r>
      <w:r>
        <w:rPr>
          <w:rStyle w:val="26"/>
          <w:b/>
          <w:lang w:bidi="en-US"/>
        </w:rPr>
        <w:fldChar w:fldCharType="begin"/>
      </w:r>
      <w:r>
        <w:rPr>
          <w:rStyle w:val="26"/>
          <w:b/>
          <w:lang w:bidi="en-US"/>
        </w:rPr>
        <w:instrText xml:space="preserve"> PAGEREF _Toc87885916 \h </w:instrText>
      </w:r>
      <w:r>
        <w:rPr>
          <w:rStyle w:val="26"/>
          <w:b/>
          <w:lang w:bidi="en-US"/>
        </w:rPr>
        <w:fldChar w:fldCharType="separate"/>
      </w:r>
      <w:r>
        <w:rPr>
          <w:rStyle w:val="26"/>
          <w:b/>
          <w:lang w:bidi="en-US"/>
        </w:rPr>
        <w:t>52</w:t>
      </w:r>
      <w:r>
        <w:rPr>
          <w:rStyle w:val="26"/>
          <w:b/>
          <w:lang w:bidi="en-US"/>
        </w:rPr>
        <w:fldChar w:fldCharType="end"/>
      </w:r>
      <w:r>
        <w:rPr>
          <w:rStyle w:val="26"/>
          <w:b/>
          <w:lang w:bidi="en-US"/>
        </w:rPr>
        <w:fldChar w:fldCharType="end"/>
      </w:r>
    </w:p>
    <w:p>
      <w:pPr>
        <w:tabs>
          <w:tab w:val="left" w:pos="709"/>
        </w:tabs>
        <w:adjustRightInd w:val="0"/>
        <w:snapToGrid w:val="0"/>
        <w:spacing w:after="78" w:afterLines="25" w:line="300" w:lineRule="auto"/>
        <w:ind w:left="142" w:firstLine="480"/>
        <w:rPr>
          <w:b/>
        </w:rPr>
      </w:pPr>
      <w:r>
        <w:rPr>
          <w:b/>
          <w:szCs w:val="21"/>
        </w:rPr>
        <w:fldChar w:fldCharType="end"/>
      </w: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pPr>
    </w:p>
    <w:p>
      <w:pPr>
        <w:tabs>
          <w:tab w:val="left" w:pos="709"/>
        </w:tabs>
        <w:adjustRightInd w:val="0"/>
        <w:snapToGrid w:val="0"/>
        <w:spacing w:after="78" w:afterLines="25" w:line="300" w:lineRule="auto"/>
        <w:ind w:left="142" w:firstLine="480"/>
        <w:rPr>
          <w:b/>
        </w:rPr>
        <w:sectPr>
          <w:pgSz w:w="11906" w:h="16838"/>
          <w:pgMar w:top="1440" w:right="1797" w:bottom="1702" w:left="1797" w:header="851" w:footer="992" w:gutter="0"/>
          <w:cols w:space="720" w:num="1"/>
          <w:docGrid w:type="linesAndChars" w:linePitch="312" w:charSpace="0"/>
        </w:sectPr>
      </w:pPr>
    </w:p>
    <w:p>
      <w:pPr>
        <w:pStyle w:val="2"/>
        <w:tabs>
          <w:tab w:val="left" w:pos="425"/>
        </w:tabs>
        <w:spacing w:before="0" w:after="0" w:line="360" w:lineRule="auto"/>
        <w:jc w:val="center"/>
        <w:rPr>
          <w:bCs w:val="0"/>
          <w:sz w:val="30"/>
          <w:szCs w:val="20"/>
        </w:rPr>
      </w:pPr>
      <w:bookmarkStart w:id="88" w:name="_Toc87885910"/>
      <w:bookmarkStart w:id="89" w:name="_Toc87885977"/>
      <w:bookmarkStart w:id="90" w:name="_Toc21701198"/>
      <w:bookmarkStart w:id="91" w:name="_Toc8306950"/>
      <w:bookmarkStart w:id="92" w:name="_Toc21701461"/>
      <w:bookmarkStart w:id="93" w:name="_Toc21701494"/>
      <w:bookmarkStart w:id="94" w:name="_Toc8307609"/>
      <w:bookmarkStart w:id="95" w:name="_Toc531700056"/>
      <w:r>
        <w:rPr>
          <w:bCs w:val="0"/>
          <w:sz w:val="30"/>
          <w:szCs w:val="20"/>
        </w:rPr>
        <w:t>1  总  则</w:t>
      </w:r>
      <w:bookmarkEnd w:id="88"/>
      <w:bookmarkEnd w:id="89"/>
      <w:bookmarkEnd w:id="90"/>
      <w:bookmarkEnd w:id="91"/>
      <w:bookmarkEnd w:id="92"/>
      <w:bookmarkEnd w:id="93"/>
      <w:bookmarkEnd w:id="94"/>
      <w:bookmarkEnd w:id="95"/>
    </w:p>
    <w:p>
      <w:pPr>
        <w:rPr>
          <w:b/>
          <w:color w:val="000000"/>
        </w:rPr>
      </w:pPr>
    </w:p>
    <w:p>
      <w:pPr>
        <w:spacing w:line="360" w:lineRule="auto"/>
        <w:rPr>
          <w:sz w:val="24"/>
          <w:szCs w:val="20"/>
        </w:rPr>
      </w:pPr>
      <w:r>
        <w:rPr>
          <w:rFonts w:hint="eastAsia"/>
          <w:b/>
          <w:sz w:val="24"/>
          <w:szCs w:val="20"/>
        </w:rPr>
        <w:t>1.0.1</w:t>
      </w:r>
      <w:r>
        <w:rPr>
          <w:rFonts w:hint="eastAsia"/>
          <w:sz w:val="24"/>
          <w:szCs w:val="20"/>
        </w:rPr>
        <w:t xml:space="preserve">  阐明本规程的编制目的，将非固化橡胶沥青防水涂料及其复合防水系统的优势应用在适宜的工程环境领域，提高实际应用水平、满足性价比的客观需求、确保防水工程的质量。</w:t>
      </w:r>
    </w:p>
    <w:p>
      <w:pPr>
        <w:spacing w:line="360" w:lineRule="auto"/>
        <w:rPr>
          <w:sz w:val="24"/>
          <w:szCs w:val="20"/>
        </w:rPr>
      </w:pPr>
      <w:r>
        <w:rPr>
          <w:rFonts w:hint="eastAsia"/>
          <w:b/>
          <w:sz w:val="24"/>
          <w:szCs w:val="20"/>
        </w:rPr>
        <w:t>1.0.2</w:t>
      </w:r>
      <w:r>
        <w:rPr>
          <w:rFonts w:hint="eastAsia"/>
          <w:sz w:val="24"/>
          <w:szCs w:val="20"/>
        </w:rPr>
        <w:t xml:space="preserve">  明确了规程的适用范围以及规程的应用组成。</w:t>
      </w:r>
    </w:p>
    <w:p>
      <w:pPr>
        <w:spacing w:line="360" w:lineRule="auto"/>
        <w:rPr>
          <w:sz w:val="24"/>
          <w:szCs w:val="20"/>
        </w:rPr>
      </w:pPr>
      <w:r>
        <w:rPr>
          <w:rFonts w:hint="eastAsia"/>
          <w:b/>
          <w:sz w:val="24"/>
          <w:szCs w:val="20"/>
        </w:rPr>
        <w:t>1.0.3</w:t>
      </w:r>
      <w:r>
        <w:rPr>
          <w:rFonts w:hint="eastAsia"/>
          <w:sz w:val="24"/>
          <w:szCs w:val="20"/>
        </w:rPr>
        <w:t xml:space="preserve">  规定了规程的依据是以现行的国家、行业标准为依据。</w:t>
      </w:r>
    </w:p>
    <w:p>
      <w:pPr>
        <w:spacing w:line="360" w:lineRule="auto"/>
        <w:rPr>
          <w:sz w:val="24"/>
          <w:szCs w:val="20"/>
        </w:rPr>
      </w:pPr>
    </w:p>
    <w:p>
      <w:pPr>
        <w:spacing w:line="360" w:lineRule="auto"/>
        <w:rPr>
          <w:sz w:val="24"/>
          <w:szCs w:val="20"/>
        </w:rPr>
      </w:pPr>
    </w:p>
    <w:p>
      <w:pPr>
        <w:pStyle w:val="2"/>
        <w:tabs>
          <w:tab w:val="left" w:pos="425"/>
        </w:tabs>
        <w:spacing w:before="0" w:after="0" w:line="360" w:lineRule="auto"/>
        <w:jc w:val="center"/>
        <w:rPr>
          <w:bCs w:val="0"/>
          <w:sz w:val="30"/>
          <w:szCs w:val="20"/>
        </w:rPr>
      </w:pPr>
      <w:r>
        <w:rPr>
          <w:b w:val="0"/>
        </w:rPr>
        <w:br w:type="page"/>
      </w:r>
      <w:bookmarkStart w:id="96" w:name="_Toc21701462"/>
      <w:bookmarkStart w:id="97" w:name="_Toc87885911"/>
      <w:bookmarkStart w:id="98" w:name="_Toc8306951"/>
      <w:bookmarkStart w:id="99" w:name="_Toc21701199"/>
      <w:bookmarkStart w:id="100" w:name="_Toc531700057"/>
      <w:bookmarkStart w:id="101" w:name="_Toc8307610"/>
      <w:bookmarkStart w:id="102" w:name="_Toc87885978"/>
      <w:bookmarkStart w:id="103" w:name="_Toc21701495"/>
      <w:r>
        <w:rPr>
          <w:bCs w:val="0"/>
          <w:sz w:val="30"/>
          <w:szCs w:val="20"/>
        </w:rPr>
        <w:t>2  术  语</w:t>
      </w:r>
      <w:bookmarkEnd w:id="96"/>
      <w:bookmarkEnd w:id="97"/>
      <w:bookmarkEnd w:id="98"/>
      <w:bookmarkEnd w:id="99"/>
      <w:bookmarkEnd w:id="100"/>
      <w:bookmarkEnd w:id="101"/>
      <w:bookmarkEnd w:id="102"/>
      <w:bookmarkEnd w:id="103"/>
    </w:p>
    <w:p>
      <w:pPr>
        <w:rPr>
          <w:b/>
        </w:rPr>
      </w:pPr>
    </w:p>
    <w:p>
      <w:pPr>
        <w:spacing w:line="360" w:lineRule="auto"/>
        <w:rPr>
          <w:sz w:val="24"/>
          <w:szCs w:val="20"/>
        </w:rPr>
      </w:pPr>
      <w:r>
        <w:rPr>
          <w:b/>
          <w:sz w:val="24"/>
          <w:szCs w:val="20"/>
        </w:rPr>
        <w:t>2.0.2</w:t>
      </w:r>
      <w:r>
        <w:rPr>
          <w:sz w:val="24"/>
          <w:szCs w:val="20"/>
        </w:rPr>
        <w:t xml:space="preserve">  </w:t>
      </w:r>
      <w:r>
        <w:rPr>
          <w:rFonts w:hint="eastAsia"/>
          <w:sz w:val="24"/>
          <w:szCs w:val="20"/>
        </w:rPr>
        <w:t>复合防水层是个具有相容性的涂料与卷材结合的，本规程中特指</w:t>
      </w:r>
      <w:r>
        <w:rPr>
          <w:sz w:val="24"/>
          <w:szCs w:val="20"/>
        </w:rPr>
        <w:t>采用加热器将常温下粘稠的橡胶沥青防水涂料加热到能施工的温度后,采取机械喷涂法或人工刮涂法施工在基层表面，橡胶沥青涂料在热状态下，将卷材防水层紧密的粘贴在热的涂料表面，构成复合防水系统。</w:t>
      </w:r>
    </w:p>
    <w:p>
      <w:pPr>
        <w:ind w:firstLine="308" w:firstLineChars="147"/>
        <w:rPr>
          <w:color w:val="000000"/>
        </w:rPr>
      </w:pPr>
    </w:p>
    <w:p>
      <w:pPr>
        <w:widowControl/>
        <w:jc w:val="left"/>
        <w:rPr>
          <w:b/>
          <w:kern w:val="44"/>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104" w:name="_Toc87885912"/>
      <w:bookmarkStart w:id="105" w:name="_Toc87885979"/>
      <w:r>
        <w:rPr>
          <w:bCs w:val="0"/>
          <w:sz w:val="30"/>
          <w:szCs w:val="20"/>
        </w:rPr>
        <w:t>3  基 本 规 定</w:t>
      </w:r>
      <w:bookmarkEnd w:id="104"/>
      <w:bookmarkEnd w:id="105"/>
    </w:p>
    <w:p>
      <w:pPr>
        <w:spacing w:line="360" w:lineRule="auto"/>
        <w:rPr>
          <w:b/>
          <w:sz w:val="24"/>
          <w:szCs w:val="20"/>
        </w:rPr>
      </w:pPr>
    </w:p>
    <w:p>
      <w:pPr>
        <w:spacing w:line="360" w:lineRule="auto"/>
        <w:rPr>
          <w:sz w:val="24"/>
          <w:szCs w:val="20"/>
        </w:rPr>
      </w:pPr>
      <w:r>
        <w:rPr>
          <w:b/>
          <w:sz w:val="24"/>
          <w:szCs w:val="20"/>
        </w:rPr>
        <w:t>3.0.3</w:t>
      </w:r>
      <w:r>
        <w:rPr>
          <w:sz w:val="24"/>
          <w:szCs w:val="20"/>
        </w:rPr>
        <w:t xml:space="preserve">  屋面II级当采用非固化作为复合防水体系材料时，复合使用的防水卷材屋面不会比地下更严格。新修编的地下规范报批稿已经针对无胎自粘卷材做了减薄处理，1.5mm可作为一道地下工程的独立防水层使用，因而高分子膜基的防水卷材厚度为1.5mm。</w:t>
      </w:r>
    </w:p>
    <w:p>
      <w:pPr>
        <w:spacing w:line="360" w:lineRule="auto"/>
        <w:rPr>
          <w:sz w:val="24"/>
          <w:szCs w:val="20"/>
        </w:rPr>
      </w:pPr>
    </w:p>
    <w:p>
      <w:pPr>
        <w:widowControl/>
        <w:jc w:val="left"/>
        <w:rPr>
          <w:rFonts w:eastAsiaTheme="minorEastAsia"/>
          <w:spacing w:val="4"/>
          <w:kern w:val="0"/>
        </w:rPr>
      </w:pPr>
      <w:r>
        <w:rPr>
          <w:rFonts w:eastAsiaTheme="minorEastAsia"/>
          <w:spacing w:val="4"/>
          <w:kern w:val="0"/>
        </w:rPr>
        <w:br w:type="page"/>
      </w:r>
    </w:p>
    <w:p>
      <w:pPr>
        <w:pStyle w:val="2"/>
        <w:tabs>
          <w:tab w:val="left" w:pos="425"/>
        </w:tabs>
        <w:spacing w:before="0" w:after="0" w:line="360" w:lineRule="auto"/>
        <w:jc w:val="center"/>
        <w:rPr>
          <w:rFonts w:eastAsiaTheme="majorEastAsia"/>
          <w:sz w:val="32"/>
          <w:szCs w:val="32"/>
        </w:rPr>
      </w:pPr>
      <w:bookmarkStart w:id="106" w:name="_Toc87885980"/>
      <w:bookmarkStart w:id="107" w:name="_Toc87885913"/>
      <w:r>
        <w:rPr>
          <w:bCs w:val="0"/>
          <w:sz w:val="30"/>
          <w:szCs w:val="20"/>
        </w:rPr>
        <w:t>4  材  料</w:t>
      </w:r>
      <w:bookmarkEnd w:id="106"/>
      <w:bookmarkEnd w:id="107"/>
    </w:p>
    <w:p>
      <w:pPr>
        <w:autoSpaceDE w:val="0"/>
        <w:autoSpaceDN w:val="0"/>
        <w:adjustRightInd w:val="0"/>
        <w:spacing w:line="360" w:lineRule="auto"/>
        <w:jc w:val="left"/>
        <w:rPr>
          <w:b/>
          <w:spacing w:val="4"/>
          <w:kern w:val="0"/>
          <w:sz w:val="24"/>
        </w:rPr>
      </w:pPr>
    </w:p>
    <w:p>
      <w:pPr>
        <w:autoSpaceDE w:val="0"/>
        <w:autoSpaceDN w:val="0"/>
        <w:adjustRightInd w:val="0"/>
        <w:spacing w:line="360" w:lineRule="auto"/>
        <w:jc w:val="left"/>
        <w:rPr>
          <w:spacing w:val="4"/>
          <w:kern w:val="0"/>
          <w:sz w:val="24"/>
        </w:rPr>
      </w:pPr>
      <w:r>
        <w:rPr>
          <w:b/>
          <w:spacing w:val="4"/>
          <w:kern w:val="0"/>
          <w:sz w:val="24"/>
        </w:rPr>
        <w:t>4.1.1</w:t>
      </w:r>
      <w:r>
        <w:rPr>
          <w:spacing w:val="4"/>
          <w:kern w:val="0"/>
          <w:sz w:val="24"/>
        </w:rPr>
        <w:t xml:space="preserve">  平面型的防水涂料不得用于立面；立面型的材料可以用于平面和立面。</w:t>
      </w:r>
    </w:p>
    <w:p>
      <w:pPr>
        <w:spacing w:line="360" w:lineRule="auto"/>
        <w:rPr>
          <w:b/>
          <w:sz w:val="24"/>
          <w:szCs w:val="20"/>
        </w:rPr>
      </w:pPr>
    </w:p>
    <w:p>
      <w:pPr>
        <w:widowControl/>
        <w:jc w:val="left"/>
        <w:rPr>
          <w:b/>
          <w:sz w:val="24"/>
          <w:szCs w:val="20"/>
        </w:rPr>
      </w:pPr>
      <w:r>
        <w:rPr>
          <w:b/>
          <w:sz w:val="24"/>
          <w:szCs w:val="20"/>
        </w:rPr>
        <w:br w:type="page"/>
      </w:r>
    </w:p>
    <w:p>
      <w:pPr>
        <w:pStyle w:val="2"/>
        <w:tabs>
          <w:tab w:val="left" w:pos="425"/>
        </w:tabs>
        <w:spacing w:before="0" w:after="0" w:line="360" w:lineRule="auto"/>
        <w:jc w:val="center"/>
        <w:rPr>
          <w:bCs w:val="0"/>
          <w:sz w:val="30"/>
          <w:szCs w:val="20"/>
        </w:rPr>
      </w:pPr>
      <w:bookmarkStart w:id="108" w:name="_Toc87885981"/>
      <w:bookmarkStart w:id="109" w:name="_Toc87885914"/>
      <w:r>
        <w:rPr>
          <w:bCs w:val="0"/>
          <w:sz w:val="30"/>
          <w:szCs w:val="20"/>
        </w:rPr>
        <w:t>5  设备及机具</w:t>
      </w:r>
      <w:bookmarkEnd w:id="108"/>
      <w:bookmarkEnd w:id="109"/>
    </w:p>
    <w:p>
      <w:pPr>
        <w:spacing w:line="360" w:lineRule="auto"/>
        <w:rPr>
          <w:b/>
          <w:sz w:val="24"/>
          <w:szCs w:val="20"/>
        </w:rPr>
      </w:pPr>
    </w:p>
    <w:p>
      <w:pPr>
        <w:spacing w:line="360" w:lineRule="auto"/>
        <w:rPr>
          <w:sz w:val="24"/>
          <w:szCs w:val="20"/>
        </w:rPr>
      </w:pPr>
      <w:r>
        <w:rPr>
          <w:b/>
          <w:sz w:val="24"/>
          <w:szCs w:val="20"/>
        </w:rPr>
        <w:t xml:space="preserve">5.1.2  </w:t>
      </w:r>
      <w:r>
        <w:rPr>
          <w:sz w:val="24"/>
          <w:szCs w:val="20"/>
        </w:rPr>
        <w:t>设置电加热器</w:t>
      </w:r>
      <w:r>
        <w:rPr>
          <w:rFonts w:hint="eastAsia"/>
          <w:sz w:val="24"/>
          <w:szCs w:val="20"/>
        </w:rPr>
        <w:t>的作用是</w:t>
      </w:r>
      <w:r>
        <w:rPr>
          <w:sz w:val="24"/>
          <w:szCs w:val="20"/>
        </w:rPr>
        <w:t>防止停机时涂料堵管</w:t>
      </w:r>
      <w:r>
        <w:rPr>
          <w:rFonts w:hint="eastAsia"/>
          <w:sz w:val="24"/>
          <w:szCs w:val="20"/>
        </w:rPr>
        <w:t>，未采用此电加热器的设备一律不得使用</w:t>
      </w:r>
      <w:r>
        <w:rPr>
          <w:sz w:val="24"/>
          <w:szCs w:val="20"/>
        </w:rPr>
        <w:t>。</w:t>
      </w:r>
    </w:p>
    <w:p>
      <w:pPr>
        <w:spacing w:line="360" w:lineRule="auto"/>
        <w:rPr>
          <w:rFonts w:eastAsiaTheme="minorEastAsia"/>
          <w:spacing w:val="4"/>
          <w:kern w:val="0"/>
        </w:rPr>
      </w:pPr>
    </w:p>
    <w:p>
      <w:pPr>
        <w:widowControl/>
        <w:jc w:val="left"/>
        <w:rPr>
          <w:b/>
          <w:kern w:val="44"/>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110" w:name="_Toc87885915"/>
      <w:bookmarkStart w:id="111" w:name="_Toc87885982"/>
      <w:r>
        <w:rPr>
          <w:bCs w:val="0"/>
          <w:sz w:val="30"/>
          <w:szCs w:val="20"/>
        </w:rPr>
        <w:t>6  细 部 构 造</w:t>
      </w:r>
      <w:bookmarkEnd w:id="110"/>
      <w:bookmarkEnd w:id="111"/>
    </w:p>
    <w:p>
      <w:pPr>
        <w:autoSpaceDE w:val="0"/>
        <w:autoSpaceDN w:val="0"/>
        <w:adjustRightInd w:val="0"/>
        <w:spacing w:line="360" w:lineRule="auto"/>
        <w:rPr>
          <w:b/>
          <w:sz w:val="24"/>
          <w:szCs w:val="20"/>
        </w:rPr>
      </w:pPr>
    </w:p>
    <w:p>
      <w:pPr>
        <w:autoSpaceDE w:val="0"/>
        <w:autoSpaceDN w:val="0"/>
        <w:adjustRightInd w:val="0"/>
        <w:spacing w:line="360" w:lineRule="auto"/>
        <w:rPr>
          <w:sz w:val="24"/>
          <w:szCs w:val="20"/>
        </w:rPr>
      </w:pPr>
      <w:r>
        <w:rPr>
          <w:b/>
          <w:sz w:val="24"/>
          <w:szCs w:val="20"/>
        </w:rPr>
        <w:t xml:space="preserve">6.1.2  </w:t>
      </w:r>
      <w:r>
        <w:rPr>
          <w:sz w:val="24"/>
          <w:szCs w:val="20"/>
        </w:rPr>
        <w:t>非固化橡胶沥青防水涂料</w:t>
      </w:r>
      <w:r>
        <w:rPr>
          <w:rFonts w:hint="eastAsia"/>
          <w:sz w:val="24"/>
          <w:szCs w:val="20"/>
        </w:rPr>
        <w:t>单独作为</w:t>
      </w:r>
      <w:r>
        <w:rPr>
          <w:sz w:val="24"/>
          <w:szCs w:val="20"/>
        </w:rPr>
        <w:t>一道独立防水层</w:t>
      </w:r>
      <w:r>
        <w:rPr>
          <w:rFonts w:hint="eastAsia"/>
          <w:sz w:val="24"/>
          <w:szCs w:val="20"/>
        </w:rPr>
        <w:t>的做法在实际工程中并不是常见做法，主要适用于对防水设防等级要求不高的工程、或者多道分离设置的防水层中的一道，因为防水层上的胎体增强材料在迎水面遇水时容易腐烂变质，故在实际设计选材时需充分考虑此问题。</w:t>
      </w:r>
    </w:p>
    <w:p>
      <w:pPr>
        <w:autoSpaceDE w:val="0"/>
        <w:autoSpaceDN w:val="0"/>
        <w:adjustRightInd w:val="0"/>
        <w:spacing w:line="360" w:lineRule="auto"/>
        <w:rPr>
          <w:sz w:val="24"/>
          <w:szCs w:val="20"/>
        </w:rPr>
      </w:pPr>
    </w:p>
    <w:p>
      <w:pPr>
        <w:widowControl/>
        <w:jc w:val="left"/>
        <w:rPr>
          <w:b/>
          <w:kern w:val="44"/>
          <w:sz w:val="30"/>
          <w:szCs w:val="20"/>
        </w:rPr>
      </w:pPr>
      <w:r>
        <w:rPr>
          <w:bCs/>
          <w:sz w:val="30"/>
          <w:szCs w:val="20"/>
        </w:rPr>
        <w:br w:type="page"/>
      </w:r>
    </w:p>
    <w:p>
      <w:pPr>
        <w:pStyle w:val="2"/>
        <w:tabs>
          <w:tab w:val="left" w:pos="425"/>
        </w:tabs>
        <w:spacing w:before="0" w:after="0" w:line="360" w:lineRule="auto"/>
        <w:jc w:val="center"/>
        <w:rPr>
          <w:bCs w:val="0"/>
          <w:sz w:val="30"/>
          <w:szCs w:val="20"/>
        </w:rPr>
      </w:pPr>
      <w:bookmarkStart w:id="112" w:name="_Toc87885916"/>
      <w:bookmarkStart w:id="113" w:name="_Toc87885983"/>
      <w:r>
        <w:rPr>
          <w:bCs w:val="0"/>
          <w:sz w:val="30"/>
          <w:szCs w:val="20"/>
        </w:rPr>
        <w:t>7  施  工</w:t>
      </w:r>
      <w:bookmarkEnd w:id="112"/>
      <w:bookmarkEnd w:id="113"/>
    </w:p>
    <w:p>
      <w:pPr>
        <w:spacing w:line="360" w:lineRule="auto"/>
        <w:jc w:val="left"/>
        <w:rPr>
          <w:sz w:val="24"/>
          <w:szCs w:val="20"/>
        </w:rPr>
      </w:pPr>
      <w:r>
        <w:rPr>
          <w:b/>
          <w:sz w:val="24"/>
          <w:szCs w:val="20"/>
        </w:rPr>
        <w:t xml:space="preserve">7.1.5  </w:t>
      </w:r>
      <w:r>
        <w:rPr>
          <w:rFonts w:hint="eastAsia"/>
          <w:sz w:val="24"/>
          <w:szCs w:val="20"/>
        </w:rPr>
        <w:t>结合非固化橡胶沥青防水涂料的特点，对不同施工适宜温度进行了规定，其中刮涂型材料</w:t>
      </w:r>
      <w:r>
        <w:rPr>
          <w:sz w:val="24"/>
          <w:szCs w:val="20"/>
        </w:rPr>
        <w:t>加热温度宜为100℃～120℃</w:t>
      </w:r>
      <w:r>
        <w:rPr>
          <w:rFonts w:hint="eastAsia"/>
          <w:sz w:val="24"/>
          <w:szCs w:val="20"/>
        </w:rPr>
        <w:t>使其在使用过程中具备良好的流变性能，而喷涂型产品在</w:t>
      </w:r>
      <w:r>
        <w:rPr>
          <w:sz w:val="24"/>
          <w:szCs w:val="20"/>
        </w:rPr>
        <w:t>130-140</w:t>
      </w:r>
      <w:r>
        <w:rPr>
          <w:rFonts w:hint="eastAsia"/>
          <w:sz w:val="24"/>
          <w:szCs w:val="20"/>
        </w:rPr>
        <w:t>℃之间不仅可喷涂雾化，而且便于在喷涂后在相对高温状态下迅速和相容的防水卷材复合，故加热温度应适当控制在1</w:t>
      </w:r>
      <w:r>
        <w:rPr>
          <w:sz w:val="24"/>
          <w:szCs w:val="20"/>
        </w:rPr>
        <w:t>70℃</w:t>
      </w:r>
      <w:r>
        <w:rPr>
          <w:rFonts w:hint="eastAsia"/>
          <w:sz w:val="24"/>
          <w:szCs w:val="20"/>
        </w:rPr>
        <w:t>，而温度过高是将超过材料的闪点，容易碳化。同时要注意我国气候条件存在明显的南北方差异，当遇到较低温度使用环境时，应灵活掌握提高相应的温度控制范围。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93592871"/>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4945894"/>
      <w:docPartObj>
        <w:docPartGallery w:val="AutoText"/>
      </w:docPartObj>
    </w:sdtPr>
    <w:sdtContent>
      <w:p>
        <w:pPr>
          <w:pStyle w:val="12"/>
          <w:jc w:val="center"/>
        </w:pPr>
        <w:r>
          <w:fldChar w:fldCharType="begin"/>
        </w:r>
        <w:r>
          <w:instrText xml:space="preserve">PAGE   \* MERGEFORMAT</w:instrText>
        </w:r>
        <w:r>
          <w:fldChar w:fldCharType="separate"/>
        </w:r>
        <w:r>
          <w:rPr>
            <w:lang w:val="zh-CN"/>
          </w:rPr>
          <w:t>2</w:t>
        </w:r>
        <w:r>
          <w:fldChar w:fldCharType="end"/>
        </w:r>
      </w:p>
    </w:sdtContent>
  </w:sdt>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center"/>
      <w:pPr>
        <w:tabs>
          <w:tab w:val="left" w:pos="420"/>
        </w:tabs>
        <w:ind w:left="420" w:hanging="132"/>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1FC91163"/>
    <w:multiLevelType w:val="multilevel"/>
    <w:tmpl w:val="1FC91163"/>
    <w:lvl w:ilvl="0" w:tentative="0">
      <w:start w:val="1"/>
      <w:numFmt w:val="decimal"/>
      <w:pStyle w:val="3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7"/>
      <w:suff w:val="nothing"/>
      <w:lvlText w:val="%1.%2　"/>
      <w:lvlJc w:val="left"/>
      <w:pPr>
        <w:ind w:left="284"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9"/>
      <w:suff w:val="nothing"/>
      <w:lvlText w:val="%1.%2.%3　"/>
      <w:lvlJc w:val="left"/>
      <w:pPr>
        <w:ind w:left="851" w:firstLine="0"/>
      </w:pPr>
      <w:rPr>
        <w:rFonts w:hint="eastAsia" w:ascii="黑体" w:hAnsi="Times New Roman" w:eastAsia="黑体"/>
        <w:b w:val="0"/>
        <w:i w:val="0"/>
        <w:sz w:val="21"/>
      </w:rPr>
    </w:lvl>
    <w:lvl w:ilvl="3" w:tentative="0">
      <w:start w:val="1"/>
      <w:numFmt w:val="decimal"/>
      <w:pStyle w:val="40"/>
      <w:suff w:val="nothing"/>
      <w:lvlText w:val="%1.%2.%3.%4　"/>
      <w:lvlJc w:val="left"/>
      <w:pPr>
        <w:ind w:left="945" w:firstLine="0"/>
      </w:pPr>
      <w:rPr>
        <w:rFonts w:hint="eastAsia" w:ascii="黑体" w:hAnsi="Times New Roman" w:eastAsia="黑体"/>
        <w:b w:val="0"/>
        <w:i w:val="0"/>
        <w:sz w:val="21"/>
      </w:rPr>
    </w:lvl>
    <w:lvl w:ilvl="4" w:tentative="0">
      <w:start w:val="1"/>
      <w:numFmt w:val="decimal"/>
      <w:pStyle w:val="41"/>
      <w:suff w:val="nothing"/>
      <w:lvlText w:val="%1.%2.%3.%4.%5　"/>
      <w:lvlJc w:val="left"/>
      <w:pPr>
        <w:ind w:left="142" w:firstLine="0"/>
      </w:pPr>
      <w:rPr>
        <w:rFonts w:hint="eastAsia" w:ascii="黑体" w:hAnsi="Times New Roman" w:eastAsia="黑体"/>
        <w:b w:val="0"/>
        <w:i w:val="0"/>
        <w:sz w:val="21"/>
      </w:rPr>
    </w:lvl>
    <w:lvl w:ilvl="5" w:tentative="0">
      <w:start w:val="1"/>
      <w:numFmt w:val="decimal"/>
      <w:pStyle w:val="42"/>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243"/>
    <w:rsid w:val="00002248"/>
    <w:rsid w:val="00002EF0"/>
    <w:rsid w:val="00003FBC"/>
    <w:rsid w:val="0001183E"/>
    <w:rsid w:val="00021DCF"/>
    <w:rsid w:val="00024869"/>
    <w:rsid w:val="00026141"/>
    <w:rsid w:val="00026633"/>
    <w:rsid w:val="0002687D"/>
    <w:rsid w:val="0002728A"/>
    <w:rsid w:val="000273C8"/>
    <w:rsid w:val="0003055B"/>
    <w:rsid w:val="000352AD"/>
    <w:rsid w:val="000369E2"/>
    <w:rsid w:val="00036C6A"/>
    <w:rsid w:val="000416C0"/>
    <w:rsid w:val="0004331D"/>
    <w:rsid w:val="00054BCB"/>
    <w:rsid w:val="000554FB"/>
    <w:rsid w:val="00056352"/>
    <w:rsid w:val="00062569"/>
    <w:rsid w:val="00063A10"/>
    <w:rsid w:val="00064CF6"/>
    <w:rsid w:val="00066C7B"/>
    <w:rsid w:val="00067968"/>
    <w:rsid w:val="000718D6"/>
    <w:rsid w:val="00072732"/>
    <w:rsid w:val="000778D0"/>
    <w:rsid w:val="00083142"/>
    <w:rsid w:val="000848B3"/>
    <w:rsid w:val="000868EE"/>
    <w:rsid w:val="00086FF0"/>
    <w:rsid w:val="00091B59"/>
    <w:rsid w:val="00092AA6"/>
    <w:rsid w:val="00093158"/>
    <w:rsid w:val="00095660"/>
    <w:rsid w:val="00095B21"/>
    <w:rsid w:val="000A27CC"/>
    <w:rsid w:val="000A592E"/>
    <w:rsid w:val="000B0C68"/>
    <w:rsid w:val="000B257A"/>
    <w:rsid w:val="000B3B04"/>
    <w:rsid w:val="000B4C81"/>
    <w:rsid w:val="000C21C8"/>
    <w:rsid w:val="000C5C61"/>
    <w:rsid w:val="000D3C3C"/>
    <w:rsid w:val="000E5393"/>
    <w:rsid w:val="000F12C1"/>
    <w:rsid w:val="000F3D75"/>
    <w:rsid w:val="000F3DB9"/>
    <w:rsid w:val="000F686C"/>
    <w:rsid w:val="00103C54"/>
    <w:rsid w:val="00105605"/>
    <w:rsid w:val="00112EF3"/>
    <w:rsid w:val="00114BC3"/>
    <w:rsid w:val="00115359"/>
    <w:rsid w:val="001215A6"/>
    <w:rsid w:val="001262F2"/>
    <w:rsid w:val="00132746"/>
    <w:rsid w:val="001338E4"/>
    <w:rsid w:val="00136495"/>
    <w:rsid w:val="00153B90"/>
    <w:rsid w:val="00155141"/>
    <w:rsid w:val="00155541"/>
    <w:rsid w:val="00157711"/>
    <w:rsid w:val="001621CA"/>
    <w:rsid w:val="00163E9F"/>
    <w:rsid w:val="00164A0C"/>
    <w:rsid w:val="001734C0"/>
    <w:rsid w:val="00175E28"/>
    <w:rsid w:val="00181A7D"/>
    <w:rsid w:val="0018230F"/>
    <w:rsid w:val="00183F12"/>
    <w:rsid w:val="001851F7"/>
    <w:rsid w:val="00185438"/>
    <w:rsid w:val="00185686"/>
    <w:rsid w:val="00191C90"/>
    <w:rsid w:val="001A1576"/>
    <w:rsid w:val="001A544D"/>
    <w:rsid w:val="001A6080"/>
    <w:rsid w:val="001A6BBD"/>
    <w:rsid w:val="001B030D"/>
    <w:rsid w:val="001B1E46"/>
    <w:rsid w:val="001B3986"/>
    <w:rsid w:val="001C5D2D"/>
    <w:rsid w:val="001D011C"/>
    <w:rsid w:val="001D19C7"/>
    <w:rsid w:val="001D2E68"/>
    <w:rsid w:val="001E0A94"/>
    <w:rsid w:val="001E4634"/>
    <w:rsid w:val="001E4B7E"/>
    <w:rsid w:val="001F2809"/>
    <w:rsid w:val="001F2DEA"/>
    <w:rsid w:val="001F7812"/>
    <w:rsid w:val="00200689"/>
    <w:rsid w:val="00203755"/>
    <w:rsid w:val="00203DEF"/>
    <w:rsid w:val="00205E20"/>
    <w:rsid w:val="002105EA"/>
    <w:rsid w:val="00216119"/>
    <w:rsid w:val="00221BFE"/>
    <w:rsid w:val="002241F5"/>
    <w:rsid w:val="0022514E"/>
    <w:rsid w:val="00225A2B"/>
    <w:rsid w:val="002319A2"/>
    <w:rsid w:val="00233BA2"/>
    <w:rsid w:val="00240E69"/>
    <w:rsid w:val="00242692"/>
    <w:rsid w:val="00244198"/>
    <w:rsid w:val="00247CCE"/>
    <w:rsid w:val="00253CE3"/>
    <w:rsid w:val="00255C7F"/>
    <w:rsid w:val="00257DA6"/>
    <w:rsid w:val="00260E98"/>
    <w:rsid w:val="0026129B"/>
    <w:rsid w:val="00267D53"/>
    <w:rsid w:val="00275C54"/>
    <w:rsid w:val="002767C3"/>
    <w:rsid w:val="00280558"/>
    <w:rsid w:val="00282D47"/>
    <w:rsid w:val="00292D08"/>
    <w:rsid w:val="0029611C"/>
    <w:rsid w:val="00296273"/>
    <w:rsid w:val="002A7724"/>
    <w:rsid w:val="002C1949"/>
    <w:rsid w:val="002C3E35"/>
    <w:rsid w:val="002D0B0C"/>
    <w:rsid w:val="002D365D"/>
    <w:rsid w:val="002D63CC"/>
    <w:rsid w:val="002E30DF"/>
    <w:rsid w:val="002E4E50"/>
    <w:rsid w:val="002F3085"/>
    <w:rsid w:val="002F7FAD"/>
    <w:rsid w:val="00300339"/>
    <w:rsid w:val="00305079"/>
    <w:rsid w:val="0031574B"/>
    <w:rsid w:val="003224C4"/>
    <w:rsid w:val="00322D1F"/>
    <w:rsid w:val="003255BD"/>
    <w:rsid w:val="003311F7"/>
    <w:rsid w:val="00331AC5"/>
    <w:rsid w:val="00342E30"/>
    <w:rsid w:val="003454DF"/>
    <w:rsid w:val="003500CC"/>
    <w:rsid w:val="00350EC9"/>
    <w:rsid w:val="003570A2"/>
    <w:rsid w:val="0035733D"/>
    <w:rsid w:val="00362C63"/>
    <w:rsid w:val="00363169"/>
    <w:rsid w:val="00364A21"/>
    <w:rsid w:val="00365D51"/>
    <w:rsid w:val="00366FFC"/>
    <w:rsid w:val="00371A6C"/>
    <w:rsid w:val="00373841"/>
    <w:rsid w:val="00374F76"/>
    <w:rsid w:val="00375E57"/>
    <w:rsid w:val="003760E9"/>
    <w:rsid w:val="003772B0"/>
    <w:rsid w:val="003902ED"/>
    <w:rsid w:val="00392356"/>
    <w:rsid w:val="00395361"/>
    <w:rsid w:val="003A759C"/>
    <w:rsid w:val="003A7B10"/>
    <w:rsid w:val="003B0B88"/>
    <w:rsid w:val="003B2811"/>
    <w:rsid w:val="003B2C89"/>
    <w:rsid w:val="003B4EBC"/>
    <w:rsid w:val="003B541A"/>
    <w:rsid w:val="003B7B9F"/>
    <w:rsid w:val="003C311F"/>
    <w:rsid w:val="003C4269"/>
    <w:rsid w:val="003C5508"/>
    <w:rsid w:val="003C55D7"/>
    <w:rsid w:val="003D0470"/>
    <w:rsid w:val="003D343D"/>
    <w:rsid w:val="003D536C"/>
    <w:rsid w:val="003D6D58"/>
    <w:rsid w:val="003E185C"/>
    <w:rsid w:val="003E18F7"/>
    <w:rsid w:val="003E2F50"/>
    <w:rsid w:val="003F5E2F"/>
    <w:rsid w:val="00417E8B"/>
    <w:rsid w:val="00420DD7"/>
    <w:rsid w:val="00426805"/>
    <w:rsid w:val="004327CC"/>
    <w:rsid w:val="00433F2E"/>
    <w:rsid w:val="004370CE"/>
    <w:rsid w:val="00437518"/>
    <w:rsid w:val="00443FE6"/>
    <w:rsid w:val="00447790"/>
    <w:rsid w:val="00452538"/>
    <w:rsid w:val="0045471C"/>
    <w:rsid w:val="0045798F"/>
    <w:rsid w:val="004600EF"/>
    <w:rsid w:val="00463FC3"/>
    <w:rsid w:val="00464485"/>
    <w:rsid w:val="00472907"/>
    <w:rsid w:val="0047560D"/>
    <w:rsid w:val="00482390"/>
    <w:rsid w:val="00483290"/>
    <w:rsid w:val="0048767A"/>
    <w:rsid w:val="00487EC4"/>
    <w:rsid w:val="004A1B81"/>
    <w:rsid w:val="004A4D2A"/>
    <w:rsid w:val="004A58ED"/>
    <w:rsid w:val="004B1760"/>
    <w:rsid w:val="004B2234"/>
    <w:rsid w:val="004B3245"/>
    <w:rsid w:val="004B58F9"/>
    <w:rsid w:val="004B5D15"/>
    <w:rsid w:val="004C2511"/>
    <w:rsid w:val="004C36B5"/>
    <w:rsid w:val="004D2D84"/>
    <w:rsid w:val="004D3852"/>
    <w:rsid w:val="004D3D42"/>
    <w:rsid w:val="004D5715"/>
    <w:rsid w:val="004D58A6"/>
    <w:rsid w:val="004D6BD8"/>
    <w:rsid w:val="004D784F"/>
    <w:rsid w:val="004E367A"/>
    <w:rsid w:val="004E5C2F"/>
    <w:rsid w:val="004E60A0"/>
    <w:rsid w:val="004F6952"/>
    <w:rsid w:val="004F7559"/>
    <w:rsid w:val="0050515A"/>
    <w:rsid w:val="0050624E"/>
    <w:rsid w:val="00506680"/>
    <w:rsid w:val="0051035D"/>
    <w:rsid w:val="0051325B"/>
    <w:rsid w:val="00514EB8"/>
    <w:rsid w:val="0051516A"/>
    <w:rsid w:val="00517CEC"/>
    <w:rsid w:val="005205E0"/>
    <w:rsid w:val="00521E2B"/>
    <w:rsid w:val="005336B4"/>
    <w:rsid w:val="0053385F"/>
    <w:rsid w:val="00534D50"/>
    <w:rsid w:val="00536624"/>
    <w:rsid w:val="005418FD"/>
    <w:rsid w:val="005443E5"/>
    <w:rsid w:val="0054566D"/>
    <w:rsid w:val="00547DE5"/>
    <w:rsid w:val="005624D5"/>
    <w:rsid w:val="00567C1F"/>
    <w:rsid w:val="00574C51"/>
    <w:rsid w:val="00577C1D"/>
    <w:rsid w:val="00580EE2"/>
    <w:rsid w:val="00582243"/>
    <w:rsid w:val="00584A5D"/>
    <w:rsid w:val="005867D6"/>
    <w:rsid w:val="00594264"/>
    <w:rsid w:val="00595C04"/>
    <w:rsid w:val="005A294F"/>
    <w:rsid w:val="005A6DBF"/>
    <w:rsid w:val="005A6FEE"/>
    <w:rsid w:val="005A7164"/>
    <w:rsid w:val="005A746F"/>
    <w:rsid w:val="005B2A14"/>
    <w:rsid w:val="005B5431"/>
    <w:rsid w:val="005C16EE"/>
    <w:rsid w:val="005C3CB9"/>
    <w:rsid w:val="005C431F"/>
    <w:rsid w:val="005D4A50"/>
    <w:rsid w:val="005E1578"/>
    <w:rsid w:val="005E489A"/>
    <w:rsid w:val="005E76D5"/>
    <w:rsid w:val="005F2905"/>
    <w:rsid w:val="005F6B96"/>
    <w:rsid w:val="005F7012"/>
    <w:rsid w:val="005F7F93"/>
    <w:rsid w:val="00620B49"/>
    <w:rsid w:val="006223CA"/>
    <w:rsid w:val="0062284E"/>
    <w:rsid w:val="006278E1"/>
    <w:rsid w:val="00631B67"/>
    <w:rsid w:val="006326EF"/>
    <w:rsid w:val="0063426F"/>
    <w:rsid w:val="00634313"/>
    <w:rsid w:val="00640413"/>
    <w:rsid w:val="0064308B"/>
    <w:rsid w:val="006435E1"/>
    <w:rsid w:val="00644B52"/>
    <w:rsid w:val="0065044E"/>
    <w:rsid w:val="0065592F"/>
    <w:rsid w:val="0065763E"/>
    <w:rsid w:val="006711F3"/>
    <w:rsid w:val="00671E5A"/>
    <w:rsid w:val="00676682"/>
    <w:rsid w:val="00681AD2"/>
    <w:rsid w:val="0068460C"/>
    <w:rsid w:val="006910A2"/>
    <w:rsid w:val="006A3289"/>
    <w:rsid w:val="006A5C45"/>
    <w:rsid w:val="006B1F3A"/>
    <w:rsid w:val="006C28BC"/>
    <w:rsid w:val="006C2A72"/>
    <w:rsid w:val="006C4D00"/>
    <w:rsid w:val="006C5B41"/>
    <w:rsid w:val="006C7623"/>
    <w:rsid w:val="006C7BC6"/>
    <w:rsid w:val="006D004C"/>
    <w:rsid w:val="006D06EF"/>
    <w:rsid w:val="006D101A"/>
    <w:rsid w:val="006D147B"/>
    <w:rsid w:val="006D30CA"/>
    <w:rsid w:val="006D3A7E"/>
    <w:rsid w:val="006E3D9E"/>
    <w:rsid w:val="006E5A71"/>
    <w:rsid w:val="0070333B"/>
    <w:rsid w:val="00703BD8"/>
    <w:rsid w:val="00710671"/>
    <w:rsid w:val="00712EF7"/>
    <w:rsid w:val="00715B7F"/>
    <w:rsid w:val="00715F83"/>
    <w:rsid w:val="00720519"/>
    <w:rsid w:val="0072384B"/>
    <w:rsid w:val="007244F9"/>
    <w:rsid w:val="007249E7"/>
    <w:rsid w:val="00726008"/>
    <w:rsid w:val="00730588"/>
    <w:rsid w:val="007306DD"/>
    <w:rsid w:val="00731E9F"/>
    <w:rsid w:val="00732D8B"/>
    <w:rsid w:val="007361DF"/>
    <w:rsid w:val="00740DBF"/>
    <w:rsid w:val="00752873"/>
    <w:rsid w:val="00753862"/>
    <w:rsid w:val="00756F6E"/>
    <w:rsid w:val="007635E9"/>
    <w:rsid w:val="00763738"/>
    <w:rsid w:val="00764E8E"/>
    <w:rsid w:val="00772EE6"/>
    <w:rsid w:val="00774B3D"/>
    <w:rsid w:val="00776838"/>
    <w:rsid w:val="00780A8A"/>
    <w:rsid w:val="007829C7"/>
    <w:rsid w:val="007831E8"/>
    <w:rsid w:val="00785731"/>
    <w:rsid w:val="00786E94"/>
    <w:rsid w:val="0078758C"/>
    <w:rsid w:val="00790C31"/>
    <w:rsid w:val="007937ED"/>
    <w:rsid w:val="007A1C53"/>
    <w:rsid w:val="007A52C5"/>
    <w:rsid w:val="007B1183"/>
    <w:rsid w:val="007B3814"/>
    <w:rsid w:val="007B497B"/>
    <w:rsid w:val="007B57D2"/>
    <w:rsid w:val="007B59BC"/>
    <w:rsid w:val="007C2C60"/>
    <w:rsid w:val="007C3327"/>
    <w:rsid w:val="007C4D86"/>
    <w:rsid w:val="007C61E6"/>
    <w:rsid w:val="007D3FF6"/>
    <w:rsid w:val="007E0A9E"/>
    <w:rsid w:val="007E362F"/>
    <w:rsid w:val="007E756D"/>
    <w:rsid w:val="007F0927"/>
    <w:rsid w:val="007F7697"/>
    <w:rsid w:val="008000DD"/>
    <w:rsid w:val="0080365E"/>
    <w:rsid w:val="008072E8"/>
    <w:rsid w:val="00807D20"/>
    <w:rsid w:val="00812DBC"/>
    <w:rsid w:val="00813B92"/>
    <w:rsid w:val="00816E6F"/>
    <w:rsid w:val="00823006"/>
    <w:rsid w:val="008265D4"/>
    <w:rsid w:val="00826ED7"/>
    <w:rsid w:val="00840570"/>
    <w:rsid w:val="00841E0C"/>
    <w:rsid w:val="00842BD3"/>
    <w:rsid w:val="008508E1"/>
    <w:rsid w:val="00851FD2"/>
    <w:rsid w:val="008553E4"/>
    <w:rsid w:val="0087426C"/>
    <w:rsid w:val="00875F9F"/>
    <w:rsid w:val="00880E19"/>
    <w:rsid w:val="008846EF"/>
    <w:rsid w:val="00884710"/>
    <w:rsid w:val="00886258"/>
    <w:rsid w:val="008908F6"/>
    <w:rsid w:val="00890C51"/>
    <w:rsid w:val="00897F83"/>
    <w:rsid w:val="008B07D8"/>
    <w:rsid w:val="008B3948"/>
    <w:rsid w:val="008B779F"/>
    <w:rsid w:val="008C1202"/>
    <w:rsid w:val="008C5305"/>
    <w:rsid w:val="008C5691"/>
    <w:rsid w:val="008C7683"/>
    <w:rsid w:val="008E0AA5"/>
    <w:rsid w:val="008E0DA4"/>
    <w:rsid w:val="008E27D2"/>
    <w:rsid w:val="008E6B61"/>
    <w:rsid w:val="008F176A"/>
    <w:rsid w:val="008F2530"/>
    <w:rsid w:val="008F6D27"/>
    <w:rsid w:val="008F7BA8"/>
    <w:rsid w:val="008F7CDC"/>
    <w:rsid w:val="009018DD"/>
    <w:rsid w:val="00903EB8"/>
    <w:rsid w:val="0090423E"/>
    <w:rsid w:val="00904EE7"/>
    <w:rsid w:val="00905359"/>
    <w:rsid w:val="00911B33"/>
    <w:rsid w:val="00921A38"/>
    <w:rsid w:val="00925C74"/>
    <w:rsid w:val="00933077"/>
    <w:rsid w:val="009337AF"/>
    <w:rsid w:val="00941F97"/>
    <w:rsid w:val="00943741"/>
    <w:rsid w:val="00945436"/>
    <w:rsid w:val="009511A0"/>
    <w:rsid w:val="00952577"/>
    <w:rsid w:val="00953F66"/>
    <w:rsid w:val="009656ED"/>
    <w:rsid w:val="009657F3"/>
    <w:rsid w:val="00970EED"/>
    <w:rsid w:val="00970F32"/>
    <w:rsid w:val="00971174"/>
    <w:rsid w:val="00971EAD"/>
    <w:rsid w:val="00971F00"/>
    <w:rsid w:val="009732F6"/>
    <w:rsid w:val="0097531E"/>
    <w:rsid w:val="009759A4"/>
    <w:rsid w:val="00976F46"/>
    <w:rsid w:val="00981BB7"/>
    <w:rsid w:val="009822B8"/>
    <w:rsid w:val="00992621"/>
    <w:rsid w:val="00997EFF"/>
    <w:rsid w:val="009A0705"/>
    <w:rsid w:val="009A1F1B"/>
    <w:rsid w:val="009A24F3"/>
    <w:rsid w:val="009A39DB"/>
    <w:rsid w:val="009A6293"/>
    <w:rsid w:val="009B378E"/>
    <w:rsid w:val="009B497C"/>
    <w:rsid w:val="009C1F65"/>
    <w:rsid w:val="009C5DE3"/>
    <w:rsid w:val="009D12DC"/>
    <w:rsid w:val="009D5B83"/>
    <w:rsid w:val="009D62A2"/>
    <w:rsid w:val="009E34D4"/>
    <w:rsid w:val="009E434B"/>
    <w:rsid w:val="009F3855"/>
    <w:rsid w:val="009F4BE4"/>
    <w:rsid w:val="00A005F2"/>
    <w:rsid w:val="00A03A1A"/>
    <w:rsid w:val="00A151B3"/>
    <w:rsid w:val="00A155F5"/>
    <w:rsid w:val="00A16192"/>
    <w:rsid w:val="00A169AF"/>
    <w:rsid w:val="00A22DC3"/>
    <w:rsid w:val="00A2509D"/>
    <w:rsid w:val="00A261C3"/>
    <w:rsid w:val="00A5137D"/>
    <w:rsid w:val="00A54D8E"/>
    <w:rsid w:val="00A5555D"/>
    <w:rsid w:val="00A62E52"/>
    <w:rsid w:val="00A63506"/>
    <w:rsid w:val="00A644C0"/>
    <w:rsid w:val="00A654AE"/>
    <w:rsid w:val="00A750DE"/>
    <w:rsid w:val="00A75728"/>
    <w:rsid w:val="00A80B30"/>
    <w:rsid w:val="00A81F72"/>
    <w:rsid w:val="00A820D1"/>
    <w:rsid w:val="00A82212"/>
    <w:rsid w:val="00A82344"/>
    <w:rsid w:val="00A911A7"/>
    <w:rsid w:val="00A936E7"/>
    <w:rsid w:val="00AA0848"/>
    <w:rsid w:val="00AA666E"/>
    <w:rsid w:val="00AB057E"/>
    <w:rsid w:val="00AB466D"/>
    <w:rsid w:val="00AB63B6"/>
    <w:rsid w:val="00AC112B"/>
    <w:rsid w:val="00AC223C"/>
    <w:rsid w:val="00AC741C"/>
    <w:rsid w:val="00AD0E00"/>
    <w:rsid w:val="00AD4C12"/>
    <w:rsid w:val="00AD5871"/>
    <w:rsid w:val="00AD6A11"/>
    <w:rsid w:val="00AE080D"/>
    <w:rsid w:val="00AE1DDE"/>
    <w:rsid w:val="00AE3A37"/>
    <w:rsid w:val="00AE51D3"/>
    <w:rsid w:val="00AE5263"/>
    <w:rsid w:val="00AF048F"/>
    <w:rsid w:val="00AF16EE"/>
    <w:rsid w:val="00AF5783"/>
    <w:rsid w:val="00B00C05"/>
    <w:rsid w:val="00B04173"/>
    <w:rsid w:val="00B1445A"/>
    <w:rsid w:val="00B17584"/>
    <w:rsid w:val="00B20FE9"/>
    <w:rsid w:val="00B2164E"/>
    <w:rsid w:val="00B22AA7"/>
    <w:rsid w:val="00B23CF2"/>
    <w:rsid w:val="00B40091"/>
    <w:rsid w:val="00B430AA"/>
    <w:rsid w:val="00B51760"/>
    <w:rsid w:val="00B51A2C"/>
    <w:rsid w:val="00B6592C"/>
    <w:rsid w:val="00B67987"/>
    <w:rsid w:val="00B71DC5"/>
    <w:rsid w:val="00B730CC"/>
    <w:rsid w:val="00B7430B"/>
    <w:rsid w:val="00B75BC9"/>
    <w:rsid w:val="00B8717D"/>
    <w:rsid w:val="00BA76C3"/>
    <w:rsid w:val="00BA7DA9"/>
    <w:rsid w:val="00BB6342"/>
    <w:rsid w:val="00BC12FA"/>
    <w:rsid w:val="00BC2400"/>
    <w:rsid w:val="00BC254B"/>
    <w:rsid w:val="00BC66CB"/>
    <w:rsid w:val="00BD1002"/>
    <w:rsid w:val="00BE754D"/>
    <w:rsid w:val="00BF5003"/>
    <w:rsid w:val="00BF7B16"/>
    <w:rsid w:val="00C00B09"/>
    <w:rsid w:val="00C05724"/>
    <w:rsid w:val="00C1104F"/>
    <w:rsid w:val="00C173F4"/>
    <w:rsid w:val="00C17631"/>
    <w:rsid w:val="00C25938"/>
    <w:rsid w:val="00C309CF"/>
    <w:rsid w:val="00C319F1"/>
    <w:rsid w:val="00C328E4"/>
    <w:rsid w:val="00C33561"/>
    <w:rsid w:val="00C43E70"/>
    <w:rsid w:val="00C46C4E"/>
    <w:rsid w:val="00C51FCC"/>
    <w:rsid w:val="00C52F7D"/>
    <w:rsid w:val="00C60FE9"/>
    <w:rsid w:val="00C634C8"/>
    <w:rsid w:val="00C641B7"/>
    <w:rsid w:val="00C76E8E"/>
    <w:rsid w:val="00C815A0"/>
    <w:rsid w:val="00C829ED"/>
    <w:rsid w:val="00C82AEB"/>
    <w:rsid w:val="00C841DA"/>
    <w:rsid w:val="00C862F1"/>
    <w:rsid w:val="00C92061"/>
    <w:rsid w:val="00C9259C"/>
    <w:rsid w:val="00C933E6"/>
    <w:rsid w:val="00CA0844"/>
    <w:rsid w:val="00CA1480"/>
    <w:rsid w:val="00CA2D5B"/>
    <w:rsid w:val="00CA54C1"/>
    <w:rsid w:val="00CB0AAB"/>
    <w:rsid w:val="00CC5509"/>
    <w:rsid w:val="00CC5F9B"/>
    <w:rsid w:val="00CD4181"/>
    <w:rsid w:val="00CD6FE2"/>
    <w:rsid w:val="00CE01B8"/>
    <w:rsid w:val="00CE3D3B"/>
    <w:rsid w:val="00CF30D9"/>
    <w:rsid w:val="00CF783D"/>
    <w:rsid w:val="00CF7BBF"/>
    <w:rsid w:val="00D042BC"/>
    <w:rsid w:val="00D11E38"/>
    <w:rsid w:val="00D177F6"/>
    <w:rsid w:val="00D17F8E"/>
    <w:rsid w:val="00D21460"/>
    <w:rsid w:val="00D22048"/>
    <w:rsid w:val="00D23DFF"/>
    <w:rsid w:val="00D30315"/>
    <w:rsid w:val="00D34495"/>
    <w:rsid w:val="00D42069"/>
    <w:rsid w:val="00D4537C"/>
    <w:rsid w:val="00D458BA"/>
    <w:rsid w:val="00D51A2E"/>
    <w:rsid w:val="00D7169D"/>
    <w:rsid w:val="00D8010F"/>
    <w:rsid w:val="00D833C7"/>
    <w:rsid w:val="00D84BA7"/>
    <w:rsid w:val="00D852E8"/>
    <w:rsid w:val="00D85E54"/>
    <w:rsid w:val="00D862D3"/>
    <w:rsid w:val="00D95D66"/>
    <w:rsid w:val="00DA13C3"/>
    <w:rsid w:val="00DA4BED"/>
    <w:rsid w:val="00DA5F39"/>
    <w:rsid w:val="00DA5F6F"/>
    <w:rsid w:val="00DC0D2A"/>
    <w:rsid w:val="00DC3378"/>
    <w:rsid w:val="00DC41B7"/>
    <w:rsid w:val="00DC73A5"/>
    <w:rsid w:val="00DD112D"/>
    <w:rsid w:val="00DD4A48"/>
    <w:rsid w:val="00DD6C0A"/>
    <w:rsid w:val="00DE150E"/>
    <w:rsid w:val="00DE16DC"/>
    <w:rsid w:val="00DE551F"/>
    <w:rsid w:val="00DE733E"/>
    <w:rsid w:val="00DF01A7"/>
    <w:rsid w:val="00DF01F6"/>
    <w:rsid w:val="00DF0970"/>
    <w:rsid w:val="00DF1B9E"/>
    <w:rsid w:val="00DF294B"/>
    <w:rsid w:val="00E11FF4"/>
    <w:rsid w:val="00E14A17"/>
    <w:rsid w:val="00E17F52"/>
    <w:rsid w:val="00E2431B"/>
    <w:rsid w:val="00E320B6"/>
    <w:rsid w:val="00E325DD"/>
    <w:rsid w:val="00E3405B"/>
    <w:rsid w:val="00E350DB"/>
    <w:rsid w:val="00E36656"/>
    <w:rsid w:val="00E41232"/>
    <w:rsid w:val="00E516FC"/>
    <w:rsid w:val="00E51E1A"/>
    <w:rsid w:val="00E67E77"/>
    <w:rsid w:val="00E716E0"/>
    <w:rsid w:val="00E803E3"/>
    <w:rsid w:val="00E8501F"/>
    <w:rsid w:val="00E87F1C"/>
    <w:rsid w:val="00E902CD"/>
    <w:rsid w:val="00E920E3"/>
    <w:rsid w:val="00EA3226"/>
    <w:rsid w:val="00EA4BD2"/>
    <w:rsid w:val="00EA59B1"/>
    <w:rsid w:val="00EA6BCB"/>
    <w:rsid w:val="00EA77E9"/>
    <w:rsid w:val="00EB2A10"/>
    <w:rsid w:val="00EB5D3E"/>
    <w:rsid w:val="00EC2248"/>
    <w:rsid w:val="00EC40C3"/>
    <w:rsid w:val="00EC6877"/>
    <w:rsid w:val="00ED4C8F"/>
    <w:rsid w:val="00EE280F"/>
    <w:rsid w:val="00EE36CE"/>
    <w:rsid w:val="00EE478F"/>
    <w:rsid w:val="00EF3769"/>
    <w:rsid w:val="00EF391F"/>
    <w:rsid w:val="00EF6C4A"/>
    <w:rsid w:val="00F06CF1"/>
    <w:rsid w:val="00F07A4C"/>
    <w:rsid w:val="00F1492D"/>
    <w:rsid w:val="00F17DBA"/>
    <w:rsid w:val="00F243C0"/>
    <w:rsid w:val="00F258AA"/>
    <w:rsid w:val="00F26796"/>
    <w:rsid w:val="00F3011D"/>
    <w:rsid w:val="00F341E9"/>
    <w:rsid w:val="00F44BAA"/>
    <w:rsid w:val="00F511EE"/>
    <w:rsid w:val="00F5142A"/>
    <w:rsid w:val="00F53427"/>
    <w:rsid w:val="00F534D6"/>
    <w:rsid w:val="00F53F82"/>
    <w:rsid w:val="00F60096"/>
    <w:rsid w:val="00F656FC"/>
    <w:rsid w:val="00F678DA"/>
    <w:rsid w:val="00F73F6F"/>
    <w:rsid w:val="00F75B4F"/>
    <w:rsid w:val="00F80F84"/>
    <w:rsid w:val="00F82DC8"/>
    <w:rsid w:val="00F868C6"/>
    <w:rsid w:val="00F91A04"/>
    <w:rsid w:val="00F95017"/>
    <w:rsid w:val="00F95220"/>
    <w:rsid w:val="00F9779E"/>
    <w:rsid w:val="00FA4976"/>
    <w:rsid w:val="00FB675B"/>
    <w:rsid w:val="00FD3D1D"/>
    <w:rsid w:val="00FD479E"/>
    <w:rsid w:val="00FE26AC"/>
    <w:rsid w:val="00FF2C02"/>
    <w:rsid w:val="00FF6492"/>
    <w:rsid w:val="142629A0"/>
    <w:rsid w:val="2CC050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uiPriority="39" w:semiHidden="0" w:name="toc 7"/>
    <w:lsdException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5"/>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uiPriority w:val="39"/>
    <w:pPr>
      <w:ind w:left="2520" w:leftChars="1200"/>
    </w:pPr>
    <w:rPr>
      <w:rFonts w:asciiTheme="minorHAnsi" w:hAnsiTheme="minorHAnsi" w:eastAsiaTheme="minorEastAsia" w:cstheme="minorBidi"/>
      <w:szCs w:val="22"/>
    </w:rPr>
  </w:style>
  <w:style w:type="paragraph" w:styleId="6">
    <w:name w:val="annotation text"/>
    <w:basedOn w:val="1"/>
    <w:link w:val="56"/>
    <w:semiHidden/>
    <w:unhideWhenUsed/>
    <w:qFormat/>
    <w:uiPriority w:val="99"/>
    <w:pPr>
      <w:jc w:val="left"/>
    </w:pPr>
  </w:style>
  <w:style w:type="paragraph" w:styleId="7">
    <w:name w:val="toc 5"/>
    <w:basedOn w:val="1"/>
    <w:next w:val="1"/>
    <w:unhideWhenUsed/>
    <w:uiPriority w:val="39"/>
    <w:pPr>
      <w:ind w:left="1680" w:leftChars="800"/>
    </w:pPr>
    <w:rPr>
      <w:rFonts w:asciiTheme="minorHAnsi" w:hAnsiTheme="minorHAnsi" w:eastAsiaTheme="minorEastAsia" w:cstheme="minorBidi"/>
      <w:szCs w:val="22"/>
    </w:rPr>
  </w:style>
  <w:style w:type="paragraph" w:styleId="8">
    <w:name w:val="toc 3"/>
    <w:basedOn w:val="1"/>
    <w:next w:val="1"/>
    <w:unhideWhenUsed/>
    <w:uiPriority w:val="39"/>
    <w:pPr>
      <w:ind w:left="840" w:leftChars="400"/>
    </w:pPr>
    <w:rPr>
      <w:rFonts w:asciiTheme="minorHAnsi" w:hAnsiTheme="minorHAnsi" w:eastAsiaTheme="minorEastAsia" w:cstheme="minorBidi"/>
      <w:szCs w:val="22"/>
    </w:rPr>
  </w:style>
  <w:style w:type="paragraph" w:styleId="9">
    <w:name w:val="Plain Text"/>
    <w:basedOn w:val="1"/>
    <w:link w:val="46"/>
    <w:uiPriority w:val="0"/>
    <w:rPr>
      <w:rFonts w:ascii="宋体" w:hAnsi="Courier New" w:cs="宋体" w:eastAsiaTheme="minorEastAsia"/>
      <w:szCs w:val="21"/>
    </w:rPr>
  </w:style>
  <w:style w:type="paragraph" w:styleId="10">
    <w:name w:val="toc 8"/>
    <w:basedOn w:val="1"/>
    <w:next w:val="1"/>
    <w:unhideWhenUsed/>
    <w:uiPriority w:val="39"/>
    <w:pPr>
      <w:ind w:left="2940" w:leftChars="1400"/>
    </w:pPr>
    <w:rPr>
      <w:rFonts w:asciiTheme="minorHAnsi" w:hAnsiTheme="minorHAnsi" w:eastAsiaTheme="minorEastAsia" w:cstheme="minorBidi"/>
      <w:szCs w:val="22"/>
    </w:rPr>
  </w:style>
  <w:style w:type="paragraph" w:styleId="11">
    <w:name w:val="Balloon Text"/>
    <w:basedOn w:val="1"/>
    <w:link w:val="49"/>
    <w:semiHidden/>
    <w:unhideWhenUsed/>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16">
    <w:name w:val="Subtitle"/>
    <w:basedOn w:val="1"/>
    <w:next w:val="1"/>
    <w:link w:val="53"/>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7">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18">
    <w:name w:val="toc 2"/>
    <w:basedOn w:val="1"/>
    <w:next w:val="1"/>
    <w:unhideWhenUsed/>
    <w:qFormat/>
    <w:uiPriority w:val="39"/>
    <w:pPr>
      <w:ind w:left="420" w:leftChars="200"/>
    </w:pPr>
  </w:style>
  <w:style w:type="paragraph" w:styleId="19">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0">
    <w:name w:val="Title"/>
    <w:basedOn w:val="1"/>
    <w:next w:val="1"/>
    <w:link w:val="50"/>
    <w:qFormat/>
    <w:uiPriority w:val="10"/>
    <w:pPr>
      <w:spacing w:before="240" w:after="60"/>
      <w:jc w:val="center"/>
      <w:outlineLvl w:val="0"/>
    </w:pPr>
    <w:rPr>
      <w:rFonts w:asciiTheme="majorHAnsi" w:hAnsiTheme="majorHAnsi" w:eastAsiaTheme="majorEastAsia" w:cstheme="majorBidi"/>
      <w:b/>
      <w:bCs/>
      <w:sz w:val="32"/>
      <w:szCs w:val="32"/>
    </w:rPr>
  </w:style>
  <w:style w:type="paragraph" w:styleId="21">
    <w:name w:val="annotation subject"/>
    <w:basedOn w:val="6"/>
    <w:next w:val="6"/>
    <w:link w:val="57"/>
    <w:semiHidden/>
    <w:unhideWhenUsed/>
    <w:qFormat/>
    <w:uiPriority w:val="99"/>
    <w:rPr>
      <w:b/>
      <w:bCs/>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Emphasis"/>
    <w:basedOn w:val="24"/>
    <w:qFormat/>
    <w:uiPriority w:val="20"/>
    <w:rPr>
      <w:i/>
      <w:iCs/>
    </w:rPr>
  </w:style>
  <w:style w:type="character" w:styleId="26">
    <w:name w:val="Hyperlink"/>
    <w:basedOn w:val="24"/>
    <w:unhideWhenUsed/>
    <w:qFormat/>
    <w:uiPriority w:val="99"/>
    <w:rPr>
      <w:color w:val="0000FF"/>
      <w:u w:val="single"/>
    </w:rPr>
  </w:style>
  <w:style w:type="character" w:styleId="27">
    <w:name w:val="annotation reference"/>
    <w:basedOn w:val="24"/>
    <w:semiHidden/>
    <w:unhideWhenUsed/>
    <w:qFormat/>
    <w:uiPriority w:val="99"/>
    <w:rPr>
      <w:sz w:val="21"/>
      <w:szCs w:val="21"/>
    </w:rPr>
  </w:style>
  <w:style w:type="character" w:customStyle="1" w:styleId="28">
    <w:name w:val="标题 1 字符"/>
    <w:basedOn w:val="24"/>
    <w:link w:val="2"/>
    <w:qFormat/>
    <w:uiPriority w:val="99"/>
    <w:rPr>
      <w:rFonts w:ascii="Times New Roman" w:hAnsi="Times New Roman" w:eastAsia="宋体" w:cs="Times New Roman"/>
      <w:b/>
      <w:bCs/>
      <w:kern w:val="44"/>
      <w:sz w:val="44"/>
      <w:szCs w:val="44"/>
    </w:rPr>
  </w:style>
  <w:style w:type="paragraph" w:customStyle="1" w:styleId="29">
    <w:name w:val="样式 表主题"/>
    <w:basedOn w:val="1"/>
    <w:qFormat/>
    <w:uiPriority w:val="0"/>
    <w:pPr>
      <w:spacing w:line="400" w:lineRule="exact"/>
      <w:jc w:val="center"/>
    </w:pPr>
    <w:rPr>
      <w:rFonts w:eastAsia="黑体" w:cs="宋体"/>
      <w:sz w:val="18"/>
      <w:szCs w:val="20"/>
    </w:rPr>
  </w:style>
  <w:style w:type="character" w:customStyle="1" w:styleId="30">
    <w:name w:val="标题 2 字符"/>
    <w:basedOn w:val="24"/>
    <w:link w:val="3"/>
    <w:qFormat/>
    <w:uiPriority w:val="9"/>
    <w:rPr>
      <w:rFonts w:asciiTheme="majorHAnsi" w:hAnsiTheme="majorHAnsi" w:eastAsiaTheme="majorEastAsia" w:cstheme="majorBidi"/>
      <w:b/>
      <w:bCs/>
      <w:sz w:val="32"/>
      <w:szCs w:val="32"/>
    </w:rPr>
  </w:style>
  <w:style w:type="character" w:customStyle="1" w:styleId="31">
    <w:name w:val="页眉 字符"/>
    <w:basedOn w:val="24"/>
    <w:link w:val="13"/>
    <w:qFormat/>
    <w:uiPriority w:val="99"/>
    <w:rPr>
      <w:rFonts w:ascii="Times New Roman" w:hAnsi="Times New Roman" w:eastAsia="宋体" w:cs="Times New Roman"/>
      <w:sz w:val="18"/>
      <w:szCs w:val="18"/>
    </w:rPr>
  </w:style>
  <w:style w:type="character" w:customStyle="1" w:styleId="32">
    <w:name w:val="页脚 字符"/>
    <w:basedOn w:val="24"/>
    <w:link w:val="12"/>
    <w:qFormat/>
    <w:uiPriority w:val="99"/>
    <w:rPr>
      <w:rFonts w:ascii="Times New Roman" w:hAnsi="Times New Roman" w:eastAsia="宋体" w:cs="Times New Roman"/>
      <w:sz w:val="18"/>
      <w:szCs w:val="18"/>
    </w:rPr>
  </w:style>
  <w:style w:type="paragraph" w:customStyle="1" w:styleId="33">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34">
    <w:name w:val="段 Char"/>
    <w:link w:val="35"/>
    <w:qFormat/>
    <w:locked/>
    <w:uiPriority w:val="0"/>
    <w:rPr>
      <w:rFonts w:ascii="宋体" w:hAnsi="宋体" w:eastAsia="宋体"/>
    </w:rPr>
  </w:style>
  <w:style w:type="paragraph" w:customStyle="1" w:styleId="35">
    <w:name w:val="段"/>
    <w:link w:val="34"/>
    <w:qFormat/>
    <w:uiPriority w:val="0"/>
    <w:pPr>
      <w:tabs>
        <w:tab w:val="center" w:pos="4201"/>
        <w:tab w:val="right" w:leader="dot" w:pos="9298"/>
      </w:tabs>
      <w:autoSpaceDE w:val="0"/>
      <w:autoSpaceDN w:val="0"/>
      <w:ind w:firstLine="420" w:firstLineChars="200"/>
      <w:jc w:val="both"/>
    </w:pPr>
    <w:rPr>
      <w:rFonts w:ascii="宋体" w:hAnsi="宋体" w:eastAsia="宋体" w:cstheme="minorBidi"/>
      <w:kern w:val="2"/>
      <w:sz w:val="21"/>
      <w:szCs w:val="22"/>
      <w:lang w:val="en-US" w:eastAsia="zh-CN" w:bidi="ar-SA"/>
    </w:rPr>
  </w:style>
  <w:style w:type="paragraph" w:customStyle="1" w:styleId="36">
    <w:name w:val="正文表标题"/>
    <w:next w:val="35"/>
    <w:qFormat/>
    <w:uiPriority w:val="0"/>
    <w:pPr>
      <w:tabs>
        <w:tab w:val="left" w:pos="720"/>
      </w:tabs>
      <w:spacing w:beforeLines="50" w:afterLines="50"/>
      <w:ind w:left="720" w:hanging="720"/>
      <w:jc w:val="center"/>
    </w:pPr>
    <w:rPr>
      <w:rFonts w:ascii="黑体" w:hAnsi="Times New Roman" w:eastAsia="黑体" w:cs="Times New Roman"/>
      <w:sz w:val="21"/>
      <w:lang w:val="en-US" w:eastAsia="zh-CN" w:bidi="ar-SA"/>
    </w:rPr>
  </w:style>
  <w:style w:type="paragraph" w:customStyle="1" w:styleId="37">
    <w:name w:val="一级条标题"/>
    <w:next w:val="35"/>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8">
    <w:name w:val="章标题"/>
    <w:next w:val="35"/>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39">
    <w:name w:val="二级条标题"/>
    <w:basedOn w:val="37"/>
    <w:next w:val="35"/>
    <w:qFormat/>
    <w:uiPriority w:val="0"/>
    <w:pPr>
      <w:numPr>
        <w:ilvl w:val="2"/>
      </w:numPr>
      <w:spacing w:before="50" w:after="50"/>
      <w:ind w:left="0"/>
      <w:outlineLvl w:val="3"/>
    </w:pPr>
  </w:style>
  <w:style w:type="paragraph" w:customStyle="1" w:styleId="40">
    <w:name w:val="三级条标题"/>
    <w:basedOn w:val="39"/>
    <w:next w:val="35"/>
    <w:qFormat/>
    <w:uiPriority w:val="0"/>
    <w:pPr>
      <w:numPr>
        <w:ilvl w:val="3"/>
      </w:numPr>
      <w:outlineLvl w:val="4"/>
    </w:pPr>
  </w:style>
  <w:style w:type="paragraph" w:customStyle="1" w:styleId="41">
    <w:name w:val="四级条标题"/>
    <w:basedOn w:val="40"/>
    <w:next w:val="35"/>
    <w:qFormat/>
    <w:uiPriority w:val="0"/>
    <w:pPr>
      <w:numPr>
        <w:ilvl w:val="4"/>
      </w:numPr>
      <w:ind w:left="0"/>
      <w:outlineLvl w:val="5"/>
    </w:pPr>
  </w:style>
  <w:style w:type="paragraph" w:customStyle="1" w:styleId="42">
    <w:name w:val="五级条标题"/>
    <w:basedOn w:val="41"/>
    <w:next w:val="35"/>
    <w:qFormat/>
    <w:uiPriority w:val="0"/>
    <w:pPr>
      <w:numPr>
        <w:ilvl w:val="5"/>
      </w:numPr>
      <w:outlineLvl w:val="6"/>
    </w:pPr>
  </w:style>
  <w:style w:type="paragraph" w:customStyle="1" w:styleId="43">
    <w:name w:val="二级无"/>
    <w:basedOn w:val="39"/>
    <w:qFormat/>
    <w:uiPriority w:val="0"/>
    <w:pPr>
      <w:spacing w:beforeLines="0" w:afterLines="0"/>
      <w:ind w:left="851"/>
    </w:pPr>
    <w:rPr>
      <w:rFonts w:ascii="宋体" w:eastAsia="宋体"/>
    </w:rPr>
  </w:style>
  <w:style w:type="paragraph" w:styleId="44">
    <w:name w:val="List Paragraph"/>
    <w:basedOn w:val="1"/>
    <w:qFormat/>
    <w:uiPriority w:val="34"/>
    <w:pPr>
      <w:ind w:firstLine="420" w:firstLineChars="200"/>
    </w:pPr>
  </w:style>
  <w:style w:type="table" w:customStyle="1" w:styleId="45">
    <w:name w:val="网格型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纯文本 字符"/>
    <w:link w:val="9"/>
    <w:qFormat/>
    <w:locked/>
    <w:uiPriority w:val="0"/>
    <w:rPr>
      <w:rFonts w:ascii="宋体" w:hAnsi="Courier New" w:cs="宋体"/>
      <w:szCs w:val="21"/>
    </w:rPr>
  </w:style>
  <w:style w:type="character" w:customStyle="1" w:styleId="47">
    <w:name w:val="纯文本 Char1"/>
    <w:basedOn w:val="24"/>
    <w:semiHidden/>
    <w:qFormat/>
    <w:uiPriority w:val="99"/>
    <w:rPr>
      <w:rFonts w:ascii="宋体" w:hAnsi="Courier New" w:eastAsia="宋体" w:cs="Courier New"/>
      <w:szCs w:val="21"/>
    </w:rPr>
  </w:style>
  <w:style w:type="paragraph" w:customStyle="1" w:styleId="4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9">
    <w:name w:val="批注框文本 字符"/>
    <w:basedOn w:val="24"/>
    <w:link w:val="11"/>
    <w:semiHidden/>
    <w:uiPriority w:val="99"/>
    <w:rPr>
      <w:rFonts w:ascii="Times New Roman" w:hAnsi="Times New Roman" w:eastAsia="宋体" w:cs="Times New Roman"/>
      <w:sz w:val="18"/>
      <w:szCs w:val="18"/>
    </w:rPr>
  </w:style>
  <w:style w:type="character" w:customStyle="1" w:styleId="50">
    <w:name w:val="标题 字符"/>
    <w:basedOn w:val="24"/>
    <w:link w:val="20"/>
    <w:qFormat/>
    <w:uiPriority w:val="10"/>
    <w:rPr>
      <w:rFonts w:asciiTheme="majorHAnsi" w:hAnsiTheme="majorHAnsi" w:eastAsiaTheme="majorEastAsia" w:cstheme="majorBidi"/>
      <w:b/>
      <w:bCs/>
      <w:sz w:val="32"/>
      <w:szCs w:val="32"/>
    </w:rPr>
  </w:style>
  <w:style w:type="character" w:customStyle="1" w:styleId="51">
    <w:name w:val="标题 1 Char"/>
    <w:qFormat/>
    <w:locked/>
    <w:uiPriority w:val="99"/>
    <w:rPr>
      <w:b/>
      <w:kern w:val="44"/>
      <w:sz w:val="30"/>
    </w:rPr>
  </w:style>
  <w:style w:type="paragraph" w:customStyle="1" w:styleId="52">
    <w:name w:val="注："/>
    <w:next w:val="35"/>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character" w:customStyle="1" w:styleId="53">
    <w:name w:val="副标题 字符"/>
    <w:basedOn w:val="24"/>
    <w:link w:val="16"/>
    <w:uiPriority w:val="11"/>
    <w:rPr>
      <w:b/>
      <w:bCs/>
      <w:kern w:val="28"/>
      <w:sz w:val="32"/>
      <w:szCs w:val="32"/>
    </w:rPr>
  </w:style>
  <w:style w:type="character" w:customStyle="1" w:styleId="54">
    <w:name w:val="不明显强调1"/>
    <w:basedOn w:val="24"/>
    <w:qFormat/>
    <w:uiPriority w:val="19"/>
    <w:rPr>
      <w:i/>
      <w:iCs/>
      <w:color w:val="404040" w:themeColor="text1" w:themeTint="BF"/>
      <w14:textFill>
        <w14:solidFill>
          <w14:schemeClr w14:val="tx1">
            <w14:lumMod w14:val="75000"/>
            <w14:lumOff w14:val="25000"/>
          </w14:schemeClr>
        </w14:solidFill>
      </w14:textFill>
    </w:rPr>
  </w:style>
  <w:style w:type="character" w:customStyle="1" w:styleId="55">
    <w:name w:val="标题 3 字符"/>
    <w:basedOn w:val="24"/>
    <w:link w:val="4"/>
    <w:uiPriority w:val="9"/>
    <w:rPr>
      <w:rFonts w:ascii="Times New Roman" w:hAnsi="Times New Roman" w:eastAsia="宋体" w:cs="Times New Roman"/>
      <w:b/>
      <w:bCs/>
      <w:sz w:val="32"/>
      <w:szCs w:val="32"/>
    </w:rPr>
  </w:style>
  <w:style w:type="character" w:customStyle="1" w:styleId="56">
    <w:name w:val="批注文字 字符"/>
    <w:basedOn w:val="24"/>
    <w:link w:val="6"/>
    <w:semiHidden/>
    <w:qFormat/>
    <w:uiPriority w:val="99"/>
    <w:rPr>
      <w:rFonts w:ascii="Times New Roman" w:hAnsi="Times New Roman" w:eastAsia="宋体" w:cs="Times New Roman"/>
      <w:szCs w:val="24"/>
    </w:rPr>
  </w:style>
  <w:style w:type="character" w:customStyle="1" w:styleId="57">
    <w:name w:val="批注主题 字符"/>
    <w:basedOn w:val="56"/>
    <w:link w:val="21"/>
    <w:semiHidden/>
    <w:qFormat/>
    <w:uiPriority w:val="99"/>
    <w:rPr>
      <w:rFonts w:ascii="Times New Roman" w:hAnsi="Times New Roman" w:eastAsia="宋体" w:cs="Times New Roman"/>
      <w:b/>
      <w:bCs/>
      <w:szCs w:val="24"/>
    </w:rPr>
  </w:style>
  <w:style w:type="paragraph" w:customStyle="1" w:styleId="58">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59">
    <w:name w:val="列出段落1"/>
    <w:basedOn w:val="1"/>
    <w:qFormat/>
    <w:uiPriority w:val="0"/>
    <w:pPr>
      <w:spacing w:line="360" w:lineRule="auto"/>
      <w:ind w:firstLine="420" w:firstLineChars="200"/>
    </w:pPr>
    <w:rPr>
      <w:rFonts w:ascii="Calibri"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3" Type="http://schemas.openxmlformats.org/officeDocument/2006/relationships/fontTable" Target="fontTable.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2.wmf"/><Relationship Id="rId79" Type="http://schemas.openxmlformats.org/officeDocument/2006/relationships/oleObject" Target="embeddings/oleObject37.bin"/><Relationship Id="rId78" Type="http://schemas.openxmlformats.org/officeDocument/2006/relationships/image" Target="media/image37.wmf"/><Relationship Id="rId77" Type="http://schemas.openxmlformats.org/officeDocument/2006/relationships/oleObject" Target="embeddings/oleObject36.bin"/><Relationship Id="rId76" Type="http://schemas.openxmlformats.org/officeDocument/2006/relationships/image" Target="media/image36.wmf"/><Relationship Id="rId75" Type="http://schemas.openxmlformats.org/officeDocument/2006/relationships/oleObject" Target="embeddings/oleObject35.bin"/><Relationship Id="rId74" Type="http://schemas.openxmlformats.org/officeDocument/2006/relationships/image" Target="media/image35.wmf"/><Relationship Id="rId73" Type="http://schemas.openxmlformats.org/officeDocument/2006/relationships/oleObject" Target="embeddings/oleObject34.bin"/><Relationship Id="rId72" Type="http://schemas.openxmlformats.org/officeDocument/2006/relationships/image" Target="media/image34.wmf"/><Relationship Id="rId71" Type="http://schemas.openxmlformats.org/officeDocument/2006/relationships/oleObject" Target="embeddings/oleObject33.bin"/><Relationship Id="rId70" Type="http://schemas.openxmlformats.org/officeDocument/2006/relationships/image" Target="media/image33.w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image" Target="media/image1.png"/><Relationship Id="rId59" Type="http://schemas.openxmlformats.org/officeDocument/2006/relationships/oleObject" Target="embeddings/oleObject27.bin"/><Relationship Id="rId58" Type="http://schemas.openxmlformats.org/officeDocument/2006/relationships/image" Target="media/image27.wmf"/><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image" Target="media/image25.wmf"/><Relationship Id="rId53" Type="http://schemas.openxmlformats.org/officeDocument/2006/relationships/oleObject" Target="embeddings/oleObject24.bin"/><Relationship Id="rId52" Type="http://schemas.openxmlformats.org/officeDocument/2006/relationships/image" Target="media/image24.wmf"/><Relationship Id="rId51" Type="http://schemas.openxmlformats.org/officeDocument/2006/relationships/oleObject" Target="embeddings/oleObject23.bin"/><Relationship Id="rId50" Type="http://schemas.openxmlformats.org/officeDocument/2006/relationships/image" Target="media/image23.wmf"/><Relationship Id="rId5" Type="http://schemas.openxmlformats.org/officeDocument/2006/relationships/theme" Target="theme/theme1.xml"/><Relationship Id="rId49" Type="http://schemas.openxmlformats.org/officeDocument/2006/relationships/oleObject" Target="embeddings/oleObject22.bin"/><Relationship Id="rId48" Type="http://schemas.openxmlformats.org/officeDocument/2006/relationships/image" Target="media/image22.wmf"/><Relationship Id="rId47" Type="http://schemas.openxmlformats.org/officeDocument/2006/relationships/oleObject" Target="embeddings/oleObject21.bin"/><Relationship Id="rId46" Type="http://schemas.openxmlformats.org/officeDocument/2006/relationships/image" Target="media/image21.wmf"/><Relationship Id="rId45" Type="http://schemas.openxmlformats.org/officeDocument/2006/relationships/oleObject" Target="embeddings/oleObject20.bin"/><Relationship Id="rId44" Type="http://schemas.openxmlformats.org/officeDocument/2006/relationships/image" Target="media/image20.wmf"/><Relationship Id="rId43" Type="http://schemas.openxmlformats.org/officeDocument/2006/relationships/oleObject" Target="embeddings/oleObject19.bin"/><Relationship Id="rId42" Type="http://schemas.openxmlformats.org/officeDocument/2006/relationships/image" Target="media/image19.wmf"/><Relationship Id="rId41" Type="http://schemas.openxmlformats.org/officeDocument/2006/relationships/oleObject" Target="embeddings/oleObject18.bin"/><Relationship Id="rId40" Type="http://schemas.openxmlformats.org/officeDocument/2006/relationships/image" Target="media/image18.w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7.wmf"/><Relationship Id="rId37" Type="http://schemas.openxmlformats.org/officeDocument/2006/relationships/oleObject" Target="embeddings/oleObject16.bin"/><Relationship Id="rId36" Type="http://schemas.openxmlformats.org/officeDocument/2006/relationships/image" Target="media/image16.wmf"/><Relationship Id="rId35" Type="http://schemas.openxmlformats.org/officeDocument/2006/relationships/oleObject" Target="embeddings/oleObject15.bin"/><Relationship Id="rId34" Type="http://schemas.openxmlformats.org/officeDocument/2006/relationships/image" Target="media/image15.wmf"/><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image" Target="media/image10.wmf"/><Relationship Id="rId23" Type="http://schemas.openxmlformats.org/officeDocument/2006/relationships/oleObject" Target="embeddings/oleObject9.bin"/><Relationship Id="rId22" Type="http://schemas.openxmlformats.org/officeDocument/2006/relationships/image" Target="media/image9.wmf"/><Relationship Id="rId21" Type="http://schemas.openxmlformats.org/officeDocument/2006/relationships/oleObject" Target="embeddings/oleObject8.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wmf"/><Relationship Id="rId17" Type="http://schemas.openxmlformats.org/officeDocument/2006/relationships/oleObject" Target="embeddings/oleObject6.bin"/><Relationship Id="rId16" Type="http://schemas.openxmlformats.org/officeDocument/2006/relationships/image" Target="media/image6.wmf"/><Relationship Id="rId15" Type="http://schemas.openxmlformats.org/officeDocument/2006/relationships/oleObject" Target="embeddings/oleObject5.bin"/><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706C96-728B-4FA1-8675-8319319846B4}">
  <ds:schemaRefs/>
</ds:datastoreItem>
</file>

<file path=docProps/app.xml><?xml version="1.0" encoding="utf-8"?>
<Properties xmlns="http://schemas.openxmlformats.org/officeDocument/2006/extended-properties" xmlns:vt="http://schemas.openxmlformats.org/officeDocument/2006/docPropsVTypes">
  <Template>Normal</Template>
  <Company>HP</Company>
  <Pages>52</Pages>
  <Words>3199</Words>
  <Characters>18239</Characters>
  <Lines>151</Lines>
  <Paragraphs>42</Paragraphs>
  <TotalTime>30</TotalTime>
  <ScaleCrop>false</ScaleCrop>
  <LinksUpToDate>false</LinksUpToDate>
  <CharactersWithSpaces>21396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2021-11-15T08:27:00Z</dcterms:created>
  <dc:creator>张惠丽</dc:creator>
  <cp:lastModifiedBy>zj180309</cp:lastModifiedBy>
  <cp:lastPrinted>2021-11-18T15:02:00Z</cp:lastPrinted>
  <dcterms:modified xsi:type="dcterms:W3CDTF">2021-11-19T06:08:34Z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A44B2799725D45EAB39667613CA9DB34</vt:lpwstr>
  </property>
</Properties>
</file>