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cs="Times New Roman"/>
          <w:sz w:val="20"/>
          <w:szCs w:val="20"/>
        </w:rPr>
      </w:pPr>
      <w:bookmarkStart w:id="0" w:name="_Hlk518993094"/>
      <w:bookmarkEnd w:id="0"/>
      <w:r>
        <w:rPr>
          <w:rFonts w:cs="Times New Roman"/>
          <w:sz w:val="20"/>
          <w:szCs w:val="20"/>
        </w:rPr>
        <w:t>ICS 91.100.10</w:t>
      </w:r>
    </w:p>
    <w:p>
      <w:pPr>
        <w:ind w:firstLine="0" w:firstLineChars="0"/>
        <w:rPr>
          <w:rFonts w:cs="Times New Roman"/>
          <w:sz w:val="20"/>
          <w:szCs w:val="20"/>
        </w:rPr>
      </w:pPr>
      <w:r>
        <w:rPr>
          <w:rFonts w:cs="Times New Roman"/>
          <w:sz w:val="20"/>
          <w:szCs w:val="20"/>
        </w:rPr>
        <w:t>Q 1</w:t>
      </w:r>
      <w:r>
        <w:rPr>
          <w:rFonts w:hint="eastAsia" w:cs="Times New Roman"/>
          <w:sz w:val="20"/>
          <w:szCs w:val="20"/>
        </w:rPr>
        <w:t>2</w:t>
      </w:r>
    </w:p>
    <w:p>
      <w:pPr>
        <w:ind w:firstLine="400"/>
        <w:rPr>
          <w:rFonts w:eastAsia="Times New Roman" w:cs="Times New Roman"/>
          <w:sz w:val="20"/>
          <w:szCs w:val="20"/>
        </w:rPr>
      </w:pPr>
    </w:p>
    <w:p>
      <w:pPr>
        <w:ind w:firstLine="0" w:firstLineChars="0"/>
        <w:jc w:val="distribute"/>
        <w:rPr>
          <w:rFonts w:eastAsia="微软雅黑" w:cs="Times New Roman"/>
          <w:sz w:val="56"/>
          <w:szCs w:val="52"/>
        </w:rPr>
      </w:pPr>
      <w:r>
        <w:rPr>
          <w:rFonts w:eastAsia="微软雅黑" w:cs="Times New Roman"/>
          <w:sz w:val="56"/>
          <w:szCs w:val="52"/>
        </w:rPr>
        <w:t>团体标准</w:t>
      </w:r>
    </w:p>
    <w:p>
      <w:pPr>
        <w:spacing w:before="201"/>
        <w:ind w:left="4724" w:firstLine="556"/>
        <w:jc w:val="right"/>
        <w:rPr>
          <w:rFonts w:eastAsia="Times New Roman" w:cs="Times New Roman"/>
          <w:sz w:val="28"/>
          <w:szCs w:val="28"/>
        </w:rPr>
      </w:pPr>
      <w:r>
        <w:rPr>
          <w:rFonts w:cs="Times New Roman"/>
          <w:color w:val="050505"/>
          <w:spacing w:val="-1"/>
          <w:sz w:val="28"/>
          <w:szCs w:val="28"/>
        </w:rPr>
        <w:t>T/CECS</w:t>
      </w:r>
      <w:r>
        <w:rPr>
          <w:rFonts w:cs="Times New Roman"/>
          <w:color w:val="050505"/>
          <w:sz w:val="28"/>
          <w:szCs w:val="28"/>
        </w:rPr>
        <w:t xml:space="preserve">  ×××××—20</w:t>
      </w:r>
      <w:r>
        <w:rPr>
          <w:rFonts w:hint="eastAsia" w:cs="Times New Roman"/>
          <w:color w:val="050505"/>
          <w:sz w:val="28"/>
          <w:szCs w:val="28"/>
        </w:rPr>
        <w:t>2</w:t>
      </w:r>
      <w:r>
        <w:rPr>
          <w:rFonts w:cs="Times New Roman"/>
          <w:color w:val="050505"/>
          <w:sz w:val="28"/>
          <w:szCs w:val="28"/>
        </w:rPr>
        <w:t>×</w:t>
      </w:r>
    </w:p>
    <w:p>
      <w:pPr>
        <w:spacing w:before="5"/>
        <w:ind w:firstLine="40"/>
        <w:rPr>
          <w:rFonts w:eastAsia="Times New Roman" w:cs="Times New Roman"/>
          <w:b/>
          <w:bCs/>
          <w:sz w:val="17"/>
          <w:szCs w:val="17"/>
        </w:rPr>
      </w:pPr>
      <w:r>
        <w:rPr>
          <w:rFonts w:eastAsia="Times New Roman" w:cs="Times New Roman"/>
          <w:sz w:val="2"/>
          <w:szCs w:val="2"/>
        </w:rPr>
        <mc:AlternateContent>
          <mc:Choice Requires="wpg">
            <w:drawing>
              <wp:inline distT="0" distB="0" distL="0" distR="0">
                <wp:extent cx="5274310" cy="8890"/>
                <wp:effectExtent l="0" t="9525" r="2540" b="635"/>
                <wp:docPr id="4" name="Group 12"/>
                <wp:cNvGraphicFramePr/>
                <a:graphic xmlns:a="http://schemas.openxmlformats.org/drawingml/2006/main">
                  <a:graphicData uri="http://schemas.microsoft.com/office/word/2010/wordprocessingGroup">
                    <wpg:wgp>
                      <wpg:cNvGrpSpPr/>
                      <wpg:grpSpPr>
                        <a:xfrm>
                          <a:off x="0" y="0"/>
                          <a:ext cx="5274310" cy="8890"/>
                          <a:chOff x="0" y="0"/>
                          <a:chExt cx="8699" cy="15203"/>
                        </a:xfrm>
                      </wpg:grpSpPr>
                      <wpg:grpSp>
                        <wpg:cNvPr id="5" name="Group 5"/>
                        <wpg:cNvGrpSpPr/>
                        <wpg:grpSpPr>
                          <a:xfrm>
                            <a:off x="8" y="8"/>
                            <a:ext cx="8684" cy="2"/>
                            <a:chOff x="8" y="8"/>
                            <a:chExt cx="8684" cy="2"/>
                          </a:xfrm>
                        </wpg:grpSpPr>
                        <wps:wsp>
                          <wps:cNvPr id="6" name="Freeform 6"/>
                          <wps:cNvSpPr>
                            <a:spLocks noChangeArrowheads="1"/>
                          </wps:cNvSpPr>
                          <wps:spPr bwMode="auto">
                            <a:xfrm>
                              <a:off x="8" y="8"/>
                              <a:ext cx="8684" cy="2"/>
                            </a:xfrm>
                            <a:custGeom>
                              <a:avLst/>
                              <a:gdLst>
                                <a:gd name="T0" fmla="*/ 0 w 8684"/>
                                <a:gd name="T1" fmla="*/ 0 h 1"/>
                                <a:gd name="T2" fmla="*/ 8684 w 8684"/>
                                <a:gd name="T3" fmla="*/ 0 h 1"/>
                              </a:gdLst>
                              <a:ahLst/>
                              <a:cxnLst>
                                <a:cxn ang="0">
                                  <a:pos x="T0" y="T1"/>
                                </a:cxn>
                                <a:cxn ang="0">
                                  <a:pos x="T2" y="T3"/>
                                </a:cxn>
                              </a:cxnLst>
                              <a:rect l="0" t="0" r="r" b="b"/>
                              <a:pathLst>
                                <a:path w="8684" h="1">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12" o:spid="_x0000_s1026" o:spt="203" style="height:0.7pt;width:415.3pt;" coordsize="8699,15203"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">
                <o:lock v:ext="edit" aspectratio="f"/>
                <v:group id="Group 5" o:spid="_x0000_s1026" o:spt="203" style="position:absolute;left:8;top:8;height:2;width:8684;" coordorigin="8,8" coordsize="8684,2"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Freeform 6" o:spid="_x0000_s1026" o:spt="100" style="position:absolute;left:8;top:8;height:2;width:8684;" filled="f" stroked="t" coordsize="8684,1" o:gfxdata="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8t777gAAADaAAAA&#10;DwAAAAAAAAABACAAAAAiAAAAZHJzL2Rvd25yZXYueG1sUEsBAhQAFAAAAAgAh07iQDMvBZ47AAAA&#10;OQAAABAAAAAAAAAAAQAgAAAABwEAAGRycy9zaGFwZXhtbC54bWxQSwUGAAAAAAYABgBbAQAAsQMA&#10;AAAA&#10;" path="m0,0l8684,0e">
                    <v:path o:connectlocs="0,0;8684,0" o:connectangles="0,0"/>
                    <v:fill on="f" focussize="0,0"/>
                    <v:stroke color="#000000" joinstyle="round"/>
                    <v:imagedata o:title=""/>
                    <o:lock v:ext="edit" aspectratio="f"/>
                  </v:shape>
                </v:group>
                <w10:wrap type="none"/>
                <w10:anchorlock/>
              </v:group>
            </w:pict>
          </mc:Fallback>
        </mc:AlternateContent>
      </w:r>
    </w:p>
    <w:p>
      <w:pPr>
        <w:spacing w:line="20" w:lineRule="atLeast"/>
        <w:ind w:left="119" w:firstLine="40"/>
        <w:rPr>
          <w:rFonts w:eastAsia="Times New Roman" w:cs="Times New Roman"/>
          <w:sz w:val="2"/>
          <w:szCs w:val="2"/>
        </w:rPr>
      </w:pPr>
    </w:p>
    <w:p>
      <w:pPr>
        <w:ind w:firstLine="402"/>
        <w:rPr>
          <w:rFonts w:cs="Times New Roman"/>
          <w:b/>
          <w:bCs/>
          <w:sz w:val="20"/>
          <w:szCs w:val="20"/>
        </w:rPr>
      </w:pPr>
    </w:p>
    <w:p>
      <w:pPr>
        <w:ind w:firstLine="402"/>
        <w:rPr>
          <w:rFonts w:eastAsia="Times New Roman" w:cs="Times New Roman"/>
          <w:b/>
          <w:bCs/>
          <w:sz w:val="20"/>
          <w:szCs w:val="20"/>
        </w:rPr>
      </w:pPr>
    </w:p>
    <w:p>
      <w:pPr>
        <w:ind w:firstLine="402"/>
        <w:rPr>
          <w:rFonts w:eastAsia="Times New Roman" w:cs="Times New Roman"/>
          <w:b/>
          <w:bCs/>
          <w:sz w:val="20"/>
          <w:szCs w:val="20"/>
        </w:rPr>
      </w:pPr>
    </w:p>
    <w:p>
      <w:pPr>
        <w:spacing w:before="3"/>
        <w:ind w:firstLine="640"/>
        <w:rPr>
          <w:rFonts w:cs="Times New Roman"/>
          <w:sz w:val="32"/>
          <w:szCs w:val="32"/>
        </w:rPr>
      </w:pPr>
    </w:p>
    <w:p>
      <w:pPr>
        <w:pStyle w:val="7"/>
        <w:spacing w:before="156" w:beforeLines="50" w:line="360" w:lineRule="auto"/>
        <w:ind w:firstLine="0" w:firstLineChars="0"/>
        <w:jc w:val="center"/>
        <w:rPr>
          <w:rFonts w:hint="eastAsia" w:ascii="Times New Roman" w:hAnsi="Times New Roman" w:eastAsia="黑体" w:cs="Times New Roman"/>
          <w:sz w:val="48"/>
          <w:szCs w:val="48"/>
          <w:lang w:eastAsia="zh-CN"/>
        </w:rPr>
      </w:pPr>
      <w:r>
        <w:rPr>
          <w:rFonts w:hint="eastAsia" w:ascii="Times New Roman" w:hAnsi="Times New Roman" w:eastAsia="黑体" w:cs="Times New Roman"/>
          <w:sz w:val="48"/>
          <w:szCs w:val="48"/>
          <w:lang w:eastAsia="zh-CN"/>
        </w:rPr>
        <w:t>机制砂混凝土用增强调节剂</w:t>
      </w:r>
    </w:p>
    <w:p>
      <w:pPr>
        <w:pStyle w:val="7"/>
        <w:spacing w:before="156" w:beforeLines="50" w:line="360" w:lineRule="auto"/>
        <w:ind w:firstLine="0" w:firstLineChars="0"/>
        <w:jc w:val="center"/>
        <w:rPr>
          <w:rFonts w:hint="eastAsia" w:ascii="Times New Roman" w:hAnsi="Times New Roman" w:eastAsia="黑体" w:cs="Times New Roman"/>
          <w:sz w:val="48"/>
          <w:szCs w:val="48"/>
        </w:rPr>
      </w:pPr>
      <w:r>
        <w:rPr>
          <w:rFonts w:hint="eastAsia" w:ascii="Times New Roman" w:hAnsi="Times New Roman" w:eastAsia="黑体" w:cs="Times New Roman"/>
          <w:sz w:val="28"/>
          <w:szCs w:val="28"/>
        </w:rPr>
        <w:t>Reinforcing regulator for machine-made sand concrete</w:t>
      </w:r>
    </w:p>
    <w:p>
      <w:pPr>
        <w:spacing w:line="353" w:lineRule="exact"/>
        <w:ind w:left="400" w:right="696" w:firstLine="0" w:firstLineChars="0"/>
        <w:jc w:val="center"/>
        <w:rPr>
          <w:rFonts w:cs="Times New Roman"/>
          <w:sz w:val="32"/>
          <w:szCs w:val="32"/>
        </w:rPr>
      </w:pPr>
    </w:p>
    <w:p>
      <w:pPr>
        <w:spacing w:line="353" w:lineRule="exact"/>
        <w:ind w:left="400" w:right="696" w:firstLine="0" w:firstLineChars="0"/>
        <w:jc w:val="center"/>
        <w:rPr>
          <w:rFonts w:cs="Times New Roman"/>
          <w:sz w:val="32"/>
          <w:szCs w:val="32"/>
        </w:rPr>
      </w:pPr>
      <w:r>
        <w:rPr>
          <w:rFonts w:cs="Times New Roman"/>
          <w:sz w:val="32"/>
          <w:szCs w:val="32"/>
        </w:rPr>
        <w:t>（</w:t>
      </w:r>
      <w:r>
        <w:rPr>
          <w:rFonts w:hint="eastAsia" w:cs="Times New Roman"/>
          <w:sz w:val="28"/>
          <w:szCs w:val="28"/>
        </w:rPr>
        <w:t>征求意见</w:t>
      </w:r>
      <w:r>
        <w:rPr>
          <w:rFonts w:cs="Times New Roman"/>
          <w:sz w:val="28"/>
          <w:szCs w:val="28"/>
        </w:rPr>
        <w:t>稿）</w:t>
      </w:r>
    </w:p>
    <w:p>
      <w:pPr>
        <w:ind w:firstLine="0" w:firstLineChars="0"/>
        <w:rPr>
          <w:rFonts w:cs="Times New Roman"/>
          <w:b/>
          <w:bCs/>
          <w:sz w:val="32"/>
          <w:szCs w:val="32"/>
        </w:rPr>
      </w:pPr>
    </w:p>
    <w:p>
      <w:pPr>
        <w:ind w:firstLine="0" w:firstLineChars="0"/>
        <w:rPr>
          <w:rFonts w:cs="Times New Roman"/>
          <w:b/>
          <w:bCs/>
          <w:sz w:val="32"/>
          <w:szCs w:val="32"/>
        </w:rPr>
      </w:pPr>
    </w:p>
    <w:p>
      <w:pPr>
        <w:ind w:firstLine="0" w:firstLineChars="0"/>
        <w:rPr>
          <w:rFonts w:cs="Times New Roman"/>
          <w:b/>
          <w:bCs/>
          <w:sz w:val="32"/>
          <w:szCs w:val="32"/>
        </w:rPr>
      </w:pPr>
    </w:p>
    <w:p>
      <w:pPr>
        <w:ind w:firstLine="0" w:firstLineChars="0"/>
        <w:rPr>
          <w:rFonts w:cs="Times New Roman"/>
          <w:b/>
          <w:bCs/>
          <w:sz w:val="32"/>
          <w:szCs w:val="32"/>
        </w:rPr>
      </w:pPr>
    </w:p>
    <w:p>
      <w:pPr>
        <w:ind w:firstLine="0" w:firstLineChars="0"/>
        <w:rPr>
          <w:rFonts w:cs="Times New Roman"/>
          <w:b/>
          <w:bCs/>
          <w:sz w:val="32"/>
          <w:szCs w:val="32"/>
        </w:rPr>
      </w:pPr>
    </w:p>
    <w:p>
      <w:pPr>
        <w:ind w:firstLine="0" w:firstLineChars="0"/>
        <w:rPr>
          <w:rFonts w:eastAsia="黑体" w:cs="Times New Roman"/>
          <w:bCs/>
          <w:sz w:val="28"/>
          <w:szCs w:val="24"/>
        </w:rPr>
      </w:pPr>
      <w:r>
        <w:rPr>
          <w:rFonts w:eastAsia="黑体" w:cs="Times New Roman"/>
          <w:bCs/>
          <w:sz w:val="28"/>
          <w:szCs w:val="24"/>
        </w:rPr>
        <w:t xml:space="preserve">20××-××-××发布                   </w:t>
      </w:r>
      <w:r>
        <w:rPr>
          <w:rFonts w:hint="eastAsia" w:eastAsia="黑体" w:cs="Times New Roman"/>
          <w:bCs/>
          <w:sz w:val="28"/>
          <w:szCs w:val="24"/>
        </w:rPr>
        <w:t xml:space="preserve">            </w:t>
      </w:r>
      <w:r>
        <w:rPr>
          <w:rFonts w:eastAsia="黑体" w:cs="Times New Roman"/>
          <w:bCs/>
          <w:sz w:val="28"/>
          <w:szCs w:val="24"/>
        </w:rPr>
        <w:t>20××-××-××实施</w:t>
      </w:r>
    </w:p>
    <w:p>
      <w:pPr>
        <w:ind w:firstLine="0" w:firstLineChars="0"/>
        <w:rPr>
          <w:rFonts w:cs="Times New Roman"/>
          <w:bCs/>
          <w:sz w:val="32"/>
          <w:szCs w:val="32"/>
        </w:rPr>
      </w:pPr>
      <w:r>
        <w:rPr>
          <w:rFonts w:eastAsia="Times New Roman" w:cs="Times New Roman"/>
          <w:sz w:val="2"/>
          <w:szCs w:val="2"/>
        </w:rPr>
        <mc:AlternateContent>
          <mc:Choice Requires="wpg">
            <w:drawing>
              <wp:inline distT="0" distB="0" distL="0" distR="0">
                <wp:extent cx="5274310" cy="8890"/>
                <wp:effectExtent l="0" t="9525" r="2540" b="635"/>
                <wp:docPr id="1" name="Group 4"/>
                <wp:cNvGraphicFramePr/>
                <a:graphic xmlns:a="http://schemas.openxmlformats.org/drawingml/2006/main">
                  <a:graphicData uri="http://schemas.microsoft.com/office/word/2010/wordprocessingGroup">
                    <wpg:wgp>
                      <wpg:cNvGrpSpPr/>
                      <wpg:grpSpPr>
                        <a:xfrm>
                          <a:off x="0" y="0"/>
                          <a:ext cx="5274310" cy="8890"/>
                          <a:chOff x="0" y="0"/>
                          <a:chExt cx="8699" cy="15203"/>
                        </a:xfrm>
                      </wpg:grpSpPr>
                      <wpg:grpSp>
                        <wpg:cNvPr id="2" name="Group 5"/>
                        <wpg:cNvGrpSpPr/>
                        <wpg:grpSpPr>
                          <a:xfrm>
                            <a:off x="8" y="8"/>
                            <a:ext cx="8684" cy="2"/>
                            <a:chOff x="8" y="8"/>
                            <a:chExt cx="8684" cy="2"/>
                          </a:xfrm>
                        </wpg:grpSpPr>
                        <wps:wsp>
                          <wps:cNvPr id="3" name="Freeform 6"/>
                          <wps:cNvSpPr>
                            <a:spLocks noChangeArrowheads="1"/>
                          </wps:cNvSpPr>
                          <wps:spPr bwMode="auto">
                            <a:xfrm>
                              <a:off x="8" y="8"/>
                              <a:ext cx="8684" cy="2"/>
                            </a:xfrm>
                            <a:custGeom>
                              <a:avLst/>
                              <a:gdLst>
                                <a:gd name="T0" fmla="*/ 0 w 8684"/>
                                <a:gd name="T1" fmla="*/ 0 h 1"/>
                                <a:gd name="T2" fmla="*/ 8684 w 8684"/>
                                <a:gd name="T3" fmla="*/ 0 h 1"/>
                              </a:gdLst>
                              <a:ahLst/>
                              <a:cxnLst>
                                <a:cxn ang="0">
                                  <a:pos x="T0" y="T1"/>
                                </a:cxn>
                                <a:cxn ang="0">
                                  <a:pos x="T2" y="T3"/>
                                </a:cxn>
                              </a:cxnLst>
                              <a:rect l="0" t="0" r="r" b="b"/>
                              <a:pathLst>
                                <a:path w="8684" h="1">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 o:spid="_x0000_s1026" o:spt="203" style="height:0.7pt;width:415.3pt;" coordsize="8699,15203"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">
                <o:lock v:ext="edit" aspectratio="f"/>
                <v:group id="Group 5" o:spid="_x0000_s1026" o:spt="203" style="position:absolute;left:8;top:8;height:2;width:8684;" coordorigin="8,8" coordsize="8684,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Freeform 6" o:spid="_x0000_s1026" o:spt="100" style="position:absolute;left:8;top:8;height:2;width:8684;" filled="f" stroked="t" coordsize="8684,1" o:gfxdata="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2He5AAAA2gAA&#10;AA8AAAAAAAAAAQAgAAAAIgAAAGRycy9kb3ducmV2LnhtbFBLAQIUABQAAAAIAIdO4kAzLwWeOwAA&#10;ADkAAAAQAAAAAAAAAAEAIAAAAAgBAABkcnMvc2hhcGV4bWwueG1sUEsFBgAAAAAGAAYAWwEAALID&#10;AAAAAA==&#10;" path="m0,0l8684,0e">
                    <v:path o:connectlocs="0,0;8684,0" o:connectangles="0,0"/>
                    <v:fill on="f" focussize="0,0"/>
                    <v:stroke color="#000000" joinstyle="round"/>
                    <v:imagedata o:title=""/>
                    <o:lock v:ext="edit" aspectratio="f"/>
                  </v:shape>
                </v:group>
                <w10:wrap type="none"/>
                <w10:anchorlock/>
              </v:group>
            </w:pict>
          </mc:Fallback>
        </mc:AlternateContent>
      </w:r>
    </w:p>
    <w:p>
      <w:pPr>
        <w:ind w:firstLine="0" w:firstLineChars="0"/>
        <w:jc w:val="center"/>
        <w:rPr>
          <w:rFonts w:eastAsia="黑体" w:cs="Times New Roman"/>
          <w:sz w:val="24"/>
          <w:szCs w:val="24"/>
        </w:rPr>
      </w:pPr>
      <w:r>
        <w:rPr>
          <w:rFonts w:hint="eastAsia" w:eastAsia="黑体" w:cs="Times New Roman"/>
          <w:color w:val="050505"/>
          <w:spacing w:val="-1"/>
          <w:sz w:val="32"/>
          <w:szCs w:val="24"/>
        </w:rPr>
        <w:t xml:space="preserve">  </w:t>
      </w:r>
      <w:r>
        <w:rPr>
          <w:rFonts w:eastAsia="黑体" w:cs="Times New Roman"/>
          <w:color w:val="050505"/>
          <w:spacing w:val="-1"/>
          <w:sz w:val="32"/>
          <w:szCs w:val="24"/>
        </w:rPr>
        <w:t xml:space="preserve">中国工程建设标准化协会    </w:t>
      </w:r>
      <w:r>
        <w:rPr>
          <w:rFonts w:eastAsia="黑体" w:cs="Times New Roman"/>
          <w:color w:val="050505"/>
          <w:spacing w:val="-1"/>
          <w:sz w:val="24"/>
          <w:szCs w:val="24"/>
        </w:rPr>
        <w:t>发 布</w:t>
      </w:r>
    </w:p>
    <w:p>
      <w:pPr>
        <w:ind w:firstLine="420"/>
        <w:rPr>
          <w:rFonts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type="lines" w:linePitch="312" w:charSpace="0"/>
        </w:sectPr>
      </w:pPr>
    </w:p>
    <w:sdt>
      <w:sdtPr>
        <w:rPr>
          <w:rFonts w:ascii="宋体" w:hAnsi="宋体"/>
        </w:rPr>
        <w:id w:val="147470531"/>
        <w15:color w:val="DBDBDB"/>
        <w:docPartObj>
          <w:docPartGallery w:val="Table of Contents"/>
          <w:docPartUnique/>
        </w:docPartObj>
      </w:sdtPr>
      <w:sdtEndPr>
        <w:rPr>
          <w:rFonts w:ascii="Times New Roman" w:hAnsi="Times New Roman" w:eastAsia="黑体" w:cs="Times New Roman"/>
        </w:rPr>
      </w:sdtEndPr>
      <w:sdtContent>
        <w:p>
          <w:pPr>
            <w:spacing w:line="240" w:lineRule="auto"/>
            <w:ind w:firstLine="0" w:firstLineChars="0"/>
            <w:jc w:val="center"/>
          </w:pPr>
          <w:r>
            <w:rPr>
              <w:rFonts w:ascii="宋体" w:hAnsi="宋体"/>
            </w:rPr>
            <w:t>目录</w:t>
          </w:r>
        </w:p>
        <w:p>
          <w:pPr>
            <w:pStyle w:val="12"/>
            <w:tabs>
              <w:tab w:val="right" w:leader="dot" w:pos="8306"/>
            </w:tabs>
            <w:ind w:left="0" w:leftChars="0" w:firstLine="417" w:firstLineChars="116"/>
          </w:pPr>
          <w:r>
            <w:rPr>
              <w:rFonts w:eastAsia="黑体"/>
              <w:sz w:val="36"/>
            </w:rPr>
            <w:fldChar w:fldCharType="begin"/>
          </w:r>
          <w:r>
            <w:rPr>
              <w:rFonts w:eastAsia="黑体"/>
              <w:sz w:val="36"/>
            </w:rPr>
            <w:instrText xml:space="preserve">TOC \o "1-1" \h \u </w:instrText>
          </w:r>
          <w:r>
            <w:rPr>
              <w:rFonts w:eastAsia="黑体"/>
              <w:sz w:val="36"/>
            </w:rPr>
            <w:fldChar w:fldCharType="separate"/>
          </w:r>
          <w:r>
            <w:rPr>
              <w:rFonts w:eastAsia="黑体"/>
            </w:rPr>
            <w:fldChar w:fldCharType="begin"/>
          </w:r>
          <w:r>
            <w:rPr>
              <w:rFonts w:eastAsia="黑体"/>
            </w:rPr>
            <w:instrText xml:space="preserve"> HYPERLINK \l _Toc8947 </w:instrText>
          </w:r>
          <w:r>
            <w:rPr>
              <w:rFonts w:eastAsia="黑体"/>
            </w:rPr>
            <w:fldChar w:fldCharType="separate"/>
          </w:r>
          <w:r>
            <w:rPr>
              <w:rFonts w:ascii="Times New Roman" w:hAnsi="Times New Roman" w:cs="Times New Roman"/>
              <w:szCs w:val="32"/>
            </w:rPr>
            <w:t>前  言</w:t>
          </w:r>
          <w:r>
            <w:tab/>
          </w:r>
          <w:r>
            <w:fldChar w:fldCharType="begin"/>
          </w:r>
          <w:r>
            <w:instrText xml:space="preserve"> PAGEREF _Toc8947 \h </w:instrText>
          </w:r>
          <w:r>
            <w:fldChar w:fldCharType="separate"/>
          </w:r>
          <w:r>
            <w:t>II</w:t>
          </w:r>
          <w:r>
            <w:fldChar w:fldCharType="end"/>
          </w:r>
          <w:r>
            <w:rPr>
              <w:rFonts w:eastAsia="黑体"/>
            </w:rPr>
            <w:fldChar w:fldCharType="end"/>
          </w:r>
        </w:p>
        <w:p>
          <w:pPr>
            <w:pStyle w:val="12"/>
            <w:tabs>
              <w:tab w:val="right" w:leader="dot" w:pos="8306"/>
            </w:tabs>
          </w:pPr>
          <w:r>
            <w:rPr>
              <w:rFonts w:eastAsia="黑体" w:cs="Times New Roman"/>
            </w:rPr>
            <w:fldChar w:fldCharType="begin"/>
          </w:r>
          <w:r>
            <w:rPr>
              <w:rFonts w:eastAsia="黑体" w:cs="Times New Roman"/>
            </w:rPr>
            <w:instrText xml:space="preserve"> HYPERLINK \l _Toc17890 </w:instrText>
          </w:r>
          <w:r>
            <w:rPr>
              <w:rFonts w:eastAsia="黑体" w:cs="Times New Roman"/>
            </w:rPr>
            <w:fldChar w:fldCharType="separate"/>
          </w:r>
          <w:r>
            <w:rPr>
              <w:rFonts w:hint="eastAsia" w:ascii="Times New Roman" w:hAnsi="Times New Roman"/>
            </w:rPr>
            <w:t>1 范围</w:t>
          </w:r>
          <w:r>
            <w:tab/>
          </w:r>
          <w:r>
            <w:fldChar w:fldCharType="begin"/>
          </w:r>
          <w:r>
            <w:instrText xml:space="preserve"> PAGEREF _Toc17890 \h </w:instrText>
          </w:r>
          <w:r>
            <w:fldChar w:fldCharType="separate"/>
          </w:r>
          <w:r>
            <w:t>3</w:t>
          </w:r>
          <w:r>
            <w:fldChar w:fldCharType="end"/>
          </w:r>
          <w:r>
            <w:rPr>
              <w:rFonts w:eastAsia="黑体" w:cs="Times New Roman"/>
            </w:rPr>
            <w:fldChar w:fldCharType="end"/>
          </w:r>
        </w:p>
        <w:p>
          <w:pPr>
            <w:pStyle w:val="12"/>
            <w:tabs>
              <w:tab w:val="right" w:leader="dot" w:pos="8306"/>
            </w:tabs>
          </w:pPr>
          <w:r>
            <w:rPr>
              <w:rFonts w:eastAsia="黑体" w:cs="Times New Roman"/>
            </w:rPr>
            <w:fldChar w:fldCharType="begin"/>
          </w:r>
          <w:r>
            <w:rPr>
              <w:rFonts w:eastAsia="黑体" w:cs="Times New Roman"/>
            </w:rPr>
            <w:instrText xml:space="preserve"> HYPERLINK \l _Toc20497 </w:instrText>
          </w:r>
          <w:r>
            <w:rPr>
              <w:rFonts w:eastAsia="黑体" w:cs="Times New Roman"/>
            </w:rPr>
            <w:fldChar w:fldCharType="separate"/>
          </w:r>
          <w:r>
            <w:rPr>
              <w:rFonts w:hint="eastAsia" w:ascii="Times New Roman" w:hAnsi="Times New Roman"/>
            </w:rPr>
            <w:t>2 规范性引用文件</w:t>
          </w:r>
          <w:r>
            <w:tab/>
          </w:r>
          <w:r>
            <w:fldChar w:fldCharType="begin"/>
          </w:r>
          <w:r>
            <w:instrText xml:space="preserve"> PAGEREF _Toc20497 \h </w:instrText>
          </w:r>
          <w:r>
            <w:fldChar w:fldCharType="separate"/>
          </w:r>
          <w:r>
            <w:t>3</w:t>
          </w:r>
          <w:r>
            <w:fldChar w:fldCharType="end"/>
          </w:r>
          <w:r>
            <w:rPr>
              <w:rFonts w:eastAsia="黑体" w:cs="Times New Roman"/>
            </w:rPr>
            <w:fldChar w:fldCharType="end"/>
          </w:r>
        </w:p>
        <w:p>
          <w:pPr>
            <w:pStyle w:val="12"/>
            <w:tabs>
              <w:tab w:val="right" w:leader="dot" w:pos="8306"/>
            </w:tabs>
          </w:pPr>
          <w:r>
            <w:rPr>
              <w:rFonts w:eastAsia="黑体" w:cs="Times New Roman"/>
            </w:rPr>
            <w:fldChar w:fldCharType="begin"/>
          </w:r>
          <w:r>
            <w:rPr>
              <w:rFonts w:eastAsia="黑体" w:cs="Times New Roman"/>
            </w:rPr>
            <w:instrText xml:space="preserve"> HYPERLINK \l _Toc1855 </w:instrText>
          </w:r>
          <w:r>
            <w:rPr>
              <w:rFonts w:eastAsia="黑体" w:cs="Times New Roman"/>
            </w:rPr>
            <w:fldChar w:fldCharType="separate"/>
          </w:r>
          <w:r>
            <w:rPr>
              <w:rFonts w:hint="eastAsia"/>
            </w:rPr>
            <w:t>3 术语和</w:t>
          </w:r>
          <w:r>
            <w:t>定义</w:t>
          </w:r>
          <w:r>
            <w:tab/>
          </w:r>
          <w:r>
            <w:fldChar w:fldCharType="begin"/>
          </w:r>
          <w:r>
            <w:instrText xml:space="preserve"> PAGEREF _Toc1855 \h </w:instrText>
          </w:r>
          <w:r>
            <w:fldChar w:fldCharType="separate"/>
          </w:r>
          <w:r>
            <w:t>3</w:t>
          </w:r>
          <w:r>
            <w:fldChar w:fldCharType="end"/>
          </w:r>
          <w:r>
            <w:rPr>
              <w:rFonts w:eastAsia="黑体" w:cs="Times New Roman"/>
            </w:rPr>
            <w:fldChar w:fldCharType="end"/>
          </w:r>
        </w:p>
        <w:p>
          <w:pPr>
            <w:pStyle w:val="12"/>
            <w:tabs>
              <w:tab w:val="right" w:leader="dot" w:pos="8306"/>
            </w:tabs>
          </w:pPr>
          <w:r>
            <w:rPr>
              <w:rFonts w:eastAsia="黑体" w:cs="Times New Roman"/>
            </w:rPr>
            <w:fldChar w:fldCharType="begin"/>
          </w:r>
          <w:r>
            <w:rPr>
              <w:rFonts w:eastAsia="黑体" w:cs="Times New Roman"/>
            </w:rPr>
            <w:instrText xml:space="preserve"> HYPERLINK \l _Toc5233 </w:instrText>
          </w:r>
          <w:r>
            <w:rPr>
              <w:rFonts w:eastAsia="黑体" w:cs="Times New Roman"/>
            </w:rPr>
            <w:fldChar w:fldCharType="separate"/>
          </w:r>
          <w:r>
            <w:rPr>
              <w:rFonts w:hint="eastAsia" w:ascii="Times New Roman" w:hAnsi="Times New Roman"/>
              <w:lang w:val="en-US" w:eastAsia="zh-CN"/>
            </w:rPr>
            <w:t xml:space="preserve">4 </w:t>
          </w:r>
          <w:r>
            <w:rPr>
              <w:rFonts w:hint="eastAsia" w:ascii="Times New Roman" w:hAnsi="Times New Roman"/>
            </w:rPr>
            <w:t>标记</w:t>
          </w:r>
          <w:r>
            <w:tab/>
          </w:r>
          <w:r>
            <w:fldChar w:fldCharType="begin"/>
          </w:r>
          <w:r>
            <w:instrText xml:space="preserve"> PAGEREF _Toc5233 \h </w:instrText>
          </w:r>
          <w:r>
            <w:fldChar w:fldCharType="separate"/>
          </w:r>
          <w:r>
            <w:t>3</w:t>
          </w:r>
          <w:r>
            <w:fldChar w:fldCharType="end"/>
          </w:r>
          <w:r>
            <w:rPr>
              <w:rFonts w:eastAsia="黑体" w:cs="Times New Roman"/>
            </w:rPr>
            <w:fldChar w:fldCharType="end"/>
          </w:r>
        </w:p>
        <w:p>
          <w:pPr>
            <w:pStyle w:val="12"/>
            <w:tabs>
              <w:tab w:val="right" w:leader="dot" w:pos="8306"/>
            </w:tabs>
          </w:pPr>
          <w:r>
            <w:rPr>
              <w:rFonts w:eastAsia="黑体" w:cs="Times New Roman"/>
            </w:rPr>
            <w:fldChar w:fldCharType="begin"/>
          </w:r>
          <w:r>
            <w:rPr>
              <w:rFonts w:eastAsia="黑体" w:cs="Times New Roman"/>
            </w:rPr>
            <w:instrText xml:space="preserve"> HYPERLINK \l _Toc30939 </w:instrText>
          </w:r>
          <w:r>
            <w:rPr>
              <w:rFonts w:eastAsia="黑体" w:cs="Times New Roman"/>
            </w:rPr>
            <w:fldChar w:fldCharType="separate"/>
          </w:r>
          <w:r>
            <w:rPr>
              <w:rFonts w:hint="eastAsia" w:ascii="Times New Roman" w:hAnsi="Times New Roman"/>
              <w:lang w:val="en-US" w:eastAsia="zh-CN"/>
            </w:rPr>
            <w:t>5 要求</w:t>
          </w:r>
          <w:r>
            <w:tab/>
          </w:r>
          <w:r>
            <w:fldChar w:fldCharType="begin"/>
          </w:r>
          <w:r>
            <w:instrText xml:space="preserve"> PAGEREF _Toc30939 \h </w:instrText>
          </w:r>
          <w:r>
            <w:fldChar w:fldCharType="separate"/>
          </w:r>
          <w:r>
            <w:t>4</w:t>
          </w:r>
          <w:r>
            <w:fldChar w:fldCharType="end"/>
          </w:r>
          <w:r>
            <w:rPr>
              <w:rFonts w:eastAsia="黑体" w:cs="Times New Roman"/>
            </w:rPr>
            <w:fldChar w:fldCharType="end"/>
          </w:r>
        </w:p>
        <w:p>
          <w:pPr>
            <w:pStyle w:val="12"/>
            <w:tabs>
              <w:tab w:val="right" w:leader="dot" w:pos="8306"/>
            </w:tabs>
          </w:pPr>
          <w:r>
            <w:rPr>
              <w:rFonts w:eastAsia="黑体" w:cs="Times New Roman"/>
            </w:rPr>
            <w:fldChar w:fldCharType="begin"/>
          </w:r>
          <w:r>
            <w:rPr>
              <w:rFonts w:eastAsia="黑体" w:cs="Times New Roman"/>
            </w:rPr>
            <w:instrText xml:space="preserve"> HYPERLINK \l _Toc31506 </w:instrText>
          </w:r>
          <w:r>
            <w:rPr>
              <w:rFonts w:eastAsia="黑体" w:cs="Times New Roman"/>
            </w:rPr>
            <w:fldChar w:fldCharType="separate"/>
          </w:r>
          <w:r>
            <w:rPr>
              <w:rFonts w:hint="eastAsia" w:ascii="Times New Roman" w:hAnsi="Times New Roman"/>
              <w:lang w:val="en-US" w:eastAsia="zh-CN"/>
            </w:rPr>
            <w:t>6 试验方法</w:t>
          </w:r>
          <w:r>
            <w:tab/>
          </w:r>
          <w:r>
            <w:fldChar w:fldCharType="begin"/>
          </w:r>
          <w:r>
            <w:instrText xml:space="preserve"> PAGEREF _Toc31506 \h </w:instrText>
          </w:r>
          <w:r>
            <w:fldChar w:fldCharType="separate"/>
          </w:r>
          <w:r>
            <w:t>4</w:t>
          </w:r>
          <w:r>
            <w:fldChar w:fldCharType="end"/>
          </w:r>
          <w:r>
            <w:rPr>
              <w:rFonts w:eastAsia="黑体" w:cs="Times New Roman"/>
            </w:rPr>
            <w:fldChar w:fldCharType="end"/>
          </w:r>
        </w:p>
        <w:p>
          <w:pPr>
            <w:pStyle w:val="12"/>
            <w:tabs>
              <w:tab w:val="right" w:leader="dot" w:pos="8306"/>
            </w:tabs>
          </w:pPr>
          <w:r>
            <w:rPr>
              <w:rFonts w:eastAsia="黑体" w:cs="Times New Roman"/>
            </w:rPr>
            <w:fldChar w:fldCharType="begin"/>
          </w:r>
          <w:r>
            <w:rPr>
              <w:rFonts w:eastAsia="黑体" w:cs="Times New Roman"/>
            </w:rPr>
            <w:instrText xml:space="preserve"> HYPERLINK \l _Toc11195 </w:instrText>
          </w:r>
          <w:r>
            <w:rPr>
              <w:rFonts w:eastAsia="黑体" w:cs="Times New Roman"/>
            </w:rPr>
            <w:fldChar w:fldCharType="separate"/>
          </w:r>
          <w:r>
            <w:rPr>
              <w:rFonts w:hint="eastAsia" w:ascii="Times New Roman" w:hAnsi="Times New Roman"/>
              <w:lang w:val="en-US" w:eastAsia="zh-CN"/>
            </w:rPr>
            <w:t>7  检验规则</w:t>
          </w:r>
          <w:r>
            <w:tab/>
          </w:r>
          <w:r>
            <w:fldChar w:fldCharType="begin"/>
          </w:r>
          <w:r>
            <w:instrText xml:space="preserve"> PAGEREF _Toc11195 \h </w:instrText>
          </w:r>
          <w:r>
            <w:fldChar w:fldCharType="separate"/>
          </w:r>
          <w:r>
            <w:t>7</w:t>
          </w:r>
          <w:r>
            <w:fldChar w:fldCharType="end"/>
          </w:r>
          <w:r>
            <w:rPr>
              <w:rFonts w:eastAsia="黑体" w:cs="Times New Roman"/>
            </w:rPr>
            <w:fldChar w:fldCharType="end"/>
          </w:r>
        </w:p>
        <w:p>
          <w:pPr>
            <w:pStyle w:val="12"/>
            <w:tabs>
              <w:tab w:val="right" w:leader="dot" w:pos="8306"/>
            </w:tabs>
          </w:pPr>
          <w:r>
            <w:rPr>
              <w:rFonts w:eastAsia="黑体" w:cs="Times New Roman"/>
            </w:rPr>
            <w:fldChar w:fldCharType="begin"/>
          </w:r>
          <w:r>
            <w:rPr>
              <w:rFonts w:eastAsia="黑体" w:cs="Times New Roman"/>
            </w:rPr>
            <w:instrText xml:space="preserve"> HYPERLINK \l _Toc25282 </w:instrText>
          </w:r>
          <w:r>
            <w:rPr>
              <w:rFonts w:eastAsia="黑体" w:cs="Times New Roman"/>
            </w:rPr>
            <w:fldChar w:fldCharType="separate"/>
          </w:r>
          <w:r>
            <w:rPr>
              <w:rFonts w:hint="eastAsia" w:ascii="Times New Roman" w:hAnsi="Times New Roman"/>
              <w:lang w:val="en-US" w:eastAsia="zh-CN"/>
            </w:rPr>
            <w:t>8  产品说明书、包装、运输、贮存</w:t>
          </w:r>
          <w:r>
            <w:tab/>
          </w:r>
          <w:r>
            <w:fldChar w:fldCharType="begin"/>
          </w:r>
          <w:r>
            <w:instrText xml:space="preserve"> PAGEREF _Toc25282 \h </w:instrText>
          </w:r>
          <w:r>
            <w:fldChar w:fldCharType="separate"/>
          </w:r>
          <w:r>
            <w:t>7</w:t>
          </w:r>
          <w:r>
            <w:fldChar w:fldCharType="end"/>
          </w:r>
          <w:r>
            <w:rPr>
              <w:rFonts w:eastAsia="黑体" w:cs="Times New Roman"/>
            </w:rPr>
            <w:fldChar w:fldCharType="end"/>
          </w:r>
        </w:p>
        <w:p>
          <w:pPr>
            <w:ind w:firstLine="420"/>
            <w:jc w:val="center"/>
            <w:rPr>
              <w:rFonts w:eastAsia="黑体" w:cs="Times New Roman"/>
              <w:sz w:val="36"/>
            </w:rPr>
          </w:pPr>
          <w:r>
            <w:rPr>
              <w:rFonts w:eastAsia="黑体" w:cs="Times New Roman"/>
            </w:rPr>
            <w:fldChar w:fldCharType="end"/>
          </w:r>
        </w:p>
      </w:sdtContent>
    </w:sdt>
    <w:p>
      <w:pPr>
        <w:ind w:firstLine="420"/>
        <w:rPr>
          <w:rFonts w:cs="Times New Roman"/>
        </w:rPr>
      </w:pPr>
    </w:p>
    <w:p>
      <w:pPr>
        <w:tabs>
          <w:tab w:val="left" w:pos="6047"/>
        </w:tabs>
        <w:ind w:firstLine="420"/>
        <w:jc w:val="left"/>
        <w:rPr>
          <w:rFonts w:cs="Times New Roman"/>
        </w:rPr>
        <w:sectPr>
          <w:pgSz w:w="11906" w:h="16838"/>
          <w:pgMar w:top="1440" w:right="1800" w:bottom="1440" w:left="1800" w:header="851" w:footer="992" w:gutter="0"/>
          <w:pgNumType w:fmt="upperRoman" w:start="1"/>
          <w:cols w:space="425" w:num="1"/>
          <w:docGrid w:type="lines" w:linePitch="312" w:charSpace="0"/>
        </w:sectPr>
      </w:pPr>
      <w:r>
        <w:rPr>
          <w:rFonts w:cs="Times New Roman"/>
        </w:rPr>
        <w:tab/>
      </w:r>
    </w:p>
    <w:p>
      <w:pPr>
        <w:pStyle w:val="2"/>
        <w:spacing w:before="567" w:beforeLines="0" w:after="680" w:afterLines="0" w:line="240" w:lineRule="auto"/>
        <w:ind w:firstLine="0" w:firstLineChars="0"/>
        <w:jc w:val="center"/>
        <w:rPr>
          <w:rFonts w:ascii="Times New Roman" w:hAnsi="Times New Roman" w:cs="Times New Roman"/>
          <w:b w:val="0"/>
          <w:sz w:val="32"/>
          <w:szCs w:val="32"/>
        </w:rPr>
      </w:pPr>
      <w:bookmarkStart w:id="1" w:name="_Toc8947"/>
      <w:r>
        <w:rPr>
          <w:rFonts w:ascii="Times New Roman" w:hAnsi="Times New Roman" w:cs="Times New Roman"/>
          <w:b w:val="0"/>
          <w:sz w:val="32"/>
          <w:szCs w:val="32"/>
        </w:rPr>
        <w:t>前  言</w:t>
      </w:r>
      <w:bookmarkEnd w:id="1"/>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cs="Times New Roman"/>
        </w:rPr>
      </w:pPr>
      <w:r>
        <w:rPr>
          <w:rFonts w:cs="Times New Roman"/>
        </w:rPr>
        <w:t>本</w:t>
      </w:r>
      <w:r>
        <w:rPr>
          <w:rFonts w:hint="eastAsia" w:cs="Times New Roman"/>
        </w:rPr>
        <w:t>文件</w:t>
      </w:r>
      <w:r>
        <w:rPr>
          <w:rFonts w:cs="Times New Roman"/>
        </w:rPr>
        <w:t>按照GB/T 1.1-20</w:t>
      </w:r>
      <w:r>
        <w:rPr>
          <w:rFonts w:hint="eastAsia" w:cs="Times New Roman"/>
        </w:rPr>
        <w:t xml:space="preserve">20 </w:t>
      </w:r>
      <w:r>
        <w:rPr>
          <w:rFonts w:hint="eastAsia"/>
          <w:color w:val="000000" w:themeColor="text1"/>
          <w14:textFill>
            <w14:solidFill>
              <w14:schemeClr w14:val="tx1"/>
            </w14:solidFill>
          </w14:textFill>
        </w:rPr>
        <w:t>《标准化工作导则 第1部分：标准化文件的结构和起草规则》</w:t>
      </w:r>
      <w:r>
        <w:rPr>
          <w:color w:val="000000" w:themeColor="text1"/>
          <w14:textFill>
            <w14:solidFill>
              <w14:schemeClr w14:val="tx1"/>
            </w14:solidFill>
          </w14:textFill>
        </w:rPr>
        <w:t>的规定起草。</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cs="Times New Roman"/>
        </w:rPr>
      </w:pPr>
      <w:r>
        <w:rPr>
          <w:rFonts w:cs="Times New Roman"/>
        </w:rPr>
        <w:t>本</w:t>
      </w:r>
      <w:r>
        <w:rPr>
          <w:rFonts w:hint="eastAsia" w:cs="Times New Roman"/>
        </w:rPr>
        <w:t>文件</w:t>
      </w:r>
      <w:r>
        <w:rPr>
          <w:rFonts w:cs="Times New Roman"/>
        </w:rPr>
        <w:t>是按中国工程建设标准化协会《</w:t>
      </w:r>
      <w:r>
        <w:rPr>
          <w:rFonts w:hint="eastAsia" w:cs="Times New Roman"/>
          <w:lang w:val="en-US" w:eastAsia="zh-CN"/>
        </w:rPr>
        <w:t>关于印发&lt;2021年第一批协会标准制订、修订计划&gt;的通知》（建标协字〔2021〕11号）</w:t>
      </w:r>
      <w:r>
        <w:rPr>
          <w:rFonts w:cs="Times New Roman"/>
        </w:rPr>
        <w:t>的要求制定。</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cs="Times New Roman"/>
        </w:rPr>
      </w:pPr>
      <w:r>
        <w:rPr>
          <w:rFonts w:cs="Times New Roman"/>
        </w:rPr>
        <w:t>请注意本</w:t>
      </w:r>
      <w:r>
        <w:rPr>
          <w:rFonts w:hint="eastAsia" w:cs="Times New Roman"/>
        </w:rPr>
        <w:t>文件</w:t>
      </w:r>
      <w:r>
        <w:rPr>
          <w:rFonts w:cs="Times New Roman"/>
        </w:rPr>
        <w:t>的某些内容可能涉及专利，本</w:t>
      </w:r>
      <w:r>
        <w:rPr>
          <w:rFonts w:hint="eastAsia" w:cs="Times New Roman"/>
        </w:rPr>
        <w:t>文件</w:t>
      </w:r>
      <w:r>
        <w:rPr>
          <w:rFonts w:cs="Times New Roman"/>
        </w:rPr>
        <w:t>的发布机构不承担识别专利的责任。</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cs="Times New Roman"/>
        </w:rPr>
      </w:pPr>
      <w:r>
        <w:rPr>
          <w:rFonts w:cs="Times New Roman"/>
        </w:rPr>
        <w:t>本</w:t>
      </w:r>
      <w:r>
        <w:rPr>
          <w:rFonts w:hint="eastAsia" w:cs="Times New Roman"/>
        </w:rPr>
        <w:t>文件</w:t>
      </w:r>
      <w:r>
        <w:rPr>
          <w:rFonts w:cs="Times New Roman"/>
        </w:rPr>
        <w:t>由中国工程建设标准化协会提出。</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cs="Times New Roman"/>
        </w:rPr>
      </w:pPr>
      <w:r>
        <w:rPr>
          <w:rFonts w:cs="Times New Roman"/>
        </w:rPr>
        <w:t>本</w:t>
      </w:r>
      <w:r>
        <w:rPr>
          <w:rFonts w:hint="eastAsia" w:cs="Times New Roman"/>
        </w:rPr>
        <w:t>文件</w:t>
      </w:r>
      <w:r>
        <w:rPr>
          <w:rFonts w:cs="Times New Roman"/>
        </w:rPr>
        <w:t>由中国工程建设标准化协会防水防护与修复专业委员会归口管理。</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cs="Times New Roman"/>
        </w:rPr>
      </w:pPr>
      <w:r>
        <w:rPr>
          <w:rFonts w:cs="Times New Roman"/>
        </w:rPr>
        <w:t>本</w:t>
      </w:r>
      <w:r>
        <w:rPr>
          <w:rFonts w:hint="eastAsia" w:cs="Times New Roman"/>
        </w:rPr>
        <w:t>文件</w:t>
      </w:r>
      <w:r>
        <w:rPr>
          <w:rFonts w:cs="Times New Roman"/>
        </w:rPr>
        <w:t>负责起草单位：</w:t>
      </w:r>
      <w:r>
        <w:rPr>
          <w:rFonts w:hint="eastAsia" w:cs="Times New Roman"/>
        </w:rPr>
        <w:t>湖北碞石科技</w:t>
      </w:r>
      <w:r>
        <w:rPr>
          <w:rFonts w:cs="Times New Roman"/>
        </w:rPr>
        <w:t>有限公司</w:t>
      </w:r>
      <w:r>
        <w:rPr>
          <w:rFonts w:hint="eastAsia" w:cs="Times New Roman"/>
        </w:rPr>
        <w:t>、中国建筑科学研究院</w:t>
      </w:r>
      <w:r>
        <w:rPr>
          <w:rFonts w:cs="Times New Roman"/>
        </w:rPr>
        <w:t>有限公司</w:t>
      </w:r>
    </w:p>
    <w:p>
      <w:pPr>
        <w:keepNext w:val="0"/>
        <w:keepLines w:val="0"/>
        <w:pageBreakBefore w:val="0"/>
        <w:widowControl w:val="0"/>
        <w:kinsoku/>
        <w:wordWrap/>
        <w:overflowPunct/>
        <w:topLinePunct w:val="0"/>
        <w:autoSpaceDE/>
        <w:autoSpaceDN/>
        <w:bidi w:val="0"/>
        <w:adjustRightInd/>
        <w:snapToGrid/>
        <w:spacing w:line="240" w:lineRule="auto"/>
        <w:ind w:left="2520" w:leftChars="200" w:hanging="2100" w:hangingChars="1000"/>
        <w:textAlignment w:val="auto"/>
        <w:rPr>
          <w:rFonts w:hint="eastAsia" w:eastAsia="宋体" w:cs="Times New Roman"/>
          <w:lang w:val="en-US" w:eastAsia="zh-CN"/>
        </w:rPr>
      </w:pPr>
      <w:r>
        <w:rPr>
          <w:rFonts w:cs="Times New Roman"/>
        </w:rPr>
        <w:t>本</w:t>
      </w:r>
      <w:r>
        <w:rPr>
          <w:rFonts w:hint="eastAsia" w:cs="Times New Roman"/>
        </w:rPr>
        <w:t>文件</w:t>
      </w:r>
      <w:r>
        <w:rPr>
          <w:rFonts w:cs="Times New Roman"/>
        </w:rPr>
        <w:t>参加起草单位：</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cs="Times New Roman"/>
        </w:rPr>
      </w:pPr>
      <w:r>
        <w:rPr>
          <w:rFonts w:cs="Times New Roman"/>
        </w:rPr>
        <w:t>本</w:t>
      </w:r>
      <w:r>
        <w:rPr>
          <w:rFonts w:hint="eastAsia" w:cs="Times New Roman"/>
        </w:rPr>
        <w:t>文件</w:t>
      </w:r>
      <w:r>
        <w:rPr>
          <w:rFonts w:cs="Times New Roman"/>
        </w:rPr>
        <w:t>主要起草人：</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pPr>
      <w:r>
        <w:rPr>
          <w:rFonts w:cs="Times New Roman"/>
        </w:rPr>
        <w:t>本</w:t>
      </w:r>
      <w:r>
        <w:rPr>
          <w:rFonts w:hint="eastAsia" w:cs="Times New Roman"/>
        </w:rPr>
        <w:t>文件</w:t>
      </w:r>
      <w:r>
        <w:rPr>
          <w:rFonts w:cs="Times New Roman"/>
        </w:rPr>
        <w:t>主要审查人：</w:t>
      </w:r>
    </w:p>
    <w:p>
      <w:pPr>
        <w:spacing w:line="360" w:lineRule="auto"/>
        <w:ind w:firstLine="480"/>
        <w:rPr>
          <w:rFonts w:cs="Times New Roman"/>
        </w:rPr>
      </w:pPr>
    </w:p>
    <w:p>
      <w:pPr>
        <w:spacing w:line="360" w:lineRule="auto"/>
        <w:ind w:firstLine="480"/>
        <w:rPr>
          <w:rFonts w:cs="Times New Roman"/>
        </w:rPr>
      </w:pPr>
    </w:p>
    <w:p>
      <w:pPr>
        <w:spacing w:line="360" w:lineRule="auto"/>
        <w:ind w:firstLine="480"/>
        <w:rPr>
          <w:rFonts w:cs="Times New Roman"/>
          <w:color w:val="050505"/>
          <w:kern w:val="0"/>
          <w:sz w:val="24"/>
          <w:szCs w:val="24"/>
        </w:rPr>
        <w:sectPr>
          <w:pgSz w:w="11906" w:h="16838"/>
          <w:pgMar w:top="1440" w:right="1800" w:bottom="1440" w:left="1800" w:header="851" w:footer="992" w:gutter="0"/>
          <w:pgNumType w:fmt="upperRoman"/>
          <w:cols w:space="425" w:num="1"/>
          <w:docGrid w:type="lines" w:linePitch="312" w:charSpace="0"/>
        </w:sectPr>
      </w:pPr>
    </w:p>
    <w:p>
      <w:pPr>
        <w:pStyle w:val="7"/>
        <w:spacing w:before="567" w:after="680" w:line="240" w:lineRule="auto"/>
        <w:ind w:left="0" w:leftChars="0" w:firstLine="0" w:firstLineChars="0"/>
        <w:jc w:val="center"/>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机制砂混凝土用增强调节剂</w:t>
      </w:r>
    </w:p>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Times New Roman" w:hAnsi="Times New Roman"/>
        </w:rPr>
      </w:pPr>
      <w:bookmarkStart w:id="2" w:name="_Toc17890"/>
      <w:r>
        <w:rPr>
          <w:rFonts w:hint="eastAsia" w:ascii="Times New Roman" w:hAnsi="Times New Roman"/>
        </w:rPr>
        <w:t>1 范围</w:t>
      </w:r>
      <w:bookmarkEnd w:id="2"/>
    </w:p>
    <w:p>
      <w:pPr>
        <w:spacing w:line="240" w:lineRule="auto"/>
        <w:ind w:firstLine="420"/>
        <w:rPr>
          <w:rFonts w:ascii="Times New Roman" w:hAnsi="Times New Roman" w:cs="Times New Roman"/>
        </w:rPr>
      </w:pPr>
      <w:bookmarkStart w:id="3" w:name="_Toc28286"/>
      <w:bookmarkStart w:id="4" w:name="_Toc17662"/>
      <w:r>
        <w:rPr>
          <w:rFonts w:ascii="Times New Roman" w:hAnsi="Times New Roman" w:cs="Times New Roman"/>
        </w:rPr>
        <w:t>本</w:t>
      </w:r>
      <w:r>
        <w:rPr>
          <w:rFonts w:hint="eastAsia" w:ascii="Times New Roman" w:hAnsi="Times New Roman" w:cs="Times New Roman"/>
        </w:rPr>
        <w:t>文件</w:t>
      </w:r>
      <w:r>
        <w:rPr>
          <w:rFonts w:ascii="Times New Roman" w:hAnsi="Times New Roman" w:cs="Times New Roman"/>
        </w:rPr>
        <w:t>规定了</w:t>
      </w:r>
      <w:r>
        <w:rPr>
          <w:rFonts w:hint="eastAsia" w:cs="Times New Roman"/>
          <w:lang w:eastAsia="zh-CN"/>
        </w:rPr>
        <w:t>机制砂混凝土用增强调节剂</w:t>
      </w:r>
      <w:r>
        <w:rPr>
          <w:rFonts w:ascii="Times New Roman" w:hAnsi="Times New Roman" w:cs="Times New Roman"/>
        </w:rPr>
        <w:t>的</w:t>
      </w:r>
      <w:r>
        <w:rPr>
          <w:rFonts w:hint="eastAsia" w:ascii="Times New Roman" w:hAnsi="Times New Roman" w:cs="Times New Roman"/>
        </w:rPr>
        <w:t>术语和</w:t>
      </w:r>
      <w:r>
        <w:rPr>
          <w:rFonts w:ascii="Times New Roman" w:hAnsi="Times New Roman" w:cs="Times New Roman"/>
        </w:rPr>
        <w:t>定义、标记</w:t>
      </w:r>
      <w:r>
        <w:rPr>
          <w:rFonts w:hint="eastAsia" w:ascii="Times New Roman" w:hAnsi="Times New Roman" w:cs="Times New Roman"/>
        </w:rPr>
        <w:t>、</w:t>
      </w:r>
      <w:r>
        <w:rPr>
          <w:rFonts w:ascii="Times New Roman" w:hAnsi="Times New Roman" w:cs="Times New Roman"/>
        </w:rPr>
        <w:t>要求、试验方法、检验规则</w:t>
      </w:r>
      <w:r>
        <w:rPr>
          <w:rFonts w:hint="eastAsia" w:cs="Times New Roman"/>
          <w:lang w:eastAsia="zh-CN"/>
        </w:rPr>
        <w:t>、</w:t>
      </w:r>
      <w:r>
        <w:rPr>
          <w:rFonts w:hint="eastAsia" w:ascii="Times New Roman" w:hAnsi="Times New Roman"/>
          <w:lang w:val="en-US" w:eastAsia="zh-CN"/>
        </w:rPr>
        <w:t>产品说明书、包装、运输</w:t>
      </w:r>
      <w:r>
        <w:rPr>
          <w:rFonts w:hint="eastAsia"/>
          <w:lang w:val="en-US" w:eastAsia="zh-CN"/>
        </w:rPr>
        <w:t>及</w:t>
      </w:r>
      <w:r>
        <w:rPr>
          <w:rFonts w:hint="eastAsia" w:ascii="Times New Roman" w:hAnsi="Times New Roman"/>
          <w:lang w:val="en-US" w:eastAsia="zh-CN"/>
        </w:rPr>
        <w:t>贮存</w:t>
      </w:r>
      <w:r>
        <w:rPr>
          <w:rFonts w:ascii="Times New Roman" w:hAnsi="Times New Roman" w:cs="Times New Roman"/>
        </w:rPr>
        <w:t>。</w:t>
      </w:r>
      <w:bookmarkEnd w:id="3"/>
      <w:bookmarkEnd w:id="4"/>
    </w:p>
    <w:p>
      <w:pPr>
        <w:spacing w:line="240" w:lineRule="auto"/>
        <w:ind w:firstLine="420"/>
        <w:rPr>
          <w:rFonts w:ascii="Times New Roman" w:hAnsi="Times New Roman" w:cs="Times New Roman"/>
        </w:rPr>
      </w:pPr>
      <w:bookmarkStart w:id="5" w:name="_Toc21904"/>
      <w:bookmarkStart w:id="6" w:name="_Toc29893"/>
      <w:r>
        <w:rPr>
          <w:rFonts w:ascii="Times New Roman" w:hAnsi="Times New Roman" w:cs="Times New Roman"/>
        </w:rPr>
        <w:t>本</w:t>
      </w:r>
      <w:r>
        <w:rPr>
          <w:rFonts w:hint="eastAsia" w:ascii="Times New Roman" w:hAnsi="Times New Roman" w:cs="Times New Roman"/>
        </w:rPr>
        <w:t>文件</w:t>
      </w:r>
      <w:r>
        <w:rPr>
          <w:rFonts w:ascii="Times New Roman" w:hAnsi="Times New Roman" w:cs="Times New Roman"/>
        </w:rPr>
        <w:t>适用于</w:t>
      </w:r>
      <w:r>
        <w:rPr>
          <w:rFonts w:hint="eastAsia" w:ascii="Times New Roman" w:hAnsi="Times New Roman" w:cs="Times New Roman"/>
          <w:lang w:val="en-US" w:eastAsia="zh-CN"/>
        </w:rPr>
        <w:t>机制砂</w:t>
      </w:r>
      <w:r>
        <w:rPr>
          <w:rFonts w:hint="eastAsia" w:ascii="Times New Roman" w:hAnsi="Times New Roman" w:cs="Times New Roman"/>
        </w:rPr>
        <w:t>混凝土</w:t>
      </w:r>
      <w:r>
        <w:rPr>
          <w:rFonts w:hint="eastAsia" w:cs="Times New Roman"/>
          <w:lang w:val="en-US" w:eastAsia="zh-CN"/>
        </w:rPr>
        <w:t>用机制砂混凝土用增强调节剂</w:t>
      </w:r>
      <w:r>
        <w:rPr>
          <w:rFonts w:ascii="Times New Roman" w:hAnsi="Times New Roman" w:cs="Times New Roman"/>
        </w:rPr>
        <w:t>。</w:t>
      </w:r>
      <w:bookmarkEnd w:id="5"/>
      <w:bookmarkEnd w:id="6"/>
    </w:p>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Times New Roman" w:hAnsi="Times New Roman"/>
        </w:rPr>
      </w:pPr>
      <w:bookmarkStart w:id="7" w:name="_Toc20497"/>
      <w:r>
        <w:rPr>
          <w:rFonts w:hint="eastAsia" w:ascii="Times New Roman" w:hAnsi="Times New Roman"/>
        </w:rPr>
        <w:t>2 规范性引用文件</w:t>
      </w:r>
      <w:bookmarkEnd w:id="7"/>
    </w:p>
    <w:p>
      <w:pPr>
        <w:spacing w:line="240" w:lineRule="auto"/>
        <w:ind w:firstLine="420"/>
        <w:rPr>
          <w:rFonts w:ascii="Times New Roman" w:hAnsi="Times New Roman" w:cs="Times New Roman"/>
        </w:rPr>
      </w:pPr>
      <w:r>
        <w:rPr>
          <w:rFonts w:hint="eastAsia" w:ascii="Times New Roman" w:hAnsi="Times New Roman" w:cs="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240" w:lineRule="auto"/>
        <w:ind w:firstLine="420"/>
        <w:rPr>
          <w:rFonts w:hint="eastAsia" w:ascii="Times New Roman" w:hAnsi="Times New Roman" w:cs="Times New Roman"/>
          <w:lang w:val="en-US" w:eastAsia="zh-CN"/>
        </w:rPr>
      </w:pPr>
      <w:r>
        <w:rPr>
          <w:rFonts w:hint="eastAsia" w:ascii="Times New Roman" w:hAnsi="Times New Roman" w:cs="Times New Roman"/>
          <w:lang w:val="en-US" w:eastAsia="zh-CN"/>
        </w:rPr>
        <w:t>GB/T 191 包装储运图示标志</w:t>
      </w:r>
    </w:p>
    <w:p>
      <w:pPr>
        <w:spacing w:line="240" w:lineRule="auto"/>
        <w:ind w:firstLine="420"/>
        <w:rPr>
          <w:rFonts w:ascii="Times New Roman" w:hAnsi="Times New Roman" w:cs="Times New Roman"/>
        </w:rPr>
      </w:pPr>
      <w:r>
        <w:rPr>
          <w:rFonts w:ascii="Times New Roman" w:hAnsi="Times New Roman" w:cs="Times New Roman"/>
        </w:rPr>
        <w:t>GB 8076 混凝土外加剂</w:t>
      </w:r>
    </w:p>
    <w:p>
      <w:pPr>
        <w:spacing w:line="240" w:lineRule="auto"/>
        <w:ind w:firstLine="420"/>
        <w:rPr>
          <w:rFonts w:hint="eastAsia" w:ascii="Times New Roman" w:hAnsi="Times New Roman" w:cs="Times New Roman"/>
          <w:lang w:val="en-US" w:eastAsia="zh-CN"/>
        </w:rPr>
      </w:pPr>
      <w:r>
        <w:rPr>
          <w:rFonts w:ascii="Times New Roman" w:hAnsi="Times New Roman" w:cs="Times New Roman"/>
        </w:rPr>
        <w:t>GB/T 8</w:t>
      </w:r>
      <w:r>
        <w:rPr>
          <w:rFonts w:hint="eastAsia" w:ascii="Times New Roman" w:hAnsi="Times New Roman" w:cs="Times New Roman"/>
          <w:lang w:val="en-US" w:eastAsia="zh-CN"/>
        </w:rPr>
        <w:t>077 混凝土外加剂匀质性试验方法</w:t>
      </w:r>
    </w:p>
    <w:p>
      <w:pPr>
        <w:spacing w:line="240" w:lineRule="auto"/>
        <w:ind w:firstLine="420"/>
        <w:rPr>
          <w:rFonts w:hint="eastAsia" w:ascii="Times New Roman" w:hAnsi="Times New Roman" w:cs="Times New Roman"/>
          <w:lang w:val="en-US" w:eastAsia="zh-CN"/>
        </w:rPr>
      </w:pPr>
      <w:r>
        <w:rPr>
          <w:rFonts w:hint="eastAsia" w:ascii="Times New Roman" w:hAnsi="Times New Roman" w:cs="Times New Roman"/>
          <w:lang w:val="en-US" w:eastAsia="zh-CN"/>
        </w:rPr>
        <w:t>GB/T 14684 建设用砂</w:t>
      </w:r>
    </w:p>
    <w:p>
      <w:pPr>
        <w:spacing w:line="240" w:lineRule="auto"/>
        <w:ind w:firstLine="420"/>
        <w:rPr>
          <w:rFonts w:hint="eastAsia" w:ascii="Times New Roman" w:hAnsi="Times New Roman" w:cs="Times New Roman"/>
          <w:lang w:val="en-US" w:eastAsia="zh-CN"/>
        </w:rPr>
      </w:pPr>
      <w:r>
        <w:rPr>
          <w:rFonts w:hint="eastAsia" w:ascii="Times New Roman" w:hAnsi="Times New Roman" w:cs="Times New Roman"/>
          <w:lang w:val="en-US" w:eastAsia="zh-CN"/>
        </w:rPr>
        <w:t>GB/T 14685 建设用卵石、碎石</w:t>
      </w:r>
    </w:p>
    <w:p>
      <w:pPr>
        <w:spacing w:line="240" w:lineRule="auto"/>
        <w:ind w:firstLine="420"/>
        <w:rPr>
          <w:rFonts w:hint="eastAsia" w:ascii="Times New Roman" w:hAnsi="Times New Roman" w:cs="Times New Roman"/>
          <w:lang w:val="en-US" w:eastAsia="zh-CN"/>
        </w:rPr>
      </w:pPr>
      <w:r>
        <w:rPr>
          <w:rFonts w:hint="eastAsia" w:ascii="Times New Roman" w:hAnsi="Times New Roman" w:cs="Times New Roman"/>
          <w:lang w:val="en-US" w:eastAsia="zh-CN"/>
        </w:rPr>
        <w:t>GB/T 50080 普通混凝土拌合物性能试验方法标准</w:t>
      </w:r>
    </w:p>
    <w:p>
      <w:pPr>
        <w:spacing w:line="240" w:lineRule="auto"/>
        <w:ind w:firstLine="420"/>
        <w:rPr>
          <w:rFonts w:hint="eastAsia" w:ascii="Times New Roman" w:hAnsi="Times New Roman" w:cs="Times New Roman"/>
          <w:lang w:val="en-US" w:eastAsia="zh-CN"/>
        </w:rPr>
      </w:pPr>
      <w:r>
        <w:rPr>
          <w:rFonts w:hint="eastAsia" w:ascii="Times New Roman" w:hAnsi="Times New Roman" w:cs="Times New Roman"/>
          <w:lang w:val="en-US" w:eastAsia="zh-CN"/>
        </w:rPr>
        <w:t>GB/T 50081 普通混凝土力学性能试验方法标准</w:t>
      </w:r>
    </w:p>
    <w:p>
      <w:pPr>
        <w:spacing w:line="240" w:lineRule="auto"/>
        <w:ind w:firstLine="420"/>
        <w:rPr>
          <w:rFonts w:hint="eastAsia" w:ascii="Times New Roman" w:hAnsi="Times New Roman" w:cs="Times New Roman"/>
          <w:lang w:val="en-US" w:eastAsia="zh-CN"/>
        </w:rPr>
      </w:pPr>
      <w:r>
        <w:rPr>
          <w:rFonts w:hint="eastAsia" w:ascii="Times New Roman" w:hAnsi="Times New Roman" w:cs="Times New Roman"/>
          <w:lang w:val="en-US" w:eastAsia="zh-CN"/>
        </w:rPr>
        <w:t>GB/T 50082 普通混凝土长期性能和耐久性能试验方法标准</w:t>
      </w:r>
    </w:p>
    <w:p>
      <w:pPr>
        <w:spacing w:line="240" w:lineRule="auto"/>
        <w:ind w:firstLine="420"/>
        <w:rPr>
          <w:rFonts w:hint="eastAsia" w:ascii="Times New Roman" w:hAnsi="Times New Roman" w:cs="Times New Roman"/>
          <w:lang w:val="en-US" w:eastAsia="zh-CN"/>
        </w:rPr>
      </w:pPr>
      <w:r>
        <w:rPr>
          <w:rFonts w:hint="eastAsia" w:ascii="Times New Roman" w:hAnsi="Times New Roman" w:cs="Times New Roman"/>
          <w:lang w:val="en-US" w:eastAsia="zh-CN"/>
        </w:rPr>
        <w:t>JGJ 55 普通混凝土配合比设计规程</w:t>
      </w:r>
    </w:p>
    <w:p>
      <w:pPr>
        <w:spacing w:line="240" w:lineRule="auto"/>
        <w:ind w:firstLine="420"/>
        <w:rPr>
          <w:rFonts w:hint="eastAsia" w:ascii="Times New Roman" w:hAnsi="Times New Roman" w:cs="Times New Roman"/>
          <w:lang w:val="en-US" w:eastAsia="zh-CN"/>
        </w:rPr>
      </w:pPr>
      <w:r>
        <w:rPr>
          <w:rFonts w:hint="eastAsia" w:ascii="Times New Roman" w:hAnsi="Times New Roman" w:cs="Times New Roman"/>
          <w:lang w:val="en-US" w:eastAsia="zh-CN"/>
        </w:rPr>
        <w:t>JGJ 63 混凝土用水标准</w:t>
      </w:r>
    </w:p>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pPr>
      <w:bookmarkStart w:id="8" w:name="_Toc1855"/>
      <w:r>
        <w:rPr>
          <w:rFonts w:hint="eastAsia"/>
        </w:rPr>
        <w:t>3 术语和</w:t>
      </w:r>
      <w:r>
        <w:t>定义</w:t>
      </w:r>
      <w:bookmarkEnd w:id="8"/>
    </w:p>
    <w:p>
      <w:pPr>
        <w:spacing w:line="240" w:lineRule="auto"/>
        <w:ind w:firstLine="420"/>
        <w:rPr>
          <w:rFonts w:hint="eastAsia" w:ascii="Times New Roman" w:hAnsi="Times New Roman" w:cs="Times New Roman"/>
        </w:rPr>
      </w:pPr>
      <w:r>
        <w:rPr>
          <w:rFonts w:hint="eastAsia" w:ascii="Times New Roman" w:hAnsi="Times New Roman" w:cs="Times New Roman"/>
        </w:rPr>
        <w:t>下列术语和定义适用于本文件。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color w:val="000000"/>
          <w:szCs w:val="21"/>
        </w:rPr>
      </w:pPr>
      <w:r>
        <w:rPr>
          <w:rFonts w:hint="eastAsia" w:ascii="黑体" w:hAnsi="黑体" w:eastAsia="黑体" w:cs="黑体"/>
          <w:color w:val="000000"/>
          <w:szCs w:val="21"/>
        </w:rPr>
        <w:t xml:space="preserve">3.1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黑体" w:cs="Times New Roman"/>
          <w:color w:val="000000"/>
          <w:szCs w:val="21"/>
        </w:rPr>
      </w:pPr>
      <w:r>
        <w:rPr>
          <w:rFonts w:hint="eastAsia" w:eastAsia="黑体" w:cs="Times New Roman"/>
          <w:color w:val="000000"/>
          <w:szCs w:val="21"/>
          <w:lang w:eastAsia="zh-CN"/>
        </w:rPr>
        <w:t>机制砂混凝土用增强调节剂</w:t>
      </w:r>
      <w:r>
        <w:rPr>
          <w:rFonts w:hint="eastAsia" w:ascii="Times New Roman" w:hAnsi="Times New Roman" w:eastAsia="黑体" w:cs="Times New Roman"/>
          <w:color w:val="000000"/>
          <w:szCs w:val="21"/>
        </w:rPr>
        <w:t xml:space="preserve"> Reinforcing regulator for machine-made sand concrete</w:t>
      </w:r>
    </w:p>
    <w:p>
      <w:pPr>
        <w:spacing w:line="240" w:lineRule="auto"/>
        <w:ind w:firstLine="420"/>
        <w:rPr>
          <w:rFonts w:hint="eastAsia" w:ascii="Times New Roman" w:hAnsi="Times New Roman" w:cs="Times New Roman"/>
          <w:lang w:eastAsia="zh-CN"/>
        </w:rPr>
      </w:pPr>
      <w:r>
        <w:rPr>
          <w:rFonts w:hint="eastAsia" w:cs="Times New Roman"/>
          <w:lang w:eastAsia="zh-CN"/>
        </w:rPr>
        <w:t>机制砂混凝土用增强调节剂</w:t>
      </w:r>
      <w:r>
        <w:rPr>
          <w:rFonts w:hint="eastAsia" w:ascii="Times New Roman" w:hAnsi="Times New Roman" w:cs="Times New Roman"/>
        </w:rPr>
        <w:t>是一种能</w:t>
      </w:r>
      <w:r>
        <w:rPr>
          <w:rFonts w:hint="eastAsia" w:ascii="Times New Roman" w:hAnsi="Times New Roman" w:cs="Times New Roman"/>
          <w:lang w:val="en-US" w:eastAsia="zh-CN"/>
        </w:rPr>
        <w:t>延长</w:t>
      </w:r>
      <w:r>
        <w:rPr>
          <w:rFonts w:hint="eastAsia" w:ascii="Times New Roman" w:hAnsi="Times New Roman" w:cs="Times New Roman"/>
        </w:rPr>
        <w:t>机制砂混凝土</w:t>
      </w:r>
      <w:r>
        <w:rPr>
          <w:rFonts w:hint="eastAsia" w:ascii="Times New Roman" w:hAnsi="Times New Roman" w:cs="Times New Roman"/>
          <w:lang w:val="en-US" w:eastAsia="zh-CN"/>
        </w:rPr>
        <w:t>拌合物的坍落度保持时间</w:t>
      </w:r>
      <w:r>
        <w:rPr>
          <w:rFonts w:hint="eastAsia" w:ascii="Times New Roman" w:hAnsi="Times New Roman" w:cs="Times New Roman"/>
        </w:rPr>
        <w:t>、显著提高</w:t>
      </w:r>
      <w:r>
        <w:rPr>
          <w:rFonts w:hint="eastAsia" w:ascii="Times New Roman" w:hAnsi="Times New Roman" w:cs="Times New Roman"/>
          <w:lang w:val="en-US" w:eastAsia="zh-CN"/>
        </w:rPr>
        <w:t>机制砂</w:t>
      </w:r>
      <w:r>
        <w:rPr>
          <w:rFonts w:hint="eastAsia" w:ascii="Times New Roman" w:hAnsi="Times New Roman" w:cs="Times New Roman"/>
        </w:rPr>
        <w:t>混凝土早</w:t>
      </w:r>
      <w:r>
        <w:rPr>
          <w:rFonts w:hint="eastAsia" w:ascii="Times New Roman" w:hAnsi="Times New Roman" w:cs="Times New Roman"/>
          <w:lang w:val="en-US" w:eastAsia="zh-CN"/>
        </w:rPr>
        <w:t>期</w:t>
      </w:r>
      <w:r>
        <w:rPr>
          <w:rFonts w:hint="eastAsia" w:ascii="Times New Roman" w:hAnsi="Times New Roman" w:cs="Times New Roman"/>
          <w:lang w:eastAsia="zh-CN"/>
        </w:rPr>
        <w:t>、</w:t>
      </w:r>
      <w:r>
        <w:rPr>
          <w:rFonts w:hint="eastAsia" w:ascii="Times New Roman" w:hAnsi="Times New Roman" w:cs="Times New Roman"/>
          <w:lang w:val="en-US" w:eastAsia="zh-CN"/>
        </w:rPr>
        <w:t>中</w:t>
      </w:r>
      <w:r>
        <w:rPr>
          <w:rFonts w:hint="eastAsia" w:ascii="Times New Roman" w:hAnsi="Times New Roman" w:cs="Times New Roman"/>
        </w:rPr>
        <w:t>期强度</w:t>
      </w:r>
      <w:r>
        <w:rPr>
          <w:rFonts w:hint="eastAsia" w:ascii="Times New Roman" w:hAnsi="Times New Roman" w:cs="Times New Roman"/>
          <w:lang w:val="en-US" w:eastAsia="zh-CN"/>
        </w:rPr>
        <w:t>且不影响后期强度</w:t>
      </w:r>
      <w:r>
        <w:rPr>
          <w:rFonts w:hint="eastAsia" w:ascii="Times New Roman" w:hAnsi="Times New Roman" w:cs="Times New Roman"/>
        </w:rPr>
        <w:t>的混凝土外加剂。</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color w:val="000000"/>
          <w:szCs w:val="21"/>
        </w:rPr>
      </w:pPr>
      <w:r>
        <w:rPr>
          <w:rFonts w:hint="eastAsia" w:ascii="黑体" w:hAnsi="黑体" w:eastAsia="黑体" w:cs="黑体"/>
          <w:color w:val="000000"/>
          <w:szCs w:val="21"/>
        </w:rPr>
        <w:t>3.</w:t>
      </w:r>
      <w:r>
        <w:rPr>
          <w:rFonts w:hint="eastAsia" w:ascii="黑体" w:hAnsi="黑体" w:eastAsia="黑体" w:cs="黑体"/>
          <w:color w:val="000000"/>
          <w:szCs w:val="21"/>
          <w:lang w:val="en-US" w:eastAsia="zh-CN"/>
        </w:rPr>
        <w:t>2</w:t>
      </w:r>
      <w:r>
        <w:rPr>
          <w:rFonts w:hint="eastAsia" w:ascii="黑体" w:hAnsi="黑体" w:eastAsia="黑体" w:cs="黑体"/>
          <w:color w:val="000000"/>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color w:val="000000"/>
          <w:szCs w:val="21"/>
        </w:rPr>
      </w:pPr>
      <w:r>
        <w:rPr>
          <w:rFonts w:hint="eastAsia" w:ascii="黑体" w:hAnsi="黑体" w:eastAsia="黑体" w:cs="黑体"/>
          <w:color w:val="000000"/>
          <w:szCs w:val="21"/>
        </w:rPr>
        <w:t>基准混凝土 reference concrete</w:t>
      </w:r>
    </w:p>
    <w:p>
      <w:pPr>
        <w:ind w:firstLine="420"/>
        <w:rPr>
          <w:rFonts w:cs="Times New Roman"/>
          <w:szCs w:val="21"/>
        </w:rPr>
      </w:pPr>
      <w:r>
        <w:rPr>
          <w:rFonts w:cs="Times New Roman"/>
          <w:szCs w:val="21"/>
        </w:rPr>
        <w:t>按照本</w:t>
      </w:r>
      <w:r>
        <w:rPr>
          <w:rFonts w:hint="eastAsia" w:cs="Times New Roman"/>
          <w:szCs w:val="21"/>
        </w:rPr>
        <w:t>文件</w:t>
      </w:r>
      <w:r>
        <w:rPr>
          <w:rFonts w:cs="Times New Roman"/>
          <w:szCs w:val="21"/>
        </w:rPr>
        <w:t>规定的试验方法配制的不掺</w:t>
      </w:r>
      <w:r>
        <w:rPr>
          <w:rFonts w:hint="eastAsia" w:cs="Times New Roman"/>
          <w:szCs w:val="21"/>
        </w:rPr>
        <w:t>加增强调节剂</w:t>
      </w:r>
      <w:r>
        <w:rPr>
          <w:rFonts w:cs="Times New Roman"/>
          <w:szCs w:val="21"/>
        </w:rPr>
        <w:t>的</w:t>
      </w:r>
      <w:r>
        <w:rPr>
          <w:rFonts w:hint="eastAsia" w:cs="Times New Roman"/>
          <w:szCs w:val="21"/>
          <w:lang w:val="en-US" w:eastAsia="zh-CN"/>
        </w:rPr>
        <w:t>机制砂</w:t>
      </w:r>
      <w:r>
        <w:rPr>
          <w:rFonts w:cs="Times New Roman"/>
          <w:szCs w:val="21"/>
        </w:rPr>
        <w:t>混凝土。</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color w:val="000000"/>
          <w:szCs w:val="21"/>
        </w:rPr>
      </w:pPr>
      <w:bookmarkStart w:id="9" w:name="_Toc10300"/>
      <w:bookmarkStart w:id="10" w:name="_Toc18217"/>
      <w:r>
        <w:rPr>
          <w:rFonts w:hint="eastAsia" w:ascii="黑体" w:hAnsi="黑体" w:eastAsia="黑体" w:cs="黑体"/>
          <w:color w:val="000000"/>
          <w:szCs w:val="21"/>
        </w:rPr>
        <w:t>3.</w:t>
      </w:r>
      <w:r>
        <w:rPr>
          <w:rFonts w:hint="eastAsia" w:ascii="黑体" w:hAnsi="黑体" w:eastAsia="黑体" w:cs="黑体"/>
          <w:color w:val="000000"/>
          <w:szCs w:val="21"/>
          <w:lang w:val="en-US" w:eastAsia="zh-CN"/>
        </w:rPr>
        <w:t>3</w:t>
      </w:r>
      <w:r>
        <w:rPr>
          <w:rFonts w:hint="eastAsia" w:ascii="黑体" w:hAnsi="黑体" w:eastAsia="黑体" w:cs="黑体"/>
          <w:color w:val="000000"/>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color w:val="000000"/>
          <w:szCs w:val="21"/>
        </w:rPr>
      </w:pPr>
      <w:r>
        <w:rPr>
          <w:rFonts w:hint="eastAsia" w:ascii="黑体" w:hAnsi="黑体" w:eastAsia="黑体" w:cs="黑体"/>
          <w:color w:val="000000"/>
          <w:szCs w:val="21"/>
        </w:rPr>
        <w:t>受检混凝土 test concrete</w:t>
      </w:r>
      <w:bookmarkEnd w:id="9"/>
      <w:bookmarkEnd w:id="10"/>
    </w:p>
    <w:p>
      <w:pPr>
        <w:pStyle w:val="35"/>
        <w:numPr>
          <w:ilvl w:val="0"/>
          <w:numId w:val="0"/>
        </w:numPr>
        <w:spacing w:before="120" w:after="120"/>
        <w:ind w:firstLine="420" w:firstLineChars="200"/>
        <w:jc w:val="both"/>
        <w:rPr>
          <w:rFonts w:ascii="宋体" w:hAnsi="宋体" w:eastAsia="宋体"/>
        </w:rPr>
      </w:pPr>
      <w:bookmarkStart w:id="11" w:name="_Toc26015"/>
      <w:bookmarkStart w:id="12" w:name="_Toc10099"/>
      <w:r>
        <w:rPr>
          <w:rFonts w:hint="eastAsia" w:ascii="宋体" w:hAnsi="宋体" w:eastAsia="宋体"/>
        </w:rPr>
        <w:t>按照本文件规定的试验方法配制的掺加增强调节剂的</w:t>
      </w:r>
      <w:r>
        <w:rPr>
          <w:rFonts w:hint="eastAsia" w:ascii="宋体" w:hAnsi="宋体" w:eastAsia="宋体"/>
          <w:lang w:val="en-US" w:eastAsia="zh-CN"/>
        </w:rPr>
        <w:t>机制砂</w:t>
      </w:r>
      <w:r>
        <w:rPr>
          <w:rFonts w:hint="eastAsia" w:ascii="宋体" w:hAnsi="宋体" w:eastAsia="宋体"/>
        </w:rPr>
        <w:t>混凝土。</w:t>
      </w:r>
      <w:bookmarkEnd w:id="11"/>
      <w:bookmarkEnd w:id="12"/>
    </w:p>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Times New Roman" w:hAnsi="Times New Roman"/>
        </w:rPr>
      </w:pPr>
      <w:bookmarkStart w:id="13" w:name="_Toc5233"/>
      <w:r>
        <w:rPr>
          <w:rFonts w:hint="eastAsia" w:ascii="Times New Roman" w:hAnsi="Times New Roman"/>
          <w:lang w:val="en-US" w:eastAsia="zh-CN"/>
        </w:rPr>
        <w:t xml:space="preserve">4 </w:t>
      </w:r>
      <w:r>
        <w:rPr>
          <w:rFonts w:hint="eastAsia" w:ascii="Times New Roman" w:hAnsi="Times New Roman"/>
        </w:rPr>
        <w:t>标记</w:t>
      </w:r>
      <w:bookmarkEnd w:id="13"/>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szCs w:val="21"/>
        </w:rPr>
      </w:pPr>
      <w:bookmarkStart w:id="14" w:name="_Toc21235"/>
      <w:bookmarkStart w:id="15" w:name="_Toc9040"/>
      <w:r>
        <w:rPr>
          <w:rFonts w:hint="eastAsia" w:ascii="宋体" w:hAnsi="宋体"/>
          <w:szCs w:val="21"/>
        </w:rPr>
        <w:t>产品按下列顺序标记：产品代号-标准号。</w:t>
      </w:r>
      <w:bookmarkEnd w:id="14"/>
      <w:bookmarkEnd w:id="15"/>
      <w:r>
        <w:rPr>
          <w:rFonts w:hint="eastAsia" w:ascii="宋体" w:hAnsi="宋体"/>
          <w:szCs w:val="21"/>
        </w:rPr>
        <w:t xml:space="preserve">                                                                                                                                                                                                                                                                                                                                                                                                                                                                                                                                                                                                                                                                                                                                                                                                                                                                                                                                                                                                                                                                                                                                                                                                                                                                                                                                                                                                                                                                                                                                                                                                                                                                                                                                                                                                                                                                                                                                                                                                                                                                                                                                                                                                                                                                                                                                                                                                                                                                                                                                                                                                                                                                                                                                                                                                                                                                                                                                                                                                                                                                                                                                                                                                                                                                                                                                                                                                                                                                                                                                                                                                                                                                                                                                                                                                                                                                                                                                                                                                                                                                                                                                                                                                                </w:t>
      </w:r>
      <w:r>
        <w:rPr>
          <w:rFonts w:hint="eastAsia" w:ascii="宋体" w:hAnsi="宋体"/>
          <w:szCs w:val="21"/>
        </w:rPr>
        <w:t xml:space="preserve">                                                                                                                                                                                                                                                                                                                                                                                                                                                                                                                                                                                                                                                                                                                                                                                                                                                                                                                                                                                                                                                                                                                                                                                                                                                                                                                                                                                                                                                                                                                                                                                                                                                                                                                                                                                                                                                                                                                                                                                                                                                                                                                                                                                                                                                                                                                                                                                                                                                                                                                                                                                                                                                                                                                                                                                                                                                                                                                                                                                                                                                                                                                                                                                                                                                                                                                                                                                                                                                                                                                                                                                                                                                                                                                                                                                                                                                                                                                                                                                                                 </w:t>
      </w:r>
    </w:p>
    <w:p>
      <w:pPr>
        <w:pStyle w:val="32"/>
        <w:ind w:firstLine="420"/>
        <w:rPr>
          <w:rFonts w:ascii="Times New Roman" w:hAnsi="Times New Roman" w:eastAsia="黑体"/>
        </w:rPr>
      </w:pPr>
      <w:r>
        <w:rPr>
          <w:rFonts w:ascii="Times New Roman" w:hAnsi="Times New Roman" w:eastAsia="黑体"/>
        </w:rPr>
        <w:t>示例：</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default" w:ascii="Times New Roman" w:hAnsi="Times New Roman" w:cs="Times New Roman"/>
          <w:szCs w:val="21"/>
        </w:rPr>
      </w:pPr>
      <w:r>
        <w:rPr>
          <w:rFonts w:hint="eastAsia" w:cs="Times New Roman"/>
          <w:szCs w:val="21"/>
          <w:lang w:eastAsia="zh-CN"/>
        </w:rPr>
        <w:t>机制砂混凝土用增强调节剂</w:t>
      </w:r>
      <w:r>
        <w:rPr>
          <w:rFonts w:hint="default" w:ascii="Times New Roman" w:hAnsi="Times New Roman" w:cs="Times New Roman"/>
          <w:szCs w:val="21"/>
        </w:rPr>
        <w:t>的标记：GCT-CECS XXX-202X。</w:t>
      </w:r>
    </w:p>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Times New Roman" w:hAnsi="Times New Roman"/>
          <w:lang w:val="en-US" w:eastAsia="zh-CN"/>
        </w:rPr>
      </w:pPr>
      <w:bookmarkStart w:id="16" w:name="_Toc30939"/>
      <w:r>
        <w:rPr>
          <w:rFonts w:hint="eastAsia" w:ascii="Times New Roman" w:hAnsi="Times New Roman"/>
          <w:lang w:val="en-US" w:eastAsia="zh-CN"/>
        </w:rPr>
        <w:t>5 要求</w:t>
      </w:r>
      <w:bookmarkEnd w:id="16"/>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color w:val="000000"/>
          <w:szCs w:val="21"/>
          <w:lang w:val="en-US" w:eastAsia="zh-CN"/>
        </w:rPr>
      </w:pPr>
      <w:bookmarkStart w:id="17" w:name="_Toc378"/>
      <w:bookmarkStart w:id="18" w:name="_Toc20817"/>
      <w:r>
        <w:rPr>
          <w:rFonts w:hint="eastAsia" w:ascii="黑体" w:hAnsi="黑体" w:eastAsia="黑体" w:cs="黑体"/>
          <w:color w:val="000000"/>
          <w:szCs w:val="21"/>
          <w:lang w:val="en-US" w:eastAsia="zh-CN"/>
        </w:rPr>
        <w:t>5.1 一般要求</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pPr>
      <w:r>
        <w:rPr>
          <w:rFonts w:hint="eastAsia" w:ascii="宋体" w:hAnsi="宋体"/>
          <w:szCs w:val="21"/>
        </w:rPr>
        <w:t>本标准包括的产品不应含有对人体、生物与环境有害的组分。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黑体" w:hAnsi="黑体" w:eastAsia="黑体" w:cs="黑体"/>
          <w:color w:val="000000"/>
          <w:szCs w:val="21"/>
          <w:lang w:val="en-US" w:eastAsia="zh-CN"/>
        </w:rPr>
      </w:pPr>
      <w:r>
        <w:rPr>
          <w:rFonts w:hint="eastAsia" w:ascii="黑体" w:hAnsi="黑体" w:eastAsia="黑体" w:cs="黑体"/>
          <w:color w:val="000000"/>
          <w:szCs w:val="21"/>
          <w:lang w:val="en-US" w:eastAsia="zh-CN"/>
        </w:rPr>
        <w:t xml:space="preserve">5.2 </w:t>
      </w:r>
      <w:bookmarkEnd w:id="17"/>
      <w:bookmarkEnd w:id="18"/>
      <w:r>
        <w:rPr>
          <w:rFonts w:hint="eastAsia" w:ascii="黑体" w:hAnsi="黑体" w:eastAsia="黑体" w:cs="黑体"/>
          <w:color w:val="000000"/>
          <w:szCs w:val="21"/>
          <w:lang w:val="en-US" w:eastAsia="zh-CN"/>
        </w:rPr>
        <w:t>匀质性指标</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szCs w:val="21"/>
        </w:rPr>
      </w:pPr>
      <w:r>
        <w:rPr>
          <w:rFonts w:hint="eastAsia" w:ascii="宋体" w:hAnsi="宋体"/>
          <w:szCs w:val="21"/>
          <w:lang w:val="en-US" w:eastAsia="zh-CN"/>
        </w:rPr>
        <w:t>机制砂混凝土用增强调节剂的匀质性</w:t>
      </w:r>
      <w:r>
        <w:rPr>
          <w:rFonts w:hint="eastAsia" w:ascii="宋体" w:hAnsi="宋体"/>
          <w:szCs w:val="21"/>
        </w:rPr>
        <w:t>指标应符合表1的要求。</w:t>
      </w:r>
    </w:p>
    <w:p>
      <w:pPr>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rPr>
          <w:rFonts w:ascii="Times New Roman" w:hAnsi="Times New Roman" w:eastAsia="黑体" w:cs="Times New Roman"/>
          <w:color w:val="000000"/>
          <w:szCs w:val="21"/>
        </w:rPr>
      </w:pPr>
      <w:r>
        <w:rPr>
          <w:rFonts w:hint="eastAsia" w:ascii="Times New Roman" w:hAnsi="Times New Roman" w:eastAsia="黑体" w:cs="Times New Roman"/>
          <w:color w:val="000000"/>
          <w:szCs w:val="21"/>
        </w:rPr>
        <w:t xml:space="preserve">表1  </w:t>
      </w:r>
      <w:r>
        <w:rPr>
          <w:rFonts w:hint="eastAsia" w:ascii="Times New Roman" w:hAnsi="Times New Roman" w:eastAsia="黑体" w:cs="Times New Roman"/>
          <w:color w:val="000000"/>
          <w:szCs w:val="21"/>
          <w:lang w:val="en-US" w:eastAsia="zh-CN"/>
        </w:rPr>
        <w:t>匀质性</w:t>
      </w:r>
      <w:r>
        <w:rPr>
          <w:rFonts w:hint="eastAsia" w:ascii="Times New Roman" w:hAnsi="Times New Roman" w:eastAsia="黑体" w:cs="Times New Roman"/>
          <w:color w:val="000000"/>
          <w:szCs w:val="21"/>
        </w:rPr>
        <w:t>指标</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3"/>
        <w:gridCol w:w="5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3" w:type="dxa"/>
            <w:vAlign w:val="center"/>
          </w:tcPr>
          <w:p>
            <w:pPr>
              <w:pStyle w:val="32"/>
              <w:ind w:firstLine="0" w:firstLineChars="0"/>
              <w:jc w:val="center"/>
              <w:rPr>
                <w:sz w:val="18"/>
                <w:szCs w:val="18"/>
              </w:rPr>
            </w:pPr>
            <w:r>
              <w:rPr>
                <w:rFonts w:hint="eastAsia"/>
                <w:sz w:val="18"/>
                <w:szCs w:val="18"/>
              </w:rPr>
              <w:t>试验项目</w:t>
            </w:r>
          </w:p>
        </w:tc>
        <w:tc>
          <w:tcPr>
            <w:tcW w:w="5375" w:type="dxa"/>
            <w:vAlign w:val="center"/>
          </w:tcPr>
          <w:p>
            <w:pPr>
              <w:pStyle w:val="32"/>
              <w:ind w:firstLine="0" w:firstLineChars="0"/>
              <w:jc w:val="center"/>
              <w:rPr>
                <w:sz w:val="18"/>
                <w:szCs w:val="18"/>
              </w:rPr>
            </w:pPr>
            <w:r>
              <w:rPr>
                <w:rFonts w:hint="eastAsia"/>
                <w:sz w:val="18"/>
                <w:szCs w:val="1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3" w:type="dxa"/>
            <w:vAlign w:val="center"/>
          </w:tcPr>
          <w:p>
            <w:pPr>
              <w:pStyle w:val="32"/>
              <w:ind w:firstLine="0" w:firstLineChars="0"/>
              <w:rPr>
                <w:sz w:val="18"/>
                <w:szCs w:val="18"/>
              </w:rPr>
            </w:pPr>
            <w:r>
              <w:rPr>
                <w:rFonts w:hint="eastAsia"/>
                <w:sz w:val="18"/>
                <w:szCs w:val="18"/>
              </w:rPr>
              <w:t>PH值</w:t>
            </w:r>
          </w:p>
        </w:tc>
        <w:tc>
          <w:tcPr>
            <w:tcW w:w="5375" w:type="dxa"/>
            <w:vAlign w:val="center"/>
          </w:tcPr>
          <w:p>
            <w:pPr>
              <w:pStyle w:val="32"/>
              <w:ind w:firstLine="0" w:firstLineChars="0"/>
              <w:jc w:val="center"/>
              <w:rPr>
                <w:sz w:val="18"/>
                <w:szCs w:val="18"/>
              </w:rPr>
            </w:pPr>
            <w:r>
              <w:rPr>
                <w:rFonts w:hint="eastAsia"/>
                <w:sz w:val="18"/>
                <w:szCs w:val="18"/>
              </w:rPr>
              <w:t>应在生产厂控制范围内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3" w:type="dxa"/>
            <w:vAlign w:val="center"/>
          </w:tcPr>
          <w:p>
            <w:pPr>
              <w:pStyle w:val="32"/>
              <w:ind w:firstLine="0" w:firstLineChars="0"/>
              <w:rPr>
                <w:sz w:val="18"/>
                <w:szCs w:val="18"/>
              </w:rPr>
            </w:pPr>
            <w:r>
              <w:rPr>
                <w:rFonts w:hint="eastAsia"/>
                <w:sz w:val="18"/>
                <w:szCs w:val="18"/>
              </w:rPr>
              <w:t>氯离子含量/%</w:t>
            </w:r>
          </w:p>
        </w:tc>
        <w:tc>
          <w:tcPr>
            <w:tcW w:w="5375" w:type="dxa"/>
            <w:vAlign w:val="center"/>
          </w:tcPr>
          <w:p>
            <w:pPr>
              <w:pStyle w:val="32"/>
              <w:ind w:firstLine="0" w:firstLineChars="0"/>
              <w:jc w:val="center"/>
              <w:rPr>
                <w:rFonts w:hint="default" w:eastAsia="宋体"/>
                <w:sz w:val="18"/>
                <w:szCs w:val="18"/>
                <w:lang w:val="en-US" w:eastAsia="zh-CN"/>
              </w:rPr>
            </w:pPr>
            <w:r>
              <w:rPr>
                <w:rFonts w:hint="eastAsia"/>
                <w:sz w:val="18"/>
                <w:szCs w:val="18"/>
              </w:rPr>
              <w:t>≤0.</w:t>
            </w:r>
            <w:r>
              <w:rPr>
                <w:rFonts w:hint="eastAsia"/>
                <w:sz w:val="18"/>
                <w:szCs w:val="18"/>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3" w:type="dxa"/>
            <w:vAlign w:val="center"/>
          </w:tcPr>
          <w:p>
            <w:pPr>
              <w:pStyle w:val="32"/>
              <w:ind w:firstLine="0" w:firstLineChars="0"/>
              <w:rPr>
                <w:sz w:val="18"/>
                <w:szCs w:val="18"/>
              </w:rPr>
            </w:pPr>
            <w:r>
              <w:rPr>
                <w:rFonts w:hint="eastAsia"/>
                <w:sz w:val="18"/>
                <w:szCs w:val="18"/>
              </w:rPr>
              <w:t>硫酸钠含量/%</w:t>
            </w:r>
          </w:p>
        </w:tc>
        <w:tc>
          <w:tcPr>
            <w:tcW w:w="5375" w:type="dxa"/>
            <w:vAlign w:val="center"/>
          </w:tcPr>
          <w:p>
            <w:pPr>
              <w:pStyle w:val="32"/>
              <w:ind w:firstLine="0" w:firstLineChars="0"/>
              <w:jc w:val="center"/>
              <w:rPr>
                <w:rFonts w:hint="default" w:eastAsia="宋体"/>
                <w:sz w:val="18"/>
                <w:szCs w:val="18"/>
                <w:lang w:val="en-US" w:eastAsia="zh-CN"/>
              </w:rPr>
            </w:pPr>
            <w:r>
              <w:rPr>
                <w:rFonts w:hint="eastAsia"/>
                <w:sz w:val="18"/>
                <w:szCs w:val="18"/>
              </w:rPr>
              <w:t>≤</w:t>
            </w:r>
            <w:r>
              <w:rPr>
                <w:rFonts w:hint="eastAsia"/>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3" w:type="dxa"/>
            <w:vAlign w:val="center"/>
          </w:tcPr>
          <w:p>
            <w:pPr>
              <w:pStyle w:val="32"/>
              <w:ind w:firstLine="0" w:firstLineChars="0"/>
              <w:rPr>
                <w:sz w:val="18"/>
                <w:szCs w:val="18"/>
              </w:rPr>
            </w:pPr>
            <w:r>
              <w:rPr>
                <w:rFonts w:hint="eastAsia"/>
                <w:sz w:val="18"/>
                <w:szCs w:val="18"/>
              </w:rPr>
              <w:t>总碱量/%</w:t>
            </w:r>
          </w:p>
        </w:tc>
        <w:tc>
          <w:tcPr>
            <w:tcW w:w="5375" w:type="dxa"/>
            <w:vAlign w:val="center"/>
          </w:tcPr>
          <w:p>
            <w:pPr>
              <w:pStyle w:val="32"/>
              <w:ind w:firstLine="0" w:firstLineChars="0"/>
              <w:jc w:val="center"/>
              <w:rPr>
                <w:sz w:val="18"/>
                <w:szCs w:val="18"/>
              </w:rPr>
            </w:pPr>
            <w:r>
              <w:rPr>
                <w:rFonts w:hint="eastAsia"/>
                <w:sz w:val="18"/>
                <w:szCs w:val="18"/>
              </w:rPr>
              <w:t>应小于生产厂最大控制值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18" w:type="dxa"/>
            <w:gridSpan w:val="2"/>
            <w:vAlign w:val="center"/>
          </w:tcPr>
          <w:p>
            <w:pPr>
              <w:pStyle w:val="32"/>
              <w:ind w:firstLine="0" w:firstLineChars="0"/>
              <w:jc w:val="left"/>
              <w:rPr>
                <w:sz w:val="18"/>
                <w:szCs w:val="18"/>
              </w:rPr>
            </w:pPr>
            <w:r>
              <w:rPr>
                <w:rFonts w:hint="eastAsia"/>
                <w:sz w:val="18"/>
                <w:szCs w:val="18"/>
              </w:rPr>
              <w:t>注：生产厂家应在产品技术资料中明示匀质性指标的控制值。</w:t>
            </w: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color w:val="000000"/>
          <w:szCs w:val="21"/>
          <w:lang w:val="en-US" w:eastAsia="zh-CN"/>
        </w:rPr>
      </w:pPr>
      <w:bookmarkStart w:id="19" w:name="_Toc5250"/>
      <w:bookmarkStart w:id="20" w:name="_Toc13713"/>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黑体" w:hAnsi="黑体" w:eastAsia="黑体" w:cs="黑体"/>
          <w:color w:val="000000"/>
          <w:szCs w:val="21"/>
          <w:lang w:val="en-US" w:eastAsia="zh-CN"/>
        </w:rPr>
      </w:pPr>
      <w:r>
        <w:rPr>
          <w:rFonts w:hint="eastAsia" w:ascii="黑体" w:hAnsi="黑体" w:eastAsia="黑体" w:cs="黑体"/>
          <w:color w:val="000000"/>
          <w:szCs w:val="21"/>
          <w:lang w:val="en-US" w:eastAsia="zh-CN"/>
        </w:rPr>
        <w:t>5.3 受检混凝土</w:t>
      </w:r>
      <w:bookmarkEnd w:id="19"/>
      <w:bookmarkEnd w:id="20"/>
      <w:r>
        <w:rPr>
          <w:rFonts w:hint="eastAsia" w:ascii="黑体" w:hAnsi="黑体" w:eastAsia="黑体" w:cs="黑体"/>
          <w:color w:val="000000"/>
          <w:szCs w:val="21"/>
          <w:lang w:val="en-US" w:eastAsia="zh-CN"/>
        </w:rPr>
        <w:t>性能指标</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szCs w:val="21"/>
          <w:lang w:val="en-US" w:eastAsia="zh-CN"/>
        </w:rPr>
      </w:pPr>
      <w:bookmarkStart w:id="21" w:name="_Toc2101_WPSOffice_Level3"/>
      <w:r>
        <w:rPr>
          <w:rFonts w:hint="eastAsia" w:ascii="宋体" w:hAnsi="宋体"/>
          <w:szCs w:val="21"/>
          <w:lang w:val="en-US" w:eastAsia="zh-CN"/>
        </w:rPr>
        <w:t>掺加机制砂混凝土用增强调节剂的受检混凝土性能应符合表2要求。</w:t>
      </w:r>
      <w:bookmarkEnd w:id="21"/>
    </w:p>
    <w:p>
      <w:pPr>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rPr>
          <w:rFonts w:hint="eastAsia" w:ascii="Times New Roman" w:hAnsi="Times New Roman" w:eastAsia="黑体" w:cs="Times New Roman"/>
          <w:color w:val="000000"/>
          <w:szCs w:val="21"/>
        </w:rPr>
      </w:pPr>
      <w:r>
        <w:rPr>
          <w:rFonts w:hint="eastAsia" w:ascii="Times New Roman" w:hAnsi="Times New Roman" w:eastAsia="黑体" w:cs="Times New Roman"/>
          <w:color w:val="000000"/>
          <w:szCs w:val="21"/>
        </w:rPr>
        <w:t>表</w:t>
      </w:r>
      <w:r>
        <w:rPr>
          <w:rFonts w:hint="eastAsia" w:ascii="Times New Roman" w:hAnsi="Times New Roman" w:eastAsia="黑体" w:cs="Times New Roman"/>
          <w:color w:val="000000"/>
          <w:szCs w:val="21"/>
          <w:lang w:val="en-US" w:eastAsia="zh-CN"/>
        </w:rPr>
        <w:t>2</w:t>
      </w:r>
      <w:r>
        <w:rPr>
          <w:rFonts w:hint="eastAsia" w:eastAsia="黑体" w:cs="Times New Roman"/>
          <w:color w:val="000000"/>
          <w:szCs w:val="21"/>
          <w:lang w:eastAsia="zh-CN"/>
        </w:rPr>
        <w:t>机制砂混凝土用增强调节剂</w:t>
      </w:r>
      <w:r>
        <w:rPr>
          <w:rFonts w:hint="eastAsia" w:ascii="Times New Roman" w:hAnsi="Times New Roman" w:eastAsia="黑体" w:cs="Times New Roman"/>
          <w:color w:val="000000"/>
          <w:szCs w:val="21"/>
        </w:rPr>
        <w:t>性能指标</w:t>
      </w:r>
    </w:p>
    <w:tbl>
      <w:tblPr>
        <w:tblStyle w:val="15"/>
        <w:tblW w:w="45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1121"/>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5" w:type="pct"/>
            <w:gridSpan w:val="2"/>
            <w:vAlign w:val="center"/>
          </w:tcPr>
          <w:p>
            <w:pPr>
              <w:pStyle w:val="32"/>
              <w:widowControl w:val="0"/>
              <w:ind w:firstLine="0" w:firstLineChars="0"/>
              <w:jc w:val="center"/>
              <w:rPr>
                <w:rFonts w:hAnsi="宋体"/>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试验项目</w:t>
            </w:r>
          </w:p>
        </w:tc>
        <w:tc>
          <w:tcPr>
            <w:tcW w:w="3214" w:type="pct"/>
            <w:vAlign w:val="center"/>
          </w:tcPr>
          <w:p>
            <w:pPr>
              <w:pStyle w:val="32"/>
              <w:widowControl w:val="0"/>
              <w:ind w:firstLine="0" w:firstLineChars="0"/>
              <w:jc w:val="center"/>
              <w:rPr>
                <w:rFonts w:hAnsi="宋体"/>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5" w:type="pct"/>
            <w:gridSpan w:val="2"/>
            <w:vAlign w:val="center"/>
          </w:tcPr>
          <w:p>
            <w:pPr>
              <w:pStyle w:val="32"/>
              <w:widowControl w:val="0"/>
              <w:ind w:firstLine="0" w:firstLineChars="0"/>
              <w:jc w:val="center"/>
              <w:rPr>
                <w:rFonts w:hAnsi="宋体"/>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1h后坍落度保留值/mm</w:t>
            </w:r>
          </w:p>
        </w:tc>
        <w:tc>
          <w:tcPr>
            <w:tcW w:w="3214" w:type="pct"/>
            <w:vAlign w:val="center"/>
          </w:tcPr>
          <w:p>
            <w:pPr>
              <w:pStyle w:val="32"/>
              <w:widowControl w:val="0"/>
              <w:ind w:firstLine="0" w:firstLineChars="0"/>
              <w:jc w:val="center"/>
              <w:rPr>
                <w:rFonts w:hint="default" w:hAnsi="宋体" w:eastAsia="宋体"/>
                <w:color w:val="000000" w:themeColor="text1"/>
                <w:kern w:val="2"/>
                <w:sz w:val="18"/>
                <w:szCs w:val="18"/>
                <w:lang w:val="en-US" w:eastAsia="zh-CN"/>
                <w14:textFill>
                  <w14:solidFill>
                    <w14:schemeClr w14:val="tx1"/>
                  </w14:solidFill>
                </w14:textFill>
              </w:rPr>
            </w:pPr>
            <w:r>
              <w:rPr>
                <w:rFonts w:hint="eastAsia" w:hAnsi="宋体"/>
                <w:color w:val="000000" w:themeColor="text1"/>
                <w:kern w:val="2"/>
                <w:sz w:val="18"/>
                <w:szCs w:val="18"/>
                <w14:textFill>
                  <w14:solidFill>
                    <w14:schemeClr w14:val="tx1"/>
                  </w14:solidFill>
                </w14:textFill>
              </w:rPr>
              <w:t>≥</w:t>
            </w:r>
            <w:r>
              <w:rPr>
                <w:rFonts w:hint="eastAsia" w:hAnsi="宋体"/>
                <w:color w:val="000000" w:themeColor="text1"/>
                <w:kern w:val="2"/>
                <w:sz w:val="18"/>
                <w:szCs w:val="18"/>
                <w:lang w:val="en-US" w:eastAsia="zh-CN"/>
                <w14:textFill>
                  <w14:solidFill>
                    <w14:schemeClr w14:val="tx1"/>
                  </w14:solidFill>
                </w14:textFill>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5" w:type="pct"/>
            <w:gridSpan w:val="2"/>
            <w:vAlign w:val="center"/>
          </w:tcPr>
          <w:p>
            <w:pPr>
              <w:pStyle w:val="32"/>
              <w:widowControl w:val="0"/>
              <w:ind w:firstLine="0" w:firstLineChars="0"/>
              <w:jc w:val="center"/>
              <w:rPr>
                <w:rFonts w:hint="default" w:hAnsi="宋体" w:eastAsia="宋体"/>
                <w:color w:val="000000" w:themeColor="text1"/>
                <w:kern w:val="2"/>
                <w:sz w:val="18"/>
                <w:szCs w:val="18"/>
                <w:lang w:val="en-US" w:eastAsia="zh-CN"/>
                <w14:textFill>
                  <w14:solidFill>
                    <w14:schemeClr w14:val="tx1"/>
                  </w14:solidFill>
                </w14:textFill>
              </w:rPr>
            </w:pPr>
            <w:r>
              <w:rPr>
                <w:rFonts w:hint="eastAsia" w:hAnsi="宋体"/>
                <w:color w:val="000000" w:themeColor="text1"/>
                <w:kern w:val="2"/>
                <w:sz w:val="18"/>
                <w:szCs w:val="18"/>
                <w14:textFill>
                  <w14:solidFill>
                    <w14:schemeClr w14:val="tx1"/>
                  </w14:solidFill>
                </w14:textFill>
              </w:rPr>
              <w:t>1h坍落度经时损失</w:t>
            </w:r>
            <w:r>
              <w:rPr>
                <w:rFonts w:hint="eastAsia" w:hAnsi="宋体"/>
                <w:color w:val="000000" w:themeColor="text1"/>
                <w:kern w:val="2"/>
                <w:sz w:val="18"/>
                <w:szCs w:val="18"/>
                <w:lang w:val="en-US" w:eastAsia="zh-CN"/>
                <w14:textFill>
                  <w14:solidFill>
                    <w14:schemeClr w14:val="tx1"/>
                  </w14:solidFill>
                </w14:textFill>
              </w:rPr>
              <w:t>/mm</w:t>
            </w:r>
          </w:p>
        </w:tc>
        <w:tc>
          <w:tcPr>
            <w:tcW w:w="3214" w:type="pct"/>
            <w:vAlign w:val="center"/>
          </w:tcPr>
          <w:p>
            <w:pPr>
              <w:pStyle w:val="32"/>
              <w:widowControl w:val="0"/>
              <w:ind w:firstLine="0" w:firstLineChars="0"/>
              <w:jc w:val="center"/>
              <w:rPr>
                <w:rFonts w:hint="eastAsia" w:hAnsi="宋体"/>
                <w:color w:val="000000" w:themeColor="text1"/>
                <w:kern w:val="2"/>
                <w:sz w:val="18"/>
                <w:szCs w:val="18"/>
                <w:lang w:eastAsia="zh-CN"/>
                <w14:textFill>
                  <w14:solidFill>
                    <w14:schemeClr w14:val="tx1"/>
                  </w14:solidFill>
                </w14:textFill>
              </w:rPr>
            </w:pPr>
            <w:r>
              <w:rPr>
                <w:rFonts w:hint="eastAsia" w:hAnsi="宋体"/>
                <w:color w:val="000000" w:themeColor="text1"/>
                <w:kern w:val="2"/>
                <w:sz w:val="18"/>
                <w:szCs w:val="18"/>
                <w14:textFill>
                  <w14:solidFill>
                    <w14:schemeClr w14:val="tx1"/>
                  </w14:solidFill>
                </w14:textFill>
              </w:rPr>
              <w:t>受检混凝土坍落度损失小于基准混凝土坍落度损失</w:t>
            </w:r>
            <w:r>
              <w:rPr>
                <w:rFonts w:hint="eastAsia" w:hAnsi="宋体"/>
                <w:color w:val="000000" w:themeColor="text1"/>
                <w:kern w:val="2"/>
                <w:sz w:val="18"/>
                <w:szCs w:val="18"/>
                <w:lang w:eastAsia="zh-CN"/>
                <w14:textFill>
                  <w14:solidFill>
                    <w14:schemeClr w14:val="tx1"/>
                  </w14:solidFill>
                </w14:textFill>
              </w:rPr>
              <w:t>，</w:t>
            </w:r>
          </w:p>
          <w:p>
            <w:pPr>
              <w:pStyle w:val="32"/>
              <w:widowControl w:val="0"/>
              <w:ind w:firstLine="0" w:firstLineChars="0"/>
              <w:jc w:val="center"/>
              <w:rPr>
                <w:rFonts w:hint="default" w:hAnsi="宋体" w:eastAsia="宋体"/>
                <w:color w:val="000000" w:themeColor="text1"/>
                <w:kern w:val="2"/>
                <w:sz w:val="18"/>
                <w:szCs w:val="18"/>
                <w:lang w:val="en-US" w:eastAsia="zh-CN"/>
                <w14:textFill>
                  <w14:solidFill>
                    <w14:schemeClr w14:val="tx1"/>
                  </w14:solidFill>
                </w14:textFill>
              </w:rPr>
            </w:pPr>
            <w:r>
              <w:rPr>
                <w:rFonts w:hint="eastAsia" w:hAnsi="宋体"/>
                <w:color w:val="000000" w:themeColor="text1"/>
                <w:kern w:val="2"/>
                <w:sz w:val="18"/>
                <w:szCs w:val="18"/>
                <w:lang w:val="en-US" w:eastAsia="zh-CN"/>
                <w14:textFill>
                  <w14:solidFill>
                    <w14:schemeClr w14:val="tx1"/>
                  </w14:solidFill>
                </w14:textFill>
              </w:rPr>
              <w:t>且经时损失</w:t>
            </w:r>
            <w:r>
              <w:rPr>
                <w:rFonts w:hint="eastAsia" w:hAnsi="宋体"/>
                <w:color w:val="000000" w:themeColor="text1"/>
                <w:kern w:val="2"/>
                <w:sz w:val="18"/>
                <w:szCs w:val="18"/>
                <w14:textFill>
                  <w14:solidFill>
                    <w14:schemeClr w14:val="tx1"/>
                  </w14:solidFill>
                </w14:textFill>
              </w:rPr>
              <w:t>≤</w:t>
            </w:r>
            <w:r>
              <w:rPr>
                <w:rFonts w:hint="eastAsia" w:hAnsi="宋体"/>
                <w:color w:val="000000" w:themeColor="text1"/>
                <w:kern w:val="2"/>
                <w:sz w:val="18"/>
                <w:szCs w:val="18"/>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5" w:type="pct"/>
            <w:gridSpan w:val="2"/>
            <w:vAlign w:val="center"/>
          </w:tcPr>
          <w:p>
            <w:pPr>
              <w:pStyle w:val="32"/>
              <w:widowControl w:val="0"/>
              <w:ind w:firstLine="0" w:firstLineChars="0"/>
              <w:jc w:val="center"/>
              <w:rPr>
                <w:rFonts w:hint="default" w:hAnsi="宋体" w:eastAsia="宋体"/>
                <w:color w:val="000000" w:themeColor="text1"/>
                <w:kern w:val="2"/>
                <w:sz w:val="18"/>
                <w:szCs w:val="18"/>
                <w:lang w:val="en-US" w:eastAsia="zh-CN"/>
                <w14:textFill>
                  <w14:solidFill>
                    <w14:schemeClr w14:val="tx1"/>
                  </w14:solidFill>
                </w14:textFill>
              </w:rPr>
            </w:pPr>
            <w:r>
              <w:rPr>
                <w:rFonts w:hint="eastAsia" w:hAnsi="宋体"/>
                <w:color w:val="000000" w:themeColor="text1"/>
                <w:kern w:val="2"/>
                <w:sz w:val="18"/>
                <w:szCs w:val="18"/>
                <w:lang w:val="en-US" w:eastAsia="zh-CN"/>
                <w14:textFill>
                  <w14:solidFill>
                    <w14:schemeClr w14:val="tx1"/>
                  </w14:solidFill>
                </w14:textFill>
              </w:rPr>
              <w:t>泌水率/%</w:t>
            </w:r>
          </w:p>
        </w:tc>
        <w:tc>
          <w:tcPr>
            <w:tcW w:w="3214" w:type="pct"/>
            <w:vAlign w:val="center"/>
          </w:tcPr>
          <w:p>
            <w:pPr>
              <w:pStyle w:val="32"/>
              <w:widowControl w:val="0"/>
              <w:ind w:firstLine="0" w:firstLineChars="0"/>
              <w:jc w:val="center"/>
              <w:rPr>
                <w:rFonts w:hint="eastAsia" w:hAnsi="宋体" w:eastAsia="宋体"/>
                <w:color w:val="000000" w:themeColor="text1"/>
                <w:kern w:val="2"/>
                <w:sz w:val="18"/>
                <w:szCs w:val="18"/>
                <w:lang w:val="en-US" w:eastAsia="zh-CN"/>
                <w14:textFill>
                  <w14:solidFill>
                    <w14:schemeClr w14:val="tx1"/>
                  </w14:solidFill>
                </w14:textFill>
              </w:rPr>
            </w:pPr>
            <w:r>
              <w:rPr>
                <w:rFonts w:hint="eastAsia" w:hAnsi="宋体"/>
                <w:color w:val="000000" w:themeColor="text1"/>
                <w:kern w:val="2"/>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7" w:type="pct"/>
            <w:vMerge w:val="restart"/>
            <w:vAlign w:val="center"/>
          </w:tcPr>
          <w:p>
            <w:pPr>
              <w:pStyle w:val="32"/>
              <w:widowControl w:val="0"/>
              <w:ind w:firstLine="0" w:firstLineChars="0"/>
              <w:jc w:val="center"/>
              <w:rPr>
                <w:rFonts w:hAnsi="宋体"/>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凝结时间之差，min</w:t>
            </w:r>
          </w:p>
        </w:tc>
        <w:tc>
          <w:tcPr>
            <w:tcW w:w="728" w:type="pct"/>
            <w:vAlign w:val="center"/>
          </w:tcPr>
          <w:p>
            <w:pPr>
              <w:pStyle w:val="32"/>
              <w:widowControl w:val="0"/>
              <w:ind w:firstLine="0" w:firstLineChars="0"/>
              <w:jc w:val="center"/>
              <w:rPr>
                <w:rFonts w:hAnsi="宋体"/>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初凝</w:t>
            </w:r>
          </w:p>
        </w:tc>
        <w:tc>
          <w:tcPr>
            <w:tcW w:w="3214" w:type="pct"/>
            <w:vMerge w:val="restart"/>
            <w:vAlign w:val="center"/>
          </w:tcPr>
          <w:p>
            <w:pPr>
              <w:pStyle w:val="32"/>
              <w:widowControl w:val="0"/>
              <w:ind w:firstLine="0" w:firstLineChars="0"/>
              <w:jc w:val="center"/>
              <w:rPr>
                <w:rFonts w:hint="default" w:hAnsi="宋体" w:eastAsia="宋体"/>
                <w:color w:val="000000" w:themeColor="text1"/>
                <w:kern w:val="2"/>
                <w:sz w:val="18"/>
                <w:szCs w:val="18"/>
                <w:lang w:val="en-US" w:eastAsia="zh-CN"/>
                <w14:textFill>
                  <w14:solidFill>
                    <w14:schemeClr w14:val="tx1"/>
                  </w14:solidFill>
                </w14:textFill>
              </w:rPr>
            </w:pPr>
            <w:r>
              <w:rPr>
                <w:rFonts w:hint="eastAsia" w:hAnsi="宋体"/>
                <w:color w:val="000000" w:themeColor="text1"/>
                <w:kern w:val="2"/>
                <w:sz w:val="18"/>
                <w:szCs w:val="18"/>
                <w14:textFill>
                  <w14:solidFill>
                    <w14:schemeClr w14:val="tx1"/>
                  </w14:solidFill>
                </w14:textFill>
              </w:rPr>
              <w:t>≤1</w:t>
            </w:r>
            <w:r>
              <w:rPr>
                <w:rFonts w:hint="eastAsia" w:hAnsi="宋体"/>
                <w:color w:val="000000" w:themeColor="text1"/>
                <w:kern w:val="2"/>
                <w:sz w:val="18"/>
                <w:szCs w:val="18"/>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7" w:type="pct"/>
            <w:vMerge w:val="continue"/>
            <w:vAlign w:val="center"/>
          </w:tcPr>
          <w:p>
            <w:pPr>
              <w:pStyle w:val="32"/>
              <w:widowControl w:val="0"/>
              <w:ind w:firstLine="0" w:firstLineChars="0"/>
              <w:jc w:val="center"/>
              <w:rPr>
                <w:rFonts w:hAnsi="宋体"/>
                <w:color w:val="000000" w:themeColor="text1"/>
                <w:kern w:val="2"/>
                <w:sz w:val="18"/>
                <w:szCs w:val="18"/>
                <w14:textFill>
                  <w14:solidFill>
                    <w14:schemeClr w14:val="tx1"/>
                  </w14:solidFill>
                </w14:textFill>
              </w:rPr>
            </w:pPr>
          </w:p>
        </w:tc>
        <w:tc>
          <w:tcPr>
            <w:tcW w:w="728" w:type="pct"/>
            <w:vAlign w:val="center"/>
          </w:tcPr>
          <w:p>
            <w:pPr>
              <w:pStyle w:val="32"/>
              <w:widowControl w:val="0"/>
              <w:ind w:firstLine="0" w:firstLineChars="0"/>
              <w:jc w:val="center"/>
              <w:rPr>
                <w:rFonts w:hAnsi="宋体"/>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终凝</w:t>
            </w:r>
          </w:p>
        </w:tc>
        <w:tc>
          <w:tcPr>
            <w:tcW w:w="3214" w:type="pct"/>
            <w:vMerge w:val="continue"/>
            <w:vAlign w:val="center"/>
          </w:tcPr>
          <w:p>
            <w:pPr>
              <w:pStyle w:val="32"/>
              <w:widowControl w:val="0"/>
              <w:ind w:firstLine="0" w:firstLineChars="0"/>
              <w:jc w:val="center"/>
              <w:rPr>
                <w:rFonts w:hAnsi="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7" w:type="pct"/>
            <w:vMerge w:val="restart"/>
            <w:vAlign w:val="center"/>
          </w:tcPr>
          <w:p>
            <w:pPr>
              <w:pStyle w:val="32"/>
              <w:widowControl w:val="0"/>
              <w:ind w:firstLine="0" w:firstLineChars="0"/>
              <w:jc w:val="center"/>
              <w:rPr>
                <w:rFonts w:hAnsi="宋体"/>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混凝土抗压强度比/%</w:t>
            </w:r>
          </w:p>
        </w:tc>
        <w:tc>
          <w:tcPr>
            <w:tcW w:w="728" w:type="pct"/>
            <w:vAlign w:val="center"/>
          </w:tcPr>
          <w:p>
            <w:pPr>
              <w:pStyle w:val="32"/>
              <w:widowControl w:val="0"/>
              <w:ind w:firstLine="0" w:firstLineChars="0"/>
              <w:jc w:val="center"/>
              <w:rPr>
                <w:rFonts w:hAnsi="宋体"/>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3d</w:t>
            </w:r>
          </w:p>
        </w:tc>
        <w:tc>
          <w:tcPr>
            <w:tcW w:w="3214" w:type="pct"/>
            <w:vAlign w:val="center"/>
          </w:tcPr>
          <w:p>
            <w:pPr>
              <w:pStyle w:val="32"/>
              <w:widowControl w:val="0"/>
              <w:ind w:firstLine="0" w:firstLineChars="0"/>
              <w:jc w:val="center"/>
              <w:rPr>
                <w:rFonts w:hint="default" w:hAnsi="宋体" w:eastAsia="宋体"/>
                <w:color w:val="000000" w:themeColor="text1"/>
                <w:kern w:val="2"/>
                <w:sz w:val="18"/>
                <w:szCs w:val="18"/>
                <w:lang w:val="en-US" w:eastAsia="zh-CN"/>
                <w14:textFill>
                  <w14:solidFill>
                    <w14:schemeClr w14:val="tx1"/>
                  </w14:solidFill>
                </w14:textFill>
              </w:rPr>
            </w:pPr>
            <w:r>
              <w:rPr>
                <w:rFonts w:hint="eastAsia" w:hAnsi="宋体"/>
                <w:color w:val="000000" w:themeColor="text1"/>
                <w:kern w:val="2"/>
                <w:sz w:val="18"/>
                <w:szCs w:val="18"/>
                <w14:textFill>
                  <w14:solidFill>
                    <w14:schemeClr w14:val="tx1"/>
                  </w14:solidFill>
                </w14:textFill>
              </w:rPr>
              <w:t>≥1</w:t>
            </w:r>
            <w:r>
              <w:rPr>
                <w:rFonts w:hint="eastAsia" w:hAnsi="宋体"/>
                <w:color w:val="000000" w:themeColor="text1"/>
                <w:kern w:val="2"/>
                <w:sz w:val="18"/>
                <w:szCs w:val="18"/>
                <w:lang w:val="en-US" w:eastAsia="zh-CN"/>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057" w:type="pct"/>
            <w:vMerge w:val="continue"/>
            <w:vAlign w:val="center"/>
          </w:tcPr>
          <w:p>
            <w:pPr>
              <w:pStyle w:val="32"/>
              <w:widowControl w:val="0"/>
              <w:ind w:firstLine="0" w:firstLineChars="0"/>
              <w:jc w:val="center"/>
              <w:rPr>
                <w:rFonts w:hAnsi="宋体"/>
                <w:color w:val="000000" w:themeColor="text1"/>
                <w:kern w:val="2"/>
                <w:sz w:val="18"/>
                <w:szCs w:val="18"/>
                <w14:textFill>
                  <w14:solidFill>
                    <w14:schemeClr w14:val="tx1"/>
                  </w14:solidFill>
                </w14:textFill>
              </w:rPr>
            </w:pPr>
          </w:p>
        </w:tc>
        <w:tc>
          <w:tcPr>
            <w:tcW w:w="728" w:type="pct"/>
            <w:vAlign w:val="center"/>
          </w:tcPr>
          <w:p>
            <w:pPr>
              <w:pStyle w:val="32"/>
              <w:widowControl w:val="0"/>
              <w:ind w:firstLine="0" w:firstLineChars="0"/>
              <w:jc w:val="center"/>
              <w:rPr>
                <w:rFonts w:hAnsi="宋体"/>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7d</w:t>
            </w:r>
          </w:p>
        </w:tc>
        <w:tc>
          <w:tcPr>
            <w:tcW w:w="3214" w:type="pct"/>
            <w:vAlign w:val="center"/>
          </w:tcPr>
          <w:p>
            <w:pPr>
              <w:pStyle w:val="32"/>
              <w:widowControl w:val="0"/>
              <w:ind w:firstLine="0" w:firstLineChars="0"/>
              <w:jc w:val="center"/>
              <w:rPr>
                <w:rFonts w:hint="default" w:hAnsi="宋体" w:eastAsia="宋体"/>
                <w:color w:val="000000" w:themeColor="text1"/>
                <w:kern w:val="2"/>
                <w:sz w:val="18"/>
                <w:szCs w:val="18"/>
                <w:lang w:val="en-US" w:eastAsia="zh-CN"/>
                <w14:textFill>
                  <w14:solidFill>
                    <w14:schemeClr w14:val="tx1"/>
                  </w14:solidFill>
                </w14:textFill>
              </w:rPr>
            </w:pPr>
            <w:r>
              <w:rPr>
                <w:rFonts w:hint="eastAsia" w:hAnsi="宋体"/>
                <w:color w:val="000000" w:themeColor="text1"/>
                <w:kern w:val="2"/>
                <w:sz w:val="18"/>
                <w:szCs w:val="18"/>
                <w14:textFill>
                  <w14:solidFill>
                    <w14:schemeClr w14:val="tx1"/>
                  </w14:solidFill>
                </w14:textFill>
              </w:rPr>
              <w:t>≥1</w:t>
            </w:r>
            <w:r>
              <w:rPr>
                <w:rFonts w:hint="eastAsia" w:hAnsi="宋体"/>
                <w:color w:val="000000" w:themeColor="text1"/>
                <w:kern w:val="2"/>
                <w:sz w:val="18"/>
                <w:szCs w:val="18"/>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7" w:type="pct"/>
            <w:vMerge w:val="continue"/>
            <w:vAlign w:val="center"/>
          </w:tcPr>
          <w:p>
            <w:pPr>
              <w:pStyle w:val="32"/>
              <w:widowControl w:val="0"/>
              <w:ind w:firstLine="0" w:firstLineChars="0"/>
              <w:jc w:val="center"/>
              <w:rPr>
                <w:rFonts w:hAnsi="宋体"/>
                <w:color w:val="000000" w:themeColor="text1"/>
                <w:kern w:val="2"/>
                <w:sz w:val="18"/>
                <w:szCs w:val="18"/>
                <w14:textFill>
                  <w14:solidFill>
                    <w14:schemeClr w14:val="tx1"/>
                  </w14:solidFill>
                </w14:textFill>
              </w:rPr>
            </w:pPr>
          </w:p>
        </w:tc>
        <w:tc>
          <w:tcPr>
            <w:tcW w:w="728" w:type="pct"/>
            <w:vAlign w:val="center"/>
          </w:tcPr>
          <w:p>
            <w:pPr>
              <w:pStyle w:val="32"/>
              <w:widowControl w:val="0"/>
              <w:ind w:firstLine="0" w:firstLineChars="0"/>
              <w:jc w:val="center"/>
              <w:rPr>
                <w:rFonts w:hAnsi="宋体"/>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28d</w:t>
            </w:r>
          </w:p>
        </w:tc>
        <w:tc>
          <w:tcPr>
            <w:tcW w:w="3214" w:type="pct"/>
            <w:vAlign w:val="center"/>
          </w:tcPr>
          <w:p>
            <w:pPr>
              <w:pStyle w:val="32"/>
              <w:widowControl w:val="0"/>
              <w:ind w:firstLine="0" w:firstLineChars="0"/>
              <w:jc w:val="center"/>
              <w:rPr>
                <w:rFonts w:hint="default" w:hAnsi="宋体" w:eastAsia="宋体"/>
                <w:color w:val="000000" w:themeColor="text1"/>
                <w:kern w:val="2"/>
                <w:sz w:val="18"/>
                <w:szCs w:val="18"/>
                <w:lang w:val="en-US" w:eastAsia="zh-CN"/>
                <w14:textFill>
                  <w14:solidFill>
                    <w14:schemeClr w14:val="tx1"/>
                  </w14:solidFill>
                </w14:textFill>
              </w:rPr>
            </w:pPr>
            <w:r>
              <w:rPr>
                <w:rFonts w:hint="eastAsia" w:hAnsi="宋体"/>
                <w:color w:val="000000" w:themeColor="text1"/>
                <w:kern w:val="2"/>
                <w:sz w:val="18"/>
                <w:szCs w:val="18"/>
                <w14:textFill>
                  <w14:solidFill>
                    <w14:schemeClr w14:val="tx1"/>
                  </w14:solidFill>
                </w14:textFill>
              </w:rPr>
              <w:t>≥</w:t>
            </w:r>
            <w:r>
              <w:rPr>
                <w:rFonts w:hint="eastAsia" w:hAnsi="宋体"/>
                <w:color w:val="000000" w:themeColor="text1"/>
                <w:kern w:val="2"/>
                <w:sz w:val="18"/>
                <w:szCs w:val="18"/>
                <w:lang w:val="en-US" w:eastAsia="zh-CN"/>
                <w14:textFill>
                  <w14:solidFill>
                    <w14:schemeClr w14:val="tx1"/>
                  </w14:solidFill>
                </w14:textFill>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7" w:type="pct"/>
            <w:vMerge w:val="continue"/>
            <w:vAlign w:val="center"/>
          </w:tcPr>
          <w:p>
            <w:pPr>
              <w:pStyle w:val="32"/>
              <w:widowControl w:val="0"/>
              <w:ind w:firstLine="0" w:firstLineChars="0"/>
              <w:jc w:val="center"/>
              <w:rPr>
                <w:rFonts w:hAnsi="宋体"/>
                <w:color w:val="000000" w:themeColor="text1"/>
                <w:kern w:val="2"/>
                <w:sz w:val="18"/>
                <w:szCs w:val="18"/>
                <w14:textFill>
                  <w14:solidFill>
                    <w14:schemeClr w14:val="tx1"/>
                  </w14:solidFill>
                </w14:textFill>
              </w:rPr>
            </w:pPr>
          </w:p>
        </w:tc>
        <w:tc>
          <w:tcPr>
            <w:tcW w:w="728" w:type="pct"/>
            <w:vAlign w:val="center"/>
          </w:tcPr>
          <w:p>
            <w:pPr>
              <w:pStyle w:val="32"/>
              <w:widowControl w:val="0"/>
              <w:ind w:firstLine="0" w:firstLineChars="0"/>
              <w:jc w:val="center"/>
              <w:rPr>
                <w:rFonts w:hAnsi="宋体"/>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56d</w:t>
            </w:r>
          </w:p>
        </w:tc>
        <w:tc>
          <w:tcPr>
            <w:tcW w:w="3214" w:type="pct"/>
            <w:vAlign w:val="center"/>
          </w:tcPr>
          <w:p>
            <w:pPr>
              <w:pStyle w:val="32"/>
              <w:widowControl w:val="0"/>
              <w:ind w:firstLine="0" w:firstLineChars="0"/>
              <w:jc w:val="center"/>
              <w:rPr>
                <w:rFonts w:hint="eastAsia" w:hAnsi="宋体" w:eastAsia="宋体"/>
                <w:color w:val="000000" w:themeColor="text1"/>
                <w:kern w:val="2"/>
                <w:sz w:val="18"/>
                <w:szCs w:val="18"/>
                <w:lang w:val="en-US" w:eastAsia="zh-CN"/>
                <w14:textFill>
                  <w14:solidFill>
                    <w14:schemeClr w14:val="tx1"/>
                  </w14:solidFill>
                </w14:textFill>
              </w:rPr>
            </w:pPr>
            <w:r>
              <w:rPr>
                <w:rFonts w:hint="eastAsia" w:hAnsi="宋体"/>
                <w:color w:val="000000" w:themeColor="text1"/>
                <w:kern w:val="2"/>
                <w:sz w:val="18"/>
                <w:szCs w:val="18"/>
                <w14:textFill>
                  <w14:solidFill>
                    <w14:schemeClr w14:val="tx1"/>
                  </w14:solidFill>
                </w14:textFill>
              </w:rPr>
              <w:t>≥10</w:t>
            </w:r>
            <w:r>
              <w:rPr>
                <w:rFonts w:hint="eastAsia" w:hAnsi="宋体"/>
                <w:color w:val="000000" w:themeColor="text1"/>
                <w:kern w:val="2"/>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057" w:type="pct"/>
            <w:vAlign w:val="center"/>
          </w:tcPr>
          <w:p>
            <w:pPr>
              <w:pStyle w:val="32"/>
              <w:widowControl w:val="0"/>
              <w:ind w:firstLine="0" w:firstLineChars="0"/>
              <w:jc w:val="center"/>
              <w:rPr>
                <w:rFonts w:hAnsi="宋体"/>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电通量比/%</w:t>
            </w:r>
          </w:p>
        </w:tc>
        <w:tc>
          <w:tcPr>
            <w:tcW w:w="728" w:type="pct"/>
            <w:vAlign w:val="center"/>
          </w:tcPr>
          <w:p>
            <w:pPr>
              <w:pStyle w:val="32"/>
              <w:widowControl w:val="0"/>
              <w:ind w:firstLine="0" w:firstLineChars="0"/>
              <w:jc w:val="center"/>
              <w:rPr>
                <w:rFonts w:hAnsi="宋体"/>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28d</w:t>
            </w:r>
          </w:p>
        </w:tc>
        <w:tc>
          <w:tcPr>
            <w:tcW w:w="3214" w:type="pct"/>
            <w:vAlign w:val="center"/>
          </w:tcPr>
          <w:p>
            <w:pPr>
              <w:pStyle w:val="32"/>
              <w:widowControl w:val="0"/>
              <w:ind w:firstLine="0" w:firstLineChars="0"/>
              <w:jc w:val="center"/>
              <w:rPr>
                <w:rFonts w:hAnsi="宋体"/>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7" w:type="pct"/>
            <w:vAlign w:val="center"/>
          </w:tcPr>
          <w:p>
            <w:pPr>
              <w:pStyle w:val="32"/>
              <w:widowControl w:val="0"/>
              <w:ind w:firstLine="0" w:firstLineChars="0"/>
              <w:jc w:val="center"/>
              <w:rPr>
                <w:rFonts w:hAnsi="宋体"/>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早期收缩比/%</w:t>
            </w:r>
          </w:p>
        </w:tc>
        <w:tc>
          <w:tcPr>
            <w:tcW w:w="728" w:type="pct"/>
            <w:vAlign w:val="center"/>
          </w:tcPr>
          <w:p>
            <w:pPr>
              <w:pStyle w:val="32"/>
              <w:widowControl w:val="0"/>
              <w:ind w:firstLine="0" w:firstLineChars="0"/>
              <w:jc w:val="center"/>
              <w:rPr>
                <w:rFonts w:hAnsi="宋体"/>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3d</w:t>
            </w:r>
          </w:p>
        </w:tc>
        <w:tc>
          <w:tcPr>
            <w:tcW w:w="3214" w:type="pct"/>
            <w:vAlign w:val="center"/>
          </w:tcPr>
          <w:p>
            <w:pPr>
              <w:pStyle w:val="32"/>
              <w:widowControl w:val="0"/>
              <w:ind w:firstLine="0" w:firstLineChars="0"/>
              <w:jc w:val="center"/>
              <w:rPr>
                <w:rFonts w:hAnsi="宋体"/>
                <w:color w:val="000000" w:themeColor="text1"/>
                <w:kern w:val="2"/>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3"/>
            <w:vAlign w:val="center"/>
          </w:tcPr>
          <w:p>
            <w:pPr>
              <w:pStyle w:val="32"/>
              <w:ind w:firstLine="0" w:firstLineChars="0"/>
              <w:rPr>
                <w:rFonts w:hAnsi="宋体"/>
                <w:color w:val="000000" w:themeColor="text1"/>
                <w:kern w:val="2"/>
                <w:sz w:val="18"/>
                <w:szCs w:val="18"/>
                <w14:textFill>
                  <w14:solidFill>
                    <w14:schemeClr w14:val="tx1"/>
                  </w14:solidFill>
                </w14:textFill>
              </w:rPr>
            </w:pPr>
            <w:r>
              <w:rPr>
                <w:rFonts w:hint="eastAsia" w:hAnsi="宋体"/>
                <w:b/>
                <w:color w:val="000000" w:themeColor="text1"/>
                <w:kern w:val="2"/>
                <w:sz w:val="18"/>
                <w:szCs w:val="18"/>
                <w14:textFill>
                  <w14:solidFill>
                    <w14:schemeClr w14:val="tx1"/>
                  </w14:solidFill>
                </w14:textFill>
              </w:rPr>
              <w:t>注1</w:t>
            </w:r>
            <w:r>
              <w:rPr>
                <w:rFonts w:hint="eastAsia" w:hAnsi="宋体"/>
                <w:color w:val="000000" w:themeColor="text1"/>
                <w:kern w:val="2"/>
                <w:sz w:val="18"/>
                <w:szCs w:val="18"/>
                <w14:textFill>
                  <w14:solidFill>
                    <w14:schemeClr w14:val="tx1"/>
                  </w14:solidFill>
                </w14:textFill>
              </w:rPr>
              <w:t>：所有比值=受检混凝土性能/基准混凝土性能×100</w:t>
            </w:r>
            <w:r>
              <w:rPr>
                <w:rFonts w:hint="eastAsia" w:hAnsi="宋体"/>
                <w:color w:val="000000" w:themeColor="text1"/>
                <w:kern w:val="2"/>
                <w:sz w:val="18"/>
                <w:szCs w:val="18"/>
                <w:lang w:val="en-US" w:eastAsia="zh-CN"/>
                <w14:textFill>
                  <w14:solidFill>
                    <w14:schemeClr w14:val="tx1"/>
                  </w14:solidFill>
                </w14:textFill>
              </w:rPr>
              <w:t>%</w:t>
            </w:r>
            <w:r>
              <w:rPr>
                <w:rFonts w:hint="eastAsia" w:hAnsi="宋体"/>
                <w:color w:val="000000" w:themeColor="text1"/>
                <w:kern w:val="2"/>
                <w:sz w:val="18"/>
                <w:szCs w:val="18"/>
                <w14:textFill>
                  <w14:solidFill>
                    <w14:schemeClr w14:val="tx1"/>
                  </w14:solidFill>
                </w14:textFill>
              </w:rPr>
              <w:t>；</w:t>
            </w:r>
          </w:p>
          <w:p>
            <w:pPr>
              <w:pStyle w:val="32"/>
              <w:widowControl w:val="0"/>
              <w:ind w:firstLine="0" w:firstLineChars="0"/>
              <w:rPr>
                <w:rFonts w:hint="eastAsia" w:hAnsi="宋体" w:eastAsia="宋体"/>
                <w:b/>
                <w:color w:val="000000" w:themeColor="text1"/>
                <w:kern w:val="2"/>
                <w:sz w:val="18"/>
                <w:szCs w:val="18"/>
                <w:lang w:eastAsia="zh-CN"/>
                <w14:textFill>
                  <w14:solidFill>
                    <w14:schemeClr w14:val="tx1"/>
                  </w14:solidFill>
                </w14:textFill>
              </w:rPr>
            </w:pPr>
            <w:r>
              <w:rPr>
                <w:rFonts w:hint="eastAsia" w:hAnsi="宋体"/>
                <w:b/>
                <w:color w:val="000000" w:themeColor="text1"/>
                <w:kern w:val="2"/>
                <w:sz w:val="18"/>
                <w:szCs w:val="18"/>
                <w14:textFill>
                  <w14:solidFill>
                    <w14:schemeClr w14:val="tx1"/>
                  </w14:solidFill>
                </w14:textFill>
              </w:rPr>
              <w:t>注2</w:t>
            </w:r>
            <w:r>
              <w:rPr>
                <w:rFonts w:hint="eastAsia" w:hAnsi="宋体"/>
                <w:color w:val="000000" w:themeColor="text1"/>
                <w:kern w:val="2"/>
                <w:sz w:val="18"/>
                <w:szCs w:val="18"/>
                <w14:textFill>
                  <w14:solidFill>
                    <w14:schemeClr w14:val="tx1"/>
                  </w14:solidFill>
                </w14:textFill>
              </w:rPr>
              <w:t>：凝结时间之差=受检混凝土凝结时间-基准混凝土凝结时间</w:t>
            </w:r>
            <w:r>
              <w:rPr>
                <w:rFonts w:hint="eastAsia" w:hAnsi="宋体"/>
                <w:color w:val="000000" w:themeColor="text1"/>
                <w:kern w:val="2"/>
                <w:sz w:val="18"/>
                <w:szCs w:val="18"/>
                <w:lang w:eastAsia="zh-CN"/>
                <w14:textFill>
                  <w14:solidFill>
                    <w14:schemeClr w14:val="tx1"/>
                  </w14:solidFill>
                </w14:textFill>
              </w:rPr>
              <w:t>。</w:t>
            </w:r>
          </w:p>
        </w:tc>
      </w:tr>
    </w:tbl>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Times New Roman" w:hAnsi="Times New Roman"/>
          <w:lang w:val="en-US" w:eastAsia="zh-CN"/>
        </w:rPr>
      </w:pPr>
      <w:bookmarkStart w:id="22" w:name="_Toc31506"/>
      <w:r>
        <w:rPr>
          <w:rFonts w:hint="eastAsia" w:ascii="Times New Roman" w:hAnsi="Times New Roman"/>
          <w:lang w:val="en-US" w:eastAsia="zh-CN"/>
        </w:rPr>
        <w:t>6 试验方法</w:t>
      </w:r>
      <w:bookmarkEnd w:id="22"/>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color w:val="000000"/>
          <w:szCs w:val="21"/>
          <w:lang w:val="en-US" w:eastAsia="zh-CN"/>
        </w:rPr>
      </w:pPr>
      <w:r>
        <w:rPr>
          <w:rFonts w:hint="eastAsia" w:ascii="黑体" w:hAnsi="黑体" w:eastAsia="黑体" w:cs="黑体"/>
          <w:color w:val="000000"/>
          <w:szCs w:val="21"/>
          <w:lang w:val="en-US" w:eastAsia="zh-CN"/>
        </w:rPr>
        <w:t>6.1  试验环境</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szCs w:val="21"/>
          <w:lang w:val="en-US" w:eastAsia="zh-CN"/>
        </w:rPr>
      </w:pPr>
      <w:r>
        <w:rPr>
          <w:rFonts w:hint="eastAsia" w:ascii="宋体" w:hAnsi="宋体"/>
          <w:szCs w:val="21"/>
          <w:lang w:val="en-US" w:eastAsia="zh-CN"/>
        </w:rPr>
        <w:t>试验室的标准环境为温度（23±2）℃，相对湿度（50±5）%。在非标准试验环境下试验时，应记录环境温度和相对湿度。</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szCs w:val="21"/>
          <w:lang w:val="en-US" w:eastAsia="zh-CN"/>
        </w:rPr>
      </w:pPr>
      <w:r>
        <w:rPr>
          <w:rFonts w:hint="eastAsia" w:ascii="宋体" w:hAnsi="宋体"/>
          <w:szCs w:val="21"/>
          <w:lang w:val="en-US" w:eastAsia="zh-CN"/>
        </w:rPr>
        <w:t>混凝土材料应提前运到室内，存放时间不得小于24h。需要模拟施工条件下所用的混凝土时，试验室原材料及温湿度宜保持与现场一致。</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黑体" w:hAnsi="黑体" w:eastAsia="黑体" w:cs="黑体"/>
          <w:color w:val="000000"/>
          <w:szCs w:val="21"/>
          <w:lang w:val="en-US" w:eastAsia="zh-CN"/>
        </w:rPr>
      </w:pPr>
      <w:r>
        <w:rPr>
          <w:rFonts w:hint="eastAsia" w:ascii="黑体" w:hAnsi="黑体" w:eastAsia="黑体" w:cs="黑体"/>
          <w:color w:val="000000"/>
          <w:szCs w:val="21"/>
          <w:lang w:val="en-US" w:eastAsia="zh-CN"/>
        </w:rPr>
        <w:t>6.2  机制砂混凝土用增强调节剂匀质性试验</w:t>
      </w:r>
    </w:p>
    <w:p>
      <w:pPr>
        <w:pStyle w:val="32"/>
        <w:keepNext w:val="0"/>
        <w:keepLines w:val="0"/>
        <w:pageBreakBefore w:val="0"/>
        <w:widowControl/>
        <w:kinsoku/>
        <w:wordWrap/>
        <w:overflowPunct/>
        <w:topLinePunct w:val="0"/>
        <w:autoSpaceDE w:val="0"/>
        <w:autoSpaceDN w:val="0"/>
        <w:bidi w:val="0"/>
        <w:adjustRightInd/>
        <w:snapToGrid/>
        <w:ind w:firstLine="0" w:firstLineChars="0"/>
        <w:textAlignment w:val="auto"/>
        <w:rPr>
          <w:rFonts w:hint="eastAsia" w:ascii="黑体" w:hAnsi="黑体" w:eastAsia="黑体" w:cs="黑体"/>
          <w:szCs w:val="21"/>
        </w:rPr>
      </w:pPr>
      <w:r>
        <w:rPr>
          <w:rFonts w:hint="eastAsia" w:ascii="黑体" w:hAnsi="黑体" w:eastAsia="黑体" w:cs="黑体"/>
          <w:szCs w:val="21"/>
          <w:lang w:val="en-US" w:eastAsia="zh-CN"/>
        </w:rPr>
        <w:t>6</w:t>
      </w:r>
      <w:r>
        <w:rPr>
          <w:rFonts w:hint="eastAsia" w:ascii="黑体" w:hAnsi="黑体" w:eastAsia="黑体" w:cs="黑体"/>
          <w:szCs w:val="21"/>
        </w:rPr>
        <w:t>.2.1 PH值、硫酸钠含量</w:t>
      </w:r>
      <w:r>
        <w:rPr>
          <w:rFonts w:hint="eastAsia" w:ascii="黑体" w:hAnsi="黑体" w:eastAsia="黑体" w:cs="黑体"/>
          <w:szCs w:val="21"/>
          <w:lang w:eastAsia="zh-CN"/>
        </w:rPr>
        <w:t>、</w:t>
      </w:r>
      <w:r>
        <w:rPr>
          <w:rFonts w:hint="eastAsia" w:ascii="黑体" w:hAnsi="黑体" w:eastAsia="黑体" w:cs="黑体"/>
          <w:szCs w:val="21"/>
        </w:rPr>
        <w:t>总碱量</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按GB/T 8077规定的方法进行测定。</w:t>
      </w:r>
    </w:p>
    <w:p>
      <w:pPr>
        <w:pStyle w:val="32"/>
        <w:keepNext w:val="0"/>
        <w:keepLines w:val="0"/>
        <w:pageBreakBefore w:val="0"/>
        <w:widowControl/>
        <w:kinsoku/>
        <w:wordWrap/>
        <w:overflowPunct/>
        <w:topLinePunct w:val="0"/>
        <w:autoSpaceDE w:val="0"/>
        <w:autoSpaceDN w:val="0"/>
        <w:bidi w:val="0"/>
        <w:adjustRightInd/>
        <w:snapToGrid/>
        <w:ind w:firstLine="0" w:firstLineChars="0"/>
        <w:textAlignment w:val="auto"/>
        <w:rPr>
          <w:rFonts w:hint="eastAsia" w:ascii="黑体" w:hAnsi="黑体" w:eastAsia="黑体" w:cs="黑体"/>
          <w:szCs w:val="21"/>
          <w:lang w:val="en-US" w:eastAsia="zh-CN"/>
        </w:rPr>
      </w:pPr>
      <w:r>
        <w:rPr>
          <w:rFonts w:hint="eastAsia" w:ascii="黑体" w:hAnsi="黑体" w:eastAsia="黑体" w:cs="黑体"/>
          <w:szCs w:val="21"/>
          <w:lang w:val="en-US" w:eastAsia="zh-CN"/>
        </w:rPr>
        <w:t>6.2.2 氯离子含量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Cs w:val="21"/>
        </w:rPr>
      </w:pPr>
      <w:r>
        <w:rPr>
          <w:rFonts w:hint="eastAsia" w:ascii="Times New Roman" w:hAnsi="Times New Roman"/>
          <w:szCs w:val="21"/>
        </w:rPr>
        <w:t>按GB 8076进行，或按GB/T 8077进行，仲裁时</w:t>
      </w:r>
      <w:r>
        <w:rPr>
          <w:rFonts w:hint="eastAsia" w:ascii="Times New Roman" w:hAnsi="Times New Roman"/>
          <w:szCs w:val="21"/>
          <w:lang w:eastAsia="zh-CN"/>
        </w:rPr>
        <w:t>应按</w:t>
      </w:r>
      <w:r>
        <w:rPr>
          <w:rFonts w:hint="eastAsia" w:ascii="Times New Roman" w:hAnsi="Times New Roman"/>
          <w:szCs w:val="21"/>
        </w:rPr>
        <w:t>GB 8076</w:t>
      </w:r>
      <w:r>
        <w:rPr>
          <w:rFonts w:hint="eastAsia" w:ascii="Times New Roman" w:hAnsi="Times New Roman"/>
          <w:szCs w:val="21"/>
          <w:lang w:eastAsia="zh-CN"/>
        </w:rPr>
        <w:t>进行</w:t>
      </w:r>
      <w:r>
        <w:rPr>
          <w:rFonts w:hint="eastAsia" w:ascii="Times New Roman" w:hAnsi="Times New Roman"/>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color w:val="000000"/>
          <w:szCs w:val="21"/>
          <w:lang w:val="en-US" w:eastAsia="zh-CN"/>
        </w:rPr>
      </w:pPr>
      <w:r>
        <w:rPr>
          <w:rFonts w:hint="eastAsia" w:ascii="黑体" w:hAnsi="黑体" w:eastAsia="黑体" w:cs="黑体"/>
          <w:color w:val="000000"/>
          <w:szCs w:val="21"/>
          <w:lang w:val="en-US" w:eastAsia="zh-CN"/>
        </w:rPr>
        <w:t>6.3  机制砂混凝土性能试验</w:t>
      </w:r>
    </w:p>
    <w:p>
      <w:pPr>
        <w:pStyle w:val="32"/>
        <w:keepNext w:val="0"/>
        <w:keepLines w:val="0"/>
        <w:pageBreakBefore w:val="0"/>
        <w:widowControl/>
        <w:kinsoku/>
        <w:wordWrap/>
        <w:overflowPunct/>
        <w:topLinePunct w:val="0"/>
        <w:autoSpaceDE w:val="0"/>
        <w:autoSpaceDN w:val="0"/>
        <w:bidi w:val="0"/>
        <w:adjustRightInd/>
        <w:snapToGrid/>
        <w:ind w:firstLine="0" w:firstLineChars="0"/>
        <w:textAlignment w:val="auto"/>
        <w:rPr>
          <w:rFonts w:hint="eastAsia" w:ascii="黑体" w:hAnsi="黑体" w:eastAsia="黑体" w:cs="黑体"/>
          <w:szCs w:val="21"/>
          <w:lang w:val="en-US" w:eastAsia="zh-CN"/>
        </w:rPr>
      </w:pPr>
      <w:r>
        <w:rPr>
          <w:rFonts w:hint="eastAsia" w:ascii="黑体" w:hAnsi="黑体" w:eastAsia="黑体" w:cs="黑体"/>
          <w:szCs w:val="21"/>
          <w:lang w:val="en-US" w:eastAsia="zh-CN"/>
        </w:rPr>
        <w:t>6.3.1 原材料</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rPr>
      </w:pPr>
      <w:r>
        <w:rPr>
          <w:rFonts w:hint="default" w:ascii="Times New Roman" w:hAnsi="Times New Roman" w:eastAsia="宋体" w:cs="Times New Roman"/>
          <w:lang w:val="en-US" w:eastAsia="zh-CN"/>
        </w:rPr>
        <w:t>6</w:t>
      </w:r>
      <w:r>
        <w:rPr>
          <w:rFonts w:hint="default" w:ascii="Times New Roman" w:hAnsi="Times New Roman" w:eastAsia="宋体" w:cs="Times New Roman"/>
        </w:rPr>
        <w:t>.3.1.1 水泥</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szCs w:val="21"/>
        </w:rPr>
      </w:pPr>
      <w:r>
        <w:rPr>
          <w:rFonts w:hint="eastAsia"/>
          <w:szCs w:val="21"/>
        </w:rPr>
        <w:t>符合GB 8076附录A规定的水泥。仲裁时应采用基准水泥。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6.3.1.2 机制砂</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default" w:eastAsia="宋体" w:cs="Times New Roman"/>
          <w:color w:val="auto"/>
          <w:szCs w:val="21"/>
          <w:lang w:val="en-US" w:eastAsia="zh-CN"/>
        </w:rPr>
      </w:pPr>
      <w:r>
        <w:rPr>
          <w:rFonts w:cs="Times New Roman"/>
          <w:color w:val="auto"/>
          <w:szCs w:val="21"/>
        </w:rPr>
        <w:t>符合</w:t>
      </w:r>
      <w:r>
        <w:rPr>
          <w:rFonts w:hint="eastAsia" w:cs="Times New Roman"/>
          <w:color w:val="auto"/>
          <w:szCs w:val="21"/>
          <w:lang w:val="en-US" w:eastAsia="zh-CN"/>
        </w:rPr>
        <w:t>GB/T14684</w:t>
      </w:r>
      <w:r>
        <w:rPr>
          <w:rFonts w:cs="Times New Roman"/>
          <w:color w:val="auto"/>
          <w:szCs w:val="21"/>
        </w:rPr>
        <w:t>中</w:t>
      </w:r>
      <w:r>
        <w:rPr>
          <w:rFonts w:hint="eastAsia" w:cs="Times New Roman"/>
          <w:color w:val="auto"/>
          <w:szCs w:val="21"/>
          <w:lang w:val="en-US" w:eastAsia="zh-CN"/>
        </w:rPr>
        <w:t>要求的石粉含量≤10%、含泥量≤2%、1.0≤MB值≤1.4的机制砂，机制砂母岩岩性为石灰岩。</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6.3.1.3 石子</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color w:val="auto"/>
          <w:szCs w:val="21"/>
        </w:rPr>
      </w:pPr>
      <w:r>
        <w:rPr>
          <w:rFonts w:hint="eastAsia"/>
          <w:color w:val="auto"/>
          <w:szCs w:val="21"/>
        </w:rPr>
        <w:t>符合GB/T 14685中要求的公称粒径5 mm〜20 mm的碎石，采用二级配，其中5mm~10mm占 40%，10mm~20mm占60%，满足连续级配要求，针片状物质含量小于10%，空隙率小于47%，含泥量小于0.5%。</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6.3.1.4 水</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szCs w:val="21"/>
        </w:rPr>
      </w:pPr>
      <w:r>
        <w:rPr>
          <w:rFonts w:hint="eastAsia"/>
          <w:szCs w:val="21"/>
        </w:rPr>
        <w:t>符合JGJ 63的要求</w:t>
      </w:r>
      <w:r>
        <w:t>的拌和水</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6.3.1.5 减水剂</w:t>
      </w:r>
    </w:p>
    <w:p>
      <w:pPr>
        <w:keepNext w:val="0"/>
        <w:keepLines w:val="0"/>
        <w:pageBreakBefore w:val="0"/>
        <w:kinsoku/>
        <w:wordWrap/>
        <w:overflowPunct/>
        <w:topLinePunct w:val="0"/>
        <w:bidi w:val="0"/>
        <w:adjustRightInd/>
        <w:snapToGrid/>
        <w:spacing w:line="240" w:lineRule="auto"/>
        <w:ind w:firstLine="420"/>
        <w:textAlignment w:val="auto"/>
        <w:rPr>
          <w:rFonts w:ascii="黑体" w:eastAsia="黑体"/>
        </w:rPr>
      </w:pPr>
      <w:r>
        <w:rPr>
          <w:rFonts w:hint="eastAsia"/>
        </w:rPr>
        <w:t>符合</w:t>
      </w:r>
      <w:r>
        <w:rPr>
          <w:rFonts w:hint="eastAsia"/>
          <w:lang w:val="en-US" w:eastAsia="zh-CN"/>
        </w:rPr>
        <w:t>GB 8076中规定的标准型减水剂</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6.3.1.6 </w:t>
      </w:r>
      <w:r>
        <w:rPr>
          <w:rFonts w:hint="eastAsia" w:cs="Times New Roman"/>
          <w:lang w:val="en-US" w:eastAsia="zh-CN"/>
        </w:rPr>
        <w:t>机制砂混凝土用增强调节剂</w:t>
      </w:r>
    </w:p>
    <w:p>
      <w:pPr>
        <w:keepNext w:val="0"/>
        <w:keepLines w:val="0"/>
        <w:pageBreakBefore w:val="0"/>
        <w:kinsoku/>
        <w:wordWrap/>
        <w:overflowPunct/>
        <w:topLinePunct w:val="0"/>
        <w:bidi w:val="0"/>
        <w:adjustRightInd/>
        <w:snapToGrid/>
        <w:spacing w:line="240" w:lineRule="auto"/>
        <w:ind w:firstLine="420"/>
        <w:textAlignment w:val="auto"/>
        <w:rPr>
          <w:szCs w:val="21"/>
        </w:rPr>
      </w:pPr>
      <w:r>
        <w:rPr>
          <w:rFonts w:hint="eastAsia"/>
          <w:szCs w:val="21"/>
        </w:rPr>
        <w:t>需要</w:t>
      </w:r>
      <w:r>
        <w:rPr>
          <w:rFonts w:hint="eastAsia"/>
          <w:szCs w:val="21"/>
          <w:lang w:val="en-US" w:eastAsia="zh-CN"/>
        </w:rPr>
        <w:t>检测</w:t>
      </w:r>
      <w:r>
        <w:rPr>
          <w:rFonts w:hint="eastAsia"/>
          <w:szCs w:val="21"/>
        </w:rPr>
        <w:t>的</w:t>
      </w:r>
      <w:r>
        <w:rPr>
          <w:rFonts w:hint="eastAsia"/>
          <w:szCs w:val="21"/>
          <w:lang w:eastAsia="zh-CN"/>
        </w:rPr>
        <w:t>机制砂混凝土增强调节剂</w:t>
      </w:r>
      <w:r>
        <w:rPr>
          <w:rFonts w:hint="eastAsia"/>
          <w:szCs w:val="21"/>
        </w:rPr>
        <w:t>。</w:t>
      </w:r>
    </w:p>
    <w:p>
      <w:pPr>
        <w:pStyle w:val="32"/>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黑体" w:hAnsi="黑体" w:eastAsia="黑体" w:cs="黑体"/>
          <w:szCs w:val="21"/>
          <w:lang w:val="en-US" w:eastAsia="zh-CN"/>
        </w:rPr>
      </w:pPr>
      <w:r>
        <w:rPr>
          <w:rFonts w:hint="eastAsia" w:ascii="黑体" w:hAnsi="黑体" w:eastAsia="黑体" w:cs="黑体"/>
          <w:szCs w:val="21"/>
          <w:lang w:val="en-US" w:eastAsia="zh-CN"/>
        </w:rPr>
        <w:t>6.3.2 配合比</w:t>
      </w:r>
    </w:p>
    <w:p>
      <w:pPr>
        <w:keepNext w:val="0"/>
        <w:keepLines w:val="0"/>
        <w:pageBreakBefore w:val="0"/>
        <w:kinsoku/>
        <w:wordWrap/>
        <w:overflowPunct/>
        <w:topLinePunct w:val="0"/>
        <w:bidi w:val="0"/>
        <w:adjustRightInd/>
        <w:snapToGrid/>
        <w:spacing w:line="240" w:lineRule="auto"/>
        <w:ind w:firstLine="420"/>
        <w:textAlignment w:val="auto"/>
        <w:rPr>
          <w:color w:val="auto"/>
          <w:szCs w:val="21"/>
        </w:rPr>
      </w:pPr>
      <w:r>
        <w:rPr>
          <w:rFonts w:hint="eastAsia"/>
          <w:color w:val="auto"/>
          <w:szCs w:val="21"/>
        </w:rPr>
        <w:t>砂率和用水量参考 GB 8076 中掺高性能外加剂混凝土的表达。基准混凝土的配合比参照JGJ 55进行设计，受检混凝土和基准混凝土的水泥</w:t>
      </w:r>
      <w:r>
        <w:rPr>
          <w:rFonts w:hint="eastAsia"/>
          <w:color w:val="auto"/>
          <w:szCs w:val="21"/>
          <w:lang w:val="en-US" w:eastAsia="zh-CN"/>
        </w:rPr>
        <w:t>、</w:t>
      </w:r>
      <w:r>
        <w:rPr>
          <w:rFonts w:hint="eastAsia"/>
          <w:color w:val="auto"/>
          <w:szCs w:val="21"/>
        </w:rPr>
        <w:t>砂、石</w:t>
      </w:r>
      <w:r>
        <w:rPr>
          <w:rFonts w:hint="eastAsia"/>
          <w:color w:val="auto"/>
          <w:szCs w:val="21"/>
          <w:lang w:eastAsia="zh-CN"/>
        </w:rPr>
        <w:t>、</w:t>
      </w:r>
      <w:r>
        <w:rPr>
          <w:rFonts w:hint="eastAsia"/>
          <w:color w:val="auto"/>
          <w:szCs w:val="21"/>
        </w:rPr>
        <w:t>减水剂</w:t>
      </w:r>
      <w:r>
        <w:rPr>
          <w:rFonts w:hint="eastAsia"/>
          <w:color w:val="auto"/>
          <w:szCs w:val="21"/>
          <w:lang w:eastAsia="zh-CN"/>
        </w:rPr>
        <w:t>、</w:t>
      </w:r>
      <w:r>
        <w:rPr>
          <w:rFonts w:hint="eastAsia"/>
          <w:color w:val="auto"/>
          <w:szCs w:val="21"/>
          <w:lang w:val="en-US" w:eastAsia="zh-CN"/>
        </w:rPr>
        <w:t>水</w:t>
      </w:r>
      <w:r>
        <w:rPr>
          <w:rFonts w:hint="eastAsia"/>
          <w:color w:val="auto"/>
          <w:szCs w:val="21"/>
        </w:rPr>
        <w:t>保持同等质量添加量。</w:t>
      </w:r>
    </w:p>
    <w:p>
      <w:pPr>
        <w:keepNext w:val="0"/>
        <w:keepLines w:val="0"/>
        <w:pageBreakBefore w:val="0"/>
        <w:kinsoku/>
        <w:wordWrap/>
        <w:overflowPunct/>
        <w:topLinePunct w:val="0"/>
        <w:bidi w:val="0"/>
        <w:adjustRightInd/>
        <w:snapToGrid/>
        <w:spacing w:line="240" w:lineRule="auto"/>
        <w:ind w:firstLine="420"/>
        <w:textAlignment w:val="auto"/>
        <w:rPr>
          <w:color w:val="auto"/>
          <w:szCs w:val="21"/>
        </w:rPr>
      </w:pPr>
      <w:r>
        <w:rPr>
          <w:rFonts w:hint="eastAsia"/>
          <w:color w:val="auto"/>
          <w:szCs w:val="21"/>
        </w:rPr>
        <w:t>配合比设计应符合以下规定：</w:t>
      </w:r>
    </w:p>
    <w:p>
      <w:pPr>
        <w:keepNext w:val="0"/>
        <w:keepLines w:val="0"/>
        <w:pageBreakBefore w:val="0"/>
        <w:numPr>
          <w:ilvl w:val="0"/>
          <w:numId w:val="6"/>
        </w:numPr>
        <w:kinsoku/>
        <w:wordWrap/>
        <w:overflowPunct/>
        <w:topLinePunct w:val="0"/>
        <w:bidi w:val="0"/>
        <w:adjustRightInd/>
        <w:snapToGrid/>
        <w:spacing w:line="240" w:lineRule="auto"/>
        <w:ind w:firstLine="420"/>
        <w:textAlignment w:val="auto"/>
        <w:rPr>
          <w:color w:val="auto"/>
          <w:szCs w:val="21"/>
        </w:rPr>
      </w:pPr>
      <w:r>
        <w:rPr>
          <w:rFonts w:hint="eastAsia"/>
          <w:color w:val="auto"/>
          <w:szCs w:val="21"/>
        </w:rPr>
        <w:t>水泥用量：360 kg/m³。</w:t>
      </w:r>
    </w:p>
    <w:p>
      <w:pPr>
        <w:keepNext w:val="0"/>
        <w:keepLines w:val="0"/>
        <w:pageBreakBefore w:val="0"/>
        <w:numPr>
          <w:ilvl w:val="0"/>
          <w:numId w:val="6"/>
        </w:numPr>
        <w:kinsoku/>
        <w:wordWrap/>
        <w:overflowPunct/>
        <w:topLinePunct w:val="0"/>
        <w:bidi w:val="0"/>
        <w:adjustRightInd/>
        <w:snapToGrid/>
        <w:spacing w:line="240" w:lineRule="auto"/>
        <w:ind w:firstLine="420"/>
        <w:textAlignment w:val="auto"/>
        <w:rPr>
          <w:color w:val="auto"/>
          <w:szCs w:val="21"/>
        </w:rPr>
      </w:pPr>
      <w:r>
        <w:rPr>
          <w:rFonts w:hint="eastAsia"/>
          <w:color w:val="auto"/>
          <w:szCs w:val="21"/>
        </w:rPr>
        <w:t>砂率：</w:t>
      </w:r>
      <w:r>
        <w:rPr>
          <w:rFonts w:hint="eastAsia"/>
          <w:color w:val="auto"/>
          <w:szCs w:val="21"/>
          <w:lang w:val="en-US" w:eastAsia="zh-CN"/>
        </w:rPr>
        <w:t>43</w:t>
      </w:r>
      <w:r>
        <w:rPr>
          <w:rFonts w:hint="eastAsia"/>
          <w:color w:val="auto"/>
          <w:szCs w:val="21"/>
        </w:rPr>
        <w:t>～4</w:t>
      </w:r>
      <w:r>
        <w:rPr>
          <w:rFonts w:hint="eastAsia"/>
          <w:color w:val="auto"/>
          <w:szCs w:val="21"/>
          <w:lang w:val="en-US" w:eastAsia="zh-CN"/>
        </w:rPr>
        <w:t>7</w:t>
      </w:r>
      <w:r>
        <w:rPr>
          <w:rFonts w:hint="eastAsia"/>
          <w:color w:val="auto"/>
          <w:szCs w:val="21"/>
        </w:rPr>
        <w:t>%</w:t>
      </w:r>
      <w:r>
        <w:rPr>
          <w:rFonts w:hint="eastAsia"/>
          <w:color w:val="auto"/>
          <w:szCs w:val="21"/>
          <w:lang w:val="en-US" w:eastAsia="zh-CN"/>
        </w:rPr>
        <w:t xml:space="preserve"> </w:t>
      </w:r>
      <w:r>
        <w:rPr>
          <w:rFonts w:hint="eastAsia"/>
          <w:color w:val="auto"/>
          <w:szCs w:val="21"/>
          <w:lang w:eastAsia="zh-CN"/>
        </w:rPr>
        <w:t>。</w:t>
      </w:r>
      <w:r>
        <w:rPr>
          <w:rFonts w:hint="eastAsia"/>
          <w:color w:val="auto"/>
          <w:szCs w:val="21"/>
        </w:rPr>
        <w:tab/>
      </w:r>
    </w:p>
    <w:p>
      <w:pPr>
        <w:keepNext w:val="0"/>
        <w:keepLines w:val="0"/>
        <w:pageBreakBefore w:val="0"/>
        <w:numPr>
          <w:ilvl w:val="0"/>
          <w:numId w:val="6"/>
        </w:numPr>
        <w:kinsoku/>
        <w:wordWrap/>
        <w:overflowPunct/>
        <w:topLinePunct w:val="0"/>
        <w:bidi w:val="0"/>
        <w:adjustRightInd/>
        <w:snapToGrid/>
        <w:spacing w:line="240" w:lineRule="auto"/>
        <w:ind w:firstLine="420"/>
        <w:textAlignment w:val="auto"/>
        <w:rPr>
          <w:color w:val="auto"/>
          <w:szCs w:val="21"/>
        </w:rPr>
      </w:pPr>
      <w:r>
        <w:rPr>
          <w:rFonts w:hint="eastAsia"/>
          <w:color w:val="auto"/>
          <w:szCs w:val="21"/>
          <w:lang w:eastAsia="zh-CN"/>
        </w:rPr>
        <w:t>机制砂混凝土用增强调节剂</w:t>
      </w:r>
      <w:r>
        <w:rPr>
          <w:rFonts w:hint="eastAsia"/>
          <w:color w:val="auto"/>
          <w:szCs w:val="21"/>
        </w:rPr>
        <w:t>掺量：按生产厂家</w:t>
      </w:r>
      <w:r>
        <w:rPr>
          <w:rFonts w:hint="eastAsia"/>
          <w:color w:val="auto"/>
          <w:szCs w:val="21"/>
          <w:lang w:val="en-US" w:eastAsia="zh-CN"/>
        </w:rPr>
        <w:t>指定</w:t>
      </w:r>
      <w:r>
        <w:rPr>
          <w:rFonts w:hint="eastAsia"/>
          <w:color w:val="auto"/>
          <w:szCs w:val="21"/>
        </w:rPr>
        <w:t>掺量。</w:t>
      </w:r>
    </w:p>
    <w:p>
      <w:pPr>
        <w:keepNext w:val="0"/>
        <w:keepLines w:val="0"/>
        <w:pageBreakBefore w:val="0"/>
        <w:numPr>
          <w:ilvl w:val="0"/>
          <w:numId w:val="0"/>
        </w:numPr>
        <w:kinsoku/>
        <w:wordWrap/>
        <w:overflowPunct/>
        <w:topLinePunct w:val="0"/>
        <w:bidi w:val="0"/>
        <w:adjustRightInd/>
        <w:snapToGrid/>
        <w:spacing w:line="240" w:lineRule="auto"/>
        <w:ind w:firstLine="420" w:firstLineChars="200"/>
        <w:textAlignment w:val="auto"/>
        <w:rPr>
          <w:rFonts w:hint="eastAsia"/>
          <w:color w:val="auto"/>
          <w:szCs w:val="21"/>
        </w:rPr>
      </w:pPr>
      <w:r>
        <w:rPr>
          <w:rFonts w:hint="eastAsia"/>
          <w:color w:val="auto"/>
          <w:szCs w:val="21"/>
          <w:lang w:val="en-US" w:eastAsia="zh-CN"/>
        </w:rPr>
        <w:t xml:space="preserve">e) </w:t>
      </w:r>
      <w:r>
        <w:rPr>
          <w:rFonts w:hint="eastAsia"/>
          <w:color w:val="auto"/>
          <w:szCs w:val="21"/>
        </w:rPr>
        <w:t>用水量：基准混凝土和受</w:t>
      </w:r>
      <w:bookmarkStart w:id="25" w:name="_GoBack"/>
      <w:bookmarkEnd w:id="25"/>
      <w:r>
        <w:rPr>
          <w:rFonts w:hint="eastAsia"/>
          <w:color w:val="auto"/>
          <w:szCs w:val="21"/>
        </w:rPr>
        <w:t>检混凝土坍落度均控制在（210±10）mm。</w:t>
      </w:r>
    </w:p>
    <w:p>
      <w:pPr>
        <w:keepNext w:val="0"/>
        <w:keepLines w:val="0"/>
        <w:pageBreakBefore w:val="0"/>
        <w:numPr>
          <w:ilvl w:val="0"/>
          <w:numId w:val="0"/>
        </w:numPr>
        <w:kinsoku/>
        <w:wordWrap/>
        <w:overflowPunct/>
        <w:topLinePunct w:val="0"/>
        <w:bidi w:val="0"/>
        <w:adjustRightInd/>
        <w:snapToGrid/>
        <w:spacing w:line="240" w:lineRule="auto"/>
        <w:ind w:firstLine="420" w:firstLineChars="200"/>
        <w:textAlignment w:val="auto"/>
        <w:rPr>
          <w:color w:val="auto"/>
          <w:szCs w:val="21"/>
        </w:rPr>
      </w:pPr>
      <w:r>
        <w:rPr>
          <w:rFonts w:hint="eastAsia"/>
          <w:color w:val="auto"/>
          <w:szCs w:val="21"/>
        </w:rPr>
        <w:t>用水量包括外加剂、砂、石材料中所含的水量。</w:t>
      </w:r>
    </w:p>
    <w:p>
      <w:pPr>
        <w:pStyle w:val="32"/>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黑体" w:hAnsi="黑体" w:eastAsia="黑体" w:cs="黑体"/>
          <w:szCs w:val="21"/>
          <w:lang w:val="en-US" w:eastAsia="zh-CN"/>
        </w:rPr>
      </w:pPr>
      <w:r>
        <w:rPr>
          <w:rFonts w:hint="eastAsia" w:ascii="黑体" w:hAnsi="黑体" w:eastAsia="黑体" w:cs="黑体"/>
          <w:szCs w:val="21"/>
          <w:lang w:val="en-US" w:eastAsia="zh-CN"/>
        </w:rPr>
        <w:t>6.3.3 混凝土的搅拌、试件制作及养护</w:t>
      </w:r>
    </w:p>
    <w:p>
      <w:pPr>
        <w:keepNext w:val="0"/>
        <w:keepLines w:val="0"/>
        <w:pageBreakBefore w:val="0"/>
        <w:kinsoku/>
        <w:wordWrap/>
        <w:overflowPunct/>
        <w:topLinePunct w:val="0"/>
        <w:bidi w:val="0"/>
        <w:adjustRightInd/>
        <w:snapToGrid/>
        <w:spacing w:line="240" w:lineRule="auto"/>
        <w:ind w:firstLine="420"/>
        <w:textAlignment w:val="auto"/>
        <w:rPr>
          <w:rFonts w:hint="default" w:ascii="Times New Roman" w:hAnsi="Times New Roman" w:eastAsia="宋体" w:cs="Times New Roman"/>
          <w:lang w:eastAsia="zh-CN"/>
        </w:rPr>
      </w:pPr>
      <w:r>
        <w:rPr>
          <w:rFonts w:hint="default" w:ascii="Times New Roman" w:hAnsi="Times New Roman" w:cs="Times New Roman"/>
        </w:rPr>
        <w:t>应按照GB 8076规定的试验方法进行</w:t>
      </w:r>
      <w:r>
        <w:rPr>
          <w:rFonts w:hint="default" w:ascii="Times New Roman" w:hAnsi="Times New Roman" w:cs="Times New Roman"/>
          <w:lang w:eastAsia="zh-CN"/>
        </w:rPr>
        <w:t>。</w:t>
      </w:r>
    </w:p>
    <w:p>
      <w:pPr>
        <w:pStyle w:val="32"/>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黑体" w:hAnsi="黑体" w:eastAsia="黑体" w:cs="黑体"/>
          <w:szCs w:val="21"/>
          <w:lang w:val="en-US" w:eastAsia="zh-CN"/>
        </w:rPr>
      </w:pPr>
      <w:r>
        <w:rPr>
          <w:rFonts w:hint="eastAsia" w:ascii="黑体" w:hAnsi="黑体" w:eastAsia="黑体" w:cs="黑体"/>
          <w:szCs w:val="21"/>
          <w:lang w:val="en-US" w:eastAsia="zh-CN"/>
        </w:rPr>
        <w:t>6.3.4 实验所需试件数量</w:t>
      </w:r>
    </w:p>
    <w:p>
      <w:pPr>
        <w:keepNext w:val="0"/>
        <w:keepLines w:val="0"/>
        <w:pageBreakBefore w:val="0"/>
        <w:kinsoku/>
        <w:wordWrap/>
        <w:overflowPunct/>
        <w:topLinePunct w:val="0"/>
        <w:bidi w:val="0"/>
        <w:adjustRightInd/>
        <w:snapToGrid/>
        <w:spacing w:line="240" w:lineRule="auto"/>
        <w:ind w:firstLine="420" w:firstLineChars="0"/>
        <w:textAlignment w:val="auto"/>
        <w:rPr>
          <w:rFonts w:hint="eastAsia" w:eastAsia="宋体"/>
          <w:lang w:eastAsia="zh-CN"/>
        </w:rPr>
      </w:pPr>
      <w:r>
        <w:rPr>
          <w:rFonts w:hint="eastAsia"/>
          <w:lang w:val="en-US" w:eastAsia="zh-CN"/>
        </w:rPr>
        <w:t>试验</w:t>
      </w:r>
      <w:r>
        <w:rPr>
          <w:rFonts w:hint="eastAsia"/>
        </w:rPr>
        <w:t>项目及数量详见表3</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jc w:val="center"/>
        <w:textAlignment w:val="auto"/>
      </w:pPr>
      <w:r>
        <w:rPr>
          <w:rFonts w:hint="eastAsia" w:ascii="黑体" w:hAnsi="黑体" w:eastAsia="黑体" w:cs="黑体"/>
        </w:rPr>
        <w:t>表3 实验项目及所需数</w:t>
      </w:r>
      <w:r>
        <w:rPr>
          <w:rFonts w:hint="eastAsia"/>
        </w:rPr>
        <w:t>量</w:t>
      </w:r>
    </w:p>
    <w:tbl>
      <w:tblPr>
        <w:tblStyle w:val="16"/>
        <w:tblW w:w="8479"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1355"/>
        <w:gridCol w:w="1090"/>
        <w:gridCol w:w="1715"/>
        <w:gridCol w:w="142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18"/>
                <w:szCs w:val="18"/>
              </w:rPr>
            </w:pPr>
            <w:r>
              <w:rPr>
                <w:rFonts w:hint="eastAsia"/>
                <w:sz w:val="18"/>
                <w:szCs w:val="18"/>
              </w:rPr>
              <w:t>试验项目</w:t>
            </w:r>
          </w:p>
        </w:tc>
        <w:tc>
          <w:tcPr>
            <w:tcW w:w="13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18"/>
                <w:szCs w:val="18"/>
              </w:rPr>
            </w:pPr>
            <w:r>
              <w:rPr>
                <w:rFonts w:hint="eastAsia"/>
                <w:sz w:val="18"/>
                <w:szCs w:val="18"/>
              </w:rPr>
              <w:t>试验类别</w:t>
            </w:r>
          </w:p>
        </w:tc>
        <w:tc>
          <w:tcPr>
            <w:tcW w:w="561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18"/>
                <w:szCs w:val="18"/>
              </w:rPr>
            </w:pPr>
            <w:r>
              <w:rPr>
                <w:rFonts w:hint="eastAsia"/>
                <w:sz w:val="18"/>
                <w:szCs w:val="18"/>
              </w:rPr>
              <w:t>试验所需数量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18"/>
                <w:szCs w:val="18"/>
              </w:rPr>
            </w:pPr>
          </w:p>
        </w:tc>
        <w:tc>
          <w:tcPr>
            <w:tcW w:w="135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18"/>
                <w:szCs w:val="18"/>
              </w:rPr>
            </w:pPr>
          </w:p>
        </w:tc>
        <w:tc>
          <w:tcPr>
            <w:tcW w:w="109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18"/>
                <w:szCs w:val="18"/>
              </w:rPr>
            </w:pPr>
            <w:r>
              <w:rPr>
                <w:rFonts w:hint="eastAsia"/>
                <w:sz w:val="18"/>
                <w:szCs w:val="18"/>
              </w:rPr>
              <w:t>混凝土拌合批数</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18"/>
                <w:szCs w:val="18"/>
              </w:rPr>
            </w:pPr>
            <w:r>
              <w:rPr>
                <w:rFonts w:hint="eastAsia"/>
                <w:sz w:val="18"/>
                <w:szCs w:val="18"/>
              </w:rPr>
              <w:t>每批取样数目</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18"/>
                <w:szCs w:val="18"/>
              </w:rPr>
            </w:pPr>
            <w:r>
              <w:rPr>
                <w:rFonts w:hint="eastAsia"/>
                <w:sz w:val="18"/>
                <w:szCs w:val="18"/>
              </w:rPr>
              <w:t>基准混凝土总取样数目</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18"/>
                <w:szCs w:val="18"/>
              </w:rPr>
            </w:pPr>
            <w:r>
              <w:rPr>
                <w:rFonts w:hint="eastAsia"/>
                <w:sz w:val="18"/>
                <w:szCs w:val="18"/>
              </w:rPr>
              <w:t>受检混凝土总取样数目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1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18"/>
                <w:szCs w:val="18"/>
                <w:lang w:val="en-US" w:eastAsia="zh-CN"/>
              </w:rPr>
            </w:pPr>
            <w:r>
              <w:rPr>
                <w:rFonts w:hint="eastAsia" w:hAnsi="宋体"/>
                <w:color w:val="auto"/>
                <w:kern w:val="2"/>
                <w:sz w:val="18"/>
                <w:szCs w:val="18"/>
                <w:lang w:val="en-US" w:eastAsia="zh-CN"/>
              </w:rPr>
              <w:t>坍落度</w:t>
            </w:r>
          </w:p>
        </w:tc>
        <w:tc>
          <w:tcPr>
            <w:tcW w:w="13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18"/>
                <w:szCs w:val="18"/>
              </w:rPr>
            </w:pPr>
            <w:r>
              <w:rPr>
                <w:rFonts w:hint="eastAsia"/>
                <w:sz w:val="18"/>
                <w:szCs w:val="18"/>
              </w:rPr>
              <w:t>混凝土拌合物</w:t>
            </w:r>
          </w:p>
        </w:tc>
        <w:tc>
          <w:tcPr>
            <w:tcW w:w="109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18"/>
                <w:szCs w:val="18"/>
              </w:rPr>
            </w:pPr>
            <w:r>
              <w:rPr>
                <w:rFonts w:hint="eastAsia"/>
                <w:sz w:val="18"/>
                <w:szCs w:val="18"/>
              </w:rPr>
              <w:t>3</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18"/>
                <w:szCs w:val="18"/>
              </w:rPr>
            </w:pPr>
            <w:r>
              <w:rPr>
                <w:rFonts w:hint="eastAsia"/>
                <w:sz w:val="18"/>
                <w:szCs w:val="18"/>
              </w:rPr>
              <w:t>1个</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18"/>
                <w:szCs w:val="18"/>
              </w:rPr>
            </w:pPr>
            <w:r>
              <w:rPr>
                <w:rFonts w:hint="eastAsia"/>
                <w:sz w:val="18"/>
                <w:szCs w:val="18"/>
              </w:rPr>
              <w:t>3个</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18"/>
                <w:szCs w:val="18"/>
              </w:rPr>
            </w:pPr>
            <w:r>
              <w:rPr>
                <w:rFonts w:hint="eastAsia"/>
                <w:sz w:val="18"/>
                <w:szCs w:val="18"/>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1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18"/>
                <w:szCs w:val="18"/>
                <w:lang w:val="en-US" w:eastAsia="zh-CN"/>
              </w:rPr>
            </w:pPr>
            <w:r>
              <w:rPr>
                <w:rFonts w:hint="eastAsia"/>
                <w:color w:val="auto"/>
                <w:sz w:val="18"/>
                <w:szCs w:val="18"/>
                <w:lang w:val="en-US" w:eastAsia="zh-CN"/>
              </w:rPr>
              <w:t>泌水率</w:t>
            </w:r>
          </w:p>
        </w:tc>
        <w:tc>
          <w:tcPr>
            <w:tcW w:w="135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18"/>
                <w:szCs w:val="18"/>
              </w:rPr>
            </w:pPr>
          </w:p>
        </w:tc>
        <w:tc>
          <w:tcPr>
            <w:tcW w:w="109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18"/>
                <w:szCs w:val="18"/>
              </w:rPr>
            </w:pPr>
            <w:r>
              <w:rPr>
                <w:rFonts w:hint="eastAsia"/>
                <w:sz w:val="18"/>
                <w:szCs w:val="18"/>
              </w:rPr>
              <w:t>3</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18"/>
                <w:szCs w:val="18"/>
              </w:rPr>
            </w:pPr>
            <w:r>
              <w:rPr>
                <w:rFonts w:hint="eastAsia"/>
                <w:sz w:val="18"/>
                <w:szCs w:val="18"/>
              </w:rPr>
              <w:t>1个</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18"/>
                <w:szCs w:val="18"/>
              </w:rPr>
            </w:pPr>
            <w:r>
              <w:rPr>
                <w:rFonts w:hint="eastAsia"/>
                <w:sz w:val="18"/>
                <w:szCs w:val="18"/>
              </w:rPr>
              <w:t>3个</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18"/>
                <w:szCs w:val="18"/>
              </w:rPr>
            </w:pPr>
            <w:r>
              <w:rPr>
                <w:rFonts w:hint="eastAsia"/>
                <w:sz w:val="18"/>
                <w:szCs w:val="18"/>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1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18"/>
                <w:szCs w:val="18"/>
              </w:rPr>
            </w:pPr>
            <w:r>
              <w:rPr>
                <w:rFonts w:hint="eastAsia"/>
                <w:color w:val="auto"/>
                <w:sz w:val="18"/>
                <w:szCs w:val="18"/>
              </w:rPr>
              <w:t>凝结时间差</w:t>
            </w:r>
          </w:p>
        </w:tc>
        <w:tc>
          <w:tcPr>
            <w:tcW w:w="135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18"/>
                <w:szCs w:val="18"/>
              </w:rPr>
            </w:pPr>
          </w:p>
        </w:tc>
        <w:tc>
          <w:tcPr>
            <w:tcW w:w="109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18"/>
                <w:szCs w:val="18"/>
              </w:rPr>
            </w:pPr>
            <w:r>
              <w:rPr>
                <w:rFonts w:hint="eastAsia"/>
                <w:sz w:val="18"/>
                <w:szCs w:val="18"/>
              </w:rPr>
              <w:t>3</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18"/>
                <w:szCs w:val="18"/>
              </w:rPr>
            </w:pPr>
            <w:r>
              <w:rPr>
                <w:rFonts w:hint="eastAsia"/>
                <w:sz w:val="18"/>
                <w:szCs w:val="18"/>
              </w:rPr>
              <w:t>1个</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18"/>
                <w:szCs w:val="18"/>
              </w:rPr>
            </w:pPr>
            <w:r>
              <w:rPr>
                <w:rFonts w:hint="eastAsia"/>
                <w:sz w:val="18"/>
                <w:szCs w:val="18"/>
              </w:rPr>
              <w:t>3个</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18"/>
                <w:szCs w:val="18"/>
              </w:rPr>
            </w:pPr>
            <w:r>
              <w:rPr>
                <w:rFonts w:hint="eastAsia"/>
                <w:sz w:val="18"/>
                <w:szCs w:val="18"/>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1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18"/>
                <w:szCs w:val="18"/>
              </w:rPr>
            </w:pPr>
            <w:r>
              <w:rPr>
                <w:rFonts w:hint="eastAsia"/>
                <w:sz w:val="18"/>
                <w:szCs w:val="18"/>
              </w:rPr>
              <w:t>抗压强度比</w:t>
            </w:r>
          </w:p>
        </w:tc>
        <w:tc>
          <w:tcPr>
            <w:tcW w:w="13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18"/>
                <w:szCs w:val="18"/>
              </w:rPr>
            </w:pPr>
            <w:r>
              <w:rPr>
                <w:rFonts w:hint="eastAsia"/>
                <w:sz w:val="18"/>
                <w:szCs w:val="18"/>
              </w:rPr>
              <w:t>硬化混凝土</w:t>
            </w:r>
          </w:p>
        </w:tc>
        <w:tc>
          <w:tcPr>
            <w:tcW w:w="109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18"/>
                <w:szCs w:val="18"/>
              </w:rPr>
            </w:pPr>
            <w:r>
              <w:rPr>
                <w:rFonts w:hint="eastAsia"/>
                <w:sz w:val="18"/>
                <w:szCs w:val="18"/>
              </w:rPr>
              <w:t>3</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18"/>
                <w:szCs w:val="18"/>
              </w:rPr>
            </w:pPr>
            <w:r>
              <w:rPr>
                <w:rFonts w:hint="eastAsia"/>
                <w:sz w:val="18"/>
                <w:szCs w:val="18"/>
                <w:lang w:val="en-US" w:eastAsia="zh-CN"/>
              </w:rPr>
              <w:t>12</w:t>
            </w:r>
            <w:r>
              <w:rPr>
                <w:rFonts w:hint="eastAsia"/>
                <w:sz w:val="18"/>
                <w:szCs w:val="18"/>
              </w:rPr>
              <w:t>块</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18"/>
                <w:szCs w:val="18"/>
              </w:rPr>
            </w:pPr>
            <w:r>
              <w:rPr>
                <w:rFonts w:hint="eastAsia"/>
                <w:sz w:val="18"/>
                <w:szCs w:val="18"/>
                <w:lang w:val="en-US" w:eastAsia="zh-CN"/>
              </w:rPr>
              <w:t>36</w:t>
            </w:r>
            <w:r>
              <w:rPr>
                <w:rFonts w:hint="eastAsia"/>
                <w:sz w:val="18"/>
                <w:szCs w:val="18"/>
              </w:rPr>
              <w:t>块</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18"/>
                <w:szCs w:val="18"/>
              </w:rPr>
            </w:pPr>
            <w:r>
              <w:rPr>
                <w:rFonts w:hint="eastAsia"/>
                <w:sz w:val="18"/>
                <w:szCs w:val="18"/>
                <w:lang w:val="en-US" w:eastAsia="zh-CN"/>
              </w:rPr>
              <w:t>36</w:t>
            </w:r>
            <w:r>
              <w:rPr>
                <w:rFonts w:hint="eastAsia"/>
                <w:sz w:val="18"/>
                <w:szCs w:val="18"/>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1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18"/>
                <w:szCs w:val="18"/>
              </w:rPr>
            </w:pPr>
            <w:r>
              <w:rPr>
                <w:rFonts w:hint="eastAsia"/>
                <w:sz w:val="18"/>
                <w:szCs w:val="18"/>
              </w:rPr>
              <w:t>电通量比</w:t>
            </w:r>
          </w:p>
        </w:tc>
        <w:tc>
          <w:tcPr>
            <w:tcW w:w="135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18"/>
                <w:szCs w:val="18"/>
              </w:rPr>
            </w:pPr>
          </w:p>
        </w:tc>
        <w:tc>
          <w:tcPr>
            <w:tcW w:w="109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18"/>
                <w:szCs w:val="18"/>
              </w:rPr>
            </w:pPr>
            <w:r>
              <w:rPr>
                <w:rFonts w:hint="eastAsia"/>
                <w:sz w:val="18"/>
                <w:szCs w:val="18"/>
              </w:rPr>
              <w:t>3</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18"/>
                <w:szCs w:val="18"/>
                <w:lang w:eastAsia="zh-CN"/>
              </w:rPr>
            </w:pPr>
            <w:r>
              <w:rPr>
                <w:rFonts w:hint="eastAsia"/>
                <w:sz w:val="18"/>
                <w:szCs w:val="18"/>
              </w:rPr>
              <w:t>3</w:t>
            </w:r>
            <w:r>
              <w:rPr>
                <w:rFonts w:hint="eastAsia"/>
                <w:sz w:val="18"/>
                <w:szCs w:val="18"/>
                <w:lang w:val="en-US" w:eastAsia="zh-CN"/>
              </w:rPr>
              <w:t>个</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18"/>
                <w:szCs w:val="18"/>
                <w:lang w:eastAsia="zh-CN"/>
              </w:rPr>
            </w:pPr>
            <w:r>
              <w:rPr>
                <w:rFonts w:hint="eastAsia"/>
                <w:sz w:val="18"/>
                <w:szCs w:val="18"/>
              </w:rPr>
              <w:t>9</w:t>
            </w:r>
            <w:r>
              <w:rPr>
                <w:rFonts w:hint="eastAsia"/>
                <w:sz w:val="18"/>
                <w:szCs w:val="18"/>
                <w:lang w:val="en-US" w:eastAsia="zh-CN"/>
              </w:rPr>
              <w:t>个</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18"/>
                <w:szCs w:val="18"/>
                <w:lang w:eastAsia="zh-CN"/>
              </w:rPr>
            </w:pPr>
            <w:r>
              <w:rPr>
                <w:rFonts w:hint="eastAsia"/>
                <w:sz w:val="18"/>
                <w:szCs w:val="18"/>
              </w:rPr>
              <w:t>9</w:t>
            </w:r>
            <w:r>
              <w:rPr>
                <w:rFonts w:hint="eastAsia"/>
                <w:sz w:val="18"/>
                <w:szCs w:val="18"/>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trPr>
        <w:tc>
          <w:tcPr>
            <w:tcW w:w="151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18"/>
                <w:szCs w:val="18"/>
              </w:rPr>
            </w:pPr>
            <w:r>
              <w:rPr>
                <w:rFonts w:hint="eastAsia"/>
                <w:sz w:val="18"/>
                <w:szCs w:val="18"/>
                <w:lang w:val="en-US" w:eastAsia="zh-CN"/>
              </w:rPr>
              <w:t>早期</w:t>
            </w:r>
            <w:r>
              <w:rPr>
                <w:rFonts w:hint="eastAsia"/>
                <w:sz w:val="18"/>
                <w:szCs w:val="18"/>
              </w:rPr>
              <w:t>收缩</w:t>
            </w:r>
            <w:r>
              <w:rPr>
                <w:rFonts w:hint="eastAsia"/>
                <w:sz w:val="18"/>
                <w:szCs w:val="18"/>
                <w:lang w:val="en-US" w:eastAsia="zh-CN"/>
              </w:rPr>
              <w:t>率</w:t>
            </w:r>
            <w:r>
              <w:rPr>
                <w:rFonts w:hint="eastAsia"/>
                <w:sz w:val="18"/>
                <w:szCs w:val="18"/>
              </w:rPr>
              <w:t>比</w:t>
            </w:r>
          </w:p>
        </w:tc>
        <w:tc>
          <w:tcPr>
            <w:tcW w:w="135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18"/>
                <w:szCs w:val="18"/>
              </w:rPr>
            </w:pPr>
          </w:p>
        </w:tc>
        <w:tc>
          <w:tcPr>
            <w:tcW w:w="109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18"/>
                <w:szCs w:val="18"/>
              </w:rPr>
            </w:pPr>
            <w:r>
              <w:rPr>
                <w:rFonts w:hint="eastAsia"/>
                <w:sz w:val="18"/>
                <w:szCs w:val="18"/>
              </w:rPr>
              <w:t>3</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18"/>
                <w:szCs w:val="18"/>
                <w:lang w:eastAsia="zh-CN"/>
              </w:rPr>
            </w:pPr>
            <w:r>
              <w:rPr>
                <w:rFonts w:hint="eastAsia"/>
                <w:sz w:val="18"/>
                <w:szCs w:val="18"/>
                <w:lang w:val="en-US" w:eastAsia="zh-CN"/>
              </w:rPr>
              <w:t>1条</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18"/>
                <w:szCs w:val="18"/>
              </w:rPr>
            </w:pPr>
            <w:r>
              <w:rPr>
                <w:rFonts w:hint="eastAsia"/>
                <w:sz w:val="18"/>
                <w:szCs w:val="18"/>
                <w:lang w:val="en-US" w:eastAsia="zh-CN"/>
              </w:rPr>
              <w:t>3条</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18"/>
                <w:szCs w:val="18"/>
              </w:rPr>
            </w:pPr>
            <w:r>
              <w:rPr>
                <w:rFonts w:hint="eastAsia"/>
                <w:sz w:val="18"/>
                <w:szCs w:val="18"/>
                <w:lang w:val="en-US" w:eastAsia="zh-CN"/>
              </w:rPr>
              <w:t>3条</w:t>
            </w:r>
          </w:p>
        </w:tc>
      </w:tr>
    </w:tbl>
    <w:p>
      <w:pPr>
        <w:pStyle w:val="32"/>
        <w:keepNext w:val="0"/>
        <w:keepLines w:val="0"/>
        <w:pageBreakBefore w:val="0"/>
        <w:widowControl/>
        <w:kinsoku/>
        <w:wordWrap/>
        <w:overflowPunct/>
        <w:topLinePunct w:val="0"/>
        <w:autoSpaceDE w:val="0"/>
        <w:autoSpaceDN w:val="0"/>
        <w:bidi w:val="0"/>
        <w:adjustRightInd/>
        <w:snapToGrid/>
        <w:ind w:firstLine="0" w:firstLineChars="0"/>
        <w:textAlignment w:val="auto"/>
        <w:rPr>
          <w:rFonts w:hint="eastAsia" w:ascii="黑体" w:hAnsi="黑体" w:eastAsia="黑体" w:cs="黑体"/>
          <w:szCs w:val="21"/>
          <w:lang w:val="en-US" w:eastAsia="zh-CN"/>
        </w:rPr>
      </w:pPr>
    </w:p>
    <w:p>
      <w:pPr>
        <w:pStyle w:val="32"/>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default" w:ascii="黑体" w:hAnsi="黑体" w:eastAsia="黑体" w:cs="黑体"/>
          <w:szCs w:val="21"/>
          <w:lang w:val="en-US" w:eastAsia="zh-CN"/>
        </w:rPr>
      </w:pPr>
      <w:r>
        <w:rPr>
          <w:rFonts w:hint="eastAsia" w:ascii="黑体" w:hAnsi="黑体" w:eastAsia="黑体" w:cs="黑体"/>
          <w:szCs w:val="21"/>
          <w:lang w:val="en-US" w:eastAsia="zh-CN"/>
        </w:rPr>
        <w:t>6.3.5  受检混凝土拌合物性能试验方法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6.3.5.1  1h后坍落度保留值</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1h坍落度经时损失</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凝结时间差</w:t>
      </w:r>
    </w:p>
    <w:p>
      <w:pPr>
        <w:keepNext w:val="0"/>
        <w:keepLines w:val="0"/>
        <w:pageBreakBefore w:val="0"/>
        <w:kinsoku/>
        <w:wordWrap/>
        <w:overflowPunct/>
        <w:topLinePunct w:val="0"/>
        <w:bidi w:val="0"/>
        <w:adjustRightInd/>
        <w:snapToGrid/>
        <w:spacing w:line="240" w:lineRule="auto"/>
        <w:ind w:firstLine="420"/>
        <w:textAlignment w:val="auto"/>
        <w:rPr>
          <w:rFonts w:hint="default" w:ascii="Times New Roman" w:hAnsi="Times New Roman" w:eastAsia="宋体" w:cs="Times New Roman"/>
          <w:szCs w:val="21"/>
          <w:lang w:val="en-US" w:eastAsia="zh-CN"/>
        </w:rPr>
      </w:pPr>
      <w:r>
        <w:rPr>
          <w:rFonts w:hint="default" w:ascii="Times New Roman" w:hAnsi="Times New Roman" w:cs="Times New Roman"/>
          <w:kern w:val="2"/>
          <w:szCs w:val="21"/>
        </w:rPr>
        <w:t>按GB 8076规定的方法进行测定</w:t>
      </w:r>
      <w:r>
        <w:rPr>
          <w:rFonts w:hint="default" w:ascii="Times New Roman" w:hAnsi="Times New Roman" w:cs="Times New Roman"/>
          <w:bCs/>
          <w:szCs w:val="21"/>
        </w:rPr>
        <w:t>和计算</w:t>
      </w:r>
      <w:r>
        <w:rPr>
          <w:rFonts w:hint="default" w:ascii="Times New Roman" w:hAnsi="Times New Roman" w:cs="Times New Roman"/>
          <w:kern w:val="2"/>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6.3.5.2  </w:t>
      </w:r>
      <w:r>
        <w:rPr>
          <w:rFonts w:hint="default" w:ascii="Times New Roman" w:hAnsi="Times New Roman" w:cs="Times New Roman"/>
          <w:lang w:val="en-US" w:eastAsia="zh-CN"/>
        </w:rPr>
        <w:t>泌水率</w:t>
      </w:r>
    </w:p>
    <w:p>
      <w:pPr>
        <w:pStyle w:val="32"/>
        <w:keepNext w:val="0"/>
        <w:keepLines w:val="0"/>
        <w:pageBreakBefore w:val="0"/>
        <w:kinsoku/>
        <w:wordWrap/>
        <w:overflowPunct/>
        <w:topLinePunct w:val="0"/>
        <w:bidi w:val="0"/>
        <w:adjustRightInd/>
        <w:snapToGrid/>
        <w:spacing w:line="240" w:lineRule="auto"/>
        <w:ind w:firstLine="420"/>
        <w:textAlignment w:val="auto"/>
        <w:rPr>
          <w:rFonts w:hint="default" w:ascii="Times New Roman" w:hAnsi="Times New Roman" w:cs="Times New Roman"/>
          <w:kern w:val="2"/>
          <w:szCs w:val="21"/>
        </w:rPr>
      </w:pPr>
      <w:r>
        <w:rPr>
          <w:rFonts w:hint="default" w:ascii="Times New Roman" w:hAnsi="Times New Roman" w:cs="Times New Roman"/>
          <w:szCs w:val="21"/>
        </w:rPr>
        <w:t>按GB/T 50080规定的方法进行测定。</w:t>
      </w:r>
    </w:p>
    <w:p>
      <w:pPr>
        <w:pStyle w:val="32"/>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黑体" w:hAnsi="黑体" w:eastAsia="黑体" w:cs="黑体"/>
          <w:szCs w:val="21"/>
          <w:lang w:val="en-US" w:eastAsia="zh-CN"/>
        </w:rPr>
      </w:pPr>
      <w:r>
        <w:rPr>
          <w:rFonts w:hint="default" w:ascii="Times New Roman" w:hAnsi="Times New Roman" w:eastAsia="黑体" w:cs="Times New Roman"/>
          <w:szCs w:val="21"/>
          <w:lang w:val="en-US" w:eastAsia="zh-CN"/>
        </w:rPr>
        <w:t xml:space="preserve">6.3.6  </w:t>
      </w:r>
      <w:r>
        <w:rPr>
          <w:rFonts w:hint="eastAsia" w:eastAsia="黑体" w:cs="Times New Roman"/>
          <w:color w:val="000000"/>
          <w:szCs w:val="21"/>
        </w:rPr>
        <w:t>受检混凝土硬化后的性能</w:t>
      </w:r>
      <w:r>
        <w:rPr>
          <w:rFonts w:hint="eastAsia" w:ascii="黑体" w:hAnsi="黑体" w:eastAsia="黑体" w:cs="黑体"/>
          <w:szCs w:val="21"/>
          <w:lang w:val="en-US" w:eastAsia="zh-CN"/>
        </w:rPr>
        <w:t>试验方法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6.3.6.1  抗压强度比</w:t>
      </w:r>
    </w:p>
    <w:p>
      <w:pPr>
        <w:keepNext w:val="0"/>
        <w:keepLines w:val="0"/>
        <w:pageBreakBefore w:val="0"/>
        <w:kinsoku/>
        <w:wordWrap/>
        <w:overflowPunct/>
        <w:topLinePunct w:val="0"/>
        <w:bidi w:val="0"/>
        <w:adjustRightInd/>
        <w:snapToGrid/>
        <w:spacing w:line="240" w:lineRule="auto"/>
        <w:ind w:firstLine="420"/>
        <w:textAlignment w:val="auto"/>
        <w:rPr>
          <w:szCs w:val="21"/>
        </w:rPr>
      </w:pPr>
      <w:r>
        <w:rPr>
          <w:rFonts w:hint="eastAsia"/>
          <w:szCs w:val="21"/>
        </w:rPr>
        <w:t>按</w:t>
      </w:r>
      <w:r>
        <w:rPr>
          <w:rFonts w:hint="eastAsia" w:ascii="Times New Roman" w:hAnsi="Times New Roman" w:cstheme="minorBidi"/>
          <w:kern w:val="2"/>
          <w:szCs w:val="21"/>
        </w:rPr>
        <w:t>GB 8076</w:t>
      </w:r>
      <w:r>
        <w:rPr>
          <w:rFonts w:hint="eastAsia"/>
          <w:szCs w:val="21"/>
        </w:rPr>
        <w:t>规定的方法进行</w:t>
      </w:r>
      <w:r>
        <w:rPr>
          <w:rFonts w:hint="default" w:ascii="Times New Roman" w:hAnsi="Times New Roman" w:cs="Times New Roman"/>
          <w:kern w:val="2"/>
          <w:szCs w:val="21"/>
        </w:rPr>
        <w:t>测定</w:t>
      </w:r>
      <w:r>
        <w:rPr>
          <w:rFonts w:hint="default" w:ascii="Times New Roman" w:hAnsi="Times New Roman" w:cs="Times New Roman"/>
          <w:bCs/>
          <w:szCs w:val="21"/>
        </w:rPr>
        <w:t>和计算</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6.3.6.2  电通量比</w:t>
      </w:r>
    </w:p>
    <w:p>
      <w:pPr>
        <w:keepNext w:val="0"/>
        <w:keepLines w:val="0"/>
        <w:pageBreakBefore w:val="0"/>
        <w:kinsoku/>
        <w:wordWrap/>
        <w:overflowPunct/>
        <w:topLinePunct w:val="0"/>
        <w:bidi w:val="0"/>
        <w:adjustRightInd/>
        <w:snapToGrid/>
        <w:spacing w:line="240" w:lineRule="auto"/>
        <w:ind w:firstLine="420"/>
        <w:textAlignment w:val="auto"/>
        <w:rPr>
          <w:rFonts w:hint="eastAsia"/>
          <w:szCs w:val="21"/>
          <w:lang w:val="en-US" w:eastAsia="zh-CN"/>
        </w:rPr>
      </w:pPr>
      <w:r>
        <w:rPr>
          <w:rFonts w:hint="eastAsia"/>
          <w:szCs w:val="21"/>
        </w:rPr>
        <w:t>电通量比按GB/T 50082</w:t>
      </w:r>
      <w:r>
        <w:rPr>
          <w:rFonts w:hint="eastAsia"/>
          <w:szCs w:val="21"/>
          <w:lang w:val="en-US" w:eastAsia="zh-CN"/>
        </w:rPr>
        <w:t>规定的方法</w:t>
      </w:r>
      <w:r>
        <w:rPr>
          <w:rFonts w:hint="eastAsia"/>
          <w:szCs w:val="21"/>
        </w:rPr>
        <w:t>进行</w:t>
      </w:r>
      <w:r>
        <w:rPr>
          <w:rFonts w:hint="eastAsia"/>
          <w:szCs w:val="21"/>
          <w:lang w:val="en-US" w:eastAsia="zh-CN"/>
        </w:rPr>
        <w:t>测定</w:t>
      </w:r>
      <w:r>
        <w:rPr>
          <w:rFonts w:hint="eastAsia"/>
          <w:szCs w:val="21"/>
        </w:rPr>
        <w:t>。</w:t>
      </w:r>
      <w:r>
        <w:rPr>
          <w:rFonts w:hint="eastAsia"/>
          <w:szCs w:val="21"/>
          <w:lang w:val="en-US" w:eastAsia="zh-CN"/>
        </w:rPr>
        <w:t>电通量比以28d龄期时受检混凝土与基准混凝土的电通量的比值表示，按公式（1）计算，取算数平均值，精确到1%。</w:t>
      </w:r>
    </w:p>
    <w:p>
      <w:pPr>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eastAsia" w:hAnsi="Cambria Math"/>
          <w:i w:val="0"/>
          <w:sz w:val="24"/>
          <w:szCs w:val="24"/>
          <w:lang w:val="en-US" w:eastAsia="zh-CN"/>
        </w:rPr>
      </w:pPr>
      <w:r>
        <w:rPr>
          <w:rFonts w:hint="eastAsia"/>
          <w:i/>
          <w:iCs/>
          <w:sz w:val="24"/>
          <w:szCs w:val="24"/>
          <w:lang w:val="en-US" w:eastAsia="zh-CN"/>
        </w:rPr>
        <w:t xml:space="preserve">T </w:t>
      </w:r>
      <w:r>
        <w:rPr>
          <w:rFonts w:hint="eastAsia"/>
          <w:sz w:val="24"/>
          <w:szCs w:val="24"/>
          <w:lang w:val="en-US" w:eastAsia="zh-CN"/>
        </w:rPr>
        <w:t>=</w:t>
      </w:r>
      <w:r>
        <w:rPr>
          <w:rFonts w:hint="eastAsia"/>
          <w:sz w:val="28"/>
          <w:szCs w:val="28"/>
          <w:lang w:val="en-US" w:eastAsia="zh-CN"/>
        </w:rPr>
        <w:t xml:space="preserve"> </w:t>
      </w:r>
      <m:oMath>
        <m:f>
          <m:fPr>
            <m:ctrlPr>
              <w:rPr>
                <w:rFonts w:ascii="Cambria Math" w:hAnsi="Cambria Math"/>
                <w:i/>
                <w:sz w:val="28"/>
                <w:szCs w:val="28"/>
                <w:lang w:val="en-US"/>
              </w:rPr>
            </m:ctrlPr>
          </m:fPr>
          <m:num>
            <m:sSub>
              <m:sSubPr>
                <m:ctrlPr>
                  <w:rPr>
                    <w:rFonts w:ascii="Cambria Math" w:hAnsi="Cambria Math"/>
                    <w:i/>
                    <w:sz w:val="28"/>
                    <w:szCs w:val="28"/>
                    <w:lang w:val="en-US"/>
                  </w:rPr>
                </m:ctrlPr>
              </m:sSubPr>
              <m:e>
                <m:r>
                  <m:rPr/>
                  <w:rPr>
                    <w:rFonts w:hint="default" w:ascii="Cambria Math" w:hAnsi="Cambria Math"/>
                    <w:sz w:val="28"/>
                    <w:szCs w:val="28"/>
                    <w:lang w:val="en-US" w:eastAsia="zh-CN"/>
                  </w:rPr>
                  <m:t>T</m:t>
                </m:r>
                <m:ctrlPr>
                  <w:rPr>
                    <w:rFonts w:ascii="Cambria Math" w:hAnsi="Cambria Math"/>
                    <w:i/>
                    <w:sz w:val="28"/>
                    <w:szCs w:val="28"/>
                    <w:lang w:val="en-US"/>
                  </w:rPr>
                </m:ctrlPr>
              </m:e>
              <m:sub>
                <m:r>
                  <m:rPr/>
                  <w:rPr>
                    <w:rFonts w:hint="default" w:ascii="Cambria Math" w:hAnsi="Cambria Math"/>
                    <w:sz w:val="28"/>
                    <w:szCs w:val="28"/>
                    <w:lang w:val="en-US" w:eastAsia="zh-CN"/>
                  </w:rPr>
                  <m:t>t</m:t>
                </m:r>
                <m:ctrlPr>
                  <w:rPr>
                    <w:rFonts w:ascii="Cambria Math" w:hAnsi="Cambria Math"/>
                    <w:i/>
                    <w:sz w:val="28"/>
                    <w:szCs w:val="28"/>
                    <w:lang w:val="en-US"/>
                  </w:rPr>
                </m:ctrlPr>
              </m:sub>
            </m:sSub>
            <m:ctrlPr>
              <w:rPr>
                <w:rFonts w:ascii="Cambria Math" w:hAnsi="Cambria Math"/>
                <w:i/>
                <w:sz w:val="28"/>
                <w:szCs w:val="28"/>
                <w:lang w:val="en-US"/>
              </w:rPr>
            </m:ctrlPr>
          </m:num>
          <m:den>
            <m:sSub>
              <m:sSubPr>
                <m:ctrlPr>
                  <w:rPr>
                    <w:rFonts w:ascii="Cambria Math" w:hAnsi="Cambria Math"/>
                    <w:i/>
                    <w:sz w:val="28"/>
                    <w:szCs w:val="28"/>
                    <w:lang w:val="en-US"/>
                  </w:rPr>
                </m:ctrlPr>
              </m:sSubPr>
              <m:e>
                <m:r>
                  <m:rPr/>
                  <w:rPr>
                    <w:rFonts w:hint="default" w:ascii="Cambria Math" w:hAnsi="Cambria Math"/>
                    <w:sz w:val="28"/>
                    <w:szCs w:val="28"/>
                    <w:lang w:val="en-US" w:eastAsia="zh-CN"/>
                  </w:rPr>
                  <m:t>T</m:t>
                </m:r>
                <m:ctrlPr>
                  <w:rPr>
                    <w:rFonts w:ascii="Cambria Math" w:hAnsi="Cambria Math"/>
                    <w:i/>
                    <w:sz w:val="28"/>
                    <w:szCs w:val="28"/>
                    <w:lang w:val="en-US"/>
                  </w:rPr>
                </m:ctrlPr>
              </m:e>
              <m:sub>
                <m:r>
                  <m:rPr/>
                  <w:rPr>
                    <w:rFonts w:hint="default" w:ascii="Cambria Math" w:hAnsi="Cambria Math"/>
                    <w:sz w:val="28"/>
                    <w:szCs w:val="28"/>
                    <w:lang w:val="en-US" w:eastAsia="zh-CN"/>
                  </w:rPr>
                  <m:t>c</m:t>
                </m:r>
                <m:ctrlPr>
                  <w:rPr>
                    <w:rFonts w:ascii="Cambria Math" w:hAnsi="Cambria Math"/>
                    <w:i/>
                    <w:sz w:val="28"/>
                    <w:szCs w:val="28"/>
                    <w:lang w:val="en-US"/>
                  </w:rPr>
                </m:ctrlPr>
              </m:sub>
            </m:sSub>
            <m:ctrlPr>
              <w:rPr>
                <w:rFonts w:ascii="Cambria Math" w:hAnsi="Cambria Math"/>
                <w:i/>
                <w:sz w:val="28"/>
                <w:szCs w:val="28"/>
                <w:lang w:val="en-US"/>
              </w:rPr>
            </m:ctrlPr>
          </m:den>
        </m:f>
      </m:oMath>
      <w:r>
        <w:rPr>
          <w:rFonts w:hint="eastAsia" w:hAnsi="Cambria Math"/>
          <w:i w:val="0"/>
          <w:sz w:val="24"/>
          <w:szCs w:val="24"/>
          <w:lang w:val="en-US" w:eastAsia="zh-CN"/>
        </w:rPr>
        <w:t>×100%</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szCs w:val="21"/>
          <w:lang w:val="en-US" w:eastAsia="zh-CN"/>
        </w:rPr>
      </w:pPr>
      <w:r>
        <w:rPr>
          <w:rFonts w:hint="eastAsia"/>
          <w:szCs w:val="21"/>
          <w:lang w:val="en-US" w:eastAsia="zh-CN"/>
        </w:rPr>
        <w:t>式中：</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szCs w:val="21"/>
          <w:lang w:val="en-US" w:eastAsia="zh-CN"/>
        </w:rPr>
      </w:pPr>
      <w:r>
        <w:rPr>
          <w:rFonts w:hint="eastAsia"/>
          <w:i/>
          <w:iCs/>
          <w:szCs w:val="21"/>
          <w:lang w:val="en-US" w:eastAsia="zh-CN"/>
        </w:rPr>
        <w:t>T</w:t>
      </w:r>
      <w:r>
        <w:rPr>
          <w:rFonts w:hint="eastAsia"/>
          <w:szCs w:val="21"/>
          <w:lang w:val="en-US" w:eastAsia="zh-CN"/>
        </w:rPr>
        <w:t>——</w:t>
      </w:r>
      <w:r>
        <w:rPr>
          <w:rFonts w:hint="eastAsia"/>
          <w:szCs w:val="21"/>
        </w:rPr>
        <w:t>电通量</w:t>
      </w:r>
      <w:r>
        <w:rPr>
          <w:rFonts w:hint="eastAsia"/>
          <w:szCs w:val="21"/>
          <w:lang w:val="en-US" w:eastAsia="zh-CN"/>
        </w:rPr>
        <w:t>比，%；</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szCs w:val="21"/>
          <w:lang w:val="en-US" w:eastAsia="zh-CN"/>
        </w:rPr>
      </w:pPr>
      <m:oMath>
        <m:sSub>
          <m:sSubPr>
            <m:ctrlPr>
              <w:rPr>
                <w:rFonts w:ascii="Cambria Math" w:hAnsi="Cambria Math"/>
                <w:i/>
                <w:szCs w:val="21"/>
                <w:lang w:val="en-US"/>
              </w:rPr>
            </m:ctrlPr>
          </m:sSubPr>
          <m:e>
            <m:r>
              <m:rPr/>
              <w:rPr>
                <w:rFonts w:hint="default" w:ascii="Cambria Math" w:hAnsi="Cambria Math"/>
                <w:szCs w:val="21"/>
                <w:lang w:val="en-US" w:eastAsia="zh-CN"/>
              </w:rPr>
              <m:t>T</m:t>
            </m:r>
            <m:ctrlPr>
              <w:rPr>
                <w:rFonts w:ascii="Cambria Math" w:hAnsi="Cambria Math"/>
                <w:i/>
                <w:szCs w:val="21"/>
                <w:lang w:val="en-US"/>
              </w:rPr>
            </m:ctrlPr>
          </m:e>
          <m:sub>
            <m:r>
              <m:rPr/>
              <w:rPr>
                <w:rFonts w:hint="default" w:ascii="Cambria Math" w:hAnsi="Cambria Math"/>
                <w:szCs w:val="21"/>
                <w:lang w:val="en-US" w:eastAsia="zh-CN"/>
              </w:rPr>
              <m:t>t</m:t>
            </m:r>
            <m:ctrlPr>
              <w:rPr>
                <w:rFonts w:ascii="Cambria Math" w:hAnsi="Cambria Math"/>
                <w:i/>
                <w:szCs w:val="21"/>
                <w:lang w:val="en-US"/>
              </w:rPr>
            </m:ctrlPr>
          </m:sub>
        </m:sSub>
      </m:oMath>
      <w:r>
        <w:rPr>
          <w:rFonts w:hint="eastAsia"/>
          <w:szCs w:val="21"/>
          <w:lang w:val="en-US" w:eastAsia="zh-CN"/>
        </w:rPr>
        <w:t>——受检混凝土</w:t>
      </w:r>
      <w:r>
        <w:rPr>
          <w:rFonts w:hint="eastAsia"/>
          <w:szCs w:val="21"/>
        </w:rPr>
        <w:t>电通量</w:t>
      </w:r>
      <w:r>
        <w:rPr>
          <w:rFonts w:hint="eastAsia"/>
          <w:szCs w:val="21"/>
          <w:lang w:val="en-US" w:eastAsia="zh-CN"/>
        </w:rPr>
        <w:t>，单位C；</w:t>
      </w:r>
    </w:p>
    <w:p>
      <w:pPr>
        <w:keepNext w:val="0"/>
        <w:keepLines w:val="0"/>
        <w:pageBreakBefore w:val="0"/>
        <w:kinsoku/>
        <w:wordWrap/>
        <w:overflowPunct/>
        <w:topLinePunct w:val="0"/>
        <w:bidi w:val="0"/>
        <w:adjustRightInd/>
        <w:snapToGrid/>
        <w:spacing w:line="240" w:lineRule="auto"/>
        <w:ind w:left="0" w:leftChars="0" w:firstLine="420" w:firstLineChars="200"/>
        <w:jc w:val="both"/>
        <w:textAlignment w:val="auto"/>
        <w:rPr>
          <w:rFonts w:hint="default" w:hAnsi="Cambria Math"/>
          <w:i w:val="0"/>
          <w:sz w:val="24"/>
          <w:szCs w:val="24"/>
          <w:lang w:val="en-US" w:eastAsia="zh-CN"/>
        </w:rPr>
      </w:pPr>
      <m:oMath>
        <m:sSub>
          <m:sSubPr>
            <m:ctrlPr>
              <w:rPr>
                <w:rFonts w:ascii="Cambria Math" w:hAnsi="Cambria Math"/>
                <w:i/>
                <w:szCs w:val="21"/>
                <w:lang w:val="en-US"/>
              </w:rPr>
            </m:ctrlPr>
          </m:sSubPr>
          <m:e>
            <m:r>
              <m:rPr/>
              <w:rPr>
                <w:rFonts w:hint="default" w:ascii="Cambria Math" w:hAnsi="Cambria Math"/>
                <w:szCs w:val="21"/>
                <w:lang w:val="en-US" w:eastAsia="zh-CN"/>
              </w:rPr>
              <m:t>T</m:t>
            </m:r>
            <m:ctrlPr>
              <w:rPr>
                <w:rFonts w:ascii="Cambria Math" w:hAnsi="Cambria Math"/>
                <w:i/>
                <w:szCs w:val="21"/>
                <w:lang w:val="en-US"/>
              </w:rPr>
            </m:ctrlPr>
          </m:e>
          <m:sub>
            <m:r>
              <m:rPr/>
              <w:rPr>
                <w:rFonts w:hint="default" w:ascii="Cambria Math" w:hAnsi="Cambria Math"/>
                <w:szCs w:val="21"/>
                <w:lang w:val="en-US" w:eastAsia="zh-CN"/>
              </w:rPr>
              <m:t>C</m:t>
            </m:r>
            <m:ctrlPr>
              <w:rPr>
                <w:rFonts w:ascii="Cambria Math" w:hAnsi="Cambria Math"/>
                <w:i/>
                <w:szCs w:val="21"/>
                <w:lang w:val="en-US"/>
              </w:rPr>
            </m:ctrlPr>
          </m:sub>
        </m:sSub>
      </m:oMath>
      <w:r>
        <w:rPr>
          <w:rFonts w:hint="eastAsia"/>
          <w:szCs w:val="21"/>
          <w:lang w:val="en-US" w:eastAsia="zh-CN"/>
        </w:rPr>
        <w:t>——基准混凝土电通量，单位C。</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6.3.</w:t>
      </w:r>
      <w:r>
        <w:rPr>
          <w:rFonts w:hint="eastAsia" w:ascii="Times New Roman" w:hAnsi="Times New Roman" w:cs="Times New Roman"/>
          <w:lang w:val="en-US" w:eastAsia="zh-CN"/>
        </w:rPr>
        <w:t>6</w:t>
      </w:r>
      <w:r>
        <w:rPr>
          <w:rFonts w:hint="eastAsia" w:ascii="Times New Roman" w:hAnsi="Times New Roman" w:eastAsia="宋体" w:cs="Times New Roman"/>
          <w:lang w:val="en-US" w:eastAsia="zh-CN"/>
        </w:rPr>
        <w:t>.</w:t>
      </w:r>
      <w:r>
        <w:rPr>
          <w:rFonts w:hint="eastAsia" w:cs="Times New Roman"/>
          <w:lang w:val="en-US" w:eastAsia="zh-CN"/>
        </w:rPr>
        <w:t>3</w:t>
      </w:r>
      <w:r>
        <w:rPr>
          <w:rFonts w:hint="eastAsia" w:ascii="Times New Roman" w:hAnsi="Times New Roman" w:eastAsia="宋体" w:cs="Times New Roman"/>
          <w:lang w:val="en-US" w:eastAsia="zh-CN"/>
        </w:rPr>
        <w:t xml:space="preserve">  早期收缩率比</w:t>
      </w:r>
    </w:p>
    <w:p>
      <w:pPr>
        <w:keepNext w:val="0"/>
        <w:keepLines w:val="0"/>
        <w:pageBreakBefore w:val="0"/>
        <w:kinsoku/>
        <w:wordWrap/>
        <w:overflowPunct/>
        <w:topLinePunct w:val="0"/>
        <w:bidi w:val="0"/>
        <w:adjustRightInd/>
        <w:snapToGrid/>
        <w:spacing w:line="240" w:lineRule="auto"/>
        <w:ind w:firstLine="420"/>
        <w:textAlignment w:val="auto"/>
        <w:rPr>
          <w:rFonts w:hint="default" w:ascii="Times New Roman" w:hAnsi="Times New Roman" w:cs="Times New Roman"/>
          <w:szCs w:val="21"/>
        </w:rPr>
      </w:pPr>
      <w:r>
        <w:rPr>
          <w:rFonts w:hint="default" w:ascii="Times New Roman" w:hAnsi="Times New Roman" w:cs="Times New Roman"/>
          <w:szCs w:val="21"/>
        </w:rPr>
        <w:t>早期收缩率</w:t>
      </w:r>
      <w:r>
        <w:rPr>
          <w:rFonts w:hint="default" w:ascii="Times New Roman" w:hAnsi="Times New Roman" w:cs="Times New Roman"/>
          <w:color w:val="auto"/>
          <w:szCs w:val="21"/>
        </w:rPr>
        <w:t>按GB/T 50082</w:t>
      </w:r>
      <w:r>
        <w:rPr>
          <w:rFonts w:hint="eastAsia" w:cs="Times New Roman"/>
          <w:color w:val="auto"/>
          <w:szCs w:val="21"/>
          <w:lang w:val="en-US" w:eastAsia="zh-CN"/>
        </w:rPr>
        <w:t>规定的非接触法</w:t>
      </w:r>
      <w:r>
        <w:rPr>
          <w:rFonts w:hint="default" w:ascii="Times New Roman" w:hAnsi="Times New Roman" w:cs="Times New Roman"/>
          <w:color w:val="auto"/>
          <w:szCs w:val="21"/>
        </w:rPr>
        <w:t>进行</w:t>
      </w:r>
      <w:r>
        <w:rPr>
          <w:rFonts w:hint="eastAsia" w:cs="Times New Roman"/>
          <w:color w:val="auto"/>
          <w:szCs w:val="21"/>
          <w:lang w:val="en-US" w:eastAsia="zh-CN"/>
        </w:rPr>
        <w:t>测试</w:t>
      </w:r>
      <w:r>
        <w:rPr>
          <w:rFonts w:hint="default" w:ascii="Times New Roman" w:hAnsi="Times New Roman" w:cs="Times New Roman"/>
          <w:color w:val="auto"/>
          <w:szCs w:val="21"/>
        </w:rPr>
        <w:t>。早期收缩</w:t>
      </w:r>
      <w:r>
        <w:rPr>
          <w:rFonts w:hint="eastAsia" w:cs="Times New Roman"/>
          <w:color w:val="auto"/>
          <w:szCs w:val="21"/>
          <w:lang w:val="en-US" w:eastAsia="zh-CN"/>
        </w:rPr>
        <w:t>率</w:t>
      </w:r>
      <w:r>
        <w:rPr>
          <w:rFonts w:hint="eastAsia"/>
          <w:color w:val="auto"/>
          <w:szCs w:val="21"/>
          <w:lang w:val="en-US" w:eastAsia="zh-CN"/>
        </w:rPr>
        <w:t>比以</w:t>
      </w:r>
      <w:r>
        <w:rPr>
          <w:rFonts w:hint="eastAsia"/>
          <w:szCs w:val="21"/>
          <w:lang w:val="en-US" w:eastAsia="zh-CN"/>
        </w:rPr>
        <w:t>3d龄期时受检混凝土与基准混凝土的</w:t>
      </w:r>
      <w:r>
        <w:rPr>
          <w:rFonts w:hint="default" w:ascii="Times New Roman" w:hAnsi="Times New Roman" w:cs="Times New Roman"/>
          <w:szCs w:val="21"/>
        </w:rPr>
        <w:t>早期收缩率</w:t>
      </w:r>
      <w:r>
        <w:rPr>
          <w:rFonts w:hint="eastAsia"/>
          <w:szCs w:val="21"/>
          <w:lang w:val="en-US" w:eastAsia="zh-CN"/>
        </w:rPr>
        <w:t>的比值表示，按照公式（2）计算，取算数平均值，精确到1%。</w:t>
      </w:r>
    </w:p>
    <w:p>
      <w:pPr>
        <w:keepNext w:val="0"/>
        <w:keepLines w:val="0"/>
        <w:pageBreakBefore w:val="0"/>
        <w:kinsoku/>
        <w:wordWrap/>
        <w:overflowPunct/>
        <w:topLinePunct w:val="0"/>
        <w:bidi w:val="0"/>
        <w:adjustRightInd/>
        <w:snapToGrid/>
        <w:spacing w:line="240" w:lineRule="auto"/>
        <w:ind w:firstLine="420"/>
        <w:jc w:val="center"/>
        <w:textAlignment w:val="auto"/>
        <w:rPr>
          <w:rFonts w:hint="eastAsia" w:hAnsi="Cambria Math"/>
          <w:i w:val="0"/>
          <w:sz w:val="24"/>
          <w:szCs w:val="24"/>
          <w:lang w:val="en-US" w:eastAsia="zh-CN"/>
        </w:rPr>
      </w:pPr>
      <m:oMath>
        <m:sSub>
          <m:sSubPr>
            <m:ctrlPr>
              <w:rPr>
                <w:rFonts w:ascii="Cambria Math" w:hAnsi="Cambria Math"/>
                <w:i/>
                <w:sz w:val="28"/>
                <w:szCs w:val="18"/>
                <w:lang w:val="en-US"/>
              </w:rPr>
            </m:ctrlPr>
          </m:sSubPr>
          <m:e>
            <m:r>
              <m:rPr/>
              <w:rPr>
                <w:rFonts w:hint="default" w:ascii="Cambria Math" w:hAnsi="Cambria Math"/>
                <w:sz w:val="28"/>
                <w:szCs w:val="18"/>
                <w:lang w:val="en-US" w:eastAsia="zh-CN"/>
              </w:rPr>
              <m:t>R</m:t>
            </m:r>
            <m:ctrlPr>
              <w:rPr>
                <w:rFonts w:ascii="Cambria Math" w:hAnsi="Cambria Math"/>
                <w:i/>
                <w:sz w:val="28"/>
                <w:szCs w:val="18"/>
                <w:lang w:val="en-US"/>
              </w:rPr>
            </m:ctrlPr>
          </m:e>
          <m:sub>
            <m:r>
              <m:rPr/>
              <w:rPr>
                <w:rFonts w:hint="default" w:ascii="Cambria Math" w:hAnsi="Cambria Math" w:cs="Times New Roman"/>
                <w:sz w:val="28"/>
                <w:szCs w:val="18"/>
                <w:lang w:val="en-US"/>
              </w:rPr>
              <m:t>ε</m:t>
            </m:r>
            <m:ctrlPr>
              <w:rPr>
                <w:rFonts w:ascii="Cambria Math" w:hAnsi="Cambria Math"/>
                <w:i/>
                <w:sz w:val="28"/>
                <w:szCs w:val="18"/>
                <w:lang w:val="en-US"/>
              </w:rPr>
            </m:ctrlPr>
          </m:sub>
        </m:sSub>
        <m:r>
          <m:rPr/>
          <w:rPr>
            <w:rFonts w:ascii="Cambria Math" w:hAnsi="Cambria Math"/>
            <w:sz w:val="28"/>
            <w:szCs w:val="18"/>
            <w:lang w:val="en-US"/>
          </w:rPr>
          <m:t>=</m:t>
        </m:r>
        <m:f>
          <m:fPr>
            <m:ctrlPr>
              <w:rPr>
                <w:rFonts w:hint="default" w:ascii="Cambria Math" w:hAnsi="Cambria Math" w:cs="Times New Roman"/>
                <w:i/>
                <w:sz w:val="28"/>
                <w:szCs w:val="24"/>
                <w:lang w:val="en-US"/>
              </w:rPr>
            </m:ctrlPr>
          </m:fPr>
          <m:num>
            <m:sSub>
              <m:sSubPr>
                <m:ctrlPr>
                  <w:rPr>
                    <w:rFonts w:hint="default" w:ascii="Cambria Math" w:hAnsi="Cambria Math" w:cs="Times New Roman"/>
                    <w:i/>
                    <w:sz w:val="28"/>
                    <w:szCs w:val="24"/>
                    <w:lang w:val="en-US"/>
                  </w:rPr>
                </m:ctrlPr>
              </m:sSubPr>
              <m:e>
                <m:r>
                  <m:rPr/>
                  <w:rPr>
                    <w:rFonts w:hint="default" w:ascii="Cambria Math" w:hAnsi="Cambria Math" w:cs="Times New Roman"/>
                    <w:sz w:val="28"/>
                    <w:szCs w:val="24"/>
                    <w:lang w:val="en-US"/>
                  </w:rPr>
                  <m:t>ε</m:t>
                </m:r>
                <m:ctrlPr>
                  <w:rPr>
                    <w:rFonts w:hint="default" w:ascii="Cambria Math" w:hAnsi="Cambria Math" w:cs="Times New Roman"/>
                    <w:i/>
                    <w:sz w:val="28"/>
                    <w:szCs w:val="24"/>
                    <w:lang w:val="en-US"/>
                  </w:rPr>
                </m:ctrlPr>
              </m:e>
              <m:sub>
                <m:r>
                  <m:rPr/>
                  <w:rPr>
                    <w:rFonts w:hint="default" w:ascii="Cambria Math" w:hAnsi="Cambria Math" w:cs="Times New Roman"/>
                    <w:sz w:val="28"/>
                    <w:szCs w:val="24"/>
                    <w:lang w:val="en-US" w:eastAsia="zh-CN"/>
                  </w:rPr>
                  <m:t>t</m:t>
                </m:r>
                <m:ctrlPr>
                  <w:rPr>
                    <w:rFonts w:hint="default" w:ascii="Cambria Math" w:hAnsi="Cambria Math" w:cs="Times New Roman"/>
                    <w:i/>
                    <w:sz w:val="28"/>
                    <w:szCs w:val="24"/>
                    <w:lang w:val="en-US" w:eastAsia="zh-CN"/>
                  </w:rPr>
                </m:ctrlPr>
              </m:sub>
            </m:sSub>
            <m:ctrlPr>
              <w:rPr>
                <w:rFonts w:hint="default" w:ascii="Cambria Math" w:hAnsi="Cambria Math" w:cs="Times New Roman"/>
                <w:i/>
                <w:sz w:val="28"/>
                <w:szCs w:val="24"/>
                <w:lang w:val="en-US"/>
              </w:rPr>
            </m:ctrlPr>
          </m:num>
          <m:den>
            <m:sSub>
              <m:sSubPr>
                <m:ctrlPr>
                  <w:rPr>
                    <w:rFonts w:hint="default" w:ascii="Cambria Math" w:hAnsi="Cambria Math" w:cs="Times New Roman"/>
                    <w:i/>
                    <w:sz w:val="28"/>
                    <w:szCs w:val="24"/>
                    <w:lang w:val="en-US"/>
                  </w:rPr>
                </m:ctrlPr>
              </m:sSubPr>
              <m:e>
                <m:r>
                  <m:rPr/>
                  <w:rPr>
                    <w:rFonts w:hint="default" w:ascii="Cambria Math" w:hAnsi="Cambria Math" w:cs="Times New Roman"/>
                    <w:sz w:val="28"/>
                    <w:szCs w:val="24"/>
                    <w:lang w:val="en-US"/>
                  </w:rPr>
                  <m:t>ε</m:t>
                </m:r>
                <m:ctrlPr>
                  <w:rPr>
                    <w:rFonts w:hint="default" w:ascii="Cambria Math" w:hAnsi="Cambria Math" w:cs="Times New Roman"/>
                    <w:i/>
                    <w:sz w:val="28"/>
                    <w:szCs w:val="24"/>
                    <w:lang w:val="en-US"/>
                  </w:rPr>
                </m:ctrlPr>
              </m:e>
              <m:sub>
                <m:r>
                  <m:rPr/>
                  <w:rPr>
                    <w:rFonts w:hint="default" w:ascii="Cambria Math" w:hAnsi="Cambria Math" w:cs="Times New Roman"/>
                    <w:sz w:val="28"/>
                    <w:szCs w:val="24"/>
                    <w:lang w:val="en-US" w:eastAsia="zh-CN"/>
                  </w:rPr>
                  <m:t>c</m:t>
                </m:r>
                <m:ctrlPr>
                  <w:rPr>
                    <w:rFonts w:hint="default" w:ascii="Cambria Math" w:hAnsi="Cambria Math" w:cs="Times New Roman"/>
                    <w:i/>
                    <w:sz w:val="28"/>
                    <w:szCs w:val="24"/>
                    <w:lang w:val="en-US"/>
                  </w:rPr>
                </m:ctrlPr>
              </m:sub>
            </m:sSub>
            <m:ctrlPr>
              <w:rPr>
                <w:rFonts w:hint="default" w:ascii="Cambria Math" w:hAnsi="Cambria Math" w:cs="Times New Roman"/>
                <w:i/>
                <w:sz w:val="28"/>
                <w:szCs w:val="24"/>
                <w:lang w:val="en-US"/>
              </w:rPr>
            </m:ctrlPr>
          </m:den>
        </m:f>
      </m:oMath>
      <w:r>
        <w:rPr>
          <w:rFonts w:hint="eastAsia" w:hAnsi="Cambria Math"/>
          <w:i w:val="0"/>
          <w:sz w:val="24"/>
          <w:szCs w:val="24"/>
          <w:lang w:val="en-US" w:eastAsia="zh-CN"/>
        </w:rPr>
        <w:t>×100%</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szCs w:val="21"/>
          <w:lang w:val="en-US" w:eastAsia="zh-CN"/>
        </w:rPr>
      </w:pPr>
      <w:r>
        <w:rPr>
          <w:rFonts w:hint="eastAsia"/>
          <w:szCs w:val="21"/>
          <w:lang w:val="en-US" w:eastAsia="zh-CN"/>
        </w:rPr>
        <w:t>式中：</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szCs w:val="21"/>
          <w:lang w:val="en-US" w:eastAsia="zh-CN"/>
        </w:rPr>
      </w:pPr>
      <m:oMath>
        <m:sSub>
          <m:sSubPr>
            <m:ctrlPr>
              <w:rPr>
                <w:rFonts w:hint="eastAsia" w:ascii="Cambria Math" w:hAnsi="Cambria Math"/>
                <w:i/>
                <w:iCs/>
                <w:szCs w:val="21"/>
                <w:lang w:val="en-US" w:eastAsia="zh-CN"/>
              </w:rPr>
            </m:ctrlPr>
          </m:sSubPr>
          <m:e>
            <m:r>
              <m:rPr/>
              <w:rPr>
                <w:rFonts w:hint="default" w:ascii="Cambria Math" w:hAnsi="Cambria Math"/>
                <w:szCs w:val="21"/>
                <w:lang w:val="en-US" w:eastAsia="zh-CN"/>
              </w:rPr>
              <m:t>R</m:t>
            </m:r>
            <m:ctrlPr>
              <w:rPr>
                <w:rFonts w:hint="eastAsia" w:ascii="Cambria Math" w:hAnsi="Cambria Math"/>
                <w:i/>
                <w:iCs/>
                <w:szCs w:val="21"/>
                <w:lang w:val="en-US" w:eastAsia="zh-CN"/>
              </w:rPr>
            </m:ctrlPr>
          </m:e>
          <m:sub>
            <m:r>
              <m:rPr/>
              <w:rPr>
                <w:rFonts w:hint="default" w:ascii="Cambria Math" w:hAnsi="Cambria Math"/>
                <w:szCs w:val="21"/>
                <w:lang w:val="en-US" w:eastAsia="zh-CN"/>
              </w:rPr>
              <m:t>ε</m:t>
            </m:r>
            <m:ctrlPr>
              <w:rPr>
                <w:rFonts w:hint="eastAsia" w:ascii="Cambria Math" w:hAnsi="Cambria Math"/>
                <w:i/>
                <w:iCs/>
                <w:szCs w:val="21"/>
                <w:lang w:val="en-US" w:eastAsia="zh-CN"/>
              </w:rPr>
            </m:ctrlPr>
          </m:sub>
        </m:sSub>
      </m:oMath>
      <w:r>
        <w:rPr>
          <w:rFonts w:hint="eastAsia"/>
          <w:szCs w:val="21"/>
          <w:lang w:val="en-US" w:eastAsia="zh-CN"/>
        </w:rPr>
        <w:t>——早期收缩率比，%；</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szCs w:val="21"/>
          <w:lang w:val="en-US" w:eastAsia="zh-CN"/>
        </w:rPr>
      </w:pPr>
      <m:oMath>
        <m:sSub>
          <m:sSubPr>
            <m:ctrlPr>
              <w:rPr>
                <w:rFonts w:hint="eastAsia" w:ascii="Cambria Math" w:hAnsi="Cambria Math"/>
                <w:i/>
                <w:iCs/>
                <w:szCs w:val="21"/>
                <w:lang w:val="en-US" w:eastAsia="zh-CN"/>
              </w:rPr>
            </m:ctrlPr>
          </m:sSubPr>
          <m:e>
            <m:r>
              <m:rPr/>
              <w:rPr>
                <w:rFonts w:hint="default" w:ascii="Cambria Math" w:hAnsi="Cambria Math" w:cs="Times New Roman"/>
                <w:szCs w:val="21"/>
                <w:lang w:val="en-US" w:eastAsia="zh-CN"/>
              </w:rPr>
              <m:t>ε</m:t>
            </m:r>
            <m:ctrlPr>
              <w:rPr>
                <w:rFonts w:hint="eastAsia" w:ascii="Cambria Math" w:hAnsi="Cambria Math"/>
                <w:i/>
                <w:iCs/>
                <w:szCs w:val="21"/>
                <w:lang w:val="en-US" w:eastAsia="zh-CN"/>
              </w:rPr>
            </m:ctrlPr>
          </m:e>
          <m:sub>
            <m:r>
              <m:rPr/>
              <w:rPr>
                <w:rFonts w:hint="default" w:ascii="Cambria Math" w:hAnsi="Cambria Math"/>
                <w:szCs w:val="21"/>
                <w:lang w:val="en-US" w:eastAsia="zh-CN"/>
              </w:rPr>
              <m:t>t</m:t>
            </m:r>
            <m:ctrlPr>
              <w:rPr>
                <w:rFonts w:hint="eastAsia" w:ascii="Cambria Math" w:hAnsi="Cambria Math"/>
                <w:i/>
                <w:iCs/>
                <w:szCs w:val="21"/>
                <w:lang w:val="en-US" w:eastAsia="zh-CN"/>
              </w:rPr>
            </m:ctrlPr>
          </m:sub>
        </m:sSub>
      </m:oMath>
      <w:r>
        <w:rPr>
          <w:rFonts w:hint="eastAsia"/>
          <w:szCs w:val="21"/>
          <w:lang w:val="en-US" w:eastAsia="zh-CN"/>
        </w:rPr>
        <w:t>——受检混凝土早期收缩率，单位%；</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default"/>
          <w:szCs w:val="21"/>
          <w:lang w:val="en-US" w:eastAsia="zh-CN"/>
        </w:rPr>
      </w:pPr>
      <m:oMath>
        <m:sSub>
          <m:sSubPr>
            <m:ctrlPr>
              <w:rPr>
                <w:rFonts w:hint="default" w:ascii="Cambria Math" w:hAnsi="Cambria Math"/>
                <w:i/>
                <w:iCs/>
                <w:szCs w:val="21"/>
                <w:lang w:val="en-US" w:eastAsia="zh-CN"/>
              </w:rPr>
            </m:ctrlPr>
          </m:sSubPr>
          <m:e>
            <m:r>
              <m:rPr/>
              <w:rPr>
                <w:rFonts w:hint="default" w:ascii="Cambria Math" w:hAnsi="Cambria Math"/>
                <w:szCs w:val="21"/>
                <w:lang w:val="en-US" w:eastAsia="zh-CN"/>
              </w:rPr>
              <m:t>ε</m:t>
            </m:r>
            <m:ctrlPr>
              <w:rPr>
                <w:rFonts w:hint="default" w:ascii="Cambria Math" w:hAnsi="Cambria Math"/>
                <w:i/>
                <w:iCs/>
                <w:szCs w:val="21"/>
                <w:lang w:val="en-US" w:eastAsia="zh-CN"/>
              </w:rPr>
            </m:ctrlPr>
          </m:e>
          <m:sub>
            <m:r>
              <m:rPr/>
              <w:rPr>
                <w:rFonts w:hint="default" w:ascii="Cambria Math" w:hAnsi="Cambria Math"/>
                <w:szCs w:val="21"/>
                <w:lang w:val="en-US" w:eastAsia="zh-CN"/>
              </w:rPr>
              <m:t>c</m:t>
            </m:r>
            <m:ctrlPr>
              <w:rPr>
                <w:rFonts w:hint="default" w:ascii="Cambria Math" w:hAnsi="Cambria Math"/>
                <w:i/>
                <w:iCs/>
                <w:szCs w:val="21"/>
                <w:lang w:val="en-US" w:eastAsia="zh-CN"/>
              </w:rPr>
            </m:ctrlPr>
          </m:sub>
        </m:sSub>
      </m:oMath>
      <w:r>
        <w:rPr>
          <w:rFonts w:hint="eastAsia"/>
          <w:szCs w:val="21"/>
          <w:lang w:val="en-US" w:eastAsia="zh-CN"/>
        </w:rPr>
        <w:t>——基准混凝土早期收缩率，单位%。</w:t>
      </w:r>
    </w:p>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Times New Roman" w:hAnsi="Times New Roman"/>
          <w:lang w:val="en-US" w:eastAsia="zh-CN"/>
        </w:rPr>
      </w:pPr>
      <w:bookmarkStart w:id="23" w:name="_Toc11195"/>
      <w:r>
        <w:rPr>
          <w:rFonts w:hint="eastAsia" w:ascii="Times New Roman" w:hAnsi="Times New Roman"/>
          <w:lang w:val="en-US" w:eastAsia="zh-CN"/>
        </w:rPr>
        <w:t>7  检验规则</w:t>
      </w:r>
      <w:bookmarkEnd w:id="23"/>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color w:val="000000"/>
          <w:szCs w:val="21"/>
          <w:lang w:val="en-US" w:eastAsia="zh-CN"/>
        </w:rPr>
      </w:pPr>
      <w:r>
        <w:rPr>
          <w:rFonts w:hint="eastAsia" w:ascii="黑体" w:hAnsi="黑体" w:eastAsia="黑体" w:cs="黑体"/>
          <w:color w:val="000000"/>
          <w:szCs w:val="21"/>
          <w:lang w:val="en-US" w:eastAsia="zh-CN"/>
        </w:rPr>
        <w:t>7.1  检验分类</w:t>
      </w:r>
    </w:p>
    <w:p>
      <w:pPr>
        <w:keepNext w:val="0"/>
        <w:keepLines w:val="0"/>
        <w:pageBreakBefore w:val="0"/>
        <w:widowControl w:val="0"/>
        <w:kinsoku/>
        <w:wordWrap/>
        <w:overflowPunct/>
        <w:topLinePunct w:val="0"/>
        <w:bidi w:val="0"/>
        <w:snapToGrid/>
        <w:spacing w:line="240" w:lineRule="auto"/>
        <w:ind w:firstLine="428"/>
        <w:textAlignment w:val="auto"/>
        <w:rPr>
          <w:rFonts w:ascii="宋体" w:hAnsi="宋体"/>
          <w:spacing w:val="2"/>
        </w:rPr>
      </w:pPr>
      <w:r>
        <w:rPr>
          <w:rFonts w:hint="eastAsia" w:ascii="宋体" w:hAnsi="宋体"/>
          <w:spacing w:val="2"/>
        </w:rPr>
        <w:t>检验分为出厂检验和型式检验。</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color w:val="000000"/>
          <w:szCs w:val="21"/>
          <w:lang w:val="en-US" w:eastAsia="zh-CN"/>
        </w:rPr>
      </w:pPr>
      <w:r>
        <w:rPr>
          <w:rFonts w:hint="eastAsia" w:ascii="黑体" w:hAnsi="黑体" w:eastAsia="黑体" w:cs="黑体"/>
          <w:color w:val="000000"/>
          <w:szCs w:val="21"/>
          <w:lang w:val="en-US" w:eastAsia="zh-CN"/>
        </w:rPr>
        <w:t>7.1.1  出厂检验</w:t>
      </w:r>
    </w:p>
    <w:p>
      <w:pPr>
        <w:pStyle w:val="54"/>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auto"/>
          <w:spacing w:val="2"/>
          <w:kern w:val="2"/>
          <w:sz w:val="21"/>
          <w:lang w:val="en-US" w:eastAsia="zh-CN"/>
        </w:rPr>
        <w:t>7</w:t>
      </w:r>
      <w:r>
        <w:rPr>
          <w:rFonts w:hint="default" w:ascii="Times New Roman" w:hAnsi="Times New Roman" w:eastAsia="宋体" w:cs="Times New Roman"/>
          <w:color w:val="auto"/>
          <w:spacing w:val="2"/>
          <w:kern w:val="2"/>
          <w:sz w:val="21"/>
        </w:rPr>
        <w:t xml:space="preserve">.1.1.1 </w:t>
      </w:r>
      <w:r>
        <w:rPr>
          <w:rFonts w:hint="default" w:ascii="Times New Roman" w:hAnsi="Times New Roman" w:eastAsia="宋体" w:cs="Times New Roman"/>
          <w:spacing w:val="2"/>
        </w:rPr>
        <w:t xml:space="preserve"> </w:t>
      </w:r>
      <w:r>
        <w:rPr>
          <w:rFonts w:hint="default" w:ascii="Times New Roman" w:hAnsi="Times New Roman" w:eastAsia="宋体" w:cs="Times New Roman"/>
          <w:sz w:val="21"/>
          <w:szCs w:val="21"/>
        </w:rPr>
        <w:t>生产的产品，按品种和检验批经质量检验部门出厂检验合格并出具合格证方可出厂。</w:t>
      </w:r>
    </w:p>
    <w:p>
      <w:pPr>
        <w:pStyle w:val="54"/>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auto"/>
          <w:spacing w:val="2"/>
          <w:kern w:val="2"/>
          <w:sz w:val="21"/>
          <w:lang w:val="en-US" w:eastAsia="zh-CN"/>
        </w:rPr>
        <w:t>7</w:t>
      </w:r>
      <w:r>
        <w:rPr>
          <w:rFonts w:hint="default" w:ascii="Times New Roman" w:hAnsi="Times New Roman" w:eastAsia="宋体" w:cs="Times New Roman"/>
          <w:color w:val="auto"/>
          <w:spacing w:val="2"/>
          <w:kern w:val="2"/>
          <w:sz w:val="21"/>
        </w:rPr>
        <w:t xml:space="preserve">.1.1.2 </w:t>
      </w:r>
      <w:r>
        <w:rPr>
          <w:rFonts w:hint="default" w:ascii="Times New Roman" w:hAnsi="Times New Roman" w:eastAsia="宋体" w:cs="Times New Roman"/>
          <w:sz w:val="21"/>
          <w:szCs w:val="21"/>
        </w:rPr>
        <w:t xml:space="preserve"> </w:t>
      </w:r>
      <w:r>
        <w:rPr>
          <w:rFonts w:hint="eastAsia" w:ascii="Times New Roman" w:hAnsi="Times New Roman" w:cs="Times New Roman"/>
          <w:sz w:val="21"/>
          <w:szCs w:val="21"/>
          <w:lang w:eastAsia="zh-CN"/>
        </w:rPr>
        <w:t>机制砂混凝土用增强调节剂</w:t>
      </w:r>
      <w:r>
        <w:rPr>
          <w:rFonts w:hint="default" w:ascii="Times New Roman" w:hAnsi="Times New Roman" w:eastAsia="宋体" w:cs="Times New Roman"/>
          <w:sz w:val="21"/>
          <w:szCs w:val="21"/>
        </w:rPr>
        <w:t>的出厂检验项目：PH值、氯离子含量、硫酸钠含量和总碱量。</w:t>
      </w:r>
    </w:p>
    <w:p>
      <w:pPr>
        <w:pStyle w:val="54"/>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auto"/>
          <w:spacing w:val="2"/>
          <w:kern w:val="2"/>
          <w:sz w:val="21"/>
          <w:lang w:val="en-US" w:eastAsia="zh-CN"/>
        </w:rPr>
        <w:t>7</w:t>
      </w:r>
      <w:r>
        <w:rPr>
          <w:rFonts w:hint="default" w:ascii="Times New Roman" w:hAnsi="Times New Roman" w:eastAsia="宋体" w:cs="Times New Roman"/>
          <w:color w:val="auto"/>
          <w:spacing w:val="2"/>
          <w:kern w:val="2"/>
          <w:sz w:val="21"/>
        </w:rPr>
        <w:t xml:space="preserve">.1.1.3 </w:t>
      </w:r>
      <w:r>
        <w:rPr>
          <w:rFonts w:hint="default" w:ascii="Times New Roman" w:hAnsi="Times New Roman" w:eastAsia="宋体" w:cs="Times New Roman"/>
          <w:spacing w:val="2"/>
        </w:rPr>
        <w:t xml:space="preserve"> </w:t>
      </w:r>
      <w:r>
        <w:rPr>
          <w:rFonts w:hint="default" w:ascii="Times New Roman" w:hAnsi="Times New Roman" w:eastAsia="宋体" w:cs="Times New Roman"/>
          <w:sz w:val="21"/>
          <w:szCs w:val="21"/>
        </w:rPr>
        <w:t>出厂检验项目均应合格。出厂检验中如有不合格项目，可在同批产品中加倍抽样对不合格项目进行复检。复检合格则判定该项目合格。如复检仍有不合格项目，则判定该批产品不合格并不得出厂。</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color w:val="000000"/>
          <w:szCs w:val="21"/>
          <w:lang w:val="en-US" w:eastAsia="zh-CN"/>
        </w:rPr>
      </w:pPr>
      <w:r>
        <w:rPr>
          <w:rFonts w:hint="eastAsia" w:ascii="黑体" w:hAnsi="黑体" w:eastAsia="黑体" w:cs="黑体"/>
          <w:color w:val="000000"/>
          <w:szCs w:val="21"/>
          <w:lang w:val="en-US" w:eastAsia="zh-CN"/>
        </w:rPr>
        <w:t>7.1.2  型式检验</w:t>
      </w:r>
    </w:p>
    <w:p>
      <w:pPr>
        <w:keepNext w:val="0"/>
        <w:keepLines w:val="0"/>
        <w:pageBreakBefore w:val="0"/>
        <w:widowControl w:val="0"/>
        <w:kinsoku/>
        <w:wordWrap/>
        <w:overflowPunct/>
        <w:topLinePunct w:val="0"/>
        <w:autoSpaceDE/>
        <w:autoSpaceDN/>
        <w:bidi w:val="0"/>
        <w:adjustRightInd/>
        <w:snapToGrid/>
        <w:spacing w:line="240" w:lineRule="auto"/>
        <w:ind w:firstLine="428"/>
        <w:textAlignment w:val="auto"/>
        <w:rPr>
          <w:rFonts w:ascii="黑体" w:hAnsi="宋体" w:eastAsia="黑体"/>
          <w:spacing w:val="2"/>
        </w:rPr>
      </w:pPr>
      <w:r>
        <w:rPr>
          <w:rFonts w:hint="eastAsia" w:ascii="宋体" w:hAnsi="宋体"/>
          <w:spacing w:val="2"/>
        </w:rPr>
        <w:t>型式检验项目包括本标准第</w:t>
      </w:r>
      <w:r>
        <w:rPr>
          <w:rFonts w:hint="eastAsia" w:ascii="宋体" w:hAnsi="宋体"/>
          <w:spacing w:val="2"/>
          <w:lang w:val="en-US" w:eastAsia="zh-CN"/>
        </w:rPr>
        <w:t>5</w:t>
      </w:r>
      <w:r>
        <w:rPr>
          <w:rFonts w:hint="eastAsia" w:ascii="宋体" w:hAnsi="宋体"/>
          <w:spacing w:val="2"/>
        </w:rPr>
        <w:t>章规定的全部项目。有下列情况之一时，应进行型式检验：</w:t>
      </w:r>
    </w:p>
    <w:p>
      <w:pPr>
        <w:keepNext w:val="0"/>
        <w:keepLines w:val="0"/>
        <w:pageBreakBefore w:val="0"/>
        <w:widowControl w:val="0"/>
        <w:numPr>
          <w:ilvl w:val="0"/>
          <w:numId w:val="7"/>
        </w:numPr>
        <w:kinsoku/>
        <w:wordWrap/>
        <w:overflowPunct/>
        <w:topLinePunct w:val="0"/>
        <w:bidi w:val="0"/>
        <w:snapToGrid/>
        <w:spacing w:line="240" w:lineRule="auto"/>
        <w:ind w:left="0" w:leftChars="0" w:firstLine="400" w:firstLineChars="0"/>
        <w:textAlignment w:val="auto"/>
        <w:rPr>
          <w:rFonts w:ascii="宋体" w:hAnsi="宋体"/>
          <w:spacing w:val="2"/>
        </w:rPr>
      </w:pPr>
      <w:r>
        <w:rPr>
          <w:rFonts w:hint="eastAsia" w:hAnsi="宋体"/>
        </w:rPr>
        <w:t>产品主要原材料、配比或生产工艺有重大变更</w:t>
      </w:r>
      <w:r>
        <w:rPr>
          <w:rFonts w:hint="eastAsia" w:ascii="宋体" w:hAnsi="宋体"/>
          <w:spacing w:val="2"/>
        </w:rPr>
        <w:t>；</w:t>
      </w:r>
    </w:p>
    <w:p>
      <w:pPr>
        <w:keepNext w:val="0"/>
        <w:keepLines w:val="0"/>
        <w:pageBreakBefore w:val="0"/>
        <w:widowControl w:val="0"/>
        <w:numPr>
          <w:ilvl w:val="0"/>
          <w:numId w:val="7"/>
        </w:numPr>
        <w:kinsoku/>
        <w:wordWrap/>
        <w:overflowPunct/>
        <w:topLinePunct w:val="0"/>
        <w:bidi w:val="0"/>
        <w:snapToGrid/>
        <w:spacing w:line="240" w:lineRule="auto"/>
        <w:ind w:left="0" w:leftChars="0" w:firstLine="400" w:firstLineChars="0"/>
        <w:textAlignment w:val="auto"/>
      </w:pPr>
      <w:r>
        <w:rPr>
          <w:rFonts w:hint="eastAsia" w:ascii="宋体" w:hAnsi="宋体"/>
          <w:spacing w:val="2"/>
        </w:rPr>
        <w:t>新产品投产或产品定型鉴定时；</w:t>
      </w:r>
    </w:p>
    <w:p>
      <w:pPr>
        <w:keepNext w:val="0"/>
        <w:keepLines w:val="0"/>
        <w:pageBreakBefore w:val="0"/>
        <w:widowControl w:val="0"/>
        <w:numPr>
          <w:ilvl w:val="0"/>
          <w:numId w:val="7"/>
        </w:numPr>
        <w:kinsoku/>
        <w:wordWrap/>
        <w:overflowPunct/>
        <w:topLinePunct w:val="0"/>
        <w:bidi w:val="0"/>
        <w:snapToGrid/>
        <w:spacing w:line="240" w:lineRule="auto"/>
        <w:ind w:left="0" w:leftChars="0" w:firstLine="400" w:firstLineChars="0"/>
        <w:textAlignment w:val="auto"/>
      </w:pPr>
      <w:r>
        <w:rPr>
          <w:color w:val="auto"/>
          <w:sz w:val="21"/>
          <w:szCs w:val="21"/>
        </w:rPr>
        <w:t>正常生产时每</w:t>
      </w:r>
      <w:r>
        <w:rPr>
          <w:rFonts w:hint="eastAsia"/>
          <w:color w:val="auto"/>
          <w:sz w:val="21"/>
          <w:szCs w:val="21"/>
        </w:rPr>
        <w:t>一</w:t>
      </w:r>
      <w:r>
        <w:rPr>
          <w:color w:val="auto"/>
          <w:sz w:val="21"/>
          <w:szCs w:val="21"/>
        </w:rPr>
        <w:t>年至少进行一次</w:t>
      </w:r>
      <w:r>
        <w:rPr>
          <w:rFonts w:hint="eastAsia"/>
          <w:spacing w:val="2"/>
        </w:rPr>
        <w:t>；</w:t>
      </w:r>
    </w:p>
    <w:p>
      <w:pPr>
        <w:keepNext w:val="0"/>
        <w:keepLines w:val="0"/>
        <w:pageBreakBefore w:val="0"/>
        <w:widowControl w:val="0"/>
        <w:numPr>
          <w:ilvl w:val="0"/>
          <w:numId w:val="7"/>
        </w:numPr>
        <w:kinsoku/>
        <w:wordWrap/>
        <w:overflowPunct/>
        <w:topLinePunct w:val="0"/>
        <w:bidi w:val="0"/>
        <w:snapToGrid/>
        <w:spacing w:line="240" w:lineRule="auto"/>
        <w:ind w:left="0" w:leftChars="0" w:firstLine="400" w:firstLineChars="0"/>
        <w:textAlignment w:val="auto"/>
        <w:rPr>
          <w:rFonts w:ascii="宋体" w:hAnsi="宋体"/>
          <w:spacing w:val="2"/>
        </w:rPr>
      </w:pPr>
      <w:r>
        <w:rPr>
          <w:rFonts w:cs="Times New Roman"/>
          <w:szCs w:val="21"/>
        </w:rPr>
        <w:t>停产3个月以上</w:t>
      </w:r>
      <w:r>
        <w:rPr>
          <w:rFonts w:hint="eastAsia"/>
        </w:rPr>
        <w:t>恢复生产时</w:t>
      </w:r>
      <w:r>
        <w:rPr>
          <w:rFonts w:hint="eastAsia" w:ascii="宋体" w:hAnsi="宋体"/>
          <w:spacing w:val="2"/>
        </w:rPr>
        <w:t>；</w:t>
      </w:r>
    </w:p>
    <w:p>
      <w:pPr>
        <w:keepNext w:val="0"/>
        <w:keepLines w:val="0"/>
        <w:pageBreakBefore w:val="0"/>
        <w:widowControl w:val="0"/>
        <w:numPr>
          <w:ilvl w:val="0"/>
          <w:numId w:val="7"/>
        </w:numPr>
        <w:kinsoku/>
        <w:wordWrap/>
        <w:overflowPunct/>
        <w:topLinePunct w:val="0"/>
        <w:bidi w:val="0"/>
        <w:snapToGrid/>
        <w:spacing w:line="240" w:lineRule="auto"/>
        <w:ind w:left="0" w:leftChars="0" w:firstLine="400" w:firstLineChars="0"/>
        <w:textAlignment w:val="auto"/>
        <w:rPr>
          <w:rFonts w:ascii="宋体" w:hAnsi="宋体"/>
          <w:spacing w:val="2"/>
        </w:rPr>
      </w:pPr>
      <w:r>
        <w:rPr>
          <w:szCs w:val="21"/>
        </w:rPr>
        <w:t>出厂检验结果与上次型式检验有较大差异时</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color w:val="000000"/>
          <w:szCs w:val="21"/>
          <w:lang w:val="en-US" w:eastAsia="zh-CN"/>
        </w:rPr>
      </w:pPr>
      <w:r>
        <w:rPr>
          <w:rFonts w:hint="eastAsia" w:ascii="黑体" w:hAnsi="黑体" w:eastAsia="黑体" w:cs="黑体"/>
          <w:color w:val="000000"/>
          <w:szCs w:val="21"/>
          <w:lang w:val="en-US" w:eastAsia="zh-CN"/>
        </w:rPr>
        <w:t>7.2  抽样方法</w:t>
      </w:r>
    </w:p>
    <w:p>
      <w:pPr>
        <w:keepNext w:val="0"/>
        <w:keepLines w:val="0"/>
        <w:pageBreakBefore w:val="0"/>
        <w:widowControl w:val="0"/>
        <w:kinsoku/>
        <w:wordWrap/>
        <w:overflowPunct/>
        <w:topLinePunct w:val="0"/>
        <w:bidi w:val="0"/>
        <w:snapToGrid/>
        <w:spacing w:line="240" w:lineRule="auto"/>
        <w:ind w:firstLine="0" w:firstLineChars="0"/>
        <w:textAlignment w:val="auto"/>
        <w:outlineLvl w:val="2"/>
        <w:rPr>
          <w:rFonts w:ascii="黑体" w:hAnsi="宋体" w:eastAsia="黑体"/>
          <w:spacing w:val="2"/>
        </w:rPr>
      </w:pPr>
      <w:r>
        <w:rPr>
          <w:rFonts w:hint="eastAsia" w:ascii="黑体" w:hAnsi="宋体" w:eastAsia="黑体"/>
          <w:spacing w:val="2"/>
          <w:lang w:val="en-US" w:eastAsia="zh-CN"/>
        </w:rPr>
        <w:t>7</w:t>
      </w:r>
      <w:r>
        <w:rPr>
          <w:rFonts w:hint="eastAsia" w:ascii="黑体" w:hAnsi="宋体" w:eastAsia="黑体"/>
          <w:spacing w:val="2"/>
        </w:rPr>
        <w:t>.2.1  批量</w:t>
      </w:r>
    </w:p>
    <w:p>
      <w:pPr>
        <w:keepNext w:val="0"/>
        <w:keepLines w:val="0"/>
        <w:pageBreakBefore w:val="0"/>
        <w:widowControl w:val="0"/>
        <w:kinsoku/>
        <w:wordWrap/>
        <w:overflowPunct/>
        <w:topLinePunct w:val="0"/>
        <w:autoSpaceDE/>
        <w:autoSpaceDN/>
        <w:bidi w:val="0"/>
        <w:adjustRightInd/>
        <w:snapToGrid/>
        <w:spacing w:line="240" w:lineRule="auto"/>
        <w:ind w:firstLine="428"/>
        <w:textAlignment w:val="auto"/>
        <w:rPr>
          <w:rFonts w:ascii="宋体" w:hAnsi="宋体"/>
          <w:spacing w:val="2"/>
        </w:rPr>
      </w:pPr>
      <w:r>
        <w:rPr>
          <w:rFonts w:hint="eastAsia" w:ascii="宋体" w:hAnsi="宋体"/>
          <w:color w:val="auto"/>
          <w:spacing w:val="2"/>
          <w:lang w:eastAsia="zh-CN"/>
        </w:rPr>
        <w:t>机制砂混凝土用增强调节剂</w:t>
      </w:r>
      <w:r>
        <w:rPr>
          <w:rFonts w:hint="eastAsia" w:ascii="宋体" w:hAnsi="宋体"/>
          <w:color w:val="auto"/>
          <w:spacing w:val="2"/>
          <w:lang w:val="en-US" w:eastAsia="zh-CN"/>
        </w:rPr>
        <w:t>每</w:t>
      </w:r>
      <w:r>
        <w:rPr>
          <w:rFonts w:hint="eastAsia" w:ascii="宋体" w:hAnsi="宋体"/>
          <w:color w:val="auto"/>
          <w:spacing w:val="2"/>
        </w:rPr>
        <w:t>50t组成一个检验批，不足50t按</w:t>
      </w:r>
      <w:r>
        <w:rPr>
          <w:rFonts w:hint="eastAsia"/>
          <w:color w:val="auto"/>
          <w:szCs w:val="21"/>
        </w:rPr>
        <w:t>一个批量计</w:t>
      </w:r>
      <w:r>
        <w:rPr>
          <w:rFonts w:hint="eastAsia" w:ascii="宋体" w:hAnsi="宋体"/>
          <w:color w:val="auto"/>
          <w:spacing w:val="2"/>
        </w:rPr>
        <w:t>。</w:t>
      </w:r>
    </w:p>
    <w:p>
      <w:pPr>
        <w:keepNext w:val="0"/>
        <w:keepLines w:val="0"/>
        <w:pageBreakBefore w:val="0"/>
        <w:widowControl w:val="0"/>
        <w:kinsoku/>
        <w:wordWrap/>
        <w:overflowPunct/>
        <w:topLinePunct w:val="0"/>
        <w:bidi w:val="0"/>
        <w:snapToGrid/>
        <w:spacing w:line="240" w:lineRule="auto"/>
        <w:ind w:firstLine="0" w:firstLineChars="0"/>
        <w:textAlignment w:val="auto"/>
        <w:outlineLvl w:val="2"/>
        <w:rPr>
          <w:rFonts w:ascii="宋体" w:hAnsi="宋体"/>
          <w:spacing w:val="2"/>
        </w:rPr>
      </w:pPr>
      <w:r>
        <w:rPr>
          <w:rFonts w:hint="eastAsia" w:ascii="黑体" w:hAnsi="宋体" w:eastAsia="黑体"/>
          <w:spacing w:val="2"/>
          <w:lang w:val="en-US" w:eastAsia="zh-CN"/>
        </w:rPr>
        <w:t>7</w:t>
      </w:r>
      <w:r>
        <w:rPr>
          <w:rFonts w:hint="eastAsia" w:ascii="黑体" w:hAnsi="宋体" w:eastAsia="黑体"/>
          <w:spacing w:val="2"/>
        </w:rPr>
        <w:t>.2.2  取样及留样</w:t>
      </w:r>
    </w:p>
    <w:p>
      <w:pPr>
        <w:keepNext w:val="0"/>
        <w:keepLines w:val="0"/>
        <w:pageBreakBefore w:val="0"/>
        <w:widowControl w:val="0"/>
        <w:kinsoku/>
        <w:wordWrap/>
        <w:overflowPunct/>
        <w:topLinePunct w:val="0"/>
        <w:autoSpaceDE/>
        <w:autoSpaceDN/>
        <w:bidi w:val="0"/>
        <w:adjustRightInd/>
        <w:snapToGrid/>
        <w:spacing w:line="240" w:lineRule="auto"/>
        <w:ind w:firstLine="428"/>
        <w:textAlignment w:val="auto"/>
        <w:rPr>
          <w:rFonts w:hint="default" w:ascii="Times New Roman" w:hAnsi="Times New Roman" w:cs="Times New Roman"/>
          <w:color w:val="auto"/>
          <w:spacing w:val="2"/>
        </w:rPr>
      </w:pPr>
      <w:r>
        <w:rPr>
          <w:rFonts w:hint="default" w:ascii="Times New Roman" w:hAnsi="Times New Roman" w:cs="Times New Roman"/>
          <w:color w:val="auto"/>
          <w:spacing w:val="2"/>
        </w:rPr>
        <w:t>每一批号随机抽取不少于0.2t胶凝材料所需用的增强调节</w:t>
      </w:r>
      <w:r>
        <w:rPr>
          <w:rFonts w:hint="default" w:ascii="Times New Roman" w:hAnsi="Times New Roman" w:cs="Times New Roman"/>
          <w:color w:val="auto"/>
          <w:spacing w:val="2"/>
          <w:lang w:val="zh-CN"/>
        </w:rPr>
        <w:t>剂量；</w:t>
      </w:r>
    </w:p>
    <w:p>
      <w:pPr>
        <w:keepNext w:val="0"/>
        <w:keepLines w:val="0"/>
        <w:pageBreakBefore w:val="0"/>
        <w:widowControl w:val="0"/>
        <w:kinsoku/>
        <w:wordWrap/>
        <w:overflowPunct/>
        <w:topLinePunct w:val="0"/>
        <w:autoSpaceDE/>
        <w:autoSpaceDN/>
        <w:bidi w:val="0"/>
        <w:adjustRightInd/>
        <w:snapToGrid/>
        <w:spacing w:line="240" w:lineRule="auto"/>
        <w:ind w:firstLine="428"/>
        <w:textAlignment w:val="auto"/>
        <w:rPr>
          <w:rFonts w:hint="default" w:ascii="Times New Roman" w:hAnsi="Times New Roman" w:cs="Times New Roman"/>
          <w:color w:val="auto"/>
          <w:spacing w:val="2"/>
        </w:rPr>
      </w:pPr>
      <w:r>
        <w:rPr>
          <w:rFonts w:hint="default" w:ascii="Times New Roman" w:hAnsi="Times New Roman" w:cs="Times New Roman"/>
          <w:color w:val="auto"/>
          <w:spacing w:val="2"/>
        </w:rPr>
        <w:t>每一批号取得的试样应充分混匀，分为两等份。一份按本文件规定方法与项目进行试验，另一份要密封保存</w:t>
      </w:r>
      <w:r>
        <w:rPr>
          <w:rFonts w:hint="eastAsia" w:cs="Times New Roman"/>
          <w:color w:val="auto"/>
          <w:spacing w:val="2"/>
          <w:lang w:val="en-US" w:eastAsia="zh-CN"/>
        </w:rPr>
        <w:t>6个月，以备有争议时提交国家指定的检验机关进行复验或仲裁</w:t>
      </w:r>
      <w:r>
        <w:rPr>
          <w:rFonts w:hint="default" w:ascii="Times New Roman" w:hAnsi="Times New Roman" w:cs="Times New Roman"/>
          <w:color w:val="auto"/>
          <w:spacing w:val="2"/>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color w:val="000000"/>
          <w:szCs w:val="21"/>
          <w:lang w:val="en-US" w:eastAsia="zh-CN"/>
        </w:rPr>
      </w:pPr>
      <w:r>
        <w:rPr>
          <w:rFonts w:hint="eastAsia" w:ascii="黑体" w:hAnsi="黑体" w:eastAsia="黑体" w:cs="黑体"/>
          <w:color w:val="000000"/>
          <w:szCs w:val="21"/>
          <w:lang w:val="en-US" w:eastAsia="zh-CN"/>
        </w:rPr>
        <w:t>7.3  判定规则</w:t>
      </w:r>
    </w:p>
    <w:p>
      <w:pPr>
        <w:pStyle w:val="54"/>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default" w:ascii="Times New Roman" w:hAnsi="Times New Roman" w:eastAsia="宋体" w:cs="Times New Roman"/>
          <w:color w:val="auto"/>
          <w:spacing w:val="2"/>
          <w:kern w:val="2"/>
          <w:sz w:val="21"/>
          <w:szCs w:val="22"/>
        </w:rPr>
      </w:pPr>
      <w:r>
        <w:rPr>
          <w:rFonts w:hint="default" w:ascii="Times New Roman" w:hAnsi="Times New Roman" w:eastAsia="宋体" w:cs="Times New Roman"/>
          <w:color w:val="auto"/>
          <w:spacing w:val="2"/>
          <w:kern w:val="2"/>
          <w:sz w:val="21"/>
          <w:szCs w:val="22"/>
          <w:lang w:val="en-US" w:eastAsia="zh-CN"/>
        </w:rPr>
        <w:t>7</w:t>
      </w:r>
      <w:r>
        <w:rPr>
          <w:rFonts w:hint="default" w:ascii="Times New Roman" w:hAnsi="Times New Roman" w:eastAsia="宋体" w:cs="Times New Roman"/>
          <w:color w:val="auto"/>
          <w:spacing w:val="2"/>
          <w:kern w:val="2"/>
          <w:sz w:val="21"/>
          <w:szCs w:val="22"/>
        </w:rPr>
        <w:t>.3.1  经检验，产品性能符合上述出厂检验和型式检验规定的相应指标要求，则判定该批产品合格；</w:t>
      </w:r>
    </w:p>
    <w:p>
      <w:pPr>
        <w:pStyle w:val="54"/>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default" w:ascii="Times New Roman" w:hAnsi="Times New Roman" w:eastAsia="宋体" w:cs="Times New Roman"/>
          <w:color w:val="auto"/>
          <w:spacing w:val="2"/>
          <w:kern w:val="2"/>
          <w:sz w:val="21"/>
          <w:szCs w:val="22"/>
        </w:rPr>
      </w:pPr>
      <w:r>
        <w:rPr>
          <w:rFonts w:hint="default" w:ascii="Times New Roman" w:hAnsi="Times New Roman" w:eastAsia="宋体" w:cs="Times New Roman"/>
          <w:color w:val="auto"/>
          <w:spacing w:val="2"/>
          <w:kern w:val="2"/>
          <w:sz w:val="21"/>
          <w:szCs w:val="22"/>
          <w:lang w:val="en-US" w:eastAsia="zh-CN"/>
        </w:rPr>
        <w:t>7</w:t>
      </w:r>
      <w:r>
        <w:rPr>
          <w:rFonts w:hint="default" w:ascii="Times New Roman" w:hAnsi="Times New Roman" w:eastAsia="宋体" w:cs="Times New Roman"/>
          <w:color w:val="auto"/>
          <w:spacing w:val="2"/>
          <w:kern w:val="2"/>
          <w:sz w:val="21"/>
          <w:szCs w:val="22"/>
        </w:rPr>
        <w:t>.3.2  如果有一项指标不符合上述要求时，则应从同一批产品中加倍取样，对该项进行复验。若复检结果符合上述出厂检验和型式检验规定的相应指标要求，则判定合格，如仍有一项或一项以上不符合要求，则判定该批产品不合格。如果有两项及以上不符合上述要求时，则判定该批产品不合格。</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color w:val="000000"/>
          <w:szCs w:val="21"/>
          <w:lang w:val="en-US" w:eastAsia="zh-CN"/>
        </w:rPr>
      </w:pPr>
      <w:r>
        <w:rPr>
          <w:rFonts w:hint="eastAsia" w:ascii="黑体" w:hAnsi="黑体" w:eastAsia="黑体" w:cs="黑体"/>
          <w:color w:val="000000"/>
          <w:szCs w:val="21"/>
          <w:lang w:val="en-US" w:eastAsia="zh-CN"/>
        </w:rPr>
        <w:t>7.4  复验</w:t>
      </w:r>
    </w:p>
    <w:p>
      <w:pPr>
        <w:pStyle w:val="54"/>
        <w:keepNext w:val="0"/>
        <w:keepLines w:val="0"/>
        <w:pageBreakBefore w:val="0"/>
        <w:widowControl w:val="0"/>
        <w:kinsoku/>
        <w:wordWrap/>
        <w:overflowPunct/>
        <w:topLinePunct w:val="0"/>
        <w:autoSpaceDE w:val="0"/>
        <w:autoSpaceDN w:val="0"/>
        <w:bidi w:val="0"/>
        <w:adjustRightInd w:val="0"/>
        <w:snapToGrid/>
        <w:spacing w:line="240" w:lineRule="auto"/>
        <w:ind w:firstLine="428" w:firstLineChars="200"/>
        <w:textAlignment w:val="auto"/>
        <w:rPr>
          <w:rFonts w:hint="eastAsia" w:ascii="宋体" w:hAnsi="宋体" w:eastAsia="宋体" w:cs="宋体"/>
          <w:color w:val="auto"/>
          <w:spacing w:val="2"/>
          <w:kern w:val="2"/>
          <w:sz w:val="21"/>
          <w:szCs w:val="22"/>
          <w:lang w:val="en-US" w:eastAsia="zh-CN"/>
        </w:rPr>
      </w:pPr>
      <w:r>
        <w:rPr>
          <w:rFonts w:hint="default" w:ascii="Times New Roman" w:hAnsi="Times New Roman" w:eastAsia="宋体" w:cs="Times New Roman"/>
          <w:color w:val="auto"/>
          <w:spacing w:val="2"/>
          <w:kern w:val="2"/>
          <w:sz w:val="21"/>
          <w:szCs w:val="22"/>
          <w:lang w:val="en-US" w:eastAsia="zh-CN"/>
        </w:rPr>
        <w:t>复验以封存样进行。如使用单位要求现场取样，应事先在供货合同中规定，并在生产和使用单位人员在场的情况下于现场取混合样，复验按照型式检验项目</w:t>
      </w:r>
      <w:r>
        <w:rPr>
          <w:rFonts w:hint="eastAsia" w:ascii="Times New Roman" w:hAnsi="Times New Roman" w:cs="Times New Roman"/>
          <w:color w:val="auto"/>
          <w:spacing w:val="2"/>
          <w:kern w:val="2"/>
          <w:sz w:val="21"/>
          <w:szCs w:val="22"/>
          <w:lang w:val="en-US" w:eastAsia="zh-CN"/>
        </w:rPr>
        <w:t>进行</w:t>
      </w:r>
      <w:r>
        <w:rPr>
          <w:rFonts w:hint="default" w:ascii="Times New Roman" w:hAnsi="Times New Roman" w:eastAsia="宋体" w:cs="Times New Roman"/>
          <w:color w:val="auto"/>
          <w:spacing w:val="2"/>
          <w:kern w:val="2"/>
          <w:sz w:val="21"/>
          <w:szCs w:val="22"/>
          <w:lang w:val="en-US" w:eastAsia="zh-CN"/>
        </w:rPr>
        <w:t>。</w:t>
      </w:r>
    </w:p>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Times New Roman" w:hAnsi="Times New Roman"/>
          <w:lang w:val="en-US" w:eastAsia="zh-CN"/>
        </w:rPr>
      </w:pPr>
      <w:bookmarkStart w:id="24" w:name="_Toc25282"/>
      <w:r>
        <w:rPr>
          <w:rFonts w:hint="eastAsia" w:ascii="Times New Roman" w:hAnsi="Times New Roman"/>
          <w:lang w:val="en-US" w:eastAsia="zh-CN"/>
        </w:rPr>
        <w:t>8  产品说明书、包装、运输、贮存</w:t>
      </w:r>
      <w:bookmarkEnd w:id="24"/>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color w:val="000000"/>
          <w:szCs w:val="21"/>
          <w:lang w:val="en-US" w:eastAsia="zh-CN"/>
        </w:rPr>
      </w:pPr>
      <w:r>
        <w:rPr>
          <w:rFonts w:hint="eastAsia" w:ascii="黑体" w:hAnsi="黑体" w:eastAsia="黑体" w:cs="黑体"/>
          <w:color w:val="000000"/>
          <w:szCs w:val="21"/>
          <w:lang w:val="en-US" w:eastAsia="zh-CN"/>
        </w:rPr>
        <w:t>8.1  产品说明书</w:t>
      </w:r>
    </w:p>
    <w:p>
      <w:pPr>
        <w:keepNext w:val="0"/>
        <w:keepLines w:val="0"/>
        <w:pageBreakBefore w:val="0"/>
        <w:widowControl w:val="0"/>
        <w:kinsoku/>
        <w:wordWrap/>
        <w:overflowPunct/>
        <w:topLinePunct w:val="0"/>
        <w:autoSpaceDE/>
        <w:autoSpaceDN/>
        <w:bidi w:val="0"/>
        <w:adjustRightInd/>
        <w:snapToGrid/>
        <w:spacing w:line="240" w:lineRule="auto"/>
        <w:ind w:firstLine="428"/>
        <w:textAlignment w:val="auto"/>
        <w:rPr>
          <w:rFonts w:hint="eastAsia" w:ascii="Times New Roman" w:hAnsi="Times New Roman" w:eastAsia="宋体" w:cs="Times New Roman"/>
          <w:spacing w:val="2"/>
          <w:lang w:val="en-US" w:eastAsia="zh-CN"/>
        </w:rPr>
      </w:pPr>
      <w:r>
        <w:rPr>
          <w:rFonts w:hint="eastAsia" w:ascii="Times New Roman" w:hAnsi="Times New Roman" w:eastAsia="宋体" w:cs="Times New Roman"/>
          <w:spacing w:val="2"/>
          <w:lang w:val="en-US" w:eastAsia="zh-CN"/>
        </w:rPr>
        <w:t>产品出厂时，生产厂应提供产品说明书，产品说明书应包括下列内容。</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0"/>
        <w:textAlignment w:val="auto"/>
        <w:rPr>
          <w:rFonts w:hint="eastAsia" w:ascii="Times New Roman" w:hAnsi="Times New Roman" w:eastAsia="宋体" w:cs="Times New Roman"/>
          <w:spacing w:val="2"/>
          <w:lang w:val="en-US" w:eastAsia="zh-CN"/>
        </w:rPr>
      </w:pPr>
      <w:r>
        <w:rPr>
          <w:rFonts w:hint="eastAsia" w:ascii="Times New Roman" w:hAnsi="Times New Roman" w:eastAsia="宋体" w:cs="Times New Roman"/>
          <w:spacing w:val="2"/>
          <w:lang w:val="en-US" w:eastAsia="zh-CN"/>
        </w:rPr>
        <w:t>生产厂名称；</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0"/>
        <w:textAlignment w:val="auto"/>
        <w:rPr>
          <w:rFonts w:hint="default" w:ascii="Times New Roman" w:hAnsi="Times New Roman" w:eastAsia="宋体" w:cs="Times New Roman"/>
          <w:spacing w:val="2"/>
          <w:lang w:val="en-US" w:eastAsia="zh-CN"/>
        </w:rPr>
      </w:pPr>
      <w:r>
        <w:rPr>
          <w:rFonts w:hint="eastAsia" w:ascii="Times New Roman" w:hAnsi="Times New Roman" w:eastAsia="宋体" w:cs="Times New Roman"/>
          <w:spacing w:val="2"/>
          <w:lang w:val="en-US" w:eastAsia="zh-CN"/>
        </w:rPr>
        <w:t>产品名称及类型；</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0"/>
        <w:textAlignment w:val="auto"/>
        <w:rPr>
          <w:rFonts w:hint="default" w:ascii="Times New Roman" w:hAnsi="Times New Roman" w:eastAsia="宋体" w:cs="Times New Roman"/>
          <w:spacing w:val="2"/>
          <w:lang w:val="en-US" w:eastAsia="zh-CN"/>
        </w:rPr>
      </w:pPr>
      <w:r>
        <w:rPr>
          <w:rFonts w:hint="eastAsia" w:ascii="Times New Roman" w:hAnsi="Times New Roman" w:eastAsia="宋体" w:cs="Times New Roman"/>
          <w:spacing w:val="2"/>
          <w:lang w:val="en-US" w:eastAsia="zh-CN"/>
        </w:rPr>
        <w:t>产品性能特点及技术指标；</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0"/>
        <w:textAlignment w:val="auto"/>
        <w:rPr>
          <w:rFonts w:hint="default" w:ascii="Times New Roman" w:hAnsi="Times New Roman" w:eastAsia="宋体" w:cs="Times New Roman"/>
          <w:spacing w:val="2"/>
          <w:lang w:val="en-US" w:eastAsia="zh-CN"/>
        </w:rPr>
      </w:pPr>
      <w:r>
        <w:rPr>
          <w:rFonts w:hint="eastAsia" w:ascii="Times New Roman" w:hAnsi="Times New Roman" w:eastAsia="宋体" w:cs="Times New Roman"/>
          <w:spacing w:val="2"/>
          <w:lang w:val="en-US" w:eastAsia="zh-CN"/>
        </w:rPr>
        <w:t>推荐掺量；</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0"/>
        <w:textAlignment w:val="auto"/>
        <w:rPr>
          <w:rFonts w:hint="default" w:ascii="Times New Roman" w:hAnsi="Times New Roman" w:eastAsia="宋体" w:cs="Times New Roman"/>
          <w:spacing w:val="2"/>
          <w:lang w:val="en-US" w:eastAsia="zh-CN"/>
        </w:rPr>
      </w:pPr>
      <w:r>
        <w:rPr>
          <w:rFonts w:hint="eastAsia" w:ascii="Times New Roman" w:hAnsi="Times New Roman" w:eastAsia="宋体" w:cs="Times New Roman"/>
          <w:spacing w:val="2"/>
          <w:lang w:val="en-US" w:eastAsia="zh-CN"/>
        </w:rPr>
        <w:t>使用方法、注意事项、安全防护提示等。</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color w:val="000000"/>
          <w:szCs w:val="21"/>
          <w:lang w:val="en-US" w:eastAsia="zh-CN"/>
        </w:rPr>
      </w:pPr>
      <w:r>
        <w:rPr>
          <w:rFonts w:hint="eastAsia" w:ascii="黑体" w:hAnsi="黑体" w:eastAsia="黑体" w:cs="黑体"/>
          <w:color w:val="000000"/>
          <w:szCs w:val="21"/>
          <w:lang w:val="en-US" w:eastAsia="zh-CN"/>
        </w:rPr>
        <w:t>8.2 包装</w:t>
      </w:r>
    </w:p>
    <w:p>
      <w:pPr>
        <w:keepNext w:val="0"/>
        <w:keepLines w:val="0"/>
        <w:pageBreakBefore w:val="0"/>
        <w:widowControl w:val="0"/>
        <w:kinsoku/>
        <w:wordWrap/>
        <w:overflowPunct/>
        <w:topLinePunct w:val="0"/>
        <w:autoSpaceDE/>
        <w:autoSpaceDN/>
        <w:bidi w:val="0"/>
        <w:adjustRightInd/>
        <w:snapToGrid/>
        <w:spacing w:line="240" w:lineRule="auto"/>
        <w:ind w:firstLine="428"/>
        <w:textAlignment w:val="auto"/>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spacing w:val="2"/>
        </w:rPr>
        <w:t>应密封包装，符合GB/T 191的规定，应采用洁净的塑胶桶包装，包装桶应牢固无泄漏，每桶的净含量根据用户的要求商定，包装净质量误差不超过1 %。也可以根据用户的要求协商决定其他包装形式。产品外包装上应清晰的注明以下内容：产品名称与类型、执行标准、生产企业名称、地址、产品规格型号、出厂编号、净质量、生产日期及贮存条件</w:t>
      </w:r>
      <w:r>
        <w:rPr>
          <w:rFonts w:hint="default" w:ascii="Times New Roman" w:hAnsi="Times New Roman" w:eastAsia="宋体" w:cs="Times New Roman"/>
          <w:color w:val="000000"/>
          <w:szCs w:val="21"/>
          <w:lang w:val="en-US" w:eastAsia="zh-CN"/>
        </w:rPr>
        <w:t>及贮存期等。</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color w:val="000000"/>
          <w:szCs w:val="21"/>
          <w:lang w:val="en-US" w:eastAsia="zh-CN"/>
        </w:rPr>
      </w:pPr>
      <w:r>
        <w:rPr>
          <w:rFonts w:hint="eastAsia" w:ascii="黑体" w:hAnsi="黑体" w:eastAsia="黑体" w:cs="黑体"/>
          <w:color w:val="000000"/>
          <w:szCs w:val="21"/>
          <w:lang w:val="en-US" w:eastAsia="zh-CN"/>
        </w:rPr>
        <w:t>8.3  运输</w:t>
      </w:r>
    </w:p>
    <w:p>
      <w:pPr>
        <w:keepNext w:val="0"/>
        <w:keepLines w:val="0"/>
        <w:pageBreakBefore w:val="0"/>
        <w:widowControl w:val="0"/>
        <w:kinsoku/>
        <w:wordWrap/>
        <w:overflowPunct/>
        <w:topLinePunct w:val="0"/>
        <w:autoSpaceDE/>
        <w:autoSpaceDN/>
        <w:bidi w:val="0"/>
        <w:adjustRightInd/>
        <w:snapToGrid/>
        <w:spacing w:line="240" w:lineRule="auto"/>
        <w:ind w:firstLine="428"/>
        <w:textAlignment w:val="auto"/>
        <w:rPr>
          <w:rFonts w:hint="default" w:ascii="Times New Roman" w:hAnsi="Times New Roman" w:eastAsia="宋体" w:cs="Times New Roman"/>
          <w:spacing w:val="2"/>
        </w:rPr>
      </w:pPr>
      <w:r>
        <w:rPr>
          <w:rFonts w:hint="eastAsia" w:cs="Times New Roman"/>
          <w:spacing w:val="2"/>
          <w:lang w:eastAsia="zh-CN"/>
        </w:rPr>
        <w:t>机制砂混凝土用增强调节剂</w:t>
      </w:r>
      <w:r>
        <w:rPr>
          <w:rFonts w:hint="eastAsia" w:ascii="Times New Roman" w:hAnsi="Times New Roman" w:eastAsia="宋体" w:cs="Times New Roman"/>
          <w:spacing w:val="2"/>
        </w:rPr>
        <w:t>产品可采用常规运输方式和工具运输。运输、装卸过程中，应整齐码装，包装不得破损，应防潮、防雨、防曝晒。</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color w:val="000000"/>
          <w:szCs w:val="21"/>
          <w:lang w:val="en-US" w:eastAsia="zh-CN"/>
        </w:rPr>
      </w:pPr>
      <w:r>
        <w:rPr>
          <w:rFonts w:hint="eastAsia" w:ascii="黑体" w:hAnsi="黑体" w:eastAsia="黑体" w:cs="黑体"/>
          <w:color w:val="000000"/>
          <w:szCs w:val="21"/>
          <w:lang w:val="en-US" w:eastAsia="zh-CN"/>
        </w:rPr>
        <w:t>8.4  贮存</w:t>
      </w:r>
    </w:p>
    <w:p>
      <w:pPr>
        <w:keepNext w:val="0"/>
        <w:keepLines w:val="0"/>
        <w:pageBreakBefore w:val="0"/>
        <w:widowControl w:val="0"/>
        <w:kinsoku/>
        <w:wordWrap/>
        <w:overflowPunct/>
        <w:topLinePunct w:val="0"/>
        <w:autoSpaceDE/>
        <w:autoSpaceDN/>
        <w:bidi w:val="0"/>
        <w:adjustRightInd/>
        <w:snapToGrid/>
        <w:spacing w:line="240" w:lineRule="auto"/>
        <w:ind w:firstLine="428"/>
        <w:textAlignment w:val="auto"/>
        <w:rPr>
          <w:rFonts w:hint="eastAsia" w:ascii="Times New Roman" w:hAnsi="Times New Roman" w:eastAsia="宋体" w:cs="Times New Roman"/>
          <w:spacing w:val="2"/>
        </w:rPr>
      </w:pPr>
      <w:r>
        <w:rPr>
          <w:rFonts w:hint="eastAsia" w:ascii="Times New Roman" w:hAnsi="Times New Roman" w:eastAsia="宋体" w:cs="Times New Roman"/>
          <w:spacing w:val="2"/>
        </w:rPr>
        <w:t>产品存放时，应保持通风、防冻，防止与腐蚀性介质接触，防止日光直接照射。产品应按型号、规格分类贮存，贮存期限不得超过产品保质期。</w:t>
      </w:r>
    </w:p>
    <w:p>
      <w:pPr>
        <w:pStyle w:val="32"/>
        <w:ind w:firstLine="0" w:firstLineChars="0"/>
      </w:pPr>
      <w: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223520</wp:posOffset>
                </wp:positionV>
                <wp:extent cx="1676400" cy="0"/>
                <wp:effectExtent l="9525" t="13970" r="9525" b="508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pt;margin-top:17.6pt;height:0pt;width:132pt;z-index:251660288;mso-width-relative:page;mso-height-relative:page;" filled="f" stroked="t" coordsize="21600,21600" o:gfxdata="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4egrd1gAAAAkB&#10;AAAPAAAAAAAAAAEAIAAAACIAAABkcnMvZG93bnJldi54bWxQSwECFAAUAAAACACHTuJAlYTv7+QB&#10;AACqAwAADgAAAAAAAAABACAAAAAlAQAAZHJzL2Uyb0RvYy54bWxQSwUGAAAAAAYABgBZAQAAewUA&#10;AAAA&#10;">
                <v:fill on="f" focussize="0,0"/>
                <v:stroke color="#000000" joinstyle="round"/>
                <v:imagedata o:title=""/>
                <o:lock v:ext="edit" aspectratio="f"/>
              </v:line>
            </w:pict>
          </mc:Fallback>
        </mc:AlternateContent>
      </w:r>
    </w:p>
    <w:p>
      <w:pPr>
        <w:pStyle w:val="32"/>
        <w:ind w:firstLine="0" w:firstLineChars="0"/>
        <w:jc w:val="left"/>
        <w:rPr>
          <w:rFonts w:ascii="Times New Roman"/>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9969492"/>
    </w:sdtPr>
    <w:sdtContent>
      <w:p>
        <w:pPr>
          <w:pStyle w:val="10"/>
          <w:ind w:firstLine="360"/>
          <w:jc w:val="center"/>
        </w:pPr>
        <w:r>
          <w:fldChar w:fldCharType="begin"/>
        </w:r>
        <w:r>
          <w:instrText xml:space="preserve">PAGE   \* MERGEFORMAT</w:instrText>
        </w:r>
        <w:r>
          <w:fldChar w:fldCharType="separate"/>
        </w:r>
        <w:r>
          <w:rPr>
            <w:lang w:val="zh-CN"/>
          </w:rPr>
          <w:t>5</w:t>
        </w:r>
        <w:r>
          <w:fldChar w:fldCharType="end"/>
        </w:r>
      </w:p>
    </w:sdtContent>
  </w:sdt>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5389679"/>
    </w:sdtPr>
    <w:sdtContent>
      <w:p>
        <w:pPr>
          <w:pStyle w:val="10"/>
          <w:ind w:firstLine="360"/>
          <w:jc w:val="center"/>
        </w:pPr>
        <w:r>
          <w:fldChar w:fldCharType="begin"/>
        </w:r>
        <w:r>
          <w:instrText xml:space="preserve">PAGE   \* MERGEFORMAT</w:instrText>
        </w:r>
        <w:r>
          <w:fldChar w:fldCharType="separate"/>
        </w:r>
        <w:r>
          <w:rPr>
            <w:lang w:val="zh-CN"/>
          </w:rPr>
          <w:t>4</w:t>
        </w:r>
        <w:r>
          <w:fldChar w:fldCharType="end"/>
        </w:r>
      </w:p>
    </w:sdtContent>
  </w:sdt>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20"/>
      </w:pPr>
      <w:r>
        <w:separator/>
      </w:r>
    </w:p>
  </w:footnote>
  <w:footnote w:type="continuationSeparator" w:id="1">
    <w:p>
      <w:pPr>
        <w:spacing w:line="30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16"/>
      <w:jc w:val="left"/>
      <w:rPr>
        <w:rFonts w:cs="Times New Roman"/>
        <w:szCs w:val="21"/>
      </w:rPr>
    </w:pPr>
    <w:r>
      <w:rPr>
        <w:rFonts w:cs="Times New Roman"/>
        <w:spacing w:val="-1"/>
        <w:szCs w:val="21"/>
      </w:rPr>
      <w:t>T/CECS</w:t>
    </w:r>
    <w:r>
      <w:rPr>
        <w:rFonts w:cs="Times New Roman"/>
        <w:szCs w:val="21"/>
      </w:rPr>
      <w:t xml:space="preserve">  ×××××—20××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16"/>
      <w:jc w:val="right"/>
      <w:rPr>
        <w:rFonts w:cs="Times New Roman"/>
      </w:rPr>
    </w:pPr>
    <w:r>
      <w:rPr>
        <w:rFonts w:cs="Times New Roman"/>
        <w:spacing w:val="-1"/>
      </w:rPr>
      <w:t>T/CECS</w:t>
    </w:r>
    <w:r>
      <w:rPr>
        <w:rFonts w:cs="Times New Roman"/>
      </w:rPr>
      <w:t xml:space="preserve">  </w:t>
    </w:r>
    <w:r>
      <w:rPr>
        <w:rFonts w:cs="Times New Roman"/>
        <w:sz w:val="28"/>
      </w:rPr>
      <w:t>×××××</w:t>
    </w:r>
    <w:r>
      <w:rPr>
        <w:rFonts w:cs="Times New Roman"/>
      </w:rPr>
      <w:t>—20</w:t>
    </w:r>
    <w:r>
      <w:rPr>
        <w:rFonts w:cs="Times New Roman"/>
        <w:sz w:val="2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F03015"/>
    <w:multiLevelType w:val="singleLevel"/>
    <w:tmpl w:val="ACF03015"/>
    <w:lvl w:ilvl="0" w:tentative="0">
      <w:start w:val="1"/>
      <w:numFmt w:val="lowerLetter"/>
      <w:suff w:val="nothing"/>
      <w:lvlText w:val="%1）"/>
      <w:lvlJc w:val="left"/>
      <w:pPr>
        <w:ind w:left="0" w:firstLine="400"/>
      </w:pPr>
      <w:rPr>
        <w:rFonts w:hint="default" w:ascii="Times New Roman" w:hAnsi="Times New Roman" w:eastAsia="宋体" w:cs="Times New Roman"/>
      </w:rPr>
    </w:lvl>
  </w:abstractNum>
  <w:abstractNum w:abstractNumId="1">
    <w:nsid w:val="DFE854A5"/>
    <w:multiLevelType w:val="singleLevel"/>
    <w:tmpl w:val="DFE854A5"/>
    <w:lvl w:ilvl="0" w:tentative="0">
      <w:start w:val="1"/>
      <w:numFmt w:val="lowerLetter"/>
      <w:suff w:val="nothing"/>
      <w:lvlText w:val="%1）"/>
      <w:lvlJc w:val="left"/>
      <w:pPr>
        <w:tabs>
          <w:tab w:val="left" w:pos="0"/>
        </w:tabs>
        <w:ind w:left="0" w:firstLine="420"/>
      </w:pPr>
      <w:rPr>
        <w:rFonts w:hint="default" w:ascii="宋体" w:hAnsi="宋体" w:eastAsia="宋体" w:cs="宋体"/>
      </w:rPr>
    </w:lvl>
  </w:abstractNum>
  <w:abstractNum w:abstractNumId="2">
    <w:nsid w:val="00000010"/>
    <w:multiLevelType w:val="multilevel"/>
    <w:tmpl w:val="00000010"/>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8"/>
        <w:szCs w:val="28"/>
      </w:rPr>
    </w:lvl>
    <w:lvl w:ilvl="2" w:tentative="0">
      <w:start w:val="1"/>
      <w:numFmt w:val="decimal"/>
      <w:pStyle w:val="35"/>
      <w:suff w:val="nothing"/>
      <w:lvlText w:val="%1%2.%3　"/>
      <w:lvlJc w:val="left"/>
      <w:pPr>
        <w:ind w:left="0" w:firstLine="0"/>
      </w:pPr>
      <w:rPr>
        <w:rFonts w:hint="eastAsia" w:ascii="黑体" w:hAnsi="Times New Roman" w:eastAsia="黑体"/>
        <w:b w:val="0"/>
        <w:i w:val="0"/>
        <w:sz w:val="21"/>
      </w:rPr>
    </w:lvl>
    <w:lvl w:ilvl="3" w:tentative="0">
      <w:start w:val="1"/>
      <w:numFmt w:val="decimal"/>
      <w:pStyle w:val="34"/>
      <w:suff w:val="nothing"/>
      <w:lvlText w:val="%1%2.%3.%4　"/>
      <w:lvlJc w:val="left"/>
      <w:pPr>
        <w:ind w:left="127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162F3183"/>
    <w:multiLevelType w:val="multilevel"/>
    <w:tmpl w:val="162F3183"/>
    <w:lvl w:ilvl="0" w:tentative="0">
      <w:start w:val="1"/>
      <w:numFmt w:val="decimal"/>
      <w:lvlText w:val="%1"/>
      <w:lvlJc w:val="left"/>
      <w:pPr>
        <w:ind w:left="425" w:hanging="425"/>
      </w:pPr>
      <w:rPr>
        <w:rFonts w:hint="eastAsia" w:ascii="黑体" w:hAnsi="黑体" w:eastAsia="宋体"/>
        <w:b w:val="0"/>
        <w:bCs/>
      </w:rPr>
    </w:lvl>
    <w:lvl w:ilvl="1" w:tentative="0">
      <w:start w:val="1"/>
      <w:numFmt w:val="decimal"/>
      <w:lvlText w:val="%1.%2"/>
      <w:lvlJc w:val="left"/>
      <w:pPr>
        <w:tabs>
          <w:tab w:val="left" w:pos="567"/>
        </w:tabs>
        <w:ind w:left="567" w:hanging="567"/>
      </w:pPr>
      <w:rPr>
        <w:rFonts w:hint="eastAsia" w:ascii="黑体" w:hAnsi="黑体" w:eastAsia="宋体"/>
        <w:b w:val="0"/>
        <w:bCs/>
      </w:rPr>
    </w:lvl>
    <w:lvl w:ilvl="2" w:tentative="0">
      <w:start w:val="1"/>
      <w:numFmt w:val="decimal"/>
      <w:pStyle w:val="51"/>
      <w:lvlText w:val="%1.%2.%3"/>
      <w:lvlJc w:val="left"/>
      <w:pPr>
        <w:tabs>
          <w:tab w:val="left" w:pos="709"/>
        </w:tabs>
        <w:ind w:left="709" w:hanging="709"/>
      </w:pPr>
      <w:rPr>
        <w:rFonts w:hint="eastAsia" w:ascii="黑体" w:hAnsi="黑体"/>
      </w:rPr>
    </w:lvl>
    <w:lvl w:ilvl="3" w:tentative="0">
      <w:start w:val="1"/>
      <w:numFmt w:val="decimal"/>
      <w:suff w:val="space"/>
      <w:lvlText w:val="%1.%2.%3.%4"/>
      <w:lvlJc w:val="left"/>
      <w:pPr>
        <w:ind w:left="851" w:hanging="851"/>
      </w:pPr>
      <w:rPr>
        <w:rFonts w:hint="eastAsia" w:cs="Times New Roman"/>
        <w:b w:val="0"/>
        <w:bCs w:val="0"/>
        <w:i w:val="0"/>
        <w:iCs w:val="0"/>
        <w:caps w:val="0"/>
        <w:smallCaps w:val="0"/>
        <w:strike w:val="0"/>
        <w:dstrike w:val="0"/>
        <w:vanish w:val="0"/>
        <w:spacing w:val="0"/>
        <w:position w:val="0"/>
        <w:u w:val="none"/>
        <w:vertAlign w:val="baseline"/>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2D3CF667"/>
    <w:multiLevelType w:val="singleLevel"/>
    <w:tmpl w:val="2D3CF667"/>
    <w:lvl w:ilvl="0" w:tentative="0">
      <w:start w:val="1"/>
      <w:numFmt w:val="lowerLetter"/>
      <w:suff w:val="nothing"/>
      <w:lvlText w:val="%1）"/>
      <w:lvlJc w:val="left"/>
    </w:lvl>
  </w:abstractNum>
  <w:abstractNum w:abstractNumId="5">
    <w:nsid w:val="646260FA"/>
    <w:multiLevelType w:val="multilevel"/>
    <w:tmpl w:val="646260FA"/>
    <w:lvl w:ilvl="0" w:tentative="0">
      <w:start w:val="1"/>
      <w:numFmt w:val="decimal"/>
      <w:pStyle w:val="42"/>
      <w:suff w:val="nothing"/>
      <w:lvlText w:val="表%1　"/>
      <w:lvlJc w:val="left"/>
      <w:pPr>
        <w:ind w:left="2694" w:firstLine="0"/>
      </w:pPr>
      <w:rPr>
        <w:rFonts w:hint="eastAsia" w:ascii="黑体" w:hAnsi="Times New Roman" w:eastAsia="黑体"/>
        <w:b w:val="0"/>
        <w:i w:val="0"/>
        <w:sz w:val="21"/>
      </w:rPr>
    </w:lvl>
    <w:lvl w:ilvl="1" w:tentative="0">
      <w:start w:val="1"/>
      <w:numFmt w:val="decimal"/>
      <w:lvlText w:val="%1.%2"/>
      <w:lvlJc w:val="left"/>
      <w:pPr>
        <w:tabs>
          <w:tab w:val="left" w:pos="3686"/>
        </w:tabs>
        <w:ind w:left="3686" w:hanging="567"/>
      </w:pPr>
      <w:rPr>
        <w:rFonts w:hint="eastAsia"/>
      </w:rPr>
    </w:lvl>
    <w:lvl w:ilvl="2" w:tentative="0">
      <w:start w:val="1"/>
      <w:numFmt w:val="decimal"/>
      <w:lvlText w:val="%1.%2.%3"/>
      <w:lvlJc w:val="left"/>
      <w:pPr>
        <w:tabs>
          <w:tab w:val="left" w:pos="4112"/>
        </w:tabs>
        <w:ind w:left="4112" w:hanging="567"/>
      </w:pPr>
      <w:rPr>
        <w:rFonts w:hint="eastAsia"/>
      </w:rPr>
    </w:lvl>
    <w:lvl w:ilvl="3" w:tentative="0">
      <w:start w:val="1"/>
      <w:numFmt w:val="decimal"/>
      <w:lvlText w:val="%1.%2.%3.%4"/>
      <w:lvlJc w:val="left"/>
      <w:pPr>
        <w:tabs>
          <w:tab w:val="left" w:pos="4678"/>
        </w:tabs>
        <w:ind w:left="4678" w:hanging="708"/>
      </w:pPr>
      <w:rPr>
        <w:rFonts w:hint="eastAsia"/>
      </w:rPr>
    </w:lvl>
    <w:lvl w:ilvl="4" w:tentative="0">
      <w:start w:val="1"/>
      <w:numFmt w:val="decimal"/>
      <w:lvlText w:val="%1.%2.%3.%4.%5"/>
      <w:lvlJc w:val="left"/>
      <w:pPr>
        <w:tabs>
          <w:tab w:val="left" w:pos="5245"/>
        </w:tabs>
        <w:ind w:left="5245" w:hanging="850"/>
      </w:pPr>
      <w:rPr>
        <w:rFonts w:hint="eastAsia"/>
      </w:rPr>
    </w:lvl>
    <w:lvl w:ilvl="5" w:tentative="0">
      <w:start w:val="1"/>
      <w:numFmt w:val="decimal"/>
      <w:lvlText w:val="%1.%2.%3.%4.%5.%6"/>
      <w:lvlJc w:val="left"/>
      <w:pPr>
        <w:tabs>
          <w:tab w:val="left" w:pos="5954"/>
        </w:tabs>
        <w:ind w:left="5954" w:hanging="1134"/>
      </w:pPr>
      <w:rPr>
        <w:rFonts w:hint="eastAsia"/>
      </w:rPr>
    </w:lvl>
    <w:lvl w:ilvl="6" w:tentative="0">
      <w:start w:val="1"/>
      <w:numFmt w:val="decimal"/>
      <w:lvlText w:val="%1.%2.%3.%4.%5.%6.%7"/>
      <w:lvlJc w:val="left"/>
      <w:pPr>
        <w:tabs>
          <w:tab w:val="left" w:pos="6521"/>
        </w:tabs>
        <w:ind w:left="6521" w:hanging="1276"/>
      </w:pPr>
      <w:rPr>
        <w:rFonts w:hint="eastAsia"/>
      </w:rPr>
    </w:lvl>
    <w:lvl w:ilvl="7" w:tentative="0">
      <w:start w:val="1"/>
      <w:numFmt w:val="decimal"/>
      <w:lvlText w:val="%1.%2.%3.%4.%5.%6.%7.%8"/>
      <w:lvlJc w:val="left"/>
      <w:pPr>
        <w:tabs>
          <w:tab w:val="left" w:pos="7088"/>
        </w:tabs>
        <w:ind w:left="7088" w:hanging="1418"/>
      </w:pPr>
      <w:rPr>
        <w:rFonts w:hint="eastAsia"/>
      </w:rPr>
    </w:lvl>
    <w:lvl w:ilvl="8" w:tentative="0">
      <w:start w:val="1"/>
      <w:numFmt w:val="decimal"/>
      <w:lvlText w:val="%1.%2.%3.%4.%5.%6.%7.%8.%9"/>
      <w:lvlJc w:val="left"/>
      <w:pPr>
        <w:tabs>
          <w:tab w:val="left" w:pos="7796"/>
        </w:tabs>
        <w:ind w:left="7796" w:hanging="1700"/>
      </w:pPr>
      <w:rPr>
        <w:rFonts w:hint="eastAsia"/>
      </w:rPr>
    </w:lvl>
  </w:abstractNum>
  <w:abstractNum w:abstractNumId="6">
    <w:nsid w:val="657D3FBC"/>
    <w:multiLevelType w:val="multilevel"/>
    <w:tmpl w:val="657D3FBC"/>
    <w:lvl w:ilvl="0" w:tentative="0">
      <w:start w:val="1"/>
      <w:numFmt w:val="upperLetter"/>
      <w:pStyle w:val="36"/>
      <w:suff w:val="nothing"/>
      <w:lvlText w:val="附　录　%1"/>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CEA2025"/>
    <w:multiLevelType w:val="multilevel"/>
    <w:tmpl w:val="6CEA2025"/>
    <w:lvl w:ilvl="0" w:tentative="0">
      <w:start w:val="1"/>
      <w:numFmt w:val="none"/>
      <w:pStyle w:val="37"/>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6"/>
  </w:num>
  <w:num w:numId="3">
    <w:abstractNumId w:val="7"/>
  </w:num>
  <w:num w:numId="4">
    <w:abstractNumId w:val="5"/>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8B4"/>
    <w:rsid w:val="00001036"/>
    <w:rsid w:val="000043A0"/>
    <w:rsid w:val="000061BC"/>
    <w:rsid w:val="00006985"/>
    <w:rsid w:val="00021CC1"/>
    <w:rsid w:val="00023CA5"/>
    <w:rsid w:val="00027069"/>
    <w:rsid w:val="0003144C"/>
    <w:rsid w:val="0004173F"/>
    <w:rsid w:val="00044B18"/>
    <w:rsid w:val="000458E7"/>
    <w:rsid w:val="000466E6"/>
    <w:rsid w:val="000569BE"/>
    <w:rsid w:val="0006002A"/>
    <w:rsid w:val="000601D9"/>
    <w:rsid w:val="00065D76"/>
    <w:rsid w:val="00080486"/>
    <w:rsid w:val="00082062"/>
    <w:rsid w:val="00086A3A"/>
    <w:rsid w:val="00092DE3"/>
    <w:rsid w:val="000A3B86"/>
    <w:rsid w:val="000A4455"/>
    <w:rsid w:val="000A6333"/>
    <w:rsid w:val="000A70DA"/>
    <w:rsid w:val="000C546C"/>
    <w:rsid w:val="000C68B4"/>
    <w:rsid w:val="000C7216"/>
    <w:rsid w:val="000D6C05"/>
    <w:rsid w:val="000F37C7"/>
    <w:rsid w:val="000F42FC"/>
    <w:rsid w:val="000F6F1C"/>
    <w:rsid w:val="000F796C"/>
    <w:rsid w:val="0011130D"/>
    <w:rsid w:val="0011331C"/>
    <w:rsid w:val="00113F41"/>
    <w:rsid w:val="00115633"/>
    <w:rsid w:val="001156E1"/>
    <w:rsid w:val="001307F3"/>
    <w:rsid w:val="001331B0"/>
    <w:rsid w:val="00141D93"/>
    <w:rsid w:val="001476E5"/>
    <w:rsid w:val="00152A34"/>
    <w:rsid w:val="0015793A"/>
    <w:rsid w:val="00164B2C"/>
    <w:rsid w:val="0016781A"/>
    <w:rsid w:val="00173A22"/>
    <w:rsid w:val="00176C9B"/>
    <w:rsid w:val="00177D6D"/>
    <w:rsid w:val="0018178C"/>
    <w:rsid w:val="001833B1"/>
    <w:rsid w:val="00191DCB"/>
    <w:rsid w:val="001966D9"/>
    <w:rsid w:val="001A4BC0"/>
    <w:rsid w:val="001B2599"/>
    <w:rsid w:val="001B2B58"/>
    <w:rsid w:val="001D0FD8"/>
    <w:rsid w:val="001D4747"/>
    <w:rsid w:val="001E682E"/>
    <w:rsid w:val="001F15B3"/>
    <w:rsid w:val="001F7946"/>
    <w:rsid w:val="0021591C"/>
    <w:rsid w:val="00223043"/>
    <w:rsid w:val="00246216"/>
    <w:rsid w:val="00261CC6"/>
    <w:rsid w:val="002622A0"/>
    <w:rsid w:val="00264305"/>
    <w:rsid w:val="0026577B"/>
    <w:rsid w:val="00267865"/>
    <w:rsid w:val="00271539"/>
    <w:rsid w:val="00281CF0"/>
    <w:rsid w:val="002827FD"/>
    <w:rsid w:val="00282947"/>
    <w:rsid w:val="00295D22"/>
    <w:rsid w:val="00297B79"/>
    <w:rsid w:val="002B04A2"/>
    <w:rsid w:val="002B0A55"/>
    <w:rsid w:val="002B1A41"/>
    <w:rsid w:val="002B6D71"/>
    <w:rsid w:val="002B6E43"/>
    <w:rsid w:val="002C406B"/>
    <w:rsid w:val="002C65E4"/>
    <w:rsid w:val="002D2192"/>
    <w:rsid w:val="002D310A"/>
    <w:rsid w:val="002D6CEA"/>
    <w:rsid w:val="002E0DC3"/>
    <w:rsid w:val="002F175D"/>
    <w:rsid w:val="002F562D"/>
    <w:rsid w:val="0030458F"/>
    <w:rsid w:val="00305A81"/>
    <w:rsid w:val="00316BF2"/>
    <w:rsid w:val="00325277"/>
    <w:rsid w:val="00337C8F"/>
    <w:rsid w:val="0034394D"/>
    <w:rsid w:val="003457AA"/>
    <w:rsid w:val="00345F12"/>
    <w:rsid w:val="00354B1C"/>
    <w:rsid w:val="00367F70"/>
    <w:rsid w:val="0037693E"/>
    <w:rsid w:val="003851EB"/>
    <w:rsid w:val="0039473C"/>
    <w:rsid w:val="003961FE"/>
    <w:rsid w:val="003A4B51"/>
    <w:rsid w:val="003B039E"/>
    <w:rsid w:val="003B2DF4"/>
    <w:rsid w:val="003E00A9"/>
    <w:rsid w:val="003F0293"/>
    <w:rsid w:val="00412F33"/>
    <w:rsid w:val="00417BD9"/>
    <w:rsid w:val="004204C1"/>
    <w:rsid w:val="004218C0"/>
    <w:rsid w:val="00426131"/>
    <w:rsid w:val="004450B1"/>
    <w:rsid w:val="00452619"/>
    <w:rsid w:val="004754D3"/>
    <w:rsid w:val="00494631"/>
    <w:rsid w:val="004A00E4"/>
    <w:rsid w:val="004B5F4D"/>
    <w:rsid w:val="004C219A"/>
    <w:rsid w:val="004C6EBA"/>
    <w:rsid w:val="004C7CBF"/>
    <w:rsid w:val="004D41CA"/>
    <w:rsid w:val="004F6C51"/>
    <w:rsid w:val="00525235"/>
    <w:rsid w:val="00526D6D"/>
    <w:rsid w:val="00526F32"/>
    <w:rsid w:val="00537615"/>
    <w:rsid w:val="00552D8C"/>
    <w:rsid w:val="00553823"/>
    <w:rsid w:val="00561146"/>
    <w:rsid w:val="00563CED"/>
    <w:rsid w:val="005668E3"/>
    <w:rsid w:val="00571D6D"/>
    <w:rsid w:val="00572C01"/>
    <w:rsid w:val="00591155"/>
    <w:rsid w:val="00592970"/>
    <w:rsid w:val="005A1528"/>
    <w:rsid w:val="005A2B34"/>
    <w:rsid w:val="005A4668"/>
    <w:rsid w:val="005A6A17"/>
    <w:rsid w:val="005B2641"/>
    <w:rsid w:val="005B67AC"/>
    <w:rsid w:val="005C26AC"/>
    <w:rsid w:val="005C3F95"/>
    <w:rsid w:val="005F5928"/>
    <w:rsid w:val="00607EE8"/>
    <w:rsid w:val="006151FC"/>
    <w:rsid w:val="00615FD4"/>
    <w:rsid w:val="00624E41"/>
    <w:rsid w:val="00630430"/>
    <w:rsid w:val="00634084"/>
    <w:rsid w:val="0064442A"/>
    <w:rsid w:val="006520A5"/>
    <w:rsid w:val="006527EE"/>
    <w:rsid w:val="00665E96"/>
    <w:rsid w:val="0067645A"/>
    <w:rsid w:val="00677A69"/>
    <w:rsid w:val="00677BC4"/>
    <w:rsid w:val="00680346"/>
    <w:rsid w:val="00681EAE"/>
    <w:rsid w:val="00684068"/>
    <w:rsid w:val="00691516"/>
    <w:rsid w:val="00692294"/>
    <w:rsid w:val="00694738"/>
    <w:rsid w:val="00695E8B"/>
    <w:rsid w:val="006A2143"/>
    <w:rsid w:val="006A7B29"/>
    <w:rsid w:val="006B528C"/>
    <w:rsid w:val="006B56D5"/>
    <w:rsid w:val="006B70E1"/>
    <w:rsid w:val="006C6146"/>
    <w:rsid w:val="006E360F"/>
    <w:rsid w:val="006F2400"/>
    <w:rsid w:val="006F3A92"/>
    <w:rsid w:val="006F59AC"/>
    <w:rsid w:val="00721FD5"/>
    <w:rsid w:val="00722CFD"/>
    <w:rsid w:val="00726C9E"/>
    <w:rsid w:val="00736713"/>
    <w:rsid w:val="00736C3B"/>
    <w:rsid w:val="00743642"/>
    <w:rsid w:val="007519C0"/>
    <w:rsid w:val="00770357"/>
    <w:rsid w:val="00793487"/>
    <w:rsid w:val="00797733"/>
    <w:rsid w:val="007A1ED7"/>
    <w:rsid w:val="007A27B1"/>
    <w:rsid w:val="007A6B8F"/>
    <w:rsid w:val="007B496E"/>
    <w:rsid w:val="007B5048"/>
    <w:rsid w:val="007C142A"/>
    <w:rsid w:val="007C1D6A"/>
    <w:rsid w:val="007C6647"/>
    <w:rsid w:val="007C666C"/>
    <w:rsid w:val="007D03CE"/>
    <w:rsid w:val="007D1FA7"/>
    <w:rsid w:val="007E23EE"/>
    <w:rsid w:val="007E2F8D"/>
    <w:rsid w:val="007F333B"/>
    <w:rsid w:val="007F5D67"/>
    <w:rsid w:val="007F6C6A"/>
    <w:rsid w:val="007F7A92"/>
    <w:rsid w:val="00801AAB"/>
    <w:rsid w:val="00802814"/>
    <w:rsid w:val="00803A7C"/>
    <w:rsid w:val="00826DB0"/>
    <w:rsid w:val="008270C9"/>
    <w:rsid w:val="008300A9"/>
    <w:rsid w:val="00840749"/>
    <w:rsid w:val="00844C09"/>
    <w:rsid w:val="008453CE"/>
    <w:rsid w:val="00860D50"/>
    <w:rsid w:val="008649DE"/>
    <w:rsid w:val="00891770"/>
    <w:rsid w:val="00893996"/>
    <w:rsid w:val="008A31BB"/>
    <w:rsid w:val="008A6DE7"/>
    <w:rsid w:val="008C0AF1"/>
    <w:rsid w:val="008C7331"/>
    <w:rsid w:val="008D4687"/>
    <w:rsid w:val="008D79FE"/>
    <w:rsid w:val="008E12A8"/>
    <w:rsid w:val="008E177E"/>
    <w:rsid w:val="008E431F"/>
    <w:rsid w:val="008E6630"/>
    <w:rsid w:val="008F5AF7"/>
    <w:rsid w:val="0090252A"/>
    <w:rsid w:val="009058C9"/>
    <w:rsid w:val="009076FA"/>
    <w:rsid w:val="00912366"/>
    <w:rsid w:val="00917B36"/>
    <w:rsid w:val="009232F7"/>
    <w:rsid w:val="00925E49"/>
    <w:rsid w:val="00926C95"/>
    <w:rsid w:val="00932A2A"/>
    <w:rsid w:val="00945E56"/>
    <w:rsid w:val="00946F59"/>
    <w:rsid w:val="00955942"/>
    <w:rsid w:val="0095754E"/>
    <w:rsid w:val="00960B03"/>
    <w:rsid w:val="00964EDD"/>
    <w:rsid w:val="00980C22"/>
    <w:rsid w:val="00990825"/>
    <w:rsid w:val="00996E24"/>
    <w:rsid w:val="009A3F13"/>
    <w:rsid w:val="009A71DA"/>
    <w:rsid w:val="009A7593"/>
    <w:rsid w:val="009B0483"/>
    <w:rsid w:val="009D7626"/>
    <w:rsid w:val="009F1F90"/>
    <w:rsid w:val="00A01B25"/>
    <w:rsid w:val="00A06455"/>
    <w:rsid w:val="00A07E61"/>
    <w:rsid w:val="00A106C4"/>
    <w:rsid w:val="00A15592"/>
    <w:rsid w:val="00A17D50"/>
    <w:rsid w:val="00A26336"/>
    <w:rsid w:val="00A37950"/>
    <w:rsid w:val="00A37E2F"/>
    <w:rsid w:val="00A40BFB"/>
    <w:rsid w:val="00A509EC"/>
    <w:rsid w:val="00A612F8"/>
    <w:rsid w:val="00A66872"/>
    <w:rsid w:val="00A828F4"/>
    <w:rsid w:val="00AB2A49"/>
    <w:rsid w:val="00AC03AD"/>
    <w:rsid w:val="00AC4FE8"/>
    <w:rsid w:val="00AD3DAD"/>
    <w:rsid w:val="00AD3EC1"/>
    <w:rsid w:val="00AD6304"/>
    <w:rsid w:val="00AE058B"/>
    <w:rsid w:val="00AE3DE6"/>
    <w:rsid w:val="00B04E73"/>
    <w:rsid w:val="00B0565D"/>
    <w:rsid w:val="00B05B48"/>
    <w:rsid w:val="00B074CC"/>
    <w:rsid w:val="00B21DDE"/>
    <w:rsid w:val="00B34764"/>
    <w:rsid w:val="00B40163"/>
    <w:rsid w:val="00B4019A"/>
    <w:rsid w:val="00B47168"/>
    <w:rsid w:val="00B50C41"/>
    <w:rsid w:val="00B57A2F"/>
    <w:rsid w:val="00B636F3"/>
    <w:rsid w:val="00B708B0"/>
    <w:rsid w:val="00B71749"/>
    <w:rsid w:val="00B80894"/>
    <w:rsid w:val="00B878F9"/>
    <w:rsid w:val="00B91CDC"/>
    <w:rsid w:val="00B93E4D"/>
    <w:rsid w:val="00BB49F3"/>
    <w:rsid w:val="00BC1C65"/>
    <w:rsid w:val="00BC4CDF"/>
    <w:rsid w:val="00BC5510"/>
    <w:rsid w:val="00BD4D1B"/>
    <w:rsid w:val="00BD5452"/>
    <w:rsid w:val="00BE4772"/>
    <w:rsid w:val="00BF0B6D"/>
    <w:rsid w:val="00BF5BAF"/>
    <w:rsid w:val="00BF7AB2"/>
    <w:rsid w:val="00C0399E"/>
    <w:rsid w:val="00C07D4A"/>
    <w:rsid w:val="00C158EE"/>
    <w:rsid w:val="00C200DA"/>
    <w:rsid w:val="00C24B03"/>
    <w:rsid w:val="00C2664F"/>
    <w:rsid w:val="00C44785"/>
    <w:rsid w:val="00C44959"/>
    <w:rsid w:val="00C504F2"/>
    <w:rsid w:val="00C62887"/>
    <w:rsid w:val="00C70868"/>
    <w:rsid w:val="00C84410"/>
    <w:rsid w:val="00C952F7"/>
    <w:rsid w:val="00CA1090"/>
    <w:rsid w:val="00CB36AA"/>
    <w:rsid w:val="00CB50F5"/>
    <w:rsid w:val="00CB658D"/>
    <w:rsid w:val="00CB7A83"/>
    <w:rsid w:val="00CC3590"/>
    <w:rsid w:val="00CC6D3A"/>
    <w:rsid w:val="00CD251C"/>
    <w:rsid w:val="00CD5C8B"/>
    <w:rsid w:val="00CE0553"/>
    <w:rsid w:val="00CE7903"/>
    <w:rsid w:val="00CF3C50"/>
    <w:rsid w:val="00CF654F"/>
    <w:rsid w:val="00CF72AE"/>
    <w:rsid w:val="00D04EDB"/>
    <w:rsid w:val="00D10268"/>
    <w:rsid w:val="00D2410E"/>
    <w:rsid w:val="00D30132"/>
    <w:rsid w:val="00D451D6"/>
    <w:rsid w:val="00D47CAA"/>
    <w:rsid w:val="00D51889"/>
    <w:rsid w:val="00D53EAA"/>
    <w:rsid w:val="00D55F9A"/>
    <w:rsid w:val="00D61861"/>
    <w:rsid w:val="00D86636"/>
    <w:rsid w:val="00D901AB"/>
    <w:rsid w:val="00D95FEF"/>
    <w:rsid w:val="00DB60E3"/>
    <w:rsid w:val="00DC4D74"/>
    <w:rsid w:val="00DC6326"/>
    <w:rsid w:val="00DC6FF0"/>
    <w:rsid w:val="00DD77B6"/>
    <w:rsid w:val="00E01590"/>
    <w:rsid w:val="00E02D23"/>
    <w:rsid w:val="00E1154A"/>
    <w:rsid w:val="00E13B8D"/>
    <w:rsid w:val="00E1618C"/>
    <w:rsid w:val="00E27E35"/>
    <w:rsid w:val="00E40817"/>
    <w:rsid w:val="00E52E39"/>
    <w:rsid w:val="00E63434"/>
    <w:rsid w:val="00E664FA"/>
    <w:rsid w:val="00E70D06"/>
    <w:rsid w:val="00E75930"/>
    <w:rsid w:val="00E77214"/>
    <w:rsid w:val="00E86BFD"/>
    <w:rsid w:val="00E9389C"/>
    <w:rsid w:val="00EA65C9"/>
    <w:rsid w:val="00EB089E"/>
    <w:rsid w:val="00EB30F4"/>
    <w:rsid w:val="00EB58E4"/>
    <w:rsid w:val="00EC1A3C"/>
    <w:rsid w:val="00EC415E"/>
    <w:rsid w:val="00EC53B9"/>
    <w:rsid w:val="00EC7793"/>
    <w:rsid w:val="00EC785F"/>
    <w:rsid w:val="00EC79B9"/>
    <w:rsid w:val="00ED26B8"/>
    <w:rsid w:val="00ED7BF2"/>
    <w:rsid w:val="00EE342F"/>
    <w:rsid w:val="00EF4FAC"/>
    <w:rsid w:val="00EF5A93"/>
    <w:rsid w:val="00F02911"/>
    <w:rsid w:val="00F049EA"/>
    <w:rsid w:val="00F1138E"/>
    <w:rsid w:val="00F14288"/>
    <w:rsid w:val="00F37047"/>
    <w:rsid w:val="00F37D5C"/>
    <w:rsid w:val="00F5253D"/>
    <w:rsid w:val="00F57EEA"/>
    <w:rsid w:val="00F62D96"/>
    <w:rsid w:val="00F64867"/>
    <w:rsid w:val="00F72103"/>
    <w:rsid w:val="00F7568C"/>
    <w:rsid w:val="00F8352F"/>
    <w:rsid w:val="00F85AFE"/>
    <w:rsid w:val="00FA1AFA"/>
    <w:rsid w:val="00FB0541"/>
    <w:rsid w:val="00FC1384"/>
    <w:rsid w:val="00FC1C6B"/>
    <w:rsid w:val="00FD1BE2"/>
    <w:rsid w:val="00FD26B2"/>
    <w:rsid w:val="00FE2419"/>
    <w:rsid w:val="00FE2BD4"/>
    <w:rsid w:val="025A3F2A"/>
    <w:rsid w:val="026F3ADD"/>
    <w:rsid w:val="04E66927"/>
    <w:rsid w:val="05705BC7"/>
    <w:rsid w:val="05885EAF"/>
    <w:rsid w:val="06721146"/>
    <w:rsid w:val="06C04B4A"/>
    <w:rsid w:val="06F836BE"/>
    <w:rsid w:val="08752163"/>
    <w:rsid w:val="0BE11C04"/>
    <w:rsid w:val="0C51128E"/>
    <w:rsid w:val="0D26463F"/>
    <w:rsid w:val="0D4C6650"/>
    <w:rsid w:val="0ED85373"/>
    <w:rsid w:val="0F2F4822"/>
    <w:rsid w:val="0F50792B"/>
    <w:rsid w:val="0F893E0B"/>
    <w:rsid w:val="0FCE3F47"/>
    <w:rsid w:val="106E6276"/>
    <w:rsid w:val="12A042B8"/>
    <w:rsid w:val="14FE46B7"/>
    <w:rsid w:val="158F5E01"/>
    <w:rsid w:val="161C2A39"/>
    <w:rsid w:val="16856CBE"/>
    <w:rsid w:val="16B61DCE"/>
    <w:rsid w:val="16FC582C"/>
    <w:rsid w:val="19E868E3"/>
    <w:rsid w:val="1AC50C0E"/>
    <w:rsid w:val="1ACA4F34"/>
    <w:rsid w:val="1BC10230"/>
    <w:rsid w:val="1C7D5B98"/>
    <w:rsid w:val="1DA302EF"/>
    <w:rsid w:val="1E1E03B9"/>
    <w:rsid w:val="1FF06C37"/>
    <w:rsid w:val="20900720"/>
    <w:rsid w:val="20F21DA6"/>
    <w:rsid w:val="21846654"/>
    <w:rsid w:val="22023A3F"/>
    <w:rsid w:val="22CE3069"/>
    <w:rsid w:val="236A31A6"/>
    <w:rsid w:val="247D73DD"/>
    <w:rsid w:val="2552221F"/>
    <w:rsid w:val="272931DB"/>
    <w:rsid w:val="27D00FBE"/>
    <w:rsid w:val="2871410D"/>
    <w:rsid w:val="28D903CC"/>
    <w:rsid w:val="28D91D98"/>
    <w:rsid w:val="2AD176C4"/>
    <w:rsid w:val="2B1759EA"/>
    <w:rsid w:val="2BF07E99"/>
    <w:rsid w:val="2D9702C0"/>
    <w:rsid w:val="2EBA6356"/>
    <w:rsid w:val="2F892E5B"/>
    <w:rsid w:val="324E34B8"/>
    <w:rsid w:val="32B15C9C"/>
    <w:rsid w:val="33907132"/>
    <w:rsid w:val="3495430F"/>
    <w:rsid w:val="349A7FEF"/>
    <w:rsid w:val="349F377F"/>
    <w:rsid w:val="35AF4C0E"/>
    <w:rsid w:val="37971910"/>
    <w:rsid w:val="398523C6"/>
    <w:rsid w:val="3D364887"/>
    <w:rsid w:val="3DA52918"/>
    <w:rsid w:val="3DBF4831"/>
    <w:rsid w:val="3E5B2D82"/>
    <w:rsid w:val="3ED86481"/>
    <w:rsid w:val="3FC71047"/>
    <w:rsid w:val="3FE5360D"/>
    <w:rsid w:val="401B708A"/>
    <w:rsid w:val="42607B17"/>
    <w:rsid w:val="42D630C1"/>
    <w:rsid w:val="442814A0"/>
    <w:rsid w:val="45201EA4"/>
    <w:rsid w:val="45DB348F"/>
    <w:rsid w:val="484F3B1B"/>
    <w:rsid w:val="48E31261"/>
    <w:rsid w:val="496F3F34"/>
    <w:rsid w:val="4BA04A07"/>
    <w:rsid w:val="4C183DBF"/>
    <w:rsid w:val="4D804FA1"/>
    <w:rsid w:val="4E43130C"/>
    <w:rsid w:val="4E6616F1"/>
    <w:rsid w:val="4EFC46F2"/>
    <w:rsid w:val="4F1464EE"/>
    <w:rsid w:val="503A6AE8"/>
    <w:rsid w:val="52065631"/>
    <w:rsid w:val="527C1EE6"/>
    <w:rsid w:val="52B3025F"/>
    <w:rsid w:val="52EE3831"/>
    <w:rsid w:val="536A7F0B"/>
    <w:rsid w:val="53C90B49"/>
    <w:rsid w:val="555E60BF"/>
    <w:rsid w:val="558B3DB4"/>
    <w:rsid w:val="55B03AB4"/>
    <w:rsid w:val="55DB43A8"/>
    <w:rsid w:val="56DA5273"/>
    <w:rsid w:val="57D85AA5"/>
    <w:rsid w:val="58423A15"/>
    <w:rsid w:val="58B63CC4"/>
    <w:rsid w:val="593C5085"/>
    <w:rsid w:val="5AA131CC"/>
    <w:rsid w:val="5C934CB2"/>
    <w:rsid w:val="5CF02A85"/>
    <w:rsid w:val="61B97060"/>
    <w:rsid w:val="62EC6F73"/>
    <w:rsid w:val="649D0DCC"/>
    <w:rsid w:val="653A4702"/>
    <w:rsid w:val="66061D78"/>
    <w:rsid w:val="66877FEC"/>
    <w:rsid w:val="66FF1D0D"/>
    <w:rsid w:val="67321CEC"/>
    <w:rsid w:val="674903BA"/>
    <w:rsid w:val="67FF6B21"/>
    <w:rsid w:val="699329B6"/>
    <w:rsid w:val="6A4D6B82"/>
    <w:rsid w:val="6B667E5A"/>
    <w:rsid w:val="6B766F6E"/>
    <w:rsid w:val="6BBF2716"/>
    <w:rsid w:val="6C1444AE"/>
    <w:rsid w:val="6C342386"/>
    <w:rsid w:val="6CCE465D"/>
    <w:rsid w:val="6F8C2305"/>
    <w:rsid w:val="704962AA"/>
    <w:rsid w:val="723C5327"/>
    <w:rsid w:val="73B00114"/>
    <w:rsid w:val="76703E94"/>
    <w:rsid w:val="782936BB"/>
    <w:rsid w:val="791616FD"/>
    <w:rsid w:val="796057E2"/>
    <w:rsid w:val="798947FE"/>
    <w:rsid w:val="7B520628"/>
    <w:rsid w:val="7EAD7D40"/>
    <w:rsid w:val="7EC60EEE"/>
    <w:rsid w:val="7F0E2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ascii="Times New Roman" w:hAnsi="Times New Roman" w:eastAsia="宋体" w:cstheme="minorBidi"/>
      <w:kern w:val="2"/>
      <w:sz w:val="21"/>
      <w:szCs w:val="22"/>
      <w:lang w:val="en-US" w:eastAsia="zh-CN" w:bidi="ar-SA"/>
    </w:rPr>
  </w:style>
  <w:style w:type="paragraph" w:styleId="2">
    <w:name w:val="heading 1"/>
    <w:basedOn w:val="1"/>
    <w:next w:val="1"/>
    <w:link w:val="28"/>
    <w:qFormat/>
    <w:uiPriority w:val="9"/>
    <w:pPr>
      <w:keepNext/>
      <w:keepLines/>
      <w:spacing w:beforeLines="20" w:afterLines="20"/>
      <w:ind w:firstLine="0" w:firstLineChars="0"/>
      <w:jc w:val="left"/>
      <w:outlineLvl w:val="0"/>
    </w:pPr>
    <w:rPr>
      <w:rFonts w:eastAsia="黑体"/>
      <w:b/>
      <w:bCs/>
      <w:kern w:val="44"/>
      <w:szCs w:val="44"/>
    </w:rPr>
  </w:style>
  <w:style w:type="paragraph" w:styleId="3">
    <w:name w:val="heading 2"/>
    <w:basedOn w:val="1"/>
    <w:next w:val="1"/>
    <w:link w:val="29"/>
    <w:unhideWhenUsed/>
    <w:qFormat/>
    <w:uiPriority w:val="9"/>
    <w:pPr>
      <w:keepNext/>
      <w:keepLines/>
      <w:spacing w:before="260" w:after="260"/>
      <w:ind w:firstLine="0" w:firstLineChars="0"/>
      <w:outlineLvl w:val="1"/>
    </w:pPr>
    <w:rPr>
      <w:rFonts w:ascii="黑体" w:hAnsi="黑体" w:eastAsia="黑体" w:cstheme="majorBidi"/>
      <w:bCs/>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3"/>
    <w:semiHidden/>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Plain Text"/>
    <w:basedOn w:val="1"/>
    <w:qFormat/>
    <w:uiPriority w:val="0"/>
    <w:rPr>
      <w:rFonts w:ascii="宋体" w:hAnsi="Courier New"/>
    </w:rPr>
  </w:style>
  <w:style w:type="paragraph" w:styleId="8">
    <w:name w:val="Date"/>
    <w:basedOn w:val="1"/>
    <w:next w:val="1"/>
    <w:link w:val="49"/>
    <w:semiHidden/>
    <w:unhideWhenUsed/>
    <w:qFormat/>
    <w:uiPriority w:val="99"/>
    <w:pPr>
      <w:ind w:left="100" w:leftChars="2500"/>
    </w:pPr>
  </w:style>
  <w:style w:type="paragraph" w:styleId="9">
    <w:name w:val="Balloon Text"/>
    <w:basedOn w:val="1"/>
    <w:link w:val="25"/>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annotation subject"/>
    <w:basedOn w:val="5"/>
    <w:next w:val="5"/>
    <w:link w:val="24"/>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character" w:styleId="19">
    <w:name w:val="Hyperlink"/>
    <w:basedOn w:val="17"/>
    <w:unhideWhenUsed/>
    <w:qFormat/>
    <w:uiPriority w:val="99"/>
    <w:rPr>
      <w:color w:val="0563C1" w:themeColor="hyperlink"/>
      <w:u w:val="single"/>
      <w14:textFill>
        <w14:solidFill>
          <w14:schemeClr w14:val="hlink"/>
        </w14:solidFill>
      </w14:textFill>
    </w:rPr>
  </w:style>
  <w:style w:type="character" w:styleId="20">
    <w:name w:val="annotation reference"/>
    <w:basedOn w:val="17"/>
    <w:semiHidden/>
    <w:unhideWhenUsed/>
    <w:qFormat/>
    <w:uiPriority w:val="99"/>
    <w:rPr>
      <w:sz w:val="21"/>
      <w:szCs w:val="21"/>
    </w:rPr>
  </w:style>
  <w:style w:type="character" w:customStyle="1" w:styleId="21">
    <w:name w:val="Header Char"/>
    <w:basedOn w:val="17"/>
    <w:link w:val="11"/>
    <w:qFormat/>
    <w:uiPriority w:val="99"/>
    <w:rPr>
      <w:sz w:val="18"/>
      <w:szCs w:val="18"/>
    </w:rPr>
  </w:style>
  <w:style w:type="character" w:customStyle="1" w:styleId="22">
    <w:name w:val="Footer Char"/>
    <w:basedOn w:val="17"/>
    <w:link w:val="10"/>
    <w:qFormat/>
    <w:uiPriority w:val="99"/>
    <w:rPr>
      <w:sz w:val="18"/>
      <w:szCs w:val="18"/>
    </w:rPr>
  </w:style>
  <w:style w:type="character" w:customStyle="1" w:styleId="23">
    <w:name w:val="Comment Text Char"/>
    <w:basedOn w:val="17"/>
    <w:link w:val="5"/>
    <w:semiHidden/>
    <w:qFormat/>
    <w:uiPriority w:val="99"/>
  </w:style>
  <w:style w:type="character" w:customStyle="1" w:styleId="24">
    <w:name w:val="Comment Subject Char"/>
    <w:basedOn w:val="23"/>
    <w:link w:val="14"/>
    <w:semiHidden/>
    <w:qFormat/>
    <w:uiPriority w:val="99"/>
    <w:rPr>
      <w:b/>
      <w:bCs/>
    </w:rPr>
  </w:style>
  <w:style w:type="character" w:customStyle="1" w:styleId="25">
    <w:name w:val="Balloon Text Char"/>
    <w:basedOn w:val="17"/>
    <w:link w:val="9"/>
    <w:semiHidden/>
    <w:qFormat/>
    <w:uiPriority w:val="99"/>
    <w:rPr>
      <w:sz w:val="18"/>
      <w:szCs w:val="18"/>
    </w:rPr>
  </w:style>
  <w:style w:type="character" w:styleId="26">
    <w:name w:val="Placeholder Text"/>
    <w:basedOn w:val="17"/>
    <w:semiHidden/>
    <w:qFormat/>
    <w:uiPriority w:val="99"/>
    <w:rPr>
      <w:color w:val="808080"/>
    </w:rPr>
  </w:style>
  <w:style w:type="paragraph" w:styleId="27">
    <w:name w:val="List Paragraph"/>
    <w:basedOn w:val="1"/>
    <w:qFormat/>
    <w:uiPriority w:val="34"/>
    <w:pPr>
      <w:ind w:firstLine="420"/>
    </w:pPr>
  </w:style>
  <w:style w:type="character" w:customStyle="1" w:styleId="28">
    <w:name w:val="Heading 1 Char"/>
    <w:basedOn w:val="17"/>
    <w:link w:val="2"/>
    <w:qFormat/>
    <w:uiPriority w:val="9"/>
    <w:rPr>
      <w:rFonts w:eastAsia="黑体" w:cstheme="minorBidi"/>
      <w:b/>
      <w:bCs/>
      <w:kern w:val="44"/>
      <w:sz w:val="21"/>
      <w:szCs w:val="44"/>
    </w:rPr>
  </w:style>
  <w:style w:type="character" w:customStyle="1" w:styleId="29">
    <w:name w:val="Heading 2 Char"/>
    <w:basedOn w:val="17"/>
    <w:link w:val="3"/>
    <w:qFormat/>
    <w:uiPriority w:val="9"/>
    <w:rPr>
      <w:rFonts w:ascii="黑体" w:hAnsi="黑体" w:eastAsia="黑体" w:cstheme="majorBidi"/>
      <w:bCs/>
      <w:szCs w:val="32"/>
    </w:rPr>
  </w:style>
  <w:style w:type="character" w:customStyle="1" w:styleId="30">
    <w:name w:val="Heading 3 Char"/>
    <w:basedOn w:val="17"/>
    <w:link w:val="4"/>
    <w:qFormat/>
    <w:uiPriority w:val="9"/>
    <w:rPr>
      <w:b/>
      <w:bCs/>
      <w:sz w:val="32"/>
      <w:szCs w:val="32"/>
    </w:rPr>
  </w:style>
  <w:style w:type="paragraph" w:customStyle="1" w:styleId="31">
    <w:name w:val="TOC 标题1"/>
    <w:basedOn w:val="2"/>
    <w:next w:val="1"/>
    <w:unhideWhenUsed/>
    <w:qFormat/>
    <w:uiPriority w:val="39"/>
    <w:pPr>
      <w:widowControl/>
      <w:spacing w:before="240" w:line="259" w:lineRule="auto"/>
      <w:outlineLvl w:val="9"/>
    </w:pPr>
    <w:rPr>
      <w:rFonts w:asciiTheme="majorHAnsi" w:hAnsiTheme="majorHAnsi" w:eastAsiaTheme="majorEastAsia" w:cstheme="majorBidi"/>
      <w:b w:val="0"/>
      <w:bCs w:val="0"/>
      <w:color w:val="2F5597" w:themeColor="accent1" w:themeShade="BF"/>
      <w:kern w:val="0"/>
      <w:szCs w:val="32"/>
    </w:rPr>
  </w:style>
  <w:style w:type="paragraph" w:customStyle="1" w:styleId="32">
    <w:name w:val="段"/>
    <w:link w:val="38"/>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3">
    <w:name w:val="章标题"/>
    <w:next w:val="32"/>
    <w:qFormat/>
    <w:uiPriority w:val="0"/>
    <w:pPr>
      <w:spacing w:beforeLines="50" w:afterLines="50"/>
      <w:jc w:val="both"/>
      <w:outlineLvl w:val="1"/>
    </w:pPr>
    <w:rPr>
      <w:rFonts w:ascii="黑体" w:hAnsi="Calibri" w:eastAsia="黑体" w:cs="Times New Roman"/>
      <w:sz w:val="21"/>
      <w:lang w:val="en-US" w:eastAsia="zh-CN" w:bidi="ar-SA"/>
    </w:rPr>
  </w:style>
  <w:style w:type="paragraph" w:customStyle="1" w:styleId="34">
    <w:name w:val="二级条标题"/>
    <w:basedOn w:val="35"/>
    <w:next w:val="32"/>
    <w:qFormat/>
    <w:uiPriority w:val="0"/>
    <w:pPr>
      <w:numPr>
        <w:ilvl w:val="3"/>
      </w:numPr>
      <w:outlineLvl w:val="3"/>
    </w:pPr>
  </w:style>
  <w:style w:type="paragraph" w:customStyle="1" w:styleId="35">
    <w:name w:val="一级条标题"/>
    <w:next w:val="32"/>
    <w:qFormat/>
    <w:uiPriority w:val="0"/>
    <w:pPr>
      <w:numPr>
        <w:ilvl w:val="2"/>
        <w:numId w:val="1"/>
      </w:numPr>
      <w:outlineLvl w:val="2"/>
    </w:pPr>
    <w:rPr>
      <w:rFonts w:ascii="Calibri" w:hAnsi="Calibri" w:eastAsia="黑体" w:cs="Times New Roman"/>
      <w:sz w:val="21"/>
      <w:lang w:val="en-US" w:eastAsia="zh-CN" w:bidi="ar-SA"/>
    </w:rPr>
  </w:style>
  <w:style w:type="paragraph" w:customStyle="1" w:styleId="36">
    <w:name w:val="附录标识"/>
    <w:basedOn w:val="37"/>
    <w:qFormat/>
    <w:uiPriority w:val="0"/>
    <w:pPr>
      <w:numPr>
        <w:ilvl w:val="0"/>
        <w:numId w:val="2"/>
      </w:numPr>
      <w:tabs>
        <w:tab w:val="left" w:pos="6405"/>
      </w:tabs>
      <w:spacing w:after="200"/>
    </w:pPr>
    <w:rPr>
      <w:sz w:val="21"/>
    </w:rPr>
  </w:style>
  <w:style w:type="paragraph" w:customStyle="1" w:styleId="37">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38">
    <w:name w:val="段 Char"/>
    <w:link w:val="32"/>
    <w:qFormat/>
    <w:uiPriority w:val="0"/>
    <w:rPr>
      <w:rFonts w:ascii="宋体" w:hAnsi="Calibri"/>
      <w:sz w:val="21"/>
    </w:rPr>
  </w:style>
  <w:style w:type="paragraph" w:customStyle="1" w:styleId="39">
    <w:name w:val="目次、标准名称标题"/>
    <w:basedOn w:val="1"/>
    <w:next w:val="32"/>
    <w:qFormat/>
    <w:uiPriority w:val="0"/>
    <w:pPr>
      <w:keepNext/>
      <w:pageBreakBefore/>
      <w:widowControl/>
      <w:shd w:val="clear" w:color="FFFFFF" w:fill="FFFFFF"/>
      <w:spacing w:before="640" w:after="560" w:line="460" w:lineRule="exact"/>
      <w:ind w:firstLine="0" w:firstLineChars="0"/>
      <w:jc w:val="center"/>
      <w:outlineLvl w:val="0"/>
    </w:pPr>
    <w:rPr>
      <w:rFonts w:ascii="黑体" w:eastAsia="黑体" w:cs="Times New Roman"/>
      <w:kern w:val="0"/>
      <w:sz w:val="32"/>
      <w:szCs w:val="20"/>
    </w:rPr>
  </w:style>
  <w:style w:type="paragraph" w:customStyle="1" w:styleId="40">
    <w:name w:val="四级条标题"/>
    <w:basedOn w:val="1"/>
    <w:next w:val="32"/>
    <w:qFormat/>
    <w:uiPriority w:val="0"/>
    <w:pPr>
      <w:widowControl/>
      <w:spacing w:beforeLines="50" w:afterLines="50" w:line="240" w:lineRule="auto"/>
      <w:ind w:firstLine="0" w:firstLineChars="0"/>
      <w:jc w:val="left"/>
      <w:outlineLvl w:val="5"/>
    </w:pPr>
    <w:rPr>
      <w:rFonts w:ascii="黑体" w:eastAsia="黑体" w:cs="Times New Roman"/>
      <w:kern w:val="0"/>
      <w:szCs w:val="21"/>
    </w:rPr>
  </w:style>
  <w:style w:type="paragraph" w:customStyle="1" w:styleId="41">
    <w:name w:val="五级条标题"/>
    <w:basedOn w:val="40"/>
    <w:next w:val="32"/>
    <w:qFormat/>
    <w:uiPriority w:val="0"/>
    <w:pPr>
      <w:outlineLvl w:val="6"/>
    </w:pPr>
  </w:style>
  <w:style w:type="paragraph" w:customStyle="1" w:styleId="42">
    <w:name w:val="正文表标题"/>
    <w:next w:val="32"/>
    <w:qFormat/>
    <w:uiPriority w:val="0"/>
    <w:pPr>
      <w:numPr>
        <w:ilvl w:val="0"/>
        <w:numId w:val="4"/>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43">
    <w:name w:val="附录二级条标题"/>
    <w:basedOn w:val="1"/>
    <w:next w:val="32"/>
    <w:qFormat/>
    <w:uiPriority w:val="0"/>
    <w:pPr>
      <w:widowControl/>
      <w:tabs>
        <w:tab w:val="left" w:pos="360"/>
      </w:tabs>
      <w:wordWrap w:val="0"/>
      <w:overflowPunct w:val="0"/>
      <w:autoSpaceDE w:val="0"/>
      <w:autoSpaceDN w:val="0"/>
      <w:spacing w:beforeLines="50" w:afterLines="50" w:line="240" w:lineRule="auto"/>
      <w:ind w:firstLine="0" w:firstLineChars="0"/>
      <w:textAlignment w:val="baseline"/>
      <w:outlineLvl w:val="3"/>
    </w:pPr>
    <w:rPr>
      <w:rFonts w:ascii="黑体" w:eastAsia="黑体" w:cs="Times New Roman"/>
      <w:kern w:val="21"/>
      <w:szCs w:val="20"/>
    </w:rPr>
  </w:style>
  <w:style w:type="paragraph" w:customStyle="1" w:styleId="44">
    <w:name w:val="附录三级条标题"/>
    <w:basedOn w:val="43"/>
    <w:next w:val="32"/>
    <w:qFormat/>
    <w:uiPriority w:val="0"/>
    <w:pPr>
      <w:outlineLvl w:val="4"/>
    </w:pPr>
  </w:style>
  <w:style w:type="paragraph" w:customStyle="1" w:styleId="45">
    <w:name w:val="附录四级条标题"/>
    <w:basedOn w:val="44"/>
    <w:next w:val="32"/>
    <w:qFormat/>
    <w:uiPriority w:val="0"/>
    <w:pPr>
      <w:outlineLvl w:val="5"/>
    </w:pPr>
  </w:style>
  <w:style w:type="paragraph" w:customStyle="1" w:styleId="46">
    <w:name w:val="附录五级条标题"/>
    <w:basedOn w:val="45"/>
    <w:next w:val="32"/>
    <w:qFormat/>
    <w:uiPriority w:val="0"/>
    <w:pPr>
      <w:outlineLvl w:val="6"/>
    </w:pPr>
  </w:style>
  <w:style w:type="paragraph" w:customStyle="1" w:styleId="47">
    <w:name w:val="附录章标题"/>
    <w:next w:val="32"/>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48">
    <w:name w:val="附录一级条标题"/>
    <w:basedOn w:val="47"/>
    <w:next w:val="32"/>
    <w:qFormat/>
    <w:uiPriority w:val="0"/>
    <w:pPr>
      <w:autoSpaceDN w:val="0"/>
      <w:spacing w:beforeLines="50" w:afterLines="50"/>
      <w:outlineLvl w:val="2"/>
    </w:pPr>
  </w:style>
  <w:style w:type="character" w:customStyle="1" w:styleId="49">
    <w:name w:val="Date Char"/>
    <w:basedOn w:val="17"/>
    <w:link w:val="8"/>
    <w:semiHidden/>
    <w:qFormat/>
    <w:uiPriority w:val="99"/>
    <w:rPr>
      <w:rFonts w:cstheme="minorBidi"/>
      <w:kern w:val="2"/>
      <w:sz w:val="21"/>
      <w:szCs w:val="22"/>
    </w:rPr>
  </w:style>
  <w:style w:type="paragraph" w:customStyle="1" w:styleId="50">
    <w:name w:val="三级条标题"/>
    <w:basedOn w:val="34"/>
    <w:next w:val="32"/>
    <w:qFormat/>
    <w:uiPriority w:val="0"/>
    <w:pPr>
      <w:numPr>
        <w:ilvl w:val="0"/>
        <w:numId w:val="0"/>
      </w:numPr>
      <w:spacing w:beforeLines="50" w:afterLines="50"/>
      <w:ind w:left="710"/>
      <w:outlineLvl w:val="4"/>
    </w:pPr>
    <w:rPr>
      <w:rFonts w:ascii="黑体" w:hAnsi="Times New Roman"/>
      <w:szCs w:val="21"/>
    </w:rPr>
  </w:style>
  <w:style w:type="paragraph" w:customStyle="1" w:styleId="51">
    <w:name w:val="样式3"/>
    <w:basedOn w:val="27"/>
    <w:qFormat/>
    <w:uiPriority w:val="0"/>
    <w:pPr>
      <w:numPr>
        <w:ilvl w:val="2"/>
        <w:numId w:val="5"/>
      </w:numPr>
      <w:spacing w:before="50" w:beforeLines="50" w:after="50" w:afterLines="50"/>
      <w:ind w:firstLine="0" w:firstLineChars="0"/>
    </w:pPr>
    <w:rPr>
      <w:rFonts w:ascii="黑体" w:hAnsi="黑体" w:eastAsia="黑体"/>
    </w:rPr>
  </w:style>
  <w:style w:type="paragraph" w:customStyle="1" w:styleId="52">
    <w:name w:val="Body text|2"/>
    <w:basedOn w:val="1"/>
    <w:qFormat/>
    <w:uiPriority w:val="0"/>
    <w:pPr>
      <w:spacing w:after="180"/>
    </w:pPr>
    <w:rPr>
      <w:sz w:val="38"/>
      <w:szCs w:val="38"/>
    </w:rPr>
  </w:style>
  <w:style w:type="paragraph" w:customStyle="1" w:styleId="53">
    <w:name w:val="Body text|1"/>
    <w:basedOn w:val="1"/>
    <w:qFormat/>
    <w:uiPriority w:val="0"/>
    <w:pPr>
      <w:spacing w:after="190" w:line="326" w:lineRule="auto"/>
      <w:ind w:firstLine="400"/>
    </w:pPr>
    <w:rPr>
      <w:rFonts w:ascii="宋体" w:hAnsi="宋体" w:cs="宋体"/>
      <w:sz w:val="36"/>
      <w:szCs w:val="36"/>
      <w:lang w:val="zh-TW" w:eastAsia="zh-TW" w:bidi="zh-TW"/>
    </w:rPr>
  </w:style>
  <w:style w:type="paragraph" w:customStyle="1" w:styleId="5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55">
    <w:name w:val="WPSOffice手动目录 1"/>
    <w:qFormat/>
    <w:uiPriority w:val="0"/>
    <w:rPr>
      <w:rFonts w:ascii="Times New Roman" w:hAnsi="Times New Roman" w:eastAsia="宋体" w:cs="Times New Roman"/>
      <w:lang w:val="en-AU"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rotWithShape="0">
          <a:gsLst>
            <a:gs pos="0">
              <a:srgbClr val="FFFFFF"/>
            </a:gs>
            <a:gs pos="100000">
              <a:srgbClr val="FFFFFF"/>
            </a:gs>
          </a:gsLst>
          <a:lin ang="16200000" scaled="1"/>
        </a:gradFill>
        <a:ln w="6350">
          <a:solidFill>
            <a:srgbClr val="FFFFFF"/>
          </a:solidFill>
          <a:miter lim="200000"/>
        </a:ln>
      </a:spPr>
      <a:bodyPr rot="0" vert="horz" wrap="square" lIns="0" tIns="0" rIns="0" bIns="0" anchor="t" anchorCtr="0" upright="1">
        <a:noAutofit/>
      </a:bodyPr>
      <a:lst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DED71A-18C0-45D2-BE2C-83F8DF04658C}">
  <ds:schemaRefs/>
</ds:datastoreItem>
</file>

<file path=docProps/app.xml><?xml version="1.0" encoding="utf-8"?>
<Properties xmlns="http://schemas.openxmlformats.org/officeDocument/2006/extended-properties" xmlns:vt="http://schemas.openxmlformats.org/officeDocument/2006/docPropsVTypes">
  <Template>Normal.dotm</Template>
  <Company>RockTek</Company>
  <Pages>11</Pages>
  <Words>1991</Words>
  <Characters>11351</Characters>
  <Lines>94</Lines>
  <Paragraphs>26</Paragraphs>
  <TotalTime>14</TotalTime>
  <ScaleCrop>false</ScaleCrop>
  <LinksUpToDate>false</LinksUpToDate>
  <CharactersWithSpaces>13316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2020-09-05T03:14:00Z</dcterms:created>
  <dc:creator>lenovo lenovo</dc:creator>
  <cp:lastModifiedBy>麦兜</cp:lastModifiedBy>
  <cp:lastPrinted>2021-12-09T07:57:00Z</cp:lastPrinted>
  <dcterms:modified xsi:type="dcterms:W3CDTF">2022-01-21T09:05:57Z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B8DB2AECB56041A5A7933F9E202FB966</vt:lpwstr>
  </property>
</Properties>
</file>