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0C6B2B" w:rsidRPr="000C6B2B">
        <w:rPr>
          <w:rFonts w:ascii="宋体" w:hAnsi="宋体" w:hint="eastAsia"/>
          <w:b/>
          <w:sz w:val="28"/>
          <w:szCs w:val="32"/>
        </w:rPr>
        <w:t>严酷环境混凝土结构耐久性设计标准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EBC" w:rsidRDefault="00686EBC" w:rsidP="00892971">
      <w:r>
        <w:separator/>
      </w:r>
    </w:p>
  </w:endnote>
  <w:endnote w:type="continuationSeparator" w:id="0">
    <w:p w:rsidR="00686EBC" w:rsidRDefault="00686EBC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EBC" w:rsidRDefault="00686EBC" w:rsidP="00892971">
      <w:r>
        <w:separator/>
      </w:r>
    </w:p>
  </w:footnote>
  <w:footnote w:type="continuationSeparator" w:id="0">
    <w:p w:rsidR="00686EBC" w:rsidRDefault="00686EBC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C6B2B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86EBC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03387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用户</cp:lastModifiedBy>
  <cp:revision>3</cp:revision>
  <dcterms:created xsi:type="dcterms:W3CDTF">2022-03-10T02:51:00Z</dcterms:created>
  <dcterms:modified xsi:type="dcterms:W3CDTF">2022-03-10T02:55:00Z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