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136B5" w:rsidRDefault="00000000">
      <w:pPr>
        <w:pStyle w:val="TOC10"/>
        <w:spacing w:before="0" w:line="240" w:lineRule="auto"/>
        <w:ind w:firstLineChars="0" w:firstLine="0"/>
      </w:pPr>
      <w:bookmarkStart w:id="0" w:name="SectionMark0"/>
      <w:r>
        <w:rPr>
          <w:noProof/>
        </w:rPr>
        <w:drawing>
          <wp:inline distT="0" distB="0" distL="0" distR="0">
            <wp:extent cx="1724025" cy="1104900"/>
            <wp:effectExtent l="0" t="0" r="9525" b="0"/>
            <wp:docPr id="76" name="图片 356"/>
            <wp:cNvGraphicFramePr/>
            <a:graphic xmlns:a="http://schemas.openxmlformats.org/drawingml/2006/main">
              <a:graphicData uri="http://schemas.openxmlformats.org/drawingml/2006/picture">
                <pic:pic xmlns:pic="http://schemas.openxmlformats.org/drawingml/2006/picture">
                  <pic:nvPicPr>
                    <pic:cNvPr id="76" name="图片 356"/>
                    <pic:cNvPicPr/>
                  </pic:nvPicPr>
                  <pic:blipFill>
                    <a:blip r:embed="rId9" cstate="print"/>
                    <a:stretch>
                      <a:fillRect/>
                    </a:stretch>
                  </pic:blipFill>
                  <pic:spPr>
                    <a:xfrm>
                      <a:off x="0" y="0"/>
                      <a:ext cx="1724025" cy="1104900"/>
                    </a:xfrm>
                    <a:prstGeom prst="rect">
                      <a:avLst/>
                    </a:prstGeom>
                    <a:noFill/>
                    <a:ln w="9525">
                      <a:noFill/>
                    </a:ln>
                  </pic:spPr>
                </pic:pic>
              </a:graphicData>
            </a:graphic>
          </wp:inline>
        </w:drawing>
      </w:r>
      <w:r>
        <w:rPr>
          <w:rFonts w:hint="eastAsia"/>
          <w:lang w:val="zh-CN"/>
        </w:rPr>
        <w:t xml:space="preserve">              </w:t>
      </w:r>
      <w:r>
        <w:rPr>
          <w:rFonts w:hint="eastAsia"/>
        </w:rPr>
        <w:t xml:space="preserve">                     </w:t>
      </w:r>
      <w:r>
        <w:rPr>
          <w:rFonts w:hint="eastAsia"/>
          <w:lang w:val="zh-CN"/>
        </w:rPr>
        <w:t xml:space="preserve">   </w:t>
      </w:r>
      <w:r>
        <w:rPr>
          <w:rFonts w:hint="eastAsia"/>
        </w:rPr>
        <w:t xml:space="preserve">   </w:t>
      </w:r>
      <w:r>
        <w:rPr>
          <w:rFonts w:hint="eastAsia"/>
          <w:lang w:val="zh-CN"/>
        </w:rPr>
        <w:t xml:space="preserve"> </w:t>
      </w:r>
      <w:r>
        <w:rPr>
          <w:rFonts w:hint="eastAsia"/>
          <w:sz w:val="21"/>
          <w:szCs w:val="21"/>
        </w:rPr>
        <w:t>T/</w:t>
      </w:r>
      <w:r>
        <w:rPr>
          <w:sz w:val="21"/>
          <w:szCs w:val="21"/>
        </w:rPr>
        <w:t xml:space="preserve">CECS </w:t>
      </w:r>
      <w:r>
        <w:rPr>
          <w:rFonts w:eastAsia="黑体"/>
          <w:b w:val="0"/>
          <w:sz w:val="28"/>
          <w:szCs w:val="28"/>
        </w:rPr>
        <w:t xml:space="preserve">×× </w:t>
      </w:r>
      <w:r>
        <w:rPr>
          <w:sz w:val="21"/>
          <w:szCs w:val="21"/>
        </w:rPr>
        <w:t>— 202</w:t>
      </w:r>
      <w:r>
        <w:rPr>
          <w:rFonts w:hint="eastAsia"/>
          <w:sz w:val="21"/>
          <w:szCs w:val="21"/>
        </w:rPr>
        <w:t>3</w:t>
      </w:r>
    </w:p>
    <w:p w:rsidR="009136B5" w:rsidRDefault="00000000">
      <w:pPr>
        <w:ind w:firstLine="420"/>
      </w:pPr>
      <w:r>
        <w:rPr>
          <w:noProof/>
        </w:rPr>
        <mc:AlternateContent>
          <mc:Choice Requires="wps">
            <w:drawing>
              <wp:anchor distT="0" distB="0" distL="114300" distR="114300" simplePos="0" relativeHeight="251659264" behindDoc="0" locked="0" layoutInCell="1" allowOverlap="1">
                <wp:simplePos x="0" y="0"/>
                <wp:positionH relativeFrom="column">
                  <wp:posOffset>-1162685</wp:posOffset>
                </wp:positionH>
                <wp:positionV relativeFrom="paragraph">
                  <wp:posOffset>97155</wp:posOffset>
                </wp:positionV>
                <wp:extent cx="7560310" cy="0"/>
                <wp:effectExtent l="0" t="0" r="0" b="0"/>
                <wp:wrapNone/>
                <wp:docPr id="1" name="直接箭头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straightConnector1">
                          <a:avLst/>
                        </a:prstGeom>
                        <a:noFill/>
                        <a:ln w="22225">
                          <a:solidFill>
                            <a:srgbClr val="000000"/>
                          </a:solidFill>
                          <a:round/>
                        </a:ln>
                        <a:effectLst/>
                      </wps:spPr>
                      <wps:bodyPr/>
                    </wps:wsp>
                  </a:graphicData>
                </a:graphic>
              </wp:anchor>
            </w:drawing>
          </mc:Choice>
          <mc:Fallback xmlns:wpsCustomData="http://www.wps.cn/officeDocument/2013/wpsCustomData">
            <w:pict>
              <v:shape id="直接箭头连接符 2" o:spid="_x0000_s1026" o:spt="32" type="#_x0000_t32" style="position:absolute;left:0pt;margin-left:-91.55pt;margin-top:7.65pt;height:0pt;width:595.3pt;z-index:251659264;mso-width-relative:page;mso-height-relative:page;" filled="f" stroked="t" coordsize="21600,21600" o:gfxdata="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DNcfz2gAAAAsBAAAPAAAAAAAAAAEAIAAAACIAAABkcnMvZG93bnJldi54&#10;bWxQSwECFAAUAAAACACHTuJAX6WPM/gBAADNAwAADgAAAAAAAAABACAAAAApAQAAZHJzL2Uyb0Rv&#10;Yy54bWxQSwUGAAAAAAYABgBZAQAAkwUAAAAA&#10;">
                <v:fill on="f" focussize="0,0"/>
                <v:stroke weight="1.75pt" color="#000000" joinstyle="round"/>
                <v:imagedata o:title=""/>
                <o:lock v:ext="edit" aspectratio="f"/>
              </v:shape>
            </w:pict>
          </mc:Fallback>
        </mc:AlternateContent>
      </w:r>
    </w:p>
    <w:p w:rsidR="009136B5" w:rsidRDefault="009136B5">
      <w:pPr>
        <w:ind w:firstLineChars="0" w:firstLine="0"/>
        <w:jc w:val="center"/>
        <w:rPr>
          <w:b/>
          <w:sz w:val="52"/>
        </w:rPr>
      </w:pPr>
    </w:p>
    <w:p w:rsidR="009136B5" w:rsidRDefault="00000000">
      <w:pPr>
        <w:ind w:firstLineChars="0" w:firstLine="0"/>
        <w:jc w:val="center"/>
        <w:rPr>
          <w:b/>
          <w:sz w:val="36"/>
        </w:rPr>
      </w:pPr>
      <w:r>
        <w:rPr>
          <w:rFonts w:hint="eastAsia"/>
          <w:b/>
          <w:sz w:val="36"/>
        </w:rPr>
        <w:t>中国工程建设标准化协会标准</w:t>
      </w:r>
    </w:p>
    <w:p w:rsidR="009136B5" w:rsidRDefault="009136B5">
      <w:pPr>
        <w:ind w:firstLineChars="0" w:firstLine="0"/>
        <w:jc w:val="center"/>
        <w:rPr>
          <w:b/>
          <w:sz w:val="52"/>
        </w:rPr>
      </w:pPr>
    </w:p>
    <w:p w:rsidR="009136B5" w:rsidRDefault="009136B5">
      <w:pPr>
        <w:ind w:firstLineChars="0" w:firstLine="0"/>
        <w:jc w:val="center"/>
        <w:rPr>
          <w:b/>
          <w:sz w:val="52"/>
        </w:rPr>
      </w:pPr>
    </w:p>
    <w:p w:rsidR="009136B5" w:rsidRDefault="00000000">
      <w:pPr>
        <w:ind w:firstLineChars="0" w:firstLine="0"/>
        <w:jc w:val="center"/>
        <w:rPr>
          <w:b/>
          <w:sz w:val="52"/>
          <w:lang w:val="zh-CN"/>
        </w:rPr>
      </w:pPr>
      <w:bookmarkStart w:id="1" w:name="_Hlk108547997"/>
      <w:r>
        <w:rPr>
          <w:rFonts w:hint="eastAsia"/>
          <w:b/>
          <w:sz w:val="52"/>
          <w:lang w:val="zh-CN"/>
        </w:rPr>
        <w:t>既有建筑地下逆作增层技术规程</w:t>
      </w:r>
    </w:p>
    <w:p w:rsidR="009136B5" w:rsidRDefault="00000000">
      <w:pPr>
        <w:ind w:firstLine="562"/>
        <w:jc w:val="center"/>
      </w:pPr>
      <w:r>
        <w:rPr>
          <w:rFonts w:hint="eastAsia"/>
          <w:b/>
          <w:sz w:val="28"/>
        </w:rPr>
        <w:t xml:space="preserve">Technical specification for </w:t>
      </w:r>
      <w:r>
        <w:rPr>
          <w:b/>
          <w:sz w:val="28"/>
        </w:rPr>
        <w:t>top-down basement addition beneath existing building</w:t>
      </w:r>
    </w:p>
    <w:bookmarkEnd w:id="1"/>
    <w:p w:rsidR="009136B5" w:rsidRDefault="00000000">
      <w:pPr>
        <w:ind w:firstLineChars="0" w:firstLine="0"/>
        <w:jc w:val="center"/>
        <w:rPr>
          <w:b/>
          <w:sz w:val="40"/>
        </w:rPr>
      </w:pPr>
      <w:r>
        <w:rPr>
          <w:rFonts w:hint="eastAsia"/>
          <w:b/>
          <w:sz w:val="40"/>
        </w:rPr>
        <w:t>（征求意见</w:t>
      </w:r>
      <w:r>
        <w:rPr>
          <w:rFonts w:hint="eastAsia"/>
          <w:b/>
          <w:sz w:val="40"/>
          <w:lang w:val="zh-CN"/>
        </w:rPr>
        <w:t>稿</w:t>
      </w:r>
      <w:r>
        <w:rPr>
          <w:rFonts w:hint="eastAsia"/>
          <w:b/>
          <w:sz w:val="40"/>
        </w:rPr>
        <w:t>）</w:t>
      </w:r>
    </w:p>
    <w:p w:rsidR="009136B5" w:rsidRDefault="009136B5">
      <w:pPr>
        <w:ind w:firstLineChars="0" w:firstLine="0"/>
        <w:jc w:val="center"/>
      </w:pPr>
    </w:p>
    <w:p w:rsidR="009136B5" w:rsidRDefault="009136B5">
      <w:pPr>
        <w:ind w:firstLineChars="0" w:firstLine="0"/>
        <w:jc w:val="center"/>
      </w:pPr>
    </w:p>
    <w:p w:rsidR="009136B5" w:rsidRDefault="009136B5">
      <w:pPr>
        <w:ind w:firstLineChars="0" w:firstLine="0"/>
        <w:jc w:val="center"/>
      </w:pPr>
    </w:p>
    <w:p w:rsidR="009136B5" w:rsidRDefault="009136B5">
      <w:pPr>
        <w:ind w:firstLineChars="0" w:firstLine="0"/>
        <w:jc w:val="center"/>
      </w:pPr>
    </w:p>
    <w:p w:rsidR="009136B5" w:rsidRDefault="009136B5">
      <w:pPr>
        <w:ind w:firstLineChars="0" w:firstLine="0"/>
        <w:jc w:val="center"/>
      </w:pPr>
    </w:p>
    <w:p w:rsidR="009136B5" w:rsidRDefault="009136B5">
      <w:pPr>
        <w:ind w:firstLineChars="0" w:firstLine="0"/>
        <w:jc w:val="center"/>
      </w:pPr>
    </w:p>
    <w:p w:rsidR="009136B5" w:rsidRDefault="009136B5">
      <w:pPr>
        <w:ind w:firstLineChars="0" w:firstLine="0"/>
        <w:jc w:val="center"/>
      </w:pPr>
    </w:p>
    <w:p w:rsidR="009136B5" w:rsidRDefault="009136B5">
      <w:pPr>
        <w:ind w:firstLineChars="0" w:firstLine="0"/>
        <w:jc w:val="center"/>
      </w:pPr>
    </w:p>
    <w:p w:rsidR="009136B5" w:rsidRDefault="009136B5">
      <w:pPr>
        <w:pStyle w:val="2"/>
      </w:pPr>
    </w:p>
    <w:p w:rsidR="009136B5" w:rsidRDefault="009136B5">
      <w:pPr>
        <w:pStyle w:val="2"/>
      </w:pPr>
    </w:p>
    <w:p w:rsidR="009136B5" w:rsidRDefault="009136B5">
      <w:pPr>
        <w:ind w:firstLineChars="0" w:firstLine="0"/>
        <w:jc w:val="center"/>
      </w:pPr>
    </w:p>
    <w:p w:rsidR="009136B5" w:rsidRDefault="009136B5">
      <w:pPr>
        <w:ind w:firstLineChars="0" w:firstLine="0"/>
        <w:jc w:val="center"/>
      </w:pPr>
    </w:p>
    <w:p w:rsidR="009136B5" w:rsidRDefault="00000000">
      <w:pPr>
        <w:spacing w:line="288" w:lineRule="auto"/>
        <w:ind w:firstLineChars="0" w:firstLine="0"/>
        <w:jc w:val="center"/>
        <w:rPr>
          <w:rFonts w:eastAsia="黑体"/>
          <w:b/>
          <w:sz w:val="32"/>
          <w:szCs w:val="32"/>
        </w:rPr>
      </w:pPr>
      <w:r>
        <w:rPr>
          <w:rFonts w:eastAsia="黑体" w:hint="eastAsia"/>
          <w:b/>
          <w:sz w:val="32"/>
          <w:szCs w:val="32"/>
        </w:rPr>
        <w:t>20</w:t>
      </w:r>
      <w:r>
        <w:rPr>
          <w:rFonts w:eastAsia="黑体"/>
          <w:b/>
          <w:sz w:val="32"/>
          <w:szCs w:val="32"/>
        </w:rPr>
        <w:t>2</w:t>
      </w:r>
      <w:r>
        <w:rPr>
          <w:rFonts w:eastAsia="黑体" w:hint="eastAsia"/>
          <w:b/>
          <w:sz w:val="32"/>
          <w:szCs w:val="32"/>
        </w:rPr>
        <w:t xml:space="preserve">3  </w:t>
      </w:r>
      <w:r>
        <w:rPr>
          <w:rFonts w:eastAsia="黑体" w:hint="eastAsia"/>
          <w:b/>
          <w:sz w:val="32"/>
          <w:szCs w:val="32"/>
        </w:rPr>
        <w:t>北京</w:t>
      </w:r>
    </w:p>
    <w:p w:rsidR="009136B5" w:rsidRDefault="009136B5">
      <w:pPr>
        <w:spacing w:line="288" w:lineRule="auto"/>
        <w:ind w:firstLineChars="0" w:firstLine="0"/>
        <w:jc w:val="center"/>
        <w:rPr>
          <w:rFonts w:eastAsia="黑体"/>
          <w:b/>
          <w:sz w:val="32"/>
          <w:szCs w:val="32"/>
        </w:rPr>
      </w:pPr>
    </w:p>
    <w:p w:rsidR="009136B5" w:rsidRDefault="009136B5">
      <w:pPr>
        <w:spacing w:line="288" w:lineRule="auto"/>
        <w:ind w:firstLine="643"/>
        <w:jc w:val="center"/>
        <w:rPr>
          <w:rFonts w:eastAsia="黑体"/>
          <w:b/>
          <w:sz w:val="32"/>
          <w:szCs w:val="32"/>
        </w:rPr>
        <w:sectPr w:rsidR="009136B5">
          <w:headerReference w:type="even" r:id="rId10"/>
          <w:headerReference w:type="default" r:id="rId11"/>
          <w:footerReference w:type="even" r:id="rId12"/>
          <w:footerReference w:type="default" r:id="rId13"/>
          <w:headerReference w:type="first" r:id="rId14"/>
          <w:footerReference w:type="first" r:id="rId15"/>
          <w:pgSz w:w="11907" w:h="16839"/>
          <w:pgMar w:top="1134" w:right="1134" w:bottom="1134" w:left="1418" w:header="567" w:footer="851" w:gutter="0"/>
          <w:pgNumType w:start="1"/>
          <w:cols w:space="720"/>
          <w:docGrid w:type="linesAndChars" w:linePitch="312"/>
        </w:sectPr>
      </w:pPr>
    </w:p>
    <w:p w:rsidR="009136B5" w:rsidRDefault="00000000">
      <w:pPr>
        <w:ind w:firstLine="643"/>
        <w:jc w:val="center"/>
        <w:rPr>
          <w:b/>
          <w:sz w:val="32"/>
          <w:szCs w:val="32"/>
        </w:rPr>
      </w:pPr>
      <w:r>
        <w:rPr>
          <w:rFonts w:hint="eastAsia"/>
          <w:b/>
          <w:sz w:val="32"/>
          <w:szCs w:val="32"/>
        </w:rPr>
        <w:lastRenderedPageBreak/>
        <w:t>前言</w:t>
      </w:r>
    </w:p>
    <w:p w:rsidR="009136B5" w:rsidRDefault="00000000">
      <w:pPr>
        <w:ind w:firstLine="420"/>
      </w:pPr>
      <w:r>
        <w:rPr>
          <w:rFonts w:hint="eastAsia"/>
        </w:rPr>
        <w:t>根据中国工程建设标准化协会《关于印发</w:t>
      </w:r>
      <w:r>
        <w:rPr>
          <w:rFonts w:hint="eastAsia"/>
        </w:rPr>
        <w:t>&lt;</w:t>
      </w:r>
      <w:r>
        <w:t>2020</w:t>
      </w:r>
      <w:r>
        <w:rPr>
          <w:rFonts w:hint="eastAsia"/>
        </w:rPr>
        <w:t>年第二批工程建设协会标准制订、修订计划</w:t>
      </w:r>
      <w:r>
        <w:rPr>
          <w:rFonts w:hint="eastAsia"/>
        </w:rPr>
        <w:t>&gt;</w:t>
      </w:r>
      <w:r>
        <w:rPr>
          <w:rFonts w:hint="eastAsia"/>
        </w:rPr>
        <w:t>的通知》（建标协字</w:t>
      </w:r>
      <w:r>
        <w:t xml:space="preserve">[2020] </w:t>
      </w:r>
      <w:r>
        <w:rPr>
          <w:rFonts w:hint="eastAsia"/>
        </w:rPr>
        <w:t>0</w:t>
      </w:r>
      <w:r>
        <w:t>23</w:t>
      </w:r>
      <w:r>
        <w:rPr>
          <w:rFonts w:hint="eastAsia"/>
        </w:rPr>
        <w:t>号）的要求，规程编制组经广泛调查研究，认真总结实践经验，参考国内外有关标准，并在广泛征求意见的基础上，制定了本规程。</w:t>
      </w:r>
    </w:p>
    <w:p w:rsidR="009136B5" w:rsidRDefault="00000000">
      <w:pPr>
        <w:ind w:firstLine="420"/>
      </w:pPr>
      <w:r>
        <w:rPr>
          <w:rFonts w:hint="eastAsia"/>
        </w:rPr>
        <w:t>本规程共分</w:t>
      </w:r>
      <w:r>
        <w:rPr>
          <w:rFonts w:hint="eastAsia"/>
        </w:rPr>
        <w:t>9</w:t>
      </w:r>
      <w:r>
        <w:rPr>
          <w:rFonts w:hint="eastAsia"/>
        </w:rPr>
        <w:t>章和</w:t>
      </w:r>
      <w:r>
        <w:rPr>
          <w:rFonts w:hint="eastAsia"/>
        </w:rPr>
        <w:t>2</w:t>
      </w:r>
      <w:r>
        <w:rPr>
          <w:rFonts w:hint="eastAsia"/>
        </w:rPr>
        <w:t>个附录，主要技术内容包括</w:t>
      </w:r>
      <w:r>
        <w:rPr>
          <w:rFonts w:hint="eastAsia"/>
        </w:rPr>
        <w:t>.</w:t>
      </w:r>
      <w:r>
        <w:rPr>
          <w:rFonts w:hint="eastAsia"/>
        </w:rPr>
        <w:t>总则、术语和符号、基本规定、托换结构设计、侧向支护设计、新增地下结构设计、施工、监测与验收。</w:t>
      </w:r>
    </w:p>
    <w:p w:rsidR="009136B5" w:rsidRDefault="00000000">
      <w:pPr>
        <w:ind w:firstLine="420"/>
      </w:pPr>
      <w:r>
        <w:rPr>
          <w:rFonts w:hint="eastAsia"/>
        </w:rPr>
        <w:t>本规程的某些内容可能直接或间接涉及专利，本规程的发布机构不承担识别这些专利的责任。</w:t>
      </w:r>
    </w:p>
    <w:p w:rsidR="009136B5" w:rsidRDefault="00000000">
      <w:pPr>
        <w:ind w:firstLine="420"/>
      </w:pPr>
      <w:r>
        <w:rPr>
          <w:rFonts w:hint="eastAsia"/>
        </w:rPr>
        <w:t>本规程由中国工程建设标准化协会地基基础专业委员会归口管理，浙江省建筑设计研究院负责技术内容的解释。执行过程中，请各有关单位结合实际，不断总结经验，并将发现的问题、意见和建议函告浙江省建筑设计研究院</w:t>
      </w:r>
      <w:r>
        <w:t>[</w:t>
      </w:r>
      <w:r>
        <w:rPr>
          <w:rFonts w:hint="eastAsia"/>
        </w:rPr>
        <w:t>地址：浙江省杭州市拱墅区安吉路</w:t>
      </w:r>
      <w:r>
        <w:rPr>
          <w:rFonts w:hint="eastAsia"/>
        </w:rPr>
        <w:t>1</w:t>
      </w:r>
      <w:r>
        <w:t>8</w:t>
      </w:r>
      <w:r>
        <w:rPr>
          <w:rFonts w:hint="eastAsia"/>
        </w:rPr>
        <w:t>号，邮编：</w:t>
      </w:r>
      <w:r>
        <w:t>310006</w:t>
      </w:r>
      <w:r>
        <w:rPr>
          <w:rFonts w:hint="eastAsia"/>
        </w:rPr>
        <w:t>，电子邮箱：</w:t>
      </w:r>
      <w:r>
        <w:rPr>
          <w:rFonts w:hint="eastAsia"/>
        </w:rPr>
        <w:t>dxzc</w:t>
      </w:r>
      <w:r>
        <w:t>-cecs@ziad.cn ]</w:t>
      </w:r>
      <w:r>
        <w:rPr>
          <w:rFonts w:hint="eastAsia"/>
        </w:rPr>
        <w:t>。</w:t>
      </w:r>
    </w:p>
    <w:p w:rsidR="009136B5" w:rsidRDefault="00000000">
      <w:pPr>
        <w:ind w:firstLine="420"/>
      </w:pPr>
      <w:r>
        <w:rPr>
          <w:rFonts w:hint="eastAsia"/>
        </w:rPr>
        <w:t>主编单位：</w:t>
      </w:r>
      <w:r>
        <w:rPr>
          <w:rFonts w:hint="eastAsia"/>
        </w:rPr>
        <w:t xml:space="preserve"> </w:t>
      </w:r>
      <w:r>
        <w:t xml:space="preserve"> </w:t>
      </w:r>
    </w:p>
    <w:p w:rsidR="009136B5" w:rsidRDefault="00000000">
      <w:pPr>
        <w:ind w:firstLine="420"/>
      </w:pPr>
      <w:r>
        <w:rPr>
          <w:rFonts w:hint="eastAsia"/>
        </w:rPr>
        <w:t>参编单位：</w:t>
      </w:r>
      <w:r>
        <w:rPr>
          <w:rFonts w:hint="eastAsia"/>
        </w:rPr>
        <w:t xml:space="preserve">  </w:t>
      </w:r>
    </w:p>
    <w:p w:rsidR="009136B5" w:rsidRDefault="00000000">
      <w:pPr>
        <w:ind w:firstLine="420"/>
      </w:pPr>
      <w:r>
        <w:rPr>
          <w:rFonts w:hint="eastAsia"/>
        </w:rPr>
        <w:t>主要起草人：</w:t>
      </w:r>
    </w:p>
    <w:p w:rsidR="009136B5" w:rsidRDefault="00000000">
      <w:pPr>
        <w:pStyle w:val="affe"/>
        <w:spacing w:line="312" w:lineRule="auto"/>
        <w:ind w:firstLineChars="200" w:firstLine="420"/>
        <w:jc w:val="both"/>
        <w:textAlignment w:val="auto"/>
        <w:rPr>
          <w:rFonts w:ascii="Times New Roman" w:eastAsia="宋体"/>
          <w:kern w:val="2"/>
          <w:sz w:val="21"/>
          <w:szCs w:val="24"/>
        </w:rPr>
      </w:pPr>
      <w:r>
        <w:rPr>
          <w:rFonts w:ascii="Times New Roman" w:eastAsia="宋体" w:hint="eastAsia"/>
          <w:kern w:val="2"/>
          <w:sz w:val="21"/>
          <w:szCs w:val="24"/>
        </w:rPr>
        <w:t>主要审查人：</w:t>
      </w:r>
    </w:p>
    <w:p w:rsidR="009136B5" w:rsidRDefault="009136B5">
      <w:pPr>
        <w:spacing w:line="360" w:lineRule="auto"/>
        <w:ind w:firstLine="420"/>
      </w:pPr>
    </w:p>
    <w:p w:rsidR="009136B5" w:rsidRDefault="009136B5">
      <w:pPr>
        <w:pStyle w:val="TOC1"/>
        <w:spacing w:line="500" w:lineRule="exact"/>
        <w:ind w:firstLine="600"/>
        <w:jc w:val="center"/>
        <w:rPr>
          <w:b w:val="0"/>
          <w:sz w:val="30"/>
          <w:szCs w:val="30"/>
        </w:rPr>
        <w:sectPr w:rsidR="009136B5">
          <w:footerReference w:type="default" r:id="rId16"/>
          <w:pgSz w:w="11907" w:h="16839"/>
          <w:pgMar w:top="1134" w:right="1134" w:bottom="1134" w:left="1418" w:header="567" w:footer="851" w:gutter="0"/>
          <w:pgNumType w:start="1"/>
          <w:cols w:space="720"/>
          <w:docGrid w:type="linesAndChars" w:linePitch="312"/>
        </w:sectPr>
      </w:pPr>
      <w:bookmarkStart w:id="2" w:name="SectionMark4"/>
      <w:bookmarkEnd w:id="0"/>
    </w:p>
    <w:p w:rsidR="009136B5" w:rsidRDefault="009136B5">
      <w:pPr>
        <w:pStyle w:val="TOC1"/>
        <w:spacing w:line="500" w:lineRule="exact"/>
        <w:ind w:firstLineChars="0" w:firstLine="0"/>
        <w:jc w:val="center"/>
        <w:rPr>
          <w:b w:val="0"/>
          <w:sz w:val="30"/>
          <w:szCs w:val="30"/>
        </w:rPr>
      </w:pPr>
    </w:p>
    <w:p w:rsidR="009136B5" w:rsidRDefault="00000000">
      <w:pPr>
        <w:pStyle w:val="TOC1"/>
        <w:spacing w:line="500" w:lineRule="exact"/>
        <w:ind w:firstLineChars="0" w:firstLine="0"/>
        <w:jc w:val="center"/>
        <w:rPr>
          <w:sz w:val="30"/>
          <w:szCs w:val="30"/>
        </w:rPr>
      </w:pPr>
      <w:r>
        <w:rPr>
          <w:sz w:val="30"/>
          <w:szCs w:val="30"/>
        </w:rPr>
        <w:t>目</w:t>
      </w:r>
      <w:r>
        <w:rPr>
          <w:rFonts w:hint="eastAsia"/>
          <w:sz w:val="30"/>
          <w:szCs w:val="30"/>
        </w:rPr>
        <w:t xml:space="preserve">    </w:t>
      </w:r>
      <w:r>
        <w:rPr>
          <w:sz w:val="30"/>
          <w:szCs w:val="30"/>
        </w:rPr>
        <w:t>次</w:t>
      </w:r>
    </w:p>
    <w:p w:rsidR="009136B5" w:rsidRDefault="00000000">
      <w:pPr>
        <w:pStyle w:val="TOC1"/>
        <w:tabs>
          <w:tab w:val="right" w:leader="dot" w:pos="9355"/>
        </w:tabs>
        <w:ind w:firstLine="400"/>
        <w:rPr>
          <w:noProof/>
        </w:rPr>
      </w:pPr>
      <w:r>
        <w:rPr>
          <w:b w:val="0"/>
          <w:bCs w:val="0"/>
          <w:caps w:val="0"/>
          <w:smallCaps/>
        </w:rPr>
        <w:fldChar w:fldCharType="begin"/>
      </w:r>
      <w:r>
        <w:rPr>
          <w:b w:val="0"/>
          <w:bCs w:val="0"/>
          <w:caps w:val="0"/>
          <w:smallCaps/>
        </w:rPr>
        <w:instrText xml:space="preserve"> TOC \o "1-2" \h \z \u </w:instrText>
      </w:r>
      <w:r>
        <w:rPr>
          <w:b w:val="0"/>
          <w:bCs w:val="0"/>
          <w:caps w:val="0"/>
          <w:smallCaps/>
        </w:rPr>
        <w:fldChar w:fldCharType="separate"/>
      </w:r>
      <w:hyperlink w:anchor="_Toc8718" w:history="1">
        <w:r>
          <w:rPr>
            <w:noProof/>
          </w:rPr>
          <w:t>1</w:t>
        </w:r>
        <w:r>
          <w:rPr>
            <w:rFonts w:hint="eastAsia"/>
            <w:noProof/>
          </w:rPr>
          <w:t xml:space="preserve">  </w:t>
        </w:r>
        <w:r>
          <w:rPr>
            <w:noProof/>
          </w:rPr>
          <w:t>总</w:t>
        </w:r>
        <w:r>
          <w:rPr>
            <w:rFonts w:hint="eastAsia"/>
            <w:noProof/>
          </w:rPr>
          <w:t xml:space="preserve">    </w:t>
        </w:r>
        <w:r>
          <w:rPr>
            <w:noProof/>
          </w:rPr>
          <w:t>则</w:t>
        </w:r>
        <w:r>
          <w:rPr>
            <w:noProof/>
          </w:rPr>
          <w:tab/>
        </w:r>
        <w:r>
          <w:rPr>
            <w:noProof/>
          </w:rPr>
          <w:fldChar w:fldCharType="begin"/>
        </w:r>
        <w:r>
          <w:rPr>
            <w:noProof/>
          </w:rPr>
          <w:instrText xml:space="preserve"> PAGEREF _Toc8718 \h </w:instrText>
        </w:r>
        <w:r>
          <w:rPr>
            <w:noProof/>
          </w:rPr>
        </w:r>
        <w:r>
          <w:rPr>
            <w:noProof/>
          </w:rPr>
          <w:fldChar w:fldCharType="separate"/>
        </w:r>
        <w:r w:rsidR="007357A9">
          <w:rPr>
            <w:noProof/>
          </w:rPr>
          <w:t>1</w:t>
        </w:r>
        <w:r>
          <w:rPr>
            <w:noProof/>
          </w:rPr>
          <w:fldChar w:fldCharType="end"/>
        </w:r>
      </w:hyperlink>
    </w:p>
    <w:p w:rsidR="009136B5" w:rsidRDefault="00000000">
      <w:pPr>
        <w:pStyle w:val="TOC1"/>
        <w:tabs>
          <w:tab w:val="right" w:leader="dot" w:pos="9355"/>
        </w:tabs>
        <w:ind w:firstLine="402"/>
        <w:rPr>
          <w:noProof/>
        </w:rPr>
      </w:pPr>
      <w:hyperlink w:anchor="_Toc8020" w:history="1">
        <w:r>
          <w:rPr>
            <w:noProof/>
          </w:rPr>
          <w:t xml:space="preserve">2 </w:t>
        </w:r>
        <w:r>
          <w:rPr>
            <w:rFonts w:hint="eastAsia"/>
            <w:noProof/>
          </w:rPr>
          <w:t xml:space="preserve"> </w:t>
        </w:r>
        <w:r>
          <w:rPr>
            <w:noProof/>
          </w:rPr>
          <w:t>术语和符号</w:t>
        </w:r>
        <w:r>
          <w:rPr>
            <w:noProof/>
          </w:rPr>
          <w:tab/>
        </w:r>
        <w:r>
          <w:rPr>
            <w:noProof/>
          </w:rPr>
          <w:fldChar w:fldCharType="begin"/>
        </w:r>
        <w:r>
          <w:rPr>
            <w:noProof/>
          </w:rPr>
          <w:instrText xml:space="preserve"> PAGEREF _Toc8020 \h </w:instrText>
        </w:r>
        <w:r>
          <w:rPr>
            <w:noProof/>
          </w:rPr>
        </w:r>
        <w:r>
          <w:rPr>
            <w:noProof/>
          </w:rPr>
          <w:fldChar w:fldCharType="separate"/>
        </w:r>
        <w:r w:rsidR="007357A9">
          <w:rPr>
            <w:noProof/>
          </w:rPr>
          <w:t>2</w:t>
        </w:r>
        <w:r>
          <w:rPr>
            <w:noProof/>
          </w:rPr>
          <w:fldChar w:fldCharType="end"/>
        </w:r>
      </w:hyperlink>
    </w:p>
    <w:p w:rsidR="009136B5" w:rsidRDefault="00000000">
      <w:pPr>
        <w:pStyle w:val="TOC2"/>
        <w:tabs>
          <w:tab w:val="clear" w:pos="9345"/>
          <w:tab w:val="right" w:leader="dot" w:pos="9355"/>
        </w:tabs>
        <w:ind w:firstLine="400"/>
        <w:rPr>
          <w:noProof/>
        </w:rPr>
      </w:pPr>
      <w:hyperlink w:anchor="_Toc22993" w:history="1">
        <w:r>
          <w:rPr>
            <w:noProof/>
          </w:rPr>
          <w:t>2.1</w:t>
        </w:r>
        <w:r>
          <w:rPr>
            <w:rFonts w:hint="eastAsia"/>
            <w:noProof/>
          </w:rPr>
          <w:t xml:space="preserve"> </w:t>
        </w:r>
        <w:r>
          <w:rPr>
            <w:noProof/>
          </w:rPr>
          <w:t xml:space="preserve"> </w:t>
        </w:r>
        <w:r>
          <w:rPr>
            <w:rFonts w:hAnsi="黑体"/>
            <w:noProof/>
          </w:rPr>
          <w:t>术语</w:t>
        </w:r>
        <w:r>
          <w:rPr>
            <w:noProof/>
          </w:rPr>
          <w:tab/>
        </w:r>
        <w:r>
          <w:rPr>
            <w:noProof/>
          </w:rPr>
          <w:fldChar w:fldCharType="begin"/>
        </w:r>
        <w:r>
          <w:rPr>
            <w:noProof/>
          </w:rPr>
          <w:instrText xml:space="preserve"> PAGEREF _Toc22993 \h </w:instrText>
        </w:r>
        <w:r>
          <w:rPr>
            <w:noProof/>
          </w:rPr>
        </w:r>
        <w:r>
          <w:rPr>
            <w:noProof/>
          </w:rPr>
          <w:fldChar w:fldCharType="separate"/>
        </w:r>
        <w:r w:rsidR="007357A9">
          <w:rPr>
            <w:noProof/>
          </w:rPr>
          <w:t>2</w:t>
        </w:r>
        <w:r>
          <w:rPr>
            <w:noProof/>
          </w:rPr>
          <w:fldChar w:fldCharType="end"/>
        </w:r>
      </w:hyperlink>
    </w:p>
    <w:p w:rsidR="009136B5" w:rsidRDefault="00000000">
      <w:pPr>
        <w:pStyle w:val="TOC2"/>
        <w:tabs>
          <w:tab w:val="clear" w:pos="9345"/>
          <w:tab w:val="right" w:leader="dot" w:pos="9355"/>
        </w:tabs>
        <w:ind w:firstLine="400"/>
        <w:rPr>
          <w:noProof/>
        </w:rPr>
      </w:pPr>
      <w:hyperlink w:anchor="_Toc22685" w:history="1">
        <w:r>
          <w:rPr>
            <w:noProof/>
          </w:rPr>
          <w:t>2.2</w:t>
        </w:r>
        <w:r>
          <w:rPr>
            <w:rFonts w:hint="eastAsia"/>
            <w:noProof/>
          </w:rPr>
          <w:t xml:space="preserve"> </w:t>
        </w:r>
        <w:r>
          <w:rPr>
            <w:noProof/>
          </w:rPr>
          <w:t xml:space="preserve"> </w:t>
        </w:r>
        <w:r>
          <w:rPr>
            <w:noProof/>
          </w:rPr>
          <w:t>符号</w:t>
        </w:r>
        <w:r>
          <w:rPr>
            <w:noProof/>
          </w:rPr>
          <w:tab/>
        </w:r>
        <w:r>
          <w:rPr>
            <w:noProof/>
          </w:rPr>
          <w:fldChar w:fldCharType="begin"/>
        </w:r>
        <w:r>
          <w:rPr>
            <w:noProof/>
          </w:rPr>
          <w:instrText xml:space="preserve"> PAGEREF _Toc22685 \h </w:instrText>
        </w:r>
        <w:r>
          <w:rPr>
            <w:noProof/>
          </w:rPr>
        </w:r>
        <w:r>
          <w:rPr>
            <w:noProof/>
          </w:rPr>
          <w:fldChar w:fldCharType="separate"/>
        </w:r>
        <w:r w:rsidR="007357A9">
          <w:rPr>
            <w:noProof/>
          </w:rPr>
          <w:t>2</w:t>
        </w:r>
        <w:r>
          <w:rPr>
            <w:noProof/>
          </w:rPr>
          <w:fldChar w:fldCharType="end"/>
        </w:r>
      </w:hyperlink>
    </w:p>
    <w:p w:rsidR="009136B5" w:rsidRDefault="00000000">
      <w:pPr>
        <w:pStyle w:val="TOC1"/>
        <w:tabs>
          <w:tab w:val="right" w:leader="dot" w:pos="9355"/>
        </w:tabs>
        <w:ind w:firstLine="402"/>
        <w:rPr>
          <w:noProof/>
        </w:rPr>
      </w:pPr>
      <w:hyperlink w:anchor="_Toc16869" w:history="1">
        <w:r>
          <w:rPr>
            <w:noProof/>
          </w:rPr>
          <w:t xml:space="preserve">3  </w:t>
        </w:r>
        <w:r>
          <w:rPr>
            <w:noProof/>
          </w:rPr>
          <w:t>基本规定</w:t>
        </w:r>
        <w:r>
          <w:rPr>
            <w:noProof/>
          </w:rPr>
          <w:tab/>
        </w:r>
        <w:r>
          <w:rPr>
            <w:noProof/>
          </w:rPr>
          <w:fldChar w:fldCharType="begin"/>
        </w:r>
        <w:r>
          <w:rPr>
            <w:noProof/>
          </w:rPr>
          <w:instrText xml:space="preserve"> PAGEREF _Toc16869 \h </w:instrText>
        </w:r>
        <w:r>
          <w:rPr>
            <w:noProof/>
          </w:rPr>
        </w:r>
        <w:r>
          <w:rPr>
            <w:noProof/>
          </w:rPr>
          <w:fldChar w:fldCharType="separate"/>
        </w:r>
        <w:r w:rsidR="007357A9">
          <w:rPr>
            <w:noProof/>
          </w:rPr>
          <w:t>4</w:t>
        </w:r>
        <w:r>
          <w:rPr>
            <w:noProof/>
          </w:rPr>
          <w:fldChar w:fldCharType="end"/>
        </w:r>
      </w:hyperlink>
    </w:p>
    <w:p w:rsidR="009136B5" w:rsidRDefault="00000000">
      <w:pPr>
        <w:pStyle w:val="TOC2"/>
        <w:tabs>
          <w:tab w:val="clear" w:pos="9345"/>
          <w:tab w:val="right" w:leader="dot" w:pos="9355"/>
        </w:tabs>
        <w:ind w:firstLine="400"/>
        <w:rPr>
          <w:noProof/>
        </w:rPr>
      </w:pPr>
      <w:hyperlink w:anchor="_Toc17335" w:history="1">
        <w:r>
          <w:rPr>
            <w:noProof/>
          </w:rPr>
          <w:t xml:space="preserve">3.1 </w:t>
        </w:r>
        <w:r>
          <w:rPr>
            <w:rFonts w:hint="eastAsia"/>
            <w:noProof/>
          </w:rPr>
          <w:t xml:space="preserve"> </w:t>
        </w:r>
        <w:r>
          <w:rPr>
            <w:noProof/>
          </w:rPr>
          <w:t>一般规定</w:t>
        </w:r>
        <w:r>
          <w:rPr>
            <w:noProof/>
          </w:rPr>
          <w:tab/>
        </w:r>
        <w:r>
          <w:rPr>
            <w:noProof/>
          </w:rPr>
          <w:fldChar w:fldCharType="begin"/>
        </w:r>
        <w:r>
          <w:rPr>
            <w:noProof/>
          </w:rPr>
          <w:instrText xml:space="preserve"> PAGEREF _Toc17335 \h </w:instrText>
        </w:r>
        <w:r>
          <w:rPr>
            <w:noProof/>
          </w:rPr>
        </w:r>
        <w:r>
          <w:rPr>
            <w:noProof/>
          </w:rPr>
          <w:fldChar w:fldCharType="separate"/>
        </w:r>
        <w:r w:rsidR="007357A9">
          <w:rPr>
            <w:noProof/>
          </w:rPr>
          <w:t>4</w:t>
        </w:r>
        <w:r>
          <w:rPr>
            <w:noProof/>
          </w:rPr>
          <w:fldChar w:fldCharType="end"/>
        </w:r>
      </w:hyperlink>
    </w:p>
    <w:p w:rsidR="009136B5" w:rsidRDefault="00000000">
      <w:pPr>
        <w:pStyle w:val="TOC2"/>
        <w:tabs>
          <w:tab w:val="clear" w:pos="9345"/>
          <w:tab w:val="right" w:leader="dot" w:pos="9355"/>
        </w:tabs>
        <w:ind w:firstLine="400"/>
        <w:rPr>
          <w:noProof/>
        </w:rPr>
      </w:pPr>
      <w:hyperlink w:anchor="_Toc31020" w:history="1">
        <w:r>
          <w:rPr>
            <w:noProof/>
          </w:rPr>
          <w:t xml:space="preserve">3.2 </w:t>
        </w:r>
        <w:r>
          <w:rPr>
            <w:rFonts w:hint="eastAsia"/>
            <w:noProof/>
          </w:rPr>
          <w:t xml:space="preserve"> </w:t>
        </w:r>
        <w:r>
          <w:rPr>
            <w:noProof/>
          </w:rPr>
          <w:t>既有建筑检测与鉴定</w:t>
        </w:r>
        <w:r>
          <w:rPr>
            <w:noProof/>
          </w:rPr>
          <w:tab/>
        </w:r>
        <w:r>
          <w:rPr>
            <w:noProof/>
          </w:rPr>
          <w:fldChar w:fldCharType="begin"/>
        </w:r>
        <w:r>
          <w:rPr>
            <w:noProof/>
          </w:rPr>
          <w:instrText xml:space="preserve"> PAGEREF _Toc31020 \h </w:instrText>
        </w:r>
        <w:r>
          <w:rPr>
            <w:noProof/>
          </w:rPr>
        </w:r>
        <w:r>
          <w:rPr>
            <w:noProof/>
          </w:rPr>
          <w:fldChar w:fldCharType="separate"/>
        </w:r>
        <w:r w:rsidR="007357A9">
          <w:rPr>
            <w:noProof/>
          </w:rPr>
          <w:t>7</w:t>
        </w:r>
        <w:r>
          <w:rPr>
            <w:noProof/>
          </w:rPr>
          <w:fldChar w:fldCharType="end"/>
        </w:r>
      </w:hyperlink>
    </w:p>
    <w:p w:rsidR="009136B5" w:rsidRDefault="00000000">
      <w:pPr>
        <w:pStyle w:val="TOC2"/>
        <w:tabs>
          <w:tab w:val="clear" w:pos="9345"/>
          <w:tab w:val="right" w:leader="dot" w:pos="9355"/>
        </w:tabs>
        <w:ind w:firstLine="400"/>
        <w:rPr>
          <w:noProof/>
        </w:rPr>
      </w:pPr>
      <w:hyperlink w:anchor="_Toc3133" w:history="1">
        <w:r>
          <w:rPr>
            <w:noProof/>
          </w:rPr>
          <w:t xml:space="preserve">3.3 </w:t>
        </w:r>
        <w:r>
          <w:rPr>
            <w:rFonts w:hint="eastAsia"/>
            <w:noProof/>
          </w:rPr>
          <w:t xml:space="preserve"> </w:t>
        </w:r>
        <w:r>
          <w:rPr>
            <w:rFonts w:hint="eastAsia"/>
            <w:noProof/>
          </w:rPr>
          <w:t>环境调查</w:t>
        </w:r>
        <w:r>
          <w:rPr>
            <w:noProof/>
          </w:rPr>
          <w:tab/>
        </w:r>
        <w:r>
          <w:rPr>
            <w:noProof/>
          </w:rPr>
          <w:fldChar w:fldCharType="begin"/>
        </w:r>
        <w:r>
          <w:rPr>
            <w:noProof/>
          </w:rPr>
          <w:instrText xml:space="preserve"> PAGEREF _Toc3133 \h </w:instrText>
        </w:r>
        <w:r>
          <w:rPr>
            <w:noProof/>
          </w:rPr>
        </w:r>
        <w:r>
          <w:rPr>
            <w:noProof/>
          </w:rPr>
          <w:fldChar w:fldCharType="separate"/>
        </w:r>
        <w:r w:rsidR="007357A9">
          <w:rPr>
            <w:noProof/>
          </w:rPr>
          <w:t>8</w:t>
        </w:r>
        <w:r>
          <w:rPr>
            <w:noProof/>
          </w:rPr>
          <w:fldChar w:fldCharType="end"/>
        </w:r>
      </w:hyperlink>
    </w:p>
    <w:p w:rsidR="009136B5" w:rsidRDefault="00000000">
      <w:pPr>
        <w:pStyle w:val="TOC2"/>
        <w:tabs>
          <w:tab w:val="clear" w:pos="9345"/>
          <w:tab w:val="right" w:leader="dot" w:pos="9355"/>
        </w:tabs>
        <w:ind w:firstLine="400"/>
        <w:rPr>
          <w:noProof/>
        </w:rPr>
      </w:pPr>
      <w:hyperlink w:anchor="_Toc19504" w:history="1">
        <w:r>
          <w:rPr>
            <w:noProof/>
          </w:rPr>
          <w:t xml:space="preserve">3.4 </w:t>
        </w:r>
        <w:r>
          <w:rPr>
            <w:rFonts w:hint="eastAsia"/>
            <w:noProof/>
          </w:rPr>
          <w:t xml:space="preserve"> </w:t>
        </w:r>
        <w:r>
          <w:rPr>
            <w:rFonts w:hint="eastAsia"/>
            <w:noProof/>
          </w:rPr>
          <w:t>岩土工程勘察</w:t>
        </w:r>
        <w:r>
          <w:rPr>
            <w:noProof/>
          </w:rPr>
          <w:tab/>
        </w:r>
        <w:r>
          <w:rPr>
            <w:noProof/>
          </w:rPr>
          <w:fldChar w:fldCharType="begin"/>
        </w:r>
        <w:r>
          <w:rPr>
            <w:noProof/>
          </w:rPr>
          <w:instrText xml:space="preserve"> PAGEREF _Toc19504 \h </w:instrText>
        </w:r>
        <w:r>
          <w:rPr>
            <w:noProof/>
          </w:rPr>
        </w:r>
        <w:r>
          <w:rPr>
            <w:noProof/>
          </w:rPr>
          <w:fldChar w:fldCharType="separate"/>
        </w:r>
        <w:r w:rsidR="007357A9">
          <w:rPr>
            <w:noProof/>
          </w:rPr>
          <w:t>8</w:t>
        </w:r>
        <w:r>
          <w:rPr>
            <w:noProof/>
          </w:rPr>
          <w:fldChar w:fldCharType="end"/>
        </w:r>
      </w:hyperlink>
    </w:p>
    <w:p w:rsidR="009136B5" w:rsidRDefault="00000000">
      <w:pPr>
        <w:pStyle w:val="TOC2"/>
        <w:tabs>
          <w:tab w:val="clear" w:pos="9345"/>
          <w:tab w:val="right" w:leader="dot" w:pos="9355"/>
        </w:tabs>
        <w:ind w:firstLine="400"/>
        <w:rPr>
          <w:noProof/>
        </w:rPr>
      </w:pPr>
      <w:hyperlink w:anchor="_Toc9877" w:history="1">
        <w:r>
          <w:rPr>
            <w:rFonts w:hint="eastAsia"/>
            <w:noProof/>
          </w:rPr>
          <w:t>3</w:t>
        </w:r>
        <w:r>
          <w:rPr>
            <w:noProof/>
          </w:rPr>
          <w:t>.</w:t>
        </w:r>
        <w:r>
          <w:rPr>
            <w:rFonts w:hint="eastAsia"/>
            <w:noProof/>
          </w:rPr>
          <w:t>5</w:t>
        </w:r>
        <w:r>
          <w:rPr>
            <w:noProof/>
          </w:rPr>
          <w:t xml:space="preserve"> </w:t>
        </w:r>
        <w:r>
          <w:rPr>
            <w:rFonts w:hint="eastAsia"/>
            <w:noProof/>
          </w:rPr>
          <w:t xml:space="preserve"> </w:t>
        </w:r>
        <w:r>
          <w:rPr>
            <w:rFonts w:hint="eastAsia"/>
            <w:noProof/>
          </w:rPr>
          <w:t>地下增层建筑及机电设计</w:t>
        </w:r>
        <w:r>
          <w:rPr>
            <w:noProof/>
          </w:rPr>
          <w:tab/>
        </w:r>
        <w:r>
          <w:rPr>
            <w:noProof/>
          </w:rPr>
          <w:fldChar w:fldCharType="begin"/>
        </w:r>
        <w:r>
          <w:rPr>
            <w:noProof/>
          </w:rPr>
          <w:instrText xml:space="preserve"> PAGEREF _Toc9877 \h </w:instrText>
        </w:r>
        <w:r>
          <w:rPr>
            <w:noProof/>
          </w:rPr>
        </w:r>
        <w:r>
          <w:rPr>
            <w:noProof/>
          </w:rPr>
          <w:fldChar w:fldCharType="separate"/>
        </w:r>
        <w:r w:rsidR="007357A9">
          <w:rPr>
            <w:noProof/>
          </w:rPr>
          <w:t>9</w:t>
        </w:r>
        <w:r>
          <w:rPr>
            <w:noProof/>
          </w:rPr>
          <w:fldChar w:fldCharType="end"/>
        </w:r>
      </w:hyperlink>
    </w:p>
    <w:p w:rsidR="009136B5" w:rsidRDefault="00000000">
      <w:pPr>
        <w:pStyle w:val="TOC1"/>
        <w:tabs>
          <w:tab w:val="right" w:leader="dot" w:pos="9355"/>
        </w:tabs>
        <w:ind w:firstLine="402"/>
        <w:rPr>
          <w:noProof/>
        </w:rPr>
      </w:pPr>
      <w:hyperlink w:anchor="_Toc30616" w:history="1">
        <w:r>
          <w:rPr>
            <w:noProof/>
          </w:rPr>
          <w:t xml:space="preserve">4  </w:t>
        </w:r>
        <w:r>
          <w:rPr>
            <w:rFonts w:hint="eastAsia"/>
            <w:noProof/>
          </w:rPr>
          <w:t>托换结构设计</w:t>
        </w:r>
        <w:r>
          <w:rPr>
            <w:noProof/>
          </w:rPr>
          <w:tab/>
        </w:r>
        <w:r>
          <w:rPr>
            <w:noProof/>
          </w:rPr>
          <w:fldChar w:fldCharType="begin"/>
        </w:r>
        <w:r>
          <w:rPr>
            <w:noProof/>
          </w:rPr>
          <w:instrText xml:space="preserve"> PAGEREF _Toc30616 \h </w:instrText>
        </w:r>
        <w:r>
          <w:rPr>
            <w:noProof/>
          </w:rPr>
        </w:r>
        <w:r>
          <w:rPr>
            <w:noProof/>
          </w:rPr>
          <w:fldChar w:fldCharType="separate"/>
        </w:r>
        <w:r w:rsidR="007357A9">
          <w:rPr>
            <w:noProof/>
          </w:rPr>
          <w:t>10</w:t>
        </w:r>
        <w:r>
          <w:rPr>
            <w:noProof/>
          </w:rPr>
          <w:fldChar w:fldCharType="end"/>
        </w:r>
      </w:hyperlink>
    </w:p>
    <w:p w:rsidR="009136B5" w:rsidRDefault="00000000">
      <w:pPr>
        <w:pStyle w:val="TOC2"/>
        <w:tabs>
          <w:tab w:val="clear" w:pos="9345"/>
          <w:tab w:val="right" w:leader="dot" w:pos="9355"/>
        </w:tabs>
        <w:ind w:firstLine="400"/>
        <w:rPr>
          <w:noProof/>
        </w:rPr>
      </w:pPr>
      <w:hyperlink w:anchor="_Toc5927" w:history="1">
        <w:r>
          <w:rPr>
            <w:noProof/>
          </w:rPr>
          <w:t xml:space="preserve">4.1 </w:t>
        </w:r>
        <w:r>
          <w:rPr>
            <w:rFonts w:hint="eastAsia"/>
            <w:noProof/>
          </w:rPr>
          <w:t xml:space="preserve"> </w:t>
        </w:r>
        <w:r>
          <w:rPr>
            <w:noProof/>
          </w:rPr>
          <w:t>一般规定</w:t>
        </w:r>
        <w:r>
          <w:rPr>
            <w:noProof/>
          </w:rPr>
          <w:tab/>
        </w:r>
        <w:r>
          <w:rPr>
            <w:noProof/>
          </w:rPr>
          <w:fldChar w:fldCharType="begin"/>
        </w:r>
        <w:r>
          <w:rPr>
            <w:noProof/>
          </w:rPr>
          <w:instrText xml:space="preserve"> PAGEREF _Toc5927 \h </w:instrText>
        </w:r>
        <w:r>
          <w:rPr>
            <w:noProof/>
          </w:rPr>
        </w:r>
        <w:r>
          <w:rPr>
            <w:noProof/>
          </w:rPr>
          <w:fldChar w:fldCharType="separate"/>
        </w:r>
        <w:r w:rsidR="007357A9">
          <w:rPr>
            <w:noProof/>
          </w:rPr>
          <w:t>10</w:t>
        </w:r>
        <w:r>
          <w:rPr>
            <w:noProof/>
          </w:rPr>
          <w:fldChar w:fldCharType="end"/>
        </w:r>
      </w:hyperlink>
    </w:p>
    <w:p w:rsidR="009136B5" w:rsidRDefault="00000000">
      <w:pPr>
        <w:pStyle w:val="TOC2"/>
        <w:tabs>
          <w:tab w:val="clear" w:pos="9345"/>
          <w:tab w:val="right" w:leader="dot" w:pos="9355"/>
        </w:tabs>
        <w:ind w:firstLine="400"/>
        <w:rPr>
          <w:noProof/>
        </w:rPr>
      </w:pPr>
      <w:hyperlink w:anchor="_Toc10021" w:history="1">
        <w:r>
          <w:rPr>
            <w:noProof/>
          </w:rPr>
          <w:t xml:space="preserve">4.2 </w:t>
        </w:r>
        <w:r>
          <w:rPr>
            <w:rFonts w:hint="eastAsia"/>
            <w:noProof/>
          </w:rPr>
          <w:t xml:space="preserve"> </w:t>
        </w:r>
        <w:r>
          <w:rPr>
            <w:rFonts w:hint="eastAsia"/>
            <w:noProof/>
          </w:rPr>
          <w:t>托换结构布置</w:t>
        </w:r>
        <w:r>
          <w:rPr>
            <w:noProof/>
          </w:rPr>
          <w:tab/>
        </w:r>
        <w:r>
          <w:rPr>
            <w:noProof/>
          </w:rPr>
          <w:fldChar w:fldCharType="begin"/>
        </w:r>
        <w:r>
          <w:rPr>
            <w:noProof/>
          </w:rPr>
          <w:instrText xml:space="preserve"> PAGEREF _Toc10021 \h </w:instrText>
        </w:r>
        <w:r>
          <w:rPr>
            <w:noProof/>
          </w:rPr>
        </w:r>
        <w:r>
          <w:rPr>
            <w:noProof/>
          </w:rPr>
          <w:fldChar w:fldCharType="separate"/>
        </w:r>
        <w:r w:rsidR="007357A9">
          <w:rPr>
            <w:noProof/>
          </w:rPr>
          <w:t>10</w:t>
        </w:r>
        <w:r>
          <w:rPr>
            <w:noProof/>
          </w:rPr>
          <w:fldChar w:fldCharType="end"/>
        </w:r>
      </w:hyperlink>
    </w:p>
    <w:p w:rsidR="009136B5" w:rsidRDefault="00000000">
      <w:pPr>
        <w:pStyle w:val="TOC2"/>
        <w:tabs>
          <w:tab w:val="clear" w:pos="9345"/>
          <w:tab w:val="right" w:leader="dot" w:pos="9355"/>
        </w:tabs>
        <w:ind w:firstLine="400"/>
        <w:rPr>
          <w:noProof/>
        </w:rPr>
      </w:pPr>
      <w:hyperlink w:anchor="_Toc30680" w:history="1">
        <w:r>
          <w:rPr>
            <w:noProof/>
          </w:rPr>
          <w:t xml:space="preserve">4.3 </w:t>
        </w:r>
        <w:r>
          <w:rPr>
            <w:rFonts w:hint="eastAsia"/>
            <w:noProof/>
          </w:rPr>
          <w:t xml:space="preserve"> </w:t>
        </w:r>
        <w:r>
          <w:rPr>
            <w:rFonts w:hint="eastAsia"/>
            <w:noProof/>
          </w:rPr>
          <w:t>托换桩设计</w:t>
        </w:r>
        <w:r>
          <w:rPr>
            <w:noProof/>
          </w:rPr>
          <w:tab/>
        </w:r>
        <w:r>
          <w:rPr>
            <w:noProof/>
          </w:rPr>
          <w:fldChar w:fldCharType="begin"/>
        </w:r>
        <w:r>
          <w:rPr>
            <w:noProof/>
          </w:rPr>
          <w:instrText xml:space="preserve"> PAGEREF _Toc30680 \h </w:instrText>
        </w:r>
        <w:r>
          <w:rPr>
            <w:noProof/>
          </w:rPr>
        </w:r>
        <w:r>
          <w:rPr>
            <w:noProof/>
          </w:rPr>
          <w:fldChar w:fldCharType="separate"/>
        </w:r>
        <w:r w:rsidR="007357A9">
          <w:rPr>
            <w:noProof/>
          </w:rPr>
          <w:t>13</w:t>
        </w:r>
        <w:r>
          <w:rPr>
            <w:noProof/>
          </w:rPr>
          <w:fldChar w:fldCharType="end"/>
        </w:r>
      </w:hyperlink>
    </w:p>
    <w:p w:rsidR="009136B5" w:rsidRDefault="00000000">
      <w:pPr>
        <w:pStyle w:val="TOC2"/>
        <w:tabs>
          <w:tab w:val="clear" w:pos="9345"/>
          <w:tab w:val="right" w:leader="dot" w:pos="9355"/>
        </w:tabs>
        <w:ind w:firstLine="400"/>
        <w:rPr>
          <w:noProof/>
        </w:rPr>
      </w:pPr>
      <w:hyperlink w:anchor="_Toc23976" w:history="1">
        <w:r>
          <w:rPr>
            <w:rFonts w:hint="eastAsia"/>
            <w:noProof/>
          </w:rPr>
          <w:t xml:space="preserve">4.4  </w:t>
        </w:r>
        <w:r>
          <w:rPr>
            <w:rFonts w:hint="eastAsia"/>
            <w:noProof/>
          </w:rPr>
          <w:t>水平托换构件和连接节点设计</w:t>
        </w:r>
        <w:r>
          <w:rPr>
            <w:noProof/>
          </w:rPr>
          <w:tab/>
        </w:r>
        <w:r>
          <w:rPr>
            <w:noProof/>
          </w:rPr>
          <w:fldChar w:fldCharType="begin"/>
        </w:r>
        <w:r>
          <w:rPr>
            <w:noProof/>
          </w:rPr>
          <w:instrText xml:space="preserve"> PAGEREF _Toc23976 \h </w:instrText>
        </w:r>
        <w:r>
          <w:rPr>
            <w:noProof/>
          </w:rPr>
        </w:r>
        <w:r>
          <w:rPr>
            <w:noProof/>
          </w:rPr>
          <w:fldChar w:fldCharType="separate"/>
        </w:r>
        <w:r w:rsidR="007357A9">
          <w:rPr>
            <w:noProof/>
          </w:rPr>
          <w:t>22</w:t>
        </w:r>
        <w:r>
          <w:rPr>
            <w:noProof/>
          </w:rPr>
          <w:fldChar w:fldCharType="end"/>
        </w:r>
      </w:hyperlink>
    </w:p>
    <w:p w:rsidR="009136B5" w:rsidRDefault="00000000">
      <w:pPr>
        <w:pStyle w:val="TOC2"/>
        <w:tabs>
          <w:tab w:val="clear" w:pos="9345"/>
          <w:tab w:val="right" w:leader="dot" w:pos="9355"/>
        </w:tabs>
        <w:ind w:firstLine="400"/>
        <w:rPr>
          <w:noProof/>
        </w:rPr>
      </w:pPr>
      <w:hyperlink w:anchor="_Toc22196" w:history="1">
        <w:r>
          <w:rPr>
            <w:rFonts w:hint="eastAsia"/>
            <w:noProof/>
          </w:rPr>
          <w:t xml:space="preserve">4.5  </w:t>
        </w:r>
        <w:r>
          <w:rPr>
            <w:rFonts w:hint="eastAsia"/>
            <w:noProof/>
          </w:rPr>
          <w:t>变形验算与控制</w:t>
        </w:r>
        <w:r>
          <w:rPr>
            <w:noProof/>
          </w:rPr>
          <w:tab/>
        </w:r>
        <w:r>
          <w:rPr>
            <w:noProof/>
          </w:rPr>
          <w:fldChar w:fldCharType="begin"/>
        </w:r>
        <w:r>
          <w:rPr>
            <w:noProof/>
          </w:rPr>
          <w:instrText xml:space="preserve"> PAGEREF _Toc22196 \h </w:instrText>
        </w:r>
        <w:r>
          <w:rPr>
            <w:noProof/>
          </w:rPr>
        </w:r>
        <w:r>
          <w:rPr>
            <w:noProof/>
          </w:rPr>
          <w:fldChar w:fldCharType="separate"/>
        </w:r>
        <w:r w:rsidR="007357A9">
          <w:rPr>
            <w:noProof/>
          </w:rPr>
          <w:t>25</w:t>
        </w:r>
        <w:r>
          <w:rPr>
            <w:noProof/>
          </w:rPr>
          <w:fldChar w:fldCharType="end"/>
        </w:r>
      </w:hyperlink>
    </w:p>
    <w:p w:rsidR="009136B5" w:rsidRDefault="00000000">
      <w:pPr>
        <w:pStyle w:val="TOC1"/>
        <w:tabs>
          <w:tab w:val="right" w:leader="dot" w:pos="9355"/>
        </w:tabs>
        <w:ind w:firstLine="402"/>
        <w:rPr>
          <w:noProof/>
        </w:rPr>
      </w:pPr>
      <w:hyperlink w:anchor="_Toc5516" w:history="1">
        <w:r>
          <w:rPr>
            <w:rFonts w:hint="eastAsia"/>
            <w:noProof/>
          </w:rPr>
          <w:t xml:space="preserve">5  </w:t>
        </w:r>
        <w:r>
          <w:rPr>
            <w:rFonts w:hint="eastAsia"/>
            <w:noProof/>
          </w:rPr>
          <w:t>侧向支护设计</w:t>
        </w:r>
        <w:r>
          <w:rPr>
            <w:noProof/>
          </w:rPr>
          <w:tab/>
        </w:r>
        <w:r>
          <w:rPr>
            <w:noProof/>
          </w:rPr>
          <w:fldChar w:fldCharType="begin"/>
        </w:r>
        <w:r>
          <w:rPr>
            <w:noProof/>
          </w:rPr>
          <w:instrText xml:space="preserve"> PAGEREF _Toc5516 \h </w:instrText>
        </w:r>
        <w:r>
          <w:rPr>
            <w:noProof/>
          </w:rPr>
        </w:r>
        <w:r>
          <w:rPr>
            <w:noProof/>
          </w:rPr>
          <w:fldChar w:fldCharType="separate"/>
        </w:r>
        <w:r w:rsidR="007357A9">
          <w:rPr>
            <w:noProof/>
          </w:rPr>
          <w:t>27</w:t>
        </w:r>
        <w:r>
          <w:rPr>
            <w:noProof/>
          </w:rPr>
          <w:fldChar w:fldCharType="end"/>
        </w:r>
      </w:hyperlink>
    </w:p>
    <w:p w:rsidR="009136B5" w:rsidRDefault="00000000">
      <w:pPr>
        <w:pStyle w:val="TOC2"/>
        <w:tabs>
          <w:tab w:val="clear" w:pos="9345"/>
          <w:tab w:val="right" w:leader="dot" w:pos="9355"/>
        </w:tabs>
        <w:ind w:firstLine="400"/>
        <w:rPr>
          <w:noProof/>
        </w:rPr>
      </w:pPr>
      <w:hyperlink w:anchor="_Toc7867" w:history="1">
        <w:r>
          <w:rPr>
            <w:noProof/>
          </w:rPr>
          <w:t>5.1</w:t>
        </w:r>
        <w:r>
          <w:rPr>
            <w:rFonts w:hint="eastAsia"/>
            <w:noProof/>
          </w:rPr>
          <w:t xml:space="preserve"> </w:t>
        </w:r>
        <w:r>
          <w:rPr>
            <w:noProof/>
          </w:rPr>
          <w:t xml:space="preserve"> </w:t>
        </w:r>
        <w:r>
          <w:rPr>
            <w:noProof/>
          </w:rPr>
          <w:t>一般规定</w:t>
        </w:r>
        <w:r>
          <w:rPr>
            <w:noProof/>
          </w:rPr>
          <w:tab/>
        </w:r>
        <w:r>
          <w:rPr>
            <w:noProof/>
          </w:rPr>
          <w:fldChar w:fldCharType="begin"/>
        </w:r>
        <w:r>
          <w:rPr>
            <w:noProof/>
          </w:rPr>
          <w:instrText xml:space="preserve"> PAGEREF _Toc7867 \h </w:instrText>
        </w:r>
        <w:r>
          <w:rPr>
            <w:noProof/>
          </w:rPr>
        </w:r>
        <w:r>
          <w:rPr>
            <w:noProof/>
          </w:rPr>
          <w:fldChar w:fldCharType="separate"/>
        </w:r>
        <w:r w:rsidR="007357A9">
          <w:rPr>
            <w:noProof/>
          </w:rPr>
          <w:t>27</w:t>
        </w:r>
        <w:r>
          <w:rPr>
            <w:noProof/>
          </w:rPr>
          <w:fldChar w:fldCharType="end"/>
        </w:r>
      </w:hyperlink>
    </w:p>
    <w:p w:rsidR="009136B5" w:rsidRDefault="00000000">
      <w:pPr>
        <w:pStyle w:val="TOC2"/>
        <w:tabs>
          <w:tab w:val="clear" w:pos="9345"/>
          <w:tab w:val="right" w:leader="dot" w:pos="9355"/>
        </w:tabs>
        <w:ind w:firstLine="400"/>
        <w:rPr>
          <w:noProof/>
        </w:rPr>
      </w:pPr>
      <w:hyperlink w:anchor="_Toc9974" w:history="1">
        <w:r>
          <w:rPr>
            <w:noProof/>
          </w:rPr>
          <w:t xml:space="preserve">5.2 </w:t>
        </w:r>
        <w:r>
          <w:rPr>
            <w:rFonts w:hint="eastAsia"/>
            <w:noProof/>
          </w:rPr>
          <w:t xml:space="preserve"> </w:t>
        </w:r>
        <w:r>
          <w:rPr>
            <w:rFonts w:hint="eastAsia"/>
            <w:noProof/>
          </w:rPr>
          <w:t>支护</w:t>
        </w:r>
        <w:r>
          <w:rPr>
            <w:noProof/>
          </w:rPr>
          <w:t>结构设计</w:t>
        </w:r>
        <w:r>
          <w:rPr>
            <w:noProof/>
          </w:rPr>
          <w:tab/>
        </w:r>
        <w:r>
          <w:rPr>
            <w:noProof/>
          </w:rPr>
          <w:fldChar w:fldCharType="begin"/>
        </w:r>
        <w:r>
          <w:rPr>
            <w:noProof/>
          </w:rPr>
          <w:instrText xml:space="preserve"> PAGEREF _Toc9974 \h </w:instrText>
        </w:r>
        <w:r>
          <w:rPr>
            <w:noProof/>
          </w:rPr>
        </w:r>
        <w:r>
          <w:rPr>
            <w:noProof/>
          </w:rPr>
          <w:fldChar w:fldCharType="separate"/>
        </w:r>
        <w:r w:rsidR="007357A9">
          <w:rPr>
            <w:noProof/>
          </w:rPr>
          <w:t>27</w:t>
        </w:r>
        <w:r>
          <w:rPr>
            <w:noProof/>
          </w:rPr>
          <w:fldChar w:fldCharType="end"/>
        </w:r>
      </w:hyperlink>
    </w:p>
    <w:p w:rsidR="009136B5" w:rsidRDefault="00000000">
      <w:pPr>
        <w:pStyle w:val="TOC2"/>
        <w:tabs>
          <w:tab w:val="clear" w:pos="9345"/>
          <w:tab w:val="right" w:leader="dot" w:pos="9355"/>
        </w:tabs>
        <w:ind w:firstLine="400"/>
        <w:rPr>
          <w:noProof/>
        </w:rPr>
      </w:pPr>
      <w:hyperlink w:anchor="_Toc1056" w:history="1">
        <w:r>
          <w:rPr>
            <w:noProof/>
          </w:rPr>
          <w:t xml:space="preserve">5.3 </w:t>
        </w:r>
        <w:r>
          <w:rPr>
            <w:rFonts w:hint="eastAsia"/>
            <w:noProof/>
          </w:rPr>
          <w:t xml:space="preserve"> </w:t>
        </w:r>
        <w:r>
          <w:rPr>
            <w:rFonts w:hint="eastAsia"/>
            <w:noProof/>
          </w:rPr>
          <w:t>地下水控制</w:t>
        </w:r>
        <w:r>
          <w:rPr>
            <w:noProof/>
          </w:rPr>
          <w:tab/>
        </w:r>
        <w:r>
          <w:rPr>
            <w:noProof/>
          </w:rPr>
          <w:fldChar w:fldCharType="begin"/>
        </w:r>
        <w:r>
          <w:rPr>
            <w:noProof/>
          </w:rPr>
          <w:instrText xml:space="preserve"> PAGEREF _Toc1056 \h </w:instrText>
        </w:r>
        <w:r>
          <w:rPr>
            <w:noProof/>
          </w:rPr>
        </w:r>
        <w:r>
          <w:rPr>
            <w:noProof/>
          </w:rPr>
          <w:fldChar w:fldCharType="separate"/>
        </w:r>
        <w:r w:rsidR="007357A9">
          <w:rPr>
            <w:noProof/>
          </w:rPr>
          <w:t>29</w:t>
        </w:r>
        <w:r>
          <w:rPr>
            <w:noProof/>
          </w:rPr>
          <w:fldChar w:fldCharType="end"/>
        </w:r>
      </w:hyperlink>
    </w:p>
    <w:p w:rsidR="009136B5" w:rsidRDefault="00000000">
      <w:pPr>
        <w:pStyle w:val="TOC1"/>
        <w:tabs>
          <w:tab w:val="right" w:leader="dot" w:pos="9355"/>
        </w:tabs>
        <w:ind w:firstLine="402"/>
        <w:rPr>
          <w:noProof/>
        </w:rPr>
      </w:pPr>
      <w:hyperlink w:anchor="_Toc10111" w:history="1">
        <w:r>
          <w:rPr>
            <w:rFonts w:hint="eastAsia"/>
            <w:noProof/>
          </w:rPr>
          <w:t xml:space="preserve">6  </w:t>
        </w:r>
        <w:r>
          <w:rPr>
            <w:rFonts w:hint="eastAsia"/>
            <w:noProof/>
          </w:rPr>
          <w:t>新增地下结构及基础设计</w:t>
        </w:r>
        <w:r>
          <w:rPr>
            <w:noProof/>
          </w:rPr>
          <w:tab/>
        </w:r>
        <w:r>
          <w:rPr>
            <w:noProof/>
          </w:rPr>
          <w:fldChar w:fldCharType="begin"/>
        </w:r>
        <w:r>
          <w:rPr>
            <w:noProof/>
          </w:rPr>
          <w:instrText xml:space="preserve"> PAGEREF _Toc10111 \h </w:instrText>
        </w:r>
        <w:r>
          <w:rPr>
            <w:noProof/>
          </w:rPr>
        </w:r>
        <w:r>
          <w:rPr>
            <w:noProof/>
          </w:rPr>
          <w:fldChar w:fldCharType="separate"/>
        </w:r>
        <w:r w:rsidR="007357A9">
          <w:rPr>
            <w:noProof/>
          </w:rPr>
          <w:t>27</w:t>
        </w:r>
        <w:r>
          <w:rPr>
            <w:noProof/>
          </w:rPr>
          <w:fldChar w:fldCharType="end"/>
        </w:r>
      </w:hyperlink>
    </w:p>
    <w:p w:rsidR="009136B5" w:rsidRDefault="00000000">
      <w:pPr>
        <w:pStyle w:val="TOC2"/>
        <w:tabs>
          <w:tab w:val="clear" w:pos="9345"/>
          <w:tab w:val="right" w:leader="dot" w:pos="9355"/>
        </w:tabs>
        <w:ind w:firstLine="400"/>
        <w:rPr>
          <w:noProof/>
        </w:rPr>
      </w:pPr>
      <w:hyperlink w:anchor="_Toc30593" w:history="1">
        <w:r>
          <w:rPr>
            <w:noProof/>
          </w:rPr>
          <w:t xml:space="preserve">6.1 </w:t>
        </w:r>
        <w:r>
          <w:rPr>
            <w:rFonts w:hint="eastAsia"/>
            <w:noProof/>
          </w:rPr>
          <w:t xml:space="preserve"> </w:t>
        </w:r>
        <w:r>
          <w:rPr>
            <w:rFonts w:hint="eastAsia"/>
            <w:noProof/>
          </w:rPr>
          <w:t>一般规定</w:t>
        </w:r>
        <w:r>
          <w:rPr>
            <w:noProof/>
          </w:rPr>
          <w:tab/>
        </w:r>
        <w:r>
          <w:rPr>
            <w:noProof/>
          </w:rPr>
          <w:fldChar w:fldCharType="begin"/>
        </w:r>
        <w:r>
          <w:rPr>
            <w:noProof/>
          </w:rPr>
          <w:instrText xml:space="preserve"> PAGEREF _Toc30593 \h </w:instrText>
        </w:r>
        <w:r>
          <w:rPr>
            <w:noProof/>
          </w:rPr>
        </w:r>
        <w:r>
          <w:rPr>
            <w:noProof/>
          </w:rPr>
          <w:fldChar w:fldCharType="separate"/>
        </w:r>
        <w:r w:rsidR="007357A9">
          <w:rPr>
            <w:noProof/>
          </w:rPr>
          <w:t>31</w:t>
        </w:r>
        <w:r>
          <w:rPr>
            <w:noProof/>
          </w:rPr>
          <w:fldChar w:fldCharType="end"/>
        </w:r>
      </w:hyperlink>
    </w:p>
    <w:p w:rsidR="009136B5" w:rsidRDefault="00000000">
      <w:pPr>
        <w:pStyle w:val="TOC2"/>
        <w:tabs>
          <w:tab w:val="clear" w:pos="9345"/>
          <w:tab w:val="right" w:leader="dot" w:pos="9355"/>
        </w:tabs>
        <w:ind w:firstLine="400"/>
        <w:rPr>
          <w:noProof/>
        </w:rPr>
      </w:pPr>
      <w:hyperlink w:anchor="_Toc22798" w:history="1">
        <w:r>
          <w:rPr>
            <w:rFonts w:hint="eastAsia"/>
            <w:noProof/>
          </w:rPr>
          <w:t xml:space="preserve">6.2  </w:t>
        </w:r>
        <w:r>
          <w:rPr>
            <w:rFonts w:hint="eastAsia"/>
            <w:noProof/>
          </w:rPr>
          <w:t>地下结构构件设计</w:t>
        </w:r>
        <w:r>
          <w:rPr>
            <w:noProof/>
          </w:rPr>
          <w:tab/>
        </w:r>
        <w:r>
          <w:rPr>
            <w:noProof/>
          </w:rPr>
          <w:fldChar w:fldCharType="begin"/>
        </w:r>
        <w:r>
          <w:rPr>
            <w:noProof/>
          </w:rPr>
          <w:instrText xml:space="preserve"> PAGEREF _Toc22798 \h </w:instrText>
        </w:r>
        <w:r>
          <w:rPr>
            <w:noProof/>
          </w:rPr>
        </w:r>
        <w:r>
          <w:rPr>
            <w:noProof/>
          </w:rPr>
          <w:fldChar w:fldCharType="separate"/>
        </w:r>
        <w:r w:rsidR="007357A9">
          <w:rPr>
            <w:noProof/>
          </w:rPr>
          <w:t>31</w:t>
        </w:r>
        <w:r>
          <w:rPr>
            <w:noProof/>
          </w:rPr>
          <w:fldChar w:fldCharType="end"/>
        </w:r>
      </w:hyperlink>
    </w:p>
    <w:p w:rsidR="009136B5" w:rsidRDefault="00000000">
      <w:pPr>
        <w:pStyle w:val="TOC2"/>
        <w:tabs>
          <w:tab w:val="clear" w:pos="9345"/>
          <w:tab w:val="right" w:leader="dot" w:pos="9355"/>
        </w:tabs>
        <w:ind w:firstLine="400"/>
        <w:rPr>
          <w:noProof/>
        </w:rPr>
      </w:pPr>
      <w:hyperlink w:anchor="_Toc32736" w:history="1">
        <w:r>
          <w:rPr>
            <w:noProof/>
          </w:rPr>
          <w:t>6.</w:t>
        </w:r>
        <w:r>
          <w:rPr>
            <w:rFonts w:hint="eastAsia"/>
            <w:noProof/>
          </w:rPr>
          <w:t>3</w:t>
        </w:r>
        <w:r>
          <w:rPr>
            <w:noProof/>
          </w:rPr>
          <w:t xml:space="preserve"> </w:t>
        </w:r>
        <w:r>
          <w:rPr>
            <w:rFonts w:hint="eastAsia"/>
            <w:noProof/>
          </w:rPr>
          <w:t xml:space="preserve"> </w:t>
        </w:r>
        <w:r>
          <w:rPr>
            <w:rFonts w:hint="eastAsia"/>
            <w:noProof/>
          </w:rPr>
          <w:t>基础设计</w:t>
        </w:r>
        <w:r>
          <w:rPr>
            <w:noProof/>
          </w:rPr>
          <w:tab/>
        </w:r>
        <w:r>
          <w:rPr>
            <w:noProof/>
          </w:rPr>
          <w:fldChar w:fldCharType="begin"/>
        </w:r>
        <w:r>
          <w:rPr>
            <w:noProof/>
          </w:rPr>
          <w:instrText xml:space="preserve"> PAGEREF _Toc32736 \h </w:instrText>
        </w:r>
        <w:r>
          <w:rPr>
            <w:noProof/>
          </w:rPr>
        </w:r>
        <w:r>
          <w:rPr>
            <w:noProof/>
          </w:rPr>
          <w:fldChar w:fldCharType="separate"/>
        </w:r>
        <w:r w:rsidR="007357A9">
          <w:rPr>
            <w:noProof/>
          </w:rPr>
          <w:t>33</w:t>
        </w:r>
        <w:r>
          <w:rPr>
            <w:noProof/>
          </w:rPr>
          <w:fldChar w:fldCharType="end"/>
        </w:r>
      </w:hyperlink>
    </w:p>
    <w:p w:rsidR="009136B5" w:rsidRDefault="00000000">
      <w:pPr>
        <w:pStyle w:val="TOC2"/>
        <w:tabs>
          <w:tab w:val="clear" w:pos="9345"/>
          <w:tab w:val="right" w:leader="dot" w:pos="9355"/>
        </w:tabs>
        <w:ind w:firstLine="400"/>
        <w:rPr>
          <w:noProof/>
        </w:rPr>
      </w:pPr>
      <w:hyperlink w:anchor="_Toc10350" w:history="1">
        <w:r>
          <w:rPr>
            <w:rFonts w:hint="eastAsia"/>
            <w:noProof/>
          </w:rPr>
          <w:t>6</w:t>
        </w:r>
        <w:r>
          <w:rPr>
            <w:noProof/>
          </w:rPr>
          <w:t xml:space="preserve">.4 </w:t>
        </w:r>
        <w:r>
          <w:rPr>
            <w:rFonts w:hint="eastAsia"/>
            <w:noProof/>
          </w:rPr>
          <w:t xml:space="preserve"> </w:t>
        </w:r>
        <w:r>
          <w:rPr>
            <w:rFonts w:hint="eastAsia"/>
            <w:noProof/>
          </w:rPr>
          <w:t>连接构造</w:t>
        </w:r>
        <w:r>
          <w:rPr>
            <w:noProof/>
          </w:rPr>
          <w:tab/>
        </w:r>
        <w:r>
          <w:rPr>
            <w:noProof/>
          </w:rPr>
          <w:fldChar w:fldCharType="begin"/>
        </w:r>
        <w:r>
          <w:rPr>
            <w:noProof/>
          </w:rPr>
          <w:instrText xml:space="preserve"> PAGEREF _Toc10350 \h </w:instrText>
        </w:r>
        <w:r>
          <w:rPr>
            <w:noProof/>
          </w:rPr>
        </w:r>
        <w:r>
          <w:rPr>
            <w:noProof/>
          </w:rPr>
          <w:fldChar w:fldCharType="separate"/>
        </w:r>
        <w:r w:rsidR="007357A9">
          <w:rPr>
            <w:noProof/>
          </w:rPr>
          <w:t>33</w:t>
        </w:r>
        <w:r>
          <w:rPr>
            <w:noProof/>
          </w:rPr>
          <w:fldChar w:fldCharType="end"/>
        </w:r>
      </w:hyperlink>
    </w:p>
    <w:p w:rsidR="009136B5" w:rsidRDefault="00000000">
      <w:pPr>
        <w:pStyle w:val="TOC1"/>
        <w:tabs>
          <w:tab w:val="right" w:leader="dot" w:pos="9355"/>
        </w:tabs>
        <w:ind w:firstLine="402"/>
        <w:rPr>
          <w:noProof/>
        </w:rPr>
      </w:pPr>
      <w:hyperlink w:anchor="_Toc6502" w:history="1">
        <w:r>
          <w:rPr>
            <w:noProof/>
          </w:rPr>
          <w:t xml:space="preserve">7  </w:t>
        </w:r>
        <w:r>
          <w:rPr>
            <w:rFonts w:hint="eastAsia"/>
            <w:noProof/>
          </w:rPr>
          <w:t>施</w:t>
        </w:r>
        <w:r>
          <w:rPr>
            <w:rFonts w:hint="eastAsia"/>
            <w:noProof/>
          </w:rPr>
          <w:t xml:space="preserve">    </w:t>
        </w:r>
        <w:r>
          <w:rPr>
            <w:rFonts w:hint="eastAsia"/>
            <w:noProof/>
          </w:rPr>
          <w:t>工</w:t>
        </w:r>
        <w:r>
          <w:rPr>
            <w:noProof/>
          </w:rPr>
          <w:tab/>
        </w:r>
        <w:r>
          <w:rPr>
            <w:noProof/>
          </w:rPr>
          <w:fldChar w:fldCharType="begin"/>
        </w:r>
        <w:r>
          <w:rPr>
            <w:noProof/>
          </w:rPr>
          <w:instrText xml:space="preserve"> PAGEREF _Toc6502 \h </w:instrText>
        </w:r>
        <w:r>
          <w:rPr>
            <w:noProof/>
          </w:rPr>
        </w:r>
        <w:r>
          <w:rPr>
            <w:noProof/>
          </w:rPr>
          <w:fldChar w:fldCharType="separate"/>
        </w:r>
        <w:r w:rsidR="007357A9">
          <w:rPr>
            <w:noProof/>
          </w:rPr>
          <w:t>37</w:t>
        </w:r>
        <w:r>
          <w:rPr>
            <w:noProof/>
          </w:rPr>
          <w:fldChar w:fldCharType="end"/>
        </w:r>
      </w:hyperlink>
    </w:p>
    <w:p w:rsidR="009136B5" w:rsidRDefault="00000000">
      <w:pPr>
        <w:pStyle w:val="TOC2"/>
        <w:tabs>
          <w:tab w:val="clear" w:pos="9345"/>
          <w:tab w:val="right" w:leader="dot" w:pos="9355"/>
        </w:tabs>
        <w:ind w:firstLine="400"/>
        <w:rPr>
          <w:noProof/>
        </w:rPr>
      </w:pPr>
      <w:hyperlink w:anchor="_Toc391" w:history="1">
        <w:r>
          <w:rPr>
            <w:noProof/>
            <w:lang w:bidi="ar"/>
          </w:rPr>
          <w:t>7.1</w:t>
        </w:r>
        <w:r>
          <w:rPr>
            <w:rFonts w:hint="eastAsia"/>
            <w:noProof/>
            <w:lang w:bidi="ar"/>
          </w:rPr>
          <w:t xml:space="preserve"> </w:t>
        </w:r>
        <w:r>
          <w:rPr>
            <w:noProof/>
            <w:lang w:bidi="ar"/>
          </w:rPr>
          <w:t xml:space="preserve"> </w:t>
        </w:r>
        <w:r>
          <w:rPr>
            <w:rFonts w:hint="eastAsia"/>
            <w:noProof/>
            <w:lang w:bidi="ar"/>
          </w:rPr>
          <w:t>一般规定</w:t>
        </w:r>
        <w:r>
          <w:rPr>
            <w:noProof/>
          </w:rPr>
          <w:tab/>
        </w:r>
        <w:r>
          <w:rPr>
            <w:noProof/>
          </w:rPr>
          <w:fldChar w:fldCharType="begin"/>
        </w:r>
        <w:r>
          <w:rPr>
            <w:noProof/>
          </w:rPr>
          <w:instrText xml:space="preserve"> PAGEREF _Toc391 \h </w:instrText>
        </w:r>
        <w:r>
          <w:rPr>
            <w:noProof/>
          </w:rPr>
        </w:r>
        <w:r>
          <w:rPr>
            <w:noProof/>
          </w:rPr>
          <w:fldChar w:fldCharType="separate"/>
        </w:r>
        <w:r w:rsidR="007357A9">
          <w:rPr>
            <w:noProof/>
          </w:rPr>
          <w:t>37</w:t>
        </w:r>
        <w:r>
          <w:rPr>
            <w:noProof/>
          </w:rPr>
          <w:fldChar w:fldCharType="end"/>
        </w:r>
      </w:hyperlink>
    </w:p>
    <w:p w:rsidR="009136B5" w:rsidRDefault="00000000">
      <w:pPr>
        <w:pStyle w:val="TOC2"/>
        <w:tabs>
          <w:tab w:val="clear" w:pos="9345"/>
          <w:tab w:val="right" w:leader="dot" w:pos="9355"/>
        </w:tabs>
        <w:ind w:firstLine="400"/>
        <w:rPr>
          <w:noProof/>
        </w:rPr>
      </w:pPr>
      <w:hyperlink w:anchor="_Toc26421" w:history="1">
        <w:r>
          <w:rPr>
            <w:noProof/>
            <w:lang w:bidi="ar"/>
          </w:rPr>
          <w:t xml:space="preserve">7.2 </w:t>
        </w:r>
        <w:r>
          <w:rPr>
            <w:rFonts w:hint="eastAsia"/>
            <w:noProof/>
            <w:lang w:bidi="ar"/>
          </w:rPr>
          <w:t xml:space="preserve"> </w:t>
        </w:r>
        <w:r>
          <w:rPr>
            <w:rFonts w:hint="eastAsia"/>
            <w:noProof/>
            <w:lang w:bidi="ar"/>
          </w:rPr>
          <w:t>既有基础水平构件托换施工</w:t>
        </w:r>
        <w:r>
          <w:rPr>
            <w:noProof/>
          </w:rPr>
          <w:tab/>
        </w:r>
        <w:r>
          <w:rPr>
            <w:noProof/>
          </w:rPr>
          <w:fldChar w:fldCharType="begin"/>
        </w:r>
        <w:r>
          <w:rPr>
            <w:noProof/>
          </w:rPr>
          <w:instrText xml:space="preserve"> PAGEREF _Toc26421 \h </w:instrText>
        </w:r>
        <w:r>
          <w:rPr>
            <w:noProof/>
          </w:rPr>
        </w:r>
        <w:r>
          <w:rPr>
            <w:noProof/>
          </w:rPr>
          <w:fldChar w:fldCharType="separate"/>
        </w:r>
        <w:r w:rsidR="007357A9">
          <w:rPr>
            <w:noProof/>
          </w:rPr>
          <w:t>39</w:t>
        </w:r>
        <w:r>
          <w:rPr>
            <w:noProof/>
          </w:rPr>
          <w:fldChar w:fldCharType="end"/>
        </w:r>
      </w:hyperlink>
    </w:p>
    <w:p w:rsidR="009136B5" w:rsidRDefault="00000000">
      <w:pPr>
        <w:pStyle w:val="TOC2"/>
        <w:tabs>
          <w:tab w:val="clear" w:pos="9345"/>
          <w:tab w:val="right" w:leader="dot" w:pos="9355"/>
        </w:tabs>
        <w:ind w:firstLine="400"/>
        <w:rPr>
          <w:noProof/>
        </w:rPr>
      </w:pPr>
      <w:hyperlink w:anchor="_Toc11878" w:history="1">
        <w:r>
          <w:rPr>
            <w:noProof/>
            <w:lang w:bidi="ar"/>
          </w:rPr>
          <w:t xml:space="preserve">7.3 </w:t>
        </w:r>
        <w:r>
          <w:rPr>
            <w:rFonts w:hint="eastAsia"/>
            <w:noProof/>
            <w:lang w:bidi="ar"/>
          </w:rPr>
          <w:t xml:space="preserve"> </w:t>
        </w:r>
        <w:r>
          <w:rPr>
            <w:rFonts w:hint="eastAsia"/>
            <w:noProof/>
            <w:lang w:bidi="ar"/>
          </w:rPr>
          <w:t>托换桩施工</w:t>
        </w:r>
        <w:r>
          <w:rPr>
            <w:noProof/>
          </w:rPr>
          <w:tab/>
        </w:r>
        <w:r>
          <w:rPr>
            <w:noProof/>
          </w:rPr>
          <w:fldChar w:fldCharType="begin"/>
        </w:r>
        <w:r>
          <w:rPr>
            <w:noProof/>
          </w:rPr>
          <w:instrText xml:space="preserve"> PAGEREF _Toc11878 \h </w:instrText>
        </w:r>
        <w:r>
          <w:rPr>
            <w:noProof/>
          </w:rPr>
        </w:r>
        <w:r>
          <w:rPr>
            <w:noProof/>
          </w:rPr>
          <w:fldChar w:fldCharType="separate"/>
        </w:r>
        <w:r w:rsidR="007357A9">
          <w:rPr>
            <w:noProof/>
          </w:rPr>
          <w:t>39</w:t>
        </w:r>
        <w:r>
          <w:rPr>
            <w:noProof/>
          </w:rPr>
          <w:fldChar w:fldCharType="end"/>
        </w:r>
      </w:hyperlink>
    </w:p>
    <w:p w:rsidR="009136B5" w:rsidRDefault="00000000">
      <w:pPr>
        <w:pStyle w:val="TOC2"/>
        <w:tabs>
          <w:tab w:val="clear" w:pos="9345"/>
          <w:tab w:val="right" w:leader="dot" w:pos="9355"/>
        </w:tabs>
        <w:ind w:firstLine="400"/>
        <w:rPr>
          <w:noProof/>
        </w:rPr>
      </w:pPr>
      <w:hyperlink w:anchor="_Toc14550" w:history="1">
        <w:r>
          <w:rPr>
            <w:noProof/>
            <w:lang w:bidi="ar"/>
          </w:rPr>
          <w:t xml:space="preserve">7.4 </w:t>
        </w:r>
        <w:r>
          <w:rPr>
            <w:rFonts w:hint="eastAsia"/>
            <w:noProof/>
            <w:lang w:bidi="ar"/>
          </w:rPr>
          <w:t xml:space="preserve"> </w:t>
        </w:r>
        <w:r>
          <w:rPr>
            <w:rFonts w:hint="eastAsia"/>
            <w:noProof/>
            <w:lang w:bidi="ar"/>
          </w:rPr>
          <w:t>侧向支护结构施工</w:t>
        </w:r>
        <w:r>
          <w:rPr>
            <w:noProof/>
          </w:rPr>
          <w:tab/>
        </w:r>
        <w:r>
          <w:rPr>
            <w:noProof/>
          </w:rPr>
          <w:fldChar w:fldCharType="begin"/>
        </w:r>
        <w:r>
          <w:rPr>
            <w:noProof/>
          </w:rPr>
          <w:instrText xml:space="preserve"> PAGEREF _Toc14550 \h </w:instrText>
        </w:r>
        <w:r>
          <w:rPr>
            <w:noProof/>
          </w:rPr>
        </w:r>
        <w:r>
          <w:rPr>
            <w:noProof/>
          </w:rPr>
          <w:fldChar w:fldCharType="separate"/>
        </w:r>
        <w:r w:rsidR="007357A9">
          <w:rPr>
            <w:noProof/>
          </w:rPr>
          <w:t>41</w:t>
        </w:r>
        <w:r>
          <w:rPr>
            <w:noProof/>
          </w:rPr>
          <w:fldChar w:fldCharType="end"/>
        </w:r>
      </w:hyperlink>
    </w:p>
    <w:p w:rsidR="009136B5" w:rsidRDefault="00000000">
      <w:pPr>
        <w:pStyle w:val="TOC2"/>
        <w:tabs>
          <w:tab w:val="clear" w:pos="9345"/>
          <w:tab w:val="right" w:leader="dot" w:pos="9355"/>
        </w:tabs>
        <w:ind w:firstLine="400"/>
        <w:rPr>
          <w:noProof/>
        </w:rPr>
      </w:pPr>
      <w:hyperlink w:anchor="_Toc24435" w:history="1">
        <w:r>
          <w:rPr>
            <w:noProof/>
            <w:lang w:bidi="ar"/>
          </w:rPr>
          <w:t xml:space="preserve">7.5 </w:t>
        </w:r>
        <w:r>
          <w:rPr>
            <w:rFonts w:hint="eastAsia"/>
            <w:noProof/>
            <w:lang w:bidi="ar"/>
          </w:rPr>
          <w:t xml:space="preserve"> </w:t>
        </w:r>
        <w:r>
          <w:rPr>
            <w:rFonts w:hint="eastAsia"/>
            <w:noProof/>
            <w:lang w:bidi="ar"/>
          </w:rPr>
          <w:t>地下水控制</w:t>
        </w:r>
        <w:r>
          <w:rPr>
            <w:noProof/>
          </w:rPr>
          <w:tab/>
        </w:r>
        <w:r>
          <w:rPr>
            <w:noProof/>
          </w:rPr>
          <w:fldChar w:fldCharType="begin"/>
        </w:r>
        <w:r>
          <w:rPr>
            <w:noProof/>
          </w:rPr>
          <w:instrText xml:space="preserve"> PAGEREF _Toc24435 \h </w:instrText>
        </w:r>
        <w:r>
          <w:rPr>
            <w:noProof/>
          </w:rPr>
        </w:r>
        <w:r>
          <w:rPr>
            <w:noProof/>
          </w:rPr>
          <w:fldChar w:fldCharType="separate"/>
        </w:r>
        <w:r w:rsidR="007357A9">
          <w:rPr>
            <w:noProof/>
          </w:rPr>
          <w:t>42</w:t>
        </w:r>
        <w:r>
          <w:rPr>
            <w:noProof/>
          </w:rPr>
          <w:fldChar w:fldCharType="end"/>
        </w:r>
      </w:hyperlink>
    </w:p>
    <w:p w:rsidR="009136B5" w:rsidRDefault="00000000">
      <w:pPr>
        <w:pStyle w:val="TOC2"/>
        <w:tabs>
          <w:tab w:val="clear" w:pos="9345"/>
          <w:tab w:val="right" w:leader="dot" w:pos="9355"/>
        </w:tabs>
        <w:ind w:firstLine="400"/>
        <w:rPr>
          <w:noProof/>
        </w:rPr>
      </w:pPr>
      <w:hyperlink w:anchor="_Toc10242" w:history="1">
        <w:r>
          <w:rPr>
            <w:noProof/>
            <w:lang w:bidi="ar"/>
          </w:rPr>
          <w:t>7.6</w:t>
        </w:r>
        <w:r>
          <w:rPr>
            <w:rFonts w:hint="eastAsia"/>
            <w:noProof/>
            <w:lang w:bidi="ar"/>
          </w:rPr>
          <w:t xml:space="preserve"> </w:t>
        </w:r>
        <w:r>
          <w:rPr>
            <w:noProof/>
            <w:lang w:bidi="ar"/>
          </w:rPr>
          <w:t xml:space="preserve"> </w:t>
        </w:r>
        <w:r>
          <w:rPr>
            <w:rFonts w:hint="eastAsia"/>
            <w:noProof/>
            <w:lang w:bidi="ar"/>
          </w:rPr>
          <w:t>土方开挖与桩间支撑</w:t>
        </w:r>
        <w:r>
          <w:rPr>
            <w:noProof/>
          </w:rPr>
          <w:tab/>
        </w:r>
        <w:r>
          <w:rPr>
            <w:noProof/>
          </w:rPr>
          <w:fldChar w:fldCharType="begin"/>
        </w:r>
        <w:r>
          <w:rPr>
            <w:noProof/>
          </w:rPr>
          <w:instrText xml:space="preserve"> PAGEREF _Toc10242 \h </w:instrText>
        </w:r>
        <w:r>
          <w:rPr>
            <w:noProof/>
          </w:rPr>
        </w:r>
        <w:r>
          <w:rPr>
            <w:noProof/>
          </w:rPr>
          <w:fldChar w:fldCharType="separate"/>
        </w:r>
        <w:r w:rsidR="007357A9">
          <w:rPr>
            <w:noProof/>
          </w:rPr>
          <w:t>43</w:t>
        </w:r>
        <w:r>
          <w:rPr>
            <w:noProof/>
          </w:rPr>
          <w:fldChar w:fldCharType="end"/>
        </w:r>
      </w:hyperlink>
    </w:p>
    <w:p w:rsidR="009136B5" w:rsidRDefault="00000000">
      <w:pPr>
        <w:pStyle w:val="TOC2"/>
        <w:tabs>
          <w:tab w:val="clear" w:pos="9345"/>
          <w:tab w:val="right" w:leader="dot" w:pos="9355"/>
        </w:tabs>
        <w:ind w:firstLine="400"/>
        <w:rPr>
          <w:noProof/>
        </w:rPr>
      </w:pPr>
      <w:hyperlink w:anchor="_Toc11922" w:history="1">
        <w:r>
          <w:rPr>
            <w:noProof/>
            <w:lang w:bidi="ar"/>
          </w:rPr>
          <w:t xml:space="preserve">7.7 </w:t>
        </w:r>
        <w:r>
          <w:rPr>
            <w:rFonts w:hint="eastAsia"/>
            <w:noProof/>
            <w:lang w:bidi="ar"/>
          </w:rPr>
          <w:t xml:space="preserve"> </w:t>
        </w:r>
        <w:r>
          <w:rPr>
            <w:rFonts w:hint="eastAsia"/>
            <w:noProof/>
            <w:lang w:bidi="ar"/>
          </w:rPr>
          <w:t>既有结构构件拆除</w:t>
        </w:r>
        <w:r>
          <w:rPr>
            <w:noProof/>
          </w:rPr>
          <w:tab/>
        </w:r>
        <w:r>
          <w:rPr>
            <w:noProof/>
          </w:rPr>
          <w:fldChar w:fldCharType="begin"/>
        </w:r>
        <w:r>
          <w:rPr>
            <w:noProof/>
          </w:rPr>
          <w:instrText xml:space="preserve"> PAGEREF _Toc11922 \h </w:instrText>
        </w:r>
        <w:r>
          <w:rPr>
            <w:noProof/>
          </w:rPr>
        </w:r>
        <w:r>
          <w:rPr>
            <w:noProof/>
          </w:rPr>
          <w:fldChar w:fldCharType="separate"/>
        </w:r>
        <w:r w:rsidR="007357A9">
          <w:rPr>
            <w:noProof/>
          </w:rPr>
          <w:t>44</w:t>
        </w:r>
        <w:r>
          <w:rPr>
            <w:noProof/>
          </w:rPr>
          <w:fldChar w:fldCharType="end"/>
        </w:r>
      </w:hyperlink>
    </w:p>
    <w:p w:rsidR="009136B5" w:rsidRDefault="00000000">
      <w:pPr>
        <w:pStyle w:val="TOC2"/>
        <w:tabs>
          <w:tab w:val="clear" w:pos="9345"/>
          <w:tab w:val="right" w:leader="dot" w:pos="9355"/>
        </w:tabs>
        <w:ind w:firstLine="400"/>
        <w:rPr>
          <w:noProof/>
        </w:rPr>
      </w:pPr>
      <w:hyperlink w:anchor="_Toc31197" w:history="1">
        <w:r>
          <w:rPr>
            <w:noProof/>
            <w:lang w:bidi="ar"/>
          </w:rPr>
          <w:t xml:space="preserve">7.8 </w:t>
        </w:r>
        <w:r>
          <w:rPr>
            <w:rFonts w:hint="eastAsia"/>
            <w:noProof/>
            <w:lang w:bidi="ar"/>
          </w:rPr>
          <w:t xml:space="preserve"> </w:t>
        </w:r>
        <w:r>
          <w:rPr>
            <w:noProof/>
            <w:lang w:bidi="ar"/>
          </w:rPr>
          <w:t>既有</w:t>
        </w:r>
        <w:r>
          <w:rPr>
            <w:rFonts w:hint="eastAsia"/>
            <w:noProof/>
            <w:lang w:bidi="ar"/>
          </w:rPr>
          <w:t>上部</w:t>
        </w:r>
        <w:r>
          <w:rPr>
            <w:noProof/>
            <w:lang w:bidi="ar"/>
          </w:rPr>
          <w:t>结构加固</w:t>
        </w:r>
        <w:r>
          <w:rPr>
            <w:noProof/>
          </w:rPr>
          <w:tab/>
        </w:r>
        <w:r>
          <w:rPr>
            <w:noProof/>
          </w:rPr>
          <w:fldChar w:fldCharType="begin"/>
        </w:r>
        <w:r>
          <w:rPr>
            <w:noProof/>
          </w:rPr>
          <w:instrText xml:space="preserve"> PAGEREF _Toc31197 \h </w:instrText>
        </w:r>
        <w:r>
          <w:rPr>
            <w:noProof/>
          </w:rPr>
        </w:r>
        <w:r>
          <w:rPr>
            <w:noProof/>
          </w:rPr>
          <w:fldChar w:fldCharType="separate"/>
        </w:r>
        <w:r w:rsidR="007357A9">
          <w:rPr>
            <w:noProof/>
          </w:rPr>
          <w:t>45</w:t>
        </w:r>
        <w:r>
          <w:rPr>
            <w:noProof/>
          </w:rPr>
          <w:fldChar w:fldCharType="end"/>
        </w:r>
      </w:hyperlink>
    </w:p>
    <w:p w:rsidR="009136B5" w:rsidRDefault="00000000">
      <w:pPr>
        <w:pStyle w:val="TOC2"/>
        <w:tabs>
          <w:tab w:val="clear" w:pos="9345"/>
          <w:tab w:val="right" w:leader="dot" w:pos="9355"/>
        </w:tabs>
        <w:ind w:firstLine="400"/>
        <w:rPr>
          <w:noProof/>
        </w:rPr>
      </w:pPr>
      <w:hyperlink w:anchor="_Toc15354" w:history="1">
        <w:r>
          <w:rPr>
            <w:noProof/>
            <w:lang w:bidi="ar"/>
          </w:rPr>
          <w:t xml:space="preserve">7.9 </w:t>
        </w:r>
        <w:r>
          <w:rPr>
            <w:rFonts w:hint="eastAsia"/>
            <w:noProof/>
            <w:lang w:bidi="ar"/>
          </w:rPr>
          <w:t xml:space="preserve"> </w:t>
        </w:r>
        <w:r>
          <w:rPr>
            <w:rFonts w:hint="eastAsia"/>
            <w:noProof/>
            <w:lang w:bidi="ar"/>
          </w:rPr>
          <w:t>新增地下结构施工</w:t>
        </w:r>
        <w:r>
          <w:rPr>
            <w:noProof/>
          </w:rPr>
          <w:tab/>
        </w:r>
        <w:r>
          <w:rPr>
            <w:noProof/>
          </w:rPr>
          <w:fldChar w:fldCharType="begin"/>
        </w:r>
        <w:r>
          <w:rPr>
            <w:noProof/>
          </w:rPr>
          <w:instrText xml:space="preserve"> PAGEREF _Toc15354 \h </w:instrText>
        </w:r>
        <w:r>
          <w:rPr>
            <w:noProof/>
          </w:rPr>
        </w:r>
        <w:r>
          <w:rPr>
            <w:noProof/>
          </w:rPr>
          <w:fldChar w:fldCharType="separate"/>
        </w:r>
        <w:r w:rsidR="007357A9">
          <w:rPr>
            <w:noProof/>
          </w:rPr>
          <w:t>45</w:t>
        </w:r>
        <w:r>
          <w:rPr>
            <w:noProof/>
          </w:rPr>
          <w:fldChar w:fldCharType="end"/>
        </w:r>
      </w:hyperlink>
    </w:p>
    <w:p w:rsidR="009136B5" w:rsidRDefault="00000000">
      <w:pPr>
        <w:pStyle w:val="TOC2"/>
        <w:tabs>
          <w:tab w:val="clear" w:pos="9345"/>
          <w:tab w:val="right" w:leader="dot" w:pos="9355"/>
        </w:tabs>
        <w:ind w:firstLine="400"/>
        <w:rPr>
          <w:noProof/>
        </w:rPr>
      </w:pPr>
      <w:hyperlink w:anchor="_Toc1755" w:history="1">
        <w:r>
          <w:rPr>
            <w:noProof/>
            <w:lang w:bidi="ar"/>
          </w:rPr>
          <w:t>7.10</w:t>
        </w:r>
        <w:r>
          <w:rPr>
            <w:rFonts w:hint="eastAsia"/>
            <w:noProof/>
            <w:lang w:bidi="ar"/>
          </w:rPr>
          <w:t xml:space="preserve"> </w:t>
        </w:r>
        <w:r>
          <w:rPr>
            <w:noProof/>
            <w:lang w:bidi="ar"/>
          </w:rPr>
          <w:t xml:space="preserve"> </w:t>
        </w:r>
        <w:r>
          <w:rPr>
            <w:noProof/>
            <w:lang w:bidi="ar"/>
          </w:rPr>
          <w:t>作业环境及施工安全控制</w:t>
        </w:r>
        <w:r>
          <w:rPr>
            <w:noProof/>
          </w:rPr>
          <w:tab/>
        </w:r>
        <w:r>
          <w:rPr>
            <w:noProof/>
          </w:rPr>
          <w:fldChar w:fldCharType="begin"/>
        </w:r>
        <w:r>
          <w:rPr>
            <w:noProof/>
          </w:rPr>
          <w:instrText xml:space="preserve"> PAGEREF _Toc1755 \h </w:instrText>
        </w:r>
        <w:r>
          <w:rPr>
            <w:noProof/>
          </w:rPr>
        </w:r>
        <w:r>
          <w:rPr>
            <w:noProof/>
          </w:rPr>
          <w:fldChar w:fldCharType="separate"/>
        </w:r>
        <w:r w:rsidR="007357A9">
          <w:rPr>
            <w:noProof/>
          </w:rPr>
          <w:t>47</w:t>
        </w:r>
        <w:r>
          <w:rPr>
            <w:noProof/>
          </w:rPr>
          <w:fldChar w:fldCharType="end"/>
        </w:r>
      </w:hyperlink>
    </w:p>
    <w:p w:rsidR="009136B5" w:rsidRDefault="00000000">
      <w:pPr>
        <w:pStyle w:val="TOC1"/>
        <w:tabs>
          <w:tab w:val="right" w:leader="dot" w:pos="9355"/>
        </w:tabs>
        <w:ind w:firstLine="402"/>
        <w:rPr>
          <w:noProof/>
        </w:rPr>
      </w:pPr>
      <w:hyperlink w:anchor="_Toc15106" w:history="1">
        <w:r>
          <w:rPr>
            <w:noProof/>
          </w:rPr>
          <w:t xml:space="preserve">8 </w:t>
        </w:r>
        <w:r>
          <w:rPr>
            <w:rFonts w:hint="eastAsia"/>
            <w:noProof/>
          </w:rPr>
          <w:t xml:space="preserve"> </w:t>
        </w:r>
        <w:r>
          <w:rPr>
            <w:rFonts w:hint="eastAsia"/>
            <w:noProof/>
          </w:rPr>
          <w:t>监</w:t>
        </w:r>
        <w:r>
          <w:rPr>
            <w:rFonts w:hint="eastAsia"/>
            <w:noProof/>
          </w:rPr>
          <w:t xml:space="preserve">    </w:t>
        </w:r>
        <w:r>
          <w:rPr>
            <w:rFonts w:hint="eastAsia"/>
            <w:noProof/>
          </w:rPr>
          <w:t>测</w:t>
        </w:r>
        <w:r>
          <w:rPr>
            <w:noProof/>
          </w:rPr>
          <w:tab/>
        </w:r>
        <w:r>
          <w:rPr>
            <w:noProof/>
          </w:rPr>
          <w:fldChar w:fldCharType="begin"/>
        </w:r>
        <w:r>
          <w:rPr>
            <w:noProof/>
          </w:rPr>
          <w:instrText xml:space="preserve"> PAGEREF _Toc15106 \h </w:instrText>
        </w:r>
        <w:r>
          <w:rPr>
            <w:noProof/>
          </w:rPr>
        </w:r>
        <w:r>
          <w:rPr>
            <w:noProof/>
          </w:rPr>
          <w:fldChar w:fldCharType="separate"/>
        </w:r>
        <w:r w:rsidR="007357A9">
          <w:rPr>
            <w:noProof/>
          </w:rPr>
          <w:t>48</w:t>
        </w:r>
        <w:r>
          <w:rPr>
            <w:noProof/>
          </w:rPr>
          <w:fldChar w:fldCharType="end"/>
        </w:r>
      </w:hyperlink>
    </w:p>
    <w:p w:rsidR="009136B5" w:rsidRDefault="00000000">
      <w:pPr>
        <w:pStyle w:val="TOC2"/>
        <w:tabs>
          <w:tab w:val="clear" w:pos="9345"/>
          <w:tab w:val="right" w:leader="dot" w:pos="9355"/>
        </w:tabs>
        <w:ind w:firstLine="400"/>
        <w:rPr>
          <w:noProof/>
        </w:rPr>
      </w:pPr>
      <w:hyperlink w:anchor="_Toc18143" w:history="1">
        <w:r>
          <w:rPr>
            <w:noProof/>
          </w:rPr>
          <w:t xml:space="preserve">8.1 </w:t>
        </w:r>
        <w:r>
          <w:rPr>
            <w:rFonts w:hint="eastAsia"/>
            <w:noProof/>
          </w:rPr>
          <w:t xml:space="preserve"> </w:t>
        </w:r>
        <w:r>
          <w:rPr>
            <w:rFonts w:hint="eastAsia"/>
            <w:noProof/>
          </w:rPr>
          <w:t>一般规定</w:t>
        </w:r>
        <w:r>
          <w:rPr>
            <w:noProof/>
          </w:rPr>
          <w:tab/>
        </w:r>
        <w:r>
          <w:rPr>
            <w:noProof/>
          </w:rPr>
          <w:fldChar w:fldCharType="begin"/>
        </w:r>
        <w:r>
          <w:rPr>
            <w:noProof/>
          </w:rPr>
          <w:instrText xml:space="preserve"> PAGEREF _Toc18143 \h </w:instrText>
        </w:r>
        <w:r>
          <w:rPr>
            <w:noProof/>
          </w:rPr>
        </w:r>
        <w:r>
          <w:rPr>
            <w:noProof/>
          </w:rPr>
          <w:fldChar w:fldCharType="separate"/>
        </w:r>
        <w:r w:rsidR="007357A9">
          <w:rPr>
            <w:noProof/>
          </w:rPr>
          <w:t>48</w:t>
        </w:r>
        <w:r>
          <w:rPr>
            <w:noProof/>
          </w:rPr>
          <w:fldChar w:fldCharType="end"/>
        </w:r>
      </w:hyperlink>
    </w:p>
    <w:p w:rsidR="009136B5" w:rsidRDefault="00000000">
      <w:pPr>
        <w:pStyle w:val="TOC2"/>
        <w:tabs>
          <w:tab w:val="clear" w:pos="9345"/>
          <w:tab w:val="right" w:leader="dot" w:pos="9355"/>
        </w:tabs>
        <w:ind w:firstLine="400"/>
        <w:rPr>
          <w:noProof/>
        </w:rPr>
      </w:pPr>
      <w:hyperlink w:anchor="_Toc13889" w:history="1">
        <w:r>
          <w:rPr>
            <w:rFonts w:hint="eastAsia"/>
            <w:noProof/>
          </w:rPr>
          <w:t xml:space="preserve">8.2  </w:t>
        </w:r>
        <w:r>
          <w:rPr>
            <w:rFonts w:hint="eastAsia"/>
            <w:noProof/>
          </w:rPr>
          <w:t>既有结构监测</w:t>
        </w:r>
        <w:r>
          <w:rPr>
            <w:noProof/>
          </w:rPr>
          <w:tab/>
        </w:r>
        <w:r>
          <w:rPr>
            <w:noProof/>
          </w:rPr>
          <w:fldChar w:fldCharType="begin"/>
        </w:r>
        <w:r>
          <w:rPr>
            <w:noProof/>
          </w:rPr>
          <w:instrText xml:space="preserve"> PAGEREF _Toc13889 \h </w:instrText>
        </w:r>
        <w:r>
          <w:rPr>
            <w:noProof/>
          </w:rPr>
        </w:r>
        <w:r>
          <w:rPr>
            <w:noProof/>
          </w:rPr>
          <w:fldChar w:fldCharType="separate"/>
        </w:r>
        <w:r w:rsidR="007357A9">
          <w:rPr>
            <w:noProof/>
          </w:rPr>
          <w:t>48</w:t>
        </w:r>
        <w:r>
          <w:rPr>
            <w:noProof/>
          </w:rPr>
          <w:fldChar w:fldCharType="end"/>
        </w:r>
      </w:hyperlink>
    </w:p>
    <w:p w:rsidR="009136B5" w:rsidRDefault="00000000">
      <w:pPr>
        <w:pStyle w:val="TOC2"/>
        <w:tabs>
          <w:tab w:val="clear" w:pos="9345"/>
          <w:tab w:val="right" w:leader="dot" w:pos="9355"/>
        </w:tabs>
        <w:ind w:firstLine="400"/>
        <w:rPr>
          <w:noProof/>
        </w:rPr>
      </w:pPr>
      <w:hyperlink w:anchor="_Toc19294" w:history="1">
        <w:r>
          <w:rPr>
            <w:rFonts w:hint="eastAsia"/>
            <w:noProof/>
          </w:rPr>
          <w:t xml:space="preserve">8.3  </w:t>
        </w:r>
        <w:r>
          <w:rPr>
            <w:rFonts w:hint="eastAsia"/>
            <w:noProof/>
          </w:rPr>
          <w:t>托换结构监测</w:t>
        </w:r>
        <w:r>
          <w:rPr>
            <w:noProof/>
          </w:rPr>
          <w:tab/>
        </w:r>
        <w:r>
          <w:rPr>
            <w:noProof/>
          </w:rPr>
          <w:fldChar w:fldCharType="begin"/>
        </w:r>
        <w:r>
          <w:rPr>
            <w:noProof/>
          </w:rPr>
          <w:instrText xml:space="preserve"> PAGEREF _Toc19294 \h </w:instrText>
        </w:r>
        <w:r>
          <w:rPr>
            <w:noProof/>
          </w:rPr>
        </w:r>
        <w:r>
          <w:rPr>
            <w:noProof/>
          </w:rPr>
          <w:fldChar w:fldCharType="separate"/>
        </w:r>
        <w:r w:rsidR="007357A9">
          <w:rPr>
            <w:noProof/>
          </w:rPr>
          <w:t>48</w:t>
        </w:r>
        <w:r>
          <w:rPr>
            <w:noProof/>
          </w:rPr>
          <w:fldChar w:fldCharType="end"/>
        </w:r>
      </w:hyperlink>
    </w:p>
    <w:p w:rsidR="009136B5" w:rsidRDefault="00000000">
      <w:pPr>
        <w:pStyle w:val="TOC2"/>
        <w:tabs>
          <w:tab w:val="clear" w:pos="9345"/>
          <w:tab w:val="right" w:leader="dot" w:pos="9355"/>
        </w:tabs>
        <w:ind w:firstLine="400"/>
        <w:rPr>
          <w:noProof/>
        </w:rPr>
      </w:pPr>
      <w:hyperlink w:anchor="_Toc19883" w:history="1">
        <w:r>
          <w:rPr>
            <w:noProof/>
          </w:rPr>
          <w:t>8.</w:t>
        </w:r>
        <w:r>
          <w:rPr>
            <w:rFonts w:hint="eastAsia"/>
            <w:noProof/>
          </w:rPr>
          <w:t xml:space="preserve">4 </w:t>
        </w:r>
        <w:r>
          <w:rPr>
            <w:noProof/>
          </w:rPr>
          <w:t xml:space="preserve"> </w:t>
        </w:r>
        <w:r>
          <w:rPr>
            <w:rFonts w:hint="eastAsia"/>
            <w:noProof/>
          </w:rPr>
          <w:t>支护监测</w:t>
        </w:r>
        <w:r>
          <w:rPr>
            <w:noProof/>
          </w:rPr>
          <w:tab/>
        </w:r>
        <w:r>
          <w:rPr>
            <w:noProof/>
          </w:rPr>
          <w:fldChar w:fldCharType="begin"/>
        </w:r>
        <w:r>
          <w:rPr>
            <w:noProof/>
          </w:rPr>
          <w:instrText xml:space="preserve"> PAGEREF _Toc19883 \h </w:instrText>
        </w:r>
        <w:r>
          <w:rPr>
            <w:noProof/>
          </w:rPr>
        </w:r>
        <w:r>
          <w:rPr>
            <w:noProof/>
          </w:rPr>
          <w:fldChar w:fldCharType="separate"/>
        </w:r>
        <w:r w:rsidR="007357A9">
          <w:rPr>
            <w:noProof/>
          </w:rPr>
          <w:t>49</w:t>
        </w:r>
        <w:r>
          <w:rPr>
            <w:noProof/>
          </w:rPr>
          <w:fldChar w:fldCharType="end"/>
        </w:r>
      </w:hyperlink>
    </w:p>
    <w:p w:rsidR="009136B5" w:rsidRDefault="00000000">
      <w:pPr>
        <w:pStyle w:val="TOC2"/>
        <w:tabs>
          <w:tab w:val="clear" w:pos="9345"/>
          <w:tab w:val="right" w:leader="dot" w:pos="9355"/>
        </w:tabs>
        <w:ind w:firstLine="400"/>
        <w:rPr>
          <w:noProof/>
        </w:rPr>
      </w:pPr>
      <w:hyperlink w:anchor="_Toc32649" w:history="1">
        <w:r>
          <w:rPr>
            <w:rFonts w:hint="eastAsia"/>
            <w:noProof/>
          </w:rPr>
          <w:t>8</w:t>
        </w:r>
        <w:r>
          <w:rPr>
            <w:noProof/>
          </w:rPr>
          <w:t>.</w:t>
        </w:r>
        <w:r>
          <w:rPr>
            <w:rFonts w:hint="eastAsia"/>
            <w:noProof/>
          </w:rPr>
          <w:t>5</w:t>
        </w:r>
        <w:r>
          <w:rPr>
            <w:noProof/>
          </w:rPr>
          <w:t xml:space="preserve"> </w:t>
        </w:r>
        <w:r>
          <w:rPr>
            <w:rFonts w:hint="eastAsia"/>
            <w:noProof/>
          </w:rPr>
          <w:t xml:space="preserve"> </w:t>
        </w:r>
        <w:r>
          <w:rPr>
            <w:rFonts w:hint="eastAsia"/>
            <w:noProof/>
          </w:rPr>
          <w:t>周边环境监测</w:t>
        </w:r>
        <w:r>
          <w:rPr>
            <w:noProof/>
          </w:rPr>
          <w:tab/>
        </w:r>
        <w:r>
          <w:rPr>
            <w:noProof/>
          </w:rPr>
          <w:fldChar w:fldCharType="begin"/>
        </w:r>
        <w:r>
          <w:rPr>
            <w:noProof/>
          </w:rPr>
          <w:instrText xml:space="preserve"> PAGEREF _Toc32649 \h </w:instrText>
        </w:r>
        <w:r>
          <w:rPr>
            <w:noProof/>
          </w:rPr>
        </w:r>
        <w:r>
          <w:rPr>
            <w:noProof/>
          </w:rPr>
          <w:fldChar w:fldCharType="separate"/>
        </w:r>
        <w:r w:rsidR="007357A9">
          <w:rPr>
            <w:noProof/>
          </w:rPr>
          <w:t>49</w:t>
        </w:r>
        <w:r>
          <w:rPr>
            <w:noProof/>
          </w:rPr>
          <w:fldChar w:fldCharType="end"/>
        </w:r>
      </w:hyperlink>
    </w:p>
    <w:p w:rsidR="009136B5" w:rsidRDefault="00000000">
      <w:pPr>
        <w:pStyle w:val="TOC1"/>
        <w:tabs>
          <w:tab w:val="right" w:leader="dot" w:pos="9355"/>
        </w:tabs>
        <w:ind w:firstLine="402"/>
        <w:rPr>
          <w:noProof/>
        </w:rPr>
      </w:pPr>
      <w:hyperlink w:anchor="_Toc1681" w:history="1">
        <w:r>
          <w:rPr>
            <w:rFonts w:hint="eastAsia"/>
            <w:noProof/>
          </w:rPr>
          <w:t>9</w:t>
        </w:r>
        <w:r>
          <w:rPr>
            <w:noProof/>
          </w:rPr>
          <w:t xml:space="preserve">  </w:t>
        </w:r>
        <w:r>
          <w:rPr>
            <w:rFonts w:hint="eastAsia"/>
            <w:noProof/>
          </w:rPr>
          <w:t>验</w:t>
        </w:r>
        <w:r>
          <w:rPr>
            <w:rFonts w:hint="eastAsia"/>
            <w:noProof/>
          </w:rPr>
          <w:t xml:space="preserve">    </w:t>
        </w:r>
        <w:r>
          <w:rPr>
            <w:rFonts w:hint="eastAsia"/>
            <w:noProof/>
          </w:rPr>
          <w:t>收</w:t>
        </w:r>
        <w:r>
          <w:rPr>
            <w:noProof/>
          </w:rPr>
          <w:tab/>
        </w:r>
        <w:r>
          <w:rPr>
            <w:noProof/>
          </w:rPr>
          <w:fldChar w:fldCharType="begin"/>
        </w:r>
        <w:r>
          <w:rPr>
            <w:noProof/>
          </w:rPr>
          <w:instrText xml:space="preserve"> PAGEREF _Toc1681 \h </w:instrText>
        </w:r>
        <w:r>
          <w:rPr>
            <w:noProof/>
          </w:rPr>
        </w:r>
        <w:r>
          <w:rPr>
            <w:noProof/>
          </w:rPr>
          <w:fldChar w:fldCharType="separate"/>
        </w:r>
        <w:r w:rsidR="007357A9">
          <w:rPr>
            <w:noProof/>
          </w:rPr>
          <w:t>50</w:t>
        </w:r>
        <w:r>
          <w:rPr>
            <w:noProof/>
          </w:rPr>
          <w:fldChar w:fldCharType="end"/>
        </w:r>
      </w:hyperlink>
    </w:p>
    <w:p w:rsidR="009136B5" w:rsidRDefault="00000000">
      <w:pPr>
        <w:pStyle w:val="TOC2"/>
        <w:tabs>
          <w:tab w:val="clear" w:pos="9345"/>
          <w:tab w:val="right" w:leader="dot" w:pos="9355"/>
        </w:tabs>
        <w:ind w:firstLine="400"/>
        <w:rPr>
          <w:noProof/>
        </w:rPr>
      </w:pPr>
      <w:hyperlink w:anchor="_Toc1734" w:history="1">
        <w:r>
          <w:rPr>
            <w:rFonts w:hint="eastAsia"/>
            <w:noProof/>
          </w:rPr>
          <w:t>9</w:t>
        </w:r>
        <w:r>
          <w:rPr>
            <w:noProof/>
          </w:rPr>
          <w:t>.1</w:t>
        </w:r>
        <w:r>
          <w:rPr>
            <w:rFonts w:hint="eastAsia"/>
            <w:noProof/>
          </w:rPr>
          <w:t xml:space="preserve"> </w:t>
        </w:r>
        <w:r>
          <w:rPr>
            <w:noProof/>
          </w:rPr>
          <w:t xml:space="preserve"> </w:t>
        </w:r>
        <w:r>
          <w:rPr>
            <w:noProof/>
          </w:rPr>
          <w:t>一般规定</w:t>
        </w:r>
        <w:r>
          <w:rPr>
            <w:noProof/>
          </w:rPr>
          <w:tab/>
        </w:r>
        <w:r>
          <w:rPr>
            <w:noProof/>
          </w:rPr>
          <w:fldChar w:fldCharType="begin"/>
        </w:r>
        <w:r>
          <w:rPr>
            <w:noProof/>
          </w:rPr>
          <w:instrText xml:space="preserve"> PAGEREF _Toc1734 \h </w:instrText>
        </w:r>
        <w:r>
          <w:rPr>
            <w:noProof/>
          </w:rPr>
        </w:r>
        <w:r>
          <w:rPr>
            <w:noProof/>
          </w:rPr>
          <w:fldChar w:fldCharType="separate"/>
        </w:r>
        <w:r w:rsidR="007357A9">
          <w:rPr>
            <w:noProof/>
          </w:rPr>
          <w:t>50</w:t>
        </w:r>
        <w:r>
          <w:rPr>
            <w:noProof/>
          </w:rPr>
          <w:fldChar w:fldCharType="end"/>
        </w:r>
      </w:hyperlink>
    </w:p>
    <w:p w:rsidR="009136B5" w:rsidRDefault="00000000">
      <w:pPr>
        <w:pStyle w:val="TOC2"/>
        <w:tabs>
          <w:tab w:val="clear" w:pos="9345"/>
          <w:tab w:val="right" w:leader="dot" w:pos="9355"/>
        </w:tabs>
        <w:ind w:firstLine="400"/>
        <w:rPr>
          <w:noProof/>
        </w:rPr>
      </w:pPr>
      <w:hyperlink w:anchor="_Toc17583" w:history="1">
        <w:r>
          <w:rPr>
            <w:rFonts w:hint="eastAsia"/>
            <w:noProof/>
          </w:rPr>
          <w:t>9</w:t>
        </w:r>
        <w:r>
          <w:rPr>
            <w:noProof/>
          </w:rPr>
          <w:t>.2</w:t>
        </w:r>
        <w:r>
          <w:rPr>
            <w:rFonts w:hint="eastAsia"/>
            <w:noProof/>
          </w:rPr>
          <w:t xml:space="preserve"> </w:t>
        </w:r>
        <w:r>
          <w:rPr>
            <w:noProof/>
          </w:rPr>
          <w:t xml:space="preserve"> </w:t>
        </w:r>
        <w:r>
          <w:rPr>
            <w:rFonts w:hint="eastAsia"/>
            <w:noProof/>
          </w:rPr>
          <w:t>检验</w:t>
        </w:r>
        <w:r>
          <w:rPr>
            <w:noProof/>
          </w:rPr>
          <w:tab/>
        </w:r>
        <w:r>
          <w:rPr>
            <w:noProof/>
          </w:rPr>
          <w:fldChar w:fldCharType="begin"/>
        </w:r>
        <w:r>
          <w:rPr>
            <w:noProof/>
          </w:rPr>
          <w:instrText xml:space="preserve"> PAGEREF _Toc17583 \h </w:instrText>
        </w:r>
        <w:r>
          <w:rPr>
            <w:noProof/>
          </w:rPr>
        </w:r>
        <w:r>
          <w:rPr>
            <w:noProof/>
          </w:rPr>
          <w:fldChar w:fldCharType="separate"/>
        </w:r>
        <w:r w:rsidR="007357A9">
          <w:rPr>
            <w:noProof/>
          </w:rPr>
          <w:t>51</w:t>
        </w:r>
        <w:r>
          <w:rPr>
            <w:noProof/>
          </w:rPr>
          <w:fldChar w:fldCharType="end"/>
        </w:r>
      </w:hyperlink>
    </w:p>
    <w:p w:rsidR="009136B5" w:rsidRDefault="00000000">
      <w:pPr>
        <w:pStyle w:val="TOC2"/>
        <w:tabs>
          <w:tab w:val="clear" w:pos="9345"/>
          <w:tab w:val="right" w:leader="dot" w:pos="9355"/>
        </w:tabs>
        <w:ind w:firstLine="400"/>
        <w:rPr>
          <w:noProof/>
        </w:rPr>
      </w:pPr>
      <w:hyperlink w:anchor="_Toc5127" w:history="1">
        <w:r>
          <w:rPr>
            <w:rFonts w:hint="eastAsia"/>
            <w:noProof/>
          </w:rPr>
          <w:t>9</w:t>
        </w:r>
        <w:r>
          <w:rPr>
            <w:noProof/>
          </w:rPr>
          <w:t xml:space="preserve">.3 </w:t>
        </w:r>
        <w:r>
          <w:rPr>
            <w:rFonts w:hint="eastAsia"/>
            <w:noProof/>
          </w:rPr>
          <w:t xml:space="preserve"> </w:t>
        </w:r>
        <w:r>
          <w:rPr>
            <w:rFonts w:hint="eastAsia"/>
            <w:noProof/>
          </w:rPr>
          <w:t>验收</w:t>
        </w:r>
        <w:r>
          <w:rPr>
            <w:noProof/>
          </w:rPr>
          <w:tab/>
        </w:r>
        <w:r>
          <w:rPr>
            <w:noProof/>
          </w:rPr>
          <w:fldChar w:fldCharType="begin"/>
        </w:r>
        <w:r>
          <w:rPr>
            <w:noProof/>
          </w:rPr>
          <w:instrText xml:space="preserve"> PAGEREF _Toc5127 \h </w:instrText>
        </w:r>
        <w:r>
          <w:rPr>
            <w:noProof/>
          </w:rPr>
        </w:r>
        <w:r>
          <w:rPr>
            <w:noProof/>
          </w:rPr>
          <w:fldChar w:fldCharType="separate"/>
        </w:r>
        <w:r w:rsidR="007357A9">
          <w:rPr>
            <w:noProof/>
          </w:rPr>
          <w:t>51</w:t>
        </w:r>
        <w:r>
          <w:rPr>
            <w:noProof/>
          </w:rPr>
          <w:fldChar w:fldCharType="end"/>
        </w:r>
      </w:hyperlink>
    </w:p>
    <w:p w:rsidR="009136B5" w:rsidRDefault="00000000">
      <w:pPr>
        <w:pStyle w:val="TOC1"/>
        <w:tabs>
          <w:tab w:val="right" w:leader="dot" w:pos="9355"/>
        </w:tabs>
        <w:ind w:firstLine="402"/>
        <w:rPr>
          <w:noProof/>
        </w:rPr>
      </w:pPr>
      <w:hyperlink w:anchor="_Toc31925" w:history="1">
        <w:r>
          <w:rPr>
            <w:rFonts w:ascii="宋体" w:hAnsi="宋体" w:cs="宋体" w:hint="eastAsia"/>
            <w:noProof/>
            <w:szCs w:val="21"/>
          </w:rPr>
          <w:t>附录A  考虑开挖卸荷影响桩基侧摩阻力折减系数计算</w:t>
        </w:r>
        <w:r>
          <w:rPr>
            <w:noProof/>
          </w:rPr>
          <w:tab/>
        </w:r>
        <w:r>
          <w:rPr>
            <w:noProof/>
          </w:rPr>
          <w:fldChar w:fldCharType="begin"/>
        </w:r>
        <w:r>
          <w:rPr>
            <w:noProof/>
          </w:rPr>
          <w:instrText xml:space="preserve"> PAGEREF _Toc31925 \h </w:instrText>
        </w:r>
        <w:r>
          <w:rPr>
            <w:noProof/>
          </w:rPr>
        </w:r>
        <w:r>
          <w:rPr>
            <w:noProof/>
          </w:rPr>
          <w:fldChar w:fldCharType="separate"/>
        </w:r>
        <w:r w:rsidR="007357A9">
          <w:rPr>
            <w:noProof/>
          </w:rPr>
          <w:t>53</w:t>
        </w:r>
        <w:r>
          <w:rPr>
            <w:noProof/>
          </w:rPr>
          <w:fldChar w:fldCharType="end"/>
        </w:r>
      </w:hyperlink>
    </w:p>
    <w:p w:rsidR="009136B5" w:rsidRDefault="00000000">
      <w:pPr>
        <w:pStyle w:val="TOC1"/>
        <w:tabs>
          <w:tab w:val="right" w:leader="dot" w:pos="9355"/>
        </w:tabs>
        <w:ind w:firstLine="402"/>
        <w:rPr>
          <w:noProof/>
        </w:rPr>
      </w:pPr>
      <w:hyperlink w:anchor="_Toc10429" w:history="1">
        <w:r>
          <w:rPr>
            <w:rFonts w:ascii="宋体" w:hAnsi="宋体" w:cs="宋体" w:hint="eastAsia"/>
            <w:noProof/>
            <w:szCs w:val="21"/>
          </w:rPr>
          <w:t>附录B</w:t>
        </w:r>
        <w:r>
          <w:rPr>
            <w:rFonts w:ascii="宋体" w:hAnsi="宋体" w:cs="宋体"/>
            <w:noProof/>
            <w:szCs w:val="21"/>
          </w:rPr>
          <w:t xml:space="preserve">  </w:t>
        </w:r>
        <w:r>
          <w:rPr>
            <w:rFonts w:ascii="宋体" w:hAnsi="宋体" w:cs="宋体" w:hint="eastAsia"/>
            <w:noProof/>
            <w:szCs w:val="21"/>
          </w:rPr>
          <w:t>既有建筑地下增层工程分部、子分部工程、分项工程划分</w:t>
        </w:r>
        <w:r>
          <w:rPr>
            <w:noProof/>
          </w:rPr>
          <w:tab/>
        </w:r>
        <w:r>
          <w:rPr>
            <w:noProof/>
          </w:rPr>
          <w:fldChar w:fldCharType="begin"/>
        </w:r>
        <w:r>
          <w:rPr>
            <w:noProof/>
          </w:rPr>
          <w:instrText xml:space="preserve"> PAGEREF _Toc10429 \h </w:instrText>
        </w:r>
        <w:r>
          <w:rPr>
            <w:noProof/>
          </w:rPr>
        </w:r>
        <w:r>
          <w:rPr>
            <w:noProof/>
          </w:rPr>
          <w:fldChar w:fldCharType="separate"/>
        </w:r>
        <w:r w:rsidR="007357A9">
          <w:rPr>
            <w:noProof/>
          </w:rPr>
          <w:t>54</w:t>
        </w:r>
        <w:r>
          <w:rPr>
            <w:noProof/>
          </w:rPr>
          <w:fldChar w:fldCharType="end"/>
        </w:r>
      </w:hyperlink>
    </w:p>
    <w:p w:rsidR="009136B5" w:rsidRDefault="00000000">
      <w:pPr>
        <w:pStyle w:val="TOC1"/>
        <w:tabs>
          <w:tab w:val="right" w:leader="dot" w:pos="9355"/>
        </w:tabs>
        <w:ind w:firstLine="402"/>
        <w:rPr>
          <w:noProof/>
        </w:rPr>
      </w:pPr>
      <w:hyperlink w:anchor="_Toc29663" w:history="1">
        <w:r>
          <w:rPr>
            <w:noProof/>
          </w:rPr>
          <w:t>本规程用词说明</w:t>
        </w:r>
        <w:r>
          <w:rPr>
            <w:noProof/>
          </w:rPr>
          <w:tab/>
        </w:r>
        <w:r>
          <w:rPr>
            <w:noProof/>
          </w:rPr>
          <w:fldChar w:fldCharType="begin"/>
        </w:r>
        <w:r>
          <w:rPr>
            <w:noProof/>
          </w:rPr>
          <w:instrText xml:space="preserve"> PAGEREF _Toc29663 \h </w:instrText>
        </w:r>
        <w:r>
          <w:rPr>
            <w:noProof/>
          </w:rPr>
        </w:r>
        <w:r>
          <w:rPr>
            <w:noProof/>
          </w:rPr>
          <w:fldChar w:fldCharType="separate"/>
        </w:r>
        <w:r w:rsidR="007357A9">
          <w:rPr>
            <w:noProof/>
          </w:rPr>
          <w:t>55</w:t>
        </w:r>
        <w:r>
          <w:rPr>
            <w:noProof/>
          </w:rPr>
          <w:fldChar w:fldCharType="end"/>
        </w:r>
      </w:hyperlink>
    </w:p>
    <w:p w:rsidR="009136B5" w:rsidRDefault="00000000">
      <w:pPr>
        <w:pStyle w:val="TOC1"/>
        <w:tabs>
          <w:tab w:val="right" w:leader="dot" w:pos="9355"/>
        </w:tabs>
        <w:ind w:firstLine="402"/>
        <w:rPr>
          <w:noProof/>
        </w:rPr>
      </w:pPr>
      <w:hyperlink w:anchor="_Toc24695" w:history="1">
        <w:r>
          <w:rPr>
            <w:rFonts w:hint="eastAsia"/>
            <w:noProof/>
          </w:rPr>
          <w:t>引用标准名录</w:t>
        </w:r>
        <w:r>
          <w:rPr>
            <w:noProof/>
          </w:rPr>
          <w:tab/>
        </w:r>
        <w:r>
          <w:rPr>
            <w:noProof/>
          </w:rPr>
          <w:fldChar w:fldCharType="begin"/>
        </w:r>
        <w:r>
          <w:rPr>
            <w:noProof/>
          </w:rPr>
          <w:instrText xml:space="preserve"> PAGEREF _Toc24695 \h </w:instrText>
        </w:r>
        <w:r>
          <w:rPr>
            <w:noProof/>
          </w:rPr>
        </w:r>
        <w:r>
          <w:rPr>
            <w:noProof/>
          </w:rPr>
          <w:fldChar w:fldCharType="separate"/>
        </w:r>
        <w:r w:rsidR="007357A9">
          <w:rPr>
            <w:noProof/>
          </w:rPr>
          <w:t>56</w:t>
        </w:r>
        <w:r>
          <w:rPr>
            <w:noProof/>
          </w:rPr>
          <w:fldChar w:fldCharType="end"/>
        </w:r>
      </w:hyperlink>
    </w:p>
    <w:p w:rsidR="009136B5" w:rsidRDefault="00000000">
      <w:pPr>
        <w:pStyle w:val="af6"/>
        <w:rPr>
          <w:bCs/>
          <w:caps/>
          <w:smallCaps/>
        </w:rPr>
      </w:pPr>
      <w:r>
        <w:rPr>
          <w:bCs/>
          <w:caps/>
          <w:smallCaps/>
        </w:rPr>
        <w:fldChar w:fldCharType="end"/>
      </w:r>
    </w:p>
    <w:p w:rsidR="009136B5" w:rsidRDefault="00000000">
      <w:pPr>
        <w:pStyle w:val="af6"/>
        <w:rPr>
          <w:bCs/>
          <w:caps/>
          <w:smallCaps/>
        </w:rPr>
      </w:pPr>
      <w:r>
        <w:rPr>
          <w:bCs/>
          <w:caps/>
          <w:smallCaps/>
        </w:rPr>
        <w:br w:type="page"/>
      </w:r>
    </w:p>
    <w:p w:rsidR="009136B5" w:rsidRDefault="00000000">
      <w:pPr>
        <w:ind w:firstLine="643"/>
        <w:jc w:val="center"/>
        <w:rPr>
          <w:b/>
          <w:sz w:val="32"/>
          <w:szCs w:val="32"/>
        </w:rPr>
      </w:pPr>
      <w:r>
        <w:rPr>
          <w:rFonts w:hint="eastAsia"/>
          <w:b/>
          <w:sz w:val="32"/>
          <w:szCs w:val="32"/>
        </w:rPr>
        <w:lastRenderedPageBreak/>
        <w:t>Contents</w:t>
      </w:r>
    </w:p>
    <w:p w:rsidR="009136B5" w:rsidRDefault="00000000">
      <w:pPr>
        <w:pStyle w:val="TOC1"/>
        <w:tabs>
          <w:tab w:val="right" w:leader="dot" w:pos="9345"/>
        </w:tabs>
        <w:ind w:firstLine="400"/>
        <w:rPr>
          <w:rFonts w:asciiTheme="minorHAnsi" w:eastAsiaTheme="minorEastAsia" w:hAnsiTheme="minorHAnsi" w:cstheme="minorBidi"/>
          <w:b w:val="0"/>
          <w:bCs w:val="0"/>
          <w:caps w:val="0"/>
          <w:noProof/>
          <w:sz w:val="21"/>
          <w:szCs w:val="22"/>
        </w:rPr>
      </w:pPr>
      <w:r>
        <w:rPr>
          <w:b w:val="0"/>
          <w:bCs w:val="0"/>
          <w:caps w:val="0"/>
          <w:smallCaps/>
        </w:rPr>
        <w:fldChar w:fldCharType="begin"/>
      </w:r>
      <w:r>
        <w:rPr>
          <w:b w:val="0"/>
          <w:bCs w:val="0"/>
          <w:caps w:val="0"/>
          <w:smallCaps/>
        </w:rPr>
        <w:instrText xml:space="preserve"> TOC \o "1-2" \h \z \u </w:instrText>
      </w:r>
      <w:r>
        <w:rPr>
          <w:b w:val="0"/>
          <w:bCs w:val="0"/>
          <w:caps w:val="0"/>
          <w:smallCaps/>
        </w:rPr>
        <w:fldChar w:fldCharType="separate"/>
      </w:r>
      <w:hyperlink w:anchor="_Toc123647755" w:history="1">
        <w:r>
          <w:rPr>
            <w:rStyle w:val="afe"/>
            <w:caps w:val="0"/>
            <w:noProof/>
          </w:rPr>
          <w:t xml:space="preserve">1  </w:t>
        </w:r>
        <w:r>
          <w:rPr>
            <w:rStyle w:val="afe"/>
            <w:rFonts w:hint="eastAsia"/>
            <w:caps w:val="0"/>
            <w:noProof/>
          </w:rPr>
          <w:t>General Provision</w:t>
        </w:r>
        <w:r>
          <w:rPr>
            <w:caps w:val="0"/>
            <w:noProof/>
          </w:rPr>
          <w:tab/>
        </w:r>
        <w:r>
          <w:rPr>
            <w:caps w:val="0"/>
            <w:noProof/>
          </w:rPr>
          <w:fldChar w:fldCharType="begin"/>
        </w:r>
        <w:r>
          <w:rPr>
            <w:caps w:val="0"/>
            <w:noProof/>
          </w:rPr>
          <w:instrText xml:space="preserve"> PAGEREF _Toc123647755 \h </w:instrText>
        </w:r>
        <w:r>
          <w:rPr>
            <w:caps w:val="0"/>
            <w:noProof/>
          </w:rPr>
        </w:r>
        <w:r>
          <w:rPr>
            <w:caps w:val="0"/>
            <w:noProof/>
          </w:rPr>
          <w:fldChar w:fldCharType="separate"/>
        </w:r>
        <w:r w:rsidR="007357A9">
          <w:rPr>
            <w:caps w:val="0"/>
            <w:noProof/>
          </w:rPr>
          <w:t>1</w:t>
        </w:r>
        <w:r>
          <w:rPr>
            <w:caps w:val="0"/>
            <w:noProof/>
          </w:rPr>
          <w:fldChar w:fldCharType="end"/>
        </w:r>
      </w:hyperlink>
    </w:p>
    <w:p w:rsidR="009136B5" w:rsidRDefault="00000000">
      <w:pPr>
        <w:pStyle w:val="TOC1"/>
        <w:tabs>
          <w:tab w:val="right" w:leader="dot" w:pos="9345"/>
        </w:tabs>
        <w:ind w:firstLine="402"/>
        <w:rPr>
          <w:rFonts w:asciiTheme="minorHAnsi" w:eastAsiaTheme="minorEastAsia" w:hAnsiTheme="minorHAnsi" w:cstheme="minorBidi"/>
          <w:b w:val="0"/>
          <w:bCs w:val="0"/>
          <w:caps w:val="0"/>
          <w:noProof/>
          <w:sz w:val="21"/>
          <w:szCs w:val="22"/>
        </w:rPr>
      </w:pPr>
      <w:hyperlink w:anchor="_Toc123647756" w:history="1">
        <w:r>
          <w:rPr>
            <w:rStyle w:val="afe"/>
            <w:caps w:val="0"/>
            <w:noProof/>
          </w:rPr>
          <w:t>2  Terms and Symbols</w:t>
        </w:r>
        <w:r>
          <w:rPr>
            <w:caps w:val="0"/>
            <w:noProof/>
          </w:rPr>
          <w:tab/>
        </w:r>
        <w:r>
          <w:rPr>
            <w:caps w:val="0"/>
            <w:noProof/>
          </w:rPr>
          <w:fldChar w:fldCharType="begin"/>
        </w:r>
        <w:r>
          <w:rPr>
            <w:caps w:val="0"/>
            <w:noProof/>
          </w:rPr>
          <w:instrText xml:space="preserve"> PAGEREF _Toc123647756 \h </w:instrText>
        </w:r>
        <w:r>
          <w:rPr>
            <w:caps w:val="0"/>
            <w:noProof/>
          </w:rPr>
        </w:r>
        <w:r>
          <w:rPr>
            <w:caps w:val="0"/>
            <w:noProof/>
          </w:rPr>
          <w:fldChar w:fldCharType="separate"/>
        </w:r>
        <w:r w:rsidR="007357A9">
          <w:rPr>
            <w:caps w:val="0"/>
            <w:noProof/>
          </w:rPr>
          <w:t>2</w:t>
        </w:r>
        <w:r>
          <w:rPr>
            <w:caps w:val="0"/>
            <w:noProof/>
          </w:rPr>
          <w:fldChar w:fldCharType="end"/>
        </w:r>
      </w:hyperlink>
    </w:p>
    <w:p w:rsidR="009136B5" w:rsidRDefault="00000000">
      <w:pPr>
        <w:pStyle w:val="TOC2"/>
        <w:ind w:firstLine="400"/>
        <w:rPr>
          <w:rFonts w:asciiTheme="minorHAnsi" w:eastAsiaTheme="minorEastAsia" w:hAnsiTheme="minorHAnsi" w:cstheme="minorBidi"/>
          <w:smallCaps w:val="0"/>
          <w:noProof/>
          <w:sz w:val="21"/>
          <w:szCs w:val="22"/>
        </w:rPr>
      </w:pPr>
      <w:hyperlink w:anchor="_Toc123647757" w:history="1">
        <w:r>
          <w:rPr>
            <w:rStyle w:val="afe"/>
            <w:smallCaps w:val="0"/>
            <w:noProof/>
          </w:rPr>
          <w:t xml:space="preserve">2.1  </w:t>
        </w:r>
        <w:r>
          <w:rPr>
            <w:rStyle w:val="afe"/>
            <w:rFonts w:hAnsi="黑体"/>
            <w:smallCaps w:val="0"/>
            <w:noProof/>
          </w:rPr>
          <w:t>Terms</w:t>
        </w:r>
        <w:r>
          <w:rPr>
            <w:smallCaps w:val="0"/>
            <w:noProof/>
          </w:rPr>
          <w:tab/>
        </w:r>
        <w:r>
          <w:rPr>
            <w:smallCaps w:val="0"/>
            <w:noProof/>
          </w:rPr>
          <w:fldChar w:fldCharType="begin"/>
        </w:r>
        <w:r>
          <w:rPr>
            <w:smallCaps w:val="0"/>
            <w:noProof/>
          </w:rPr>
          <w:instrText xml:space="preserve"> PAGEREF _Toc123647757 \h </w:instrText>
        </w:r>
        <w:r>
          <w:rPr>
            <w:smallCaps w:val="0"/>
            <w:noProof/>
          </w:rPr>
        </w:r>
        <w:r>
          <w:rPr>
            <w:smallCaps w:val="0"/>
            <w:noProof/>
          </w:rPr>
          <w:fldChar w:fldCharType="separate"/>
        </w:r>
        <w:r w:rsidR="007357A9">
          <w:rPr>
            <w:smallCaps w:val="0"/>
            <w:noProof/>
          </w:rPr>
          <w:t>2</w:t>
        </w:r>
        <w:r>
          <w:rPr>
            <w:smallCaps w:val="0"/>
            <w:noProof/>
          </w:rPr>
          <w:fldChar w:fldCharType="end"/>
        </w:r>
      </w:hyperlink>
    </w:p>
    <w:p w:rsidR="009136B5" w:rsidRDefault="00000000">
      <w:pPr>
        <w:pStyle w:val="TOC2"/>
        <w:ind w:firstLine="400"/>
        <w:rPr>
          <w:rFonts w:asciiTheme="minorHAnsi" w:eastAsiaTheme="minorEastAsia" w:hAnsiTheme="minorHAnsi" w:cstheme="minorBidi"/>
          <w:smallCaps w:val="0"/>
          <w:noProof/>
          <w:sz w:val="21"/>
          <w:szCs w:val="22"/>
        </w:rPr>
      </w:pPr>
      <w:hyperlink w:anchor="_Toc123647758" w:history="1">
        <w:r>
          <w:rPr>
            <w:rStyle w:val="afe"/>
            <w:smallCaps w:val="0"/>
            <w:noProof/>
          </w:rPr>
          <w:t>2.2  Symbols</w:t>
        </w:r>
        <w:r>
          <w:rPr>
            <w:smallCaps w:val="0"/>
            <w:noProof/>
          </w:rPr>
          <w:tab/>
        </w:r>
        <w:r>
          <w:rPr>
            <w:smallCaps w:val="0"/>
            <w:noProof/>
          </w:rPr>
          <w:fldChar w:fldCharType="begin"/>
        </w:r>
        <w:r>
          <w:rPr>
            <w:smallCaps w:val="0"/>
            <w:noProof/>
          </w:rPr>
          <w:instrText xml:space="preserve"> PAGEREF _Toc123647758 \h </w:instrText>
        </w:r>
        <w:r>
          <w:rPr>
            <w:smallCaps w:val="0"/>
            <w:noProof/>
          </w:rPr>
        </w:r>
        <w:r>
          <w:rPr>
            <w:smallCaps w:val="0"/>
            <w:noProof/>
          </w:rPr>
          <w:fldChar w:fldCharType="separate"/>
        </w:r>
        <w:r w:rsidR="007357A9">
          <w:rPr>
            <w:smallCaps w:val="0"/>
            <w:noProof/>
          </w:rPr>
          <w:t>2</w:t>
        </w:r>
        <w:r>
          <w:rPr>
            <w:smallCaps w:val="0"/>
            <w:noProof/>
          </w:rPr>
          <w:fldChar w:fldCharType="end"/>
        </w:r>
      </w:hyperlink>
    </w:p>
    <w:p w:rsidR="009136B5" w:rsidRDefault="00000000">
      <w:pPr>
        <w:pStyle w:val="TOC1"/>
        <w:tabs>
          <w:tab w:val="right" w:leader="dot" w:pos="9345"/>
        </w:tabs>
        <w:ind w:firstLine="402"/>
        <w:rPr>
          <w:rFonts w:asciiTheme="minorHAnsi" w:eastAsiaTheme="minorEastAsia" w:hAnsiTheme="minorHAnsi" w:cstheme="minorBidi"/>
          <w:b w:val="0"/>
          <w:bCs w:val="0"/>
          <w:caps w:val="0"/>
          <w:noProof/>
          <w:sz w:val="21"/>
          <w:szCs w:val="22"/>
        </w:rPr>
      </w:pPr>
      <w:hyperlink w:anchor="_Toc123647759" w:history="1">
        <w:r>
          <w:rPr>
            <w:rStyle w:val="afe"/>
            <w:caps w:val="0"/>
            <w:noProof/>
          </w:rPr>
          <w:t>3  B</w:t>
        </w:r>
        <w:r>
          <w:rPr>
            <w:rStyle w:val="afe"/>
            <w:rFonts w:hint="eastAsia"/>
            <w:caps w:val="0"/>
            <w:noProof/>
          </w:rPr>
          <w:t>asic</w:t>
        </w:r>
        <w:r>
          <w:rPr>
            <w:rStyle w:val="afe"/>
            <w:caps w:val="0"/>
            <w:noProof/>
          </w:rPr>
          <w:t xml:space="preserve"> Requirements</w:t>
        </w:r>
        <w:r>
          <w:rPr>
            <w:caps w:val="0"/>
            <w:noProof/>
          </w:rPr>
          <w:tab/>
        </w:r>
        <w:r>
          <w:rPr>
            <w:caps w:val="0"/>
            <w:noProof/>
          </w:rPr>
          <w:fldChar w:fldCharType="begin"/>
        </w:r>
        <w:r>
          <w:rPr>
            <w:caps w:val="0"/>
            <w:noProof/>
          </w:rPr>
          <w:instrText xml:space="preserve"> PAGEREF _Toc123647759 \h </w:instrText>
        </w:r>
        <w:r>
          <w:rPr>
            <w:caps w:val="0"/>
            <w:noProof/>
          </w:rPr>
        </w:r>
        <w:r>
          <w:rPr>
            <w:caps w:val="0"/>
            <w:noProof/>
          </w:rPr>
          <w:fldChar w:fldCharType="separate"/>
        </w:r>
        <w:r w:rsidR="007357A9">
          <w:rPr>
            <w:caps w:val="0"/>
            <w:noProof/>
          </w:rPr>
          <w:t>4</w:t>
        </w:r>
        <w:r>
          <w:rPr>
            <w:caps w:val="0"/>
            <w:noProof/>
          </w:rPr>
          <w:fldChar w:fldCharType="end"/>
        </w:r>
      </w:hyperlink>
    </w:p>
    <w:p w:rsidR="009136B5" w:rsidRDefault="00000000">
      <w:pPr>
        <w:pStyle w:val="TOC2"/>
        <w:ind w:firstLine="400"/>
        <w:rPr>
          <w:rFonts w:asciiTheme="minorHAnsi" w:eastAsiaTheme="minorEastAsia" w:hAnsiTheme="minorHAnsi" w:cstheme="minorBidi"/>
          <w:smallCaps w:val="0"/>
          <w:noProof/>
          <w:sz w:val="21"/>
          <w:szCs w:val="22"/>
        </w:rPr>
      </w:pPr>
      <w:hyperlink w:anchor="_Toc123647760" w:history="1">
        <w:r>
          <w:rPr>
            <w:rStyle w:val="afe"/>
            <w:smallCaps w:val="0"/>
            <w:noProof/>
          </w:rPr>
          <w:t xml:space="preserve">3.1 </w:t>
        </w:r>
        <w:r>
          <w:rPr>
            <w:rStyle w:val="afe"/>
            <w:rFonts w:hint="eastAsia"/>
            <w:smallCaps w:val="0"/>
            <w:noProof/>
          </w:rPr>
          <w:t xml:space="preserve"> </w:t>
        </w:r>
        <w:r>
          <w:rPr>
            <w:rStyle w:val="afe"/>
            <w:smallCaps w:val="0"/>
            <w:noProof/>
          </w:rPr>
          <w:t>General Requirements</w:t>
        </w:r>
        <w:r>
          <w:rPr>
            <w:smallCaps w:val="0"/>
            <w:noProof/>
          </w:rPr>
          <w:tab/>
        </w:r>
        <w:r>
          <w:rPr>
            <w:smallCaps w:val="0"/>
            <w:noProof/>
          </w:rPr>
          <w:fldChar w:fldCharType="begin"/>
        </w:r>
        <w:r>
          <w:rPr>
            <w:smallCaps w:val="0"/>
            <w:noProof/>
          </w:rPr>
          <w:instrText xml:space="preserve"> PAGEREF _Toc123647760 \h </w:instrText>
        </w:r>
        <w:r>
          <w:rPr>
            <w:smallCaps w:val="0"/>
            <w:noProof/>
          </w:rPr>
        </w:r>
        <w:r>
          <w:rPr>
            <w:smallCaps w:val="0"/>
            <w:noProof/>
          </w:rPr>
          <w:fldChar w:fldCharType="separate"/>
        </w:r>
        <w:r w:rsidR="007357A9">
          <w:rPr>
            <w:smallCaps w:val="0"/>
            <w:noProof/>
          </w:rPr>
          <w:t>4</w:t>
        </w:r>
        <w:r>
          <w:rPr>
            <w:smallCaps w:val="0"/>
            <w:noProof/>
          </w:rPr>
          <w:fldChar w:fldCharType="end"/>
        </w:r>
      </w:hyperlink>
    </w:p>
    <w:p w:rsidR="009136B5" w:rsidRDefault="00000000">
      <w:pPr>
        <w:pStyle w:val="TOC2"/>
        <w:ind w:firstLine="400"/>
        <w:rPr>
          <w:rFonts w:asciiTheme="minorHAnsi" w:eastAsiaTheme="minorEastAsia" w:hAnsiTheme="minorHAnsi" w:cstheme="minorBidi"/>
          <w:smallCaps w:val="0"/>
          <w:noProof/>
          <w:sz w:val="21"/>
          <w:szCs w:val="22"/>
        </w:rPr>
      </w:pPr>
      <w:hyperlink w:anchor="_Toc123647761" w:history="1">
        <w:r>
          <w:rPr>
            <w:rStyle w:val="afe"/>
            <w:smallCaps w:val="0"/>
            <w:noProof/>
          </w:rPr>
          <w:t>3.2</w:t>
        </w:r>
        <w:r>
          <w:rPr>
            <w:rStyle w:val="afe"/>
            <w:rFonts w:hint="eastAsia"/>
            <w:smallCaps w:val="0"/>
            <w:noProof/>
          </w:rPr>
          <w:t xml:space="preserve">  </w:t>
        </w:r>
        <w:r>
          <w:rPr>
            <w:rStyle w:val="afe"/>
            <w:smallCaps w:val="0"/>
            <w:noProof/>
          </w:rPr>
          <w:t xml:space="preserve">Detection and </w:t>
        </w:r>
        <w:r>
          <w:rPr>
            <w:rStyle w:val="afe"/>
            <w:rFonts w:hint="eastAsia"/>
            <w:smallCaps w:val="0"/>
            <w:noProof/>
          </w:rPr>
          <w:t>I</w:t>
        </w:r>
        <w:r>
          <w:rPr>
            <w:rStyle w:val="afe"/>
            <w:smallCaps w:val="0"/>
            <w:noProof/>
          </w:rPr>
          <w:t xml:space="preserve">dentification of </w:t>
        </w:r>
        <w:r>
          <w:rPr>
            <w:rStyle w:val="afe"/>
            <w:rFonts w:hint="eastAsia"/>
            <w:smallCaps w:val="0"/>
            <w:noProof/>
          </w:rPr>
          <w:t>E</w:t>
        </w:r>
        <w:r>
          <w:rPr>
            <w:rStyle w:val="afe"/>
            <w:smallCaps w:val="0"/>
            <w:noProof/>
          </w:rPr>
          <w:t xml:space="preserve">xisting </w:t>
        </w:r>
        <w:r>
          <w:rPr>
            <w:rStyle w:val="afe"/>
            <w:rFonts w:hint="eastAsia"/>
            <w:smallCaps w:val="0"/>
            <w:noProof/>
          </w:rPr>
          <w:t>B</w:t>
        </w:r>
        <w:r>
          <w:rPr>
            <w:rStyle w:val="afe"/>
            <w:smallCaps w:val="0"/>
            <w:noProof/>
          </w:rPr>
          <w:t>uilding</w:t>
        </w:r>
        <w:r>
          <w:rPr>
            <w:smallCaps w:val="0"/>
            <w:noProof/>
          </w:rPr>
          <w:tab/>
        </w:r>
        <w:r>
          <w:rPr>
            <w:smallCaps w:val="0"/>
            <w:noProof/>
          </w:rPr>
          <w:fldChar w:fldCharType="begin"/>
        </w:r>
        <w:r>
          <w:rPr>
            <w:smallCaps w:val="0"/>
            <w:noProof/>
          </w:rPr>
          <w:instrText xml:space="preserve"> PAGEREF _Toc123647761 \h </w:instrText>
        </w:r>
        <w:r>
          <w:rPr>
            <w:smallCaps w:val="0"/>
            <w:noProof/>
          </w:rPr>
        </w:r>
        <w:r>
          <w:rPr>
            <w:smallCaps w:val="0"/>
            <w:noProof/>
          </w:rPr>
          <w:fldChar w:fldCharType="separate"/>
        </w:r>
        <w:r w:rsidR="007357A9">
          <w:rPr>
            <w:smallCaps w:val="0"/>
            <w:noProof/>
          </w:rPr>
          <w:t>7</w:t>
        </w:r>
        <w:r>
          <w:rPr>
            <w:smallCaps w:val="0"/>
            <w:noProof/>
          </w:rPr>
          <w:fldChar w:fldCharType="end"/>
        </w:r>
      </w:hyperlink>
    </w:p>
    <w:p w:rsidR="009136B5" w:rsidRDefault="00000000">
      <w:pPr>
        <w:pStyle w:val="TOC2"/>
        <w:ind w:firstLine="400"/>
        <w:rPr>
          <w:rFonts w:asciiTheme="minorHAnsi" w:eastAsiaTheme="minorEastAsia" w:hAnsiTheme="minorHAnsi" w:cstheme="minorBidi"/>
          <w:smallCaps w:val="0"/>
          <w:noProof/>
          <w:sz w:val="21"/>
          <w:szCs w:val="22"/>
        </w:rPr>
      </w:pPr>
      <w:hyperlink w:anchor="_Toc123647762" w:history="1">
        <w:r>
          <w:rPr>
            <w:rStyle w:val="afe"/>
            <w:smallCaps w:val="0"/>
            <w:noProof/>
          </w:rPr>
          <w:t xml:space="preserve">3.3 </w:t>
        </w:r>
        <w:r>
          <w:rPr>
            <w:rStyle w:val="afe"/>
            <w:rFonts w:hint="eastAsia"/>
            <w:smallCaps w:val="0"/>
            <w:noProof/>
          </w:rPr>
          <w:t xml:space="preserve"> </w:t>
        </w:r>
        <w:r>
          <w:rPr>
            <w:rStyle w:val="afe"/>
            <w:smallCaps w:val="0"/>
            <w:noProof/>
          </w:rPr>
          <w:t>Envrionmental investigation</w:t>
        </w:r>
        <w:r>
          <w:rPr>
            <w:smallCaps w:val="0"/>
            <w:noProof/>
          </w:rPr>
          <w:tab/>
        </w:r>
        <w:r>
          <w:rPr>
            <w:smallCaps w:val="0"/>
            <w:noProof/>
          </w:rPr>
          <w:fldChar w:fldCharType="begin"/>
        </w:r>
        <w:r>
          <w:rPr>
            <w:smallCaps w:val="0"/>
            <w:noProof/>
          </w:rPr>
          <w:instrText xml:space="preserve"> PAGEREF _Toc123647762 \h </w:instrText>
        </w:r>
        <w:r>
          <w:rPr>
            <w:smallCaps w:val="0"/>
            <w:noProof/>
          </w:rPr>
        </w:r>
        <w:r>
          <w:rPr>
            <w:smallCaps w:val="0"/>
            <w:noProof/>
          </w:rPr>
          <w:fldChar w:fldCharType="separate"/>
        </w:r>
        <w:r w:rsidR="007357A9">
          <w:rPr>
            <w:smallCaps w:val="0"/>
            <w:noProof/>
          </w:rPr>
          <w:t>8</w:t>
        </w:r>
        <w:r>
          <w:rPr>
            <w:smallCaps w:val="0"/>
            <w:noProof/>
          </w:rPr>
          <w:fldChar w:fldCharType="end"/>
        </w:r>
      </w:hyperlink>
    </w:p>
    <w:p w:rsidR="009136B5" w:rsidRDefault="00000000">
      <w:pPr>
        <w:pStyle w:val="TOC2"/>
        <w:ind w:firstLine="400"/>
        <w:rPr>
          <w:rFonts w:asciiTheme="minorHAnsi" w:eastAsiaTheme="minorEastAsia" w:hAnsiTheme="minorHAnsi" w:cstheme="minorBidi"/>
          <w:smallCaps w:val="0"/>
          <w:noProof/>
          <w:sz w:val="21"/>
          <w:szCs w:val="22"/>
        </w:rPr>
      </w:pPr>
      <w:hyperlink w:anchor="_Toc123647763" w:history="1">
        <w:r>
          <w:rPr>
            <w:rStyle w:val="afe"/>
            <w:smallCaps w:val="0"/>
            <w:noProof/>
          </w:rPr>
          <w:t xml:space="preserve">3.4 </w:t>
        </w:r>
        <w:r>
          <w:rPr>
            <w:rStyle w:val="afe"/>
            <w:rFonts w:hint="eastAsia"/>
            <w:smallCaps w:val="0"/>
            <w:noProof/>
          </w:rPr>
          <w:t xml:space="preserve"> </w:t>
        </w:r>
        <w:r>
          <w:rPr>
            <w:rStyle w:val="afe"/>
            <w:smallCaps w:val="0"/>
            <w:noProof/>
          </w:rPr>
          <w:t>Geotechnical Investigation</w:t>
        </w:r>
        <w:r>
          <w:rPr>
            <w:smallCaps w:val="0"/>
            <w:noProof/>
          </w:rPr>
          <w:tab/>
        </w:r>
        <w:r>
          <w:rPr>
            <w:smallCaps w:val="0"/>
            <w:noProof/>
          </w:rPr>
          <w:fldChar w:fldCharType="begin"/>
        </w:r>
        <w:r>
          <w:rPr>
            <w:smallCaps w:val="0"/>
            <w:noProof/>
          </w:rPr>
          <w:instrText xml:space="preserve"> PAGEREF _Toc123647763 \h </w:instrText>
        </w:r>
        <w:r>
          <w:rPr>
            <w:smallCaps w:val="0"/>
            <w:noProof/>
          </w:rPr>
        </w:r>
        <w:r>
          <w:rPr>
            <w:smallCaps w:val="0"/>
            <w:noProof/>
          </w:rPr>
          <w:fldChar w:fldCharType="separate"/>
        </w:r>
        <w:r w:rsidR="007357A9">
          <w:rPr>
            <w:smallCaps w:val="0"/>
            <w:noProof/>
          </w:rPr>
          <w:t>8</w:t>
        </w:r>
        <w:r>
          <w:rPr>
            <w:smallCaps w:val="0"/>
            <w:noProof/>
          </w:rPr>
          <w:fldChar w:fldCharType="end"/>
        </w:r>
      </w:hyperlink>
    </w:p>
    <w:p w:rsidR="009136B5" w:rsidRDefault="00000000">
      <w:pPr>
        <w:pStyle w:val="TOC2"/>
        <w:ind w:firstLine="400"/>
        <w:rPr>
          <w:rFonts w:asciiTheme="minorHAnsi" w:eastAsiaTheme="minorEastAsia" w:hAnsiTheme="minorHAnsi" w:cstheme="minorBidi"/>
          <w:smallCaps w:val="0"/>
          <w:noProof/>
          <w:sz w:val="21"/>
          <w:szCs w:val="22"/>
        </w:rPr>
      </w:pPr>
      <w:hyperlink w:anchor="_Toc123647765" w:history="1">
        <w:r>
          <w:rPr>
            <w:rStyle w:val="afe"/>
            <w:smallCaps w:val="0"/>
            <w:noProof/>
          </w:rPr>
          <w:t>3.</w:t>
        </w:r>
        <w:r>
          <w:rPr>
            <w:rStyle w:val="afe"/>
            <w:rFonts w:hint="eastAsia"/>
            <w:smallCaps w:val="0"/>
            <w:noProof/>
          </w:rPr>
          <w:t>5</w:t>
        </w:r>
        <w:r>
          <w:rPr>
            <w:rStyle w:val="afe"/>
            <w:smallCaps w:val="0"/>
            <w:noProof/>
          </w:rPr>
          <w:t xml:space="preserve"> </w:t>
        </w:r>
        <w:r>
          <w:rPr>
            <w:rStyle w:val="afe"/>
            <w:rFonts w:hint="eastAsia"/>
            <w:smallCaps w:val="0"/>
            <w:noProof/>
          </w:rPr>
          <w:t xml:space="preserve"> </w:t>
        </w:r>
        <w:r>
          <w:rPr>
            <w:rStyle w:val="afe"/>
            <w:smallCaps w:val="0"/>
            <w:noProof/>
          </w:rPr>
          <w:t>Architectural and Equipment Design of Additional Underground Storey</w:t>
        </w:r>
        <w:r>
          <w:rPr>
            <w:smallCaps w:val="0"/>
            <w:noProof/>
          </w:rPr>
          <w:tab/>
        </w:r>
        <w:r>
          <w:rPr>
            <w:smallCaps w:val="0"/>
            <w:noProof/>
          </w:rPr>
          <w:fldChar w:fldCharType="begin"/>
        </w:r>
        <w:r>
          <w:rPr>
            <w:smallCaps w:val="0"/>
            <w:noProof/>
          </w:rPr>
          <w:instrText xml:space="preserve"> PAGEREF _Toc123647765 \h </w:instrText>
        </w:r>
        <w:r>
          <w:rPr>
            <w:smallCaps w:val="0"/>
            <w:noProof/>
          </w:rPr>
        </w:r>
        <w:r>
          <w:rPr>
            <w:smallCaps w:val="0"/>
            <w:noProof/>
          </w:rPr>
          <w:fldChar w:fldCharType="separate"/>
        </w:r>
        <w:r w:rsidR="007357A9">
          <w:rPr>
            <w:smallCaps w:val="0"/>
            <w:noProof/>
          </w:rPr>
          <w:t>9</w:t>
        </w:r>
        <w:r>
          <w:rPr>
            <w:smallCaps w:val="0"/>
            <w:noProof/>
          </w:rPr>
          <w:fldChar w:fldCharType="end"/>
        </w:r>
      </w:hyperlink>
    </w:p>
    <w:p w:rsidR="009136B5" w:rsidRDefault="00000000">
      <w:pPr>
        <w:pStyle w:val="TOC1"/>
        <w:tabs>
          <w:tab w:val="right" w:leader="dot" w:pos="9345"/>
        </w:tabs>
        <w:ind w:firstLine="402"/>
        <w:rPr>
          <w:rFonts w:asciiTheme="minorHAnsi" w:eastAsiaTheme="minorEastAsia" w:hAnsiTheme="minorHAnsi" w:cstheme="minorBidi"/>
          <w:b w:val="0"/>
          <w:bCs w:val="0"/>
          <w:caps w:val="0"/>
          <w:noProof/>
          <w:sz w:val="21"/>
          <w:szCs w:val="22"/>
        </w:rPr>
      </w:pPr>
      <w:hyperlink w:anchor="_Toc123647766" w:history="1">
        <w:r>
          <w:rPr>
            <w:rStyle w:val="afe"/>
            <w:caps w:val="0"/>
            <w:noProof/>
          </w:rPr>
          <w:t>4  Design of Underpinning Structrure</w:t>
        </w:r>
        <w:r>
          <w:rPr>
            <w:caps w:val="0"/>
            <w:noProof/>
          </w:rPr>
          <w:tab/>
        </w:r>
        <w:r>
          <w:rPr>
            <w:caps w:val="0"/>
            <w:noProof/>
          </w:rPr>
          <w:fldChar w:fldCharType="begin"/>
        </w:r>
        <w:r>
          <w:rPr>
            <w:caps w:val="0"/>
            <w:noProof/>
          </w:rPr>
          <w:instrText xml:space="preserve"> PAGEREF _Toc123647766 \h </w:instrText>
        </w:r>
        <w:r>
          <w:rPr>
            <w:caps w:val="0"/>
            <w:noProof/>
          </w:rPr>
        </w:r>
        <w:r>
          <w:rPr>
            <w:caps w:val="0"/>
            <w:noProof/>
          </w:rPr>
          <w:fldChar w:fldCharType="separate"/>
        </w:r>
        <w:r w:rsidR="007357A9">
          <w:rPr>
            <w:caps w:val="0"/>
            <w:noProof/>
          </w:rPr>
          <w:t>10</w:t>
        </w:r>
        <w:r>
          <w:rPr>
            <w:caps w:val="0"/>
            <w:noProof/>
          </w:rPr>
          <w:fldChar w:fldCharType="end"/>
        </w:r>
      </w:hyperlink>
    </w:p>
    <w:p w:rsidR="009136B5" w:rsidRDefault="00000000">
      <w:pPr>
        <w:pStyle w:val="TOC2"/>
        <w:ind w:firstLine="400"/>
        <w:rPr>
          <w:rFonts w:asciiTheme="minorHAnsi" w:eastAsiaTheme="minorEastAsia" w:hAnsiTheme="minorHAnsi" w:cstheme="minorBidi"/>
          <w:smallCaps w:val="0"/>
          <w:noProof/>
          <w:sz w:val="21"/>
          <w:szCs w:val="22"/>
        </w:rPr>
      </w:pPr>
      <w:hyperlink w:anchor="_Toc123647767" w:history="1">
        <w:r>
          <w:rPr>
            <w:rStyle w:val="afe"/>
            <w:smallCaps w:val="0"/>
            <w:noProof/>
          </w:rPr>
          <w:t xml:space="preserve">4.1 </w:t>
        </w:r>
        <w:r>
          <w:rPr>
            <w:rStyle w:val="afe"/>
            <w:rFonts w:hint="eastAsia"/>
            <w:smallCaps w:val="0"/>
            <w:noProof/>
          </w:rPr>
          <w:t xml:space="preserve"> </w:t>
        </w:r>
        <w:r>
          <w:rPr>
            <w:rStyle w:val="afe"/>
            <w:smallCaps w:val="0"/>
            <w:noProof/>
          </w:rPr>
          <w:t>General Requirements</w:t>
        </w:r>
        <w:r>
          <w:rPr>
            <w:smallCaps w:val="0"/>
            <w:noProof/>
          </w:rPr>
          <w:tab/>
        </w:r>
        <w:r>
          <w:rPr>
            <w:smallCaps w:val="0"/>
            <w:noProof/>
          </w:rPr>
          <w:fldChar w:fldCharType="begin"/>
        </w:r>
        <w:r>
          <w:rPr>
            <w:smallCaps w:val="0"/>
            <w:noProof/>
          </w:rPr>
          <w:instrText xml:space="preserve"> PAGEREF _Toc123647767 \h </w:instrText>
        </w:r>
        <w:r>
          <w:rPr>
            <w:smallCaps w:val="0"/>
            <w:noProof/>
          </w:rPr>
        </w:r>
        <w:r>
          <w:rPr>
            <w:smallCaps w:val="0"/>
            <w:noProof/>
          </w:rPr>
          <w:fldChar w:fldCharType="separate"/>
        </w:r>
        <w:r w:rsidR="007357A9">
          <w:rPr>
            <w:smallCaps w:val="0"/>
            <w:noProof/>
          </w:rPr>
          <w:t>10</w:t>
        </w:r>
        <w:r>
          <w:rPr>
            <w:smallCaps w:val="0"/>
            <w:noProof/>
          </w:rPr>
          <w:fldChar w:fldCharType="end"/>
        </w:r>
      </w:hyperlink>
    </w:p>
    <w:p w:rsidR="009136B5" w:rsidRDefault="00000000">
      <w:pPr>
        <w:pStyle w:val="TOC2"/>
        <w:ind w:firstLine="400"/>
        <w:rPr>
          <w:rFonts w:asciiTheme="minorHAnsi" w:eastAsiaTheme="minorEastAsia" w:hAnsiTheme="minorHAnsi" w:cstheme="minorBidi"/>
          <w:smallCaps w:val="0"/>
          <w:noProof/>
          <w:sz w:val="21"/>
          <w:szCs w:val="22"/>
        </w:rPr>
      </w:pPr>
      <w:hyperlink w:anchor="_Toc123647768" w:history="1">
        <w:r>
          <w:rPr>
            <w:rStyle w:val="afe"/>
            <w:smallCaps w:val="0"/>
            <w:noProof/>
          </w:rPr>
          <w:t>4.2</w:t>
        </w:r>
        <w:r>
          <w:rPr>
            <w:rStyle w:val="afe"/>
            <w:rFonts w:hint="eastAsia"/>
            <w:smallCaps w:val="0"/>
            <w:noProof/>
          </w:rPr>
          <w:t xml:space="preserve"> </w:t>
        </w:r>
        <w:r>
          <w:rPr>
            <w:rStyle w:val="afe"/>
            <w:smallCaps w:val="0"/>
            <w:noProof/>
          </w:rPr>
          <w:t xml:space="preserve"> Selection and Arrangement of Underpinning Structure</w:t>
        </w:r>
        <w:r>
          <w:rPr>
            <w:smallCaps w:val="0"/>
            <w:noProof/>
          </w:rPr>
          <w:tab/>
        </w:r>
        <w:r>
          <w:rPr>
            <w:smallCaps w:val="0"/>
            <w:noProof/>
          </w:rPr>
          <w:fldChar w:fldCharType="begin"/>
        </w:r>
        <w:r>
          <w:rPr>
            <w:smallCaps w:val="0"/>
            <w:noProof/>
          </w:rPr>
          <w:instrText xml:space="preserve"> PAGEREF _Toc123647768 \h </w:instrText>
        </w:r>
        <w:r>
          <w:rPr>
            <w:smallCaps w:val="0"/>
            <w:noProof/>
          </w:rPr>
        </w:r>
        <w:r>
          <w:rPr>
            <w:smallCaps w:val="0"/>
            <w:noProof/>
          </w:rPr>
          <w:fldChar w:fldCharType="separate"/>
        </w:r>
        <w:r w:rsidR="007357A9">
          <w:rPr>
            <w:smallCaps w:val="0"/>
            <w:noProof/>
          </w:rPr>
          <w:t>10</w:t>
        </w:r>
        <w:r>
          <w:rPr>
            <w:smallCaps w:val="0"/>
            <w:noProof/>
          </w:rPr>
          <w:fldChar w:fldCharType="end"/>
        </w:r>
      </w:hyperlink>
    </w:p>
    <w:p w:rsidR="009136B5" w:rsidRDefault="00000000">
      <w:pPr>
        <w:pStyle w:val="TOC2"/>
        <w:ind w:firstLine="400"/>
        <w:rPr>
          <w:rFonts w:asciiTheme="minorHAnsi" w:eastAsiaTheme="minorEastAsia" w:hAnsiTheme="minorHAnsi" w:cstheme="minorBidi"/>
          <w:smallCaps w:val="0"/>
          <w:noProof/>
          <w:sz w:val="21"/>
          <w:szCs w:val="22"/>
        </w:rPr>
      </w:pPr>
      <w:hyperlink w:anchor="_Toc123647769" w:history="1">
        <w:r>
          <w:rPr>
            <w:rStyle w:val="afe"/>
            <w:smallCaps w:val="0"/>
            <w:noProof/>
          </w:rPr>
          <w:t xml:space="preserve">4.3 </w:t>
        </w:r>
        <w:r>
          <w:rPr>
            <w:rStyle w:val="afe"/>
            <w:rFonts w:hint="eastAsia"/>
            <w:smallCaps w:val="0"/>
            <w:noProof/>
          </w:rPr>
          <w:t xml:space="preserve"> </w:t>
        </w:r>
        <w:r>
          <w:rPr>
            <w:rStyle w:val="afe"/>
            <w:smallCaps w:val="0"/>
            <w:noProof/>
          </w:rPr>
          <w:t>Design of Underpinning Pile</w:t>
        </w:r>
        <w:r>
          <w:rPr>
            <w:smallCaps w:val="0"/>
            <w:noProof/>
          </w:rPr>
          <w:tab/>
        </w:r>
        <w:r>
          <w:rPr>
            <w:smallCaps w:val="0"/>
            <w:noProof/>
          </w:rPr>
          <w:fldChar w:fldCharType="begin"/>
        </w:r>
        <w:r>
          <w:rPr>
            <w:smallCaps w:val="0"/>
            <w:noProof/>
          </w:rPr>
          <w:instrText xml:space="preserve"> PAGEREF _Toc123647769 \h </w:instrText>
        </w:r>
        <w:r>
          <w:rPr>
            <w:smallCaps w:val="0"/>
            <w:noProof/>
          </w:rPr>
        </w:r>
        <w:r>
          <w:rPr>
            <w:smallCaps w:val="0"/>
            <w:noProof/>
          </w:rPr>
          <w:fldChar w:fldCharType="separate"/>
        </w:r>
        <w:r w:rsidR="007357A9">
          <w:rPr>
            <w:smallCaps w:val="0"/>
            <w:noProof/>
          </w:rPr>
          <w:t>13</w:t>
        </w:r>
        <w:r>
          <w:rPr>
            <w:smallCaps w:val="0"/>
            <w:noProof/>
          </w:rPr>
          <w:fldChar w:fldCharType="end"/>
        </w:r>
      </w:hyperlink>
    </w:p>
    <w:p w:rsidR="009136B5" w:rsidRDefault="00000000">
      <w:pPr>
        <w:pStyle w:val="TOC2"/>
        <w:ind w:firstLine="400"/>
        <w:rPr>
          <w:rFonts w:asciiTheme="minorHAnsi" w:eastAsiaTheme="minorEastAsia" w:hAnsiTheme="minorHAnsi" w:cstheme="minorBidi"/>
          <w:smallCaps w:val="0"/>
          <w:noProof/>
          <w:sz w:val="21"/>
          <w:szCs w:val="22"/>
        </w:rPr>
      </w:pPr>
      <w:hyperlink w:anchor="_Toc123647770" w:history="1">
        <w:r>
          <w:rPr>
            <w:rStyle w:val="afe"/>
            <w:smallCaps w:val="0"/>
            <w:noProof/>
          </w:rPr>
          <w:t>4.4</w:t>
        </w:r>
        <w:r>
          <w:rPr>
            <w:rStyle w:val="afe"/>
            <w:rFonts w:hint="eastAsia"/>
            <w:smallCaps w:val="0"/>
            <w:noProof/>
          </w:rPr>
          <w:t xml:space="preserve"> </w:t>
        </w:r>
        <w:r>
          <w:rPr>
            <w:noProof/>
          </w:rPr>
          <w:t xml:space="preserve"> </w:t>
        </w:r>
        <w:r>
          <w:rPr>
            <w:rStyle w:val="afe"/>
            <w:smallCaps w:val="0"/>
            <w:noProof/>
          </w:rPr>
          <w:t>Design of Transverse Underpinning Members and Connection Joint</w:t>
        </w:r>
        <w:r>
          <w:rPr>
            <w:smallCaps w:val="0"/>
            <w:noProof/>
          </w:rPr>
          <w:tab/>
        </w:r>
        <w:r>
          <w:rPr>
            <w:smallCaps w:val="0"/>
            <w:noProof/>
          </w:rPr>
          <w:fldChar w:fldCharType="begin"/>
        </w:r>
        <w:r>
          <w:rPr>
            <w:smallCaps w:val="0"/>
            <w:noProof/>
          </w:rPr>
          <w:instrText xml:space="preserve"> PAGEREF _Toc123647770 \h </w:instrText>
        </w:r>
        <w:r>
          <w:rPr>
            <w:smallCaps w:val="0"/>
            <w:noProof/>
          </w:rPr>
        </w:r>
        <w:r>
          <w:rPr>
            <w:smallCaps w:val="0"/>
            <w:noProof/>
          </w:rPr>
          <w:fldChar w:fldCharType="separate"/>
        </w:r>
        <w:r w:rsidR="007357A9">
          <w:rPr>
            <w:smallCaps w:val="0"/>
            <w:noProof/>
          </w:rPr>
          <w:t>22</w:t>
        </w:r>
        <w:r>
          <w:rPr>
            <w:smallCaps w:val="0"/>
            <w:noProof/>
          </w:rPr>
          <w:fldChar w:fldCharType="end"/>
        </w:r>
      </w:hyperlink>
    </w:p>
    <w:p w:rsidR="009136B5" w:rsidRDefault="00000000">
      <w:pPr>
        <w:pStyle w:val="TOC2"/>
        <w:ind w:firstLine="400"/>
        <w:rPr>
          <w:rFonts w:asciiTheme="minorHAnsi" w:eastAsiaTheme="minorEastAsia" w:hAnsiTheme="minorHAnsi" w:cstheme="minorBidi"/>
          <w:smallCaps w:val="0"/>
          <w:noProof/>
          <w:sz w:val="21"/>
          <w:szCs w:val="22"/>
        </w:rPr>
      </w:pPr>
      <w:hyperlink w:anchor="_Toc123647771" w:history="1">
        <w:r>
          <w:rPr>
            <w:rStyle w:val="afe"/>
            <w:smallCaps w:val="0"/>
            <w:noProof/>
          </w:rPr>
          <w:t xml:space="preserve">4.5 </w:t>
        </w:r>
        <w:r>
          <w:rPr>
            <w:rStyle w:val="afe"/>
            <w:rFonts w:hint="eastAsia"/>
            <w:smallCaps w:val="0"/>
            <w:noProof/>
          </w:rPr>
          <w:t xml:space="preserve"> </w:t>
        </w:r>
        <w:r>
          <w:rPr>
            <w:rStyle w:val="afe"/>
            <w:smallCaps w:val="0"/>
            <w:noProof/>
          </w:rPr>
          <w:t>Checking and Control of Deformation</w:t>
        </w:r>
        <w:r>
          <w:rPr>
            <w:smallCaps w:val="0"/>
            <w:noProof/>
          </w:rPr>
          <w:tab/>
        </w:r>
        <w:r>
          <w:rPr>
            <w:smallCaps w:val="0"/>
            <w:noProof/>
          </w:rPr>
          <w:fldChar w:fldCharType="begin"/>
        </w:r>
        <w:r>
          <w:rPr>
            <w:smallCaps w:val="0"/>
            <w:noProof/>
          </w:rPr>
          <w:instrText xml:space="preserve"> PAGEREF _Toc123647771 \h </w:instrText>
        </w:r>
        <w:r>
          <w:rPr>
            <w:smallCaps w:val="0"/>
            <w:noProof/>
          </w:rPr>
        </w:r>
        <w:r>
          <w:rPr>
            <w:smallCaps w:val="0"/>
            <w:noProof/>
          </w:rPr>
          <w:fldChar w:fldCharType="separate"/>
        </w:r>
        <w:r w:rsidR="007357A9">
          <w:rPr>
            <w:smallCaps w:val="0"/>
            <w:noProof/>
          </w:rPr>
          <w:t>25</w:t>
        </w:r>
        <w:r>
          <w:rPr>
            <w:smallCaps w:val="0"/>
            <w:noProof/>
          </w:rPr>
          <w:fldChar w:fldCharType="end"/>
        </w:r>
      </w:hyperlink>
    </w:p>
    <w:p w:rsidR="009136B5" w:rsidRDefault="00000000">
      <w:pPr>
        <w:pStyle w:val="TOC1"/>
        <w:tabs>
          <w:tab w:val="right" w:leader="dot" w:pos="9345"/>
        </w:tabs>
        <w:ind w:firstLine="402"/>
        <w:rPr>
          <w:rFonts w:asciiTheme="minorHAnsi" w:eastAsiaTheme="minorEastAsia" w:hAnsiTheme="minorHAnsi" w:cstheme="minorBidi"/>
          <w:b w:val="0"/>
          <w:bCs w:val="0"/>
          <w:caps w:val="0"/>
          <w:noProof/>
          <w:sz w:val="21"/>
          <w:szCs w:val="22"/>
        </w:rPr>
      </w:pPr>
      <w:hyperlink w:anchor="_Toc123647772" w:history="1">
        <w:r>
          <w:rPr>
            <w:rStyle w:val="afe"/>
            <w:caps w:val="0"/>
            <w:noProof/>
          </w:rPr>
          <w:t>5  Design of Lateral Retaining and Proteciton Structure</w:t>
        </w:r>
        <w:r>
          <w:rPr>
            <w:caps w:val="0"/>
            <w:noProof/>
          </w:rPr>
          <w:tab/>
        </w:r>
        <w:r>
          <w:rPr>
            <w:caps w:val="0"/>
            <w:noProof/>
          </w:rPr>
          <w:fldChar w:fldCharType="begin"/>
        </w:r>
        <w:r>
          <w:rPr>
            <w:caps w:val="0"/>
            <w:noProof/>
          </w:rPr>
          <w:instrText xml:space="preserve"> PAGEREF _Toc123647772 \h </w:instrText>
        </w:r>
        <w:r>
          <w:rPr>
            <w:caps w:val="0"/>
            <w:noProof/>
          </w:rPr>
        </w:r>
        <w:r>
          <w:rPr>
            <w:caps w:val="0"/>
            <w:noProof/>
          </w:rPr>
          <w:fldChar w:fldCharType="separate"/>
        </w:r>
        <w:r w:rsidR="007357A9">
          <w:rPr>
            <w:caps w:val="0"/>
            <w:noProof/>
          </w:rPr>
          <w:t>27</w:t>
        </w:r>
        <w:r>
          <w:rPr>
            <w:caps w:val="0"/>
            <w:noProof/>
          </w:rPr>
          <w:fldChar w:fldCharType="end"/>
        </w:r>
      </w:hyperlink>
    </w:p>
    <w:p w:rsidR="009136B5" w:rsidRDefault="00000000">
      <w:pPr>
        <w:pStyle w:val="TOC2"/>
        <w:ind w:firstLine="400"/>
        <w:rPr>
          <w:rFonts w:asciiTheme="minorHAnsi" w:eastAsiaTheme="minorEastAsia" w:hAnsiTheme="minorHAnsi" w:cstheme="minorBidi"/>
          <w:smallCaps w:val="0"/>
          <w:noProof/>
          <w:sz w:val="21"/>
          <w:szCs w:val="22"/>
        </w:rPr>
      </w:pPr>
      <w:hyperlink w:anchor="_Toc123647773" w:history="1">
        <w:r>
          <w:rPr>
            <w:rStyle w:val="afe"/>
            <w:smallCaps w:val="0"/>
            <w:noProof/>
          </w:rPr>
          <w:t xml:space="preserve">5.1 </w:t>
        </w:r>
        <w:r>
          <w:rPr>
            <w:rStyle w:val="afe"/>
            <w:rFonts w:hint="eastAsia"/>
            <w:smallCaps w:val="0"/>
            <w:noProof/>
          </w:rPr>
          <w:t xml:space="preserve"> </w:t>
        </w:r>
        <w:r>
          <w:rPr>
            <w:rStyle w:val="afe"/>
            <w:smallCaps w:val="0"/>
            <w:noProof/>
          </w:rPr>
          <w:t>General Requirements</w:t>
        </w:r>
        <w:r>
          <w:rPr>
            <w:smallCaps w:val="0"/>
            <w:noProof/>
          </w:rPr>
          <w:tab/>
        </w:r>
        <w:r>
          <w:rPr>
            <w:smallCaps w:val="0"/>
            <w:noProof/>
          </w:rPr>
          <w:fldChar w:fldCharType="begin"/>
        </w:r>
        <w:r>
          <w:rPr>
            <w:smallCaps w:val="0"/>
            <w:noProof/>
          </w:rPr>
          <w:instrText xml:space="preserve"> PAGEREF _Toc123647773 \h </w:instrText>
        </w:r>
        <w:r>
          <w:rPr>
            <w:smallCaps w:val="0"/>
            <w:noProof/>
          </w:rPr>
        </w:r>
        <w:r>
          <w:rPr>
            <w:smallCaps w:val="0"/>
            <w:noProof/>
          </w:rPr>
          <w:fldChar w:fldCharType="separate"/>
        </w:r>
        <w:r w:rsidR="007357A9">
          <w:rPr>
            <w:smallCaps w:val="0"/>
            <w:noProof/>
          </w:rPr>
          <w:t>27</w:t>
        </w:r>
        <w:r>
          <w:rPr>
            <w:smallCaps w:val="0"/>
            <w:noProof/>
          </w:rPr>
          <w:fldChar w:fldCharType="end"/>
        </w:r>
      </w:hyperlink>
    </w:p>
    <w:p w:rsidR="009136B5" w:rsidRDefault="00000000">
      <w:pPr>
        <w:pStyle w:val="TOC2"/>
        <w:ind w:firstLine="400"/>
        <w:rPr>
          <w:rFonts w:asciiTheme="minorHAnsi" w:eastAsiaTheme="minorEastAsia" w:hAnsiTheme="minorHAnsi" w:cstheme="minorBidi"/>
          <w:smallCaps w:val="0"/>
          <w:noProof/>
          <w:sz w:val="21"/>
          <w:szCs w:val="22"/>
        </w:rPr>
      </w:pPr>
      <w:hyperlink w:anchor="_Toc123647774" w:history="1">
        <w:r>
          <w:rPr>
            <w:rStyle w:val="afe"/>
            <w:smallCaps w:val="0"/>
            <w:noProof/>
          </w:rPr>
          <w:t xml:space="preserve">5.2 </w:t>
        </w:r>
        <w:r>
          <w:rPr>
            <w:rStyle w:val="afe"/>
            <w:rFonts w:hint="eastAsia"/>
            <w:smallCaps w:val="0"/>
            <w:noProof/>
          </w:rPr>
          <w:t xml:space="preserve"> </w:t>
        </w:r>
        <w:r>
          <w:rPr>
            <w:rStyle w:val="afe"/>
            <w:smallCaps w:val="0"/>
            <w:noProof/>
          </w:rPr>
          <w:t>Design of Retaining and Proteciton Structure</w:t>
        </w:r>
        <w:r>
          <w:rPr>
            <w:smallCaps w:val="0"/>
            <w:noProof/>
          </w:rPr>
          <w:tab/>
        </w:r>
        <w:r>
          <w:rPr>
            <w:smallCaps w:val="0"/>
            <w:noProof/>
          </w:rPr>
          <w:fldChar w:fldCharType="begin"/>
        </w:r>
        <w:r>
          <w:rPr>
            <w:smallCaps w:val="0"/>
            <w:noProof/>
          </w:rPr>
          <w:instrText xml:space="preserve"> PAGEREF _Toc123647774 \h </w:instrText>
        </w:r>
        <w:r>
          <w:rPr>
            <w:smallCaps w:val="0"/>
            <w:noProof/>
          </w:rPr>
        </w:r>
        <w:r>
          <w:rPr>
            <w:smallCaps w:val="0"/>
            <w:noProof/>
          </w:rPr>
          <w:fldChar w:fldCharType="separate"/>
        </w:r>
        <w:r w:rsidR="007357A9">
          <w:rPr>
            <w:smallCaps w:val="0"/>
            <w:noProof/>
          </w:rPr>
          <w:t>27</w:t>
        </w:r>
        <w:r>
          <w:rPr>
            <w:smallCaps w:val="0"/>
            <w:noProof/>
          </w:rPr>
          <w:fldChar w:fldCharType="end"/>
        </w:r>
      </w:hyperlink>
    </w:p>
    <w:p w:rsidR="009136B5" w:rsidRDefault="00000000">
      <w:pPr>
        <w:pStyle w:val="TOC2"/>
        <w:ind w:firstLine="400"/>
        <w:rPr>
          <w:rFonts w:asciiTheme="minorHAnsi" w:eastAsiaTheme="minorEastAsia" w:hAnsiTheme="minorHAnsi" w:cstheme="minorBidi"/>
          <w:smallCaps w:val="0"/>
          <w:noProof/>
          <w:sz w:val="21"/>
          <w:szCs w:val="22"/>
        </w:rPr>
      </w:pPr>
      <w:hyperlink w:anchor="_Toc123647775" w:history="1">
        <w:r>
          <w:rPr>
            <w:rStyle w:val="afe"/>
            <w:smallCaps w:val="0"/>
            <w:noProof/>
          </w:rPr>
          <w:t xml:space="preserve">5.3 </w:t>
        </w:r>
        <w:r>
          <w:rPr>
            <w:rStyle w:val="afe"/>
            <w:rFonts w:hint="eastAsia"/>
            <w:smallCaps w:val="0"/>
            <w:noProof/>
          </w:rPr>
          <w:t xml:space="preserve"> </w:t>
        </w:r>
        <w:r>
          <w:rPr>
            <w:rStyle w:val="afe"/>
            <w:smallCaps w:val="0"/>
            <w:noProof/>
          </w:rPr>
          <w:t>Groundwater Control</w:t>
        </w:r>
        <w:r>
          <w:rPr>
            <w:smallCaps w:val="0"/>
            <w:noProof/>
          </w:rPr>
          <w:tab/>
        </w:r>
        <w:r>
          <w:rPr>
            <w:smallCaps w:val="0"/>
            <w:noProof/>
          </w:rPr>
          <w:fldChar w:fldCharType="begin"/>
        </w:r>
        <w:r>
          <w:rPr>
            <w:smallCaps w:val="0"/>
            <w:noProof/>
          </w:rPr>
          <w:instrText xml:space="preserve"> PAGEREF _Toc123647775 \h </w:instrText>
        </w:r>
        <w:r>
          <w:rPr>
            <w:smallCaps w:val="0"/>
            <w:noProof/>
          </w:rPr>
        </w:r>
        <w:r>
          <w:rPr>
            <w:smallCaps w:val="0"/>
            <w:noProof/>
          </w:rPr>
          <w:fldChar w:fldCharType="separate"/>
        </w:r>
        <w:r w:rsidR="007357A9">
          <w:rPr>
            <w:smallCaps w:val="0"/>
            <w:noProof/>
          </w:rPr>
          <w:t>29</w:t>
        </w:r>
        <w:r>
          <w:rPr>
            <w:smallCaps w:val="0"/>
            <w:noProof/>
          </w:rPr>
          <w:fldChar w:fldCharType="end"/>
        </w:r>
      </w:hyperlink>
    </w:p>
    <w:p w:rsidR="009136B5" w:rsidRDefault="00000000">
      <w:pPr>
        <w:pStyle w:val="TOC1"/>
        <w:tabs>
          <w:tab w:val="right" w:leader="dot" w:pos="9345"/>
        </w:tabs>
        <w:ind w:firstLine="402"/>
        <w:rPr>
          <w:rFonts w:asciiTheme="minorHAnsi" w:eastAsiaTheme="minorEastAsia" w:hAnsiTheme="minorHAnsi" w:cstheme="minorBidi"/>
          <w:b w:val="0"/>
          <w:bCs w:val="0"/>
          <w:caps w:val="0"/>
          <w:noProof/>
          <w:sz w:val="21"/>
          <w:szCs w:val="22"/>
        </w:rPr>
      </w:pPr>
      <w:hyperlink w:anchor="_Toc123647776" w:history="1">
        <w:r>
          <w:rPr>
            <w:rStyle w:val="afe"/>
            <w:caps w:val="0"/>
            <w:noProof/>
          </w:rPr>
          <w:t>6  Design of Additional Underground Structure</w:t>
        </w:r>
        <w:r>
          <w:rPr>
            <w:caps w:val="0"/>
            <w:noProof/>
          </w:rPr>
          <w:tab/>
        </w:r>
        <w:r>
          <w:rPr>
            <w:caps w:val="0"/>
            <w:noProof/>
          </w:rPr>
          <w:fldChar w:fldCharType="begin"/>
        </w:r>
        <w:r>
          <w:rPr>
            <w:caps w:val="0"/>
            <w:noProof/>
          </w:rPr>
          <w:instrText xml:space="preserve"> PAGEREF _Toc123647776 \h </w:instrText>
        </w:r>
        <w:r>
          <w:rPr>
            <w:caps w:val="0"/>
            <w:noProof/>
          </w:rPr>
        </w:r>
        <w:r>
          <w:rPr>
            <w:caps w:val="0"/>
            <w:noProof/>
          </w:rPr>
          <w:fldChar w:fldCharType="separate"/>
        </w:r>
        <w:r w:rsidR="007357A9">
          <w:rPr>
            <w:caps w:val="0"/>
            <w:noProof/>
          </w:rPr>
          <w:t>27</w:t>
        </w:r>
        <w:r>
          <w:rPr>
            <w:caps w:val="0"/>
            <w:noProof/>
          </w:rPr>
          <w:fldChar w:fldCharType="end"/>
        </w:r>
      </w:hyperlink>
    </w:p>
    <w:p w:rsidR="009136B5" w:rsidRDefault="00000000">
      <w:pPr>
        <w:pStyle w:val="TOC2"/>
        <w:ind w:firstLine="400"/>
        <w:rPr>
          <w:rFonts w:asciiTheme="minorHAnsi" w:eastAsiaTheme="minorEastAsia" w:hAnsiTheme="minorHAnsi" w:cstheme="minorBidi"/>
          <w:smallCaps w:val="0"/>
          <w:noProof/>
          <w:sz w:val="21"/>
          <w:szCs w:val="22"/>
        </w:rPr>
      </w:pPr>
      <w:hyperlink w:anchor="_Toc123647777" w:history="1">
        <w:r>
          <w:rPr>
            <w:rStyle w:val="afe"/>
            <w:smallCaps w:val="0"/>
            <w:noProof/>
          </w:rPr>
          <w:t xml:space="preserve">6.1 </w:t>
        </w:r>
        <w:r>
          <w:rPr>
            <w:rStyle w:val="afe"/>
            <w:rFonts w:hint="eastAsia"/>
            <w:smallCaps w:val="0"/>
            <w:noProof/>
          </w:rPr>
          <w:t xml:space="preserve"> </w:t>
        </w:r>
        <w:r>
          <w:rPr>
            <w:rStyle w:val="afe"/>
            <w:smallCaps w:val="0"/>
            <w:noProof/>
          </w:rPr>
          <w:t>General Requirements</w:t>
        </w:r>
        <w:r>
          <w:rPr>
            <w:smallCaps w:val="0"/>
            <w:noProof/>
          </w:rPr>
          <w:tab/>
        </w:r>
        <w:r>
          <w:rPr>
            <w:smallCaps w:val="0"/>
            <w:noProof/>
          </w:rPr>
          <w:fldChar w:fldCharType="begin"/>
        </w:r>
        <w:r>
          <w:rPr>
            <w:smallCaps w:val="0"/>
            <w:noProof/>
          </w:rPr>
          <w:instrText xml:space="preserve"> PAGEREF _Toc123647777 \h </w:instrText>
        </w:r>
        <w:r>
          <w:rPr>
            <w:smallCaps w:val="0"/>
            <w:noProof/>
          </w:rPr>
        </w:r>
        <w:r>
          <w:rPr>
            <w:smallCaps w:val="0"/>
            <w:noProof/>
          </w:rPr>
          <w:fldChar w:fldCharType="separate"/>
        </w:r>
        <w:r w:rsidR="007357A9">
          <w:rPr>
            <w:smallCaps w:val="0"/>
            <w:noProof/>
          </w:rPr>
          <w:t>31</w:t>
        </w:r>
        <w:r>
          <w:rPr>
            <w:smallCaps w:val="0"/>
            <w:noProof/>
          </w:rPr>
          <w:fldChar w:fldCharType="end"/>
        </w:r>
      </w:hyperlink>
    </w:p>
    <w:p w:rsidR="009136B5" w:rsidRDefault="00000000">
      <w:pPr>
        <w:pStyle w:val="TOC2"/>
        <w:ind w:firstLine="400"/>
        <w:rPr>
          <w:rFonts w:asciiTheme="minorHAnsi" w:eastAsiaTheme="minorEastAsia" w:hAnsiTheme="minorHAnsi" w:cstheme="minorBidi"/>
          <w:smallCaps w:val="0"/>
          <w:noProof/>
          <w:sz w:val="21"/>
          <w:szCs w:val="22"/>
        </w:rPr>
      </w:pPr>
      <w:hyperlink w:anchor="_Toc123647778" w:history="1">
        <w:r>
          <w:rPr>
            <w:rStyle w:val="afe"/>
            <w:smallCaps w:val="0"/>
            <w:noProof/>
          </w:rPr>
          <w:t xml:space="preserve">6.2 </w:t>
        </w:r>
        <w:r>
          <w:rPr>
            <w:rStyle w:val="afe"/>
            <w:rFonts w:hint="eastAsia"/>
            <w:smallCaps w:val="0"/>
            <w:noProof/>
          </w:rPr>
          <w:t xml:space="preserve"> </w:t>
        </w:r>
        <w:r>
          <w:rPr>
            <w:rStyle w:val="afe"/>
            <w:smallCaps w:val="0"/>
            <w:noProof/>
          </w:rPr>
          <w:t>Members design of underground structure</w:t>
        </w:r>
        <w:r>
          <w:rPr>
            <w:smallCaps w:val="0"/>
            <w:noProof/>
          </w:rPr>
          <w:tab/>
        </w:r>
        <w:r>
          <w:rPr>
            <w:smallCaps w:val="0"/>
            <w:noProof/>
          </w:rPr>
          <w:fldChar w:fldCharType="begin"/>
        </w:r>
        <w:r>
          <w:rPr>
            <w:smallCaps w:val="0"/>
            <w:noProof/>
          </w:rPr>
          <w:instrText xml:space="preserve"> PAGEREF _Toc123647778 \h </w:instrText>
        </w:r>
        <w:r>
          <w:rPr>
            <w:smallCaps w:val="0"/>
            <w:noProof/>
          </w:rPr>
        </w:r>
        <w:r>
          <w:rPr>
            <w:smallCaps w:val="0"/>
            <w:noProof/>
          </w:rPr>
          <w:fldChar w:fldCharType="separate"/>
        </w:r>
        <w:r w:rsidR="007357A9">
          <w:rPr>
            <w:smallCaps w:val="0"/>
            <w:noProof/>
          </w:rPr>
          <w:t>31</w:t>
        </w:r>
        <w:r>
          <w:rPr>
            <w:smallCaps w:val="0"/>
            <w:noProof/>
          </w:rPr>
          <w:fldChar w:fldCharType="end"/>
        </w:r>
      </w:hyperlink>
    </w:p>
    <w:p w:rsidR="009136B5" w:rsidRDefault="00000000">
      <w:pPr>
        <w:pStyle w:val="TOC2"/>
        <w:ind w:firstLine="400"/>
        <w:rPr>
          <w:rFonts w:asciiTheme="minorHAnsi" w:eastAsiaTheme="minorEastAsia" w:hAnsiTheme="minorHAnsi" w:cstheme="minorBidi"/>
          <w:smallCaps w:val="0"/>
          <w:noProof/>
          <w:sz w:val="21"/>
          <w:szCs w:val="22"/>
        </w:rPr>
      </w:pPr>
      <w:hyperlink w:anchor="_Toc123647779" w:history="1">
        <w:r>
          <w:rPr>
            <w:rStyle w:val="afe"/>
            <w:smallCaps w:val="0"/>
            <w:noProof/>
          </w:rPr>
          <w:t xml:space="preserve">6.3 </w:t>
        </w:r>
        <w:r>
          <w:rPr>
            <w:rStyle w:val="afe"/>
            <w:rFonts w:hint="eastAsia"/>
            <w:smallCaps w:val="0"/>
            <w:noProof/>
          </w:rPr>
          <w:t xml:space="preserve"> </w:t>
        </w:r>
        <w:r>
          <w:rPr>
            <w:rStyle w:val="afe"/>
            <w:smallCaps w:val="0"/>
            <w:noProof/>
          </w:rPr>
          <w:t>Design of Foundation</w:t>
        </w:r>
        <w:r>
          <w:rPr>
            <w:smallCaps w:val="0"/>
            <w:noProof/>
          </w:rPr>
          <w:tab/>
        </w:r>
        <w:r>
          <w:rPr>
            <w:smallCaps w:val="0"/>
            <w:noProof/>
          </w:rPr>
          <w:fldChar w:fldCharType="begin"/>
        </w:r>
        <w:r>
          <w:rPr>
            <w:smallCaps w:val="0"/>
            <w:noProof/>
          </w:rPr>
          <w:instrText xml:space="preserve"> PAGEREF _Toc123647779 \h </w:instrText>
        </w:r>
        <w:r>
          <w:rPr>
            <w:smallCaps w:val="0"/>
            <w:noProof/>
          </w:rPr>
        </w:r>
        <w:r>
          <w:rPr>
            <w:smallCaps w:val="0"/>
            <w:noProof/>
          </w:rPr>
          <w:fldChar w:fldCharType="separate"/>
        </w:r>
        <w:r w:rsidR="007357A9">
          <w:rPr>
            <w:smallCaps w:val="0"/>
            <w:noProof/>
          </w:rPr>
          <w:t>31</w:t>
        </w:r>
        <w:r>
          <w:rPr>
            <w:smallCaps w:val="0"/>
            <w:noProof/>
          </w:rPr>
          <w:fldChar w:fldCharType="end"/>
        </w:r>
      </w:hyperlink>
    </w:p>
    <w:p w:rsidR="009136B5" w:rsidRDefault="00000000">
      <w:pPr>
        <w:pStyle w:val="TOC2"/>
        <w:ind w:firstLine="400"/>
        <w:rPr>
          <w:rFonts w:asciiTheme="minorHAnsi" w:eastAsiaTheme="minorEastAsia" w:hAnsiTheme="minorHAnsi" w:cstheme="minorBidi"/>
          <w:smallCaps w:val="0"/>
          <w:noProof/>
          <w:sz w:val="21"/>
          <w:szCs w:val="22"/>
        </w:rPr>
      </w:pPr>
      <w:hyperlink w:anchor="_Toc123647780" w:history="1">
        <w:r>
          <w:rPr>
            <w:rStyle w:val="afe"/>
            <w:smallCaps w:val="0"/>
            <w:noProof/>
          </w:rPr>
          <w:t xml:space="preserve">6.4 </w:t>
        </w:r>
        <w:r>
          <w:rPr>
            <w:rStyle w:val="afe"/>
            <w:rFonts w:hint="eastAsia"/>
            <w:smallCaps w:val="0"/>
            <w:noProof/>
          </w:rPr>
          <w:t xml:space="preserve"> </w:t>
        </w:r>
        <w:r>
          <w:rPr>
            <w:rStyle w:val="afe"/>
            <w:smallCaps w:val="0"/>
            <w:noProof/>
          </w:rPr>
          <w:t>Conncection Detail</w:t>
        </w:r>
        <w:r>
          <w:rPr>
            <w:smallCaps w:val="0"/>
            <w:noProof/>
          </w:rPr>
          <w:tab/>
        </w:r>
        <w:r>
          <w:rPr>
            <w:smallCaps w:val="0"/>
            <w:noProof/>
          </w:rPr>
          <w:fldChar w:fldCharType="begin"/>
        </w:r>
        <w:r>
          <w:rPr>
            <w:smallCaps w:val="0"/>
            <w:noProof/>
          </w:rPr>
          <w:instrText xml:space="preserve"> PAGEREF _Toc123647780 \h </w:instrText>
        </w:r>
        <w:r>
          <w:rPr>
            <w:smallCaps w:val="0"/>
            <w:noProof/>
          </w:rPr>
        </w:r>
        <w:r>
          <w:rPr>
            <w:smallCaps w:val="0"/>
            <w:noProof/>
          </w:rPr>
          <w:fldChar w:fldCharType="separate"/>
        </w:r>
        <w:r w:rsidR="007357A9">
          <w:rPr>
            <w:smallCaps w:val="0"/>
            <w:noProof/>
          </w:rPr>
          <w:t>33</w:t>
        </w:r>
        <w:r>
          <w:rPr>
            <w:smallCaps w:val="0"/>
            <w:noProof/>
          </w:rPr>
          <w:fldChar w:fldCharType="end"/>
        </w:r>
      </w:hyperlink>
    </w:p>
    <w:p w:rsidR="009136B5" w:rsidRDefault="00000000">
      <w:pPr>
        <w:pStyle w:val="TOC1"/>
        <w:tabs>
          <w:tab w:val="right" w:leader="dot" w:pos="9345"/>
        </w:tabs>
        <w:ind w:firstLine="402"/>
        <w:rPr>
          <w:rFonts w:asciiTheme="minorHAnsi" w:eastAsiaTheme="minorEastAsia" w:hAnsiTheme="minorHAnsi" w:cstheme="minorBidi"/>
          <w:b w:val="0"/>
          <w:bCs w:val="0"/>
          <w:caps w:val="0"/>
          <w:noProof/>
          <w:sz w:val="21"/>
          <w:szCs w:val="22"/>
        </w:rPr>
      </w:pPr>
      <w:hyperlink w:anchor="_Toc123647781" w:history="1">
        <w:r>
          <w:rPr>
            <w:rStyle w:val="afe"/>
            <w:caps w:val="0"/>
            <w:noProof/>
          </w:rPr>
          <w:t>7  Construction</w:t>
        </w:r>
        <w:r>
          <w:rPr>
            <w:caps w:val="0"/>
            <w:noProof/>
          </w:rPr>
          <w:tab/>
        </w:r>
        <w:r>
          <w:rPr>
            <w:caps w:val="0"/>
            <w:noProof/>
          </w:rPr>
          <w:fldChar w:fldCharType="begin"/>
        </w:r>
        <w:r>
          <w:rPr>
            <w:caps w:val="0"/>
            <w:noProof/>
          </w:rPr>
          <w:instrText xml:space="preserve"> PAGEREF _Toc123647781 \h </w:instrText>
        </w:r>
        <w:r>
          <w:rPr>
            <w:caps w:val="0"/>
            <w:noProof/>
          </w:rPr>
        </w:r>
        <w:r>
          <w:rPr>
            <w:caps w:val="0"/>
            <w:noProof/>
          </w:rPr>
          <w:fldChar w:fldCharType="separate"/>
        </w:r>
        <w:r w:rsidR="007357A9">
          <w:rPr>
            <w:caps w:val="0"/>
            <w:noProof/>
          </w:rPr>
          <w:t>37</w:t>
        </w:r>
        <w:r>
          <w:rPr>
            <w:caps w:val="0"/>
            <w:noProof/>
          </w:rPr>
          <w:fldChar w:fldCharType="end"/>
        </w:r>
      </w:hyperlink>
    </w:p>
    <w:p w:rsidR="009136B5" w:rsidRDefault="00000000">
      <w:pPr>
        <w:pStyle w:val="TOC2"/>
        <w:ind w:firstLine="400"/>
        <w:rPr>
          <w:rFonts w:asciiTheme="minorHAnsi" w:eastAsiaTheme="minorEastAsia" w:hAnsiTheme="minorHAnsi" w:cstheme="minorBidi"/>
          <w:smallCaps w:val="0"/>
          <w:noProof/>
          <w:sz w:val="21"/>
          <w:szCs w:val="22"/>
        </w:rPr>
      </w:pPr>
      <w:hyperlink w:anchor="_Toc123647782" w:history="1">
        <w:r>
          <w:rPr>
            <w:rStyle w:val="afe"/>
            <w:smallCaps w:val="0"/>
            <w:noProof/>
            <w:lang w:bidi="ar"/>
          </w:rPr>
          <w:t xml:space="preserve">7.1 </w:t>
        </w:r>
        <w:r>
          <w:rPr>
            <w:rStyle w:val="afe"/>
            <w:rFonts w:hint="eastAsia"/>
            <w:smallCaps w:val="0"/>
            <w:noProof/>
            <w:lang w:bidi="ar"/>
          </w:rPr>
          <w:t xml:space="preserve"> </w:t>
        </w:r>
        <w:r>
          <w:rPr>
            <w:rStyle w:val="afe"/>
            <w:smallCaps w:val="0"/>
            <w:noProof/>
            <w:lang w:bidi="ar"/>
          </w:rPr>
          <w:t>General Requirements</w:t>
        </w:r>
        <w:r>
          <w:rPr>
            <w:smallCaps w:val="0"/>
            <w:noProof/>
          </w:rPr>
          <w:tab/>
        </w:r>
        <w:r>
          <w:rPr>
            <w:smallCaps w:val="0"/>
            <w:noProof/>
          </w:rPr>
          <w:fldChar w:fldCharType="begin"/>
        </w:r>
        <w:r>
          <w:rPr>
            <w:smallCaps w:val="0"/>
            <w:noProof/>
          </w:rPr>
          <w:instrText xml:space="preserve"> PAGEREF _Toc123647782 \h </w:instrText>
        </w:r>
        <w:r>
          <w:rPr>
            <w:smallCaps w:val="0"/>
            <w:noProof/>
          </w:rPr>
        </w:r>
        <w:r>
          <w:rPr>
            <w:smallCaps w:val="0"/>
            <w:noProof/>
          </w:rPr>
          <w:fldChar w:fldCharType="separate"/>
        </w:r>
        <w:r w:rsidR="007357A9">
          <w:rPr>
            <w:smallCaps w:val="0"/>
            <w:noProof/>
          </w:rPr>
          <w:t>37</w:t>
        </w:r>
        <w:r>
          <w:rPr>
            <w:smallCaps w:val="0"/>
            <w:noProof/>
          </w:rPr>
          <w:fldChar w:fldCharType="end"/>
        </w:r>
      </w:hyperlink>
    </w:p>
    <w:p w:rsidR="009136B5" w:rsidRDefault="00000000">
      <w:pPr>
        <w:pStyle w:val="TOC2"/>
        <w:ind w:firstLine="400"/>
        <w:rPr>
          <w:rFonts w:asciiTheme="minorHAnsi" w:eastAsiaTheme="minorEastAsia" w:hAnsiTheme="minorHAnsi" w:cstheme="minorBidi"/>
          <w:smallCaps w:val="0"/>
          <w:noProof/>
          <w:sz w:val="21"/>
          <w:szCs w:val="22"/>
        </w:rPr>
      </w:pPr>
      <w:hyperlink w:anchor="_Toc123647783" w:history="1">
        <w:r>
          <w:rPr>
            <w:rStyle w:val="afe"/>
            <w:smallCaps w:val="0"/>
            <w:noProof/>
            <w:lang w:bidi="ar"/>
          </w:rPr>
          <w:t xml:space="preserve">7.2 </w:t>
        </w:r>
        <w:r>
          <w:rPr>
            <w:rStyle w:val="afe"/>
            <w:rFonts w:hint="eastAsia"/>
            <w:smallCaps w:val="0"/>
            <w:noProof/>
            <w:lang w:bidi="ar"/>
          </w:rPr>
          <w:t xml:space="preserve"> </w:t>
        </w:r>
        <w:r>
          <w:rPr>
            <w:rStyle w:val="afe"/>
            <w:smallCaps w:val="0"/>
            <w:noProof/>
            <w:lang w:bidi="ar"/>
          </w:rPr>
          <w:t>Reforming and Strengthening Construction of Existing Foundation</w:t>
        </w:r>
        <w:r>
          <w:rPr>
            <w:smallCaps w:val="0"/>
            <w:noProof/>
          </w:rPr>
          <w:tab/>
        </w:r>
        <w:r>
          <w:rPr>
            <w:smallCaps w:val="0"/>
            <w:noProof/>
          </w:rPr>
          <w:fldChar w:fldCharType="begin"/>
        </w:r>
        <w:r>
          <w:rPr>
            <w:smallCaps w:val="0"/>
            <w:noProof/>
          </w:rPr>
          <w:instrText xml:space="preserve"> PAGEREF _Toc123647783 \h </w:instrText>
        </w:r>
        <w:r>
          <w:rPr>
            <w:smallCaps w:val="0"/>
            <w:noProof/>
          </w:rPr>
        </w:r>
        <w:r>
          <w:rPr>
            <w:smallCaps w:val="0"/>
            <w:noProof/>
          </w:rPr>
          <w:fldChar w:fldCharType="separate"/>
        </w:r>
        <w:r w:rsidR="007357A9">
          <w:rPr>
            <w:smallCaps w:val="0"/>
            <w:noProof/>
          </w:rPr>
          <w:t>39</w:t>
        </w:r>
        <w:r>
          <w:rPr>
            <w:smallCaps w:val="0"/>
            <w:noProof/>
          </w:rPr>
          <w:fldChar w:fldCharType="end"/>
        </w:r>
      </w:hyperlink>
    </w:p>
    <w:p w:rsidR="009136B5" w:rsidRDefault="00000000">
      <w:pPr>
        <w:pStyle w:val="TOC2"/>
        <w:ind w:firstLine="400"/>
        <w:rPr>
          <w:rFonts w:asciiTheme="minorHAnsi" w:eastAsiaTheme="minorEastAsia" w:hAnsiTheme="minorHAnsi" w:cstheme="minorBidi"/>
          <w:smallCaps w:val="0"/>
          <w:noProof/>
          <w:sz w:val="21"/>
          <w:szCs w:val="22"/>
        </w:rPr>
      </w:pPr>
      <w:hyperlink w:anchor="_Toc123647784" w:history="1">
        <w:r>
          <w:rPr>
            <w:rStyle w:val="afe"/>
            <w:smallCaps w:val="0"/>
            <w:noProof/>
            <w:lang w:bidi="ar"/>
          </w:rPr>
          <w:t>7.3</w:t>
        </w:r>
        <w:r>
          <w:rPr>
            <w:noProof/>
          </w:rPr>
          <w:t xml:space="preserve"> </w:t>
        </w:r>
        <w:r>
          <w:rPr>
            <w:rFonts w:hint="eastAsia"/>
            <w:noProof/>
          </w:rPr>
          <w:t xml:space="preserve"> </w:t>
        </w:r>
        <w:r>
          <w:rPr>
            <w:rStyle w:val="afe"/>
            <w:smallCaps w:val="0"/>
            <w:noProof/>
            <w:lang w:bidi="ar"/>
          </w:rPr>
          <w:t>Construction of Underpinning Pile</w:t>
        </w:r>
        <w:r>
          <w:rPr>
            <w:smallCaps w:val="0"/>
            <w:noProof/>
          </w:rPr>
          <w:tab/>
        </w:r>
        <w:r>
          <w:rPr>
            <w:smallCaps w:val="0"/>
            <w:noProof/>
          </w:rPr>
          <w:fldChar w:fldCharType="begin"/>
        </w:r>
        <w:r>
          <w:rPr>
            <w:smallCaps w:val="0"/>
            <w:noProof/>
          </w:rPr>
          <w:instrText xml:space="preserve"> PAGEREF _Toc123647784 \h </w:instrText>
        </w:r>
        <w:r>
          <w:rPr>
            <w:smallCaps w:val="0"/>
            <w:noProof/>
          </w:rPr>
        </w:r>
        <w:r>
          <w:rPr>
            <w:smallCaps w:val="0"/>
            <w:noProof/>
          </w:rPr>
          <w:fldChar w:fldCharType="separate"/>
        </w:r>
        <w:r w:rsidR="007357A9">
          <w:rPr>
            <w:smallCaps w:val="0"/>
            <w:noProof/>
          </w:rPr>
          <w:t>39</w:t>
        </w:r>
        <w:r>
          <w:rPr>
            <w:smallCaps w:val="0"/>
            <w:noProof/>
          </w:rPr>
          <w:fldChar w:fldCharType="end"/>
        </w:r>
      </w:hyperlink>
    </w:p>
    <w:p w:rsidR="009136B5" w:rsidRDefault="00000000">
      <w:pPr>
        <w:pStyle w:val="TOC2"/>
        <w:ind w:firstLine="400"/>
        <w:rPr>
          <w:rFonts w:asciiTheme="minorHAnsi" w:eastAsiaTheme="minorEastAsia" w:hAnsiTheme="minorHAnsi" w:cstheme="minorBidi"/>
          <w:smallCaps w:val="0"/>
          <w:noProof/>
          <w:sz w:val="21"/>
          <w:szCs w:val="22"/>
        </w:rPr>
      </w:pPr>
      <w:hyperlink w:anchor="_Toc123647785" w:history="1">
        <w:r>
          <w:rPr>
            <w:rStyle w:val="afe"/>
            <w:smallCaps w:val="0"/>
            <w:noProof/>
            <w:lang w:bidi="ar"/>
          </w:rPr>
          <w:t xml:space="preserve">7.4 </w:t>
        </w:r>
        <w:r>
          <w:rPr>
            <w:rStyle w:val="afe"/>
            <w:rFonts w:hint="eastAsia"/>
            <w:smallCaps w:val="0"/>
            <w:noProof/>
            <w:lang w:bidi="ar"/>
          </w:rPr>
          <w:t xml:space="preserve"> </w:t>
        </w:r>
        <w:r>
          <w:rPr>
            <w:rStyle w:val="afe"/>
            <w:smallCaps w:val="0"/>
            <w:noProof/>
            <w:lang w:bidi="ar"/>
          </w:rPr>
          <w:t>Construction of Lateral Retaining and Proteciton Structure</w:t>
        </w:r>
        <w:r>
          <w:rPr>
            <w:smallCaps w:val="0"/>
            <w:noProof/>
          </w:rPr>
          <w:tab/>
        </w:r>
        <w:r>
          <w:rPr>
            <w:smallCaps w:val="0"/>
            <w:noProof/>
          </w:rPr>
          <w:fldChar w:fldCharType="begin"/>
        </w:r>
        <w:r>
          <w:rPr>
            <w:smallCaps w:val="0"/>
            <w:noProof/>
          </w:rPr>
          <w:instrText xml:space="preserve"> PAGEREF _Toc123647785 \h </w:instrText>
        </w:r>
        <w:r>
          <w:rPr>
            <w:smallCaps w:val="0"/>
            <w:noProof/>
          </w:rPr>
        </w:r>
        <w:r>
          <w:rPr>
            <w:smallCaps w:val="0"/>
            <w:noProof/>
          </w:rPr>
          <w:fldChar w:fldCharType="separate"/>
        </w:r>
        <w:r w:rsidR="007357A9">
          <w:rPr>
            <w:smallCaps w:val="0"/>
            <w:noProof/>
          </w:rPr>
          <w:t>41</w:t>
        </w:r>
        <w:r>
          <w:rPr>
            <w:smallCaps w:val="0"/>
            <w:noProof/>
          </w:rPr>
          <w:fldChar w:fldCharType="end"/>
        </w:r>
      </w:hyperlink>
    </w:p>
    <w:p w:rsidR="009136B5" w:rsidRDefault="00000000">
      <w:pPr>
        <w:pStyle w:val="TOC2"/>
        <w:ind w:firstLine="400"/>
        <w:rPr>
          <w:rFonts w:asciiTheme="minorHAnsi" w:eastAsiaTheme="minorEastAsia" w:hAnsiTheme="minorHAnsi" w:cstheme="minorBidi"/>
          <w:smallCaps w:val="0"/>
          <w:noProof/>
          <w:sz w:val="21"/>
          <w:szCs w:val="22"/>
        </w:rPr>
      </w:pPr>
      <w:hyperlink w:anchor="_Toc123647786" w:history="1">
        <w:r>
          <w:rPr>
            <w:rStyle w:val="afe"/>
            <w:smallCaps w:val="0"/>
            <w:noProof/>
            <w:lang w:bidi="ar"/>
          </w:rPr>
          <w:t>7.5</w:t>
        </w:r>
        <w:r>
          <w:rPr>
            <w:noProof/>
          </w:rPr>
          <w:t xml:space="preserve"> </w:t>
        </w:r>
        <w:r>
          <w:rPr>
            <w:rFonts w:hint="eastAsia"/>
            <w:noProof/>
          </w:rPr>
          <w:t xml:space="preserve"> </w:t>
        </w:r>
        <w:r>
          <w:rPr>
            <w:rStyle w:val="afe"/>
            <w:smallCaps w:val="0"/>
            <w:noProof/>
            <w:lang w:bidi="ar"/>
          </w:rPr>
          <w:t>Groundwater Control</w:t>
        </w:r>
        <w:r>
          <w:rPr>
            <w:smallCaps w:val="0"/>
            <w:noProof/>
          </w:rPr>
          <w:tab/>
        </w:r>
        <w:r>
          <w:rPr>
            <w:smallCaps w:val="0"/>
            <w:noProof/>
          </w:rPr>
          <w:fldChar w:fldCharType="begin"/>
        </w:r>
        <w:r>
          <w:rPr>
            <w:smallCaps w:val="0"/>
            <w:noProof/>
          </w:rPr>
          <w:instrText xml:space="preserve"> PAGEREF _Toc123647786 \h </w:instrText>
        </w:r>
        <w:r>
          <w:rPr>
            <w:smallCaps w:val="0"/>
            <w:noProof/>
          </w:rPr>
        </w:r>
        <w:r>
          <w:rPr>
            <w:smallCaps w:val="0"/>
            <w:noProof/>
          </w:rPr>
          <w:fldChar w:fldCharType="separate"/>
        </w:r>
        <w:r w:rsidR="007357A9">
          <w:rPr>
            <w:smallCaps w:val="0"/>
            <w:noProof/>
          </w:rPr>
          <w:t>42</w:t>
        </w:r>
        <w:r>
          <w:rPr>
            <w:smallCaps w:val="0"/>
            <w:noProof/>
          </w:rPr>
          <w:fldChar w:fldCharType="end"/>
        </w:r>
      </w:hyperlink>
    </w:p>
    <w:p w:rsidR="009136B5" w:rsidRDefault="00000000">
      <w:pPr>
        <w:pStyle w:val="TOC2"/>
        <w:ind w:firstLine="400"/>
        <w:rPr>
          <w:rFonts w:asciiTheme="minorHAnsi" w:eastAsiaTheme="minorEastAsia" w:hAnsiTheme="minorHAnsi" w:cstheme="minorBidi"/>
          <w:smallCaps w:val="0"/>
          <w:noProof/>
          <w:sz w:val="21"/>
          <w:szCs w:val="22"/>
        </w:rPr>
      </w:pPr>
      <w:hyperlink w:anchor="_Toc123647787" w:history="1">
        <w:r>
          <w:rPr>
            <w:rStyle w:val="afe"/>
            <w:smallCaps w:val="0"/>
            <w:noProof/>
            <w:lang w:bidi="ar"/>
          </w:rPr>
          <w:t>7.6</w:t>
        </w:r>
        <w:r>
          <w:rPr>
            <w:noProof/>
          </w:rPr>
          <w:t xml:space="preserve"> </w:t>
        </w:r>
        <w:r>
          <w:rPr>
            <w:rFonts w:hint="eastAsia"/>
            <w:noProof/>
          </w:rPr>
          <w:t xml:space="preserve"> </w:t>
        </w:r>
        <w:r>
          <w:rPr>
            <w:rStyle w:val="afe"/>
            <w:smallCaps w:val="0"/>
            <w:noProof/>
            <w:lang w:bidi="ar"/>
          </w:rPr>
          <w:t>Excavation and Pile-bracing</w:t>
        </w:r>
        <w:r>
          <w:rPr>
            <w:smallCaps w:val="0"/>
            <w:noProof/>
          </w:rPr>
          <w:tab/>
        </w:r>
        <w:r>
          <w:rPr>
            <w:smallCaps w:val="0"/>
            <w:noProof/>
          </w:rPr>
          <w:fldChar w:fldCharType="begin"/>
        </w:r>
        <w:r>
          <w:rPr>
            <w:smallCaps w:val="0"/>
            <w:noProof/>
          </w:rPr>
          <w:instrText xml:space="preserve"> PAGEREF _Toc123647787 \h </w:instrText>
        </w:r>
        <w:r>
          <w:rPr>
            <w:smallCaps w:val="0"/>
            <w:noProof/>
          </w:rPr>
        </w:r>
        <w:r>
          <w:rPr>
            <w:smallCaps w:val="0"/>
            <w:noProof/>
          </w:rPr>
          <w:fldChar w:fldCharType="separate"/>
        </w:r>
        <w:r w:rsidR="007357A9">
          <w:rPr>
            <w:smallCaps w:val="0"/>
            <w:noProof/>
          </w:rPr>
          <w:t>43</w:t>
        </w:r>
        <w:r>
          <w:rPr>
            <w:smallCaps w:val="0"/>
            <w:noProof/>
          </w:rPr>
          <w:fldChar w:fldCharType="end"/>
        </w:r>
      </w:hyperlink>
    </w:p>
    <w:p w:rsidR="009136B5" w:rsidRDefault="00000000">
      <w:pPr>
        <w:pStyle w:val="TOC2"/>
        <w:ind w:firstLine="400"/>
        <w:rPr>
          <w:rFonts w:asciiTheme="minorHAnsi" w:eastAsiaTheme="minorEastAsia" w:hAnsiTheme="minorHAnsi" w:cstheme="minorBidi"/>
          <w:smallCaps w:val="0"/>
          <w:noProof/>
          <w:sz w:val="21"/>
          <w:szCs w:val="22"/>
        </w:rPr>
      </w:pPr>
      <w:hyperlink w:anchor="_Toc123647788" w:history="1">
        <w:r>
          <w:rPr>
            <w:rStyle w:val="afe"/>
            <w:smallCaps w:val="0"/>
            <w:noProof/>
            <w:lang w:bidi="ar"/>
          </w:rPr>
          <w:t>7.7</w:t>
        </w:r>
        <w:r>
          <w:rPr>
            <w:noProof/>
          </w:rPr>
          <w:t xml:space="preserve"> </w:t>
        </w:r>
        <w:r>
          <w:rPr>
            <w:rFonts w:hint="eastAsia"/>
            <w:noProof/>
          </w:rPr>
          <w:t xml:space="preserve"> </w:t>
        </w:r>
        <w:r>
          <w:rPr>
            <w:rStyle w:val="afe"/>
            <w:smallCaps w:val="0"/>
            <w:noProof/>
            <w:lang w:bidi="ar"/>
          </w:rPr>
          <w:t>Removement of Existing Structural Members</w:t>
        </w:r>
        <w:r>
          <w:rPr>
            <w:smallCaps w:val="0"/>
            <w:noProof/>
          </w:rPr>
          <w:tab/>
        </w:r>
        <w:r>
          <w:rPr>
            <w:smallCaps w:val="0"/>
            <w:noProof/>
          </w:rPr>
          <w:fldChar w:fldCharType="begin"/>
        </w:r>
        <w:r>
          <w:rPr>
            <w:smallCaps w:val="0"/>
            <w:noProof/>
          </w:rPr>
          <w:instrText xml:space="preserve"> PAGEREF _Toc123647788 \h </w:instrText>
        </w:r>
        <w:r>
          <w:rPr>
            <w:smallCaps w:val="0"/>
            <w:noProof/>
          </w:rPr>
        </w:r>
        <w:r>
          <w:rPr>
            <w:smallCaps w:val="0"/>
            <w:noProof/>
          </w:rPr>
          <w:fldChar w:fldCharType="separate"/>
        </w:r>
        <w:r w:rsidR="007357A9">
          <w:rPr>
            <w:smallCaps w:val="0"/>
            <w:noProof/>
          </w:rPr>
          <w:t>44</w:t>
        </w:r>
        <w:r>
          <w:rPr>
            <w:smallCaps w:val="0"/>
            <w:noProof/>
          </w:rPr>
          <w:fldChar w:fldCharType="end"/>
        </w:r>
      </w:hyperlink>
    </w:p>
    <w:p w:rsidR="009136B5" w:rsidRDefault="00000000">
      <w:pPr>
        <w:pStyle w:val="TOC2"/>
        <w:ind w:firstLine="400"/>
        <w:rPr>
          <w:rFonts w:asciiTheme="minorHAnsi" w:eastAsiaTheme="minorEastAsia" w:hAnsiTheme="minorHAnsi" w:cstheme="minorBidi"/>
          <w:smallCaps w:val="0"/>
          <w:noProof/>
          <w:sz w:val="21"/>
          <w:szCs w:val="22"/>
        </w:rPr>
      </w:pPr>
      <w:hyperlink w:anchor="_Toc123647789" w:history="1">
        <w:r>
          <w:rPr>
            <w:rStyle w:val="afe"/>
            <w:smallCaps w:val="0"/>
            <w:noProof/>
            <w:lang w:bidi="ar"/>
          </w:rPr>
          <w:t xml:space="preserve">7.8 </w:t>
        </w:r>
        <w:r>
          <w:rPr>
            <w:rStyle w:val="afe"/>
            <w:rFonts w:hint="eastAsia"/>
            <w:smallCaps w:val="0"/>
            <w:noProof/>
            <w:lang w:bidi="ar"/>
          </w:rPr>
          <w:t xml:space="preserve"> </w:t>
        </w:r>
        <w:r>
          <w:rPr>
            <w:rStyle w:val="afe"/>
            <w:smallCaps w:val="0"/>
            <w:noProof/>
            <w:lang w:bidi="ar"/>
          </w:rPr>
          <w:t>Existing Structure Strengthening</w:t>
        </w:r>
        <w:r>
          <w:rPr>
            <w:smallCaps w:val="0"/>
            <w:noProof/>
          </w:rPr>
          <w:tab/>
        </w:r>
        <w:r>
          <w:rPr>
            <w:smallCaps w:val="0"/>
            <w:noProof/>
          </w:rPr>
          <w:fldChar w:fldCharType="begin"/>
        </w:r>
        <w:r>
          <w:rPr>
            <w:smallCaps w:val="0"/>
            <w:noProof/>
          </w:rPr>
          <w:instrText xml:space="preserve"> PAGEREF _Toc123647789 \h </w:instrText>
        </w:r>
        <w:r>
          <w:rPr>
            <w:smallCaps w:val="0"/>
            <w:noProof/>
          </w:rPr>
        </w:r>
        <w:r>
          <w:rPr>
            <w:smallCaps w:val="0"/>
            <w:noProof/>
          </w:rPr>
          <w:fldChar w:fldCharType="separate"/>
        </w:r>
        <w:r w:rsidR="007357A9">
          <w:rPr>
            <w:smallCaps w:val="0"/>
            <w:noProof/>
          </w:rPr>
          <w:t>45</w:t>
        </w:r>
        <w:r>
          <w:rPr>
            <w:smallCaps w:val="0"/>
            <w:noProof/>
          </w:rPr>
          <w:fldChar w:fldCharType="end"/>
        </w:r>
      </w:hyperlink>
    </w:p>
    <w:p w:rsidR="009136B5" w:rsidRDefault="00000000">
      <w:pPr>
        <w:pStyle w:val="TOC2"/>
        <w:ind w:firstLine="400"/>
        <w:rPr>
          <w:rFonts w:asciiTheme="minorHAnsi" w:eastAsiaTheme="minorEastAsia" w:hAnsiTheme="minorHAnsi" w:cstheme="minorBidi"/>
          <w:smallCaps w:val="0"/>
          <w:noProof/>
          <w:sz w:val="21"/>
          <w:szCs w:val="22"/>
        </w:rPr>
      </w:pPr>
      <w:hyperlink w:anchor="_Toc123647790" w:history="1">
        <w:r>
          <w:rPr>
            <w:rStyle w:val="afe"/>
            <w:smallCaps w:val="0"/>
            <w:noProof/>
            <w:lang w:bidi="ar"/>
          </w:rPr>
          <w:t>7.9</w:t>
        </w:r>
        <w:r>
          <w:rPr>
            <w:noProof/>
          </w:rPr>
          <w:t xml:space="preserve"> </w:t>
        </w:r>
        <w:r>
          <w:rPr>
            <w:rFonts w:hint="eastAsia"/>
            <w:noProof/>
          </w:rPr>
          <w:t xml:space="preserve"> </w:t>
        </w:r>
        <w:r>
          <w:rPr>
            <w:rStyle w:val="afe"/>
            <w:smallCaps w:val="0"/>
            <w:noProof/>
            <w:lang w:bidi="ar"/>
          </w:rPr>
          <w:t>Construction of Addtional Underground Structure</w:t>
        </w:r>
        <w:r>
          <w:rPr>
            <w:smallCaps w:val="0"/>
            <w:noProof/>
          </w:rPr>
          <w:tab/>
        </w:r>
        <w:r>
          <w:rPr>
            <w:smallCaps w:val="0"/>
            <w:noProof/>
          </w:rPr>
          <w:fldChar w:fldCharType="begin"/>
        </w:r>
        <w:r>
          <w:rPr>
            <w:smallCaps w:val="0"/>
            <w:noProof/>
          </w:rPr>
          <w:instrText xml:space="preserve"> PAGEREF _Toc123647790 \h </w:instrText>
        </w:r>
        <w:r>
          <w:rPr>
            <w:smallCaps w:val="0"/>
            <w:noProof/>
          </w:rPr>
        </w:r>
        <w:r>
          <w:rPr>
            <w:smallCaps w:val="0"/>
            <w:noProof/>
          </w:rPr>
          <w:fldChar w:fldCharType="separate"/>
        </w:r>
        <w:r w:rsidR="007357A9">
          <w:rPr>
            <w:smallCaps w:val="0"/>
            <w:noProof/>
          </w:rPr>
          <w:t>45</w:t>
        </w:r>
        <w:r>
          <w:rPr>
            <w:smallCaps w:val="0"/>
            <w:noProof/>
          </w:rPr>
          <w:fldChar w:fldCharType="end"/>
        </w:r>
      </w:hyperlink>
    </w:p>
    <w:p w:rsidR="009136B5" w:rsidRDefault="00000000">
      <w:pPr>
        <w:pStyle w:val="TOC2"/>
        <w:ind w:firstLine="400"/>
        <w:rPr>
          <w:rFonts w:asciiTheme="minorHAnsi" w:eastAsiaTheme="minorEastAsia" w:hAnsiTheme="minorHAnsi" w:cstheme="minorBidi"/>
          <w:smallCaps w:val="0"/>
          <w:noProof/>
          <w:sz w:val="21"/>
          <w:szCs w:val="22"/>
        </w:rPr>
      </w:pPr>
      <w:hyperlink w:anchor="_Toc123647791" w:history="1">
        <w:r>
          <w:rPr>
            <w:rStyle w:val="afe"/>
            <w:smallCaps w:val="0"/>
            <w:noProof/>
            <w:lang w:bidi="ar"/>
          </w:rPr>
          <w:t>7.10</w:t>
        </w:r>
        <w:r>
          <w:rPr>
            <w:rStyle w:val="afe"/>
            <w:rFonts w:hint="eastAsia"/>
            <w:smallCaps w:val="0"/>
            <w:noProof/>
            <w:lang w:bidi="ar"/>
          </w:rPr>
          <w:t xml:space="preserve"> </w:t>
        </w:r>
        <w:r>
          <w:rPr>
            <w:rStyle w:val="afe"/>
            <w:smallCaps w:val="0"/>
            <w:noProof/>
            <w:lang w:bidi="ar"/>
          </w:rPr>
          <w:t xml:space="preserve"> Operating Environment and Construction Safety Control</w:t>
        </w:r>
        <w:r>
          <w:rPr>
            <w:smallCaps w:val="0"/>
            <w:noProof/>
          </w:rPr>
          <w:tab/>
        </w:r>
        <w:r>
          <w:rPr>
            <w:smallCaps w:val="0"/>
            <w:noProof/>
          </w:rPr>
          <w:fldChar w:fldCharType="begin"/>
        </w:r>
        <w:r>
          <w:rPr>
            <w:smallCaps w:val="0"/>
            <w:noProof/>
          </w:rPr>
          <w:instrText xml:space="preserve"> PAGEREF _Toc123647791 \h </w:instrText>
        </w:r>
        <w:r>
          <w:rPr>
            <w:smallCaps w:val="0"/>
            <w:noProof/>
          </w:rPr>
        </w:r>
        <w:r>
          <w:rPr>
            <w:smallCaps w:val="0"/>
            <w:noProof/>
          </w:rPr>
          <w:fldChar w:fldCharType="separate"/>
        </w:r>
        <w:r w:rsidR="007357A9">
          <w:rPr>
            <w:smallCaps w:val="0"/>
            <w:noProof/>
          </w:rPr>
          <w:t>47</w:t>
        </w:r>
        <w:r>
          <w:rPr>
            <w:smallCaps w:val="0"/>
            <w:noProof/>
          </w:rPr>
          <w:fldChar w:fldCharType="end"/>
        </w:r>
      </w:hyperlink>
    </w:p>
    <w:p w:rsidR="009136B5" w:rsidRDefault="00000000">
      <w:pPr>
        <w:pStyle w:val="TOC1"/>
        <w:tabs>
          <w:tab w:val="right" w:leader="dot" w:pos="9345"/>
        </w:tabs>
        <w:ind w:firstLine="402"/>
        <w:rPr>
          <w:rFonts w:asciiTheme="minorHAnsi" w:eastAsiaTheme="minorEastAsia" w:hAnsiTheme="minorHAnsi" w:cstheme="minorBidi"/>
          <w:b w:val="0"/>
          <w:bCs w:val="0"/>
          <w:caps w:val="0"/>
          <w:noProof/>
          <w:sz w:val="21"/>
          <w:szCs w:val="22"/>
        </w:rPr>
      </w:pPr>
      <w:hyperlink w:anchor="_Toc123647792" w:history="1">
        <w:r>
          <w:rPr>
            <w:rStyle w:val="afe"/>
            <w:caps w:val="0"/>
            <w:noProof/>
          </w:rPr>
          <w:t>8  Monitoring</w:t>
        </w:r>
        <w:r>
          <w:rPr>
            <w:caps w:val="0"/>
            <w:noProof/>
          </w:rPr>
          <w:tab/>
        </w:r>
        <w:r>
          <w:rPr>
            <w:caps w:val="0"/>
            <w:noProof/>
          </w:rPr>
          <w:fldChar w:fldCharType="begin"/>
        </w:r>
        <w:r>
          <w:rPr>
            <w:caps w:val="0"/>
            <w:noProof/>
          </w:rPr>
          <w:instrText xml:space="preserve"> PAGEREF _Toc123647792 \h </w:instrText>
        </w:r>
        <w:r>
          <w:rPr>
            <w:caps w:val="0"/>
            <w:noProof/>
          </w:rPr>
        </w:r>
        <w:r>
          <w:rPr>
            <w:caps w:val="0"/>
            <w:noProof/>
          </w:rPr>
          <w:fldChar w:fldCharType="separate"/>
        </w:r>
        <w:r w:rsidR="007357A9">
          <w:rPr>
            <w:caps w:val="0"/>
            <w:noProof/>
          </w:rPr>
          <w:t>48</w:t>
        </w:r>
        <w:r>
          <w:rPr>
            <w:caps w:val="0"/>
            <w:noProof/>
          </w:rPr>
          <w:fldChar w:fldCharType="end"/>
        </w:r>
      </w:hyperlink>
    </w:p>
    <w:p w:rsidR="009136B5" w:rsidRDefault="00000000">
      <w:pPr>
        <w:pStyle w:val="TOC2"/>
        <w:ind w:firstLine="400"/>
        <w:rPr>
          <w:rFonts w:asciiTheme="minorHAnsi" w:eastAsiaTheme="minorEastAsia" w:hAnsiTheme="minorHAnsi" w:cstheme="minorBidi"/>
          <w:smallCaps w:val="0"/>
          <w:noProof/>
          <w:sz w:val="21"/>
          <w:szCs w:val="22"/>
        </w:rPr>
      </w:pPr>
      <w:hyperlink w:anchor="_Toc123647793" w:history="1">
        <w:r>
          <w:rPr>
            <w:rStyle w:val="afe"/>
            <w:smallCaps w:val="0"/>
            <w:noProof/>
          </w:rPr>
          <w:t>8.1</w:t>
        </w:r>
        <w:r>
          <w:rPr>
            <w:rStyle w:val="afe"/>
            <w:rFonts w:hint="eastAsia"/>
            <w:smallCaps w:val="0"/>
            <w:noProof/>
          </w:rPr>
          <w:t xml:space="preserve"> </w:t>
        </w:r>
        <w:r>
          <w:rPr>
            <w:rStyle w:val="afe"/>
            <w:smallCaps w:val="0"/>
            <w:noProof/>
          </w:rPr>
          <w:t xml:space="preserve"> </w:t>
        </w:r>
        <w:r>
          <w:rPr>
            <w:rStyle w:val="afe"/>
            <w:rFonts w:hint="eastAsia"/>
            <w:smallCaps w:val="0"/>
            <w:noProof/>
          </w:rPr>
          <w:t>G</w:t>
        </w:r>
        <w:r>
          <w:rPr>
            <w:rStyle w:val="afe"/>
            <w:smallCaps w:val="0"/>
            <w:noProof/>
          </w:rPr>
          <w:t>eneral Requirements</w:t>
        </w:r>
        <w:r>
          <w:rPr>
            <w:smallCaps w:val="0"/>
            <w:noProof/>
          </w:rPr>
          <w:tab/>
        </w:r>
        <w:r>
          <w:rPr>
            <w:smallCaps w:val="0"/>
            <w:noProof/>
          </w:rPr>
          <w:fldChar w:fldCharType="begin"/>
        </w:r>
        <w:r>
          <w:rPr>
            <w:smallCaps w:val="0"/>
            <w:noProof/>
          </w:rPr>
          <w:instrText xml:space="preserve"> PAGEREF _Toc123647793 \h </w:instrText>
        </w:r>
        <w:r>
          <w:rPr>
            <w:smallCaps w:val="0"/>
            <w:noProof/>
          </w:rPr>
        </w:r>
        <w:r>
          <w:rPr>
            <w:smallCaps w:val="0"/>
            <w:noProof/>
          </w:rPr>
          <w:fldChar w:fldCharType="separate"/>
        </w:r>
        <w:r w:rsidR="007357A9">
          <w:rPr>
            <w:smallCaps w:val="0"/>
            <w:noProof/>
          </w:rPr>
          <w:t>48</w:t>
        </w:r>
        <w:r>
          <w:rPr>
            <w:smallCaps w:val="0"/>
            <w:noProof/>
          </w:rPr>
          <w:fldChar w:fldCharType="end"/>
        </w:r>
      </w:hyperlink>
    </w:p>
    <w:p w:rsidR="009136B5" w:rsidRDefault="00000000">
      <w:pPr>
        <w:pStyle w:val="TOC2"/>
        <w:ind w:firstLine="400"/>
        <w:rPr>
          <w:rFonts w:asciiTheme="minorHAnsi" w:eastAsiaTheme="minorEastAsia" w:hAnsiTheme="minorHAnsi" w:cstheme="minorBidi"/>
          <w:smallCaps w:val="0"/>
          <w:noProof/>
          <w:sz w:val="21"/>
          <w:szCs w:val="22"/>
        </w:rPr>
      </w:pPr>
      <w:hyperlink w:anchor="_Toc123647794" w:history="1">
        <w:r>
          <w:rPr>
            <w:rStyle w:val="afe"/>
            <w:smallCaps w:val="0"/>
            <w:noProof/>
          </w:rPr>
          <w:t xml:space="preserve">8.2 </w:t>
        </w:r>
        <w:r>
          <w:rPr>
            <w:rStyle w:val="afe"/>
            <w:rFonts w:hint="eastAsia"/>
            <w:smallCaps w:val="0"/>
            <w:noProof/>
          </w:rPr>
          <w:t xml:space="preserve"> M</w:t>
        </w:r>
        <w:r>
          <w:rPr>
            <w:rStyle w:val="afe"/>
            <w:smallCaps w:val="0"/>
            <w:noProof/>
          </w:rPr>
          <w:t>onitoring of exsiting structure</w:t>
        </w:r>
        <w:r>
          <w:rPr>
            <w:smallCaps w:val="0"/>
            <w:noProof/>
          </w:rPr>
          <w:tab/>
        </w:r>
        <w:r>
          <w:rPr>
            <w:smallCaps w:val="0"/>
            <w:noProof/>
          </w:rPr>
          <w:fldChar w:fldCharType="begin"/>
        </w:r>
        <w:r>
          <w:rPr>
            <w:smallCaps w:val="0"/>
            <w:noProof/>
          </w:rPr>
          <w:instrText xml:space="preserve"> PAGEREF _Toc123647794 \h </w:instrText>
        </w:r>
        <w:r>
          <w:rPr>
            <w:smallCaps w:val="0"/>
            <w:noProof/>
          </w:rPr>
        </w:r>
        <w:r>
          <w:rPr>
            <w:smallCaps w:val="0"/>
            <w:noProof/>
          </w:rPr>
          <w:fldChar w:fldCharType="separate"/>
        </w:r>
        <w:r w:rsidR="007357A9">
          <w:rPr>
            <w:smallCaps w:val="0"/>
            <w:noProof/>
          </w:rPr>
          <w:t>48</w:t>
        </w:r>
        <w:r>
          <w:rPr>
            <w:smallCaps w:val="0"/>
            <w:noProof/>
          </w:rPr>
          <w:fldChar w:fldCharType="end"/>
        </w:r>
      </w:hyperlink>
    </w:p>
    <w:p w:rsidR="009136B5" w:rsidRDefault="00000000">
      <w:pPr>
        <w:pStyle w:val="TOC2"/>
        <w:ind w:firstLine="400"/>
        <w:rPr>
          <w:rFonts w:asciiTheme="minorHAnsi" w:eastAsiaTheme="minorEastAsia" w:hAnsiTheme="minorHAnsi" w:cstheme="minorBidi"/>
          <w:smallCaps w:val="0"/>
          <w:noProof/>
          <w:sz w:val="21"/>
          <w:szCs w:val="22"/>
        </w:rPr>
      </w:pPr>
      <w:hyperlink w:anchor="_Toc123647795" w:history="1">
        <w:r>
          <w:rPr>
            <w:rStyle w:val="afe"/>
            <w:smallCaps w:val="0"/>
            <w:noProof/>
          </w:rPr>
          <w:t xml:space="preserve">8.3 </w:t>
        </w:r>
        <w:r>
          <w:rPr>
            <w:rStyle w:val="afe"/>
            <w:rFonts w:hint="eastAsia"/>
            <w:smallCaps w:val="0"/>
            <w:noProof/>
          </w:rPr>
          <w:t xml:space="preserve"> </w:t>
        </w:r>
        <w:r>
          <w:rPr>
            <w:rStyle w:val="afe"/>
            <w:smallCaps w:val="0"/>
            <w:noProof/>
          </w:rPr>
          <w:t>Monitoring of Underpinning Structure</w:t>
        </w:r>
        <w:r>
          <w:rPr>
            <w:smallCaps w:val="0"/>
            <w:noProof/>
          </w:rPr>
          <w:tab/>
        </w:r>
        <w:r>
          <w:rPr>
            <w:smallCaps w:val="0"/>
            <w:noProof/>
          </w:rPr>
          <w:fldChar w:fldCharType="begin"/>
        </w:r>
        <w:r>
          <w:rPr>
            <w:smallCaps w:val="0"/>
            <w:noProof/>
          </w:rPr>
          <w:instrText xml:space="preserve"> PAGEREF _Toc123647795 \h </w:instrText>
        </w:r>
        <w:r>
          <w:rPr>
            <w:smallCaps w:val="0"/>
            <w:noProof/>
          </w:rPr>
        </w:r>
        <w:r>
          <w:rPr>
            <w:smallCaps w:val="0"/>
            <w:noProof/>
          </w:rPr>
          <w:fldChar w:fldCharType="separate"/>
        </w:r>
        <w:r w:rsidR="007357A9">
          <w:rPr>
            <w:smallCaps w:val="0"/>
            <w:noProof/>
          </w:rPr>
          <w:t>48</w:t>
        </w:r>
        <w:r>
          <w:rPr>
            <w:smallCaps w:val="0"/>
            <w:noProof/>
          </w:rPr>
          <w:fldChar w:fldCharType="end"/>
        </w:r>
      </w:hyperlink>
    </w:p>
    <w:p w:rsidR="009136B5" w:rsidRDefault="00000000">
      <w:pPr>
        <w:pStyle w:val="TOC2"/>
        <w:ind w:firstLine="400"/>
        <w:rPr>
          <w:rFonts w:asciiTheme="minorHAnsi" w:eastAsiaTheme="minorEastAsia" w:hAnsiTheme="minorHAnsi" w:cstheme="minorBidi"/>
          <w:smallCaps w:val="0"/>
          <w:noProof/>
          <w:sz w:val="21"/>
          <w:szCs w:val="22"/>
        </w:rPr>
      </w:pPr>
      <w:hyperlink w:anchor="_Toc123647796" w:history="1">
        <w:r>
          <w:rPr>
            <w:rStyle w:val="afe"/>
            <w:smallCaps w:val="0"/>
            <w:noProof/>
          </w:rPr>
          <w:t xml:space="preserve">8.4 </w:t>
        </w:r>
        <w:r>
          <w:rPr>
            <w:rStyle w:val="afe"/>
            <w:rFonts w:hint="eastAsia"/>
            <w:smallCaps w:val="0"/>
            <w:noProof/>
          </w:rPr>
          <w:t xml:space="preserve"> </w:t>
        </w:r>
        <w:r>
          <w:rPr>
            <w:rStyle w:val="afe"/>
            <w:smallCaps w:val="0"/>
            <w:noProof/>
          </w:rPr>
          <w:t>Monitoring of Lateral Retaining and Proteciton Structure</w:t>
        </w:r>
        <w:r>
          <w:rPr>
            <w:smallCaps w:val="0"/>
            <w:noProof/>
          </w:rPr>
          <w:tab/>
        </w:r>
        <w:r>
          <w:rPr>
            <w:smallCaps w:val="0"/>
            <w:noProof/>
          </w:rPr>
          <w:fldChar w:fldCharType="begin"/>
        </w:r>
        <w:r>
          <w:rPr>
            <w:smallCaps w:val="0"/>
            <w:noProof/>
          </w:rPr>
          <w:instrText xml:space="preserve"> PAGEREF _Toc123647796 \h </w:instrText>
        </w:r>
        <w:r>
          <w:rPr>
            <w:smallCaps w:val="0"/>
            <w:noProof/>
          </w:rPr>
        </w:r>
        <w:r>
          <w:rPr>
            <w:smallCaps w:val="0"/>
            <w:noProof/>
          </w:rPr>
          <w:fldChar w:fldCharType="separate"/>
        </w:r>
        <w:r w:rsidR="007357A9">
          <w:rPr>
            <w:smallCaps w:val="0"/>
            <w:noProof/>
          </w:rPr>
          <w:t>49</w:t>
        </w:r>
        <w:r>
          <w:rPr>
            <w:smallCaps w:val="0"/>
            <w:noProof/>
          </w:rPr>
          <w:fldChar w:fldCharType="end"/>
        </w:r>
      </w:hyperlink>
    </w:p>
    <w:p w:rsidR="009136B5" w:rsidRDefault="00000000">
      <w:pPr>
        <w:pStyle w:val="TOC2"/>
        <w:ind w:firstLine="400"/>
        <w:rPr>
          <w:rFonts w:asciiTheme="minorHAnsi" w:eastAsiaTheme="minorEastAsia" w:hAnsiTheme="minorHAnsi" w:cstheme="minorBidi"/>
          <w:smallCaps w:val="0"/>
          <w:noProof/>
          <w:sz w:val="21"/>
          <w:szCs w:val="22"/>
        </w:rPr>
      </w:pPr>
      <w:hyperlink w:anchor="_Toc123647797" w:history="1">
        <w:r>
          <w:rPr>
            <w:rStyle w:val="afe"/>
            <w:smallCaps w:val="0"/>
            <w:noProof/>
          </w:rPr>
          <w:t xml:space="preserve">8.5 </w:t>
        </w:r>
        <w:r>
          <w:rPr>
            <w:rStyle w:val="afe"/>
            <w:rFonts w:hint="eastAsia"/>
            <w:smallCaps w:val="0"/>
            <w:noProof/>
          </w:rPr>
          <w:t xml:space="preserve"> </w:t>
        </w:r>
        <w:r>
          <w:rPr>
            <w:rStyle w:val="afe"/>
            <w:smallCaps w:val="0"/>
            <w:noProof/>
          </w:rPr>
          <w:t>Monitoring of Surroundings around Foundation Pit</w:t>
        </w:r>
        <w:r>
          <w:rPr>
            <w:smallCaps w:val="0"/>
            <w:noProof/>
          </w:rPr>
          <w:tab/>
        </w:r>
        <w:r>
          <w:rPr>
            <w:smallCaps w:val="0"/>
            <w:noProof/>
          </w:rPr>
          <w:fldChar w:fldCharType="begin"/>
        </w:r>
        <w:r>
          <w:rPr>
            <w:smallCaps w:val="0"/>
            <w:noProof/>
          </w:rPr>
          <w:instrText xml:space="preserve"> PAGEREF _Toc123647797 \h </w:instrText>
        </w:r>
        <w:r>
          <w:rPr>
            <w:smallCaps w:val="0"/>
            <w:noProof/>
          </w:rPr>
        </w:r>
        <w:r>
          <w:rPr>
            <w:smallCaps w:val="0"/>
            <w:noProof/>
          </w:rPr>
          <w:fldChar w:fldCharType="separate"/>
        </w:r>
        <w:r w:rsidR="007357A9">
          <w:rPr>
            <w:smallCaps w:val="0"/>
            <w:noProof/>
          </w:rPr>
          <w:t>49</w:t>
        </w:r>
        <w:r>
          <w:rPr>
            <w:smallCaps w:val="0"/>
            <w:noProof/>
          </w:rPr>
          <w:fldChar w:fldCharType="end"/>
        </w:r>
      </w:hyperlink>
    </w:p>
    <w:p w:rsidR="009136B5" w:rsidRDefault="00000000">
      <w:pPr>
        <w:pStyle w:val="TOC1"/>
        <w:tabs>
          <w:tab w:val="right" w:leader="dot" w:pos="9345"/>
        </w:tabs>
        <w:ind w:firstLine="402"/>
        <w:rPr>
          <w:rFonts w:asciiTheme="minorHAnsi" w:eastAsiaTheme="minorEastAsia" w:hAnsiTheme="minorHAnsi" w:cstheme="minorBidi"/>
          <w:b w:val="0"/>
          <w:bCs w:val="0"/>
          <w:caps w:val="0"/>
          <w:noProof/>
          <w:sz w:val="21"/>
          <w:szCs w:val="22"/>
        </w:rPr>
      </w:pPr>
      <w:hyperlink w:anchor="_Toc123647798" w:history="1">
        <w:r>
          <w:rPr>
            <w:rStyle w:val="afe"/>
            <w:caps w:val="0"/>
            <w:noProof/>
          </w:rPr>
          <w:t>9  Acceptance</w:t>
        </w:r>
        <w:r>
          <w:rPr>
            <w:caps w:val="0"/>
            <w:noProof/>
          </w:rPr>
          <w:tab/>
        </w:r>
        <w:r>
          <w:rPr>
            <w:caps w:val="0"/>
            <w:noProof/>
          </w:rPr>
          <w:fldChar w:fldCharType="begin"/>
        </w:r>
        <w:r>
          <w:rPr>
            <w:caps w:val="0"/>
            <w:noProof/>
          </w:rPr>
          <w:instrText xml:space="preserve"> PAGEREF _Toc123647798 \h </w:instrText>
        </w:r>
        <w:r>
          <w:rPr>
            <w:caps w:val="0"/>
            <w:noProof/>
          </w:rPr>
        </w:r>
        <w:r>
          <w:rPr>
            <w:caps w:val="0"/>
            <w:noProof/>
          </w:rPr>
          <w:fldChar w:fldCharType="separate"/>
        </w:r>
        <w:r w:rsidR="007357A9">
          <w:rPr>
            <w:caps w:val="0"/>
            <w:noProof/>
          </w:rPr>
          <w:t>50</w:t>
        </w:r>
        <w:r>
          <w:rPr>
            <w:caps w:val="0"/>
            <w:noProof/>
          </w:rPr>
          <w:fldChar w:fldCharType="end"/>
        </w:r>
      </w:hyperlink>
    </w:p>
    <w:p w:rsidR="009136B5" w:rsidRDefault="00000000">
      <w:pPr>
        <w:pStyle w:val="TOC2"/>
        <w:ind w:firstLine="400"/>
        <w:rPr>
          <w:rFonts w:asciiTheme="minorHAnsi" w:eastAsiaTheme="minorEastAsia" w:hAnsiTheme="minorHAnsi" w:cstheme="minorBidi"/>
          <w:smallCaps w:val="0"/>
          <w:noProof/>
          <w:sz w:val="21"/>
          <w:szCs w:val="22"/>
        </w:rPr>
      </w:pPr>
      <w:hyperlink w:anchor="_Toc123647799" w:history="1">
        <w:r>
          <w:rPr>
            <w:rStyle w:val="afe"/>
            <w:smallCaps w:val="0"/>
            <w:noProof/>
          </w:rPr>
          <w:t>9.1</w:t>
        </w:r>
        <w:r>
          <w:rPr>
            <w:rStyle w:val="afe"/>
            <w:rFonts w:hint="eastAsia"/>
            <w:smallCaps w:val="0"/>
            <w:noProof/>
          </w:rPr>
          <w:t xml:space="preserve"> </w:t>
        </w:r>
        <w:r>
          <w:rPr>
            <w:rStyle w:val="afe"/>
            <w:smallCaps w:val="0"/>
            <w:noProof/>
          </w:rPr>
          <w:t xml:space="preserve"> General Requirements</w:t>
        </w:r>
        <w:r>
          <w:rPr>
            <w:smallCaps w:val="0"/>
            <w:noProof/>
          </w:rPr>
          <w:tab/>
        </w:r>
        <w:r>
          <w:rPr>
            <w:smallCaps w:val="0"/>
            <w:noProof/>
          </w:rPr>
          <w:fldChar w:fldCharType="begin"/>
        </w:r>
        <w:r>
          <w:rPr>
            <w:smallCaps w:val="0"/>
            <w:noProof/>
          </w:rPr>
          <w:instrText xml:space="preserve"> PAGEREF _Toc123647799 \h </w:instrText>
        </w:r>
        <w:r>
          <w:rPr>
            <w:smallCaps w:val="0"/>
            <w:noProof/>
          </w:rPr>
        </w:r>
        <w:r>
          <w:rPr>
            <w:smallCaps w:val="0"/>
            <w:noProof/>
          </w:rPr>
          <w:fldChar w:fldCharType="separate"/>
        </w:r>
        <w:r w:rsidR="007357A9">
          <w:rPr>
            <w:smallCaps w:val="0"/>
            <w:noProof/>
          </w:rPr>
          <w:t>50</w:t>
        </w:r>
        <w:r>
          <w:rPr>
            <w:smallCaps w:val="0"/>
            <w:noProof/>
          </w:rPr>
          <w:fldChar w:fldCharType="end"/>
        </w:r>
      </w:hyperlink>
    </w:p>
    <w:p w:rsidR="009136B5" w:rsidRDefault="00000000">
      <w:pPr>
        <w:pStyle w:val="TOC2"/>
        <w:ind w:firstLine="400"/>
        <w:rPr>
          <w:rFonts w:asciiTheme="minorHAnsi" w:eastAsiaTheme="minorEastAsia" w:hAnsiTheme="minorHAnsi" w:cstheme="minorBidi"/>
          <w:smallCaps w:val="0"/>
          <w:noProof/>
          <w:sz w:val="21"/>
          <w:szCs w:val="22"/>
        </w:rPr>
      </w:pPr>
      <w:hyperlink w:anchor="_Toc123647800" w:history="1">
        <w:r>
          <w:rPr>
            <w:rStyle w:val="afe"/>
            <w:smallCaps w:val="0"/>
            <w:noProof/>
          </w:rPr>
          <w:t>9.2</w:t>
        </w:r>
        <w:r>
          <w:rPr>
            <w:rStyle w:val="afe"/>
            <w:rFonts w:hint="eastAsia"/>
            <w:smallCaps w:val="0"/>
            <w:noProof/>
          </w:rPr>
          <w:t xml:space="preserve"> </w:t>
        </w:r>
        <w:r>
          <w:rPr>
            <w:rStyle w:val="afe"/>
            <w:smallCaps w:val="0"/>
            <w:noProof/>
          </w:rPr>
          <w:t xml:space="preserve"> Entiative Inspection</w:t>
        </w:r>
        <w:r>
          <w:rPr>
            <w:smallCaps w:val="0"/>
            <w:noProof/>
          </w:rPr>
          <w:tab/>
        </w:r>
        <w:r>
          <w:rPr>
            <w:smallCaps w:val="0"/>
            <w:noProof/>
          </w:rPr>
          <w:fldChar w:fldCharType="begin"/>
        </w:r>
        <w:r>
          <w:rPr>
            <w:smallCaps w:val="0"/>
            <w:noProof/>
          </w:rPr>
          <w:instrText xml:space="preserve"> PAGEREF _Toc123647800 \h </w:instrText>
        </w:r>
        <w:r>
          <w:rPr>
            <w:smallCaps w:val="0"/>
            <w:noProof/>
          </w:rPr>
        </w:r>
        <w:r>
          <w:rPr>
            <w:smallCaps w:val="0"/>
            <w:noProof/>
          </w:rPr>
          <w:fldChar w:fldCharType="separate"/>
        </w:r>
        <w:r w:rsidR="007357A9">
          <w:rPr>
            <w:smallCaps w:val="0"/>
            <w:noProof/>
          </w:rPr>
          <w:t>51</w:t>
        </w:r>
        <w:r>
          <w:rPr>
            <w:smallCaps w:val="0"/>
            <w:noProof/>
          </w:rPr>
          <w:fldChar w:fldCharType="end"/>
        </w:r>
      </w:hyperlink>
    </w:p>
    <w:p w:rsidR="009136B5" w:rsidRDefault="00000000">
      <w:pPr>
        <w:pStyle w:val="TOC2"/>
        <w:ind w:firstLine="400"/>
        <w:rPr>
          <w:smallCaps w:val="0"/>
          <w:noProof/>
        </w:rPr>
      </w:pPr>
      <w:hyperlink w:anchor="_Toc123647801" w:history="1">
        <w:r>
          <w:rPr>
            <w:rStyle w:val="afe"/>
            <w:smallCaps w:val="0"/>
            <w:noProof/>
          </w:rPr>
          <w:t xml:space="preserve">9.3 </w:t>
        </w:r>
        <w:r>
          <w:rPr>
            <w:rStyle w:val="afe"/>
            <w:rFonts w:hint="eastAsia"/>
            <w:smallCaps w:val="0"/>
            <w:noProof/>
          </w:rPr>
          <w:t xml:space="preserve"> </w:t>
        </w:r>
        <w:r>
          <w:rPr>
            <w:rStyle w:val="afe"/>
            <w:smallCaps w:val="0"/>
            <w:noProof/>
          </w:rPr>
          <w:t>Acceptance</w:t>
        </w:r>
        <w:r>
          <w:rPr>
            <w:smallCaps w:val="0"/>
            <w:noProof/>
          </w:rPr>
          <w:tab/>
        </w:r>
        <w:r>
          <w:rPr>
            <w:smallCaps w:val="0"/>
            <w:noProof/>
          </w:rPr>
          <w:fldChar w:fldCharType="begin"/>
        </w:r>
        <w:r>
          <w:rPr>
            <w:smallCaps w:val="0"/>
            <w:noProof/>
          </w:rPr>
          <w:instrText xml:space="preserve"> PAGEREF _Toc123647801 \h </w:instrText>
        </w:r>
        <w:r>
          <w:rPr>
            <w:smallCaps w:val="0"/>
            <w:noProof/>
          </w:rPr>
        </w:r>
        <w:r>
          <w:rPr>
            <w:smallCaps w:val="0"/>
            <w:noProof/>
          </w:rPr>
          <w:fldChar w:fldCharType="separate"/>
        </w:r>
        <w:r w:rsidR="007357A9">
          <w:rPr>
            <w:smallCaps w:val="0"/>
            <w:noProof/>
          </w:rPr>
          <w:t>51</w:t>
        </w:r>
        <w:r>
          <w:rPr>
            <w:smallCaps w:val="0"/>
            <w:noProof/>
          </w:rPr>
          <w:fldChar w:fldCharType="end"/>
        </w:r>
      </w:hyperlink>
    </w:p>
    <w:p w:rsidR="009136B5" w:rsidRDefault="00000000">
      <w:pPr>
        <w:pStyle w:val="TOC1"/>
        <w:tabs>
          <w:tab w:val="right" w:leader="dot" w:pos="9355"/>
        </w:tabs>
        <w:ind w:leftChars="202" w:left="1601" w:hangingChars="586" w:hanging="1177"/>
        <w:rPr>
          <w:rStyle w:val="afe"/>
          <w:caps w:val="0"/>
          <w:noProof/>
        </w:rPr>
      </w:pPr>
      <w:hyperlink w:anchor="_Toc31925" w:history="1">
        <w:r>
          <w:rPr>
            <w:rStyle w:val="afe"/>
            <w:caps w:val="0"/>
            <w:noProof/>
          </w:rPr>
          <w:t>Appendix A  Calculation of reduction coefficient of side friction of pile foundation considering the effect of excavation unloading</w:t>
        </w:r>
        <w:r>
          <w:rPr>
            <w:rStyle w:val="afe"/>
            <w:caps w:val="0"/>
            <w:noProof/>
          </w:rPr>
          <w:tab/>
        </w:r>
        <w:r>
          <w:rPr>
            <w:rStyle w:val="afe"/>
            <w:caps w:val="0"/>
            <w:noProof/>
          </w:rPr>
          <w:fldChar w:fldCharType="begin"/>
        </w:r>
        <w:r>
          <w:rPr>
            <w:rStyle w:val="afe"/>
            <w:caps w:val="0"/>
            <w:noProof/>
          </w:rPr>
          <w:instrText xml:space="preserve"> PAGEREF _Toc31925 \h </w:instrText>
        </w:r>
        <w:r>
          <w:rPr>
            <w:rStyle w:val="afe"/>
            <w:caps w:val="0"/>
            <w:noProof/>
          </w:rPr>
        </w:r>
        <w:r>
          <w:rPr>
            <w:rStyle w:val="afe"/>
            <w:caps w:val="0"/>
            <w:noProof/>
          </w:rPr>
          <w:fldChar w:fldCharType="separate"/>
        </w:r>
        <w:r w:rsidR="007357A9">
          <w:rPr>
            <w:rStyle w:val="afe"/>
            <w:caps w:val="0"/>
            <w:noProof/>
          </w:rPr>
          <w:t>53</w:t>
        </w:r>
        <w:r>
          <w:rPr>
            <w:rStyle w:val="afe"/>
            <w:caps w:val="0"/>
            <w:noProof/>
          </w:rPr>
          <w:fldChar w:fldCharType="end"/>
        </w:r>
      </w:hyperlink>
    </w:p>
    <w:p w:rsidR="009136B5" w:rsidRDefault="00000000">
      <w:pPr>
        <w:pStyle w:val="TOC1"/>
        <w:tabs>
          <w:tab w:val="right" w:leader="dot" w:pos="9355"/>
        </w:tabs>
        <w:ind w:leftChars="200" w:left="1625" w:hangingChars="600" w:hanging="1205"/>
        <w:rPr>
          <w:rFonts w:asciiTheme="minorHAnsi" w:eastAsiaTheme="minorEastAsia" w:hAnsiTheme="minorHAnsi" w:cstheme="minorBidi"/>
          <w:smallCaps/>
          <w:noProof/>
          <w:sz w:val="21"/>
          <w:szCs w:val="22"/>
        </w:rPr>
      </w:pPr>
      <w:hyperlink w:anchor="_Toc10429" w:history="1">
        <w:r>
          <w:rPr>
            <w:rStyle w:val="afe"/>
            <w:rFonts w:hint="eastAsia"/>
            <w:caps w:val="0"/>
            <w:noProof/>
          </w:rPr>
          <w:t>A</w:t>
        </w:r>
        <w:r>
          <w:rPr>
            <w:rStyle w:val="afe"/>
            <w:caps w:val="0"/>
            <w:noProof/>
          </w:rPr>
          <w:t>ppendix B</w:t>
        </w:r>
        <w:r>
          <w:rPr>
            <w:rStyle w:val="afe"/>
            <w:noProof/>
          </w:rPr>
          <w:t xml:space="preserve">  </w:t>
        </w:r>
        <w:r>
          <w:rPr>
            <w:rStyle w:val="afe"/>
            <w:caps w:val="0"/>
            <w:noProof/>
          </w:rPr>
          <w:t>Division of engineering division, sub-division engineering and sub-project division in Top-down basement addition project beneath Existing buildings</w:t>
        </w:r>
        <w:r>
          <w:rPr>
            <w:rStyle w:val="afe"/>
            <w:noProof/>
          </w:rPr>
          <w:tab/>
        </w:r>
        <w:r>
          <w:rPr>
            <w:rStyle w:val="afe"/>
            <w:noProof/>
          </w:rPr>
          <w:fldChar w:fldCharType="begin"/>
        </w:r>
        <w:r>
          <w:rPr>
            <w:rStyle w:val="afe"/>
            <w:noProof/>
          </w:rPr>
          <w:instrText xml:space="preserve"> PAGEREF _Toc10429 \h </w:instrText>
        </w:r>
        <w:r>
          <w:rPr>
            <w:rStyle w:val="afe"/>
            <w:noProof/>
          </w:rPr>
        </w:r>
        <w:r>
          <w:rPr>
            <w:rStyle w:val="afe"/>
            <w:noProof/>
          </w:rPr>
          <w:fldChar w:fldCharType="separate"/>
        </w:r>
        <w:r w:rsidR="007357A9">
          <w:rPr>
            <w:rStyle w:val="afe"/>
            <w:noProof/>
          </w:rPr>
          <w:t>54</w:t>
        </w:r>
        <w:r>
          <w:rPr>
            <w:rStyle w:val="afe"/>
            <w:noProof/>
          </w:rPr>
          <w:fldChar w:fldCharType="end"/>
        </w:r>
      </w:hyperlink>
    </w:p>
    <w:p w:rsidR="009136B5" w:rsidRDefault="00000000">
      <w:pPr>
        <w:pStyle w:val="TOC1"/>
        <w:tabs>
          <w:tab w:val="right" w:leader="dot" w:pos="9345"/>
        </w:tabs>
        <w:ind w:firstLine="402"/>
        <w:rPr>
          <w:caps w:val="0"/>
          <w:noProof/>
        </w:rPr>
      </w:pPr>
      <w:hyperlink w:anchor="_Toc123647802" w:history="1">
        <w:r>
          <w:rPr>
            <w:rStyle w:val="afe"/>
            <w:caps w:val="0"/>
            <w:noProof/>
          </w:rPr>
          <w:t>Explanation of Wording in this Specification</w:t>
        </w:r>
        <w:r>
          <w:rPr>
            <w:caps w:val="0"/>
            <w:noProof/>
          </w:rPr>
          <w:tab/>
        </w:r>
        <w:r>
          <w:rPr>
            <w:caps w:val="0"/>
            <w:noProof/>
          </w:rPr>
          <w:fldChar w:fldCharType="begin"/>
        </w:r>
        <w:r>
          <w:rPr>
            <w:caps w:val="0"/>
            <w:noProof/>
          </w:rPr>
          <w:instrText xml:space="preserve"> PAGEREF _Toc123647802 \h </w:instrText>
        </w:r>
        <w:r>
          <w:rPr>
            <w:caps w:val="0"/>
            <w:noProof/>
          </w:rPr>
        </w:r>
        <w:r>
          <w:rPr>
            <w:caps w:val="0"/>
            <w:noProof/>
          </w:rPr>
          <w:fldChar w:fldCharType="separate"/>
        </w:r>
        <w:r w:rsidR="007357A9">
          <w:rPr>
            <w:caps w:val="0"/>
            <w:noProof/>
          </w:rPr>
          <w:t>55</w:t>
        </w:r>
        <w:r>
          <w:rPr>
            <w:caps w:val="0"/>
            <w:noProof/>
          </w:rPr>
          <w:fldChar w:fldCharType="end"/>
        </w:r>
      </w:hyperlink>
    </w:p>
    <w:p w:rsidR="009136B5" w:rsidRDefault="00000000">
      <w:pPr>
        <w:pStyle w:val="TOC1"/>
        <w:tabs>
          <w:tab w:val="right" w:leader="dot" w:pos="9345"/>
        </w:tabs>
        <w:ind w:firstLine="402"/>
        <w:rPr>
          <w:caps w:val="0"/>
          <w:noProof/>
        </w:rPr>
      </w:pPr>
      <w:hyperlink w:anchor="_Toc123647803" w:history="1">
        <w:r>
          <w:rPr>
            <w:rStyle w:val="afe"/>
            <w:rFonts w:hint="eastAsia"/>
            <w:caps w:val="0"/>
            <w:noProof/>
          </w:rPr>
          <w:t>L</w:t>
        </w:r>
        <w:r>
          <w:rPr>
            <w:rStyle w:val="afe"/>
            <w:caps w:val="0"/>
            <w:noProof/>
          </w:rPr>
          <w:t>ist of Quoted Standards</w:t>
        </w:r>
        <w:r>
          <w:rPr>
            <w:caps w:val="0"/>
            <w:noProof/>
          </w:rPr>
          <w:tab/>
        </w:r>
        <w:r>
          <w:rPr>
            <w:caps w:val="0"/>
            <w:noProof/>
          </w:rPr>
          <w:fldChar w:fldCharType="begin"/>
        </w:r>
        <w:r>
          <w:rPr>
            <w:caps w:val="0"/>
            <w:noProof/>
          </w:rPr>
          <w:instrText xml:space="preserve"> PAGEREF _Toc123647803 \h </w:instrText>
        </w:r>
        <w:r>
          <w:rPr>
            <w:caps w:val="0"/>
            <w:noProof/>
          </w:rPr>
        </w:r>
        <w:r>
          <w:rPr>
            <w:caps w:val="0"/>
            <w:noProof/>
          </w:rPr>
          <w:fldChar w:fldCharType="separate"/>
        </w:r>
        <w:r w:rsidR="007357A9">
          <w:rPr>
            <w:caps w:val="0"/>
            <w:noProof/>
          </w:rPr>
          <w:t>56</w:t>
        </w:r>
        <w:r>
          <w:rPr>
            <w:caps w:val="0"/>
            <w:noProof/>
          </w:rPr>
          <w:fldChar w:fldCharType="end"/>
        </w:r>
      </w:hyperlink>
    </w:p>
    <w:p w:rsidR="009136B5" w:rsidRDefault="009136B5">
      <w:pPr>
        <w:ind w:firstLine="420"/>
        <w:jc w:val="center"/>
        <w:rPr>
          <w:noProof/>
          <w:color w:val="FF0000"/>
        </w:rPr>
      </w:pPr>
    </w:p>
    <w:p w:rsidR="009136B5" w:rsidRDefault="00000000">
      <w:pPr>
        <w:ind w:firstLine="420"/>
        <w:jc w:val="center"/>
      </w:pPr>
      <w:r>
        <w:rPr>
          <w:bCs/>
          <w:caps/>
          <w:smallCaps/>
        </w:rPr>
        <w:fldChar w:fldCharType="end"/>
      </w:r>
    </w:p>
    <w:p w:rsidR="009136B5" w:rsidRDefault="009136B5">
      <w:pPr>
        <w:pStyle w:val="af6"/>
        <w:rPr>
          <w:b w:val="0"/>
          <w:bCs/>
          <w:caps/>
          <w:smallCaps/>
        </w:rPr>
        <w:sectPr w:rsidR="009136B5">
          <w:footerReference w:type="default" r:id="rId17"/>
          <w:pgSz w:w="11907" w:h="16839"/>
          <w:pgMar w:top="1134" w:right="1134" w:bottom="1134" w:left="1418" w:header="567" w:footer="851" w:gutter="0"/>
          <w:pgNumType w:fmt="upperRoman" w:start="1"/>
          <w:cols w:space="720"/>
          <w:docGrid w:type="linesAndChars" w:linePitch="312"/>
        </w:sectPr>
      </w:pPr>
    </w:p>
    <w:p w:rsidR="009136B5" w:rsidRDefault="00000000">
      <w:pPr>
        <w:pStyle w:val="af6"/>
      </w:pPr>
      <w:bookmarkStart w:id="3" w:name="_Toc449476673"/>
      <w:bookmarkStart w:id="4" w:name="_Toc8718"/>
      <w:bookmarkStart w:id="5" w:name="_Toc123647755"/>
      <w:r>
        <w:lastRenderedPageBreak/>
        <w:t>1</w:t>
      </w:r>
      <w:r>
        <w:rPr>
          <w:rFonts w:hint="eastAsia"/>
        </w:rPr>
        <w:t xml:space="preserve">  </w:t>
      </w:r>
      <w:r>
        <w:t>总</w:t>
      </w:r>
      <w:r>
        <w:rPr>
          <w:rFonts w:hint="eastAsia"/>
        </w:rPr>
        <w:t xml:space="preserve">    </w:t>
      </w:r>
      <w:r>
        <w:t>则</w:t>
      </w:r>
      <w:bookmarkStart w:id="6" w:name="_Toc285664415"/>
      <w:bookmarkEnd w:id="3"/>
      <w:bookmarkEnd w:id="4"/>
      <w:bookmarkEnd w:id="5"/>
    </w:p>
    <w:p w:rsidR="009136B5" w:rsidRDefault="00000000">
      <w:pPr>
        <w:pStyle w:val="xxx"/>
      </w:pPr>
      <w:r>
        <w:rPr>
          <w:b/>
          <w:spacing w:val="20"/>
          <w:kern w:val="2"/>
        </w:rPr>
        <w:t>1.0.1</w:t>
      </w:r>
      <w:r>
        <w:rPr>
          <w:rFonts w:hint="eastAsia"/>
          <w:b/>
          <w:spacing w:val="20"/>
          <w:kern w:val="2"/>
        </w:rPr>
        <w:t xml:space="preserve"> </w:t>
      </w:r>
      <w:r>
        <w:rPr>
          <w:rFonts w:hint="eastAsia"/>
        </w:rPr>
        <w:t>为规范既有建筑地下增层的技术要求，做到安全适用、技术先进、经济合理、确保质量、保护环境，制定本规程。</w:t>
      </w:r>
    </w:p>
    <w:p w:rsidR="009136B5" w:rsidRDefault="00000000">
      <w:pPr>
        <w:pStyle w:val="afffff1"/>
        <w:ind w:firstLineChars="0" w:firstLine="0"/>
      </w:pPr>
      <w:r>
        <w:rPr>
          <w:rFonts w:hint="eastAsia"/>
          <w:b/>
          <w:bCs/>
          <w:spacing w:val="20"/>
        </w:rPr>
        <w:t>条文说明</w:t>
      </w:r>
      <w:r>
        <w:rPr>
          <w:rFonts w:hint="eastAsia"/>
          <w:b/>
          <w:bCs/>
        </w:rPr>
        <w:t>：</w:t>
      </w:r>
      <w:r>
        <w:rPr>
          <w:rFonts w:hint="eastAsia"/>
        </w:rPr>
        <w:t>既有建筑地下开挖增层技术可避免当前大拆大建的建设模式，是城市地下空间开发建造的新途径。目前国内已有多个利用逆作技术在既有建筑下方进行开挖和增建地下空间的工程案例，如杭州甘水巷</w:t>
      </w:r>
      <w:r>
        <w:rPr>
          <w:rFonts w:hint="eastAsia"/>
        </w:rPr>
        <w:t>3#</w:t>
      </w:r>
      <w:r>
        <w:rPr>
          <w:rFonts w:hint="eastAsia"/>
        </w:rPr>
        <w:t>组团、北京市音乐堂（原中山音乐堂）、中国工商银行扬州分行办公楼附楼、济南商埠区某医院历史建筑、济南修女楼、济南宏济堂等工程先后进行了既有建筑地下开挖增层。</w:t>
      </w:r>
    </w:p>
    <w:p w:rsidR="009136B5" w:rsidRDefault="00000000">
      <w:pPr>
        <w:pStyle w:val="afffff1"/>
      </w:pPr>
      <w:r>
        <w:rPr>
          <w:rFonts w:hint="eastAsia"/>
        </w:rPr>
        <w:t>既有建筑地下增层技术是在上部建筑物已先期施工完成的前提下进行地下逆作开挖，因而其实施难度与常规逆作法工程相比要大得多</w:t>
      </w:r>
      <w:r>
        <w:t>,</w:t>
      </w:r>
      <w:r>
        <w:rPr>
          <w:rFonts w:hint="eastAsia"/>
        </w:rPr>
        <w:t xml:space="preserve"> </w:t>
      </w:r>
      <w:r>
        <w:rPr>
          <w:rFonts w:hint="eastAsia"/>
        </w:rPr>
        <w:t>如地下开挖阶段的竖向支承体系（托换结构体系）受力复杂，基础底板结构和竖向承重构件与临时托换构件和上部既有结构之间的连接构造复杂，施工限制因素多等。由于缺少相关行业标准，工程建设存在安全隐患，因此迫切需要系统总结该领域的关键技术，以便更好地服务于工程实践。本条规定是制定本规程的基本方针和原则。</w:t>
      </w:r>
    </w:p>
    <w:p w:rsidR="009136B5" w:rsidRDefault="00000000">
      <w:pPr>
        <w:pStyle w:val="xxx"/>
      </w:pPr>
      <w:r>
        <w:rPr>
          <w:b/>
          <w:spacing w:val="20"/>
          <w:kern w:val="2"/>
        </w:rPr>
        <w:t>1.0.</w:t>
      </w:r>
      <w:r>
        <w:rPr>
          <w:rFonts w:hint="eastAsia"/>
          <w:b/>
          <w:spacing w:val="20"/>
          <w:kern w:val="2"/>
        </w:rPr>
        <w:t>2</w:t>
      </w:r>
      <w:r>
        <w:rPr>
          <w:rFonts w:hint="eastAsia"/>
        </w:rPr>
        <w:t xml:space="preserve"> </w:t>
      </w:r>
      <w:r>
        <w:rPr>
          <w:rFonts w:hint="eastAsia"/>
        </w:rPr>
        <w:t>本规程适用于既有建筑地下增层的设计、施工、监测和验收。</w:t>
      </w:r>
    </w:p>
    <w:p w:rsidR="009136B5" w:rsidRDefault="00000000">
      <w:pPr>
        <w:pStyle w:val="afffff1"/>
        <w:ind w:firstLineChars="0" w:firstLine="0"/>
      </w:pPr>
      <w:r>
        <w:rPr>
          <w:rFonts w:hint="eastAsia"/>
          <w:b/>
          <w:spacing w:val="20"/>
          <w:kern w:val="2"/>
        </w:rPr>
        <w:t>条文说明</w:t>
      </w:r>
      <w:r>
        <w:rPr>
          <w:rFonts w:hint="eastAsia"/>
          <w:b/>
        </w:rPr>
        <w:t>：</w:t>
      </w:r>
      <w:r>
        <w:rPr>
          <w:rFonts w:hint="eastAsia"/>
          <w:bCs/>
        </w:rPr>
        <w:t>本</w:t>
      </w:r>
      <w:r>
        <w:rPr>
          <w:rFonts w:hint="eastAsia"/>
        </w:rPr>
        <w:t>条规定明确了地下增层的范围，包括无地下空间的既有建筑增设地下空间以及在既有建筑原有地下空间基础上向下扩展地下空间。</w:t>
      </w:r>
    </w:p>
    <w:p w:rsidR="009136B5" w:rsidRDefault="00000000">
      <w:pPr>
        <w:pStyle w:val="xxx"/>
      </w:pPr>
      <w:r>
        <w:rPr>
          <w:rFonts w:hint="eastAsia"/>
          <w:b/>
          <w:spacing w:val="20"/>
          <w:kern w:val="2"/>
        </w:rPr>
        <w:t>1.0.3</w:t>
      </w:r>
      <w:r>
        <w:rPr>
          <w:rFonts w:hint="eastAsia"/>
        </w:rPr>
        <w:t xml:space="preserve"> </w:t>
      </w:r>
      <w:r>
        <w:rPr>
          <w:rFonts w:hint="eastAsia"/>
        </w:rPr>
        <w:t>既有建筑地下增层的设计、施工、监测和验收除应执行本规程外，尚应符合国家现行有关标准的规定。</w:t>
      </w:r>
    </w:p>
    <w:bookmarkEnd w:id="2"/>
    <w:bookmarkEnd w:id="6"/>
    <w:p w:rsidR="009136B5" w:rsidRDefault="009136B5">
      <w:pPr>
        <w:ind w:firstLine="420"/>
      </w:pPr>
    </w:p>
    <w:p w:rsidR="009136B5" w:rsidRDefault="009136B5">
      <w:pPr>
        <w:ind w:firstLine="420"/>
      </w:pPr>
    </w:p>
    <w:p w:rsidR="009136B5" w:rsidRDefault="009136B5">
      <w:pPr>
        <w:ind w:firstLine="420"/>
      </w:pPr>
    </w:p>
    <w:p w:rsidR="009136B5" w:rsidRDefault="009136B5">
      <w:pPr>
        <w:ind w:firstLine="420"/>
      </w:pPr>
    </w:p>
    <w:p w:rsidR="009136B5" w:rsidRDefault="009136B5">
      <w:pPr>
        <w:ind w:firstLine="420"/>
      </w:pPr>
    </w:p>
    <w:p w:rsidR="007357A9" w:rsidRDefault="007357A9" w:rsidP="007357A9">
      <w:pPr>
        <w:ind w:firstLine="643"/>
        <w:jc w:val="right"/>
        <w:rPr>
          <w:b/>
          <w:kern w:val="0"/>
          <w:sz w:val="32"/>
          <w:szCs w:val="20"/>
        </w:rPr>
      </w:pPr>
    </w:p>
    <w:p w:rsidR="009136B5" w:rsidRDefault="00000000">
      <w:pPr>
        <w:pStyle w:val="af6"/>
      </w:pPr>
      <w:r w:rsidRPr="007357A9">
        <w:br w:type="page"/>
      </w:r>
      <w:bookmarkStart w:id="7" w:name="_Toc8020"/>
      <w:bookmarkStart w:id="8" w:name="_Toc123647756"/>
      <w:bookmarkStart w:id="9" w:name="_Toc449476674"/>
      <w:r>
        <w:lastRenderedPageBreak/>
        <w:t xml:space="preserve">2 </w:t>
      </w:r>
      <w:r>
        <w:rPr>
          <w:rFonts w:hint="eastAsia"/>
        </w:rPr>
        <w:t xml:space="preserve"> </w:t>
      </w:r>
      <w:r>
        <w:t>术语和符号</w:t>
      </w:r>
      <w:bookmarkStart w:id="10" w:name="_Toc285664416"/>
      <w:bookmarkEnd w:id="7"/>
      <w:bookmarkEnd w:id="8"/>
      <w:bookmarkEnd w:id="9"/>
    </w:p>
    <w:p w:rsidR="009136B5" w:rsidRDefault="00000000">
      <w:pPr>
        <w:pStyle w:val="20"/>
        <w:rPr>
          <w:rFonts w:hAnsi="黑体"/>
        </w:rPr>
      </w:pPr>
      <w:bookmarkStart w:id="11" w:name="_Toc123647757"/>
      <w:bookmarkStart w:id="12" w:name="_Toc22993"/>
      <w:bookmarkStart w:id="13" w:name="_Toc289684756"/>
      <w:bookmarkStart w:id="14" w:name="_Toc449476675"/>
      <w:r>
        <w:t>2.1</w:t>
      </w:r>
      <w:r>
        <w:rPr>
          <w:rFonts w:hint="eastAsia"/>
        </w:rPr>
        <w:t xml:space="preserve"> </w:t>
      </w:r>
      <w:r>
        <w:t xml:space="preserve"> </w:t>
      </w:r>
      <w:r>
        <w:rPr>
          <w:rFonts w:hAnsi="黑体"/>
        </w:rPr>
        <w:t>术语</w:t>
      </w:r>
      <w:bookmarkEnd w:id="11"/>
      <w:bookmarkEnd w:id="12"/>
      <w:bookmarkEnd w:id="13"/>
      <w:bookmarkEnd w:id="14"/>
    </w:p>
    <w:p w:rsidR="009136B5" w:rsidRDefault="00000000">
      <w:pPr>
        <w:pStyle w:val="xxx"/>
      </w:pPr>
      <w:r>
        <w:rPr>
          <w:rFonts w:hint="eastAsia"/>
          <w:b/>
          <w:spacing w:val="20"/>
          <w:kern w:val="2"/>
          <w:szCs w:val="24"/>
        </w:rPr>
        <w:t xml:space="preserve">2.1.1 </w:t>
      </w:r>
      <w:r>
        <w:rPr>
          <w:b/>
          <w:spacing w:val="20"/>
          <w:kern w:val="2"/>
          <w:szCs w:val="24"/>
        </w:rPr>
        <w:t xml:space="preserve"> </w:t>
      </w:r>
      <w:r>
        <w:rPr>
          <w:rFonts w:hint="eastAsia"/>
        </w:rPr>
        <w:t>既有建筑</w:t>
      </w:r>
      <w:r>
        <w:rPr>
          <w:rFonts w:hint="eastAsia"/>
        </w:rPr>
        <w:t xml:space="preserve">  existing building</w:t>
      </w:r>
    </w:p>
    <w:p w:rsidR="009136B5" w:rsidRDefault="00000000">
      <w:pPr>
        <w:ind w:firstLine="420"/>
      </w:pPr>
      <w:r>
        <w:rPr>
          <w:rFonts w:hint="eastAsia"/>
        </w:rPr>
        <w:t>已建成可以验收的建筑或已投入使用的建筑。</w:t>
      </w:r>
    </w:p>
    <w:p w:rsidR="009136B5" w:rsidRDefault="00000000">
      <w:pPr>
        <w:pStyle w:val="xxx"/>
        <w:rPr>
          <w:sz w:val="24"/>
        </w:rPr>
      </w:pPr>
      <w:r>
        <w:rPr>
          <w:rFonts w:hint="eastAsia"/>
          <w:b/>
          <w:spacing w:val="20"/>
          <w:kern w:val="2"/>
          <w:szCs w:val="24"/>
        </w:rPr>
        <w:t>2.1.2</w:t>
      </w:r>
      <w:r>
        <w:rPr>
          <w:rFonts w:eastAsia="TimesNewRomanPS-BoldMT"/>
          <w:b/>
          <w:sz w:val="24"/>
          <w:szCs w:val="24"/>
        </w:rPr>
        <w:t xml:space="preserve">  </w:t>
      </w:r>
      <w:r>
        <w:rPr>
          <w:rFonts w:hint="eastAsia"/>
        </w:rPr>
        <w:t>地下增层</w:t>
      </w:r>
      <w:r>
        <w:rPr>
          <w:sz w:val="24"/>
          <w:szCs w:val="24"/>
        </w:rPr>
        <w:t xml:space="preserve">  </w:t>
      </w:r>
      <w:r>
        <w:rPr>
          <w:rFonts w:hint="eastAsia"/>
        </w:rPr>
        <w:t xml:space="preserve">basement addition </w:t>
      </w:r>
    </w:p>
    <w:p w:rsidR="009136B5" w:rsidRDefault="00000000">
      <w:pPr>
        <w:ind w:firstLine="420"/>
      </w:pPr>
      <w:r>
        <w:rPr>
          <w:rFonts w:hint="eastAsia"/>
        </w:rPr>
        <w:t>利用基础托换等技术在既有建筑下方进行开挖和增设地下空间，以达到增加地下使用面积、提升使用功能的目的</w:t>
      </w:r>
      <w:r>
        <w:t>。</w:t>
      </w:r>
    </w:p>
    <w:p w:rsidR="009136B5" w:rsidRDefault="00000000">
      <w:pPr>
        <w:pStyle w:val="xxx"/>
      </w:pPr>
      <w:r>
        <w:rPr>
          <w:rFonts w:hint="eastAsia"/>
          <w:b/>
          <w:spacing w:val="20"/>
        </w:rPr>
        <w:t>2.1.3</w:t>
      </w:r>
      <w:r>
        <w:rPr>
          <w:rFonts w:hint="eastAsia"/>
        </w:rPr>
        <w:t xml:space="preserve"> </w:t>
      </w:r>
      <w:r>
        <w:t xml:space="preserve"> </w:t>
      </w:r>
      <w:r>
        <w:rPr>
          <w:rFonts w:hint="eastAsia"/>
        </w:rPr>
        <w:t>托换体系</w:t>
      </w:r>
      <w:r>
        <w:rPr>
          <w:rFonts w:hint="eastAsia"/>
        </w:rPr>
        <w:t xml:space="preserve"> underpinning system</w:t>
      </w:r>
    </w:p>
    <w:p w:rsidR="009136B5" w:rsidRDefault="00000000">
      <w:pPr>
        <w:ind w:firstLine="420"/>
      </w:pPr>
      <w:r>
        <w:rPr>
          <w:rFonts w:hint="eastAsia"/>
        </w:rPr>
        <w:t>在既有建筑地下增层过程中，采用桩、承台、基础梁等新增构件与原基础构件共同组成的用于支承既有建筑的结构体系。</w:t>
      </w:r>
    </w:p>
    <w:p w:rsidR="009136B5" w:rsidRDefault="00000000">
      <w:pPr>
        <w:pStyle w:val="xxx"/>
      </w:pPr>
      <w:r>
        <w:rPr>
          <w:rFonts w:hint="eastAsia"/>
          <w:b/>
          <w:spacing w:val="20"/>
        </w:rPr>
        <w:t>2.1.4</w:t>
      </w:r>
      <w:r>
        <w:rPr>
          <w:b/>
          <w:spacing w:val="20"/>
        </w:rPr>
        <w:t xml:space="preserve"> </w:t>
      </w:r>
      <w:r>
        <w:rPr>
          <w:rFonts w:hint="eastAsia"/>
        </w:rPr>
        <w:t>主动托换</w:t>
      </w:r>
      <w:r>
        <w:rPr>
          <w:rFonts w:hint="eastAsia"/>
        </w:rPr>
        <w:t xml:space="preserve"> active underpinning</w:t>
      </w:r>
    </w:p>
    <w:p w:rsidR="009136B5" w:rsidRDefault="00000000">
      <w:pPr>
        <w:ind w:firstLine="420"/>
      </w:pPr>
      <w:r>
        <w:rPr>
          <w:rFonts w:hint="eastAsia"/>
        </w:rPr>
        <w:t>在既有建筑结构托换之前，通过千斤顶对新增基础和构件预加荷载，消除托换体系的部分变形，分级分步实施荷载转移，使托换后桩和结构的变形控制在较小的范围内。</w:t>
      </w:r>
    </w:p>
    <w:p w:rsidR="009136B5" w:rsidRDefault="00000000">
      <w:pPr>
        <w:pStyle w:val="xxx"/>
      </w:pPr>
      <w:r>
        <w:rPr>
          <w:rFonts w:hint="eastAsia"/>
          <w:b/>
          <w:spacing w:val="20"/>
        </w:rPr>
        <w:t>2.1.5</w:t>
      </w:r>
      <w:r>
        <w:rPr>
          <w:b/>
          <w:spacing w:val="20"/>
        </w:rPr>
        <w:t xml:space="preserve">  </w:t>
      </w:r>
      <w:r>
        <w:rPr>
          <w:rFonts w:hint="eastAsia"/>
        </w:rPr>
        <w:t>被动托换</w:t>
      </w:r>
      <w:r>
        <w:rPr>
          <w:rFonts w:hint="eastAsia"/>
        </w:rPr>
        <w:t xml:space="preserve"> passive underpinning</w:t>
      </w:r>
    </w:p>
    <w:p w:rsidR="009136B5" w:rsidRDefault="00000000">
      <w:pPr>
        <w:ind w:firstLine="420"/>
      </w:pPr>
      <w:r>
        <w:rPr>
          <w:rFonts w:hint="eastAsia"/>
        </w:rPr>
        <w:t>在既有建筑结构托换之前，对新增基础和构件的托换体系不预加荷载，通过被托换构件微小变形使新增基础和构件的托换体系发挥作用，达到托换目的。</w:t>
      </w:r>
    </w:p>
    <w:p w:rsidR="009136B5" w:rsidRDefault="00000000">
      <w:pPr>
        <w:pStyle w:val="xxx"/>
      </w:pPr>
      <w:r>
        <w:rPr>
          <w:rFonts w:hint="eastAsia"/>
          <w:b/>
          <w:spacing w:val="20"/>
          <w:kern w:val="2"/>
          <w:szCs w:val="24"/>
        </w:rPr>
        <w:t>2.1.6</w:t>
      </w:r>
      <w:r>
        <w:rPr>
          <w:sz w:val="24"/>
          <w:szCs w:val="24"/>
        </w:rPr>
        <w:t xml:space="preserve">  </w:t>
      </w:r>
      <w:r>
        <w:rPr>
          <w:rFonts w:hint="eastAsia"/>
        </w:rPr>
        <w:t>托换桩</w:t>
      </w:r>
      <w:r>
        <w:rPr>
          <w:rFonts w:hint="eastAsia"/>
        </w:rPr>
        <w:t xml:space="preserve"> </w:t>
      </w:r>
      <w:r>
        <w:rPr>
          <w:sz w:val="24"/>
          <w:szCs w:val="24"/>
        </w:rPr>
        <w:t xml:space="preserve"> </w:t>
      </w:r>
      <w:r>
        <w:rPr>
          <w:rFonts w:hint="eastAsia"/>
        </w:rPr>
        <w:t>vertical components of underpinning piles</w:t>
      </w:r>
    </w:p>
    <w:p w:rsidR="009136B5" w:rsidRDefault="00000000">
      <w:pPr>
        <w:ind w:firstLine="420"/>
      </w:pPr>
      <w:r>
        <w:rPr>
          <w:rFonts w:hint="eastAsia"/>
        </w:rPr>
        <w:t>既有建筑地下增层过程中，土方开挖之前施作于原基础下方，用于支承既有建筑的竖向托换构件，包括既有工程桩和新增托换桩。新增托换桩又分为临时托换桩和永久托换桩。</w:t>
      </w:r>
    </w:p>
    <w:p w:rsidR="009136B5" w:rsidRDefault="00000000">
      <w:pPr>
        <w:pStyle w:val="xxx"/>
      </w:pPr>
      <w:r>
        <w:rPr>
          <w:rFonts w:hint="eastAsia"/>
          <w:b/>
          <w:spacing w:val="20"/>
          <w:kern w:val="2"/>
          <w:szCs w:val="24"/>
        </w:rPr>
        <w:t>2.1.7</w:t>
      </w:r>
      <w:r>
        <w:rPr>
          <w:b/>
          <w:spacing w:val="20"/>
          <w:kern w:val="2"/>
          <w:szCs w:val="24"/>
        </w:rPr>
        <w:t xml:space="preserve"> </w:t>
      </w:r>
      <w:r>
        <w:rPr>
          <w:sz w:val="24"/>
          <w:szCs w:val="24"/>
        </w:rPr>
        <w:t xml:space="preserve"> </w:t>
      </w:r>
      <w:r>
        <w:rPr>
          <w:rFonts w:hint="eastAsia"/>
        </w:rPr>
        <w:t>临时托换桩</w:t>
      </w:r>
      <w:r>
        <w:rPr>
          <w:rFonts w:hint="eastAsia"/>
        </w:rPr>
        <w:t xml:space="preserve"> t</w:t>
      </w:r>
      <w:r>
        <w:t xml:space="preserve">emporary </w:t>
      </w:r>
      <w:r>
        <w:rPr>
          <w:rFonts w:hint="eastAsia"/>
        </w:rPr>
        <w:t>vertical components of underpinning piles</w:t>
      </w:r>
    </w:p>
    <w:p w:rsidR="009136B5" w:rsidRDefault="00000000">
      <w:pPr>
        <w:pStyle w:val="2"/>
        <w:ind w:firstLineChars="200" w:firstLine="420"/>
        <w:rPr>
          <w:b/>
          <w:spacing w:val="20"/>
        </w:rPr>
      </w:pPr>
      <w:r>
        <w:rPr>
          <w:rFonts w:eastAsia="宋体" w:cs="Times New Roman" w:hint="eastAsia"/>
          <w:sz w:val="21"/>
        </w:rPr>
        <w:t>仅作为既有建筑地下开挖增层施工阶段的托换桩，地下增层施工完成后不作为工程桩使用。</w:t>
      </w:r>
    </w:p>
    <w:p w:rsidR="009136B5" w:rsidRDefault="00000000">
      <w:pPr>
        <w:pStyle w:val="xxx"/>
      </w:pPr>
      <w:r>
        <w:rPr>
          <w:rFonts w:hint="eastAsia"/>
          <w:b/>
          <w:spacing w:val="20"/>
          <w:kern w:val="2"/>
          <w:szCs w:val="24"/>
        </w:rPr>
        <w:t>2.1.8</w:t>
      </w:r>
      <w:r>
        <w:rPr>
          <w:sz w:val="24"/>
          <w:szCs w:val="24"/>
        </w:rPr>
        <w:t xml:space="preserve">  </w:t>
      </w:r>
      <w:r>
        <w:rPr>
          <w:rFonts w:hint="eastAsia"/>
        </w:rPr>
        <w:t>永久托换桩</w:t>
      </w:r>
      <w:r>
        <w:rPr>
          <w:rFonts w:hint="eastAsia"/>
        </w:rPr>
        <w:t xml:space="preserve"> p</w:t>
      </w:r>
      <w:r>
        <w:t xml:space="preserve">ermanent </w:t>
      </w:r>
      <w:r>
        <w:rPr>
          <w:rFonts w:hint="eastAsia"/>
        </w:rPr>
        <w:t>vertical components of underpinning piles</w:t>
      </w:r>
    </w:p>
    <w:p w:rsidR="009136B5" w:rsidRDefault="00000000">
      <w:pPr>
        <w:pStyle w:val="2"/>
        <w:ind w:firstLineChars="200" w:firstLine="420"/>
        <w:rPr>
          <w:rFonts w:eastAsia="宋体" w:cs="Times New Roman"/>
          <w:sz w:val="21"/>
        </w:rPr>
      </w:pPr>
      <w:r>
        <w:rPr>
          <w:rFonts w:eastAsia="宋体" w:cs="Times New Roman" w:hint="eastAsia"/>
          <w:sz w:val="21"/>
        </w:rPr>
        <w:t>在地下增层施工完成后需作为工程桩使用的托换桩。</w:t>
      </w:r>
    </w:p>
    <w:p w:rsidR="009136B5" w:rsidRDefault="00000000">
      <w:pPr>
        <w:pStyle w:val="20"/>
      </w:pPr>
      <w:bookmarkStart w:id="15" w:name="_Toc289684757"/>
      <w:bookmarkStart w:id="16" w:name="_Toc449476676"/>
      <w:bookmarkStart w:id="17" w:name="_Toc123647758"/>
      <w:bookmarkStart w:id="18" w:name="_Toc290045049"/>
      <w:bookmarkStart w:id="19" w:name="_Toc22685"/>
      <w:r>
        <w:t>2.2</w:t>
      </w:r>
      <w:r>
        <w:rPr>
          <w:rFonts w:hint="eastAsia"/>
        </w:rPr>
        <w:t xml:space="preserve"> </w:t>
      </w:r>
      <w:r>
        <w:t xml:space="preserve"> </w:t>
      </w:r>
      <w:r>
        <w:t>符号</w:t>
      </w:r>
      <w:bookmarkEnd w:id="15"/>
      <w:bookmarkEnd w:id="16"/>
      <w:bookmarkEnd w:id="17"/>
      <w:bookmarkEnd w:id="18"/>
      <w:bookmarkEnd w:id="19"/>
    </w:p>
    <w:p w:rsidR="009136B5" w:rsidRDefault="00000000">
      <w:pPr>
        <w:pStyle w:val="xxx"/>
      </w:pPr>
      <w:r>
        <w:rPr>
          <w:rFonts w:hint="eastAsia"/>
          <w:b/>
          <w:bCs/>
        </w:rPr>
        <w:t>2.2.1</w:t>
      </w:r>
      <w:r>
        <w:rPr>
          <w:rFonts w:hint="eastAsia"/>
        </w:rPr>
        <w:t xml:space="preserve">  </w:t>
      </w:r>
      <w:r>
        <w:rPr>
          <w:rFonts w:hint="eastAsia"/>
        </w:rPr>
        <w:t>作用效应</w:t>
      </w: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57" w:type="dxa"/>
        </w:tblCellMar>
        <w:tblLook w:val="04A0" w:firstRow="1" w:lastRow="0" w:firstColumn="1" w:lastColumn="0" w:noHBand="0" w:noVBand="1"/>
      </w:tblPr>
      <w:tblGrid>
        <w:gridCol w:w="785"/>
        <w:gridCol w:w="477"/>
        <w:gridCol w:w="5097"/>
      </w:tblGrid>
      <w:tr w:rsidR="009136B5">
        <w:tc>
          <w:tcPr>
            <w:tcW w:w="780" w:type="dxa"/>
            <w:vAlign w:val="center"/>
          </w:tcPr>
          <w:p w:rsidR="009136B5" w:rsidRDefault="00000000">
            <w:pPr>
              <w:pStyle w:val="220"/>
              <w:jc w:val="right"/>
            </w:pPr>
            <w:proofErr w:type="spellStart"/>
            <w:r>
              <w:rPr>
                <w:rFonts w:hint="eastAsia"/>
                <w:i/>
                <w:iCs/>
              </w:rPr>
              <w:t>N</w:t>
            </w:r>
            <w:r>
              <w:rPr>
                <w:rFonts w:hint="eastAsia"/>
                <w:i/>
                <w:iCs/>
                <w:vertAlign w:val="subscript"/>
              </w:rPr>
              <w:t>l</w:t>
            </w:r>
            <w:proofErr w:type="spellEnd"/>
          </w:p>
        </w:tc>
        <w:tc>
          <w:tcPr>
            <w:tcW w:w="477" w:type="dxa"/>
            <w:vAlign w:val="center"/>
          </w:tcPr>
          <w:p w:rsidR="009136B5" w:rsidRDefault="00000000">
            <w:pPr>
              <w:pStyle w:val="220"/>
              <w:jc w:val="center"/>
            </w:pPr>
            <w:r>
              <w:t>——</w:t>
            </w:r>
          </w:p>
        </w:tc>
        <w:tc>
          <w:tcPr>
            <w:tcW w:w="5097" w:type="dxa"/>
            <w:vAlign w:val="center"/>
          </w:tcPr>
          <w:p w:rsidR="009136B5" w:rsidRDefault="00000000">
            <w:pPr>
              <w:widowControl/>
              <w:ind w:firstLineChars="0" w:firstLine="0"/>
              <w:jc w:val="left"/>
            </w:pPr>
            <w:r>
              <w:rPr>
                <w:rFonts w:hint="eastAsia"/>
                <w:kern w:val="0"/>
                <w:szCs w:val="21"/>
              </w:rPr>
              <w:t>侧向支撑的轴向力设计值；</w:t>
            </w:r>
          </w:p>
        </w:tc>
      </w:tr>
      <w:tr w:rsidR="009136B5">
        <w:tc>
          <w:tcPr>
            <w:tcW w:w="780" w:type="dxa"/>
          </w:tcPr>
          <w:p w:rsidR="009136B5" w:rsidRDefault="00000000">
            <w:pPr>
              <w:pStyle w:val="220"/>
              <w:ind w:firstLineChars="200" w:firstLine="420"/>
              <w:jc w:val="right"/>
              <w:rPr>
                <w:i/>
                <w:iCs/>
              </w:rPr>
            </w:pPr>
            <w:r>
              <w:rPr>
                <w:rFonts w:hint="eastAsia"/>
                <w:i/>
                <w:iCs/>
              </w:rPr>
              <w:t>F</w:t>
            </w:r>
            <w:r>
              <w:rPr>
                <w:rFonts w:hint="eastAsia"/>
                <w:vertAlign w:val="subscript"/>
              </w:rPr>
              <w:t>m0</w:t>
            </w:r>
          </w:p>
        </w:tc>
        <w:tc>
          <w:tcPr>
            <w:tcW w:w="477" w:type="dxa"/>
            <w:vAlign w:val="center"/>
          </w:tcPr>
          <w:p w:rsidR="009136B5" w:rsidRDefault="00000000">
            <w:pPr>
              <w:pStyle w:val="220"/>
              <w:jc w:val="left"/>
            </w:pPr>
            <w:r>
              <w:t>——</w:t>
            </w:r>
          </w:p>
        </w:tc>
        <w:tc>
          <w:tcPr>
            <w:tcW w:w="5097" w:type="dxa"/>
          </w:tcPr>
          <w:p w:rsidR="009136B5" w:rsidRDefault="00000000">
            <w:pPr>
              <w:pStyle w:val="220"/>
            </w:pPr>
            <w:r>
              <w:rPr>
                <w:rFonts w:hint="eastAsia"/>
              </w:rPr>
              <w:t>锚杆静压桩封桩预加载压力。</w:t>
            </w:r>
          </w:p>
        </w:tc>
      </w:tr>
    </w:tbl>
    <w:p w:rsidR="009136B5" w:rsidRDefault="00000000">
      <w:pPr>
        <w:pStyle w:val="xxx"/>
      </w:pPr>
      <w:r>
        <w:rPr>
          <w:rFonts w:hint="eastAsia"/>
          <w:b/>
          <w:bCs/>
        </w:rPr>
        <w:t xml:space="preserve">2.2.2 </w:t>
      </w:r>
      <w:r>
        <w:rPr>
          <w:rFonts w:hint="eastAsia"/>
        </w:rPr>
        <w:t xml:space="preserve"> </w:t>
      </w:r>
      <w:r>
        <w:rPr>
          <w:rFonts w:hint="eastAsia"/>
        </w:rPr>
        <w:t>抗力和材料性能</w:t>
      </w: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57" w:type="dxa"/>
        </w:tblCellMar>
        <w:tblLook w:val="04A0" w:firstRow="1" w:lastRow="0" w:firstColumn="1" w:lastColumn="0" w:noHBand="0" w:noVBand="1"/>
      </w:tblPr>
      <w:tblGrid>
        <w:gridCol w:w="769"/>
        <w:gridCol w:w="477"/>
        <w:gridCol w:w="3266"/>
      </w:tblGrid>
      <w:tr w:rsidR="009136B5">
        <w:tc>
          <w:tcPr>
            <w:tcW w:w="0" w:type="auto"/>
          </w:tcPr>
          <w:p w:rsidR="009136B5" w:rsidRDefault="00000000">
            <w:pPr>
              <w:pStyle w:val="220"/>
              <w:ind w:firstLineChars="200" w:firstLine="420"/>
              <w:jc w:val="right"/>
            </w:pPr>
            <w:proofErr w:type="spellStart"/>
            <w:r>
              <w:rPr>
                <w:rFonts w:hint="eastAsia"/>
                <w:i/>
                <w:iCs/>
              </w:rPr>
              <w:t>Q</w:t>
            </w:r>
            <w:r>
              <w:rPr>
                <w:rFonts w:hint="eastAsia"/>
                <w:vertAlign w:val="subscript"/>
              </w:rPr>
              <w:t>uk</w:t>
            </w:r>
            <w:proofErr w:type="spellEnd"/>
          </w:p>
        </w:tc>
        <w:tc>
          <w:tcPr>
            <w:tcW w:w="0" w:type="auto"/>
            <w:vAlign w:val="center"/>
          </w:tcPr>
          <w:p w:rsidR="009136B5" w:rsidRDefault="00000000">
            <w:pPr>
              <w:pStyle w:val="220"/>
              <w:jc w:val="left"/>
            </w:pPr>
            <w:r>
              <w:t>——</w:t>
            </w:r>
          </w:p>
        </w:tc>
        <w:tc>
          <w:tcPr>
            <w:tcW w:w="0" w:type="auto"/>
          </w:tcPr>
          <w:p w:rsidR="009136B5" w:rsidRDefault="00000000">
            <w:pPr>
              <w:pStyle w:val="220"/>
            </w:pPr>
            <w:r>
              <w:rPr>
                <w:rFonts w:hint="eastAsia"/>
              </w:rPr>
              <w:t>单桩竖向极限承载力标准值；</w:t>
            </w:r>
          </w:p>
        </w:tc>
      </w:tr>
      <w:tr w:rsidR="009136B5">
        <w:tc>
          <w:tcPr>
            <w:tcW w:w="0" w:type="auto"/>
          </w:tcPr>
          <w:p w:rsidR="009136B5" w:rsidRDefault="00000000">
            <w:pPr>
              <w:pStyle w:val="220"/>
              <w:ind w:firstLineChars="200" w:firstLine="420"/>
              <w:jc w:val="right"/>
              <w:rPr>
                <w:i/>
                <w:iCs/>
              </w:rPr>
            </w:pPr>
            <w:r>
              <w:rPr>
                <w:rFonts w:hint="eastAsia"/>
                <w:i/>
                <w:iCs/>
              </w:rPr>
              <w:t>R</w:t>
            </w:r>
            <w:r>
              <w:rPr>
                <w:rFonts w:hint="eastAsia"/>
                <w:vertAlign w:val="subscript"/>
              </w:rPr>
              <w:t>a</w:t>
            </w:r>
          </w:p>
        </w:tc>
        <w:tc>
          <w:tcPr>
            <w:tcW w:w="0" w:type="auto"/>
          </w:tcPr>
          <w:p w:rsidR="009136B5" w:rsidRDefault="00000000">
            <w:pPr>
              <w:pStyle w:val="220"/>
              <w:jc w:val="left"/>
            </w:pPr>
            <w:r>
              <w:t>——</w:t>
            </w:r>
          </w:p>
        </w:tc>
        <w:tc>
          <w:tcPr>
            <w:tcW w:w="0" w:type="auto"/>
          </w:tcPr>
          <w:p w:rsidR="009136B5" w:rsidRDefault="00000000">
            <w:pPr>
              <w:pStyle w:val="220"/>
            </w:pPr>
            <w:r>
              <w:rPr>
                <w:rFonts w:hint="eastAsia"/>
              </w:rPr>
              <w:t>单桩竖向承载力特征值；</w:t>
            </w:r>
          </w:p>
        </w:tc>
      </w:tr>
      <w:tr w:rsidR="009136B5">
        <w:tc>
          <w:tcPr>
            <w:tcW w:w="0" w:type="auto"/>
          </w:tcPr>
          <w:p w:rsidR="009136B5" w:rsidRDefault="00000000">
            <w:pPr>
              <w:pStyle w:val="220"/>
              <w:ind w:firstLineChars="200" w:firstLine="420"/>
              <w:jc w:val="right"/>
              <w:rPr>
                <w:i/>
                <w:iCs/>
              </w:rPr>
            </w:pPr>
            <w:r>
              <w:rPr>
                <w:rFonts w:ascii="宋体" w:hAnsi="宋体"/>
                <w:position w:val="-14"/>
                <w:lang w:bidi="ar"/>
              </w:rPr>
              <w:object w:dxaOrig="259"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15pt;height:15.05pt" o:ole="">
                  <v:imagedata r:id="rId18" o:title=""/>
                </v:shape>
                <o:OLEObject Type="Embed" ProgID="Equation.3" ShapeID="_x0000_i1025" DrawAspect="Content" ObjectID="_1735132803" r:id="rId19"/>
              </w:object>
            </w:r>
          </w:p>
        </w:tc>
        <w:tc>
          <w:tcPr>
            <w:tcW w:w="0" w:type="auto"/>
          </w:tcPr>
          <w:p w:rsidR="009136B5" w:rsidRDefault="00000000">
            <w:pPr>
              <w:pStyle w:val="220"/>
              <w:jc w:val="left"/>
            </w:pPr>
            <w:r>
              <w:t>——</w:t>
            </w:r>
          </w:p>
        </w:tc>
        <w:tc>
          <w:tcPr>
            <w:tcW w:w="0" w:type="auto"/>
          </w:tcPr>
          <w:p w:rsidR="009136B5" w:rsidRDefault="00000000">
            <w:pPr>
              <w:pStyle w:val="220"/>
            </w:pPr>
            <w:r>
              <w:rPr>
                <w:rFonts w:ascii="宋体" w:hAnsi="宋体" w:cs="宋体" w:hint="eastAsia"/>
                <w:lang w:bidi="ar"/>
              </w:rPr>
              <w:t>单桩极限端阻力</w:t>
            </w:r>
            <w:r>
              <w:rPr>
                <w:rFonts w:ascii="宋体" w:hAnsi="宋体" w:cs="宋体" w:hint="eastAsia"/>
                <w:color w:val="333333"/>
                <w:lang w:bidi="ar"/>
              </w:rPr>
              <w:t>标准值</w:t>
            </w:r>
            <w:r>
              <w:rPr>
                <w:rFonts w:hint="eastAsia"/>
              </w:rPr>
              <w:t>；</w:t>
            </w:r>
          </w:p>
        </w:tc>
      </w:tr>
      <w:tr w:rsidR="009136B5">
        <w:tc>
          <w:tcPr>
            <w:tcW w:w="0" w:type="auto"/>
          </w:tcPr>
          <w:p w:rsidR="009136B5" w:rsidRDefault="00000000">
            <w:pPr>
              <w:pStyle w:val="220"/>
              <w:ind w:firstLineChars="200" w:firstLine="420"/>
              <w:jc w:val="right"/>
              <w:rPr>
                <w:i/>
                <w:iCs/>
              </w:rPr>
            </w:pPr>
            <w:r>
              <w:rPr>
                <w:rFonts w:ascii="宋体" w:hAnsi="宋体"/>
                <w:position w:val="-12"/>
                <w:lang w:bidi="ar"/>
              </w:rPr>
              <w:object w:dxaOrig="259" w:dyaOrig="259">
                <v:shape id="_x0000_i1026" type="#_x0000_t75" style="width:13.15pt;height:13.15pt" o:ole="">
                  <v:imagedata r:id="rId20" o:title=""/>
                </v:shape>
                <o:OLEObject Type="Embed" ProgID="Equation.3" ShapeID="_x0000_i1026" DrawAspect="Content" ObjectID="_1735132804" r:id="rId21"/>
              </w:object>
            </w:r>
          </w:p>
        </w:tc>
        <w:tc>
          <w:tcPr>
            <w:tcW w:w="0" w:type="auto"/>
          </w:tcPr>
          <w:p w:rsidR="009136B5" w:rsidRDefault="00000000">
            <w:pPr>
              <w:pStyle w:val="220"/>
              <w:jc w:val="left"/>
            </w:pPr>
            <w:r>
              <w:t>——</w:t>
            </w:r>
          </w:p>
        </w:tc>
        <w:tc>
          <w:tcPr>
            <w:tcW w:w="0" w:type="auto"/>
          </w:tcPr>
          <w:p w:rsidR="009136B5" w:rsidRDefault="00000000">
            <w:pPr>
              <w:pStyle w:val="220"/>
            </w:pPr>
            <w:r>
              <w:rPr>
                <w:rFonts w:ascii="宋体" w:hAnsi="宋体" w:cs="宋体" w:hint="eastAsia"/>
                <w:color w:val="333333"/>
                <w:lang w:bidi="ar"/>
              </w:rPr>
              <w:t>单桩第</w:t>
            </w:r>
            <w:proofErr w:type="spellStart"/>
            <w:r>
              <w:rPr>
                <w:i/>
                <w:color w:val="333333"/>
                <w:lang w:bidi="ar"/>
              </w:rPr>
              <w:t>i</w:t>
            </w:r>
            <w:proofErr w:type="spellEnd"/>
            <w:r>
              <w:rPr>
                <w:rFonts w:ascii="宋体" w:hAnsi="宋体" w:cs="宋体" w:hint="eastAsia"/>
                <w:color w:val="333333"/>
                <w:lang w:bidi="ar"/>
              </w:rPr>
              <w:t>层土的极限侧阻力标准值</w:t>
            </w:r>
            <w:r>
              <w:rPr>
                <w:rFonts w:hint="eastAsia"/>
              </w:rPr>
              <w:t>；</w:t>
            </w:r>
          </w:p>
        </w:tc>
      </w:tr>
      <w:tr w:rsidR="009136B5">
        <w:tc>
          <w:tcPr>
            <w:tcW w:w="0" w:type="auto"/>
          </w:tcPr>
          <w:p w:rsidR="009136B5" w:rsidRDefault="00000000">
            <w:pPr>
              <w:pStyle w:val="220"/>
              <w:ind w:firstLineChars="200" w:firstLine="420"/>
              <w:jc w:val="right"/>
              <w:rPr>
                <w:i/>
                <w:iCs/>
              </w:rPr>
            </w:pPr>
            <w:proofErr w:type="spellStart"/>
            <w:r>
              <w:rPr>
                <w:rFonts w:hint="eastAsia"/>
                <w:i/>
                <w:iCs/>
              </w:rPr>
              <w:t>E</w:t>
            </w:r>
            <w:r>
              <w:rPr>
                <w:rFonts w:hint="eastAsia"/>
                <w:vertAlign w:val="subscript"/>
              </w:rPr>
              <w:t>c</w:t>
            </w:r>
            <w:proofErr w:type="spellEnd"/>
          </w:p>
        </w:tc>
        <w:tc>
          <w:tcPr>
            <w:tcW w:w="0" w:type="auto"/>
          </w:tcPr>
          <w:p w:rsidR="009136B5" w:rsidRDefault="00000000">
            <w:pPr>
              <w:pStyle w:val="220"/>
              <w:jc w:val="left"/>
            </w:pPr>
            <w:r>
              <w:t>——</w:t>
            </w:r>
          </w:p>
        </w:tc>
        <w:tc>
          <w:tcPr>
            <w:tcW w:w="0" w:type="auto"/>
          </w:tcPr>
          <w:p w:rsidR="009136B5" w:rsidRDefault="00000000">
            <w:pPr>
              <w:pStyle w:val="220"/>
            </w:pPr>
            <w:r>
              <w:rPr>
                <w:rFonts w:hint="eastAsia"/>
              </w:rPr>
              <w:t>混凝土弹性模量。</w:t>
            </w:r>
          </w:p>
        </w:tc>
      </w:tr>
    </w:tbl>
    <w:p w:rsidR="009136B5" w:rsidRDefault="00000000">
      <w:pPr>
        <w:pStyle w:val="xxx"/>
      </w:pPr>
      <w:r>
        <w:rPr>
          <w:rFonts w:hint="eastAsia"/>
          <w:b/>
          <w:bCs/>
        </w:rPr>
        <w:t>2.2.3</w:t>
      </w:r>
      <w:r>
        <w:rPr>
          <w:rFonts w:hint="eastAsia"/>
        </w:rPr>
        <w:t xml:space="preserve">  </w:t>
      </w:r>
      <w:r>
        <w:rPr>
          <w:rFonts w:hint="eastAsia"/>
        </w:rPr>
        <w:t>几何参数</w:t>
      </w: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57" w:type="dxa"/>
        </w:tblCellMar>
        <w:tblLook w:val="04A0" w:firstRow="1" w:lastRow="0" w:firstColumn="1" w:lastColumn="0" w:noHBand="0" w:noVBand="1"/>
      </w:tblPr>
      <w:tblGrid>
        <w:gridCol w:w="702"/>
        <w:gridCol w:w="477"/>
        <w:gridCol w:w="2157"/>
      </w:tblGrid>
      <w:tr w:rsidR="009136B5">
        <w:tc>
          <w:tcPr>
            <w:tcW w:w="0" w:type="auto"/>
          </w:tcPr>
          <w:p w:rsidR="009136B5" w:rsidRDefault="00000000">
            <w:pPr>
              <w:pStyle w:val="220"/>
              <w:ind w:firstLineChars="200" w:firstLine="420"/>
              <w:jc w:val="right"/>
              <w:rPr>
                <w:i/>
                <w:iCs/>
              </w:rPr>
            </w:pPr>
            <w:r>
              <w:rPr>
                <w:rFonts w:ascii="宋体" w:hAnsi="宋体"/>
                <w:snapToGrid w:val="0"/>
                <w:position w:val="-10"/>
                <w:lang w:bidi="ar"/>
              </w:rPr>
              <w:object w:dxaOrig="232" w:dyaOrig="300">
                <v:shape id="_x0000_i1027" type="#_x0000_t75" style="width:11.25pt;height:15.05pt" o:ole="">
                  <v:imagedata r:id="rId22" o:title=""/>
                </v:shape>
                <o:OLEObject Type="Embed" ProgID="Equation.3" ShapeID="_x0000_i1027" DrawAspect="Content" ObjectID="_1735132805" r:id="rId23"/>
              </w:object>
            </w:r>
          </w:p>
        </w:tc>
        <w:tc>
          <w:tcPr>
            <w:tcW w:w="0" w:type="auto"/>
            <w:vAlign w:val="center"/>
          </w:tcPr>
          <w:p w:rsidR="009136B5" w:rsidRDefault="00000000">
            <w:pPr>
              <w:pStyle w:val="220"/>
              <w:jc w:val="left"/>
            </w:pPr>
            <w:r>
              <w:t>——</w:t>
            </w:r>
          </w:p>
        </w:tc>
        <w:tc>
          <w:tcPr>
            <w:tcW w:w="0" w:type="auto"/>
          </w:tcPr>
          <w:p w:rsidR="009136B5" w:rsidRDefault="00000000">
            <w:pPr>
              <w:pStyle w:val="220"/>
            </w:pPr>
            <w:r>
              <w:rPr>
                <w:rFonts w:ascii="宋体" w:hAnsi="宋体" w:cs="宋体" w:hint="eastAsia"/>
                <w:color w:val="333333"/>
                <w:lang w:bidi="ar"/>
              </w:rPr>
              <w:t>桩身周长；</w:t>
            </w:r>
          </w:p>
        </w:tc>
      </w:tr>
      <w:tr w:rsidR="009136B5">
        <w:tc>
          <w:tcPr>
            <w:tcW w:w="0" w:type="auto"/>
          </w:tcPr>
          <w:p w:rsidR="009136B5" w:rsidRDefault="00000000">
            <w:pPr>
              <w:pStyle w:val="220"/>
              <w:ind w:firstLineChars="200" w:firstLine="420"/>
              <w:jc w:val="right"/>
              <w:rPr>
                <w:i/>
                <w:iCs/>
              </w:rPr>
            </w:pPr>
            <w:r>
              <w:rPr>
                <w:rFonts w:ascii="宋体" w:hAnsi="宋体"/>
                <w:position w:val="-12"/>
                <w:lang w:bidi="ar"/>
              </w:rPr>
              <w:object w:dxaOrig="102" w:dyaOrig="259">
                <v:shape id="_x0000_i1028" type="#_x0000_t75" style="width:5pt;height:13.15pt" o:ole="">
                  <v:imagedata r:id="rId24" o:title=""/>
                </v:shape>
                <o:OLEObject Type="Embed" ProgID="Equation.3" ShapeID="_x0000_i1028" DrawAspect="Content" ObjectID="_1735132806" r:id="rId25"/>
              </w:object>
            </w:r>
          </w:p>
        </w:tc>
        <w:tc>
          <w:tcPr>
            <w:tcW w:w="0" w:type="auto"/>
            <w:vAlign w:val="center"/>
          </w:tcPr>
          <w:p w:rsidR="009136B5" w:rsidRDefault="00000000">
            <w:pPr>
              <w:pStyle w:val="220"/>
              <w:jc w:val="left"/>
            </w:pPr>
            <w:r>
              <w:t>——</w:t>
            </w:r>
          </w:p>
        </w:tc>
        <w:tc>
          <w:tcPr>
            <w:tcW w:w="0" w:type="auto"/>
          </w:tcPr>
          <w:p w:rsidR="009136B5" w:rsidRDefault="00000000">
            <w:pPr>
              <w:pStyle w:val="220"/>
            </w:pPr>
            <w:r>
              <w:rPr>
                <w:rFonts w:ascii="宋体" w:hAnsi="宋体" w:cs="宋体" w:hint="eastAsia"/>
                <w:color w:val="333333"/>
                <w:lang w:bidi="ar"/>
              </w:rPr>
              <w:t>第</w:t>
            </w:r>
            <w:proofErr w:type="spellStart"/>
            <w:r>
              <w:rPr>
                <w:i/>
                <w:color w:val="333333"/>
                <w:lang w:bidi="ar"/>
              </w:rPr>
              <w:t>i</w:t>
            </w:r>
            <w:proofErr w:type="spellEnd"/>
            <w:r>
              <w:rPr>
                <w:rFonts w:ascii="宋体" w:hAnsi="宋体" w:cs="宋体" w:hint="eastAsia"/>
                <w:color w:val="333333"/>
                <w:lang w:bidi="ar"/>
              </w:rPr>
              <w:t>层岩土厚度；</w:t>
            </w:r>
          </w:p>
        </w:tc>
      </w:tr>
      <w:tr w:rsidR="009136B5">
        <w:tc>
          <w:tcPr>
            <w:tcW w:w="0" w:type="auto"/>
          </w:tcPr>
          <w:p w:rsidR="009136B5" w:rsidRDefault="00000000">
            <w:pPr>
              <w:pStyle w:val="220"/>
              <w:ind w:firstLineChars="200" w:firstLine="420"/>
              <w:jc w:val="right"/>
              <w:rPr>
                <w:rFonts w:ascii="宋体" w:hAnsi="宋体"/>
                <w:position w:val="-12"/>
                <w:lang w:bidi="ar"/>
              </w:rPr>
            </w:pPr>
            <w:r>
              <w:rPr>
                <w:rFonts w:hint="eastAsia"/>
                <w:i/>
                <w:iCs/>
              </w:rPr>
              <w:t>h</w:t>
            </w:r>
            <w:r>
              <w:rPr>
                <w:rFonts w:hint="eastAsia"/>
                <w:vertAlign w:val="subscript"/>
              </w:rPr>
              <w:t>0</w:t>
            </w:r>
          </w:p>
        </w:tc>
        <w:tc>
          <w:tcPr>
            <w:tcW w:w="0" w:type="auto"/>
            <w:vAlign w:val="center"/>
          </w:tcPr>
          <w:p w:rsidR="009136B5" w:rsidRDefault="00000000">
            <w:pPr>
              <w:pStyle w:val="220"/>
              <w:jc w:val="left"/>
            </w:pPr>
            <w:r>
              <w:t>——</w:t>
            </w:r>
          </w:p>
        </w:tc>
        <w:tc>
          <w:tcPr>
            <w:tcW w:w="0" w:type="auto"/>
          </w:tcPr>
          <w:p w:rsidR="009136B5" w:rsidRDefault="00000000">
            <w:pPr>
              <w:pStyle w:val="220"/>
              <w:rPr>
                <w:rFonts w:ascii="宋体" w:hAnsi="宋体" w:cs="宋体"/>
                <w:color w:val="333333"/>
                <w:lang w:bidi="ar"/>
              </w:rPr>
            </w:pPr>
            <w:r>
              <w:rPr>
                <w:rFonts w:hint="eastAsia"/>
              </w:rPr>
              <w:t>桩的临界入土深度；</w:t>
            </w:r>
          </w:p>
        </w:tc>
      </w:tr>
      <w:tr w:rsidR="009136B5">
        <w:tc>
          <w:tcPr>
            <w:tcW w:w="0" w:type="auto"/>
          </w:tcPr>
          <w:p w:rsidR="009136B5" w:rsidRDefault="00000000">
            <w:pPr>
              <w:pStyle w:val="220"/>
              <w:ind w:firstLineChars="200" w:firstLine="420"/>
              <w:jc w:val="right"/>
            </w:pPr>
            <w:r>
              <w:rPr>
                <w:rFonts w:hint="eastAsia"/>
                <w:i/>
                <w:iCs/>
              </w:rPr>
              <w:t>l</w:t>
            </w:r>
            <w:r>
              <w:rPr>
                <w:rFonts w:hint="eastAsia"/>
                <w:vertAlign w:val="subscript"/>
              </w:rPr>
              <w:t>c</w:t>
            </w:r>
          </w:p>
        </w:tc>
        <w:tc>
          <w:tcPr>
            <w:tcW w:w="0" w:type="auto"/>
            <w:vAlign w:val="center"/>
          </w:tcPr>
          <w:p w:rsidR="009136B5" w:rsidRDefault="00000000">
            <w:pPr>
              <w:pStyle w:val="220"/>
              <w:jc w:val="left"/>
            </w:pPr>
            <w:r>
              <w:t>——</w:t>
            </w:r>
          </w:p>
        </w:tc>
        <w:tc>
          <w:tcPr>
            <w:tcW w:w="0" w:type="auto"/>
          </w:tcPr>
          <w:p w:rsidR="009136B5" w:rsidRDefault="00000000">
            <w:pPr>
              <w:pStyle w:val="220"/>
            </w:pPr>
            <w:r>
              <w:rPr>
                <w:rFonts w:hint="eastAsia"/>
              </w:rPr>
              <w:t>桩的计算长度；</w:t>
            </w:r>
          </w:p>
        </w:tc>
      </w:tr>
      <w:tr w:rsidR="009136B5">
        <w:tc>
          <w:tcPr>
            <w:tcW w:w="0" w:type="auto"/>
          </w:tcPr>
          <w:p w:rsidR="009136B5" w:rsidRDefault="00000000">
            <w:pPr>
              <w:pStyle w:val="220"/>
              <w:ind w:firstLineChars="200" w:firstLine="420"/>
              <w:jc w:val="right"/>
              <w:rPr>
                <w:i/>
                <w:iCs/>
              </w:rPr>
            </w:pPr>
            <w:r>
              <w:rPr>
                <w:rFonts w:hint="eastAsia"/>
                <w:i/>
                <w:iCs/>
              </w:rPr>
              <w:t>l</w:t>
            </w:r>
          </w:p>
        </w:tc>
        <w:tc>
          <w:tcPr>
            <w:tcW w:w="0" w:type="auto"/>
          </w:tcPr>
          <w:p w:rsidR="009136B5" w:rsidRDefault="00000000">
            <w:pPr>
              <w:pStyle w:val="220"/>
              <w:jc w:val="left"/>
            </w:pPr>
            <w:r>
              <w:t>——</w:t>
            </w:r>
          </w:p>
        </w:tc>
        <w:tc>
          <w:tcPr>
            <w:tcW w:w="0" w:type="auto"/>
          </w:tcPr>
          <w:p w:rsidR="009136B5" w:rsidRDefault="00000000">
            <w:pPr>
              <w:pStyle w:val="220"/>
            </w:pPr>
            <w:r>
              <w:rPr>
                <w:rFonts w:hint="eastAsia"/>
              </w:rPr>
              <w:t>桩的外露长度；</w:t>
            </w:r>
          </w:p>
        </w:tc>
      </w:tr>
      <w:tr w:rsidR="009136B5">
        <w:tc>
          <w:tcPr>
            <w:tcW w:w="0" w:type="auto"/>
          </w:tcPr>
          <w:p w:rsidR="009136B5" w:rsidRDefault="00000000">
            <w:pPr>
              <w:pStyle w:val="220"/>
              <w:ind w:firstLineChars="200" w:firstLine="420"/>
              <w:jc w:val="right"/>
              <w:rPr>
                <w:i/>
                <w:iCs/>
              </w:rPr>
            </w:pPr>
            <w:r>
              <w:rPr>
                <w:rFonts w:hint="eastAsia"/>
                <w:i/>
                <w:iCs/>
              </w:rPr>
              <w:t>h</w:t>
            </w:r>
          </w:p>
        </w:tc>
        <w:tc>
          <w:tcPr>
            <w:tcW w:w="0" w:type="auto"/>
          </w:tcPr>
          <w:p w:rsidR="009136B5" w:rsidRDefault="00000000">
            <w:pPr>
              <w:pStyle w:val="220"/>
              <w:jc w:val="left"/>
            </w:pPr>
            <w:r>
              <w:t>——</w:t>
            </w:r>
          </w:p>
        </w:tc>
        <w:tc>
          <w:tcPr>
            <w:tcW w:w="0" w:type="auto"/>
          </w:tcPr>
          <w:p w:rsidR="009136B5" w:rsidRDefault="00000000">
            <w:pPr>
              <w:pStyle w:val="220"/>
            </w:pPr>
            <w:r>
              <w:rPr>
                <w:rFonts w:hint="eastAsia"/>
              </w:rPr>
              <w:t>桩的实际入土深度；</w:t>
            </w:r>
          </w:p>
        </w:tc>
      </w:tr>
      <w:tr w:rsidR="009136B5">
        <w:tc>
          <w:tcPr>
            <w:tcW w:w="0" w:type="auto"/>
          </w:tcPr>
          <w:p w:rsidR="009136B5" w:rsidRDefault="00000000">
            <w:pPr>
              <w:pStyle w:val="220"/>
              <w:ind w:firstLineChars="200" w:firstLine="420"/>
              <w:jc w:val="right"/>
              <w:rPr>
                <w:i/>
                <w:iCs/>
              </w:rPr>
            </w:pPr>
            <w:proofErr w:type="spellStart"/>
            <w:r>
              <w:rPr>
                <w:rFonts w:hint="eastAsia"/>
                <w:i/>
                <w:iCs/>
              </w:rPr>
              <w:t>h</w:t>
            </w:r>
            <w:r>
              <w:rPr>
                <w:rFonts w:hint="eastAsia"/>
                <w:vertAlign w:val="subscript"/>
              </w:rPr>
              <w:t>j</w:t>
            </w:r>
            <w:proofErr w:type="spellEnd"/>
          </w:p>
        </w:tc>
        <w:tc>
          <w:tcPr>
            <w:tcW w:w="0" w:type="auto"/>
          </w:tcPr>
          <w:p w:rsidR="009136B5" w:rsidRDefault="00000000">
            <w:pPr>
              <w:pStyle w:val="220"/>
              <w:jc w:val="left"/>
            </w:pPr>
            <w:r>
              <w:t>——</w:t>
            </w:r>
          </w:p>
        </w:tc>
        <w:tc>
          <w:tcPr>
            <w:tcW w:w="0" w:type="auto"/>
          </w:tcPr>
          <w:p w:rsidR="009136B5" w:rsidRDefault="00000000">
            <w:pPr>
              <w:pStyle w:val="220"/>
            </w:pPr>
            <w:r>
              <w:rPr>
                <w:rFonts w:hint="eastAsia"/>
              </w:rPr>
              <w:t>托换承台的截面高度。</w:t>
            </w:r>
          </w:p>
        </w:tc>
      </w:tr>
    </w:tbl>
    <w:p w:rsidR="009136B5" w:rsidRDefault="00000000">
      <w:pPr>
        <w:pStyle w:val="xxx"/>
      </w:pPr>
      <w:r>
        <w:rPr>
          <w:rFonts w:hint="eastAsia"/>
          <w:b/>
          <w:bCs/>
        </w:rPr>
        <w:t>2.2.4</w:t>
      </w:r>
      <w:r>
        <w:rPr>
          <w:rFonts w:hint="eastAsia"/>
        </w:rPr>
        <w:t xml:space="preserve">  </w:t>
      </w:r>
      <w:r>
        <w:rPr>
          <w:rFonts w:hint="eastAsia"/>
        </w:rPr>
        <w:t>计算参数</w:t>
      </w: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57" w:type="dxa"/>
        </w:tblCellMar>
        <w:tblLook w:val="04A0" w:firstRow="1" w:lastRow="0" w:firstColumn="1" w:lastColumn="0" w:noHBand="0" w:noVBand="1"/>
      </w:tblPr>
      <w:tblGrid>
        <w:gridCol w:w="731"/>
        <w:gridCol w:w="477"/>
        <w:gridCol w:w="5097"/>
      </w:tblGrid>
      <w:tr w:rsidR="009136B5">
        <w:tc>
          <w:tcPr>
            <w:tcW w:w="0" w:type="auto"/>
            <w:vAlign w:val="center"/>
          </w:tcPr>
          <w:p w:rsidR="009136B5" w:rsidRDefault="00000000">
            <w:pPr>
              <w:pStyle w:val="220"/>
              <w:jc w:val="right"/>
              <w:rPr>
                <w:i/>
                <w:iCs/>
              </w:rPr>
            </w:pPr>
            <w:r>
              <w:rPr>
                <w:rFonts w:ascii="宋体" w:hAnsi="宋体"/>
                <w:position w:val="-12"/>
                <w:lang w:bidi="ar"/>
              </w:rPr>
              <w:object w:dxaOrig="198" w:dyaOrig="259">
                <v:shape id="_x0000_i1029" type="#_x0000_t75" style="width:10pt;height:13.15pt" o:ole="">
                  <v:imagedata r:id="rId26" o:title=""/>
                </v:shape>
                <o:OLEObject Type="Embed" ProgID="Equation.3" ShapeID="_x0000_i1029" DrawAspect="Content" ObjectID="_1735132807" r:id="rId27"/>
              </w:object>
            </w:r>
          </w:p>
        </w:tc>
        <w:tc>
          <w:tcPr>
            <w:tcW w:w="0" w:type="auto"/>
            <w:vAlign w:val="center"/>
          </w:tcPr>
          <w:p w:rsidR="009136B5" w:rsidRDefault="00000000">
            <w:pPr>
              <w:pStyle w:val="220"/>
              <w:jc w:val="center"/>
            </w:pPr>
            <w:r>
              <w:t>——</w:t>
            </w:r>
          </w:p>
        </w:tc>
        <w:tc>
          <w:tcPr>
            <w:tcW w:w="0" w:type="auto"/>
          </w:tcPr>
          <w:p w:rsidR="009136B5" w:rsidRDefault="00000000">
            <w:pPr>
              <w:pStyle w:val="220"/>
            </w:pPr>
            <w:r>
              <w:rPr>
                <w:rFonts w:ascii="宋体" w:hAnsi="宋体" w:cs="宋体" w:hint="eastAsia"/>
                <w:color w:val="333333"/>
                <w:lang w:bidi="ar"/>
              </w:rPr>
              <w:t>抗拔系数；</w:t>
            </w:r>
          </w:p>
        </w:tc>
      </w:tr>
      <w:tr w:rsidR="009136B5">
        <w:tc>
          <w:tcPr>
            <w:tcW w:w="0" w:type="auto"/>
            <w:vAlign w:val="center"/>
          </w:tcPr>
          <w:p w:rsidR="009136B5" w:rsidRDefault="00000000">
            <w:pPr>
              <w:pStyle w:val="220"/>
              <w:jc w:val="right"/>
              <w:rPr>
                <w:rFonts w:ascii="宋体" w:hAnsi="宋体"/>
                <w:position w:val="-12"/>
                <w:lang w:bidi="ar"/>
              </w:rPr>
            </w:pPr>
            <w:r>
              <w:rPr>
                <w:rFonts w:ascii="宋体" w:hAnsi="宋体"/>
                <w:position w:val="-6"/>
                <w:lang w:bidi="ar"/>
              </w:rPr>
              <w:object w:dxaOrig="198" w:dyaOrig="259">
                <v:shape id="_x0000_i1030" type="#_x0000_t75" style="width:10pt;height:13.15pt" o:ole="">
                  <v:imagedata r:id="rId28" o:title=""/>
                </v:shape>
                <o:OLEObject Type="Embed" ProgID="Equation.3" ShapeID="_x0000_i1030" DrawAspect="Content" ObjectID="_1735132808" r:id="rId29"/>
              </w:object>
            </w:r>
          </w:p>
        </w:tc>
        <w:tc>
          <w:tcPr>
            <w:tcW w:w="0" w:type="auto"/>
            <w:vAlign w:val="center"/>
          </w:tcPr>
          <w:p w:rsidR="009136B5" w:rsidRDefault="00000000">
            <w:pPr>
              <w:pStyle w:val="220"/>
              <w:jc w:val="center"/>
            </w:pPr>
            <w:r>
              <w:t>——</w:t>
            </w:r>
          </w:p>
        </w:tc>
        <w:tc>
          <w:tcPr>
            <w:tcW w:w="0" w:type="auto"/>
          </w:tcPr>
          <w:p w:rsidR="009136B5" w:rsidRDefault="00000000">
            <w:pPr>
              <w:pStyle w:val="220"/>
              <w:rPr>
                <w:rFonts w:ascii="宋体" w:hAnsi="宋体" w:cs="宋体"/>
                <w:color w:val="333333"/>
                <w:lang w:bidi="ar"/>
              </w:rPr>
            </w:pPr>
            <w:r>
              <w:rPr>
                <w:rFonts w:ascii="宋体" w:hAnsi="宋体" w:cs="宋体" w:hint="eastAsia"/>
                <w:lang w:bidi="ar"/>
              </w:rPr>
              <w:t>桩</w:t>
            </w:r>
            <w:r>
              <w:rPr>
                <w:rFonts w:ascii="宋体" w:hAnsi="宋体"/>
                <w:lang w:bidi="ar"/>
              </w:rPr>
              <w:t>-</w:t>
            </w:r>
            <w:r>
              <w:rPr>
                <w:rFonts w:ascii="宋体" w:hAnsi="宋体" w:cs="宋体" w:hint="eastAsia"/>
                <w:lang w:bidi="ar"/>
              </w:rPr>
              <w:t>土破坏界面的摩擦角；</w:t>
            </w:r>
          </w:p>
        </w:tc>
      </w:tr>
      <w:tr w:rsidR="009136B5">
        <w:tc>
          <w:tcPr>
            <w:tcW w:w="0" w:type="auto"/>
            <w:vAlign w:val="center"/>
          </w:tcPr>
          <w:p w:rsidR="009136B5" w:rsidRDefault="00000000">
            <w:pPr>
              <w:pStyle w:val="220"/>
              <w:jc w:val="right"/>
              <w:rPr>
                <w:rFonts w:ascii="宋体" w:hAnsi="宋体"/>
                <w:position w:val="-6"/>
                <w:lang w:bidi="ar"/>
              </w:rPr>
            </w:pPr>
            <w:r>
              <w:rPr>
                <w:rFonts w:ascii="宋体" w:hAnsi="宋体"/>
                <w:position w:val="-6"/>
                <w:lang w:bidi="ar"/>
              </w:rPr>
              <w:object w:dxaOrig="253" w:dyaOrig="198">
                <v:shape id="_x0000_i1031" type="#_x0000_t75" style="width:13.15pt;height:10pt" o:ole="">
                  <v:imagedata r:id="rId30" o:title=""/>
                </v:shape>
                <o:OLEObject Type="Embed" ProgID="Equation.3" ShapeID="_x0000_i1031" DrawAspect="Content" ObjectID="_1735132809" r:id="rId31"/>
              </w:object>
            </w:r>
          </w:p>
        </w:tc>
        <w:tc>
          <w:tcPr>
            <w:tcW w:w="0" w:type="auto"/>
            <w:vAlign w:val="center"/>
          </w:tcPr>
          <w:p w:rsidR="009136B5" w:rsidRDefault="00000000">
            <w:pPr>
              <w:pStyle w:val="220"/>
              <w:jc w:val="center"/>
            </w:pPr>
            <w:r>
              <w:t>——</w:t>
            </w:r>
          </w:p>
        </w:tc>
        <w:tc>
          <w:tcPr>
            <w:tcW w:w="0" w:type="auto"/>
          </w:tcPr>
          <w:p w:rsidR="009136B5" w:rsidRDefault="00000000">
            <w:pPr>
              <w:pStyle w:val="220"/>
              <w:rPr>
                <w:rFonts w:ascii="宋体" w:hAnsi="宋体" w:cs="宋体"/>
                <w:lang w:bidi="ar"/>
              </w:rPr>
            </w:pPr>
            <w:r>
              <w:rPr>
                <w:rFonts w:ascii="Calibri" w:hAnsi="Calibri" w:cs="宋体" w:hint="eastAsia"/>
              </w:rPr>
              <w:t>内置</w:t>
            </w:r>
            <w:r>
              <w:rPr>
                <w:rFonts w:ascii="Calibri" w:hAnsi="Calibri" w:cs="宋体"/>
              </w:rPr>
              <w:t>型钢的预加载率</w:t>
            </w:r>
            <w:r>
              <w:rPr>
                <w:rFonts w:ascii="Calibri" w:hAnsi="Calibri" w:cs="宋体" w:hint="eastAsia"/>
              </w:rPr>
              <w:t>；</w:t>
            </w:r>
          </w:p>
        </w:tc>
      </w:tr>
      <w:tr w:rsidR="009136B5">
        <w:tc>
          <w:tcPr>
            <w:tcW w:w="0" w:type="auto"/>
            <w:vAlign w:val="center"/>
          </w:tcPr>
          <w:p w:rsidR="009136B5" w:rsidRDefault="00000000">
            <w:pPr>
              <w:pStyle w:val="220"/>
              <w:jc w:val="right"/>
              <w:rPr>
                <w:rFonts w:ascii="宋体" w:hAnsi="宋体"/>
                <w:position w:val="-6"/>
                <w:lang w:bidi="ar"/>
              </w:rPr>
            </w:pPr>
            <w:r>
              <w:rPr>
                <w:i/>
                <w:iCs/>
              </w:rPr>
              <w:t>β</w:t>
            </w:r>
          </w:p>
        </w:tc>
        <w:tc>
          <w:tcPr>
            <w:tcW w:w="0" w:type="auto"/>
            <w:vAlign w:val="center"/>
          </w:tcPr>
          <w:p w:rsidR="009136B5" w:rsidRDefault="00000000">
            <w:pPr>
              <w:pStyle w:val="220"/>
              <w:jc w:val="center"/>
            </w:pPr>
            <w:r>
              <w:t>——</w:t>
            </w:r>
          </w:p>
        </w:tc>
        <w:tc>
          <w:tcPr>
            <w:tcW w:w="0" w:type="auto"/>
          </w:tcPr>
          <w:p w:rsidR="009136B5" w:rsidRDefault="00000000">
            <w:pPr>
              <w:pStyle w:val="220"/>
              <w:rPr>
                <w:rFonts w:ascii="宋体" w:hAnsi="宋体" w:cs="宋体"/>
                <w:lang w:bidi="ar"/>
              </w:rPr>
            </w:pPr>
            <w:r>
              <w:rPr>
                <w:rFonts w:hint="eastAsia"/>
              </w:rPr>
              <w:t>超压系数；</w:t>
            </w:r>
          </w:p>
        </w:tc>
      </w:tr>
      <w:tr w:rsidR="009136B5">
        <w:tc>
          <w:tcPr>
            <w:tcW w:w="0" w:type="auto"/>
            <w:vAlign w:val="center"/>
          </w:tcPr>
          <w:p w:rsidR="009136B5" w:rsidRDefault="00000000">
            <w:pPr>
              <w:pStyle w:val="220"/>
              <w:adjustRightInd w:val="0"/>
              <w:snapToGrid w:val="0"/>
              <w:jc w:val="right"/>
              <w:textAlignment w:val="center"/>
              <w:rPr>
                <w:i/>
                <w:iCs/>
                <w:color w:val="FF0000"/>
              </w:rPr>
            </w:pPr>
            <w:r>
              <w:rPr>
                <w:rFonts w:ascii="宋体" w:hAnsi="宋体"/>
                <w:position w:val="-10"/>
                <w:lang w:bidi="ar"/>
              </w:rPr>
              <w:object w:dxaOrig="259" w:dyaOrig="300">
                <v:shape id="_x0000_i1032" type="#_x0000_t75" style="width:13.15pt;height:15.05pt" o:ole="">
                  <v:imagedata r:id="rId32" o:title=""/>
                </v:shape>
                <o:OLEObject Type="Embed" ProgID="Equation.DSMT4" ShapeID="_x0000_i1032" DrawAspect="Content" ObjectID="_1735132810" r:id="rId33"/>
              </w:object>
            </w:r>
          </w:p>
        </w:tc>
        <w:tc>
          <w:tcPr>
            <w:tcW w:w="0" w:type="auto"/>
            <w:vAlign w:val="center"/>
          </w:tcPr>
          <w:p w:rsidR="009136B5" w:rsidRDefault="00000000">
            <w:pPr>
              <w:pStyle w:val="220"/>
              <w:jc w:val="center"/>
            </w:pPr>
            <w:r>
              <w:t>——</w:t>
            </w:r>
          </w:p>
        </w:tc>
        <w:tc>
          <w:tcPr>
            <w:tcW w:w="0" w:type="auto"/>
          </w:tcPr>
          <w:p w:rsidR="009136B5" w:rsidRDefault="00000000">
            <w:pPr>
              <w:pStyle w:val="220"/>
              <w:rPr>
                <w:color w:val="FF0000"/>
              </w:rPr>
            </w:pPr>
            <w:r>
              <w:rPr>
                <w:rFonts w:ascii="宋体" w:hAnsi="宋体" w:cs="宋体" w:hint="eastAsia"/>
                <w:color w:val="333333"/>
                <w:lang w:bidi="ar"/>
              </w:rPr>
              <w:t>土的有效内摩擦角；</w:t>
            </w:r>
          </w:p>
        </w:tc>
      </w:tr>
      <w:tr w:rsidR="009136B5">
        <w:tc>
          <w:tcPr>
            <w:tcW w:w="0" w:type="auto"/>
            <w:vAlign w:val="center"/>
          </w:tcPr>
          <w:p w:rsidR="009136B5" w:rsidRDefault="00000000">
            <w:pPr>
              <w:pStyle w:val="220"/>
              <w:jc w:val="right"/>
              <w:rPr>
                <w:rFonts w:ascii="宋体" w:hAnsi="宋体"/>
                <w:position w:val="-10"/>
                <w:lang w:bidi="ar"/>
              </w:rPr>
            </w:pPr>
            <w:r>
              <w:rPr>
                <w:position w:val="-12"/>
              </w:rPr>
              <w:object w:dxaOrig="669" w:dyaOrig="259">
                <v:shape id="_x0000_i1033" type="#_x0000_t75" style="width:33.8pt;height:13.15pt" o:ole="">
                  <v:imagedata r:id="rId34" o:title=""/>
                </v:shape>
                <o:OLEObject Type="Embed" ProgID="Equation.DSMT4" ShapeID="_x0000_i1033" DrawAspect="Content" ObjectID="_1735132811" r:id="rId35"/>
              </w:object>
            </w:r>
          </w:p>
        </w:tc>
        <w:tc>
          <w:tcPr>
            <w:tcW w:w="0" w:type="auto"/>
            <w:vAlign w:val="center"/>
          </w:tcPr>
          <w:p w:rsidR="009136B5" w:rsidRDefault="00000000">
            <w:pPr>
              <w:pStyle w:val="220"/>
              <w:jc w:val="center"/>
            </w:pPr>
            <w:r>
              <w:t>——</w:t>
            </w:r>
          </w:p>
        </w:tc>
        <w:tc>
          <w:tcPr>
            <w:tcW w:w="0" w:type="auto"/>
          </w:tcPr>
          <w:p w:rsidR="009136B5" w:rsidRDefault="00000000">
            <w:pPr>
              <w:pStyle w:val="220"/>
              <w:rPr>
                <w:rFonts w:ascii="宋体" w:hAnsi="宋体" w:cs="宋体"/>
                <w:color w:val="333333"/>
                <w:lang w:bidi="ar"/>
              </w:rPr>
            </w:pPr>
            <w:r>
              <w:rPr>
                <w:rFonts w:ascii="Calibri" w:hAnsi="Calibri" w:cs="宋体" w:hint="eastAsia"/>
                <w:color w:val="000000"/>
                <w:shd w:val="clear" w:color="auto" w:fill="FFFFFF"/>
              </w:rPr>
              <w:t>混凝土收缩应变；</w:t>
            </w:r>
          </w:p>
        </w:tc>
      </w:tr>
      <w:tr w:rsidR="009136B5">
        <w:tc>
          <w:tcPr>
            <w:tcW w:w="0" w:type="auto"/>
            <w:vAlign w:val="center"/>
          </w:tcPr>
          <w:p w:rsidR="009136B5" w:rsidRDefault="00000000">
            <w:pPr>
              <w:pStyle w:val="220"/>
              <w:jc w:val="right"/>
              <w:rPr>
                <w:rFonts w:ascii="宋体" w:hAnsi="宋体"/>
                <w:position w:val="-10"/>
                <w:lang w:bidi="ar"/>
              </w:rPr>
            </w:pPr>
            <w:r>
              <w:rPr>
                <w:position w:val="-12"/>
              </w:rPr>
              <w:object w:dxaOrig="553" w:dyaOrig="259">
                <v:shape id="_x0000_i1034" type="#_x0000_t75" style="width:28.15pt;height:13.15pt" o:ole="">
                  <v:imagedata r:id="rId36" o:title=""/>
                </v:shape>
                <o:OLEObject Type="Embed" ProgID="Equation.DSMT4" ShapeID="_x0000_i1034" DrawAspect="Content" ObjectID="_1735132812" r:id="rId37"/>
              </w:object>
            </w:r>
          </w:p>
        </w:tc>
        <w:tc>
          <w:tcPr>
            <w:tcW w:w="0" w:type="auto"/>
            <w:vAlign w:val="center"/>
          </w:tcPr>
          <w:p w:rsidR="009136B5" w:rsidRDefault="00000000">
            <w:pPr>
              <w:pStyle w:val="220"/>
              <w:jc w:val="center"/>
            </w:pPr>
            <w:r>
              <w:t>——</w:t>
            </w:r>
          </w:p>
        </w:tc>
        <w:tc>
          <w:tcPr>
            <w:tcW w:w="0" w:type="auto"/>
          </w:tcPr>
          <w:p w:rsidR="009136B5" w:rsidRDefault="00000000">
            <w:pPr>
              <w:pStyle w:val="220"/>
              <w:rPr>
                <w:rFonts w:ascii="宋体" w:hAnsi="宋体" w:cs="宋体"/>
                <w:color w:val="333333"/>
                <w:lang w:bidi="ar"/>
              </w:rPr>
            </w:pPr>
            <w:r>
              <w:rPr>
                <w:rFonts w:ascii="Calibri" w:hAnsi="Calibri" w:cs="宋体" w:hint="eastAsia"/>
                <w:color w:val="000000"/>
                <w:shd w:val="clear" w:color="auto" w:fill="FFFFFF"/>
              </w:rPr>
              <w:t>徐变系数；</w:t>
            </w:r>
          </w:p>
        </w:tc>
      </w:tr>
      <w:tr w:rsidR="009136B5">
        <w:tc>
          <w:tcPr>
            <w:tcW w:w="0" w:type="auto"/>
            <w:vAlign w:val="center"/>
          </w:tcPr>
          <w:p w:rsidR="009136B5" w:rsidRDefault="00000000">
            <w:pPr>
              <w:pStyle w:val="220"/>
              <w:adjustRightInd w:val="0"/>
              <w:snapToGrid w:val="0"/>
              <w:jc w:val="right"/>
              <w:textAlignment w:val="center"/>
              <w:rPr>
                <w:rFonts w:ascii="宋体" w:hAnsi="宋体"/>
                <w:position w:val="-10"/>
                <w:lang w:bidi="ar"/>
              </w:rPr>
            </w:pPr>
            <w:r>
              <w:rPr>
                <w:rFonts w:ascii="宋体" w:hAnsi="宋体"/>
                <w:position w:val="-12"/>
                <w:lang w:bidi="ar"/>
              </w:rPr>
              <w:object w:dxaOrig="232" w:dyaOrig="341">
                <v:shape id="_x0000_i1035" type="#_x0000_t75" style="width:11.25pt;height:16.9pt" o:ole="">
                  <v:imagedata r:id="rId38" o:title=""/>
                </v:shape>
                <o:OLEObject Type="Embed" ProgID="Equation.3" ShapeID="_x0000_i1035" DrawAspect="Content" ObjectID="_1735132813" r:id="rId39"/>
              </w:object>
            </w:r>
          </w:p>
        </w:tc>
        <w:tc>
          <w:tcPr>
            <w:tcW w:w="0" w:type="auto"/>
            <w:vAlign w:val="center"/>
          </w:tcPr>
          <w:p w:rsidR="009136B5" w:rsidRDefault="00000000">
            <w:pPr>
              <w:pStyle w:val="220"/>
              <w:jc w:val="center"/>
            </w:pPr>
            <w:r>
              <w:t>——</w:t>
            </w:r>
          </w:p>
        </w:tc>
        <w:tc>
          <w:tcPr>
            <w:tcW w:w="0" w:type="auto"/>
            <w:vAlign w:val="center"/>
          </w:tcPr>
          <w:p w:rsidR="009136B5" w:rsidRDefault="00000000">
            <w:pPr>
              <w:pStyle w:val="220"/>
              <w:rPr>
                <w:rFonts w:ascii="宋体" w:hAnsi="宋体" w:cs="宋体"/>
                <w:color w:val="333333"/>
                <w:lang w:bidi="ar"/>
              </w:rPr>
            </w:pPr>
            <w:r>
              <w:rPr>
                <w:rFonts w:hint="eastAsia"/>
                <w:position w:val="-6"/>
              </w:rPr>
              <w:t>初始应力作用下混凝土应变；</w:t>
            </w:r>
          </w:p>
        </w:tc>
      </w:tr>
      <w:tr w:rsidR="009136B5">
        <w:tc>
          <w:tcPr>
            <w:tcW w:w="0" w:type="auto"/>
            <w:vAlign w:val="center"/>
          </w:tcPr>
          <w:p w:rsidR="009136B5" w:rsidRDefault="00000000">
            <w:pPr>
              <w:pStyle w:val="220"/>
              <w:jc w:val="right"/>
              <w:rPr>
                <w:rFonts w:ascii="宋体" w:hAnsi="宋体"/>
                <w:position w:val="-10"/>
                <w:lang w:bidi="ar"/>
              </w:rPr>
            </w:pPr>
            <w:r>
              <w:rPr>
                <w:rFonts w:ascii="宋体" w:hAnsi="宋体"/>
                <w:position w:val="-10"/>
                <w:lang w:bidi="ar"/>
              </w:rPr>
              <w:object w:dxaOrig="247" w:dyaOrig="258">
                <v:shape id="_x0000_i1036" type="#_x0000_t75" style="width:11.9pt;height:13.15pt" o:ole="">
                  <v:imagedata r:id="rId40" o:title=""/>
                </v:shape>
                <o:OLEObject Type="Embed" ProgID="Equation.3" ShapeID="_x0000_i1036" DrawAspect="Content" ObjectID="_1735132814" r:id="rId41"/>
              </w:object>
            </w:r>
          </w:p>
        </w:tc>
        <w:tc>
          <w:tcPr>
            <w:tcW w:w="0" w:type="auto"/>
            <w:vAlign w:val="center"/>
          </w:tcPr>
          <w:p w:rsidR="009136B5" w:rsidRDefault="00000000">
            <w:pPr>
              <w:pStyle w:val="220"/>
              <w:jc w:val="center"/>
            </w:pPr>
            <w:r>
              <w:t>——</w:t>
            </w:r>
          </w:p>
        </w:tc>
        <w:tc>
          <w:tcPr>
            <w:tcW w:w="0" w:type="auto"/>
          </w:tcPr>
          <w:p w:rsidR="009136B5" w:rsidRDefault="00000000">
            <w:pPr>
              <w:pStyle w:val="220"/>
              <w:rPr>
                <w:rFonts w:ascii="宋体" w:hAnsi="宋体" w:cs="宋体"/>
                <w:color w:val="333333"/>
                <w:lang w:bidi="ar"/>
              </w:rPr>
            </w:pPr>
            <w:r>
              <w:rPr>
                <w:rFonts w:hint="eastAsia"/>
                <w:bCs/>
              </w:rPr>
              <w:t>含钢率；</w:t>
            </w:r>
          </w:p>
        </w:tc>
      </w:tr>
      <w:tr w:rsidR="009136B5">
        <w:tc>
          <w:tcPr>
            <w:tcW w:w="0" w:type="auto"/>
            <w:vAlign w:val="center"/>
          </w:tcPr>
          <w:p w:rsidR="009136B5" w:rsidRDefault="00000000">
            <w:pPr>
              <w:pStyle w:val="220"/>
              <w:adjustRightInd w:val="0"/>
              <w:snapToGrid w:val="0"/>
              <w:jc w:val="right"/>
              <w:rPr>
                <w:i/>
                <w:iCs/>
                <w:position w:val="-10"/>
                <w:lang w:bidi="ar"/>
              </w:rPr>
            </w:pPr>
            <w:r>
              <w:rPr>
                <w:i/>
                <w:iCs/>
                <w:position w:val="-10"/>
                <w:lang w:bidi="ar"/>
              </w:rPr>
              <w:t>n</w:t>
            </w:r>
          </w:p>
        </w:tc>
        <w:tc>
          <w:tcPr>
            <w:tcW w:w="0" w:type="auto"/>
            <w:vAlign w:val="center"/>
          </w:tcPr>
          <w:p w:rsidR="009136B5" w:rsidRDefault="00000000">
            <w:pPr>
              <w:pStyle w:val="220"/>
              <w:jc w:val="center"/>
            </w:pPr>
            <w:r>
              <w:t>——</w:t>
            </w:r>
          </w:p>
        </w:tc>
        <w:tc>
          <w:tcPr>
            <w:tcW w:w="0" w:type="auto"/>
          </w:tcPr>
          <w:p w:rsidR="009136B5" w:rsidRDefault="00000000">
            <w:pPr>
              <w:pStyle w:val="220"/>
              <w:rPr>
                <w:rFonts w:ascii="宋体" w:hAnsi="宋体" w:cs="宋体"/>
                <w:color w:val="333333"/>
                <w:lang w:bidi="ar"/>
              </w:rPr>
            </w:pPr>
            <w:r>
              <w:rPr>
                <w:rFonts w:hint="eastAsia"/>
              </w:rPr>
              <w:t>钢筋与混凝土弹性模量之比；</w:t>
            </w:r>
          </w:p>
        </w:tc>
      </w:tr>
      <w:tr w:rsidR="009136B5">
        <w:tc>
          <w:tcPr>
            <w:tcW w:w="0" w:type="auto"/>
            <w:vAlign w:val="center"/>
          </w:tcPr>
          <w:p w:rsidR="009136B5" w:rsidRDefault="00000000">
            <w:pPr>
              <w:pStyle w:val="220"/>
              <w:adjustRightInd w:val="0"/>
              <w:snapToGrid w:val="0"/>
              <w:jc w:val="right"/>
              <w:rPr>
                <w:i/>
                <w:iCs/>
                <w:lang w:bidi="ar"/>
              </w:rPr>
            </w:pPr>
            <w:r>
              <w:rPr>
                <w:i/>
                <w:iCs/>
                <w:lang w:bidi="ar"/>
              </w:rPr>
              <w:t>p</w:t>
            </w:r>
          </w:p>
        </w:tc>
        <w:tc>
          <w:tcPr>
            <w:tcW w:w="0" w:type="auto"/>
            <w:vAlign w:val="center"/>
          </w:tcPr>
          <w:p w:rsidR="009136B5" w:rsidRDefault="00000000">
            <w:pPr>
              <w:pStyle w:val="220"/>
              <w:jc w:val="center"/>
            </w:pPr>
            <w:r>
              <w:t>——</w:t>
            </w:r>
          </w:p>
        </w:tc>
        <w:tc>
          <w:tcPr>
            <w:tcW w:w="0" w:type="auto"/>
          </w:tcPr>
          <w:p w:rsidR="009136B5" w:rsidRDefault="00000000">
            <w:pPr>
              <w:pStyle w:val="220"/>
            </w:pPr>
            <w:r>
              <w:rPr>
                <w:rFonts w:hint="eastAsia"/>
              </w:rPr>
              <w:t>土压力；</w:t>
            </w:r>
          </w:p>
        </w:tc>
      </w:tr>
      <w:tr w:rsidR="009136B5">
        <w:tc>
          <w:tcPr>
            <w:tcW w:w="0" w:type="auto"/>
            <w:vAlign w:val="center"/>
          </w:tcPr>
          <w:p w:rsidR="009136B5" w:rsidRDefault="00000000">
            <w:pPr>
              <w:pStyle w:val="220"/>
              <w:adjustRightInd w:val="0"/>
              <w:snapToGrid w:val="0"/>
              <w:jc w:val="right"/>
              <w:rPr>
                <w:lang w:bidi="ar"/>
              </w:rPr>
            </w:pPr>
            <w:r>
              <w:rPr>
                <w:i/>
                <w:iCs/>
                <w:lang w:bidi="ar"/>
              </w:rPr>
              <w:t>v</w:t>
            </w:r>
            <w:r>
              <w:rPr>
                <w:vertAlign w:val="subscript"/>
                <w:lang w:bidi="ar"/>
              </w:rPr>
              <w:t>s</w:t>
            </w:r>
          </w:p>
        </w:tc>
        <w:tc>
          <w:tcPr>
            <w:tcW w:w="0" w:type="auto"/>
            <w:vAlign w:val="center"/>
          </w:tcPr>
          <w:p w:rsidR="009136B5" w:rsidRDefault="00000000">
            <w:pPr>
              <w:pStyle w:val="220"/>
              <w:jc w:val="center"/>
            </w:pPr>
            <w:r>
              <w:t>——</w:t>
            </w:r>
          </w:p>
        </w:tc>
        <w:tc>
          <w:tcPr>
            <w:tcW w:w="0" w:type="auto"/>
          </w:tcPr>
          <w:p w:rsidR="009136B5" w:rsidRDefault="00000000">
            <w:pPr>
              <w:pStyle w:val="220"/>
            </w:pPr>
            <w:r>
              <w:rPr>
                <w:rFonts w:hint="eastAsia"/>
              </w:rPr>
              <w:t>土体水平位移；</w:t>
            </w:r>
          </w:p>
        </w:tc>
      </w:tr>
      <w:tr w:rsidR="009136B5">
        <w:tc>
          <w:tcPr>
            <w:tcW w:w="0" w:type="auto"/>
            <w:vAlign w:val="center"/>
          </w:tcPr>
          <w:p w:rsidR="009136B5" w:rsidRDefault="00000000">
            <w:pPr>
              <w:pStyle w:val="220"/>
              <w:adjustRightInd w:val="0"/>
              <w:snapToGrid w:val="0"/>
              <w:jc w:val="right"/>
              <w:rPr>
                <w:i/>
                <w:iCs/>
                <w:lang w:bidi="ar"/>
              </w:rPr>
            </w:pPr>
            <w:r>
              <w:rPr>
                <w:i/>
                <w:iCs/>
                <w:lang w:bidi="ar"/>
              </w:rPr>
              <w:t>k</w:t>
            </w:r>
          </w:p>
        </w:tc>
        <w:tc>
          <w:tcPr>
            <w:tcW w:w="0" w:type="auto"/>
            <w:vAlign w:val="center"/>
          </w:tcPr>
          <w:p w:rsidR="009136B5" w:rsidRDefault="00000000">
            <w:pPr>
              <w:pStyle w:val="220"/>
              <w:jc w:val="center"/>
            </w:pPr>
            <w:r>
              <w:t>——</w:t>
            </w:r>
          </w:p>
        </w:tc>
        <w:tc>
          <w:tcPr>
            <w:tcW w:w="0" w:type="auto"/>
          </w:tcPr>
          <w:p w:rsidR="009136B5" w:rsidRDefault="00000000">
            <w:pPr>
              <w:pStyle w:val="220"/>
            </w:pPr>
            <w:r>
              <w:rPr>
                <w:rFonts w:hint="eastAsia"/>
              </w:rPr>
              <w:t>土体的水平反力系数；</w:t>
            </w:r>
          </w:p>
        </w:tc>
      </w:tr>
      <w:tr w:rsidR="009136B5">
        <w:tc>
          <w:tcPr>
            <w:tcW w:w="0" w:type="auto"/>
            <w:vAlign w:val="center"/>
          </w:tcPr>
          <w:p w:rsidR="009136B5" w:rsidRDefault="00000000">
            <w:pPr>
              <w:pStyle w:val="220"/>
              <w:adjustRightInd w:val="0"/>
              <w:snapToGrid w:val="0"/>
              <w:jc w:val="right"/>
              <w:rPr>
                <w:i/>
                <w:iCs/>
                <w:lang w:bidi="ar"/>
              </w:rPr>
            </w:pPr>
            <w:r>
              <w:rPr>
                <w:i/>
                <w:iCs/>
                <w:lang w:bidi="ar"/>
              </w:rPr>
              <w:t>η</w:t>
            </w:r>
          </w:p>
        </w:tc>
        <w:tc>
          <w:tcPr>
            <w:tcW w:w="0" w:type="auto"/>
            <w:vAlign w:val="center"/>
          </w:tcPr>
          <w:p w:rsidR="009136B5" w:rsidRDefault="00000000">
            <w:pPr>
              <w:pStyle w:val="220"/>
              <w:jc w:val="center"/>
            </w:pPr>
            <w:r>
              <w:t>——</w:t>
            </w:r>
          </w:p>
        </w:tc>
        <w:tc>
          <w:tcPr>
            <w:tcW w:w="0" w:type="auto"/>
          </w:tcPr>
          <w:p w:rsidR="009136B5" w:rsidRDefault="00000000">
            <w:pPr>
              <w:pStyle w:val="220"/>
            </w:pPr>
            <w:r>
              <w:rPr>
                <w:rFonts w:hint="eastAsia"/>
              </w:rPr>
              <w:t>计算点的桩侧摩阻力折减系数；</w:t>
            </w:r>
          </w:p>
        </w:tc>
      </w:tr>
      <w:tr w:rsidR="009136B5">
        <w:tc>
          <w:tcPr>
            <w:tcW w:w="0" w:type="auto"/>
            <w:vAlign w:val="center"/>
          </w:tcPr>
          <w:p w:rsidR="009136B5" w:rsidRDefault="00000000">
            <w:pPr>
              <w:pStyle w:val="220"/>
              <w:adjustRightInd w:val="0"/>
              <w:snapToGrid w:val="0"/>
              <w:jc w:val="right"/>
              <w:rPr>
                <w:i/>
                <w:iCs/>
                <w:lang w:bidi="ar"/>
              </w:rPr>
            </w:pPr>
            <w:r>
              <w:rPr>
                <w:i/>
                <w:iCs/>
                <w:lang w:bidi="ar"/>
              </w:rPr>
              <w:t>f</w:t>
            </w:r>
          </w:p>
        </w:tc>
        <w:tc>
          <w:tcPr>
            <w:tcW w:w="0" w:type="auto"/>
            <w:vAlign w:val="center"/>
          </w:tcPr>
          <w:p w:rsidR="009136B5" w:rsidRDefault="00000000">
            <w:pPr>
              <w:pStyle w:val="220"/>
              <w:jc w:val="center"/>
            </w:pPr>
            <w:r>
              <w:t>——</w:t>
            </w:r>
          </w:p>
        </w:tc>
        <w:tc>
          <w:tcPr>
            <w:tcW w:w="0" w:type="auto"/>
          </w:tcPr>
          <w:p w:rsidR="009136B5" w:rsidRDefault="00000000">
            <w:pPr>
              <w:pStyle w:val="220"/>
            </w:pPr>
            <w:r>
              <w:rPr>
                <w:rFonts w:hint="eastAsia"/>
              </w:rPr>
              <w:t>计算点的桩侧阻力标准值；</w:t>
            </w:r>
          </w:p>
        </w:tc>
      </w:tr>
      <w:tr w:rsidR="009136B5">
        <w:tc>
          <w:tcPr>
            <w:tcW w:w="0" w:type="auto"/>
            <w:vAlign w:val="center"/>
          </w:tcPr>
          <w:p w:rsidR="009136B5" w:rsidRDefault="00000000">
            <w:pPr>
              <w:pStyle w:val="220"/>
              <w:adjustRightInd w:val="0"/>
              <w:snapToGrid w:val="0"/>
              <w:jc w:val="right"/>
              <w:rPr>
                <w:lang w:bidi="ar"/>
              </w:rPr>
            </w:pPr>
            <w:r>
              <w:rPr>
                <w:color w:val="000000" w:themeColor="text1"/>
                <w:position w:val="-6"/>
                <w:lang w:bidi="ar"/>
              </w:rPr>
              <w:object w:dxaOrig="258" w:dyaOrig="258">
                <v:shape id="_x0000_i1037" type="#_x0000_t75" style="width:13.15pt;height:13.15pt" o:ole="">
                  <v:imagedata r:id="rId42" o:title=""/>
                </v:shape>
                <o:OLEObject Type="Embed" ProgID="Equation.DSMT4" ShapeID="_x0000_i1037" DrawAspect="Content" ObjectID="_1735132815" r:id="rId43"/>
              </w:object>
            </w:r>
          </w:p>
        </w:tc>
        <w:tc>
          <w:tcPr>
            <w:tcW w:w="0" w:type="auto"/>
            <w:vAlign w:val="center"/>
          </w:tcPr>
          <w:p w:rsidR="009136B5" w:rsidRDefault="00000000">
            <w:pPr>
              <w:pStyle w:val="220"/>
              <w:jc w:val="center"/>
            </w:pPr>
            <w:r>
              <w:t>——</w:t>
            </w:r>
          </w:p>
        </w:tc>
        <w:tc>
          <w:tcPr>
            <w:tcW w:w="0" w:type="auto"/>
          </w:tcPr>
          <w:p w:rsidR="009136B5" w:rsidRDefault="00000000">
            <w:pPr>
              <w:pStyle w:val="220"/>
            </w:pPr>
            <w:r>
              <w:rPr>
                <w:rFonts w:ascii="宋体" w:hAnsi="宋体" w:cs="宋体" w:hint="eastAsia"/>
                <w:color w:val="000000" w:themeColor="text1"/>
                <w:lang w:bidi="ar"/>
              </w:rPr>
              <w:t>计算点的土体竖向有效应力</w:t>
            </w:r>
          </w:p>
        </w:tc>
      </w:tr>
      <w:tr w:rsidR="009136B5">
        <w:tc>
          <w:tcPr>
            <w:tcW w:w="0" w:type="auto"/>
            <w:vAlign w:val="center"/>
          </w:tcPr>
          <w:p w:rsidR="009136B5" w:rsidRDefault="00000000">
            <w:pPr>
              <w:pStyle w:val="220"/>
              <w:adjustRightInd w:val="0"/>
              <w:snapToGrid w:val="0"/>
              <w:jc w:val="right"/>
              <w:rPr>
                <w:i/>
                <w:iCs/>
                <w:lang w:bidi="ar"/>
              </w:rPr>
            </w:pPr>
            <w:r>
              <w:rPr>
                <w:i/>
                <w:iCs/>
                <w:lang w:bidi="ar"/>
              </w:rPr>
              <w:t>OCR</w:t>
            </w:r>
          </w:p>
        </w:tc>
        <w:tc>
          <w:tcPr>
            <w:tcW w:w="0" w:type="auto"/>
            <w:vAlign w:val="center"/>
          </w:tcPr>
          <w:p w:rsidR="009136B5" w:rsidRDefault="00000000">
            <w:pPr>
              <w:pStyle w:val="220"/>
              <w:jc w:val="center"/>
            </w:pPr>
            <w:r>
              <w:t>——</w:t>
            </w:r>
          </w:p>
        </w:tc>
        <w:tc>
          <w:tcPr>
            <w:tcW w:w="0" w:type="auto"/>
          </w:tcPr>
          <w:p w:rsidR="009136B5" w:rsidRDefault="00000000">
            <w:pPr>
              <w:pStyle w:val="220"/>
            </w:pPr>
            <w:r>
              <w:rPr>
                <w:rFonts w:hint="eastAsia"/>
              </w:rPr>
              <w:t>计算点土的超固结比；</w:t>
            </w:r>
          </w:p>
        </w:tc>
      </w:tr>
      <w:tr w:rsidR="009136B5">
        <w:tc>
          <w:tcPr>
            <w:tcW w:w="0" w:type="auto"/>
            <w:vAlign w:val="center"/>
          </w:tcPr>
          <w:p w:rsidR="009136B5" w:rsidRDefault="00000000">
            <w:pPr>
              <w:pStyle w:val="220"/>
              <w:adjustRightInd w:val="0"/>
              <w:snapToGrid w:val="0"/>
              <w:jc w:val="right"/>
              <w:rPr>
                <w:lang w:bidi="ar"/>
              </w:rPr>
            </w:pPr>
            <w:r>
              <w:rPr>
                <w:position w:val="-10"/>
                <w:lang w:bidi="ar"/>
              </w:rPr>
              <w:object w:dxaOrig="204" w:dyaOrig="301">
                <v:shape id="_x0000_i1038" type="#_x0000_t75" style="width:10pt;height:15.05pt" o:ole="">
                  <v:imagedata r:id="rId44" o:title=""/>
                </v:shape>
                <o:OLEObject Type="Embed" ProgID="Equation.DSMT4" ShapeID="_x0000_i1038" DrawAspect="Content" ObjectID="_1735132816" r:id="rId45"/>
              </w:object>
            </w:r>
          </w:p>
        </w:tc>
        <w:tc>
          <w:tcPr>
            <w:tcW w:w="0" w:type="auto"/>
            <w:vAlign w:val="center"/>
          </w:tcPr>
          <w:p w:rsidR="009136B5" w:rsidRDefault="00000000">
            <w:pPr>
              <w:pStyle w:val="220"/>
              <w:jc w:val="center"/>
            </w:pPr>
            <w:r>
              <w:t>——</w:t>
            </w:r>
          </w:p>
        </w:tc>
        <w:tc>
          <w:tcPr>
            <w:tcW w:w="0" w:type="auto"/>
          </w:tcPr>
          <w:p w:rsidR="009136B5" w:rsidRDefault="00000000">
            <w:pPr>
              <w:pStyle w:val="220"/>
            </w:pPr>
            <w:r>
              <w:rPr>
                <w:rFonts w:hint="eastAsia"/>
              </w:rPr>
              <w:t>与超固结比相关的参数；</w:t>
            </w:r>
          </w:p>
        </w:tc>
      </w:tr>
      <w:tr w:rsidR="009136B5">
        <w:tc>
          <w:tcPr>
            <w:tcW w:w="0" w:type="auto"/>
            <w:vAlign w:val="center"/>
          </w:tcPr>
          <w:p w:rsidR="009136B5" w:rsidRDefault="00000000">
            <w:pPr>
              <w:pStyle w:val="220"/>
              <w:adjustRightInd w:val="0"/>
              <w:snapToGrid w:val="0"/>
              <w:jc w:val="right"/>
              <w:rPr>
                <w:lang w:bidi="ar"/>
              </w:rPr>
            </w:pPr>
            <w:r>
              <w:rPr>
                <w:lang w:bidi="ar"/>
              </w:rPr>
              <w:t>z</w:t>
            </w:r>
          </w:p>
        </w:tc>
        <w:tc>
          <w:tcPr>
            <w:tcW w:w="0" w:type="auto"/>
            <w:vAlign w:val="center"/>
          </w:tcPr>
          <w:p w:rsidR="009136B5" w:rsidRDefault="00000000">
            <w:pPr>
              <w:pStyle w:val="220"/>
              <w:jc w:val="center"/>
            </w:pPr>
            <w:r>
              <w:t>——</w:t>
            </w:r>
          </w:p>
        </w:tc>
        <w:tc>
          <w:tcPr>
            <w:tcW w:w="0" w:type="auto"/>
            <w:vAlign w:val="center"/>
          </w:tcPr>
          <w:p w:rsidR="009136B5" w:rsidRDefault="00000000">
            <w:pPr>
              <w:autoSpaceDE w:val="0"/>
              <w:autoSpaceDN w:val="0"/>
              <w:adjustRightInd w:val="0"/>
              <w:ind w:firstLineChars="0" w:firstLine="0"/>
              <w:rPr>
                <w:szCs w:val="21"/>
                <w:lang w:val="zh-CN"/>
              </w:rPr>
            </w:pPr>
            <w:r>
              <w:rPr>
                <w:color w:val="000000" w:themeColor="text1"/>
                <w:szCs w:val="21"/>
              </w:rPr>
              <w:t>自</w:t>
            </w:r>
            <w:r>
              <w:rPr>
                <w:rFonts w:hint="eastAsia"/>
                <w:color w:val="000000" w:themeColor="text1"/>
                <w:szCs w:val="21"/>
              </w:rPr>
              <w:t>原</w:t>
            </w:r>
            <w:r>
              <w:rPr>
                <w:color w:val="000000" w:themeColor="text1"/>
                <w:szCs w:val="21"/>
              </w:rPr>
              <w:t>基础底面起算的计算点深度</w:t>
            </w:r>
            <w:r>
              <w:rPr>
                <w:rFonts w:hint="eastAsia"/>
                <w:color w:val="000000" w:themeColor="text1"/>
                <w:szCs w:val="21"/>
              </w:rPr>
              <w:t>；</w:t>
            </w:r>
          </w:p>
        </w:tc>
      </w:tr>
      <w:tr w:rsidR="009136B5">
        <w:tc>
          <w:tcPr>
            <w:tcW w:w="0" w:type="auto"/>
          </w:tcPr>
          <w:p w:rsidR="009136B5" w:rsidRDefault="00000000">
            <w:pPr>
              <w:pStyle w:val="220"/>
              <w:jc w:val="right"/>
              <w:rPr>
                <w:i/>
                <w:iCs/>
              </w:rPr>
            </w:pPr>
            <w:r>
              <w:rPr>
                <w:color w:val="000000" w:themeColor="text1"/>
                <w:position w:val="-10"/>
              </w:rPr>
              <w:object w:dxaOrig="301" w:dyaOrig="301">
                <v:shape id="_x0000_i1039" type="#_x0000_t75" style="width:15.05pt;height:15.05pt" o:ole="">
                  <v:imagedata r:id="rId46" o:title=""/>
                </v:shape>
                <o:OLEObject Type="Embed" ProgID="Equation.3" ShapeID="_x0000_i1039" DrawAspect="Content" ObjectID="_1735132817" r:id="rId47"/>
              </w:object>
            </w:r>
          </w:p>
        </w:tc>
        <w:tc>
          <w:tcPr>
            <w:tcW w:w="0" w:type="auto"/>
            <w:vAlign w:val="center"/>
          </w:tcPr>
          <w:p w:rsidR="009136B5" w:rsidRDefault="00000000">
            <w:pPr>
              <w:pStyle w:val="220"/>
              <w:jc w:val="center"/>
            </w:pPr>
            <w:r>
              <w:t>——</w:t>
            </w:r>
          </w:p>
        </w:tc>
        <w:tc>
          <w:tcPr>
            <w:tcW w:w="0" w:type="auto"/>
            <w:vAlign w:val="center"/>
          </w:tcPr>
          <w:p w:rsidR="009136B5" w:rsidRDefault="00000000">
            <w:pPr>
              <w:autoSpaceDE w:val="0"/>
              <w:autoSpaceDN w:val="0"/>
              <w:adjustRightInd w:val="0"/>
              <w:ind w:firstLineChars="0" w:firstLine="0"/>
              <w:rPr>
                <w:bCs/>
                <w:szCs w:val="21"/>
              </w:rPr>
            </w:pPr>
            <w:r>
              <w:rPr>
                <w:color w:val="000000" w:themeColor="text1"/>
                <w:szCs w:val="21"/>
              </w:rPr>
              <w:t>原基础底面至计算点深度范围内土层的平均有效重度</w:t>
            </w:r>
            <w:r>
              <w:rPr>
                <w:rFonts w:hint="eastAsia"/>
                <w:color w:val="000000" w:themeColor="text1"/>
                <w:szCs w:val="21"/>
              </w:rPr>
              <w:t>；</w:t>
            </w:r>
          </w:p>
        </w:tc>
      </w:tr>
      <w:tr w:rsidR="009136B5">
        <w:tc>
          <w:tcPr>
            <w:tcW w:w="0" w:type="auto"/>
          </w:tcPr>
          <w:p w:rsidR="009136B5" w:rsidRDefault="00000000">
            <w:pPr>
              <w:pStyle w:val="220"/>
              <w:jc w:val="right"/>
              <w:rPr>
                <w:i/>
                <w:iCs/>
              </w:rPr>
            </w:pPr>
            <w:r>
              <w:rPr>
                <w:i/>
                <w:iCs/>
                <w:color w:val="000000" w:themeColor="text1"/>
                <w:lang w:bidi="ar"/>
              </w:rPr>
              <w:t>q</w:t>
            </w:r>
          </w:p>
        </w:tc>
        <w:tc>
          <w:tcPr>
            <w:tcW w:w="0" w:type="auto"/>
            <w:vAlign w:val="center"/>
          </w:tcPr>
          <w:p w:rsidR="009136B5" w:rsidRDefault="00000000">
            <w:pPr>
              <w:pStyle w:val="220"/>
              <w:jc w:val="center"/>
            </w:pPr>
            <w:r>
              <w:t>——</w:t>
            </w:r>
          </w:p>
        </w:tc>
        <w:tc>
          <w:tcPr>
            <w:tcW w:w="0" w:type="auto"/>
            <w:vAlign w:val="center"/>
          </w:tcPr>
          <w:p w:rsidR="009136B5" w:rsidRDefault="00000000">
            <w:pPr>
              <w:ind w:firstLineChars="0" w:firstLine="0"/>
              <w:rPr>
                <w:bCs/>
                <w:szCs w:val="21"/>
              </w:rPr>
            </w:pPr>
            <w:r>
              <w:rPr>
                <w:color w:val="000000" w:themeColor="text1"/>
                <w:szCs w:val="21"/>
              </w:rPr>
              <w:t>原基础底面土</w:t>
            </w:r>
            <w:r>
              <w:rPr>
                <w:rFonts w:hint="eastAsia"/>
                <w:color w:val="000000" w:themeColor="text1"/>
                <w:szCs w:val="21"/>
              </w:rPr>
              <w:t>的反</w:t>
            </w:r>
            <w:r>
              <w:rPr>
                <w:color w:val="000000" w:themeColor="text1"/>
                <w:szCs w:val="21"/>
              </w:rPr>
              <w:t>力。</w:t>
            </w:r>
          </w:p>
        </w:tc>
      </w:tr>
    </w:tbl>
    <w:p w:rsidR="009136B5" w:rsidRDefault="00000000">
      <w:pPr>
        <w:pStyle w:val="af6"/>
      </w:pPr>
      <w:r>
        <w:br w:type="page"/>
      </w:r>
      <w:bookmarkStart w:id="20" w:name="_Toc123647759"/>
      <w:bookmarkStart w:id="21" w:name="_Toc16869"/>
      <w:bookmarkStart w:id="22" w:name="_Toc449476677"/>
      <w:r>
        <w:lastRenderedPageBreak/>
        <w:t xml:space="preserve">3  </w:t>
      </w:r>
      <w:r>
        <w:t>基本规定</w:t>
      </w:r>
      <w:bookmarkEnd w:id="20"/>
      <w:bookmarkEnd w:id="21"/>
      <w:bookmarkEnd w:id="22"/>
    </w:p>
    <w:p w:rsidR="009136B5" w:rsidRDefault="00000000">
      <w:pPr>
        <w:pStyle w:val="20"/>
      </w:pPr>
      <w:bookmarkStart w:id="23" w:name="_Toc17335"/>
      <w:bookmarkStart w:id="24" w:name="_Toc123647760"/>
      <w:r>
        <w:t xml:space="preserve">3.1 </w:t>
      </w:r>
      <w:r>
        <w:rPr>
          <w:rFonts w:hint="eastAsia"/>
        </w:rPr>
        <w:t xml:space="preserve"> </w:t>
      </w:r>
      <w:r>
        <w:t>一般规定</w:t>
      </w:r>
      <w:bookmarkEnd w:id="23"/>
      <w:bookmarkEnd w:id="24"/>
    </w:p>
    <w:p w:rsidR="009136B5" w:rsidRDefault="00000000">
      <w:pPr>
        <w:pStyle w:val="xxx"/>
      </w:pPr>
      <w:r>
        <w:rPr>
          <w:rFonts w:hint="eastAsia"/>
          <w:b/>
          <w:bCs/>
        </w:rPr>
        <w:t>3.1.1</w:t>
      </w:r>
      <w:r>
        <w:rPr>
          <w:rFonts w:hint="eastAsia"/>
        </w:rPr>
        <w:t xml:space="preserve"> </w:t>
      </w:r>
      <w:r>
        <w:t xml:space="preserve"> </w:t>
      </w:r>
      <w:r>
        <w:rPr>
          <w:rFonts w:hint="eastAsia"/>
        </w:rPr>
        <w:t>既有建筑地下增层前应对建筑物进行检测与鉴定。当鉴定结果不满足要求时应采取相应的加固措施。</w:t>
      </w:r>
    </w:p>
    <w:p w:rsidR="009136B5" w:rsidRDefault="00000000">
      <w:pPr>
        <w:pStyle w:val="xxx"/>
      </w:pPr>
      <w:r>
        <w:rPr>
          <w:rFonts w:hint="eastAsia"/>
          <w:b/>
          <w:bCs/>
        </w:rPr>
        <w:t>3.</w:t>
      </w:r>
      <w:r>
        <w:rPr>
          <w:b/>
          <w:bCs/>
        </w:rPr>
        <w:t>1</w:t>
      </w:r>
      <w:r>
        <w:rPr>
          <w:rFonts w:hint="eastAsia"/>
          <w:b/>
          <w:bCs/>
        </w:rPr>
        <w:t>.2</w:t>
      </w:r>
      <w:r>
        <w:t xml:space="preserve">  </w:t>
      </w:r>
      <w:r>
        <w:rPr>
          <w:rFonts w:hint="eastAsia"/>
        </w:rPr>
        <w:t>既有建筑地下增层方案应根据既有建筑类型与现状、基础形式、周边环境、地质条件、开挖深度、施工条件等因素综合确定。</w:t>
      </w:r>
    </w:p>
    <w:p w:rsidR="009136B5" w:rsidRDefault="00000000">
      <w:pPr>
        <w:ind w:firstLineChars="0" w:firstLine="0"/>
      </w:pPr>
      <w:r>
        <w:rPr>
          <w:rFonts w:hint="eastAsia"/>
          <w:b/>
          <w:bCs/>
        </w:rPr>
        <w:t>3.1.3</w:t>
      </w:r>
      <w:r>
        <w:rPr>
          <w:rFonts w:hint="eastAsia"/>
        </w:rPr>
        <w:t xml:space="preserve">  </w:t>
      </w:r>
      <w:r>
        <w:rPr>
          <w:rFonts w:hint="eastAsia"/>
        </w:rPr>
        <w:t>确定新增地下室外轮廓线时，宜沿既有建筑边线外扩</w:t>
      </w:r>
      <w:r>
        <w:rPr>
          <w:rFonts w:hint="eastAsia"/>
        </w:rPr>
        <w:t>1~2</w:t>
      </w:r>
      <w:r>
        <w:rPr>
          <w:rFonts w:hint="eastAsia"/>
        </w:rPr>
        <w:t>跨作为地下增层施工的出土口和材料、设备出入口。</w:t>
      </w:r>
    </w:p>
    <w:p w:rsidR="009136B5" w:rsidRDefault="00000000">
      <w:pPr>
        <w:pStyle w:val="xxx"/>
      </w:pPr>
      <w:r>
        <w:rPr>
          <w:rFonts w:hint="eastAsia"/>
          <w:b/>
          <w:bCs/>
        </w:rPr>
        <w:t>3.</w:t>
      </w:r>
      <w:r>
        <w:rPr>
          <w:b/>
          <w:bCs/>
        </w:rPr>
        <w:t>1</w:t>
      </w:r>
      <w:r>
        <w:rPr>
          <w:rFonts w:hint="eastAsia"/>
          <w:b/>
          <w:bCs/>
        </w:rPr>
        <w:t>.4</w:t>
      </w:r>
      <w:r>
        <w:rPr>
          <w:rFonts w:hint="eastAsia"/>
        </w:rPr>
        <w:t xml:space="preserve"> </w:t>
      </w:r>
      <w:r>
        <w:t xml:space="preserve"> </w:t>
      </w:r>
      <w:r>
        <w:rPr>
          <w:rFonts w:hint="eastAsia"/>
        </w:rPr>
        <w:t>既有建筑地下增层结构设计应包含下列内容：</w:t>
      </w:r>
    </w:p>
    <w:p w:rsidR="009136B5" w:rsidRDefault="00000000">
      <w:pPr>
        <w:pStyle w:val="x"/>
        <w:ind w:firstLine="315"/>
      </w:pPr>
      <w:r>
        <w:rPr>
          <w:rFonts w:hint="eastAsia"/>
        </w:rPr>
        <w:t xml:space="preserve">1 </w:t>
      </w:r>
      <w:r>
        <w:t xml:space="preserve"> </w:t>
      </w:r>
      <w:r>
        <w:rPr>
          <w:rFonts w:hint="eastAsia"/>
        </w:rPr>
        <w:t>托换结构布置；</w:t>
      </w:r>
    </w:p>
    <w:p w:rsidR="009136B5" w:rsidRDefault="00000000">
      <w:pPr>
        <w:pStyle w:val="x"/>
        <w:ind w:firstLine="315"/>
      </w:pPr>
      <w:r>
        <w:rPr>
          <w:rFonts w:hint="eastAsia"/>
        </w:rPr>
        <w:t xml:space="preserve">2 </w:t>
      </w:r>
      <w:r>
        <w:t xml:space="preserve"> </w:t>
      </w:r>
      <w:r>
        <w:rPr>
          <w:rFonts w:hint="eastAsia"/>
        </w:rPr>
        <w:t>托换结构的承载力和稳定性计算；</w:t>
      </w:r>
    </w:p>
    <w:p w:rsidR="009136B5" w:rsidRDefault="00000000">
      <w:pPr>
        <w:pStyle w:val="x"/>
        <w:ind w:firstLine="315"/>
      </w:pPr>
      <w:r>
        <w:rPr>
          <w:rFonts w:hint="eastAsia"/>
        </w:rPr>
        <w:t xml:space="preserve">3 </w:t>
      </w:r>
      <w:r>
        <w:t xml:space="preserve"> </w:t>
      </w:r>
      <w:r>
        <w:rPr>
          <w:rFonts w:hint="eastAsia"/>
        </w:rPr>
        <w:t>托换结构变形计算及其对上部结构影响分析；</w:t>
      </w:r>
    </w:p>
    <w:p w:rsidR="009136B5" w:rsidRDefault="00000000">
      <w:pPr>
        <w:pStyle w:val="x"/>
        <w:ind w:firstLine="315"/>
      </w:pPr>
      <w:r>
        <w:rPr>
          <w:rFonts w:hint="eastAsia"/>
        </w:rPr>
        <w:t xml:space="preserve">4 </w:t>
      </w:r>
      <w:r>
        <w:t xml:space="preserve"> </w:t>
      </w:r>
      <w:r>
        <w:rPr>
          <w:rFonts w:hint="eastAsia"/>
        </w:rPr>
        <w:t>侧向支护设计；</w:t>
      </w:r>
    </w:p>
    <w:p w:rsidR="009136B5" w:rsidRDefault="00000000">
      <w:pPr>
        <w:pStyle w:val="x"/>
        <w:ind w:firstLine="315"/>
      </w:pPr>
      <w:r>
        <w:rPr>
          <w:rFonts w:hint="eastAsia"/>
        </w:rPr>
        <w:t xml:space="preserve">5 </w:t>
      </w:r>
      <w:r>
        <w:t xml:space="preserve"> </w:t>
      </w:r>
      <w:r>
        <w:rPr>
          <w:rFonts w:hint="eastAsia"/>
        </w:rPr>
        <w:t>新增地下结构及基础设计；</w:t>
      </w:r>
    </w:p>
    <w:p w:rsidR="009136B5" w:rsidRDefault="00000000">
      <w:pPr>
        <w:pStyle w:val="x"/>
        <w:ind w:firstLine="315"/>
      </w:pPr>
      <w:r>
        <w:rPr>
          <w:rFonts w:hint="eastAsia"/>
        </w:rPr>
        <w:t xml:space="preserve">6 </w:t>
      </w:r>
      <w:r>
        <w:t xml:space="preserve"> </w:t>
      </w:r>
      <w:r>
        <w:rPr>
          <w:rFonts w:hint="eastAsia"/>
        </w:rPr>
        <w:t>连接节点设计。</w:t>
      </w:r>
    </w:p>
    <w:p w:rsidR="009136B5" w:rsidRDefault="00000000">
      <w:pPr>
        <w:pStyle w:val="x"/>
        <w:ind w:firstLineChars="0" w:firstLine="0"/>
      </w:pPr>
      <w:r>
        <w:rPr>
          <w:rFonts w:hint="eastAsia"/>
          <w:b/>
          <w:color w:val="0000FF"/>
          <w:kern w:val="0"/>
          <w:szCs w:val="20"/>
        </w:rPr>
        <w:t>条文说明：</w:t>
      </w:r>
      <w:r>
        <w:rPr>
          <w:rFonts w:hint="eastAsia"/>
          <w:color w:val="0000FF"/>
          <w:kern w:val="0"/>
          <w:szCs w:val="20"/>
        </w:rPr>
        <w:t>既有建筑地下增层时由于上部建筑物荷载已存在，在下部地下空间施作期间，保证上部既有建筑的安全是该技术的关键。</w:t>
      </w:r>
    </w:p>
    <w:p w:rsidR="009136B5" w:rsidRDefault="00000000">
      <w:pPr>
        <w:pStyle w:val="xxx"/>
      </w:pPr>
      <w:r>
        <w:rPr>
          <w:rFonts w:hint="eastAsia"/>
          <w:b/>
          <w:bCs/>
        </w:rPr>
        <w:t>3.1.5</w:t>
      </w:r>
      <w:r>
        <w:t xml:space="preserve">  </w:t>
      </w:r>
      <w:r>
        <w:rPr>
          <w:rFonts w:hint="eastAsia"/>
        </w:rPr>
        <w:t>既有建筑</w:t>
      </w:r>
      <w:r>
        <w:t>地下</w:t>
      </w:r>
      <w:r>
        <w:rPr>
          <w:rFonts w:hint="eastAsia"/>
        </w:rPr>
        <w:t>增层设计尚应包括规划、建筑防火、防水、人防和机电等相关设计。</w:t>
      </w:r>
    </w:p>
    <w:p w:rsidR="009136B5" w:rsidRDefault="00000000">
      <w:pPr>
        <w:pStyle w:val="afffff1"/>
        <w:ind w:firstLineChars="0" w:firstLine="0"/>
        <w:rPr>
          <w:color w:val="auto"/>
        </w:rPr>
      </w:pPr>
      <w:r>
        <w:rPr>
          <w:b/>
          <w:bCs/>
          <w:color w:val="auto"/>
        </w:rPr>
        <w:t xml:space="preserve">3.1.6  </w:t>
      </w:r>
      <w:r>
        <w:rPr>
          <w:rFonts w:hint="eastAsia"/>
          <w:color w:val="auto"/>
        </w:rPr>
        <w:t>既有建筑地下增层施工前应编制专项施工方案，施工作业流程宜符合图</w:t>
      </w:r>
      <w:r>
        <w:rPr>
          <w:rFonts w:hint="eastAsia"/>
          <w:color w:val="auto"/>
        </w:rPr>
        <w:t>3.1.</w:t>
      </w:r>
      <w:r>
        <w:rPr>
          <w:color w:val="auto"/>
        </w:rPr>
        <w:t>6</w:t>
      </w:r>
      <w:r>
        <w:rPr>
          <w:rFonts w:hint="eastAsia"/>
          <w:color w:val="auto"/>
        </w:rPr>
        <w:t>的要求。专项施工方案应包含下列内容：</w:t>
      </w:r>
    </w:p>
    <w:p w:rsidR="009136B5" w:rsidRDefault="00000000">
      <w:pPr>
        <w:pStyle w:val="x"/>
        <w:ind w:firstLine="315"/>
      </w:pPr>
      <w:r>
        <w:rPr>
          <w:rFonts w:hint="eastAsia"/>
        </w:rPr>
        <w:t xml:space="preserve">1 </w:t>
      </w:r>
      <w:r>
        <w:t xml:space="preserve"> </w:t>
      </w:r>
      <w:r>
        <w:rPr>
          <w:rFonts w:hint="eastAsia"/>
        </w:rPr>
        <w:t>竖向托换构件施工；</w:t>
      </w:r>
    </w:p>
    <w:p w:rsidR="009136B5" w:rsidRDefault="00000000">
      <w:pPr>
        <w:pStyle w:val="x"/>
        <w:ind w:firstLine="315"/>
      </w:pPr>
      <w:r>
        <w:rPr>
          <w:rFonts w:hint="eastAsia"/>
        </w:rPr>
        <w:t xml:space="preserve">2 </w:t>
      </w:r>
      <w:r>
        <w:t xml:space="preserve"> </w:t>
      </w:r>
      <w:r>
        <w:rPr>
          <w:rFonts w:hint="eastAsia"/>
        </w:rPr>
        <w:t>水平托换构件施工；</w:t>
      </w:r>
    </w:p>
    <w:p w:rsidR="009136B5" w:rsidRDefault="00000000">
      <w:pPr>
        <w:pStyle w:val="x"/>
        <w:ind w:firstLine="315"/>
      </w:pPr>
      <w:r>
        <w:rPr>
          <w:rFonts w:hint="eastAsia"/>
        </w:rPr>
        <w:t xml:space="preserve">3 </w:t>
      </w:r>
      <w:r>
        <w:t xml:space="preserve"> </w:t>
      </w:r>
      <w:r>
        <w:rPr>
          <w:rFonts w:hint="eastAsia"/>
        </w:rPr>
        <w:t>侧向支护结构施工；</w:t>
      </w:r>
    </w:p>
    <w:p w:rsidR="009136B5" w:rsidRDefault="00000000">
      <w:pPr>
        <w:pStyle w:val="x"/>
        <w:ind w:firstLine="315"/>
      </w:pPr>
      <w:r>
        <w:rPr>
          <w:rFonts w:hint="eastAsia"/>
        </w:rPr>
        <w:t xml:space="preserve">4 </w:t>
      </w:r>
      <w:r>
        <w:t xml:space="preserve"> </w:t>
      </w:r>
      <w:r>
        <w:rPr>
          <w:rFonts w:hint="eastAsia"/>
        </w:rPr>
        <w:t>土方开挖和地下水控制；</w:t>
      </w:r>
    </w:p>
    <w:p w:rsidR="009136B5" w:rsidRDefault="00000000">
      <w:pPr>
        <w:pStyle w:val="x"/>
        <w:ind w:firstLine="315"/>
      </w:pPr>
      <w:r>
        <w:rPr>
          <w:rFonts w:hint="eastAsia"/>
        </w:rPr>
        <w:t xml:space="preserve">5 </w:t>
      </w:r>
      <w:r>
        <w:t xml:space="preserve"> </w:t>
      </w:r>
      <w:r>
        <w:rPr>
          <w:rFonts w:hint="eastAsia"/>
        </w:rPr>
        <w:t>新增地下室基础及结构施工；</w:t>
      </w:r>
    </w:p>
    <w:p w:rsidR="009136B5" w:rsidRDefault="00000000">
      <w:pPr>
        <w:pStyle w:val="x"/>
        <w:ind w:firstLine="315"/>
      </w:pPr>
      <w:r>
        <w:rPr>
          <w:rFonts w:hint="eastAsia"/>
        </w:rPr>
        <w:t xml:space="preserve">6 </w:t>
      </w:r>
      <w:r>
        <w:t xml:space="preserve"> </w:t>
      </w:r>
      <w:r>
        <w:rPr>
          <w:rFonts w:hint="eastAsia"/>
        </w:rPr>
        <w:t>临时支撑及托换构件拆除。</w:t>
      </w:r>
    </w:p>
    <w:p w:rsidR="009136B5" w:rsidRDefault="009136B5">
      <w:pPr>
        <w:ind w:firstLine="420"/>
      </w:pPr>
    </w:p>
    <w:p w:rsidR="009136B5" w:rsidRDefault="009136B5">
      <w:pPr>
        <w:ind w:firstLine="420"/>
      </w:pPr>
    </w:p>
    <w:p w:rsidR="009136B5" w:rsidRDefault="00000000">
      <w:pPr>
        <w:pStyle w:val="affffb"/>
      </w:pPr>
      <w:r>
        <w:rPr>
          <w:noProof/>
        </w:rPr>
        <w:lastRenderedPageBreak/>
        <w:drawing>
          <wp:inline distT="0" distB="0" distL="0" distR="0">
            <wp:extent cx="4618990" cy="52228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4618990" cy="5222875"/>
                    </a:xfrm>
                    <a:prstGeom prst="rect">
                      <a:avLst/>
                    </a:prstGeom>
                    <a:noFill/>
                    <a:ln>
                      <a:noFill/>
                    </a:ln>
                  </pic:spPr>
                </pic:pic>
              </a:graphicData>
            </a:graphic>
          </wp:inline>
        </w:drawing>
      </w:r>
    </w:p>
    <w:p w:rsidR="009136B5" w:rsidRDefault="00000000">
      <w:pPr>
        <w:pStyle w:val="afffff1"/>
        <w:ind w:firstLineChars="0" w:firstLine="0"/>
        <w:jc w:val="center"/>
        <w:rPr>
          <w:color w:val="auto"/>
        </w:rPr>
      </w:pPr>
      <w:r>
        <w:rPr>
          <w:noProof/>
        </w:rPr>
        <mc:AlternateContent>
          <mc:Choice Requires="wps">
            <w:drawing>
              <wp:anchor distT="0" distB="0" distL="114300" distR="114300" simplePos="0" relativeHeight="251660288" behindDoc="0" locked="0" layoutInCell="1" allowOverlap="1">
                <wp:simplePos x="0" y="0"/>
                <wp:positionH relativeFrom="column">
                  <wp:posOffset>2744470</wp:posOffset>
                </wp:positionH>
                <wp:positionV relativeFrom="paragraph">
                  <wp:posOffset>217170</wp:posOffset>
                </wp:positionV>
                <wp:extent cx="4445" cy="314325"/>
                <wp:effectExtent l="0" t="0" r="0" b="0"/>
                <wp:wrapNone/>
                <wp:docPr id="2" name="直接箭头连接符 38"/>
                <wp:cNvGraphicFramePr/>
                <a:graphic xmlns:a="http://schemas.openxmlformats.org/drawingml/2006/main">
                  <a:graphicData uri="http://schemas.microsoft.com/office/word/2010/wordprocessingShape">
                    <wps:wsp>
                      <wps:cNvCnPr/>
                      <wps:spPr>
                        <a:xfrm flipH="1">
                          <a:off x="0" y="0"/>
                          <a:ext cx="4445" cy="314325"/>
                        </a:xfrm>
                        <a:prstGeom prst="straightConnector1">
                          <a:avLst/>
                        </a:prstGeom>
                        <a:noFill/>
                        <a:ln w="9525" cap="flat" cmpd="sng" algn="ctr">
                          <a:noFill/>
                          <a:prstDash val="solid"/>
                          <a:tailEnd type="arrow"/>
                        </a:ln>
                        <a:effectLst/>
                      </wps:spPr>
                      <wps:bodyPr/>
                    </wps:wsp>
                  </a:graphicData>
                </a:graphic>
              </wp:anchor>
            </w:drawing>
          </mc:Choice>
          <mc:Fallback xmlns:wpsCustomData="http://www.wps.cn/officeDocument/2013/wpsCustomData">
            <w:pict>
              <v:shape id="直接箭头连接符 38" o:spid="_x0000_s1026" o:spt="32" type="#_x0000_t32" style="position:absolute;left:0pt;flip:x;margin-left:216.1pt;margin-top:17.1pt;height:24.75pt;width:0.35pt;z-index:251660288;mso-width-relative:page;mso-height-relative:page;" filled="f" stroked="f" coordsize="21600,21600" o:gfxdata="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xD4UNUAAAAJAQAADwAAAAAAAAABACAAAAAiAAAAZHJzL2Rvd25yZXYueG1sUEsBAhQA&#10;FAAAAAgAh07iQEnDPSP1AQAAuQMAAA4AAAAAAAAAAQAgAAAAJAEAAGRycy9lMm9Eb2MueG1sUEsF&#10;BgAAAAAGAAYAWQEAAIsFAAAAAA==&#10;">
                <v:fill on="f" focussize="0,0"/>
                <v:stroke on="f" endarrow="open"/>
                <v:imagedata o:title=""/>
                <o:lock v:ext="edit" aspectratio="f"/>
              </v:shape>
            </w:pict>
          </mc:Fallback>
        </mc:AlternateContent>
      </w:r>
      <w:r>
        <w:rPr>
          <w:rFonts w:hint="eastAsia"/>
          <w:color w:val="auto"/>
        </w:rPr>
        <w:t>图</w:t>
      </w:r>
      <w:r>
        <w:rPr>
          <w:color w:val="auto"/>
        </w:rPr>
        <w:t xml:space="preserve">3.1.6  </w:t>
      </w:r>
      <w:r>
        <w:rPr>
          <w:rFonts w:hint="eastAsia"/>
          <w:color w:val="auto"/>
        </w:rPr>
        <w:t>地下增层施工工艺流程图</w:t>
      </w:r>
    </w:p>
    <w:p w:rsidR="009136B5" w:rsidRDefault="00000000">
      <w:pPr>
        <w:pStyle w:val="afffff1"/>
        <w:ind w:firstLineChars="0" w:firstLine="0"/>
      </w:pPr>
      <w:r>
        <w:rPr>
          <w:rFonts w:hint="eastAsia"/>
          <w:b/>
        </w:rPr>
        <w:t>条文说明：</w:t>
      </w:r>
      <w:r>
        <w:rPr>
          <w:rFonts w:hint="eastAsia"/>
        </w:rPr>
        <w:t>本规程主要针对既有建筑下方进行开挖和增设地下空间的原位增层，除原位增层外，既有建筑也可进行移位增层。在既有建筑外侧先建好地下空间时，将建筑物移至新建地下空间的正上方，并将移位建筑物和地下空间连接，完成地下增层。其施工工艺流程图按图</w:t>
      </w:r>
      <w:r>
        <w:rPr>
          <w:rFonts w:hint="eastAsia"/>
        </w:rPr>
        <w:t>1</w:t>
      </w:r>
      <w:r>
        <w:rPr>
          <w:rFonts w:hint="eastAsia"/>
        </w:rPr>
        <w:t>进行，示意图见图</w:t>
      </w:r>
      <w:r>
        <w:rPr>
          <w:rFonts w:hint="eastAsia"/>
        </w:rPr>
        <w:t>2</w:t>
      </w:r>
      <w:r>
        <w:rPr>
          <w:rFonts w:hint="eastAsia"/>
        </w:rPr>
        <w:t>。进行移位增层时，可根据移位增层相关规范进行设计、施工。</w:t>
      </w:r>
    </w:p>
    <w:p w:rsidR="009136B5" w:rsidRDefault="00000000">
      <w:pPr>
        <w:pStyle w:val="affffb"/>
      </w:pPr>
      <w:r>
        <w:rPr>
          <w:noProof/>
        </w:rPr>
        <w:lastRenderedPageBreak/>
        <w:drawing>
          <wp:inline distT="0" distB="0" distL="0" distR="0">
            <wp:extent cx="1753235" cy="2663825"/>
            <wp:effectExtent l="0" t="0" r="18415"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9" cstate="print"/>
                    <a:srcRect l="2196" t="3096" r="3406" b="5872"/>
                    <a:stretch>
                      <a:fillRect/>
                    </a:stretch>
                  </pic:blipFill>
                  <pic:spPr>
                    <a:xfrm>
                      <a:off x="0" y="0"/>
                      <a:ext cx="1753465" cy="2664000"/>
                    </a:xfrm>
                    <a:prstGeom prst="rect">
                      <a:avLst/>
                    </a:prstGeom>
                    <a:noFill/>
                    <a:ln>
                      <a:noFill/>
                    </a:ln>
                  </pic:spPr>
                </pic:pic>
              </a:graphicData>
            </a:graphic>
          </wp:inline>
        </w:drawing>
      </w:r>
    </w:p>
    <w:p w:rsidR="009136B5" w:rsidRDefault="00000000">
      <w:pPr>
        <w:pStyle w:val="affffb"/>
      </w:pPr>
      <w:r>
        <w:rPr>
          <w:rFonts w:hint="eastAsia"/>
        </w:rPr>
        <w:t>图</w:t>
      </w:r>
      <w:r>
        <w:rPr>
          <w:rFonts w:hint="eastAsia"/>
        </w:rPr>
        <w:t xml:space="preserve">1 </w:t>
      </w:r>
      <w:r>
        <w:rPr>
          <w:rFonts w:hint="eastAsia"/>
        </w:rPr>
        <w:t>建筑物移位地下增层施工工艺流程图</w:t>
      </w:r>
    </w:p>
    <w:p w:rsidR="009136B5" w:rsidRDefault="009136B5">
      <w:pPr>
        <w:pStyle w:val="affffb"/>
      </w:pPr>
    </w:p>
    <w:p w:rsidR="009136B5" w:rsidRDefault="00000000">
      <w:pPr>
        <w:pStyle w:val="affffb"/>
      </w:pPr>
      <w:r>
        <w:rPr>
          <w:rFonts w:hint="eastAsia"/>
        </w:rPr>
        <w:t xml:space="preserve"> </w:t>
      </w:r>
    </w:p>
    <w:p w:rsidR="009136B5" w:rsidRDefault="00000000">
      <w:pPr>
        <w:pStyle w:val="affffb"/>
      </w:pPr>
      <w:r>
        <w:rPr>
          <w:noProof/>
        </w:rPr>
        <w:drawing>
          <wp:inline distT="0" distB="0" distL="114300" distR="114300">
            <wp:extent cx="5471795" cy="3020695"/>
            <wp:effectExtent l="0" t="0" r="14605" b="8255"/>
            <wp:docPr id="5"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2"/>
                    <pic:cNvPicPr>
                      <a:picLocks noChangeAspect="1"/>
                    </pic:cNvPicPr>
                  </pic:nvPicPr>
                  <pic:blipFill>
                    <a:blip r:embed="rId50"/>
                    <a:stretch>
                      <a:fillRect/>
                    </a:stretch>
                  </pic:blipFill>
                  <pic:spPr>
                    <a:xfrm>
                      <a:off x="0" y="0"/>
                      <a:ext cx="5471795" cy="3020695"/>
                    </a:xfrm>
                    <a:prstGeom prst="rect">
                      <a:avLst/>
                    </a:prstGeom>
                    <a:noFill/>
                    <a:ln>
                      <a:noFill/>
                    </a:ln>
                  </pic:spPr>
                </pic:pic>
              </a:graphicData>
            </a:graphic>
          </wp:inline>
        </w:drawing>
      </w:r>
    </w:p>
    <w:p w:rsidR="009136B5" w:rsidRDefault="00000000">
      <w:pPr>
        <w:pStyle w:val="affffb"/>
      </w:pPr>
      <w:r>
        <w:rPr>
          <w:rFonts w:hint="eastAsia"/>
        </w:rPr>
        <w:t>图</w:t>
      </w:r>
      <w:r>
        <w:rPr>
          <w:rFonts w:hint="eastAsia"/>
        </w:rPr>
        <w:t xml:space="preserve">2   </w:t>
      </w:r>
      <w:r>
        <w:rPr>
          <w:rFonts w:hint="eastAsia"/>
        </w:rPr>
        <w:t>建筑物移位地下增层示意图</w:t>
      </w:r>
    </w:p>
    <w:p w:rsidR="009136B5" w:rsidRDefault="00000000">
      <w:pPr>
        <w:pStyle w:val="affffb"/>
        <w:rPr>
          <w:b w:val="0"/>
          <w:bCs w:val="0"/>
          <w:color w:val="auto"/>
        </w:rPr>
      </w:pPr>
      <w:r>
        <w:rPr>
          <w:rFonts w:hint="eastAsia"/>
          <w:b w:val="0"/>
          <w:bCs w:val="0"/>
          <w:color w:val="auto"/>
        </w:rPr>
        <w:t>1-</w:t>
      </w:r>
      <w:r>
        <w:rPr>
          <w:rFonts w:hint="eastAsia"/>
          <w:b w:val="0"/>
          <w:bCs w:val="0"/>
          <w:color w:val="auto"/>
        </w:rPr>
        <w:t>既有建筑</w:t>
      </w:r>
      <w:r>
        <w:rPr>
          <w:rFonts w:hint="eastAsia"/>
          <w:b w:val="0"/>
          <w:bCs w:val="0"/>
          <w:color w:val="auto"/>
        </w:rPr>
        <w:t xml:space="preserve">  </w:t>
      </w:r>
      <w:r>
        <w:rPr>
          <w:rFonts w:hint="eastAsia"/>
          <w:b w:val="0"/>
          <w:bCs w:val="0"/>
          <w:color w:val="auto"/>
        </w:rPr>
        <w:t>；</w:t>
      </w:r>
      <w:r>
        <w:rPr>
          <w:rFonts w:hint="eastAsia"/>
          <w:b w:val="0"/>
          <w:bCs w:val="0"/>
          <w:color w:val="auto"/>
        </w:rPr>
        <w:t>2-</w:t>
      </w:r>
      <w:r>
        <w:rPr>
          <w:rFonts w:hint="eastAsia"/>
          <w:b w:val="0"/>
          <w:bCs w:val="0"/>
          <w:color w:val="auto"/>
        </w:rPr>
        <w:t>顶推</w:t>
      </w:r>
      <w:r>
        <w:rPr>
          <w:rFonts w:hint="eastAsia"/>
          <w:b w:val="0"/>
          <w:bCs w:val="0"/>
          <w:color w:val="auto"/>
        </w:rPr>
        <w:t>/</w:t>
      </w:r>
      <w:r>
        <w:rPr>
          <w:rFonts w:hint="eastAsia"/>
          <w:b w:val="0"/>
          <w:bCs w:val="0"/>
          <w:color w:val="auto"/>
        </w:rPr>
        <w:t>牵引装置；</w:t>
      </w:r>
      <w:r>
        <w:rPr>
          <w:rFonts w:hint="eastAsia"/>
          <w:b w:val="0"/>
          <w:bCs w:val="0"/>
          <w:color w:val="auto"/>
        </w:rPr>
        <w:t xml:space="preserve">  3-</w:t>
      </w:r>
      <w:r>
        <w:rPr>
          <w:rFonts w:hint="eastAsia"/>
          <w:b w:val="0"/>
          <w:bCs w:val="0"/>
          <w:color w:val="auto"/>
        </w:rPr>
        <w:t>托换结构；</w:t>
      </w:r>
      <w:r>
        <w:rPr>
          <w:rFonts w:hint="eastAsia"/>
          <w:b w:val="0"/>
          <w:bCs w:val="0"/>
          <w:color w:val="auto"/>
        </w:rPr>
        <w:t xml:space="preserve">   4-</w:t>
      </w:r>
      <w:r>
        <w:rPr>
          <w:rFonts w:hint="eastAsia"/>
          <w:b w:val="0"/>
          <w:bCs w:val="0"/>
          <w:color w:val="auto"/>
        </w:rPr>
        <w:t>移位设备；</w:t>
      </w:r>
      <w:r>
        <w:rPr>
          <w:rFonts w:hint="eastAsia"/>
          <w:b w:val="0"/>
          <w:bCs w:val="0"/>
          <w:color w:val="auto"/>
        </w:rPr>
        <w:t xml:space="preserve">  5-</w:t>
      </w:r>
      <w:r>
        <w:rPr>
          <w:rFonts w:hint="eastAsia"/>
          <w:b w:val="0"/>
          <w:bCs w:val="0"/>
          <w:color w:val="auto"/>
        </w:rPr>
        <w:t>移位轨道；</w:t>
      </w:r>
      <w:r>
        <w:rPr>
          <w:rFonts w:hint="eastAsia"/>
          <w:b w:val="0"/>
          <w:bCs w:val="0"/>
          <w:color w:val="auto"/>
        </w:rPr>
        <w:t xml:space="preserve">   6-</w:t>
      </w:r>
      <w:r>
        <w:rPr>
          <w:rFonts w:hint="eastAsia"/>
          <w:b w:val="0"/>
          <w:bCs w:val="0"/>
          <w:color w:val="auto"/>
        </w:rPr>
        <w:t>新建地下空间</w:t>
      </w:r>
    </w:p>
    <w:p w:rsidR="009136B5" w:rsidRDefault="00000000">
      <w:pPr>
        <w:pStyle w:val="xxx"/>
      </w:pPr>
      <w:r>
        <w:rPr>
          <w:rFonts w:hint="eastAsia"/>
          <w:b/>
          <w:bCs/>
        </w:rPr>
        <w:t>3.</w:t>
      </w:r>
      <w:r>
        <w:rPr>
          <w:b/>
          <w:bCs/>
        </w:rPr>
        <w:t>1</w:t>
      </w:r>
      <w:r>
        <w:rPr>
          <w:rFonts w:hint="eastAsia"/>
          <w:b/>
          <w:bCs/>
        </w:rPr>
        <w:t>.</w:t>
      </w:r>
      <w:r>
        <w:rPr>
          <w:b/>
          <w:bCs/>
        </w:rPr>
        <w:t>7</w:t>
      </w:r>
      <w:r>
        <w:rPr>
          <w:rFonts w:hint="eastAsia"/>
        </w:rPr>
        <w:t xml:space="preserve"> </w:t>
      </w:r>
      <w:r>
        <w:t xml:space="preserve"> </w:t>
      </w:r>
      <w:r>
        <w:rPr>
          <w:rFonts w:hint="eastAsia"/>
        </w:rPr>
        <w:t>既有建筑地下增层工程应对托换体系、侧向支护体系、既有建筑结构和周边环境进行全过程监测。</w:t>
      </w:r>
    </w:p>
    <w:p w:rsidR="009136B5" w:rsidRDefault="00000000">
      <w:pPr>
        <w:pStyle w:val="afffff1"/>
        <w:ind w:firstLineChars="0" w:firstLine="0"/>
      </w:pPr>
      <w:r>
        <w:rPr>
          <w:rFonts w:hint="eastAsia"/>
          <w:b/>
        </w:rPr>
        <w:t>条文说明：</w:t>
      </w:r>
      <w:r>
        <w:rPr>
          <w:rFonts w:hint="eastAsia"/>
        </w:rPr>
        <w:t>应对托换桩、托换结构、支护体系、地下水位、周边土体、地下管线、邻近建（构）筑物进行动态监测并及时反馈。竣工后的沉降等监测时间应根据地基土的类别、基础的形式、建</w:t>
      </w:r>
      <w:r>
        <w:rPr>
          <w:rFonts w:hint="eastAsia"/>
        </w:rPr>
        <w:t>(</w:t>
      </w:r>
      <w:r>
        <w:rPr>
          <w:rFonts w:hint="eastAsia"/>
        </w:rPr>
        <w:t>构</w:t>
      </w:r>
      <w:r>
        <w:rPr>
          <w:rFonts w:hint="eastAsia"/>
        </w:rPr>
        <w:t>)</w:t>
      </w:r>
      <w:r>
        <w:rPr>
          <w:rFonts w:hint="eastAsia"/>
        </w:rPr>
        <w:t>筑物的结构形式等综合考虑，监测时间不宜小于</w:t>
      </w:r>
      <w:r>
        <w:rPr>
          <w:rFonts w:hint="eastAsia"/>
        </w:rPr>
        <w:t>60</w:t>
      </w:r>
      <w:r>
        <w:rPr>
          <w:rFonts w:hint="eastAsia"/>
        </w:rPr>
        <w:t>天。</w:t>
      </w:r>
    </w:p>
    <w:p w:rsidR="009136B5" w:rsidRDefault="009136B5">
      <w:pPr>
        <w:pStyle w:val="afffff1"/>
        <w:ind w:firstLineChars="0" w:firstLine="0"/>
        <w:jc w:val="center"/>
        <w:rPr>
          <w:color w:val="auto"/>
        </w:rPr>
      </w:pPr>
    </w:p>
    <w:p w:rsidR="009136B5" w:rsidRDefault="00000000">
      <w:pPr>
        <w:pStyle w:val="20"/>
      </w:pPr>
      <w:bookmarkStart w:id="25" w:name="_Toc31020"/>
      <w:bookmarkStart w:id="26" w:name="_Toc123647761"/>
      <w:r>
        <w:lastRenderedPageBreak/>
        <w:t xml:space="preserve">3.2 </w:t>
      </w:r>
      <w:r>
        <w:rPr>
          <w:rFonts w:hint="eastAsia"/>
        </w:rPr>
        <w:t xml:space="preserve"> </w:t>
      </w:r>
      <w:r>
        <w:t>既有建筑检测与鉴定</w:t>
      </w:r>
      <w:bookmarkEnd w:id="25"/>
      <w:bookmarkEnd w:id="26"/>
    </w:p>
    <w:p w:rsidR="009136B5" w:rsidRDefault="00000000">
      <w:pPr>
        <w:pStyle w:val="afffff1"/>
        <w:ind w:firstLineChars="0" w:firstLine="0"/>
      </w:pPr>
      <w:r>
        <w:rPr>
          <w:b/>
          <w:bCs/>
          <w:color w:val="auto"/>
        </w:rPr>
        <w:t>3.2.</w:t>
      </w:r>
      <w:r>
        <w:rPr>
          <w:rFonts w:hint="eastAsia"/>
          <w:b/>
          <w:bCs/>
          <w:color w:val="auto"/>
        </w:rPr>
        <w:t>1</w:t>
      </w:r>
      <w:r>
        <w:rPr>
          <w:color w:val="auto"/>
        </w:rPr>
        <w:t xml:space="preserve">  </w:t>
      </w:r>
      <w:r>
        <w:rPr>
          <w:rFonts w:hint="eastAsia"/>
          <w:color w:val="auto"/>
        </w:rPr>
        <w:t>既有建筑检测与鉴定前，应查阅工程图纸、搜集资料，并应对建筑物使用条件、使用环境、结构现状等进行现场调查、检测，必要时应进行监测。其工作的范围、内容、深度和技术要求，应满足检测与鉴定工作的需要。</w:t>
      </w:r>
    </w:p>
    <w:p w:rsidR="009136B5" w:rsidRDefault="00000000">
      <w:pPr>
        <w:widowControl/>
        <w:ind w:firstLineChars="0" w:firstLine="0"/>
        <w:jc w:val="left"/>
      </w:pPr>
      <w:r>
        <w:rPr>
          <w:rFonts w:hint="eastAsia"/>
          <w:b/>
          <w:bCs/>
        </w:rPr>
        <w:t>3.2.2</w:t>
      </w:r>
      <w:r>
        <w:rPr>
          <w:rFonts w:hint="eastAsia"/>
        </w:rPr>
        <w:t xml:space="preserve"> </w:t>
      </w:r>
      <w:r>
        <w:t xml:space="preserve"> </w:t>
      </w:r>
      <w:r>
        <w:rPr>
          <w:rFonts w:hint="eastAsia"/>
        </w:rPr>
        <w:t>当既有建筑的工程图纸和资料不全或与现场实际不符时，</w:t>
      </w:r>
      <w:r>
        <w:rPr>
          <w:lang w:bidi="ar"/>
        </w:rPr>
        <w:t>应对原建筑物的结构布置、受力构件的外形尺寸进行测绘</w:t>
      </w:r>
      <w:r>
        <w:rPr>
          <w:rFonts w:hint="eastAsia"/>
          <w:lang w:bidi="ar"/>
        </w:rPr>
        <w:t>，</w:t>
      </w:r>
      <w:r>
        <w:rPr>
          <w:lang w:bidi="ar"/>
        </w:rPr>
        <w:t>对</w:t>
      </w:r>
      <w:r>
        <w:rPr>
          <w:rFonts w:hint="eastAsia"/>
          <w:lang w:bidi="ar"/>
        </w:rPr>
        <w:t>受力</w:t>
      </w:r>
      <w:r>
        <w:rPr>
          <w:lang w:bidi="ar"/>
        </w:rPr>
        <w:t>构件</w:t>
      </w:r>
      <w:r>
        <w:rPr>
          <w:rFonts w:hint="eastAsia"/>
          <w:lang w:bidi="ar"/>
        </w:rPr>
        <w:t>的</w:t>
      </w:r>
      <w:r>
        <w:rPr>
          <w:lang w:bidi="ar"/>
        </w:rPr>
        <w:t>实际配筋、保护层厚度等进行检测。</w:t>
      </w:r>
    </w:p>
    <w:p w:rsidR="009136B5" w:rsidRDefault="00000000">
      <w:pPr>
        <w:pStyle w:val="afffff1"/>
        <w:ind w:firstLineChars="0" w:firstLine="0"/>
      </w:pPr>
      <w:r>
        <w:rPr>
          <w:rFonts w:hint="eastAsia"/>
          <w:b/>
        </w:rPr>
        <w:t>条文说明：</w:t>
      </w:r>
      <w:r>
        <w:rPr>
          <w:rFonts w:hint="eastAsia"/>
        </w:rPr>
        <w:t>当既有建筑的工程图纸和资料齐全，且真实和有效时，可仅进行验证性检查和检测；当结构存在资料缺失或失真现象时，应重点以现场详细核查和检测作为依据，保证结构鉴定与加固的可靠性。</w:t>
      </w:r>
    </w:p>
    <w:p w:rsidR="009136B5" w:rsidRDefault="00000000">
      <w:pPr>
        <w:pStyle w:val="xxx"/>
      </w:pPr>
      <w:r>
        <w:rPr>
          <w:b/>
          <w:bCs/>
        </w:rPr>
        <w:t>3</w:t>
      </w:r>
      <w:r>
        <w:rPr>
          <w:rFonts w:hint="eastAsia"/>
          <w:b/>
          <w:bCs/>
        </w:rPr>
        <w:t>.</w:t>
      </w:r>
      <w:r>
        <w:rPr>
          <w:b/>
          <w:bCs/>
        </w:rPr>
        <w:t>2</w:t>
      </w:r>
      <w:r>
        <w:rPr>
          <w:rFonts w:hint="eastAsia"/>
          <w:b/>
          <w:bCs/>
        </w:rPr>
        <w:t>.3</w:t>
      </w:r>
      <w:r>
        <w:rPr>
          <w:rFonts w:hint="eastAsia"/>
        </w:rPr>
        <w:t xml:space="preserve"> </w:t>
      </w:r>
      <w:r>
        <w:t xml:space="preserve"> </w:t>
      </w:r>
      <w:r>
        <w:rPr>
          <w:rFonts w:hint="eastAsia"/>
        </w:rPr>
        <w:t>既有建筑结构的检测与鉴定应包括下列内容：</w:t>
      </w:r>
    </w:p>
    <w:p w:rsidR="009136B5" w:rsidRDefault="00000000">
      <w:pPr>
        <w:pStyle w:val="x"/>
        <w:ind w:firstLine="315"/>
      </w:pPr>
      <w:r>
        <w:rPr>
          <w:rFonts w:hint="eastAsia"/>
        </w:rPr>
        <w:t>1</w:t>
      </w:r>
      <w:r>
        <w:t xml:space="preserve">  </w:t>
      </w:r>
      <w:r>
        <w:rPr>
          <w:rFonts w:hint="eastAsia"/>
        </w:rPr>
        <w:t>结构形式、楼屋盖形式、墙体材料与砌筑方式等；</w:t>
      </w:r>
    </w:p>
    <w:p w:rsidR="009136B5" w:rsidRDefault="00000000">
      <w:pPr>
        <w:pStyle w:val="x"/>
        <w:ind w:firstLine="315"/>
      </w:pPr>
      <w:r>
        <w:rPr>
          <w:rFonts w:hint="eastAsia"/>
        </w:rPr>
        <w:t xml:space="preserve">2 </w:t>
      </w:r>
      <w:r>
        <w:t xml:space="preserve"> </w:t>
      </w:r>
      <w:r>
        <w:rPr>
          <w:rFonts w:hint="eastAsia"/>
        </w:rPr>
        <w:t>建筑结构布置、结构及构件尺寸与设计资料或图纸的符合性；</w:t>
      </w:r>
    </w:p>
    <w:p w:rsidR="009136B5" w:rsidRDefault="00000000">
      <w:pPr>
        <w:pStyle w:val="x"/>
        <w:ind w:firstLine="315"/>
      </w:pPr>
      <w:r>
        <w:rPr>
          <w:rFonts w:hint="eastAsia"/>
        </w:rPr>
        <w:t xml:space="preserve">3 </w:t>
      </w:r>
      <w:r>
        <w:t xml:space="preserve"> </w:t>
      </w:r>
      <w:r>
        <w:rPr>
          <w:rFonts w:hint="eastAsia"/>
        </w:rPr>
        <w:t>结构构件的裂缝、损伤和缺陷；</w:t>
      </w:r>
    </w:p>
    <w:p w:rsidR="009136B5" w:rsidRDefault="00000000">
      <w:pPr>
        <w:pStyle w:val="x"/>
        <w:ind w:firstLine="315"/>
      </w:pPr>
      <w:r>
        <w:rPr>
          <w:rFonts w:hint="eastAsia"/>
        </w:rPr>
        <w:t xml:space="preserve">4 </w:t>
      </w:r>
      <w:r>
        <w:t xml:space="preserve"> </w:t>
      </w:r>
      <w:r>
        <w:rPr>
          <w:rFonts w:hint="eastAsia"/>
        </w:rPr>
        <w:t>结构、构件变形情况；</w:t>
      </w:r>
    </w:p>
    <w:p w:rsidR="009136B5" w:rsidRDefault="00000000">
      <w:pPr>
        <w:pStyle w:val="x"/>
        <w:ind w:firstLine="315"/>
      </w:pPr>
      <w:r>
        <w:rPr>
          <w:rFonts w:hint="eastAsia"/>
        </w:rPr>
        <w:t xml:space="preserve">5 </w:t>
      </w:r>
      <w:r>
        <w:t xml:space="preserve"> </w:t>
      </w:r>
      <w:r>
        <w:rPr>
          <w:rFonts w:hint="eastAsia"/>
        </w:rPr>
        <w:t>建筑物装饰装修情况；</w:t>
      </w:r>
    </w:p>
    <w:p w:rsidR="009136B5" w:rsidRDefault="00000000">
      <w:pPr>
        <w:pStyle w:val="x"/>
        <w:ind w:firstLine="315"/>
      </w:pPr>
      <w:r>
        <w:rPr>
          <w:rFonts w:hint="eastAsia"/>
        </w:rPr>
        <w:t xml:space="preserve">6 </w:t>
      </w:r>
      <w:r>
        <w:t xml:space="preserve"> </w:t>
      </w:r>
      <w:r>
        <w:rPr>
          <w:rFonts w:hint="eastAsia"/>
        </w:rPr>
        <w:t>材料强度；</w:t>
      </w:r>
    </w:p>
    <w:p w:rsidR="009136B5" w:rsidRDefault="00000000">
      <w:pPr>
        <w:pStyle w:val="x"/>
        <w:ind w:firstLine="315"/>
      </w:pPr>
      <w:r>
        <w:rPr>
          <w:rFonts w:hint="eastAsia"/>
        </w:rPr>
        <w:t xml:space="preserve">7 </w:t>
      </w:r>
      <w:r>
        <w:t xml:space="preserve"> </w:t>
      </w:r>
      <w:r>
        <w:rPr>
          <w:rFonts w:hint="eastAsia"/>
        </w:rPr>
        <w:t>结构和构件进行承载力验算。</w:t>
      </w:r>
    </w:p>
    <w:p w:rsidR="009136B5" w:rsidRDefault="00000000">
      <w:pPr>
        <w:pStyle w:val="x"/>
        <w:ind w:firstLineChars="0" w:firstLine="0"/>
      </w:pPr>
      <w:r>
        <w:rPr>
          <w:b/>
          <w:bCs/>
        </w:rPr>
        <w:t>3.2.</w:t>
      </w:r>
      <w:r>
        <w:rPr>
          <w:rFonts w:hint="eastAsia"/>
          <w:b/>
          <w:bCs/>
        </w:rPr>
        <w:t>4</w:t>
      </w:r>
      <w:r>
        <w:rPr>
          <w:rFonts w:hint="eastAsia"/>
        </w:rPr>
        <w:t xml:space="preserve"> </w:t>
      </w:r>
      <w:r>
        <w:t xml:space="preserve"> </w:t>
      </w:r>
      <w:r>
        <w:rPr>
          <w:rFonts w:hint="eastAsia"/>
        </w:rPr>
        <w:t>针对不同结构类型的建筑物，重点检测下列材料强度：</w:t>
      </w:r>
    </w:p>
    <w:p w:rsidR="009136B5" w:rsidRDefault="00000000">
      <w:pPr>
        <w:pStyle w:val="x1"/>
        <w:ind w:firstLineChars="150" w:firstLine="315"/>
      </w:pPr>
      <w:r>
        <w:rPr>
          <w:rFonts w:hint="eastAsia"/>
        </w:rPr>
        <w:t>1</w:t>
      </w:r>
      <w:r>
        <w:t xml:space="preserve">  </w:t>
      </w:r>
      <w:r>
        <w:rPr>
          <w:rFonts w:hint="eastAsia"/>
        </w:rPr>
        <w:t>钢筋混凝土结构的混凝土强度和钢筋性能；</w:t>
      </w:r>
    </w:p>
    <w:p w:rsidR="009136B5" w:rsidRDefault="00000000">
      <w:pPr>
        <w:pStyle w:val="x1"/>
        <w:ind w:firstLineChars="150" w:firstLine="315"/>
      </w:pPr>
      <w:r>
        <w:rPr>
          <w:rFonts w:hint="eastAsia"/>
        </w:rPr>
        <w:t xml:space="preserve">2  </w:t>
      </w:r>
      <w:r>
        <w:rPr>
          <w:rFonts w:hint="eastAsia"/>
        </w:rPr>
        <w:t>砖砌体结构砂浆和块材强度；</w:t>
      </w:r>
    </w:p>
    <w:p w:rsidR="009136B5" w:rsidRDefault="00000000">
      <w:pPr>
        <w:pStyle w:val="x1"/>
        <w:ind w:firstLineChars="150" w:firstLine="315"/>
      </w:pPr>
      <w:r>
        <w:rPr>
          <w:rFonts w:hint="eastAsia"/>
        </w:rPr>
        <w:t xml:space="preserve">3  </w:t>
      </w:r>
      <w:r>
        <w:rPr>
          <w:rFonts w:hint="eastAsia"/>
        </w:rPr>
        <w:t>钢结构的钢材强度，螺栓种类、排布方式、数量、高强螺栓终拧扭矩，焊缝质量等。</w:t>
      </w:r>
    </w:p>
    <w:p w:rsidR="009136B5" w:rsidRDefault="00000000">
      <w:pPr>
        <w:pStyle w:val="x"/>
        <w:ind w:firstLineChars="0" w:firstLine="0"/>
      </w:pPr>
      <w:r>
        <w:rPr>
          <w:rFonts w:hint="eastAsia"/>
          <w:b/>
          <w:bCs/>
        </w:rPr>
        <w:t>3.2.5</w:t>
      </w:r>
      <w:r>
        <w:rPr>
          <w:rFonts w:hint="eastAsia"/>
        </w:rPr>
        <w:t xml:space="preserve"> </w:t>
      </w:r>
      <w:r>
        <w:t xml:space="preserve"> </w:t>
      </w:r>
      <w:r>
        <w:rPr>
          <w:rFonts w:hint="eastAsia"/>
        </w:rPr>
        <w:t>验算采用的计算模型应符合结构受力和构造的实际情况，结构或构件的材料强度</w:t>
      </w:r>
      <w:r>
        <w:rPr>
          <w:rFonts w:hint="eastAsia"/>
        </w:rPr>
        <w:t xml:space="preserve"> </w:t>
      </w:r>
      <w:r>
        <w:rPr>
          <w:rFonts w:hint="eastAsia"/>
        </w:rPr>
        <w:t>、几何参数可采用原设计值，当检测结果不符合原设计规定时，应按实际结果取值。</w:t>
      </w:r>
    </w:p>
    <w:p w:rsidR="009136B5" w:rsidRDefault="00000000">
      <w:pPr>
        <w:pStyle w:val="xxx"/>
      </w:pPr>
      <w:r>
        <w:rPr>
          <w:b/>
          <w:bCs/>
        </w:rPr>
        <w:t>3</w:t>
      </w:r>
      <w:r>
        <w:rPr>
          <w:rFonts w:hint="eastAsia"/>
          <w:b/>
          <w:bCs/>
        </w:rPr>
        <w:t>.</w:t>
      </w:r>
      <w:r>
        <w:rPr>
          <w:b/>
          <w:bCs/>
        </w:rPr>
        <w:t>2</w:t>
      </w:r>
      <w:r>
        <w:rPr>
          <w:rFonts w:hint="eastAsia"/>
          <w:b/>
          <w:bCs/>
        </w:rPr>
        <w:t>.6</w:t>
      </w:r>
      <w:r>
        <w:rPr>
          <w:rFonts w:hint="eastAsia"/>
        </w:rPr>
        <w:t xml:space="preserve"> </w:t>
      </w:r>
      <w:r>
        <w:t xml:space="preserve"> </w:t>
      </w:r>
      <w:r>
        <w:rPr>
          <w:rFonts w:hint="eastAsia"/>
        </w:rPr>
        <w:t>既有建筑地基基础的检测与鉴定应包括下列内容：</w:t>
      </w:r>
    </w:p>
    <w:p w:rsidR="009136B5" w:rsidRDefault="00000000">
      <w:pPr>
        <w:pStyle w:val="x"/>
        <w:ind w:firstLine="315"/>
      </w:pPr>
      <w:r>
        <w:rPr>
          <w:rFonts w:hint="eastAsia"/>
        </w:rPr>
        <w:t>1</w:t>
      </w:r>
      <w:r>
        <w:t xml:space="preserve">  </w:t>
      </w:r>
      <w:r>
        <w:rPr>
          <w:rFonts w:hint="eastAsia"/>
        </w:rPr>
        <w:t>场地类别与地基土状况；</w:t>
      </w:r>
    </w:p>
    <w:p w:rsidR="009136B5" w:rsidRDefault="00000000">
      <w:pPr>
        <w:pStyle w:val="x"/>
        <w:ind w:firstLine="315"/>
      </w:pPr>
      <w:r>
        <w:rPr>
          <w:rFonts w:hint="eastAsia"/>
        </w:rPr>
        <w:t xml:space="preserve">2 </w:t>
      </w:r>
      <w:r>
        <w:t xml:space="preserve"> </w:t>
      </w:r>
      <w:r>
        <w:rPr>
          <w:rFonts w:hint="eastAsia"/>
        </w:rPr>
        <w:t>地基承载力</w:t>
      </w:r>
      <w:r>
        <w:rPr>
          <w:rFonts w:hint="eastAsia"/>
        </w:rPr>
        <w:t>(</w:t>
      </w:r>
      <w:r>
        <w:rPr>
          <w:rFonts w:hint="eastAsia"/>
        </w:rPr>
        <w:t>原位或土工试验</w:t>
      </w:r>
      <w:r>
        <w:rPr>
          <w:rFonts w:hint="eastAsia"/>
        </w:rPr>
        <w:t>)</w:t>
      </w:r>
      <w:r>
        <w:rPr>
          <w:rFonts w:hint="eastAsia"/>
        </w:rPr>
        <w:t>；</w:t>
      </w:r>
    </w:p>
    <w:p w:rsidR="009136B5" w:rsidRDefault="00000000">
      <w:pPr>
        <w:widowControl/>
        <w:ind w:firstLineChars="150" w:firstLine="315"/>
        <w:jc w:val="left"/>
      </w:pPr>
      <w:r>
        <w:rPr>
          <w:rFonts w:hint="eastAsia"/>
        </w:rPr>
        <w:t xml:space="preserve">3 </w:t>
      </w:r>
      <w:r>
        <w:t xml:space="preserve"> </w:t>
      </w:r>
      <w:r>
        <w:t>基础、桩的</w:t>
      </w:r>
      <w:r>
        <w:rPr>
          <w:rFonts w:hint="eastAsia"/>
        </w:rPr>
        <w:t>外形尺寸、埋置深度、基础开裂、材料强度、钢筋锈蚀程度；</w:t>
      </w:r>
    </w:p>
    <w:p w:rsidR="009136B5" w:rsidRDefault="00000000">
      <w:pPr>
        <w:pStyle w:val="x"/>
        <w:ind w:firstLine="315"/>
      </w:pPr>
      <w:r>
        <w:rPr>
          <w:rFonts w:hint="eastAsia"/>
        </w:rPr>
        <w:t xml:space="preserve">4 </w:t>
      </w:r>
      <w:r>
        <w:t xml:space="preserve"> </w:t>
      </w:r>
      <w:r>
        <w:rPr>
          <w:rFonts w:hint="eastAsia"/>
        </w:rPr>
        <w:t>地基基础沉降（变形）。</w:t>
      </w:r>
    </w:p>
    <w:p w:rsidR="009136B5" w:rsidRDefault="00000000">
      <w:pPr>
        <w:pStyle w:val="x"/>
        <w:ind w:firstLineChars="0" w:firstLine="0"/>
        <w:rPr>
          <w:color w:val="000000" w:themeColor="text1"/>
          <w:kern w:val="0"/>
          <w:szCs w:val="20"/>
        </w:rPr>
      </w:pPr>
      <w:r>
        <w:rPr>
          <w:rFonts w:hint="eastAsia"/>
          <w:b/>
          <w:bCs/>
        </w:rPr>
        <w:t>3.2.7</w:t>
      </w:r>
      <w:r>
        <w:rPr>
          <w:rFonts w:hint="eastAsia"/>
        </w:rPr>
        <w:t xml:space="preserve"> </w:t>
      </w:r>
      <w:r>
        <w:t xml:space="preserve"> </w:t>
      </w:r>
      <w:r>
        <w:rPr>
          <w:rFonts w:hint="eastAsia"/>
          <w:color w:val="000000" w:themeColor="text1"/>
          <w:kern w:val="0"/>
          <w:szCs w:val="20"/>
        </w:rPr>
        <w:t>当利用既有工程桩作为托换桩时，应对其材料强度、外形尺寸、垂直度偏差等内容进行检测与鉴定。</w:t>
      </w:r>
    </w:p>
    <w:p w:rsidR="009136B5" w:rsidRDefault="00000000">
      <w:pPr>
        <w:pStyle w:val="x"/>
        <w:ind w:firstLineChars="0" w:firstLine="0"/>
        <w:rPr>
          <w:color w:val="0000FF"/>
          <w:kern w:val="0"/>
          <w:szCs w:val="20"/>
        </w:rPr>
      </w:pPr>
      <w:r>
        <w:rPr>
          <w:rFonts w:hint="eastAsia"/>
          <w:b/>
          <w:color w:val="0000FF"/>
          <w:kern w:val="0"/>
          <w:szCs w:val="20"/>
        </w:rPr>
        <w:t>条文说明：</w:t>
      </w:r>
      <w:r>
        <w:rPr>
          <w:rFonts w:hint="eastAsia"/>
          <w:color w:val="0000FF"/>
          <w:kern w:val="0"/>
          <w:szCs w:val="20"/>
        </w:rPr>
        <w:t>托换桩是既有建筑地下增层中的重要受力构件，当现行检测鉴定相关规范未能包含设计单位重点关注的检测与鉴定内容时，设计单位可根据实际工程需求提出补充检测与鉴定内容。</w:t>
      </w:r>
    </w:p>
    <w:p w:rsidR="009136B5" w:rsidRDefault="009136B5">
      <w:pPr>
        <w:pStyle w:val="x"/>
        <w:ind w:firstLineChars="0" w:firstLine="0"/>
        <w:rPr>
          <w:color w:val="0000FF"/>
          <w:kern w:val="0"/>
          <w:szCs w:val="20"/>
        </w:rPr>
      </w:pPr>
    </w:p>
    <w:p w:rsidR="009136B5" w:rsidRDefault="009136B5">
      <w:pPr>
        <w:pStyle w:val="x1"/>
        <w:ind w:firstLineChars="0" w:firstLine="0"/>
      </w:pPr>
    </w:p>
    <w:p w:rsidR="009136B5" w:rsidRDefault="009136B5">
      <w:pPr>
        <w:pStyle w:val="x"/>
        <w:ind w:firstLine="315"/>
      </w:pPr>
    </w:p>
    <w:p w:rsidR="009136B5" w:rsidRDefault="00000000">
      <w:pPr>
        <w:pStyle w:val="20"/>
      </w:pPr>
      <w:bookmarkStart w:id="27" w:name="_Toc123647762"/>
      <w:bookmarkStart w:id="28" w:name="_Toc3133"/>
      <w:r>
        <w:lastRenderedPageBreak/>
        <w:t xml:space="preserve">3.3 </w:t>
      </w:r>
      <w:r>
        <w:rPr>
          <w:rFonts w:hint="eastAsia"/>
        </w:rPr>
        <w:t xml:space="preserve"> </w:t>
      </w:r>
      <w:r>
        <w:rPr>
          <w:rFonts w:hint="eastAsia"/>
        </w:rPr>
        <w:t>环境调查</w:t>
      </w:r>
      <w:bookmarkEnd w:id="27"/>
      <w:bookmarkEnd w:id="28"/>
    </w:p>
    <w:p w:rsidR="009136B5" w:rsidRDefault="00000000">
      <w:pPr>
        <w:pStyle w:val="xxx"/>
      </w:pPr>
      <w:r>
        <w:rPr>
          <w:rFonts w:hint="eastAsia"/>
          <w:b/>
          <w:bCs/>
        </w:rPr>
        <w:t>3.3.1</w:t>
      </w:r>
      <w:r>
        <w:rPr>
          <w:rFonts w:hint="eastAsia"/>
        </w:rPr>
        <w:t xml:space="preserve"> </w:t>
      </w:r>
      <w:r>
        <w:t xml:space="preserve"> </w:t>
      </w:r>
      <w:r>
        <w:rPr>
          <w:rFonts w:hint="eastAsia"/>
        </w:rPr>
        <w:t>既有建筑地下增层设计前应对周边环境展开调查。</w:t>
      </w:r>
    </w:p>
    <w:p w:rsidR="009136B5" w:rsidRDefault="00000000">
      <w:pPr>
        <w:pStyle w:val="afffff1"/>
        <w:ind w:firstLineChars="0" w:firstLine="0"/>
      </w:pPr>
      <w:r>
        <w:rPr>
          <w:rFonts w:hint="eastAsia"/>
          <w:b/>
        </w:rPr>
        <w:t>条文说明：</w:t>
      </w:r>
      <w:r>
        <w:rPr>
          <w:rFonts w:hint="eastAsia"/>
        </w:rPr>
        <w:t>鉴于既有建筑处于服役状态，周边管线复杂，地下增层时，必须对周边环境进行调查。</w:t>
      </w:r>
    </w:p>
    <w:p w:rsidR="009136B5" w:rsidRDefault="00000000">
      <w:pPr>
        <w:pStyle w:val="xxx"/>
      </w:pPr>
      <w:r>
        <w:rPr>
          <w:rFonts w:hint="eastAsia"/>
          <w:b/>
          <w:bCs/>
        </w:rPr>
        <w:t>3.3.2</w:t>
      </w:r>
      <w:r>
        <w:rPr>
          <w:rFonts w:hint="eastAsia"/>
        </w:rPr>
        <w:t xml:space="preserve"> </w:t>
      </w:r>
      <w:r>
        <w:t xml:space="preserve"> </w:t>
      </w:r>
      <w:r>
        <w:rPr>
          <w:rFonts w:hint="eastAsia"/>
        </w:rPr>
        <w:t>环境调查应在已有勘察报告和设计文件的基础上，根据工程条件及采用的施工方法、工艺，判定需补充查明的地下埋藏物及周边环境条件。</w:t>
      </w:r>
    </w:p>
    <w:p w:rsidR="009136B5" w:rsidRDefault="00000000">
      <w:pPr>
        <w:pStyle w:val="xxx"/>
      </w:pPr>
      <w:r>
        <w:rPr>
          <w:rFonts w:hint="eastAsia"/>
          <w:b/>
          <w:bCs/>
        </w:rPr>
        <w:t>3.3.</w:t>
      </w:r>
      <w:r>
        <w:rPr>
          <w:b/>
          <w:bCs/>
        </w:rPr>
        <w:t>3</w:t>
      </w:r>
      <w:r>
        <w:t xml:space="preserve">  </w:t>
      </w:r>
      <w:r>
        <w:rPr>
          <w:rFonts w:hint="eastAsia"/>
        </w:rPr>
        <w:t>环境调查应包括下列内容：</w:t>
      </w:r>
    </w:p>
    <w:p w:rsidR="009136B5" w:rsidRDefault="00000000">
      <w:pPr>
        <w:pStyle w:val="x"/>
        <w:ind w:firstLine="315"/>
      </w:pPr>
      <w:r>
        <w:rPr>
          <w:rFonts w:hint="eastAsia"/>
        </w:rPr>
        <w:t>1</w:t>
      </w:r>
      <w:r>
        <w:t xml:space="preserve">  </w:t>
      </w:r>
      <w:r>
        <w:rPr>
          <w:rFonts w:hint="eastAsia"/>
        </w:rPr>
        <w:t>应查明周边影响范围内各类地下管网的类型、材质、分布、使用情况以及对施工振动和变形的承受能力。</w:t>
      </w:r>
    </w:p>
    <w:p w:rsidR="009136B5" w:rsidRDefault="00000000">
      <w:pPr>
        <w:pStyle w:val="x"/>
        <w:ind w:firstLine="315"/>
      </w:pPr>
      <w:r>
        <w:t xml:space="preserve">2  </w:t>
      </w:r>
      <w:r>
        <w:rPr>
          <w:rFonts w:hint="eastAsia"/>
        </w:rPr>
        <w:t>应查明周边的建</w:t>
      </w:r>
      <w:r>
        <w:rPr>
          <w:rFonts w:hint="eastAsia"/>
        </w:rPr>
        <w:t>(</w:t>
      </w:r>
      <w:r>
        <w:rPr>
          <w:rFonts w:hint="eastAsia"/>
        </w:rPr>
        <w:t>构</w:t>
      </w:r>
      <w:r>
        <w:rPr>
          <w:rFonts w:hint="eastAsia"/>
        </w:rPr>
        <w:t>)</w:t>
      </w:r>
      <w:r>
        <w:rPr>
          <w:rFonts w:hint="eastAsia"/>
        </w:rPr>
        <w:t>物结构类型、基础形式、埋深及围护结构的分布。</w:t>
      </w:r>
    </w:p>
    <w:p w:rsidR="009136B5" w:rsidRDefault="00000000">
      <w:pPr>
        <w:pStyle w:val="x"/>
        <w:ind w:firstLine="315"/>
      </w:pPr>
      <w:r>
        <w:rPr>
          <w:rFonts w:hint="eastAsia"/>
        </w:rPr>
        <w:t xml:space="preserve">3  </w:t>
      </w:r>
      <w:r>
        <w:rPr>
          <w:rFonts w:hint="eastAsia"/>
        </w:rPr>
        <w:t>应查明周边道路分布及运行车辆载重情况。</w:t>
      </w:r>
    </w:p>
    <w:p w:rsidR="009136B5" w:rsidRDefault="00000000">
      <w:pPr>
        <w:pStyle w:val="x"/>
        <w:ind w:firstLine="315"/>
      </w:pPr>
      <w:r>
        <w:rPr>
          <w:rFonts w:hint="eastAsia"/>
        </w:rPr>
        <w:t xml:space="preserve">4  </w:t>
      </w:r>
      <w:r>
        <w:rPr>
          <w:rFonts w:hint="eastAsia"/>
        </w:rPr>
        <w:t>应查明地下增层施工机械及材料等进出场路线情况。</w:t>
      </w:r>
    </w:p>
    <w:p w:rsidR="009136B5" w:rsidRDefault="00000000">
      <w:pPr>
        <w:pStyle w:val="afffff1"/>
        <w:ind w:firstLineChars="0" w:firstLine="0"/>
      </w:pPr>
      <w:r>
        <w:rPr>
          <w:rFonts w:hint="eastAsia"/>
          <w:b/>
        </w:rPr>
        <w:t>条文说明：</w:t>
      </w:r>
      <w:r>
        <w:rPr>
          <w:rFonts w:hint="eastAsia"/>
        </w:rPr>
        <w:t>环境调查的对象主要指会对既有建筑地下增层基础及基坑工程产生影响或受其影响的周围建</w:t>
      </w:r>
      <w:r>
        <w:rPr>
          <w:rFonts w:hint="eastAsia"/>
        </w:rPr>
        <w:t>(</w:t>
      </w:r>
      <w:r>
        <w:rPr>
          <w:rFonts w:hint="eastAsia"/>
        </w:rPr>
        <w:t>构</w:t>
      </w:r>
      <w:r>
        <w:rPr>
          <w:rFonts w:hint="eastAsia"/>
        </w:rPr>
        <w:t>)</w:t>
      </w:r>
      <w:r>
        <w:rPr>
          <w:rFonts w:hint="eastAsia"/>
        </w:rPr>
        <w:t>筑物、道路、地下管线、贮输水设施及相关活动等，以及施工时的荷载堆放、运输车辆的道路。此外，宜进一步查明既有建</w:t>
      </w:r>
      <w:r>
        <w:rPr>
          <w:rFonts w:hint="eastAsia"/>
        </w:rPr>
        <w:t>(</w:t>
      </w:r>
      <w:r>
        <w:rPr>
          <w:rFonts w:hint="eastAsia"/>
        </w:rPr>
        <w:t>构</w:t>
      </w:r>
      <w:r>
        <w:rPr>
          <w:rFonts w:hint="eastAsia"/>
        </w:rPr>
        <w:t>)</w:t>
      </w:r>
      <w:r>
        <w:rPr>
          <w:rFonts w:hint="eastAsia"/>
        </w:rPr>
        <w:t>筑物的高度、建成时间、沉降变形、损坏和维修等情况。</w:t>
      </w:r>
    </w:p>
    <w:p w:rsidR="009136B5" w:rsidRDefault="00000000">
      <w:pPr>
        <w:pStyle w:val="20"/>
      </w:pPr>
      <w:bookmarkStart w:id="29" w:name="_Toc19504"/>
      <w:bookmarkStart w:id="30" w:name="_Toc123647763"/>
      <w:r>
        <w:t xml:space="preserve">3.4 </w:t>
      </w:r>
      <w:r>
        <w:rPr>
          <w:rFonts w:hint="eastAsia"/>
        </w:rPr>
        <w:t xml:space="preserve"> </w:t>
      </w:r>
      <w:r>
        <w:rPr>
          <w:rFonts w:hint="eastAsia"/>
        </w:rPr>
        <w:t>岩土工程勘察</w:t>
      </w:r>
      <w:bookmarkEnd w:id="29"/>
      <w:bookmarkEnd w:id="30"/>
    </w:p>
    <w:p w:rsidR="009136B5" w:rsidRDefault="00000000">
      <w:pPr>
        <w:pStyle w:val="xxx"/>
      </w:pPr>
      <w:r>
        <w:rPr>
          <w:rFonts w:hint="eastAsia"/>
          <w:b/>
          <w:bCs/>
        </w:rPr>
        <w:t>3.4.1</w:t>
      </w:r>
      <w:r>
        <w:rPr>
          <w:rFonts w:hint="eastAsia"/>
        </w:rPr>
        <w:t xml:space="preserve"> </w:t>
      </w:r>
      <w:r>
        <w:t xml:space="preserve"> </w:t>
      </w:r>
      <w:r>
        <w:rPr>
          <w:rFonts w:hint="eastAsia"/>
        </w:rPr>
        <w:t>既有建筑地下增层工程应收集既有建筑物岩土工程勘察报告，如原勘察报告不满足地下增层设计要求时应进行补充勘察。</w:t>
      </w:r>
    </w:p>
    <w:p w:rsidR="009136B5" w:rsidRDefault="00000000">
      <w:pPr>
        <w:pStyle w:val="afffff1"/>
        <w:ind w:firstLineChars="0" w:firstLine="0"/>
      </w:pPr>
      <w:r>
        <w:rPr>
          <w:rFonts w:hint="eastAsia"/>
          <w:b/>
        </w:rPr>
        <w:t>条文说明：</w:t>
      </w:r>
      <w:r>
        <w:rPr>
          <w:rFonts w:hint="eastAsia"/>
        </w:rPr>
        <w:t>既有建筑无地下室，地下增层需进行侧向支护和抗浮设计，或者既有建筑为柱下扩展基础，地下增层后需要调整基础形式时，需通过补充勘察提供相关设计参数。</w:t>
      </w:r>
    </w:p>
    <w:p w:rsidR="009136B5" w:rsidRDefault="00000000">
      <w:pPr>
        <w:pStyle w:val="xxx"/>
        <w:rPr>
          <w:color w:val="000000" w:themeColor="text1"/>
        </w:rPr>
      </w:pPr>
      <w:r>
        <w:rPr>
          <w:b/>
          <w:bCs/>
          <w:color w:val="000000" w:themeColor="text1"/>
        </w:rPr>
        <w:t>3.4.2</w:t>
      </w:r>
      <w:r>
        <w:rPr>
          <w:color w:val="000000" w:themeColor="text1"/>
        </w:rPr>
        <w:t xml:space="preserve">  </w:t>
      </w:r>
      <w:r>
        <w:rPr>
          <w:rFonts w:hint="eastAsia"/>
        </w:rPr>
        <w:t>既有建筑地下增层工程岩土工程勘察除应符合现行国家标准的有关规定外，尚应重点查明竖向托换构件、围护结构影响范围内工程地质及水文地质条件。</w:t>
      </w:r>
    </w:p>
    <w:p w:rsidR="009136B5" w:rsidRDefault="00000000">
      <w:pPr>
        <w:pStyle w:val="xxx"/>
      </w:pPr>
      <w:r>
        <w:rPr>
          <w:b/>
          <w:bCs/>
        </w:rPr>
        <w:t>3.4.</w:t>
      </w:r>
      <w:r>
        <w:rPr>
          <w:rFonts w:hint="eastAsia"/>
          <w:b/>
          <w:bCs/>
        </w:rPr>
        <w:t>3</w:t>
      </w:r>
      <w:r>
        <w:rPr>
          <w:rFonts w:hint="eastAsia"/>
        </w:rPr>
        <w:t xml:space="preserve"> </w:t>
      </w:r>
      <w:r>
        <w:t xml:space="preserve"> </w:t>
      </w:r>
      <w:r>
        <w:rPr>
          <w:rFonts w:hint="eastAsia"/>
        </w:rPr>
        <w:t>既有建筑地下增层工程的补充勘察应包括以下内容：</w:t>
      </w:r>
    </w:p>
    <w:p w:rsidR="009136B5" w:rsidRDefault="00000000">
      <w:pPr>
        <w:pStyle w:val="x"/>
        <w:ind w:firstLine="315"/>
      </w:pPr>
      <w:r>
        <w:rPr>
          <w:rFonts w:hint="eastAsia"/>
        </w:rPr>
        <w:t xml:space="preserve">1 </w:t>
      </w:r>
      <w:r>
        <w:rPr>
          <w:rFonts w:hint="eastAsia"/>
        </w:rPr>
        <w:t>场地土层分布、岩土物理力学性质的统计与综合分析，提出增层地下室托换桩、抗浮锚杆及侧向支护基坑工程设计参数的建议值；</w:t>
      </w:r>
    </w:p>
    <w:p w:rsidR="009136B5" w:rsidRDefault="00000000">
      <w:pPr>
        <w:pStyle w:val="x"/>
        <w:ind w:firstLine="315"/>
      </w:pPr>
      <w:r>
        <w:rPr>
          <w:rFonts w:hint="eastAsia"/>
        </w:rPr>
        <w:t xml:space="preserve">2 </w:t>
      </w:r>
      <w:r>
        <w:rPr>
          <w:rFonts w:hint="eastAsia"/>
        </w:rPr>
        <w:t>地下水类型、埋藏条件、水位变化、补给条件、土层的渗透系数等水文地质资料以及地表水体情况，并估计其对基坑工程的影响；评价基坑发生管涌和坑底隆起的可能性；提出基坑工程降水和隔渗方案建议；</w:t>
      </w:r>
    </w:p>
    <w:p w:rsidR="009136B5" w:rsidRDefault="00000000">
      <w:pPr>
        <w:pStyle w:val="x"/>
        <w:ind w:firstLine="315"/>
      </w:pPr>
      <w:r>
        <w:rPr>
          <w:rFonts w:hint="eastAsia"/>
        </w:rPr>
        <w:t xml:space="preserve">3 </w:t>
      </w:r>
      <w:r>
        <w:rPr>
          <w:rFonts w:hint="eastAsia"/>
        </w:rPr>
        <w:t>对拟采用的基坑支护结构和基础形式的建议，以及设计和施工中应注意的事项；</w:t>
      </w:r>
    </w:p>
    <w:p w:rsidR="009136B5" w:rsidRDefault="00000000">
      <w:pPr>
        <w:pStyle w:val="x"/>
        <w:ind w:firstLine="315"/>
      </w:pPr>
      <w:r>
        <w:rPr>
          <w:rFonts w:hint="eastAsia"/>
        </w:rPr>
        <w:t xml:space="preserve">4 </w:t>
      </w:r>
      <w:r>
        <w:rPr>
          <w:rFonts w:hint="eastAsia"/>
        </w:rPr>
        <w:t>估计基坑开挖和降水对周围环境可能产生的不利影响，并提出防范建议；</w:t>
      </w:r>
    </w:p>
    <w:p w:rsidR="009136B5" w:rsidRDefault="00000000">
      <w:pPr>
        <w:pStyle w:val="x"/>
        <w:ind w:firstLine="315"/>
      </w:pPr>
      <w:r>
        <w:rPr>
          <w:rFonts w:hint="eastAsia"/>
        </w:rPr>
        <w:t xml:space="preserve">5 </w:t>
      </w:r>
      <w:r>
        <w:rPr>
          <w:rFonts w:hint="eastAsia"/>
        </w:rPr>
        <w:t>有关图表，包括场地总平面和勘探点位置图、工程地质剖面图、试验及建议采用的物理、力学参数表等。</w:t>
      </w:r>
    </w:p>
    <w:p w:rsidR="009136B5" w:rsidRDefault="00000000">
      <w:pPr>
        <w:pStyle w:val="xxx"/>
      </w:pPr>
      <w:r>
        <w:rPr>
          <w:b/>
          <w:bCs/>
        </w:rPr>
        <w:t>3.4.4</w:t>
      </w:r>
      <w:r>
        <w:rPr>
          <w:rFonts w:hint="eastAsia"/>
        </w:rPr>
        <w:t xml:space="preserve"> </w:t>
      </w:r>
      <w:r>
        <w:t xml:space="preserve"> </w:t>
      </w:r>
      <w:r>
        <w:rPr>
          <w:rFonts w:hint="eastAsia"/>
        </w:rPr>
        <w:t>勘察范围宜包括既有建筑基础平面并外延至地下空间总开挖深度的</w:t>
      </w:r>
      <w:r>
        <w:rPr>
          <w:rFonts w:hint="eastAsia"/>
        </w:rPr>
        <w:t xml:space="preserve"> 1~2</w:t>
      </w:r>
      <w:r>
        <w:rPr>
          <w:rFonts w:hint="eastAsia"/>
        </w:rPr>
        <w:t>倍；当工程地质条件复杂或存在深厚的软弱土区域时，勘察范围宜适当加大，勘探点宜适当加密。</w:t>
      </w:r>
    </w:p>
    <w:p w:rsidR="009136B5" w:rsidRDefault="00000000">
      <w:pPr>
        <w:pStyle w:val="x"/>
        <w:ind w:firstLineChars="0" w:firstLine="0"/>
      </w:pPr>
      <w:r>
        <w:rPr>
          <w:b/>
          <w:bCs/>
        </w:rPr>
        <w:t>3.4.</w:t>
      </w:r>
      <w:r>
        <w:rPr>
          <w:rFonts w:hint="eastAsia"/>
          <w:b/>
          <w:bCs/>
        </w:rPr>
        <w:t>5</w:t>
      </w:r>
      <w:r>
        <w:t xml:space="preserve"> </w:t>
      </w:r>
      <w:r>
        <w:rPr>
          <w:rFonts w:hint="eastAsia"/>
        </w:rPr>
        <w:t>勘察点的深度宜根据建筑设计、场地岩土工程条件确定，勘察深度一般为拟建地下空间基础埋置</w:t>
      </w:r>
      <w:r>
        <w:rPr>
          <w:rFonts w:hint="eastAsia"/>
        </w:rPr>
        <w:lastRenderedPageBreak/>
        <w:t>深度的</w:t>
      </w:r>
      <w:r>
        <w:rPr>
          <w:rFonts w:hint="eastAsia"/>
        </w:rPr>
        <w:t>2~3</w:t>
      </w:r>
      <w:r>
        <w:rPr>
          <w:rFonts w:hint="eastAsia"/>
        </w:rPr>
        <w:t>倍，并且不小于《岩土工程勘察规范》</w:t>
      </w:r>
      <w:r>
        <w:rPr>
          <w:rFonts w:hint="eastAsia"/>
        </w:rPr>
        <w:t>GB50021</w:t>
      </w:r>
      <w:r>
        <w:rPr>
          <w:rFonts w:hint="eastAsia"/>
        </w:rPr>
        <w:t>的相关要求；当场地工程地质条件复杂或存在深厚的软弱土区域，勘察深度宜适当加大。</w:t>
      </w:r>
    </w:p>
    <w:p w:rsidR="009136B5" w:rsidRDefault="00000000">
      <w:pPr>
        <w:pStyle w:val="20"/>
      </w:pPr>
      <w:bookmarkStart w:id="31" w:name="_Toc123647765"/>
      <w:bookmarkStart w:id="32" w:name="_Toc9877"/>
      <w:r>
        <w:rPr>
          <w:rFonts w:hint="eastAsia"/>
        </w:rPr>
        <w:t xml:space="preserve">3.5  </w:t>
      </w:r>
      <w:r>
        <w:rPr>
          <w:rFonts w:hint="eastAsia"/>
        </w:rPr>
        <w:t>建筑及机电设计</w:t>
      </w:r>
      <w:bookmarkEnd w:id="31"/>
      <w:bookmarkEnd w:id="32"/>
    </w:p>
    <w:p w:rsidR="009136B5" w:rsidRDefault="00000000">
      <w:pPr>
        <w:spacing w:line="440" w:lineRule="exact"/>
        <w:ind w:firstLineChars="0" w:firstLine="0"/>
        <w:rPr>
          <w:color w:val="000000" w:themeColor="text1"/>
          <w:szCs w:val="21"/>
        </w:rPr>
      </w:pPr>
      <w:r>
        <w:rPr>
          <w:rFonts w:hint="eastAsia"/>
          <w:b/>
          <w:bCs/>
          <w:color w:val="000000" w:themeColor="text1"/>
          <w:szCs w:val="21"/>
        </w:rPr>
        <w:t>3.5</w:t>
      </w:r>
      <w:r>
        <w:rPr>
          <w:b/>
          <w:bCs/>
          <w:color w:val="000000" w:themeColor="text1"/>
          <w:szCs w:val="21"/>
        </w:rPr>
        <w:t>.</w:t>
      </w:r>
      <w:r>
        <w:rPr>
          <w:rFonts w:hint="eastAsia"/>
          <w:b/>
          <w:bCs/>
          <w:color w:val="000000" w:themeColor="text1"/>
          <w:szCs w:val="21"/>
        </w:rPr>
        <w:t>1</w:t>
      </w:r>
      <w:r>
        <w:rPr>
          <w:color w:val="000000" w:themeColor="text1"/>
          <w:szCs w:val="21"/>
        </w:rPr>
        <w:t xml:space="preserve">  </w:t>
      </w:r>
      <w:r>
        <w:rPr>
          <w:rFonts w:hint="eastAsia"/>
          <w:color w:val="000000" w:themeColor="text1"/>
          <w:szCs w:val="21"/>
        </w:rPr>
        <w:t>既有建筑增层地下室的建筑防火设计并应符合下列规定：</w:t>
      </w:r>
    </w:p>
    <w:p w:rsidR="009136B5" w:rsidRDefault="00000000">
      <w:pPr>
        <w:spacing w:line="440" w:lineRule="exact"/>
        <w:ind w:firstLine="422"/>
        <w:rPr>
          <w:color w:val="000000" w:themeColor="text1"/>
          <w:szCs w:val="21"/>
        </w:rPr>
      </w:pPr>
      <w:r>
        <w:rPr>
          <w:b/>
          <w:color w:val="000000" w:themeColor="text1"/>
          <w:szCs w:val="21"/>
        </w:rPr>
        <w:t>1</w:t>
      </w:r>
      <w:r>
        <w:rPr>
          <w:rFonts w:hint="eastAsia"/>
          <w:color w:val="000000" w:themeColor="text1"/>
          <w:szCs w:val="21"/>
        </w:rPr>
        <w:t xml:space="preserve">  </w:t>
      </w:r>
      <w:r>
        <w:rPr>
          <w:rFonts w:hint="eastAsia"/>
          <w:color w:val="000000" w:themeColor="text1"/>
          <w:szCs w:val="21"/>
        </w:rPr>
        <w:t>增层地下室应符合现行国家标准《建筑设计防火规范》</w:t>
      </w:r>
      <w:r>
        <w:rPr>
          <w:rFonts w:hint="eastAsia"/>
          <w:color w:val="000000" w:themeColor="text1"/>
          <w:szCs w:val="21"/>
        </w:rPr>
        <w:t>GB50016</w:t>
      </w:r>
      <w:r>
        <w:rPr>
          <w:rFonts w:hint="eastAsia"/>
          <w:color w:val="000000" w:themeColor="text1"/>
          <w:szCs w:val="21"/>
        </w:rPr>
        <w:t>；</w:t>
      </w:r>
    </w:p>
    <w:p w:rsidR="009136B5" w:rsidRDefault="00000000">
      <w:pPr>
        <w:spacing w:line="440" w:lineRule="exact"/>
        <w:ind w:firstLine="420"/>
        <w:rPr>
          <w:color w:val="000000" w:themeColor="text1"/>
          <w:szCs w:val="21"/>
        </w:rPr>
      </w:pPr>
      <w:r>
        <w:rPr>
          <w:color w:val="000000" w:themeColor="text1"/>
          <w:szCs w:val="21"/>
        </w:rPr>
        <w:t xml:space="preserve">2  </w:t>
      </w:r>
      <w:r>
        <w:rPr>
          <w:rFonts w:hint="eastAsia"/>
          <w:color w:val="000000" w:themeColor="text1"/>
          <w:szCs w:val="21"/>
        </w:rPr>
        <w:t>增层地下室应与原有建筑进行消防一体化设计。新增地下室的相关消防设施应接受建筑火灾自动报警控制设备和消防控制设备的整体控制。</w:t>
      </w:r>
    </w:p>
    <w:p w:rsidR="009136B5" w:rsidRDefault="00000000">
      <w:pPr>
        <w:spacing w:line="440" w:lineRule="exact"/>
        <w:ind w:firstLineChars="0" w:firstLine="0"/>
        <w:rPr>
          <w:color w:val="000000" w:themeColor="text1"/>
          <w:szCs w:val="21"/>
        </w:rPr>
      </w:pPr>
      <w:r>
        <w:rPr>
          <w:rFonts w:hint="eastAsia"/>
          <w:b/>
          <w:bCs/>
          <w:color w:val="000000" w:themeColor="text1"/>
          <w:szCs w:val="21"/>
        </w:rPr>
        <w:t>3.5</w:t>
      </w:r>
      <w:r>
        <w:rPr>
          <w:b/>
          <w:bCs/>
          <w:color w:val="000000" w:themeColor="text1"/>
          <w:szCs w:val="21"/>
        </w:rPr>
        <w:t>.</w:t>
      </w:r>
      <w:r>
        <w:rPr>
          <w:rFonts w:hint="eastAsia"/>
          <w:b/>
          <w:bCs/>
          <w:color w:val="000000" w:themeColor="text1"/>
          <w:szCs w:val="21"/>
        </w:rPr>
        <w:t>2</w:t>
      </w:r>
      <w:r>
        <w:rPr>
          <w:color w:val="000000" w:themeColor="text1"/>
          <w:szCs w:val="21"/>
        </w:rPr>
        <w:t xml:space="preserve">  </w:t>
      </w:r>
      <w:r>
        <w:rPr>
          <w:rFonts w:hint="eastAsia"/>
          <w:color w:val="000000" w:themeColor="text1"/>
          <w:szCs w:val="21"/>
        </w:rPr>
        <w:t>既有建筑增层地下室的建筑防水设计应符合现行国家规范《建筑与市政工程防水通用规范》（</w:t>
      </w:r>
      <w:r>
        <w:rPr>
          <w:rFonts w:hint="eastAsia"/>
          <w:color w:val="000000" w:themeColor="text1"/>
          <w:szCs w:val="21"/>
        </w:rPr>
        <w:t>GB55030</w:t>
      </w:r>
      <w:r>
        <w:rPr>
          <w:rFonts w:hint="eastAsia"/>
          <w:color w:val="000000" w:themeColor="text1"/>
          <w:szCs w:val="21"/>
        </w:rPr>
        <w:t>）及的有关规定，并应满足下列要求：</w:t>
      </w:r>
    </w:p>
    <w:p w:rsidR="009136B5" w:rsidRDefault="00000000">
      <w:pPr>
        <w:widowControl/>
        <w:spacing w:line="440" w:lineRule="exact"/>
        <w:ind w:firstLineChars="0" w:firstLine="0"/>
        <w:rPr>
          <w:color w:val="000000" w:themeColor="text1"/>
          <w:szCs w:val="21"/>
        </w:rPr>
      </w:pPr>
      <w:r>
        <w:rPr>
          <w:rFonts w:hint="eastAsia"/>
          <w:color w:val="000000" w:themeColor="text1"/>
          <w:szCs w:val="21"/>
        </w:rPr>
        <w:t xml:space="preserve">        </w:t>
      </w:r>
      <w:r>
        <w:rPr>
          <w:rFonts w:hint="eastAsia"/>
          <w:b/>
          <w:color w:val="000000" w:themeColor="text1"/>
          <w:szCs w:val="21"/>
        </w:rPr>
        <w:t>1</w:t>
      </w:r>
      <w:r>
        <w:rPr>
          <w:b/>
          <w:color w:val="000000" w:themeColor="text1"/>
          <w:szCs w:val="21"/>
        </w:rPr>
        <w:t xml:space="preserve">  </w:t>
      </w:r>
      <w:r>
        <w:rPr>
          <w:rFonts w:hint="eastAsia"/>
          <w:color w:val="000000" w:themeColor="text1"/>
          <w:szCs w:val="21"/>
        </w:rPr>
        <w:t>增层地下室与既有建筑交接界面处防水等级宜提高一级，已为一级的可不再提高；新旧构件连接部位、阴阳角等特殊部位应增加防水层；</w:t>
      </w:r>
    </w:p>
    <w:p w:rsidR="009136B5" w:rsidRDefault="00000000">
      <w:pPr>
        <w:spacing w:line="440" w:lineRule="exact"/>
        <w:ind w:firstLine="422"/>
        <w:rPr>
          <w:color w:val="000000" w:themeColor="text1"/>
          <w:szCs w:val="21"/>
        </w:rPr>
      </w:pPr>
      <w:r>
        <w:rPr>
          <w:rFonts w:hint="eastAsia"/>
          <w:b/>
          <w:color w:val="000000" w:themeColor="text1"/>
          <w:szCs w:val="21"/>
        </w:rPr>
        <w:t>2</w:t>
      </w:r>
      <w:r>
        <w:rPr>
          <w:b/>
          <w:color w:val="000000" w:themeColor="text1"/>
          <w:szCs w:val="21"/>
        </w:rPr>
        <w:t xml:space="preserve">  </w:t>
      </w:r>
      <w:r>
        <w:rPr>
          <w:rFonts w:hint="eastAsia"/>
          <w:color w:val="000000" w:themeColor="text1"/>
          <w:szCs w:val="21"/>
        </w:rPr>
        <w:t>增层地下室的防水材料性能应与工程使用环境和实际情况相适应，条件复杂的增层地下室的防水材料选择应充分考虑工程所处环境和工作条件，提高耐久性要求，不宜按照规范下限进行设计；</w:t>
      </w:r>
    </w:p>
    <w:p w:rsidR="009136B5" w:rsidRDefault="00000000">
      <w:pPr>
        <w:spacing w:line="440" w:lineRule="exact"/>
        <w:ind w:firstLine="422"/>
        <w:rPr>
          <w:color w:val="000000" w:themeColor="text1"/>
          <w:szCs w:val="21"/>
        </w:rPr>
      </w:pPr>
      <w:r>
        <w:rPr>
          <w:rFonts w:hint="eastAsia"/>
          <w:b/>
          <w:color w:val="000000" w:themeColor="text1"/>
          <w:szCs w:val="21"/>
        </w:rPr>
        <w:t>3</w:t>
      </w:r>
      <w:r>
        <w:rPr>
          <w:b/>
          <w:color w:val="000000" w:themeColor="text1"/>
          <w:szCs w:val="21"/>
        </w:rPr>
        <w:t xml:space="preserve"> </w:t>
      </w:r>
      <w:r>
        <w:rPr>
          <w:rFonts w:hint="eastAsia"/>
          <w:color w:val="000000" w:themeColor="text1"/>
          <w:szCs w:val="21"/>
        </w:rPr>
        <w:t>增层地下室的变形缝、施工缝、后浇带、穿墙管（盒）、预埋件、预留通道接头、桩头等细部构造，应加强防水措施；结构变形缝设置的橡胶止水带应满足结构允许的最大变形量；穿墙管设置防水套管时，防水套管与穿墙管之间应密封。</w:t>
      </w:r>
    </w:p>
    <w:p w:rsidR="009136B5" w:rsidRDefault="00000000">
      <w:pPr>
        <w:spacing w:line="440" w:lineRule="exact"/>
        <w:ind w:firstLineChars="0" w:firstLine="0"/>
        <w:rPr>
          <w:color w:val="000000" w:themeColor="text1"/>
          <w:szCs w:val="21"/>
        </w:rPr>
      </w:pPr>
      <w:r>
        <w:rPr>
          <w:rFonts w:hint="eastAsia"/>
          <w:b/>
          <w:bCs/>
          <w:color w:val="000000" w:themeColor="text1"/>
          <w:szCs w:val="21"/>
        </w:rPr>
        <w:t>3.5</w:t>
      </w:r>
      <w:r>
        <w:rPr>
          <w:b/>
          <w:bCs/>
          <w:color w:val="000000" w:themeColor="text1"/>
          <w:szCs w:val="21"/>
        </w:rPr>
        <w:t>.</w:t>
      </w:r>
      <w:r>
        <w:rPr>
          <w:rFonts w:hint="eastAsia"/>
          <w:b/>
          <w:bCs/>
          <w:color w:val="000000" w:themeColor="text1"/>
          <w:szCs w:val="21"/>
        </w:rPr>
        <w:t>3</w:t>
      </w:r>
      <w:r>
        <w:rPr>
          <w:color w:val="000000" w:themeColor="text1"/>
          <w:szCs w:val="21"/>
        </w:rPr>
        <w:t xml:space="preserve">  </w:t>
      </w:r>
      <w:r>
        <w:rPr>
          <w:rFonts w:hint="eastAsia"/>
          <w:color w:val="000000" w:themeColor="text1"/>
          <w:szCs w:val="21"/>
        </w:rPr>
        <w:t>既有建筑增层地下室的建筑机电设计应符合现行国家标准《</w:t>
      </w:r>
      <w:r>
        <w:rPr>
          <w:color w:val="000000" w:themeColor="text1"/>
          <w:szCs w:val="21"/>
        </w:rPr>
        <w:t>建筑给水排水设计规范</w:t>
      </w:r>
      <w:r>
        <w:rPr>
          <w:rFonts w:hint="eastAsia"/>
          <w:color w:val="000000" w:themeColor="text1"/>
          <w:szCs w:val="21"/>
        </w:rPr>
        <w:t>》</w:t>
      </w:r>
      <w:r>
        <w:rPr>
          <w:color w:val="000000" w:themeColor="text1"/>
          <w:szCs w:val="21"/>
        </w:rPr>
        <w:t>GB50015</w:t>
      </w:r>
      <w:r>
        <w:rPr>
          <w:rFonts w:hint="eastAsia"/>
          <w:color w:val="000000" w:themeColor="text1"/>
          <w:szCs w:val="21"/>
        </w:rPr>
        <w:t>、《</w:t>
      </w:r>
      <w:r>
        <w:rPr>
          <w:color w:val="000000" w:themeColor="text1"/>
          <w:szCs w:val="21"/>
        </w:rPr>
        <w:t>民用建筑电气设计规范</w:t>
      </w:r>
      <w:r>
        <w:rPr>
          <w:rFonts w:hint="eastAsia"/>
          <w:color w:val="000000" w:themeColor="text1"/>
          <w:szCs w:val="21"/>
        </w:rPr>
        <w:t>》</w:t>
      </w:r>
      <w:r>
        <w:rPr>
          <w:rFonts w:hint="eastAsia"/>
          <w:color w:val="000000" w:themeColor="text1"/>
          <w:szCs w:val="21"/>
        </w:rPr>
        <w:t>GB51348</w:t>
      </w:r>
      <w:r>
        <w:rPr>
          <w:rFonts w:hint="eastAsia"/>
          <w:color w:val="000000" w:themeColor="text1"/>
          <w:szCs w:val="21"/>
        </w:rPr>
        <w:t>、《</w:t>
      </w:r>
      <w:r>
        <w:rPr>
          <w:color w:val="000000" w:themeColor="text1"/>
          <w:szCs w:val="21"/>
        </w:rPr>
        <w:t>建筑物防雷设计规范》</w:t>
      </w:r>
      <w:r>
        <w:rPr>
          <w:color w:val="000000" w:themeColor="text1"/>
          <w:szCs w:val="21"/>
        </w:rPr>
        <w:t>GB50057</w:t>
      </w:r>
      <w:r>
        <w:rPr>
          <w:rFonts w:hint="eastAsia"/>
          <w:color w:val="000000" w:themeColor="text1"/>
          <w:szCs w:val="21"/>
        </w:rPr>
        <w:t>、《</w:t>
      </w:r>
      <w:r>
        <w:rPr>
          <w:color w:val="000000" w:themeColor="text1"/>
          <w:szCs w:val="21"/>
        </w:rPr>
        <w:t>民用建筑供暖通风与空气调节设计规范</w:t>
      </w:r>
      <w:r>
        <w:rPr>
          <w:rFonts w:hint="eastAsia"/>
          <w:color w:val="000000" w:themeColor="text1"/>
          <w:szCs w:val="21"/>
        </w:rPr>
        <w:t>》</w:t>
      </w:r>
      <w:r>
        <w:rPr>
          <w:color w:val="000000" w:themeColor="text1"/>
          <w:szCs w:val="21"/>
        </w:rPr>
        <w:t>GB50736</w:t>
      </w:r>
      <w:r>
        <w:rPr>
          <w:rFonts w:hint="eastAsia"/>
          <w:color w:val="000000" w:themeColor="text1"/>
          <w:szCs w:val="21"/>
        </w:rPr>
        <w:t>的规定</w:t>
      </w:r>
      <w:r>
        <w:rPr>
          <w:color w:val="000000" w:themeColor="text1"/>
          <w:szCs w:val="21"/>
        </w:rPr>
        <w:t>，并应</w:t>
      </w:r>
      <w:r>
        <w:rPr>
          <w:rFonts w:hint="eastAsia"/>
          <w:color w:val="000000" w:themeColor="text1"/>
          <w:szCs w:val="21"/>
        </w:rPr>
        <w:t>满足</w:t>
      </w:r>
      <w:r>
        <w:rPr>
          <w:color w:val="000000" w:themeColor="text1"/>
          <w:szCs w:val="21"/>
        </w:rPr>
        <w:t>下列</w:t>
      </w:r>
      <w:r>
        <w:rPr>
          <w:rFonts w:hint="eastAsia"/>
          <w:color w:val="000000" w:themeColor="text1"/>
          <w:szCs w:val="21"/>
        </w:rPr>
        <w:t>要求</w:t>
      </w:r>
      <w:r>
        <w:rPr>
          <w:color w:val="000000" w:themeColor="text1"/>
          <w:szCs w:val="21"/>
        </w:rPr>
        <w:t>：</w:t>
      </w:r>
    </w:p>
    <w:p w:rsidR="009136B5" w:rsidRDefault="00000000">
      <w:pPr>
        <w:spacing w:line="440" w:lineRule="exact"/>
        <w:ind w:firstLine="422"/>
        <w:rPr>
          <w:color w:val="000000" w:themeColor="text1"/>
          <w:szCs w:val="21"/>
        </w:rPr>
      </w:pPr>
      <w:r>
        <w:rPr>
          <w:rFonts w:hint="eastAsia"/>
          <w:b/>
          <w:color w:val="000000" w:themeColor="text1"/>
          <w:szCs w:val="21"/>
        </w:rPr>
        <w:t xml:space="preserve">1 </w:t>
      </w:r>
      <w:r>
        <w:rPr>
          <w:b/>
          <w:color w:val="000000" w:themeColor="text1"/>
          <w:szCs w:val="21"/>
        </w:rPr>
        <w:t xml:space="preserve"> </w:t>
      </w:r>
      <w:r>
        <w:rPr>
          <w:rFonts w:hint="eastAsia"/>
          <w:color w:val="000000" w:themeColor="text1"/>
          <w:szCs w:val="21"/>
        </w:rPr>
        <w:t>增层地下室建筑机电设计应充分考虑原有建筑机电系统情况，进行一体化设计；</w:t>
      </w:r>
    </w:p>
    <w:p w:rsidR="009136B5" w:rsidRDefault="00000000">
      <w:pPr>
        <w:spacing w:line="440" w:lineRule="exact"/>
        <w:ind w:firstLine="422"/>
        <w:rPr>
          <w:color w:val="000000" w:themeColor="text1"/>
          <w:szCs w:val="21"/>
        </w:rPr>
      </w:pPr>
      <w:r>
        <w:rPr>
          <w:rFonts w:hint="eastAsia"/>
          <w:b/>
          <w:color w:val="000000" w:themeColor="text1"/>
          <w:szCs w:val="21"/>
        </w:rPr>
        <w:t xml:space="preserve">2 </w:t>
      </w:r>
      <w:r>
        <w:rPr>
          <w:rFonts w:hint="eastAsia"/>
          <w:color w:val="000000" w:themeColor="text1"/>
          <w:szCs w:val="21"/>
        </w:rPr>
        <w:t xml:space="preserve"> </w:t>
      </w:r>
      <w:r>
        <w:rPr>
          <w:rFonts w:hint="eastAsia"/>
          <w:color w:val="000000" w:themeColor="text1"/>
          <w:szCs w:val="21"/>
        </w:rPr>
        <w:t>增层地下室的防雷设计，应在认真调查增层地下室地质、环境等条件以及被保护物的特点等的基础上，详细研究防雷装置的形式及其布置。</w:t>
      </w:r>
      <w:r>
        <w:rPr>
          <w:rFonts w:hint="eastAsia"/>
          <w:color w:val="000000" w:themeColor="text1"/>
          <w:szCs w:val="21"/>
        </w:rPr>
        <w:t xml:space="preserve"> </w:t>
      </w:r>
      <w:r>
        <w:rPr>
          <w:rFonts w:hint="eastAsia"/>
          <w:color w:val="000000" w:themeColor="text1"/>
          <w:szCs w:val="21"/>
        </w:rPr>
        <w:t>利用建筑物的钢筋作为防雷装置的，应与增层地下室的相应位置的钢筋相连接。</w:t>
      </w:r>
    </w:p>
    <w:p w:rsidR="009136B5" w:rsidRDefault="00000000">
      <w:pPr>
        <w:spacing w:line="440" w:lineRule="exact"/>
        <w:ind w:firstLine="422"/>
        <w:rPr>
          <w:color w:val="000000" w:themeColor="text1"/>
          <w:szCs w:val="21"/>
        </w:rPr>
        <w:sectPr w:rsidR="009136B5" w:rsidSect="007357A9">
          <w:footerReference w:type="default" r:id="rId51"/>
          <w:pgSz w:w="11907" w:h="16839"/>
          <w:pgMar w:top="1134" w:right="1134" w:bottom="1134" w:left="1418" w:header="567" w:footer="851" w:gutter="0"/>
          <w:pgNumType w:start="1"/>
          <w:cols w:space="720"/>
          <w:docGrid w:type="linesAndChars" w:linePitch="312"/>
        </w:sectPr>
      </w:pPr>
      <w:r>
        <w:rPr>
          <w:rFonts w:hint="eastAsia"/>
          <w:b/>
          <w:color w:val="000000" w:themeColor="text1"/>
          <w:szCs w:val="21"/>
        </w:rPr>
        <w:t xml:space="preserve">3  </w:t>
      </w:r>
      <w:r>
        <w:rPr>
          <w:rFonts w:hint="eastAsia"/>
          <w:color w:val="000000" w:themeColor="text1"/>
          <w:szCs w:val="21"/>
        </w:rPr>
        <w:t>电梯等设备设施应向增层地下室延伸到达或者采用摆渡的方式到达，便于使用。</w:t>
      </w:r>
    </w:p>
    <w:p w:rsidR="009136B5" w:rsidRDefault="009136B5">
      <w:pPr>
        <w:spacing w:line="440" w:lineRule="exact"/>
        <w:ind w:firstLine="422"/>
        <w:rPr>
          <w:b/>
          <w:color w:val="000000" w:themeColor="text1"/>
          <w:szCs w:val="21"/>
        </w:rPr>
      </w:pPr>
    </w:p>
    <w:p w:rsidR="009136B5" w:rsidRDefault="00000000">
      <w:pPr>
        <w:pStyle w:val="af6"/>
        <w:ind w:firstLine="318"/>
      </w:pPr>
      <w:bookmarkStart w:id="33" w:name="_Toc123647766"/>
      <w:bookmarkStart w:id="34" w:name="_Toc30616"/>
      <w:r>
        <w:t xml:space="preserve">4  </w:t>
      </w:r>
      <w:r>
        <w:rPr>
          <w:rFonts w:hint="eastAsia"/>
        </w:rPr>
        <w:t>托换结构设计</w:t>
      </w:r>
      <w:bookmarkEnd w:id="33"/>
      <w:bookmarkEnd w:id="34"/>
    </w:p>
    <w:p w:rsidR="009136B5" w:rsidRDefault="00000000">
      <w:pPr>
        <w:pStyle w:val="20"/>
      </w:pPr>
      <w:bookmarkStart w:id="35" w:name="_Toc123647767"/>
      <w:bookmarkStart w:id="36" w:name="_Toc5927"/>
      <w:r>
        <w:t xml:space="preserve">4.1 </w:t>
      </w:r>
      <w:r>
        <w:rPr>
          <w:rFonts w:hint="eastAsia"/>
        </w:rPr>
        <w:t xml:space="preserve"> </w:t>
      </w:r>
      <w:r>
        <w:t>一般规定</w:t>
      </w:r>
      <w:bookmarkEnd w:id="35"/>
      <w:bookmarkEnd w:id="36"/>
    </w:p>
    <w:p w:rsidR="009136B5" w:rsidRDefault="00000000">
      <w:pPr>
        <w:pStyle w:val="xxx"/>
      </w:pPr>
      <w:r>
        <w:rPr>
          <w:b/>
          <w:bCs/>
        </w:rPr>
        <w:t>4</w:t>
      </w:r>
      <w:r>
        <w:rPr>
          <w:rFonts w:hint="eastAsia"/>
          <w:b/>
          <w:bCs/>
        </w:rPr>
        <w:t>.1.</w:t>
      </w:r>
      <w:r>
        <w:rPr>
          <w:b/>
          <w:bCs/>
        </w:rPr>
        <w:t>1</w:t>
      </w:r>
      <w:r>
        <w:rPr>
          <w:rFonts w:hint="eastAsia"/>
        </w:rPr>
        <w:t xml:space="preserve">  </w:t>
      </w:r>
      <w:r>
        <w:rPr>
          <w:rFonts w:hint="eastAsia"/>
        </w:rPr>
        <w:t>既有建筑托换结构设计，应综合考虑施工阶段、正常使用阶段全过程的承载力和变形控制要求、施工可行性、经济性等因素，经技术经济分析确定。</w:t>
      </w:r>
    </w:p>
    <w:p w:rsidR="009136B5" w:rsidRDefault="00000000">
      <w:pPr>
        <w:pStyle w:val="xxx"/>
      </w:pPr>
      <w:r>
        <w:rPr>
          <w:b/>
          <w:bCs/>
        </w:rPr>
        <w:t>4.1.2</w:t>
      </w:r>
      <w:r>
        <w:t xml:space="preserve">  </w:t>
      </w:r>
      <w:r>
        <w:t>既有建筑</w:t>
      </w:r>
      <w:r>
        <w:rPr>
          <w:rFonts w:hint="eastAsia"/>
        </w:rPr>
        <w:t>托换结构设计，应根据既有建筑的结构类型、荷载情况及场地地基土情况进行方案比选，采用整体托换、局部托换或托换与加强既有建筑整体刚度相结合的方案。</w:t>
      </w:r>
    </w:p>
    <w:p w:rsidR="009136B5" w:rsidRDefault="00000000">
      <w:pPr>
        <w:pStyle w:val="xxx"/>
        <w:rPr>
          <w:color w:val="1F497D" w:themeColor="text2"/>
        </w:rPr>
      </w:pPr>
      <w:r>
        <w:rPr>
          <w:rFonts w:hint="eastAsia"/>
          <w:b/>
          <w:bCs/>
        </w:rPr>
        <w:t>4</w:t>
      </w:r>
      <w:r>
        <w:rPr>
          <w:b/>
          <w:bCs/>
        </w:rPr>
        <w:t>.1.3</w:t>
      </w:r>
      <w:r>
        <w:t xml:space="preserve">  </w:t>
      </w:r>
      <w:r>
        <w:rPr>
          <w:rFonts w:hint="eastAsia"/>
        </w:rPr>
        <w:t>对于单建式地下建筑或荷载不大的地上建筑可采用被动托换形式；对于高层建筑、对变形控制要求高的建筑或需要抬升标高的建筑地下增层时宜采用主动托换形式。</w:t>
      </w:r>
    </w:p>
    <w:p w:rsidR="009136B5" w:rsidRDefault="00000000">
      <w:pPr>
        <w:pStyle w:val="afffff1"/>
        <w:ind w:firstLineChars="0" w:firstLine="0"/>
      </w:pPr>
      <w:r>
        <w:rPr>
          <w:rFonts w:hint="eastAsia"/>
          <w:b/>
        </w:rPr>
        <w:t>条文说明：</w:t>
      </w:r>
      <w:r>
        <w:rPr>
          <w:rFonts w:hint="eastAsia"/>
        </w:rPr>
        <w:t>对变形控制要求高的建筑，可通过预应力封桩或设置主动提升调平装置，实现竖向荷载的主动转换与变形控制。</w:t>
      </w:r>
    </w:p>
    <w:p w:rsidR="009136B5" w:rsidRDefault="00000000">
      <w:pPr>
        <w:pStyle w:val="xxx"/>
      </w:pPr>
      <w:r>
        <w:rPr>
          <w:rFonts w:hint="eastAsia"/>
          <w:b/>
          <w:bCs/>
        </w:rPr>
        <w:t>4</w:t>
      </w:r>
      <w:r>
        <w:rPr>
          <w:b/>
          <w:bCs/>
        </w:rPr>
        <w:t>.1.4</w:t>
      </w:r>
      <w:r>
        <w:t xml:space="preserve">  </w:t>
      </w:r>
      <w:r>
        <w:t>既有建筑</w:t>
      </w:r>
      <w:r>
        <w:rPr>
          <w:rFonts w:hint="eastAsia"/>
        </w:rPr>
        <w:t>托换结构设计应</w:t>
      </w:r>
      <w:r>
        <w:t>按上部</w:t>
      </w:r>
      <w:r>
        <w:rPr>
          <w:rFonts w:hint="eastAsia"/>
        </w:rPr>
        <w:t>结</w:t>
      </w:r>
      <w:r>
        <w:t>构、既有地下室或基</w:t>
      </w:r>
      <w:r>
        <w:rPr>
          <w:rFonts w:hint="eastAsia"/>
        </w:rPr>
        <w:t>础</w:t>
      </w:r>
      <w:r>
        <w:t>、地基</w:t>
      </w:r>
      <w:r>
        <w:rPr>
          <w:rFonts w:hint="eastAsia"/>
        </w:rPr>
        <w:t>变形协调的原则进行承载力、变形验算。当既有结构的基础沉降、倾斜、变形、开裂超过国家现行标准《建筑地基基础设计规范》</w:t>
      </w:r>
      <w:r>
        <w:t>GB 50007 - 2011</w:t>
      </w:r>
      <w:r>
        <w:rPr>
          <w:rFonts w:hint="eastAsia"/>
        </w:rPr>
        <w:t>的有关规定时，应就危险点排除、结构加固、基础托换等进行综合设计。</w:t>
      </w:r>
    </w:p>
    <w:p w:rsidR="009136B5" w:rsidRDefault="00000000">
      <w:pPr>
        <w:pStyle w:val="xxx"/>
      </w:pPr>
      <w:r>
        <w:rPr>
          <w:rFonts w:hint="eastAsia"/>
          <w:b/>
          <w:bCs/>
        </w:rPr>
        <w:t>4</w:t>
      </w:r>
      <w:r>
        <w:rPr>
          <w:b/>
          <w:bCs/>
        </w:rPr>
        <w:t>.1.5</w:t>
      </w:r>
      <w:r>
        <w:t xml:space="preserve">  </w:t>
      </w:r>
      <w:r>
        <w:t>既有建筑</w:t>
      </w:r>
      <w:r>
        <w:rPr>
          <w:rFonts w:hint="eastAsia"/>
        </w:rPr>
        <w:t>托换结构设计除满足本规程的要求外，尚应符合现行标准《建筑与市政地基基础通用规范》</w:t>
      </w:r>
      <w:r>
        <w:t>GB 55003</w:t>
      </w:r>
      <w:r>
        <w:t>、</w:t>
      </w:r>
      <w:r>
        <w:rPr>
          <w:rFonts w:hint="eastAsia"/>
        </w:rPr>
        <w:t>《建筑地基基础设计规范》</w:t>
      </w:r>
      <w:r>
        <w:rPr>
          <w:rFonts w:hint="eastAsia"/>
        </w:rPr>
        <w:t>GB</w:t>
      </w:r>
      <w:r>
        <w:t xml:space="preserve"> </w:t>
      </w:r>
      <w:r>
        <w:rPr>
          <w:rFonts w:hint="eastAsia"/>
        </w:rPr>
        <w:t>50007</w:t>
      </w:r>
      <w:r>
        <w:rPr>
          <w:rFonts w:hint="eastAsia"/>
        </w:rPr>
        <w:t>、《建筑桩基技术规范》</w:t>
      </w:r>
      <w:r>
        <w:t>JGJ 94</w:t>
      </w:r>
      <w:r>
        <w:rPr>
          <w:rFonts w:hint="eastAsia"/>
        </w:rPr>
        <w:t>、《既有建筑地基基础加固技术规范》</w:t>
      </w:r>
      <w:r>
        <w:rPr>
          <w:rFonts w:hint="eastAsia"/>
        </w:rPr>
        <w:t>JGJ 123</w:t>
      </w:r>
      <w:r>
        <w:rPr>
          <w:rFonts w:hint="eastAsia"/>
        </w:rPr>
        <w:t>、《建</w:t>
      </w:r>
      <w:r>
        <w:rPr>
          <w:rFonts w:hint="eastAsia"/>
        </w:rPr>
        <w:t>(</w:t>
      </w:r>
      <w:r>
        <w:rPr>
          <w:rFonts w:hint="eastAsia"/>
        </w:rPr>
        <w:t>构</w:t>
      </w:r>
      <w:r>
        <w:rPr>
          <w:rFonts w:hint="eastAsia"/>
        </w:rPr>
        <w:t>)</w:t>
      </w:r>
      <w:r>
        <w:rPr>
          <w:rFonts w:hint="eastAsia"/>
        </w:rPr>
        <w:t>筑物托换技术规程》</w:t>
      </w:r>
      <w:r>
        <w:rPr>
          <w:rFonts w:hint="eastAsia"/>
        </w:rPr>
        <w:t>CECS 295</w:t>
      </w:r>
      <w:r>
        <w:rPr>
          <w:rFonts w:hint="eastAsia"/>
        </w:rPr>
        <w:t>、《建筑物移位纠倾增层改造技术规范》</w:t>
      </w:r>
      <w:r>
        <w:rPr>
          <w:rFonts w:hint="eastAsia"/>
        </w:rPr>
        <w:t>CECS 225</w:t>
      </w:r>
      <w:r>
        <w:rPr>
          <w:rFonts w:hint="eastAsia"/>
        </w:rPr>
        <w:t>的要求。</w:t>
      </w:r>
    </w:p>
    <w:p w:rsidR="009136B5" w:rsidRDefault="00000000">
      <w:pPr>
        <w:pStyle w:val="20"/>
      </w:pPr>
      <w:bookmarkStart w:id="37" w:name="_Toc123647768"/>
      <w:bookmarkStart w:id="38" w:name="_Toc10021"/>
      <w:r>
        <w:t xml:space="preserve">4.2 </w:t>
      </w:r>
      <w:r>
        <w:rPr>
          <w:rFonts w:hint="eastAsia"/>
        </w:rPr>
        <w:t xml:space="preserve"> </w:t>
      </w:r>
      <w:r>
        <w:rPr>
          <w:rFonts w:hint="eastAsia"/>
        </w:rPr>
        <w:t>托换结构布置</w:t>
      </w:r>
      <w:bookmarkEnd w:id="37"/>
      <w:bookmarkEnd w:id="38"/>
    </w:p>
    <w:p w:rsidR="009136B5" w:rsidRDefault="00000000">
      <w:pPr>
        <w:pStyle w:val="xxx"/>
      </w:pPr>
      <w:r>
        <w:rPr>
          <w:rFonts w:hint="eastAsia"/>
          <w:b/>
          <w:bCs/>
        </w:rPr>
        <w:t>4</w:t>
      </w:r>
      <w:r>
        <w:rPr>
          <w:b/>
          <w:bCs/>
        </w:rPr>
        <w:t>.2.1</w:t>
      </w:r>
      <w:r>
        <w:t xml:space="preserve">  </w:t>
      </w:r>
      <w:r>
        <w:rPr>
          <w:rFonts w:hint="eastAsia"/>
        </w:rPr>
        <w:t>托换结构的布置应满足既有建筑地下增层过程中的受力、变形与稳定性要求，并应考虑施工可行性和便利性，可采用分散托换方案、集中托换方案或分散与集中托换组合方案。</w:t>
      </w:r>
      <w:r>
        <w:t xml:space="preserve"> </w:t>
      </w:r>
    </w:p>
    <w:p w:rsidR="009136B5" w:rsidRDefault="00000000">
      <w:pPr>
        <w:pStyle w:val="afffff1"/>
        <w:ind w:firstLineChars="0" w:firstLine="0"/>
      </w:pPr>
      <w:r>
        <w:rPr>
          <w:rFonts w:hint="eastAsia"/>
          <w:b/>
        </w:rPr>
        <w:t>条文说明：</w:t>
      </w:r>
      <w:r>
        <w:rPr>
          <w:rFonts w:hint="eastAsia"/>
        </w:rPr>
        <w:t>既有建筑原基础为桩基础时，应尽可能利用原工程桩作为施工阶段的竖向支承体系。托换桩应结合地质条件、柱网布置、施工要求等条件，进行选型和布置，并满足施工和使用期间各工况下的承载力和变形要求。</w:t>
      </w:r>
    </w:p>
    <w:p w:rsidR="009136B5" w:rsidRDefault="00000000">
      <w:pPr>
        <w:pStyle w:val="xxx"/>
      </w:pPr>
      <w:r>
        <w:rPr>
          <w:b/>
          <w:bCs/>
        </w:rPr>
        <w:t>4.2.2</w:t>
      </w:r>
      <w:r>
        <w:t xml:space="preserve">  </w:t>
      </w:r>
      <w:r>
        <w:rPr>
          <w:rFonts w:hint="eastAsia"/>
        </w:rPr>
        <w:t>既有建筑地下增层基础托换宜采用桩基托换，可选用的桩型为锚</w:t>
      </w:r>
      <w:r>
        <w:t>杆静</w:t>
      </w:r>
      <w:r>
        <w:rPr>
          <w:rFonts w:hint="eastAsia"/>
        </w:rPr>
        <w:t>压桩</w:t>
      </w:r>
      <w:r>
        <w:t>、</w:t>
      </w:r>
      <w:r>
        <w:rPr>
          <w:rFonts w:hint="eastAsia"/>
        </w:rPr>
        <w:t>钻</w:t>
      </w:r>
      <w:r>
        <w:t>孔灌注</w:t>
      </w:r>
      <w:r>
        <w:rPr>
          <w:rFonts w:hint="eastAsia"/>
        </w:rPr>
        <w:t>桩、人工挖孔桩、树</w:t>
      </w:r>
      <w:r>
        <w:t>根</w:t>
      </w:r>
      <w:r>
        <w:rPr>
          <w:rFonts w:hint="eastAsia"/>
        </w:rPr>
        <w:t>桩、高喷扩径锚杆静压复合桩、水泥土复合钢管桩</w:t>
      </w:r>
      <w:r>
        <w:t>等。</w:t>
      </w:r>
    </w:p>
    <w:p w:rsidR="009136B5" w:rsidRDefault="00000000">
      <w:pPr>
        <w:pStyle w:val="afffff1"/>
        <w:ind w:firstLineChars="0" w:firstLine="0"/>
      </w:pPr>
      <w:r>
        <w:rPr>
          <w:rFonts w:hint="eastAsia"/>
          <w:b/>
        </w:rPr>
        <w:t>条文说明：</w:t>
      </w:r>
      <w:r>
        <w:rPr>
          <w:rFonts w:hint="eastAsia"/>
        </w:rPr>
        <w:t>锚杆静压桩应按“对称布置、受力均衡”的原则，以一根结构柱为一组，采用“一柱两桩”、“一柱四桩”等形式进行布置。每组锚杆桩的顶部应设置混凝土转换承台，上部结构柱的柱底反力（轴力、弯矩和剪力）通过转换承台传递给下部锚杆桩，使每组锚杆桩能整体受力、共同工作。混凝土承台可利用原柱下独立基础，当原基础尺寸偏小或承载力不足时，应事先进行加固。当利用原柱下独立基础作为每组锚杆桩共同工作的转换承台时，不利于后期新增地下室内部结构柱的施工，新</w:t>
      </w:r>
      <w:r>
        <w:rPr>
          <w:rFonts w:hint="eastAsia"/>
        </w:rPr>
        <w:lastRenderedPageBreak/>
        <w:t>浇筑的柱顶部与原结构柱的底端之间的连接处理相对比较困难。为方便后期新增地下室结构柱施工，可在原独立柱基的上方另行浇筑混凝土转换承台的方式进行加固，该技术已应用于杭州甘水巷</w:t>
      </w:r>
      <w:r>
        <w:rPr>
          <w:rFonts w:hint="eastAsia"/>
        </w:rPr>
        <w:t>3#</w:t>
      </w:r>
      <w:r>
        <w:rPr>
          <w:rFonts w:hint="eastAsia"/>
        </w:rPr>
        <w:t>组团工程。</w:t>
      </w:r>
    </w:p>
    <w:p w:rsidR="009136B5" w:rsidRDefault="00000000">
      <w:pPr>
        <w:pStyle w:val="xxx"/>
      </w:pPr>
      <w:r>
        <w:rPr>
          <w:rFonts w:hint="eastAsia"/>
          <w:b/>
          <w:bCs/>
        </w:rPr>
        <w:t>4</w:t>
      </w:r>
      <w:r>
        <w:rPr>
          <w:b/>
          <w:bCs/>
        </w:rPr>
        <w:t>.2.</w:t>
      </w:r>
      <w:r>
        <w:rPr>
          <w:rFonts w:hint="eastAsia"/>
          <w:b/>
          <w:bCs/>
        </w:rPr>
        <w:t>3</w:t>
      </w:r>
      <w:r>
        <w:t xml:space="preserve">  </w:t>
      </w:r>
      <w:r>
        <w:rPr>
          <w:rFonts w:hint="eastAsia"/>
        </w:rPr>
        <w:t>托换桩布置时，宜使桩群承载力合力点与竖向荷载合力作用点重合，并使基桩受水平力和力矩较大方向有较大抗弯截面模量。</w:t>
      </w:r>
      <w:r>
        <w:t>桩位宜采用对称方式布桩，减少偏心。当无法对称布桩时，可采用增大基础面积、加深桩长等进行基础托换。</w:t>
      </w:r>
    </w:p>
    <w:p w:rsidR="009136B5" w:rsidRDefault="00000000">
      <w:pPr>
        <w:pStyle w:val="xxx"/>
      </w:pPr>
      <w:r>
        <w:rPr>
          <w:rFonts w:hint="eastAsia"/>
          <w:b/>
          <w:bCs/>
        </w:rPr>
        <w:t>4</w:t>
      </w:r>
      <w:r>
        <w:rPr>
          <w:b/>
          <w:bCs/>
        </w:rPr>
        <w:t>.2.</w:t>
      </w:r>
      <w:r>
        <w:rPr>
          <w:rFonts w:hint="eastAsia"/>
          <w:b/>
          <w:bCs/>
        </w:rPr>
        <w:t>4</w:t>
      </w:r>
      <w:r>
        <w:t xml:space="preserve">  </w:t>
      </w:r>
      <w:r>
        <w:rPr>
          <w:rFonts w:hint="eastAsia"/>
        </w:rPr>
        <w:t>当既有建筑为框架结构且采用桩基础时，柱荷载应通过组合承台传递至既有工程桩和新增托换桩（图</w:t>
      </w:r>
      <w:r>
        <w:rPr>
          <w:rFonts w:hint="eastAsia"/>
        </w:rPr>
        <w:t xml:space="preserve"> </w:t>
      </w:r>
      <w:r>
        <w:t>4</w:t>
      </w:r>
      <w:r>
        <w:rPr>
          <w:rFonts w:hint="eastAsia"/>
        </w:rPr>
        <w:t>.</w:t>
      </w:r>
      <w:r>
        <w:t>2.</w:t>
      </w:r>
      <w:r>
        <w:rPr>
          <w:rFonts w:hint="eastAsia"/>
        </w:rPr>
        <w:t>4</w:t>
      </w:r>
      <w:r>
        <w:rPr>
          <w:rFonts w:hint="eastAsia"/>
        </w:rPr>
        <w:t>）。</w:t>
      </w:r>
    </w:p>
    <w:p w:rsidR="009136B5" w:rsidRDefault="00000000">
      <w:pPr>
        <w:pStyle w:val="affffb"/>
      </w:pPr>
      <w:r>
        <w:rPr>
          <w:noProof/>
        </w:rPr>
        <w:drawing>
          <wp:inline distT="0" distB="0" distL="114300" distR="114300">
            <wp:extent cx="4238625" cy="1495425"/>
            <wp:effectExtent l="0" t="0" r="9525" b="8890"/>
            <wp:docPr id="2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5"/>
                    <pic:cNvPicPr>
                      <a:picLocks noChangeAspect="1"/>
                    </pic:cNvPicPr>
                  </pic:nvPicPr>
                  <pic:blipFill>
                    <a:blip r:embed="rId52"/>
                    <a:stretch>
                      <a:fillRect/>
                    </a:stretch>
                  </pic:blipFill>
                  <pic:spPr>
                    <a:xfrm>
                      <a:off x="0" y="0"/>
                      <a:ext cx="4238625" cy="1495425"/>
                    </a:xfrm>
                    <a:prstGeom prst="rect">
                      <a:avLst/>
                    </a:prstGeom>
                    <a:noFill/>
                    <a:ln>
                      <a:noFill/>
                    </a:ln>
                  </pic:spPr>
                </pic:pic>
              </a:graphicData>
            </a:graphic>
          </wp:inline>
        </w:drawing>
      </w:r>
    </w:p>
    <w:p w:rsidR="009136B5" w:rsidRDefault="00000000">
      <w:pPr>
        <w:pStyle w:val="affffb"/>
        <w:rPr>
          <w:color w:val="auto"/>
        </w:rPr>
      </w:pPr>
      <w:r>
        <w:rPr>
          <w:color w:val="auto"/>
        </w:rPr>
        <w:t>图</w:t>
      </w:r>
      <w:r>
        <w:rPr>
          <w:rFonts w:hint="eastAsia"/>
          <w:color w:val="auto"/>
        </w:rPr>
        <w:t>4</w:t>
      </w:r>
      <w:r>
        <w:rPr>
          <w:color w:val="auto"/>
        </w:rPr>
        <w:t>.2.</w:t>
      </w:r>
      <w:r>
        <w:rPr>
          <w:rFonts w:hint="eastAsia"/>
          <w:color w:val="auto"/>
        </w:rPr>
        <w:t>4</w:t>
      </w:r>
      <w:r>
        <w:rPr>
          <w:color w:val="auto"/>
        </w:rPr>
        <w:t xml:space="preserve"> </w:t>
      </w:r>
      <w:r>
        <w:rPr>
          <w:rFonts w:hint="eastAsia"/>
          <w:color w:val="auto"/>
        </w:rPr>
        <w:t>组合承台</w:t>
      </w:r>
      <w:r>
        <w:rPr>
          <w:color w:val="auto"/>
        </w:rPr>
        <w:t>托换布置示意图</w:t>
      </w:r>
    </w:p>
    <w:p w:rsidR="009136B5" w:rsidRDefault="00000000">
      <w:pPr>
        <w:pStyle w:val="affffb"/>
        <w:rPr>
          <w:color w:val="auto"/>
        </w:rPr>
      </w:pPr>
      <w:r>
        <w:rPr>
          <w:rFonts w:hint="eastAsia"/>
          <w:b w:val="0"/>
          <w:bCs w:val="0"/>
          <w:color w:val="auto"/>
        </w:rPr>
        <w:t>1</w:t>
      </w:r>
      <w:r>
        <w:rPr>
          <w:b w:val="0"/>
          <w:bCs w:val="0"/>
          <w:color w:val="auto"/>
        </w:rPr>
        <w:t>-</w:t>
      </w:r>
      <w:r>
        <w:rPr>
          <w:b w:val="0"/>
          <w:bCs w:val="0"/>
          <w:color w:val="auto"/>
        </w:rPr>
        <w:t>托换桩</w:t>
      </w:r>
      <w:r>
        <w:rPr>
          <w:rFonts w:hint="eastAsia"/>
          <w:b w:val="0"/>
          <w:bCs w:val="0"/>
          <w:color w:val="auto"/>
        </w:rPr>
        <w:t>；</w:t>
      </w:r>
      <w:r>
        <w:rPr>
          <w:rFonts w:hint="eastAsia"/>
          <w:b w:val="0"/>
          <w:bCs w:val="0"/>
          <w:color w:val="auto"/>
        </w:rPr>
        <w:t xml:space="preserve"> </w:t>
      </w:r>
      <w:r>
        <w:rPr>
          <w:b w:val="0"/>
          <w:bCs w:val="0"/>
          <w:color w:val="auto"/>
        </w:rPr>
        <w:t>2-</w:t>
      </w:r>
      <w:r>
        <w:rPr>
          <w:b w:val="0"/>
          <w:bCs w:val="0"/>
          <w:color w:val="auto"/>
        </w:rPr>
        <w:t>托换承台</w:t>
      </w:r>
      <w:r>
        <w:rPr>
          <w:rFonts w:hint="eastAsia"/>
          <w:b w:val="0"/>
          <w:bCs w:val="0"/>
          <w:color w:val="auto"/>
        </w:rPr>
        <w:t>；</w:t>
      </w:r>
      <w:r>
        <w:rPr>
          <w:rFonts w:hint="eastAsia"/>
          <w:b w:val="0"/>
          <w:bCs w:val="0"/>
          <w:color w:val="auto"/>
        </w:rPr>
        <w:t xml:space="preserve"> </w:t>
      </w:r>
      <w:r>
        <w:rPr>
          <w:b w:val="0"/>
          <w:bCs w:val="0"/>
          <w:color w:val="auto"/>
        </w:rPr>
        <w:t>3-</w:t>
      </w:r>
      <w:r>
        <w:rPr>
          <w:rFonts w:hint="eastAsia"/>
          <w:b w:val="0"/>
          <w:bCs w:val="0"/>
          <w:color w:val="auto"/>
        </w:rPr>
        <w:t>既有工程桩；</w:t>
      </w:r>
      <w:r>
        <w:rPr>
          <w:rFonts w:hint="eastAsia"/>
          <w:b w:val="0"/>
          <w:bCs w:val="0"/>
          <w:color w:val="auto"/>
        </w:rPr>
        <w:t xml:space="preserve"> </w:t>
      </w:r>
      <w:r>
        <w:rPr>
          <w:b w:val="0"/>
          <w:bCs w:val="0"/>
          <w:color w:val="auto"/>
        </w:rPr>
        <w:t>4-</w:t>
      </w:r>
      <w:r>
        <w:rPr>
          <w:b w:val="0"/>
          <w:bCs w:val="0"/>
          <w:color w:val="auto"/>
        </w:rPr>
        <w:t>柱</w:t>
      </w:r>
    </w:p>
    <w:p w:rsidR="009136B5" w:rsidRDefault="00000000">
      <w:pPr>
        <w:pStyle w:val="xxx"/>
      </w:pPr>
      <w:r>
        <w:rPr>
          <w:rFonts w:hint="eastAsia"/>
          <w:b/>
          <w:bCs/>
        </w:rPr>
        <w:t>4</w:t>
      </w:r>
      <w:r>
        <w:rPr>
          <w:b/>
          <w:bCs/>
        </w:rPr>
        <w:t>.2.</w:t>
      </w:r>
      <w:r>
        <w:rPr>
          <w:rFonts w:hint="eastAsia"/>
          <w:b/>
          <w:bCs/>
        </w:rPr>
        <w:t>5</w:t>
      </w:r>
      <w:r>
        <w:t xml:space="preserve">  </w:t>
      </w:r>
      <w:r>
        <w:rPr>
          <w:rFonts w:hint="eastAsia"/>
        </w:rPr>
        <w:t>当既有建筑</w:t>
      </w:r>
      <w:r>
        <w:t>为</w:t>
      </w:r>
      <w:r>
        <w:rPr>
          <w:rFonts w:hint="eastAsia"/>
        </w:rPr>
        <w:t>框架结构并采用天然地基独立基础或筏板基础时，托换桩宜靠近柱集中布置。</w:t>
      </w:r>
      <w:r>
        <w:t>当既有建筑边界临近基坑边界时，可利用基坑支护排桩或地下连续墙兼作托换桩。</w:t>
      </w:r>
      <w:r>
        <w:rPr>
          <w:rFonts w:hint="eastAsia"/>
        </w:rPr>
        <w:t>柱荷载应通过既有基础或新增托换承台传递到托换桩（图</w:t>
      </w:r>
      <w:r>
        <w:rPr>
          <w:rFonts w:hint="eastAsia"/>
        </w:rPr>
        <w:t xml:space="preserve"> </w:t>
      </w:r>
      <w:r>
        <w:t>4</w:t>
      </w:r>
      <w:r>
        <w:rPr>
          <w:rFonts w:hint="eastAsia"/>
        </w:rPr>
        <w:t>.</w:t>
      </w:r>
      <w:r>
        <w:t>2.5</w:t>
      </w:r>
      <w:r>
        <w:rPr>
          <w:rFonts w:hint="eastAsia"/>
        </w:rPr>
        <w:t>）。</w:t>
      </w:r>
    </w:p>
    <w:p w:rsidR="009136B5" w:rsidRDefault="00000000">
      <w:pPr>
        <w:pStyle w:val="affffb"/>
        <w:rPr>
          <w:color w:val="auto"/>
        </w:rPr>
      </w:pPr>
      <w:r>
        <w:rPr>
          <w:noProof/>
          <w:color w:val="auto"/>
        </w:rPr>
        <w:drawing>
          <wp:inline distT="0" distB="0" distL="0" distR="0">
            <wp:extent cx="4128770" cy="1828800"/>
            <wp:effectExtent l="0" t="0" r="508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53" cstate="print">
                      <a:extLst>
                        <a:ext uri="{28A0092B-C50C-407E-A947-70E740481C1C}">
                          <a14:useLocalDpi xmlns:a14="http://schemas.microsoft.com/office/drawing/2010/main" val="0"/>
                        </a:ext>
                      </a:extLst>
                    </a:blip>
                    <a:srcRect b="13487"/>
                    <a:stretch>
                      <a:fillRect/>
                    </a:stretch>
                  </pic:blipFill>
                  <pic:spPr>
                    <a:xfrm>
                      <a:off x="0" y="0"/>
                      <a:ext cx="4139473" cy="1833507"/>
                    </a:xfrm>
                    <a:prstGeom prst="rect">
                      <a:avLst/>
                    </a:prstGeom>
                    <a:noFill/>
                    <a:ln>
                      <a:noFill/>
                    </a:ln>
                  </pic:spPr>
                </pic:pic>
              </a:graphicData>
            </a:graphic>
          </wp:inline>
        </w:drawing>
      </w:r>
    </w:p>
    <w:p w:rsidR="009136B5" w:rsidRDefault="00000000">
      <w:pPr>
        <w:pStyle w:val="affffb"/>
        <w:rPr>
          <w:color w:val="auto"/>
        </w:rPr>
      </w:pPr>
      <w:r>
        <w:rPr>
          <w:rFonts w:hint="eastAsia"/>
          <w:color w:val="auto"/>
        </w:rPr>
        <w:t>（</w:t>
      </w:r>
      <w:r>
        <w:rPr>
          <w:rFonts w:hint="eastAsia"/>
          <w:color w:val="auto"/>
        </w:rPr>
        <w:t>a</w:t>
      </w:r>
      <w:r>
        <w:rPr>
          <w:rFonts w:hint="eastAsia"/>
          <w:color w:val="auto"/>
        </w:rPr>
        <w:t>）平面图</w:t>
      </w:r>
    </w:p>
    <w:p w:rsidR="009136B5" w:rsidRDefault="00000000">
      <w:pPr>
        <w:pStyle w:val="affffb"/>
        <w:rPr>
          <w:color w:val="auto"/>
        </w:rPr>
      </w:pPr>
      <w:r>
        <w:rPr>
          <w:noProof/>
          <w:color w:val="auto"/>
        </w:rPr>
        <w:lastRenderedPageBreak/>
        <w:drawing>
          <wp:inline distT="0" distB="0" distL="0" distR="0">
            <wp:extent cx="4658995" cy="211772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54" cstate="print">
                      <a:extLst>
                        <a:ext uri="{28A0092B-C50C-407E-A947-70E740481C1C}">
                          <a14:useLocalDpi xmlns:a14="http://schemas.microsoft.com/office/drawing/2010/main" val="0"/>
                        </a:ext>
                      </a:extLst>
                    </a:blip>
                    <a:srcRect t="2236" b="35658"/>
                    <a:stretch>
                      <a:fillRect/>
                    </a:stretch>
                  </pic:blipFill>
                  <pic:spPr>
                    <a:xfrm>
                      <a:off x="0" y="0"/>
                      <a:ext cx="4659630" cy="2118614"/>
                    </a:xfrm>
                    <a:prstGeom prst="rect">
                      <a:avLst/>
                    </a:prstGeom>
                    <a:noFill/>
                    <a:ln>
                      <a:noFill/>
                    </a:ln>
                  </pic:spPr>
                </pic:pic>
              </a:graphicData>
            </a:graphic>
          </wp:inline>
        </w:drawing>
      </w:r>
    </w:p>
    <w:p w:rsidR="009136B5" w:rsidRDefault="00000000">
      <w:pPr>
        <w:pStyle w:val="affffb"/>
        <w:rPr>
          <w:color w:val="auto"/>
        </w:rPr>
      </w:pPr>
      <w:r>
        <w:rPr>
          <w:rFonts w:hint="eastAsia"/>
          <w:color w:val="auto"/>
        </w:rPr>
        <w:t>（</w:t>
      </w:r>
      <w:r>
        <w:rPr>
          <w:rFonts w:hint="eastAsia"/>
          <w:color w:val="auto"/>
        </w:rPr>
        <w:t>b</w:t>
      </w:r>
      <w:r>
        <w:rPr>
          <w:rFonts w:hint="eastAsia"/>
          <w:color w:val="auto"/>
        </w:rPr>
        <w:t>）立面图</w:t>
      </w:r>
    </w:p>
    <w:p w:rsidR="009136B5" w:rsidRDefault="00000000">
      <w:pPr>
        <w:pStyle w:val="affffb"/>
        <w:rPr>
          <w:color w:val="auto"/>
        </w:rPr>
      </w:pPr>
      <w:r>
        <w:rPr>
          <w:color w:val="auto"/>
        </w:rPr>
        <w:t>图</w:t>
      </w:r>
      <w:r>
        <w:rPr>
          <w:rFonts w:hint="eastAsia"/>
          <w:color w:val="auto"/>
        </w:rPr>
        <w:t>4</w:t>
      </w:r>
      <w:r>
        <w:rPr>
          <w:color w:val="auto"/>
        </w:rPr>
        <w:t>.2.</w:t>
      </w:r>
      <w:r>
        <w:rPr>
          <w:rFonts w:hint="eastAsia"/>
          <w:color w:val="auto"/>
        </w:rPr>
        <w:t>5</w:t>
      </w:r>
      <w:r>
        <w:rPr>
          <w:color w:val="auto"/>
        </w:rPr>
        <w:t xml:space="preserve"> </w:t>
      </w:r>
      <w:r>
        <w:rPr>
          <w:color w:val="auto"/>
        </w:rPr>
        <w:t>框架结构托换布置示意图</w:t>
      </w:r>
    </w:p>
    <w:p w:rsidR="009136B5" w:rsidRDefault="00000000">
      <w:pPr>
        <w:pStyle w:val="affffb"/>
        <w:rPr>
          <w:b w:val="0"/>
          <w:bCs w:val="0"/>
          <w:color w:val="auto"/>
        </w:rPr>
      </w:pPr>
      <w:r>
        <w:rPr>
          <w:rFonts w:hint="eastAsia"/>
          <w:b w:val="0"/>
          <w:bCs w:val="0"/>
          <w:color w:val="auto"/>
        </w:rPr>
        <w:t>1</w:t>
      </w:r>
      <w:r>
        <w:rPr>
          <w:b w:val="0"/>
          <w:bCs w:val="0"/>
          <w:color w:val="auto"/>
        </w:rPr>
        <w:t>-</w:t>
      </w:r>
      <w:r>
        <w:rPr>
          <w:b w:val="0"/>
          <w:bCs w:val="0"/>
          <w:color w:val="auto"/>
        </w:rPr>
        <w:t>托换桩</w:t>
      </w:r>
      <w:r>
        <w:rPr>
          <w:rFonts w:hint="eastAsia"/>
          <w:b w:val="0"/>
          <w:bCs w:val="0"/>
          <w:color w:val="auto"/>
        </w:rPr>
        <w:t>；</w:t>
      </w:r>
      <w:r>
        <w:rPr>
          <w:rFonts w:hint="eastAsia"/>
          <w:b w:val="0"/>
          <w:bCs w:val="0"/>
          <w:color w:val="auto"/>
        </w:rPr>
        <w:t xml:space="preserve"> </w:t>
      </w:r>
      <w:r>
        <w:rPr>
          <w:b w:val="0"/>
          <w:bCs w:val="0"/>
          <w:color w:val="auto"/>
        </w:rPr>
        <w:t>2-</w:t>
      </w:r>
      <w:r>
        <w:rPr>
          <w:b w:val="0"/>
          <w:bCs w:val="0"/>
          <w:color w:val="auto"/>
        </w:rPr>
        <w:t>托换承台</w:t>
      </w:r>
      <w:r>
        <w:rPr>
          <w:rFonts w:hint="eastAsia"/>
          <w:b w:val="0"/>
          <w:bCs w:val="0"/>
          <w:color w:val="auto"/>
        </w:rPr>
        <w:t>；</w:t>
      </w:r>
      <w:r>
        <w:rPr>
          <w:rFonts w:hint="eastAsia"/>
          <w:b w:val="0"/>
          <w:bCs w:val="0"/>
          <w:color w:val="auto"/>
        </w:rPr>
        <w:t xml:space="preserve"> </w:t>
      </w:r>
      <w:r>
        <w:rPr>
          <w:b w:val="0"/>
          <w:bCs w:val="0"/>
          <w:color w:val="auto"/>
        </w:rPr>
        <w:t>3-</w:t>
      </w:r>
      <w:r>
        <w:rPr>
          <w:b w:val="0"/>
          <w:bCs w:val="0"/>
          <w:color w:val="auto"/>
        </w:rPr>
        <w:t>排桩或地下连续墙</w:t>
      </w:r>
      <w:r>
        <w:rPr>
          <w:rFonts w:hint="eastAsia"/>
          <w:b w:val="0"/>
          <w:bCs w:val="0"/>
          <w:color w:val="auto"/>
        </w:rPr>
        <w:t xml:space="preserve"> </w:t>
      </w:r>
      <w:r>
        <w:rPr>
          <w:rFonts w:hint="eastAsia"/>
          <w:b w:val="0"/>
          <w:bCs w:val="0"/>
          <w:color w:val="auto"/>
        </w:rPr>
        <w:t>；</w:t>
      </w:r>
      <w:r>
        <w:rPr>
          <w:b w:val="0"/>
          <w:bCs w:val="0"/>
          <w:color w:val="auto"/>
        </w:rPr>
        <w:t>4-</w:t>
      </w:r>
      <w:r>
        <w:rPr>
          <w:b w:val="0"/>
          <w:bCs w:val="0"/>
          <w:color w:val="auto"/>
        </w:rPr>
        <w:t>柱</w:t>
      </w:r>
    </w:p>
    <w:p w:rsidR="009136B5" w:rsidRDefault="009136B5">
      <w:pPr>
        <w:pStyle w:val="affffb"/>
        <w:rPr>
          <w:color w:val="auto"/>
        </w:rPr>
      </w:pPr>
    </w:p>
    <w:p w:rsidR="009136B5" w:rsidRDefault="00000000">
      <w:pPr>
        <w:pStyle w:val="xxx"/>
      </w:pPr>
      <w:r>
        <w:rPr>
          <w:rFonts w:hint="eastAsia"/>
          <w:b/>
          <w:bCs/>
        </w:rPr>
        <w:t>4</w:t>
      </w:r>
      <w:r>
        <w:rPr>
          <w:b/>
          <w:bCs/>
        </w:rPr>
        <w:t>.</w:t>
      </w:r>
      <w:r>
        <w:rPr>
          <w:rFonts w:hint="eastAsia"/>
          <w:b/>
          <w:bCs/>
        </w:rPr>
        <w:t>2</w:t>
      </w:r>
      <w:r>
        <w:rPr>
          <w:b/>
          <w:bCs/>
        </w:rPr>
        <w:t>.</w:t>
      </w:r>
      <w:r>
        <w:rPr>
          <w:rFonts w:hint="eastAsia"/>
          <w:b/>
          <w:bCs/>
        </w:rPr>
        <w:t>6</w:t>
      </w:r>
      <w:r>
        <w:t xml:space="preserve">  </w:t>
      </w:r>
      <w:r>
        <w:rPr>
          <w:rFonts w:hint="eastAsia"/>
        </w:rPr>
        <w:t>当既有建筑</w:t>
      </w:r>
      <w:r>
        <w:t>为砌体结构</w:t>
      </w:r>
      <w:r>
        <w:rPr>
          <w:rFonts w:hint="eastAsia"/>
        </w:rPr>
        <w:t>并采用</w:t>
      </w:r>
      <w:r>
        <w:t>条形基础</w:t>
      </w:r>
      <w:r>
        <w:rPr>
          <w:rFonts w:hint="eastAsia"/>
        </w:rPr>
        <w:t>时，托换设计应符合下列规定</w:t>
      </w:r>
      <w:r>
        <w:rPr>
          <w:rFonts w:hint="eastAsia"/>
        </w:rPr>
        <w:t>:</w:t>
      </w:r>
    </w:p>
    <w:p w:rsidR="009136B5" w:rsidRDefault="00000000">
      <w:pPr>
        <w:pStyle w:val="x"/>
        <w:ind w:firstLine="315"/>
      </w:pPr>
      <w:r>
        <w:t xml:space="preserve">1  </w:t>
      </w:r>
      <w:r>
        <w:rPr>
          <w:rFonts w:hint="eastAsia"/>
        </w:rPr>
        <w:t>宜在砌体墙两侧</w:t>
      </w:r>
      <w:r>
        <w:t>分散</w:t>
      </w:r>
      <w:r>
        <w:rPr>
          <w:rFonts w:hint="eastAsia"/>
        </w:rPr>
        <w:t>均匀</w:t>
      </w:r>
      <w:r>
        <w:t>布置小截面托换桩，上部结构荷载通过托换梁传递到托换桩（图</w:t>
      </w:r>
      <w:r>
        <w:rPr>
          <w:rFonts w:hint="eastAsia"/>
        </w:rPr>
        <w:t>4</w:t>
      </w:r>
      <w:r>
        <w:t>.2.6</w:t>
      </w:r>
      <w:r>
        <w:t>）</w:t>
      </w:r>
      <w:r>
        <w:rPr>
          <w:rFonts w:hint="eastAsia"/>
        </w:rPr>
        <w:t>；</w:t>
      </w:r>
    </w:p>
    <w:p w:rsidR="009136B5" w:rsidRDefault="00000000">
      <w:pPr>
        <w:pStyle w:val="affffb"/>
        <w:rPr>
          <w:color w:val="auto"/>
        </w:rPr>
      </w:pPr>
      <w:r>
        <w:rPr>
          <w:color w:val="auto"/>
        </w:rPr>
        <w:object w:dxaOrig="6544" w:dyaOrig="3202">
          <v:shape id="_x0000_i1040" type="#_x0000_t75" style="width:327.45pt;height:159.65pt" o:ole="">
            <v:imagedata r:id="rId55" o:title="" croptop="34843f" cropbottom="4636f" cropleft="11289f" cropright="25461f"/>
          </v:shape>
          <o:OLEObject Type="Embed" ProgID="AutoCAD.Drawing.23" ShapeID="_x0000_i1040" DrawAspect="Content" ObjectID="_1735132818" r:id="rId56"/>
        </w:object>
      </w:r>
    </w:p>
    <w:p w:rsidR="009136B5" w:rsidRDefault="00000000">
      <w:pPr>
        <w:pStyle w:val="affffb"/>
        <w:rPr>
          <w:color w:val="auto"/>
        </w:rPr>
      </w:pPr>
      <w:r>
        <w:rPr>
          <w:color w:val="auto"/>
        </w:rPr>
        <w:t>图</w:t>
      </w:r>
      <w:r>
        <w:rPr>
          <w:rFonts w:hint="eastAsia"/>
          <w:color w:val="auto"/>
        </w:rPr>
        <w:t>4</w:t>
      </w:r>
      <w:r>
        <w:rPr>
          <w:color w:val="auto"/>
        </w:rPr>
        <w:t>.2.6</w:t>
      </w:r>
      <w:r>
        <w:rPr>
          <w:rFonts w:hint="eastAsia"/>
          <w:color w:val="auto"/>
        </w:rPr>
        <w:t>砌体结构条形基础托换示意图</w:t>
      </w:r>
    </w:p>
    <w:p w:rsidR="009136B5" w:rsidRDefault="00000000">
      <w:pPr>
        <w:pStyle w:val="affffb"/>
        <w:rPr>
          <w:b w:val="0"/>
          <w:bCs w:val="0"/>
          <w:color w:val="auto"/>
        </w:rPr>
      </w:pPr>
      <w:r>
        <w:rPr>
          <w:rFonts w:hint="eastAsia"/>
          <w:b w:val="0"/>
          <w:bCs w:val="0"/>
          <w:color w:val="auto"/>
        </w:rPr>
        <w:t>1</w:t>
      </w:r>
      <w:r>
        <w:rPr>
          <w:b w:val="0"/>
          <w:bCs w:val="0"/>
          <w:color w:val="auto"/>
        </w:rPr>
        <w:t>-</w:t>
      </w:r>
      <w:r>
        <w:rPr>
          <w:rFonts w:hint="eastAsia"/>
          <w:b w:val="0"/>
          <w:bCs w:val="0"/>
          <w:color w:val="auto"/>
        </w:rPr>
        <w:t>锚杆静压桩</w:t>
      </w:r>
      <w:r>
        <w:rPr>
          <w:rFonts w:hint="eastAsia"/>
          <w:b w:val="0"/>
          <w:bCs w:val="0"/>
          <w:color w:val="auto"/>
        </w:rPr>
        <w:t xml:space="preserve"> </w:t>
      </w:r>
      <w:r>
        <w:rPr>
          <w:b w:val="0"/>
          <w:bCs w:val="0"/>
          <w:color w:val="auto"/>
        </w:rPr>
        <w:t>2-</w:t>
      </w:r>
      <w:r>
        <w:rPr>
          <w:b w:val="0"/>
          <w:bCs w:val="0"/>
          <w:color w:val="auto"/>
        </w:rPr>
        <w:t>托换承台</w:t>
      </w:r>
      <w:r>
        <w:rPr>
          <w:rFonts w:hint="eastAsia"/>
          <w:b w:val="0"/>
          <w:bCs w:val="0"/>
          <w:color w:val="auto"/>
        </w:rPr>
        <w:t xml:space="preserve"> </w:t>
      </w:r>
      <w:r>
        <w:rPr>
          <w:b w:val="0"/>
          <w:bCs w:val="0"/>
          <w:color w:val="auto"/>
        </w:rPr>
        <w:t>3-</w:t>
      </w:r>
      <w:r>
        <w:rPr>
          <w:rFonts w:hint="eastAsia"/>
          <w:b w:val="0"/>
          <w:bCs w:val="0"/>
          <w:color w:val="auto"/>
        </w:rPr>
        <w:t>夹墙梁</w:t>
      </w:r>
      <w:r>
        <w:rPr>
          <w:rFonts w:hint="eastAsia"/>
          <w:b w:val="0"/>
          <w:bCs w:val="0"/>
          <w:color w:val="auto"/>
        </w:rPr>
        <w:t xml:space="preserve"> </w:t>
      </w:r>
      <w:r>
        <w:rPr>
          <w:b w:val="0"/>
          <w:bCs w:val="0"/>
          <w:color w:val="auto"/>
        </w:rPr>
        <w:t>4-</w:t>
      </w:r>
      <w:r>
        <w:rPr>
          <w:rFonts w:hint="eastAsia"/>
          <w:b w:val="0"/>
          <w:bCs w:val="0"/>
          <w:color w:val="auto"/>
        </w:rPr>
        <w:t>抬墙梁</w:t>
      </w:r>
      <w:r>
        <w:rPr>
          <w:rFonts w:hint="eastAsia"/>
          <w:b w:val="0"/>
          <w:bCs w:val="0"/>
          <w:color w:val="auto"/>
        </w:rPr>
        <w:t xml:space="preserve"> </w:t>
      </w:r>
      <w:r>
        <w:rPr>
          <w:b w:val="0"/>
          <w:bCs w:val="0"/>
          <w:color w:val="auto"/>
        </w:rPr>
        <w:t>5-</w:t>
      </w:r>
      <w:r>
        <w:rPr>
          <w:rFonts w:hint="eastAsia"/>
          <w:b w:val="0"/>
          <w:bCs w:val="0"/>
          <w:color w:val="auto"/>
        </w:rPr>
        <w:t>封边梁</w:t>
      </w:r>
    </w:p>
    <w:p w:rsidR="009136B5" w:rsidRDefault="00000000">
      <w:pPr>
        <w:pStyle w:val="x"/>
        <w:ind w:firstLine="315"/>
      </w:pPr>
      <w:r>
        <w:rPr>
          <w:rFonts w:hint="eastAsia"/>
        </w:rPr>
        <w:t>2</w:t>
      </w:r>
      <w:r>
        <w:t xml:space="preserve">  </w:t>
      </w:r>
      <w:r>
        <w:t>当既有建筑荷载较轻</w:t>
      </w:r>
      <w:r>
        <w:rPr>
          <w:rFonts w:hint="eastAsia"/>
        </w:rPr>
        <w:t>、</w:t>
      </w:r>
      <w:r>
        <w:t>地下增层层数较多或为</w:t>
      </w:r>
      <w:r>
        <w:rPr>
          <w:rFonts w:hint="eastAsia"/>
        </w:rPr>
        <w:t>加快基坑</w:t>
      </w:r>
      <w:r>
        <w:t>开挖效率时，可在</w:t>
      </w:r>
      <w:r>
        <w:rPr>
          <w:rFonts w:hint="eastAsia"/>
        </w:rPr>
        <w:t>建筑</w:t>
      </w:r>
      <w:r>
        <w:t>外围和房间中部设置大</w:t>
      </w:r>
      <w:r>
        <w:rPr>
          <w:rFonts w:hint="eastAsia"/>
        </w:rPr>
        <w:t>直径</w:t>
      </w:r>
      <w:r>
        <w:t>托换桩和大刚度</w:t>
      </w:r>
      <w:r>
        <w:rPr>
          <w:rFonts w:hint="eastAsia"/>
        </w:rPr>
        <w:t>托</w:t>
      </w:r>
      <w:r>
        <w:t>换梁，桩位的布置</w:t>
      </w:r>
      <w:r>
        <w:rPr>
          <w:rFonts w:hint="eastAsia"/>
        </w:rPr>
        <w:t>应结合施工</w:t>
      </w:r>
      <w:r>
        <w:t>阶段及正常使用阶段受力</w:t>
      </w:r>
      <w:r>
        <w:rPr>
          <w:rFonts w:hint="eastAsia"/>
        </w:rPr>
        <w:t>、</w:t>
      </w:r>
      <w:r>
        <w:t>施工机械的操作空间、永久结构框架梁柱的位置等综合确定。</w:t>
      </w:r>
    </w:p>
    <w:p w:rsidR="009136B5" w:rsidRDefault="00000000">
      <w:pPr>
        <w:pStyle w:val="xxx"/>
      </w:pPr>
      <w:r>
        <w:rPr>
          <w:rFonts w:hint="eastAsia"/>
          <w:b/>
        </w:rPr>
        <w:t>4</w:t>
      </w:r>
      <w:r>
        <w:rPr>
          <w:b/>
        </w:rPr>
        <w:t>.</w:t>
      </w:r>
      <w:r>
        <w:rPr>
          <w:rFonts w:hint="eastAsia"/>
          <w:b/>
        </w:rPr>
        <w:t>2</w:t>
      </w:r>
      <w:r>
        <w:rPr>
          <w:b/>
        </w:rPr>
        <w:t>.</w:t>
      </w:r>
      <w:r>
        <w:rPr>
          <w:rFonts w:hint="eastAsia"/>
          <w:b/>
        </w:rPr>
        <w:t>7</w:t>
      </w:r>
      <w:r>
        <w:t xml:space="preserve">  </w:t>
      </w:r>
      <w:r>
        <w:rPr>
          <w:rFonts w:hint="eastAsia"/>
        </w:rPr>
        <w:t>应结合托换桩的布置，将既有建筑的基础加固形成具有整体刚度的结构体系，可采用框架梁式体系、筏板体系或相结合的体系。</w:t>
      </w:r>
    </w:p>
    <w:p w:rsidR="009136B5" w:rsidRDefault="00000000">
      <w:pPr>
        <w:pStyle w:val="afffff1"/>
        <w:ind w:firstLineChars="0" w:firstLine="0"/>
      </w:pPr>
      <w:r>
        <w:rPr>
          <w:rFonts w:hint="eastAsia"/>
          <w:b/>
        </w:rPr>
        <w:t>条文说明：</w:t>
      </w:r>
      <w:r>
        <w:rPr>
          <w:rFonts w:hint="eastAsia"/>
        </w:rPr>
        <w:t>既有建筑原位地下增层属于逆作法的一种，但与常规逆作法又有明显不同：常规逆作法利用临时钢立柱支撑上部结构，由于上部结构尚未施作，所以钢立柱平面位置不受上部结构限制；但既有建筑地下增层时，由于上部结构竖向构件（墙柱）已经存在，所以新增的竖向托换构件只能采用从既有建筑竖向构件的周边或者两相邻竖向构件中间位置设置，然后用托换承台或者托换梁将两者连接，为了增强托换体系的整体性和抗变形能力，需要将托换承台、托换梁等构件连接能一个整体。</w:t>
      </w:r>
    </w:p>
    <w:p w:rsidR="009136B5" w:rsidRDefault="00000000">
      <w:pPr>
        <w:pStyle w:val="xxx"/>
      </w:pPr>
      <w:r>
        <w:rPr>
          <w:rFonts w:hint="eastAsia"/>
          <w:b/>
        </w:rPr>
        <w:lastRenderedPageBreak/>
        <w:t>4</w:t>
      </w:r>
      <w:r>
        <w:rPr>
          <w:b/>
        </w:rPr>
        <w:t>.</w:t>
      </w:r>
      <w:r>
        <w:rPr>
          <w:rFonts w:hint="eastAsia"/>
          <w:b/>
        </w:rPr>
        <w:t>2</w:t>
      </w:r>
      <w:r>
        <w:rPr>
          <w:b/>
        </w:rPr>
        <w:t>.</w:t>
      </w:r>
      <w:r>
        <w:rPr>
          <w:rFonts w:hint="eastAsia"/>
          <w:b/>
        </w:rPr>
        <w:t>8</w:t>
      </w:r>
      <w:r>
        <w:t xml:space="preserve">  </w:t>
      </w:r>
      <w:r>
        <w:t>对于历史保护建筑，托换结构布置应避开重点保护部位</w:t>
      </w:r>
      <w:r>
        <w:rPr>
          <w:rFonts w:hint="eastAsia"/>
        </w:rPr>
        <w:t>并</w:t>
      </w:r>
      <w:r>
        <w:t>采用软性隔离保护</w:t>
      </w:r>
      <w:r>
        <w:rPr>
          <w:rFonts w:hint="eastAsia"/>
        </w:rPr>
        <w:t>措施；</w:t>
      </w:r>
      <w:r>
        <w:t>当无法避开时，</w:t>
      </w:r>
      <w:r>
        <w:rPr>
          <w:rFonts w:hint="eastAsia"/>
        </w:rPr>
        <w:t>应征得许可后</w:t>
      </w:r>
      <w:r>
        <w:t>采取保护性</w:t>
      </w:r>
      <w:r>
        <w:rPr>
          <w:rFonts w:hint="eastAsia"/>
        </w:rPr>
        <w:t>卸解</w:t>
      </w:r>
      <w:r>
        <w:t>后再原样复原</w:t>
      </w:r>
      <w:r>
        <w:rPr>
          <w:rFonts w:hint="eastAsia"/>
        </w:rPr>
        <w:t>的措施</w:t>
      </w:r>
      <w:r>
        <w:t>。</w:t>
      </w:r>
      <w:r>
        <w:rPr>
          <w:rFonts w:hint="eastAsia"/>
        </w:rPr>
        <w:t xml:space="preserve">   </w:t>
      </w:r>
    </w:p>
    <w:p w:rsidR="009136B5" w:rsidRDefault="00000000">
      <w:pPr>
        <w:pStyle w:val="20"/>
      </w:pPr>
      <w:bookmarkStart w:id="39" w:name="_Toc123647769"/>
      <w:bookmarkStart w:id="40" w:name="_Toc30680"/>
      <w:r>
        <w:t xml:space="preserve">4.3 </w:t>
      </w:r>
      <w:r>
        <w:rPr>
          <w:rFonts w:hint="eastAsia"/>
        </w:rPr>
        <w:t xml:space="preserve"> </w:t>
      </w:r>
      <w:r>
        <w:rPr>
          <w:rFonts w:hint="eastAsia"/>
        </w:rPr>
        <w:t>托换桩设计</w:t>
      </w:r>
      <w:bookmarkEnd w:id="39"/>
      <w:bookmarkEnd w:id="40"/>
      <w:r>
        <w:rPr>
          <w:rFonts w:hint="eastAsia"/>
        </w:rPr>
        <w:t xml:space="preserve"> </w:t>
      </w:r>
    </w:p>
    <w:p w:rsidR="009136B5" w:rsidRDefault="00000000">
      <w:pPr>
        <w:pStyle w:val="xxx"/>
      </w:pPr>
      <w:r>
        <w:rPr>
          <w:rFonts w:hint="eastAsia"/>
          <w:b/>
          <w:bCs/>
        </w:rPr>
        <w:t>4</w:t>
      </w:r>
      <w:r>
        <w:rPr>
          <w:b/>
          <w:bCs/>
        </w:rPr>
        <w:t>.3.1</w:t>
      </w:r>
      <w:r>
        <w:t xml:space="preserve">  </w:t>
      </w:r>
      <w:r>
        <w:rPr>
          <w:rFonts w:hint="eastAsia"/>
        </w:rPr>
        <w:t>既有建筑托换桩按其使用功能可分为临时性托换桩和永久性托换桩。临时托换桩可仅对施工荷载作用下的桩身强度、稳定性及变形进行验算。永久托换桩除了对施工荷载作用下的桩身强度、稳定性及变形进行验算外，还应按照永久设计工况和地震设计工况对桩身强度、稳定性及变形进行计算。</w:t>
      </w:r>
    </w:p>
    <w:p w:rsidR="009136B5" w:rsidRDefault="00000000">
      <w:pPr>
        <w:pStyle w:val="xxx"/>
        <w:rPr>
          <w:color w:val="000000" w:themeColor="text1"/>
        </w:rPr>
      </w:pPr>
      <w:r>
        <w:rPr>
          <w:rFonts w:hint="eastAsia"/>
          <w:b/>
          <w:bCs/>
          <w:color w:val="000000" w:themeColor="text1"/>
        </w:rPr>
        <w:t>4</w:t>
      </w:r>
      <w:r>
        <w:rPr>
          <w:b/>
          <w:bCs/>
          <w:color w:val="000000" w:themeColor="text1"/>
        </w:rPr>
        <w:t>.3.</w:t>
      </w:r>
      <w:r>
        <w:rPr>
          <w:rFonts w:hint="eastAsia"/>
          <w:b/>
          <w:bCs/>
          <w:color w:val="000000" w:themeColor="text1"/>
        </w:rPr>
        <w:t>2</w:t>
      </w:r>
      <w:r>
        <w:rPr>
          <w:b/>
          <w:bCs/>
          <w:color w:val="000000" w:themeColor="text1"/>
        </w:rPr>
        <w:t xml:space="preserve">  </w:t>
      </w:r>
      <w:r>
        <w:rPr>
          <w:rFonts w:hint="eastAsia"/>
          <w:color w:val="000000" w:themeColor="text1"/>
        </w:rPr>
        <w:t>托换桩的设计等级宜为甲级，不应低于乙级。</w:t>
      </w:r>
    </w:p>
    <w:p w:rsidR="009136B5" w:rsidRDefault="00000000">
      <w:pPr>
        <w:pStyle w:val="xxx"/>
        <w:rPr>
          <w:color w:val="000000" w:themeColor="text1"/>
        </w:rPr>
      </w:pPr>
      <w:r>
        <w:rPr>
          <w:rFonts w:hint="eastAsia"/>
          <w:b/>
          <w:bCs/>
          <w:color w:val="000000" w:themeColor="text1"/>
        </w:rPr>
        <w:t>4</w:t>
      </w:r>
      <w:r>
        <w:rPr>
          <w:b/>
          <w:bCs/>
          <w:color w:val="000000" w:themeColor="text1"/>
        </w:rPr>
        <w:t>.3.</w:t>
      </w:r>
      <w:r>
        <w:rPr>
          <w:rFonts w:hint="eastAsia"/>
          <w:b/>
          <w:bCs/>
          <w:color w:val="000000" w:themeColor="text1"/>
        </w:rPr>
        <w:t>3</w:t>
      </w:r>
      <w:r>
        <w:rPr>
          <w:b/>
          <w:bCs/>
          <w:color w:val="000000" w:themeColor="text1"/>
        </w:rPr>
        <w:t xml:space="preserve">  </w:t>
      </w:r>
      <w:r>
        <w:rPr>
          <w:rFonts w:hint="eastAsia"/>
          <w:color w:val="000000" w:themeColor="text1"/>
        </w:rPr>
        <w:t>新增托换桩竖向抗压极限承载力应通过静载荷试验确定。新增永久托换桩在使用阶段承受拔力时，其抗拔极限承载力也应通过静载荷试验确定。</w:t>
      </w:r>
    </w:p>
    <w:p w:rsidR="009136B5" w:rsidRDefault="00000000">
      <w:pPr>
        <w:pStyle w:val="xxx"/>
        <w:rPr>
          <w:color w:val="000000" w:themeColor="text1"/>
        </w:rPr>
      </w:pPr>
      <w:r>
        <w:rPr>
          <w:rFonts w:hint="eastAsia"/>
          <w:b/>
          <w:bCs/>
          <w:color w:val="000000" w:themeColor="text1"/>
        </w:rPr>
        <w:t>4</w:t>
      </w:r>
      <w:r>
        <w:rPr>
          <w:b/>
          <w:bCs/>
          <w:color w:val="000000" w:themeColor="text1"/>
        </w:rPr>
        <w:t>.3.</w:t>
      </w:r>
      <w:r>
        <w:rPr>
          <w:rFonts w:hint="eastAsia"/>
          <w:b/>
          <w:bCs/>
          <w:color w:val="000000" w:themeColor="text1"/>
        </w:rPr>
        <w:t>4</w:t>
      </w:r>
      <w:r>
        <w:rPr>
          <w:b/>
          <w:bCs/>
          <w:color w:val="000000" w:themeColor="text1"/>
        </w:rPr>
        <w:t xml:space="preserve">  </w:t>
      </w:r>
      <w:r>
        <w:rPr>
          <w:rFonts w:hint="eastAsia"/>
          <w:color w:val="000000" w:themeColor="text1"/>
        </w:rPr>
        <w:t>利用既有工程桩作为托换桩时，其竖向极限承载力应根据岩土工程勘察报告、房屋建造时的基桩静载荷试验结果和桩基实测沉降等资料综合分析确定。房屋建造时未进行静载荷试验的，宜补充静载荷试验。</w:t>
      </w:r>
    </w:p>
    <w:p w:rsidR="009136B5" w:rsidRDefault="00000000">
      <w:pPr>
        <w:pStyle w:val="xxx"/>
        <w:rPr>
          <w:color w:val="000000" w:themeColor="text1"/>
        </w:rPr>
      </w:pPr>
      <w:r>
        <w:rPr>
          <w:rFonts w:hint="eastAsia"/>
          <w:b/>
          <w:bCs/>
          <w:color w:val="000000" w:themeColor="text1"/>
        </w:rPr>
        <w:t>4</w:t>
      </w:r>
      <w:r>
        <w:rPr>
          <w:b/>
          <w:bCs/>
          <w:color w:val="000000" w:themeColor="text1"/>
        </w:rPr>
        <w:t>.3.</w:t>
      </w:r>
      <w:r>
        <w:rPr>
          <w:rFonts w:hint="eastAsia"/>
          <w:b/>
          <w:bCs/>
          <w:color w:val="000000" w:themeColor="text1"/>
        </w:rPr>
        <w:t>5</w:t>
      </w:r>
      <w:r>
        <w:rPr>
          <w:color w:val="000000" w:themeColor="text1"/>
        </w:rPr>
        <w:t xml:space="preserve">  </w:t>
      </w:r>
      <w:r>
        <w:rPr>
          <w:rFonts w:hint="eastAsia"/>
          <w:color w:val="000000" w:themeColor="text1"/>
        </w:rPr>
        <w:t>单桩竖向抗压或抗拔极限承载力试验应采用慢速维持荷载法。试桩数量应符合《建筑桩基技术规范》</w:t>
      </w:r>
      <w:r>
        <w:rPr>
          <w:rFonts w:hint="eastAsia"/>
          <w:color w:val="000000" w:themeColor="text1"/>
        </w:rPr>
        <w:t>JGJ94</w:t>
      </w:r>
      <w:r>
        <w:rPr>
          <w:rFonts w:hint="eastAsia"/>
          <w:color w:val="000000" w:themeColor="text1"/>
        </w:rPr>
        <w:t>的相关规定。</w:t>
      </w:r>
    </w:p>
    <w:p w:rsidR="009136B5" w:rsidRDefault="00000000">
      <w:pPr>
        <w:pStyle w:val="xxx"/>
      </w:pPr>
      <w:r>
        <w:rPr>
          <w:rFonts w:hint="eastAsia"/>
          <w:b/>
          <w:bCs/>
          <w:color w:val="000000" w:themeColor="text1"/>
        </w:rPr>
        <w:t>4</w:t>
      </w:r>
      <w:r>
        <w:rPr>
          <w:b/>
          <w:bCs/>
          <w:color w:val="000000" w:themeColor="text1"/>
        </w:rPr>
        <w:t>.3.</w:t>
      </w:r>
      <w:r>
        <w:rPr>
          <w:rFonts w:hint="eastAsia"/>
          <w:b/>
          <w:bCs/>
          <w:color w:val="000000" w:themeColor="text1"/>
        </w:rPr>
        <w:t>6</w:t>
      </w:r>
      <w:r>
        <w:rPr>
          <w:color w:val="000000" w:themeColor="text1"/>
        </w:rPr>
        <w:t xml:space="preserve">  </w:t>
      </w:r>
      <w:r>
        <w:rPr>
          <w:rFonts w:hint="eastAsia"/>
          <w:color w:val="000000" w:themeColor="text1"/>
        </w:rPr>
        <w:t>托换桩承载力验算时，应扣除开挖段的桩侧摩阻力，</w:t>
      </w:r>
      <w:r>
        <w:rPr>
          <w:rFonts w:hint="eastAsia"/>
        </w:rPr>
        <w:t>按照土方开挖后埋置在土体中桩身实际长度计算；当开挖深度大于</w:t>
      </w:r>
      <w:r>
        <w:t>10m</w:t>
      </w:r>
      <w:r>
        <w:rPr>
          <w:rFonts w:hint="eastAsia"/>
        </w:rPr>
        <w:t>或超过开挖后有效桩长的</w:t>
      </w:r>
      <w:r>
        <w:t>1/3</w:t>
      </w:r>
      <w:r>
        <w:rPr>
          <w:rFonts w:hint="eastAsia"/>
        </w:rPr>
        <w:t>时，宜考虑开挖卸荷对工程桩承载力的影响。</w:t>
      </w:r>
    </w:p>
    <w:p w:rsidR="009136B5" w:rsidRDefault="00000000">
      <w:pPr>
        <w:pStyle w:val="xxx"/>
        <w:ind w:firstLineChars="200" w:firstLine="420"/>
      </w:pPr>
      <w:r>
        <w:rPr>
          <w:rFonts w:hint="eastAsia"/>
        </w:rPr>
        <w:t>扣除开挖段桩侧摩阻力后的单桩竖向抗压和抗拔极限承载力标准值应按下式计算：</w:t>
      </w:r>
    </w:p>
    <w:p w:rsidR="009136B5" w:rsidRDefault="00000000">
      <w:pPr>
        <w:ind w:firstLine="420"/>
      </w:pPr>
      <w:r>
        <w:rPr>
          <w:rFonts w:hint="eastAsia"/>
        </w:rPr>
        <w:t>单桩竖向抗压极限承载力标准值：</w:t>
      </w: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0"/>
        <w:gridCol w:w="3166"/>
        <w:gridCol w:w="3069"/>
      </w:tblGrid>
      <w:tr w:rsidR="009136B5">
        <w:trPr>
          <w:trHeight w:val="20"/>
        </w:trPr>
        <w:tc>
          <w:tcPr>
            <w:tcW w:w="3120" w:type="dxa"/>
          </w:tcPr>
          <w:p w:rsidR="009136B5" w:rsidRDefault="009136B5">
            <w:pPr>
              <w:pStyle w:val="2"/>
              <w:ind w:firstLine="0"/>
            </w:pPr>
          </w:p>
        </w:tc>
        <w:tc>
          <w:tcPr>
            <w:tcW w:w="3166" w:type="dxa"/>
            <w:vAlign w:val="center"/>
          </w:tcPr>
          <w:p w:rsidR="009136B5" w:rsidRDefault="00000000">
            <w:pPr>
              <w:pStyle w:val="2"/>
              <w:ind w:firstLine="0"/>
              <w:jc w:val="center"/>
            </w:pPr>
            <w:r>
              <w:rPr>
                <w:rFonts w:ascii="宋体" w:hAnsi="宋体"/>
                <w:color w:val="FF0000"/>
                <w:position w:val="-14"/>
                <w:szCs w:val="21"/>
                <w:lang w:bidi="ar"/>
              </w:rPr>
              <w:object w:dxaOrig="1988" w:dyaOrig="376">
                <v:shape id="_x0000_i1041" type="#_x0000_t75" style="width:98.9pt;height:18.8pt" o:ole="">
                  <v:imagedata r:id="rId57" o:title=""/>
                </v:shape>
                <o:OLEObject Type="Embed" ProgID="Equation.DSMT4" ShapeID="_x0000_i1041" DrawAspect="Content" ObjectID="_1735132819" r:id="rId58"/>
              </w:object>
            </w:r>
          </w:p>
        </w:tc>
        <w:tc>
          <w:tcPr>
            <w:tcW w:w="3069" w:type="dxa"/>
            <w:vAlign w:val="center"/>
          </w:tcPr>
          <w:p w:rsidR="009136B5" w:rsidRDefault="00000000">
            <w:pPr>
              <w:pStyle w:val="2"/>
              <w:ind w:firstLine="0"/>
              <w:jc w:val="right"/>
              <w:rPr>
                <w:sz w:val="21"/>
                <w:szCs w:val="21"/>
              </w:rPr>
            </w:pPr>
            <w:r>
              <w:rPr>
                <w:rFonts w:hint="eastAsia"/>
                <w:sz w:val="21"/>
                <w:szCs w:val="21"/>
                <w:lang w:bidi="ar"/>
              </w:rPr>
              <w:t>（</w:t>
            </w:r>
            <w:r>
              <w:rPr>
                <w:sz w:val="21"/>
                <w:szCs w:val="21"/>
                <w:lang w:bidi="ar"/>
              </w:rPr>
              <w:t>4.3.6-1</w:t>
            </w:r>
            <w:r>
              <w:rPr>
                <w:rFonts w:hint="eastAsia"/>
                <w:sz w:val="21"/>
                <w:szCs w:val="21"/>
                <w:lang w:bidi="ar"/>
              </w:rPr>
              <w:t>）</w:t>
            </w:r>
          </w:p>
        </w:tc>
      </w:tr>
    </w:tbl>
    <w:p w:rsidR="009136B5" w:rsidRDefault="00000000">
      <w:pPr>
        <w:ind w:firstLine="420"/>
        <w:rPr>
          <w:lang w:bidi="ar"/>
        </w:rPr>
      </w:pPr>
      <w:r>
        <w:rPr>
          <w:rFonts w:hint="eastAsia"/>
          <w:lang w:bidi="ar"/>
        </w:rPr>
        <w:t>单桩竖向抗拔极限承载力标准值：</w:t>
      </w:r>
    </w:p>
    <w:tbl>
      <w:tblPr>
        <w:tblStyle w:val="afa"/>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54"/>
        <w:gridCol w:w="477"/>
        <w:gridCol w:w="4106"/>
        <w:gridCol w:w="3119"/>
      </w:tblGrid>
      <w:tr w:rsidR="009136B5">
        <w:trPr>
          <w:trHeight w:val="20"/>
        </w:trPr>
        <w:tc>
          <w:tcPr>
            <w:tcW w:w="6237" w:type="dxa"/>
            <w:gridSpan w:val="3"/>
            <w:vAlign w:val="center"/>
          </w:tcPr>
          <w:p w:rsidR="009136B5" w:rsidRDefault="00000000">
            <w:pPr>
              <w:pStyle w:val="x"/>
              <w:wordWrap w:val="0"/>
              <w:ind w:firstLineChars="0" w:firstLine="0"/>
              <w:jc w:val="right"/>
              <w:rPr>
                <w:kern w:val="0"/>
                <w:szCs w:val="21"/>
              </w:rPr>
            </w:pPr>
            <w:r>
              <w:rPr>
                <w:rFonts w:ascii="宋体" w:hAnsi="宋体"/>
                <w:color w:val="FF0000"/>
                <w:position w:val="-14"/>
                <w:szCs w:val="21"/>
                <w:lang w:bidi="ar"/>
              </w:rPr>
              <w:object w:dxaOrig="2235" w:dyaOrig="376">
                <v:shape id="_x0000_i1042" type="#_x0000_t75" style="width:112.05pt;height:18.8pt" o:ole="">
                  <v:imagedata r:id="rId59" o:title=""/>
                </v:shape>
                <o:OLEObject Type="Embed" ProgID="Equation.DSMT4" ShapeID="_x0000_i1042" DrawAspect="Content" ObjectID="_1735132820" r:id="rId60"/>
              </w:object>
            </w:r>
            <w:r>
              <w:rPr>
                <w:rFonts w:ascii="宋体" w:hAnsi="宋体"/>
                <w:color w:val="FF0000"/>
                <w:szCs w:val="21"/>
                <w:lang w:bidi="ar"/>
              </w:rPr>
              <w:t xml:space="preserve">  </w:t>
            </w:r>
          </w:p>
        </w:tc>
        <w:tc>
          <w:tcPr>
            <w:tcW w:w="3119" w:type="dxa"/>
            <w:vAlign w:val="center"/>
          </w:tcPr>
          <w:p w:rsidR="009136B5" w:rsidRDefault="00000000">
            <w:pPr>
              <w:pStyle w:val="x"/>
              <w:ind w:firstLineChars="0" w:firstLine="0"/>
              <w:jc w:val="right"/>
              <w:rPr>
                <w:szCs w:val="21"/>
              </w:rPr>
            </w:pPr>
            <w:r>
              <w:rPr>
                <w:rFonts w:hint="eastAsia"/>
                <w:szCs w:val="21"/>
              </w:rPr>
              <w:t>（</w:t>
            </w:r>
            <w:r>
              <w:rPr>
                <w:szCs w:val="21"/>
              </w:rPr>
              <w:t>4.3.6-2</w:t>
            </w:r>
            <w:r>
              <w:rPr>
                <w:rFonts w:hint="eastAsia"/>
                <w:szCs w:val="21"/>
              </w:rPr>
              <w:t>）</w:t>
            </w:r>
          </w:p>
        </w:tc>
      </w:tr>
      <w:tr w:rsidR="009136B5">
        <w:tblPrEx>
          <w:tblCellMar>
            <w:left w:w="0" w:type="dxa"/>
            <w:right w:w="57" w:type="dxa"/>
          </w:tblCellMar>
        </w:tblPrEx>
        <w:tc>
          <w:tcPr>
            <w:tcW w:w="1654" w:type="dxa"/>
            <w:vAlign w:val="center"/>
          </w:tcPr>
          <w:p w:rsidR="009136B5" w:rsidRDefault="00000000">
            <w:pPr>
              <w:pStyle w:val="220"/>
              <w:jc w:val="right"/>
            </w:pPr>
            <w:r>
              <w:rPr>
                <w:rFonts w:hint="eastAsia"/>
              </w:rPr>
              <w:t>式中：</w:t>
            </w:r>
            <w:proofErr w:type="spellStart"/>
            <w:r>
              <w:rPr>
                <w:rFonts w:hint="eastAsia"/>
                <w:i/>
                <w:iCs/>
              </w:rPr>
              <w:t>Q</w:t>
            </w:r>
            <w:r>
              <w:rPr>
                <w:rFonts w:hint="eastAsia"/>
                <w:vertAlign w:val="subscript"/>
              </w:rPr>
              <w:t>uk</w:t>
            </w:r>
            <w:proofErr w:type="spellEnd"/>
            <w:r>
              <w:rPr>
                <w:rFonts w:hint="eastAsia"/>
              </w:rPr>
              <w:t>、</w:t>
            </w:r>
            <w:proofErr w:type="spellStart"/>
            <w:r>
              <w:rPr>
                <w:rFonts w:hint="eastAsia"/>
                <w:i/>
                <w:iCs/>
              </w:rPr>
              <w:t>Q</w:t>
            </w:r>
            <w:r>
              <w:rPr>
                <w:rFonts w:hint="eastAsia"/>
                <w:vertAlign w:val="subscript"/>
              </w:rPr>
              <w:t>ubk</w:t>
            </w:r>
            <w:proofErr w:type="spellEnd"/>
          </w:p>
        </w:tc>
        <w:tc>
          <w:tcPr>
            <w:tcW w:w="477" w:type="dxa"/>
            <w:vAlign w:val="center"/>
          </w:tcPr>
          <w:p w:rsidR="009136B5" w:rsidRDefault="00000000">
            <w:pPr>
              <w:pStyle w:val="220"/>
              <w:jc w:val="center"/>
            </w:pPr>
            <w:r>
              <w:t>——</w:t>
            </w:r>
          </w:p>
        </w:tc>
        <w:tc>
          <w:tcPr>
            <w:tcW w:w="7225" w:type="dxa"/>
            <w:gridSpan w:val="2"/>
            <w:vAlign w:val="center"/>
          </w:tcPr>
          <w:p w:rsidR="009136B5" w:rsidRDefault="00000000">
            <w:pPr>
              <w:autoSpaceDE w:val="0"/>
              <w:autoSpaceDN w:val="0"/>
              <w:adjustRightInd w:val="0"/>
              <w:ind w:firstLineChars="0" w:firstLine="0"/>
              <w:rPr>
                <w:szCs w:val="21"/>
                <w:lang w:val="zh-CN"/>
              </w:rPr>
            </w:pPr>
            <w:r>
              <w:rPr>
                <w:rFonts w:ascii="宋体" w:hAnsi="宋体" w:cs="宋体" w:hint="eastAsia"/>
                <w:szCs w:val="21"/>
                <w:lang w:bidi="ar"/>
              </w:rPr>
              <w:t>单桩竖向抗压和抗拔极限承载力标准值；</w:t>
            </w:r>
          </w:p>
        </w:tc>
      </w:tr>
      <w:tr w:rsidR="009136B5">
        <w:tblPrEx>
          <w:tblCellMar>
            <w:left w:w="0" w:type="dxa"/>
            <w:right w:w="57" w:type="dxa"/>
          </w:tblCellMar>
        </w:tblPrEx>
        <w:tc>
          <w:tcPr>
            <w:tcW w:w="1654" w:type="dxa"/>
          </w:tcPr>
          <w:p w:rsidR="009136B5" w:rsidRDefault="00000000">
            <w:pPr>
              <w:pStyle w:val="220"/>
              <w:jc w:val="right"/>
              <w:rPr>
                <w:i/>
                <w:iCs/>
              </w:rPr>
            </w:pPr>
            <w:r>
              <w:rPr>
                <w:rFonts w:hint="eastAsia"/>
                <w:i/>
                <w:iCs/>
              </w:rPr>
              <w:t>R</w:t>
            </w:r>
            <w:r>
              <w:rPr>
                <w:rFonts w:hint="eastAsia"/>
                <w:i/>
                <w:iCs/>
                <w:vertAlign w:val="subscript"/>
              </w:rPr>
              <w:t>a</w:t>
            </w:r>
            <w:r>
              <w:rPr>
                <w:rFonts w:hint="eastAsia"/>
                <w:i/>
                <w:iCs/>
              </w:rPr>
              <w:t>、</w:t>
            </w:r>
            <w:proofErr w:type="spellStart"/>
            <w:r>
              <w:rPr>
                <w:rFonts w:hint="eastAsia"/>
                <w:i/>
                <w:iCs/>
              </w:rPr>
              <w:t>R</w:t>
            </w:r>
            <w:r>
              <w:rPr>
                <w:rFonts w:hint="eastAsia"/>
                <w:i/>
                <w:iCs/>
                <w:vertAlign w:val="subscript"/>
              </w:rPr>
              <w:t>ta</w:t>
            </w:r>
            <w:proofErr w:type="spellEnd"/>
          </w:p>
        </w:tc>
        <w:tc>
          <w:tcPr>
            <w:tcW w:w="477" w:type="dxa"/>
            <w:vAlign w:val="center"/>
          </w:tcPr>
          <w:p w:rsidR="009136B5" w:rsidRDefault="00000000">
            <w:pPr>
              <w:pStyle w:val="220"/>
              <w:jc w:val="center"/>
            </w:pPr>
            <w:r>
              <w:t>——</w:t>
            </w:r>
          </w:p>
        </w:tc>
        <w:tc>
          <w:tcPr>
            <w:tcW w:w="7225" w:type="dxa"/>
            <w:gridSpan w:val="2"/>
            <w:vAlign w:val="center"/>
          </w:tcPr>
          <w:p w:rsidR="009136B5" w:rsidRDefault="00000000">
            <w:pPr>
              <w:autoSpaceDE w:val="0"/>
              <w:autoSpaceDN w:val="0"/>
              <w:adjustRightInd w:val="0"/>
              <w:ind w:firstLineChars="0" w:firstLine="0"/>
              <w:rPr>
                <w:bCs/>
                <w:szCs w:val="21"/>
              </w:rPr>
            </w:pPr>
            <w:r>
              <w:rPr>
                <w:rFonts w:ascii="宋体" w:hAnsi="宋体" w:hint="eastAsia"/>
                <w:szCs w:val="21"/>
                <w:lang w:bidi="ar"/>
              </w:rPr>
              <w:t>既有基桩单桩竖向抗压和抗拔承载力特征值；</w:t>
            </w:r>
          </w:p>
        </w:tc>
      </w:tr>
      <w:tr w:rsidR="009136B5">
        <w:tblPrEx>
          <w:tblCellMar>
            <w:left w:w="0" w:type="dxa"/>
            <w:right w:w="57" w:type="dxa"/>
          </w:tblCellMar>
        </w:tblPrEx>
        <w:tc>
          <w:tcPr>
            <w:tcW w:w="1654" w:type="dxa"/>
          </w:tcPr>
          <w:p w:rsidR="009136B5" w:rsidRDefault="00000000">
            <w:pPr>
              <w:pStyle w:val="220"/>
              <w:jc w:val="right"/>
              <w:rPr>
                <w:i/>
                <w:iCs/>
              </w:rPr>
            </w:pPr>
            <w:proofErr w:type="spellStart"/>
            <w:r>
              <w:rPr>
                <w:i/>
                <w:iCs/>
                <w:lang w:bidi="ar"/>
              </w:rPr>
              <w:t>q</w:t>
            </w:r>
            <w:r>
              <w:rPr>
                <w:vertAlign w:val="subscript"/>
                <w:lang w:bidi="ar"/>
              </w:rPr>
              <w:t>pk</w:t>
            </w:r>
            <w:proofErr w:type="spellEnd"/>
            <w:r>
              <w:rPr>
                <w:lang w:bidi="ar"/>
              </w:rPr>
              <w:t>、</w:t>
            </w:r>
            <w:proofErr w:type="spellStart"/>
            <w:r>
              <w:rPr>
                <w:i/>
                <w:iCs/>
                <w:lang w:bidi="ar"/>
              </w:rPr>
              <w:t>q</w:t>
            </w:r>
            <w:r>
              <w:rPr>
                <w:vertAlign w:val="subscript"/>
                <w:lang w:bidi="ar"/>
              </w:rPr>
              <w:t>sik</w:t>
            </w:r>
            <w:proofErr w:type="spellEnd"/>
          </w:p>
        </w:tc>
        <w:tc>
          <w:tcPr>
            <w:tcW w:w="477" w:type="dxa"/>
          </w:tcPr>
          <w:p w:rsidR="009136B5" w:rsidRDefault="00000000">
            <w:pPr>
              <w:pStyle w:val="220"/>
              <w:jc w:val="left"/>
            </w:pPr>
            <w:r>
              <w:t>——</w:t>
            </w:r>
          </w:p>
        </w:tc>
        <w:tc>
          <w:tcPr>
            <w:tcW w:w="7225" w:type="dxa"/>
            <w:gridSpan w:val="2"/>
            <w:vAlign w:val="center"/>
          </w:tcPr>
          <w:p w:rsidR="009136B5" w:rsidRDefault="00000000">
            <w:pPr>
              <w:ind w:firstLineChars="0" w:firstLine="0"/>
              <w:rPr>
                <w:bCs/>
                <w:szCs w:val="21"/>
              </w:rPr>
            </w:pPr>
            <w:r>
              <w:rPr>
                <w:rFonts w:ascii="宋体" w:hAnsi="宋体" w:cs="宋体" w:hint="eastAsia"/>
                <w:color w:val="000000" w:themeColor="text1"/>
                <w:szCs w:val="21"/>
                <w:lang w:bidi="ar"/>
              </w:rPr>
              <w:t>为桩的极限端阻力标准值、第</w:t>
            </w:r>
            <w:proofErr w:type="spellStart"/>
            <w:r>
              <w:rPr>
                <w:i/>
                <w:color w:val="000000" w:themeColor="text1"/>
                <w:szCs w:val="21"/>
                <w:lang w:bidi="ar"/>
              </w:rPr>
              <w:t>i</w:t>
            </w:r>
            <w:proofErr w:type="spellEnd"/>
            <w:r>
              <w:rPr>
                <w:rFonts w:ascii="宋体" w:hAnsi="宋体" w:cs="宋体" w:hint="eastAsia"/>
                <w:color w:val="000000" w:themeColor="text1"/>
                <w:szCs w:val="21"/>
                <w:lang w:bidi="ar"/>
              </w:rPr>
              <w:t>层土的极限侧阻力标准值，应采用根据单桩静载荷试验结果修正后的端阻力和侧阻力标准值。</w:t>
            </w:r>
          </w:p>
        </w:tc>
      </w:tr>
      <w:tr w:rsidR="009136B5">
        <w:tblPrEx>
          <w:tblCellMar>
            <w:left w:w="0" w:type="dxa"/>
            <w:right w:w="57" w:type="dxa"/>
          </w:tblCellMar>
        </w:tblPrEx>
        <w:tc>
          <w:tcPr>
            <w:tcW w:w="1654" w:type="dxa"/>
            <w:vAlign w:val="center"/>
          </w:tcPr>
          <w:p w:rsidR="009136B5" w:rsidRDefault="00000000">
            <w:pPr>
              <w:pStyle w:val="220"/>
              <w:jc w:val="right"/>
              <w:rPr>
                <w:i/>
                <w:iCs/>
              </w:rPr>
            </w:pPr>
            <w:proofErr w:type="spellStart"/>
            <w:r>
              <w:rPr>
                <w:i/>
                <w:iCs/>
              </w:rPr>
              <w:t>λ</w:t>
            </w:r>
            <w:r>
              <w:rPr>
                <w:rFonts w:hint="eastAsia"/>
                <w:i/>
                <w:iCs/>
                <w:vertAlign w:val="subscript"/>
              </w:rPr>
              <w:t>i</w:t>
            </w:r>
            <w:proofErr w:type="spellEnd"/>
          </w:p>
        </w:tc>
        <w:tc>
          <w:tcPr>
            <w:tcW w:w="477" w:type="dxa"/>
            <w:vAlign w:val="center"/>
          </w:tcPr>
          <w:p w:rsidR="009136B5" w:rsidRDefault="00000000">
            <w:pPr>
              <w:pStyle w:val="220"/>
              <w:jc w:val="center"/>
            </w:pPr>
            <w:r>
              <w:t>——</w:t>
            </w:r>
          </w:p>
        </w:tc>
        <w:tc>
          <w:tcPr>
            <w:tcW w:w="7225" w:type="dxa"/>
            <w:gridSpan w:val="2"/>
            <w:vAlign w:val="center"/>
          </w:tcPr>
          <w:p w:rsidR="009136B5" w:rsidRDefault="00000000">
            <w:pPr>
              <w:pStyle w:val="xxx"/>
              <w:adjustRightInd w:val="0"/>
              <w:snapToGrid w:val="0"/>
              <w:rPr>
                <w:rFonts w:ascii="宋体" w:hAnsi="宋体" w:cs="宋体"/>
                <w:szCs w:val="21"/>
                <w:lang w:bidi="ar"/>
              </w:rPr>
            </w:pPr>
            <w:r>
              <w:rPr>
                <w:rFonts w:ascii="宋体" w:hAnsi="宋体" w:cs="宋体" w:hint="eastAsia"/>
                <w:szCs w:val="21"/>
                <w:lang w:bidi="ar"/>
              </w:rPr>
              <w:t>抗拔系数；</w:t>
            </w:r>
          </w:p>
        </w:tc>
      </w:tr>
      <w:tr w:rsidR="009136B5">
        <w:tblPrEx>
          <w:tblCellMar>
            <w:left w:w="0" w:type="dxa"/>
            <w:right w:w="57" w:type="dxa"/>
          </w:tblCellMar>
        </w:tblPrEx>
        <w:tc>
          <w:tcPr>
            <w:tcW w:w="1654" w:type="dxa"/>
            <w:vAlign w:val="center"/>
          </w:tcPr>
          <w:p w:rsidR="009136B5" w:rsidRDefault="00000000">
            <w:pPr>
              <w:pStyle w:val="220"/>
              <w:jc w:val="right"/>
              <w:rPr>
                <w:i/>
                <w:iCs/>
              </w:rPr>
            </w:pPr>
            <w:r>
              <w:rPr>
                <w:rFonts w:hint="eastAsia"/>
                <w:i/>
                <w:iCs/>
              </w:rPr>
              <w:t>u</w:t>
            </w:r>
            <w:r>
              <w:rPr>
                <w:rFonts w:hint="eastAsia"/>
                <w:i/>
                <w:iCs/>
                <w:vertAlign w:val="subscript"/>
              </w:rPr>
              <w:t>p</w:t>
            </w:r>
          </w:p>
        </w:tc>
        <w:tc>
          <w:tcPr>
            <w:tcW w:w="477" w:type="dxa"/>
            <w:vAlign w:val="center"/>
          </w:tcPr>
          <w:p w:rsidR="009136B5" w:rsidRDefault="00000000">
            <w:pPr>
              <w:pStyle w:val="220"/>
              <w:jc w:val="center"/>
            </w:pPr>
            <w:r>
              <w:t>——</w:t>
            </w:r>
          </w:p>
        </w:tc>
        <w:tc>
          <w:tcPr>
            <w:tcW w:w="7225" w:type="dxa"/>
            <w:gridSpan w:val="2"/>
            <w:vAlign w:val="center"/>
          </w:tcPr>
          <w:p w:rsidR="009136B5" w:rsidRDefault="00000000">
            <w:pPr>
              <w:pStyle w:val="xxx"/>
              <w:adjustRightInd w:val="0"/>
              <w:snapToGrid w:val="0"/>
              <w:rPr>
                <w:rFonts w:ascii="宋体" w:hAnsi="宋体" w:cs="宋体"/>
                <w:szCs w:val="21"/>
                <w:lang w:bidi="ar"/>
              </w:rPr>
            </w:pPr>
            <w:r>
              <w:rPr>
                <w:rFonts w:ascii="宋体" w:hAnsi="宋体" w:cs="宋体" w:hint="eastAsia"/>
                <w:szCs w:val="21"/>
                <w:lang w:bidi="ar"/>
              </w:rPr>
              <w:t>桩身周长；</w:t>
            </w:r>
          </w:p>
        </w:tc>
      </w:tr>
      <w:tr w:rsidR="009136B5">
        <w:tblPrEx>
          <w:tblCellMar>
            <w:left w:w="0" w:type="dxa"/>
            <w:right w:w="57" w:type="dxa"/>
          </w:tblCellMar>
        </w:tblPrEx>
        <w:tc>
          <w:tcPr>
            <w:tcW w:w="1654" w:type="dxa"/>
            <w:vAlign w:val="center"/>
          </w:tcPr>
          <w:p w:rsidR="009136B5" w:rsidRDefault="00000000">
            <w:pPr>
              <w:pStyle w:val="220"/>
              <w:jc w:val="right"/>
              <w:rPr>
                <w:i/>
                <w:iCs/>
              </w:rPr>
            </w:pPr>
            <w:proofErr w:type="spellStart"/>
            <w:r>
              <w:rPr>
                <w:i/>
                <w:iCs/>
                <w:color w:val="000000" w:themeColor="text1"/>
                <w:lang w:bidi="ar"/>
              </w:rPr>
              <w:t>l</w:t>
            </w:r>
            <w:r>
              <w:rPr>
                <w:i/>
                <w:iCs/>
                <w:color w:val="000000" w:themeColor="text1"/>
                <w:vertAlign w:val="subscript"/>
                <w:lang w:bidi="ar"/>
              </w:rPr>
              <w:t>iw</w:t>
            </w:r>
            <w:proofErr w:type="spellEnd"/>
          </w:p>
        </w:tc>
        <w:tc>
          <w:tcPr>
            <w:tcW w:w="477" w:type="dxa"/>
            <w:vAlign w:val="center"/>
          </w:tcPr>
          <w:p w:rsidR="009136B5" w:rsidRDefault="00000000">
            <w:pPr>
              <w:pStyle w:val="220"/>
              <w:jc w:val="center"/>
            </w:pPr>
            <w:r>
              <w:t>——</w:t>
            </w:r>
          </w:p>
        </w:tc>
        <w:tc>
          <w:tcPr>
            <w:tcW w:w="7225" w:type="dxa"/>
            <w:gridSpan w:val="2"/>
            <w:vAlign w:val="center"/>
          </w:tcPr>
          <w:p w:rsidR="009136B5" w:rsidRDefault="00000000">
            <w:pPr>
              <w:pStyle w:val="xxx"/>
              <w:adjustRightInd w:val="0"/>
              <w:snapToGrid w:val="0"/>
              <w:rPr>
                <w:rFonts w:ascii="宋体" w:hAnsi="宋体"/>
                <w:szCs w:val="21"/>
                <w:lang w:bidi="ar"/>
              </w:rPr>
            </w:pPr>
            <w:r>
              <w:rPr>
                <w:rFonts w:ascii="宋体" w:hAnsi="宋体" w:cs="宋体" w:hint="eastAsia"/>
                <w:szCs w:val="21"/>
                <w:lang w:bidi="ar"/>
              </w:rPr>
              <w:t>开挖段第</w:t>
            </w:r>
            <w:proofErr w:type="spellStart"/>
            <w:r>
              <w:rPr>
                <w:i/>
                <w:szCs w:val="21"/>
                <w:lang w:bidi="ar"/>
              </w:rPr>
              <w:t>i</w:t>
            </w:r>
            <w:proofErr w:type="spellEnd"/>
            <w:r>
              <w:rPr>
                <w:rFonts w:ascii="宋体" w:hAnsi="宋体" w:cs="宋体" w:hint="eastAsia"/>
                <w:szCs w:val="21"/>
                <w:lang w:bidi="ar"/>
              </w:rPr>
              <w:t>层土的厚度。</w:t>
            </w:r>
          </w:p>
        </w:tc>
      </w:tr>
    </w:tbl>
    <w:p w:rsidR="009136B5" w:rsidRDefault="00000000">
      <w:pPr>
        <w:pStyle w:val="afffff1"/>
        <w:adjustRightInd w:val="0"/>
        <w:snapToGrid w:val="0"/>
        <w:ind w:firstLineChars="0" w:firstLine="0"/>
      </w:pPr>
      <w:r>
        <w:rPr>
          <w:rFonts w:hint="eastAsia"/>
          <w:b/>
        </w:rPr>
        <w:t>条文说明：</w:t>
      </w:r>
      <w:r>
        <w:rPr>
          <w:rFonts w:hint="eastAsia"/>
        </w:rPr>
        <w:t>对于软土地区，用于载荷试验的试桩与工程桩皆在地面完成，试桩得到的单桩承载力与实际工程桩存在两个主要的差别：其一，需扣除开挖段桩身侧摩阻力，得到有效桩长的实际承载力；其二，基坑开挖后，工程桩周土体围压减小，导致承载力的降低，不能简单将地面试桩承载力扣除开挖段后得到的有效桩长承载力作为工程桩的承载力，否则相对于工程实际偏于不安全。理论上讲开挖卸荷对抗拔桩的影响大于承压桩。承载力的损失与开挖半径、开挖深度、有效桩长、桩型等因素有关。上海软土地区相关分析（表</w:t>
      </w:r>
      <w:r>
        <w:t>1</w:t>
      </w:r>
      <w:r>
        <w:rPr>
          <w:rFonts w:hint="eastAsia"/>
        </w:rPr>
        <w:t>）得到的主要影响规律如下：</w:t>
      </w:r>
      <w:r>
        <w:rPr>
          <w:rFonts w:hint="eastAsia"/>
        </w:rPr>
        <w:t>1</w:t>
      </w:r>
      <w:r>
        <w:rPr>
          <w:rFonts w:hint="eastAsia"/>
        </w:rPr>
        <w:t>）开挖半径，随着开挖半径的增加，抗拔桩的承载力损失比例逐渐增大。当开挖半径</w:t>
      </w:r>
      <w:r>
        <w:rPr>
          <w:rFonts w:hint="eastAsia"/>
        </w:rPr>
        <w:t>R</w:t>
      </w:r>
      <w:r>
        <w:rPr>
          <w:rFonts w:hint="eastAsia"/>
        </w:rPr>
        <w:t>小于有效桩长</w:t>
      </w:r>
      <w:r>
        <w:rPr>
          <w:rFonts w:hint="eastAsia"/>
        </w:rPr>
        <w:t>L</w:t>
      </w:r>
      <w:r>
        <w:rPr>
          <w:rFonts w:hint="eastAsia"/>
        </w:rPr>
        <w:t>时（</w:t>
      </w:r>
      <w:r>
        <w:rPr>
          <w:rFonts w:hint="eastAsia"/>
        </w:rPr>
        <w:t>R/L&lt;1</w:t>
      </w:r>
      <w:r>
        <w:rPr>
          <w:rFonts w:hint="eastAsia"/>
        </w:rPr>
        <w:t>），损失比例基本呈线性增加；当</w:t>
      </w:r>
      <w:r>
        <w:rPr>
          <w:rFonts w:hint="eastAsia"/>
        </w:rPr>
        <w:t>1&lt;</w:t>
      </w:r>
      <w:bookmarkStart w:id="41" w:name="OLE_LINK4"/>
      <w:r>
        <w:rPr>
          <w:rFonts w:hint="eastAsia"/>
        </w:rPr>
        <w:t>R/L&lt;2</w:t>
      </w:r>
      <w:bookmarkEnd w:id="41"/>
      <w:r>
        <w:rPr>
          <w:rFonts w:hint="eastAsia"/>
        </w:rPr>
        <w:t>时，损失比例增长趋势变缓。当</w:t>
      </w:r>
      <w:r>
        <w:rPr>
          <w:rFonts w:hint="eastAsia"/>
        </w:rPr>
        <w:t>R/L&gt;4</w:t>
      </w:r>
      <w:r>
        <w:rPr>
          <w:rFonts w:hint="eastAsia"/>
        </w:rPr>
        <w:t>后，开挖半径的继续增加对承载力的损失影响</w:t>
      </w:r>
      <w:r>
        <w:rPr>
          <w:rFonts w:hint="eastAsia"/>
        </w:rPr>
        <w:lastRenderedPageBreak/>
        <w:t>就相当微小了，开挖效应已充分体现。群桩分析表明，邻近基坑的边桩的承载力损失比相对较小，而中心桩的承载力损失比则相对较大。</w:t>
      </w:r>
      <w:r>
        <w:rPr>
          <w:rFonts w:hint="eastAsia"/>
        </w:rPr>
        <w:t>2</w:t>
      </w:r>
      <w:r>
        <w:rPr>
          <w:rFonts w:hint="eastAsia"/>
        </w:rPr>
        <w:t>）开挖深度，开挖深度是决定桩基承载力损失比例的最直接因素，相同条件下，当挖深</w:t>
      </w:r>
      <w:r>
        <w:rPr>
          <w:rFonts w:hint="eastAsia"/>
        </w:rPr>
        <w:t>H</w:t>
      </w:r>
      <w:r>
        <w:rPr>
          <w:rFonts w:hint="eastAsia"/>
        </w:rPr>
        <w:t>越大时，开挖引起的承载力损失比例越大。</w:t>
      </w:r>
      <w:r>
        <w:rPr>
          <w:rFonts w:hint="eastAsia"/>
        </w:rPr>
        <w:t>3</w:t>
      </w:r>
      <w:r>
        <w:rPr>
          <w:rFonts w:hint="eastAsia"/>
        </w:rPr>
        <w:t>）有效桩长，随有效桩长</w:t>
      </w:r>
      <w:r>
        <w:rPr>
          <w:rFonts w:hint="eastAsia"/>
        </w:rPr>
        <w:t>L</w:t>
      </w:r>
      <w:r>
        <w:rPr>
          <w:rFonts w:hint="eastAsia"/>
        </w:rPr>
        <w:t>与开挖深度</w:t>
      </w:r>
      <w:r>
        <w:rPr>
          <w:rFonts w:hint="eastAsia"/>
        </w:rPr>
        <w:t>H</w:t>
      </w:r>
      <w:r>
        <w:rPr>
          <w:rFonts w:hint="eastAsia"/>
        </w:rPr>
        <w:t>比值的增加，开挖引起的桩基抗拔承载力损失比例变小。</w:t>
      </w:r>
      <w:r>
        <w:rPr>
          <w:rFonts w:hint="eastAsia"/>
        </w:rPr>
        <w:t>H/L=0.3</w:t>
      </w:r>
      <w:r>
        <w:rPr>
          <w:rFonts w:hint="eastAsia"/>
        </w:rPr>
        <w:t>、</w:t>
      </w:r>
      <w:r>
        <w:rPr>
          <w:rFonts w:hint="eastAsia"/>
        </w:rPr>
        <w:t>H/L=0.5</w:t>
      </w:r>
      <w:r>
        <w:rPr>
          <w:rFonts w:hint="eastAsia"/>
        </w:rPr>
        <w:t>、</w:t>
      </w:r>
      <w:r>
        <w:rPr>
          <w:rFonts w:hint="eastAsia"/>
        </w:rPr>
        <w:t>H/L=0.7</w:t>
      </w:r>
      <w:r>
        <w:rPr>
          <w:rFonts w:hint="eastAsia"/>
        </w:rPr>
        <w:t>时，开挖引起的承载力损失比例最大值分别可达</w:t>
      </w:r>
      <w:r>
        <w:rPr>
          <w:rFonts w:hint="eastAsia"/>
        </w:rPr>
        <w:t>20%</w:t>
      </w:r>
      <w:r>
        <w:rPr>
          <w:rFonts w:hint="eastAsia"/>
        </w:rPr>
        <w:t>、</w:t>
      </w:r>
      <w:r>
        <w:rPr>
          <w:rFonts w:hint="eastAsia"/>
        </w:rPr>
        <w:t>30%</w:t>
      </w:r>
      <w:r>
        <w:rPr>
          <w:rFonts w:hint="eastAsia"/>
        </w:rPr>
        <w:t>、</w:t>
      </w:r>
      <w:r>
        <w:rPr>
          <w:rFonts w:hint="eastAsia"/>
        </w:rPr>
        <w:t>40%</w:t>
      </w:r>
      <w:r>
        <w:rPr>
          <w:rFonts w:hint="eastAsia"/>
        </w:rPr>
        <w:t>左右，因此，对于开挖深度与平面尺寸一定的工程，减少开挖对承载力影响的最有效办法是增加有效桩长。参考上述分析结果，认为开挖深度与有效桩长比例大于三分之一时，开挖引起的托换桩承载力损失可能会超过</w:t>
      </w:r>
      <w:r>
        <w:rPr>
          <w:rFonts w:hint="eastAsia"/>
        </w:rPr>
        <w:t>1</w:t>
      </w:r>
      <w:r>
        <w:t>5</w:t>
      </w:r>
      <w:r>
        <w:rPr>
          <w:rFonts w:hint="eastAsia"/>
        </w:rPr>
        <w:t>%</w:t>
      </w:r>
      <w:r>
        <w:rPr>
          <w:rFonts w:hint="eastAsia"/>
        </w:rPr>
        <w:t>，宜考虑开挖卸荷对桩基承载力的影响。</w:t>
      </w:r>
    </w:p>
    <w:p w:rsidR="009136B5" w:rsidRDefault="00000000">
      <w:pPr>
        <w:pStyle w:val="affffb"/>
      </w:pPr>
      <w:r>
        <w:rPr>
          <w:rFonts w:hint="eastAsia"/>
        </w:rPr>
        <w:t>表</w:t>
      </w:r>
      <w:r>
        <w:t>1</w:t>
      </w:r>
      <w:r>
        <w:rPr>
          <w:rFonts w:hint="eastAsia"/>
        </w:rPr>
        <w:t xml:space="preserve"> </w:t>
      </w:r>
      <w:r>
        <w:rPr>
          <w:rFonts w:hint="eastAsia"/>
        </w:rPr>
        <w:t>承载力损失比与深长比和径长比关系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899"/>
        <w:gridCol w:w="1243"/>
        <w:gridCol w:w="1243"/>
        <w:gridCol w:w="1243"/>
        <w:gridCol w:w="1243"/>
        <w:gridCol w:w="1949"/>
      </w:tblGrid>
      <w:tr w:rsidR="009136B5">
        <w:trPr>
          <w:trHeight w:val="413"/>
        </w:trPr>
        <w:tc>
          <w:tcPr>
            <w:tcW w:w="816" w:type="pct"/>
            <w:tcBorders>
              <w:tl2br w:val="single" w:sz="4" w:space="0" w:color="auto"/>
            </w:tcBorders>
            <w:shd w:val="clear" w:color="auto" w:fill="auto"/>
            <w:noWrap/>
            <w:vAlign w:val="center"/>
          </w:tcPr>
          <w:p w:rsidR="009136B5" w:rsidRDefault="00000000">
            <w:pPr>
              <w:pStyle w:val="afffff3"/>
            </w:pPr>
            <w:r>
              <w:rPr>
                <w:rFonts w:hint="eastAsia"/>
              </w:rPr>
              <w:t>R</w:t>
            </w:r>
            <w:r>
              <w:t>/L</w:t>
            </w:r>
          </w:p>
          <w:p w:rsidR="009136B5" w:rsidRDefault="00000000">
            <w:pPr>
              <w:pStyle w:val="afffff3"/>
            </w:pPr>
            <w:r>
              <w:rPr>
                <w:rFonts w:hint="eastAsia"/>
              </w:rPr>
              <w:t>H</w:t>
            </w:r>
            <w:r>
              <w:t>/L</w:t>
            </w:r>
          </w:p>
        </w:tc>
        <w:tc>
          <w:tcPr>
            <w:tcW w:w="481" w:type="pct"/>
            <w:shd w:val="clear" w:color="auto" w:fill="auto"/>
            <w:vAlign w:val="center"/>
          </w:tcPr>
          <w:p w:rsidR="009136B5" w:rsidRDefault="00000000">
            <w:pPr>
              <w:pStyle w:val="afffff3"/>
            </w:pPr>
            <w:r>
              <w:t>0</w:t>
            </w:r>
          </w:p>
        </w:tc>
        <w:tc>
          <w:tcPr>
            <w:tcW w:w="665" w:type="pct"/>
            <w:shd w:val="clear" w:color="auto" w:fill="auto"/>
            <w:noWrap/>
            <w:vAlign w:val="center"/>
          </w:tcPr>
          <w:p w:rsidR="009136B5" w:rsidRDefault="00000000">
            <w:pPr>
              <w:pStyle w:val="afffff3"/>
            </w:pPr>
            <w:r>
              <w:rPr>
                <w:rFonts w:hint="eastAsia"/>
              </w:rPr>
              <w:t>0.2</w:t>
            </w:r>
          </w:p>
        </w:tc>
        <w:tc>
          <w:tcPr>
            <w:tcW w:w="665" w:type="pct"/>
            <w:shd w:val="clear" w:color="auto" w:fill="auto"/>
            <w:vAlign w:val="center"/>
          </w:tcPr>
          <w:p w:rsidR="009136B5" w:rsidRDefault="00000000">
            <w:pPr>
              <w:pStyle w:val="afffff3"/>
            </w:pPr>
            <w:r>
              <w:rPr>
                <w:rFonts w:hint="eastAsia"/>
              </w:rPr>
              <w:t>0.5</w:t>
            </w:r>
          </w:p>
        </w:tc>
        <w:tc>
          <w:tcPr>
            <w:tcW w:w="665" w:type="pct"/>
            <w:shd w:val="clear" w:color="auto" w:fill="auto"/>
            <w:noWrap/>
            <w:vAlign w:val="center"/>
          </w:tcPr>
          <w:p w:rsidR="009136B5" w:rsidRDefault="00000000">
            <w:pPr>
              <w:pStyle w:val="afffff3"/>
            </w:pPr>
            <w:r>
              <w:rPr>
                <w:rFonts w:hint="eastAsia"/>
              </w:rPr>
              <w:t>1.0</w:t>
            </w:r>
          </w:p>
        </w:tc>
        <w:tc>
          <w:tcPr>
            <w:tcW w:w="665" w:type="pct"/>
            <w:shd w:val="clear" w:color="auto" w:fill="auto"/>
            <w:noWrap/>
            <w:vAlign w:val="center"/>
          </w:tcPr>
          <w:p w:rsidR="009136B5" w:rsidRDefault="00000000">
            <w:pPr>
              <w:pStyle w:val="afffff3"/>
            </w:pPr>
            <w:r>
              <w:rPr>
                <w:rFonts w:hint="eastAsia"/>
              </w:rPr>
              <w:t>1.5</w:t>
            </w:r>
          </w:p>
        </w:tc>
        <w:tc>
          <w:tcPr>
            <w:tcW w:w="1044" w:type="pct"/>
            <w:shd w:val="clear" w:color="auto" w:fill="auto"/>
            <w:noWrap/>
            <w:vAlign w:val="center"/>
          </w:tcPr>
          <w:p w:rsidR="009136B5" w:rsidRDefault="00000000">
            <w:pPr>
              <w:pStyle w:val="afffff3"/>
            </w:pPr>
            <w:r>
              <w:rPr>
                <w:rFonts w:hint="eastAsia"/>
              </w:rPr>
              <w:t>2.0</w:t>
            </w:r>
          </w:p>
        </w:tc>
      </w:tr>
      <w:tr w:rsidR="009136B5">
        <w:trPr>
          <w:trHeight w:val="285"/>
        </w:trPr>
        <w:tc>
          <w:tcPr>
            <w:tcW w:w="816" w:type="pct"/>
            <w:shd w:val="clear" w:color="auto" w:fill="auto"/>
            <w:noWrap/>
            <w:vAlign w:val="center"/>
          </w:tcPr>
          <w:p w:rsidR="009136B5" w:rsidRDefault="00000000">
            <w:pPr>
              <w:pStyle w:val="afffff3"/>
            </w:pPr>
            <w:r>
              <w:t>0</w:t>
            </w:r>
          </w:p>
        </w:tc>
        <w:tc>
          <w:tcPr>
            <w:tcW w:w="481" w:type="pct"/>
            <w:shd w:val="clear" w:color="auto" w:fill="auto"/>
            <w:vAlign w:val="center"/>
          </w:tcPr>
          <w:p w:rsidR="009136B5" w:rsidRDefault="00000000">
            <w:pPr>
              <w:pStyle w:val="afffff3"/>
            </w:pPr>
            <w:r>
              <w:rPr>
                <w:rFonts w:hint="eastAsia"/>
              </w:rPr>
              <w:t>0</w:t>
            </w:r>
          </w:p>
        </w:tc>
        <w:tc>
          <w:tcPr>
            <w:tcW w:w="665" w:type="pct"/>
            <w:shd w:val="clear" w:color="auto" w:fill="auto"/>
            <w:noWrap/>
            <w:vAlign w:val="center"/>
          </w:tcPr>
          <w:p w:rsidR="009136B5" w:rsidRDefault="00000000">
            <w:pPr>
              <w:pStyle w:val="afffff3"/>
            </w:pPr>
            <w:r>
              <w:rPr>
                <w:rFonts w:hint="eastAsia"/>
              </w:rPr>
              <w:t>0</w:t>
            </w:r>
          </w:p>
        </w:tc>
        <w:tc>
          <w:tcPr>
            <w:tcW w:w="665" w:type="pct"/>
            <w:shd w:val="clear" w:color="auto" w:fill="auto"/>
            <w:vAlign w:val="center"/>
          </w:tcPr>
          <w:p w:rsidR="009136B5" w:rsidRDefault="00000000">
            <w:pPr>
              <w:pStyle w:val="afffff3"/>
            </w:pPr>
            <w:r>
              <w:rPr>
                <w:rFonts w:hint="eastAsia"/>
              </w:rPr>
              <w:t>0</w:t>
            </w:r>
          </w:p>
        </w:tc>
        <w:tc>
          <w:tcPr>
            <w:tcW w:w="665" w:type="pct"/>
            <w:shd w:val="clear" w:color="auto" w:fill="auto"/>
            <w:noWrap/>
            <w:vAlign w:val="center"/>
          </w:tcPr>
          <w:p w:rsidR="009136B5" w:rsidRDefault="00000000">
            <w:pPr>
              <w:pStyle w:val="afffff3"/>
            </w:pPr>
            <w:r>
              <w:rPr>
                <w:rFonts w:hint="eastAsia"/>
              </w:rPr>
              <w:t>0</w:t>
            </w:r>
          </w:p>
        </w:tc>
        <w:tc>
          <w:tcPr>
            <w:tcW w:w="665" w:type="pct"/>
            <w:shd w:val="clear" w:color="auto" w:fill="auto"/>
            <w:noWrap/>
            <w:vAlign w:val="center"/>
          </w:tcPr>
          <w:p w:rsidR="009136B5" w:rsidRDefault="00000000">
            <w:pPr>
              <w:pStyle w:val="afffff3"/>
            </w:pPr>
            <w:r>
              <w:rPr>
                <w:rFonts w:hint="eastAsia"/>
              </w:rPr>
              <w:t>0</w:t>
            </w:r>
          </w:p>
        </w:tc>
        <w:tc>
          <w:tcPr>
            <w:tcW w:w="1044" w:type="pct"/>
            <w:shd w:val="clear" w:color="auto" w:fill="auto"/>
            <w:noWrap/>
            <w:vAlign w:val="center"/>
          </w:tcPr>
          <w:p w:rsidR="009136B5" w:rsidRDefault="00000000">
            <w:pPr>
              <w:pStyle w:val="afffff3"/>
            </w:pPr>
            <w:r>
              <w:t>0</w:t>
            </w:r>
          </w:p>
        </w:tc>
      </w:tr>
      <w:tr w:rsidR="009136B5">
        <w:trPr>
          <w:trHeight w:val="430"/>
        </w:trPr>
        <w:tc>
          <w:tcPr>
            <w:tcW w:w="816" w:type="pct"/>
            <w:shd w:val="clear" w:color="auto" w:fill="auto"/>
            <w:noWrap/>
            <w:vAlign w:val="center"/>
          </w:tcPr>
          <w:p w:rsidR="009136B5" w:rsidRDefault="00000000">
            <w:pPr>
              <w:pStyle w:val="afffff3"/>
            </w:pPr>
            <w:r>
              <w:rPr>
                <w:rFonts w:hint="eastAsia"/>
              </w:rPr>
              <w:t>0.1</w:t>
            </w:r>
          </w:p>
        </w:tc>
        <w:tc>
          <w:tcPr>
            <w:tcW w:w="481" w:type="pct"/>
            <w:shd w:val="clear" w:color="auto" w:fill="auto"/>
            <w:vAlign w:val="center"/>
          </w:tcPr>
          <w:p w:rsidR="009136B5" w:rsidRDefault="00000000">
            <w:pPr>
              <w:pStyle w:val="afffff3"/>
            </w:pPr>
            <w:r>
              <w:rPr>
                <w:rFonts w:hint="eastAsia"/>
              </w:rPr>
              <w:t>0</w:t>
            </w:r>
          </w:p>
        </w:tc>
        <w:tc>
          <w:tcPr>
            <w:tcW w:w="665" w:type="pct"/>
            <w:shd w:val="clear" w:color="auto" w:fill="auto"/>
            <w:noWrap/>
            <w:vAlign w:val="center"/>
          </w:tcPr>
          <w:p w:rsidR="009136B5" w:rsidRDefault="00000000">
            <w:pPr>
              <w:pStyle w:val="afffff3"/>
            </w:pPr>
            <w:r>
              <w:rPr>
                <w:rFonts w:hint="eastAsia"/>
              </w:rPr>
              <w:t>2.6%</w:t>
            </w:r>
          </w:p>
        </w:tc>
        <w:tc>
          <w:tcPr>
            <w:tcW w:w="665" w:type="pct"/>
            <w:shd w:val="clear" w:color="auto" w:fill="auto"/>
            <w:vAlign w:val="center"/>
          </w:tcPr>
          <w:p w:rsidR="009136B5" w:rsidRDefault="00000000">
            <w:pPr>
              <w:pStyle w:val="afffff3"/>
            </w:pPr>
            <w:r>
              <w:rPr>
                <w:rFonts w:hint="eastAsia"/>
              </w:rPr>
              <w:t>4.2%</w:t>
            </w:r>
          </w:p>
        </w:tc>
        <w:tc>
          <w:tcPr>
            <w:tcW w:w="665" w:type="pct"/>
            <w:shd w:val="clear" w:color="auto" w:fill="auto"/>
            <w:noWrap/>
            <w:vAlign w:val="center"/>
          </w:tcPr>
          <w:p w:rsidR="009136B5" w:rsidRDefault="00000000">
            <w:pPr>
              <w:pStyle w:val="afffff3"/>
            </w:pPr>
            <w:r>
              <w:rPr>
                <w:rFonts w:hint="eastAsia"/>
              </w:rPr>
              <w:t>5.2%</w:t>
            </w:r>
          </w:p>
        </w:tc>
        <w:tc>
          <w:tcPr>
            <w:tcW w:w="665" w:type="pct"/>
            <w:shd w:val="clear" w:color="auto" w:fill="auto"/>
            <w:noWrap/>
            <w:vAlign w:val="center"/>
          </w:tcPr>
          <w:p w:rsidR="009136B5" w:rsidRDefault="00000000">
            <w:pPr>
              <w:pStyle w:val="afffff3"/>
            </w:pPr>
            <w:r>
              <w:rPr>
                <w:rFonts w:hint="eastAsia"/>
              </w:rPr>
              <w:t>5.7%</w:t>
            </w:r>
          </w:p>
        </w:tc>
        <w:tc>
          <w:tcPr>
            <w:tcW w:w="1044" w:type="pct"/>
            <w:shd w:val="clear" w:color="auto" w:fill="auto"/>
            <w:noWrap/>
            <w:vAlign w:val="center"/>
          </w:tcPr>
          <w:p w:rsidR="009136B5" w:rsidRDefault="00000000">
            <w:pPr>
              <w:pStyle w:val="afffff3"/>
            </w:pPr>
            <w:r>
              <w:rPr>
                <w:rFonts w:hint="eastAsia"/>
              </w:rPr>
              <w:t>5.8%</w:t>
            </w:r>
          </w:p>
        </w:tc>
      </w:tr>
      <w:tr w:rsidR="009136B5">
        <w:trPr>
          <w:trHeight w:val="285"/>
        </w:trPr>
        <w:tc>
          <w:tcPr>
            <w:tcW w:w="816" w:type="pct"/>
            <w:shd w:val="clear" w:color="auto" w:fill="auto"/>
            <w:noWrap/>
            <w:vAlign w:val="center"/>
          </w:tcPr>
          <w:p w:rsidR="009136B5" w:rsidRDefault="00000000">
            <w:pPr>
              <w:pStyle w:val="afffff3"/>
            </w:pPr>
            <w:r>
              <w:rPr>
                <w:rFonts w:hint="eastAsia"/>
              </w:rPr>
              <w:t>0.3</w:t>
            </w:r>
          </w:p>
        </w:tc>
        <w:tc>
          <w:tcPr>
            <w:tcW w:w="481" w:type="pct"/>
            <w:shd w:val="clear" w:color="auto" w:fill="auto"/>
            <w:vAlign w:val="center"/>
          </w:tcPr>
          <w:p w:rsidR="009136B5" w:rsidRDefault="00000000">
            <w:pPr>
              <w:pStyle w:val="afffff3"/>
            </w:pPr>
            <w:r>
              <w:rPr>
                <w:rFonts w:hint="eastAsia"/>
              </w:rPr>
              <w:t>0</w:t>
            </w:r>
          </w:p>
        </w:tc>
        <w:tc>
          <w:tcPr>
            <w:tcW w:w="665" w:type="pct"/>
            <w:shd w:val="clear" w:color="auto" w:fill="auto"/>
            <w:noWrap/>
            <w:vAlign w:val="center"/>
          </w:tcPr>
          <w:p w:rsidR="009136B5" w:rsidRDefault="00000000">
            <w:pPr>
              <w:pStyle w:val="afffff3"/>
            </w:pPr>
            <w:r>
              <w:rPr>
                <w:rFonts w:hint="eastAsia"/>
              </w:rPr>
              <w:t>4.7%</w:t>
            </w:r>
          </w:p>
        </w:tc>
        <w:tc>
          <w:tcPr>
            <w:tcW w:w="665" w:type="pct"/>
            <w:shd w:val="clear" w:color="auto" w:fill="auto"/>
            <w:vAlign w:val="center"/>
          </w:tcPr>
          <w:p w:rsidR="009136B5" w:rsidRDefault="00000000">
            <w:pPr>
              <w:pStyle w:val="afffff3"/>
            </w:pPr>
            <w:r>
              <w:rPr>
                <w:rFonts w:hint="eastAsia"/>
              </w:rPr>
              <w:t>10.3%</w:t>
            </w:r>
          </w:p>
        </w:tc>
        <w:tc>
          <w:tcPr>
            <w:tcW w:w="665" w:type="pct"/>
            <w:shd w:val="clear" w:color="auto" w:fill="auto"/>
            <w:noWrap/>
            <w:vAlign w:val="center"/>
          </w:tcPr>
          <w:p w:rsidR="009136B5" w:rsidRDefault="00000000">
            <w:pPr>
              <w:pStyle w:val="afffff3"/>
            </w:pPr>
            <w:r>
              <w:rPr>
                <w:rFonts w:hint="eastAsia"/>
              </w:rPr>
              <w:t>13.2%</w:t>
            </w:r>
          </w:p>
        </w:tc>
        <w:tc>
          <w:tcPr>
            <w:tcW w:w="665" w:type="pct"/>
            <w:shd w:val="clear" w:color="auto" w:fill="auto"/>
            <w:noWrap/>
            <w:vAlign w:val="center"/>
          </w:tcPr>
          <w:p w:rsidR="009136B5" w:rsidRDefault="00000000">
            <w:pPr>
              <w:pStyle w:val="afffff3"/>
            </w:pPr>
            <w:r>
              <w:rPr>
                <w:rFonts w:hint="eastAsia"/>
              </w:rPr>
              <w:t>14.3%</w:t>
            </w:r>
          </w:p>
        </w:tc>
        <w:tc>
          <w:tcPr>
            <w:tcW w:w="1044" w:type="pct"/>
            <w:shd w:val="clear" w:color="auto" w:fill="auto"/>
            <w:noWrap/>
            <w:vAlign w:val="center"/>
          </w:tcPr>
          <w:p w:rsidR="009136B5" w:rsidRDefault="00000000">
            <w:pPr>
              <w:pStyle w:val="afffff3"/>
            </w:pPr>
            <w:r>
              <w:rPr>
                <w:rFonts w:hint="eastAsia"/>
              </w:rPr>
              <w:t>14.8%</w:t>
            </w:r>
          </w:p>
        </w:tc>
      </w:tr>
      <w:tr w:rsidR="009136B5">
        <w:trPr>
          <w:trHeight w:val="285"/>
        </w:trPr>
        <w:tc>
          <w:tcPr>
            <w:tcW w:w="816" w:type="pct"/>
            <w:shd w:val="clear" w:color="auto" w:fill="auto"/>
            <w:noWrap/>
            <w:vAlign w:val="center"/>
          </w:tcPr>
          <w:p w:rsidR="009136B5" w:rsidRDefault="00000000">
            <w:pPr>
              <w:pStyle w:val="afffff3"/>
              <w:rPr>
                <w:rFonts w:hAnsi="宋体"/>
              </w:rPr>
            </w:pPr>
            <w:r>
              <w:rPr>
                <w:rFonts w:hAnsi="宋体" w:hint="eastAsia"/>
              </w:rPr>
              <w:t>0.5</w:t>
            </w:r>
          </w:p>
        </w:tc>
        <w:tc>
          <w:tcPr>
            <w:tcW w:w="481" w:type="pct"/>
            <w:shd w:val="clear" w:color="auto" w:fill="auto"/>
            <w:vAlign w:val="center"/>
          </w:tcPr>
          <w:p w:rsidR="009136B5" w:rsidRDefault="00000000">
            <w:pPr>
              <w:pStyle w:val="afffff3"/>
            </w:pPr>
            <w:r>
              <w:rPr>
                <w:rFonts w:hint="eastAsia"/>
              </w:rPr>
              <w:t>0</w:t>
            </w:r>
          </w:p>
        </w:tc>
        <w:tc>
          <w:tcPr>
            <w:tcW w:w="665" w:type="pct"/>
            <w:shd w:val="clear" w:color="auto" w:fill="auto"/>
            <w:noWrap/>
            <w:vAlign w:val="center"/>
          </w:tcPr>
          <w:p w:rsidR="009136B5" w:rsidRDefault="00000000">
            <w:pPr>
              <w:pStyle w:val="afffff3"/>
            </w:pPr>
            <w:r>
              <w:rPr>
                <w:rFonts w:hint="eastAsia"/>
              </w:rPr>
              <w:t>9.8%</w:t>
            </w:r>
          </w:p>
        </w:tc>
        <w:tc>
          <w:tcPr>
            <w:tcW w:w="665" w:type="pct"/>
            <w:shd w:val="clear" w:color="auto" w:fill="auto"/>
            <w:vAlign w:val="center"/>
          </w:tcPr>
          <w:p w:rsidR="009136B5" w:rsidRDefault="00000000">
            <w:pPr>
              <w:pStyle w:val="afffff3"/>
            </w:pPr>
            <w:r>
              <w:rPr>
                <w:rFonts w:hint="eastAsia"/>
              </w:rPr>
              <w:t>14.4%</w:t>
            </w:r>
          </w:p>
        </w:tc>
        <w:tc>
          <w:tcPr>
            <w:tcW w:w="665" w:type="pct"/>
            <w:shd w:val="clear" w:color="auto" w:fill="auto"/>
            <w:noWrap/>
            <w:vAlign w:val="center"/>
          </w:tcPr>
          <w:p w:rsidR="009136B5" w:rsidRDefault="00000000">
            <w:pPr>
              <w:pStyle w:val="afffff3"/>
            </w:pPr>
            <w:r>
              <w:rPr>
                <w:rFonts w:hint="eastAsia"/>
              </w:rPr>
              <w:t>18.7%</w:t>
            </w:r>
          </w:p>
        </w:tc>
        <w:tc>
          <w:tcPr>
            <w:tcW w:w="665" w:type="pct"/>
            <w:shd w:val="clear" w:color="auto" w:fill="auto"/>
            <w:noWrap/>
            <w:vAlign w:val="center"/>
          </w:tcPr>
          <w:p w:rsidR="009136B5" w:rsidRDefault="00000000">
            <w:pPr>
              <w:pStyle w:val="afffff3"/>
            </w:pPr>
            <w:r>
              <w:rPr>
                <w:rFonts w:hint="eastAsia"/>
              </w:rPr>
              <w:t>20.5%</w:t>
            </w:r>
          </w:p>
        </w:tc>
        <w:tc>
          <w:tcPr>
            <w:tcW w:w="1044" w:type="pct"/>
            <w:shd w:val="clear" w:color="auto" w:fill="auto"/>
            <w:noWrap/>
            <w:vAlign w:val="center"/>
          </w:tcPr>
          <w:p w:rsidR="009136B5" w:rsidRDefault="00000000">
            <w:pPr>
              <w:pStyle w:val="afffff3"/>
            </w:pPr>
            <w:r>
              <w:rPr>
                <w:rFonts w:hint="eastAsia"/>
              </w:rPr>
              <w:t>21.4%</w:t>
            </w:r>
          </w:p>
        </w:tc>
      </w:tr>
      <w:tr w:rsidR="009136B5">
        <w:trPr>
          <w:trHeight w:val="285"/>
        </w:trPr>
        <w:tc>
          <w:tcPr>
            <w:tcW w:w="816" w:type="pct"/>
            <w:shd w:val="clear" w:color="auto" w:fill="auto"/>
            <w:noWrap/>
            <w:vAlign w:val="center"/>
          </w:tcPr>
          <w:p w:rsidR="009136B5" w:rsidRDefault="00000000">
            <w:pPr>
              <w:pStyle w:val="afffff3"/>
              <w:rPr>
                <w:rFonts w:hAnsi="宋体"/>
              </w:rPr>
            </w:pPr>
            <w:r>
              <w:rPr>
                <w:rFonts w:hAnsi="宋体" w:hint="eastAsia"/>
              </w:rPr>
              <w:t>0.7</w:t>
            </w:r>
          </w:p>
        </w:tc>
        <w:tc>
          <w:tcPr>
            <w:tcW w:w="481" w:type="pct"/>
            <w:shd w:val="clear" w:color="auto" w:fill="auto"/>
            <w:vAlign w:val="center"/>
          </w:tcPr>
          <w:p w:rsidR="009136B5" w:rsidRDefault="00000000">
            <w:pPr>
              <w:pStyle w:val="afffff3"/>
            </w:pPr>
            <w:r>
              <w:rPr>
                <w:rFonts w:hint="eastAsia"/>
              </w:rPr>
              <w:t>0</w:t>
            </w:r>
          </w:p>
        </w:tc>
        <w:tc>
          <w:tcPr>
            <w:tcW w:w="665" w:type="pct"/>
            <w:shd w:val="clear" w:color="auto" w:fill="auto"/>
            <w:noWrap/>
            <w:vAlign w:val="center"/>
          </w:tcPr>
          <w:p w:rsidR="009136B5" w:rsidRDefault="00000000">
            <w:pPr>
              <w:pStyle w:val="afffff3"/>
            </w:pPr>
            <w:r>
              <w:rPr>
                <w:rFonts w:hint="eastAsia"/>
              </w:rPr>
              <w:t>14.3%</w:t>
            </w:r>
          </w:p>
        </w:tc>
        <w:tc>
          <w:tcPr>
            <w:tcW w:w="665" w:type="pct"/>
            <w:shd w:val="clear" w:color="auto" w:fill="auto"/>
            <w:vAlign w:val="center"/>
          </w:tcPr>
          <w:p w:rsidR="009136B5" w:rsidRDefault="00000000">
            <w:pPr>
              <w:pStyle w:val="afffff3"/>
            </w:pPr>
            <w:r>
              <w:rPr>
                <w:rFonts w:hint="eastAsia"/>
              </w:rPr>
              <w:t>17.8%</w:t>
            </w:r>
          </w:p>
        </w:tc>
        <w:tc>
          <w:tcPr>
            <w:tcW w:w="665" w:type="pct"/>
            <w:shd w:val="clear" w:color="auto" w:fill="auto"/>
            <w:noWrap/>
            <w:vAlign w:val="center"/>
          </w:tcPr>
          <w:p w:rsidR="009136B5" w:rsidRDefault="00000000">
            <w:pPr>
              <w:pStyle w:val="afffff3"/>
            </w:pPr>
            <w:r>
              <w:rPr>
                <w:rFonts w:hint="eastAsia"/>
              </w:rPr>
              <w:t>22.83</w:t>
            </w:r>
          </w:p>
        </w:tc>
        <w:tc>
          <w:tcPr>
            <w:tcW w:w="665" w:type="pct"/>
            <w:shd w:val="clear" w:color="auto" w:fill="auto"/>
            <w:noWrap/>
            <w:vAlign w:val="center"/>
          </w:tcPr>
          <w:p w:rsidR="009136B5" w:rsidRDefault="00000000">
            <w:pPr>
              <w:pStyle w:val="afffff3"/>
            </w:pPr>
            <w:r>
              <w:rPr>
                <w:rFonts w:hint="eastAsia"/>
              </w:rPr>
              <w:t>25.2%</w:t>
            </w:r>
          </w:p>
        </w:tc>
        <w:tc>
          <w:tcPr>
            <w:tcW w:w="1044" w:type="pct"/>
            <w:shd w:val="clear" w:color="auto" w:fill="auto"/>
            <w:noWrap/>
            <w:vAlign w:val="center"/>
          </w:tcPr>
          <w:p w:rsidR="009136B5" w:rsidRDefault="00000000">
            <w:pPr>
              <w:pStyle w:val="afffff3"/>
            </w:pPr>
            <w:r>
              <w:rPr>
                <w:rFonts w:hint="eastAsia"/>
              </w:rPr>
              <w:t>26.4%</w:t>
            </w:r>
          </w:p>
        </w:tc>
      </w:tr>
      <w:tr w:rsidR="009136B5">
        <w:trPr>
          <w:trHeight w:val="285"/>
        </w:trPr>
        <w:tc>
          <w:tcPr>
            <w:tcW w:w="816" w:type="pct"/>
            <w:shd w:val="clear" w:color="auto" w:fill="auto"/>
            <w:noWrap/>
            <w:vAlign w:val="center"/>
          </w:tcPr>
          <w:p w:rsidR="009136B5" w:rsidRDefault="00000000">
            <w:pPr>
              <w:pStyle w:val="afffff3"/>
              <w:rPr>
                <w:rFonts w:hAnsi="宋体"/>
              </w:rPr>
            </w:pPr>
            <w:r>
              <w:rPr>
                <w:rFonts w:hAnsi="宋体" w:hint="eastAsia"/>
              </w:rPr>
              <w:t>1.0</w:t>
            </w:r>
          </w:p>
        </w:tc>
        <w:tc>
          <w:tcPr>
            <w:tcW w:w="481" w:type="pct"/>
            <w:shd w:val="clear" w:color="auto" w:fill="auto"/>
            <w:vAlign w:val="center"/>
          </w:tcPr>
          <w:p w:rsidR="009136B5" w:rsidRDefault="00000000">
            <w:pPr>
              <w:pStyle w:val="afffff3"/>
            </w:pPr>
            <w:r>
              <w:rPr>
                <w:rFonts w:hint="eastAsia"/>
              </w:rPr>
              <w:t>0</w:t>
            </w:r>
          </w:p>
        </w:tc>
        <w:tc>
          <w:tcPr>
            <w:tcW w:w="665" w:type="pct"/>
            <w:shd w:val="clear" w:color="auto" w:fill="auto"/>
            <w:noWrap/>
            <w:vAlign w:val="center"/>
          </w:tcPr>
          <w:p w:rsidR="009136B5" w:rsidRDefault="00000000">
            <w:pPr>
              <w:pStyle w:val="afffff3"/>
            </w:pPr>
            <w:r>
              <w:rPr>
                <w:rFonts w:hint="eastAsia"/>
              </w:rPr>
              <w:t>16.0%</w:t>
            </w:r>
          </w:p>
        </w:tc>
        <w:tc>
          <w:tcPr>
            <w:tcW w:w="665" w:type="pct"/>
            <w:shd w:val="clear" w:color="auto" w:fill="auto"/>
            <w:vAlign w:val="center"/>
          </w:tcPr>
          <w:p w:rsidR="009136B5" w:rsidRDefault="00000000">
            <w:pPr>
              <w:pStyle w:val="afffff3"/>
            </w:pPr>
            <w:r>
              <w:rPr>
                <w:rFonts w:hint="eastAsia"/>
              </w:rPr>
              <w:t>21.5%</w:t>
            </w:r>
          </w:p>
        </w:tc>
        <w:tc>
          <w:tcPr>
            <w:tcW w:w="665" w:type="pct"/>
            <w:shd w:val="clear" w:color="auto" w:fill="auto"/>
            <w:noWrap/>
            <w:vAlign w:val="center"/>
          </w:tcPr>
          <w:p w:rsidR="009136B5" w:rsidRDefault="00000000">
            <w:pPr>
              <w:pStyle w:val="afffff3"/>
            </w:pPr>
            <w:r>
              <w:rPr>
                <w:rFonts w:hint="eastAsia"/>
              </w:rPr>
              <w:t>26.86</w:t>
            </w:r>
          </w:p>
        </w:tc>
        <w:tc>
          <w:tcPr>
            <w:tcW w:w="665" w:type="pct"/>
            <w:shd w:val="clear" w:color="auto" w:fill="auto"/>
            <w:noWrap/>
            <w:vAlign w:val="center"/>
          </w:tcPr>
          <w:p w:rsidR="009136B5" w:rsidRDefault="00000000">
            <w:pPr>
              <w:pStyle w:val="afffff3"/>
            </w:pPr>
            <w:r>
              <w:rPr>
                <w:rFonts w:hint="eastAsia"/>
              </w:rPr>
              <w:t>29.8%</w:t>
            </w:r>
          </w:p>
        </w:tc>
        <w:tc>
          <w:tcPr>
            <w:tcW w:w="1044" w:type="pct"/>
            <w:shd w:val="clear" w:color="auto" w:fill="auto"/>
            <w:noWrap/>
            <w:vAlign w:val="center"/>
          </w:tcPr>
          <w:p w:rsidR="009136B5" w:rsidRDefault="00000000">
            <w:pPr>
              <w:pStyle w:val="afffff3"/>
            </w:pPr>
            <w:r>
              <w:rPr>
                <w:rFonts w:hint="eastAsia"/>
              </w:rPr>
              <w:t>31.5%</w:t>
            </w:r>
          </w:p>
        </w:tc>
      </w:tr>
    </w:tbl>
    <w:p w:rsidR="009136B5" w:rsidRDefault="00000000">
      <w:pPr>
        <w:pStyle w:val="xxx"/>
        <w:rPr>
          <w:color w:val="000000" w:themeColor="text1"/>
        </w:rPr>
      </w:pPr>
      <w:r>
        <w:rPr>
          <w:rFonts w:hint="eastAsia"/>
          <w:b/>
          <w:bCs/>
          <w:color w:val="000000" w:themeColor="text1"/>
        </w:rPr>
        <w:t>4</w:t>
      </w:r>
      <w:r>
        <w:rPr>
          <w:b/>
          <w:bCs/>
          <w:color w:val="000000" w:themeColor="text1"/>
        </w:rPr>
        <w:t>.3.</w:t>
      </w:r>
      <w:r>
        <w:rPr>
          <w:rFonts w:hint="eastAsia"/>
          <w:b/>
          <w:bCs/>
          <w:color w:val="000000" w:themeColor="text1"/>
        </w:rPr>
        <w:t>7</w:t>
      </w:r>
      <w:r>
        <w:rPr>
          <w:color w:val="000000" w:themeColor="text1"/>
        </w:rPr>
        <w:t xml:space="preserve">  </w:t>
      </w:r>
      <w:r>
        <w:rPr>
          <w:rFonts w:hint="eastAsia"/>
          <w:color w:val="000000" w:themeColor="text1"/>
        </w:rPr>
        <w:t>当考虑开挖卸荷对桩极限承载力的影响时，可按附录</w:t>
      </w:r>
      <w:r>
        <w:rPr>
          <w:rFonts w:hint="eastAsia"/>
          <w:color w:val="000000" w:themeColor="text1"/>
        </w:rPr>
        <w:t>A</w:t>
      </w:r>
      <w:r>
        <w:rPr>
          <w:rFonts w:hint="eastAsia"/>
          <w:color w:val="000000" w:themeColor="text1"/>
        </w:rPr>
        <w:t>对托换桩承载力进行估算。</w:t>
      </w:r>
    </w:p>
    <w:p w:rsidR="009136B5" w:rsidRDefault="00000000">
      <w:pPr>
        <w:pStyle w:val="afffff1"/>
        <w:ind w:firstLineChars="0" w:firstLine="0"/>
      </w:pPr>
      <w:r>
        <w:rPr>
          <w:rFonts w:hint="eastAsia"/>
          <w:b/>
        </w:rPr>
        <w:t>条文说明：</w:t>
      </w:r>
      <w:r>
        <w:t>开挖</w:t>
      </w:r>
      <w:r>
        <w:rPr>
          <w:rFonts w:hint="eastAsia"/>
        </w:rPr>
        <w:t>卸荷</w:t>
      </w:r>
      <w:r>
        <w:t>后</w:t>
      </w:r>
      <w:r>
        <w:rPr>
          <w:rFonts w:hint="eastAsia"/>
        </w:rPr>
        <w:t>坑底土体有效应力减小，</w:t>
      </w:r>
      <w:r>
        <w:t>桩土界面的法向应力</w:t>
      </w:r>
      <w:r>
        <w:rPr>
          <w:rFonts w:hint="eastAsia"/>
        </w:rPr>
        <w:t>和桩端土层上覆压力随之</w:t>
      </w:r>
      <w:r>
        <w:t>降低，将导致</w:t>
      </w:r>
      <w:r>
        <w:rPr>
          <w:rFonts w:hint="eastAsia"/>
        </w:rPr>
        <w:t>桩的侧阻力和端阻力减小，使托换桩</w:t>
      </w:r>
      <w:r>
        <w:t>的</w:t>
      </w:r>
      <w:r>
        <w:rPr>
          <w:rFonts w:hint="eastAsia"/>
        </w:rPr>
        <w:t>竖向抗压和抗拔</w:t>
      </w:r>
      <w:r>
        <w:t>极限承载力下降</w:t>
      </w:r>
      <w:r>
        <w:rPr>
          <w:rFonts w:hint="eastAsia"/>
        </w:rPr>
        <w:t>。可采用有限元法或基于</w:t>
      </w:r>
      <w:proofErr w:type="spellStart"/>
      <w:r>
        <w:rPr>
          <w:rFonts w:hint="eastAsia"/>
        </w:rPr>
        <w:t>Mindlin</w:t>
      </w:r>
      <w:proofErr w:type="spellEnd"/>
      <w:r>
        <w:rPr>
          <w:rFonts w:hint="eastAsia"/>
        </w:rPr>
        <w:t>解的极限平衡简化分析方法进行分析。</w:t>
      </w:r>
    </w:p>
    <w:p w:rsidR="009136B5" w:rsidRDefault="00000000">
      <w:pPr>
        <w:pStyle w:val="afffff1"/>
      </w:pPr>
      <w:r>
        <w:rPr>
          <w:rFonts w:hint="eastAsia"/>
        </w:rPr>
        <w:t>（</w:t>
      </w:r>
      <w:r>
        <w:rPr>
          <w:rFonts w:hint="eastAsia"/>
        </w:rPr>
        <w:t>1</w:t>
      </w:r>
      <w:r>
        <w:rPr>
          <w:rFonts w:hint="eastAsia"/>
        </w:rPr>
        <w:t>）有限元分析方法</w:t>
      </w:r>
    </w:p>
    <w:p w:rsidR="009136B5" w:rsidRDefault="00000000">
      <w:pPr>
        <w:pStyle w:val="afffff1"/>
      </w:pPr>
      <w:r>
        <w:rPr>
          <w:rFonts w:hint="eastAsia"/>
        </w:rPr>
        <w:t>建立轴对称有限元分析模型，桩土皆采用实体单元模拟，桩土之间设置接触面，桩身采用弹性模型，土体采用弹塑性模型，接触面可采用粘滑库伦摩擦模型。模型应以工程实例为模拟对象，先进行开挖前的桩基加载试验模拟，以试桩的实测荷载</w:t>
      </w:r>
      <w:r>
        <w:rPr>
          <w:rFonts w:hint="eastAsia"/>
        </w:rPr>
        <w:t>-</w:t>
      </w:r>
      <w:r>
        <w:rPr>
          <w:rFonts w:hint="eastAsia"/>
        </w:rPr>
        <w:t>位移关系曲线为基本目标，通过相关参数的调整，使得计算得到的荷载</w:t>
      </w:r>
      <w:r>
        <w:rPr>
          <w:rFonts w:hint="eastAsia"/>
        </w:rPr>
        <w:t>-</w:t>
      </w:r>
      <w:r>
        <w:rPr>
          <w:rFonts w:hint="eastAsia"/>
        </w:rPr>
        <w:t>沉降曲线与实测拟合接近，并认为此时对应的计算模型和参数是合理的。在此基础上，模拟基坑开挖，开挖至基底后再模拟托换桩加载试验得到另一组荷载</w:t>
      </w:r>
      <w:r>
        <w:rPr>
          <w:rFonts w:hint="eastAsia"/>
        </w:rPr>
        <w:t>-</w:t>
      </w:r>
      <w:r>
        <w:rPr>
          <w:rFonts w:hint="eastAsia"/>
        </w:rPr>
        <w:t>沉降曲线，以此求得开挖前后承载力对比。有限元分析中计算参数选取是关键，因此，该方法强调对开挖前地面试桩的模拟，是验证模型和确定参数必要环节，在此基础上，开挖后的计算结果可靠度更高。</w:t>
      </w:r>
    </w:p>
    <w:p w:rsidR="009136B5" w:rsidRDefault="00000000">
      <w:pPr>
        <w:pStyle w:val="afffff1"/>
      </w:pPr>
      <w:r>
        <w:rPr>
          <w:rFonts w:hint="eastAsia"/>
        </w:rPr>
        <w:t>（</w:t>
      </w:r>
      <w:r>
        <w:rPr>
          <w:rFonts w:hint="eastAsia"/>
        </w:rPr>
        <w:t>2</w:t>
      </w:r>
      <w:r>
        <w:rPr>
          <w:rFonts w:hint="eastAsia"/>
        </w:rPr>
        <w:t>）基于</w:t>
      </w:r>
      <w:proofErr w:type="spellStart"/>
      <w:r>
        <w:rPr>
          <w:rFonts w:hint="eastAsia"/>
        </w:rPr>
        <w:t>Mindlin</w:t>
      </w:r>
      <w:proofErr w:type="spellEnd"/>
      <w:r>
        <w:rPr>
          <w:rFonts w:hint="eastAsia"/>
        </w:rPr>
        <w:t>解的极限平衡简化分析方法</w:t>
      </w:r>
    </w:p>
    <w:p w:rsidR="009136B5" w:rsidRDefault="00000000">
      <w:pPr>
        <w:pStyle w:val="afffff1"/>
      </w:pPr>
      <w:r>
        <w:rPr>
          <w:rFonts w:hint="eastAsia"/>
        </w:rPr>
        <w:t>该简化分析方法首先建立了桩土接触面侧摩阻力与法向力的关系，从而通过桩土法向力求解托换桩的承载力。然后，应用经典</w:t>
      </w:r>
      <w:proofErr w:type="spellStart"/>
      <w:r>
        <w:t>Mindlin</w:t>
      </w:r>
      <w:proofErr w:type="spellEnd"/>
      <w:r>
        <w:rPr>
          <w:rFonts w:hint="eastAsia"/>
        </w:rPr>
        <w:t>应力解计算一定开挖半径和深度的土体自重在开挖面下引起的附加应力变化，求得开挖后托换桩的桩身法向力，从而得到托换桩承载力。简化计算方法公式明确、计算参数少且易获取，便于操作。由于采用了弹性理论，该方法会夸大卸荷的影响，但从工程角度取值会更安全。</w:t>
      </w:r>
    </w:p>
    <w:p w:rsidR="009136B5" w:rsidRDefault="00000000">
      <w:pPr>
        <w:pStyle w:val="afffff1"/>
      </w:pPr>
      <w:r>
        <w:rPr>
          <w:rFonts w:hint="eastAsia"/>
        </w:rPr>
        <w:t>考虑开挖卸荷对桩极限承载力的影响时，可将桩侧各土层的侧阻力标准值乘以对应深度计算点的折减系数，计算时土层分层厚度可取</w:t>
      </w:r>
      <w:r>
        <w:rPr>
          <w:rFonts w:hint="eastAsia"/>
        </w:rPr>
        <w:t>1</w:t>
      </w:r>
      <w:r>
        <w:t>m</w:t>
      </w:r>
      <w:r>
        <w:rPr>
          <w:rFonts w:hint="eastAsia"/>
        </w:rPr>
        <w:t>，并取该层</w:t>
      </w:r>
      <w:r>
        <w:rPr>
          <w:rFonts w:hint="eastAsia"/>
        </w:rPr>
        <w:t>1/2</w:t>
      </w:r>
      <w:r>
        <w:rPr>
          <w:rFonts w:hint="eastAsia"/>
        </w:rPr>
        <w:t>层度处作为计算点的深度。需要进一步说明的是，开挖卸荷对桩极限承载力的影响也包括桩端阻力的降低，本条仅给出了开挖卸荷对桩侧阻力折减</w:t>
      </w:r>
      <w:r>
        <w:rPr>
          <w:rFonts w:hint="eastAsia"/>
        </w:rPr>
        <w:lastRenderedPageBreak/>
        <w:t>系数的计算方法。桩长较长时，开挖卸荷效应对桩极限承载力影响主要反映在桩侧阻力的降低；桩长较短时，桩端阻力的影响也不可忽视。</w:t>
      </w:r>
    </w:p>
    <w:p w:rsidR="009136B5" w:rsidRDefault="00000000">
      <w:pPr>
        <w:pStyle w:val="afffff1"/>
        <w:textAlignment w:val="center"/>
      </w:pPr>
      <w:r>
        <w:t>为计算开挖卸荷引起不同部位土体竖向有效应力的变化，可将基坑开挖卸荷视为在开挖面施加向上的均布荷载，大小为</w:t>
      </w:r>
      <w:r>
        <w:object w:dxaOrig="376" w:dyaOrig="301">
          <v:shape id="_x0000_i1043" type="#_x0000_t75" style="width:18.8pt;height:15.05pt" o:ole="">
            <v:imagedata r:id="rId61" o:title=""/>
          </v:shape>
          <o:OLEObject Type="Embed" ProgID="Equation.DSMT4" ShapeID="_x0000_i1043" DrawAspect="Content" ObjectID="_1735132821" r:id="rId62"/>
        </w:object>
      </w:r>
      <w:r>
        <w:t>，利用经典</w:t>
      </w:r>
      <w:proofErr w:type="spellStart"/>
      <w:r>
        <w:t>Mindlin</w:t>
      </w:r>
      <w:proofErr w:type="spellEnd"/>
      <w:r>
        <w:t>应力解，通过积分可得到考虑开挖卸荷引起的坑底以下各计算点的</w:t>
      </w:r>
      <w:r>
        <w:rPr>
          <w:rFonts w:hint="eastAsia"/>
        </w:rPr>
        <w:t>竖向</w:t>
      </w:r>
      <w:r>
        <w:t>附加应力及竖向有效应力</w:t>
      </w:r>
      <w:r>
        <w:object w:dxaOrig="348" w:dyaOrig="275">
          <v:shape id="_x0000_i1044" type="#_x0000_t75" alt="" style="width:17.55pt;height:13.75pt" o:ole="">
            <v:imagedata r:id="rId63" o:title=""/>
          </v:shape>
          <o:OLEObject Type="Embed" ProgID="Equation.DSMT4" ShapeID="_x0000_i1044" DrawAspect="Content" ObjectID="_1735132822" r:id="rId64"/>
        </w:object>
      </w:r>
      <w:r>
        <w:rPr>
          <w:rFonts w:hint="eastAsia"/>
        </w:rPr>
        <w:t>。</w:t>
      </w:r>
    </w:p>
    <w:p w:rsidR="009136B5" w:rsidRDefault="00000000">
      <w:pPr>
        <w:pStyle w:val="afffff1"/>
      </w:pPr>
      <w:r>
        <w:rPr>
          <w:rFonts w:hint="eastAsia"/>
        </w:rPr>
        <w:t>实际工程中，往往采取分层开挖，以缓慢释放坑底卸荷附加应力，控制基坑底部土体的回弹变形。为分析分层开挖和一次性开挖对坑底卸荷应力的影响，假定基坑平面尺寸为</w:t>
      </w:r>
      <w:r>
        <w:t>32m×32m</w:t>
      </w:r>
      <w:r>
        <w:rPr>
          <w:rFonts w:hint="eastAsia"/>
        </w:rPr>
        <w:t>，开挖深度为</w:t>
      </w:r>
      <w:r>
        <w:t>10m</w:t>
      </w:r>
      <w:r>
        <w:rPr>
          <w:rFonts w:hint="eastAsia"/>
        </w:rPr>
        <w:t>，一次性开挖计算模型如图</w:t>
      </w:r>
      <w:r>
        <w:t>3.</w:t>
      </w:r>
      <w:r>
        <w:rPr>
          <w:rFonts w:hint="eastAsia"/>
        </w:rPr>
        <w:t>1</w:t>
      </w:r>
      <w:r>
        <w:rPr>
          <w:rFonts w:hint="eastAsia"/>
        </w:rPr>
        <w:t>；分层开挖模型如图</w:t>
      </w:r>
      <w:r>
        <w:t>3.</w:t>
      </w:r>
      <w:r>
        <w:rPr>
          <w:rFonts w:hint="eastAsia"/>
        </w:rPr>
        <w:t>2</w:t>
      </w:r>
      <w:r>
        <w:rPr>
          <w:rFonts w:hint="eastAsia"/>
        </w:rPr>
        <w:t>，共分</w:t>
      </w:r>
      <w:r>
        <w:rPr>
          <w:rFonts w:hint="eastAsia"/>
        </w:rPr>
        <w:t>5</w:t>
      </w:r>
      <w:r>
        <w:rPr>
          <w:rFonts w:hint="eastAsia"/>
        </w:rPr>
        <w:t>层开挖，每层厚度均为</w:t>
      </w:r>
      <w:r>
        <w:rPr>
          <w:rFonts w:hint="eastAsia"/>
        </w:rPr>
        <w:t>2</w:t>
      </w:r>
      <w:r>
        <w:t>m</w:t>
      </w:r>
      <w:r>
        <w:rPr>
          <w:rFonts w:hint="eastAsia"/>
        </w:rPr>
        <w:t>。</w:t>
      </w:r>
      <w:r>
        <w:t>图</w:t>
      </w:r>
      <w:r>
        <w:t>3.3</w:t>
      </w:r>
      <w:r>
        <w:rPr>
          <w:rFonts w:hint="eastAsia"/>
        </w:rPr>
        <w:t>和</w:t>
      </w:r>
      <w:r>
        <w:t>图</w:t>
      </w:r>
      <w:r>
        <w:t>3.4</w:t>
      </w:r>
      <w:r>
        <w:rPr>
          <w:rFonts w:hint="eastAsia"/>
        </w:rPr>
        <w:t>分别为</w:t>
      </w:r>
      <w:r>
        <w:t>一次性</w:t>
      </w:r>
      <w:r>
        <w:rPr>
          <w:rFonts w:hint="eastAsia"/>
        </w:rPr>
        <w:t>开挖和分层开挖时的</w:t>
      </w:r>
      <w:r>
        <w:t>卸荷附加应力</w:t>
      </w:r>
      <w:r>
        <w:rPr>
          <w:rFonts w:hint="eastAsia"/>
        </w:rPr>
        <w:t>计算结果。从图中可知，一次性开挖和分层开挖计算得到的卸荷应力，虽有一定差异，但差异并不大。图</w:t>
      </w:r>
      <w:r>
        <w:t>3.5</w:t>
      </w:r>
      <w:r>
        <w:rPr>
          <w:rFonts w:hint="eastAsia"/>
        </w:rPr>
        <w:t>为分层开挖时各层开挖对应的卸荷应力，图</w:t>
      </w:r>
      <w:r>
        <w:t>3.6</w:t>
      </w:r>
      <w:r>
        <w:rPr>
          <w:rFonts w:hint="eastAsia"/>
        </w:rPr>
        <w:t>为分层开挖与一次性开挖的卸荷应力差值，可见，采用一次性开挖模型计算的卸荷应力略偏大，但差值较小。因此，针对工程应用而言，可采用偏于安全的一次性开挖模型计算坑底卸荷应力。</w:t>
      </w:r>
    </w:p>
    <w:p w:rsidR="009136B5" w:rsidRDefault="00000000">
      <w:pPr>
        <w:pStyle w:val="affffb"/>
        <w:rPr>
          <w:color w:val="3333FF"/>
        </w:rPr>
      </w:pPr>
      <w:bookmarkStart w:id="42" w:name="_Toc449476679"/>
      <w:r>
        <w:rPr>
          <w:noProof/>
          <w:color w:val="3333FF"/>
        </w:rPr>
        <w:drawing>
          <wp:inline distT="0" distB="0" distL="0" distR="0">
            <wp:extent cx="2256790" cy="1916430"/>
            <wp:effectExtent l="0" t="0" r="0" b="0"/>
            <wp:docPr id="22"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2256790" cy="1916430"/>
                    </a:xfrm>
                    <a:prstGeom prst="rect">
                      <a:avLst/>
                    </a:prstGeom>
                    <a:noFill/>
                    <a:ln>
                      <a:noFill/>
                    </a:ln>
                  </pic:spPr>
                </pic:pic>
              </a:graphicData>
            </a:graphic>
          </wp:inline>
        </w:drawing>
      </w:r>
      <w:r>
        <w:rPr>
          <w:color w:val="3333FF"/>
        </w:rPr>
        <w:t xml:space="preserve">      </w:t>
      </w:r>
      <w:r>
        <w:rPr>
          <w:noProof/>
          <w:color w:val="3333FF"/>
        </w:rPr>
        <w:drawing>
          <wp:inline distT="0" distB="0" distL="0" distR="0">
            <wp:extent cx="2121535" cy="1898015"/>
            <wp:effectExtent l="0" t="0" r="12065" b="6985"/>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2130745" cy="1906263"/>
                    </a:xfrm>
                    <a:prstGeom prst="rect">
                      <a:avLst/>
                    </a:prstGeom>
                    <a:noFill/>
                    <a:ln>
                      <a:noFill/>
                    </a:ln>
                  </pic:spPr>
                </pic:pic>
              </a:graphicData>
            </a:graphic>
          </wp:inline>
        </w:drawing>
      </w:r>
    </w:p>
    <w:p w:rsidR="009136B5" w:rsidRDefault="00000000">
      <w:pPr>
        <w:pStyle w:val="affffb"/>
        <w:rPr>
          <w:rFonts w:ascii="宋体" w:cs="宋体"/>
          <w:color w:val="3333FF"/>
          <w:szCs w:val="18"/>
        </w:rPr>
      </w:pPr>
      <w:r>
        <w:rPr>
          <w:color w:val="3333FF"/>
          <w:szCs w:val="18"/>
        </w:rPr>
        <w:t>图</w:t>
      </w:r>
      <w:r>
        <w:rPr>
          <w:color w:val="3333FF"/>
          <w:szCs w:val="18"/>
        </w:rPr>
        <w:t xml:space="preserve">3.1 </w:t>
      </w:r>
      <w:r>
        <w:rPr>
          <w:rFonts w:ascii="宋体" w:cs="宋体" w:hint="eastAsia"/>
          <w:color w:val="3333FF"/>
          <w:szCs w:val="18"/>
        </w:rPr>
        <w:t xml:space="preserve">一次性卸荷条件下的附加应力计算模型 </w:t>
      </w:r>
      <w:r>
        <w:rPr>
          <w:rFonts w:ascii="宋体" w:cs="宋体"/>
          <w:color w:val="3333FF"/>
          <w:szCs w:val="18"/>
        </w:rPr>
        <w:t xml:space="preserve">   </w:t>
      </w:r>
      <w:r>
        <w:rPr>
          <w:color w:val="3333FF"/>
          <w:szCs w:val="18"/>
        </w:rPr>
        <w:t>图</w:t>
      </w:r>
      <w:r>
        <w:rPr>
          <w:color w:val="3333FF"/>
          <w:szCs w:val="18"/>
        </w:rPr>
        <w:t xml:space="preserve">3.2 </w:t>
      </w:r>
      <w:r>
        <w:rPr>
          <w:rFonts w:ascii="宋体" w:cs="宋体" w:hint="eastAsia"/>
          <w:color w:val="3333FF"/>
          <w:szCs w:val="18"/>
        </w:rPr>
        <w:t>分层卸荷条件下的附加应力计算模型</w:t>
      </w:r>
    </w:p>
    <w:p w:rsidR="009136B5" w:rsidRDefault="00000000">
      <w:pPr>
        <w:pStyle w:val="affffb"/>
        <w:rPr>
          <w:color w:val="3333FF"/>
        </w:rPr>
      </w:pPr>
      <w:r>
        <w:rPr>
          <w:rFonts w:hint="eastAsia"/>
          <w:noProof/>
          <w:color w:val="3333FF"/>
        </w:rPr>
        <w:drawing>
          <wp:inline distT="0" distB="0" distL="0" distR="0">
            <wp:extent cx="2165985" cy="1621790"/>
            <wp:effectExtent l="0" t="0" r="5715" b="16510"/>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2174301" cy="1628163"/>
                    </a:xfrm>
                    <a:prstGeom prst="rect">
                      <a:avLst/>
                    </a:prstGeom>
                    <a:noFill/>
                    <a:ln>
                      <a:noFill/>
                    </a:ln>
                  </pic:spPr>
                </pic:pic>
              </a:graphicData>
            </a:graphic>
          </wp:inline>
        </w:drawing>
      </w:r>
      <w:r>
        <w:rPr>
          <w:color w:val="3333FF"/>
        </w:rPr>
        <w:t xml:space="preserve">       </w:t>
      </w:r>
      <w:r>
        <w:rPr>
          <w:rFonts w:hint="eastAsia"/>
          <w:color w:val="3333FF"/>
        </w:rPr>
        <w:t xml:space="preserve"> </w:t>
      </w:r>
      <w:r>
        <w:rPr>
          <w:color w:val="3333FF"/>
        </w:rPr>
        <w:t xml:space="preserve"> </w:t>
      </w:r>
      <w:r>
        <w:rPr>
          <w:noProof/>
          <w:color w:val="3333FF"/>
        </w:rPr>
        <w:drawing>
          <wp:inline distT="0" distB="0" distL="0" distR="0">
            <wp:extent cx="2122805" cy="1636395"/>
            <wp:effectExtent l="0" t="0" r="10795" b="1905"/>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2132451" cy="1643818"/>
                    </a:xfrm>
                    <a:prstGeom prst="rect">
                      <a:avLst/>
                    </a:prstGeom>
                    <a:noFill/>
                    <a:ln>
                      <a:noFill/>
                    </a:ln>
                  </pic:spPr>
                </pic:pic>
              </a:graphicData>
            </a:graphic>
          </wp:inline>
        </w:drawing>
      </w:r>
    </w:p>
    <w:p w:rsidR="009136B5" w:rsidRDefault="00000000">
      <w:pPr>
        <w:pStyle w:val="affffb"/>
        <w:rPr>
          <w:color w:val="3333FF"/>
        </w:rPr>
      </w:pPr>
      <w:r>
        <w:rPr>
          <w:color w:val="3333FF"/>
          <w:szCs w:val="18"/>
        </w:rPr>
        <w:t>图</w:t>
      </w:r>
      <w:r>
        <w:rPr>
          <w:color w:val="3333FF"/>
          <w:szCs w:val="18"/>
        </w:rPr>
        <w:t xml:space="preserve">3.3 </w:t>
      </w:r>
      <w:r>
        <w:rPr>
          <w:color w:val="3333FF"/>
          <w:szCs w:val="18"/>
        </w:rPr>
        <w:t>一次性卸荷附加应力随深度的分布</w:t>
      </w:r>
      <w:r>
        <w:rPr>
          <w:color w:val="3333FF"/>
          <w:szCs w:val="18"/>
        </w:rPr>
        <w:t xml:space="preserve">         </w:t>
      </w:r>
      <w:r>
        <w:rPr>
          <w:color w:val="3333FF"/>
          <w:szCs w:val="18"/>
        </w:rPr>
        <w:t>图</w:t>
      </w:r>
      <w:r>
        <w:rPr>
          <w:color w:val="3333FF"/>
          <w:szCs w:val="18"/>
        </w:rPr>
        <w:t xml:space="preserve">3.4 </w:t>
      </w:r>
      <w:r>
        <w:rPr>
          <w:color w:val="3333FF"/>
          <w:szCs w:val="18"/>
        </w:rPr>
        <w:t>分层卸荷附加应力随深度的分布</w:t>
      </w:r>
    </w:p>
    <w:p w:rsidR="009136B5" w:rsidRDefault="00000000">
      <w:pPr>
        <w:pStyle w:val="affffb"/>
        <w:rPr>
          <w:color w:val="3333FF"/>
        </w:rPr>
      </w:pPr>
      <w:r>
        <w:rPr>
          <w:rFonts w:hint="eastAsia"/>
          <w:noProof/>
          <w:color w:val="3333FF"/>
        </w:rPr>
        <w:lastRenderedPageBreak/>
        <w:drawing>
          <wp:inline distT="0" distB="0" distL="0" distR="0">
            <wp:extent cx="2409825" cy="1808480"/>
            <wp:effectExtent l="0" t="0" r="9525" b="1270"/>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2422412" cy="1817906"/>
                    </a:xfrm>
                    <a:prstGeom prst="rect">
                      <a:avLst/>
                    </a:prstGeom>
                    <a:noFill/>
                    <a:ln>
                      <a:noFill/>
                    </a:ln>
                  </pic:spPr>
                </pic:pic>
              </a:graphicData>
            </a:graphic>
          </wp:inline>
        </w:drawing>
      </w:r>
      <w:r>
        <w:rPr>
          <w:color w:val="3333FF"/>
        </w:rPr>
        <w:t xml:space="preserve">    </w:t>
      </w:r>
      <w:r>
        <w:rPr>
          <w:rFonts w:hint="eastAsia"/>
          <w:noProof/>
          <w:color w:val="3333FF"/>
        </w:rPr>
        <w:drawing>
          <wp:inline distT="0" distB="0" distL="0" distR="0">
            <wp:extent cx="2352040" cy="1831975"/>
            <wp:effectExtent l="0" t="0" r="10160" b="15875"/>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2360656" cy="1838634"/>
                    </a:xfrm>
                    <a:prstGeom prst="rect">
                      <a:avLst/>
                    </a:prstGeom>
                    <a:noFill/>
                    <a:ln>
                      <a:noFill/>
                    </a:ln>
                  </pic:spPr>
                </pic:pic>
              </a:graphicData>
            </a:graphic>
          </wp:inline>
        </w:drawing>
      </w:r>
    </w:p>
    <w:p w:rsidR="009136B5" w:rsidRDefault="00000000">
      <w:pPr>
        <w:pStyle w:val="affffb"/>
        <w:rPr>
          <w:color w:val="3333FF"/>
        </w:rPr>
      </w:pPr>
      <w:r>
        <w:rPr>
          <w:rFonts w:ascii="宋体" w:cs="宋体" w:hint="eastAsia"/>
          <w:color w:val="3333FF"/>
          <w:szCs w:val="18"/>
        </w:rPr>
        <w:t>图</w:t>
      </w:r>
      <w:r>
        <w:rPr>
          <w:color w:val="3333FF"/>
          <w:szCs w:val="18"/>
        </w:rPr>
        <w:t>3.5</w:t>
      </w:r>
      <w:r>
        <w:rPr>
          <w:rFonts w:ascii="TimesNewRoman,Bold" w:hAnsi="TimesNewRoman,Bold" w:cs="TimesNewRoman,Bold"/>
          <w:color w:val="3333FF"/>
          <w:szCs w:val="18"/>
        </w:rPr>
        <w:t xml:space="preserve"> </w:t>
      </w:r>
      <w:r>
        <w:rPr>
          <w:rFonts w:ascii="宋体" w:cs="宋体" w:hint="eastAsia"/>
          <w:color w:val="3333FF"/>
          <w:szCs w:val="18"/>
        </w:rPr>
        <w:t xml:space="preserve">分层开挖时各层对应的卸荷应力 </w:t>
      </w:r>
      <w:r>
        <w:rPr>
          <w:rFonts w:ascii="宋体" w:cs="宋体"/>
          <w:color w:val="3333FF"/>
          <w:szCs w:val="18"/>
        </w:rPr>
        <w:t xml:space="preserve">     </w:t>
      </w:r>
      <w:r>
        <w:rPr>
          <w:rFonts w:ascii="宋体" w:cs="宋体" w:hint="eastAsia"/>
          <w:color w:val="3333FF"/>
          <w:szCs w:val="18"/>
        </w:rPr>
        <w:t xml:space="preserve"> </w:t>
      </w:r>
      <w:r>
        <w:rPr>
          <w:rFonts w:ascii="宋体" w:cs="宋体"/>
          <w:color w:val="3333FF"/>
          <w:szCs w:val="18"/>
        </w:rPr>
        <w:t xml:space="preserve"> </w:t>
      </w:r>
      <w:r>
        <w:rPr>
          <w:rFonts w:ascii="宋体" w:cs="宋体" w:hint="eastAsia"/>
          <w:color w:val="3333FF"/>
          <w:szCs w:val="18"/>
        </w:rPr>
        <w:t>图</w:t>
      </w:r>
      <w:r>
        <w:rPr>
          <w:color w:val="3333FF"/>
          <w:szCs w:val="18"/>
        </w:rPr>
        <w:t>3.6</w:t>
      </w:r>
      <w:r>
        <w:rPr>
          <w:rFonts w:ascii="TimesNewRoman,Bold" w:hAnsi="TimesNewRoman,Bold" w:cs="TimesNewRoman,Bold"/>
          <w:color w:val="3333FF"/>
          <w:szCs w:val="18"/>
        </w:rPr>
        <w:t xml:space="preserve"> </w:t>
      </w:r>
      <w:r>
        <w:rPr>
          <w:rFonts w:ascii="宋体" w:cs="宋体" w:hint="eastAsia"/>
          <w:color w:val="3333FF"/>
          <w:szCs w:val="18"/>
        </w:rPr>
        <w:t>分层开挖与一次性开挖</w:t>
      </w:r>
      <w:r>
        <w:rPr>
          <w:rFonts w:hint="eastAsia"/>
          <w:color w:val="3333FF"/>
          <w:szCs w:val="18"/>
        </w:rPr>
        <w:t>的卸荷应力</w:t>
      </w:r>
      <w:r>
        <w:rPr>
          <w:rFonts w:ascii="宋体" w:cs="宋体" w:hint="eastAsia"/>
          <w:color w:val="3333FF"/>
          <w:szCs w:val="18"/>
        </w:rPr>
        <w:t>差值</w:t>
      </w:r>
    </w:p>
    <w:p w:rsidR="009136B5" w:rsidRDefault="00000000">
      <w:pPr>
        <w:pStyle w:val="xxx"/>
        <w:rPr>
          <w:color w:val="000000" w:themeColor="text1"/>
        </w:rPr>
      </w:pPr>
      <w:r>
        <w:rPr>
          <w:rFonts w:hint="eastAsia"/>
          <w:b/>
          <w:bCs/>
          <w:color w:val="000000" w:themeColor="text1"/>
        </w:rPr>
        <w:t>4.3.8</w:t>
      </w:r>
      <w:r>
        <w:rPr>
          <w:color w:val="000000" w:themeColor="text1"/>
        </w:rPr>
        <w:t xml:space="preserve">  </w:t>
      </w:r>
      <w:r>
        <w:rPr>
          <w:rFonts w:hint="eastAsia"/>
          <w:color w:val="000000" w:themeColor="text1"/>
        </w:rPr>
        <w:t>当采用新增托换桩与既有工程桩联合作为竖向托换结构时，应采取措施保证新增托换桩与既有工程桩之间的协同工作。新增托换桩应采用持荷封桩，桩顶持荷量</w:t>
      </w:r>
      <w:r>
        <w:rPr>
          <w:color w:val="000000" w:themeColor="text1"/>
          <w:position w:val="-10"/>
        </w:rPr>
        <w:object w:dxaOrig="376" w:dyaOrig="322">
          <v:shape id="_x0000_i1045" type="#_x0000_t75" style="width:18.8pt;height:15.65pt" o:ole="">
            <v:imagedata r:id="rId71" o:title=""/>
          </v:shape>
          <o:OLEObject Type="Embed" ProgID="Equation.DSMT4" ShapeID="_x0000_i1045" DrawAspect="Content" ObjectID="_1735132823" r:id="rId72"/>
        </w:object>
      </w:r>
      <w:r>
        <w:rPr>
          <w:rFonts w:hint="eastAsia"/>
          <w:color w:val="000000" w:themeColor="text1"/>
        </w:rPr>
        <w:t>应满足下列公式的要求：</w:t>
      </w: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7"/>
        <w:gridCol w:w="3173"/>
        <w:gridCol w:w="3105"/>
      </w:tblGrid>
      <w:tr w:rsidR="009136B5">
        <w:tc>
          <w:tcPr>
            <w:tcW w:w="3190" w:type="dxa"/>
          </w:tcPr>
          <w:p w:rsidR="009136B5" w:rsidRDefault="009136B5">
            <w:pPr>
              <w:pStyle w:val="xxx"/>
              <w:rPr>
                <w:color w:val="000000" w:themeColor="text1"/>
              </w:rPr>
            </w:pPr>
          </w:p>
        </w:tc>
        <w:tc>
          <w:tcPr>
            <w:tcW w:w="3190" w:type="dxa"/>
            <w:vAlign w:val="center"/>
          </w:tcPr>
          <w:p w:rsidR="009136B5" w:rsidRDefault="00000000">
            <w:pPr>
              <w:pStyle w:val="xxx"/>
              <w:adjustRightInd w:val="0"/>
              <w:snapToGrid w:val="0"/>
              <w:spacing w:line="240" w:lineRule="auto"/>
              <w:jc w:val="center"/>
              <w:rPr>
                <w:color w:val="000000" w:themeColor="text1"/>
              </w:rPr>
            </w:pPr>
            <w:r>
              <w:rPr>
                <w:color w:val="000000" w:themeColor="text1"/>
                <w:position w:val="-26"/>
              </w:rPr>
              <w:object w:dxaOrig="1848" w:dyaOrig="602">
                <v:shape id="_x0000_i1046" type="#_x0000_t75" style="width:92.65pt;height:30.05pt" o:ole="">
                  <v:imagedata r:id="rId73" o:title=""/>
                </v:shape>
                <o:OLEObject Type="Embed" ProgID="Equation.DSMT4" ShapeID="_x0000_i1046" DrawAspect="Content" ObjectID="_1735132824" r:id="rId74"/>
              </w:object>
            </w:r>
          </w:p>
        </w:tc>
        <w:tc>
          <w:tcPr>
            <w:tcW w:w="3191" w:type="dxa"/>
            <w:vAlign w:val="center"/>
          </w:tcPr>
          <w:p w:rsidR="009136B5" w:rsidRDefault="00000000">
            <w:pPr>
              <w:pStyle w:val="xxx"/>
              <w:spacing w:line="240" w:lineRule="auto"/>
              <w:jc w:val="right"/>
              <w:rPr>
                <w:color w:val="000000" w:themeColor="text1"/>
              </w:rPr>
            </w:pPr>
            <w:r>
              <w:rPr>
                <w:color w:val="000000" w:themeColor="text1"/>
                <w:szCs w:val="21"/>
                <w:lang w:bidi="ar"/>
              </w:rPr>
              <w:t>（</w:t>
            </w:r>
            <w:r>
              <w:rPr>
                <w:rFonts w:hint="eastAsia"/>
                <w:color w:val="000000" w:themeColor="text1"/>
                <w:szCs w:val="21"/>
                <w:lang w:bidi="ar"/>
              </w:rPr>
              <w:t>4.3.</w:t>
            </w:r>
            <w:r>
              <w:rPr>
                <w:color w:val="000000" w:themeColor="text1"/>
                <w:szCs w:val="21"/>
                <w:lang w:bidi="ar"/>
              </w:rPr>
              <w:t>8</w:t>
            </w:r>
            <w:r>
              <w:rPr>
                <w:rFonts w:hint="eastAsia"/>
                <w:color w:val="000000" w:themeColor="text1"/>
                <w:szCs w:val="21"/>
                <w:lang w:bidi="ar"/>
              </w:rPr>
              <w:t>-1</w:t>
            </w:r>
            <w:r>
              <w:rPr>
                <w:color w:val="000000" w:themeColor="text1"/>
                <w:szCs w:val="21"/>
                <w:lang w:bidi="ar"/>
              </w:rPr>
              <w:t>）</w:t>
            </w:r>
          </w:p>
        </w:tc>
      </w:tr>
      <w:tr w:rsidR="009136B5">
        <w:tc>
          <w:tcPr>
            <w:tcW w:w="3190" w:type="dxa"/>
          </w:tcPr>
          <w:p w:rsidR="009136B5" w:rsidRDefault="009136B5">
            <w:pPr>
              <w:pStyle w:val="xxx"/>
              <w:rPr>
                <w:color w:val="000000" w:themeColor="text1"/>
              </w:rPr>
            </w:pPr>
          </w:p>
        </w:tc>
        <w:tc>
          <w:tcPr>
            <w:tcW w:w="3190" w:type="dxa"/>
            <w:vAlign w:val="center"/>
          </w:tcPr>
          <w:p w:rsidR="009136B5" w:rsidRDefault="00000000">
            <w:pPr>
              <w:pStyle w:val="xxx"/>
              <w:adjustRightInd w:val="0"/>
              <w:snapToGrid w:val="0"/>
              <w:spacing w:line="240" w:lineRule="auto"/>
              <w:jc w:val="center"/>
              <w:rPr>
                <w:color w:val="000000" w:themeColor="text1"/>
              </w:rPr>
            </w:pPr>
            <w:r>
              <w:rPr>
                <w:color w:val="000000" w:themeColor="text1"/>
                <w:position w:val="-26"/>
              </w:rPr>
              <w:object w:dxaOrig="2525" w:dyaOrig="602">
                <v:shape id="_x0000_i1047" type="#_x0000_t75" style="width:126.45pt;height:30.05pt" o:ole="">
                  <v:imagedata r:id="rId75" o:title=""/>
                </v:shape>
                <o:OLEObject Type="Embed" ProgID="Equation.DSMT4" ShapeID="_x0000_i1047" DrawAspect="Content" ObjectID="_1735132825" r:id="rId76"/>
              </w:object>
            </w:r>
          </w:p>
        </w:tc>
        <w:tc>
          <w:tcPr>
            <w:tcW w:w="3191" w:type="dxa"/>
            <w:vAlign w:val="center"/>
          </w:tcPr>
          <w:p w:rsidR="009136B5" w:rsidRDefault="00000000">
            <w:pPr>
              <w:pStyle w:val="xxx"/>
              <w:spacing w:line="240" w:lineRule="auto"/>
              <w:jc w:val="right"/>
              <w:rPr>
                <w:color w:val="000000" w:themeColor="text1"/>
              </w:rPr>
            </w:pPr>
            <w:r>
              <w:rPr>
                <w:color w:val="000000" w:themeColor="text1"/>
              </w:rPr>
              <w:t>（</w:t>
            </w:r>
            <w:r>
              <w:rPr>
                <w:rFonts w:hint="eastAsia"/>
                <w:color w:val="000000" w:themeColor="text1"/>
              </w:rPr>
              <w:t>4.3.</w:t>
            </w:r>
            <w:r>
              <w:rPr>
                <w:color w:val="000000" w:themeColor="text1"/>
              </w:rPr>
              <w:t>8</w:t>
            </w:r>
            <w:r>
              <w:rPr>
                <w:rFonts w:hint="eastAsia"/>
                <w:color w:val="000000" w:themeColor="text1"/>
              </w:rPr>
              <w:t>-2</w:t>
            </w:r>
            <w:r>
              <w:rPr>
                <w:rFonts w:hint="eastAsia"/>
                <w:color w:val="000000" w:themeColor="text1"/>
              </w:rPr>
              <w:t>）</w:t>
            </w:r>
          </w:p>
        </w:tc>
      </w:tr>
      <w:tr w:rsidR="009136B5">
        <w:tc>
          <w:tcPr>
            <w:tcW w:w="3190" w:type="dxa"/>
          </w:tcPr>
          <w:p w:rsidR="009136B5" w:rsidRDefault="009136B5">
            <w:pPr>
              <w:pStyle w:val="xxx"/>
              <w:rPr>
                <w:color w:val="000000" w:themeColor="text1"/>
              </w:rPr>
            </w:pPr>
          </w:p>
        </w:tc>
        <w:tc>
          <w:tcPr>
            <w:tcW w:w="3190" w:type="dxa"/>
            <w:vAlign w:val="center"/>
          </w:tcPr>
          <w:p w:rsidR="009136B5" w:rsidRDefault="00000000">
            <w:pPr>
              <w:pStyle w:val="xxx"/>
              <w:adjustRightInd w:val="0"/>
              <w:snapToGrid w:val="0"/>
              <w:spacing w:line="240" w:lineRule="auto"/>
              <w:jc w:val="center"/>
              <w:rPr>
                <w:color w:val="000000" w:themeColor="text1"/>
              </w:rPr>
            </w:pPr>
            <w:r>
              <w:rPr>
                <w:color w:val="000000" w:themeColor="text1"/>
                <w:position w:val="-28"/>
                <w:szCs w:val="21"/>
              </w:rPr>
              <w:object w:dxaOrig="1526" w:dyaOrig="634">
                <v:shape id="_x0000_i1048" type="#_x0000_t75" style="width:76.4pt;height:31.95pt" o:ole="">
                  <v:imagedata r:id="rId77" o:title=""/>
                </v:shape>
                <o:OLEObject Type="Embed" ProgID="Equation.DSMT4" ShapeID="_x0000_i1048" DrawAspect="Content" ObjectID="_1735132826" r:id="rId78"/>
              </w:object>
            </w:r>
          </w:p>
        </w:tc>
        <w:tc>
          <w:tcPr>
            <w:tcW w:w="3191" w:type="dxa"/>
            <w:vAlign w:val="center"/>
          </w:tcPr>
          <w:p w:rsidR="009136B5" w:rsidRDefault="00000000">
            <w:pPr>
              <w:pStyle w:val="xxx"/>
              <w:spacing w:line="240" w:lineRule="auto"/>
              <w:jc w:val="right"/>
              <w:rPr>
                <w:color w:val="000000" w:themeColor="text1"/>
              </w:rPr>
            </w:pPr>
            <w:r>
              <w:rPr>
                <w:color w:val="000000" w:themeColor="text1"/>
                <w:szCs w:val="21"/>
              </w:rPr>
              <w:t>（</w:t>
            </w:r>
            <w:r>
              <w:rPr>
                <w:rFonts w:hint="eastAsia"/>
                <w:color w:val="000000" w:themeColor="text1"/>
              </w:rPr>
              <w:t>4.3.</w:t>
            </w:r>
            <w:r>
              <w:rPr>
                <w:color w:val="000000" w:themeColor="text1"/>
              </w:rPr>
              <w:t>8</w:t>
            </w:r>
            <w:r>
              <w:rPr>
                <w:rFonts w:hint="eastAsia"/>
                <w:color w:val="000000" w:themeColor="text1"/>
              </w:rPr>
              <w:t>-3</w:t>
            </w:r>
            <w:r>
              <w:rPr>
                <w:color w:val="000000" w:themeColor="text1"/>
                <w:szCs w:val="21"/>
              </w:rPr>
              <w:t>）</w:t>
            </w:r>
          </w:p>
        </w:tc>
      </w:tr>
    </w:tbl>
    <w:p w:rsidR="009136B5" w:rsidRDefault="009136B5">
      <w:pPr>
        <w:adjustRightInd w:val="0"/>
        <w:snapToGrid w:val="0"/>
        <w:spacing w:line="240" w:lineRule="auto"/>
        <w:ind w:firstLine="420"/>
        <w:jc w:val="right"/>
        <w:rPr>
          <w:color w:val="000000" w:themeColor="text1"/>
        </w:rPr>
      </w:pPr>
    </w:p>
    <w:tbl>
      <w:tblPr>
        <w:tblStyle w:val="afa"/>
        <w:tblW w:w="5000"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57" w:type="dxa"/>
        </w:tblCellMar>
        <w:tblLook w:val="04A0" w:firstRow="1" w:lastRow="0" w:firstColumn="1" w:lastColumn="0" w:noHBand="0" w:noVBand="1"/>
      </w:tblPr>
      <w:tblGrid>
        <w:gridCol w:w="1033"/>
        <w:gridCol w:w="709"/>
        <w:gridCol w:w="7613"/>
      </w:tblGrid>
      <w:tr w:rsidR="009136B5">
        <w:tc>
          <w:tcPr>
            <w:tcW w:w="552" w:type="pct"/>
            <w:vAlign w:val="center"/>
          </w:tcPr>
          <w:p w:rsidR="009136B5" w:rsidRDefault="00000000">
            <w:pPr>
              <w:pStyle w:val="220"/>
              <w:adjustRightInd w:val="0"/>
              <w:snapToGrid w:val="0"/>
              <w:rPr>
                <w:color w:val="000000" w:themeColor="text1"/>
              </w:rPr>
            </w:pPr>
            <w:r>
              <w:rPr>
                <w:rFonts w:hint="eastAsia"/>
                <w:color w:val="000000" w:themeColor="text1"/>
              </w:rPr>
              <w:t>式中</w:t>
            </w:r>
            <w:r>
              <w:rPr>
                <w:rFonts w:hint="eastAsia"/>
                <w:color w:val="000000" w:themeColor="text1"/>
              </w:rPr>
              <w:t xml:space="preserve">  </w:t>
            </w:r>
            <w:r>
              <w:rPr>
                <w:rFonts w:hint="eastAsia"/>
                <w:i/>
                <w:iCs/>
                <w:color w:val="000000" w:themeColor="text1"/>
              </w:rPr>
              <w:t>F</w:t>
            </w:r>
            <w:r>
              <w:rPr>
                <w:rFonts w:hint="eastAsia"/>
                <w:i/>
                <w:color w:val="000000" w:themeColor="text1"/>
                <w:vertAlign w:val="subscript"/>
              </w:rPr>
              <w:t>m</w:t>
            </w:r>
            <w:r>
              <w:rPr>
                <w:rFonts w:hint="eastAsia"/>
                <w:color w:val="000000" w:themeColor="text1"/>
                <w:vertAlign w:val="subscript"/>
              </w:rPr>
              <w:t>0</w:t>
            </w:r>
          </w:p>
        </w:tc>
        <w:tc>
          <w:tcPr>
            <w:tcW w:w="379" w:type="pct"/>
            <w:vAlign w:val="center"/>
          </w:tcPr>
          <w:p w:rsidR="009136B5" w:rsidRDefault="00000000">
            <w:pPr>
              <w:pStyle w:val="220"/>
              <w:adjustRightInd w:val="0"/>
              <w:snapToGrid w:val="0"/>
              <w:jc w:val="center"/>
              <w:rPr>
                <w:color w:val="000000" w:themeColor="text1"/>
              </w:rPr>
            </w:pPr>
            <w:r>
              <w:rPr>
                <w:color w:val="000000" w:themeColor="text1"/>
              </w:rPr>
              <w:t>——</w:t>
            </w:r>
          </w:p>
        </w:tc>
        <w:tc>
          <w:tcPr>
            <w:tcW w:w="4069" w:type="pct"/>
            <w:vAlign w:val="center"/>
          </w:tcPr>
          <w:p w:rsidR="009136B5" w:rsidRDefault="00000000">
            <w:pPr>
              <w:widowControl/>
              <w:adjustRightInd w:val="0"/>
              <w:snapToGrid w:val="0"/>
              <w:ind w:firstLineChars="0" w:firstLine="0"/>
              <w:jc w:val="left"/>
              <w:rPr>
                <w:color w:val="000000" w:themeColor="text1"/>
                <w:kern w:val="0"/>
                <w:szCs w:val="21"/>
              </w:rPr>
            </w:pPr>
            <w:r>
              <w:rPr>
                <w:rFonts w:hint="eastAsia"/>
                <w:color w:val="000000" w:themeColor="text1"/>
              </w:rPr>
              <w:t>桩顶持荷量，即封桩时的桩顶预加载压力；</w:t>
            </w:r>
          </w:p>
        </w:tc>
      </w:tr>
      <w:tr w:rsidR="009136B5">
        <w:tc>
          <w:tcPr>
            <w:tcW w:w="552" w:type="pct"/>
            <w:vAlign w:val="center"/>
          </w:tcPr>
          <w:p w:rsidR="009136B5" w:rsidRDefault="00000000">
            <w:pPr>
              <w:pStyle w:val="220"/>
              <w:adjustRightInd w:val="0"/>
              <w:snapToGrid w:val="0"/>
              <w:jc w:val="right"/>
              <w:rPr>
                <w:i/>
                <w:iCs/>
                <w:color w:val="000000" w:themeColor="text1"/>
              </w:rPr>
            </w:pPr>
            <w:r>
              <w:rPr>
                <w:i/>
                <w:iCs/>
                <w:color w:val="000000" w:themeColor="text1"/>
              </w:rPr>
              <w:t>n</w:t>
            </w:r>
            <w:r>
              <w:rPr>
                <w:color w:val="000000" w:themeColor="text1"/>
                <w:vertAlign w:val="subscript"/>
              </w:rPr>
              <w:t>1</w:t>
            </w:r>
            <w:r>
              <w:rPr>
                <w:color w:val="000000" w:themeColor="text1"/>
              </w:rPr>
              <w:t>、</w:t>
            </w:r>
            <w:r>
              <w:rPr>
                <w:i/>
                <w:iCs/>
                <w:color w:val="000000" w:themeColor="text1"/>
              </w:rPr>
              <w:t>n</w:t>
            </w:r>
            <w:r>
              <w:rPr>
                <w:color w:val="000000" w:themeColor="text1"/>
                <w:vertAlign w:val="subscript"/>
              </w:rPr>
              <w:t>2</w:t>
            </w:r>
          </w:p>
        </w:tc>
        <w:tc>
          <w:tcPr>
            <w:tcW w:w="379" w:type="pct"/>
            <w:vAlign w:val="center"/>
          </w:tcPr>
          <w:p w:rsidR="009136B5" w:rsidRDefault="00000000">
            <w:pPr>
              <w:pStyle w:val="220"/>
              <w:adjustRightInd w:val="0"/>
              <w:snapToGrid w:val="0"/>
              <w:jc w:val="center"/>
              <w:rPr>
                <w:color w:val="000000" w:themeColor="text1"/>
              </w:rPr>
            </w:pPr>
            <w:r>
              <w:rPr>
                <w:color w:val="000000" w:themeColor="text1"/>
              </w:rPr>
              <w:t>——</w:t>
            </w:r>
          </w:p>
        </w:tc>
        <w:tc>
          <w:tcPr>
            <w:tcW w:w="4069" w:type="pct"/>
            <w:vAlign w:val="center"/>
          </w:tcPr>
          <w:p w:rsidR="009136B5" w:rsidRDefault="00000000">
            <w:pPr>
              <w:widowControl/>
              <w:adjustRightInd w:val="0"/>
              <w:snapToGrid w:val="0"/>
              <w:ind w:firstLineChars="0" w:firstLine="0"/>
              <w:jc w:val="left"/>
              <w:rPr>
                <w:color w:val="000000" w:themeColor="text1"/>
                <w:kern w:val="0"/>
                <w:szCs w:val="21"/>
              </w:rPr>
            </w:pPr>
            <w:r>
              <w:rPr>
                <w:rFonts w:hint="eastAsia"/>
                <w:color w:val="000000" w:themeColor="text1"/>
              </w:rPr>
              <w:t>某一桩承台下的既有</w:t>
            </w:r>
            <w:r>
              <w:rPr>
                <w:color w:val="000000" w:themeColor="text1"/>
              </w:rPr>
              <w:t>工程桩与新增</w:t>
            </w:r>
            <w:r>
              <w:rPr>
                <w:rFonts w:hint="eastAsia"/>
                <w:color w:val="000000" w:themeColor="text1"/>
              </w:rPr>
              <w:t>托换</w:t>
            </w:r>
            <w:r>
              <w:rPr>
                <w:color w:val="000000" w:themeColor="text1"/>
              </w:rPr>
              <w:t>桩</w:t>
            </w:r>
            <w:r>
              <w:rPr>
                <w:rFonts w:hint="eastAsia"/>
                <w:color w:val="000000" w:themeColor="text1"/>
              </w:rPr>
              <w:t>的</w:t>
            </w:r>
            <w:r>
              <w:rPr>
                <w:color w:val="000000" w:themeColor="text1"/>
              </w:rPr>
              <w:t>数量；</w:t>
            </w:r>
          </w:p>
        </w:tc>
      </w:tr>
      <w:tr w:rsidR="009136B5">
        <w:tc>
          <w:tcPr>
            <w:tcW w:w="552" w:type="pct"/>
          </w:tcPr>
          <w:p w:rsidR="009136B5" w:rsidRDefault="00000000">
            <w:pPr>
              <w:pStyle w:val="220"/>
              <w:adjustRightInd w:val="0"/>
              <w:snapToGrid w:val="0"/>
              <w:jc w:val="right"/>
              <w:rPr>
                <w:color w:val="000000" w:themeColor="text1"/>
              </w:rPr>
            </w:pPr>
            <w:r>
              <w:rPr>
                <w:i/>
                <w:iCs/>
                <w:color w:val="000000" w:themeColor="text1"/>
              </w:rPr>
              <w:t>R</w:t>
            </w:r>
            <w:r>
              <w:rPr>
                <w:color w:val="000000" w:themeColor="text1"/>
                <w:vertAlign w:val="subscript"/>
              </w:rPr>
              <w:t>k1</w:t>
            </w:r>
            <w:r>
              <w:rPr>
                <w:color w:val="000000" w:themeColor="text1"/>
              </w:rPr>
              <w:t>、</w:t>
            </w:r>
            <w:r>
              <w:rPr>
                <w:i/>
                <w:iCs/>
                <w:color w:val="000000" w:themeColor="text1"/>
              </w:rPr>
              <w:t>R</w:t>
            </w:r>
            <w:r>
              <w:rPr>
                <w:color w:val="000000" w:themeColor="text1"/>
                <w:vertAlign w:val="subscript"/>
              </w:rPr>
              <w:t>k2</w:t>
            </w:r>
          </w:p>
        </w:tc>
        <w:tc>
          <w:tcPr>
            <w:tcW w:w="379" w:type="pct"/>
          </w:tcPr>
          <w:p w:rsidR="009136B5" w:rsidRDefault="00000000">
            <w:pPr>
              <w:pStyle w:val="220"/>
              <w:adjustRightInd w:val="0"/>
              <w:snapToGrid w:val="0"/>
              <w:jc w:val="center"/>
              <w:rPr>
                <w:color w:val="000000" w:themeColor="text1"/>
              </w:rPr>
            </w:pPr>
            <w:r>
              <w:rPr>
                <w:color w:val="000000" w:themeColor="text1"/>
              </w:rPr>
              <w:t>——</w:t>
            </w:r>
          </w:p>
        </w:tc>
        <w:tc>
          <w:tcPr>
            <w:tcW w:w="4069" w:type="pct"/>
          </w:tcPr>
          <w:p w:rsidR="009136B5" w:rsidRDefault="00000000">
            <w:pPr>
              <w:adjustRightInd w:val="0"/>
              <w:snapToGrid w:val="0"/>
              <w:ind w:firstLineChars="0" w:firstLine="0"/>
              <w:rPr>
                <w:color w:val="000000" w:themeColor="text1"/>
                <w:szCs w:val="21"/>
              </w:rPr>
            </w:pPr>
            <w:r>
              <w:rPr>
                <w:color w:val="000000" w:themeColor="text1"/>
              </w:rPr>
              <w:t>分别为考虑开挖卸荷</w:t>
            </w:r>
            <w:r>
              <w:rPr>
                <w:rFonts w:hint="eastAsia"/>
                <w:color w:val="000000" w:themeColor="text1"/>
              </w:rPr>
              <w:t>影响</w:t>
            </w:r>
            <w:r>
              <w:rPr>
                <w:color w:val="000000" w:themeColor="text1"/>
              </w:rPr>
              <w:t>后</w:t>
            </w:r>
            <w:r>
              <w:rPr>
                <w:rFonts w:hint="eastAsia"/>
                <w:color w:val="000000" w:themeColor="text1"/>
              </w:rPr>
              <w:t>的既有</w:t>
            </w:r>
            <w:r>
              <w:rPr>
                <w:color w:val="000000" w:themeColor="text1"/>
              </w:rPr>
              <w:t>工程</w:t>
            </w:r>
            <w:r>
              <w:rPr>
                <w:rFonts w:hint="eastAsia"/>
                <w:color w:val="000000" w:themeColor="text1"/>
              </w:rPr>
              <w:t>桩、</w:t>
            </w:r>
            <w:r>
              <w:rPr>
                <w:color w:val="000000" w:themeColor="text1"/>
              </w:rPr>
              <w:t>新增</w:t>
            </w:r>
            <w:r>
              <w:rPr>
                <w:rFonts w:hint="eastAsia"/>
                <w:color w:val="000000" w:themeColor="text1"/>
              </w:rPr>
              <w:t>托换</w:t>
            </w:r>
            <w:r>
              <w:rPr>
                <w:color w:val="000000" w:themeColor="text1"/>
              </w:rPr>
              <w:t>桩的</w:t>
            </w:r>
            <w:r>
              <w:rPr>
                <w:rFonts w:hint="eastAsia"/>
                <w:color w:val="000000" w:themeColor="text1"/>
              </w:rPr>
              <w:t>单桩竖向抗压</w:t>
            </w:r>
            <w:r>
              <w:rPr>
                <w:color w:val="000000" w:themeColor="text1"/>
              </w:rPr>
              <w:t>承载力特征值；</w:t>
            </w:r>
          </w:p>
        </w:tc>
      </w:tr>
      <w:tr w:rsidR="009136B5">
        <w:tc>
          <w:tcPr>
            <w:tcW w:w="552" w:type="pct"/>
          </w:tcPr>
          <w:p w:rsidR="009136B5" w:rsidRDefault="00000000">
            <w:pPr>
              <w:pStyle w:val="220"/>
              <w:adjustRightInd w:val="0"/>
              <w:snapToGrid w:val="0"/>
              <w:jc w:val="right"/>
              <w:rPr>
                <w:i/>
                <w:iCs/>
                <w:color w:val="000000" w:themeColor="text1"/>
              </w:rPr>
            </w:pPr>
            <w:r>
              <w:rPr>
                <w:i/>
                <w:iCs/>
                <w:color w:val="000000" w:themeColor="text1"/>
              </w:rPr>
              <w:t>P</w:t>
            </w:r>
            <w:r>
              <w:rPr>
                <w:color w:val="000000" w:themeColor="text1"/>
                <w:vertAlign w:val="subscript"/>
              </w:rPr>
              <w:t>0</w:t>
            </w:r>
            <w:r>
              <w:rPr>
                <w:color w:val="000000" w:themeColor="text1"/>
              </w:rPr>
              <w:t>、</w:t>
            </w:r>
            <w:r>
              <w:rPr>
                <w:rFonts w:ascii="宋体" w:hAnsi="宋体"/>
                <w:color w:val="000000" w:themeColor="text1"/>
                <w:position w:val="-4"/>
                <w:lang w:bidi="ar"/>
              </w:rPr>
              <w:object w:dxaOrig="376" w:dyaOrig="258">
                <v:shape id="_x0000_i1049" type="#_x0000_t75" style="width:18.8pt;height:13.15pt" o:ole="">
                  <v:imagedata r:id="rId79" o:title=""/>
                </v:shape>
                <o:OLEObject Type="Embed" ProgID="Equation.3" ShapeID="_x0000_i1049" DrawAspect="Content" ObjectID="_1735132827" r:id="rId80"/>
              </w:object>
            </w:r>
          </w:p>
        </w:tc>
        <w:tc>
          <w:tcPr>
            <w:tcW w:w="379" w:type="pct"/>
          </w:tcPr>
          <w:p w:rsidR="009136B5" w:rsidRDefault="00000000">
            <w:pPr>
              <w:pStyle w:val="220"/>
              <w:adjustRightInd w:val="0"/>
              <w:snapToGrid w:val="0"/>
              <w:jc w:val="center"/>
              <w:rPr>
                <w:color w:val="000000" w:themeColor="text1"/>
              </w:rPr>
            </w:pPr>
            <w:r>
              <w:rPr>
                <w:color w:val="000000" w:themeColor="text1"/>
              </w:rPr>
              <w:t>——</w:t>
            </w:r>
          </w:p>
        </w:tc>
        <w:tc>
          <w:tcPr>
            <w:tcW w:w="4069" w:type="pct"/>
          </w:tcPr>
          <w:p w:rsidR="009136B5" w:rsidRDefault="00000000">
            <w:pPr>
              <w:widowControl/>
              <w:adjustRightInd w:val="0"/>
              <w:snapToGrid w:val="0"/>
              <w:ind w:firstLineChars="0" w:firstLine="0"/>
              <w:jc w:val="left"/>
              <w:rPr>
                <w:color w:val="000000" w:themeColor="text1"/>
                <w:kern w:val="0"/>
                <w:szCs w:val="21"/>
              </w:rPr>
            </w:pPr>
            <w:r>
              <w:rPr>
                <w:rFonts w:hint="eastAsia"/>
                <w:color w:val="000000" w:themeColor="text1"/>
              </w:rPr>
              <w:t>分别为既有建筑地下开挖增层前承台所受的</w:t>
            </w:r>
            <w:r>
              <w:rPr>
                <w:color w:val="000000" w:themeColor="text1"/>
              </w:rPr>
              <w:t>轴向荷载</w:t>
            </w:r>
            <w:r>
              <w:rPr>
                <w:rFonts w:hint="eastAsia"/>
                <w:color w:val="000000" w:themeColor="text1"/>
              </w:rPr>
              <w:t>标准值、</w:t>
            </w:r>
            <w:r>
              <w:rPr>
                <w:color w:val="000000" w:themeColor="text1"/>
              </w:rPr>
              <w:t>施工</w:t>
            </w:r>
            <w:r>
              <w:rPr>
                <w:rFonts w:hint="eastAsia"/>
                <w:color w:val="000000" w:themeColor="text1"/>
              </w:rPr>
              <w:t>阶段承台所受的</w:t>
            </w:r>
            <w:r>
              <w:rPr>
                <w:color w:val="000000" w:themeColor="text1"/>
              </w:rPr>
              <w:t>新增轴向荷载</w:t>
            </w:r>
            <w:r>
              <w:rPr>
                <w:rFonts w:hint="eastAsia"/>
                <w:color w:val="000000" w:themeColor="text1"/>
              </w:rPr>
              <w:t>标准值</w:t>
            </w:r>
            <w:r>
              <w:rPr>
                <w:color w:val="000000" w:themeColor="text1"/>
              </w:rPr>
              <w:t>；</w:t>
            </w:r>
          </w:p>
        </w:tc>
      </w:tr>
      <w:tr w:rsidR="009136B5">
        <w:tc>
          <w:tcPr>
            <w:tcW w:w="552" w:type="pct"/>
          </w:tcPr>
          <w:p w:rsidR="009136B5" w:rsidRDefault="00000000">
            <w:pPr>
              <w:pStyle w:val="220"/>
              <w:adjustRightInd w:val="0"/>
              <w:snapToGrid w:val="0"/>
              <w:jc w:val="right"/>
              <w:rPr>
                <w:color w:val="000000" w:themeColor="text1"/>
              </w:rPr>
            </w:pPr>
            <w:r>
              <w:rPr>
                <w:i/>
                <w:iCs/>
                <w:color w:val="000000" w:themeColor="text1"/>
              </w:rPr>
              <w:t>β</w:t>
            </w:r>
          </w:p>
        </w:tc>
        <w:tc>
          <w:tcPr>
            <w:tcW w:w="379" w:type="pct"/>
          </w:tcPr>
          <w:p w:rsidR="009136B5" w:rsidRDefault="00000000">
            <w:pPr>
              <w:pStyle w:val="220"/>
              <w:adjustRightInd w:val="0"/>
              <w:snapToGrid w:val="0"/>
              <w:jc w:val="center"/>
              <w:rPr>
                <w:color w:val="000000" w:themeColor="text1"/>
              </w:rPr>
            </w:pPr>
            <w:r>
              <w:rPr>
                <w:color w:val="000000" w:themeColor="text1"/>
              </w:rPr>
              <w:t>——</w:t>
            </w:r>
          </w:p>
        </w:tc>
        <w:tc>
          <w:tcPr>
            <w:tcW w:w="4069" w:type="pct"/>
            <w:vAlign w:val="center"/>
          </w:tcPr>
          <w:p w:rsidR="009136B5" w:rsidRDefault="00000000">
            <w:pPr>
              <w:autoSpaceDE w:val="0"/>
              <w:autoSpaceDN w:val="0"/>
              <w:adjustRightInd w:val="0"/>
              <w:snapToGrid w:val="0"/>
              <w:ind w:firstLineChars="0" w:firstLine="0"/>
              <w:rPr>
                <w:color w:val="000000" w:themeColor="text1"/>
                <w:szCs w:val="21"/>
              </w:rPr>
            </w:pPr>
            <w:r>
              <w:rPr>
                <w:rFonts w:hint="eastAsia"/>
                <w:color w:val="000000" w:themeColor="text1"/>
              </w:rPr>
              <w:t>考虑新增托换桩沉降变形松弛采取的预加载超</w:t>
            </w:r>
            <w:r>
              <w:rPr>
                <w:color w:val="000000" w:themeColor="text1"/>
              </w:rPr>
              <w:t>压系数，</w:t>
            </w:r>
            <w:r>
              <w:rPr>
                <w:rFonts w:hint="eastAsia"/>
                <w:color w:val="000000" w:themeColor="text1"/>
              </w:rPr>
              <w:t>可</w:t>
            </w:r>
            <w:r>
              <w:rPr>
                <w:color w:val="000000" w:themeColor="text1"/>
              </w:rPr>
              <w:t>取</w:t>
            </w:r>
            <w:r>
              <w:rPr>
                <w:color w:val="000000" w:themeColor="text1"/>
              </w:rPr>
              <w:t>1.2~</w:t>
            </w:r>
            <w:r>
              <w:rPr>
                <w:rFonts w:hint="eastAsia"/>
                <w:color w:val="000000" w:themeColor="text1"/>
              </w:rPr>
              <w:t>1.5</w:t>
            </w:r>
            <w:r>
              <w:rPr>
                <w:rFonts w:hint="eastAsia"/>
                <w:color w:val="000000" w:themeColor="text1"/>
              </w:rPr>
              <w:t>。</w:t>
            </w:r>
          </w:p>
        </w:tc>
      </w:tr>
    </w:tbl>
    <w:p w:rsidR="009136B5" w:rsidRDefault="00000000">
      <w:pPr>
        <w:pStyle w:val="xxx"/>
        <w:adjustRightInd w:val="0"/>
        <w:snapToGrid w:val="0"/>
        <w:rPr>
          <w:color w:val="FF0000"/>
        </w:rPr>
      </w:pPr>
      <w:r>
        <w:rPr>
          <w:rFonts w:hint="eastAsia"/>
          <w:b/>
          <w:bCs/>
          <w:color w:val="000000" w:themeColor="text1"/>
        </w:rPr>
        <w:t>4.3.9</w:t>
      </w:r>
      <w:r>
        <w:rPr>
          <w:color w:val="000000" w:themeColor="text1"/>
        </w:rPr>
        <w:t xml:space="preserve">  </w:t>
      </w:r>
      <w:r>
        <w:rPr>
          <w:rFonts w:hint="eastAsia"/>
          <w:color w:val="000000" w:themeColor="text1"/>
        </w:rPr>
        <w:t>地下开挖施工阶段，应根据每一步开挖深度和桩的约束条件变化，按最不利开挖工况验算托换桩的桩身承载力。考虑桩身压曲影响的稳定系数</w:t>
      </w:r>
      <w:r>
        <w:rPr>
          <w:rFonts w:ascii="宋体" w:hAnsi="宋体"/>
          <w:color w:val="000000" w:themeColor="text1"/>
          <w:position w:val="-10"/>
          <w:lang w:bidi="ar"/>
        </w:rPr>
        <w:object w:dxaOrig="226" w:dyaOrig="258">
          <v:shape id="_x0000_i1050" type="#_x0000_t75" style="width:11.25pt;height:13.15pt" o:ole="">
            <v:imagedata r:id="rId81" o:title=""/>
          </v:shape>
          <o:OLEObject Type="Embed" ProgID="Equation.DSMT4" ShapeID="_x0000_i1050" DrawAspect="Content" ObjectID="_1735132828" r:id="rId82"/>
        </w:object>
      </w:r>
      <w:r>
        <w:rPr>
          <w:rFonts w:hint="eastAsia"/>
          <w:color w:val="000000" w:themeColor="text1"/>
        </w:rPr>
        <w:t>应根据桩身压曲计算长度</w:t>
      </w:r>
      <w:r>
        <w:rPr>
          <w:rFonts w:ascii="宋体" w:hAnsi="宋体"/>
          <w:color w:val="000000" w:themeColor="text1"/>
          <w:position w:val="-12"/>
          <w:lang w:bidi="ar"/>
        </w:rPr>
        <w:object w:dxaOrig="204" w:dyaOrig="376">
          <v:shape id="_x0000_i1051" type="#_x0000_t75" style="width:10pt;height:18.8pt" o:ole="">
            <v:imagedata r:id="rId83" o:title=""/>
          </v:shape>
          <o:OLEObject Type="Embed" ProgID="Equation.DSMT4" ShapeID="_x0000_i1051" DrawAspect="Content" ObjectID="_1735132829" r:id="rId84"/>
        </w:object>
      </w:r>
      <w:r>
        <w:rPr>
          <w:rFonts w:ascii="宋体" w:hAnsi="宋体" w:hint="eastAsia"/>
          <w:color w:val="000000" w:themeColor="text1"/>
          <w:lang w:bidi="ar"/>
        </w:rPr>
        <w:t>和桩的设计</w:t>
      </w:r>
      <w:r>
        <w:rPr>
          <w:color w:val="000000" w:themeColor="text1"/>
          <w:lang w:bidi="ar"/>
        </w:rPr>
        <w:t>直径</w:t>
      </w:r>
      <w:r>
        <w:rPr>
          <w:i/>
          <w:color w:val="000000" w:themeColor="text1"/>
          <w:lang w:bidi="ar"/>
        </w:rPr>
        <w:t>d</w:t>
      </w:r>
      <w:r>
        <w:rPr>
          <w:color w:val="000000" w:themeColor="text1"/>
          <w:lang w:bidi="ar"/>
        </w:rPr>
        <w:t>（或矩形桩短边尺寸</w:t>
      </w:r>
      <w:r>
        <w:rPr>
          <w:i/>
          <w:color w:val="000000" w:themeColor="text1"/>
          <w:lang w:bidi="ar"/>
        </w:rPr>
        <w:t>b</w:t>
      </w:r>
      <w:r>
        <w:rPr>
          <w:color w:val="000000" w:themeColor="text1"/>
          <w:lang w:bidi="ar"/>
        </w:rPr>
        <w:t>）按</w:t>
      </w:r>
      <w:r>
        <w:rPr>
          <w:color w:val="000000" w:themeColor="text1"/>
        </w:rPr>
        <w:t>《建筑桩基技术规范》</w:t>
      </w:r>
      <w:r>
        <w:rPr>
          <w:rFonts w:hint="eastAsia"/>
          <w:color w:val="000000" w:themeColor="text1"/>
        </w:rPr>
        <w:t>JGJ94</w:t>
      </w:r>
      <w:r>
        <w:rPr>
          <w:rFonts w:hint="eastAsia"/>
          <w:color w:val="000000" w:themeColor="text1"/>
        </w:rPr>
        <w:t>规定的方法计算确定。</w:t>
      </w:r>
    </w:p>
    <w:p w:rsidR="009136B5" w:rsidRDefault="00000000">
      <w:pPr>
        <w:pStyle w:val="afffff1"/>
        <w:ind w:firstLineChars="0" w:firstLine="0"/>
      </w:pPr>
      <w:r>
        <w:rPr>
          <w:rFonts w:hint="eastAsia"/>
          <w:b/>
        </w:rPr>
        <w:t>条文说明：</w:t>
      </w:r>
      <w:r>
        <w:rPr>
          <w:rFonts w:hint="eastAsia"/>
        </w:rPr>
        <w:t>桩顶和桩身侧向约束状态是决定托换桩稳定性和桩身承载力的主要因素。既有建筑地下开挖阶段施工期间，托换桩上部受到原基础（或新增临时承台）的约束，下部受土体的侧向约束，由于不同土方开挖阶段、不同施工工况条件下托换桩的侧向约束是动态变化的，其稳定性和承载能力也是不断变化的，因此托换桩的计算长度确定和稳定承载力计算必须按照不同开挖工况、不同侧向约束条件分别进行分析，并按最不利工况进行桩身承载力验算。</w:t>
      </w:r>
    </w:p>
    <w:p w:rsidR="009136B5" w:rsidRDefault="00000000">
      <w:pPr>
        <w:pStyle w:val="xxx"/>
        <w:adjustRightInd w:val="0"/>
        <w:snapToGrid w:val="0"/>
        <w:rPr>
          <w:color w:val="000000" w:themeColor="text1"/>
          <w:lang w:bidi="ar"/>
        </w:rPr>
      </w:pPr>
      <w:r>
        <w:rPr>
          <w:rFonts w:hint="eastAsia"/>
          <w:b/>
          <w:bCs/>
          <w:color w:val="000000" w:themeColor="text1"/>
        </w:rPr>
        <w:t>4.3.10</w:t>
      </w:r>
      <w:r>
        <w:rPr>
          <w:color w:val="000000" w:themeColor="text1"/>
        </w:rPr>
        <w:t xml:space="preserve">  </w:t>
      </w:r>
      <w:r>
        <w:rPr>
          <w:color w:val="000000" w:themeColor="text1"/>
        </w:rPr>
        <w:t>托换桩的桩身压曲计算长度</w:t>
      </w:r>
      <w:r>
        <w:rPr>
          <w:color w:val="000000" w:themeColor="text1"/>
          <w:position w:val="-12"/>
          <w:lang w:bidi="ar"/>
        </w:rPr>
        <w:object w:dxaOrig="204" w:dyaOrig="376">
          <v:shape id="_x0000_i1052" type="#_x0000_t75" style="width:10pt;height:18.8pt" o:ole="">
            <v:imagedata r:id="rId83" o:title=""/>
          </v:shape>
          <o:OLEObject Type="Embed" ProgID="Equation.DSMT4" ShapeID="_x0000_i1052" DrawAspect="Content" ObjectID="_1735132830" r:id="rId85"/>
        </w:object>
      </w:r>
      <w:r>
        <w:rPr>
          <w:color w:val="000000" w:themeColor="text1"/>
          <w:lang w:bidi="ar"/>
        </w:rPr>
        <w:t>的确定，应考虑开挖深度、桩顶和桩身约束情况、桩的入土深度、桩侧和桩端土质条件等因素，宜通过考虑桩顶和侧向实际约束状况的屈曲分析得到轴向屈曲荷载反算确定，也可按本规程第</w:t>
      </w:r>
      <w:r>
        <w:rPr>
          <w:color w:val="000000" w:themeColor="text1"/>
          <w:lang w:bidi="ar"/>
        </w:rPr>
        <w:t>4.3.11</w:t>
      </w:r>
      <w:r>
        <w:rPr>
          <w:rFonts w:hint="eastAsia"/>
          <w:color w:val="000000" w:themeColor="text1"/>
          <w:lang w:bidi="ar"/>
        </w:rPr>
        <w:t>~</w:t>
      </w:r>
      <w:r>
        <w:rPr>
          <w:color w:val="000000" w:themeColor="text1"/>
          <w:lang w:bidi="ar"/>
        </w:rPr>
        <w:t>4</w:t>
      </w:r>
      <w:r>
        <w:rPr>
          <w:rFonts w:hint="eastAsia"/>
          <w:color w:val="000000" w:themeColor="text1"/>
          <w:lang w:bidi="ar"/>
        </w:rPr>
        <w:t>.</w:t>
      </w:r>
      <w:r>
        <w:rPr>
          <w:color w:val="000000" w:themeColor="text1"/>
          <w:lang w:bidi="ar"/>
        </w:rPr>
        <w:t>3</w:t>
      </w:r>
      <w:r>
        <w:rPr>
          <w:rFonts w:hint="eastAsia"/>
          <w:color w:val="000000" w:themeColor="text1"/>
          <w:lang w:bidi="ar"/>
        </w:rPr>
        <w:t>.</w:t>
      </w:r>
      <w:r>
        <w:rPr>
          <w:color w:val="000000" w:themeColor="text1"/>
          <w:lang w:bidi="ar"/>
        </w:rPr>
        <w:t>13</w:t>
      </w:r>
      <w:r>
        <w:rPr>
          <w:color w:val="000000" w:themeColor="text1"/>
          <w:lang w:bidi="ar"/>
        </w:rPr>
        <w:t>条计算确定。</w:t>
      </w:r>
    </w:p>
    <w:p w:rsidR="009136B5" w:rsidRDefault="00000000">
      <w:pPr>
        <w:pStyle w:val="xxx"/>
        <w:adjustRightInd w:val="0"/>
        <w:snapToGrid w:val="0"/>
        <w:rPr>
          <w:color w:val="000000" w:themeColor="text1"/>
        </w:rPr>
      </w:pPr>
      <w:r>
        <w:rPr>
          <w:rFonts w:hint="eastAsia"/>
          <w:b/>
          <w:bCs/>
          <w:color w:val="000000" w:themeColor="text1"/>
        </w:rPr>
        <w:t>4.3.11</w:t>
      </w:r>
      <w:r>
        <w:rPr>
          <w:color w:val="000000" w:themeColor="text1"/>
        </w:rPr>
        <w:t xml:space="preserve">  </w:t>
      </w:r>
      <w:r>
        <w:rPr>
          <w:rFonts w:hint="eastAsia"/>
          <w:color w:val="000000" w:themeColor="text1"/>
        </w:rPr>
        <w:t>当</w:t>
      </w:r>
      <w:r>
        <w:rPr>
          <w:color w:val="000000" w:themeColor="text1"/>
        </w:rPr>
        <w:t>托换桩</w:t>
      </w:r>
      <w:r>
        <w:rPr>
          <w:rFonts w:hint="eastAsia"/>
          <w:color w:val="000000" w:themeColor="text1"/>
        </w:rPr>
        <w:t>的桩顶承台通过内支撑结构体系与基坑周边挡墙连为整体时，</w:t>
      </w:r>
      <w:r>
        <w:rPr>
          <w:color w:val="000000" w:themeColor="text1"/>
        </w:rPr>
        <w:t>桩身压曲计算长度</w:t>
      </w:r>
      <w:r>
        <w:rPr>
          <w:color w:val="000000" w:themeColor="text1"/>
          <w:position w:val="-12"/>
          <w:lang w:bidi="ar"/>
        </w:rPr>
        <w:object w:dxaOrig="204" w:dyaOrig="376">
          <v:shape id="_x0000_i1053" type="#_x0000_t75" style="width:10pt;height:18.8pt" o:ole="">
            <v:imagedata r:id="rId83" o:title=""/>
          </v:shape>
          <o:OLEObject Type="Embed" ProgID="Equation.DSMT4" ShapeID="_x0000_i1053" DrawAspect="Content" ObjectID="_1735132831" r:id="rId86"/>
        </w:object>
      </w:r>
      <w:r>
        <w:rPr>
          <w:rFonts w:hint="eastAsia"/>
          <w:color w:val="000000" w:themeColor="text1"/>
          <w:lang w:bidi="ar"/>
        </w:rPr>
        <w:t>可按下列公式计算确定：</w:t>
      </w:r>
    </w:p>
    <w:p w:rsidR="009136B5" w:rsidRDefault="00000000">
      <w:pPr>
        <w:pStyle w:val="x"/>
        <w:ind w:firstLine="316"/>
      </w:pPr>
      <w:r>
        <w:rPr>
          <w:rFonts w:hint="eastAsia"/>
          <w:b/>
        </w:rPr>
        <w:lastRenderedPageBreak/>
        <w:t>1</w:t>
      </w:r>
      <w:r>
        <w:t xml:space="preserve">  </w:t>
      </w:r>
      <w:r>
        <w:rPr>
          <w:rFonts w:hint="eastAsia"/>
        </w:rPr>
        <w:t>开挖面以下桩的实际入土深度</w:t>
      </w:r>
      <w:r>
        <w:rPr>
          <w:rFonts w:hint="eastAsia"/>
          <w:i/>
          <w:iCs/>
        </w:rPr>
        <w:t>h</w:t>
      </w:r>
      <w:r>
        <w:rPr>
          <w:rFonts w:ascii="宋体" w:hAnsi="宋体" w:hint="eastAsia"/>
        </w:rPr>
        <w:t>≥</w:t>
      </w:r>
      <w:r>
        <w:rPr>
          <w:rFonts w:hint="eastAsia"/>
          <w:i/>
        </w:rPr>
        <w:t>h</w:t>
      </w:r>
      <w:r>
        <w:rPr>
          <w:rFonts w:hint="eastAsia"/>
          <w:vertAlign w:val="subscript"/>
        </w:rPr>
        <w:t>0</w:t>
      </w:r>
      <w:r>
        <w:rPr>
          <w:rFonts w:hint="eastAsia"/>
        </w:rPr>
        <w:t>时：</w:t>
      </w: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708"/>
        <w:gridCol w:w="1400"/>
        <w:gridCol w:w="3136"/>
        <w:gridCol w:w="3118"/>
      </w:tblGrid>
      <w:tr w:rsidR="009136B5">
        <w:tc>
          <w:tcPr>
            <w:tcW w:w="3101" w:type="dxa"/>
            <w:gridSpan w:val="3"/>
          </w:tcPr>
          <w:p w:rsidR="009136B5" w:rsidRDefault="009136B5">
            <w:pPr>
              <w:pStyle w:val="xxx"/>
              <w:ind w:firstLine="420"/>
              <w:rPr>
                <w:color w:val="000000" w:themeColor="text1"/>
              </w:rPr>
            </w:pPr>
          </w:p>
        </w:tc>
        <w:tc>
          <w:tcPr>
            <w:tcW w:w="3136" w:type="dxa"/>
            <w:vAlign w:val="center"/>
          </w:tcPr>
          <w:p w:rsidR="009136B5" w:rsidRDefault="00000000">
            <w:pPr>
              <w:pStyle w:val="xxx"/>
              <w:adjustRightInd w:val="0"/>
              <w:snapToGrid w:val="0"/>
              <w:spacing w:line="240" w:lineRule="auto"/>
              <w:jc w:val="center"/>
              <w:rPr>
                <w:color w:val="000000" w:themeColor="text1"/>
              </w:rPr>
            </w:pPr>
            <w:r>
              <w:rPr>
                <w:color w:val="000000" w:themeColor="text1"/>
                <w:position w:val="-10"/>
              </w:rPr>
              <w:object w:dxaOrig="1376" w:dyaOrig="322">
                <v:shape id="_x0000_i1054" type="#_x0000_t75" style="width:69.5pt;height:15.65pt" o:ole="">
                  <v:imagedata r:id="rId87" o:title=""/>
                </v:shape>
                <o:OLEObject Type="Embed" ProgID="Equation.DSMT4" ShapeID="_x0000_i1054" DrawAspect="Content" ObjectID="_1735132832" r:id="rId88"/>
              </w:object>
            </w:r>
          </w:p>
        </w:tc>
        <w:tc>
          <w:tcPr>
            <w:tcW w:w="3118" w:type="dxa"/>
            <w:vAlign w:val="center"/>
          </w:tcPr>
          <w:p w:rsidR="009136B5" w:rsidRDefault="00000000">
            <w:pPr>
              <w:pStyle w:val="xxx"/>
              <w:spacing w:line="240" w:lineRule="auto"/>
              <w:jc w:val="right"/>
              <w:rPr>
                <w:color w:val="000000" w:themeColor="text1"/>
              </w:rPr>
            </w:pPr>
            <w:r>
              <w:rPr>
                <w:color w:val="000000" w:themeColor="text1"/>
                <w:szCs w:val="21"/>
                <w:lang w:bidi="ar"/>
              </w:rPr>
              <w:t>（</w:t>
            </w:r>
            <w:r>
              <w:rPr>
                <w:rFonts w:hint="eastAsia"/>
                <w:color w:val="000000" w:themeColor="text1"/>
                <w:szCs w:val="21"/>
                <w:lang w:bidi="ar"/>
              </w:rPr>
              <w:t>4.3.</w:t>
            </w:r>
            <w:r>
              <w:rPr>
                <w:color w:val="000000" w:themeColor="text1"/>
                <w:szCs w:val="21"/>
                <w:lang w:bidi="ar"/>
              </w:rPr>
              <w:t>11</w:t>
            </w:r>
            <w:r>
              <w:rPr>
                <w:rFonts w:hint="eastAsia"/>
                <w:color w:val="000000" w:themeColor="text1"/>
                <w:szCs w:val="21"/>
                <w:lang w:bidi="ar"/>
              </w:rPr>
              <w:t>-1</w:t>
            </w:r>
            <w:r>
              <w:rPr>
                <w:color w:val="000000" w:themeColor="text1"/>
                <w:szCs w:val="21"/>
                <w:lang w:bidi="ar"/>
              </w:rPr>
              <w:t>）</w:t>
            </w:r>
          </w:p>
        </w:tc>
      </w:tr>
      <w:tr w:rsidR="009136B5">
        <w:tc>
          <w:tcPr>
            <w:tcW w:w="3101" w:type="dxa"/>
            <w:gridSpan w:val="3"/>
          </w:tcPr>
          <w:p w:rsidR="009136B5" w:rsidRDefault="009136B5">
            <w:pPr>
              <w:pStyle w:val="xxx"/>
              <w:ind w:firstLine="420"/>
              <w:rPr>
                <w:color w:val="000000" w:themeColor="text1"/>
              </w:rPr>
            </w:pPr>
          </w:p>
        </w:tc>
        <w:tc>
          <w:tcPr>
            <w:tcW w:w="3136" w:type="dxa"/>
            <w:vAlign w:val="center"/>
          </w:tcPr>
          <w:p w:rsidR="009136B5" w:rsidRDefault="00000000">
            <w:pPr>
              <w:pStyle w:val="xxx"/>
              <w:adjustRightInd w:val="0"/>
              <w:snapToGrid w:val="0"/>
              <w:spacing w:line="240" w:lineRule="auto"/>
              <w:jc w:val="center"/>
              <w:rPr>
                <w:color w:val="000000" w:themeColor="text1"/>
              </w:rPr>
            </w:pPr>
            <w:r>
              <w:rPr>
                <w:rFonts w:hint="eastAsia"/>
                <w:color w:val="000000" w:themeColor="text1"/>
                <w:position w:val="-10"/>
              </w:rPr>
              <w:object w:dxaOrig="731" w:dyaOrig="258">
                <v:shape id="_x0000_i1055" type="#_x0000_t75" style="width:36.3pt;height:13.15pt" o:ole="">
                  <v:imagedata r:id="rId89" o:title=""/>
                </v:shape>
                <o:OLEObject Type="Embed" ProgID="Equation.DSMT4" ShapeID="_x0000_i1055" DrawAspect="Content" ObjectID="_1735132833" r:id="rId90"/>
              </w:object>
            </w:r>
          </w:p>
        </w:tc>
        <w:tc>
          <w:tcPr>
            <w:tcW w:w="3118" w:type="dxa"/>
            <w:vAlign w:val="center"/>
          </w:tcPr>
          <w:p w:rsidR="009136B5" w:rsidRDefault="00000000">
            <w:pPr>
              <w:pStyle w:val="xxx"/>
              <w:spacing w:line="240" w:lineRule="auto"/>
              <w:jc w:val="right"/>
              <w:rPr>
                <w:color w:val="000000" w:themeColor="text1"/>
              </w:rPr>
            </w:pPr>
            <w:r>
              <w:rPr>
                <w:color w:val="000000" w:themeColor="text1"/>
              </w:rPr>
              <w:t>（</w:t>
            </w:r>
            <w:r>
              <w:rPr>
                <w:rFonts w:hint="eastAsia"/>
                <w:color w:val="000000" w:themeColor="text1"/>
              </w:rPr>
              <w:t>4.3.</w:t>
            </w:r>
            <w:r>
              <w:rPr>
                <w:color w:val="000000" w:themeColor="text1"/>
              </w:rPr>
              <w:t>11</w:t>
            </w:r>
            <w:r>
              <w:rPr>
                <w:rFonts w:hint="eastAsia"/>
                <w:color w:val="000000" w:themeColor="text1"/>
              </w:rPr>
              <w:t>-2</w:t>
            </w:r>
            <w:r>
              <w:rPr>
                <w:rFonts w:hint="eastAsia"/>
                <w:color w:val="000000" w:themeColor="text1"/>
              </w:rPr>
              <w:t>）</w:t>
            </w:r>
          </w:p>
        </w:tc>
      </w:tr>
      <w:tr w:rsidR="009136B5">
        <w:tc>
          <w:tcPr>
            <w:tcW w:w="3101" w:type="dxa"/>
            <w:gridSpan w:val="3"/>
          </w:tcPr>
          <w:p w:rsidR="009136B5" w:rsidRDefault="009136B5">
            <w:pPr>
              <w:pStyle w:val="xxx"/>
              <w:ind w:firstLine="420"/>
              <w:rPr>
                <w:color w:val="000000" w:themeColor="text1"/>
              </w:rPr>
            </w:pPr>
          </w:p>
        </w:tc>
        <w:tc>
          <w:tcPr>
            <w:tcW w:w="3136" w:type="dxa"/>
            <w:vAlign w:val="center"/>
          </w:tcPr>
          <w:p w:rsidR="009136B5" w:rsidRDefault="00000000">
            <w:pPr>
              <w:pStyle w:val="xxx"/>
              <w:adjustRightInd w:val="0"/>
              <w:snapToGrid w:val="0"/>
              <w:spacing w:line="240" w:lineRule="auto"/>
              <w:jc w:val="center"/>
              <w:rPr>
                <w:color w:val="000000" w:themeColor="text1"/>
              </w:rPr>
            </w:pPr>
            <w:r>
              <w:rPr>
                <w:rFonts w:hint="eastAsia"/>
                <w:color w:val="000000" w:themeColor="text1"/>
                <w:position w:val="-26"/>
              </w:rPr>
              <w:object w:dxaOrig="956" w:dyaOrig="634">
                <v:shape id="_x0000_i1056" type="#_x0000_t75" style="width:47.6pt;height:31.95pt" o:ole="">
                  <v:imagedata r:id="rId91" o:title=""/>
                </v:shape>
                <o:OLEObject Type="Embed" ProgID="Equation.DSMT4" ShapeID="_x0000_i1056" DrawAspect="Content" ObjectID="_1735132834" r:id="rId92"/>
              </w:object>
            </w:r>
          </w:p>
        </w:tc>
        <w:tc>
          <w:tcPr>
            <w:tcW w:w="3118" w:type="dxa"/>
            <w:vAlign w:val="center"/>
          </w:tcPr>
          <w:p w:rsidR="009136B5" w:rsidRDefault="00000000">
            <w:pPr>
              <w:pStyle w:val="xxx"/>
              <w:spacing w:line="240" w:lineRule="auto"/>
              <w:jc w:val="right"/>
              <w:rPr>
                <w:color w:val="000000" w:themeColor="text1"/>
              </w:rPr>
            </w:pPr>
            <w:r>
              <w:rPr>
                <w:color w:val="000000" w:themeColor="text1"/>
                <w:szCs w:val="21"/>
              </w:rPr>
              <w:t>（</w:t>
            </w:r>
            <w:r>
              <w:rPr>
                <w:rFonts w:hint="eastAsia"/>
                <w:color w:val="000000" w:themeColor="text1"/>
              </w:rPr>
              <w:t>4.3.</w:t>
            </w:r>
            <w:r>
              <w:rPr>
                <w:color w:val="000000" w:themeColor="text1"/>
              </w:rPr>
              <w:t>11</w:t>
            </w:r>
            <w:r>
              <w:rPr>
                <w:rFonts w:hint="eastAsia"/>
                <w:color w:val="000000" w:themeColor="text1"/>
              </w:rPr>
              <w:t>-3</w:t>
            </w:r>
            <w:r>
              <w:rPr>
                <w:color w:val="000000" w:themeColor="text1"/>
                <w:szCs w:val="21"/>
              </w:rPr>
              <w:t>）</w:t>
            </w:r>
          </w:p>
        </w:tc>
      </w:tr>
      <w:tr w:rsidR="009136B5">
        <w:tblPrEx>
          <w:tblCellMar>
            <w:left w:w="0" w:type="dxa"/>
            <w:right w:w="57" w:type="dxa"/>
          </w:tblCellMar>
        </w:tblPrEx>
        <w:tc>
          <w:tcPr>
            <w:tcW w:w="993" w:type="dxa"/>
          </w:tcPr>
          <w:p w:rsidR="009136B5" w:rsidRDefault="00000000">
            <w:pPr>
              <w:pStyle w:val="220"/>
              <w:adjustRightInd w:val="0"/>
              <w:snapToGrid w:val="0"/>
              <w:jc w:val="right"/>
              <w:rPr>
                <w:color w:val="000000" w:themeColor="text1"/>
              </w:rPr>
            </w:pPr>
            <w:r>
              <w:rPr>
                <w:rFonts w:hint="eastAsia"/>
                <w:color w:val="000000" w:themeColor="text1"/>
              </w:rPr>
              <w:t>式中：</w:t>
            </w:r>
            <w:r>
              <w:rPr>
                <w:color w:val="000000" w:themeColor="text1"/>
              </w:rPr>
              <w:t xml:space="preserve">   </w:t>
            </w:r>
            <w:r>
              <w:rPr>
                <w:rFonts w:hint="eastAsia"/>
                <w:i/>
                <w:iCs/>
                <w:color w:val="000000" w:themeColor="text1"/>
              </w:rPr>
              <w:t>l</w:t>
            </w:r>
            <w:r>
              <w:rPr>
                <w:rFonts w:hint="eastAsia"/>
                <w:color w:val="000000" w:themeColor="text1"/>
                <w:vertAlign w:val="subscript"/>
              </w:rPr>
              <w:t>c</w:t>
            </w:r>
          </w:p>
        </w:tc>
        <w:tc>
          <w:tcPr>
            <w:tcW w:w="708" w:type="dxa"/>
            <w:vAlign w:val="center"/>
          </w:tcPr>
          <w:p w:rsidR="009136B5" w:rsidRDefault="00000000">
            <w:pPr>
              <w:pStyle w:val="220"/>
              <w:adjustRightInd w:val="0"/>
              <w:snapToGrid w:val="0"/>
              <w:rPr>
                <w:color w:val="000000" w:themeColor="text1"/>
              </w:rPr>
            </w:pPr>
            <w:r>
              <w:rPr>
                <w:color w:val="000000" w:themeColor="text1"/>
              </w:rPr>
              <w:t>——</w:t>
            </w:r>
          </w:p>
        </w:tc>
        <w:tc>
          <w:tcPr>
            <w:tcW w:w="7654" w:type="dxa"/>
            <w:gridSpan w:val="3"/>
          </w:tcPr>
          <w:p w:rsidR="009136B5" w:rsidRDefault="00000000">
            <w:pPr>
              <w:pStyle w:val="220"/>
              <w:adjustRightInd w:val="0"/>
              <w:snapToGrid w:val="0"/>
              <w:rPr>
                <w:color w:val="000000" w:themeColor="text1"/>
              </w:rPr>
            </w:pPr>
            <w:r>
              <w:rPr>
                <w:rFonts w:hint="eastAsia"/>
                <w:color w:val="000000" w:themeColor="text1"/>
              </w:rPr>
              <w:t>桩身压曲计算长度（</w:t>
            </w:r>
            <w:r>
              <w:rPr>
                <w:rFonts w:hint="eastAsia"/>
                <w:color w:val="000000" w:themeColor="text1"/>
              </w:rPr>
              <w:t>m</w:t>
            </w:r>
            <w:r>
              <w:rPr>
                <w:rFonts w:hint="eastAsia"/>
                <w:color w:val="000000" w:themeColor="text1"/>
              </w:rPr>
              <w:t>）；</w:t>
            </w:r>
          </w:p>
        </w:tc>
      </w:tr>
      <w:tr w:rsidR="009136B5">
        <w:tblPrEx>
          <w:tblCellMar>
            <w:left w:w="0" w:type="dxa"/>
            <w:right w:w="57" w:type="dxa"/>
          </w:tblCellMar>
        </w:tblPrEx>
        <w:tc>
          <w:tcPr>
            <w:tcW w:w="993" w:type="dxa"/>
          </w:tcPr>
          <w:p w:rsidR="009136B5" w:rsidRDefault="00000000">
            <w:pPr>
              <w:pStyle w:val="220"/>
              <w:adjustRightInd w:val="0"/>
              <w:snapToGrid w:val="0"/>
              <w:jc w:val="right"/>
              <w:rPr>
                <w:i/>
                <w:iCs/>
                <w:color w:val="000000" w:themeColor="text1"/>
              </w:rPr>
            </w:pPr>
            <w:r>
              <w:rPr>
                <w:rFonts w:hint="eastAsia"/>
                <w:i/>
                <w:iCs/>
                <w:color w:val="000000" w:themeColor="text1"/>
              </w:rPr>
              <w:t>l</w:t>
            </w:r>
          </w:p>
        </w:tc>
        <w:tc>
          <w:tcPr>
            <w:tcW w:w="708" w:type="dxa"/>
            <w:vAlign w:val="center"/>
          </w:tcPr>
          <w:p w:rsidR="009136B5" w:rsidRDefault="00000000">
            <w:pPr>
              <w:pStyle w:val="220"/>
              <w:adjustRightInd w:val="0"/>
              <w:snapToGrid w:val="0"/>
              <w:rPr>
                <w:color w:val="000000" w:themeColor="text1"/>
              </w:rPr>
            </w:pPr>
            <w:r>
              <w:rPr>
                <w:color w:val="000000" w:themeColor="text1"/>
              </w:rPr>
              <w:t>——</w:t>
            </w:r>
          </w:p>
        </w:tc>
        <w:tc>
          <w:tcPr>
            <w:tcW w:w="7654" w:type="dxa"/>
            <w:gridSpan w:val="3"/>
          </w:tcPr>
          <w:p w:rsidR="009136B5" w:rsidRDefault="00000000">
            <w:pPr>
              <w:pStyle w:val="220"/>
              <w:adjustRightInd w:val="0"/>
              <w:snapToGrid w:val="0"/>
              <w:rPr>
                <w:color w:val="000000" w:themeColor="text1"/>
              </w:rPr>
            </w:pPr>
            <w:r>
              <w:rPr>
                <w:rFonts w:hint="eastAsia"/>
                <w:color w:val="000000" w:themeColor="text1"/>
              </w:rPr>
              <w:t>开挖面以上桩的外露长度（</w:t>
            </w:r>
            <w:r>
              <w:rPr>
                <w:rFonts w:hint="eastAsia"/>
                <w:color w:val="000000" w:themeColor="text1"/>
              </w:rPr>
              <w:t>m</w:t>
            </w:r>
            <w:r>
              <w:rPr>
                <w:rFonts w:hint="eastAsia"/>
                <w:color w:val="000000" w:themeColor="text1"/>
              </w:rPr>
              <w:t>）；</w:t>
            </w:r>
          </w:p>
        </w:tc>
      </w:tr>
      <w:tr w:rsidR="009136B5">
        <w:tblPrEx>
          <w:tblCellMar>
            <w:left w:w="0" w:type="dxa"/>
            <w:right w:w="57" w:type="dxa"/>
          </w:tblCellMar>
        </w:tblPrEx>
        <w:tc>
          <w:tcPr>
            <w:tcW w:w="993" w:type="dxa"/>
          </w:tcPr>
          <w:p w:rsidR="009136B5" w:rsidRDefault="00000000">
            <w:pPr>
              <w:pStyle w:val="220"/>
              <w:adjustRightInd w:val="0"/>
              <w:snapToGrid w:val="0"/>
              <w:jc w:val="right"/>
              <w:rPr>
                <w:i/>
                <w:iCs/>
                <w:color w:val="000000" w:themeColor="text1"/>
              </w:rPr>
            </w:pPr>
            <w:r>
              <w:rPr>
                <w:rFonts w:hint="eastAsia"/>
                <w:i/>
                <w:iCs/>
                <w:color w:val="000000" w:themeColor="text1"/>
              </w:rPr>
              <w:t>h</w:t>
            </w:r>
          </w:p>
        </w:tc>
        <w:tc>
          <w:tcPr>
            <w:tcW w:w="708" w:type="dxa"/>
          </w:tcPr>
          <w:p w:rsidR="009136B5" w:rsidRDefault="00000000">
            <w:pPr>
              <w:pStyle w:val="220"/>
              <w:adjustRightInd w:val="0"/>
              <w:snapToGrid w:val="0"/>
              <w:rPr>
                <w:color w:val="000000" w:themeColor="text1"/>
              </w:rPr>
            </w:pPr>
            <w:r>
              <w:rPr>
                <w:color w:val="000000" w:themeColor="text1"/>
              </w:rPr>
              <w:t>——</w:t>
            </w:r>
          </w:p>
        </w:tc>
        <w:tc>
          <w:tcPr>
            <w:tcW w:w="7654" w:type="dxa"/>
            <w:gridSpan w:val="3"/>
          </w:tcPr>
          <w:p w:rsidR="009136B5" w:rsidRDefault="00000000">
            <w:pPr>
              <w:pStyle w:val="220"/>
              <w:adjustRightInd w:val="0"/>
              <w:snapToGrid w:val="0"/>
              <w:rPr>
                <w:color w:val="000000" w:themeColor="text1"/>
              </w:rPr>
            </w:pPr>
            <w:r>
              <w:rPr>
                <w:rFonts w:hint="eastAsia"/>
                <w:color w:val="000000" w:themeColor="text1"/>
              </w:rPr>
              <w:t>开挖面以下桩的实际入土深度（</w:t>
            </w:r>
            <w:r>
              <w:rPr>
                <w:rFonts w:hint="eastAsia"/>
                <w:color w:val="000000" w:themeColor="text1"/>
              </w:rPr>
              <w:t>m</w:t>
            </w:r>
            <w:r>
              <w:rPr>
                <w:rFonts w:hint="eastAsia"/>
                <w:color w:val="000000" w:themeColor="text1"/>
              </w:rPr>
              <w:t>）；</w:t>
            </w:r>
          </w:p>
        </w:tc>
      </w:tr>
      <w:tr w:rsidR="009136B5">
        <w:tblPrEx>
          <w:tblCellMar>
            <w:left w:w="0" w:type="dxa"/>
            <w:right w:w="57" w:type="dxa"/>
          </w:tblCellMar>
        </w:tblPrEx>
        <w:tc>
          <w:tcPr>
            <w:tcW w:w="993" w:type="dxa"/>
          </w:tcPr>
          <w:p w:rsidR="009136B5" w:rsidRDefault="00000000">
            <w:pPr>
              <w:pStyle w:val="220"/>
              <w:adjustRightInd w:val="0"/>
              <w:snapToGrid w:val="0"/>
              <w:jc w:val="right"/>
              <w:rPr>
                <w:i/>
                <w:iCs/>
                <w:color w:val="000000" w:themeColor="text1"/>
              </w:rPr>
            </w:pPr>
            <w:r>
              <w:rPr>
                <w:i/>
                <w:iCs/>
                <w:color w:val="000000" w:themeColor="text1"/>
              </w:rPr>
              <w:t>h</w:t>
            </w:r>
            <w:r>
              <w:rPr>
                <w:rFonts w:hint="eastAsia"/>
                <w:i/>
                <w:iCs/>
                <w:color w:val="000000" w:themeColor="text1"/>
                <w:vertAlign w:val="subscript"/>
              </w:rPr>
              <w:t>0</w:t>
            </w:r>
          </w:p>
        </w:tc>
        <w:tc>
          <w:tcPr>
            <w:tcW w:w="708" w:type="dxa"/>
          </w:tcPr>
          <w:p w:rsidR="009136B5" w:rsidRDefault="00000000">
            <w:pPr>
              <w:pStyle w:val="220"/>
              <w:adjustRightInd w:val="0"/>
              <w:snapToGrid w:val="0"/>
              <w:rPr>
                <w:color w:val="000000" w:themeColor="text1"/>
              </w:rPr>
            </w:pPr>
            <w:r>
              <w:rPr>
                <w:color w:val="000000" w:themeColor="text1"/>
              </w:rPr>
              <w:t>——</w:t>
            </w:r>
          </w:p>
        </w:tc>
        <w:tc>
          <w:tcPr>
            <w:tcW w:w="7654" w:type="dxa"/>
            <w:gridSpan w:val="3"/>
          </w:tcPr>
          <w:p w:rsidR="009136B5" w:rsidRDefault="00000000">
            <w:pPr>
              <w:pStyle w:val="220"/>
              <w:adjustRightInd w:val="0"/>
              <w:snapToGrid w:val="0"/>
              <w:rPr>
                <w:color w:val="000000" w:themeColor="text1"/>
              </w:rPr>
            </w:pPr>
            <w:r>
              <w:rPr>
                <w:rFonts w:hint="eastAsia"/>
                <w:color w:val="000000" w:themeColor="text1"/>
              </w:rPr>
              <w:t>开挖面以下桩的临界入土深度（</w:t>
            </w:r>
            <w:r>
              <w:rPr>
                <w:rFonts w:hint="eastAsia"/>
                <w:color w:val="000000" w:themeColor="text1"/>
              </w:rPr>
              <w:t>m</w:t>
            </w:r>
            <w:r>
              <w:rPr>
                <w:rFonts w:hint="eastAsia"/>
                <w:color w:val="000000" w:themeColor="text1"/>
              </w:rPr>
              <w:t>）；</w:t>
            </w:r>
          </w:p>
        </w:tc>
      </w:tr>
      <w:tr w:rsidR="009136B5">
        <w:tblPrEx>
          <w:tblCellMar>
            <w:left w:w="0" w:type="dxa"/>
            <w:right w:w="57" w:type="dxa"/>
          </w:tblCellMar>
        </w:tblPrEx>
        <w:tc>
          <w:tcPr>
            <w:tcW w:w="993" w:type="dxa"/>
          </w:tcPr>
          <w:p w:rsidR="009136B5" w:rsidRDefault="00000000">
            <w:pPr>
              <w:pStyle w:val="220"/>
              <w:adjustRightInd w:val="0"/>
              <w:snapToGrid w:val="0"/>
              <w:jc w:val="right"/>
              <w:rPr>
                <w:i/>
                <w:iCs/>
                <w:color w:val="000000" w:themeColor="text1"/>
              </w:rPr>
            </w:pPr>
            <w:r>
              <w:rPr>
                <w:rFonts w:hint="eastAsia"/>
                <w:i/>
                <w:iCs/>
                <w:color w:val="000000" w:themeColor="text1"/>
              </w:rPr>
              <w:t>T</w:t>
            </w:r>
          </w:p>
        </w:tc>
        <w:tc>
          <w:tcPr>
            <w:tcW w:w="708" w:type="dxa"/>
            <w:vAlign w:val="center"/>
          </w:tcPr>
          <w:p w:rsidR="009136B5" w:rsidRDefault="00000000">
            <w:pPr>
              <w:pStyle w:val="220"/>
              <w:adjustRightInd w:val="0"/>
              <w:snapToGrid w:val="0"/>
              <w:rPr>
                <w:color w:val="000000" w:themeColor="text1"/>
              </w:rPr>
            </w:pPr>
            <w:r>
              <w:rPr>
                <w:color w:val="000000" w:themeColor="text1"/>
              </w:rPr>
              <w:t>——</w:t>
            </w:r>
          </w:p>
        </w:tc>
        <w:tc>
          <w:tcPr>
            <w:tcW w:w="7654" w:type="dxa"/>
            <w:gridSpan w:val="3"/>
          </w:tcPr>
          <w:p w:rsidR="009136B5" w:rsidRDefault="00000000">
            <w:pPr>
              <w:pStyle w:val="220"/>
              <w:adjustRightInd w:val="0"/>
              <w:snapToGrid w:val="0"/>
              <w:rPr>
                <w:color w:val="000000" w:themeColor="text1"/>
              </w:rPr>
            </w:pPr>
            <w:r>
              <w:rPr>
                <w:rFonts w:hint="eastAsia"/>
                <w:color w:val="000000" w:themeColor="text1"/>
              </w:rPr>
              <w:t>桩土作用特征系数（</w:t>
            </w:r>
            <w:r>
              <w:rPr>
                <w:rFonts w:hint="eastAsia"/>
                <w:color w:val="000000" w:themeColor="text1"/>
              </w:rPr>
              <w:t>m</w:t>
            </w:r>
            <w:r>
              <w:rPr>
                <w:rFonts w:hint="eastAsia"/>
                <w:color w:val="000000" w:themeColor="text1"/>
              </w:rPr>
              <w:t>）；</w:t>
            </w:r>
          </w:p>
        </w:tc>
      </w:tr>
      <w:tr w:rsidR="009136B5">
        <w:tblPrEx>
          <w:tblCellMar>
            <w:left w:w="0" w:type="dxa"/>
            <w:right w:w="57" w:type="dxa"/>
          </w:tblCellMar>
        </w:tblPrEx>
        <w:tc>
          <w:tcPr>
            <w:tcW w:w="993" w:type="dxa"/>
          </w:tcPr>
          <w:p w:rsidR="009136B5" w:rsidRDefault="00000000">
            <w:pPr>
              <w:pStyle w:val="220"/>
              <w:widowControl w:val="0"/>
              <w:adjustRightInd w:val="0"/>
              <w:snapToGrid w:val="0"/>
              <w:jc w:val="right"/>
              <w:rPr>
                <w:color w:val="000000" w:themeColor="text1"/>
              </w:rPr>
            </w:pPr>
            <w:r>
              <w:rPr>
                <w:i/>
                <w:iCs/>
                <w:color w:val="000000" w:themeColor="text1"/>
              </w:rPr>
              <w:t>μ</w:t>
            </w:r>
            <w:r>
              <w:rPr>
                <w:rFonts w:hint="eastAsia"/>
                <w:color w:val="000000" w:themeColor="text1"/>
                <w:vertAlign w:val="subscript"/>
              </w:rPr>
              <w:t>1</w:t>
            </w:r>
          </w:p>
        </w:tc>
        <w:tc>
          <w:tcPr>
            <w:tcW w:w="708" w:type="dxa"/>
          </w:tcPr>
          <w:p w:rsidR="009136B5" w:rsidRDefault="00000000">
            <w:pPr>
              <w:pStyle w:val="220"/>
              <w:widowControl w:val="0"/>
              <w:adjustRightInd w:val="0"/>
              <w:snapToGrid w:val="0"/>
              <w:rPr>
                <w:color w:val="000000" w:themeColor="text1"/>
              </w:rPr>
            </w:pPr>
            <w:r>
              <w:rPr>
                <w:color w:val="000000" w:themeColor="text1"/>
              </w:rPr>
              <w:t>——</w:t>
            </w:r>
          </w:p>
        </w:tc>
        <w:tc>
          <w:tcPr>
            <w:tcW w:w="7654" w:type="dxa"/>
            <w:gridSpan w:val="3"/>
          </w:tcPr>
          <w:p w:rsidR="009136B5" w:rsidRDefault="00000000">
            <w:pPr>
              <w:pStyle w:val="220"/>
              <w:widowControl w:val="0"/>
              <w:adjustRightInd w:val="0"/>
              <w:snapToGrid w:val="0"/>
              <w:rPr>
                <w:color w:val="000000" w:themeColor="text1"/>
              </w:rPr>
            </w:pPr>
            <w:r>
              <w:rPr>
                <w:rFonts w:hint="eastAsia"/>
                <w:color w:val="000000" w:themeColor="text1"/>
              </w:rPr>
              <w:t>计算长度系数：当桩顶为铰接时取</w:t>
            </w:r>
            <w:r>
              <w:rPr>
                <w:rFonts w:hint="eastAsia"/>
                <w:color w:val="000000" w:themeColor="text1"/>
              </w:rPr>
              <w:t>0.7</w:t>
            </w:r>
            <w:r>
              <w:rPr>
                <w:rFonts w:hint="eastAsia"/>
                <w:color w:val="000000" w:themeColor="text1"/>
              </w:rPr>
              <w:t>；当桩顶为固接时取</w:t>
            </w:r>
            <w:r>
              <w:rPr>
                <w:rFonts w:hint="eastAsia"/>
                <w:color w:val="000000" w:themeColor="text1"/>
              </w:rPr>
              <w:t>0.5</w:t>
            </w:r>
            <w:r>
              <w:rPr>
                <w:rFonts w:hint="eastAsia"/>
                <w:color w:val="000000" w:themeColor="text1"/>
              </w:rPr>
              <w:t>；</w:t>
            </w:r>
          </w:p>
        </w:tc>
      </w:tr>
      <w:tr w:rsidR="009136B5">
        <w:tblPrEx>
          <w:tblCellMar>
            <w:left w:w="0" w:type="dxa"/>
            <w:right w:w="57" w:type="dxa"/>
          </w:tblCellMar>
        </w:tblPrEx>
        <w:tc>
          <w:tcPr>
            <w:tcW w:w="993" w:type="dxa"/>
          </w:tcPr>
          <w:p w:rsidR="009136B5" w:rsidRDefault="00000000">
            <w:pPr>
              <w:pStyle w:val="220"/>
              <w:widowControl w:val="0"/>
              <w:adjustRightInd w:val="0"/>
              <w:snapToGrid w:val="0"/>
              <w:jc w:val="right"/>
              <w:rPr>
                <w:i/>
                <w:iCs/>
                <w:color w:val="000000" w:themeColor="text1"/>
              </w:rPr>
            </w:pPr>
            <w:r>
              <w:rPr>
                <w:i/>
                <w:iCs/>
                <w:color w:val="000000" w:themeColor="text1"/>
                <w:position w:val="-10"/>
              </w:rPr>
              <w:object w:dxaOrig="247" w:dyaOrig="322">
                <v:shape id="_x0000_i1057" type="#_x0000_t75" style="width:11.9pt;height:15.65pt" o:ole="">
                  <v:imagedata r:id="rId93" o:title=""/>
                </v:shape>
                <o:OLEObject Type="Embed" ProgID="Equation.DSMT4" ShapeID="_x0000_i1057" DrawAspect="Content" ObjectID="_1735132835" r:id="rId94"/>
              </w:object>
            </w:r>
          </w:p>
        </w:tc>
        <w:tc>
          <w:tcPr>
            <w:tcW w:w="708" w:type="dxa"/>
          </w:tcPr>
          <w:p w:rsidR="009136B5" w:rsidRDefault="00000000">
            <w:pPr>
              <w:pStyle w:val="220"/>
              <w:widowControl w:val="0"/>
              <w:adjustRightInd w:val="0"/>
              <w:snapToGrid w:val="0"/>
              <w:rPr>
                <w:color w:val="000000" w:themeColor="text1"/>
              </w:rPr>
            </w:pPr>
            <w:r>
              <w:rPr>
                <w:color w:val="000000" w:themeColor="text1"/>
              </w:rPr>
              <w:t>——</w:t>
            </w:r>
          </w:p>
        </w:tc>
        <w:tc>
          <w:tcPr>
            <w:tcW w:w="7654" w:type="dxa"/>
            <w:gridSpan w:val="3"/>
          </w:tcPr>
          <w:p w:rsidR="009136B5" w:rsidRDefault="00000000">
            <w:pPr>
              <w:pStyle w:val="220"/>
              <w:widowControl w:val="0"/>
              <w:adjustRightInd w:val="0"/>
              <w:snapToGrid w:val="0"/>
              <w:rPr>
                <w:color w:val="000000" w:themeColor="text1"/>
              </w:rPr>
            </w:pPr>
            <w:r>
              <w:rPr>
                <w:rFonts w:hint="eastAsia"/>
                <w:color w:val="000000" w:themeColor="text1"/>
              </w:rPr>
              <w:t>考虑基坑挡墙侧向位移影响的计算长度放大系数，可取</w:t>
            </w:r>
            <w:r>
              <w:rPr>
                <w:i/>
                <w:iCs/>
                <w:color w:val="000000" w:themeColor="text1"/>
                <w:position w:val="-10"/>
              </w:rPr>
              <w:object w:dxaOrig="634" w:dyaOrig="322">
                <v:shape id="_x0000_i1058" type="#_x0000_t75" style="width:31.95pt;height:15.65pt" o:ole="">
                  <v:imagedata r:id="rId95" o:title=""/>
                </v:shape>
                <o:OLEObject Type="Embed" ProgID="Equation.DSMT4" ShapeID="_x0000_i1058" DrawAspect="Content" ObjectID="_1735132836" r:id="rId96"/>
              </w:object>
            </w:r>
            <w:r>
              <w:rPr>
                <w:rFonts w:hint="eastAsia"/>
                <w:iCs/>
                <w:color w:val="000000" w:themeColor="text1"/>
              </w:rPr>
              <w:t>；</w:t>
            </w:r>
          </w:p>
        </w:tc>
      </w:tr>
      <w:tr w:rsidR="009136B5">
        <w:tblPrEx>
          <w:tblCellMar>
            <w:left w:w="0" w:type="dxa"/>
            <w:right w:w="57" w:type="dxa"/>
          </w:tblCellMar>
        </w:tblPrEx>
        <w:tc>
          <w:tcPr>
            <w:tcW w:w="993" w:type="dxa"/>
          </w:tcPr>
          <w:p w:rsidR="009136B5" w:rsidRDefault="00000000">
            <w:pPr>
              <w:pStyle w:val="220"/>
              <w:widowControl w:val="0"/>
              <w:adjustRightInd w:val="0"/>
              <w:snapToGrid w:val="0"/>
              <w:jc w:val="right"/>
              <w:rPr>
                <w:color w:val="000000" w:themeColor="text1"/>
              </w:rPr>
            </w:pPr>
            <w:proofErr w:type="spellStart"/>
            <w:r>
              <w:rPr>
                <w:rFonts w:hint="eastAsia"/>
                <w:i/>
                <w:iCs/>
                <w:color w:val="000000" w:themeColor="text1"/>
              </w:rPr>
              <w:t>E</w:t>
            </w:r>
            <w:r>
              <w:rPr>
                <w:rFonts w:hint="eastAsia"/>
                <w:color w:val="000000" w:themeColor="text1"/>
                <w:vertAlign w:val="subscript"/>
              </w:rPr>
              <w:t>c</w:t>
            </w:r>
            <w:proofErr w:type="spellEnd"/>
          </w:p>
        </w:tc>
        <w:tc>
          <w:tcPr>
            <w:tcW w:w="708" w:type="dxa"/>
            <w:vAlign w:val="center"/>
          </w:tcPr>
          <w:p w:rsidR="009136B5" w:rsidRDefault="00000000">
            <w:pPr>
              <w:pStyle w:val="220"/>
              <w:widowControl w:val="0"/>
              <w:adjustRightInd w:val="0"/>
              <w:snapToGrid w:val="0"/>
              <w:rPr>
                <w:color w:val="000000" w:themeColor="text1"/>
              </w:rPr>
            </w:pPr>
            <w:r>
              <w:rPr>
                <w:color w:val="000000" w:themeColor="text1"/>
              </w:rPr>
              <w:t>——</w:t>
            </w:r>
          </w:p>
        </w:tc>
        <w:tc>
          <w:tcPr>
            <w:tcW w:w="7654" w:type="dxa"/>
            <w:gridSpan w:val="3"/>
          </w:tcPr>
          <w:p w:rsidR="009136B5" w:rsidRDefault="00000000">
            <w:pPr>
              <w:pStyle w:val="220"/>
              <w:widowControl w:val="0"/>
              <w:adjustRightInd w:val="0"/>
              <w:snapToGrid w:val="0"/>
              <w:rPr>
                <w:color w:val="000000" w:themeColor="text1"/>
              </w:rPr>
            </w:pPr>
            <w:r>
              <w:rPr>
                <w:rFonts w:hint="eastAsia"/>
                <w:color w:val="000000" w:themeColor="text1"/>
              </w:rPr>
              <w:t>桩的弹性模量（</w:t>
            </w:r>
            <w:r>
              <w:rPr>
                <w:rFonts w:hint="eastAsia"/>
                <w:color w:val="000000" w:themeColor="text1"/>
              </w:rPr>
              <w:t>N/m</w:t>
            </w:r>
            <w:r>
              <w:rPr>
                <w:rFonts w:hint="eastAsia"/>
                <w:color w:val="000000" w:themeColor="text1"/>
                <w:vertAlign w:val="superscript"/>
              </w:rPr>
              <w:t>2</w:t>
            </w:r>
            <w:r>
              <w:rPr>
                <w:rFonts w:hint="eastAsia"/>
                <w:color w:val="000000" w:themeColor="text1"/>
              </w:rPr>
              <w:t>）；</w:t>
            </w:r>
          </w:p>
        </w:tc>
      </w:tr>
      <w:tr w:rsidR="009136B5">
        <w:tblPrEx>
          <w:tblCellMar>
            <w:left w:w="0" w:type="dxa"/>
            <w:right w:w="57" w:type="dxa"/>
          </w:tblCellMar>
        </w:tblPrEx>
        <w:tc>
          <w:tcPr>
            <w:tcW w:w="993" w:type="dxa"/>
          </w:tcPr>
          <w:p w:rsidR="009136B5" w:rsidRDefault="00000000">
            <w:pPr>
              <w:pStyle w:val="220"/>
              <w:adjustRightInd w:val="0"/>
              <w:snapToGrid w:val="0"/>
              <w:jc w:val="right"/>
              <w:rPr>
                <w:color w:val="000000" w:themeColor="text1"/>
              </w:rPr>
            </w:pPr>
            <w:r>
              <w:rPr>
                <w:rFonts w:hint="eastAsia"/>
                <w:i/>
                <w:iCs/>
                <w:color w:val="000000" w:themeColor="text1"/>
                <w:sz w:val="24"/>
              </w:rPr>
              <w:t>I</w:t>
            </w:r>
          </w:p>
        </w:tc>
        <w:tc>
          <w:tcPr>
            <w:tcW w:w="708" w:type="dxa"/>
            <w:vAlign w:val="center"/>
          </w:tcPr>
          <w:p w:rsidR="009136B5" w:rsidRDefault="00000000">
            <w:pPr>
              <w:pStyle w:val="220"/>
              <w:adjustRightInd w:val="0"/>
              <w:snapToGrid w:val="0"/>
              <w:rPr>
                <w:color w:val="000000" w:themeColor="text1"/>
              </w:rPr>
            </w:pPr>
            <w:r>
              <w:rPr>
                <w:color w:val="000000" w:themeColor="text1"/>
              </w:rPr>
              <w:t>——</w:t>
            </w:r>
          </w:p>
        </w:tc>
        <w:tc>
          <w:tcPr>
            <w:tcW w:w="7654" w:type="dxa"/>
            <w:gridSpan w:val="3"/>
          </w:tcPr>
          <w:p w:rsidR="009136B5" w:rsidRDefault="00000000">
            <w:pPr>
              <w:pStyle w:val="220"/>
              <w:adjustRightInd w:val="0"/>
              <w:snapToGrid w:val="0"/>
              <w:rPr>
                <w:color w:val="000000" w:themeColor="text1"/>
              </w:rPr>
            </w:pPr>
            <w:r>
              <w:rPr>
                <w:rFonts w:hint="eastAsia"/>
                <w:color w:val="000000" w:themeColor="text1"/>
              </w:rPr>
              <w:t>桩的惯性矩（</w:t>
            </w:r>
            <w:r>
              <w:rPr>
                <w:rFonts w:hint="eastAsia"/>
                <w:color w:val="000000" w:themeColor="text1"/>
              </w:rPr>
              <w:t>m</w:t>
            </w:r>
            <w:r>
              <w:rPr>
                <w:rFonts w:hint="eastAsia"/>
                <w:color w:val="000000" w:themeColor="text1"/>
                <w:vertAlign w:val="superscript"/>
              </w:rPr>
              <w:t>4</w:t>
            </w:r>
            <w:r>
              <w:rPr>
                <w:rFonts w:hint="eastAsia"/>
                <w:color w:val="000000" w:themeColor="text1"/>
              </w:rPr>
              <w:t>）；</w:t>
            </w:r>
          </w:p>
        </w:tc>
      </w:tr>
      <w:tr w:rsidR="009136B5">
        <w:tblPrEx>
          <w:tblCellMar>
            <w:left w:w="0" w:type="dxa"/>
            <w:right w:w="57" w:type="dxa"/>
          </w:tblCellMar>
        </w:tblPrEx>
        <w:tc>
          <w:tcPr>
            <w:tcW w:w="993" w:type="dxa"/>
          </w:tcPr>
          <w:p w:rsidR="009136B5" w:rsidRDefault="00000000">
            <w:pPr>
              <w:pStyle w:val="220"/>
              <w:adjustRightInd w:val="0"/>
              <w:snapToGrid w:val="0"/>
              <w:jc w:val="right"/>
              <w:rPr>
                <w:color w:val="000000" w:themeColor="text1"/>
              </w:rPr>
            </w:pPr>
            <w:r>
              <w:rPr>
                <w:rFonts w:hint="eastAsia"/>
                <w:i/>
                <w:iCs/>
                <w:color w:val="000000" w:themeColor="text1"/>
                <w:sz w:val="24"/>
              </w:rPr>
              <w:t>m</w:t>
            </w:r>
          </w:p>
        </w:tc>
        <w:tc>
          <w:tcPr>
            <w:tcW w:w="708" w:type="dxa"/>
          </w:tcPr>
          <w:p w:rsidR="009136B5" w:rsidRDefault="00000000">
            <w:pPr>
              <w:pStyle w:val="220"/>
              <w:adjustRightInd w:val="0"/>
              <w:snapToGrid w:val="0"/>
              <w:rPr>
                <w:color w:val="000000" w:themeColor="text1"/>
              </w:rPr>
            </w:pPr>
            <w:r>
              <w:rPr>
                <w:color w:val="000000" w:themeColor="text1"/>
              </w:rPr>
              <w:t>——</w:t>
            </w:r>
          </w:p>
        </w:tc>
        <w:tc>
          <w:tcPr>
            <w:tcW w:w="7654" w:type="dxa"/>
            <w:gridSpan w:val="3"/>
          </w:tcPr>
          <w:p w:rsidR="009136B5" w:rsidRDefault="00000000">
            <w:pPr>
              <w:pStyle w:val="220"/>
              <w:adjustRightInd w:val="0"/>
              <w:snapToGrid w:val="0"/>
              <w:rPr>
                <w:color w:val="000000" w:themeColor="text1"/>
              </w:rPr>
            </w:pPr>
            <w:r>
              <w:rPr>
                <w:rFonts w:hint="eastAsia"/>
                <w:color w:val="000000" w:themeColor="text1"/>
              </w:rPr>
              <w:t>土体水平地基反力系数的比例系数（</w:t>
            </w:r>
            <w:r>
              <w:rPr>
                <w:rFonts w:hint="eastAsia"/>
                <w:color w:val="000000" w:themeColor="text1"/>
              </w:rPr>
              <w:t>N/m</w:t>
            </w:r>
            <w:r>
              <w:rPr>
                <w:rFonts w:hint="eastAsia"/>
                <w:color w:val="000000" w:themeColor="text1"/>
                <w:vertAlign w:val="superscript"/>
              </w:rPr>
              <w:t>4</w:t>
            </w:r>
            <w:r>
              <w:rPr>
                <w:rFonts w:hint="eastAsia"/>
                <w:color w:val="000000" w:themeColor="text1"/>
              </w:rPr>
              <w:t>）；</w:t>
            </w:r>
          </w:p>
        </w:tc>
      </w:tr>
      <w:tr w:rsidR="009136B5">
        <w:tblPrEx>
          <w:tblCellMar>
            <w:left w:w="0" w:type="dxa"/>
            <w:right w:w="57" w:type="dxa"/>
          </w:tblCellMar>
        </w:tblPrEx>
        <w:tc>
          <w:tcPr>
            <w:tcW w:w="993" w:type="dxa"/>
          </w:tcPr>
          <w:p w:rsidR="009136B5" w:rsidRDefault="00000000">
            <w:pPr>
              <w:pStyle w:val="220"/>
              <w:adjustRightInd w:val="0"/>
              <w:snapToGrid w:val="0"/>
              <w:jc w:val="right"/>
              <w:rPr>
                <w:color w:val="000000" w:themeColor="text1"/>
              </w:rPr>
            </w:pPr>
            <w:r>
              <w:rPr>
                <w:rFonts w:hint="eastAsia"/>
                <w:i/>
                <w:iCs/>
                <w:color w:val="000000" w:themeColor="text1"/>
                <w:sz w:val="24"/>
              </w:rPr>
              <w:t>b</w:t>
            </w:r>
            <w:r>
              <w:rPr>
                <w:rFonts w:hint="eastAsia"/>
                <w:color w:val="000000" w:themeColor="text1"/>
                <w:sz w:val="24"/>
                <w:vertAlign w:val="subscript"/>
              </w:rPr>
              <w:t>0</w:t>
            </w:r>
          </w:p>
        </w:tc>
        <w:tc>
          <w:tcPr>
            <w:tcW w:w="708" w:type="dxa"/>
          </w:tcPr>
          <w:p w:rsidR="009136B5" w:rsidRDefault="00000000">
            <w:pPr>
              <w:pStyle w:val="220"/>
              <w:adjustRightInd w:val="0"/>
              <w:snapToGrid w:val="0"/>
              <w:rPr>
                <w:color w:val="000000" w:themeColor="text1"/>
              </w:rPr>
            </w:pPr>
            <w:r>
              <w:rPr>
                <w:color w:val="000000" w:themeColor="text1"/>
              </w:rPr>
              <w:t>——</w:t>
            </w:r>
          </w:p>
        </w:tc>
        <w:tc>
          <w:tcPr>
            <w:tcW w:w="7654" w:type="dxa"/>
            <w:gridSpan w:val="3"/>
          </w:tcPr>
          <w:p w:rsidR="009136B5" w:rsidRDefault="00000000">
            <w:pPr>
              <w:pStyle w:val="220"/>
              <w:adjustRightInd w:val="0"/>
              <w:snapToGrid w:val="0"/>
              <w:rPr>
                <w:color w:val="000000" w:themeColor="text1"/>
              </w:rPr>
            </w:pPr>
            <w:r>
              <w:rPr>
                <w:rFonts w:hint="eastAsia"/>
                <w:color w:val="000000" w:themeColor="text1"/>
              </w:rPr>
              <w:t>桩身计算宽度，通常取桩身直径的</w:t>
            </w:r>
            <w:r>
              <w:rPr>
                <w:rFonts w:hint="eastAsia"/>
                <w:color w:val="000000" w:themeColor="text1"/>
              </w:rPr>
              <w:t>2</w:t>
            </w:r>
            <w:r>
              <w:rPr>
                <w:rFonts w:hint="eastAsia"/>
                <w:color w:val="000000" w:themeColor="text1"/>
              </w:rPr>
              <w:t>倍（</w:t>
            </w:r>
            <w:r>
              <w:rPr>
                <w:rFonts w:hint="eastAsia"/>
                <w:color w:val="000000" w:themeColor="text1"/>
              </w:rPr>
              <w:t>m</w:t>
            </w:r>
            <w:r>
              <w:rPr>
                <w:rFonts w:hint="eastAsia"/>
                <w:color w:val="000000" w:themeColor="text1"/>
              </w:rPr>
              <w:t>）。</w:t>
            </w:r>
          </w:p>
        </w:tc>
      </w:tr>
    </w:tbl>
    <w:p w:rsidR="009136B5" w:rsidRDefault="00000000">
      <w:pPr>
        <w:pStyle w:val="x"/>
        <w:ind w:firstLine="316"/>
      </w:pPr>
      <w:r>
        <w:rPr>
          <w:rFonts w:hint="eastAsia"/>
          <w:b/>
        </w:rPr>
        <w:t>2</w:t>
      </w:r>
      <w:r>
        <w:t xml:space="preserve">  </w:t>
      </w:r>
      <w:r>
        <w:rPr>
          <w:rFonts w:hint="eastAsia"/>
        </w:rPr>
        <w:t>开挖面以下桩的实际入土深度</w:t>
      </w:r>
      <w:r>
        <w:rPr>
          <w:rFonts w:hint="eastAsia"/>
          <w:i/>
          <w:iCs/>
        </w:rPr>
        <w:t>h</w:t>
      </w:r>
      <w:r>
        <w:rPr>
          <w:rFonts w:ascii="宋体" w:hAnsi="宋体" w:hint="eastAsia"/>
        </w:rPr>
        <w:t>＜</w:t>
      </w:r>
      <w:r>
        <w:rPr>
          <w:rFonts w:hint="eastAsia"/>
          <w:i/>
        </w:rPr>
        <w:t>h</w:t>
      </w:r>
      <w:r>
        <w:rPr>
          <w:rFonts w:hint="eastAsia"/>
          <w:vertAlign w:val="subscript"/>
        </w:rPr>
        <w:t>0</w:t>
      </w:r>
      <w:r>
        <w:rPr>
          <w:rFonts w:hint="eastAsia"/>
        </w:rPr>
        <w:t>时：</w:t>
      </w:r>
    </w:p>
    <w:tbl>
      <w:tblPr>
        <w:tblStyle w:val="afa"/>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708"/>
        <w:gridCol w:w="1633"/>
        <w:gridCol w:w="3133"/>
        <w:gridCol w:w="2889"/>
      </w:tblGrid>
      <w:tr w:rsidR="009136B5">
        <w:tc>
          <w:tcPr>
            <w:tcW w:w="3334" w:type="dxa"/>
            <w:gridSpan w:val="3"/>
          </w:tcPr>
          <w:p w:rsidR="009136B5" w:rsidRDefault="009136B5">
            <w:pPr>
              <w:pStyle w:val="x"/>
              <w:ind w:firstLineChars="0" w:firstLine="0"/>
            </w:pPr>
          </w:p>
        </w:tc>
        <w:tc>
          <w:tcPr>
            <w:tcW w:w="3133" w:type="dxa"/>
          </w:tcPr>
          <w:p w:rsidR="009136B5" w:rsidRDefault="00000000">
            <w:pPr>
              <w:pStyle w:val="x"/>
              <w:ind w:firstLineChars="0" w:firstLine="0"/>
              <w:jc w:val="center"/>
            </w:pPr>
            <w:r>
              <w:rPr>
                <w:color w:val="000000" w:themeColor="text1"/>
                <w:position w:val="-10"/>
              </w:rPr>
              <w:object w:dxaOrig="1343" w:dyaOrig="322">
                <v:shape id="_x0000_i1059" type="#_x0000_t75" style="width:67pt;height:15.65pt" o:ole="">
                  <v:imagedata r:id="rId97" o:title=""/>
                </v:shape>
                <o:OLEObject Type="Embed" ProgID="Equation.DSMT4" ShapeID="_x0000_i1059" DrawAspect="Content" ObjectID="_1735132837" r:id="rId98"/>
              </w:object>
            </w:r>
          </w:p>
        </w:tc>
        <w:tc>
          <w:tcPr>
            <w:tcW w:w="2889" w:type="dxa"/>
          </w:tcPr>
          <w:p w:rsidR="009136B5" w:rsidRDefault="00000000">
            <w:pPr>
              <w:pStyle w:val="x"/>
              <w:ind w:firstLineChars="0" w:firstLine="0"/>
              <w:jc w:val="right"/>
            </w:pPr>
            <w:r>
              <w:rPr>
                <w:rFonts w:hint="eastAsia"/>
                <w:color w:val="000000" w:themeColor="text1"/>
                <w:szCs w:val="21"/>
              </w:rPr>
              <w:t>（</w:t>
            </w:r>
            <w:r>
              <w:rPr>
                <w:color w:val="000000" w:themeColor="text1"/>
                <w:szCs w:val="21"/>
              </w:rPr>
              <w:t>4.3.</w:t>
            </w:r>
            <w:r>
              <w:rPr>
                <w:rFonts w:hint="eastAsia"/>
                <w:color w:val="000000" w:themeColor="text1"/>
                <w:szCs w:val="21"/>
              </w:rPr>
              <w:t>1</w:t>
            </w:r>
            <w:r>
              <w:rPr>
                <w:color w:val="000000" w:themeColor="text1"/>
                <w:szCs w:val="21"/>
              </w:rPr>
              <w:t>1</w:t>
            </w:r>
            <w:r>
              <w:rPr>
                <w:rFonts w:hint="eastAsia"/>
                <w:color w:val="000000" w:themeColor="text1"/>
                <w:szCs w:val="21"/>
              </w:rPr>
              <w:t>-</w:t>
            </w:r>
            <w:r>
              <w:rPr>
                <w:color w:val="000000" w:themeColor="text1"/>
                <w:szCs w:val="21"/>
              </w:rPr>
              <w:t>4</w:t>
            </w:r>
            <w:r>
              <w:rPr>
                <w:rFonts w:hint="eastAsia"/>
                <w:color w:val="000000" w:themeColor="text1"/>
                <w:szCs w:val="21"/>
              </w:rPr>
              <w:t>）</w:t>
            </w:r>
          </w:p>
        </w:tc>
      </w:tr>
      <w:tr w:rsidR="009136B5">
        <w:tblPrEx>
          <w:tblCellMar>
            <w:left w:w="0" w:type="dxa"/>
            <w:right w:w="57" w:type="dxa"/>
          </w:tblCellMar>
        </w:tblPrEx>
        <w:tc>
          <w:tcPr>
            <w:tcW w:w="993" w:type="dxa"/>
          </w:tcPr>
          <w:p w:rsidR="009136B5" w:rsidRDefault="00000000">
            <w:pPr>
              <w:pStyle w:val="220"/>
              <w:adjustRightInd w:val="0"/>
              <w:snapToGrid w:val="0"/>
              <w:jc w:val="right"/>
              <w:rPr>
                <w:color w:val="000000" w:themeColor="text1"/>
              </w:rPr>
            </w:pPr>
            <w:r>
              <w:rPr>
                <w:rFonts w:hint="eastAsia"/>
                <w:color w:val="000000" w:themeColor="text1"/>
              </w:rPr>
              <w:t>式中：</w:t>
            </w:r>
            <w:r>
              <w:rPr>
                <w:color w:val="000000" w:themeColor="text1"/>
              </w:rPr>
              <w:t xml:space="preserve">  </w:t>
            </w:r>
            <w:r>
              <w:rPr>
                <w:i/>
                <w:iCs/>
                <w:color w:val="000000" w:themeColor="text1"/>
              </w:rPr>
              <w:t>μ</w:t>
            </w:r>
            <w:r>
              <w:rPr>
                <w:rFonts w:hint="eastAsia"/>
                <w:color w:val="000000" w:themeColor="text1"/>
                <w:vertAlign w:val="subscript"/>
              </w:rPr>
              <w:t>2</w:t>
            </w:r>
          </w:p>
        </w:tc>
        <w:tc>
          <w:tcPr>
            <w:tcW w:w="708" w:type="dxa"/>
          </w:tcPr>
          <w:p w:rsidR="009136B5" w:rsidRDefault="00000000">
            <w:pPr>
              <w:pStyle w:val="220"/>
              <w:adjustRightInd w:val="0"/>
              <w:snapToGrid w:val="0"/>
              <w:ind w:leftChars="-5" w:left="-10" w:firstLineChars="5" w:firstLine="10"/>
              <w:rPr>
                <w:color w:val="000000" w:themeColor="text1"/>
              </w:rPr>
            </w:pPr>
            <w:r>
              <w:rPr>
                <w:color w:val="000000" w:themeColor="text1"/>
              </w:rPr>
              <w:t>——</w:t>
            </w:r>
          </w:p>
        </w:tc>
        <w:tc>
          <w:tcPr>
            <w:tcW w:w="7655" w:type="dxa"/>
            <w:gridSpan w:val="3"/>
          </w:tcPr>
          <w:p w:rsidR="009136B5" w:rsidRDefault="00000000">
            <w:pPr>
              <w:pStyle w:val="220"/>
              <w:adjustRightInd w:val="0"/>
              <w:snapToGrid w:val="0"/>
              <w:rPr>
                <w:color w:val="000000" w:themeColor="text1"/>
              </w:rPr>
            </w:pPr>
            <w:r>
              <w:rPr>
                <w:rFonts w:hint="eastAsia"/>
                <w:color w:val="000000" w:themeColor="text1"/>
              </w:rPr>
              <w:t>计算长度系数：当桩顶为铰接，桩尖未嵌岩时取</w:t>
            </w:r>
            <w:r>
              <w:rPr>
                <w:rFonts w:hint="eastAsia"/>
                <w:color w:val="000000" w:themeColor="text1"/>
              </w:rPr>
              <w:t>1.0</w:t>
            </w:r>
            <w:r>
              <w:rPr>
                <w:rFonts w:hint="eastAsia"/>
                <w:color w:val="000000" w:themeColor="text1"/>
              </w:rPr>
              <w:t>；当桩顶为铰接，桩尖嵌岩时取</w:t>
            </w:r>
            <w:r>
              <w:rPr>
                <w:rFonts w:hint="eastAsia"/>
                <w:color w:val="000000" w:themeColor="text1"/>
              </w:rPr>
              <w:t>0.7</w:t>
            </w:r>
            <w:r>
              <w:rPr>
                <w:rFonts w:hint="eastAsia"/>
                <w:color w:val="000000" w:themeColor="text1"/>
              </w:rPr>
              <w:t>；当桩顶为固接，桩尖未嵌岩时取</w:t>
            </w:r>
            <w:r>
              <w:rPr>
                <w:rFonts w:hint="eastAsia"/>
                <w:color w:val="000000" w:themeColor="text1"/>
              </w:rPr>
              <w:t>0.7</w:t>
            </w:r>
            <w:r>
              <w:rPr>
                <w:rFonts w:hint="eastAsia"/>
                <w:color w:val="000000" w:themeColor="text1"/>
              </w:rPr>
              <w:t>；当桩顶为固接，桩尖嵌岩时取</w:t>
            </w:r>
            <w:r>
              <w:rPr>
                <w:rFonts w:hint="eastAsia"/>
                <w:color w:val="000000" w:themeColor="text1"/>
              </w:rPr>
              <w:t>0.5</w:t>
            </w:r>
            <w:r>
              <w:rPr>
                <w:rFonts w:hint="eastAsia"/>
                <w:color w:val="000000" w:themeColor="text1"/>
              </w:rPr>
              <w:t>；</w:t>
            </w:r>
          </w:p>
        </w:tc>
      </w:tr>
    </w:tbl>
    <w:p w:rsidR="009136B5" w:rsidRDefault="00000000">
      <w:pPr>
        <w:pStyle w:val="xxx"/>
        <w:adjustRightInd w:val="0"/>
        <w:snapToGrid w:val="0"/>
        <w:rPr>
          <w:color w:val="000000" w:themeColor="text1"/>
          <w:lang w:bidi="ar"/>
        </w:rPr>
      </w:pPr>
      <w:r>
        <w:rPr>
          <w:rFonts w:hint="eastAsia"/>
          <w:b/>
          <w:bCs/>
          <w:color w:val="000000" w:themeColor="text1"/>
        </w:rPr>
        <w:t>4.3.12</w:t>
      </w:r>
      <w:r>
        <w:rPr>
          <w:color w:val="000000" w:themeColor="text1"/>
        </w:rPr>
        <w:t xml:space="preserve">  </w:t>
      </w:r>
      <w:r>
        <w:rPr>
          <w:rFonts w:hint="eastAsia"/>
          <w:color w:val="000000" w:themeColor="text1"/>
        </w:rPr>
        <w:t>当</w:t>
      </w:r>
      <w:r>
        <w:rPr>
          <w:color w:val="000000" w:themeColor="text1"/>
        </w:rPr>
        <w:t>托换桩</w:t>
      </w:r>
      <w:r>
        <w:rPr>
          <w:rFonts w:hint="eastAsia"/>
          <w:color w:val="000000" w:themeColor="text1"/>
        </w:rPr>
        <w:t>的桩顶承台和既有建筑原基础与基坑周边挡墙脱开时，开挖面以下桩的实际入土深度</w:t>
      </w:r>
      <w:r>
        <w:rPr>
          <w:rFonts w:ascii="宋体" w:hAnsi="宋体" w:hint="eastAsia"/>
          <w:color w:val="000000" w:themeColor="text1"/>
        </w:rPr>
        <w:t>不应小于临界入土深度</w:t>
      </w:r>
      <w:r>
        <w:rPr>
          <w:rFonts w:hint="eastAsia"/>
          <w:i/>
          <w:color w:val="000000" w:themeColor="text1"/>
        </w:rPr>
        <w:t>h</w:t>
      </w:r>
      <w:r>
        <w:rPr>
          <w:rFonts w:hint="eastAsia"/>
          <w:color w:val="000000" w:themeColor="text1"/>
          <w:vertAlign w:val="subscript"/>
        </w:rPr>
        <w:t>0</w:t>
      </w:r>
      <w:r>
        <w:rPr>
          <w:rFonts w:hint="eastAsia"/>
          <w:color w:val="000000" w:themeColor="text1"/>
        </w:rPr>
        <w:t>，此时</w:t>
      </w:r>
      <w:r>
        <w:rPr>
          <w:color w:val="000000" w:themeColor="text1"/>
        </w:rPr>
        <w:t>桩身压曲计算长度</w:t>
      </w:r>
      <w:r>
        <w:rPr>
          <w:color w:val="000000" w:themeColor="text1"/>
          <w:position w:val="-12"/>
          <w:lang w:bidi="ar"/>
        </w:rPr>
        <w:object w:dxaOrig="204" w:dyaOrig="376">
          <v:shape id="_x0000_i1060" type="#_x0000_t75" style="width:10pt;height:18.8pt" o:ole="">
            <v:imagedata r:id="rId83" o:title=""/>
          </v:shape>
          <o:OLEObject Type="Embed" ProgID="Equation.DSMT4" ShapeID="_x0000_i1060" DrawAspect="Content" ObjectID="_1735132838" r:id="rId99"/>
        </w:object>
      </w:r>
      <w:r>
        <w:rPr>
          <w:rFonts w:hint="eastAsia"/>
          <w:color w:val="000000" w:themeColor="text1"/>
          <w:lang w:bidi="ar"/>
        </w:rPr>
        <w:t>可按下列公式计算确定：</w:t>
      </w: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5"/>
        <w:gridCol w:w="3134"/>
        <w:gridCol w:w="3126"/>
      </w:tblGrid>
      <w:tr w:rsidR="009136B5">
        <w:tc>
          <w:tcPr>
            <w:tcW w:w="3190" w:type="dxa"/>
            <w:vAlign w:val="center"/>
          </w:tcPr>
          <w:p w:rsidR="009136B5" w:rsidRDefault="009136B5">
            <w:pPr>
              <w:pStyle w:val="xxx"/>
              <w:adjustRightInd w:val="0"/>
              <w:snapToGrid w:val="0"/>
              <w:jc w:val="center"/>
              <w:rPr>
                <w:color w:val="000000" w:themeColor="text1"/>
              </w:rPr>
            </w:pPr>
          </w:p>
        </w:tc>
        <w:tc>
          <w:tcPr>
            <w:tcW w:w="3190" w:type="dxa"/>
            <w:vAlign w:val="center"/>
          </w:tcPr>
          <w:p w:rsidR="009136B5" w:rsidRDefault="00000000">
            <w:pPr>
              <w:pStyle w:val="xxx"/>
              <w:adjustRightInd w:val="0"/>
              <w:snapToGrid w:val="0"/>
              <w:jc w:val="center"/>
              <w:rPr>
                <w:color w:val="000000" w:themeColor="text1"/>
              </w:rPr>
            </w:pPr>
            <w:r>
              <w:rPr>
                <w:color w:val="000000" w:themeColor="text1"/>
                <w:position w:val="-10"/>
              </w:rPr>
              <w:object w:dxaOrig="1214" w:dyaOrig="322">
                <v:shape id="_x0000_i1061" type="#_x0000_t75" style="width:60.75pt;height:15.65pt" o:ole="">
                  <v:imagedata r:id="rId100" o:title=""/>
                </v:shape>
                <o:OLEObject Type="Embed" ProgID="Equation.DSMT4" ShapeID="_x0000_i1061" DrawAspect="Content" ObjectID="_1735132839" r:id="rId101"/>
              </w:object>
            </w:r>
          </w:p>
        </w:tc>
        <w:tc>
          <w:tcPr>
            <w:tcW w:w="3191" w:type="dxa"/>
            <w:vAlign w:val="center"/>
          </w:tcPr>
          <w:p w:rsidR="009136B5" w:rsidRDefault="00000000">
            <w:pPr>
              <w:pStyle w:val="xxx"/>
              <w:adjustRightInd w:val="0"/>
              <w:snapToGrid w:val="0"/>
              <w:jc w:val="right"/>
              <w:rPr>
                <w:color w:val="000000" w:themeColor="text1"/>
              </w:rPr>
            </w:pPr>
            <w:r>
              <w:rPr>
                <w:rFonts w:hint="eastAsia"/>
                <w:color w:val="000000" w:themeColor="text1"/>
                <w:szCs w:val="21"/>
              </w:rPr>
              <w:t>（</w:t>
            </w:r>
            <w:r>
              <w:rPr>
                <w:color w:val="000000" w:themeColor="text1"/>
                <w:szCs w:val="21"/>
              </w:rPr>
              <w:t>4.3.</w:t>
            </w:r>
            <w:r>
              <w:rPr>
                <w:rFonts w:hint="eastAsia"/>
                <w:color w:val="000000" w:themeColor="text1"/>
                <w:szCs w:val="21"/>
              </w:rPr>
              <w:t>1</w:t>
            </w:r>
            <w:r>
              <w:rPr>
                <w:color w:val="000000" w:themeColor="text1"/>
                <w:szCs w:val="21"/>
              </w:rPr>
              <w:t>2</w:t>
            </w:r>
            <w:r>
              <w:rPr>
                <w:rFonts w:hint="eastAsia"/>
                <w:color w:val="000000" w:themeColor="text1"/>
                <w:szCs w:val="21"/>
              </w:rPr>
              <w:t>）</w:t>
            </w:r>
          </w:p>
        </w:tc>
      </w:tr>
    </w:tbl>
    <w:p w:rsidR="009136B5" w:rsidRDefault="00000000">
      <w:pPr>
        <w:pStyle w:val="xxx"/>
        <w:adjustRightInd w:val="0"/>
        <w:snapToGrid w:val="0"/>
        <w:ind w:firstLineChars="202" w:firstLine="424"/>
        <w:jc w:val="left"/>
        <w:rPr>
          <w:color w:val="000000" w:themeColor="text1"/>
        </w:rPr>
      </w:pPr>
      <w:r>
        <w:rPr>
          <w:rFonts w:hint="eastAsia"/>
          <w:color w:val="000000" w:themeColor="text1"/>
        </w:rPr>
        <w:t>式中，</w:t>
      </w:r>
      <w:r>
        <w:rPr>
          <w:color w:val="000000" w:themeColor="text1"/>
          <w:position w:val="-10"/>
        </w:rPr>
        <w:object w:dxaOrig="258" w:dyaOrig="322">
          <v:shape id="_x0000_i1062" type="#_x0000_t75" style="width:13.15pt;height:15.65pt" o:ole="">
            <v:imagedata r:id="rId102" o:title=""/>
          </v:shape>
          <o:OLEObject Type="Embed" ProgID="Equation.DSMT4" ShapeID="_x0000_i1062" DrawAspect="Content" ObjectID="_1735132840" r:id="rId103"/>
        </w:object>
      </w:r>
      <w:r>
        <w:rPr>
          <w:rFonts w:hint="eastAsia"/>
          <w:color w:val="000000" w:themeColor="text1"/>
        </w:rPr>
        <w:t>为计算长度系数，当桩顶为铰接时，取</w:t>
      </w:r>
      <w:r>
        <w:rPr>
          <w:color w:val="000000" w:themeColor="text1"/>
          <w:position w:val="-10"/>
        </w:rPr>
        <w:object w:dxaOrig="258" w:dyaOrig="322">
          <v:shape id="_x0000_i1063" type="#_x0000_t75" style="width:13.15pt;height:15.65pt" o:ole="">
            <v:imagedata r:id="rId102" o:title=""/>
          </v:shape>
          <o:OLEObject Type="Embed" ProgID="Equation.DSMT4" ShapeID="_x0000_i1063" DrawAspect="Content" ObjectID="_1735132841" r:id="rId104"/>
        </w:object>
      </w:r>
      <w:r>
        <w:rPr>
          <w:rFonts w:hint="eastAsia"/>
          <w:color w:val="000000" w:themeColor="text1"/>
        </w:rPr>
        <w:t>=2.0</w:t>
      </w:r>
      <w:r>
        <w:rPr>
          <w:rFonts w:hint="eastAsia"/>
          <w:color w:val="000000" w:themeColor="text1"/>
        </w:rPr>
        <w:t>；当桩顶为刚接时，取</w:t>
      </w:r>
      <w:r>
        <w:rPr>
          <w:color w:val="000000" w:themeColor="text1"/>
          <w:position w:val="-10"/>
        </w:rPr>
        <w:object w:dxaOrig="258" w:dyaOrig="322">
          <v:shape id="_x0000_i1064" type="#_x0000_t75" style="width:13.15pt;height:15.65pt" o:ole="">
            <v:imagedata r:id="rId102" o:title=""/>
          </v:shape>
          <o:OLEObject Type="Embed" ProgID="Equation.DSMT4" ShapeID="_x0000_i1064" DrawAspect="Content" ObjectID="_1735132842" r:id="rId105"/>
        </w:object>
      </w:r>
      <w:r>
        <w:rPr>
          <w:rFonts w:hint="eastAsia"/>
          <w:color w:val="000000" w:themeColor="text1"/>
        </w:rPr>
        <w:t>=1.0</w:t>
      </w:r>
      <w:r>
        <w:rPr>
          <w:rFonts w:hint="eastAsia"/>
          <w:color w:val="000000" w:themeColor="text1"/>
        </w:rPr>
        <w:t>。</w:t>
      </w:r>
    </w:p>
    <w:p w:rsidR="009136B5" w:rsidRDefault="00000000">
      <w:pPr>
        <w:pStyle w:val="x"/>
        <w:adjustRightInd w:val="0"/>
        <w:snapToGrid w:val="0"/>
        <w:ind w:firstLineChars="0" w:firstLine="0"/>
        <w:rPr>
          <w:color w:val="000000" w:themeColor="text1"/>
        </w:rPr>
      </w:pPr>
      <w:r>
        <w:rPr>
          <w:rFonts w:hint="eastAsia"/>
          <w:b/>
          <w:bCs/>
          <w:color w:val="000000" w:themeColor="text1"/>
        </w:rPr>
        <w:t>4.3.13</w:t>
      </w:r>
      <w:r>
        <w:rPr>
          <w:color w:val="000000" w:themeColor="text1"/>
        </w:rPr>
        <w:t xml:space="preserve">  </w:t>
      </w:r>
      <w:r>
        <w:rPr>
          <w:rFonts w:hint="eastAsia"/>
          <w:color w:val="000000" w:themeColor="text1"/>
        </w:rPr>
        <w:t>当地下增层的层数为</w:t>
      </w:r>
      <w:r>
        <w:rPr>
          <w:rFonts w:hint="eastAsia"/>
          <w:color w:val="000000" w:themeColor="text1"/>
        </w:rPr>
        <w:t>2</w:t>
      </w:r>
      <w:r>
        <w:rPr>
          <w:rFonts w:hint="eastAsia"/>
          <w:color w:val="000000" w:themeColor="text1"/>
        </w:rPr>
        <w:t>层或多于</w:t>
      </w:r>
      <w:r>
        <w:rPr>
          <w:rFonts w:hint="eastAsia"/>
          <w:color w:val="000000" w:themeColor="text1"/>
        </w:rPr>
        <w:t>2</w:t>
      </w:r>
      <w:r>
        <w:rPr>
          <w:rFonts w:hint="eastAsia"/>
          <w:color w:val="000000" w:themeColor="text1"/>
        </w:rPr>
        <w:t>层时，宜先逆作施工地下室水平梁板结构，此时，托换桩的</w:t>
      </w:r>
      <w:r>
        <w:rPr>
          <w:color w:val="000000" w:themeColor="text1"/>
        </w:rPr>
        <w:t>桩身压曲计算长度</w:t>
      </w:r>
      <w:r>
        <w:rPr>
          <w:color w:val="000000" w:themeColor="text1"/>
          <w:position w:val="-12"/>
          <w:lang w:bidi="ar"/>
        </w:rPr>
        <w:object w:dxaOrig="204" w:dyaOrig="376">
          <v:shape id="_x0000_i1065" type="#_x0000_t75" style="width:10pt;height:18.8pt" o:ole="">
            <v:imagedata r:id="rId83" o:title=""/>
          </v:shape>
          <o:OLEObject Type="Embed" ProgID="Equation.DSMT4" ShapeID="_x0000_i1065" DrawAspect="Content" ObjectID="_1735132843" r:id="rId106"/>
        </w:object>
      </w:r>
      <w:r>
        <w:rPr>
          <w:rFonts w:hint="eastAsia"/>
          <w:color w:val="000000" w:themeColor="text1"/>
          <w:lang w:bidi="ar"/>
        </w:rPr>
        <w:t>可按下列公式计算确定：</w:t>
      </w:r>
    </w:p>
    <w:p w:rsidR="009136B5" w:rsidRDefault="00000000">
      <w:pPr>
        <w:pStyle w:val="x"/>
        <w:ind w:firstLine="316"/>
      </w:pPr>
      <w:r>
        <w:rPr>
          <w:rFonts w:hint="eastAsia"/>
          <w:b/>
        </w:rPr>
        <w:t>1</w:t>
      </w:r>
      <w:r>
        <w:t xml:space="preserve">  </w:t>
      </w:r>
      <w:r>
        <w:rPr>
          <w:rFonts w:hint="eastAsia"/>
        </w:rPr>
        <w:t>桩顶承台与水平结构之间、水平结构与水平结构之间的托换桩：</w:t>
      </w: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9"/>
        <w:gridCol w:w="3127"/>
        <w:gridCol w:w="3129"/>
      </w:tblGrid>
      <w:tr w:rsidR="009136B5">
        <w:tc>
          <w:tcPr>
            <w:tcW w:w="3190" w:type="dxa"/>
            <w:vAlign w:val="center"/>
          </w:tcPr>
          <w:p w:rsidR="009136B5" w:rsidRDefault="009136B5">
            <w:pPr>
              <w:pStyle w:val="xxx"/>
              <w:adjustRightInd w:val="0"/>
              <w:snapToGrid w:val="0"/>
              <w:jc w:val="center"/>
              <w:rPr>
                <w:color w:val="000000" w:themeColor="text1"/>
              </w:rPr>
            </w:pPr>
          </w:p>
        </w:tc>
        <w:tc>
          <w:tcPr>
            <w:tcW w:w="3190" w:type="dxa"/>
            <w:vAlign w:val="center"/>
          </w:tcPr>
          <w:p w:rsidR="009136B5" w:rsidRDefault="00000000">
            <w:pPr>
              <w:pStyle w:val="xxx"/>
              <w:adjustRightInd w:val="0"/>
              <w:snapToGrid w:val="0"/>
              <w:jc w:val="center"/>
              <w:rPr>
                <w:color w:val="000000" w:themeColor="text1"/>
              </w:rPr>
            </w:pPr>
            <w:r>
              <w:rPr>
                <w:color w:val="000000" w:themeColor="text1"/>
                <w:position w:val="-10"/>
              </w:rPr>
              <w:object w:dxaOrig="903" w:dyaOrig="322">
                <v:shape id="_x0000_i1066" type="#_x0000_t75" style="width:45.1pt;height:15.65pt" o:ole="">
                  <v:imagedata r:id="rId107" o:title=""/>
                </v:shape>
                <o:OLEObject Type="Embed" ProgID="Equation.DSMT4" ShapeID="_x0000_i1066" DrawAspect="Content" ObjectID="_1735132844" r:id="rId108"/>
              </w:object>
            </w:r>
          </w:p>
        </w:tc>
        <w:tc>
          <w:tcPr>
            <w:tcW w:w="3191" w:type="dxa"/>
            <w:vAlign w:val="center"/>
          </w:tcPr>
          <w:p w:rsidR="009136B5" w:rsidRDefault="00000000">
            <w:pPr>
              <w:pStyle w:val="xxx"/>
              <w:adjustRightInd w:val="0"/>
              <w:snapToGrid w:val="0"/>
              <w:jc w:val="right"/>
              <w:rPr>
                <w:color w:val="000000" w:themeColor="text1"/>
              </w:rPr>
            </w:pPr>
            <w:r>
              <w:rPr>
                <w:rFonts w:hint="eastAsia"/>
                <w:color w:val="000000" w:themeColor="text1"/>
                <w:szCs w:val="21"/>
              </w:rPr>
              <w:t>（</w:t>
            </w:r>
            <w:r>
              <w:rPr>
                <w:color w:val="000000" w:themeColor="text1"/>
                <w:szCs w:val="21"/>
              </w:rPr>
              <w:t>4.3.</w:t>
            </w:r>
            <w:r>
              <w:rPr>
                <w:rFonts w:hint="eastAsia"/>
                <w:color w:val="000000" w:themeColor="text1"/>
                <w:szCs w:val="21"/>
              </w:rPr>
              <w:t>1</w:t>
            </w:r>
            <w:r>
              <w:rPr>
                <w:color w:val="000000" w:themeColor="text1"/>
                <w:szCs w:val="21"/>
              </w:rPr>
              <w:t>3</w:t>
            </w:r>
            <w:r>
              <w:rPr>
                <w:rFonts w:hint="eastAsia"/>
                <w:color w:val="000000" w:themeColor="text1"/>
                <w:szCs w:val="21"/>
              </w:rPr>
              <w:t>）</w:t>
            </w:r>
          </w:p>
        </w:tc>
      </w:tr>
    </w:tbl>
    <w:p w:rsidR="009136B5" w:rsidRDefault="00000000">
      <w:pPr>
        <w:pStyle w:val="xxx"/>
        <w:adjustRightInd w:val="0"/>
        <w:snapToGrid w:val="0"/>
        <w:ind w:firstLineChars="150" w:firstLine="315"/>
        <w:rPr>
          <w:color w:val="000000" w:themeColor="text1"/>
        </w:rPr>
      </w:pPr>
      <w:r>
        <w:rPr>
          <w:rFonts w:hint="eastAsia"/>
          <w:color w:val="000000" w:themeColor="text1"/>
        </w:rPr>
        <w:t>式中，</w:t>
      </w:r>
      <w:r>
        <w:rPr>
          <w:color w:val="000000" w:themeColor="text1"/>
          <w:position w:val="-10"/>
        </w:rPr>
        <w:object w:dxaOrig="193" w:dyaOrig="322">
          <v:shape id="_x0000_i1067" type="#_x0000_t75" style="width:9.4pt;height:15.65pt" o:ole="">
            <v:imagedata r:id="rId109" o:title=""/>
          </v:shape>
          <o:OLEObject Type="Embed" ProgID="Equation.DSMT4" ShapeID="_x0000_i1067" DrawAspect="Content" ObjectID="_1735132845" r:id="rId110"/>
        </w:object>
      </w:r>
      <w:r>
        <w:rPr>
          <w:rFonts w:hint="eastAsia"/>
          <w:color w:val="000000" w:themeColor="text1"/>
        </w:rPr>
        <w:t>为上下道水平支撑结构中心线之间的垂直距离。当</w:t>
      </w:r>
      <w:r>
        <w:rPr>
          <w:color w:val="000000" w:themeColor="text1"/>
        </w:rPr>
        <w:t>托换桩</w:t>
      </w:r>
      <w:r>
        <w:rPr>
          <w:rFonts w:hint="eastAsia"/>
          <w:color w:val="000000" w:themeColor="text1"/>
        </w:rPr>
        <w:t>承台和水平梁板结构与基坑周边挡墙连为整体时，取</w:t>
      </w:r>
      <w:r>
        <w:rPr>
          <w:i/>
          <w:iCs/>
          <w:color w:val="000000" w:themeColor="text1"/>
        </w:rPr>
        <w:t>μ</w:t>
      </w:r>
      <w:r>
        <w:rPr>
          <w:color w:val="000000" w:themeColor="text1"/>
          <w:vertAlign w:val="subscript"/>
        </w:rPr>
        <w:t>4</w:t>
      </w:r>
      <w:r>
        <w:rPr>
          <w:rFonts w:hint="eastAsia"/>
          <w:color w:val="000000" w:themeColor="text1"/>
        </w:rPr>
        <w:t>=</w:t>
      </w:r>
      <w:r>
        <w:rPr>
          <w:color w:val="000000" w:themeColor="text1"/>
        </w:rPr>
        <w:t>1.0</w:t>
      </w:r>
      <w:r>
        <w:rPr>
          <w:rFonts w:hint="eastAsia"/>
          <w:color w:val="000000" w:themeColor="text1"/>
        </w:rPr>
        <w:t>，</w:t>
      </w:r>
      <w:r>
        <w:rPr>
          <w:i/>
          <w:iCs/>
          <w:color w:val="000000" w:themeColor="text1"/>
        </w:rPr>
        <w:t>ζ</w:t>
      </w:r>
      <w:r>
        <w:rPr>
          <w:rFonts w:ascii="宋体" w:hAnsi="宋体" w:hint="eastAsia"/>
          <w:color w:val="000000" w:themeColor="text1"/>
          <w:vertAlign w:val="subscript"/>
        </w:rPr>
        <w:t>1</w:t>
      </w:r>
      <w:r>
        <w:rPr>
          <w:color w:val="000000" w:themeColor="text1"/>
        </w:rPr>
        <w:t>=1.1</w:t>
      </w:r>
      <w:r>
        <w:rPr>
          <w:rFonts w:hint="eastAsia"/>
          <w:color w:val="000000" w:themeColor="text1"/>
        </w:rPr>
        <w:t>；当</w:t>
      </w:r>
      <w:r>
        <w:rPr>
          <w:color w:val="000000" w:themeColor="text1"/>
        </w:rPr>
        <w:t>托换桩</w:t>
      </w:r>
      <w:r>
        <w:rPr>
          <w:rFonts w:hint="eastAsia"/>
          <w:color w:val="000000" w:themeColor="text1"/>
        </w:rPr>
        <w:t>承台和水平梁板结构与基坑周边挡墙脱开时，取</w:t>
      </w:r>
      <w:r>
        <w:rPr>
          <w:i/>
          <w:iCs/>
          <w:color w:val="000000" w:themeColor="text1"/>
        </w:rPr>
        <w:t>μ</w:t>
      </w:r>
      <w:r>
        <w:rPr>
          <w:color w:val="000000" w:themeColor="text1"/>
          <w:vertAlign w:val="subscript"/>
        </w:rPr>
        <w:t>4</w:t>
      </w:r>
      <w:r>
        <w:rPr>
          <w:rFonts w:hint="eastAsia"/>
          <w:color w:val="000000" w:themeColor="text1"/>
        </w:rPr>
        <w:t>=</w:t>
      </w:r>
      <w:r>
        <w:rPr>
          <w:color w:val="000000" w:themeColor="text1"/>
        </w:rPr>
        <w:t>1.5</w:t>
      </w:r>
      <w:r>
        <w:rPr>
          <w:rFonts w:hint="eastAsia"/>
          <w:color w:val="000000" w:themeColor="text1"/>
        </w:rPr>
        <w:t>，</w:t>
      </w:r>
      <w:r>
        <w:rPr>
          <w:i/>
          <w:iCs/>
          <w:color w:val="000000" w:themeColor="text1"/>
        </w:rPr>
        <w:t>ζ</w:t>
      </w:r>
      <w:r>
        <w:rPr>
          <w:rFonts w:ascii="宋体" w:hAnsi="宋体" w:hint="eastAsia"/>
          <w:color w:val="000000" w:themeColor="text1"/>
          <w:vertAlign w:val="subscript"/>
        </w:rPr>
        <w:t>1</w:t>
      </w:r>
      <w:r>
        <w:rPr>
          <w:color w:val="000000" w:themeColor="text1"/>
        </w:rPr>
        <w:t>=1.0</w:t>
      </w:r>
      <w:r>
        <w:rPr>
          <w:rFonts w:hint="eastAsia"/>
          <w:color w:val="000000" w:themeColor="text1"/>
        </w:rPr>
        <w:t>。</w:t>
      </w:r>
    </w:p>
    <w:p w:rsidR="009136B5" w:rsidRDefault="00000000">
      <w:pPr>
        <w:pStyle w:val="x"/>
        <w:ind w:firstLine="316"/>
      </w:pPr>
      <w:r>
        <w:rPr>
          <w:rFonts w:hint="eastAsia"/>
          <w:b/>
        </w:rPr>
        <w:t>2</w:t>
      </w:r>
      <w:r>
        <w:t xml:space="preserve">  </w:t>
      </w:r>
      <w:r>
        <w:rPr>
          <w:rFonts w:hint="eastAsia"/>
        </w:rPr>
        <w:t>最下道水平结构与开挖面之间的托换桩，其</w:t>
      </w:r>
      <w:r>
        <w:t>桩身压曲计算长度</w:t>
      </w:r>
      <w:r>
        <w:rPr>
          <w:rFonts w:hint="eastAsia"/>
          <w:i/>
          <w:iCs/>
          <w:lang w:bidi="ar"/>
        </w:rPr>
        <w:t>l</w:t>
      </w:r>
      <w:r>
        <w:rPr>
          <w:rFonts w:hint="eastAsia"/>
          <w:vertAlign w:val="subscript"/>
          <w:lang w:bidi="ar"/>
        </w:rPr>
        <w:t>c</w:t>
      </w:r>
      <w:r>
        <w:rPr>
          <w:rFonts w:hint="eastAsia"/>
        </w:rPr>
        <w:t>可分别按本规程第</w:t>
      </w:r>
      <w:r>
        <w:rPr>
          <w:rFonts w:hint="eastAsia"/>
        </w:rPr>
        <w:t>4.3.1</w:t>
      </w:r>
      <w:r>
        <w:t>1</w:t>
      </w:r>
      <w:r>
        <w:rPr>
          <w:rFonts w:hint="eastAsia"/>
        </w:rPr>
        <w:t>条和第</w:t>
      </w:r>
      <w:r>
        <w:rPr>
          <w:rFonts w:hint="eastAsia"/>
        </w:rPr>
        <w:t>4.3.1</w:t>
      </w:r>
      <w:r>
        <w:t>2</w:t>
      </w:r>
      <w:r>
        <w:rPr>
          <w:rFonts w:hint="eastAsia"/>
        </w:rPr>
        <w:t>条计算确定，此时，开挖面以上桩的外露长度</w:t>
      </w:r>
      <w:r>
        <w:rPr>
          <w:rFonts w:hint="eastAsia"/>
          <w:i/>
        </w:rPr>
        <w:t>l</w:t>
      </w:r>
      <w:r>
        <w:rPr>
          <w:rFonts w:hint="eastAsia"/>
        </w:rPr>
        <w:t>取最下道水平结构中心线至开挖面的垂直距离，托换桩与最下道水平结构的连接节点宜按铰接考虑。</w:t>
      </w:r>
    </w:p>
    <w:p w:rsidR="009136B5" w:rsidRDefault="00000000">
      <w:pPr>
        <w:pStyle w:val="xxx"/>
        <w:adjustRightInd w:val="0"/>
        <w:snapToGrid w:val="0"/>
        <w:rPr>
          <w:color w:val="000000" w:themeColor="text1"/>
          <w:lang w:bidi="ar"/>
        </w:rPr>
      </w:pPr>
      <w:r>
        <w:rPr>
          <w:rFonts w:hint="eastAsia"/>
          <w:b/>
          <w:bCs/>
          <w:color w:val="000000" w:themeColor="text1"/>
        </w:rPr>
        <w:t>4.3.14</w:t>
      </w:r>
      <w:r>
        <w:rPr>
          <w:color w:val="000000" w:themeColor="text1"/>
        </w:rPr>
        <w:t xml:space="preserve">  </w:t>
      </w:r>
      <w:r>
        <w:rPr>
          <w:rFonts w:hint="eastAsia"/>
          <w:color w:val="000000" w:themeColor="text1"/>
        </w:rPr>
        <w:t>当开挖后托换桩暴露长度较大、稳定性不满足要求时，可在托换桩之间增设临时支撑。当考虑临时支撑的有利作用时，托换桩的</w:t>
      </w:r>
      <w:r>
        <w:rPr>
          <w:color w:val="000000" w:themeColor="text1"/>
        </w:rPr>
        <w:t>桩身压曲计算长度</w:t>
      </w:r>
      <w:r>
        <w:rPr>
          <w:color w:val="000000" w:themeColor="text1"/>
          <w:position w:val="-12"/>
          <w:lang w:bidi="ar"/>
        </w:rPr>
        <w:object w:dxaOrig="204" w:dyaOrig="376">
          <v:shape id="_x0000_i1068" type="#_x0000_t75" style="width:10pt;height:18.8pt" o:ole="">
            <v:imagedata r:id="rId83" o:title=""/>
          </v:shape>
          <o:OLEObject Type="Embed" ProgID="Equation.DSMT4" ShapeID="_x0000_i1068" DrawAspect="Content" ObjectID="_1735132846" r:id="rId111"/>
        </w:object>
      </w:r>
      <w:r>
        <w:rPr>
          <w:rFonts w:hint="eastAsia"/>
          <w:color w:val="000000" w:themeColor="text1"/>
          <w:lang w:bidi="ar"/>
        </w:rPr>
        <w:t>，</w:t>
      </w:r>
      <w:r>
        <w:rPr>
          <w:color w:val="000000" w:themeColor="text1"/>
          <w:lang w:bidi="ar"/>
        </w:rPr>
        <w:t>宜</w:t>
      </w:r>
      <w:r>
        <w:rPr>
          <w:rFonts w:hint="eastAsia"/>
          <w:color w:val="000000" w:themeColor="text1"/>
          <w:lang w:bidi="ar"/>
        </w:rPr>
        <w:t>根据桩身</w:t>
      </w:r>
      <w:r>
        <w:rPr>
          <w:color w:val="000000" w:themeColor="text1"/>
          <w:lang w:bidi="ar"/>
        </w:rPr>
        <w:t>侧向实际约束</w:t>
      </w:r>
      <w:r>
        <w:rPr>
          <w:rFonts w:hint="eastAsia"/>
          <w:color w:val="000000" w:themeColor="text1"/>
          <w:lang w:bidi="ar"/>
        </w:rPr>
        <w:t>状态通过</w:t>
      </w:r>
      <w:r>
        <w:rPr>
          <w:color w:val="000000" w:themeColor="text1"/>
          <w:lang w:bidi="ar"/>
        </w:rPr>
        <w:t>屈曲分析得到轴向屈曲荷载反算确定</w:t>
      </w:r>
      <w:r>
        <w:rPr>
          <w:rFonts w:hint="eastAsia"/>
          <w:color w:val="000000" w:themeColor="text1"/>
          <w:lang w:bidi="ar"/>
        </w:rPr>
        <w:t>。</w:t>
      </w:r>
    </w:p>
    <w:p w:rsidR="009136B5" w:rsidRDefault="00000000">
      <w:pPr>
        <w:pStyle w:val="xxx"/>
      </w:pPr>
      <w:r>
        <w:rPr>
          <w:b/>
          <w:bCs/>
        </w:rPr>
        <w:t>4.3.1</w:t>
      </w:r>
      <w:r>
        <w:rPr>
          <w:rFonts w:hint="eastAsia"/>
          <w:b/>
          <w:bCs/>
        </w:rPr>
        <w:t>6</w:t>
      </w:r>
      <w:r>
        <w:t xml:space="preserve">  </w:t>
      </w:r>
      <w:r>
        <w:rPr>
          <w:rFonts w:hint="eastAsia"/>
        </w:rPr>
        <w:t>当托换桩稳定性不满足要求时，宜通过增加截面或增设侧向支撑的方式提高其稳定性；当增设</w:t>
      </w:r>
      <w:r>
        <w:rPr>
          <w:rFonts w:hint="eastAsia"/>
        </w:rPr>
        <w:lastRenderedPageBreak/>
        <w:t>多层地下室，土方开挖至每层地下室梁板设计标高时，宜立即施工梁板，形成对托换桩的有效约束。</w:t>
      </w:r>
    </w:p>
    <w:p w:rsidR="009136B5" w:rsidRDefault="00000000">
      <w:pPr>
        <w:pStyle w:val="xxx"/>
      </w:pPr>
      <w:r>
        <w:rPr>
          <w:b/>
          <w:bCs/>
        </w:rPr>
        <w:t>4</w:t>
      </w:r>
      <w:r>
        <w:rPr>
          <w:rFonts w:hint="eastAsia"/>
          <w:b/>
          <w:bCs/>
        </w:rPr>
        <w:t>.3.17</w:t>
      </w:r>
      <w:r>
        <w:rPr>
          <w:rFonts w:hint="eastAsia"/>
        </w:rPr>
        <w:t xml:space="preserve"> </w:t>
      </w:r>
      <w:r>
        <w:t xml:space="preserve"> </w:t>
      </w:r>
      <w:r>
        <w:rPr>
          <w:rFonts w:hint="eastAsia"/>
        </w:rPr>
        <w:t>桩间侧向支撑应按下列规定进行强度和稳定性验算：</w:t>
      </w:r>
    </w:p>
    <w:p w:rsidR="009136B5" w:rsidRDefault="00000000">
      <w:pPr>
        <w:pStyle w:val="x"/>
        <w:ind w:firstLine="315"/>
      </w:pPr>
      <w:r>
        <w:rPr>
          <w:rFonts w:hint="eastAsia"/>
        </w:rPr>
        <w:t xml:space="preserve">1 </w:t>
      </w:r>
      <w:r>
        <w:t xml:space="preserve"> </w:t>
      </w:r>
      <w:r>
        <w:rPr>
          <w:rFonts w:hint="eastAsia"/>
        </w:rPr>
        <w:t>按强度验算时，应按下式验算：</w:t>
      </w:r>
    </w:p>
    <w:tbl>
      <w:tblPr>
        <w:tblStyle w:val="afa"/>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0"/>
        <w:gridCol w:w="3105"/>
        <w:gridCol w:w="3142"/>
      </w:tblGrid>
      <w:tr w:rsidR="009136B5">
        <w:trPr>
          <w:trHeight w:val="20"/>
        </w:trPr>
        <w:tc>
          <w:tcPr>
            <w:tcW w:w="1662" w:type="pct"/>
            <w:vAlign w:val="center"/>
          </w:tcPr>
          <w:p w:rsidR="009136B5" w:rsidRDefault="009136B5">
            <w:pPr>
              <w:pStyle w:val="x"/>
              <w:ind w:firstLineChars="0" w:firstLine="0"/>
              <w:jc w:val="center"/>
              <w:rPr>
                <w:szCs w:val="21"/>
              </w:rPr>
            </w:pPr>
          </w:p>
        </w:tc>
        <w:tc>
          <w:tcPr>
            <w:tcW w:w="1659" w:type="pct"/>
            <w:vAlign w:val="center"/>
          </w:tcPr>
          <w:p w:rsidR="009136B5" w:rsidRDefault="00000000">
            <w:pPr>
              <w:pStyle w:val="x"/>
              <w:ind w:firstLineChars="0" w:firstLine="0"/>
              <w:jc w:val="center"/>
              <w:rPr>
                <w:szCs w:val="21"/>
              </w:rPr>
            </w:pPr>
            <w:r>
              <w:rPr>
                <w:rFonts w:hint="eastAsia"/>
                <w:kern w:val="0"/>
                <w:position w:val="-28"/>
                <w:sz w:val="24"/>
              </w:rPr>
              <w:object w:dxaOrig="1053" w:dyaOrig="634">
                <v:shape id="_x0000_i1069" type="#_x0000_t75" style="width:52.6pt;height:31.95pt" o:ole="">
                  <v:imagedata r:id="rId112" o:title=""/>
                </v:shape>
                <o:OLEObject Type="Embed" ProgID="Equation.DSMT4" ShapeID="_x0000_i1069" DrawAspect="Content" ObjectID="_1735132847" r:id="rId113"/>
              </w:object>
            </w:r>
          </w:p>
        </w:tc>
        <w:tc>
          <w:tcPr>
            <w:tcW w:w="1679" w:type="pct"/>
            <w:vAlign w:val="center"/>
          </w:tcPr>
          <w:p w:rsidR="009136B5" w:rsidRDefault="00000000">
            <w:pPr>
              <w:pStyle w:val="x"/>
              <w:ind w:firstLineChars="0" w:firstLine="0"/>
              <w:jc w:val="right"/>
              <w:rPr>
                <w:szCs w:val="21"/>
              </w:rPr>
            </w:pPr>
            <w:r>
              <w:rPr>
                <w:rFonts w:hint="eastAsia"/>
                <w:szCs w:val="21"/>
              </w:rPr>
              <w:t>（</w:t>
            </w:r>
            <w:r>
              <w:rPr>
                <w:szCs w:val="21"/>
              </w:rPr>
              <w:t>4.3.</w:t>
            </w:r>
            <w:r>
              <w:rPr>
                <w:rFonts w:hint="eastAsia"/>
                <w:szCs w:val="21"/>
              </w:rPr>
              <w:t>1</w:t>
            </w:r>
            <w:r>
              <w:rPr>
                <w:szCs w:val="21"/>
              </w:rPr>
              <w:t>7-1</w:t>
            </w:r>
            <w:r>
              <w:rPr>
                <w:rFonts w:hint="eastAsia"/>
                <w:szCs w:val="21"/>
              </w:rPr>
              <w:t>）</w:t>
            </w:r>
          </w:p>
        </w:tc>
      </w:tr>
    </w:tbl>
    <w:p w:rsidR="009136B5" w:rsidRDefault="00000000">
      <w:pPr>
        <w:pStyle w:val="x"/>
        <w:ind w:firstLine="315"/>
      </w:pPr>
      <w:r>
        <w:rPr>
          <w:rFonts w:hint="eastAsia"/>
        </w:rPr>
        <w:t>2</w:t>
      </w:r>
      <w:r>
        <w:t xml:space="preserve"> </w:t>
      </w:r>
      <w:r>
        <w:rPr>
          <w:rFonts w:hint="eastAsia"/>
        </w:rPr>
        <w:t xml:space="preserve"> </w:t>
      </w:r>
      <w:r>
        <w:rPr>
          <w:rFonts w:hint="eastAsia"/>
        </w:rPr>
        <w:t>按稳定性验算时，应按下式验算：</w:t>
      </w:r>
    </w:p>
    <w:tbl>
      <w:tblPr>
        <w:tblStyle w:val="af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707"/>
        <w:gridCol w:w="1585"/>
        <w:gridCol w:w="3106"/>
        <w:gridCol w:w="2964"/>
      </w:tblGrid>
      <w:tr w:rsidR="009136B5">
        <w:trPr>
          <w:trHeight w:val="20"/>
        </w:trPr>
        <w:tc>
          <w:tcPr>
            <w:tcW w:w="1756" w:type="pct"/>
            <w:gridSpan w:val="3"/>
            <w:vAlign w:val="center"/>
          </w:tcPr>
          <w:p w:rsidR="009136B5" w:rsidRDefault="009136B5">
            <w:pPr>
              <w:pStyle w:val="x"/>
              <w:ind w:firstLineChars="0" w:firstLine="0"/>
              <w:jc w:val="center"/>
              <w:rPr>
                <w:szCs w:val="21"/>
              </w:rPr>
            </w:pPr>
          </w:p>
        </w:tc>
        <w:tc>
          <w:tcPr>
            <w:tcW w:w="1660" w:type="pct"/>
            <w:vAlign w:val="center"/>
          </w:tcPr>
          <w:p w:rsidR="009136B5" w:rsidRDefault="00000000">
            <w:pPr>
              <w:pStyle w:val="x"/>
              <w:ind w:firstLineChars="0" w:firstLine="0"/>
              <w:jc w:val="center"/>
              <w:rPr>
                <w:szCs w:val="21"/>
              </w:rPr>
            </w:pPr>
            <m:oMathPara>
              <m:oMath>
                <m:f>
                  <m:fPr>
                    <m:ctrlPr>
                      <w:rPr>
                        <w:rFonts w:ascii="Cambria Math" w:hAnsi="Cambria Math"/>
                        <w:i/>
                        <w:kern w:val="0"/>
                        <w:szCs w:val="21"/>
                      </w:rPr>
                    </m:ctrlPr>
                  </m:fPr>
                  <m:num>
                    <m:sSub>
                      <m:sSubPr>
                        <m:ctrlPr>
                          <w:rPr>
                            <w:rFonts w:ascii="Cambria Math" w:hAnsi="Cambria Math"/>
                            <w:i/>
                            <w:kern w:val="0"/>
                            <w:szCs w:val="21"/>
                          </w:rPr>
                        </m:ctrlPr>
                      </m:sSubPr>
                      <m:e>
                        <m:r>
                          <w:rPr>
                            <w:rFonts w:ascii="Cambria Math"/>
                            <w:kern w:val="0"/>
                            <w:szCs w:val="21"/>
                          </w:rPr>
                          <m:t>N</m:t>
                        </m:r>
                      </m:e>
                      <m:sub>
                        <m:r>
                          <w:rPr>
                            <w:rFonts w:ascii="Cambria Math"/>
                            <w:kern w:val="0"/>
                            <w:szCs w:val="21"/>
                          </w:rPr>
                          <m:t>l</m:t>
                        </m:r>
                      </m:sub>
                    </m:sSub>
                  </m:num>
                  <m:den>
                    <m:r>
                      <w:rPr>
                        <w:rFonts w:ascii="Cambria Math" w:hAnsi="Cambria Math"/>
                      </w:rPr>
                      <m:t>φ</m:t>
                    </m:r>
                    <m:r>
                      <w:rPr>
                        <w:rFonts w:ascii="Cambria Math"/>
                        <w:kern w:val="0"/>
                        <w:szCs w:val="21"/>
                      </w:rPr>
                      <m:t>A</m:t>
                    </m:r>
                  </m:den>
                </m:f>
                <m:r>
                  <w:rPr>
                    <w:rFonts w:ascii="Cambria Math"/>
                    <w:kern w:val="0"/>
                    <w:szCs w:val="21"/>
                  </w:rPr>
                  <m:t>≤</m:t>
                </m:r>
                <m:r>
                  <w:rPr>
                    <w:rFonts w:ascii="Cambria Math"/>
                    <w:kern w:val="0"/>
                    <w:szCs w:val="21"/>
                  </w:rPr>
                  <m:t>f</m:t>
                </m:r>
              </m:oMath>
            </m:oMathPara>
          </w:p>
        </w:tc>
        <w:tc>
          <w:tcPr>
            <w:tcW w:w="1584" w:type="pct"/>
            <w:vAlign w:val="center"/>
          </w:tcPr>
          <w:p w:rsidR="009136B5" w:rsidRDefault="00000000">
            <w:pPr>
              <w:pStyle w:val="x"/>
              <w:ind w:firstLineChars="0" w:firstLine="0"/>
              <w:jc w:val="right"/>
              <w:rPr>
                <w:szCs w:val="21"/>
              </w:rPr>
            </w:pPr>
            <w:r>
              <w:rPr>
                <w:rFonts w:hint="eastAsia"/>
                <w:szCs w:val="21"/>
              </w:rPr>
              <w:t>（</w:t>
            </w:r>
            <w:r>
              <w:rPr>
                <w:szCs w:val="21"/>
              </w:rPr>
              <w:t>4.3.</w:t>
            </w:r>
            <w:r>
              <w:rPr>
                <w:rFonts w:hint="eastAsia"/>
                <w:szCs w:val="21"/>
              </w:rPr>
              <w:t>1</w:t>
            </w:r>
            <w:r>
              <w:rPr>
                <w:szCs w:val="21"/>
              </w:rPr>
              <w:t>7-2</w:t>
            </w:r>
            <w:r>
              <w:rPr>
                <w:rFonts w:hint="eastAsia"/>
                <w:szCs w:val="21"/>
              </w:rPr>
              <w:t>）</w:t>
            </w:r>
          </w:p>
        </w:tc>
      </w:tr>
      <w:tr w:rsidR="009136B5">
        <w:tblPrEx>
          <w:tblCellMar>
            <w:left w:w="0" w:type="dxa"/>
            <w:right w:w="57" w:type="dxa"/>
          </w:tblCellMar>
        </w:tblPrEx>
        <w:tc>
          <w:tcPr>
            <w:tcW w:w="531" w:type="pct"/>
            <w:vAlign w:val="center"/>
          </w:tcPr>
          <w:p w:rsidR="009136B5" w:rsidRDefault="00000000">
            <w:pPr>
              <w:pStyle w:val="220"/>
              <w:jc w:val="right"/>
            </w:pPr>
            <w:r>
              <w:rPr>
                <w:rFonts w:hint="eastAsia"/>
              </w:rPr>
              <w:t>式中：</w:t>
            </w:r>
            <w:r>
              <w:rPr>
                <w:rFonts w:hint="eastAsia"/>
              </w:rPr>
              <w:t xml:space="preserve"> </w:t>
            </w:r>
            <w:r>
              <w:t xml:space="preserve">  </w:t>
            </w:r>
            <w:r>
              <w:rPr>
                <w:i/>
                <w:iCs/>
              </w:rPr>
              <w:t>σ</w:t>
            </w:r>
          </w:p>
        </w:tc>
        <w:tc>
          <w:tcPr>
            <w:tcW w:w="378" w:type="pct"/>
            <w:vAlign w:val="center"/>
          </w:tcPr>
          <w:p w:rsidR="009136B5" w:rsidRDefault="00000000">
            <w:pPr>
              <w:pStyle w:val="220"/>
              <w:jc w:val="center"/>
            </w:pPr>
            <w:r>
              <w:t>——</w:t>
            </w:r>
          </w:p>
        </w:tc>
        <w:tc>
          <w:tcPr>
            <w:tcW w:w="4091" w:type="pct"/>
            <w:gridSpan w:val="3"/>
            <w:vAlign w:val="center"/>
          </w:tcPr>
          <w:p w:rsidR="009136B5" w:rsidRDefault="00000000">
            <w:pPr>
              <w:widowControl/>
              <w:ind w:firstLineChars="0" w:firstLine="0"/>
              <w:jc w:val="left"/>
              <w:rPr>
                <w:kern w:val="0"/>
                <w:szCs w:val="21"/>
              </w:rPr>
            </w:pPr>
            <w:r>
              <w:rPr>
                <w:rFonts w:hint="eastAsia"/>
                <w:kern w:val="0"/>
                <w:szCs w:val="21"/>
              </w:rPr>
              <w:t>侧向支撑应力值（</w:t>
            </w:r>
            <w:r>
              <w:rPr>
                <w:rFonts w:hint="eastAsia"/>
                <w:kern w:val="0"/>
                <w:szCs w:val="21"/>
              </w:rPr>
              <w:t>N/mm</w:t>
            </w:r>
            <w:r>
              <w:rPr>
                <w:rFonts w:hint="eastAsia"/>
                <w:kern w:val="0"/>
                <w:szCs w:val="21"/>
                <w:vertAlign w:val="superscript"/>
              </w:rPr>
              <w:t>2</w:t>
            </w:r>
            <w:r>
              <w:rPr>
                <w:rFonts w:hint="eastAsia"/>
                <w:kern w:val="0"/>
                <w:szCs w:val="21"/>
              </w:rPr>
              <w:t>）；</w:t>
            </w:r>
          </w:p>
        </w:tc>
      </w:tr>
      <w:tr w:rsidR="009136B5">
        <w:tblPrEx>
          <w:tblCellMar>
            <w:left w:w="0" w:type="dxa"/>
            <w:right w:w="57" w:type="dxa"/>
          </w:tblCellMar>
        </w:tblPrEx>
        <w:tc>
          <w:tcPr>
            <w:tcW w:w="531" w:type="pct"/>
            <w:vAlign w:val="center"/>
          </w:tcPr>
          <w:p w:rsidR="009136B5" w:rsidRDefault="00000000">
            <w:pPr>
              <w:pStyle w:val="220"/>
              <w:jc w:val="right"/>
            </w:pPr>
            <w:r>
              <w:rPr>
                <w:rFonts w:hint="eastAsia"/>
                <w:i/>
                <w:iCs/>
              </w:rPr>
              <w:t>A</w:t>
            </w:r>
            <w:r>
              <w:rPr>
                <w:rFonts w:hint="eastAsia"/>
                <w:vertAlign w:val="subscript"/>
              </w:rPr>
              <w:t>c</w:t>
            </w:r>
          </w:p>
        </w:tc>
        <w:tc>
          <w:tcPr>
            <w:tcW w:w="378" w:type="pct"/>
            <w:vAlign w:val="center"/>
          </w:tcPr>
          <w:p w:rsidR="009136B5" w:rsidRDefault="00000000">
            <w:pPr>
              <w:pStyle w:val="220"/>
              <w:jc w:val="center"/>
            </w:pPr>
            <w:r>
              <w:t>——</w:t>
            </w:r>
          </w:p>
        </w:tc>
        <w:tc>
          <w:tcPr>
            <w:tcW w:w="4091" w:type="pct"/>
            <w:gridSpan w:val="3"/>
            <w:vAlign w:val="center"/>
          </w:tcPr>
          <w:p w:rsidR="009136B5" w:rsidRDefault="00000000">
            <w:pPr>
              <w:widowControl/>
              <w:ind w:firstLineChars="0" w:firstLine="0"/>
              <w:jc w:val="left"/>
              <w:rPr>
                <w:kern w:val="0"/>
                <w:szCs w:val="21"/>
              </w:rPr>
            </w:pPr>
            <w:r>
              <w:rPr>
                <w:rFonts w:hint="eastAsia"/>
                <w:kern w:val="0"/>
                <w:szCs w:val="21"/>
              </w:rPr>
              <w:t>侧向支撑的净截面面积（</w:t>
            </w:r>
            <w:r>
              <w:rPr>
                <w:rFonts w:hint="eastAsia"/>
                <w:kern w:val="0"/>
                <w:szCs w:val="21"/>
              </w:rPr>
              <w:t>mm</w:t>
            </w:r>
            <w:r>
              <w:rPr>
                <w:rFonts w:hint="eastAsia"/>
                <w:kern w:val="0"/>
                <w:szCs w:val="21"/>
                <w:vertAlign w:val="superscript"/>
              </w:rPr>
              <w:t>2</w:t>
            </w:r>
            <w:r>
              <w:rPr>
                <w:rFonts w:hint="eastAsia"/>
                <w:kern w:val="0"/>
                <w:szCs w:val="21"/>
              </w:rPr>
              <w:t>）；</w:t>
            </w:r>
          </w:p>
        </w:tc>
      </w:tr>
      <w:tr w:rsidR="009136B5">
        <w:tblPrEx>
          <w:tblCellMar>
            <w:left w:w="0" w:type="dxa"/>
            <w:right w:w="57" w:type="dxa"/>
          </w:tblCellMar>
        </w:tblPrEx>
        <w:tc>
          <w:tcPr>
            <w:tcW w:w="531" w:type="pct"/>
            <w:vAlign w:val="center"/>
          </w:tcPr>
          <w:p w:rsidR="009136B5" w:rsidRDefault="00000000">
            <w:pPr>
              <w:pStyle w:val="220"/>
              <w:jc w:val="right"/>
            </w:pPr>
            <w:r>
              <w:rPr>
                <w:rFonts w:hint="eastAsia"/>
                <w:i/>
                <w:iCs/>
              </w:rPr>
              <w:t>A</w:t>
            </w:r>
          </w:p>
        </w:tc>
        <w:tc>
          <w:tcPr>
            <w:tcW w:w="378" w:type="pct"/>
            <w:vAlign w:val="center"/>
          </w:tcPr>
          <w:p w:rsidR="009136B5" w:rsidRDefault="00000000">
            <w:pPr>
              <w:pStyle w:val="220"/>
              <w:jc w:val="center"/>
            </w:pPr>
            <w:r>
              <w:t>——</w:t>
            </w:r>
          </w:p>
        </w:tc>
        <w:tc>
          <w:tcPr>
            <w:tcW w:w="4091" w:type="pct"/>
            <w:gridSpan w:val="3"/>
            <w:vAlign w:val="center"/>
          </w:tcPr>
          <w:p w:rsidR="009136B5" w:rsidRDefault="00000000">
            <w:pPr>
              <w:widowControl/>
              <w:ind w:firstLineChars="0" w:firstLine="0"/>
              <w:jc w:val="left"/>
              <w:rPr>
                <w:kern w:val="0"/>
                <w:szCs w:val="21"/>
              </w:rPr>
            </w:pPr>
            <w:r>
              <w:rPr>
                <w:rFonts w:hint="eastAsia"/>
                <w:kern w:val="0"/>
                <w:szCs w:val="21"/>
              </w:rPr>
              <w:t>侧向支撑的毛截面面积（</w:t>
            </w:r>
            <w:r>
              <w:rPr>
                <w:rFonts w:hint="eastAsia"/>
                <w:kern w:val="0"/>
                <w:szCs w:val="21"/>
              </w:rPr>
              <w:t>mm</w:t>
            </w:r>
            <w:r>
              <w:rPr>
                <w:rFonts w:hint="eastAsia"/>
                <w:kern w:val="0"/>
                <w:szCs w:val="21"/>
                <w:vertAlign w:val="superscript"/>
              </w:rPr>
              <w:t>2</w:t>
            </w:r>
            <w:r>
              <w:rPr>
                <w:rFonts w:hint="eastAsia"/>
                <w:kern w:val="0"/>
                <w:szCs w:val="21"/>
              </w:rPr>
              <w:t>）；</w:t>
            </w:r>
          </w:p>
        </w:tc>
      </w:tr>
      <w:tr w:rsidR="009136B5">
        <w:tblPrEx>
          <w:tblCellMar>
            <w:left w:w="0" w:type="dxa"/>
            <w:right w:w="57" w:type="dxa"/>
          </w:tblCellMar>
        </w:tblPrEx>
        <w:tc>
          <w:tcPr>
            <w:tcW w:w="531" w:type="pct"/>
            <w:vAlign w:val="center"/>
          </w:tcPr>
          <w:p w:rsidR="009136B5" w:rsidRDefault="00000000">
            <w:pPr>
              <w:pStyle w:val="220"/>
              <w:jc w:val="right"/>
            </w:pPr>
            <w:proofErr w:type="spellStart"/>
            <w:r>
              <w:rPr>
                <w:rFonts w:hint="eastAsia"/>
                <w:i/>
                <w:iCs/>
              </w:rPr>
              <w:t>N</w:t>
            </w:r>
            <w:r>
              <w:rPr>
                <w:rFonts w:hint="eastAsia"/>
                <w:i/>
                <w:iCs/>
                <w:vertAlign w:val="subscript"/>
              </w:rPr>
              <w:t>l</w:t>
            </w:r>
            <w:proofErr w:type="spellEnd"/>
          </w:p>
        </w:tc>
        <w:tc>
          <w:tcPr>
            <w:tcW w:w="378" w:type="pct"/>
            <w:vAlign w:val="center"/>
          </w:tcPr>
          <w:p w:rsidR="009136B5" w:rsidRDefault="00000000">
            <w:pPr>
              <w:pStyle w:val="220"/>
              <w:jc w:val="center"/>
            </w:pPr>
            <w:r>
              <w:t>——</w:t>
            </w:r>
          </w:p>
        </w:tc>
        <w:tc>
          <w:tcPr>
            <w:tcW w:w="4091" w:type="pct"/>
            <w:gridSpan w:val="3"/>
            <w:vAlign w:val="center"/>
          </w:tcPr>
          <w:p w:rsidR="009136B5" w:rsidRDefault="00000000">
            <w:pPr>
              <w:widowControl/>
              <w:ind w:firstLineChars="0" w:firstLine="0"/>
              <w:jc w:val="left"/>
              <w:rPr>
                <w:kern w:val="0"/>
                <w:szCs w:val="21"/>
              </w:rPr>
            </w:pPr>
            <w:r>
              <w:rPr>
                <w:rFonts w:hint="eastAsia"/>
                <w:kern w:val="0"/>
                <w:szCs w:val="21"/>
              </w:rPr>
              <w:t>侧向支撑的轴向力设计值，按本规程</w:t>
            </w:r>
            <w:r>
              <w:rPr>
                <w:kern w:val="0"/>
                <w:szCs w:val="21"/>
              </w:rPr>
              <w:t>4.3.19</w:t>
            </w:r>
            <w:r>
              <w:rPr>
                <w:rFonts w:hint="eastAsia"/>
                <w:kern w:val="0"/>
                <w:szCs w:val="21"/>
              </w:rPr>
              <w:t>条规定计算（</w:t>
            </w:r>
            <w:r>
              <w:rPr>
                <w:rFonts w:hint="eastAsia"/>
                <w:kern w:val="0"/>
                <w:szCs w:val="21"/>
              </w:rPr>
              <w:t>N</w:t>
            </w:r>
            <w:r>
              <w:rPr>
                <w:rFonts w:hint="eastAsia"/>
                <w:kern w:val="0"/>
                <w:szCs w:val="21"/>
              </w:rPr>
              <w:t>）；</w:t>
            </w:r>
          </w:p>
        </w:tc>
      </w:tr>
      <w:tr w:rsidR="009136B5">
        <w:tblPrEx>
          <w:tblCellMar>
            <w:left w:w="0" w:type="dxa"/>
            <w:right w:w="57" w:type="dxa"/>
          </w:tblCellMar>
        </w:tblPrEx>
        <w:tc>
          <w:tcPr>
            <w:tcW w:w="531" w:type="pct"/>
          </w:tcPr>
          <w:p w:rsidR="009136B5" w:rsidRDefault="00000000">
            <w:pPr>
              <w:pStyle w:val="220"/>
              <w:jc w:val="right"/>
            </w:pPr>
            <w:r>
              <w:rPr>
                <w:i/>
                <w:iCs/>
              </w:rPr>
              <w:t>φ</w:t>
            </w:r>
          </w:p>
        </w:tc>
        <w:tc>
          <w:tcPr>
            <w:tcW w:w="378" w:type="pct"/>
          </w:tcPr>
          <w:p w:rsidR="009136B5" w:rsidRDefault="00000000">
            <w:pPr>
              <w:pStyle w:val="220"/>
              <w:jc w:val="center"/>
            </w:pPr>
            <w:r>
              <w:t>——</w:t>
            </w:r>
          </w:p>
        </w:tc>
        <w:tc>
          <w:tcPr>
            <w:tcW w:w="4091" w:type="pct"/>
            <w:gridSpan w:val="3"/>
            <w:vAlign w:val="center"/>
          </w:tcPr>
          <w:p w:rsidR="009136B5" w:rsidRDefault="00000000">
            <w:pPr>
              <w:widowControl/>
              <w:ind w:firstLineChars="0" w:firstLine="0"/>
              <w:jc w:val="left"/>
              <w:rPr>
                <w:kern w:val="0"/>
                <w:szCs w:val="21"/>
              </w:rPr>
            </w:pPr>
            <w:r>
              <w:rPr>
                <w:rFonts w:hint="eastAsia"/>
                <w:kern w:val="0"/>
                <w:szCs w:val="21"/>
              </w:rPr>
              <w:t>侧向支撑的稳定性系数，若支撑材料为钢材，其长细比应根据《钢结构设计标准》</w:t>
            </w:r>
            <w:r>
              <w:rPr>
                <w:rFonts w:hint="eastAsia"/>
                <w:kern w:val="0"/>
                <w:szCs w:val="21"/>
              </w:rPr>
              <w:t>GB50017</w:t>
            </w:r>
            <w:r>
              <w:rPr>
                <w:rFonts w:hint="eastAsia"/>
                <w:kern w:val="0"/>
                <w:szCs w:val="21"/>
              </w:rPr>
              <w:t>附录</w:t>
            </w:r>
            <w:r>
              <w:rPr>
                <w:rFonts w:hint="eastAsia"/>
                <w:kern w:val="0"/>
                <w:szCs w:val="21"/>
              </w:rPr>
              <w:t>C</w:t>
            </w:r>
            <w:r>
              <w:rPr>
                <w:rFonts w:hint="eastAsia"/>
                <w:kern w:val="0"/>
                <w:szCs w:val="21"/>
              </w:rPr>
              <w:t>轴心受压构件的稳定性系数取值；</w:t>
            </w:r>
          </w:p>
        </w:tc>
      </w:tr>
      <w:tr w:rsidR="009136B5">
        <w:tblPrEx>
          <w:tblCellMar>
            <w:left w:w="0" w:type="dxa"/>
            <w:right w:w="57" w:type="dxa"/>
          </w:tblCellMar>
        </w:tblPrEx>
        <w:tc>
          <w:tcPr>
            <w:tcW w:w="531" w:type="pct"/>
          </w:tcPr>
          <w:p w:rsidR="009136B5" w:rsidRDefault="00000000">
            <w:pPr>
              <w:pStyle w:val="220"/>
              <w:jc w:val="right"/>
            </w:pPr>
            <w:r>
              <w:rPr>
                <w:rFonts w:hint="eastAsia"/>
                <w:i/>
                <w:iCs/>
              </w:rPr>
              <w:t>f</w:t>
            </w:r>
          </w:p>
        </w:tc>
        <w:tc>
          <w:tcPr>
            <w:tcW w:w="378" w:type="pct"/>
          </w:tcPr>
          <w:p w:rsidR="009136B5" w:rsidRDefault="00000000">
            <w:pPr>
              <w:pStyle w:val="220"/>
              <w:jc w:val="center"/>
            </w:pPr>
            <w:r>
              <w:t>——</w:t>
            </w:r>
          </w:p>
        </w:tc>
        <w:tc>
          <w:tcPr>
            <w:tcW w:w="4091" w:type="pct"/>
            <w:gridSpan w:val="3"/>
            <w:vAlign w:val="center"/>
          </w:tcPr>
          <w:p w:rsidR="009136B5" w:rsidRDefault="00000000">
            <w:pPr>
              <w:widowControl/>
              <w:ind w:firstLineChars="0" w:firstLine="0"/>
              <w:jc w:val="left"/>
              <w:rPr>
                <w:kern w:val="0"/>
                <w:szCs w:val="21"/>
              </w:rPr>
            </w:pPr>
            <w:r>
              <w:rPr>
                <w:rFonts w:hint="eastAsia"/>
                <w:kern w:val="0"/>
                <w:szCs w:val="21"/>
              </w:rPr>
              <w:t>侧向支撑材料强度设计值，若支撑材料为钢材，其强度应按《钢结构设计标准》</w:t>
            </w:r>
            <w:r>
              <w:rPr>
                <w:rFonts w:hint="eastAsia"/>
                <w:kern w:val="0"/>
                <w:szCs w:val="21"/>
              </w:rPr>
              <w:t>GB50017</w:t>
            </w:r>
            <w:r>
              <w:rPr>
                <w:rFonts w:hint="eastAsia"/>
                <w:kern w:val="0"/>
                <w:szCs w:val="21"/>
              </w:rPr>
              <w:t>第</w:t>
            </w:r>
            <w:r>
              <w:rPr>
                <w:rFonts w:hint="eastAsia"/>
                <w:kern w:val="0"/>
                <w:szCs w:val="21"/>
              </w:rPr>
              <w:t>3.4.1</w:t>
            </w:r>
            <w:r>
              <w:rPr>
                <w:rFonts w:hint="eastAsia"/>
                <w:kern w:val="0"/>
                <w:szCs w:val="21"/>
              </w:rPr>
              <w:t>条取值。</w:t>
            </w:r>
          </w:p>
        </w:tc>
      </w:tr>
    </w:tbl>
    <w:p w:rsidR="009136B5" w:rsidRDefault="00000000">
      <w:pPr>
        <w:pStyle w:val="xxx"/>
      </w:pPr>
      <w:r>
        <w:rPr>
          <w:b/>
          <w:bCs/>
        </w:rPr>
        <w:t>4.3.1</w:t>
      </w:r>
      <w:r>
        <w:rPr>
          <w:rFonts w:hint="eastAsia"/>
          <w:b/>
          <w:bCs/>
        </w:rPr>
        <w:t>8</w:t>
      </w:r>
      <w:r>
        <w:rPr>
          <w:rFonts w:hint="eastAsia"/>
        </w:rPr>
        <w:t xml:space="preserve"> </w:t>
      </w:r>
      <w:r>
        <w:t xml:space="preserve"> </w:t>
      </w:r>
      <w:r>
        <w:rPr>
          <w:rFonts w:hint="eastAsia"/>
        </w:rPr>
        <w:t>桩间侧向支撑约束桩时在支撑内所产生的轴向力设计值应按下式计算：</w:t>
      </w:r>
    </w:p>
    <w:tbl>
      <w:tblPr>
        <w:tblStyle w:val="afa"/>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
        <w:gridCol w:w="709"/>
        <w:gridCol w:w="1666"/>
        <w:gridCol w:w="3105"/>
        <w:gridCol w:w="2886"/>
      </w:tblGrid>
      <w:tr w:rsidR="009136B5">
        <w:trPr>
          <w:trHeight w:val="20"/>
        </w:trPr>
        <w:tc>
          <w:tcPr>
            <w:tcW w:w="1799" w:type="pct"/>
            <w:gridSpan w:val="3"/>
            <w:vAlign w:val="center"/>
          </w:tcPr>
          <w:p w:rsidR="009136B5" w:rsidRDefault="009136B5">
            <w:pPr>
              <w:pStyle w:val="x"/>
              <w:ind w:firstLineChars="0" w:firstLine="0"/>
              <w:jc w:val="center"/>
              <w:rPr>
                <w:szCs w:val="21"/>
              </w:rPr>
            </w:pPr>
          </w:p>
        </w:tc>
        <w:tc>
          <w:tcPr>
            <w:tcW w:w="1659" w:type="pct"/>
            <w:vAlign w:val="center"/>
          </w:tcPr>
          <w:p w:rsidR="009136B5" w:rsidRDefault="00000000">
            <w:pPr>
              <w:pStyle w:val="x"/>
              <w:ind w:firstLineChars="0" w:firstLine="0"/>
              <w:jc w:val="center"/>
              <w:rPr>
                <w:szCs w:val="21"/>
              </w:rPr>
            </w:pPr>
            <w:proofErr w:type="spellStart"/>
            <w:r>
              <w:rPr>
                <w:rFonts w:hint="eastAsia"/>
                <w:i/>
                <w:iCs/>
                <w:szCs w:val="21"/>
              </w:rPr>
              <w:t>N</w:t>
            </w:r>
            <w:r>
              <w:rPr>
                <w:rFonts w:hint="eastAsia"/>
                <w:i/>
                <w:iCs/>
                <w:szCs w:val="21"/>
                <w:vertAlign w:val="subscript"/>
              </w:rPr>
              <w:t>l</w:t>
            </w:r>
            <w:proofErr w:type="spellEnd"/>
            <w:r>
              <w:rPr>
                <w:rFonts w:hint="eastAsia"/>
                <w:szCs w:val="21"/>
              </w:rPr>
              <w:t>=</w:t>
            </w:r>
            <w:r>
              <w:rPr>
                <w:szCs w:val="21"/>
              </w:rPr>
              <w:t>0.2</w:t>
            </w:r>
            <w:r>
              <w:rPr>
                <w:i/>
                <w:iCs/>
                <w:szCs w:val="21"/>
              </w:rPr>
              <w:t>N</w:t>
            </w:r>
          </w:p>
        </w:tc>
        <w:tc>
          <w:tcPr>
            <w:tcW w:w="1542" w:type="pct"/>
            <w:vAlign w:val="center"/>
          </w:tcPr>
          <w:p w:rsidR="009136B5" w:rsidRDefault="00000000">
            <w:pPr>
              <w:pStyle w:val="x"/>
              <w:ind w:firstLineChars="0" w:firstLine="0"/>
              <w:jc w:val="right"/>
              <w:rPr>
                <w:szCs w:val="21"/>
              </w:rPr>
            </w:pPr>
            <w:r>
              <w:rPr>
                <w:rFonts w:hint="eastAsia"/>
                <w:szCs w:val="21"/>
              </w:rPr>
              <w:t>（</w:t>
            </w:r>
            <w:r>
              <w:rPr>
                <w:szCs w:val="21"/>
              </w:rPr>
              <w:t>4.3.18</w:t>
            </w:r>
            <w:r>
              <w:rPr>
                <w:rFonts w:hint="eastAsia"/>
                <w:szCs w:val="21"/>
              </w:rPr>
              <w:t>）</w:t>
            </w:r>
          </w:p>
        </w:tc>
      </w:tr>
      <w:tr w:rsidR="009136B5">
        <w:tblPrEx>
          <w:tblCellMar>
            <w:left w:w="0" w:type="dxa"/>
            <w:right w:w="57" w:type="dxa"/>
          </w:tblCellMar>
        </w:tblPrEx>
        <w:tc>
          <w:tcPr>
            <w:tcW w:w="530" w:type="pct"/>
            <w:vAlign w:val="center"/>
          </w:tcPr>
          <w:p w:rsidR="009136B5" w:rsidRDefault="00000000">
            <w:pPr>
              <w:pStyle w:val="220"/>
              <w:jc w:val="right"/>
            </w:pPr>
            <w:r>
              <w:rPr>
                <w:rFonts w:hint="eastAsia"/>
              </w:rPr>
              <w:t>式中：</w:t>
            </w:r>
            <w:r>
              <w:rPr>
                <w:rFonts w:hint="eastAsia"/>
              </w:rPr>
              <w:t xml:space="preserve"> </w:t>
            </w:r>
            <w:r>
              <w:t xml:space="preserve">  </w:t>
            </w:r>
            <w:r>
              <w:rPr>
                <w:i/>
                <w:iCs/>
              </w:rPr>
              <w:t>N</w:t>
            </w:r>
          </w:p>
        </w:tc>
        <w:tc>
          <w:tcPr>
            <w:tcW w:w="379" w:type="pct"/>
            <w:vAlign w:val="center"/>
          </w:tcPr>
          <w:p w:rsidR="009136B5" w:rsidRDefault="00000000">
            <w:pPr>
              <w:pStyle w:val="220"/>
              <w:jc w:val="center"/>
            </w:pPr>
            <w:r>
              <w:t>——</w:t>
            </w:r>
          </w:p>
        </w:tc>
        <w:tc>
          <w:tcPr>
            <w:tcW w:w="4092" w:type="pct"/>
            <w:gridSpan w:val="3"/>
            <w:vAlign w:val="center"/>
          </w:tcPr>
          <w:p w:rsidR="009136B5" w:rsidRDefault="00000000">
            <w:pPr>
              <w:widowControl/>
              <w:ind w:firstLineChars="0" w:firstLine="0"/>
              <w:jc w:val="left"/>
              <w:rPr>
                <w:kern w:val="0"/>
                <w:szCs w:val="21"/>
              </w:rPr>
            </w:pPr>
            <w:r>
              <w:rPr>
                <w:rFonts w:hint="eastAsia"/>
                <w:kern w:val="0"/>
                <w:szCs w:val="21"/>
              </w:rPr>
              <w:t>桩的受压承载力设计值（</w:t>
            </w:r>
            <w:r>
              <w:rPr>
                <w:rFonts w:hint="eastAsia"/>
                <w:kern w:val="0"/>
                <w:szCs w:val="21"/>
              </w:rPr>
              <w:t>N</w:t>
            </w:r>
            <w:r>
              <w:rPr>
                <w:rFonts w:hint="eastAsia"/>
                <w:kern w:val="0"/>
                <w:szCs w:val="21"/>
              </w:rPr>
              <w:t>）。</w:t>
            </w:r>
          </w:p>
        </w:tc>
      </w:tr>
    </w:tbl>
    <w:p w:rsidR="009136B5" w:rsidRDefault="00000000">
      <w:pPr>
        <w:pStyle w:val="xxx"/>
      </w:pPr>
      <w:r>
        <w:rPr>
          <w:rFonts w:hint="eastAsia"/>
          <w:b/>
          <w:bCs/>
        </w:rPr>
        <w:t>4</w:t>
      </w:r>
      <w:r>
        <w:rPr>
          <w:b/>
          <w:bCs/>
        </w:rPr>
        <w:t>.3.</w:t>
      </w:r>
      <w:r>
        <w:rPr>
          <w:rFonts w:hint="eastAsia"/>
          <w:b/>
          <w:bCs/>
        </w:rPr>
        <w:t>19</w:t>
      </w:r>
      <w:r>
        <w:rPr>
          <w:b/>
          <w:bCs/>
        </w:rPr>
        <w:t xml:space="preserve"> </w:t>
      </w:r>
      <w:r>
        <w:t xml:space="preserve"> </w:t>
      </w:r>
      <w:r>
        <w:rPr>
          <w:rFonts w:hint="eastAsia"/>
        </w:rPr>
        <w:t>托换桩宜选择较硬土层作为桩端持力层。桩端全截面进入持力层的深度，对于黏性土、粉土不宜小于</w:t>
      </w:r>
      <w:r>
        <w:t>2d</w:t>
      </w:r>
      <w:r>
        <w:rPr>
          <w:rFonts w:hint="eastAsia"/>
        </w:rPr>
        <w:t>，砂土不宜小于</w:t>
      </w:r>
      <w:r>
        <w:t>1.5d</w:t>
      </w:r>
      <w:r>
        <w:rPr>
          <w:rFonts w:hint="eastAsia"/>
        </w:rPr>
        <w:t>，碎石类土，不宜小于</w:t>
      </w:r>
      <w:r>
        <w:t>1d</w:t>
      </w:r>
      <w:r>
        <w:rPr>
          <w:rFonts w:hint="eastAsia"/>
        </w:rPr>
        <w:t>。当存在软弱下卧层时，桩端以下硬持力层厚度不宜小于</w:t>
      </w:r>
      <w:r>
        <w:t>3d</w:t>
      </w:r>
      <w:r>
        <w:rPr>
          <w:rFonts w:hint="eastAsia"/>
        </w:rPr>
        <w:t>。</w:t>
      </w:r>
    </w:p>
    <w:p w:rsidR="009136B5" w:rsidRDefault="00000000">
      <w:pPr>
        <w:pStyle w:val="xxx"/>
        <w:rPr>
          <w:color w:val="000000"/>
        </w:rPr>
      </w:pPr>
      <w:r>
        <w:rPr>
          <w:rFonts w:hint="eastAsia"/>
          <w:b/>
          <w:bCs/>
        </w:rPr>
        <w:t>4</w:t>
      </w:r>
      <w:r>
        <w:rPr>
          <w:b/>
          <w:bCs/>
        </w:rPr>
        <w:t>.3.</w:t>
      </w:r>
      <w:r>
        <w:rPr>
          <w:rFonts w:hint="eastAsia"/>
          <w:b/>
          <w:bCs/>
        </w:rPr>
        <w:t>20</w:t>
      </w:r>
      <w:r>
        <w:t xml:space="preserve">  </w:t>
      </w:r>
      <w:r>
        <w:rPr>
          <w:rFonts w:hint="eastAsia"/>
        </w:rPr>
        <w:t>锚杆静压桩适用于淤泥、淤泥质土、黏性土、粉土、人工填土和湿陷性黄土等地下增层基础托换。当地基土中含有坚硬黏性土或密实的砂土夹层时，应根据现场试验确定其适用性。</w:t>
      </w:r>
      <w:r>
        <w:rPr>
          <w:rFonts w:hint="eastAsia"/>
          <w:color w:val="000000"/>
        </w:rPr>
        <w:t>锚杆静压桩的设计应符合下列规定：</w:t>
      </w:r>
    </w:p>
    <w:p w:rsidR="009136B5" w:rsidRDefault="00000000">
      <w:pPr>
        <w:pStyle w:val="x"/>
        <w:ind w:firstLine="316"/>
      </w:pPr>
      <w:r>
        <w:rPr>
          <w:b/>
        </w:rPr>
        <w:t>1</w:t>
      </w:r>
      <w:r>
        <w:t xml:space="preserve">  </w:t>
      </w:r>
      <w:r>
        <w:rPr>
          <w:rFonts w:hint="eastAsia"/>
        </w:rPr>
        <w:t>桩型可采用直径为</w:t>
      </w:r>
      <w:r>
        <w:t>200mm</w:t>
      </w:r>
      <w:r>
        <w:rPr>
          <w:rFonts w:hint="eastAsia"/>
        </w:rPr>
        <w:t>～</w:t>
      </w:r>
      <w:r>
        <w:t>600mm</w:t>
      </w:r>
      <w:r>
        <w:rPr>
          <w:rFonts w:hint="eastAsia"/>
        </w:rPr>
        <w:t>的开口钢管、或边长为</w:t>
      </w:r>
      <w:r>
        <w:t>200mm</w:t>
      </w:r>
      <w:r>
        <w:rPr>
          <w:rFonts w:hint="eastAsia"/>
        </w:rPr>
        <w:t>～</w:t>
      </w:r>
      <w:r>
        <w:t>400mm</w:t>
      </w:r>
      <w:r>
        <w:rPr>
          <w:rFonts w:hint="eastAsia"/>
        </w:rPr>
        <w:t>的预制钢筋混凝土方桩；当建筑的保护要求较高时，宜采用开口钢管。</w:t>
      </w:r>
    </w:p>
    <w:p w:rsidR="009136B5" w:rsidRDefault="00000000">
      <w:pPr>
        <w:pStyle w:val="x"/>
        <w:ind w:firstLine="316"/>
      </w:pPr>
      <w:r>
        <w:rPr>
          <w:b/>
        </w:rPr>
        <w:t>2</w:t>
      </w:r>
      <w:r>
        <w:t xml:space="preserve">  </w:t>
      </w:r>
      <w:r>
        <w:rPr>
          <w:rFonts w:hint="eastAsia"/>
        </w:rPr>
        <w:t>选用钢管桩时，应采取有效的防腐处理或通过考虑管壁腐蚀厚度进行相应加固设计。</w:t>
      </w:r>
    </w:p>
    <w:p w:rsidR="009136B5" w:rsidRDefault="00000000">
      <w:pPr>
        <w:pStyle w:val="x"/>
        <w:ind w:firstLine="316"/>
      </w:pPr>
      <w:r>
        <w:rPr>
          <w:b/>
        </w:rPr>
        <w:t>3</w:t>
      </w:r>
      <w:r>
        <w:t xml:space="preserve">  </w:t>
      </w:r>
      <w:r>
        <w:rPr>
          <w:rFonts w:hint="eastAsia"/>
        </w:rPr>
        <w:t>每节桩长宜为</w:t>
      </w:r>
      <w:r>
        <w:rPr>
          <w:rFonts w:hint="eastAsia"/>
        </w:rPr>
        <w:t>1</w:t>
      </w:r>
      <w:r>
        <w:t>.5m~3</w:t>
      </w:r>
      <w:r>
        <w:rPr>
          <w:rFonts w:hint="eastAsia"/>
        </w:rPr>
        <w:t>m</w:t>
      </w:r>
      <w:r>
        <w:rPr>
          <w:rFonts w:hint="eastAsia"/>
        </w:rPr>
        <w:t>，长细比不应大于</w:t>
      </w:r>
      <w:r>
        <w:rPr>
          <w:rFonts w:hint="eastAsia"/>
        </w:rPr>
        <w:t>130</w:t>
      </w:r>
      <w:r>
        <w:rPr>
          <w:rFonts w:hint="eastAsia"/>
        </w:rPr>
        <w:t>。接桩可采用焊接或螺纹式、啮合式、卡扣式、抱箍式等机械快速连接方式。当采用机械连接时，连接处可按构造封闭焊接作为桩身检测时传递脉冲信号使用和满足防水功能。</w:t>
      </w:r>
    </w:p>
    <w:p w:rsidR="009136B5" w:rsidRDefault="00000000">
      <w:pPr>
        <w:pStyle w:val="x"/>
        <w:ind w:firstLine="316"/>
      </w:pPr>
      <w:r>
        <w:rPr>
          <w:b/>
        </w:rPr>
        <w:t>4</w:t>
      </w:r>
      <w:r>
        <w:t xml:space="preserve">  </w:t>
      </w:r>
      <w:r>
        <w:rPr>
          <w:rFonts w:hint="eastAsia"/>
        </w:rPr>
        <w:t>压桩孔应布置在墙体的内外两侧或柱子四周，宜避开门窗等墙体薄弱部位。压桩孔可预留，或在扩大基础上由人工或机械开凿，压桩孔宜做成上小下大的锥形。</w:t>
      </w:r>
    </w:p>
    <w:p w:rsidR="009136B5" w:rsidRDefault="00000000">
      <w:pPr>
        <w:pStyle w:val="x"/>
        <w:ind w:firstLine="316"/>
      </w:pPr>
      <w:r>
        <w:rPr>
          <w:b/>
        </w:rPr>
        <w:t>5</w:t>
      </w:r>
      <w:r>
        <w:t xml:space="preserve">  </w:t>
      </w:r>
      <w:r>
        <w:rPr>
          <w:rFonts w:hint="eastAsia"/>
        </w:rPr>
        <w:t>当利用锚固在基础底板或承台上的锚杆提供压桩力时，应对基础底板或承台的承载力进行验算；施工期间最大压桩力不应大于基础底板或承台设计允许拉力的</w:t>
      </w:r>
      <w:r>
        <w:rPr>
          <w:rFonts w:hint="eastAsia"/>
        </w:rPr>
        <w:t>80%</w:t>
      </w:r>
      <w:r>
        <w:rPr>
          <w:rFonts w:hint="eastAsia"/>
        </w:rPr>
        <w:t>。当既有建筑基础承载力和刚度不满足压桩要求时，应对基础进行加固补强，或采用新浇筑钢筋混凝土挑梁作为压桩承台。</w:t>
      </w:r>
    </w:p>
    <w:p w:rsidR="009136B5" w:rsidRDefault="00000000">
      <w:pPr>
        <w:pStyle w:val="x"/>
        <w:ind w:firstLine="316"/>
      </w:pPr>
      <w:r>
        <w:rPr>
          <w:b/>
        </w:rPr>
        <w:t>6</w:t>
      </w:r>
      <w:r>
        <w:t xml:space="preserve">  </w:t>
      </w:r>
      <w:r>
        <w:rPr>
          <w:rFonts w:hint="eastAsia"/>
        </w:rPr>
        <w:t>锚杆可采用带螺纹锚杆、端头带镦粗锚杆或带爪肢锚杆，材料为精制螺纹钢筋或螺栓。锚杆可采</w:t>
      </w:r>
      <w:r>
        <w:rPr>
          <w:rFonts w:hint="eastAsia"/>
        </w:rPr>
        <w:lastRenderedPageBreak/>
        <w:t>取钻孔埋设和预先埋设的方式，锚固深度宜为</w:t>
      </w:r>
      <w:r>
        <w:rPr>
          <w:rFonts w:hint="eastAsia"/>
        </w:rPr>
        <w:t>1</w:t>
      </w:r>
      <w:r>
        <w:t>2</w:t>
      </w:r>
      <w:r>
        <w:rPr>
          <w:rFonts w:hint="eastAsia"/>
        </w:rPr>
        <w:t>倍</w:t>
      </w:r>
      <w:r>
        <w:rPr>
          <w:rFonts w:hint="eastAsia"/>
        </w:rPr>
        <w:t>~1</w:t>
      </w:r>
      <w:r>
        <w:t>5</w:t>
      </w:r>
      <w:r>
        <w:rPr>
          <w:rFonts w:hint="eastAsia"/>
        </w:rPr>
        <w:t>倍锚杆直径。锚杆的锚固力应根据压桩反力确定，锚杆设置不应少于</w:t>
      </w:r>
      <w:r>
        <w:rPr>
          <w:rFonts w:hint="eastAsia"/>
        </w:rPr>
        <w:t>4</w:t>
      </w:r>
      <w:r>
        <w:rPr>
          <w:rFonts w:hint="eastAsia"/>
        </w:rPr>
        <w:t>根，锚杆的承载力应符合下式要求：</w:t>
      </w:r>
    </w:p>
    <w:tbl>
      <w:tblPr>
        <w:tblStyle w:val="afa"/>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4"/>
        <w:gridCol w:w="709"/>
        <w:gridCol w:w="1731"/>
        <w:gridCol w:w="3092"/>
        <w:gridCol w:w="2831"/>
      </w:tblGrid>
      <w:tr w:rsidR="009136B5">
        <w:trPr>
          <w:trHeight w:val="20"/>
        </w:trPr>
        <w:tc>
          <w:tcPr>
            <w:tcW w:w="1835" w:type="pct"/>
            <w:gridSpan w:val="3"/>
            <w:vAlign w:val="center"/>
          </w:tcPr>
          <w:p w:rsidR="009136B5" w:rsidRDefault="009136B5">
            <w:pPr>
              <w:pStyle w:val="x"/>
              <w:ind w:firstLineChars="0" w:firstLine="0"/>
              <w:jc w:val="center"/>
              <w:rPr>
                <w:szCs w:val="21"/>
              </w:rPr>
            </w:pPr>
          </w:p>
        </w:tc>
        <w:tc>
          <w:tcPr>
            <w:tcW w:w="1652" w:type="pct"/>
            <w:vAlign w:val="center"/>
          </w:tcPr>
          <w:p w:rsidR="009136B5" w:rsidRDefault="00000000">
            <w:pPr>
              <w:pStyle w:val="x"/>
              <w:ind w:firstLineChars="0" w:firstLine="0"/>
              <w:jc w:val="center"/>
              <w:rPr>
                <w:szCs w:val="21"/>
              </w:rPr>
            </w:pPr>
            <w:r>
              <w:rPr>
                <w:position w:val="-22"/>
              </w:rPr>
              <w:object w:dxaOrig="1698" w:dyaOrig="602">
                <v:shape id="_x0000_i1070" type="#_x0000_t75" style="width:85.15pt;height:30.05pt" o:ole="">
                  <v:imagedata r:id="rId114" o:title=""/>
                </v:shape>
                <o:OLEObject Type="Embed" ProgID="Equation.DSMT4" ShapeID="_x0000_i1070" DrawAspect="Content" ObjectID="_1735132848" r:id="rId115"/>
              </w:object>
            </w:r>
          </w:p>
        </w:tc>
        <w:tc>
          <w:tcPr>
            <w:tcW w:w="1513" w:type="pct"/>
            <w:vAlign w:val="center"/>
          </w:tcPr>
          <w:p w:rsidR="009136B5" w:rsidRDefault="00000000">
            <w:pPr>
              <w:pStyle w:val="x"/>
              <w:ind w:firstLineChars="0" w:firstLine="0"/>
              <w:jc w:val="right"/>
              <w:rPr>
                <w:szCs w:val="21"/>
              </w:rPr>
            </w:pPr>
            <w:r>
              <w:rPr>
                <w:rFonts w:hint="eastAsia"/>
                <w:szCs w:val="21"/>
              </w:rPr>
              <w:t>（</w:t>
            </w:r>
            <w:r>
              <w:rPr>
                <w:szCs w:val="21"/>
              </w:rPr>
              <w:t>4.3.20-1</w:t>
            </w:r>
            <w:r>
              <w:rPr>
                <w:rFonts w:hint="eastAsia"/>
                <w:szCs w:val="21"/>
              </w:rPr>
              <w:t>）</w:t>
            </w:r>
          </w:p>
        </w:tc>
      </w:tr>
      <w:tr w:rsidR="009136B5">
        <w:tblPrEx>
          <w:tblCellMar>
            <w:left w:w="0" w:type="dxa"/>
            <w:right w:w="57" w:type="dxa"/>
          </w:tblCellMar>
        </w:tblPrEx>
        <w:tc>
          <w:tcPr>
            <w:tcW w:w="531" w:type="pct"/>
            <w:vAlign w:val="center"/>
          </w:tcPr>
          <w:p w:rsidR="009136B5" w:rsidRDefault="00000000">
            <w:pPr>
              <w:pStyle w:val="220"/>
              <w:jc w:val="right"/>
            </w:pPr>
            <w:r>
              <w:rPr>
                <w:rFonts w:hint="eastAsia"/>
              </w:rPr>
              <w:t>式中：</w:t>
            </w:r>
            <w:r>
              <w:rPr>
                <w:rFonts w:hint="eastAsia"/>
              </w:rPr>
              <w:t xml:space="preserve"> </w:t>
            </w:r>
            <w:r>
              <w:rPr>
                <w:rFonts w:hint="eastAsia"/>
                <w:i/>
                <w:iCs/>
              </w:rPr>
              <w:t>K</w:t>
            </w:r>
            <w:r>
              <w:rPr>
                <w:vertAlign w:val="subscript"/>
              </w:rPr>
              <w:t>0</w:t>
            </w:r>
          </w:p>
        </w:tc>
        <w:tc>
          <w:tcPr>
            <w:tcW w:w="379" w:type="pct"/>
            <w:vAlign w:val="center"/>
          </w:tcPr>
          <w:p w:rsidR="009136B5" w:rsidRDefault="00000000">
            <w:pPr>
              <w:pStyle w:val="220"/>
              <w:jc w:val="center"/>
            </w:pPr>
            <w:r>
              <w:t>——</w:t>
            </w:r>
          </w:p>
        </w:tc>
        <w:tc>
          <w:tcPr>
            <w:tcW w:w="4090" w:type="pct"/>
            <w:gridSpan w:val="3"/>
            <w:vAlign w:val="center"/>
          </w:tcPr>
          <w:p w:rsidR="009136B5" w:rsidRDefault="00000000">
            <w:pPr>
              <w:widowControl/>
              <w:ind w:firstLineChars="0" w:firstLine="0"/>
              <w:jc w:val="left"/>
              <w:rPr>
                <w:kern w:val="0"/>
                <w:szCs w:val="21"/>
              </w:rPr>
            </w:pPr>
            <w:r>
              <w:rPr>
                <w:rFonts w:hint="eastAsia"/>
              </w:rPr>
              <w:t>安全系数</w:t>
            </w:r>
            <w:r>
              <w:t>，</w:t>
            </w:r>
            <w:r>
              <w:rPr>
                <w:rFonts w:hint="eastAsia"/>
              </w:rPr>
              <w:t>取</w:t>
            </w:r>
            <w:r>
              <w:rPr>
                <w:rFonts w:hint="eastAsia"/>
              </w:rPr>
              <w:t>1</w:t>
            </w:r>
            <w:r>
              <w:t>.2</w:t>
            </w:r>
            <w:r>
              <w:t>；</w:t>
            </w:r>
          </w:p>
        </w:tc>
      </w:tr>
      <w:tr w:rsidR="009136B5">
        <w:tblPrEx>
          <w:tblCellMar>
            <w:left w:w="0" w:type="dxa"/>
            <w:right w:w="57" w:type="dxa"/>
          </w:tblCellMar>
        </w:tblPrEx>
        <w:tc>
          <w:tcPr>
            <w:tcW w:w="531" w:type="pct"/>
            <w:vAlign w:val="center"/>
          </w:tcPr>
          <w:p w:rsidR="009136B5" w:rsidRDefault="00000000">
            <w:pPr>
              <w:pStyle w:val="220"/>
              <w:jc w:val="right"/>
            </w:pPr>
            <w:r>
              <w:rPr>
                <w:i/>
                <w:iCs/>
              </w:rPr>
              <w:t>P</w:t>
            </w:r>
            <w:r>
              <w:rPr>
                <w:rFonts w:hint="eastAsia"/>
                <w:vertAlign w:val="subscript"/>
              </w:rPr>
              <w:t>max</w:t>
            </w:r>
          </w:p>
        </w:tc>
        <w:tc>
          <w:tcPr>
            <w:tcW w:w="379" w:type="pct"/>
            <w:vAlign w:val="center"/>
          </w:tcPr>
          <w:p w:rsidR="009136B5" w:rsidRDefault="00000000">
            <w:pPr>
              <w:pStyle w:val="220"/>
              <w:jc w:val="center"/>
            </w:pPr>
            <w:r>
              <w:t>——</w:t>
            </w:r>
          </w:p>
        </w:tc>
        <w:tc>
          <w:tcPr>
            <w:tcW w:w="4090" w:type="pct"/>
            <w:gridSpan w:val="3"/>
            <w:vAlign w:val="center"/>
          </w:tcPr>
          <w:p w:rsidR="009136B5" w:rsidRDefault="00000000">
            <w:pPr>
              <w:autoSpaceDE w:val="0"/>
              <w:autoSpaceDN w:val="0"/>
              <w:adjustRightInd w:val="0"/>
              <w:ind w:firstLineChars="0" w:firstLine="0"/>
            </w:pPr>
            <w:r>
              <w:rPr>
                <w:rFonts w:hint="eastAsia"/>
              </w:rPr>
              <w:t>最大压桩力设计值（</w:t>
            </w:r>
            <w:proofErr w:type="spellStart"/>
            <w:r>
              <w:rPr>
                <w:rFonts w:hint="eastAsia"/>
              </w:rPr>
              <w:t>k</w:t>
            </w:r>
            <w:r>
              <w:t>N</w:t>
            </w:r>
            <w:proofErr w:type="spellEnd"/>
            <w:r>
              <w:rPr>
                <w:rFonts w:hint="eastAsia"/>
              </w:rPr>
              <w:t>）</w:t>
            </w:r>
            <w:r>
              <w:t>；</w:t>
            </w:r>
          </w:p>
        </w:tc>
      </w:tr>
      <w:tr w:rsidR="009136B5">
        <w:tblPrEx>
          <w:tblCellMar>
            <w:left w:w="0" w:type="dxa"/>
            <w:right w:w="57" w:type="dxa"/>
          </w:tblCellMar>
        </w:tblPrEx>
        <w:tc>
          <w:tcPr>
            <w:tcW w:w="531" w:type="pct"/>
            <w:vAlign w:val="center"/>
          </w:tcPr>
          <w:p w:rsidR="009136B5" w:rsidRDefault="00000000">
            <w:pPr>
              <w:pStyle w:val="220"/>
              <w:jc w:val="right"/>
            </w:pPr>
            <w:r>
              <w:rPr>
                <w:rFonts w:hint="eastAsia"/>
                <w:i/>
                <w:iCs/>
              </w:rPr>
              <w:t>n</w:t>
            </w:r>
            <w:r>
              <w:rPr>
                <w:vertAlign w:val="subscript"/>
              </w:rPr>
              <w:t>0</w:t>
            </w:r>
          </w:p>
        </w:tc>
        <w:tc>
          <w:tcPr>
            <w:tcW w:w="379" w:type="pct"/>
            <w:vAlign w:val="center"/>
          </w:tcPr>
          <w:p w:rsidR="009136B5" w:rsidRDefault="00000000">
            <w:pPr>
              <w:pStyle w:val="220"/>
              <w:jc w:val="center"/>
            </w:pPr>
            <w:r>
              <w:t>——</w:t>
            </w:r>
          </w:p>
        </w:tc>
        <w:tc>
          <w:tcPr>
            <w:tcW w:w="4090" w:type="pct"/>
            <w:gridSpan w:val="3"/>
            <w:vAlign w:val="center"/>
          </w:tcPr>
          <w:p w:rsidR="009136B5" w:rsidRDefault="00000000">
            <w:pPr>
              <w:autoSpaceDE w:val="0"/>
              <w:autoSpaceDN w:val="0"/>
              <w:adjustRightInd w:val="0"/>
              <w:ind w:firstLineChars="0" w:firstLine="0"/>
            </w:pPr>
            <w:r>
              <w:rPr>
                <w:rFonts w:hint="eastAsia"/>
              </w:rPr>
              <w:t>每个桩孔预埋锚杆数；</w:t>
            </w:r>
          </w:p>
        </w:tc>
      </w:tr>
      <w:tr w:rsidR="009136B5">
        <w:tblPrEx>
          <w:tblCellMar>
            <w:left w:w="0" w:type="dxa"/>
            <w:right w:w="57" w:type="dxa"/>
          </w:tblCellMar>
        </w:tblPrEx>
        <w:tc>
          <w:tcPr>
            <w:tcW w:w="531" w:type="pct"/>
            <w:vAlign w:val="center"/>
          </w:tcPr>
          <w:p w:rsidR="009136B5" w:rsidRDefault="00000000">
            <w:pPr>
              <w:pStyle w:val="220"/>
              <w:jc w:val="right"/>
            </w:pPr>
            <w:proofErr w:type="spellStart"/>
            <w:r>
              <w:rPr>
                <w:rFonts w:hint="eastAsia"/>
                <w:i/>
                <w:iCs/>
              </w:rPr>
              <w:t>f</w:t>
            </w:r>
            <w:r>
              <w:rPr>
                <w:rFonts w:hint="eastAsia"/>
                <w:vertAlign w:val="subscript"/>
              </w:rPr>
              <w:t>y</w:t>
            </w:r>
            <w:proofErr w:type="spellEnd"/>
          </w:p>
        </w:tc>
        <w:tc>
          <w:tcPr>
            <w:tcW w:w="379" w:type="pct"/>
            <w:vAlign w:val="center"/>
          </w:tcPr>
          <w:p w:rsidR="009136B5" w:rsidRDefault="00000000">
            <w:pPr>
              <w:pStyle w:val="220"/>
              <w:jc w:val="center"/>
            </w:pPr>
            <w:r>
              <w:t>——</w:t>
            </w:r>
          </w:p>
        </w:tc>
        <w:tc>
          <w:tcPr>
            <w:tcW w:w="4090" w:type="pct"/>
            <w:gridSpan w:val="3"/>
            <w:vAlign w:val="center"/>
          </w:tcPr>
          <w:p w:rsidR="009136B5" w:rsidRDefault="00000000">
            <w:pPr>
              <w:widowControl/>
              <w:ind w:firstLineChars="0" w:firstLine="0"/>
              <w:jc w:val="left"/>
              <w:rPr>
                <w:kern w:val="0"/>
                <w:szCs w:val="21"/>
              </w:rPr>
            </w:pPr>
            <w:r>
              <w:rPr>
                <w:rFonts w:hint="eastAsia"/>
              </w:rPr>
              <w:t>锚杆抗拉强度设计值（</w:t>
            </w:r>
            <w:proofErr w:type="spellStart"/>
            <w:r>
              <w:rPr>
                <w:rFonts w:hint="eastAsia"/>
              </w:rPr>
              <w:t>k</w:t>
            </w:r>
            <w:r>
              <w:t>N</w:t>
            </w:r>
            <w:proofErr w:type="spellEnd"/>
            <w:r>
              <w:t>/</w:t>
            </w:r>
            <w:r>
              <w:rPr>
                <w:rFonts w:hint="eastAsia"/>
              </w:rPr>
              <w:t>mm</w:t>
            </w:r>
            <w:r>
              <w:rPr>
                <w:vertAlign w:val="superscript"/>
              </w:rPr>
              <w:t>2</w:t>
            </w:r>
            <w:r>
              <w:rPr>
                <w:rFonts w:hint="eastAsia"/>
              </w:rPr>
              <w:t>）；</w:t>
            </w:r>
          </w:p>
        </w:tc>
      </w:tr>
      <w:tr w:rsidR="009136B5">
        <w:tblPrEx>
          <w:tblCellMar>
            <w:left w:w="0" w:type="dxa"/>
            <w:right w:w="57" w:type="dxa"/>
          </w:tblCellMar>
        </w:tblPrEx>
        <w:tc>
          <w:tcPr>
            <w:tcW w:w="531" w:type="pct"/>
          </w:tcPr>
          <w:p w:rsidR="009136B5" w:rsidRDefault="00000000">
            <w:pPr>
              <w:pStyle w:val="220"/>
              <w:jc w:val="right"/>
            </w:pPr>
            <w:r>
              <w:rPr>
                <w:position w:val="-6"/>
              </w:rPr>
              <w:object w:dxaOrig="258" w:dyaOrig="258">
                <v:shape id="_x0000_i1071" type="#_x0000_t75" style="width:13.15pt;height:13.15pt" o:ole="">
                  <v:imagedata r:id="rId116" o:title=""/>
                </v:shape>
                <o:OLEObject Type="Embed" ProgID="Equation.DSMT4" ShapeID="_x0000_i1071" DrawAspect="Content" ObjectID="_1735132849" r:id="rId117"/>
              </w:object>
            </w:r>
          </w:p>
        </w:tc>
        <w:tc>
          <w:tcPr>
            <w:tcW w:w="379" w:type="pct"/>
          </w:tcPr>
          <w:p w:rsidR="009136B5" w:rsidRDefault="00000000">
            <w:pPr>
              <w:pStyle w:val="220"/>
              <w:jc w:val="center"/>
            </w:pPr>
            <w:r>
              <w:t>——</w:t>
            </w:r>
          </w:p>
        </w:tc>
        <w:tc>
          <w:tcPr>
            <w:tcW w:w="4090" w:type="pct"/>
            <w:gridSpan w:val="3"/>
            <w:vAlign w:val="center"/>
          </w:tcPr>
          <w:p w:rsidR="009136B5" w:rsidRDefault="00000000">
            <w:pPr>
              <w:widowControl/>
              <w:ind w:firstLineChars="0" w:firstLine="0"/>
              <w:jc w:val="left"/>
              <w:rPr>
                <w:kern w:val="0"/>
                <w:szCs w:val="21"/>
              </w:rPr>
            </w:pPr>
            <w:r>
              <w:rPr>
                <w:rFonts w:hint="eastAsia"/>
              </w:rPr>
              <w:t>锚杆直径（</w:t>
            </w:r>
            <w:r>
              <w:rPr>
                <w:rFonts w:hint="eastAsia"/>
              </w:rPr>
              <w:t>mm</w:t>
            </w:r>
            <w:r>
              <w:rPr>
                <w:rFonts w:hint="eastAsia"/>
              </w:rPr>
              <w:t>）。</w:t>
            </w:r>
          </w:p>
        </w:tc>
      </w:tr>
    </w:tbl>
    <w:p w:rsidR="009136B5" w:rsidRDefault="00000000">
      <w:pPr>
        <w:pStyle w:val="x"/>
        <w:ind w:firstLine="316"/>
      </w:pPr>
      <w:r>
        <w:rPr>
          <w:b/>
        </w:rPr>
        <w:t>7</w:t>
      </w:r>
      <w:r>
        <w:t xml:space="preserve">  </w:t>
      </w:r>
      <w:r>
        <w:rPr>
          <w:rFonts w:hint="eastAsia"/>
        </w:rPr>
        <w:t>锚杆与压桩孔的间距、</w:t>
      </w:r>
      <w:r>
        <w:rPr>
          <w:rFonts w:hint="eastAsia"/>
        </w:rPr>
        <w:t xml:space="preserve"> </w:t>
      </w:r>
      <w:r>
        <w:rPr>
          <w:rFonts w:hint="eastAsia"/>
        </w:rPr>
        <w:t>锚杆与周围结构的最小间距以及锚杆或压桩孔边缘至基础承台边缘的最小间距宜符合下列规定</w:t>
      </w:r>
      <w:r>
        <w:rPr>
          <w:rFonts w:hint="eastAsia"/>
        </w:rPr>
        <w:t>(</w:t>
      </w:r>
      <w:r>
        <w:rPr>
          <w:rFonts w:hint="eastAsia"/>
        </w:rPr>
        <w:t>图</w:t>
      </w:r>
      <w:r>
        <w:t>4</w:t>
      </w:r>
      <w:r>
        <w:rPr>
          <w:rFonts w:hint="eastAsia"/>
        </w:rPr>
        <w:t>.</w:t>
      </w:r>
      <w:r>
        <w:t>3</w:t>
      </w:r>
      <w:r>
        <w:rPr>
          <w:rFonts w:hint="eastAsia"/>
        </w:rPr>
        <w:t>.</w:t>
      </w:r>
      <w:r>
        <w:t>20</w:t>
      </w:r>
      <w:r>
        <w:rPr>
          <w:rFonts w:hint="eastAsia"/>
        </w:rPr>
        <w:t>):</w:t>
      </w:r>
    </w:p>
    <w:p w:rsidR="009136B5" w:rsidRDefault="00000000">
      <w:pPr>
        <w:pStyle w:val="affffb"/>
      </w:pPr>
      <w:r>
        <w:object w:dxaOrig="7522" w:dyaOrig="3772">
          <v:shape id="_x0000_i1072" type="#_x0000_t75" style="width:375.65pt;height:189.1pt" o:ole="">
            <v:imagedata r:id="rId118" o:title="" croptop="15821f" cropbottom="29666f" cropleft="13972f" cropright="28832f"/>
          </v:shape>
          <o:OLEObject Type="Embed" ProgID="AutoCAD.Drawing.23" ShapeID="_x0000_i1072" DrawAspect="Content" ObjectID="_1735132850" r:id="rId119"/>
        </w:object>
      </w:r>
    </w:p>
    <w:p w:rsidR="009136B5" w:rsidRDefault="00000000">
      <w:pPr>
        <w:pStyle w:val="affffb"/>
      </w:pPr>
      <w:r>
        <w:rPr>
          <w:sz w:val="22"/>
        </w:rPr>
        <w:t>（</w:t>
      </w:r>
      <w:r>
        <w:t>a</w:t>
      </w:r>
      <w:r>
        <w:rPr>
          <w:rFonts w:hint="eastAsia"/>
        </w:rPr>
        <w:t>）锚杆与压桩孔的间距要求</w:t>
      </w:r>
      <w:r>
        <w:t xml:space="preserve">            </w:t>
      </w:r>
      <w:r>
        <w:rPr>
          <w:rFonts w:hint="eastAsia"/>
        </w:rPr>
        <w:t>（</w:t>
      </w:r>
      <w:r>
        <w:t>b</w:t>
      </w:r>
      <w:r>
        <w:rPr>
          <w:rFonts w:hint="eastAsia"/>
        </w:rPr>
        <w:t>）锚杆与周围结构的最小间距</w:t>
      </w:r>
    </w:p>
    <w:p w:rsidR="009136B5" w:rsidRDefault="00000000">
      <w:pPr>
        <w:pStyle w:val="affffb"/>
      </w:pPr>
      <w:r>
        <w:object w:dxaOrig="4417" w:dyaOrig="3364">
          <v:shape id="_x0000_i1073" type="#_x0000_t75" style="width:220.4pt;height:168.4pt" o:ole="">
            <v:imagedata r:id="rId120" o:title="" croptop="29188f" cropbottom="19886f" cropleft="28306f" cropright="25729f"/>
          </v:shape>
          <o:OLEObject Type="Embed" ProgID="AutoCAD.Drawing.23" ShapeID="_x0000_i1073" DrawAspect="Content" ObjectID="_1735132851" r:id="rId121"/>
        </w:object>
      </w:r>
    </w:p>
    <w:p w:rsidR="009136B5" w:rsidRDefault="00000000">
      <w:pPr>
        <w:pStyle w:val="affffb"/>
      </w:pPr>
      <w:r>
        <w:rPr>
          <w:rFonts w:hint="eastAsia"/>
        </w:rPr>
        <w:t>(c)</w:t>
      </w:r>
      <w:r>
        <w:rPr>
          <w:rFonts w:hint="eastAsia"/>
        </w:rPr>
        <w:t>锚杆或压桩孔边缘至基础承台边缘的最小间距</w:t>
      </w:r>
    </w:p>
    <w:p w:rsidR="009136B5" w:rsidRDefault="00000000">
      <w:pPr>
        <w:pStyle w:val="affffb"/>
      </w:pPr>
      <w:r>
        <w:rPr>
          <w:rFonts w:hint="eastAsia"/>
        </w:rPr>
        <w:t>图</w:t>
      </w:r>
      <w:r>
        <w:t>4</w:t>
      </w:r>
      <w:r>
        <w:rPr>
          <w:rFonts w:hint="eastAsia"/>
        </w:rPr>
        <w:t>.</w:t>
      </w:r>
      <w:r>
        <w:t>3</w:t>
      </w:r>
      <w:r>
        <w:rPr>
          <w:rFonts w:hint="eastAsia"/>
        </w:rPr>
        <w:t>.</w:t>
      </w:r>
      <w:r>
        <w:t>20</w:t>
      </w:r>
      <w:r>
        <w:rPr>
          <w:rFonts w:hint="eastAsia"/>
        </w:rPr>
        <w:t>锚杆与压桩孔布置构造要求</w:t>
      </w:r>
    </w:p>
    <w:p w:rsidR="009136B5" w:rsidRDefault="00000000">
      <w:pPr>
        <w:pStyle w:val="affffb"/>
      </w:pPr>
      <w:r>
        <w:rPr>
          <w:rFonts w:hint="eastAsia"/>
          <w:b w:val="0"/>
          <w:bCs w:val="0"/>
        </w:rPr>
        <w:t>1-</w:t>
      </w:r>
      <w:r>
        <w:rPr>
          <w:rFonts w:hint="eastAsia"/>
          <w:b w:val="0"/>
          <w:bCs w:val="0"/>
        </w:rPr>
        <w:t>锚杆；</w:t>
      </w:r>
      <w:r>
        <w:rPr>
          <w:rFonts w:hint="eastAsia"/>
          <w:b w:val="0"/>
          <w:bCs w:val="0"/>
        </w:rPr>
        <w:t>2-</w:t>
      </w:r>
      <w:r>
        <w:rPr>
          <w:rFonts w:hint="eastAsia"/>
          <w:b w:val="0"/>
          <w:bCs w:val="0"/>
        </w:rPr>
        <w:t>压桩孔；</w:t>
      </w:r>
      <w:r>
        <w:rPr>
          <w:rFonts w:hint="eastAsia"/>
          <w:b w:val="0"/>
          <w:bCs w:val="0"/>
        </w:rPr>
        <w:t>3-</w:t>
      </w:r>
      <w:r>
        <w:rPr>
          <w:rFonts w:hint="eastAsia"/>
          <w:b w:val="0"/>
          <w:bCs w:val="0"/>
        </w:rPr>
        <w:t>高出基础承台表面的结构；</w:t>
      </w:r>
      <w:r>
        <w:rPr>
          <w:rFonts w:hint="eastAsia"/>
          <w:b w:val="0"/>
          <w:bCs w:val="0"/>
        </w:rPr>
        <w:t>4-</w:t>
      </w:r>
      <w:r>
        <w:rPr>
          <w:rFonts w:hint="eastAsia"/>
          <w:b w:val="0"/>
          <w:bCs w:val="0"/>
        </w:rPr>
        <w:t>基础承台边缘</w:t>
      </w:r>
    </w:p>
    <w:p w:rsidR="009136B5" w:rsidRDefault="00000000">
      <w:pPr>
        <w:pStyle w:val="x1"/>
        <w:ind w:firstLine="630"/>
      </w:pPr>
      <w:r>
        <w:rPr>
          <w:rFonts w:hint="eastAsia"/>
        </w:rPr>
        <w:t>1</w:t>
      </w:r>
      <w:r>
        <w:rPr>
          <w:rFonts w:hint="eastAsia"/>
        </w:rPr>
        <w:t>）锚杆与压桩孔的间距不宜小于</w:t>
      </w:r>
      <w:r>
        <w:rPr>
          <w:rFonts w:hint="eastAsia"/>
        </w:rPr>
        <w:t>150mm</w:t>
      </w:r>
      <w:r>
        <w:rPr>
          <w:rFonts w:hint="eastAsia"/>
        </w:rPr>
        <w:t>；</w:t>
      </w:r>
    </w:p>
    <w:p w:rsidR="009136B5" w:rsidRDefault="00000000">
      <w:pPr>
        <w:pStyle w:val="x1"/>
        <w:ind w:firstLine="630"/>
      </w:pPr>
      <w:r>
        <w:rPr>
          <w:rFonts w:hint="eastAsia"/>
        </w:rPr>
        <w:t>2</w:t>
      </w:r>
      <w:r>
        <w:rPr>
          <w:rFonts w:hint="eastAsia"/>
        </w:rPr>
        <w:t>）锚杆与周围结构的最小间距不宜小于</w:t>
      </w:r>
      <w:r>
        <w:rPr>
          <w:rFonts w:hint="eastAsia"/>
        </w:rPr>
        <w:t>100mm</w:t>
      </w:r>
      <w:r>
        <w:rPr>
          <w:rFonts w:hint="eastAsia"/>
        </w:rPr>
        <w:t>；</w:t>
      </w:r>
    </w:p>
    <w:p w:rsidR="009136B5" w:rsidRDefault="00000000">
      <w:pPr>
        <w:pStyle w:val="x1"/>
        <w:ind w:firstLine="630"/>
      </w:pPr>
      <w:r>
        <w:rPr>
          <w:rFonts w:hint="eastAsia"/>
        </w:rPr>
        <w:lastRenderedPageBreak/>
        <w:t>3</w:t>
      </w:r>
      <w:r>
        <w:rPr>
          <w:rFonts w:hint="eastAsia"/>
        </w:rPr>
        <w:t>）锚杆或压桩孔边缘与基础承台边缘的最小间距不宜小于</w:t>
      </w:r>
      <w:r>
        <w:rPr>
          <w:rFonts w:hint="eastAsia"/>
        </w:rPr>
        <w:t>200mm</w:t>
      </w:r>
      <w:r>
        <w:rPr>
          <w:rFonts w:hint="eastAsia"/>
        </w:rPr>
        <w:t>。</w:t>
      </w:r>
    </w:p>
    <w:p w:rsidR="009136B5" w:rsidRDefault="00000000">
      <w:pPr>
        <w:pStyle w:val="x"/>
        <w:ind w:firstLine="316"/>
      </w:pPr>
      <w:r>
        <w:rPr>
          <w:b/>
        </w:rPr>
        <w:t>8</w:t>
      </w:r>
      <w:r>
        <w:t xml:space="preserve">  </w:t>
      </w:r>
      <w:r>
        <w:rPr>
          <w:rFonts w:hint="eastAsia"/>
        </w:rPr>
        <w:t>钢管桩的承载</w:t>
      </w:r>
      <w:r>
        <w:t>力</w:t>
      </w:r>
      <w:r>
        <w:rPr>
          <w:rFonts w:hint="eastAsia"/>
        </w:rPr>
        <w:t>应计入</w:t>
      </w:r>
      <w:r>
        <w:t>土塞效</w:t>
      </w:r>
      <w:r>
        <w:rPr>
          <w:rFonts w:hint="eastAsia"/>
        </w:rPr>
        <w:t>应</w:t>
      </w:r>
      <w:r>
        <w:t>的影响</w:t>
      </w:r>
      <w:r>
        <w:rPr>
          <w:rFonts w:hint="eastAsia"/>
        </w:rPr>
        <w:t>并按</w:t>
      </w:r>
      <w:r>
        <w:t>下式</w:t>
      </w:r>
      <w:r>
        <w:rPr>
          <w:rFonts w:hint="eastAsia"/>
        </w:rPr>
        <w:t>进行估算</w:t>
      </w:r>
      <w:r>
        <w:t>：</w:t>
      </w:r>
    </w:p>
    <w:p w:rsidR="009136B5" w:rsidRDefault="009136B5">
      <w:pPr>
        <w:pStyle w:val="x"/>
        <w:ind w:firstLine="315"/>
      </w:pPr>
    </w:p>
    <w:tbl>
      <w:tblPr>
        <w:tblStyle w:val="afa"/>
        <w:tblW w:w="9394"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0"/>
        <w:gridCol w:w="567"/>
        <w:gridCol w:w="1751"/>
        <w:gridCol w:w="3117"/>
        <w:gridCol w:w="3061"/>
        <w:gridCol w:w="8"/>
      </w:tblGrid>
      <w:tr w:rsidR="009136B5">
        <w:trPr>
          <w:trHeight w:val="20"/>
        </w:trPr>
        <w:tc>
          <w:tcPr>
            <w:tcW w:w="3208" w:type="dxa"/>
            <w:gridSpan w:val="3"/>
            <w:vAlign w:val="center"/>
          </w:tcPr>
          <w:p w:rsidR="009136B5" w:rsidRDefault="009136B5">
            <w:pPr>
              <w:pStyle w:val="x"/>
              <w:ind w:firstLineChars="0" w:firstLine="0"/>
              <w:jc w:val="center"/>
              <w:rPr>
                <w:szCs w:val="21"/>
              </w:rPr>
            </w:pPr>
          </w:p>
        </w:tc>
        <w:tc>
          <w:tcPr>
            <w:tcW w:w="3117" w:type="dxa"/>
            <w:vAlign w:val="center"/>
          </w:tcPr>
          <w:p w:rsidR="009136B5" w:rsidRDefault="00000000">
            <w:pPr>
              <w:pStyle w:val="x"/>
              <w:ind w:firstLineChars="0" w:firstLine="0"/>
              <w:jc w:val="center"/>
              <w:rPr>
                <w:szCs w:val="21"/>
              </w:rPr>
            </w:pPr>
            <w:r>
              <w:rPr>
                <w:position w:val="-14"/>
              </w:rPr>
              <w:object w:dxaOrig="2106" w:dyaOrig="376">
                <v:shape id="_x0000_i1074" type="#_x0000_t75" style="width:105.8pt;height:18.8pt" o:ole="">
                  <v:imagedata r:id="rId122" o:title=""/>
                </v:shape>
                <o:OLEObject Type="Embed" ProgID="Equation.DSMT4" ShapeID="_x0000_i1074" DrawAspect="Content" ObjectID="_1735132852" r:id="rId123"/>
              </w:object>
            </w:r>
          </w:p>
        </w:tc>
        <w:tc>
          <w:tcPr>
            <w:tcW w:w="3069" w:type="dxa"/>
            <w:gridSpan w:val="2"/>
            <w:vAlign w:val="center"/>
          </w:tcPr>
          <w:p w:rsidR="009136B5" w:rsidRDefault="00000000">
            <w:pPr>
              <w:pStyle w:val="x"/>
              <w:ind w:firstLineChars="0" w:firstLine="0"/>
              <w:jc w:val="right"/>
              <w:rPr>
                <w:szCs w:val="21"/>
              </w:rPr>
            </w:pPr>
            <w:r>
              <w:rPr>
                <w:rFonts w:hint="eastAsia"/>
                <w:szCs w:val="21"/>
              </w:rPr>
              <w:t>（</w:t>
            </w:r>
            <w:r>
              <w:rPr>
                <w:szCs w:val="21"/>
              </w:rPr>
              <w:t>4.3.20-2</w:t>
            </w:r>
            <w:r>
              <w:rPr>
                <w:rFonts w:hint="eastAsia"/>
                <w:szCs w:val="21"/>
              </w:rPr>
              <w:t>）</w:t>
            </w:r>
          </w:p>
        </w:tc>
      </w:tr>
      <w:tr w:rsidR="009136B5">
        <w:tblPrEx>
          <w:tblCellMar>
            <w:left w:w="0" w:type="dxa"/>
            <w:right w:w="57" w:type="dxa"/>
          </w:tblCellMar>
        </w:tblPrEx>
        <w:trPr>
          <w:gridAfter w:val="1"/>
          <w:wAfter w:w="8" w:type="dxa"/>
        </w:trPr>
        <w:tc>
          <w:tcPr>
            <w:tcW w:w="890" w:type="dxa"/>
            <w:vAlign w:val="center"/>
          </w:tcPr>
          <w:p w:rsidR="009136B5" w:rsidRDefault="00000000">
            <w:pPr>
              <w:pStyle w:val="220"/>
              <w:jc w:val="right"/>
            </w:pPr>
            <w:r>
              <w:rPr>
                <w:rFonts w:hint="eastAsia"/>
              </w:rPr>
              <w:t>式中：</w:t>
            </w:r>
            <w:r>
              <w:rPr>
                <w:rFonts w:hint="eastAsia"/>
                <w:i/>
                <w:iCs/>
              </w:rPr>
              <w:t>u</w:t>
            </w:r>
          </w:p>
        </w:tc>
        <w:tc>
          <w:tcPr>
            <w:tcW w:w="567" w:type="dxa"/>
            <w:vAlign w:val="center"/>
          </w:tcPr>
          <w:p w:rsidR="009136B5" w:rsidRDefault="00000000">
            <w:pPr>
              <w:pStyle w:val="220"/>
              <w:jc w:val="center"/>
            </w:pPr>
            <w:r>
              <w:t>——</w:t>
            </w:r>
          </w:p>
        </w:tc>
        <w:tc>
          <w:tcPr>
            <w:tcW w:w="7929" w:type="dxa"/>
            <w:gridSpan w:val="3"/>
            <w:vAlign w:val="center"/>
          </w:tcPr>
          <w:p w:rsidR="009136B5" w:rsidRDefault="00000000">
            <w:pPr>
              <w:widowControl/>
              <w:ind w:firstLineChars="0" w:firstLine="0"/>
              <w:jc w:val="left"/>
              <w:rPr>
                <w:kern w:val="0"/>
                <w:szCs w:val="21"/>
              </w:rPr>
            </w:pPr>
            <w:r>
              <w:rPr>
                <w:rFonts w:hint="eastAsia"/>
              </w:rPr>
              <w:t>钢管桩周长</w:t>
            </w:r>
            <w:r>
              <w:t>；</w:t>
            </w:r>
          </w:p>
        </w:tc>
      </w:tr>
      <w:tr w:rsidR="009136B5">
        <w:tblPrEx>
          <w:tblCellMar>
            <w:left w:w="0" w:type="dxa"/>
            <w:right w:w="57" w:type="dxa"/>
          </w:tblCellMar>
        </w:tblPrEx>
        <w:trPr>
          <w:gridAfter w:val="1"/>
          <w:wAfter w:w="8" w:type="dxa"/>
        </w:trPr>
        <w:tc>
          <w:tcPr>
            <w:tcW w:w="890" w:type="dxa"/>
            <w:vAlign w:val="center"/>
          </w:tcPr>
          <w:p w:rsidR="009136B5" w:rsidRDefault="00000000">
            <w:pPr>
              <w:pStyle w:val="220"/>
              <w:jc w:val="right"/>
            </w:pPr>
            <w:proofErr w:type="spellStart"/>
            <w:r>
              <w:rPr>
                <w:rFonts w:hint="eastAsia"/>
                <w:i/>
                <w:iCs/>
              </w:rPr>
              <w:t>q</w:t>
            </w:r>
            <w:r>
              <w:rPr>
                <w:rFonts w:hint="eastAsia"/>
                <w:vertAlign w:val="subscript"/>
              </w:rPr>
              <w:t>sik</w:t>
            </w:r>
            <w:proofErr w:type="spellEnd"/>
          </w:p>
        </w:tc>
        <w:tc>
          <w:tcPr>
            <w:tcW w:w="567" w:type="dxa"/>
            <w:vAlign w:val="center"/>
          </w:tcPr>
          <w:p w:rsidR="009136B5" w:rsidRDefault="00000000">
            <w:pPr>
              <w:pStyle w:val="220"/>
              <w:jc w:val="center"/>
            </w:pPr>
            <w:r>
              <w:t>——</w:t>
            </w:r>
          </w:p>
        </w:tc>
        <w:tc>
          <w:tcPr>
            <w:tcW w:w="7929" w:type="dxa"/>
            <w:gridSpan w:val="3"/>
            <w:vAlign w:val="center"/>
          </w:tcPr>
          <w:p w:rsidR="009136B5" w:rsidRDefault="00000000">
            <w:pPr>
              <w:autoSpaceDE w:val="0"/>
              <w:autoSpaceDN w:val="0"/>
              <w:adjustRightInd w:val="0"/>
              <w:ind w:firstLineChars="0" w:firstLine="0"/>
            </w:pPr>
            <w:r>
              <w:rPr>
                <w:rFonts w:hint="eastAsia"/>
              </w:rPr>
              <w:t>单桩第</w:t>
            </w:r>
            <w:proofErr w:type="spellStart"/>
            <w:r>
              <w:rPr>
                <w:rFonts w:hint="eastAsia"/>
              </w:rPr>
              <w:t>i</w:t>
            </w:r>
            <w:proofErr w:type="spellEnd"/>
            <w:r>
              <w:rPr>
                <w:rFonts w:hint="eastAsia"/>
              </w:rPr>
              <w:t>层土的极限侧阻力标准值，取与混凝土预制桩相同值</w:t>
            </w:r>
            <w:r>
              <w:t>；</w:t>
            </w:r>
          </w:p>
        </w:tc>
      </w:tr>
      <w:tr w:rsidR="009136B5">
        <w:tblPrEx>
          <w:tblCellMar>
            <w:left w:w="0" w:type="dxa"/>
            <w:right w:w="57" w:type="dxa"/>
          </w:tblCellMar>
        </w:tblPrEx>
        <w:trPr>
          <w:gridAfter w:val="1"/>
          <w:wAfter w:w="8" w:type="dxa"/>
        </w:trPr>
        <w:tc>
          <w:tcPr>
            <w:tcW w:w="890" w:type="dxa"/>
            <w:vAlign w:val="center"/>
          </w:tcPr>
          <w:p w:rsidR="009136B5" w:rsidRDefault="00000000">
            <w:pPr>
              <w:pStyle w:val="220"/>
              <w:jc w:val="right"/>
            </w:pPr>
            <w:proofErr w:type="spellStart"/>
            <w:r>
              <w:rPr>
                <w:rFonts w:hint="eastAsia"/>
                <w:i/>
                <w:iCs/>
              </w:rPr>
              <w:t>q</w:t>
            </w:r>
            <w:r>
              <w:rPr>
                <w:rFonts w:hint="eastAsia"/>
                <w:vertAlign w:val="subscript"/>
              </w:rPr>
              <w:t>pk</w:t>
            </w:r>
            <w:proofErr w:type="spellEnd"/>
          </w:p>
        </w:tc>
        <w:tc>
          <w:tcPr>
            <w:tcW w:w="567" w:type="dxa"/>
            <w:vAlign w:val="center"/>
          </w:tcPr>
          <w:p w:rsidR="009136B5" w:rsidRDefault="00000000">
            <w:pPr>
              <w:pStyle w:val="220"/>
              <w:jc w:val="center"/>
            </w:pPr>
            <w:r>
              <w:t>——</w:t>
            </w:r>
          </w:p>
        </w:tc>
        <w:tc>
          <w:tcPr>
            <w:tcW w:w="7929" w:type="dxa"/>
            <w:gridSpan w:val="3"/>
            <w:vAlign w:val="center"/>
          </w:tcPr>
          <w:p w:rsidR="009136B5" w:rsidRDefault="00000000">
            <w:pPr>
              <w:autoSpaceDE w:val="0"/>
              <w:autoSpaceDN w:val="0"/>
              <w:adjustRightInd w:val="0"/>
              <w:ind w:firstLineChars="0" w:firstLine="0"/>
            </w:pPr>
            <w:r>
              <w:rPr>
                <w:rFonts w:hint="eastAsia"/>
              </w:rPr>
              <w:t>单桩极限端阻力标准值，取与混凝土预制桩相同值；</w:t>
            </w:r>
          </w:p>
        </w:tc>
      </w:tr>
      <w:tr w:rsidR="009136B5">
        <w:tblPrEx>
          <w:tblCellMar>
            <w:left w:w="0" w:type="dxa"/>
            <w:right w:w="57" w:type="dxa"/>
          </w:tblCellMar>
        </w:tblPrEx>
        <w:trPr>
          <w:gridAfter w:val="1"/>
          <w:wAfter w:w="8" w:type="dxa"/>
        </w:trPr>
        <w:tc>
          <w:tcPr>
            <w:tcW w:w="890" w:type="dxa"/>
            <w:vAlign w:val="center"/>
          </w:tcPr>
          <w:p w:rsidR="009136B5" w:rsidRDefault="00000000">
            <w:pPr>
              <w:pStyle w:val="220"/>
              <w:jc w:val="right"/>
            </w:pPr>
            <w:r>
              <w:rPr>
                <w:rFonts w:hint="eastAsia"/>
                <w:i/>
                <w:iCs/>
              </w:rPr>
              <w:t>l</w:t>
            </w:r>
            <w:r>
              <w:rPr>
                <w:rFonts w:hint="eastAsia"/>
                <w:vertAlign w:val="subscript"/>
              </w:rPr>
              <w:t>i</w:t>
            </w:r>
          </w:p>
        </w:tc>
        <w:tc>
          <w:tcPr>
            <w:tcW w:w="567" w:type="dxa"/>
            <w:vAlign w:val="center"/>
          </w:tcPr>
          <w:p w:rsidR="009136B5" w:rsidRDefault="00000000">
            <w:pPr>
              <w:pStyle w:val="220"/>
              <w:jc w:val="center"/>
            </w:pPr>
            <w:r>
              <w:t>——</w:t>
            </w:r>
          </w:p>
        </w:tc>
        <w:tc>
          <w:tcPr>
            <w:tcW w:w="7929" w:type="dxa"/>
            <w:gridSpan w:val="3"/>
            <w:vAlign w:val="center"/>
          </w:tcPr>
          <w:p w:rsidR="009136B5" w:rsidRDefault="00000000">
            <w:pPr>
              <w:widowControl/>
              <w:ind w:firstLineChars="0" w:firstLine="0"/>
              <w:jc w:val="left"/>
              <w:rPr>
                <w:kern w:val="0"/>
                <w:szCs w:val="21"/>
              </w:rPr>
            </w:pPr>
            <w:r>
              <w:rPr>
                <w:rFonts w:hint="eastAsia"/>
              </w:rPr>
              <w:t>第</w:t>
            </w:r>
            <w:proofErr w:type="spellStart"/>
            <w:r>
              <w:rPr>
                <w:rFonts w:hint="eastAsia"/>
                <w:i/>
                <w:iCs/>
              </w:rPr>
              <w:t>i</w:t>
            </w:r>
            <w:proofErr w:type="spellEnd"/>
            <w:r>
              <w:rPr>
                <w:rFonts w:hint="eastAsia"/>
              </w:rPr>
              <w:t>层土厚度；</w:t>
            </w:r>
          </w:p>
        </w:tc>
      </w:tr>
      <w:tr w:rsidR="009136B5">
        <w:tblPrEx>
          <w:tblCellMar>
            <w:left w:w="0" w:type="dxa"/>
            <w:right w:w="57" w:type="dxa"/>
          </w:tblCellMar>
        </w:tblPrEx>
        <w:trPr>
          <w:gridAfter w:val="1"/>
          <w:wAfter w:w="8" w:type="dxa"/>
        </w:trPr>
        <w:tc>
          <w:tcPr>
            <w:tcW w:w="890" w:type="dxa"/>
          </w:tcPr>
          <w:p w:rsidR="009136B5" w:rsidRDefault="00000000">
            <w:pPr>
              <w:pStyle w:val="220"/>
              <w:jc w:val="right"/>
            </w:pPr>
            <w:r>
              <w:rPr>
                <w:i/>
                <w:iCs/>
              </w:rPr>
              <w:t>A</w:t>
            </w:r>
            <w:r>
              <w:rPr>
                <w:rFonts w:hint="eastAsia"/>
                <w:vertAlign w:val="subscript"/>
              </w:rPr>
              <w:t>p</w:t>
            </w:r>
          </w:p>
        </w:tc>
        <w:tc>
          <w:tcPr>
            <w:tcW w:w="567" w:type="dxa"/>
          </w:tcPr>
          <w:p w:rsidR="009136B5" w:rsidRDefault="00000000">
            <w:pPr>
              <w:pStyle w:val="220"/>
              <w:jc w:val="center"/>
            </w:pPr>
            <w:r>
              <w:t>——</w:t>
            </w:r>
          </w:p>
        </w:tc>
        <w:tc>
          <w:tcPr>
            <w:tcW w:w="7929" w:type="dxa"/>
            <w:gridSpan w:val="3"/>
            <w:vAlign w:val="center"/>
          </w:tcPr>
          <w:p w:rsidR="009136B5" w:rsidRDefault="00000000">
            <w:pPr>
              <w:widowControl/>
              <w:ind w:firstLineChars="0" w:firstLine="0"/>
              <w:jc w:val="left"/>
              <w:rPr>
                <w:kern w:val="0"/>
                <w:szCs w:val="21"/>
              </w:rPr>
            </w:pPr>
            <w:r>
              <w:rPr>
                <w:rFonts w:hint="eastAsia"/>
              </w:rPr>
              <w:t>钢管桩端面积；</w:t>
            </w:r>
          </w:p>
        </w:tc>
      </w:tr>
      <w:tr w:rsidR="009136B5">
        <w:tblPrEx>
          <w:tblCellMar>
            <w:left w:w="0" w:type="dxa"/>
            <w:right w:w="57" w:type="dxa"/>
          </w:tblCellMar>
        </w:tblPrEx>
        <w:trPr>
          <w:gridAfter w:val="1"/>
          <w:wAfter w:w="8" w:type="dxa"/>
        </w:trPr>
        <w:tc>
          <w:tcPr>
            <w:tcW w:w="890" w:type="dxa"/>
          </w:tcPr>
          <w:p w:rsidR="009136B5" w:rsidRDefault="00000000">
            <w:pPr>
              <w:pStyle w:val="220"/>
              <w:jc w:val="right"/>
            </w:pPr>
            <w:proofErr w:type="spellStart"/>
            <w:r>
              <w:rPr>
                <w:i/>
                <w:iCs/>
              </w:rPr>
              <w:t>λ</w:t>
            </w:r>
            <w:r>
              <w:rPr>
                <w:rFonts w:hint="eastAsia"/>
                <w:vertAlign w:val="subscript"/>
              </w:rPr>
              <w:t>p</w:t>
            </w:r>
            <w:proofErr w:type="spellEnd"/>
          </w:p>
        </w:tc>
        <w:tc>
          <w:tcPr>
            <w:tcW w:w="567" w:type="dxa"/>
          </w:tcPr>
          <w:p w:rsidR="009136B5" w:rsidRDefault="00000000">
            <w:pPr>
              <w:pStyle w:val="220"/>
              <w:jc w:val="center"/>
            </w:pPr>
            <w:r>
              <w:t>——</w:t>
            </w:r>
          </w:p>
        </w:tc>
        <w:tc>
          <w:tcPr>
            <w:tcW w:w="7929" w:type="dxa"/>
            <w:gridSpan w:val="3"/>
            <w:vAlign w:val="center"/>
          </w:tcPr>
          <w:p w:rsidR="009136B5" w:rsidRDefault="00000000">
            <w:pPr>
              <w:autoSpaceDE w:val="0"/>
              <w:autoSpaceDN w:val="0"/>
              <w:adjustRightInd w:val="0"/>
              <w:ind w:firstLineChars="0" w:firstLine="0"/>
            </w:pPr>
            <w:r>
              <w:rPr>
                <w:rFonts w:hint="eastAsia"/>
              </w:rPr>
              <w:t>桩端土塞效应系数。当</w:t>
            </w:r>
            <w:proofErr w:type="spellStart"/>
            <w:r>
              <w:rPr>
                <w:rFonts w:hint="eastAsia"/>
                <w:i/>
                <w:iCs/>
              </w:rPr>
              <w:t>h</w:t>
            </w:r>
            <w:r>
              <w:rPr>
                <w:rFonts w:hint="eastAsia"/>
                <w:vertAlign w:val="subscript"/>
              </w:rPr>
              <w:t>b</w:t>
            </w:r>
            <w:proofErr w:type="spellEnd"/>
            <w:r>
              <w:rPr>
                <w:rFonts w:hint="eastAsia"/>
              </w:rPr>
              <w:t>/</w:t>
            </w:r>
            <w:r>
              <w:rPr>
                <w:rFonts w:hint="eastAsia"/>
                <w:i/>
                <w:iCs/>
              </w:rPr>
              <w:t>d</w:t>
            </w:r>
            <w:r>
              <w:rPr>
                <w:rFonts w:hint="eastAsia"/>
              </w:rPr>
              <w:t>≤</w:t>
            </w:r>
            <w:r>
              <w:rPr>
                <w:rFonts w:hint="eastAsia"/>
              </w:rPr>
              <w:t>5</w:t>
            </w:r>
            <w:r>
              <w:rPr>
                <w:rFonts w:hint="eastAsia"/>
              </w:rPr>
              <w:t>时，</w:t>
            </w:r>
            <w:proofErr w:type="spellStart"/>
            <w:r>
              <w:rPr>
                <w:i/>
                <w:iCs/>
              </w:rPr>
              <w:t>λ</w:t>
            </w:r>
            <w:r>
              <w:rPr>
                <w:vertAlign w:val="subscript"/>
              </w:rPr>
              <w:t>p</w:t>
            </w:r>
            <w:proofErr w:type="spellEnd"/>
            <w:r>
              <w:rPr>
                <w:rFonts w:hint="eastAsia"/>
              </w:rPr>
              <w:t>=0. 16</w:t>
            </w:r>
            <w:r>
              <w:rPr>
                <w:rFonts w:hint="eastAsia"/>
                <w:i/>
                <w:iCs/>
              </w:rPr>
              <w:t>h</w:t>
            </w:r>
            <w:r>
              <w:rPr>
                <w:rFonts w:hint="eastAsia"/>
                <w:vertAlign w:val="subscript"/>
              </w:rPr>
              <w:t>b</w:t>
            </w:r>
            <w:r>
              <w:rPr>
                <w:rFonts w:hint="eastAsia"/>
              </w:rPr>
              <w:t>/</w:t>
            </w:r>
            <w:r>
              <w:rPr>
                <w:rFonts w:hint="eastAsia"/>
                <w:i/>
                <w:iCs/>
              </w:rPr>
              <w:t>d</w:t>
            </w:r>
            <w:r>
              <w:rPr>
                <w:rFonts w:hint="eastAsia"/>
              </w:rPr>
              <w:t>；当</w:t>
            </w:r>
            <w:proofErr w:type="spellStart"/>
            <w:r>
              <w:rPr>
                <w:rFonts w:hint="eastAsia"/>
                <w:i/>
                <w:iCs/>
              </w:rPr>
              <w:t>h</w:t>
            </w:r>
            <w:r>
              <w:rPr>
                <w:rFonts w:hint="eastAsia"/>
                <w:vertAlign w:val="subscript"/>
              </w:rPr>
              <w:t>b</w:t>
            </w:r>
            <w:proofErr w:type="spellEnd"/>
            <w:r>
              <w:rPr>
                <w:rFonts w:hint="eastAsia"/>
              </w:rPr>
              <w:t>/</w:t>
            </w:r>
            <w:r>
              <w:rPr>
                <w:rFonts w:hint="eastAsia"/>
                <w:i/>
                <w:iCs/>
              </w:rPr>
              <w:t>d</w:t>
            </w:r>
            <w:r>
              <w:rPr>
                <w:rFonts w:hint="eastAsia"/>
              </w:rPr>
              <w:t xml:space="preserve"> &gt;5</w:t>
            </w:r>
            <w:r>
              <w:rPr>
                <w:rFonts w:hint="eastAsia"/>
              </w:rPr>
              <w:t>时，</w:t>
            </w:r>
            <w:proofErr w:type="spellStart"/>
            <w:r>
              <w:rPr>
                <w:i/>
                <w:iCs/>
              </w:rPr>
              <w:t>λ</w:t>
            </w:r>
            <w:r>
              <w:rPr>
                <w:vertAlign w:val="subscript"/>
              </w:rPr>
              <w:t>p</w:t>
            </w:r>
            <w:proofErr w:type="spellEnd"/>
            <w:r>
              <w:rPr>
                <w:rFonts w:hint="eastAsia"/>
              </w:rPr>
              <w:t xml:space="preserve"> =0.8</w:t>
            </w:r>
            <w:r>
              <w:rPr>
                <w:rFonts w:hint="eastAsia"/>
              </w:rPr>
              <w:t>。</w:t>
            </w:r>
            <w:proofErr w:type="spellStart"/>
            <w:r>
              <w:rPr>
                <w:rFonts w:hint="eastAsia"/>
                <w:i/>
                <w:iCs/>
              </w:rPr>
              <w:t>h</w:t>
            </w:r>
            <w:r>
              <w:rPr>
                <w:rFonts w:hint="eastAsia"/>
                <w:vertAlign w:val="subscript"/>
              </w:rPr>
              <w:t>b</w:t>
            </w:r>
            <w:proofErr w:type="spellEnd"/>
            <w:r>
              <w:rPr>
                <w:rFonts w:hint="eastAsia"/>
              </w:rPr>
              <w:t>为桩端进入持力层深度，</w:t>
            </w:r>
            <w:r>
              <w:rPr>
                <w:rFonts w:hint="eastAsia"/>
                <w:i/>
                <w:iCs/>
              </w:rPr>
              <w:t>d</w:t>
            </w:r>
            <w:r>
              <w:rPr>
                <w:rFonts w:hint="eastAsia"/>
              </w:rPr>
              <w:t>为钢管桩外径。</w:t>
            </w:r>
          </w:p>
        </w:tc>
      </w:tr>
    </w:tbl>
    <w:p w:rsidR="009136B5" w:rsidRDefault="00000000">
      <w:pPr>
        <w:pStyle w:val="x"/>
        <w:ind w:firstLine="316"/>
      </w:pPr>
      <w:r>
        <w:rPr>
          <w:b/>
        </w:rPr>
        <w:t>9</w:t>
      </w:r>
      <w:r>
        <w:t xml:space="preserve">  </w:t>
      </w:r>
      <w:r>
        <w:rPr>
          <w:rFonts w:hint="eastAsia"/>
        </w:rPr>
        <w:t>钢管桩压桩至设计标高后充灌不低于</w:t>
      </w:r>
      <w:r>
        <w:t>C30</w:t>
      </w:r>
      <w:r>
        <w:rPr>
          <w:rFonts w:hint="eastAsia"/>
        </w:rPr>
        <w:t>微膨胀混凝土。</w:t>
      </w:r>
    </w:p>
    <w:p w:rsidR="009136B5" w:rsidRDefault="00000000">
      <w:pPr>
        <w:pStyle w:val="xxx"/>
        <w:rPr>
          <w:lang w:bidi="ar"/>
        </w:rPr>
      </w:pPr>
      <w:r>
        <w:rPr>
          <w:b/>
          <w:bCs/>
        </w:rPr>
        <w:t>4.3.</w:t>
      </w:r>
      <w:r>
        <w:rPr>
          <w:rFonts w:hint="eastAsia"/>
          <w:b/>
          <w:bCs/>
        </w:rPr>
        <w:t>21</w:t>
      </w:r>
      <w:r>
        <w:t xml:space="preserve">  </w:t>
      </w:r>
      <w:r>
        <w:rPr>
          <w:rFonts w:hint="eastAsia"/>
          <w:lang w:bidi="ar"/>
        </w:rPr>
        <w:t>当</w:t>
      </w:r>
      <w:r>
        <w:rPr>
          <w:lang w:bidi="ar"/>
        </w:rPr>
        <w:t>对托换桩的承载力和稳定性要求</w:t>
      </w:r>
      <w:r>
        <w:rPr>
          <w:rFonts w:hint="eastAsia"/>
          <w:lang w:bidi="ar"/>
        </w:rPr>
        <w:t>较</w:t>
      </w:r>
      <w:r>
        <w:rPr>
          <w:lang w:bidi="ar"/>
        </w:rPr>
        <w:t>高时，可采用</w:t>
      </w:r>
      <w:r>
        <w:rPr>
          <w:rFonts w:hint="eastAsia"/>
          <w:lang w:bidi="ar"/>
        </w:rPr>
        <w:t>钻</w:t>
      </w:r>
      <w:r>
        <w:rPr>
          <w:lang w:bidi="ar"/>
        </w:rPr>
        <w:t>孔灌注</w:t>
      </w:r>
      <w:r>
        <w:rPr>
          <w:rFonts w:hint="eastAsia"/>
          <w:lang w:bidi="ar"/>
        </w:rPr>
        <w:t>桩</w:t>
      </w:r>
      <w:r>
        <w:rPr>
          <w:lang w:bidi="ar"/>
        </w:rPr>
        <w:t>作为托换桩</w:t>
      </w:r>
      <w:r>
        <w:rPr>
          <w:rFonts w:hint="eastAsia"/>
          <w:lang w:bidi="ar"/>
        </w:rPr>
        <w:t>，灌注桩的设计应符合以下规定：</w:t>
      </w:r>
    </w:p>
    <w:p w:rsidR="009136B5" w:rsidRDefault="00000000">
      <w:pPr>
        <w:pStyle w:val="x"/>
        <w:ind w:firstLine="316"/>
        <w:rPr>
          <w:lang w:bidi="ar"/>
        </w:rPr>
      </w:pPr>
      <w:r>
        <w:rPr>
          <w:b/>
          <w:lang w:bidi="ar"/>
        </w:rPr>
        <w:t>1</w:t>
      </w:r>
      <w:r>
        <w:rPr>
          <w:rFonts w:hint="eastAsia"/>
          <w:lang w:bidi="ar"/>
        </w:rPr>
        <w:t xml:space="preserve"> </w:t>
      </w:r>
      <w:r>
        <w:rPr>
          <w:lang w:bidi="ar"/>
        </w:rPr>
        <w:t xml:space="preserve"> </w:t>
      </w:r>
      <w:r>
        <w:rPr>
          <w:rFonts w:hint="eastAsia"/>
          <w:lang w:bidi="ar"/>
        </w:rPr>
        <w:t>灌注</w:t>
      </w:r>
      <w:r>
        <w:rPr>
          <w:lang w:bidi="ar"/>
        </w:rPr>
        <w:t>桩的</w:t>
      </w:r>
      <w:r>
        <w:rPr>
          <w:rFonts w:hint="eastAsia"/>
          <w:lang w:bidi="ar"/>
        </w:rPr>
        <w:t>施工应采用适用于狭小空间的改型钻孔灌注桩施工设备，</w:t>
      </w:r>
      <w:r>
        <w:rPr>
          <w:lang w:bidi="ar"/>
        </w:rPr>
        <w:t>灌注桩的布置</w:t>
      </w:r>
      <w:r>
        <w:rPr>
          <w:rFonts w:hint="eastAsia"/>
          <w:lang w:bidi="ar"/>
        </w:rPr>
        <w:t>应充分考虑施工机械所需的平面范围、净空以及对既有墙体、基础的影响。</w:t>
      </w:r>
    </w:p>
    <w:p w:rsidR="009136B5" w:rsidRDefault="00000000">
      <w:pPr>
        <w:pStyle w:val="x"/>
        <w:ind w:firstLine="316"/>
        <w:rPr>
          <w:lang w:bidi="ar"/>
        </w:rPr>
      </w:pPr>
      <w:r>
        <w:rPr>
          <w:b/>
          <w:lang w:bidi="ar"/>
        </w:rPr>
        <w:t>2</w:t>
      </w:r>
      <w:r>
        <w:rPr>
          <w:rFonts w:hint="eastAsia"/>
          <w:lang w:bidi="ar"/>
        </w:rPr>
        <w:t xml:space="preserve"> </w:t>
      </w:r>
      <w:r>
        <w:rPr>
          <w:lang w:bidi="ar"/>
        </w:rPr>
        <w:t xml:space="preserve"> </w:t>
      </w:r>
      <w:r>
        <w:rPr>
          <w:rFonts w:hint="eastAsia"/>
          <w:lang w:bidi="ar"/>
        </w:rPr>
        <w:t>钢筋笼的分节应满足施工空间的要求，钢筋笼主筋宜焊接或机械连接，优先采用机械连接。当有可靠经验时，也可采用可伸缩式钢筋笼。</w:t>
      </w:r>
    </w:p>
    <w:p w:rsidR="009136B5" w:rsidRDefault="00000000">
      <w:pPr>
        <w:pStyle w:val="x"/>
        <w:ind w:firstLine="316"/>
        <w:rPr>
          <w:lang w:bidi="ar"/>
        </w:rPr>
      </w:pPr>
      <w:r>
        <w:rPr>
          <w:b/>
          <w:lang w:bidi="ar"/>
        </w:rPr>
        <w:t>3</w:t>
      </w:r>
      <w:r>
        <w:rPr>
          <w:lang w:bidi="ar"/>
        </w:rPr>
        <w:t xml:space="preserve">  </w:t>
      </w:r>
      <w:r>
        <w:rPr>
          <w:rFonts w:hint="eastAsia"/>
          <w:lang w:bidi="ar"/>
        </w:rPr>
        <w:t>现场环境许可时，室外桩可采用常规钻孔灌注桩内插格构柱或钢管柱。</w:t>
      </w:r>
    </w:p>
    <w:p w:rsidR="009136B5" w:rsidRDefault="00000000">
      <w:pPr>
        <w:pStyle w:val="x"/>
        <w:ind w:firstLine="316"/>
        <w:rPr>
          <w:lang w:bidi="ar"/>
        </w:rPr>
      </w:pPr>
      <w:r>
        <w:rPr>
          <w:b/>
          <w:lang w:bidi="ar"/>
        </w:rPr>
        <w:t>4</w:t>
      </w:r>
      <w:r>
        <w:rPr>
          <w:lang w:bidi="ar"/>
        </w:rPr>
        <w:t xml:space="preserve">  </w:t>
      </w:r>
      <w:r>
        <w:rPr>
          <w:rFonts w:hint="eastAsia"/>
          <w:lang w:bidi="ar"/>
        </w:rPr>
        <w:t>当净</w:t>
      </w:r>
      <w:r>
        <w:rPr>
          <w:lang w:bidi="ar"/>
        </w:rPr>
        <w:t>空受限制时，</w:t>
      </w:r>
      <w:r>
        <w:rPr>
          <w:rFonts w:hint="eastAsia"/>
          <w:lang w:bidi="ar"/>
        </w:rPr>
        <w:t>宜采用“桩柱一体”低净空钻孔灌注桩，地下室标高范围内桩体可作为托换柱、基坑立柱，条件许可时可兼作为永久结构柱。</w:t>
      </w:r>
    </w:p>
    <w:p w:rsidR="009136B5" w:rsidRDefault="00000000">
      <w:pPr>
        <w:pStyle w:val="x"/>
        <w:ind w:firstLine="316"/>
        <w:rPr>
          <w:lang w:bidi="ar"/>
        </w:rPr>
      </w:pPr>
      <w:r>
        <w:rPr>
          <w:b/>
          <w:lang w:bidi="ar"/>
        </w:rPr>
        <w:t>5</w:t>
      </w:r>
      <w:r>
        <w:rPr>
          <w:lang w:bidi="ar"/>
        </w:rPr>
        <w:t xml:space="preserve">  </w:t>
      </w:r>
      <w:r>
        <w:rPr>
          <w:rFonts w:hint="eastAsia"/>
          <w:lang w:bidi="ar"/>
        </w:rPr>
        <w:t>“桩柱一体”钻孔灌注桩与底板及各层楼板的连接应满足传力和防水要求。</w:t>
      </w:r>
    </w:p>
    <w:p w:rsidR="009136B5" w:rsidRDefault="00000000">
      <w:pPr>
        <w:pStyle w:val="x"/>
        <w:ind w:firstLine="316"/>
      </w:pPr>
      <w:r>
        <w:rPr>
          <w:b/>
          <w:lang w:bidi="ar"/>
        </w:rPr>
        <w:t>6</w:t>
      </w:r>
      <w:r>
        <w:rPr>
          <w:lang w:bidi="ar"/>
        </w:rPr>
        <w:t xml:space="preserve">  </w:t>
      </w:r>
      <w:r>
        <w:rPr>
          <w:rFonts w:hint="eastAsia"/>
          <w:lang w:bidi="ar"/>
        </w:rPr>
        <w:t>钻孔灌注桩及钢立柱的设计尚应符合现行行业标准</w:t>
      </w:r>
      <w:r>
        <w:rPr>
          <w:rFonts w:hint="eastAsia"/>
        </w:rPr>
        <w:t>《建筑桩基技术规范》</w:t>
      </w:r>
      <w:r>
        <w:rPr>
          <w:rFonts w:hint="eastAsia"/>
        </w:rPr>
        <w:t>JGJ94</w:t>
      </w:r>
      <w:r>
        <w:rPr>
          <w:rFonts w:hint="eastAsia"/>
        </w:rPr>
        <w:t>、《建筑基坑支护技术规程》</w:t>
      </w:r>
      <w:r>
        <w:rPr>
          <w:rFonts w:hint="eastAsia"/>
        </w:rPr>
        <w:t>JGJ120</w:t>
      </w:r>
      <w:r>
        <w:rPr>
          <w:rFonts w:hint="eastAsia"/>
        </w:rPr>
        <w:t>、《建筑工程逆作法技术标准》</w:t>
      </w:r>
      <w:r>
        <w:rPr>
          <w:rFonts w:hint="eastAsia"/>
        </w:rPr>
        <w:t>JGJ432</w:t>
      </w:r>
      <w:r>
        <w:rPr>
          <w:rFonts w:hint="eastAsia"/>
        </w:rPr>
        <w:t>的相关规定。</w:t>
      </w:r>
    </w:p>
    <w:p w:rsidR="009136B5" w:rsidRDefault="00000000">
      <w:pPr>
        <w:pStyle w:val="afffff1"/>
        <w:ind w:firstLineChars="0" w:firstLine="0"/>
      </w:pPr>
      <w:r>
        <w:rPr>
          <w:rFonts w:hint="eastAsia"/>
          <w:b/>
        </w:rPr>
        <w:t>条文说明：</w:t>
      </w:r>
      <w:r>
        <w:t>常用的泥浆护壁成孔灌注桩施工设备有</w:t>
      </w:r>
      <w:r>
        <w:t>GPS-10</w:t>
      </w:r>
      <w:r>
        <w:t>型和</w:t>
      </w:r>
      <w:r>
        <w:t>GPS-15</w:t>
      </w:r>
      <w:r>
        <w:t>型，</w:t>
      </w:r>
      <w:r>
        <w:t xml:space="preserve"> GPS-10</w:t>
      </w:r>
      <w:r>
        <w:t>型和</w:t>
      </w:r>
      <w:r>
        <w:t>GPS-15</w:t>
      </w:r>
      <w:r>
        <w:t>型设备平面尺寸分别为</w:t>
      </w:r>
      <w:r>
        <w:t>3m×5.5m</w:t>
      </w:r>
      <w:r>
        <w:t>、</w:t>
      </w:r>
      <w:r>
        <w:t>3.2m×6m</w:t>
      </w:r>
      <w:r>
        <w:t>，设备高度</w:t>
      </w:r>
      <w:r>
        <w:rPr>
          <w:rFonts w:hint="eastAsia"/>
        </w:rPr>
        <w:t>约</w:t>
      </w:r>
      <w:r>
        <w:t>6m</w:t>
      </w:r>
      <w:r>
        <w:rPr>
          <w:rFonts w:hint="eastAsia"/>
        </w:rPr>
        <w:t>，</w:t>
      </w:r>
      <w:r>
        <w:t>很难满足既有建筑间特别是既有建筑内部空间条件下的使用</w:t>
      </w:r>
      <w:r>
        <w:rPr>
          <w:rFonts w:hint="eastAsia"/>
        </w:rPr>
        <w:t>，需</w:t>
      </w:r>
      <w:r>
        <w:t>要</w:t>
      </w:r>
      <w:r>
        <w:rPr>
          <w:rFonts w:hint="eastAsia"/>
        </w:rPr>
        <w:t>进行</w:t>
      </w:r>
      <w:r>
        <w:t>小型化的改造或研制新型模块式小型化灌注桩施工装备。</w:t>
      </w:r>
      <w:r>
        <w:rPr>
          <w:rFonts w:hint="eastAsia"/>
        </w:rPr>
        <w:t>一</w:t>
      </w:r>
      <w:r>
        <w:t>般要求</w:t>
      </w:r>
      <w:r>
        <w:rPr>
          <w:rFonts w:hint="eastAsia"/>
        </w:rPr>
        <w:t>既有建筑净高不应小于</w:t>
      </w:r>
      <w:r>
        <w:rPr>
          <w:rFonts w:hint="eastAsia"/>
        </w:rPr>
        <w:t>3m</w:t>
      </w:r>
      <w:r>
        <w:rPr>
          <w:rFonts w:hint="eastAsia"/>
        </w:rPr>
        <w:t>、墙体之间净宽不应小于</w:t>
      </w:r>
      <w:r>
        <w:rPr>
          <w:rFonts w:hint="eastAsia"/>
        </w:rPr>
        <w:t>2m</w:t>
      </w:r>
      <w:r>
        <w:rPr>
          <w:rFonts w:hint="eastAsia"/>
        </w:rPr>
        <w:t>，桩中心和建筑墙体之间的距离不应小于</w:t>
      </w:r>
      <w:r>
        <w:rPr>
          <w:rFonts w:hint="eastAsia"/>
        </w:rPr>
        <w:t>700mm</w:t>
      </w:r>
      <w:r>
        <w:rPr>
          <w:rFonts w:hint="eastAsia"/>
        </w:rPr>
        <w:t>，桩径不宜大于</w:t>
      </w:r>
      <w:r>
        <w:rPr>
          <w:rFonts w:hint="eastAsia"/>
        </w:rPr>
        <w:t>1m</w:t>
      </w:r>
      <w:r>
        <w:rPr>
          <w:rFonts w:hint="eastAsia"/>
        </w:rPr>
        <w:t>，钻孔深度不宜大于</w:t>
      </w:r>
      <w:r>
        <w:t>60</w:t>
      </w:r>
      <w:r>
        <w:rPr>
          <w:rFonts w:hint="eastAsia"/>
        </w:rPr>
        <w:t>m</w:t>
      </w:r>
      <w:r>
        <w:rPr>
          <w:rFonts w:hint="eastAsia"/>
        </w:rPr>
        <w:t>。</w:t>
      </w:r>
    </w:p>
    <w:p w:rsidR="009136B5" w:rsidRDefault="00000000">
      <w:pPr>
        <w:pStyle w:val="afffff1"/>
      </w:pPr>
      <w:r>
        <w:rPr>
          <w:rFonts w:hint="eastAsia"/>
        </w:rPr>
        <w:t>除解决成孔的施工机械高度限制问题外，往往还需对钢筋笼进行分节制作加工（无法采用长</w:t>
      </w:r>
      <w:r>
        <w:t>9m</w:t>
      </w:r>
      <w:r>
        <w:rPr>
          <w:rFonts w:hint="eastAsia"/>
        </w:rPr>
        <w:t>分节）、运输、吊装及焊接接头，耗时长且成本高（材料费、人工费、机械台班费高）。可</w:t>
      </w:r>
      <w:r>
        <w:t>采用</w:t>
      </w:r>
      <w:r>
        <w:rPr>
          <w:rFonts w:hint="eastAsia"/>
        </w:rPr>
        <w:t>伸缩式钢筋笼，纵筋</w:t>
      </w:r>
      <w:r>
        <w:t>采用</w:t>
      </w:r>
      <w:r>
        <w:rPr>
          <w:rFonts w:hint="eastAsia"/>
        </w:rPr>
        <w:t>钢绞线，</w:t>
      </w:r>
      <w:r>
        <w:t>纵筋</w:t>
      </w:r>
      <w:r>
        <w:rPr>
          <w:rFonts w:hint="eastAsia"/>
        </w:rPr>
        <w:t>与箍筋采用异形旋转扣件连接，加工时将通长达数十米的钢筋笼缩成数米长，运输至低净空的灌注桩施工现场，在钻成孔后将钢筋笼插入孔中，使钢筋笼由数米长伸展至数十米长，最大优点是纵筋无需分段焊接或机械式套筒连接，现场施工效率高。</w:t>
      </w:r>
    </w:p>
    <w:p w:rsidR="009136B5" w:rsidRDefault="00000000">
      <w:pPr>
        <w:pStyle w:val="xxx"/>
      </w:pPr>
      <w:r>
        <w:rPr>
          <w:b/>
          <w:bCs/>
        </w:rPr>
        <w:t>4.3.</w:t>
      </w:r>
      <w:r>
        <w:rPr>
          <w:rFonts w:hint="eastAsia"/>
          <w:b/>
          <w:bCs/>
        </w:rPr>
        <w:t>2</w:t>
      </w:r>
      <w:r>
        <w:rPr>
          <w:b/>
          <w:bCs/>
        </w:rPr>
        <w:t xml:space="preserve">2  </w:t>
      </w:r>
      <w:r>
        <w:rPr>
          <w:rFonts w:hint="eastAsia"/>
        </w:rPr>
        <w:t>当采用人工挖孔桩时，应有可靠的技术措施和安全措施，人工挖孔桩的设计应符合下列规定</w:t>
      </w:r>
      <w:r>
        <w:rPr>
          <w:rFonts w:hint="eastAsia"/>
        </w:rPr>
        <w:t>:</w:t>
      </w:r>
    </w:p>
    <w:p w:rsidR="009136B5" w:rsidRDefault="00000000">
      <w:pPr>
        <w:pStyle w:val="x"/>
        <w:ind w:firstLine="316"/>
      </w:pPr>
      <w:r>
        <w:rPr>
          <w:rFonts w:hint="eastAsia"/>
          <w:b/>
        </w:rPr>
        <w:t>1</w:t>
      </w:r>
      <w:r>
        <w:t xml:space="preserve">  </w:t>
      </w:r>
      <w:r>
        <w:rPr>
          <w:rFonts w:hint="eastAsia"/>
        </w:rPr>
        <w:t>孔径</w:t>
      </w:r>
      <w:r>
        <w:rPr>
          <w:rFonts w:hint="eastAsia"/>
        </w:rPr>
        <w:t>(</w:t>
      </w:r>
      <w:r>
        <w:rPr>
          <w:rFonts w:hint="eastAsia"/>
        </w:rPr>
        <w:t>不含护壁</w:t>
      </w:r>
      <w:r>
        <w:rPr>
          <w:rFonts w:hint="eastAsia"/>
        </w:rPr>
        <w:t>)</w:t>
      </w:r>
      <w:r>
        <w:rPr>
          <w:rFonts w:hint="eastAsia"/>
        </w:rPr>
        <w:t>不应小于</w:t>
      </w:r>
      <w:r>
        <w:rPr>
          <w:rFonts w:hint="eastAsia"/>
        </w:rPr>
        <w:t>0.8m</w:t>
      </w:r>
      <w:r>
        <w:rPr>
          <w:rFonts w:hint="eastAsia"/>
        </w:rPr>
        <w:t>。</w:t>
      </w:r>
    </w:p>
    <w:p w:rsidR="009136B5" w:rsidRDefault="00000000">
      <w:pPr>
        <w:pStyle w:val="x"/>
        <w:ind w:firstLine="316"/>
      </w:pPr>
      <w:r>
        <w:rPr>
          <w:b/>
        </w:rPr>
        <w:lastRenderedPageBreak/>
        <w:t>2</w:t>
      </w:r>
      <w:r>
        <w:t xml:space="preserve">  </w:t>
      </w:r>
      <w:r>
        <w:rPr>
          <w:rFonts w:hint="eastAsia"/>
        </w:rPr>
        <w:t>端承型桩的中心距不宜小于</w:t>
      </w:r>
      <w:r>
        <w:rPr>
          <w:rFonts w:hint="eastAsia"/>
        </w:rPr>
        <w:t>2</w:t>
      </w:r>
      <w:r>
        <w:rPr>
          <w:rFonts w:hint="eastAsia"/>
        </w:rPr>
        <w:t>倍桩身设计直径；扩底桩的中心距不宜小于</w:t>
      </w:r>
      <w:r>
        <w:rPr>
          <w:rFonts w:hint="eastAsia"/>
        </w:rPr>
        <w:t>1.5D (D</w:t>
      </w:r>
      <w:r>
        <w:rPr>
          <w:rFonts w:hint="eastAsia"/>
        </w:rPr>
        <w:t>为扩大头直径</w:t>
      </w:r>
      <w:r>
        <w:rPr>
          <w:rFonts w:hint="eastAsia"/>
        </w:rPr>
        <w:t>)</w:t>
      </w:r>
      <w:r>
        <w:rPr>
          <w:rFonts w:hint="eastAsia"/>
        </w:rPr>
        <w:t>或</w:t>
      </w:r>
      <w:r>
        <w:rPr>
          <w:rFonts w:hint="eastAsia"/>
        </w:rPr>
        <w:t>D+1m (</w:t>
      </w:r>
      <w:r>
        <w:rPr>
          <w:rFonts w:hint="eastAsia"/>
        </w:rPr>
        <w:t>当</w:t>
      </w:r>
      <w:r>
        <w:rPr>
          <w:rFonts w:hint="eastAsia"/>
        </w:rPr>
        <w:t>D&gt;2m</w:t>
      </w:r>
      <w:r>
        <w:rPr>
          <w:rFonts w:hint="eastAsia"/>
        </w:rPr>
        <w:t>时</w:t>
      </w:r>
      <w:r>
        <w:rPr>
          <w:rFonts w:hint="eastAsia"/>
        </w:rPr>
        <w:t>)</w:t>
      </w:r>
      <w:r>
        <w:rPr>
          <w:rFonts w:hint="eastAsia"/>
        </w:rPr>
        <w:t>。</w:t>
      </w:r>
    </w:p>
    <w:p w:rsidR="009136B5" w:rsidRDefault="00000000">
      <w:pPr>
        <w:pStyle w:val="x"/>
        <w:ind w:firstLine="316"/>
      </w:pPr>
      <w:r>
        <w:rPr>
          <w:b/>
        </w:rPr>
        <w:t>3</w:t>
      </w:r>
      <w:r>
        <w:t xml:space="preserve">  </w:t>
      </w:r>
      <w:r>
        <w:rPr>
          <w:rFonts w:hint="eastAsia"/>
        </w:rPr>
        <w:t>扩底部分可分为平底和弧底两种。当扩底桩底部持力层为微风化或中等风化的硬质岩石时，桩底部可做成平底。弧底的扩底桩弧底可比周边低</w:t>
      </w:r>
      <w:r>
        <w:rPr>
          <w:rFonts w:hint="eastAsia"/>
        </w:rPr>
        <w:t>0.2m</w:t>
      </w:r>
      <w:r>
        <w:rPr>
          <w:rFonts w:hint="eastAsia"/>
        </w:rPr>
        <w:t>，扩底部分的高度</w:t>
      </w:r>
      <w:r>
        <w:rPr>
          <w:rFonts w:hint="eastAsia"/>
        </w:rPr>
        <w:t>h</w:t>
      </w:r>
      <w:r>
        <w:rPr>
          <w:rFonts w:hint="eastAsia"/>
        </w:rPr>
        <w:t>应考虑竖向压力的刚性扩散角和施工安全的要求，</w:t>
      </w:r>
      <w:r>
        <w:rPr>
          <w:rFonts w:hint="eastAsia"/>
        </w:rPr>
        <w:t xml:space="preserve">b/h </w:t>
      </w:r>
      <w:r>
        <w:rPr>
          <w:rFonts w:hint="eastAsia"/>
        </w:rPr>
        <w:t>可取</w:t>
      </w:r>
      <w:r>
        <w:rPr>
          <w:rFonts w:hint="eastAsia"/>
        </w:rPr>
        <w:t>1/4~1/2</w:t>
      </w:r>
      <w:r>
        <w:rPr>
          <w:rFonts w:hint="eastAsia"/>
        </w:rPr>
        <w:t>，扩底矢高</w:t>
      </w:r>
      <w:proofErr w:type="spellStart"/>
      <w:r>
        <w:rPr>
          <w:rFonts w:hint="eastAsia"/>
        </w:rPr>
        <w:t>h</w:t>
      </w:r>
      <w:r>
        <w:rPr>
          <w:vertAlign w:val="subscript"/>
        </w:rPr>
        <w:t>b</w:t>
      </w:r>
      <w:proofErr w:type="spellEnd"/>
      <w:r>
        <w:rPr>
          <w:rFonts w:hint="eastAsia"/>
        </w:rPr>
        <w:t>与扩大头直径</w:t>
      </w:r>
      <w:r>
        <w:rPr>
          <w:rFonts w:hint="eastAsia"/>
        </w:rPr>
        <w:t>D</w:t>
      </w:r>
      <w:r>
        <w:rPr>
          <w:rFonts w:hint="eastAsia"/>
        </w:rPr>
        <w:t>之比可取</w:t>
      </w:r>
      <w:r>
        <w:rPr>
          <w:rFonts w:hint="eastAsia"/>
        </w:rPr>
        <w:t>0.15~0.2</w:t>
      </w:r>
      <w:r>
        <w:rPr>
          <w:rFonts w:hint="eastAsia"/>
        </w:rPr>
        <w:t>，且</w:t>
      </w:r>
      <w:r>
        <w:rPr>
          <w:rFonts w:hint="eastAsia"/>
        </w:rPr>
        <w:t>D/d</w:t>
      </w:r>
      <w:r>
        <w:rPr>
          <w:rFonts w:hint="eastAsia"/>
        </w:rPr>
        <w:t>≤</w:t>
      </w:r>
      <w:r>
        <w:rPr>
          <w:rFonts w:hint="eastAsia"/>
        </w:rPr>
        <w:t>3</w:t>
      </w:r>
      <w:r>
        <w:rPr>
          <w:rFonts w:hint="eastAsia"/>
        </w:rPr>
        <w:t>（图</w:t>
      </w:r>
      <w:r>
        <w:t>4.3.</w:t>
      </w:r>
      <w:r>
        <w:rPr>
          <w:rFonts w:hint="eastAsia"/>
        </w:rPr>
        <w:t>2</w:t>
      </w:r>
      <w:r>
        <w:t>2</w:t>
      </w:r>
      <w:r>
        <w:rPr>
          <w:rFonts w:hint="eastAsia"/>
        </w:rPr>
        <w:t>）。</w:t>
      </w:r>
    </w:p>
    <w:p w:rsidR="009136B5" w:rsidRDefault="00000000">
      <w:pPr>
        <w:pStyle w:val="affffb"/>
        <w:rPr>
          <w:rFonts w:ascii="宋体" w:hAnsi="宋体" w:cs="宋体"/>
          <w:color w:val="auto"/>
          <w:sz w:val="24"/>
        </w:rPr>
      </w:pPr>
      <w:r>
        <w:rPr>
          <w:noProof/>
          <w:color w:val="auto"/>
        </w:rPr>
        <w:drawing>
          <wp:inline distT="0" distB="0" distL="0" distR="0">
            <wp:extent cx="3680460" cy="248348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24" cstate="print"/>
                    <a:stretch>
                      <a:fillRect/>
                    </a:stretch>
                  </pic:blipFill>
                  <pic:spPr>
                    <a:xfrm>
                      <a:off x="0" y="0"/>
                      <a:ext cx="3693344" cy="2492552"/>
                    </a:xfrm>
                    <a:prstGeom prst="rect">
                      <a:avLst/>
                    </a:prstGeom>
                  </pic:spPr>
                </pic:pic>
              </a:graphicData>
            </a:graphic>
          </wp:inline>
        </w:drawing>
      </w:r>
    </w:p>
    <w:p w:rsidR="009136B5" w:rsidRDefault="00000000">
      <w:pPr>
        <w:pStyle w:val="affffb"/>
        <w:rPr>
          <w:color w:val="auto"/>
        </w:rPr>
      </w:pPr>
      <w:r>
        <w:rPr>
          <w:rFonts w:hint="eastAsia"/>
          <w:color w:val="auto"/>
        </w:rPr>
        <w:t>图</w:t>
      </w:r>
      <w:r>
        <w:rPr>
          <w:color w:val="auto"/>
        </w:rPr>
        <w:t>4.3.</w:t>
      </w:r>
      <w:r>
        <w:rPr>
          <w:rFonts w:hint="eastAsia"/>
          <w:color w:val="auto"/>
        </w:rPr>
        <w:t>2</w:t>
      </w:r>
      <w:r>
        <w:rPr>
          <w:color w:val="auto"/>
        </w:rPr>
        <w:t>2</w:t>
      </w:r>
      <w:r>
        <w:rPr>
          <w:rFonts w:hint="eastAsia"/>
          <w:color w:val="auto"/>
        </w:rPr>
        <w:t xml:space="preserve"> </w:t>
      </w:r>
      <w:r>
        <w:rPr>
          <w:rFonts w:hint="eastAsia"/>
          <w:color w:val="auto"/>
        </w:rPr>
        <w:t>扩底桩扩底构造</w:t>
      </w:r>
    </w:p>
    <w:p w:rsidR="009136B5" w:rsidRDefault="00000000">
      <w:pPr>
        <w:pStyle w:val="x"/>
        <w:ind w:firstLine="316"/>
      </w:pPr>
      <w:r>
        <w:rPr>
          <w:b/>
        </w:rPr>
        <w:t>4</w:t>
      </w:r>
      <w:r>
        <w:t xml:space="preserve">  </w:t>
      </w:r>
      <w:r>
        <w:rPr>
          <w:rFonts w:hint="eastAsia"/>
        </w:rPr>
        <w:t>人工挖孔桩的护壁应根据桩长和穿越的土层采用砖砌护壁、钢筋混凝土护壁或钢筒护壁；</w:t>
      </w:r>
    </w:p>
    <w:p w:rsidR="009136B5" w:rsidRDefault="00000000">
      <w:pPr>
        <w:pStyle w:val="x1"/>
        <w:ind w:firstLine="630"/>
      </w:pPr>
      <w:r>
        <w:rPr>
          <w:rFonts w:hint="eastAsia"/>
        </w:rPr>
        <w:t>1</w:t>
      </w:r>
      <w:r>
        <w:rPr>
          <w:rFonts w:hint="eastAsia"/>
        </w:rPr>
        <w:t>）在土层或较破碎的岩层中挖孔时，宜设置钢筋混凝土护壁。钢筋混凝土护壁的的厚度不宜小于</w:t>
      </w:r>
      <w:r>
        <w:rPr>
          <w:rFonts w:hint="eastAsia"/>
        </w:rPr>
        <w:t>100mm</w:t>
      </w:r>
      <w:r>
        <w:rPr>
          <w:rFonts w:hint="eastAsia"/>
        </w:rPr>
        <w:t>，多节护壁时第一节护壁宜加厚</w:t>
      </w:r>
      <w:r>
        <w:rPr>
          <w:rFonts w:hint="eastAsia"/>
        </w:rPr>
        <w:t>100~150mm</w:t>
      </w:r>
      <w:r>
        <w:rPr>
          <w:rFonts w:hint="eastAsia"/>
        </w:rPr>
        <w:t>，配筋不应小于φ</w:t>
      </w:r>
      <w:r>
        <w:rPr>
          <w:rFonts w:hint="eastAsia"/>
        </w:rPr>
        <w:t>8@150</w:t>
      </w:r>
      <w:r>
        <w:rPr>
          <w:rFonts w:hint="eastAsia"/>
        </w:rPr>
        <w:t>双向，上下节护壁间应用钢筋拉结；</w:t>
      </w:r>
    </w:p>
    <w:p w:rsidR="009136B5" w:rsidRDefault="00000000">
      <w:pPr>
        <w:pStyle w:val="x1"/>
        <w:ind w:firstLine="630"/>
      </w:pPr>
      <w:r>
        <w:rPr>
          <w:rFonts w:hint="eastAsia"/>
        </w:rPr>
        <w:t>2</w:t>
      </w:r>
      <w:r>
        <w:rPr>
          <w:rFonts w:hint="eastAsia"/>
        </w:rPr>
        <w:t>）钢筒护壁主要用于穿越呈软流塑状的淤泥质粘土或较厚粉砂层。</w:t>
      </w:r>
    </w:p>
    <w:p w:rsidR="009136B5" w:rsidRDefault="00000000">
      <w:pPr>
        <w:pStyle w:val="afffff1"/>
        <w:ind w:firstLineChars="0" w:firstLine="0"/>
      </w:pPr>
      <w:r>
        <w:rPr>
          <w:rFonts w:hint="eastAsia"/>
          <w:b/>
          <w:bCs/>
        </w:rPr>
        <w:t>条文说明：</w:t>
      </w:r>
      <w:r>
        <w:rPr>
          <w:rFonts w:hint="eastAsia"/>
        </w:rPr>
        <w:t>当建筑场地狭小，或建筑工程场地及周边环境不允许有振动、挤压、噪音、泥浆污染等干扰时，常规的钻孔灌注桩施工受限，如果地层条件许可，如基岩埋深浅，孔壁稳定性好且桩端提供的承载力高，采用人工挖孔桩在某些情形下会成为一种相对合理、可靠的托换桩型。但对于以下情况，不应采用人工挖孔桩：桩孔深度大于</w:t>
      </w:r>
      <w:r>
        <w:rPr>
          <w:rFonts w:hint="eastAsia"/>
        </w:rPr>
        <w:t>20m</w:t>
      </w:r>
      <w:r>
        <w:rPr>
          <w:rFonts w:hint="eastAsia"/>
        </w:rPr>
        <w:t>；需穿越厚度较大的淤泥层或淤泥质土层；地下水位较高，特别是有承压水的砂土层、滞水层时；桩底以下有软弱夹层、溶洞、墓穴和矿井等，桩位处在断层、有害气体、地下暗塘</w:t>
      </w:r>
      <w:r>
        <w:rPr>
          <w:rFonts w:hint="eastAsia"/>
        </w:rPr>
        <w:t>(</w:t>
      </w:r>
      <w:r>
        <w:rPr>
          <w:rFonts w:hint="eastAsia"/>
        </w:rPr>
        <w:t>沟</w:t>
      </w:r>
      <w:r>
        <w:rPr>
          <w:rFonts w:hint="eastAsia"/>
        </w:rPr>
        <w:t>)</w:t>
      </w:r>
      <w:r>
        <w:rPr>
          <w:rFonts w:hint="eastAsia"/>
        </w:rPr>
        <w:t>等灾害性或不良性地质条件。</w:t>
      </w:r>
    </w:p>
    <w:p w:rsidR="009136B5" w:rsidRDefault="00000000">
      <w:pPr>
        <w:pStyle w:val="xxx"/>
      </w:pPr>
      <w:r>
        <w:rPr>
          <w:b/>
          <w:bCs/>
        </w:rPr>
        <w:t>4.3.</w:t>
      </w:r>
      <w:r>
        <w:rPr>
          <w:rFonts w:hint="eastAsia"/>
          <w:b/>
          <w:bCs/>
        </w:rPr>
        <w:t>2</w:t>
      </w:r>
      <w:r>
        <w:rPr>
          <w:b/>
          <w:bCs/>
        </w:rPr>
        <w:t>4</w:t>
      </w:r>
      <w:r>
        <w:rPr>
          <w:rFonts w:hint="eastAsia"/>
          <w:b/>
          <w:bCs/>
        </w:rPr>
        <w:t xml:space="preserve"> </w:t>
      </w:r>
      <w:r>
        <w:t xml:space="preserve"> </w:t>
      </w:r>
      <w:r>
        <w:rPr>
          <w:rFonts w:hint="eastAsia"/>
        </w:rPr>
        <w:t>水泥土组合钢管桩设计应符合以下规定：</w:t>
      </w:r>
    </w:p>
    <w:p w:rsidR="009136B5" w:rsidRDefault="00000000">
      <w:pPr>
        <w:pStyle w:val="x"/>
        <w:ind w:firstLine="316"/>
      </w:pPr>
      <w:r>
        <w:rPr>
          <w:rFonts w:hint="eastAsia"/>
          <w:b/>
        </w:rPr>
        <w:t>1</w:t>
      </w:r>
      <w:r>
        <w:rPr>
          <w:rFonts w:hint="eastAsia"/>
        </w:rPr>
        <w:t xml:space="preserve"> </w:t>
      </w:r>
      <w:r>
        <w:t xml:space="preserve"> </w:t>
      </w:r>
      <w:r>
        <w:rPr>
          <w:rFonts w:hint="eastAsia"/>
        </w:rPr>
        <w:t>水泥土组合钢管桩有通长组合桩、扩底（径）段组合桩两类，适用于深厚软土地基、土性较好的砂性土地基，不适用于持力层为岩层的地基。水泥土系通过高压喷射注浆旋喷工艺成型，钢管桩与水泥土之间通过锚固件连接，锚固件一般可采用斜向钢板、角钢倒刺、槽钢；</w:t>
      </w:r>
    </w:p>
    <w:p w:rsidR="009136B5" w:rsidRDefault="00000000">
      <w:pPr>
        <w:pStyle w:val="x"/>
        <w:ind w:firstLine="316"/>
      </w:pPr>
      <w:r>
        <w:rPr>
          <w:b/>
        </w:rPr>
        <w:t>2</w:t>
      </w:r>
      <w:r>
        <w:rPr>
          <w:rFonts w:hint="eastAsia"/>
        </w:rPr>
        <w:t xml:space="preserve"> </w:t>
      </w:r>
      <w:r>
        <w:t xml:space="preserve"> </w:t>
      </w:r>
      <w:r>
        <w:rPr>
          <w:rFonts w:hint="eastAsia"/>
        </w:rPr>
        <w:t>基桩的中心距不应小于植入桩直径的</w:t>
      </w:r>
      <w:r>
        <w:rPr>
          <w:rFonts w:hint="eastAsia"/>
        </w:rPr>
        <w:t>4</w:t>
      </w:r>
      <w:r>
        <w:rPr>
          <w:rFonts w:hint="eastAsia"/>
        </w:rPr>
        <w:t>倍，且不宜小于水泥土桩直径的</w:t>
      </w:r>
      <w:r>
        <w:rPr>
          <w:rFonts w:hint="eastAsia"/>
        </w:rPr>
        <w:t>2.5</w:t>
      </w:r>
      <w:r>
        <w:rPr>
          <w:rFonts w:hint="eastAsia"/>
        </w:rPr>
        <w:t>倍；</w:t>
      </w:r>
    </w:p>
    <w:p w:rsidR="009136B5" w:rsidRDefault="00000000">
      <w:pPr>
        <w:pStyle w:val="x"/>
        <w:ind w:firstLine="316"/>
      </w:pPr>
      <w:r>
        <w:rPr>
          <w:b/>
        </w:rPr>
        <w:t>3</w:t>
      </w:r>
      <w:r>
        <w:rPr>
          <w:rFonts w:hint="eastAsia"/>
        </w:rPr>
        <w:t xml:space="preserve"> </w:t>
      </w:r>
      <w:r>
        <w:t xml:space="preserve"> </w:t>
      </w:r>
      <w:r>
        <w:rPr>
          <w:rFonts w:hint="eastAsia"/>
        </w:rPr>
        <w:t>初步设计时，确定水泥土组合钢管桩单桩竖向抗压极限承载力标准值应按下列公式计算，并取其中的较小值：</w:t>
      </w:r>
    </w:p>
    <w:tbl>
      <w:tblPr>
        <w:tblStyle w:val="afa"/>
        <w:tblW w:w="4920" w:type="pct"/>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
        <w:gridCol w:w="565"/>
        <w:gridCol w:w="1565"/>
        <w:gridCol w:w="3117"/>
        <w:gridCol w:w="3069"/>
      </w:tblGrid>
      <w:tr w:rsidR="009136B5">
        <w:trPr>
          <w:trHeight w:val="20"/>
        </w:trPr>
        <w:tc>
          <w:tcPr>
            <w:tcW w:w="1640" w:type="pct"/>
            <w:gridSpan w:val="3"/>
            <w:vAlign w:val="center"/>
          </w:tcPr>
          <w:p w:rsidR="009136B5" w:rsidRDefault="009136B5">
            <w:pPr>
              <w:pStyle w:val="x"/>
              <w:ind w:firstLineChars="0" w:firstLine="0"/>
              <w:jc w:val="center"/>
              <w:rPr>
                <w:szCs w:val="21"/>
              </w:rPr>
            </w:pPr>
          </w:p>
        </w:tc>
        <w:tc>
          <w:tcPr>
            <w:tcW w:w="1693" w:type="pct"/>
            <w:vAlign w:val="center"/>
          </w:tcPr>
          <w:p w:rsidR="009136B5" w:rsidRDefault="00000000">
            <w:pPr>
              <w:pStyle w:val="x"/>
              <w:ind w:firstLineChars="0" w:firstLine="0"/>
              <w:jc w:val="center"/>
              <w:rPr>
                <w:szCs w:val="21"/>
              </w:rPr>
            </w:pPr>
            <w:r>
              <w:rPr>
                <w:rFonts w:hint="eastAsia"/>
                <w:kern w:val="0"/>
                <w:position w:val="-14"/>
                <w:szCs w:val="21"/>
              </w:rPr>
              <w:object w:dxaOrig="2558" w:dyaOrig="376">
                <v:shape id="_x0000_i1075" type="#_x0000_t75" style="width:128.35pt;height:18.8pt" o:ole="">
                  <v:imagedata r:id="rId125" o:title=""/>
                </v:shape>
                <o:OLEObject Type="Embed" ProgID="Equation.DSMT4" ShapeID="_x0000_i1075" DrawAspect="Content" ObjectID="_1735132853" r:id="rId126"/>
              </w:object>
            </w:r>
          </w:p>
        </w:tc>
        <w:tc>
          <w:tcPr>
            <w:tcW w:w="1667" w:type="pct"/>
            <w:vAlign w:val="center"/>
          </w:tcPr>
          <w:p w:rsidR="009136B5" w:rsidRDefault="00000000">
            <w:pPr>
              <w:pStyle w:val="x"/>
              <w:ind w:firstLineChars="0" w:firstLine="0"/>
              <w:jc w:val="right"/>
              <w:rPr>
                <w:szCs w:val="21"/>
              </w:rPr>
            </w:pPr>
            <w:r>
              <w:rPr>
                <w:rFonts w:hint="eastAsia"/>
                <w:szCs w:val="21"/>
              </w:rPr>
              <w:t>（</w:t>
            </w:r>
            <w:r>
              <w:rPr>
                <w:szCs w:val="21"/>
              </w:rPr>
              <w:t>4.3.</w:t>
            </w:r>
            <w:r>
              <w:rPr>
                <w:rFonts w:hint="eastAsia"/>
                <w:szCs w:val="21"/>
              </w:rPr>
              <w:t>2</w:t>
            </w:r>
            <w:r>
              <w:rPr>
                <w:szCs w:val="21"/>
              </w:rPr>
              <w:t>4-1</w:t>
            </w:r>
            <w:r>
              <w:rPr>
                <w:rFonts w:hint="eastAsia"/>
                <w:szCs w:val="21"/>
              </w:rPr>
              <w:t>）</w:t>
            </w:r>
          </w:p>
        </w:tc>
      </w:tr>
      <w:tr w:rsidR="009136B5">
        <w:trPr>
          <w:trHeight w:val="20"/>
        </w:trPr>
        <w:tc>
          <w:tcPr>
            <w:tcW w:w="1640" w:type="pct"/>
            <w:gridSpan w:val="3"/>
            <w:vAlign w:val="center"/>
          </w:tcPr>
          <w:p w:rsidR="009136B5" w:rsidRDefault="009136B5">
            <w:pPr>
              <w:pStyle w:val="x"/>
              <w:ind w:firstLineChars="0" w:firstLine="0"/>
              <w:jc w:val="center"/>
              <w:rPr>
                <w:szCs w:val="21"/>
              </w:rPr>
            </w:pPr>
          </w:p>
        </w:tc>
        <w:tc>
          <w:tcPr>
            <w:tcW w:w="1693" w:type="pct"/>
            <w:vAlign w:val="center"/>
          </w:tcPr>
          <w:p w:rsidR="009136B5" w:rsidRDefault="00000000">
            <w:pPr>
              <w:pStyle w:val="x"/>
              <w:ind w:firstLineChars="0" w:firstLine="0"/>
              <w:jc w:val="center"/>
              <w:rPr>
                <w:kern w:val="0"/>
                <w:szCs w:val="21"/>
              </w:rPr>
            </w:pPr>
            <w:r>
              <w:rPr>
                <w:rFonts w:hint="eastAsia"/>
                <w:kern w:val="0"/>
                <w:position w:val="-14"/>
                <w:szCs w:val="21"/>
              </w:rPr>
              <w:object w:dxaOrig="1945" w:dyaOrig="376">
                <v:shape id="_x0000_i1076" type="#_x0000_t75" style="width:97.05pt;height:18.8pt" o:ole="">
                  <v:imagedata r:id="rId127" o:title=""/>
                </v:shape>
                <o:OLEObject Type="Embed" ProgID="Equation.DSMT4" ShapeID="_x0000_i1076" DrawAspect="Content" ObjectID="_1735132854" r:id="rId128"/>
              </w:object>
            </w:r>
          </w:p>
        </w:tc>
        <w:tc>
          <w:tcPr>
            <w:tcW w:w="1667" w:type="pct"/>
            <w:vAlign w:val="center"/>
          </w:tcPr>
          <w:p w:rsidR="009136B5" w:rsidRDefault="00000000">
            <w:pPr>
              <w:pStyle w:val="x"/>
              <w:ind w:firstLineChars="0" w:firstLine="0"/>
              <w:jc w:val="right"/>
              <w:rPr>
                <w:szCs w:val="21"/>
              </w:rPr>
            </w:pPr>
            <w:r>
              <w:rPr>
                <w:rFonts w:hint="eastAsia"/>
                <w:szCs w:val="21"/>
              </w:rPr>
              <w:t>（</w:t>
            </w:r>
            <w:r>
              <w:rPr>
                <w:szCs w:val="21"/>
              </w:rPr>
              <w:t>4.3.</w:t>
            </w:r>
            <w:r>
              <w:rPr>
                <w:rFonts w:hint="eastAsia"/>
                <w:szCs w:val="21"/>
              </w:rPr>
              <w:t>2</w:t>
            </w:r>
            <w:r>
              <w:rPr>
                <w:szCs w:val="21"/>
              </w:rPr>
              <w:t>4-2</w:t>
            </w:r>
            <w:r>
              <w:rPr>
                <w:rFonts w:hint="eastAsia"/>
                <w:szCs w:val="21"/>
              </w:rPr>
              <w:t>）</w:t>
            </w:r>
          </w:p>
        </w:tc>
      </w:tr>
      <w:tr w:rsidR="009136B5">
        <w:tblPrEx>
          <w:tblCellMar>
            <w:left w:w="0" w:type="dxa"/>
            <w:right w:w="57" w:type="dxa"/>
          </w:tblCellMar>
        </w:tblPrEx>
        <w:tc>
          <w:tcPr>
            <w:tcW w:w="483" w:type="pct"/>
            <w:vAlign w:val="center"/>
          </w:tcPr>
          <w:p w:rsidR="009136B5" w:rsidRDefault="00000000">
            <w:pPr>
              <w:pStyle w:val="220"/>
              <w:jc w:val="right"/>
            </w:pPr>
            <w:r>
              <w:rPr>
                <w:rFonts w:hint="eastAsia"/>
              </w:rPr>
              <w:t>式中：</w:t>
            </w:r>
            <w:r>
              <w:rPr>
                <w:rFonts w:hint="eastAsia"/>
                <w:i/>
                <w:iCs/>
              </w:rPr>
              <w:t>U</w:t>
            </w:r>
          </w:p>
        </w:tc>
        <w:tc>
          <w:tcPr>
            <w:tcW w:w="307" w:type="pct"/>
            <w:vAlign w:val="center"/>
          </w:tcPr>
          <w:p w:rsidR="009136B5" w:rsidRDefault="00000000">
            <w:pPr>
              <w:pStyle w:val="220"/>
              <w:jc w:val="center"/>
            </w:pPr>
            <w:r>
              <w:t>——</w:t>
            </w:r>
          </w:p>
        </w:tc>
        <w:tc>
          <w:tcPr>
            <w:tcW w:w="4209" w:type="pct"/>
            <w:gridSpan w:val="3"/>
            <w:vAlign w:val="center"/>
          </w:tcPr>
          <w:p w:rsidR="009136B5" w:rsidRDefault="00000000">
            <w:pPr>
              <w:widowControl/>
              <w:ind w:firstLineChars="0" w:firstLine="0"/>
              <w:jc w:val="left"/>
              <w:rPr>
                <w:kern w:val="0"/>
                <w:szCs w:val="21"/>
              </w:rPr>
            </w:pPr>
            <w:r>
              <w:rPr>
                <w:rFonts w:hint="eastAsia"/>
                <w:szCs w:val="21"/>
              </w:rPr>
              <w:t>水泥土桩周长</w:t>
            </w:r>
            <w:r>
              <w:rPr>
                <w:szCs w:val="21"/>
              </w:rPr>
              <w:t>；</w:t>
            </w:r>
          </w:p>
        </w:tc>
      </w:tr>
      <w:tr w:rsidR="009136B5">
        <w:tblPrEx>
          <w:tblCellMar>
            <w:left w:w="0" w:type="dxa"/>
            <w:right w:w="57" w:type="dxa"/>
          </w:tblCellMar>
        </w:tblPrEx>
        <w:tc>
          <w:tcPr>
            <w:tcW w:w="483" w:type="pct"/>
            <w:vAlign w:val="center"/>
          </w:tcPr>
          <w:p w:rsidR="009136B5" w:rsidRDefault="00000000">
            <w:pPr>
              <w:pStyle w:val="220"/>
              <w:jc w:val="right"/>
              <w:rPr>
                <w:i/>
                <w:iCs/>
              </w:rPr>
            </w:pPr>
            <w:r>
              <w:rPr>
                <w:rFonts w:hint="eastAsia"/>
                <w:i/>
                <w:iCs/>
              </w:rPr>
              <w:t>u</w:t>
            </w:r>
          </w:p>
        </w:tc>
        <w:tc>
          <w:tcPr>
            <w:tcW w:w="307" w:type="pct"/>
            <w:vAlign w:val="center"/>
          </w:tcPr>
          <w:p w:rsidR="009136B5" w:rsidRDefault="00000000">
            <w:pPr>
              <w:pStyle w:val="220"/>
              <w:jc w:val="center"/>
            </w:pPr>
            <w:r>
              <w:t>——</w:t>
            </w:r>
          </w:p>
        </w:tc>
        <w:tc>
          <w:tcPr>
            <w:tcW w:w="4209" w:type="pct"/>
            <w:gridSpan w:val="3"/>
            <w:vAlign w:val="center"/>
          </w:tcPr>
          <w:p w:rsidR="009136B5" w:rsidRDefault="00000000">
            <w:pPr>
              <w:widowControl/>
              <w:ind w:firstLineChars="0" w:firstLine="0"/>
              <w:jc w:val="left"/>
              <w:rPr>
                <w:kern w:val="0"/>
                <w:szCs w:val="21"/>
              </w:rPr>
            </w:pPr>
            <w:r>
              <w:rPr>
                <w:rFonts w:hint="eastAsia"/>
                <w:szCs w:val="21"/>
              </w:rPr>
              <w:t>同心植入的钢管桩周长</w:t>
            </w:r>
            <w:r>
              <w:rPr>
                <w:rFonts w:hint="eastAsia"/>
                <w:szCs w:val="21"/>
              </w:rPr>
              <w:t>(m)</w:t>
            </w:r>
            <w:r>
              <w:rPr>
                <w:szCs w:val="21"/>
              </w:rPr>
              <w:t>；</w:t>
            </w:r>
          </w:p>
        </w:tc>
      </w:tr>
      <w:tr w:rsidR="009136B5">
        <w:tblPrEx>
          <w:tblCellMar>
            <w:left w:w="0" w:type="dxa"/>
            <w:right w:w="57" w:type="dxa"/>
          </w:tblCellMar>
        </w:tblPrEx>
        <w:tc>
          <w:tcPr>
            <w:tcW w:w="483" w:type="pct"/>
            <w:vAlign w:val="center"/>
          </w:tcPr>
          <w:p w:rsidR="009136B5" w:rsidRDefault="00000000">
            <w:pPr>
              <w:pStyle w:val="220"/>
              <w:jc w:val="right"/>
            </w:pPr>
            <w:r>
              <w:rPr>
                <w:i/>
                <w:iCs/>
              </w:rPr>
              <w:t>a</w:t>
            </w:r>
            <w:r>
              <w:rPr>
                <w:vertAlign w:val="subscript"/>
              </w:rPr>
              <w:t>p</w:t>
            </w:r>
          </w:p>
        </w:tc>
        <w:tc>
          <w:tcPr>
            <w:tcW w:w="307" w:type="pct"/>
            <w:vAlign w:val="center"/>
          </w:tcPr>
          <w:p w:rsidR="009136B5" w:rsidRDefault="00000000">
            <w:pPr>
              <w:pStyle w:val="220"/>
              <w:jc w:val="center"/>
            </w:pPr>
            <w:r>
              <w:t>——</w:t>
            </w:r>
          </w:p>
        </w:tc>
        <w:tc>
          <w:tcPr>
            <w:tcW w:w="4209" w:type="pct"/>
            <w:gridSpan w:val="3"/>
            <w:vAlign w:val="center"/>
          </w:tcPr>
          <w:p w:rsidR="009136B5" w:rsidRDefault="00000000">
            <w:pPr>
              <w:ind w:firstLineChars="0" w:firstLine="0"/>
              <w:rPr>
                <w:szCs w:val="21"/>
              </w:rPr>
            </w:pPr>
            <w:r>
              <w:rPr>
                <w:rFonts w:hint="eastAsia"/>
                <w:szCs w:val="21"/>
              </w:rPr>
              <w:t>桩端端阻力发挥系数，应按地区经验确定，无地区经验时可取</w:t>
            </w:r>
            <w:r>
              <w:rPr>
                <w:rFonts w:hint="eastAsia"/>
                <w:szCs w:val="21"/>
              </w:rPr>
              <w:t>1.0</w:t>
            </w:r>
            <w:r>
              <w:rPr>
                <w:rFonts w:hint="eastAsia"/>
                <w:szCs w:val="21"/>
              </w:rPr>
              <w:t>；</w:t>
            </w:r>
          </w:p>
        </w:tc>
      </w:tr>
      <w:tr w:rsidR="009136B5">
        <w:tblPrEx>
          <w:tblCellMar>
            <w:left w:w="0" w:type="dxa"/>
            <w:right w:w="57" w:type="dxa"/>
          </w:tblCellMar>
        </w:tblPrEx>
        <w:tc>
          <w:tcPr>
            <w:tcW w:w="483" w:type="pct"/>
          </w:tcPr>
          <w:p w:rsidR="009136B5" w:rsidRDefault="00000000">
            <w:pPr>
              <w:pStyle w:val="220"/>
              <w:jc w:val="right"/>
              <w:rPr>
                <w:i/>
                <w:iCs/>
              </w:rPr>
            </w:pPr>
            <w:r>
              <w:rPr>
                <w:i/>
                <w:iCs/>
              </w:rPr>
              <w:t>ξ</w:t>
            </w:r>
          </w:p>
        </w:tc>
        <w:tc>
          <w:tcPr>
            <w:tcW w:w="307" w:type="pct"/>
          </w:tcPr>
          <w:p w:rsidR="009136B5" w:rsidRDefault="00000000">
            <w:pPr>
              <w:pStyle w:val="220"/>
              <w:jc w:val="center"/>
            </w:pPr>
            <w:r>
              <w:t>——</w:t>
            </w:r>
          </w:p>
        </w:tc>
        <w:tc>
          <w:tcPr>
            <w:tcW w:w="4209" w:type="pct"/>
            <w:gridSpan w:val="3"/>
            <w:vAlign w:val="center"/>
          </w:tcPr>
          <w:p w:rsidR="009136B5" w:rsidRDefault="00000000">
            <w:pPr>
              <w:widowControl/>
              <w:ind w:firstLineChars="0" w:firstLine="0"/>
              <w:jc w:val="left"/>
              <w:rPr>
                <w:kern w:val="0"/>
                <w:szCs w:val="21"/>
              </w:rPr>
            </w:pPr>
            <w:r>
              <w:rPr>
                <w:rFonts w:hint="eastAsia"/>
                <w:szCs w:val="21"/>
              </w:rPr>
              <w:t>钢管桩</w:t>
            </w:r>
            <w:r>
              <w:rPr>
                <w:rFonts w:hint="eastAsia"/>
                <w:szCs w:val="21"/>
              </w:rPr>
              <w:t>-</w:t>
            </w:r>
            <w:r>
              <w:rPr>
                <w:rFonts w:hint="eastAsia"/>
                <w:szCs w:val="21"/>
              </w:rPr>
              <w:t>水泥土界面极限侧阻力换算系数，取钢管桩</w:t>
            </w:r>
            <w:r>
              <w:rPr>
                <w:rFonts w:hint="eastAsia"/>
                <w:szCs w:val="21"/>
              </w:rPr>
              <w:t>-</w:t>
            </w:r>
            <w:r>
              <w:rPr>
                <w:rFonts w:hint="eastAsia"/>
                <w:szCs w:val="21"/>
              </w:rPr>
              <w:t>水泥土界面剪切强度标准值与对应位置桩身水泥土强度标准值之比，无当地经验时，可取</w:t>
            </w:r>
            <w:r>
              <w:rPr>
                <w:rFonts w:hint="eastAsia"/>
                <w:szCs w:val="21"/>
              </w:rPr>
              <w:t>0</w:t>
            </w:r>
            <w:r>
              <w:rPr>
                <w:szCs w:val="21"/>
              </w:rPr>
              <w:t>.16</w:t>
            </w:r>
            <w:r>
              <w:rPr>
                <w:rFonts w:hint="eastAsia"/>
                <w:szCs w:val="21"/>
              </w:rPr>
              <w:t>；</w:t>
            </w:r>
          </w:p>
        </w:tc>
      </w:tr>
      <w:tr w:rsidR="009136B5">
        <w:tblPrEx>
          <w:tblCellMar>
            <w:left w:w="0" w:type="dxa"/>
            <w:right w:w="57" w:type="dxa"/>
          </w:tblCellMar>
        </w:tblPrEx>
        <w:tc>
          <w:tcPr>
            <w:tcW w:w="483" w:type="pct"/>
          </w:tcPr>
          <w:p w:rsidR="009136B5" w:rsidRDefault="00000000">
            <w:pPr>
              <w:pStyle w:val="220"/>
              <w:jc w:val="right"/>
            </w:pPr>
            <w:r>
              <w:rPr>
                <w:i/>
                <w:iCs/>
              </w:rPr>
              <w:t>η</w:t>
            </w:r>
          </w:p>
        </w:tc>
        <w:tc>
          <w:tcPr>
            <w:tcW w:w="307" w:type="pct"/>
          </w:tcPr>
          <w:p w:rsidR="009136B5" w:rsidRDefault="00000000">
            <w:pPr>
              <w:pStyle w:val="220"/>
              <w:jc w:val="center"/>
            </w:pPr>
            <w:r>
              <w:t>——</w:t>
            </w:r>
          </w:p>
        </w:tc>
        <w:tc>
          <w:tcPr>
            <w:tcW w:w="4209" w:type="pct"/>
            <w:gridSpan w:val="3"/>
            <w:vAlign w:val="center"/>
          </w:tcPr>
          <w:p w:rsidR="009136B5" w:rsidRDefault="00000000">
            <w:pPr>
              <w:autoSpaceDE w:val="0"/>
              <w:autoSpaceDN w:val="0"/>
              <w:adjustRightInd w:val="0"/>
              <w:ind w:firstLineChars="0" w:firstLine="0"/>
              <w:rPr>
                <w:szCs w:val="21"/>
              </w:rPr>
            </w:pPr>
            <w:r>
              <w:rPr>
                <w:rFonts w:hint="eastAsia"/>
                <w:szCs w:val="21"/>
              </w:rPr>
              <w:t>桩身水泥土强度折减系数，可取</w:t>
            </w:r>
            <w:r>
              <w:rPr>
                <w:rFonts w:hint="eastAsia"/>
                <w:szCs w:val="21"/>
              </w:rPr>
              <w:t>0.55~0.70</w:t>
            </w:r>
            <w:r>
              <w:rPr>
                <w:rFonts w:hint="eastAsia"/>
                <w:szCs w:val="21"/>
              </w:rPr>
              <w:t>；与水泥土掺入比及搅拌均匀程度有关，对高喷水泥土搅拌桩取高值，对深层搅拌桩取低值；</w:t>
            </w:r>
          </w:p>
        </w:tc>
      </w:tr>
      <w:tr w:rsidR="009136B5">
        <w:tblPrEx>
          <w:tblCellMar>
            <w:left w:w="0" w:type="dxa"/>
            <w:right w:w="57" w:type="dxa"/>
          </w:tblCellMar>
        </w:tblPrEx>
        <w:tc>
          <w:tcPr>
            <w:tcW w:w="483" w:type="pct"/>
          </w:tcPr>
          <w:p w:rsidR="009136B5" w:rsidRDefault="00000000">
            <w:pPr>
              <w:pStyle w:val="220"/>
              <w:jc w:val="right"/>
              <w:rPr>
                <w:i/>
                <w:iCs/>
              </w:rPr>
            </w:pPr>
            <w:proofErr w:type="spellStart"/>
            <w:r>
              <w:rPr>
                <w:i/>
                <w:iCs/>
              </w:rPr>
              <w:t>f</w:t>
            </w:r>
            <w:r>
              <w:rPr>
                <w:vertAlign w:val="subscript"/>
              </w:rPr>
              <w:t>cu</w:t>
            </w:r>
            <w:proofErr w:type="spellEnd"/>
          </w:p>
        </w:tc>
        <w:tc>
          <w:tcPr>
            <w:tcW w:w="307" w:type="pct"/>
          </w:tcPr>
          <w:p w:rsidR="009136B5" w:rsidRDefault="00000000">
            <w:pPr>
              <w:pStyle w:val="220"/>
              <w:jc w:val="center"/>
            </w:pPr>
            <w:r>
              <w:t>——</w:t>
            </w:r>
          </w:p>
        </w:tc>
        <w:tc>
          <w:tcPr>
            <w:tcW w:w="4209" w:type="pct"/>
            <w:gridSpan w:val="3"/>
            <w:vAlign w:val="center"/>
          </w:tcPr>
          <w:p w:rsidR="009136B5" w:rsidRDefault="00000000">
            <w:pPr>
              <w:ind w:firstLineChars="0" w:firstLine="0"/>
              <w:rPr>
                <w:szCs w:val="21"/>
              </w:rPr>
            </w:pPr>
            <w:r>
              <w:rPr>
                <w:rFonts w:hint="eastAsia"/>
                <w:szCs w:val="21"/>
              </w:rPr>
              <w:t>与桩身水泥土配比相同的水泥土试块</w:t>
            </w:r>
            <w:r>
              <w:rPr>
                <w:rFonts w:hint="eastAsia"/>
                <w:szCs w:val="21"/>
              </w:rPr>
              <w:t>(</w:t>
            </w:r>
            <w:r>
              <w:rPr>
                <w:rFonts w:hint="eastAsia"/>
                <w:szCs w:val="21"/>
              </w:rPr>
              <w:t>边长为</w:t>
            </w:r>
            <w:r>
              <w:rPr>
                <w:rFonts w:hint="eastAsia"/>
                <w:szCs w:val="21"/>
              </w:rPr>
              <w:t>70.7mm</w:t>
            </w:r>
            <w:r>
              <w:rPr>
                <w:rFonts w:hint="eastAsia"/>
                <w:szCs w:val="21"/>
              </w:rPr>
              <w:t>的立方体</w:t>
            </w:r>
            <w:r>
              <w:rPr>
                <w:rFonts w:hint="eastAsia"/>
                <w:szCs w:val="21"/>
              </w:rPr>
              <w:t>)</w:t>
            </w:r>
            <w:r>
              <w:rPr>
                <w:rFonts w:hint="eastAsia"/>
                <w:szCs w:val="21"/>
              </w:rPr>
              <w:t>在标准养护条件下</w:t>
            </w:r>
            <w:r>
              <w:rPr>
                <w:rFonts w:hint="eastAsia"/>
                <w:szCs w:val="21"/>
              </w:rPr>
              <w:t>28d</w:t>
            </w:r>
            <w:r>
              <w:rPr>
                <w:rFonts w:hint="eastAsia"/>
                <w:szCs w:val="21"/>
              </w:rPr>
              <w:t>龄期的立方体抗压强度平均值</w:t>
            </w:r>
            <w:r>
              <w:rPr>
                <w:rFonts w:hint="eastAsia"/>
                <w:szCs w:val="21"/>
              </w:rPr>
              <w:t>(kPa)</w:t>
            </w:r>
            <w:r>
              <w:rPr>
                <w:rFonts w:hint="eastAsia"/>
                <w:szCs w:val="21"/>
              </w:rPr>
              <w:t>。</w:t>
            </w:r>
          </w:p>
        </w:tc>
      </w:tr>
    </w:tbl>
    <w:p w:rsidR="009136B5" w:rsidRDefault="00000000">
      <w:pPr>
        <w:pStyle w:val="x"/>
        <w:ind w:firstLine="316"/>
      </w:pPr>
      <w:r>
        <w:rPr>
          <w:b/>
        </w:rPr>
        <w:t>4</w:t>
      </w:r>
      <w:r>
        <w:t xml:space="preserve">  </w:t>
      </w:r>
      <w:r>
        <w:rPr>
          <w:rFonts w:hint="eastAsia"/>
        </w:rPr>
        <w:t>水泥土组合钢管桩的构造应符合下列规定：</w:t>
      </w:r>
    </w:p>
    <w:p w:rsidR="009136B5" w:rsidRDefault="00000000">
      <w:pPr>
        <w:pStyle w:val="x1"/>
        <w:ind w:firstLine="630"/>
      </w:pPr>
      <w:r>
        <w:rPr>
          <w:rFonts w:hint="eastAsia"/>
        </w:rPr>
        <w:t>1</w:t>
      </w:r>
      <w:r>
        <w:rPr>
          <w:rFonts w:hint="eastAsia"/>
        </w:rPr>
        <w:t>）桩身水泥土强度不应低于</w:t>
      </w:r>
      <w:r>
        <w:rPr>
          <w:rFonts w:hint="eastAsia"/>
        </w:rPr>
        <w:t>1.5MPa</w:t>
      </w:r>
      <w:r>
        <w:rPr>
          <w:rFonts w:hint="eastAsia"/>
        </w:rPr>
        <w:t>；</w:t>
      </w:r>
    </w:p>
    <w:p w:rsidR="009136B5" w:rsidRDefault="00000000">
      <w:pPr>
        <w:pStyle w:val="x1"/>
        <w:ind w:firstLine="630"/>
      </w:pPr>
      <w:r>
        <w:rPr>
          <w:rFonts w:hint="eastAsia"/>
        </w:rPr>
        <w:t>2</w:t>
      </w:r>
      <w:r>
        <w:rPr>
          <w:rFonts w:hint="eastAsia"/>
        </w:rPr>
        <w:t>）植入钢管桩的截面尺寸不宜小于</w:t>
      </w:r>
      <w:r>
        <w:t>20</w:t>
      </w:r>
      <w:r>
        <w:rPr>
          <w:rFonts w:hint="eastAsia"/>
        </w:rPr>
        <w:t>0mm</w:t>
      </w:r>
      <w:r>
        <w:rPr>
          <w:rFonts w:hint="eastAsia"/>
        </w:rPr>
        <w:t>，长度宜为水泥土桩长度的</w:t>
      </w:r>
      <w:r>
        <w:rPr>
          <w:rFonts w:hint="eastAsia"/>
        </w:rPr>
        <w:t>0.67</w:t>
      </w:r>
      <w:r>
        <w:rPr>
          <w:rFonts w:hint="eastAsia"/>
        </w:rPr>
        <w:t>倍</w:t>
      </w:r>
      <w:r>
        <w:rPr>
          <w:rFonts w:hint="eastAsia"/>
        </w:rPr>
        <w:t>~1.0</w:t>
      </w:r>
      <w:r>
        <w:rPr>
          <w:rFonts w:hint="eastAsia"/>
        </w:rPr>
        <w:t>倍；</w:t>
      </w:r>
    </w:p>
    <w:p w:rsidR="009136B5" w:rsidRDefault="00000000">
      <w:pPr>
        <w:pStyle w:val="x1"/>
        <w:ind w:firstLine="630"/>
      </w:pPr>
      <w:r>
        <w:rPr>
          <w:rFonts w:hint="eastAsia"/>
        </w:rPr>
        <w:t>3</w:t>
      </w:r>
      <w:r>
        <w:rPr>
          <w:rFonts w:hint="eastAsia"/>
        </w:rPr>
        <w:t>）水泥土桩直径与钢管桩的直径之差不宜小于</w:t>
      </w:r>
      <w:r>
        <w:rPr>
          <w:rFonts w:hint="eastAsia"/>
        </w:rPr>
        <w:t>150mm</w:t>
      </w:r>
      <w:r>
        <w:rPr>
          <w:rFonts w:hint="eastAsia"/>
        </w:rPr>
        <w:t>，且水泥土桩直径与钢管桩的直径之比不宜大于</w:t>
      </w:r>
      <w:r>
        <w:rPr>
          <w:rFonts w:hint="eastAsia"/>
        </w:rPr>
        <w:t>3.0</w:t>
      </w:r>
      <w:r>
        <w:rPr>
          <w:rFonts w:hint="eastAsia"/>
        </w:rPr>
        <w:t>。</w:t>
      </w:r>
    </w:p>
    <w:p w:rsidR="009136B5" w:rsidRDefault="00000000">
      <w:pPr>
        <w:pStyle w:val="20"/>
      </w:pPr>
      <w:bookmarkStart w:id="43" w:name="_Toc123647770"/>
      <w:bookmarkStart w:id="44" w:name="_Toc23976"/>
      <w:r>
        <w:rPr>
          <w:rFonts w:hint="eastAsia"/>
        </w:rPr>
        <w:t xml:space="preserve">4.4  </w:t>
      </w:r>
      <w:r>
        <w:rPr>
          <w:rFonts w:hint="eastAsia"/>
        </w:rPr>
        <w:t>水平托换构件和连接节点设计</w:t>
      </w:r>
      <w:bookmarkEnd w:id="43"/>
      <w:bookmarkEnd w:id="44"/>
    </w:p>
    <w:p w:rsidR="009136B5" w:rsidRDefault="00000000">
      <w:pPr>
        <w:pStyle w:val="xxx"/>
        <w:rPr>
          <w:b/>
          <w:bCs/>
          <w:color w:val="000000"/>
        </w:rPr>
      </w:pPr>
      <w:r>
        <w:rPr>
          <w:b/>
          <w:bCs/>
          <w:color w:val="000000"/>
        </w:rPr>
        <w:t>4</w:t>
      </w:r>
      <w:r>
        <w:rPr>
          <w:rFonts w:hint="eastAsia"/>
          <w:b/>
          <w:bCs/>
          <w:color w:val="000000"/>
        </w:rPr>
        <w:t>.</w:t>
      </w:r>
      <w:r>
        <w:rPr>
          <w:b/>
          <w:bCs/>
          <w:color w:val="000000"/>
        </w:rPr>
        <w:t>4</w:t>
      </w:r>
      <w:r>
        <w:rPr>
          <w:rFonts w:hint="eastAsia"/>
          <w:b/>
          <w:bCs/>
          <w:color w:val="000000"/>
        </w:rPr>
        <w:t>.</w:t>
      </w:r>
      <w:r>
        <w:rPr>
          <w:b/>
          <w:bCs/>
          <w:color w:val="000000"/>
        </w:rPr>
        <w:t xml:space="preserve">1  </w:t>
      </w:r>
      <w:r>
        <w:rPr>
          <w:rFonts w:hint="eastAsia"/>
        </w:rPr>
        <w:t>根据</w:t>
      </w:r>
      <w:r>
        <w:rPr>
          <w:rFonts w:hint="eastAsia"/>
          <w:bCs/>
          <w:lang w:val="zh-CN"/>
        </w:rPr>
        <w:t>不同的结构类型和受力大小，与托换桩相连接的基础水平托换构件可按下列规定选型：</w:t>
      </w:r>
    </w:p>
    <w:p w:rsidR="009136B5" w:rsidRDefault="00000000">
      <w:pPr>
        <w:pStyle w:val="x"/>
        <w:ind w:firstLine="316"/>
        <w:rPr>
          <w:bCs/>
          <w:lang w:val="zh-CN"/>
        </w:rPr>
      </w:pPr>
      <w:r>
        <w:rPr>
          <w:rFonts w:hint="eastAsia"/>
          <w:b/>
          <w:bCs/>
          <w:lang w:val="zh-CN"/>
        </w:rPr>
        <w:t>1</w:t>
      </w:r>
      <w:r>
        <w:rPr>
          <w:bCs/>
          <w:lang w:val="zh-CN"/>
        </w:rPr>
        <w:t xml:space="preserve">  </w:t>
      </w:r>
      <w:r>
        <w:rPr>
          <w:rFonts w:hint="eastAsia"/>
          <w:bCs/>
          <w:lang w:val="zh-CN"/>
        </w:rPr>
        <w:t>既有建筑为框架结构时，</w:t>
      </w:r>
      <w:r>
        <w:t>柱托换节点宜采用封闭抱柱梁式托换，抱柱梁可采用钢筋混凝土</w:t>
      </w:r>
      <w:r>
        <w:rPr>
          <w:rFonts w:hint="eastAsia"/>
        </w:rPr>
        <w:t>构件</w:t>
      </w:r>
      <w:r>
        <w:t>或型钢。</w:t>
      </w:r>
    </w:p>
    <w:p w:rsidR="009136B5" w:rsidRDefault="00000000">
      <w:pPr>
        <w:pStyle w:val="x"/>
        <w:ind w:firstLine="316"/>
        <w:rPr>
          <w:bCs/>
          <w:lang w:val="zh-CN"/>
        </w:rPr>
      </w:pPr>
      <w:r>
        <w:rPr>
          <w:rFonts w:hint="eastAsia"/>
          <w:b/>
          <w:bCs/>
          <w:lang w:val="zh-CN"/>
        </w:rPr>
        <w:t>2</w:t>
      </w:r>
      <w:r>
        <w:rPr>
          <w:bCs/>
          <w:lang w:val="zh-CN"/>
        </w:rPr>
        <w:t xml:space="preserve">  </w:t>
      </w:r>
      <w:r>
        <w:rPr>
          <w:rFonts w:hint="eastAsia"/>
          <w:bCs/>
          <w:lang w:val="zh-CN"/>
        </w:rPr>
        <w:t>既有建筑为砌体结构或剪力墙结构时，墙托换节点宜采用</w:t>
      </w:r>
      <w:r>
        <w:rPr>
          <w:bCs/>
          <w:lang w:val="zh-CN"/>
        </w:rPr>
        <w:t>夹墙梁</w:t>
      </w:r>
      <w:r>
        <w:rPr>
          <w:rFonts w:hint="eastAsia"/>
          <w:bCs/>
          <w:lang w:val="zh-CN"/>
        </w:rPr>
        <w:t>式托换，夹墙梁可采用</w:t>
      </w:r>
      <w:r>
        <w:t>钢筋混凝土结构</w:t>
      </w:r>
      <w:r>
        <w:rPr>
          <w:rFonts w:hint="eastAsia"/>
        </w:rPr>
        <w:t>、</w:t>
      </w:r>
      <w:r>
        <w:t>型钢</w:t>
      </w:r>
      <w:r>
        <w:rPr>
          <w:rFonts w:hint="eastAsia"/>
        </w:rPr>
        <w:t>、</w:t>
      </w:r>
      <w:r>
        <w:rPr>
          <w:rFonts w:hint="eastAsia"/>
          <w:bCs/>
          <w:lang w:val="zh-CN"/>
        </w:rPr>
        <w:t>型钢混凝土组合梁、预应力混凝土梁等形式。</w:t>
      </w:r>
    </w:p>
    <w:p w:rsidR="009136B5" w:rsidRDefault="00000000">
      <w:pPr>
        <w:pStyle w:val="x"/>
        <w:ind w:firstLine="316"/>
        <w:rPr>
          <w:bCs/>
          <w:lang w:val="zh-CN"/>
        </w:rPr>
      </w:pPr>
      <w:r>
        <w:rPr>
          <w:b/>
          <w:bCs/>
          <w:lang w:val="zh-CN"/>
        </w:rPr>
        <w:t>3</w:t>
      </w:r>
      <w:r>
        <w:rPr>
          <w:bCs/>
          <w:lang w:val="zh-CN"/>
        </w:rPr>
        <w:t xml:space="preserve">  </w:t>
      </w:r>
      <w:r>
        <w:rPr>
          <w:rFonts w:hint="eastAsia"/>
          <w:bCs/>
          <w:lang w:val="zh-CN"/>
        </w:rPr>
        <w:t>当利用既有建筑的基础作为水平托换构件时，应复核基础承载力，当基础承载力或构造不满足要求时，应采取加固措施。</w:t>
      </w:r>
    </w:p>
    <w:p w:rsidR="009136B5" w:rsidRDefault="00000000">
      <w:pPr>
        <w:pStyle w:val="x"/>
        <w:ind w:firstLine="316"/>
      </w:pPr>
      <w:r>
        <w:rPr>
          <w:b/>
          <w:bCs/>
          <w:lang w:val="zh-CN"/>
        </w:rPr>
        <w:t>4</w:t>
      </w:r>
      <w:r>
        <w:rPr>
          <w:bCs/>
          <w:lang w:val="zh-CN"/>
        </w:rPr>
        <w:t xml:space="preserve">  </w:t>
      </w:r>
      <w:r>
        <w:rPr>
          <w:rFonts w:hint="eastAsia"/>
          <w:bCs/>
          <w:lang w:val="zh-CN"/>
        </w:rPr>
        <w:t>托换构件之间应相互连接形成整体，托换</w:t>
      </w:r>
      <w:r>
        <w:rPr>
          <w:bCs/>
          <w:lang w:val="zh-CN"/>
        </w:rPr>
        <w:t>结构体系可采用平面桁架式、十字交叉梁格式、梁板式、拱形结构式、分荷结构式等。当柱下荷载较大时，可采用</w:t>
      </w:r>
      <w:bookmarkStart w:id="45" w:name="_Hlk105598739"/>
      <w:r>
        <w:rPr>
          <w:bCs/>
          <w:lang w:val="zh-CN"/>
        </w:rPr>
        <w:t>带竖向斜撑的分荷结构式托换</w:t>
      </w:r>
      <w:bookmarkEnd w:id="45"/>
      <w:r>
        <w:rPr>
          <w:bCs/>
          <w:lang w:val="zh-CN"/>
        </w:rPr>
        <w:t>（图</w:t>
      </w:r>
      <w:r>
        <w:rPr>
          <w:bCs/>
          <w:lang w:val="zh-CN"/>
        </w:rPr>
        <w:t>4</w:t>
      </w:r>
      <w:r>
        <w:rPr>
          <w:rFonts w:hint="eastAsia"/>
          <w:bCs/>
          <w:lang w:val="zh-CN"/>
        </w:rPr>
        <w:t>.</w:t>
      </w:r>
      <w:r>
        <w:rPr>
          <w:bCs/>
          <w:lang w:val="zh-CN"/>
        </w:rPr>
        <w:t>4</w:t>
      </w:r>
      <w:r>
        <w:rPr>
          <w:rFonts w:hint="eastAsia"/>
          <w:bCs/>
          <w:lang w:val="zh-CN"/>
        </w:rPr>
        <w:t>.</w:t>
      </w:r>
      <w:r>
        <w:rPr>
          <w:bCs/>
          <w:lang w:val="zh-CN"/>
        </w:rPr>
        <w:t>1</w:t>
      </w:r>
      <w:r>
        <w:rPr>
          <w:bCs/>
          <w:lang w:val="zh-CN"/>
        </w:rPr>
        <w:t>）。</w:t>
      </w:r>
    </w:p>
    <w:p w:rsidR="009136B5" w:rsidRDefault="00000000">
      <w:pPr>
        <w:pStyle w:val="affffb"/>
      </w:pPr>
      <w:r>
        <w:object w:dxaOrig="5567" w:dyaOrig="2955">
          <v:shape id="_x0000_i1077" type="#_x0000_t75" style="width:278.6pt;height:147.75pt" o:ole="">
            <v:imagedata r:id="rId129" o:title="" croptop="21891f" cropbottom="15699f" cropleft="18443f" cropright="19881f" gain="2147483647f" grayscale="t" bilevel="t"/>
          </v:shape>
          <o:OLEObject Type="Embed" ProgID="AutoCAD.Drawing.23" ShapeID="_x0000_i1077" DrawAspect="Content" ObjectID="_1735132855" r:id="rId130"/>
        </w:object>
      </w:r>
    </w:p>
    <w:p w:rsidR="009136B5" w:rsidRDefault="00000000">
      <w:pPr>
        <w:pStyle w:val="affffb"/>
      </w:pPr>
      <w:r>
        <w:t>图</w:t>
      </w:r>
      <w:r>
        <w:t>4</w:t>
      </w:r>
      <w:r>
        <w:rPr>
          <w:rFonts w:hint="eastAsia"/>
        </w:rPr>
        <w:t>.</w:t>
      </w:r>
      <w:r>
        <w:t>4</w:t>
      </w:r>
      <w:r>
        <w:rPr>
          <w:rFonts w:hint="eastAsia"/>
        </w:rPr>
        <w:t>.</w:t>
      </w:r>
      <w:r>
        <w:t xml:space="preserve">1  </w:t>
      </w:r>
      <w:r>
        <w:t>带竖向斜撑的分荷结构式托换</w:t>
      </w:r>
      <w:r>
        <w:t xml:space="preserve">  </w:t>
      </w:r>
    </w:p>
    <w:p w:rsidR="009136B5" w:rsidRDefault="00000000">
      <w:pPr>
        <w:pStyle w:val="affffb"/>
      </w:pPr>
      <w:r>
        <w:t xml:space="preserve"> </w:t>
      </w:r>
      <w:r>
        <w:rPr>
          <w:rFonts w:hint="eastAsia"/>
          <w:b w:val="0"/>
          <w:bCs w:val="0"/>
        </w:rPr>
        <w:t>1-</w:t>
      </w:r>
      <w:r>
        <w:rPr>
          <w:rFonts w:hint="eastAsia"/>
          <w:b w:val="0"/>
          <w:bCs w:val="0"/>
        </w:rPr>
        <w:t>柱；</w:t>
      </w:r>
      <w:r>
        <w:rPr>
          <w:rFonts w:hint="eastAsia"/>
          <w:b w:val="0"/>
          <w:bCs w:val="0"/>
        </w:rPr>
        <w:t>2-</w:t>
      </w:r>
      <w:r>
        <w:rPr>
          <w:rFonts w:hint="eastAsia"/>
          <w:b w:val="0"/>
          <w:bCs w:val="0"/>
        </w:rPr>
        <w:t>斜撑；</w:t>
      </w:r>
      <w:r>
        <w:rPr>
          <w:rFonts w:hint="eastAsia"/>
          <w:b w:val="0"/>
          <w:bCs w:val="0"/>
        </w:rPr>
        <w:t>3-</w:t>
      </w:r>
      <w:r>
        <w:rPr>
          <w:rFonts w:hint="eastAsia"/>
          <w:b w:val="0"/>
          <w:bCs w:val="0"/>
        </w:rPr>
        <w:t>托换连梁；</w:t>
      </w:r>
      <w:r>
        <w:rPr>
          <w:rFonts w:hint="eastAsia"/>
          <w:b w:val="0"/>
          <w:bCs w:val="0"/>
        </w:rPr>
        <w:t>4-</w:t>
      </w:r>
      <w:r>
        <w:rPr>
          <w:rFonts w:hint="eastAsia"/>
          <w:b w:val="0"/>
          <w:bCs w:val="0"/>
        </w:rPr>
        <w:t>斜撑下端连系梁；</w:t>
      </w:r>
      <w:r>
        <w:rPr>
          <w:rFonts w:hint="eastAsia"/>
          <w:b w:val="0"/>
          <w:bCs w:val="0"/>
        </w:rPr>
        <w:t>5</w:t>
      </w:r>
      <w:r>
        <w:rPr>
          <w:b w:val="0"/>
          <w:bCs w:val="0"/>
        </w:rPr>
        <w:t>-</w:t>
      </w:r>
      <w:r>
        <w:rPr>
          <w:rFonts w:hint="eastAsia"/>
          <w:b w:val="0"/>
          <w:bCs w:val="0"/>
        </w:rPr>
        <w:t>托换梁；</w:t>
      </w:r>
      <w:r>
        <w:rPr>
          <w:rFonts w:hint="eastAsia"/>
          <w:b w:val="0"/>
          <w:bCs w:val="0"/>
        </w:rPr>
        <w:t>6</w:t>
      </w:r>
      <w:r>
        <w:rPr>
          <w:b w:val="0"/>
          <w:bCs w:val="0"/>
        </w:rPr>
        <w:t>-</w:t>
      </w:r>
      <w:r>
        <w:rPr>
          <w:rFonts w:hint="eastAsia"/>
          <w:b w:val="0"/>
          <w:bCs w:val="0"/>
        </w:rPr>
        <w:t>滚轴；</w:t>
      </w:r>
      <w:r>
        <w:rPr>
          <w:rFonts w:hint="eastAsia"/>
          <w:b w:val="0"/>
          <w:bCs w:val="0"/>
        </w:rPr>
        <w:t>7</w:t>
      </w:r>
      <w:r>
        <w:rPr>
          <w:b w:val="0"/>
          <w:bCs w:val="0"/>
        </w:rPr>
        <w:t>-</w:t>
      </w:r>
      <w:r>
        <w:rPr>
          <w:rFonts w:hint="eastAsia"/>
          <w:b w:val="0"/>
          <w:bCs w:val="0"/>
        </w:rPr>
        <w:t>轨道梁</w:t>
      </w:r>
    </w:p>
    <w:p w:rsidR="009136B5" w:rsidRDefault="00000000">
      <w:pPr>
        <w:pStyle w:val="xxx"/>
        <w:rPr>
          <w:color w:val="000000"/>
        </w:rPr>
      </w:pPr>
      <w:r>
        <w:rPr>
          <w:b/>
          <w:bCs/>
          <w:color w:val="000000"/>
        </w:rPr>
        <w:lastRenderedPageBreak/>
        <w:t>4</w:t>
      </w:r>
      <w:r>
        <w:rPr>
          <w:rFonts w:hint="eastAsia"/>
          <w:b/>
          <w:bCs/>
          <w:color w:val="000000"/>
        </w:rPr>
        <w:t>.</w:t>
      </w:r>
      <w:r>
        <w:rPr>
          <w:b/>
          <w:bCs/>
          <w:color w:val="000000"/>
        </w:rPr>
        <w:t>4</w:t>
      </w:r>
      <w:r>
        <w:rPr>
          <w:rFonts w:hint="eastAsia"/>
          <w:b/>
          <w:bCs/>
          <w:color w:val="000000"/>
        </w:rPr>
        <w:t>.</w:t>
      </w:r>
      <w:r>
        <w:rPr>
          <w:b/>
          <w:bCs/>
          <w:color w:val="000000"/>
        </w:rPr>
        <w:t xml:space="preserve">2  </w:t>
      </w:r>
      <w:r>
        <w:rPr>
          <w:rFonts w:hint="eastAsia"/>
          <w:color w:val="000000"/>
        </w:rPr>
        <w:t>当既有建筑混凝土柱等竖向构件采用包裹式钢筋混凝土承台或</w:t>
      </w:r>
      <w:r>
        <w:t>抱柱梁</w:t>
      </w:r>
      <w:r>
        <w:rPr>
          <w:rFonts w:hint="eastAsia"/>
          <w:color w:val="000000"/>
        </w:rPr>
        <w:t>向托换桩传递荷载时，托换承台的截面高度应符合《建（构）筑物移位工程技术规程》</w:t>
      </w:r>
      <w:r>
        <w:rPr>
          <w:rFonts w:hint="eastAsia"/>
          <w:color w:val="000000"/>
        </w:rPr>
        <w:t>JGJ/T239</w:t>
      </w:r>
      <w:r>
        <w:rPr>
          <w:rFonts w:hint="eastAsia"/>
          <w:color w:val="000000"/>
        </w:rPr>
        <w:t>中</w:t>
      </w:r>
      <w:r>
        <w:rPr>
          <w:rFonts w:hint="eastAsia"/>
          <w:color w:val="000000"/>
        </w:rPr>
        <w:t>5.4.3</w:t>
      </w:r>
      <w:r>
        <w:rPr>
          <w:rFonts w:hint="eastAsia"/>
          <w:color w:val="000000"/>
        </w:rPr>
        <w:t>条相关规定。托换承台的受弯、受冲切、受剪承载力验算可参照现行国家标准《建筑地基基础设计规范》</w:t>
      </w:r>
      <w:r>
        <w:rPr>
          <w:rFonts w:hint="eastAsia"/>
          <w:color w:val="000000"/>
        </w:rPr>
        <w:t>GB50007</w:t>
      </w:r>
      <w:r>
        <w:rPr>
          <w:rFonts w:hint="eastAsia"/>
          <w:color w:val="000000"/>
        </w:rPr>
        <w:t>中</w:t>
      </w:r>
      <w:r>
        <w:rPr>
          <w:rFonts w:hint="eastAsia"/>
          <w:color w:val="000000"/>
        </w:rPr>
        <w:t>8.5.19</w:t>
      </w:r>
      <w:r>
        <w:rPr>
          <w:rFonts w:hint="eastAsia"/>
          <w:color w:val="000000"/>
        </w:rPr>
        <w:t>条相关规定计算。</w:t>
      </w:r>
    </w:p>
    <w:p w:rsidR="009136B5" w:rsidRDefault="00000000">
      <w:pPr>
        <w:pStyle w:val="xxx"/>
        <w:rPr>
          <w:color w:val="000000"/>
        </w:rPr>
      </w:pPr>
      <w:r>
        <w:rPr>
          <w:b/>
          <w:bCs/>
          <w:color w:val="000000"/>
        </w:rPr>
        <w:t>4</w:t>
      </w:r>
      <w:r>
        <w:rPr>
          <w:rFonts w:hint="eastAsia"/>
          <w:b/>
          <w:bCs/>
          <w:color w:val="000000"/>
        </w:rPr>
        <w:t>.</w:t>
      </w:r>
      <w:r>
        <w:rPr>
          <w:b/>
          <w:bCs/>
          <w:color w:val="000000"/>
        </w:rPr>
        <w:t>4</w:t>
      </w:r>
      <w:r>
        <w:rPr>
          <w:rFonts w:hint="eastAsia"/>
          <w:b/>
          <w:bCs/>
          <w:color w:val="000000"/>
        </w:rPr>
        <w:t>.</w:t>
      </w:r>
      <w:r>
        <w:rPr>
          <w:b/>
          <w:bCs/>
          <w:color w:val="000000"/>
        </w:rPr>
        <w:t>3</w:t>
      </w:r>
      <w:r>
        <w:rPr>
          <w:rFonts w:hint="eastAsia"/>
          <w:color w:val="000000"/>
        </w:rPr>
        <w:t xml:space="preserve"> </w:t>
      </w:r>
      <w:r>
        <w:rPr>
          <w:color w:val="000000"/>
        </w:rPr>
        <w:t xml:space="preserve"> </w:t>
      </w:r>
      <w:r>
        <w:rPr>
          <w:rFonts w:hint="eastAsia"/>
          <w:color w:val="000000"/>
        </w:rPr>
        <w:t>可采用凿毛、植筋等方法提高托换承台与原竖向构件之间的整体性，构造要求应符合现行国家标准《混凝土结构加固设计规范》</w:t>
      </w:r>
      <w:r>
        <w:rPr>
          <w:rFonts w:hint="eastAsia"/>
          <w:color w:val="000000"/>
        </w:rPr>
        <w:t>GB50367</w:t>
      </w:r>
      <w:r>
        <w:rPr>
          <w:rFonts w:hint="eastAsia"/>
          <w:color w:val="000000"/>
        </w:rPr>
        <w:t>中</w:t>
      </w:r>
      <w:r>
        <w:rPr>
          <w:rFonts w:hint="eastAsia"/>
          <w:color w:val="000000"/>
        </w:rPr>
        <w:t>5.5</w:t>
      </w:r>
      <w:r>
        <w:rPr>
          <w:rFonts w:hint="eastAsia"/>
          <w:color w:val="000000"/>
        </w:rPr>
        <w:t>条相关规定。</w:t>
      </w:r>
      <w:r>
        <w:rPr>
          <w:color w:val="000000"/>
        </w:rPr>
        <w:t>钢筋混凝土抱柱托换节点新旧混凝土</w:t>
      </w:r>
      <w:r>
        <w:rPr>
          <w:rFonts w:hint="eastAsia"/>
          <w:color w:val="000000"/>
        </w:rPr>
        <w:t>结</w:t>
      </w:r>
      <w:r>
        <w:rPr>
          <w:color w:val="000000"/>
        </w:rPr>
        <w:t>合面受剪承载力</w:t>
      </w:r>
      <w:r>
        <w:rPr>
          <w:rFonts w:hint="eastAsia"/>
          <w:color w:val="000000"/>
        </w:rPr>
        <w:t>应符合下列规定：</w:t>
      </w:r>
    </w:p>
    <w:p w:rsidR="009136B5" w:rsidRDefault="00000000">
      <w:pPr>
        <w:ind w:firstLine="422"/>
        <w:rPr>
          <w:lang w:val="zh-CN"/>
        </w:rPr>
      </w:pPr>
      <w:r>
        <w:rPr>
          <w:b/>
        </w:rPr>
        <w:t>1</w:t>
      </w:r>
      <w:r>
        <w:rPr>
          <w:b/>
          <w:bCs/>
        </w:rPr>
        <w:t xml:space="preserve">  </w:t>
      </w:r>
      <w:r>
        <w:rPr>
          <w:lang w:val="zh-CN"/>
        </w:rPr>
        <w:t>临时性托换节点设计时，对于桩、柱上传递竖向荷载的抱柱梁结构，当不植筋时，其新旧混凝土结合面竖向承载力可按式</w:t>
      </w:r>
      <w:r>
        <w:rPr>
          <w:lang w:val="zh-CN"/>
        </w:rPr>
        <w:t>4.4.3-1</w:t>
      </w:r>
      <w:r>
        <w:rPr>
          <w:lang w:val="zh-CN"/>
        </w:rPr>
        <w:t>估算</w:t>
      </w:r>
      <w:r>
        <w:rPr>
          <w:lang w:val="zh-CN"/>
        </w:rPr>
        <w:t xml:space="preserve">, </w:t>
      </w:r>
      <w:r>
        <w:rPr>
          <w:lang w:val="zh-CN"/>
        </w:rPr>
        <w:t>同时应满足构造要求。</w:t>
      </w:r>
    </w:p>
    <w:tbl>
      <w:tblPr>
        <w:tblStyle w:val="afa"/>
        <w:tblW w:w="9395"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
        <w:gridCol w:w="567"/>
        <w:gridCol w:w="4577"/>
        <w:gridCol w:w="3361"/>
      </w:tblGrid>
      <w:tr w:rsidR="009136B5">
        <w:trPr>
          <w:trHeight w:val="20"/>
        </w:trPr>
        <w:tc>
          <w:tcPr>
            <w:tcW w:w="1457" w:type="dxa"/>
            <w:gridSpan w:val="2"/>
            <w:vAlign w:val="center"/>
          </w:tcPr>
          <w:p w:rsidR="009136B5" w:rsidRDefault="009136B5">
            <w:pPr>
              <w:pStyle w:val="x"/>
              <w:ind w:firstLineChars="0" w:firstLine="0"/>
              <w:jc w:val="center"/>
              <w:rPr>
                <w:szCs w:val="21"/>
              </w:rPr>
            </w:pPr>
          </w:p>
        </w:tc>
        <w:tc>
          <w:tcPr>
            <w:tcW w:w="4577" w:type="dxa"/>
            <w:vAlign w:val="center"/>
          </w:tcPr>
          <w:p w:rsidR="009136B5" w:rsidRDefault="00000000">
            <w:pPr>
              <w:pStyle w:val="x"/>
              <w:ind w:rightChars="-37" w:right="-78" w:firstLineChars="0" w:firstLine="0"/>
              <w:jc w:val="right"/>
              <w:rPr>
                <w:szCs w:val="21"/>
              </w:rPr>
            </w:pPr>
            <w:r>
              <w:t xml:space="preserve">          </w:t>
            </w:r>
            <w:r>
              <w:rPr>
                <w:position w:val="-10"/>
              </w:rPr>
              <w:object w:dxaOrig="1988" w:dyaOrig="322">
                <v:shape id="_x0000_i1078" type="#_x0000_t75" style="width:98.9pt;height:15.65pt" o:ole="">
                  <v:imagedata r:id="rId131" o:title=""/>
                </v:shape>
                <o:OLEObject Type="Embed" ProgID="Equation.DSMT4" ShapeID="_x0000_i1078" DrawAspect="Content" ObjectID="_1735132856" r:id="rId132"/>
              </w:object>
            </w:r>
          </w:p>
        </w:tc>
        <w:tc>
          <w:tcPr>
            <w:tcW w:w="3361" w:type="dxa"/>
            <w:vAlign w:val="center"/>
          </w:tcPr>
          <w:p w:rsidR="009136B5" w:rsidRDefault="00000000">
            <w:pPr>
              <w:pStyle w:val="x"/>
              <w:ind w:leftChars="-195" w:hangingChars="195" w:hanging="409"/>
              <w:jc w:val="right"/>
              <w:rPr>
                <w:szCs w:val="21"/>
              </w:rPr>
            </w:pPr>
            <w:r>
              <w:rPr>
                <w:rFonts w:hint="eastAsia"/>
                <w:szCs w:val="21"/>
              </w:rPr>
              <w:t>（</w:t>
            </w:r>
            <w:r>
              <w:rPr>
                <w:szCs w:val="21"/>
              </w:rPr>
              <w:t>4.4.3-1</w:t>
            </w:r>
            <w:r>
              <w:rPr>
                <w:rFonts w:hint="eastAsia"/>
                <w:szCs w:val="21"/>
              </w:rPr>
              <w:t>）</w:t>
            </w:r>
          </w:p>
        </w:tc>
      </w:tr>
      <w:tr w:rsidR="009136B5">
        <w:tblPrEx>
          <w:tblCellMar>
            <w:left w:w="0" w:type="dxa"/>
            <w:right w:w="57" w:type="dxa"/>
          </w:tblCellMar>
        </w:tblPrEx>
        <w:tc>
          <w:tcPr>
            <w:tcW w:w="890" w:type="dxa"/>
            <w:vAlign w:val="center"/>
          </w:tcPr>
          <w:p w:rsidR="009136B5" w:rsidRDefault="00000000">
            <w:pPr>
              <w:pStyle w:val="220"/>
              <w:jc w:val="right"/>
            </w:pPr>
            <w:r>
              <w:rPr>
                <w:rFonts w:hint="eastAsia"/>
              </w:rPr>
              <w:t>式中：</w:t>
            </w:r>
            <w:r>
              <w:rPr>
                <w:i/>
                <w:iCs/>
              </w:rPr>
              <w:t>V</w:t>
            </w:r>
          </w:p>
        </w:tc>
        <w:tc>
          <w:tcPr>
            <w:tcW w:w="567" w:type="dxa"/>
            <w:vAlign w:val="center"/>
          </w:tcPr>
          <w:p w:rsidR="009136B5" w:rsidRDefault="00000000">
            <w:pPr>
              <w:pStyle w:val="220"/>
              <w:jc w:val="center"/>
            </w:pPr>
            <w:r>
              <w:t>——</w:t>
            </w:r>
          </w:p>
        </w:tc>
        <w:tc>
          <w:tcPr>
            <w:tcW w:w="7938" w:type="dxa"/>
            <w:gridSpan w:val="2"/>
            <w:vAlign w:val="center"/>
          </w:tcPr>
          <w:p w:rsidR="009136B5" w:rsidRDefault="00000000">
            <w:pPr>
              <w:widowControl/>
              <w:ind w:firstLineChars="0" w:firstLine="0"/>
              <w:jc w:val="left"/>
              <w:rPr>
                <w:kern w:val="0"/>
                <w:szCs w:val="21"/>
              </w:rPr>
            </w:pPr>
            <w:r>
              <w:rPr>
                <w:lang w:val="zh-CN"/>
              </w:rPr>
              <w:t>剪力荷载设计值（</w:t>
            </w:r>
            <w:r>
              <w:rPr>
                <w:lang w:val="zh-CN"/>
              </w:rPr>
              <w:t>kN</w:t>
            </w:r>
            <w:r>
              <w:rPr>
                <w:lang w:val="zh-CN"/>
              </w:rPr>
              <w:t>）</w:t>
            </w:r>
            <w:r>
              <w:t>；</w:t>
            </w:r>
          </w:p>
        </w:tc>
      </w:tr>
      <w:tr w:rsidR="009136B5">
        <w:tblPrEx>
          <w:tblCellMar>
            <w:left w:w="0" w:type="dxa"/>
            <w:right w:w="57" w:type="dxa"/>
          </w:tblCellMar>
        </w:tblPrEx>
        <w:tc>
          <w:tcPr>
            <w:tcW w:w="890" w:type="dxa"/>
            <w:vAlign w:val="center"/>
          </w:tcPr>
          <w:p w:rsidR="009136B5" w:rsidRDefault="00000000">
            <w:pPr>
              <w:pStyle w:val="220"/>
              <w:jc w:val="right"/>
            </w:pPr>
            <w:r>
              <w:rPr>
                <w:i/>
                <w:iCs/>
              </w:rPr>
              <w:t>γ</w:t>
            </w:r>
          </w:p>
        </w:tc>
        <w:tc>
          <w:tcPr>
            <w:tcW w:w="567" w:type="dxa"/>
            <w:vAlign w:val="center"/>
          </w:tcPr>
          <w:p w:rsidR="009136B5" w:rsidRDefault="00000000">
            <w:pPr>
              <w:pStyle w:val="220"/>
              <w:jc w:val="center"/>
            </w:pPr>
            <w:r>
              <w:t>——</w:t>
            </w:r>
          </w:p>
        </w:tc>
        <w:tc>
          <w:tcPr>
            <w:tcW w:w="7938" w:type="dxa"/>
            <w:gridSpan w:val="2"/>
            <w:vAlign w:val="center"/>
          </w:tcPr>
          <w:p w:rsidR="009136B5" w:rsidRDefault="00000000">
            <w:pPr>
              <w:autoSpaceDE w:val="0"/>
              <w:autoSpaceDN w:val="0"/>
              <w:adjustRightInd w:val="0"/>
              <w:ind w:firstLineChars="0" w:firstLine="0"/>
            </w:pPr>
            <w:r>
              <w:rPr>
                <w:lang w:val="zh-CN"/>
              </w:rPr>
              <w:t>剪力荷载设计值（</w:t>
            </w:r>
            <w:r>
              <w:rPr>
                <w:lang w:val="zh-CN"/>
              </w:rPr>
              <w:t>kN</w:t>
            </w:r>
            <w:r>
              <w:rPr>
                <w:lang w:val="zh-CN"/>
              </w:rPr>
              <w:t>）</w:t>
            </w:r>
            <w:r>
              <w:t>；</w:t>
            </w:r>
          </w:p>
        </w:tc>
      </w:tr>
      <w:tr w:rsidR="009136B5">
        <w:tblPrEx>
          <w:tblCellMar>
            <w:left w:w="0" w:type="dxa"/>
            <w:right w:w="57" w:type="dxa"/>
          </w:tblCellMar>
        </w:tblPrEx>
        <w:tc>
          <w:tcPr>
            <w:tcW w:w="890" w:type="dxa"/>
            <w:vAlign w:val="center"/>
          </w:tcPr>
          <w:p w:rsidR="009136B5" w:rsidRDefault="00000000">
            <w:pPr>
              <w:pStyle w:val="220"/>
              <w:jc w:val="right"/>
            </w:pPr>
            <w:r>
              <w:rPr>
                <w:i/>
                <w:iCs/>
              </w:rPr>
              <w:t>V</w:t>
            </w:r>
            <w:r>
              <w:rPr>
                <w:rFonts w:hint="eastAsia"/>
                <w:vertAlign w:val="subscript"/>
              </w:rPr>
              <w:t>u</w:t>
            </w:r>
          </w:p>
        </w:tc>
        <w:tc>
          <w:tcPr>
            <w:tcW w:w="567" w:type="dxa"/>
            <w:vAlign w:val="center"/>
          </w:tcPr>
          <w:p w:rsidR="009136B5" w:rsidRDefault="00000000">
            <w:pPr>
              <w:pStyle w:val="220"/>
              <w:jc w:val="center"/>
            </w:pPr>
            <w:r>
              <w:t>——</w:t>
            </w:r>
          </w:p>
        </w:tc>
        <w:tc>
          <w:tcPr>
            <w:tcW w:w="7938" w:type="dxa"/>
            <w:gridSpan w:val="2"/>
            <w:vAlign w:val="center"/>
          </w:tcPr>
          <w:p w:rsidR="009136B5" w:rsidRDefault="00000000">
            <w:pPr>
              <w:autoSpaceDE w:val="0"/>
              <w:autoSpaceDN w:val="0"/>
              <w:adjustRightInd w:val="0"/>
              <w:ind w:firstLineChars="0" w:firstLine="0"/>
            </w:pPr>
            <w:r>
              <w:rPr>
                <w:lang w:val="zh-CN"/>
              </w:rPr>
              <w:t>新旧混凝土结合面竖向承载力（</w:t>
            </w:r>
            <w:r>
              <w:rPr>
                <w:lang w:val="zh-CN"/>
              </w:rPr>
              <w:t>kN</w:t>
            </w:r>
            <w:r>
              <w:rPr>
                <w:rFonts w:hint="eastAsia"/>
                <w:lang w:val="zh-CN"/>
              </w:rPr>
              <w:t>）</w:t>
            </w:r>
            <w:r>
              <w:rPr>
                <w:rFonts w:hint="eastAsia"/>
              </w:rPr>
              <w:t>；</w:t>
            </w:r>
          </w:p>
        </w:tc>
      </w:tr>
      <w:tr w:rsidR="009136B5">
        <w:tblPrEx>
          <w:tblCellMar>
            <w:left w:w="0" w:type="dxa"/>
            <w:right w:w="57" w:type="dxa"/>
          </w:tblCellMar>
        </w:tblPrEx>
        <w:tc>
          <w:tcPr>
            <w:tcW w:w="890" w:type="dxa"/>
            <w:vAlign w:val="center"/>
          </w:tcPr>
          <w:p w:rsidR="009136B5" w:rsidRDefault="00000000">
            <w:pPr>
              <w:pStyle w:val="220"/>
              <w:jc w:val="right"/>
            </w:pPr>
            <w:r>
              <w:rPr>
                <w:rFonts w:hint="eastAsia"/>
                <w:i/>
                <w:iCs/>
              </w:rPr>
              <w:t>f</w:t>
            </w:r>
            <w:r>
              <w:rPr>
                <w:rFonts w:hint="eastAsia"/>
                <w:vertAlign w:val="subscript"/>
              </w:rPr>
              <w:t>c</w:t>
            </w:r>
          </w:p>
        </w:tc>
        <w:tc>
          <w:tcPr>
            <w:tcW w:w="567" w:type="dxa"/>
            <w:vAlign w:val="center"/>
          </w:tcPr>
          <w:p w:rsidR="009136B5" w:rsidRDefault="00000000">
            <w:pPr>
              <w:pStyle w:val="220"/>
              <w:jc w:val="center"/>
            </w:pPr>
            <w:r>
              <w:t>——</w:t>
            </w:r>
          </w:p>
        </w:tc>
        <w:tc>
          <w:tcPr>
            <w:tcW w:w="7938" w:type="dxa"/>
            <w:gridSpan w:val="2"/>
            <w:vAlign w:val="center"/>
          </w:tcPr>
          <w:p w:rsidR="009136B5" w:rsidRDefault="00000000">
            <w:pPr>
              <w:widowControl/>
              <w:ind w:firstLineChars="0" w:firstLine="0"/>
              <w:jc w:val="left"/>
              <w:rPr>
                <w:kern w:val="0"/>
                <w:szCs w:val="21"/>
              </w:rPr>
            </w:pPr>
            <w:r>
              <w:rPr>
                <w:lang w:val="zh-CN"/>
              </w:rPr>
              <w:t>梁、柱混凝土抗压强度设计值</w:t>
            </w:r>
            <w:r>
              <w:rPr>
                <w:lang w:val="zh-CN"/>
              </w:rPr>
              <w:t>(kPa)</w:t>
            </w:r>
            <w:r>
              <w:rPr>
                <w:lang w:val="zh-CN"/>
              </w:rPr>
              <w:t>，可取较低值</w:t>
            </w:r>
            <w:r>
              <w:rPr>
                <w:rFonts w:hint="eastAsia"/>
              </w:rPr>
              <w:t>；</w:t>
            </w:r>
          </w:p>
        </w:tc>
      </w:tr>
      <w:tr w:rsidR="009136B5">
        <w:tblPrEx>
          <w:tblCellMar>
            <w:left w:w="0" w:type="dxa"/>
            <w:right w:w="57" w:type="dxa"/>
          </w:tblCellMar>
        </w:tblPrEx>
        <w:tc>
          <w:tcPr>
            <w:tcW w:w="890" w:type="dxa"/>
          </w:tcPr>
          <w:p w:rsidR="009136B5" w:rsidRDefault="00000000">
            <w:pPr>
              <w:pStyle w:val="220"/>
              <w:jc w:val="right"/>
            </w:pPr>
            <w:r>
              <w:rPr>
                <w:i/>
                <w:iCs/>
              </w:rPr>
              <w:t>A</w:t>
            </w:r>
            <w:r>
              <w:rPr>
                <w:rFonts w:hint="eastAsia"/>
                <w:vertAlign w:val="subscript"/>
              </w:rPr>
              <w:t>c</w:t>
            </w:r>
          </w:p>
        </w:tc>
        <w:tc>
          <w:tcPr>
            <w:tcW w:w="567" w:type="dxa"/>
          </w:tcPr>
          <w:p w:rsidR="009136B5" w:rsidRDefault="00000000">
            <w:pPr>
              <w:pStyle w:val="220"/>
              <w:jc w:val="center"/>
            </w:pPr>
            <w:r>
              <w:t>——</w:t>
            </w:r>
          </w:p>
        </w:tc>
        <w:tc>
          <w:tcPr>
            <w:tcW w:w="7938" w:type="dxa"/>
            <w:gridSpan w:val="2"/>
            <w:vAlign w:val="center"/>
          </w:tcPr>
          <w:p w:rsidR="009136B5" w:rsidRDefault="00000000">
            <w:pPr>
              <w:widowControl/>
              <w:ind w:firstLineChars="0" w:firstLine="0"/>
              <w:jc w:val="left"/>
              <w:rPr>
                <w:kern w:val="0"/>
                <w:szCs w:val="21"/>
              </w:rPr>
            </w:pPr>
            <w:r>
              <w:rPr>
                <w:lang w:val="zh-CN"/>
              </w:rPr>
              <w:t>新旧混凝土交接面的有效面积</w:t>
            </w:r>
            <w:r>
              <w:rPr>
                <w:lang w:val="zh-CN"/>
              </w:rPr>
              <w:t>(m</w:t>
            </w:r>
            <w:r>
              <w:rPr>
                <w:vertAlign w:val="superscript"/>
                <w:lang w:val="zh-CN"/>
              </w:rPr>
              <w:t>2</w:t>
            </w:r>
            <w:r>
              <w:rPr>
                <w:lang w:val="zh-CN"/>
              </w:rPr>
              <w:t>)</w:t>
            </w:r>
            <w:r>
              <w:rPr>
                <w:rFonts w:hint="eastAsia"/>
                <w:lang w:val="zh-CN"/>
              </w:rPr>
              <w:t>。</w:t>
            </w:r>
          </w:p>
        </w:tc>
      </w:tr>
    </w:tbl>
    <w:p w:rsidR="009136B5" w:rsidRDefault="00000000">
      <w:pPr>
        <w:autoSpaceDE w:val="0"/>
        <w:autoSpaceDN w:val="0"/>
        <w:adjustRightInd w:val="0"/>
        <w:snapToGrid w:val="0"/>
        <w:ind w:firstLine="422"/>
        <w:rPr>
          <w:lang w:val="zh-CN"/>
        </w:rPr>
      </w:pPr>
      <w:r>
        <w:rPr>
          <w:b/>
        </w:rPr>
        <w:t>2</w:t>
      </w:r>
      <w:r>
        <w:rPr>
          <w:b/>
          <w:bCs/>
        </w:rPr>
        <w:t xml:space="preserve">  </w:t>
      </w:r>
      <w:r>
        <w:rPr>
          <w:lang w:val="zh-CN"/>
        </w:rPr>
        <w:t>永久性托换节点设计时，对于桩、柱传递竖向荷载的抱柱梁结构，当有植筋时，其新旧混凝土结合面竖向承载力可按</w:t>
      </w:r>
      <w:r>
        <w:rPr>
          <w:lang w:val="zh-CN"/>
        </w:rPr>
        <w:t>4.4.3</w:t>
      </w:r>
      <w:r>
        <w:rPr>
          <w:rFonts w:hint="eastAsia"/>
          <w:lang w:val="zh-CN"/>
        </w:rPr>
        <w:t>-</w:t>
      </w:r>
      <w:r>
        <w:rPr>
          <w:lang w:val="zh-CN"/>
        </w:rPr>
        <w:t>2</w:t>
      </w:r>
      <w:r>
        <w:rPr>
          <w:lang w:val="zh-CN"/>
        </w:rPr>
        <w:t>、</w:t>
      </w:r>
      <w:r>
        <w:rPr>
          <w:lang w:val="zh-CN"/>
        </w:rPr>
        <w:t>4.4.3-3</w:t>
      </w:r>
      <w:r>
        <w:rPr>
          <w:lang w:val="zh-CN"/>
        </w:rPr>
        <w:t>公式计算。</w:t>
      </w:r>
    </w:p>
    <w:tbl>
      <w:tblPr>
        <w:tblStyle w:val="afa"/>
        <w:tblW w:w="5010" w:type="pct"/>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
        <w:gridCol w:w="566"/>
        <w:gridCol w:w="1719"/>
        <w:gridCol w:w="3152"/>
        <w:gridCol w:w="3047"/>
      </w:tblGrid>
      <w:tr w:rsidR="009136B5">
        <w:trPr>
          <w:trHeight w:val="20"/>
        </w:trPr>
        <w:tc>
          <w:tcPr>
            <w:tcW w:w="1694" w:type="pct"/>
            <w:gridSpan w:val="3"/>
            <w:vAlign w:val="center"/>
          </w:tcPr>
          <w:p w:rsidR="009136B5" w:rsidRDefault="009136B5">
            <w:pPr>
              <w:pStyle w:val="x"/>
              <w:ind w:firstLineChars="0" w:firstLine="0"/>
              <w:jc w:val="center"/>
              <w:rPr>
                <w:szCs w:val="21"/>
              </w:rPr>
            </w:pPr>
          </w:p>
        </w:tc>
        <w:tc>
          <w:tcPr>
            <w:tcW w:w="1681" w:type="pct"/>
            <w:vAlign w:val="center"/>
          </w:tcPr>
          <w:p w:rsidR="009136B5" w:rsidRDefault="00000000">
            <w:pPr>
              <w:pStyle w:val="x"/>
              <w:ind w:firstLineChars="0" w:firstLine="0"/>
              <w:jc w:val="center"/>
              <w:rPr>
                <w:szCs w:val="21"/>
              </w:rPr>
            </w:pPr>
            <w:r>
              <w:rPr>
                <w:position w:val="-10"/>
              </w:rPr>
              <w:object w:dxaOrig="2944" w:dyaOrig="322">
                <v:shape id="_x0000_i1079" type="#_x0000_t75" style="width:146.5pt;height:15.65pt" o:ole="">
                  <v:imagedata r:id="rId133" o:title=""/>
                </v:shape>
                <o:OLEObject Type="Embed" ProgID="Equation.DSMT4" ShapeID="_x0000_i1079" DrawAspect="Content" ObjectID="_1735132857" r:id="rId134"/>
              </w:object>
            </w:r>
          </w:p>
        </w:tc>
        <w:tc>
          <w:tcPr>
            <w:tcW w:w="1625" w:type="pct"/>
            <w:vAlign w:val="center"/>
          </w:tcPr>
          <w:p w:rsidR="009136B5" w:rsidRDefault="00000000">
            <w:pPr>
              <w:pStyle w:val="x"/>
              <w:ind w:firstLineChars="0" w:firstLine="0"/>
              <w:jc w:val="right"/>
              <w:rPr>
                <w:szCs w:val="21"/>
              </w:rPr>
            </w:pPr>
            <w:r>
              <w:rPr>
                <w:rFonts w:hint="eastAsia"/>
                <w:szCs w:val="21"/>
              </w:rPr>
              <w:t>（</w:t>
            </w:r>
            <w:r>
              <w:rPr>
                <w:szCs w:val="21"/>
              </w:rPr>
              <w:t>4.4.3-2</w:t>
            </w:r>
            <w:r>
              <w:rPr>
                <w:rFonts w:hint="eastAsia"/>
                <w:szCs w:val="21"/>
              </w:rPr>
              <w:t>）</w:t>
            </w:r>
          </w:p>
        </w:tc>
      </w:tr>
      <w:tr w:rsidR="009136B5">
        <w:trPr>
          <w:trHeight w:val="20"/>
        </w:trPr>
        <w:tc>
          <w:tcPr>
            <w:tcW w:w="1694" w:type="pct"/>
            <w:gridSpan w:val="3"/>
            <w:vAlign w:val="center"/>
          </w:tcPr>
          <w:p w:rsidR="009136B5" w:rsidRDefault="009136B5">
            <w:pPr>
              <w:pStyle w:val="x"/>
              <w:ind w:firstLineChars="0" w:firstLine="0"/>
              <w:jc w:val="center"/>
              <w:rPr>
                <w:szCs w:val="21"/>
              </w:rPr>
            </w:pPr>
          </w:p>
        </w:tc>
        <w:tc>
          <w:tcPr>
            <w:tcW w:w="1681" w:type="pct"/>
            <w:vAlign w:val="center"/>
          </w:tcPr>
          <w:p w:rsidR="009136B5" w:rsidRDefault="00000000">
            <w:pPr>
              <w:pStyle w:val="x"/>
              <w:ind w:firstLineChars="0" w:firstLine="0"/>
              <w:jc w:val="center"/>
            </w:pPr>
            <w:r>
              <w:rPr>
                <w:position w:val="-10"/>
              </w:rPr>
              <w:object w:dxaOrig="1397" w:dyaOrig="322">
                <v:shape id="_x0000_i1080" type="#_x0000_t75" style="width:70.1pt;height:15.65pt" o:ole="">
                  <v:imagedata r:id="rId135" o:title=""/>
                </v:shape>
                <o:OLEObject Type="Embed" ProgID="Equation.DSMT4" ShapeID="_x0000_i1080" DrawAspect="Content" ObjectID="_1735132858" r:id="rId136"/>
              </w:object>
            </w:r>
          </w:p>
        </w:tc>
        <w:tc>
          <w:tcPr>
            <w:tcW w:w="1625" w:type="pct"/>
            <w:vAlign w:val="center"/>
          </w:tcPr>
          <w:p w:rsidR="009136B5" w:rsidRDefault="00000000">
            <w:pPr>
              <w:pStyle w:val="x"/>
              <w:ind w:firstLineChars="0" w:firstLine="0"/>
              <w:jc w:val="right"/>
              <w:rPr>
                <w:szCs w:val="21"/>
              </w:rPr>
            </w:pPr>
            <w:r>
              <w:rPr>
                <w:rFonts w:hint="eastAsia"/>
                <w:szCs w:val="21"/>
              </w:rPr>
              <w:t>（</w:t>
            </w:r>
            <w:r>
              <w:rPr>
                <w:szCs w:val="21"/>
              </w:rPr>
              <w:t>4.4.3-3</w:t>
            </w:r>
            <w:r>
              <w:rPr>
                <w:rFonts w:hint="eastAsia"/>
                <w:szCs w:val="21"/>
              </w:rPr>
              <w:t>）</w:t>
            </w:r>
          </w:p>
        </w:tc>
      </w:tr>
      <w:tr w:rsidR="009136B5">
        <w:tblPrEx>
          <w:tblCellMar>
            <w:left w:w="0" w:type="dxa"/>
            <w:right w:w="57" w:type="dxa"/>
          </w:tblCellMar>
        </w:tblPrEx>
        <w:tc>
          <w:tcPr>
            <w:tcW w:w="475" w:type="pct"/>
            <w:vAlign w:val="center"/>
          </w:tcPr>
          <w:p w:rsidR="009136B5" w:rsidRDefault="00000000">
            <w:pPr>
              <w:pStyle w:val="220"/>
              <w:jc w:val="right"/>
            </w:pPr>
            <w:r>
              <w:rPr>
                <w:rFonts w:hint="eastAsia"/>
              </w:rPr>
              <w:t>式中：</w:t>
            </w:r>
            <w:r>
              <w:rPr>
                <w:rFonts w:hint="eastAsia"/>
                <w:i/>
                <w:iCs/>
              </w:rPr>
              <w:t>f</w:t>
            </w:r>
            <w:r>
              <w:rPr>
                <w:rFonts w:hint="eastAsia"/>
                <w:vertAlign w:val="subscript"/>
              </w:rPr>
              <w:t>s</w:t>
            </w:r>
          </w:p>
        </w:tc>
        <w:tc>
          <w:tcPr>
            <w:tcW w:w="302" w:type="pct"/>
            <w:vAlign w:val="center"/>
          </w:tcPr>
          <w:p w:rsidR="009136B5" w:rsidRDefault="00000000">
            <w:pPr>
              <w:pStyle w:val="220"/>
              <w:jc w:val="center"/>
            </w:pPr>
            <w:r>
              <w:t>——</w:t>
            </w:r>
          </w:p>
        </w:tc>
        <w:tc>
          <w:tcPr>
            <w:tcW w:w="4221" w:type="pct"/>
            <w:gridSpan w:val="3"/>
            <w:vAlign w:val="center"/>
          </w:tcPr>
          <w:p w:rsidR="009136B5" w:rsidRDefault="00000000">
            <w:pPr>
              <w:widowControl/>
              <w:ind w:firstLineChars="25" w:firstLine="53"/>
              <w:jc w:val="left"/>
              <w:rPr>
                <w:kern w:val="0"/>
                <w:szCs w:val="21"/>
              </w:rPr>
            </w:pPr>
            <w:r>
              <w:rPr>
                <w:lang w:val="zh-CN"/>
              </w:rPr>
              <w:t>结合面配置的植筋抗拉强度设计值；</w:t>
            </w:r>
          </w:p>
        </w:tc>
      </w:tr>
      <w:tr w:rsidR="009136B5">
        <w:tblPrEx>
          <w:tblCellMar>
            <w:left w:w="0" w:type="dxa"/>
            <w:right w:w="57" w:type="dxa"/>
          </w:tblCellMar>
        </w:tblPrEx>
        <w:tc>
          <w:tcPr>
            <w:tcW w:w="475" w:type="pct"/>
            <w:vAlign w:val="center"/>
          </w:tcPr>
          <w:p w:rsidR="009136B5" w:rsidRDefault="00000000">
            <w:pPr>
              <w:pStyle w:val="220"/>
              <w:jc w:val="right"/>
            </w:pPr>
            <w:r>
              <w:rPr>
                <w:rFonts w:hint="eastAsia"/>
                <w:i/>
                <w:iCs/>
              </w:rPr>
              <w:t>A</w:t>
            </w:r>
            <w:r>
              <w:rPr>
                <w:rFonts w:hint="eastAsia"/>
                <w:vertAlign w:val="subscript"/>
              </w:rPr>
              <w:t>s</w:t>
            </w:r>
          </w:p>
        </w:tc>
        <w:tc>
          <w:tcPr>
            <w:tcW w:w="302" w:type="pct"/>
            <w:vAlign w:val="center"/>
          </w:tcPr>
          <w:p w:rsidR="009136B5" w:rsidRDefault="00000000">
            <w:pPr>
              <w:pStyle w:val="220"/>
              <w:jc w:val="center"/>
            </w:pPr>
            <w:r>
              <w:t>——</w:t>
            </w:r>
          </w:p>
        </w:tc>
        <w:tc>
          <w:tcPr>
            <w:tcW w:w="4221" w:type="pct"/>
            <w:gridSpan w:val="3"/>
            <w:vAlign w:val="center"/>
          </w:tcPr>
          <w:p w:rsidR="009136B5" w:rsidRDefault="00000000">
            <w:pPr>
              <w:autoSpaceDE w:val="0"/>
              <w:autoSpaceDN w:val="0"/>
              <w:adjustRightInd w:val="0"/>
              <w:ind w:firstLineChars="0" w:firstLine="0"/>
            </w:pPr>
            <w:r>
              <w:rPr>
                <w:lang w:val="zh-CN"/>
              </w:rPr>
              <w:t>结合面上同一截面植筋总截面面积</w:t>
            </w:r>
            <w:r>
              <w:rPr>
                <w:rFonts w:hint="eastAsia"/>
                <w:lang w:val="zh-CN"/>
              </w:rPr>
              <w:t>。</w:t>
            </w:r>
          </w:p>
        </w:tc>
      </w:tr>
    </w:tbl>
    <w:p w:rsidR="009136B5" w:rsidRDefault="00000000">
      <w:pPr>
        <w:pStyle w:val="afffff1"/>
        <w:ind w:firstLineChars="0" w:firstLine="0"/>
      </w:pPr>
      <w:r>
        <w:rPr>
          <w:rFonts w:hint="eastAsia"/>
          <w:b/>
        </w:rPr>
        <w:t>条文说明：</w:t>
      </w:r>
      <w:r>
        <w:rPr>
          <w:lang w:val="zh-CN"/>
        </w:rPr>
        <w:t>在</w:t>
      </w:r>
      <w:r>
        <w:t>应用</w:t>
      </w:r>
      <w:r>
        <w:rPr>
          <w:rFonts w:hint="eastAsia"/>
        </w:rPr>
        <w:t>该</w:t>
      </w:r>
      <w:r>
        <w:t>公式时，应满足以下使用条件：</w:t>
      </w:r>
    </w:p>
    <w:p w:rsidR="009136B5" w:rsidRDefault="00000000">
      <w:pPr>
        <w:pStyle w:val="afffff1"/>
      </w:pPr>
      <w:r>
        <w:t xml:space="preserve">1  </w:t>
      </w:r>
      <w:r>
        <w:t>对新旧混凝土结合面处，原构件的表面应凿成凹凸差不小于</w:t>
      </w:r>
      <w:r>
        <w:t>6mm</w:t>
      </w:r>
      <w:r>
        <w:t>的粗糙面。</w:t>
      </w:r>
    </w:p>
    <w:p w:rsidR="009136B5" w:rsidRDefault="00000000">
      <w:pPr>
        <w:pStyle w:val="afffff1"/>
      </w:pPr>
      <w:r>
        <w:t xml:space="preserve">2  </w:t>
      </w:r>
      <w:r>
        <w:t>抱柱梁的高宽比应符合混凝土梁的构造要求。</w:t>
      </w:r>
    </w:p>
    <w:p w:rsidR="009136B5" w:rsidRDefault="00000000">
      <w:pPr>
        <w:pStyle w:val="afffff1"/>
      </w:pPr>
      <w:r>
        <w:t xml:space="preserve">3  </w:t>
      </w:r>
      <w:r>
        <w:t>被抱柱梁包围的原结构，其平面径向尺寸宜小于</w:t>
      </w:r>
      <w:r>
        <w:t>1.5m</w:t>
      </w:r>
      <w:r>
        <w:t>。若超过</w:t>
      </w:r>
      <w:r>
        <w:t>1.5m</w:t>
      </w:r>
      <w:r>
        <w:t>时，应进行特殊设计。</w:t>
      </w:r>
    </w:p>
    <w:p w:rsidR="009136B5" w:rsidRDefault="00000000">
      <w:pPr>
        <w:pStyle w:val="afffff1"/>
      </w:pPr>
      <w:r>
        <w:t xml:space="preserve">4  </w:t>
      </w:r>
      <w:r>
        <w:t>植筋位置沿高度方向距离抱柱梁上、下表面距离不小于</w:t>
      </w:r>
      <w:r>
        <w:t>100mm</w:t>
      </w:r>
      <w:r>
        <w:t>，沿水平方向距离墩柱边缘不小于</w:t>
      </w:r>
      <w:r>
        <w:t>60mm</w:t>
      </w:r>
      <w:r>
        <w:t>。</w:t>
      </w:r>
    </w:p>
    <w:p w:rsidR="009136B5" w:rsidRDefault="00000000">
      <w:pPr>
        <w:pStyle w:val="xxx"/>
        <w:rPr>
          <w:color w:val="000000"/>
        </w:rPr>
      </w:pPr>
      <w:r>
        <w:rPr>
          <w:b/>
          <w:bCs/>
          <w:color w:val="000000"/>
        </w:rPr>
        <w:t>4</w:t>
      </w:r>
      <w:r>
        <w:rPr>
          <w:rFonts w:hint="eastAsia"/>
          <w:b/>
          <w:bCs/>
          <w:color w:val="000000"/>
        </w:rPr>
        <w:t>.</w:t>
      </w:r>
      <w:r>
        <w:rPr>
          <w:b/>
          <w:bCs/>
          <w:color w:val="000000"/>
        </w:rPr>
        <w:t>4</w:t>
      </w:r>
      <w:r>
        <w:rPr>
          <w:rFonts w:hint="eastAsia"/>
          <w:b/>
          <w:bCs/>
          <w:color w:val="000000"/>
        </w:rPr>
        <w:t>.</w:t>
      </w:r>
      <w:r>
        <w:rPr>
          <w:b/>
          <w:bCs/>
          <w:color w:val="000000"/>
        </w:rPr>
        <w:t xml:space="preserve">4  </w:t>
      </w:r>
      <w:r>
        <w:rPr>
          <w:rFonts w:hint="eastAsia"/>
          <w:color w:val="000000"/>
        </w:rPr>
        <w:t>托换梁内力计算时，支座按实际情况确定或支座弯矩按固定端计算，单跨托梁的跨中弯矩按简支梁计算。对于砌体结构，当上部层数较多时，可按墙梁进行计算，墙梁的计算符合现行国家标准《砌体结构通用规范》</w:t>
      </w:r>
      <w:r>
        <w:rPr>
          <w:rFonts w:hint="eastAsia"/>
          <w:color w:val="000000"/>
        </w:rPr>
        <w:t>GB 55007</w:t>
      </w:r>
      <w:r>
        <w:rPr>
          <w:rFonts w:hint="eastAsia"/>
          <w:color w:val="000000"/>
        </w:rPr>
        <w:t>、《砌体结构设计规范》</w:t>
      </w:r>
      <w:r>
        <w:rPr>
          <w:rFonts w:hint="eastAsia"/>
          <w:color w:val="000000"/>
        </w:rPr>
        <w:t>GB</w:t>
      </w:r>
      <w:r>
        <w:rPr>
          <w:color w:val="000000"/>
        </w:rPr>
        <w:t xml:space="preserve"> </w:t>
      </w:r>
      <w:r>
        <w:rPr>
          <w:rFonts w:hint="eastAsia"/>
          <w:color w:val="000000"/>
        </w:rPr>
        <w:t>50003</w:t>
      </w:r>
      <w:r>
        <w:rPr>
          <w:rFonts w:hint="eastAsia"/>
          <w:color w:val="000000"/>
        </w:rPr>
        <w:t>的相关规定。托换梁、上部墙体、顶梁应满足相应构造要求。</w:t>
      </w:r>
    </w:p>
    <w:p w:rsidR="009136B5" w:rsidRDefault="00000000">
      <w:pPr>
        <w:pStyle w:val="afffff1"/>
        <w:ind w:firstLineChars="0" w:firstLine="0"/>
      </w:pPr>
      <w:r>
        <w:rPr>
          <w:rFonts w:hint="eastAsia"/>
          <w:b/>
        </w:rPr>
        <w:t>条文说明</w:t>
      </w:r>
      <w:r>
        <w:rPr>
          <w:b/>
        </w:rPr>
        <w:t>：</w:t>
      </w:r>
      <w:r>
        <w:rPr>
          <w:rFonts w:hint="eastAsia"/>
        </w:rPr>
        <w:t>托换梁设计时，应考虑支座位置的变化、支座的差异沉降、上部结构刚度的影响，并考虑托换梁的弯扭组合的复杂受力状态、托换梁刚度或变形对既有建筑的影响。</w:t>
      </w:r>
    </w:p>
    <w:p w:rsidR="009136B5" w:rsidRDefault="00000000">
      <w:pPr>
        <w:pStyle w:val="xxx"/>
        <w:rPr>
          <w:color w:val="000000"/>
        </w:rPr>
      </w:pPr>
      <w:r>
        <w:rPr>
          <w:b/>
          <w:bCs/>
          <w:color w:val="000000"/>
        </w:rPr>
        <w:t>4</w:t>
      </w:r>
      <w:r>
        <w:rPr>
          <w:rFonts w:hint="eastAsia"/>
          <w:b/>
          <w:bCs/>
          <w:color w:val="000000"/>
        </w:rPr>
        <w:t>.</w:t>
      </w:r>
      <w:r>
        <w:rPr>
          <w:b/>
          <w:bCs/>
          <w:color w:val="000000"/>
        </w:rPr>
        <w:t>4</w:t>
      </w:r>
      <w:r>
        <w:rPr>
          <w:rFonts w:hint="eastAsia"/>
          <w:b/>
          <w:bCs/>
          <w:color w:val="000000"/>
        </w:rPr>
        <w:t>.</w:t>
      </w:r>
      <w:r>
        <w:rPr>
          <w:b/>
          <w:bCs/>
          <w:color w:val="000000"/>
        </w:rPr>
        <w:t>5</w:t>
      </w:r>
      <w:r>
        <w:rPr>
          <w:color w:val="000000"/>
        </w:rPr>
        <w:t xml:space="preserve">  </w:t>
      </w:r>
      <w:r>
        <w:rPr>
          <w:rFonts w:hint="eastAsia"/>
          <w:color w:val="000000"/>
        </w:rPr>
        <w:t>采用钢筋混凝土夹墙梁（图</w:t>
      </w:r>
      <w:r>
        <w:rPr>
          <w:color w:val="000000"/>
        </w:rPr>
        <w:t>4</w:t>
      </w:r>
      <w:r>
        <w:rPr>
          <w:rFonts w:hint="eastAsia"/>
          <w:color w:val="000000"/>
        </w:rPr>
        <w:t>.</w:t>
      </w:r>
      <w:r>
        <w:rPr>
          <w:color w:val="000000"/>
        </w:rPr>
        <w:t>4</w:t>
      </w:r>
      <w:r>
        <w:rPr>
          <w:rFonts w:hint="eastAsia"/>
          <w:color w:val="000000"/>
        </w:rPr>
        <w:t>.</w:t>
      </w:r>
      <w:r>
        <w:rPr>
          <w:color w:val="000000"/>
        </w:rPr>
        <w:t>5-1</w:t>
      </w:r>
      <w:r>
        <w:rPr>
          <w:rFonts w:hint="eastAsia"/>
          <w:color w:val="000000"/>
        </w:rPr>
        <w:t>）进行基础托换时，宜符合下列规定：</w:t>
      </w:r>
      <w:r>
        <w:rPr>
          <w:rFonts w:hint="eastAsia"/>
          <w:color w:val="000000"/>
        </w:rPr>
        <w:t xml:space="preserve"> </w:t>
      </w:r>
    </w:p>
    <w:p w:rsidR="009136B5" w:rsidRDefault="00000000">
      <w:pPr>
        <w:pStyle w:val="affffb"/>
      </w:pPr>
      <w:r>
        <w:object w:dxaOrig="9167" w:dyaOrig="3385">
          <v:shape id="_x0000_i1081" type="#_x0000_t75" style="width:458.3pt;height:169.05pt" o:ole="">
            <v:imagedata r:id="rId137" o:title="" croptop="33464f" cropbottom="15029f" cropleft="4853f" cropright="35464f"/>
          </v:shape>
          <o:OLEObject Type="Embed" ProgID="AutoCAD.Drawing.23" ShapeID="_x0000_i1081" DrawAspect="Content" ObjectID="_1735132859" r:id="rId138"/>
        </w:object>
      </w:r>
    </w:p>
    <w:p w:rsidR="009136B5" w:rsidRDefault="00000000">
      <w:pPr>
        <w:pStyle w:val="affffb"/>
        <w:rPr>
          <w:color w:val="auto"/>
        </w:rPr>
      </w:pPr>
      <w:r>
        <w:rPr>
          <w:rFonts w:hint="eastAsia"/>
          <w:color w:val="auto"/>
        </w:rPr>
        <w:t>图</w:t>
      </w:r>
      <w:r>
        <w:rPr>
          <w:color w:val="auto"/>
        </w:rPr>
        <w:t xml:space="preserve">4.4.5-1  </w:t>
      </w:r>
      <w:r>
        <w:rPr>
          <w:rFonts w:hint="eastAsia"/>
          <w:color w:val="auto"/>
        </w:rPr>
        <w:t>钢筋混凝土夹墙梁式托换</w:t>
      </w:r>
    </w:p>
    <w:p w:rsidR="009136B5" w:rsidRDefault="00000000">
      <w:pPr>
        <w:pStyle w:val="affffb"/>
        <w:rPr>
          <w:color w:val="auto"/>
        </w:rPr>
      </w:pPr>
      <w:r>
        <w:rPr>
          <w:rFonts w:hint="eastAsia"/>
          <w:b w:val="0"/>
          <w:bCs w:val="0"/>
        </w:rPr>
        <w:t>1-</w:t>
      </w:r>
      <w:r>
        <w:rPr>
          <w:rFonts w:hint="eastAsia"/>
          <w:b w:val="0"/>
          <w:bCs w:val="0"/>
        </w:rPr>
        <w:t>夹墙梁；</w:t>
      </w:r>
      <w:r>
        <w:rPr>
          <w:rFonts w:hint="eastAsia"/>
          <w:b w:val="0"/>
          <w:bCs w:val="0"/>
        </w:rPr>
        <w:t>2-</w:t>
      </w:r>
      <w:r>
        <w:rPr>
          <w:rFonts w:hint="eastAsia"/>
          <w:b w:val="0"/>
          <w:bCs w:val="0"/>
        </w:rPr>
        <w:t>横向拉梁</w:t>
      </w:r>
    </w:p>
    <w:p w:rsidR="009136B5" w:rsidRDefault="00000000">
      <w:pPr>
        <w:pStyle w:val="x"/>
        <w:ind w:firstLine="316"/>
        <w:rPr>
          <w:lang w:val="zh-CN"/>
        </w:rPr>
      </w:pPr>
      <w:r>
        <w:rPr>
          <w:rFonts w:hint="eastAsia"/>
          <w:b/>
          <w:lang w:val="zh-CN"/>
        </w:rPr>
        <w:t>1</w:t>
      </w:r>
      <w:r>
        <w:rPr>
          <w:rFonts w:hint="eastAsia"/>
          <w:lang w:val="zh-CN"/>
        </w:rPr>
        <w:t xml:space="preserve"> </w:t>
      </w:r>
      <w:r>
        <w:rPr>
          <w:lang w:val="zh-CN"/>
        </w:rPr>
        <w:t xml:space="preserve"> </w:t>
      </w:r>
      <w:r>
        <w:rPr>
          <w:rFonts w:hint="eastAsia"/>
          <w:lang w:val="zh-CN"/>
        </w:rPr>
        <w:t>托换体系应包括墙体两侧的夹</w:t>
      </w:r>
      <w:r>
        <w:rPr>
          <w:color w:val="000000"/>
          <w:kern w:val="0"/>
        </w:rPr>
        <w:t>墙</w:t>
      </w:r>
      <w:r>
        <w:rPr>
          <w:rFonts w:hint="eastAsia"/>
          <w:lang w:val="zh-CN"/>
        </w:rPr>
        <w:t>梁和横向拉梁或拉结筋。</w:t>
      </w:r>
    </w:p>
    <w:p w:rsidR="009136B5" w:rsidRDefault="00000000">
      <w:pPr>
        <w:pStyle w:val="x"/>
        <w:ind w:firstLine="316"/>
        <w:rPr>
          <w:lang w:val="zh-CN"/>
        </w:rPr>
      </w:pPr>
      <w:r>
        <w:rPr>
          <w:rFonts w:hint="eastAsia"/>
          <w:b/>
          <w:lang w:val="zh-CN"/>
        </w:rPr>
        <w:t>2</w:t>
      </w:r>
      <w:r>
        <w:rPr>
          <w:rFonts w:hint="eastAsia"/>
          <w:lang w:val="zh-CN"/>
        </w:rPr>
        <w:t xml:space="preserve"> </w:t>
      </w:r>
      <w:r>
        <w:rPr>
          <w:lang w:val="zh-CN"/>
        </w:rPr>
        <w:t xml:space="preserve"> </w:t>
      </w:r>
      <w:r>
        <w:rPr>
          <w:rFonts w:hint="eastAsia"/>
          <w:lang w:val="zh-CN"/>
        </w:rPr>
        <w:t>钢筋混凝土夹</w:t>
      </w:r>
      <w:r>
        <w:rPr>
          <w:color w:val="000000"/>
          <w:kern w:val="0"/>
        </w:rPr>
        <w:t>墙</w:t>
      </w:r>
      <w:r>
        <w:rPr>
          <w:rFonts w:hint="eastAsia"/>
          <w:lang w:val="zh-CN"/>
        </w:rPr>
        <w:t>梁高度宜取夹</w:t>
      </w:r>
      <w:r>
        <w:rPr>
          <w:color w:val="000000"/>
          <w:kern w:val="0"/>
        </w:rPr>
        <w:t>墙</w:t>
      </w:r>
      <w:r>
        <w:rPr>
          <w:rFonts w:hint="eastAsia"/>
          <w:lang w:val="zh-CN"/>
        </w:rPr>
        <w:t>梁计算跨度的</w:t>
      </w:r>
      <w:r>
        <w:rPr>
          <w:rFonts w:hint="eastAsia"/>
          <w:lang w:val="zh-CN"/>
        </w:rPr>
        <w:t>1/8</w:t>
      </w:r>
      <w:r>
        <w:rPr>
          <w:rFonts w:hint="eastAsia"/>
          <w:lang w:val="zh-CN"/>
        </w:rPr>
        <w:t>～</w:t>
      </w:r>
      <w:r>
        <w:rPr>
          <w:rFonts w:hint="eastAsia"/>
          <w:lang w:val="zh-CN"/>
        </w:rPr>
        <w:t>1/12</w:t>
      </w:r>
      <w:r>
        <w:rPr>
          <w:rFonts w:hint="eastAsia"/>
          <w:lang w:val="zh-CN"/>
        </w:rPr>
        <w:t>，宽度应考虑托换桩的施工及与托换桩的连接需求。夹</w:t>
      </w:r>
      <w:r>
        <w:rPr>
          <w:color w:val="000000"/>
          <w:kern w:val="0"/>
        </w:rPr>
        <w:t>墙</w:t>
      </w:r>
      <w:r>
        <w:rPr>
          <w:rFonts w:hint="eastAsia"/>
          <w:lang w:val="zh-CN"/>
        </w:rPr>
        <w:t>梁计算跨度取相邻支座形心之间的距离。</w:t>
      </w:r>
    </w:p>
    <w:p w:rsidR="009136B5" w:rsidRDefault="00000000">
      <w:pPr>
        <w:pStyle w:val="x"/>
        <w:ind w:firstLine="316"/>
        <w:rPr>
          <w:lang w:val="zh-CN"/>
        </w:rPr>
      </w:pPr>
      <w:r>
        <w:rPr>
          <w:rFonts w:hint="eastAsia"/>
          <w:b/>
          <w:lang w:val="zh-CN"/>
        </w:rPr>
        <w:t>3</w:t>
      </w:r>
      <w:r>
        <w:rPr>
          <w:lang w:val="zh-CN"/>
        </w:rPr>
        <w:t xml:space="preserve">  </w:t>
      </w:r>
      <w:r>
        <w:rPr>
          <w:rFonts w:hint="eastAsia"/>
          <w:lang w:val="zh-CN"/>
        </w:rPr>
        <w:t>横向拉梁间距宜控制在</w:t>
      </w:r>
      <w:r>
        <w:rPr>
          <w:rFonts w:hint="eastAsia"/>
          <w:lang w:val="zh-CN"/>
        </w:rPr>
        <w:t>1~1.5m</w:t>
      </w:r>
      <w:r>
        <w:rPr>
          <w:rFonts w:hint="eastAsia"/>
          <w:lang w:val="zh-CN"/>
        </w:rPr>
        <w:t>内，拉梁采用钢筋混凝土梁时，截面宽度不宜小于</w:t>
      </w:r>
      <w:r>
        <w:rPr>
          <w:rFonts w:hint="eastAsia"/>
          <w:lang w:val="zh-CN"/>
        </w:rPr>
        <w:t>200mm</w:t>
      </w:r>
      <w:r>
        <w:rPr>
          <w:rFonts w:hint="eastAsia"/>
          <w:lang w:val="zh-CN"/>
        </w:rPr>
        <w:t>，高度不宜小于</w:t>
      </w:r>
      <w:r>
        <w:rPr>
          <w:rFonts w:hint="eastAsia"/>
          <w:lang w:val="zh-CN"/>
        </w:rPr>
        <w:t>2</w:t>
      </w:r>
      <w:r>
        <w:rPr>
          <w:lang w:val="zh-CN"/>
        </w:rPr>
        <w:t>/3</w:t>
      </w:r>
      <w:r>
        <w:rPr>
          <w:rFonts w:hint="eastAsia"/>
          <w:lang w:val="zh-CN"/>
        </w:rPr>
        <w:t>夹墙梁高度。每个拉梁中下部拉结钢筋数量应按式</w:t>
      </w:r>
      <w:r>
        <w:rPr>
          <w:rFonts w:hint="eastAsia"/>
        </w:rPr>
        <w:t>4.4.</w:t>
      </w:r>
      <w:r>
        <w:t>3</w:t>
      </w:r>
      <w:r>
        <w:rPr>
          <w:rFonts w:hint="eastAsia"/>
        </w:rPr>
        <w:t>确定，且</w:t>
      </w:r>
      <w:r>
        <w:rPr>
          <w:rFonts w:hint="eastAsia"/>
          <w:lang w:val="zh-CN"/>
        </w:rPr>
        <w:t>不小于</w:t>
      </w:r>
      <w:r>
        <w:rPr>
          <w:rFonts w:hint="eastAsia"/>
          <w:lang w:val="zh-CN"/>
        </w:rPr>
        <w:t>2</w:t>
      </w:r>
      <w:r>
        <w:rPr>
          <w:rFonts w:ascii="SJQY" w:eastAsia="SJQY" w:hAnsi="SJQY" w:cs="SJQY" w:hint="eastAsia"/>
          <w:lang w:val="zh-CN"/>
        </w:rPr>
        <w:t>C</w:t>
      </w:r>
      <w:r>
        <w:rPr>
          <w:rFonts w:hint="eastAsia"/>
          <w:lang w:val="zh-CN"/>
        </w:rPr>
        <w:t>16</w:t>
      </w:r>
      <w:r>
        <w:rPr>
          <w:rFonts w:hint="eastAsia"/>
          <w:lang w:val="zh-CN"/>
        </w:rPr>
        <w:t>。仅配置横向拉结钢筋时，横向拉结钢筋数量不小于</w:t>
      </w:r>
      <w:r>
        <w:rPr>
          <w:rFonts w:ascii="SJQY" w:eastAsia="SJQY" w:hAnsi="SJQY" w:cs="SJQY" w:hint="eastAsia"/>
          <w:lang w:val="zh-CN"/>
        </w:rPr>
        <w:t>C</w:t>
      </w:r>
      <w:r>
        <w:rPr>
          <w:rFonts w:hint="eastAsia"/>
          <w:lang w:val="zh-CN"/>
        </w:rPr>
        <w:t>16@1000</w:t>
      </w:r>
      <w:r>
        <w:rPr>
          <w:rFonts w:hint="eastAsia"/>
          <w:lang w:val="zh-CN"/>
        </w:rPr>
        <w:t>。横向钢筋锚入夹</w:t>
      </w:r>
      <w:r>
        <w:rPr>
          <w:color w:val="000000"/>
          <w:kern w:val="0"/>
        </w:rPr>
        <w:t>墙</w:t>
      </w:r>
      <w:r>
        <w:rPr>
          <w:rFonts w:hint="eastAsia"/>
          <w:lang w:val="zh-CN"/>
        </w:rPr>
        <w:t>梁中的锚固长度不小于</w:t>
      </w:r>
      <w:r>
        <w:rPr>
          <w:rFonts w:hint="eastAsia"/>
          <w:lang w:val="zh-CN"/>
        </w:rPr>
        <w:t>400mm</w:t>
      </w:r>
      <w:r>
        <w:rPr>
          <w:rFonts w:hint="eastAsia"/>
          <w:lang w:val="zh-CN"/>
        </w:rPr>
        <w:t>。当墙体荷载较大时，拉</w:t>
      </w:r>
      <w:r>
        <w:rPr>
          <w:color w:val="000000"/>
          <w:kern w:val="0"/>
        </w:rPr>
        <w:t>墙</w:t>
      </w:r>
      <w:r>
        <w:rPr>
          <w:rFonts w:hint="eastAsia"/>
          <w:lang w:val="zh-CN"/>
        </w:rPr>
        <w:t>梁也可采用型钢或钢管。</w:t>
      </w:r>
    </w:p>
    <w:p w:rsidR="009136B5" w:rsidRDefault="00000000">
      <w:pPr>
        <w:pStyle w:val="x"/>
        <w:ind w:firstLine="316"/>
        <w:rPr>
          <w:color w:val="000000"/>
          <w:kern w:val="0"/>
        </w:rPr>
      </w:pPr>
      <w:r>
        <w:rPr>
          <w:b/>
          <w:color w:val="000000"/>
          <w:kern w:val="0"/>
        </w:rPr>
        <w:t xml:space="preserve">4  </w:t>
      </w:r>
      <w:r>
        <w:rPr>
          <w:color w:val="000000"/>
          <w:kern w:val="0"/>
        </w:rPr>
        <w:t>钢筋混凝土夹墙梁高度尚应满足式</w:t>
      </w:r>
      <w:r>
        <w:rPr>
          <w:color w:val="000000"/>
          <w:kern w:val="0"/>
        </w:rPr>
        <w:t>4</w:t>
      </w:r>
      <w:r>
        <w:rPr>
          <w:rFonts w:hint="eastAsia"/>
          <w:color w:val="000000"/>
          <w:kern w:val="0"/>
        </w:rPr>
        <w:t>.</w:t>
      </w:r>
      <w:r>
        <w:rPr>
          <w:color w:val="000000"/>
          <w:kern w:val="0"/>
        </w:rPr>
        <w:t>4</w:t>
      </w:r>
      <w:r>
        <w:rPr>
          <w:rFonts w:hint="eastAsia"/>
          <w:color w:val="000000"/>
          <w:kern w:val="0"/>
        </w:rPr>
        <w:t>.</w:t>
      </w:r>
      <w:r>
        <w:rPr>
          <w:color w:val="000000"/>
          <w:kern w:val="0"/>
        </w:rPr>
        <w:t>5-1</w:t>
      </w:r>
      <w:r>
        <w:rPr>
          <w:color w:val="000000"/>
          <w:kern w:val="0"/>
        </w:rPr>
        <w:t>的要求。</w:t>
      </w:r>
    </w:p>
    <w:tbl>
      <w:tblPr>
        <w:tblStyle w:val="afa"/>
        <w:tblW w:w="4920" w:type="pct"/>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646"/>
        <w:gridCol w:w="1563"/>
        <w:gridCol w:w="3117"/>
        <w:gridCol w:w="3069"/>
      </w:tblGrid>
      <w:tr w:rsidR="009136B5">
        <w:trPr>
          <w:trHeight w:val="20"/>
        </w:trPr>
        <w:tc>
          <w:tcPr>
            <w:tcW w:w="1640" w:type="pct"/>
            <w:gridSpan w:val="3"/>
            <w:vAlign w:val="center"/>
          </w:tcPr>
          <w:p w:rsidR="009136B5" w:rsidRDefault="009136B5">
            <w:pPr>
              <w:pStyle w:val="x"/>
              <w:ind w:firstLineChars="0" w:firstLine="0"/>
              <w:jc w:val="center"/>
              <w:rPr>
                <w:szCs w:val="21"/>
              </w:rPr>
            </w:pPr>
          </w:p>
        </w:tc>
        <w:tc>
          <w:tcPr>
            <w:tcW w:w="1693" w:type="pct"/>
            <w:vAlign w:val="center"/>
          </w:tcPr>
          <w:p w:rsidR="009136B5" w:rsidRDefault="00000000">
            <w:pPr>
              <w:pStyle w:val="x"/>
              <w:ind w:firstLineChars="0" w:firstLine="0"/>
              <w:jc w:val="center"/>
              <w:rPr>
                <w:szCs w:val="21"/>
              </w:rPr>
            </w:pPr>
            <w:r>
              <w:rPr>
                <w:position w:val="-22"/>
              </w:rPr>
              <w:object w:dxaOrig="838" w:dyaOrig="548">
                <v:shape id="_x0000_i1082" type="#_x0000_t75" style="width:41.95pt;height:26.9pt" o:ole="">
                  <v:imagedata r:id="rId139" o:title=""/>
                </v:shape>
                <o:OLEObject Type="Embed" ProgID="Equation.DSMT4" ShapeID="_x0000_i1082" DrawAspect="Content" ObjectID="_1735132860" r:id="rId140"/>
              </w:object>
            </w:r>
          </w:p>
        </w:tc>
        <w:tc>
          <w:tcPr>
            <w:tcW w:w="1667" w:type="pct"/>
            <w:vAlign w:val="center"/>
          </w:tcPr>
          <w:p w:rsidR="009136B5" w:rsidRDefault="00000000">
            <w:pPr>
              <w:pStyle w:val="x"/>
              <w:ind w:firstLineChars="0" w:firstLine="0"/>
              <w:jc w:val="right"/>
              <w:rPr>
                <w:szCs w:val="21"/>
              </w:rPr>
            </w:pPr>
            <w:r>
              <w:rPr>
                <w:rFonts w:hint="eastAsia"/>
                <w:szCs w:val="21"/>
              </w:rPr>
              <w:t>（</w:t>
            </w:r>
            <w:r>
              <w:rPr>
                <w:szCs w:val="21"/>
              </w:rPr>
              <w:t>4.4.5-1</w:t>
            </w:r>
            <w:r>
              <w:rPr>
                <w:rFonts w:hint="eastAsia"/>
                <w:szCs w:val="21"/>
              </w:rPr>
              <w:t>）</w:t>
            </w:r>
          </w:p>
        </w:tc>
      </w:tr>
      <w:tr w:rsidR="009136B5">
        <w:tblPrEx>
          <w:tblCellMar>
            <w:left w:w="0" w:type="dxa"/>
            <w:right w:w="57" w:type="dxa"/>
          </w:tblCellMar>
        </w:tblPrEx>
        <w:tc>
          <w:tcPr>
            <w:tcW w:w="440" w:type="pct"/>
            <w:vAlign w:val="center"/>
          </w:tcPr>
          <w:p w:rsidR="009136B5" w:rsidRDefault="00000000">
            <w:pPr>
              <w:pStyle w:val="220"/>
              <w:jc w:val="right"/>
            </w:pPr>
            <w:r>
              <w:rPr>
                <w:rFonts w:hint="eastAsia"/>
              </w:rPr>
              <w:t>式中：</w:t>
            </w:r>
            <w:r>
              <w:rPr>
                <w:rFonts w:hint="eastAsia"/>
                <w:i/>
                <w:iCs/>
              </w:rPr>
              <w:t>q</w:t>
            </w:r>
          </w:p>
        </w:tc>
        <w:tc>
          <w:tcPr>
            <w:tcW w:w="351" w:type="pct"/>
            <w:vAlign w:val="center"/>
          </w:tcPr>
          <w:p w:rsidR="009136B5" w:rsidRDefault="00000000">
            <w:pPr>
              <w:pStyle w:val="220"/>
              <w:jc w:val="center"/>
            </w:pPr>
            <w:r>
              <w:t>——</w:t>
            </w:r>
          </w:p>
        </w:tc>
        <w:tc>
          <w:tcPr>
            <w:tcW w:w="4209" w:type="pct"/>
            <w:gridSpan w:val="3"/>
            <w:vAlign w:val="center"/>
          </w:tcPr>
          <w:p w:rsidR="009136B5" w:rsidRDefault="00000000">
            <w:pPr>
              <w:widowControl/>
              <w:ind w:firstLineChars="0" w:firstLine="0"/>
              <w:jc w:val="left"/>
              <w:rPr>
                <w:kern w:val="0"/>
                <w:szCs w:val="21"/>
              </w:rPr>
            </w:pPr>
            <w:r>
              <w:t>单位长度上承重墙竖向荷载设计值</w:t>
            </w:r>
            <w:r>
              <w:rPr>
                <w:rFonts w:hint="eastAsia"/>
              </w:rPr>
              <w:t>（</w:t>
            </w:r>
            <w:r>
              <w:t>N/mm</w:t>
            </w:r>
            <w:r>
              <w:rPr>
                <w:rFonts w:hint="eastAsia"/>
              </w:rPr>
              <w:t>）；</w:t>
            </w:r>
          </w:p>
        </w:tc>
      </w:tr>
      <w:tr w:rsidR="009136B5">
        <w:tblPrEx>
          <w:tblCellMar>
            <w:left w:w="0" w:type="dxa"/>
            <w:right w:w="57" w:type="dxa"/>
          </w:tblCellMar>
        </w:tblPrEx>
        <w:tc>
          <w:tcPr>
            <w:tcW w:w="440" w:type="pct"/>
          </w:tcPr>
          <w:p w:rsidR="009136B5" w:rsidRDefault="00000000">
            <w:pPr>
              <w:pStyle w:val="220"/>
              <w:jc w:val="right"/>
            </w:pPr>
            <w:proofErr w:type="spellStart"/>
            <w:r>
              <w:rPr>
                <w:rFonts w:hint="eastAsia"/>
                <w:i/>
                <w:iCs/>
              </w:rPr>
              <w:t>f</w:t>
            </w:r>
            <w:r>
              <w:rPr>
                <w:rFonts w:hint="eastAsia"/>
                <w:vertAlign w:val="subscript"/>
              </w:rPr>
              <w:t>v</w:t>
            </w:r>
            <w:proofErr w:type="spellEnd"/>
          </w:p>
        </w:tc>
        <w:tc>
          <w:tcPr>
            <w:tcW w:w="351" w:type="pct"/>
          </w:tcPr>
          <w:p w:rsidR="009136B5" w:rsidRDefault="00000000">
            <w:pPr>
              <w:pStyle w:val="220"/>
              <w:jc w:val="center"/>
            </w:pPr>
            <w:r>
              <w:t>——</w:t>
            </w:r>
          </w:p>
        </w:tc>
        <w:tc>
          <w:tcPr>
            <w:tcW w:w="4209" w:type="pct"/>
            <w:gridSpan w:val="3"/>
            <w:vAlign w:val="center"/>
          </w:tcPr>
          <w:p w:rsidR="009136B5" w:rsidRDefault="00000000">
            <w:pPr>
              <w:autoSpaceDE w:val="0"/>
              <w:autoSpaceDN w:val="0"/>
              <w:adjustRightInd w:val="0"/>
              <w:ind w:firstLineChars="0" w:firstLine="0"/>
            </w:pPr>
            <w:r>
              <w:t>砌体与混凝土界面粘结抗剪强度，由试验确定；无试验资料时，可根据夹</w:t>
            </w:r>
            <w:r>
              <w:rPr>
                <w:color w:val="000000"/>
                <w:kern w:val="0"/>
              </w:rPr>
              <w:t>墙</w:t>
            </w:r>
            <w:r>
              <w:t>梁混凝土强度等级在</w:t>
            </w:r>
            <w:r>
              <w:t>0.3~0.5N/mm</w:t>
            </w:r>
            <w:r>
              <w:rPr>
                <w:vertAlign w:val="superscript"/>
              </w:rPr>
              <w:t>2</w:t>
            </w:r>
            <w:r>
              <w:t>之间取值；</w:t>
            </w:r>
          </w:p>
        </w:tc>
      </w:tr>
      <w:tr w:rsidR="009136B5">
        <w:tblPrEx>
          <w:tblCellMar>
            <w:left w:w="0" w:type="dxa"/>
            <w:right w:w="57" w:type="dxa"/>
          </w:tblCellMar>
        </w:tblPrEx>
        <w:tc>
          <w:tcPr>
            <w:tcW w:w="440" w:type="pct"/>
            <w:vAlign w:val="center"/>
          </w:tcPr>
          <w:p w:rsidR="009136B5" w:rsidRDefault="00000000">
            <w:pPr>
              <w:pStyle w:val="220"/>
              <w:jc w:val="right"/>
              <w:rPr>
                <w:i/>
                <w:iCs/>
              </w:rPr>
            </w:pPr>
            <w:r>
              <w:rPr>
                <w:rFonts w:hint="eastAsia"/>
                <w:i/>
                <w:iCs/>
              </w:rPr>
              <w:t>h</w:t>
            </w:r>
          </w:p>
        </w:tc>
        <w:tc>
          <w:tcPr>
            <w:tcW w:w="351" w:type="pct"/>
            <w:vAlign w:val="center"/>
          </w:tcPr>
          <w:p w:rsidR="009136B5" w:rsidRDefault="00000000">
            <w:pPr>
              <w:pStyle w:val="220"/>
              <w:jc w:val="center"/>
            </w:pPr>
            <w:r>
              <w:t>——</w:t>
            </w:r>
          </w:p>
        </w:tc>
        <w:tc>
          <w:tcPr>
            <w:tcW w:w="4209" w:type="pct"/>
            <w:gridSpan w:val="3"/>
            <w:vAlign w:val="center"/>
          </w:tcPr>
          <w:p w:rsidR="009136B5" w:rsidRDefault="00000000">
            <w:pPr>
              <w:autoSpaceDE w:val="0"/>
              <w:autoSpaceDN w:val="0"/>
              <w:adjustRightInd w:val="0"/>
              <w:ind w:firstLineChars="0" w:firstLine="0"/>
            </w:pPr>
            <w:r>
              <w:t>夹</w:t>
            </w:r>
            <w:r>
              <w:rPr>
                <w:color w:val="000000"/>
                <w:kern w:val="0"/>
              </w:rPr>
              <w:t>墙</w:t>
            </w:r>
            <w:r>
              <w:t>梁与墙体结合面高度</w:t>
            </w:r>
            <w:r>
              <w:rPr>
                <w:rFonts w:hint="eastAsia"/>
              </w:rPr>
              <w:t>（</w:t>
            </w:r>
            <w:r>
              <w:t>mm</w:t>
            </w:r>
            <w:r>
              <w:rPr>
                <w:rFonts w:hint="eastAsia"/>
              </w:rPr>
              <w:t>）</w:t>
            </w:r>
            <w:r>
              <w:t>。</w:t>
            </w:r>
          </w:p>
        </w:tc>
      </w:tr>
    </w:tbl>
    <w:p w:rsidR="009136B5" w:rsidRDefault="00000000">
      <w:pPr>
        <w:widowControl/>
        <w:ind w:firstLine="422"/>
        <w:jc w:val="left"/>
      </w:pPr>
      <w:r>
        <w:rPr>
          <w:b/>
          <w:bCs/>
        </w:rPr>
        <w:t>5</w:t>
      </w:r>
      <w:r>
        <w:t xml:space="preserve">  </w:t>
      </w:r>
      <w:r>
        <w:rPr>
          <w:color w:val="000000"/>
          <w:kern w:val="0"/>
        </w:rPr>
        <w:t>钢筋混凝土</w:t>
      </w:r>
      <w:r>
        <w:t>夹墙梁的拉梁中受拉纵筋或穿墙螺栓数量</w:t>
      </w:r>
      <w:r>
        <w:rPr>
          <w:rFonts w:hint="eastAsia"/>
        </w:rPr>
        <w:t>应</w:t>
      </w:r>
      <w:r>
        <w:t>满足轴心受拉构件最小配筋率要求，下部钢筋或穿墙螺栓按式</w:t>
      </w:r>
      <w:r>
        <w:t>4</w:t>
      </w:r>
      <w:r>
        <w:rPr>
          <w:rFonts w:hint="eastAsia"/>
        </w:rPr>
        <w:t>.</w:t>
      </w:r>
      <w:r>
        <w:t>4</w:t>
      </w:r>
      <w:r>
        <w:rPr>
          <w:rFonts w:hint="eastAsia"/>
        </w:rPr>
        <w:t>.5</w:t>
      </w:r>
      <w:r>
        <w:t>-2</w:t>
      </w:r>
      <w:r>
        <w:t>确定。</w:t>
      </w:r>
    </w:p>
    <w:tbl>
      <w:tblPr>
        <w:tblStyle w:val="afa"/>
        <w:tblW w:w="4920" w:type="pct"/>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646"/>
        <w:gridCol w:w="1563"/>
        <w:gridCol w:w="3117"/>
        <w:gridCol w:w="3069"/>
      </w:tblGrid>
      <w:tr w:rsidR="009136B5">
        <w:trPr>
          <w:trHeight w:val="20"/>
        </w:trPr>
        <w:tc>
          <w:tcPr>
            <w:tcW w:w="1640" w:type="pct"/>
            <w:gridSpan w:val="3"/>
            <w:vAlign w:val="center"/>
          </w:tcPr>
          <w:p w:rsidR="009136B5" w:rsidRDefault="009136B5">
            <w:pPr>
              <w:pStyle w:val="x"/>
              <w:ind w:firstLineChars="0" w:firstLine="0"/>
              <w:jc w:val="center"/>
              <w:rPr>
                <w:szCs w:val="21"/>
              </w:rPr>
            </w:pPr>
          </w:p>
        </w:tc>
        <w:tc>
          <w:tcPr>
            <w:tcW w:w="1693" w:type="pct"/>
            <w:vAlign w:val="center"/>
          </w:tcPr>
          <w:p w:rsidR="009136B5" w:rsidRDefault="00000000">
            <w:pPr>
              <w:pStyle w:val="x"/>
              <w:ind w:firstLineChars="0" w:firstLine="0"/>
              <w:jc w:val="center"/>
              <w:rPr>
                <w:szCs w:val="21"/>
              </w:rPr>
            </w:pPr>
            <w:r>
              <w:rPr>
                <w:position w:val="-28"/>
              </w:rPr>
              <w:object w:dxaOrig="999" w:dyaOrig="634">
                <v:shape id="_x0000_i1083" type="#_x0000_t75" style="width:49.45pt;height:31.95pt" o:ole="">
                  <v:imagedata r:id="rId141" o:title=""/>
                </v:shape>
                <o:OLEObject Type="Embed" ProgID="Equation.DSMT4" ShapeID="_x0000_i1083" DrawAspect="Content" ObjectID="_1735132861" r:id="rId142"/>
              </w:object>
            </w:r>
          </w:p>
        </w:tc>
        <w:tc>
          <w:tcPr>
            <w:tcW w:w="1667" w:type="pct"/>
            <w:vAlign w:val="center"/>
          </w:tcPr>
          <w:p w:rsidR="009136B5" w:rsidRDefault="00000000">
            <w:pPr>
              <w:pStyle w:val="x"/>
              <w:ind w:firstLineChars="0" w:firstLine="0"/>
              <w:jc w:val="right"/>
              <w:rPr>
                <w:szCs w:val="21"/>
              </w:rPr>
            </w:pPr>
            <w:r>
              <w:rPr>
                <w:rFonts w:hint="eastAsia"/>
                <w:szCs w:val="21"/>
              </w:rPr>
              <w:t>（</w:t>
            </w:r>
            <w:r>
              <w:rPr>
                <w:szCs w:val="21"/>
              </w:rPr>
              <w:t>4.4.5-2</w:t>
            </w:r>
            <w:r>
              <w:rPr>
                <w:rFonts w:hint="eastAsia"/>
                <w:szCs w:val="21"/>
              </w:rPr>
              <w:t>）</w:t>
            </w:r>
          </w:p>
        </w:tc>
      </w:tr>
      <w:tr w:rsidR="009136B5">
        <w:tblPrEx>
          <w:tblCellMar>
            <w:left w:w="0" w:type="dxa"/>
            <w:right w:w="57" w:type="dxa"/>
          </w:tblCellMar>
        </w:tblPrEx>
        <w:tc>
          <w:tcPr>
            <w:tcW w:w="440" w:type="pct"/>
            <w:vAlign w:val="center"/>
          </w:tcPr>
          <w:p w:rsidR="009136B5" w:rsidRDefault="00000000">
            <w:pPr>
              <w:pStyle w:val="220"/>
              <w:jc w:val="right"/>
            </w:pPr>
            <w:r>
              <w:rPr>
                <w:rFonts w:hint="eastAsia"/>
              </w:rPr>
              <w:t>式中：</w:t>
            </w:r>
            <w:r>
              <w:rPr>
                <w:rFonts w:hint="eastAsia"/>
                <w:i/>
                <w:iCs/>
              </w:rPr>
              <w:t>a</w:t>
            </w:r>
          </w:p>
        </w:tc>
        <w:tc>
          <w:tcPr>
            <w:tcW w:w="351" w:type="pct"/>
            <w:vAlign w:val="center"/>
          </w:tcPr>
          <w:p w:rsidR="009136B5" w:rsidRDefault="00000000">
            <w:pPr>
              <w:pStyle w:val="220"/>
              <w:jc w:val="center"/>
            </w:pPr>
            <w:r>
              <w:t>——</w:t>
            </w:r>
          </w:p>
        </w:tc>
        <w:tc>
          <w:tcPr>
            <w:tcW w:w="4209" w:type="pct"/>
            <w:gridSpan w:val="3"/>
            <w:vAlign w:val="center"/>
          </w:tcPr>
          <w:p w:rsidR="009136B5" w:rsidRDefault="00000000">
            <w:pPr>
              <w:widowControl/>
              <w:ind w:firstLineChars="0" w:firstLine="0"/>
              <w:jc w:val="left"/>
              <w:rPr>
                <w:kern w:val="0"/>
                <w:szCs w:val="21"/>
              </w:rPr>
            </w:pPr>
            <w:r>
              <w:rPr>
                <w:bCs/>
              </w:rPr>
              <w:t>名义剪跨，可按图</w:t>
            </w:r>
            <w:r>
              <w:rPr>
                <w:lang w:val="zh-CN"/>
              </w:rPr>
              <w:t>4.4.3-2</w:t>
            </w:r>
            <w:r>
              <w:rPr>
                <w:bCs/>
              </w:rPr>
              <w:t>取值</w:t>
            </w:r>
            <w:r>
              <w:rPr>
                <w:rFonts w:hint="eastAsia"/>
                <w:bCs/>
              </w:rPr>
              <w:t>（</w:t>
            </w:r>
            <w:r>
              <w:rPr>
                <w:bCs/>
              </w:rPr>
              <w:t>mm</w:t>
            </w:r>
            <w:r>
              <w:rPr>
                <w:rFonts w:hint="eastAsia"/>
                <w:bCs/>
              </w:rPr>
              <w:t>）</w:t>
            </w:r>
            <w:r>
              <w:rPr>
                <w:bCs/>
              </w:rPr>
              <w:t>；</w:t>
            </w:r>
          </w:p>
        </w:tc>
      </w:tr>
      <w:tr w:rsidR="009136B5">
        <w:tblPrEx>
          <w:tblCellMar>
            <w:left w:w="0" w:type="dxa"/>
            <w:right w:w="57" w:type="dxa"/>
          </w:tblCellMar>
        </w:tblPrEx>
        <w:tc>
          <w:tcPr>
            <w:tcW w:w="440" w:type="pct"/>
          </w:tcPr>
          <w:p w:rsidR="009136B5" w:rsidRDefault="00000000">
            <w:pPr>
              <w:pStyle w:val="220"/>
              <w:jc w:val="right"/>
            </w:pPr>
            <w:proofErr w:type="spellStart"/>
            <w:r>
              <w:rPr>
                <w:i/>
                <w:iCs/>
              </w:rPr>
              <w:t>h</w:t>
            </w:r>
            <w:r>
              <w:rPr>
                <w:vertAlign w:val="subscript"/>
              </w:rPr>
              <w:t>s</w:t>
            </w:r>
            <w:proofErr w:type="spellEnd"/>
          </w:p>
        </w:tc>
        <w:tc>
          <w:tcPr>
            <w:tcW w:w="351" w:type="pct"/>
          </w:tcPr>
          <w:p w:rsidR="009136B5" w:rsidRDefault="00000000">
            <w:pPr>
              <w:pStyle w:val="220"/>
              <w:jc w:val="center"/>
            </w:pPr>
            <w:r>
              <w:t>——</w:t>
            </w:r>
          </w:p>
        </w:tc>
        <w:tc>
          <w:tcPr>
            <w:tcW w:w="4209" w:type="pct"/>
            <w:gridSpan w:val="3"/>
            <w:vAlign w:val="center"/>
          </w:tcPr>
          <w:p w:rsidR="009136B5" w:rsidRDefault="00000000">
            <w:pPr>
              <w:autoSpaceDE w:val="0"/>
              <w:autoSpaceDN w:val="0"/>
              <w:adjustRightInd w:val="0"/>
              <w:ind w:firstLineChars="0" w:firstLine="0"/>
            </w:pPr>
            <w:r>
              <w:rPr>
                <w:bCs/>
              </w:rPr>
              <w:t>夹</w:t>
            </w:r>
            <w:r>
              <w:rPr>
                <w:rFonts w:hint="eastAsia"/>
                <w:bCs/>
              </w:rPr>
              <w:t>墙</w:t>
            </w:r>
            <w:r>
              <w:rPr>
                <w:bCs/>
              </w:rPr>
              <w:t>梁上表面至对拉钢筋形心的距离</w:t>
            </w:r>
            <w:r>
              <w:rPr>
                <w:rFonts w:hint="eastAsia"/>
                <w:bCs/>
              </w:rPr>
              <w:t>（</w:t>
            </w:r>
            <w:r>
              <w:rPr>
                <w:bCs/>
              </w:rPr>
              <w:t>mm</w:t>
            </w:r>
            <w:r>
              <w:rPr>
                <w:rFonts w:hint="eastAsia"/>
                <w:bCs/>
              </w:rPr>
              <w:t>）</w:t>
            </w:r>
            <w:r>
              <w:rPr>
                <w:bCs/>
              </w:rPr>
              <w:t>；</w:t>
            </w:r>
          </w:p>
        </w:tc>
      </w:tr>
      <w:tr w:rsidR="009136B5">
        <w:tblPrEx>
          <w:tblCellMar>
            <w:left w:w="0" w:type="dxa"/>
            <w:right w:w="57" w:type="dxa"/>
          </w:tblCellMar>
        </w:tblPrEx>
        <w:tc>
          <w:tcPr>
            <w:tcW w:w="440" w:type="pct"/>
            <w:vAlign w:val="center"/>
          </w:tcPr>
          <w:p w:rsidR="009136B5" w:rsidRDefault="00000000">
            <w:pPr>
              <w:pStyle w:val="220"/>
              <w:jc w:val="right"/>
              <w:rPr>
                <w:i/>
                <w:iCs/>
              </w:rPr>
            </w:pPr>
            <w:r>
              <w:rPr>
                <w:i/>
                <w:iCs/>
              </w:rPr>
              <w:t>b</w:t>
            </w:r>
            <w:r>
              <w:rPr>
                <w:vertAlign w:val="subscript"/>
              </w:rPr>
              <w:t>b</w:t>
            </w:r>
          </w:p>
        </w:tc>
        <w:tc>
          <w:tcPr>
            <w:tcW w:w="351" w:type="pct"/>
            <w:vAlign w:val="center"/>
          </w:tcPr>
          <w:p w:rsidR="009136B5" w:rsidRDefault="00000000">
            <w:pPr>
              <w:pStyle w:val="220"/>
              <w:jc w:val="center"/>
            </w:pPr>
            <w:r>
              <w:t>——</w:t>
            </w:r>
          </w:p>
        </w:tc>
        <w:tc>
          <w:tcPr>
            <w:tcW w:w="4209" w:type="pct"/>
            <w:gridSpan w:val="3"/>
            <w:vAlign w:val="center"/>
          </w:tcPr>
          <w:p w:rsidR="009136B5" w:rsidRDefault="00000000">
            <w:pPr>
              <w:autoSpaceDE w:val="0"/>
              <w:autoSpaceDN w:val="0"/>
              <w:adjustRightInd w:val="0"/>
              <w:ind w:firstLineChars="0" w:firstLine="0"/>
            </w:pPr>
            <w:r>
              <w:rPr>
                <w:bCs/>
              </w:rPr>
              <w:t>夹</w:t>
            </w:r>
            <w:r>
              <w:rPr>
                <w:rFonts w:hint="eastAsia"/>
                <w:bCs/>
              </w:rPr>
              <w:t>墙</w:t>
            </w:r>
            <w:r>
              <w:rPr>
                <w:bCs/>
              </w:rPr>
              <w:t>梁截面宽度</w:t>
            </w:r>
            <w:r>
              <w:rPr>
                <w:rFonts w:hint="eastAsia"/>
                <w:bCs/>
              </w:rPr>
              <w:t>（</w:t>
            </w:r>
            <w:r>
              <w:rPr>
                <w:bCs/>
              </w:rPr>
              <w:t>mm</w:t>
            </w:r>
            <w:r>
              <w:rPr>
                <w:rFonts w:hint="eastAsia"/>
                <w:bCs/>
              </w:rPr>
              <w:t>）；</w:t>
            </w:r>
          </w:p>
        </w:tc>
      </w:tr>
      <w:tr w:rsidR="009136B5">
        <w:tblPrEx>
          <w:tblCellMar>
            <w:left w:w="0" w:type="dxa"/>
            <w:right w:w="57" w:type="dxa"/>
          </w:tblCellMar>
        </w:tblPrEx>
        <w:tc>
          <w:tcPr>
            <w:tcW w:w="440" w:type="pct"/>
            <w:vAlign w:val="center"/>
          </w:tcPr>
          <w:p w:rsidR="009136B5" w:rsidRDefault="00000000">
            <w:pPr>
              <w:pStyle w:val="220"/>
              <w:jc w:val="right"/>
              <w:rPr>
                <w:i/>
                <w:iCs/>
              </w:rPr>
            </w:pPr>
            <w:proofErr w:type="spellStart"/>
            <w:r>
              <w:rPr>
                <w:rFonts w:hint="eastAsia"/>
                <w:i/>
                <w:iCs/>
              </w:rPr>
              <w:t>b</w:t>
            </w:r>
            <w:r>
              <w:rPr>
                <w:vertAlign w:val="subscript"/>
              </w:rPr>
              <w:t>w</w:t>
            </w:r>
            <w:proofErr w:type="spellEnd"/>
          </w:p>
        </w:tc>
        <w:tc>
          <w:tcPr>
            <w:tcW w:w="351" w:type="pct"/>
            <w:vAlign w:val="center"/>
          </w:tcPr>
          <w:p w:rsidR="009136B5" w:rsidRDefault="00000000">
            <w:pPr>
              <w:pStyle w:val="220"/>
              <w:jc w:val="center"/>
            </w:pPr>
            <w:r>
              <w:t>——</w:t>
            </w:r>
          </w:p>
        </w:tc>
        <w:tc>
          <w:tcPr>
            <w:tcW w:w="4209" w:type="pct"/>
            <w:gridSpan w:val="3"/>
            <w:vAlign w:val="center"/>
          </w:tcPr>
          <w:p w:rsidR="009136B5" w:rsidRDefault="00000000">
            <w:pPr>
              <w:autoSpaceDE w:val="0"/>
              <w:autoSpaceDN w:val="0"/>
              <w:adjustRightInd w:val="0"/>
              <w:ind w:firstLineChars="0" w:firstLine="0"/>
              <w:rPr>
                <w:bCs/>
              </w:rPr>
            </w:pPr>
            <w:r>
              <w:rPr>
                <w:bCs/>
              </w:rPr>
              <w:t>墙体厚度</w:t>
            </w:r>
            <w:r>
              <w:rPr>
                <w:rFonts w:hint="eastAsia"/>
                <w:bCs/>
              </w:rPr>
              <w:t>（</w:t>
            </w:r>
            <w:r>
              <w:rPr>
                <w:bCs/>
              </w:rPr>
              <w:t>mm</w:t>
            </w:r>
            <w:r>
              <w:rPr>
                <w:rFonts w:hint="eastAsia"/>
                <w:bCs/>
              </w:rPr>
              <w:t>）</w:t>
            </w:r>
            <w:r>
              <w:rPr>
                <w:bCs/>
              </w:rPr>
              <w:t>。</w:t>
            </w:r>
          </w:p>
        </w:tc>
      </w:tr>
    </w:tbl>
    <w:p w:rsidR="009136B5" w:rsidRDefault="009136B5">
      <w:pPr>
        <w:pStyle w:val="affffb"/>
      </w:pPr>
    </w:p>
    <w:p w:rsidR="009136B5" w:rsidRDefault="00000000">
      <w:pPr>
        <w:pStyle w:val="affffb"/>
      </w:pPr>
      <w:r>
        <w:object w:dxaOrig="4041" w:dyaOrig="3170">
          <v:shape id="_x0000_i1084" type="#_x0000_t75" style="width:202.25pt;height:159.05pt" o:ole="">
            <v:imagedata r:id="rId143" o:title="" croptop="14850f" cropbottom="8874f" cropleft="13745f" cropright="26797f"/>
          </v:shape>
          <o:OLEObject Type="Embed" ProgID="AutoCAD.Drawing.23" ShapeID="_x0000_i1084" DrawAspect="Content" ObjectID="_1735132862" r:id="rId144"/>
        </w:object>
      </w:r>
    </w:p>
    <w:p w:rsidR="009136B5" w:rsidRDefault="00000000">
      <w:pPr>
        <w:pStyle w:val="affffb"/>
      </w:pPr>
      <w:r>
        <w:rPr>
          <w:rFonts w:hint="eastAsia"/>
        </w:rPr>
        <w:t>图</w:t>
      </w:r>
      <w:r>
        <w:t xml:space="preserve">4.4.5-2  </w:t>
      </w:r>
      <w:r>
        <w:rPr>
          <w:rFonts w:hint="eastAsia"/>
        </w:rPr>
        <w:t>剪跨</w:t>
      </w:r>
      <w:r>
        <w:rPr>
          <w:rFonts w:hint="eastAsia"/>
        </w:rPr>
        <w:t>a</w:t>
      </w:r>
      <w:r>
        <w:t>取值示意图</w:t>
      </w:r>
    </w:p>
    <w:p w:rsidR="009136B5" w:rsidRDefault="00000000">
      <w:pPr>
        <w:pStyle w:val="xxx"/>
        <w:rPr>
          <w:color w:val="000000"/>
          <w:szCs w:val="21"/>
        </w:rPr>
      </w:pPr>
      <w:r>
        <w:rPr>
          <w:b/>
          <w:bCs/>
          <w:color w:val="000000"/>
          <w:szCs w:val="21"/>
        </w:rPr>
        <w:t>4</w:t>
      </w:r>
      <w:r>
        <w:rPr>
          <w:rFonts w:hint="eastAsia"/>
          <w:b/>
          <w:bCs/>
          <w:color w:val="000000"/>
          <w:szCs w:val="21"/>
        </w:rPr>
        <w:t>.</w:t>
      </w:r>
      <w:r>
        <w:rPr>
          <w:b/>
          <w:bCs/>
          <w:color w:val="000000"/>
          <w:szCs w:val="21"/>
        </w:rPr>
        <w:t>4</w:t>
      </w:r>
      <w:r>
        <w:rPr>
          <w:rFonts w:hint="eastAsia"/>
          <w:b/>
          <w:bCs/>
          <w:color w:val="000000"/>
          <w:szCs w:val="21"/>
        </w:rPr>
        <w:t>.</w:t>
      </w:r>
      <w:r>
        <w:rPr>
          <w:b/>
          <w:bCs/>
          <w:color w:val="000000"/>
          <w:szCs w:val="21"/>
        </w:rPr>
        <w:t>6</w:t>
      </w:r>
      <w:r>
        <w:rPr>
          <w:rFonts w:hint="eastAsia"/>
          <w:color w:val="000000"/>
          <w:szCs w:val="21"/>
        </w:rPr>
        <w:t xml:space="preserve"> </w:t>
      </w:r>
      <w:r>
        <w:rPr>
          <w:color w:val="000000"/>
          <w:szCs w:val="21"/>
        </w:rPr>
        <w:t xml:space="preserve"> </w:t>
      </w:r>
      <w:r>
        <w:rPr>
          <w:rFonts w:hint="eastAsia"/>
          <w:color w:val="000000"/>
          <w:szCs w:val="21"/>
        </w:rPr>
        <w:t>当采用预应力技术提高托换构件与原竖向构件之间的整体性时，可按下式计算预应力产生的节点抗剪承载力：</w:t>
      </w:r>
    </w:p>
    <w:tbl>
      <w:tblPr>
        <w:tblStyle w:val="afa"/>
        <w:tblW w:w="4920" w:type="pct"/>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646"/>
        <w:gridCol w:w="1563"/>
        <w:gridCol w:w="3117"/>
        <w:gridCol w:w="3069"/>
      </w:tblGrid>
      <w:tr w:rsidR="009136B5">
        <w:trPr>
          <w:trHeight w:val="20"/>
        </w:trPr>
        <w:tc>
          <w:tcPr>
            <w:tcW w:w="1640" w:type="pct"/>
            <w:gridSpan w:val="3"/>
            <w:vAlign w:val="center"/>
          </w:tcPr>
          <w:p w:rsidR="009136B5" w:rsidRDefault="009136B5">
            <w:pPr>
              <w:pStyle w:val="x"/>
              <w:ind w:firstLineChars="0" w:firstLine="0"/>
              <w:jc w:val="center"/>
              <w:rPr>
                <w:szCs w:val="21"/>
              </w:rPr>
            </w:pPr>
          </w:p>
        </w:tc>
        <w:tc>
          <w:tcPr>
            <w:tcW w:w="1693" w:type="pct"/>
            <w:vAlign w:val="center"/>
          </w:tcPr>
          <w:p w:rsidR="009136B5" w:rsidRDefault="00000000">
            <w:pPr>
              <w:pStyle w:val="x"/>
              <w:ind w:firstLineChars="0" w:firstLine="0"/>
              <w:jc w:val="center"/>
              <w:rPr>
                <w:szCs w:val="21"/>
              </w:rPr>
            </w:pPr>
            <w:r>
              <w:rPr>
                <w:position w:val="-14"/>
              </w:rPr>
              <w:object w:dxaOrig="1429" w:dyaOrig="408">
                <v:shape id="_x0000_i1085" type="#_x0000_t75" style="width:70.75pt;height:20.65pt" o:ole="">
                  <v:imagedata r:id="rId145" o:title=""/>
                </v:shape>
                <o:OLEObject Type="Embed" ProgID="Equation.DSMT4" ShapeID="_x0000_i1085" DrawAspect="Content" ObjectID="_1735132863" r:id="rId146"/>
              </w:object>
            </w:r>
          </w:p>
        </w:tc>
        <w:tc>
          <w:tcPr>
            <w:tcW w:w="1667" w:type="pct"/>
            <w:vAlign w:val="center"/>
          </w:tcPr>
          <w:p w:rsidR="009136B5" w:rsidRDefault="00000000">
            <w:pPr>
              <w:pStyle w:val="x"/>
              <w:ind w:firstLineChars="0" w:firstLine="0"/>
              <w:jc w:val="right"/>
              <w:rPr>
                <w:szCs w:val="21"/>
              </w:rPr>
            </w:pPr>
            <w:r>
              <w:rPr>
                <w:rFonts w:hint="eastAsia"/>
                <w:szCs w:val="21"/>
              </w:rPr>
              <w:t>（</w:t>
            </w:r>
            <w:r>
              <w:rPr>
                <w:szCs w:val="21"/>
              </w:rPr>
              <w:t>4.4.6</w:t>
            </w:r>
            <w:r>
              <w:rPr>
                <w:rFonts w:hint="eastAsia"/>
                <w:szCs w:val="21"/>
              </w:rPr>
              <w:t>）</w:t>
            </w:r>
          </w:p>
        </w:tc>
      </w:tr>
      <w:tr w:rsidR="009136B5">
        <w:tblPrEx>
          <w:tblCellMar>
            <w:left w:w="0" w:type="dxa"/>
            <w:right w:w="57" w:type="dxa"/>
          </w:tblCellMar>
        </w:tblPrEx>
        <w:tc>
          <w:tcPr>
            <w:tcW w:w="440" w:type="pct"/>
            <w:vAlign w:val="center"/>
          </w:tcPr>
          <w:p w:rsidR="009136B5" w:rsidRDefault="00000000">
            <w:pPr>
              <w:pStyle w:val="220"/>
              <w:jc w:val="right"/>
            </w:pPr>
            <w:r>
              <w:rPr>
                <w:rFonts w:hint="eastAsia"/>
              </w:rPr>
              <w:t>式中：</w:t>
            </w:r>
            <w:r>
              <w:rPr>
                <w:i/>
                <w:iCs/>
              </w:rPr>
              <w:t>u</w:t>
            </w:r>
          </w:p>
        </w:tc>
        <w:tc>
          <w:tcPr>
            <w:tcW w:w="351" w:type="pct"/>
            <w:vAlign w:val="center"/>
          </w:tcPr>
          <w:p w:rsidR="009136B5" w:rsidRDefault="00000000">
            <w:pPr>
              <w:pStyle w:val="220"/>
              <w:jc w:val="center"/>
            </w:pPr>
            <w:r>
              <w:t>——</w:t>
            </w:r>
          </w:p>
        </w:tc>
        <w:tc>
          <w:tcPr>
            <w:tcW w:w="4209" w:type="pct"/>
            <w:gridSpan w:val="3"/>
            <w:vAlign w:val="center"/>
          </w:tcPr>
          <w:p w:rsidR="009136B5" w:rsidRDefault="00000000">
            <w:pPr>
              <w:widowControl/>
              <w:ind w:firstLineChars="0" w:firstLine="0"/>
              <w:jc w:val="left"/>
              <w:rPr>
                <w:kern w:val="0"/>
                <w:szCs w:val="21"/>
              </w:rPr>
            </w:pPr>
            <w:r>
              <w:rPr>
                <w:rFonts w:hint="eastAsia"/>
                <w:szCs w:val="21"/>
              </w:rPr>
              <w:t>摩擦面的抗滑移系数，可取</w:t>
            </w:r>
            <w:r>
              <w:rPr>
                <w:rFonts w:hint="eastAsia"/>
                <w:szCs w:val="21"/>
              </w:rPr>
              <w:t>0</w:t>
            </w:r>
            <w:r>
              <w:rPr>
                <w:szCs w:val="21"/>
              </w:rPr>
              <w:t>.7</w:t>
            </w:r>
            <w:r>
              <w:rPr>
                <w:szCs w:val="21"/>
              </w:rPr>
              <w:t>；</w:t>
            </w:r>
          </w:p>
        </w:tc>
      </w:tr>
      <w:tr w:rsidR="009136B5">
        <w:tblPrEx>
          <w:tblCellMar>
            <w:left w:w="0" w:type="dxa"/>
            <w:right w:w="57" w:type="dxa"/>
          </w:tblCellMar>
        </w:tblPrEx>
        <w:tc>
          <w:tcPr>
            <w:tcW w:w="440" w:type="pct"/>
          </w:tcPr>
          <w:p w:rsidR="009136B5" w:rsidRDefault="00000000">
            <w:pPr>
              <w:pStyle w:val="220"/>
              <w:jc w:val="right"/>
            </w:pPr>
            <w:r>
              <w:rPr>
                <w:position w:val="-14"/>
              </w:rPr>
              <w:object w:dxaOrig="247" w:dyaOrig="376">
                <v:shape id="_x0000_i1086" type="#_x0000_t75" style="width:11.9pt;height:18.8pt" o:ole="">
                  <v:imagedata r:id="rId147" o:title=""/>
                </v:shape>
                <o:OLEObject Type="Embed" ProgID="Equation.DSMT4" ShapeID="_x0000_i1086" DrawAspect="Content" ObjectID="_1735132864" r:id="rId148"/>
              </w:object>
            </w:r>
          </w:p>
        </w:tc>
        <w:tc>
          <w:tcPr>
            <w:tcW w:w="351" w:type="pct"/>
            <w:vAlign w:val="center"/>
          </w:tcPr>
          <w:p w:rsidR="009136B5" w:rsidRDefault="00000000">
            <w:pPr>
              <w:pStyle w:val="220"/>
              <w:jc w:val="center"/>
            </w:pPr>
            <w:r>
              <w:t>——</w:t>
            </w:r>
          </w:p>
        </w:tc>
        <w:tc>
          <w:tcPr>
            <w:tcW w:w="4209" w:type="pct"/>
            <w:gridSpan w:val="3"/>
            <w:vAlign w:val="center"/>
          </w:tcPr>
          <w:p w:rsidR="009136B5" w:rsidRDefault="00000000">
            <w:pPr>
              <w:autoSpaceDE w:val="0"/>
              <w:autoSpaceDN w:val="0"/>
              <w:adjustRightInd w:val="0"/>
              <w:ind w:firstLineChars="0" w:firstLine="0"/>
            </w:pPr>
            <w:r>
              <w:rPr>
                <w:rFonts w:hint="eastAsia"/>
                <w:szCs w:val="21"/>
              </w:rPr>
              <w:t>传力摩擦面数目，一根螺栓上有两个摩擦面，故可取</w:t>
            </w:r>
            <w:r>
              <w:rPr>
                <w:rFonts w:hint="eastAsia"/>
                <w:szCs w:val="21"/>
              </w:rPr>
              <w:t>2</w:t>
            </w:r>
            <w:r>
              <w:rPr>
                <w:bCs/>
              </w:rPr>
              <w:t>；</w:t>
            </w:r>
          </w:p>
        </w:tc>
      </w:tr>
      <w:tr w:rsidR="009136B5">
        <w:tblPrEx>
          <w:tblCellMar>
            <w:left w:w="0" w:type="dxa"/>
            <w:right w:w="57" w:type="dxa"/>
          </w:tblCellMar>
        </w:tblPrEx>
        <w:tc>
          <w:tcPr>
            <w:tcW w:w="440" w:type="pct"/>
            <w:vAlign w:val="center"/>
          </w:tcPr>
          <w:p w:rsidR="009136B5" w:rsidRDefault="00000000">
            <w:pPr>
              <w:pStyle w:val="220"/>
              <w:jc w:val="right"/>
              <w:rPr>
                <w:i/>
                <w:iCs/>
              </w:rPr>
            </w:pPr>
            <w:r>
              <w:rPr>
                <w:i/>
                <w:iCs/>
              </w:rPr>
              <w:t>n</w:t>
            </w:r>
          </w:p>
        </w:tc>
        <w:tc>
          <w:tcPr>
            <w:tcW w:w="351" w:type="pct"/>
            <w:vAlign w:val="center"/>
          </w:tcPr>
          <w:p w:rsidR="009136B5" w:rsidRDefault="00000000">
            <w:pPr>
              <w:pStyle w:val="220"/>
              <w:jc w:val="center"/>
            </w:pPr>
            <w:r>
              <w:t>——</w:t>
            </w:r>
          </w:p>
        </w:tc>
        <w:tc>
          <w:tcPr>
            <w:tcW w:w="4209" w:type="pct"/>
            <w:gridSpan w:val="3"/>
            <w:vAlign w:val="center"/>
          </w:tcPr>
          <w:p w:rsidR="009136B5" w:rsidRDefault="00000000">
            <w:pPr>
              <w:autoSpaceDE w:val="0"/>
              <w:autoSpaceDN w:val="0"/>
              <w:adjustRightInd w:val="0"/>
              <w:ind w:firstLineChars="0" w:firstLine="0"/>
            </w:pPr>
            <w:r>
              <w:rPr>
                <w:rFonts w:hint="eastAsia"/>
                <w:szCs w:val="21"/>
              </w:rPr>
              <w:t>螺杆根数</w:t>
            </w:r>
            <w:r>
              <w:rPr>
                <w:rFonts w:hint="eastAsia"/>
                <w:bCs/>
              </w:rPr>
              <w:t>；</w:t>
            </w:r>
          </w:p>
        </w:tc>
      </w:tr>
      <w:tr w:rsidR="009136B5">
        <w:tblPrEx>
          <w:tblCellMar>
            <w:left w:w="0" w:type="dxa"/>
            <w:right w:w="57" w:type="dxa"/>
          </w:tblCellMar>
        </w:tblPrEx>
        <w:tc>
          <w:tcPr>
            <w:tcW w:w="440" w:type="pct"/>
            <w:vAlign w:val="center"/>
          </w:tcPr>
          <w:p w:rsidR="009136B5" w:rsidRDefault="00000000">
            <w:pPr>
              <w:pStyle w:val="220"/>
              <w:jc w:val="right"/>
              <w:rPr>
                <w:i/>
                <w:iCs/>
              </w:rPr>
            </w:pPr>
            <w:r>
              <w:rPr>
                <w:i/>
                <w:iCs/>
              </w:rPr>
              <w:t>P</w:t>
            </w:r>
            <w:r>
              <w:rPr>
                <w:i/>
                <w:iCs/>
                <w:vertAlign w:val="subscript"/>
              </w:rPr>
              <w:t>i</w:t>
            </w:r>
          </w:p>
        </w:tc>
        <w:tc>
          <w:tcPr>
            <w:tcW w:w="351" w:type="pct"/>
            <w:vAlign w:val="center"/>
          </w:tcPr>
          <w:p w:rsidR="009136B5" w:rsidRDefault="00000000">
            <w:pPr>
              <w:pStyle w:val="220"/>
              <w:jc w:val="center"/>
            </w:pPr>
            <w:r>
              <w:t>——</w:t>
            </w:r>
          </w:p>
        </w:tc>
        <w:tc>
          <w:tcPr>
            <w:tcW w:w="4209" w:type="pct"/>
            <w:gridSpan w:val="3"/>
            <w:vAlign w:val="center"/>
          </w:tcPr>
          <w:p w:rsidR="009136B5" w:rsidRDefault="00000000">
            <w:pPr>
              <w:autoSpaceDE w:val="0"/>
              <w:autoSpaceDN w:val="0"/>
              <w:adjustRightInd w:val="0"/>
              <w:ind w:firstLineChars="0" w:firstLine="0"/>
              <w:rPr>
                <w:bCs/>
              </w:rPr>
            </w:pPr>
            <w:r>
              <w:rPr>
                <w:rFonts w:hint="eastAsia"/>
                <w:szCs w:val="21"/>
              </w:rPr>
              <w:t>单个螺栓的预紧力。</w:t>
            </w:r>
          </w:p>
        </w:tc>
      </w:tr>
    </w:tbl>
    <w:p w:rsidR="009136B5" w:rsidRDefault="00000000">
      <w:pPr>
        <w:pStyle w:val="xxx"/>
      </w:pPr>
      <w:r>
        <w:rPr>
          <w:rFonts w:hint="eastAsia"/>
          <w:b/>
          <w:bCs/>
        </w:rPr>
        <w:t>4</w:t>
      </w:r>
      <w:r>
        <w:rPr>
          <w:b/>
          <w:bCs/>
        </w:rPr>
        <w:t>.4.7</w:t>
      </w:r>
      <w:r>
        <w:t xml:space="preserve">  </w:t>
      </w:r>
      <w:r>
        <w:rPr>
          <w:rFonts w:hint="eastAsia"/>
        </w:rPr>
        <w:t>对于复杂的托换节点，宜结合有限元分析或试验情况确定节点承载力。</w:t>
      </w:r>
    </w:p>
    <w:p w:rsidR="009136B5" w:rsidRDefault="00000000">
      <w:pPr>
        <w:pStyle w:val="xxx"/>
      </w:pPr>
      <w:r>
        <w:rPr>
          <w:rFonts w:hint="eastAsia"/>
          <w:b/>
          <w:bCs/>
        </w:rPr>
        <w:t>4</w:t>
      </w:r>
      <w:r>
        <w:rPr>
          <w:b/>
          <w:bCs/>
        </w:rPr>
        <w:t>.4.8</w:t>
      </w:r>
      <w:r>
        <w:t xml:space="preserve">  </w:t>
      </w:r>
      <w:r>
        <w:rPr>
          <w:rFonts w:hint="eastAsia"/>
        </w:rPr>
        <w:t>当托换桩需要在基础、承台和地下室等既有结构内开直孔穿过时，应在桩孔内浇筑混凝土封桩，封桩混凝土的强度等级应比既有结构混凝土至少提高一个等级，并采取措施确保混凝土与孔壁之间不产生收缩裂缝。孔内新浇混凝土与孔壁既有结构混凝土之间的竖向直接连接界面，应按下式验算受剪承载力：</w:t>
      </w:r>
    </w:p>
    <w:tbl>
      <w:tblPr>
        <w:tblStyle w:val="afa"/>
        <w:tblW w:w="4920" w:type="pct"/>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
        <w:gridCol w:w="565"/>
        <w:gridCol w:w="1565"/>
        <w:gridCol w:w="3117"/>
        <w:gridCol w:w="3069"/>
      </w:tblGrid>
      <w:tr w:rsidR="009136B5">
        <w:trPr>
          <w:trHeight w:val="20"/>
        </w:trPr>
        <w:tc>
          <w:tcPr>
            <w:tcW w:w="1640" w:type="pct"/>
            <w:gridSpan w:val="3"/>
            <w:vAlign w:val="center"/>
          </w:tcPr>
          <w:p w:rsidR="009136B5" w:rsidRDefault="009136B5">
            <w:pPr>
              <w:pStyle w:val="x"/>
              <w:ind w:firstLineChars="0" w:firstLine="0"/>
              <w:jc w:val="center"/>
              <w:rPr>
                <w:szCs w:val="21"/>
              </w:rPr>
            </w:pPr>
          </w:p>
        </w:tc>
        <w:tc>
          <w:tcPr>
            <w:tcW w:w="1693" w:type="pct"/>
            <w:vAlign w:val="center"/>
          </w:tcPr>
          <w:p w:rsidR="009136B5" w:rsidRDefault="00000000">
            <w:pPr>
              <w:pStyle w:val="x"/>
              <w:ind w:firstLineChars="0" w:firstLine="0"/>
              <w:jc w:val="center"/>
              <w:rPr>
                <w:kern w:val="0"/>
                <w:szCs w:val="21"/>
              </w:rPr>
            </w:pPr>
            <w:r>
              <w:rPr>
                <w:rFonts w:hint="eastAsia"/>
                <w:kern w:val="0"/>
                <w:position w:val="-10"/>
                <w:szCs w:val="21"/>
              </w:rPr>
              <w:object w:dxaOrig="1354" w:dyaOrig="322">
                <v:shape id="_x0000_i1087" type="#_x0000_t75" style="width:67pt;height:15.65pt" o:ole="">
                  <v:imagedata r:id="rId149" o:title=""/>
                </v:shape>
                <o:OLEObject Type="Embed" ProgID="Equation.DSMT4" ShapeID="_x0000_i1087" DrawAspect="Content" ObjectID="_1735132865" r:id="rId150"/>
              </w:object>
            </w:r>
          </w:p>
        </w:tc>
        <w:tc>
          <w:tcPr>
            <w:tcW w:w="1667" w:type="pct"/>
            <w:vAlign w:val="center"/>
          </w:tcPr>
          <w:p w:rsidR="009136B5" w:rsidRDefault="00000000">
            <w:pPr>
              <w:pStyle w:val="x"/>
              <w:ind w:firstLineChars="0" w:firstLine="0"/>
              <w:jc w:val="right"/>
              <w:rPr>
                <w:szCs w:val="21"/>
              </w:rPr>
            </w:pPr>
            <w:r>
              <w:rPr>
                <w:rFonts w:hint="eastAsia"/>
                <w:szCs w:val="21"/>
              </w:rPr>
              <w:t>（</w:t>
            </w:r>
            <w:r>
              <w:rPr>
                <w:szCs w:val="21"/>
              </w:rPr>
              <w:t>4.4.8</w:t>
            </w:r>
            <w:r>
              <w:rPr>
                <w:rFonts w:hint="eastAsia"/>
                <w:szCs w:val="21"/>
              </w:rPr>
              <w:t>）</w:t>
            </w:r>
          </w:p>
        </w:tc>
      </w:tr>
      <w:tr w:rsidR="009136B5">
        <w:tblPrEx>
          <w:tblCellMar>
            <w:left w:w="0" w:type="dxa"/>
            <w:right w:w="57" w:type="dxa"/>
          </w:tblCellMar>
        </w:tblPrEx>
        <w:tc>
          <w:tcPr>
            <w:tcW w:w="483" w:type="pct"/>
            <w:vAlign w:val="center"/>
          </w:tcPr>
          <w:p w:rsidR="009136B5" w:rsidRDefault="00000000">
            <w:pPr>
              <w:pStyle w:val="220"/>
              <w:jc w:val="right"/>
            </w:pPr>
            <w:r>
              <w:rPr>
                <w:rFonts w:hint="eastAsia"/>
              </w:rPr>
              <w:t>式中：</w:t>
            </w:r>
            <w:r>
              <w:rPr>
                <w:rFonts w:hint="eastAsia"/>
                <w:i/>
                <w:iCs/>
              </w:rPr>
              <w:t>V</w:t>
            </w:r>
          </w:p>
        </w:tc>
        <w:tc>
          <w:tcPr>
            <w:tcW w:w="307" w:type="pct"/>
            <w:vAlign w:val="center"/>
          </w:tcPr>
          <w:p w:rsidR="009136B5" w:rsidRDefault="00000000">
            <w:pPr>
              <w:pStyle w:val="220"/>
              <w:jc w:val="center"/>
            </w:pPr>
            <w:r>
              <w:t>——</w:t>
            </w:r>
          </w:p>
        </w:tc>
        <w:tc>
          <w:tcPr>
            <w:tcW w:w="4210" w:type="pct"/>
            <w:gridSpan w:val="3"/>
            <w:vAlign w:val="center"/>
          </w:tcPr>
          <w:p w:rsidR="009136B5" w:rsidRDefault="00000000">
            <w:pPr>
              <w:autoSpaceDE w:val="0"/>
              <w:autoSpaceDN w:val="0"/>
              <w:adjustRightInd w:val="0"/>
              <w:ind w:firstLineChars="0" w:firstLine="0"/>
              <w:rPr>
                <w:szCs w:val="21"/>
                <w:lang w:val="zh-CN"/>
              </w:rPr>
            </w:pPr>
            <w:r>
              <w:rPr>
                <w:rFonts w:hint="eastAsia"/>
                <w:bCs/>
                <w:szCs w:val="21"/>
              </w:rPr>
              <w:t>连接界面处的剪力设计值，取桩的竖向荷载设计值</w:t>
            </w:r>
            <w:r>
              <w:rPr>
                <w:bCs/>
                <w:szCs w:val="21"/>
              </w:rPr>
              <w:t>；</w:t>
            </w:r>
          </w:p>
        </w:tc>
      </w:tr>
      <w:tr w:rsidR="009136B5">
        <w:tblPrEx>
          <w:tblCellMar>
            <w:left w:w="0" w:type="dxa"/>
            <w:right w:w="57" w:type="dxa"/>
          </w:tblCellMar>
        </w:tblPrEx>
        <w:tc>
          <w:tcPr>
            <w:tcW w:w="483" w:type="pct"/>
          </w:tcPr>
          <w:p w:rsidR="009136B5" w:rsidRDefault="00000000">
            <w:pPr>
              <w:pStyle w:val="220"/>
              <w:jc w:val="right"/>
              <w:rPr>
                <w:i/>
                <w:iCs/>
              </w:rPr>
            </w:pPr>
            <w:r>
              <w:rPr>
                <w:i/>
                <w:iCs/>
              </w:rPr>
              <w:t>β</w:t>
            </w:r>
            <w:r>
              <w:rPr>
                <w:vertAlign w:val="subscript"/>
              </w:rPr>
              <w:t>c</w:t>
            </w:r>
          </w:p>
        </w:tc>
        <w:tc>
          <w:tcPr>
            <w:tcW w:w="307" w:type="pct"/>
          </w:tcPr>
          <w:p w:rsidR="009136B5" w:rsidRDefault="00000000">
            <w:pPr>
              <w:pStyle w:val="220"/>
              <w:jc w:val="center"/>
            </w:pPr>
            <w:r>
              <w:t>——</w:t>
            </w:r>
          </w:p>
        </w:tc>
        <w:tc>
          <w:tcPr>
            <w:tcW w:w="4210" w:type="pct"/>
            <w:gridSpan w:val="3"/>
            <w:vAlign w:val="center"/>
          </w:tcPr>
          <w:p w:rsidR="009136B5" w:rsidRDefault="00000000">
            <w:pPr>
              <w:autoSpaceDE w:val="0"/>
              <w:autoSpaceDN w:val="0"/>
              <w:adjustRightInd w:val="0"/>
              <w:ind w:firstLineChars="0" w:firstLine="0"/>
              <w:rPr>
                <w:bCs/>
                <w:szCs w:val="21"/>
              </w:rPr>
            </w:pPr>
            <w:r>
              <w:rPr>
                <w:rFonts w:hint="eastAsia"/>
                <w:bCs/>
                <w:szCs w:val="21"/>
              </w:rPr>
              <w:t>混凝土强度影响系数，按新、旧混凝士强度等级的较低值取值：当混凝土强度等级不超过</w:t>
            </w:r>
            <w:r>
              <w:rPr>
                <w:rFonts w:hint="eastAsia"/>
                <w:bCs/>
                <w:szCs w:val="21"/>
              </w:rPr>
              <w:t>C40</w:t>
            </w:r>
            <w:r>
              <w:rPr>
                <w:rFonts w:hint="eastAsia"/>
                <w:bCs/>
                <w:szCs w:val="21"/>
              </w:rPr>
              <w:t>时，</w:t>
            </w:r>
            <w:r>
              <w:rPr>
                <w:bCs/>
                <w:i/>
                <w:iCs/>
                <w:szCs w:val="21"/>
              </w:rPr>
              <w:t>β</w:t>
            </w:r>
            <w:r>
              <w:rPr>
                <w:rFonts w:hint="eastAsia"/>
                <w:bCs/>
                <w:i/>
                <w:iCs/>
                <w:szCs w:val="21"/>
                <w:vertAlign w:val="subscript"/>
              </w:rPr>
              <w:t>c</w:t>
            </w:r>
            <w:r>
              <w:rPr>
                <w:rFonts w:hint="eastAsia"/>
                <w:bCs/>
                <w:szCs w:val="21"/>
              </w:rPr>
              <w:t>取</w:t>
            </w:r>
            <w:r>
              <w:rPr>
                <w:rFonts w:hint="eastAsia"/>
                <w:bCs/>
                <w:szCs w:val="21"/>
              </w:rPr>
              <w:t>1.0</w:t>
            </w:r>
            <w:r>
              <w:rPr>
                <w:rFonts w:hint="eastAsia"/>
                <w:bCs/>
                <w:szCs w:val="21"/>
              </w:rPr>
              <w:t>；当混凝土强度等级等于或高于</w:t>
            </w:r>
            <w:r>
              <w:rPr>
                <w:rFonts w:hint="eastAsia"/>
                <w:bCs/>
                <w:szCs w:val="21"/>
              </w:rPr>
              <w:t>C60</w:t>
            </w:r>
            <w:r>
              <w:rPr>
                <w:rFonts w:hint="eastAsia"/>
                <w:bCs/>
                <w:szCs w:val="21"/>
              </w:rPr>
              <w:t>时，</w:t>
            </w:r>
            <w:r>
              <w:rPr>
                <w:bCs/>
                <w:i/>
                <w:iCs/>
                <w:szCs w:val="21"/>
              </w:rPr>
              <w:t>β</w:t>
            </w:r>
            <w:r>
              <w:rPr>
                <w:rFonts w:hint="eastAsia"/>
                <w:bCs/>
                <w:i/>
                <w:iCs/>
                <w:szCs w:val="21"/>
                <w:vertAlign w:val="subscript"/>
              </w:rPr>
              <w:t>c</w:t>
            </w:r>
            <w:r>
              <w:rPr>
                <w:rFonts w:hint="eastAsia"/>
                <w:bCs/>
                <w:szCs w:val="21"/>
              </w:rPr>
              <w:t>取</w:t>
            </w:r>
            <w:r>
              <w:rPr>
                <w:rFonts w:hint="eastAsia"/>
                <w:bCs/>
                <w:szCs w:val="21"/>
              </w:rPr>
              <w:t>0.8</w:t>
            </w:r>
            <w:r>
              <w:rPr>
                <w:rFonts w:hint="eastAsia"/>
                <w:bCs/>
                <w:szCs w:val="21"/>
              </w:rPr>
              <w:t>；其间按线性内插法确定</w:t>
            </w:r>
            <w:r>
              <w:rPr>
                <w:bCs/>
                <w:szCs w:val="21"/>
              </w:rPr>
              <w:t>；</w:t>
            </w:r>
          </w:p>
        </w:tc>
      </w:tr>
      <w:tr w:rsidR="009136B5">
        <w:tblPrEx>
          <w:tblCellMar>
            <w:left w:w="0" w:type="dxa"/>
            <w:right w:w="57" w:type="dxa"/>
          </w:tblCellMar>
        </w:tblPrEx>
        <w:tc>
          <w:tcPr>
            <w:tcW w:w="483" w:type="pct"/>
          </w:tcPr>
          <w:p w:rsidR="009136B5" w:rsidRDefault="00000000">
            <w:pPr>
              <w:pStyle w:val="220"/>
              <w:jc w:val="right"/>
              <w:rPr>
                <w:i/>
                <w:iCs/>
              </w:rPr>
            </w:pPr>
            <w:r>
              <w:rPr>
                <w:i/>
                <w:iCs/>
              </w:rPr>
              <w:t>f</w:t>
            </w:r>
            <w:r>
              <w:rPr>
                <w:vertAlign w:val="subscript"/>
              </w:rPr>
              <w:t>c</w:t>
            </w:r>
          </w:p>
        </w:tc>
        <w:tc>
          <w:tcPr>
            <w:tcW w:w="307" w:type="pct"/>
          </w:tcPr>
          <w:p w:rsidR="009136B5" w:rsidRDefault="00000000">
            <w:pPr>
              <w:pStyle w:val="220"/>
              <w:jc w:val="center"/>
            </w:pPr>
            <w:r>
              <w:t>——</w:t>
            </w:r>
          </w:p>
        </w:tc>
        <w:tc>
          <w:tcPr>
            <w:tcW w:w="4210" w:type="pct"/>
            <w:gridSpan w:val="3"/>
            <w:vAlign w:val="center"/>
          </w:tcPr>
          <w:p w:rsidR="009136B5" w:rsidRDefault="00000000">
            <w:pPr>
              <w:ind w:firstLineChars="0" w:firstLine="0"/>
              <w:rPr>
                <w:bCs/>
                <w:szCs w:val="21"/>
              </w:rPr>
            </w:pPr>
            <w:r>
              <w:rPr>
                <w:rFonts w:hint="eastAsia"/>
                <w:bCs/>
                <w:szCs w:val="21"/>
              </w:rPr>
              <w:t>混凝土的轴心抗压强度设计值，取新、旧混凝土轴心抗压强度设计值的较低值，其数值大于</w:t>
            </w:r>
            <w:r>
              <w:rPr>
                <w:rFonts w:hint="eastAsia"/>
                <w:bCs/>
                <w:szCs w:val="21"/>
              </w:rPr>
              <w:t>27.5N/mm</w:t>
            </w:r>
            <w:r>
              <w:rPr>
                <w:rFonts w:hint="eastAsia"/>
                <w:bCs/>
                <w:szCs w:val="21"/>
                <w:vertAlign w:val="superscript"/>
              </w:rPr>
              <w:t>2</w:t>
            </w:r>
            <w:r>
              <w:rPr>
                <w:rFonts w:hint="eastAsia"/>
                <w:bCs/>
                <w:szCs w:val="21"/>
              </w:rPr>
              <w:t>时，应取</w:t>
            </w:r>
            <w:r>
              <w:rPr>
                <w:rFonts w:hint="eastAsia"/>
                <w:bCs/>
                <w:szCs w:val="21"/>
              </w:rPr>
              <w:t>27.5N/mm</w:t>
            </w:r>
            <w:r>
              <w:rPr>
                <w:rFonts w:hint="eastAsia"/>
                <w:bCs/>
                <w:szCs w:val="21"/>
                <w:vertAlign w:val="superscript"/>
              </w:rPr>
              <w:t>2</w:t>
            </w:r>
            <w:r>
              <w:rPr>
                <w:rFonts w:hint="eastAsia"/>
                <w:bCs/>
                <w:szCs w:val="21"/>
              </w:rPr>
              <w:t>；</w:t>
            </w:r>
          </w:p>
        </w:tc>
      </w:tr>
      <w:tr w:rsidR="009136B5">
        <w:tblPrEx>
          <w:tblCellMar>
            <w:left w:w="0" w:type="dxa"/>
            <w:right w:w="57" w:type="dxa"/>
          </w:tblCellMar>
        </w:tblPrEx>
        <w:tc>
          <w:tcPr>
            <w:tcW w:w="483" w:type="pct"/>
            <w:vAlign w:val="center"/>
          </w:tcPr>
          <w:p w:rsidR="009136B5" w:rsidRDefault="00000000">
            <w:pPr>
              <w:pStyle w:val="220"/>
              <w:jc w:val="right"/>
              <w:rPr>
                <w:i/>
                <w:iCs/>
              </w:rPr>
            </w:pPr>
            <w:r>
              <w:rPr>
                <w:i/>
                <w:iCs/>
              </w:rPr>
              <w:t>A</w:t>
            </w:r>
            <w:r>
              <w:rPr>
                <w:vertAlign w:val="subscript"/>
              </w:rPr>
              <w:t>c</w:t>
            </w:r>
          </w:p>
        </w:tc>
        <w:tc>
          <w:tcPr>
            <w:tcW w:w="307" w:type="pct"/>
            <w:vAlign w:val="center"/>
          </w:tcPr>
          <w:p w:rsidR="009136B5" w:rsidRDefault="00000000">
            <w:pPr>
              <w:pStyle w:val="220"/>
              <w:jc w:val="center"/>
            </w:pPr>
            <w:r>
              <w:t>——</w:t>
            </w:r>
          </w:p>
        </w:tc>
        <w:tc>
          <w:tcPr>
            <w:tcW w:w="4210" w:type="pct"/>
            <w:gridSpan w:val="3"/>
            <w:vAlign w:val="center"/>
          </w:tcPr>
          <w:p w:rsidR="009136B5" w:rsidRDefault="00000000">
            <w:pPr>
              <w:ind w:firstLineChars="0" w:firstLine="0"/>
              <w:rPr>
                <w:bCs/>
                <w:szCs w:val="21"/>
              </w:rPr>
            </w:pPr>
            <w:r>
              <w:rPr>
                <w:rFonts w:hint="eastAsia"/>
                <w:bCs/>
                <w:szCs w:val="21"/>
              </w:rPr>
              <w:t>孔壁新旧混凝土连接界面的计算面积。</w:t>
            </w:r>
          </w:p>
        </w:tc>
      </w:tr>
    </w:tbl>
    <w:p w:rsidR="009136B5" w:rsidRDefault="00000000">
      <w:pPr>
        <w:pStyle w:val="20"/>
      </w:pPr>
      <w:bookmarkStart w:id="46" w:name="_Toc22196"/>
      <w:bookmarkStart w:id="47" w:name="_Toc123647771"/>
      <w:r>
        <w:rPr>
          <w:rFonts w:hint="eastAsia"/>
        </w:rPr>
        <w:t xml:space="preserve">4.5  </w:t>
      </w:r>
      <w:r>
        <w:rPr>
          <w:rFonts w:hint="eastAsia"/>
        </w:rPr>
        <w:t>变形验算与控制</w:t>
      </w:r>
      <w:bookmarkEnd w:id="46"/>
      <w:bookmarkEnd w:id="47"/>
    </w:p>
    <w:p w:rsidR="009136B5" w:rsidRDefault="00000000">
      <w:pPr>
        <w:pStyle w:val="xxx"/>
      </w:pPr>
      <w:r>
        <w:rPr>
          <w:b/>
          <w:bCs/>
        </w:rPr>
        <w:t>4.5.1</w:t>
      </w:r>
      <w:r>
        <w:t xml:space="preserve"> </w:t>
      </w:r>
      <w:r>
        <w:rPr>
          <w:rFonts w:hint="eastAsia"/>
        </w:rPr>
        <w:t xml:space="preserve"> </w:t>
      </w:r>
      <w:r>
        <w:rPr>
          <w:rFonts w:hint="eastAsia"/>
        </w:rPr>
        <w:t>既有建筑地下增层后的地基基础最终沉降量和差异沉降量，应包括地下增层前已产生的沉降量和地下增层后新增的沉降量。</w:t>
      </w:r>
    </w:p>
    <w:p w:rsidR="009136B5" w:rsidRDefault="00000000">
      <w:pPr>
        <w:pStyle w:val="xxx"/>
      </w:pPr>
      <w:r>
        <w:rPr>
          <w:b/>
          <w:bCs/>
        </w:rPr>
        <w:t>4.5</w:t>
      </w:r>
      <w:r>
        <w:rPr>
          <w:rFonts w:hint="eastAsia"/>
          <w:b/>
          <w:bCs/>
        </w:rPr>
        <w:t xml:space="preserve">.2 </w:t>
      </w:r>
      <w:r>
        <w:rPr>
          <w:rFonts w:hint="eastAsia"/>
        </w:rPr>
        <w:t xml:space="preserve"> </w:t>
      </w:r>
      <w:r>
        <w:rPr>
          <w:rFonts w:hint="eastAsia"/>
        </w:rPr>
        <w:t>既有建筑地下增层后的最终沉降量和差异沉降量应符合</w:t>
      </w:r>
      <w:r>
        <w:t>现行</w:t>
      </w:r>
      <w:r>
        <w:rPr>
          <w:rFonts w:hint="eastAsia"/>
        </w:rPr>
        <w:t>国家</w:t>
      </w:r>
      <w:r>
        <w:t>标准</w:t>
      </w:r>
      <w:r>
        <w:rPr>
          <w:rFonts w:hint="eastAsia"/>
        </w:rPr>
        <w:t>《建筑地基基础设计规范》</w:t>
      </w:r>
      <w:r>
        <w:rPr>
          <w:rFonts w:hint="eastAsia"/>
        </w:rPr>
        <w:t>GB50007</w:t>
      </w:r>
      <w:r>
        <w:t>有关</w:t>
      </w:r>
      <w:r>
        <w:rPr>
          <w:rFonts w:hint="eastAsia"/>
        </w:rPr>
        <w:t>规定。</w:t>
      </w:r>
    </w:p>
    <w:p w:rsidR="009136B5" w:rsidRDefault="00000000">
      <w:pPr>
        <w:pStyle w:val="xxx"/>
      </w:pPr>
      <w:r>
        <w:rPr>
          <w:rFonts w:hint="eastAsia"/>
          <w:b/>
          <w:bCs/>
        </w:rPr>
        <w:t xml:space="preserve">4.5.3 </w:t>
      </w:r>
      <w:r>
        <w:t xml:space="preserve"> </w:t>
      </w:r>
      <w:r>
        <w:rPr>
          <w:rFonts w:hint="eastAsia"/>
        </w:rPr>
        <w:t>应考虑地基基础不均匀沉降对既有建筑结构</w:t>
      </w:r>
      <w:r>
        <w:rPr>
          <w:rFonts w:hint="eastAsia"/>
          <w:color w:val="000000" w:themeColor="text1"/>
        </w:rPr>
        <w:t>构件受力的</w:t>
      </w:r>
      <w:r>
        <w:rPr>
          <w:rFonts w:hint="eastAsia"/>
        </w:rPr>
        <w:t>影响。当地基基础不均匀沉降引起的结构</w:t>
      </w:r>
      <w:r>
        <w:rPr>
          <w:rFonts w:hint="eastAsia"/>
        </w:rPr>
        <w:lastRenderedPageBreak/>
        <w:t>构件附加内力过大时，应采取减小差异沉降的措施。</w:t>
      </w:r>
    </w:p>
    <w:p w:rsidR="009136B5" w:rsidRDefault="00000000">
      <w:pPr>
        <w:pStyle w:val="xxx"/>
      </w:pPr>
      <w:r>
        <w:rPr>
          <w:b/>
          <w:bCs/>
        </w:rPr>
        <w:t>4.5</w:t>
      </w:r>
      <w:r>
        <w:rPr>
          <w:rFonts w:hint="eastAsia"/>
          <w:b/>
          <w:bCs/>
        </w:rPr>
        <w:t>.4</w:t>
      </w:r>
      <w:r>
        <w:rPr>
          <w:rFonts w:hint="eastAsia"/>
        </w:rPr>
        <w:t xml:space="preserve"> </w:t>
      </w:r>
      <w:r>
        <w:t xml:space="preserve"> </w:t>
      </w:r>
      <w:r>
        <w:rPr>
          <w:rFonts w:hint="eastAsia"/>
        </w:rPr>
        <w:t>托换桩的桩基沉降可按《建筑桩基技术规范》</w:t>
      </w:r>
      <w:r>
        <w:rPr>
          <w:rFonts w:hint="eastAsia"/>
        </w:rPr>
        <w:t>JGJ94</w:t>
      </w:r>
      <w:r>
        <w:rPr>
          <w:rFonts w:hint="eastAsia"/>
        </w:rPr>
        <w:t>采用考虑桩径影响的明德林解进行计算，并计入桩身压缩变形。</w:t>
      </w:r>
    </w:p>
    <w:p w:rsidR="009136B5" w:rsidRDefault="00000000">
      <w:pPr>
        <w:pStyle w:val="afffff1"/>
        <w:ind w:firstLineChars="0" w:firstLine="0"/>
      </w:pPr>
      <w:r>
        <w:rPr>
          <w:rFonts w:hint="eastAsia"/>
          <w:b/>
        </w:rPr>
        <w:t>条文说明：</w:t>
      </w:r>
      <w:r>
        <w:rPr>
          <w:rFonts w:hint="eastAsia"/>
        </w:rPr>
        <w:t>当托换桩为摩擦型桩时，托换桩的桩基沉降计算尚应考虑以下因素：</w:t>
      </w:r>
    </w:p>
    <w:p w:rsidR="009136B5" w:rsidRDefault="00000000">
      <w:pPr>
        <w:pStyle w:val="afffff1"/>
      </w:pPr>
      <w:r>
        <w:rPr>
          <w:rFonts w:hint="eastAsia"/>
        </w:rPr>
        <w:t xml:space="preserve">1  </w:t>
      </w:r>
      <w:r>
        <w:rPr>
          <w:rFonts w:hint="eastAsia"/>
        </w:rPr>
        <w:t>地下增层土方开挖引起的卸载效应及桩基托换引起桩侧和桩端土体有效应力变化对沉降影响；</w:t>
      </w:r>
    </w:p>
    <w:p w:rsidR="009136B5" w:rsidRDefault="00000000">
      <w:pPr>
        <w:pStyle w:val="afffff1"/>
      </w:pPr>
      <w:r>
        <w:rPr>
          <w:rFonts w:hint="eastAsia"/>
        </w:rPr>
        <w:t xml:space="preserve">2  </w:t>
      </w:r>
      <w:r>
        <w:rPr>
          <w:rFonts w:hint="eastAsia"/>
        </w:rPr>
        <w:t>降水和开挖卸载后土体回弹对桩基沉降的影响；</w:t>
      </w:r>
    </w:p>
    <w:p w:rsidR="009136B5" w:rsidRDefault="00000000">
      <w:pPr>
        <w:pStyle w:val="afffff1"/>
      </w:pPr>
      <w:r>
        <w:rPr>
          <w:rFonts w:hint="eastAsia"/>
        </w:rPr>
        <w:t xml:space="preserve">3  </w:t>
      </w:r>
      <w:r>
        <w:rPr>
          <w:rFonts w:hint="eastAsia"/>
        </w:rPr>
        <w:t>土方开挖引起拟建地下空间持力层超固结效应，造成的土体侧压力系数的变化。</w:t>
      </w:r>
    </w:p>
    <w:p w:rsidR="009136B5" w:rsidRDefault="00000000">
      <w:pPr>
        <w:pStyle w:val="xxx"/>
      </w:pPr>
      <w:r>
        <w:rPr>
          <w:b/>
          <w:bCs/>
        </w:rPr>
        <w:t>4.5.5</w:t>
      </w:r>
      <w:r>
        <w:t xml:space="preserve">  </w:t>
      </w:r>
      <w:r>
        <w:rPr>
          <w:rFonts w:hint="eastAsia"/>
        </w:rPr>
        <w:t>地下增层</w:t>
      </w:r>
      <w:r>
        <w:t>工程</w:t>
      </w:r>
      <w:r>
        <w:rPr>
          <w:rFonts w:hint="eastAsia"/>
        </w:rPr>
        <w:t>应</w:t>
      </w:r>
      <w:r>
        <w:t>控制施工引起的卸</w:t>
      </w:r>
      <w:r>
        <w:rPr>
          <w:rFonts w:hint="eastAsia"/>
        </w:rPr>
        <w:t>载</w:t>
      </w:r>
      <w:r>
        <w:t>与</w:t>
      </w:r>
      <w:r>
        <w:rPr>
          <w:rFonts w:hint="eastAsia"/>
        </w:rPr>
        <w:t>加载对既有结构及周边环境的影响，</w:t>
      </w:r>
      <w:r>
        <w:t>并</w:t>
      </w:r>
      <w:r>
        <w:rPr>
          <w:rFonts w:hint="eastAsia"/>
        </w:rPr>
        <w:t>对</w:t>
      </w:r>
      <w:r>
        <w:t>施工全</w:t>
      </w:r>
      <w:r>
        <w:rPr>
          <w:rFonts w:hint="eastAsia"/>
        </w:rPr>
        <w:t>过</w:t>
      </w:r>
      <w:r>
        <w:t>程</w:t>
      </w:r>
      <w:r>
        <w:rPr>
          <w:rFonts w:hint="eastAsia"/>
        </w:rPr>
        <w:t>中既有结</w:t>
      </w:r>
      <w:r>
        <w:t>构</w:t>
      </w:r>
      <w:r>
        <w:rPr>
          <w:rFonts w:hint="eastAsia"/>
        </w:rPr>
        <w:t>的变形、强</w:t>
      </w:r>
      <w:r>
        <w:t>度和</w:t>
      </w:r>
      <w:r>
        <w:rPr>
          <w:rFonts w:hint="eastAsia"/>
        </w:rPr>
        <w:t>刚</w:t>
      </w:r>
      <w:r>
        <w:t>度</w:t>
      </w:r>
      <w:r>
        <w:rPr>
          <w:rFonts w:hint="eastAsia"/>
        </w:rPr>
        <w:t>进</w:t>
      </w:r>
      <w:r>
        <w:t>行复核</w:t>
      </w:r>
      <w:r>
        <w:rPr>
          <w:rFonts w:hint="eastAsia"/>
        </w:rPr>
        <w:t>，必要时在增层开挖前采取相应的结构加固措施</w:t>
      </w:r>
      <w:r>
        <w:t>。</w:t>
      </w:r>
    </w:p>
    <w:p w:rsidR="009136B5" w:rsidRDefault="00000000">
      <w:pPr>
        <w:pStyle w:val="xxx"/>
      </w:pPr>
      <w:r>
        <w:rPr>
          <w:rFonts w:hint="eastAsia"/>
          <w:b/>
        </w:rPr>
        <w:t>4.5.6</w:t>
      </w:r>
      <w:r>
        <w:rPr>
          <w:rFonts w:hint="eastAsia"/>
        </w:rPr>
        <w:t xml:space="preserve"> </w:t>
      </w:r>
      <w:r>
        <w:t xml:space="preserve"> </w:t>
      </w:r>
      <w:r>
        <w:rPr>
          <w:rFonts w:hint="eastAsia"/>
        </w:rPr>
        <w:t>既有结构托换及地下增层过程中应结合上部既有结构需求控制相邻托换桩柱的差异变形，相邻托换桩</w:t>
      </w:r>
      <w:r>
        <w:t>柱最大差异沉降不宜大于</w:t>
      </w:r>
      <w:r>
        <w:t>20mm</w:t>
      </w:r>
      <w:r>
        <w:rPr>
          <w:rFonts w:hint="eastAsia"/>
        </w:rPr>
        <w:t>。</w:t>
      </w:r>
    </w:p>
    <w:p w:rsidR="009136B5" w:rsidRDefault="00000000">
      <w:pPr>
        <w:pStyle w:val="afffff1"/>
        <w:ind w:firstLineChars="0" w:firstLine="0"/>
      </w:pPr>
      <w:r>
        <w:rPr>
          <w:rFonts w:hint="eastAsia"/>
          <w:b/>
        </w:rPr>
        <w:t>条文说明：</w:t>
      </w:r>
      <w:r>
        <w:rPr>
          <w:rFonts w:hint="eastAsia"/>
        </w:rPr>
        <w:t>既有建筑地下增层应结合上部结构的承载力和改造需求，采用强制位移等方法确定相邻竖向构件的差异变形数值。</w:t>
      </w:r>
    </w:p>
    <w:p w:rsidR="009136B5" w:rsidRDefault="00000000">
      <w:pPr>
        <w:pStyle w:val="xxx"/>
        <w:adjustRightInd w:val="0"/>
        <w:snapToGrid w:val="0"/>
        <w:rPr>
          <w:color w:val="000000" w:themeColor="text1"/>
        </w:rPr>
      </w:pPr>
      <w:r>
        <w:rPr>
          <w:rFonts w:hint="eastAsia"/>
          <w:b/>
          <w:bCs/>
          <w:color w:val="000000" w:themeColor="text1"/>
        </w:rPr>
        <w:t>4.5.</w:t>
      </w:r>
      <w:r>
        <w:rPr>
          <w:b/>
          <w:bCs/>
          <w:color w:val="000000" w:themeColor="text1"/>
        </w:rPr>
        <w:t>7</w:t>
      </w:r>
      <w:r>
        <w:rPr>
          <w:color w:val="000000" w:themeColor="text1"/>
        </w:rPr>
        <w:t xml:space="preserve">  </w:t>
      </w:r>
      <w:r>
        <w:rPr>
          <w:rFonts w:hint="eastAsia"/>
          <w:color w:val="000000" w:themeColor="text1"/>
        </w:rPr>
        <w:t>当</w:t>
      </w:r>
      <w:r>
        <w:rPr>
          <w:color w:val="000000" w:themeColor="text1"/>
        </w:rPr>
        <w:t>托换桩</w:t>
      </w:r>
      <w:r>
        <w:rPr>
          <w:rFonts w:hint="eastAsia"/>
          <w:color w:val="000000" w:themeColor="text1"/>
        </w:rPr>
        <w:t>的桩顶承台和既有建筑原基础与基坑周边挡墙脱开时，应补充水平风荷载作用下的结构侧向变形验算，并应满足下列要求：</w:t>
      </w:r>
    </w:p>
    <w:p w:rsidR="009136B5" w:rsidRDefault="00000000">
      <w:pPr>
        <w:pStyle w:val="x"/>
        <w:ind w:firstLine="316"/>
        <w:jc w:val="left"/>
      </w:pPr>
      <w:r>
        <w:rPr>
          <w:b/>
        </w:rPr>
        <w:t>1</w:t>
      </w:r>
      <w:r>
        <w:rPr>
          <w:bCs/>
        </w:rPr>
        <w:t xml:space="preserve">  </w:t>
      </w:r>
      <w:r>
        <w:rPr>
          <w:rFonts w:hint="eastAsia"/>
        </w:rPr>
        <w:t>当托换桩为钢桩或钢管混凝土桩时，托换桩在开挖面以上暴露段的侧向位移，不应大于</w:t>
      </w:r>
      <w:r>
        <w:rPr>
          <w:position w:val="-10"/>
        </w:rPr>
        <w:object w:dxaOrig="1053" w:dyaOrig="322">
          <v:shape id="_x0000_i1088" type="#_x0000_t75" style="width:52.6pt;height:15.65pt" o:ole="">
            <v:imagedata r:id="rId151" o:title=""/>
          </v:shape>
          <o:OLEObject Type="Embed" ProgID="Equation.DSMT4" ShapeID="_x0000_i1088" DrawAspect="Content" ObjectID="_1735132866" r:id="rId152"/>
        </w:object>
      </w:r>
      <w:r>
        <w:rPr>
          <w:rFonts w:hint="eastAsia"/>
        </w:rPr>
        <w:t>，其中，</w:t>
      </w:r>
      <w:r>
        <w:rPr>
          <w:rFonts w:hint="eastAsia"/>
          <w:i/>
        </w:rPr>
        <w:t>l</w:t>
      </w:r>
      <w:r>
        <w:rPr>
          <w:rFonts w:hint="eastAsia"/>
        </w:rPr>
        <w:t>为开挖面以上暴露段的长度，</w:t>
      </w:r>
      <w:r>
        <w:rPr>
          <w:position w:val="-10"/>
        </w:rPr>
        <w:object w:dxaOrig="247" w:dyaOrig="322">
          <v:shape id="_x0000_i1089" type="#_x0000_t75" style="width:11.9pt;height:15.65pt" o:ole="">
            <v:imagedata r:id="rId153" o:title=""/>
          </v:shape>
          <o:OLEObject Type="Embed" ProgID="Equation.DSMT4" ShapeID="_x0000_i1089" DrawAspect="Content" ObjectID="_1735132867" r:id="rId154"/>
        </w:object>
      </w:r>
      <w:r>
        <w:rPr>
          <w:rFonts w:hint="eastAsia"/>
        </w:rPr>
        <w:t>为开挖面以下桩的临界入土深度；</w:t>
      </w:r>
    </w:p>
    <w:p w:rsidR="009136B5" w:rsidRDefault="00000000">
      <w:pPr>
        <w:pStyle w:val="x"/>
        <w:ind w:firstLine="316"/>
      </w:pPr>
      <w:r>
        <w:rPr>
          <w:rFonts w:hint="eastAsia"/>
          <w:b/>
        </w:rPr>
        <w:t>2</w:t>
      </w:r>
      <w:r>
        <w:t xml:space="preserve">  </w:t>
      </w:r>
      <w:r>
        <w:rPr>
          <w:rFonts w:hint="eastAsia"/>
        </w:rPr>
        <w:t>当托换桩为混凝土桩时，托换桩在开挖面以上暴露段的侧向位移，不应大于</w:t>
      </w:r>
      <w:r>
        <w:rPr>
          <w:position w:val="-10"/>
        </w:rPr>
        <w:object w:dxaOrig="1053" w:dyaOrig="322">
          <v:shape id="_x0000_i1090" type="#_x0000_t75" style="width:52.6pt;height:15.65pt" o:ole="">
            <v:imagedata r:id="rId155" o:title=""/>
          </v:shape>
          <o:OLEObject Type="Embed" ProgID="Equation.DSMT4" ShapeID="_x0000_i1090" DrawAspect="Content" ObjectID="_1735132868" r:id="rId156"/>
        </w:object>
      </w:r>
      <w:r>
        <w:rPr>
          <w:rFonts w:hint="eastAsia"/>
        </w:rPr>
        <w:t>；</w:t>
      </w:r>
    </w:p>
    <w:p w:rsidR="009136B5" w:rsidRDefault="00000000">
      <w:pPr>
        <w:pStyle w:val="x"/>
        <w:ind w:firstLine="316"/>
      </w:pPr>
      <w:r>
        <w:rPr>
          <w:rFonts w:hint="eastAsia"/>
          <w:b/>
        </w:rPr>
        <w:t>3</w:t>
      </w:r>
      <w:r>
        <w:t xml:space="preserve">  </w:t>
      </w:r>
      <w:r>
        <w:rPr>
          <w:rFonts w:hint="eastAsia"/>
        </w:rPr>
        <w:t>水平风荷载宜按</w:t>
      </w:r>
      <w:r>
        <w:rPr>
          <w:rFonts w:hint="eastAsia"/>
        </w:rPr>
        <w:t>50</w:t>
      </w:r>
      <w:r>
        <w:rPr>
          <w:rFonts w:hint="eastAsia"/>
        </w:rPr>
        <w:t>年一遇的基本风压计算确定；</w:t>
      </w:r>
    </w:p>
    <w:p w:rsidR="009136B5" w:rsidRDefault="00000000">
      <w:pPr>
        <w:pStyle w:val="x"/>
        <w:ind w:firstLine="316"/>
      </w:pPr>
      <w:r>
        <w:rPr>
          <w:rFonts w:hint="eastAsia"/>
          <w:b/>
          <w:bCs/>
        </w:rPr>
        <w:t>4</w:t>
      </w:r>
      <w:r>
        <w:rPr>
          <w:rFonts w:hint="eastAsia"/>
        </w:rPr>
        <w:t xml:space="preserve">  </w:t>
      </w:r>
      <w:r>
        <w:rPr>
          <w:rFonts w:hint="eastAsia"/>
        </w:rPr>
        <w:t>水平风荷载作用下结构侧向位移计算时，托换桩嵌固端可取开挖面以下桩的临界入土深度</w:t>
      </w:r>
      <w:r>
        <w:rPr>
          <w:rFonts w:hint="eastAsia"/>
          <w:i/>
          <w:iCs/>
        </w:rPr>
        <w:t>h</w:t>
      </w:r>
      <w:r>
        <w:rPr>
          <w:vertAlign w:val="subscript"/>
        </w:rPr>
        <w:t>0</w:t>
      </w:r>
      <w:r>
        <w:rPr>
          <w:rFonts w:hint="eastAsia"/>
        </w:rPr>
        <w:t>处。</w:t>
      </w:r>
    </w:p>
    <w:p w:rsidR="009136B5" w:rsidRDefault="00000000">
      <w:pPr>
        <w:pStyle w:val="xxx"/>
      </w:pPr>
      <w:r>
        <w:rPr>
          <w:b/>
          <w:bCs/>
        </w:rPr>
        <w:t>4.5.8</w:t>
      </w:r>
      <w:r>
        <w:t xml:space="preserve">  </w:t>
      </w:r>
      <w:r>
        <w:rPr>
          <w:rFonts w:hint="eastAsia"/>
        </w:rPr>
        <w:t>对于主体结构倾斜严重的既有建筑，宜经纠倾完成后方能开挖基坑。对于开工前沉降不稳定且沉降速率明显较大的既有建筑，必须经加固且沉降基本稳定后方可开挖基坑。</w:t>
      </w:r>
    </w:p>
    <w:p w:rsidR="009136B5" w:rsidRDefault="009136B5">
      <w:pPr>
        <w:pStyle w:val="x"/>
        <w:ind w:firstLine="315"/>
      </w:pPr>
    </w:p>
    <w:p w:rsidR="009136B5" w:rsidRDefault="009136B5">
      <w:pPr>
        <w:pStyle w:val="xxx"/>
      </w:pPr>
    </w:p>
    <w:p w:rsidR="009136B5" w:rsidRDefault="00000000">
      <w:pPr>
        <w:ind w:firstLine="420"/>
      </w:pPr>
      <w:r>
        <w:rPr>
          <w:rFonts w:hint="eastAsia"/>
        </w:rPr>
        <w:br w:type="page"/>
      </w:r>
    </w:p>
    <w:p w:rsidR="009136B5" w:rsidRDefault="00000000">
      <w:pPr>
        <w:pStyle w:val="af6"/>
      </w:pPr>
      <w:bookmarkStart w:id="48" w:name="_Toc123647772"/>
      <w:bookmarkStart w:id="49" w:name="_Toc5516"/>
      <w:r>
        <w:rPr>
          <w:rFonts w:hint="eastAsia"/>
        </w:rPr>
        <w:lastRenderedPageBreak/>
        <w:t xml:space="preserve">5  </w:t>
      </w:r>
      <w:bookmarkEnd w:id="42"/>
      <w:r>
        <w:rPr>
          <w:rFonts w:hint="eastAsia"/>
        </w:rPr>
        <w:t>侧向支护设计</w:t>
      </w:r>
      <w:bookmarkEnd w:id="48"/>
      <w:bookmarkEnd w:id="49"/>
    </w:p>
    <w:p w:rsidR="009136B5" w:rsidRDefault="00000000">
      <w:pPr>
        <w:pStyle w:val="20"/>
      </w:pPr>
      <w:bookmarkStart w:id="50" w:name="_Toc123647773"/>
      <w:bookmarkStart w:id="51" w:name="_Toc7867"/>
      <w:r>
        <w:t>5.1</w:t>
      </w:r>
      <w:r>
        <w:rPr>
          <w:rFonts w:hint="eastAsia"/>
        </w:rPr>
        <w:t xml:space="preserve"> </w:t>
      </w:r>
      <w:r>
        <w:t xml:space="preserve"> </w:t>
      </w:r>
      <w:r>
        <w:t>一般规定</w:t>
      </w:r>
      <w:bookmarkEnd w:id="50"/>
      <w:bookmarkEnd w:id="51"/>
    </w:p>
    <w:p w:rsidR="009136B5" w:rsidRDefault="00000000">
      <w:pPr>
        <w:widowControl/>
        <w:spacing w:line="360" w:lineRule="auto"/>
        <w:ind w:firstLineChars="0" w:firstLine="0"/>
        <w:jc w:val="left"/>
        <w:rPr>
          <w:color w:val="000000"/>
          <w:kern w:val="0"/>
          <w:szCs w:val="21"/>
        </w:rPr>
      </w:pPr>
      <w:bookmarkStart w:id="52" w:name="_Toc123647774"/>
      <w:bookmarkStart w:id="53" w:name="_Toc9974"/>
      <w:bookmarkStart w:id="54" w:name="_Toc122424042"/>
      <w:bookmarkStart w:id="55" w:name="_Toc10111"/>
      <w:bookmarkStart w:id="56" w:name="_Toc123647776"/>
      <w:r>
        <w:rPr>
          <w:rFonts w:hint="eastAsia"/>
          <w:b/>
          <w:bCs/>
          <w:kern w:val="0"/>
          <w:szCs w:val="20"/>
        </w:rPr>
        <w:t>5</w:t>
      </w:r>
      <w:r>
        <w:rPr>
          <w:b/>
          <w:bCs/>
          <w:kern w:val="0"/>
          <w:szCs w:val="20"/>
        </w:rPr>
        <w:t xml:space="preserve">.1.1 </w:t>
      </w:r>
      <w:r>
        <w:rPr>
          <w:b/>
          <w:bCs/>
          <w:color w:val="000000"/>
          <w:kern w:val="0"/>
          <w:szCs w:val="21"/>
        </w:rPr>
        <w:t xml:space="preserve"> </w:t>
      </w:r>
      <w:r>
        <w:rPr>
          <w:rFonts w:hint="eastAsia"/>
          <w:color w:val="000000"/>
          <w:kern w:val="0"/>
          <w:szCs w:val="21"/>
        </w:rPr>
        <w:t>既有建筑地下增层的侧向支护结构可单独临时设置，也可与主体结构相结合作为地下结构外墙或外墙的一部分。</w:t>
      </w:r>
    </w:p>
    <w:p w:rsidR="009136B5" w:rsidRDefault="00000000">
      <w:pPr>
        <w:pStyle w:val="xxx"/>
        <w:rPr>
          <w:color w:val="0000FF"/>
        </w:rPr>
      </w:pPr>
      <w:r>
        <w:rPr>
          <w:rFonts w:hint="eastAsia"/>
          <w:b/>
          <w:bCs/>
          <w:color w:val="0000FF"/>
        </w:rPr>
        <w:t>条文说明：</w:t>
      </w:r>
      <w:r>
        <w:rPr>
          <w:rFonts w:hint="eastAsia"/>
          <w:color w:val="0000FF"/>
        </w:rPr>
        <w:t>侧向支护结构的设计应在既有建筑地下增层工程设计时一并综合考虑。地下室的外墙兼作支护挡墙、梁板或托换梁等水平构件兼作支护结构的水平支撑等措施有利于节省基坑支护的费用，但应考虑其相互影响。</w:t>
      </w:r>
    </w:p>
    <w:p w:rsidR="009136B5" w:rsidRDefault="00000000">
      <w:pPr>
        <w:tabs>
          <w:tab w:val="left" w:pos="425"/>
        </w:tabs>
        <w:adjustRightInd w:val="0"/>
        <w:spacing w:line="440" w:lineRule="exact"/>
        <w:ind w:firstLineChars="0" w:firstLine="0"/>
        <w:rPr>
          <w:bCs/>
        </w:rPr>
      </w:pPr>
      <w:r>
        <w:rPr>
          <w:b/>
        </w:rPr>
        <w:t>5.1.2</w:t>
      </w:r>
      <w:r>
        <w:rPr>
          <w:rFonts w:hint="eastAsia"/>
          <w:b/>
        </w:rPr>
        <w:t xml:space="preserve"> </w:t>
      </w:r>
      <w:r>
        <w:rPr>
          <w:b/>
        </w:rPr>
        <w:t xml:space="preserve"> </w:t>
      </w:r>
      <w:r>
        <w:rPr>
          <w:rFonts w:hint="eastAsia"/>
          <w:bCs/>
        </w:rPr>
        <w:t>侧向支护结构除满足正常基坑支护功能外，还应控制支护结构施工、土方开挖、地下水位变化和拆换撑对既有建筑物的影响。</w:t>
      </w:r>
    </w:p>
    <w:p w:rsidR="009136B5" w:rsidRDefault="00000000">
      <w:pPr>
        <w:tabs>
          <w:tab w:val="left" w:pos="425"/>
        </w:tabs>
        <w:adjustRightInd w:val="0"/>
        <w:spacing w:line="440" w:lineRule="exact"/>
        <w:ind w:firstLineChars="0" w:firstLine="0"/>
        <w:rPr>
          <w:bCs/>
        </w:rPr>
      </w:pPr>
      <w:r>
        <w:rPr>
          <w:rFonts w:hint="eastAsia"/>
          <w:b/>
          <w:bCs/>
          <w:color w:val="000000"/>
          <w:kern w:val="0"/>
          <w:szCs w:val="21"/>
        </w:rPr>
        <w:t>5</w:t>
      </w:r>
      <w:r>
        <w:rPr>
          <w:b/>
          <w:bCs/>
          <w:color w:val="000000"/>
          <w:kern w:val="0"/>
          <w:szCs w:val="21"/>
        </w:rPr>
        <w:t>.1.3</w:t>
      </w:r>
      <w:r>
        <w:rPr>
          <w:bCs/>
        </w:rPr>
        <w:t xml:space="preserve">  </w:t>
      </w:r>
      <w:r>
        <w:rPr>
          <w:rFonts w:hint="eastAsia"/>
          <w:bCs/>
        </w:rPr>
        <w:t>侧向支护结构设计应根据周边环境条件和既有建筑现状设定合理的支护结构水平位移和周边环境变形的控制值。</w:t>
      </w:r>
    </w:p>
    <w:p w:rsidR="009136B5" w:rsidRDefault="00000000">
      <w:pPr>
        <w:pStyle w:val="xxx"/>
        <w:rPr>
          <w:color w:val="0000FF"/>
        </w:rPr>
      </w:pPr>
      <w:r>
        <w:rPr>
          <w:rFonts w:hint="eastAsia"/>
          <w:b/>
          <w:bCs/>
          <w:color w:val="0000FF"/>
        </w:rPr>
        <w:t>条文说明：</w:t>
      </w:r>
      <w:r>
        <w:rPr>
          <w:rFonts w:hint="eastAsia"/>
          <w:color w:val="0000FF"/>
        </w:rPr>
        <w:t>侧向支护结构的变形控制指标应根据基坑周边环境和既有建筑对附加变形的承受能力、基坑开挖对周边环境和既有建筑的影响程度，并结合已有基坑工程实践的经验和统计数据综合确定。</w:t>
      </w:r>
    </w:p>
    <w:p w:rsidR="009136B5" w:rsidRDefault="00000000">
      <w:pPr>
        <w:tabs>
          <w:tab w:val="left" w:pos="425"/>
        </w:tabs>
        <w:adjustRightInd w:val="0"/>
        <w:spacing w:line="440" w:lineRule="exact"/>
        <w:ind w:firstLineChars="0" w:firstLine="0"/>
        <w:rPr>
          <w:bCs/>
        </w:rPr>
      </w:pPr>
      <w:r>
        <w:rPr>
          <w:b/>
          <w:bCs/>
          <w:color w:val="000000"/>
          <w:kern w:val="0"/>
          <w:szCs w:val="21"/>
        </w:rPr>
        <w:t>5.1.4</w:t>
      </w:r>
      <w:r>
        <w:rPr>
          <w:bCs/>
        </w:rPr>
        <w:t xml:space="preserve">  </w:t>
      </w:r>
      <w:r>
        <w:rPr>
          <w:rFonts w:hint="eastAsia"/>
          <w:bCs/>
        </w:rPr>
        <w:t>当侧向支护结构位于既有建筑的正下方时，宜在托换施工完成后再进行支护结构施工，并应复核既有建筑对支护结构产生的超载，评估支护结构施工的作业面和支护结构施工对既有建筑的影响。</w:t>
      </w:r>
    </w:p>
    <w:p w:rsidR="009136B5" w:rsidRDefault="00000000">
      <w:pPr>
        <w:pStyle w:val="xxx"/>
        <w:rPr>
          <w:color w:val="0000FF"/>
        </w:rPr>
      </w:pPr>
      <w:r>
        <w:rPr>
          <w:rFonts w:hint="eastAsia"/>
          <w:b/>
          <w:bCs/>
          <w:color w:val="0000FF"/>
        </w:rPr>
        <w:t>条文说明：</w:t>
      </w:r>
      <w:r>
        <w:rPr>
          <w:rFonts w:hint="eastAsia"/>
          <w:color w:val="0000FF"/>
        </w:rPr>
        <w:t>支护结构位于既有建筑的正下方时，其施工收既有建筑的层高等限制较大，施工空间狭小，同时对既有建筑结构影响较大，因此宜在托换施工完成后再进行支护结构施工。</w:t>
      </w:r>
    </w:p>
    <w:p w:rsidR="009136B5" w:rsidRDefault="00000000">
      <w:pPr>
        <w:pStyle w:val="xxx"/>
        <w:rPr>
          <w:color w:val="000000"/>
          <w:szCs w:val="21"/>
        </w:rPr>
      </w:pPr>
      <w:r>
        <w:rPr>
          <w:b/>
        </w:rPr>
        <w:t>5.1.5</w:t>
      </w:r>
      <w:r>
        <w:rPr>
          <w:color w:val="000000"/>
          <w:szCs w:val="21"/>
        </w:rPr>
        <w:t xml:space="preserve">  </w:t>
      </w:r>
      <w:r>
        <w:rPr>
          <w:rFonts w:hint="eastAsia"/>
          <w:color w:val="000000"/>
          <w:szCs w:val="21"/>
        </w:rPr>
        <w:t>应从支护结构施工、土方开挖和地下水控制三方面采取措施减小基坑施工对周围环境的影响，必要时可对周边建构筑物和管线采取土体加固、结构托换和架空管线等保护措施。</w:t>
      </w:r>
    </w:p>
    <w:p w:rsidR="009136B5" w:rsidRDefault="00000000">
      <w:pPr>
        <w:tabs>
          <w:tab w:val="left" w:pos="425"/>
        </w:tabs>
        <w:adjustRightInd w:val="0"/>
        <w:spacing w:line="440" w:lineRule="exact"/>
        <w:ind w:firstLineChars="0" w:firstLine="0"/>
        <w:rPr>
          <w:bCs/>
        </w:rPr>
      </w:pPr>
      <w:r>
        <w:rPr>
          <w:rFonts w:hint="eastAsia"/>
          <w:b/>
          <w:bCs/>
          <w:color w:val="000000"/>
          <w:kern w:val="0"/>
          <w:szCs w:val="21"/>
        </w:rPr>
        <w:t>5</w:t>
      </w:r>
      <w:r>
        <w:rPr>
          <w:b/>
          <w:bCs/>
          <w:color w:val="000000"/>
          <w:kern w:val="0"/>
          <w:szCs w:val="21"/>
        </w:rPr>
        <w:t>.1.6</w:t>
      </w:r>
      <w:r>
        <w:rPr>
          <w:bCs/>
        </w:rPr>
        <w:t xml:space="preserve"> </w:t>
      </w:r>
      <w:r>
        <w:rPr>
          <w:rFonts w:hint="eastAsia"/>
          <w:kern w:val="0"/>
          <w:szCs w:val="20"/>
        </w:rPr>
        <w:t>在施工期间，应针对支护结构、周边环境和既有建筑物开展有效的监测工作，并根据监测数据对支护结构设计和基坑施工进行动态调整，实现信息化施工。</w:t>
      </w:r>
    </w:p>
    <w:p w:rsidR="009136B5" w:rsidRDefault="00000000">
      <w:pPr>
        <w:pStyle w:val="20"/>
      </w:pPr>
      <w:r>
        <w:t xml:space="preserve">5.2 </w:t>
      </w:r>
      <w:r>
        <w:rPr>
          <w:rFonts w:hint="eastAsia"/>
        </w:rPr>
        <w:t xml:space="preserve"> </w:t>
      </w:r>
      <w:r>
        <w:rPr>
          <w:rFonts w:hint="eastAsia"/>
        </w:rPr>
        <w:t>支护</w:t>
      </w:r>
      <w:r>
        <w:t>结构设计</w:t>
      </w:r>
      <w:bookmarkEnd w:id="52"/>
      <w:bookmarkEnd w:id="53"/>
      <w:r>
        <w:rPr>
          <w:rFonts w:hint="eastAsia"/>
        </w:rPr>
        <w:t xml:space="preserve"> </w:t>
      </w:r>
    </w:p>
    <w:p w:rsidR="009136B5" w:rsidRDefault="00000000">
      <w:pPr>
        <w:pStyle w:val="xxx"/>
        <w:rPr>
          <w:color w:val="000000"/>
          <w:szCs w:val="21"/>
        </w:rPr>
      </w:pPr>
      <w:r>
        <w:rPr>
          <w:b/>
          <w:bCs/>
        </w:rPr>
        <w:t>5.2.1</w:t>
      </w:r>
      <w:r>
        <w:t xml:space="preserve">  </w:t>
      </w:r>
      <w:r>
        <w:rPr>
          <w:rFonts w:hint="eastAsia"/>
          <w:color w:val="000000"/>
          <w:szCs w:val="21"/>
        </w:rPr>
        <w:t>侧向支护结构可采用放坡开挖、土钉墙和复合土钉墙、水泥土重力式挡墙和桩墙式支护结构等形式。桩墙式支护结构可采用地下连续墙、灌注桩排桩、咬合桩、型钢水泥土墙、树根桩、钢板桩、钢管组合钢板桩、型钢组合钢板桩和预制混凝土板桩等形式。</w:t>
      </w:r>
    </w:p>
    <w:p w:rsidR="009136B5" w:rsidRDefault="00000000">
      <w:pPr>
        <w:pStyle w:val="aff3"/>
        <w:spacing w:line="440" w:lineRule="exact"/>
        <w:ind w:firstLineChars="0" w:firstLine="0"/>
        <w:rPr>
          <w:rFonts w:ascii="Times New Roman"/>
          <w:color w:val="0000FF"/>
        </w:rPr>
      </w:pPr>
      <w:r>
        <w:rPr>
          <w:rFonts w:hint="eastAsia"/>
          <w:b/>
          <w:bCs/>
          <w:color w:val="0000FF"/>
        </w:rPr>
        <w:t>条文说明：</w:t>
      </w:r>
      <w:r>
        <w:rPr>
          <w:rFonts w:ascii="Times New Roman" w:hint="eastAsia"/>
          <w:color w:val="0000FF"/>
        </w:rPr>
        <w:t>既有建筑地下增层的支护结构选择往往受周边环境和既有建筑的施工空间条件限制。在低净空条件下，可考虑采用先插</w:t>
      </w:r>
      <w:r>
        <w:rPr>
          <w:rFonts w:ascii="Times New Roman" w:hint="eastAsia"/>
          <w:color w:val="0000FF"/>
        </w:rPr>
        <w:t>H</w:t>
      </w:r>
      <w:r>
        <w:rPr>
          <w:rFonts w:ascii="Times New Roman" w:hint="eastAsia"/>
          <w:color w:val="0000FF"/>
        </w:rPr>
        <w:t>型钢再采用</w:t>
      </w:r>
      <w:r>
        <w:rPr>
          <w:rFonts w:ascii="Times New Roman" w:hint="eastAsia"/>
          <w:color w:val="0000FF"/>
        </w:rPr>
        <w:t>M</w:t>
      </w:r>
      <w:r>
        <w:rPr>
          <w:rFonts w:ascii="Times New Roman"/>
          <w:color w:val="0000FF"/>
        </w:rPr>
        <w:t>JS</w:t>
      </w:r>
      <w:r>
        <w:rPr>
          <w:rFonts w:ascii="Times New Roman" w:hint="eastAsia"/>
          <w:color w:val="0000FF"/>
        </w:rPr>
        <w:t>工法或</w:t>
      </w:r>
      <w:r>
        <w:rPr>
          <w:rFonts w:ascii="Times New Roman" w:hint="eastAsia"/>
          <w:color w:val="0000FF"/>
        </w:rPr>
        <w:t>R</w:t>
      </w:r>
      <w:r>
        <w:rPr>
          <w:rFonts w:ascii="Times New Roman"/>
          <w:color w:val="0000FF"/>
        </w:rPr>
        <w:t>JP</w:t>
      </w:r>
      <w:r>
        <w:rPr>
          <w:rFonts w:ascii="Times New Roman" w:hint="eastAsia"/>
          <w:color w:val="0000FF"/>
        </w:rPr>
        <w:t>工法进行旋喷加固后形成型钢水泥土墙作为侧向支护结构。</w:t>
      </w:r>
    </w:p>
    <w:p w:rsidR="009136B5" w:rsidRDefault="00000000">
      <w:pPr>
        <w:pStyle w:val="xxx"/>
      </w:pPr>
      <w:r>
        <w:rPr>
          <w:b/>
          <w:bCs/>
          <w:color w:val="000000"/>
          <w:szCs w:val="21"/>
        </w:rPr>
        <w:t>5.2.2</w:t>
      </w:r>
      <w:r>
        <w:rPr>
          <w:b/>
          <w:spacing w:val="20"/>
          <w:kern w:val="2"/>
        </w:rPr>
        <w:t xml:space="preserve">  </w:t>
      </w:r>
      <w:r>
        <w:rPr>
          <w:rFonts w:hint="eastAsia"/>
        </w:rPr>
        <w:t>侧向支护结构的选型应综合考虑下列因素，通过技术经济比较后确定：</w:t>
      </w:r>
    </w:p>
    <w:p w:rsidR="009136B5" w:rsidRDefault="00000000">
      <w:pPr>
        <w:pStyle w:val="x"/>
        <w:ind w:firstLine="316"/>
      </w:pPr>
      <w:r>
        <w:rPr>
          <w:b/>
        </w:rPr>
        <w:t>1</w:t>
      </w:r>
      <w:r>
        <w:t xml:space="preserve">  </w:t>
      </w:r>
      <w:r>
        <w:t>工程地质与水文地质条件</w:t>
      </w:r>
      <w:r>
        <w:rPr>
          <w:rFonts w:hint="eastAsia"/>
        </w:rPr>
        <w:t>；</w:t>
      </w:r>
    </w:p>
    <w:p w:rsidR="009136B5" w:rsidRDefault="00000000">
      <w:pPr>
        <w:pStyle w:val="x"/>
        <w:ind w:firstLine="316"/>
      </w:pPr>
      <w:r>
        <w:rPr>
          <w:rFonts w:hint="eastAsia"/>
          <w:b/>
        </w:rPr>
        <w:t>2</w:t>
      </w:r>
      <w:r>
        <w:t xml:space="preserve">  </w:t>
      </w:r>
      <w:r>
        <w:rPr>
          <w:rFonts w:hint="eastAsia"/>
        </w:rPr>
        <w:t>周边</w:t>
      </w:r>
      <w:r>
        <w:t>环</w:t>
      </w:r>
      <w:r>
        <w:rPr>
          <w:rFonts w:hint="eastAsia"/>
        </w:rPr>
        <w:t>境条件及变形控制要求；</w:t>
      </w:r>
    </w:p>
    <w:p w:rsidR="009136B5" w:rsidRDefault="00000000">
      <w:pPr>
        <w:pStyle w:val="x"/>
        <w:ind w:firstLine="316"/>
      </w:pPr>
      <w:r>
        <w:rPr>
          <w:b/>
        </w:rPr>
        <w:lastRenderedPageBreak/>
        <w:t>3</w:t>
      </w:r>
      <w:r>
        <w:t xml:space="preserve">  </w:t>
      </w:r>
      <w:r>
        <w:rPr>
          <w:rFonts w:hint="eastAsia"/>
        </w:rPr>
        <w:t>基坑开挖深度、平面尺寸和形状；</w:t>
      </w:r>
    </w:p>
    <w:p w:rsidR="009136B5" w:rsidRDefault="00000000">
      <w:pPr>
        <w:pStyle w:val="x"/>
        <w:ind w:firstLine="316"/>
      </w:pPr>
      <w:r>
        <w:rPr>
          <w:rFonts w:hint="eastAsia"/>
          <w:b/>
        </w:rPr>
        <w:t>4</w:t>
      </w:r>
      <w:r>
        <w:t xml:space="preserve">  </w:t>
      </w:r>
      <w:r>
        <w:rPr>
          <w:rFonts w:hint="eastAsia"/>
        </w:rPr>
        <w:t>支护结构使用要求；</w:t>
      </w:r>
    </w:p>
    <w:p w:rsidR="009136B5" w:rsidRDefault="00000000">
      <w:pPr>
        <w:pStyle w:val="x"/>
        <w:ind w:firstLine="316"/>
      </w:pPr>
      <w:r>
        <w:rPr>
          <w:b/>
        </w:rPr>
        <w:t>5</w:t>
      </w:r>
      <w:r>
        <w:t xml:space="preserve">  </w:t>
      </w:r>
      <w:r>
        <w:rPr>
          <w:rFonts w:hint="eastAsia"/>
        </w:rPr>
        <w:t>施工的作业空间、可行性和质量可靠性；</w:t>
      </w:r>
    </w:p>
    <w:p w:rsidR="009136B5" w:rsidRDefault="00000000">
      <w:pPr>
        <w:pStyle w:val="x"/>
        <w:ind w:firstLine="316"/>
      </w:pPr>
      <w:r>
        <w:rPr>
          <w:b/>
        </w:rPr>
        <w:t>6</w:t>
      </w:r>
      <w:r>
        <w:t xml:space="preserve">  </w:t>
      </w:r>
      <w:r>
        <w:rPr>
          <w:rFonts w:hint="eastAsia"/>
        </w:rPr>
        <w:t>支护结构施工过程的环境影响；</w:t>
      </w:r>
    </w:p>
    <w:p w:rsidR="009136B5" w:rsidRDefault="00000000">
      <w:pPr>
        <w:pStyle w:val="x"/>
        <w:ind w:firstLine="316"/>
      </w:pPr>
      <w:r>
        <w:rPr>
          <w:b/>
        </w:rPr>
        <w:t>7</w:t>
      </w:r>
      <w:r>
        <w:t xml:space="preserve">  </w:t>
      </w:r>
      <w:r>
        <w:rPr>
          <w:rFonts w:hint="eastAsia"/>
        </w:rPr>
        <w:t>经济指标、环保性能和施工工期要求。</w:t>
      </w:r>
    </w:p>
    <w:p w:rsidR="009136B5" w:rsidRDefault="00000000">
      <w:pPr>
        <w:pStyle w:val="xxx"/>
      </w:pPr>
      <w:r>
        <w:rPr>
          <w:rFonts w:hint="eastAsia"/>
          <w:b/>
          <w:color w:val="000000"/>
          <w:szCs w:val="21"/>
        </w:rPr>
        <w:t>5</w:t>
      </w:r>
      <w:r>
        <w:rPr>
          <w:b/>
          <w:color w:val="000000"/>
          <w:szCs w:val="21"/>
        </w:rPr>
        <w:t>.2.3</w:t>
      </w:r>
      <w:r>
        <w:t xml:space="preserve">  </w:t>
      </w:r>
      <w:r>
        <w:rPr>
          <w:rFonts w:hint="eastAsia"/>
          <w:bCs/>
        </w:rPr>
        <w:t>作用在支护结构上的土压力应结合支护结构的位移控制值确定。当支护结构的位移有严格控制要求时，宜采用静止土压力；当支护结构允许有较大位移时，可采用主动、被动土压力；当支护结构位移控制值未达到相应土体的极限状态位移时，宜采用考虑土体位移影响的中间状态土压力。</w:t>
      </w:r>
    </w:p>
    <w:p w:rsidR="009136B5" w:rsidRDefault="00000000">
      <w:pPr>
        <w:tabs>
          <w:tab w:val="left" w:pos="425"/>
        </w:tabs>
        <w:adjustRightInd w:val="0"/>
        <w:spacing w:line="440" w:lineRule="exact"/>
        <w:ind w:left="7" w:firstLine="422"/>
        <w:rPr>
          <w:bCs/>
        </w:rPr>
      </w:pPr>
      <w:r>
        <w:rPr>
          <w:b/>
          <w:bCs/>
          <w:color w:val="000000"/>
          <w:kern w:val="0"/>
          <w:szCs w:val="21"/>
        </w:rPr>
        <w:t>1</w:t>
      </w:r>
      <w:r>
        <w:rPr>
          <w:bCs/>
        </w:rPr>
        <w:t xml:space="preserve">  </w:t>
      </w:r>
      <w:r>
        <w:rPr>
          <w:rFonts w:hint="eastAsia"/>
          <w:bCs/>
        </w:rPr>
        <w:t>主动区的中间状态土压力可按下式计算：</w:t>
      </w:r>
    </w:p>
    <w:tbl>
      <w:tblPr>
        <w:tblStyle w:val="afa"/>
        <w:tblW w:w="4920" w:type="pct"/>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565"/>
        <w:gridCol w:w="1429"/>
        <w:gridCol w:w="3113"/>
        <w:gridCol w:w="3065"/>
      </w:tblGrid>
      <w:tr w:rsidR="009136B5">
        <w:trPr>
          <w:trHeight w:val="20"/>
        </w:trPr>
        <w:tc>
          <w:tcPr>
            <w:tcW w:w="1644" w:type="pct"/>
            <w:gridSpan w:val="3"/>
            <w:vAlign w:val="center"/>
          </w:tcPr>
          <w:p w:rsidR="009136B5" w:rsidRDefault="009136B5">
            <w:pPr>
              <w:pStyle w:val="x"/>
              <w:ind w:firstLineChars="0" w:firstLine="0"/>
              <w:jc w:val="center"/>
              <w:rPr>
                <w:szCs w:val="21"/>
              </w:rPr>
            </w:pPr>
          </w:p>
        </w:tc>
        <w:tc>
          <w:tcPr>
            <w:tcW w:w="1691" w:type="pct"/>
            <w:vAlign w:val="center"/>
          </w:tcPr>
          <w:p w:rsidR="009136B5" w:rsidRDefault="00000000">
            <w:pPr>
              <w:pStyle w:val="x"/>
              <w:ind w:firstLineChars="0" w:firstLine="0"/>
              <w:jc w:val="center"/>
              <w:rPr>
                <w:kern w:val="0"/>
                <w:szCs w:val="21"/>
              </w:rPr>
            </w:pPr>
            <w:r>
              <w:rPr>
                <w:color w:val="000000" w:themeColor="text1"/>
                <w:position w:val="-10"/>
                <w:szCs w:val="21"/>
              </w:rPr>
              <w:object w:dxaOrig="2395" w:dyaOrig="321">
                <v:shape id="_x0000_i1091" type="#_x0000_t75" style="width:119.6pt;height:15.65pt" o:ole="">
                  <v:imagedata r:id="rId157" o:title=""/>
                </v:shape>
                <o:OLEObject Type="Embed" ProgID="Equation.DSMT4" ShapeID="_x0000_i1091" DrawAspect="Content" ObjectID="_1735132869" r:id="rId158"/>
              </w:object>
            </w:r>
          </w:p>
        </w:tc>
        <w:tc>
          <w:tcPr>
            <w:tcW w:w="1665" w:type="pct"/>
            <w:vAlign w:val="center"/>
          </w:tcPr>
          <w:p w:rsidR="009136B5" w:rsidRDefault="00000000">
            <w:pPr>
              <w:pStyle w:val="x"/>
              <w:ind w:firstLineChars="0" w:firstLine="0"/>
              <w:jc w:val="right"/>
              <w:rPr>
                <w:szCs w:val="21"/>
              </w:rPr>
            </w:pPr>
            <w:r>
              <w:rPr>
                <w:rFonts w:hint="eastAsia"/>
                <w:szCs w:val="21"/>
              </w:rPr>
              <w:t>（</w:t>
            </w:r>
            <w:r>
              <w:rPr>
                <w:szCs w:val="21"/>
              </w:rPr>
              <w:t>5.2.3-1</w:t>
            </w:r>
            <w:r>
              <w:rPr>
                <w:rFonts w:hint="eastAsia"/>
                <w:szCs w:val="21"/>
              </w:rPr>
              <w:t>）</w:t>
            </w:r>
          </w:p>
        </w:tc>
      </w:tr>
      <w:tr w:rsidR="009136B5">
        <w:tblPrEx>
          <w:tblCellMar>
            <w:left w:w="0" w:type="dxa"/>
            <w:right w:w="57" w:type="dxa"/>
          </w:tblCellMar>
        </w:tblPrEx>
        <w:tc>
          <w:tcPr>
            <w:tcW w:w="561" w:type="pct"/>
            <w:vAlign w:val="center"/>
          </w:tcPr>
          <w:p w:rsidR="009136B5" w:rsidRDefault="00000000">
            <w:pPr>
              <w:pStyle w:val="220"/>
              <w:jc w:val="right"/>
            </w:pPr>
            <w:r>
              <w:rPr>
                <w:rFonts w:hint="eastAsia"/>
              </w:rPr>
              <w:t>式中：</w:t>
            </w:r>
            <w:proofErr w:type="spellStart"/>
            <w:r>
              <w:rPr>
                <w:rFonts w:hint="eastAsia"/>
                <w:i/>
                <w:iCs/>
              </w:rPr>
              <w:t>p</w:t>
            </w:r>
            <w:r>
              <w:rPr>
                <w:rFonts w:hint="eastAsia"/>
                <w:vertAlign w:val="subscript"/>
              </w:rPr>
              <w:t>sa</w:t>
            </w:r>
            <w:proofErr w:type="spellEnd"/>
          </w:p>
        </w:tc>
        <w:tc>
          <w:tcPr>
            <w:tcW w:w="307" w:type="pct"/>
            <w:vAlign w:val="center"/>
          </w:tcPr>
          <w:p w:rsidR="009136B5" w:rsidRDefault="00000000">
            <w:pPr>
              <w:pStyle w:val="220"/>
              <w:jc w:val="center"/>
            </w:pPr>
            <w:r>
              <w:t>——</w:t>
            </w:r>
          </w:p>
        </w:tc>
        <w:tc>
          <w:tcPr>
            <w:tcW w:w="4132" w:type="pct"/>
            <w:gridSpan w:val="3"/>
            <w:vAlign w:val="center"/>
          </w:tcPr>
          <w:p w:rsidR="009136B5" w:rsidRDefault="00000000">
            <w:pPr>
              <w:autoSpaceDE w:val="0"/>
              <w:autoSpaceDN w:val="0"/>
              <w:adjustRightInd w:val="0"/>
              <w:ind w:firstLineChars="0" w:firstLine="0"/>
              <w:rPr>
                <w:szCs w:val="21"/>
                <w:lang w:val="zh-CN"/>
              </w:rPr>
            </w:pPr>
            <w:r>
              <w:rPr>
                <w:rFonts w:hint="eastAsia"/>
                <w:bCs/>
              </w:rPr>
              <w:t>主动区中间状态土压力（</w:t>
            </w:r>
            <w:r>
              <w:rPr>
                <w:rFonts w:hint="eastAsia"/>
                <w:bCs/>
              </w:rPr>
              <w:t>k</w:t>
            </w:r>
            <w:r>
              <w:rPr>
                <w:bCs/>
              </w:rPr>
              <w:t>Pa</w:t>
            </w:r>
            <w:r>
              <w:rPr>
                <w:rFonts w:hint="eastAsia"/>
                <w:bCs/>
              </w:rPr>
              <w:t>）；</w:t>
            </w:r>
          </w:p>
        </w:tc>
      </w:tr>
      <w:tr w:rsidR="009136B5">
        <w:tblPrEx>
          <w:tblCellMar>
            <w:left w:w="0" w:type="dxa"/>
            <w:right w:w="57" w:type="dxa"/>
          </w:tblCellMar>
        </w:tblPrEx>
        <w:tc>
          <w:tcPr>
            <w:tcW w:w="561" w:type="pct"/>
          </w:tcPr>
          <w:p w:rsidR="009136B5" w:rsidRDefault="00000000">
            <w:pPr>
              <w:pStyle w:val="220"/>
              <w:jc w:val="right"/>
              <w:rPr>
                <w:i/>
                <w:iCs/>
              </w:rPr>
            </w:pPr>
            <w:r>
              <w:rPr>
                <w:rFonts w:hint="eastAsia"/>
                <w:i/>
                <w:iCs/>
                <w:color w:val="000000" w:themeColor="text1"/>
              </w:rPr>
              <w:t>p</w:t>
            </w:r>
            <w:r>
              <w:rPr>
                <w:rFonts w:hint="eastAsia"/>
                <w:color w:val="000000" w:themeColor="text1"/>
                <w:vertAlign w:val="subscript"/>
              </w:rPr>
              <w:t>0</w:t>
            </w:r>
          </w:p>
        </w:tc>
        <w:tc>
          <w:tcPr>
            <w:tcW w:w="307" w:type="pct"/>
            <w:vAlign w:val="center"/>
          </w:tcPr>
          <w:p w:rsidR="009136B5" w:rsidRDefault="00000000">
            <w:pPr>
              <w:pStyle w:val="220"/>
              <w:jc w:val="center"/>
            </w:pPr>
            <w:r>
              <w:t>——</w:t>
            </w:r>
          </w:p>
        </w:tc>
        <w:tc>
          <w:tcPr>
            <w:tcW w:w="4132" w:type="pct"/>
            <w:gridSpan w:val="3"/>
            <w:vAlign w:val="center"/>
          </w:tcPr>
          <w:p w:rsidR="009136B5" w:rsidRDefault="00000000">
            <w:pPr>
              <w:autoSpaceDE w:val="0"/>
              <w:autoSpaceDN w:val="0"/>
              <w:adjustRightInd w:val="0"/>
              <w:ind w:firstLineChars="0" w:firstLine="0"/>
              <w:rPr>
                <w:bCs/>
                <w:szCs w:val="21"/>
              </w:rPr>
            </w:pPr>
            <w:r>
              <w:rPr>
                <w:rFonts w:hint="eastAsia"/>
                <w:bCs/>
              </w:rPr>
              <w:t>静止土压力（</w:t>
            </w:r>
            <w:r>
              <w:rPr>
                <w:rFonts w:hint="eastAsia"/>
                <w:bCs/>
              </w:rPr>
              <w:t>k</w:t>
            </w:r>
            <w:r>
              <w:rPr>
                <w:bCs/>
              </w:rPr>
              <w:t>Pa</w:t>
            </w:r>
            <w:r>
              <w:rPr>
                <w:rFonts w:hint="eastAsia"/>
                <w:bCs/>
              </w:rPr>
              <w:t>）；</w:t>
            </w:r>
          </w:p>
        </w:tc>
      </w:tr>
      <w:tr w:rsidR="009136B5">
        <w:tblPrEx>
          <w:tblCellMar>
            <w:left w:w="0" w:type="dxa"/>
            <w:right w:w="57" w:type="dxa"/>
          </w:tblCellMar>
        </w:tblPrEx>
        <w:tc>
          <w:tcPr>
            <w:tcW w:w="561" w:type="pct"/>
          </w:tcPr>
          <w:p w:rsidR="009136B5" w:rsidRDefault="00000000">
            <w:pPr>
              <w:pStyle w:val="220"/>
              <w:jc w:val="right"/>
              <w:rPr>
                <w:i/>
                <w:iCs/>
                <w:color w:val="000000" w:themeColor="text1"/>
                <w:lang w:bidi="ar"/>
              </w:rPr>
            </w:pPr>
            <w:proofErr w:type="spellStart"/>
            <w:r>
              <w:rPr>
                <w:rFonts w:hint="eastAsia"/>
                <w:i/>
                <w:iCs/>
                <w:color w:val="000000" w:themeColor="text1"/>
                <w:lang w:bidi="ar"/>
              </w:rPr>
              <w:t>k</w:t>
            </w:r>
            <w:r>
              <w:rPr>
                <w:rFonts w:hint="eastAsia"/>
                <w:i/>
                <w:iCs/>
                <w:color w:val="000000" w:themeColor="text1"/>
                <w:vertAlign w:val="subscript"/>
                <w:lang w:bidi="ar"/>
              </w:rPr>
              <w:t>sa</w:t>
            </w:r>
            <w:proofErr w:type="spellEnd"/>
          </w:p>
        </w:tc>
        <w:tc>
          <w:tcPr>
            <w:tcW w:w="307" w:type="pct"/>
            <w:vAlign w:val="center"/>
          </w:tcPr>
          <w:p w:rsidR="009136B5" w:rsidRDefault="00000000">
            <w:pPr>
              <w:pStyle w:val="220"/>
              <w:jc w:val="center"/>
            </w:pPr>
            <w:r>
              <w:t>——</w:t>
            </w:r>
          </w:p>
        </w:tc>
        <w:tc>
          <w:tcPr>
            <w:tcW w:w="4132" w:type="pct"/>
            <w:gridSpan w:val="3"/>
            <w:vAlign w:val="center"/>
          </w:tcPr>
          <w:p w:rsidR="009136B5" w:rsidRDefault="00000000">
            <w:pPr>
              <w:ind w:firstLineChars="0" w:firstLine="0"/>
              <w:rPr>
                <w:color w:val="000000" w:themeColor="text1"/>
                <w:szCs w:val="21"/>
              </w:rPr>
            </w:pPr>
            <w:r>
              <w:rPr>
                <w:rFonts w:hint="eastAsia"/>
                <w:bCs/>
              </w:rPr>
              <w:t>主动区土体的水平反力系数（</w:t>
            </w:r>
            <w:proofErr w:type="spellStart"/>
            <w:r>
              <w:rPr>
                <w:rFonts w:hint="eastAsia"/>
                <w:bCs/>
              </w:rPr>
              <w:t>k</w:t>
            </w:r>
            <w:r>
              <w:rPr>
                <w:bCs/>
              </w:rPr>
              <w:t>N</w:t>
            </w:r>
            <w:proofErr w:type="spellEnd"/>
            <w:r>
              <w:rPr>
                <w:bCs/>
              </w:rPr>
              <w:t>/m</w:t>
            </w:r>
            <w:r>
              <w:rPr>
                <w:bCs/>
                <w:vertAlign w:val="superscript"/>
              </w:rPr>
              <w:t>3</w:t>
            </w:r>
            <w:r>
              <w:rPr>
                <w:rFonts w:hint="eastAsia"/>
                <w:bCs/>
              </w:rPr>
              <w:t>）；</w:t>
            </w:r>
          </w:p>
        </w:tc>
      </w:tr>
      <w:tr w:rsidR="009136B5">
        <w:tblPrEx>
          <w:tblCellMar>
            <w:left w:w="0" w:type="dxa"/>
            <w:right w:w="57" w:type="dxa"/>
          </w:tblCellMar>
        </w:tblPrEx>
        <w:tc>
          <w:tcPr>
            <w:tcW w:w="561" w:type="pct"/>
          </w:tcPr>
          <w:p w:rsidR="009136B5" w:rsidRDefault="00000000">
            <w:pPr>
              <w:pStyle w:val="220"/>
              <w:jc w:val="right"/>
              <w:rPr>
                <w:i/>
                <w:iCs/>
                <w:color w:val="000000" w:themeColor="text1"/>
                <w:lang w:bidi="ar"/>
              </w:rPr>
            </w:pPr>
            <w:r>
              <w:rPr>
                <w:rFonts w:hint="eastAsia"/>
                <w:i/>
                <w:iCs/>
                <w:color w:val="000000" w:themeColor="text1"/>
                <w:lang w:bidi="ar"/>
              </w:rPr>
              <w:t>v</w:t>
            </w:r>
            <w:r>
              <w:rPr>
                <w:rFonts w:hint="eastAsia"/>
                <w:i/>
                <w:iCs/>
                <w:color w:val="000000" w:themeColor="text1"/>
                <w:vertAlign w:val="subscript"/>
                <w:lang w:bidi="ar"/>
              </w:rPr>
              <w:t>s</w:t>
            </w:r>
          </w:p>
        </w:tc>
        <w:tc>
          <w:tcPr>
            <w:tcW w:w="307" w:type="pct"/>
            <w:vAlign w:val="center"/>
          </w:tcPr>
          <w:p w:rsidR="009136B5" w:rsidRDefault="00000000">
            <w:pPr>
              <w:pStyle w:val="220"/>
              <w:jc w:val="center"/>
            </w:pPr>
            <w:r>
              <w:t>——</w:t>
            </w:r>
          </w:p>
        </w:tc>
        <w:tc>
          <w:tcPr>
            <w:tcW w:w="4132" w:type="pct"/>
            <w:gridSpan w:val="3"/>
            <w:vAlign w:val="center"/>
          </w:tcPr>
          <w:p w:rsidR="009136B5" w:rsidRDefault="00000000">
            <w:pPr>
              <w:ind w:firstLineChars="0" w:firstLine="0"/>
              <w:rPr>
                <w:color w:val="000000" w:themeColor="text1"/>
                <w:szCs w:val="21"/>
              </w:rPr>
            </w:pPr>
            <w:r>
              <w:rPr>
                <w:rFonts w:hint="eastAsia"/>
                <w:bCs/>
              </w:rPr>
              <w:t>土体水平位移（</w:t>
            </w:r>
            <w:r>
              <w:rPr>
                <w:bCs/>
              </w:rPr>
              <w:t>m</w:t>
            </w:r>
            <w:r>
              <w:rPr>
                <w:rFonts w:hint="eastAsia"/>
                <w:bCs/>
              </w:rPr>
              <w:t>）；</w:t>
            </w:r>
          </w:p>
        </w:tc>
      </w:tr>
      <w:tr w:rsidR="009136B5">
        <w:tblPrEx>
          <w:tblCellMar>
            <w:left w:w="0" w:type="dxa"/>
            <w:right w:w="57" w:type="dxa"/>
          </w:tblCellMar>
        </w:tblPrEx>
        <w:tc>
          <w:tcPr>
            <w:tcW w:w="561" w:type="pct"/>
          </w:tcPr>
          <w:p w:rsidR="009136B5" w:rsidRDefault="00000000">
            <w:pPr>
              <w:pStyle w:val="220"/>
              <w:jc w:val="right"/>
              <w:rPr>
                <w:i/>
                <w:iCs/>
              </w:rPr>
            </w:pPr>
            <w:r>
              <w:rPr>
                <w:rFonts w:hint="eastAsia"/>
                <w:i/>
                <w:iCs/>
              </w:rPr>
              <w:t>p</w:t>
            </w:r>
            <w:r>
              <w:rPr>
                <w:rFonts w:hint="eastAsia"/>
                <w:i/>
                <w:iCs/>
                <w:vertAlign w:val="subscript"/>
              </w:rPr>
              <w:t>a</w:t>
            </w:r>
          </w:p>
        </w:tc>
        <w:tc>
          <w:tcPr>
            <w:tcW w:w="307" w:type="pct"/>
            <w:vAlign w:val="center"/>
          </w:tcPr>
          <w:p w:rsidR="009136B5" w:rsidRDefault="00000000">
            <w:pPr>
              <w:pStyle w:val="220"/>
              <w:jc w:val="center"/>
            </w:pPr>
            <w:r>
              <w:t>——</w:t>
            </w:r>
          </w:p>
        </w:tc>
        <w:tc>
          <w:tcPr>
            <w:tcW w:w="4132" w:type="pct"/>
            <w:gridSpan w:val="3"/>
            <w:vAlign w:val="center"/>
          </w:tcPr>
          <w:p w:rsidR="009136B5" w:rsidRDefault="00000000">
            <w:pPr>
              <w:ind w:firstLineChars="0" w:firstLine="0"/>
              <w:rPr>
                <w:bCs/>
                <w:szCs w:val="21"/>
              </w:rPr>
            </w:pPr>
            <w:r>
              <w:rPr>
                <w:rFonts w:hint="eastAsia"/>
                <w:bCs/>
              </w:rPr>
              <w:t>主动土压力（</w:t>
            </w:r>
            <w:r>
              <w:rPr>
                <w:rFonts w:hint="eastAsia"/>
                <w:bCs/>
              </w:rPr>
              <w:t>k</w:t>
            </w:r>
            <w:r>
              <w:rPr>
                <w:bCs/>
              </w:rPr>
              <w:t>Pa</w:t>
            </w:r>
            <w:r>
              <w:rPr>
                <w:rFonts w:hint="eastAsia"/>
                <w:bCs/>
              </w:rPr>
              <w:t>）。</w:t>
            </w:r>
          </w:p>
        </w:tc>
      </w:tr>
    </w:tbl>
    <w:p w:rsidR="009136B5" w:rsidRDefault="00000000">
      <w:pPr>
        <w:pStyle w:val="x"/>
        <w:ind w:firstLine="316"/>
      </w:pPr>
      <w:r>
        <w:rPr>
          <w:b/>
          <w:color w:val="000000"/>
          <w:kern w:val="0"/>
          <w:szCs w:val="21"/>
        </w:rPr>
        <w:t>2</w:t>
      </w:r>
      <w:r>
        <w:t xml:space="preserve">  </w:t>
      </w:r>
      <w:r>
        <w:rPr>
          <w:rFonts w:hint="eastAsia"/>
        </w:rPr>
        <w:t>被动区的中间状态土压力可按下式计算：</w:t>
      </w:r>
    </w:p>
    <w:tbl>
      <w:tblPr>
        <w:tblStyle w:val="afa"/>
        <w:tblW w:w="4920" w:type="pct"/>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1"/>
        <w:gridCol w:w="567"/>
        <w:gridCol w:w="1429"/>
        <w:gridCol w:w="3113"/>
        <w:gridCol w:w="3065"/>
      </w:tblGrid>
      <w:tr w:rsidR="009136B5">
        <w:trPr>
          <w:trHeight w:val="20"/>
        </w:trPr>
        <w:tc>
          <w:tcPr>
            <w:tcW w:w="1644" w:type="pct"/>
            <w:gridSpan w:val="3"/>
            <w:vAlign w:val="center"/>
          </w:tcPr>
          <w:p w:rsidR="009136B5" w:rsidRDefault="009136B5">
            <w:pPr>
              <w:pStyle w:val="x"/>
              <w:ind w:firstLineChars="0" w:firstLine="0"/>
              <w:jc w:val="center"/>
              <w:rPr>
                <w:szCs w:val="21"/>
              </w:rPr>
            </w:pPr>
          </w:p>
        </w:tc>
        <w:tc>
          <w:tcPr>
            <w:tcW w:w="1691" w:type="pct"/>
            <w:vAlign w:val="center"/>
          </w:tcPr>
          <w:p w:rsidR="009136B5" w:rsidRDefault="00000000">
            <w:pPr>
              <w:pStyle w:val="x"/>
              <w:ind w:firstLineChars="0" w:firstLine="0"/>
              <w:jc w:val="center"/>
              <w:rPr>
                <w:kern w:val="0"/>
                <w:szCs w:val="21"/>
              </w:rPr>
            </w:pPr>
            <w:r>
              <w:rPr>
                <w:color w:val="000000" w:themeColor="text1"/>
                <w:position w:val="-14"/>
                <w:szCs w:val="21"/>
              </w:rPr>
              <w:object w:dxaOrig="2409" w:dyaOrig="362">
                <v:shape id="_x0000_i1092" type="#_x0000_t75" style="width:120.85pt;height:17.55pt" o:ole="">
                  <v:imagedata r:id="rId159" o:title=""/>
                </v:shape>
                <o:OLEObject Type="Embed" ProgID="Equation.DSMT4" ShapeID="_x0000_i1092" DrawAspect="Content" ObjectID="_1735132870" r:id="rId160"/>
              </w:object>
            </w:r>
          </w:p>
        </w:tc>
        <w:tc>
          <w:tcPr>
            <w:tcW w:w="1665" w:type="pct"/>
            <w:vAlign w:val="center"/>
          </w:tcPr>
          <w:p w:rsidR="009136B5" w:rsidRDefault="00000000">
            <w:pPr>
              <w:pStyle w:val="x"/>
              <w:ind w:firstLineChars="0" w:firstLine="0"/>
              <w:jc w:val="right"/>
              <w:rPr>
                <w:szCs w:val="21"/>
              </w:rPr>
            </w:pPr>
            <w:r>
              <w:rPr>
                <w:rFonts w:hint="eastAsia"/>
                <w:szCs w:val="21"/>
              </w:rPr>
              <w:t>（</w:t>
            </w:r>
            <w:r>
              <w:rPr>
                <w:szCs w:val="21"/>
              </w:rPr>
              <w:t>5.2.3-2</w:t>
            </w:r>
            <w:r>
              <w:rPr>
                <w:rFonts w:hint="eastAsia"/>
                <w:szCs w:val="21"/>
              </w:rPr>
              <w:t>）</w:t>
            </w:r>
          </w:p>
        </w:tc>
      </w:tr>
      <w:tr w:rsidR="009136B5">
        <w:tblPrEx>
          <w:tblCellMar>
            <w:left w:w="0" w:type="dxa"/>
            <w:right w:w="57" w:type="dxa"/>
          </w:tblCellMar>
        </w:tblPrEx>
        <w:tc>
          <w:tcPr>
            <w:tcW w:w="560" w:type="pct"/>
            <w:vAlign w:val="center"/>
          </w:tcPr>
          <w:p w:rsidR="009136B5" w:rsidRDefault="00000000">
            <w:pPr>
              <w:pStyle w:val="220"/>
              <w:jc w:val="right"/>
            </w:pPr>
            <w:r>
              <w:rPr>
                <w:rFonts w:hint="eastAsia"/>
              </w:rPr>
              <w:t>式中：</w:t>
            </w:r>
            <w:proofErr w:type="spellStart"/>
            <w:r>
              <w:rPr>
                <w:rFonts w:hint="eastAsia"/>
                <w:i/>
                <w:iCs/>
              </w:rPr>
              <w:t>p</w:t>
            </w:r>
            <w:r>
              <w:rPr>
                <w:rFonts w:hint="eastAsia"/>
                <w:vertAlign w:val="subscript"/>
              </w:rPr>
              <w:t>sp</w:t>
            </w:r>
            <w:proofErr w:type="spellEnd"/>
          </w:p>
        </w:tc>
        <w:tc>
          <w:tcPr>
            <w:tcW w:w="308" w:type="pct"/>
            <w:vAlign w:val="center"/>
          </w:tcPr>
          <w:p w:rsidR="009136B5" w:rsidRDefault="00000000">
            <w:pPr>
              <w:pStyle w:val="220"/>
              <w:jc w:val="center"/>
            </w:pPr>
            <w:r>
              <w:t>——</w:t>
            </w:r>
          </w:p>
        </w:tc>
        <w:tc>
          <w:tcPr>
            <w:tcW w:w="4132" w:type="pct"/>
            <w:gridSpan w:val="3"/>
            <w:vAlign w:val="center"/>
          </w:tcPr>
          <w:p w:rsidR="009136B5" w:rsidRDefault="00000000">
            <w:pPr>
              <w:tabs>
                <w:tab w:val="left" w:pos="425"/>
              </w:tabs>
              <w:adjustRightInd w:val="0"/>
              <w:spacing w:line="440" w:lineRule="exact"/>
              <w:ind w:firstLineChars="0" w:firstLine="0"/>
              <w:rPr>
                <w:bCs/>
              </w:rPr>
            </w:pPr>
            <w:r>
              <w:rPr>
                <w:rFonts w:hint="eastAsia"/>
                <w:bCs/>
              </w:rPr>
              <w:t>被动区中间状态土压力（</w:t>
            </w:r>
            <w:r>
              <w:rPr>
                <w:rFonts w:hint="eastAsia"/>
                <w:bCs/>
              </w:rPr>
              <w:t>k</w:t>
            </w:r>
            <w:r>
              <w:rPr>
                <w:bCs/>
              </w:rPr>
              <w:t>Pa</w:t>
            </w:r>
            <w:r>
              <w:rPr>
                <w:rFonts w:hint="eastAsia"/>
                <w:bCs/>
              </w:rPr>
              <w:t>）；</w:t>
            </w:r>
          </w:p>
        </w:tc>
      </w:tr>
      <w:tr w:rsidR="009136B5">
        <w:tblPrEx>
          <w:tblCellMar>
            <w:left w:w="0" w:type="dxa"/>
            <w:right w:w="57" w:type="dxa"/>
          </w:tblCellMar>
        </w:tblPrEx>
        <w:tc>
          <w:tcPr>
            <w:tcW w:w="560" w:type="pct"/>
          </w:tcPr>
          <w:p w:rsidR="009136B5" w:rsidRDefault="00000000">
            <w:pPr>
              <w:pStyle w:val="220"/>
              <w:jc w:val="right"/>
              <w:rPr>
                <w:i/>
                <w:iCs/>
              </w:rPr>
            </w:pPr>
            <w:proofErr w:type="spellStart"/>
            <w:r>
              <w:rPr>
                <w:rFonts w:hint="eastAsia"/>
                <w:i/>
                <w:iCs/>
                <w:color w:val="000000" w:themeColor="text1"/>
              </w:rPr>
              <w:t>k</w:t>
            </w:r>
            <w:r>
              <w:rPr>
                <w:rFonts w:hint="eastAsia"/>
                <w:color w:val="000000" w:themeColor="text1"/>
                <w:vertAlign w:val="subscript"/>
              </w:rPr>
              <w:t>sp</w:t>
            </w:r>
            <w:proofErr w:type="spellEnd"/>
          </w:p>
        </w:tc>
        <w:tc>
          <w:tcPr>
            <w:tcW w:w="308" w:type="pct"/>
            <w:vAlign w:val="center"/>
          </w:tcPr>
          <w:p w:rsidR="009136B5" w:rsidRDefault="00000000">
            <w:pPr>
              <w:pStyle w:val="220"/>
              <w:jc w:val="center"/>
            </w:pPr>
            <w:r>
              <w:t>——</w:t>
            </w:r>
          </w:p>
        </w:tc>
        <w:tc>
          <w:tcPr>
            <w:tcW w:w="4132" w:type="pct"/>
            <w:gridSpan w:val="3"/>
            <w:vAlign w:val="center"/>
          </w:tcPr>
          <w:p w:rsidR="009136B5" w:rsidRDefault="00000000">
            <w:pPr>
              <w:autoSpaceDE w:val="0"/>
              <w:autoSpaceDN w:val="0"/>
              <w:adjustRightInd w:val="0"/>
              <w:ind w:firstLineChars="0" w:firstLine="0"/>
              <w:rPr>
                <w:bCs/>
                <w:szCs w:val="21"/>
              </w:rPr>
            </w:pPr>
            <w:r>
              <w:rPr>
                <w:rFonts w:hint="eastAsia"/>
                <w:bCs/>
              </w:rPr>
              <w:t>被动区土体的水平反力系数（</w:t>
            </w:r>
            <w:proofErr w:type="spellStart"/>
            <w:r>
              <w:rPr>
                <w:rFonts w:hint="eastAsia"/>
                <w:bCs/>
              </w:rPr>
              <w:t>k</w:t>
            </w:r>
            <w:r>
              <w:rPr>
                <w:bCs/>
              </w:rPr>
              <w:t>N</w:t>
            </w:r>
            <w:proofErr w:type="spellEnd"/>
            <w:r>
              <w:rPr>
                <w:bCs/>
              </w:rPr>
              <w:t>/m</w:t>
            </w:r>
            <w:r>
              <w:rPr>
                <w:bCs/>
                <w:vertAlign w:val="superscript"/>
              </w:rPr>
              <w:t>3</w:t>
            </w:r>
            <w:r>
              <w:rPr>
                <w:rFonts w:hint="eastAsia"/>
                <w:bCs/>
              </w:rPr>
              <w:t>）；</w:t>
            </w:r>
          </w:p>
        </w:tc>
      </w:tr>
      <w:tr w:rsidR="009136B5">
        <w:tblPrEx>
          <w:tblCellMar>
            <w:left w:w="0" w:type="dxa"/>
            <w:right w:w="57" w:type="dxa"/>
          </w:tblCellMar>
        </w:tblPrEx>
        <w:tc>
          <w:tcPr>
            <w:tcW w:w="560" w:type="pct"/>
          </w:tcPr>
          <w:p w:rsidR="009136B5" w:rsidRDefault="00000000">
            <w:pPr>
              <w:pStyle w:val="220"/>
              <w:jc w:val="right"/>
              <w:rPr>
                <w:i/>
                <w:iCs/>
              </w:rPr>
            </w:pPr>
            <w:r>
              <w:rPr>
                <w:rFonts w:hint="eastAsia"/>
                <w:i/>
                <w:iCs/>
              </w:rPr>
              <w:t>p</w:t>
            </w:r>
            <w:r>
              <w:rPr>
                <w:rFonts w:hint="eastAsia"/>
                <w:i/>
                <w:iCs/>
                <w:vertAlign w:val="subscript"/>
              </w:rPr>
              <w:t>p</w:t>
            </w:r>
          </w:p>
        </w:tc>
        <w:tc>
          <w:tcPr>
            <w:tcW w:w="308" w:type="pct"/>
            <w:vAlign w:val="center"/>
          </w:tcPr>
          <w:p w:rsidR="009136B5" w:rsidRDefault="00000000">
            <w:pPr>
              <w:pStyle w:val="220"/>
              <w:jc w:val="center"/>
            </w:pPr>
            <w:r>
              <w:t>——</w:t>
            </w:r>
          </w:p>
        </w:tc>
        <w:tc>
          <w:tcPr>
            <w:tcW w:w="4132" w:type="pct"/>
            <w:gridSpan w:val="3"/>
            <w:vAlign w:val="center"/>
          </w:tcPr>
          <w:p w:rsidR="009136B5" w:rsidRDefault="00000000">
            <w:pPr>
              <w:ind w:firstLineChars="0" w:firstLine="0"/>
              <w:rPr>
                <w:bCs/>
                <w:szCs w:val="21"/>
              </w:rPr>
            </w:pPr>
            <w:r>
              <w:rPr>
                <w:rFonts w:hint="eastAsia"/>
                <w:bCs/>
              </w:rPr>
              <w:t>被动土压力（</w:t>
            </w:r>
            <w:r>
              <w:rPr>
                <w:rFonts w:hint="eastAsia"/>
                <w:bCs/>
              </w:rPr>
              <w:t>k</w:t>
            </w:r>
            <w:r>
              <w:rPr>
                <w:bCs/>
              </w:rPr>
              <w:t>Pa</w:t>
            </w:r>
            <w:r>
              <w:rPr>
                <w:rFonts w:hint="eastAsia"/>
                <w:bCs/>
              </w:rPr>
              <w:t>）。</w:t>
            </w:r>
          </w:p>
        </w:tc>
      </w:tr>
    </w:tbl>
    <w:p w:rsidR="009136B5" w:rsidRDefault="00000000">
      <w:pPr>
        <w:pStyle w:val="aff3"/>
        <w:spacing w:line="440" w:lineRule="exact"/>
        <w:ind w:firstLineChars="0" w:firstLine="0"/>
        <w:rPr>
          <w:rFonts w:ascii="Times New Roman"/>
          <w:color w:val="0000FF"/>
        </w:rPr>
      </w:pPr>
      <w:r>
        <w:rPr>
          <w:rFonts w:hint="eastAsia"/>
          <w:b/>
          <w:bCs/>
          <w:color w:val="0000FF"/>
        </w:rPr>
        <w:t>条文说明：</w:t>
      </w:r>
      <w:r>
        <w:rPr>
          <w:rFonts w:ascii="Times New Roman" w:hint="eastAsia"/>
          <w:color w:val="0000FF"/>
        </w:rPr>
        <w:t>中间状态土压力一般介于主动土压力和静止土压力或被动土压力和静止土压力之间，其值大小与支护结构变形的量值及其相对土体的方向有关。式（</w:t>
      </w:r>
      <w:r>
        <w:rPr>
          <w:rFonts w:ascii="Times New Roman" w:hint="eastAsia"/>
          <w:color w:val="0000FF"/>
        </w:rPr>
        <w:t>5</w:t>
      </w:r>
      <w:r>
        <w:rPr>
          <w:rFonts w:ascii="Times New Roman"/>
          <w:color w:val="0000FF"/>
        </w:rPr>
        <w:t>.2.3</w:t>
      </w:r>
      <w:r>
        <w:rPr>
          <w:rFonts w:ascii="Times New Roman" w:hint="eastAsia"/>
          <w:color w:val="0000FF"/>
        </w:rPr>
        <w:t>）中土体的水平反力系数可采用</w:t>
      </w:r>
      <w:r>
        <w:rPr>
          <w:rFonts w:ascii="Times New Roman" w:hint="eastAsia"/>
          <w:color w:val="0000FF"/>
        </w:rPr>
        <w:t>m</w:t>
      </w:r>
      <w:r>
        <w:rPr>
          <w:rFonts w:ascii="Times New Roman" w:hint="eastAsia"/>
          <w:color w:val="0000FF"/>
        </w:rPr>
        <w:t>法计算，比例系数</w:t>
      </w:r>
      <w:r>
        <w:rPr>
          <w:rFonts w:ascii="Times New Roman" w:hint="eastAsia"/>
          <w:color w:val="0000FF"/>
        </w:rPr>
        <w:t>m</w:t>
      </w:r>
      <w:r>
        <w:rPr>
          <w:rFonts w:ascii="Times New Roman" w:hint="eastAsia"/>
          <w:color w:val="0000FF"/>
        </w:rPr>
        <w:t>取值可参照相关基坑规程。</w:t>
      </w:r>
    </w:p>
    <w:p w:rsidR="009136B5" w:rsidRDefault="00000000">
      <w:pPr>
        <w:pStyle w:val="xxx"/>
      </w:pPr>
      <w:r>
        <w:rPr>
          <w:b/>
        </w:rPr>
        <w:t>5.2.4</w:t>
      </w:r>
      <w:r>
        <w:rPr>
          <w:rFonts w:hint="eastAsia"/>
          <w:b/>
        </w:rPr>
        <w:t xml:space="preserve"> </w:t>
      </w:r>
      <w:r>
        <w:rPr>
          <w:b/>
        </w:rPr>
        <w:t xml:space="preserve"> </w:t>
      </w:r>
      <w:r>
        <w:rPr>
          <w:rFonts w:hint="eastAsia"/>
        </w:rPr>
        <w:t>临时性侧向支护结构的设计和计算</w:t>
      </w:r>
      <w:r>
        <w:t>应符合下列</w:t>
      </w:r>
      <w:r>
        <w:rPr>
          <w:rFonts w:hint="eastAsia"/>
        </w:rPr>
        <w:t>规定</w:t>
      </w:r>
      <w:r>
        <w:t>：</w:t>
      </w:r>
    </w:p>
    <w:p w:rsidR="009136B5" w:rsidRDefault="00000000">
      <w:pPr>
        <w:pStyle w:val="x"/>
        <w:ind w:firstLine="316"/>
      </w:pPr>
      <w:r>
        <w:rPr>
          <w:rFonts w:hint="eastAsia"/>
          <w:b/>
          <w:bCs/>
        </w:rPr>
        <w:t xml:space="preserve">1 </w:t>
      </w:r>
      <w:r>
        <w:rPr>
          <w:b/>
          <w:bCs/>
        </w:rPr>
        <w:t xml:space="preserve"> </w:t>
      </w:r>
      <w:r>
        <w:rPr>
          <w:rFonts w:hint="eastAsia"/>
        </w:rPr>
        <w:t>基坑安全等级、支护结构重要性系数、设计使用年限、支护结构设计计算、稳定性验算、地下水控制及周边环境控制等要求，应满足现行基坑规程的相关规定；并宜根据具体地下增层工程的特点，提高相关要求；</w:t>
      </w:r>
    </w:p>
    <w:p w:rsidR="009136B5" w:rsidRDefault="00000000">
      <w:pPr>
        <w:pStyle w:val="x"/>
        <w:ind w:firstLine="316"/>
      </w:pPr>
      <w:r>
        <w:rPr>
          <w:rFonts w:hint="eastAsia"/>
          <w:b/>
          <w:bCs/>
        </w:rPr>
        <w:t xml:space="preserve">2 </w:t>
      </w:r>
      <w:r>
        <w:rPr>
          <w:b/>
          <w:bCs/>
        </w:rPr>
        <w:t xml:space="preserve"> </w:t>
      </w:r>
      <w:r>
        <w:rPr>
          <w:rFonts w:hint="eastAsia"/>
        </w:rPr>
        <w:t>支护结构计算分析和稳定性验算应包括分层开挖、分层施工支撑或锚杆、分层换撑和逐层拆撑等全过程工况。</w:t>
      </w:r>
    </w:p>
    <w:p w:rsidR="009136B5" w:rsidRDefault="00000000">
      <w:pPr>
        <w:pStyle w:val="aff3"/>
        <w:spacing w:line="440" w:lineRule="exact"/>
        <w:ind w:firstLineChars="0" w:firstLine="0"/>
      </w:pPr>
      <w:r>
        <w:rPr>
          <w:rFonts w:hint="eastAsia"/>
          <w:b/>
          <w:bCs/>
          <w:color w:val="0000FF"/>
        </w:rPr>
        <w:t>条文说明：</w:t>
      </w:r>
      <w:r>
        <w:rPr>
          <w:rFonts w:ascii="Times New Roman" w:hint="eastAsia"/>
          <w:color w:val="0000FF"/>
        </w:rPr>
        <w:t>既有建筑地下增层中的基坑工程安全性要求高、风险性相对较大，因此其安全储备应大于一般的基坑工程。</w:t>
      </w:r>
    </w:p>
    <w:p w:rsidR="009136B5" w:rsidRDefault="00000000">
      <w:pPr>
        <w:pStyle w:val="xxx"/>
      </w:pPr>
      <w:r>
        <w:rPr>
          <w:b/>
        </w:rPr>
        <w:t>5.2.5</w:t>
      </w:r>
      <w:r>
        <w:t xml:space="preserve">  </w:t>
      </w:r>
      <w:r>
        <w:rPr>
          <w:rFonts w:hint="eastAsia"/>
        </w:rPr>
        <w:t>与主体结构相结合的侧向支护结构构件，除进行逆作施工阶段的极限状态设计计算外，尚进行永久使用阶段的承载能力极限状态和正常使用极限状态的设计计算，并应复核主体结构的有关构造设计要求。</w:t>
      </w:r>
    </w:p>
    <w:p w:rsidR="009136B5" w:rsidRDefault="00000000">
      <w:pPr>
        <w:pStyle w:val="xxx"/>
        <w:rPr>
          <w:b/>
          <w:bCs/>
        </w:rPr>
      </w:pPr>
      <w:r>
        <w:rPr>
          <w:b/>
        </w:rPr>
        <w:t>5.2.6</w:t>
      </w:r>
      <w:r>
        <w:t xml:space="preserve">  </w:t>
      </w:r>
      <w:r>
        <w:rPr>
          <w:rFonts w:hint="eastAsia"/>
        </w:rPr>
        <w:t>支护结构体系的内力设计值应按地下结构施工阶段和永久使用阶段各个工况中可能出现的最不利</w:t>
      </w:r>
      <w:r>
        <w:rPr>
          <w:rFonts w:hint="eastAsia"/>
        </w:rPr>
        <w:lastRenderedPageBreak/>
        <w:t>内力组合值进行计算。</w:t>
      </w:r>
    </w:p>
    <w:p w:rsidR="009136B5" w:rsidRDefault="00000000">
      <w:pPr>
        <w:pStyle w:val="aff3"/>
        <w:spacing w:line="440" w:lineRule="exact"/>
        <w:ind w:firstLineChars="0" w:firstLine="0"/>
        <w:rPr>
          <w:rFonts w:ascii="Times New Roman"/>
        </w:rPr>
      </w:pPr>
      <w:r>
        <w:rPr>
          <w:rFonts w:ascii="Times New Roman"/>
          <w:b/>
          <w:bCs/>
          <w:color w:val="000000"/>
          <w:szCs w:val="21"/>
        </w:rPr>
        <w:t xml:space="preserve">5.2.7 </w:t>
      </w:r>
      <w:r>
        <w:rPr>
          <w:rFonts w:ascii="Times New Roman"/>
          <w:b/>
          <w:spacing w:val="20"/>
          <w:kern w:val="2"/>
        </w:rPr>
        <w:t xml:space="preserve"> </w:t>
      </w:r>
      <w:r>
        <w:rPr>
          <w:rFonts w:ascii="Times New Roman" w:hint="eastAsia"/>
        </w:rPr>
        <w:t>以下情况可采用深层搅拌法、注浆和高压喷射注浆法进行基坑内、外土体加固：</w:t>
      </w:r>
    </w:p>
    <w:p w:rsidR="009136B5" w:rsidRDefault="00000000">
      <w:pPr>
        <w:pStyle w:val="x"/>
        <w:ind w:firstLine="316"/>
      </w:pPr>
      <w:r>
        <w:rPr>
          <w:b/>
        </w:rPr>
        <w:t>1</w:t>
      </w:r>
      <w:r>
        <w:t xml:space="preserve">  </w:t>
      </w:r>
      <w:r>
        <w:rPr>
          <w:rFonts w:hint="eastAsia"/>
        </w:rPr>
        <w:t>基坑变形及稳定控制需要；</w:t>
      </w:r>
    </w:p>
    <w:p w:rsidR="009136B5" w:rsidRDefault="00000000">
      <w:pPr>
        <w:pStyle w:val="x"/>
        <w:ind w:firstLine="316"/>
      </w:pPr>
      <w:r>
        <w:rPr>
          <w:rFonts w:hint="eastAsia"/>
          <w:b/>
        </w:rPr>
        <w:t>2</w:t>
      </w:r>
      <w:r>
        <w:t xml:space="preserve">  </w:t>
      </w:r>
      <w:r>
        <w:rPr>
          <w:rFonts w:hint="eastAsia"/>
        </w:rPr>
        <w:t>施工道路、运土坡道和地下结构施工等需要；</w:t>
      </w:r>
    </w:p>
    <w:p w:rsidR="009136B5" w:rsidRDefault="00000000">
      <w:pPr>
        <w:pStyle w:val="x"/>
        <w:ind w:firstLine="316"/>
      </w:pPr>
      <w:r>
        <w:rPr>
          <w:b/>
        </w:rPr>
        <w:t>3</w:t>
      </w:r>
      <w:r>
        <w:t xml:space="preserve">  </w:t>
      </w:r>
      <w:r>
        <w:rPr>
          <w:rFonts w:hint="eastAsia"/>
        </w:rPr>
        <w:t>环境保护需要。</w:t>
      </w:r>
    </w:p>
    <w:p w:rsidR="009136B5" w:rsidRDefault="00000000">
      <w:pPr>
        <w:pStyle w:val="xxx"/>
      </w:pPr>
      <w:r>
        <w:rPr>
          <w:rFonts w:hint="eastAsia"/>
          <w:b/>
          <w:color w:val="000000"/>
          <w:szCs w:val="21"/>
        </w:rPr>
        <w:t>5</w:t>
      </w:r>
      <w:r>
        <w:rPr>
          <w:b/>
          <w:color w:val="000000"/>
          <w:szCs w:val="21"/>
        </w:rPr>
        <w:t>.2.8</w:t>
      </w:r>
      <w:r>
        <w:t xml:space="preserve">  </w:t>
      </w:r>
      <w:r>
        <w:rPr>
          <w:rFonts w:hint="eastAsia"/>
        </w:rPr>
        <w:t>地下连续墙与主体结构外墙结合应进行竖向承载性能设计和验算，并符合下列要求：</w:t>
      </w:r>
    </w:p>
    <w:p w:rsidR="009136B5" w:rsidRDefault="00000000">
      <w:pPr>
        <w:pStyle w:val="x"/>
        <w:ind w:firstLine="316"/>
      </w:pPr>
      <w:r>
        <w:rPr>
          <w:b/>
          <w:bCs/>
        </w:rPr>
        <w:t>1</w:t>
      </w:r>
      <w:r>
        <w:t xml:space="preserve">  </w:t>
      </w:r>
      <w:r>
        <w:rPr>
          <w:rFonts w:hint="eastAsia"/>
        </w:rPr>
        <w:t>对于单一墙，永久使用阶段应按地下连续墙承担全部外墙荷载进行设计；</w:t>
      </w:r>
    </w:p>
    <w:p w:rsidR="009136B5" w:rsidRDefault="00000000">
      <w:pPr>
        <w:pStyle w:val="x"/>
        <w:ind w:firstLine="316"/>
      </w:pPr>
      <w:r>
        <w:rPr>
          <w:b/>
          <w:bCs/>
        </w:rPr>
        <w:t>2</w:t>
      </w:r>
      <w:r>
        <w:t xml:space="preserve">  </w:t>
      </w:r>
      <w:r>
        <w:rPr>
          <w:rFonts w:hint="eastAsia"/>
        </w:rPr>
        <w:t>对于复合墙，地下连续墙与衬墙之间的结合面应按不承受剪力进行构造设计，永久使用阶段水平荷载作用下的墙体内力宜按地下连续墙与衬墙的刚度比例进行分配；</w:t>
      </w:r>
    </w:p>
    <w:p w:rsidR="009136B5" w:rsidRDefault="00000000">
      <w:pPr>
        <w:pStyle w:val="x"/>
        <w:ind w:firstLine="316"/>
      </w:pPr>
      <w:r>
        <w:rPr>
          <w:b/>
          <w:bCs/>
        </w:rPr>
        <w:t>3</w:t>
      </w:r>
      <w:r>
        <w:t xml:space="preserve">  </w:t>
      </w:r>
      <w:r>
        <w:rPr>
          <w:rFonts w:hint="eastAsia"/>
        </w:rPr>
        <w:t>对于叠合墙，地下连续墙与衬墙之间的结合面应按承受剪力进行连接构造设计，永久使用阶段地下连续墙与衬墙应按整体考虑，外墙厚度应取地下连续墙与衬墙厚度之和。</w:t>
      </w:r>
    </w:p>
    <w:p w:rsidR="009136B5" w:rsidRDefault="00000000">
      <w:pPr>
        <w:pStyle w:val="xxx"/>
        <w:rPr>
          <w:b/>
          <w:color w:val="000000"/>
          <w:szCs w:val="21"/>
        </w:rPr>
      </w:pPr>
      <w:r>
        <w:rPr>
          <w:rFonts w:hint="eastAsia"/>
          <w:b/>
          <w:color w:val="000000"/>
          <w:szCs w:val="21"/>
        </w:rPr>
        <w:t>5</w:t>
      </w:r>
      <w:r>
        <w:rPr>
          <w:b/>
          <w:color w:val="000000"/>
          <w:szCs w:val="21"/>
        </w:rPr>
        <w:t>.2.9</w:t>
      </w:r>
      <w:r>
        <w:t xml:space="preserve">  </w:t>
      </w:r>
      <w:r>
        <w:rPr>
          <w:rFonts w:hint="eastAsia"/>
        </w:rPr>
        <w:t>灌注桩排桩、咬合桩、型钢水泥土搅拌墙等支护墙作为主体结构外墙的一部分时应符合下列规定：</w:t>
      </w:r>
    </w:p>
    <w:p w:rsidR="009136B5" w:rsidRDefault="00000000">
      <w:pPr>
        <w:pStyle w:val="x"/>
        <w:ind w:firstLine="316"/>
      </w:pPr>
      <w:r>
        <w:rPr>
          <w:b/>
          <w:bCs/>
        </w:rPr>
        <w:t>1</w:t>
      </w:r>
      <w:r>
        <w:t xml:space="preserve">  </w:t>
      </w:r>
      <w:r>
        <w:rPr>
          <w:rFonts w:hint="eastAsia"/>
        </w:rPr>
        <w:t>支护墙内侧表面应设置喷射混凝土或现浇细石混凝土面层。面层厚度不宜小于</w:t>
      </w:r>
      <w:r>
        <w:rPr>
          <w:rFonts w:hint="eastAsia"/>
        </w:rPr>
        <w:t>1</w:t>
      </w:r>
      <w:r>
        <w:t>00</w:t>
      </w:r>
      <w:r>
        <w:rPr>
          <w:rFonts w:hint="eastAsia"/>
        </w:rPr>
        <w:t>mm</w:t>
      </w:r>
      <w:r>
        <w:rPr>
          <w:rFonts w:hint="eastAsia"/>
        </w:rPr>
        <w:t>，混凝土强度等级不宜低于</w:t>
      </w:r>
      <w:r>
        <w:rPr>
          <w:rFonts w:hint="eastAsia"/>
        </w:rPr>
        <w:t>C</w:t>
      </w:r>
      <w:r>
        <w:t>30</w:t>
      </w:r>
      <w:r>
        <w:rPr>
          <w:rFonts w:hint="eastAsia"/>
        </w:rPr>
        <w:t>，面层内应设置钢筋网或钢丝网；当桩间土有流失现象时，应在面层施工阶段填实桩间空隙；</w:t>
      </w:r>
    </w:p>
    <w:p w:rsidR="009136B5" w:rsidRDefault="00000000">
      <w:pPr>
        <w:pStyle w:val="x"/>
        <w:ind w:firstLine="316"/>
      </w:pPr>
      <w:r>
        <w:rPr>
          <w:b/>
          <w:bCs/>
        </w:rPr>
        <w:t>2</w:t>
      </w:r>
      <w:r>
        <w:t xml:space="preserve">  </w:t>
      </w:r>
      <w:r>
        <w:rPr>
          <w:rFonts w:hint="eastAsia"/>
        </w:rPr>
        <w:t>支护墙内侧应设置现浇混凝土外墙，厚度不应小于</w:t>
      </w:r>
      <w:r>
        <w:rPr>
          <w:rFonts w:hint="eastAsia"/>
        </w:rPr>
        <w:t>3</w:t>
      </w:r>
      <w:r>
        <w:t>00</w:t>
      </w:r>
      <w:r>
        <w:rPr>
          <w:rFonts w:hint="eastAsia"/>
        </w:rPr>
        <w:t>mm</w:t>
      </w:r>
      <w:r>
        <w:rPr>
          <w:rFonts w:hint="eastAsia"/>
        </w:rPr>
        <w:t>，混凝土强度等级不宜低于</w:t>
      </w:r>
      <w:r>
        <w:rPr>
          <w:rFonts w:hint="eastAsia"/>
        </w:rPr>
        <w:t>C</w:t>
      </w:r>
      <w:r>
        <w:t>30</w:t>
      </w:r>
      <w:r>
        <w:rPr>
          <w:rFonts w:hint="eastAsia"/>
        </w:rPr>
        <w:t>；外墙可紧贴支护墙面层，也可在混凝土外墙与面层之间设置保温防水等衬垫层；</w:t>
      </w:r>
    </w:p>
    <w:p w:rsidR="009136B5" w:rsidRDefault="00000000">
      <w:pPr>
        <w:pStyle w:val="x"/>
        <w:ind w:firstLine="316"/>
      </w:pPr>
      <w:r>
        <w:rPr>
          <w:b/>
          <w:bCs/>
        </w:rPr>
        <w:t>3</w:t>
      </w:r>
      <w:r>
        <w:t xml:space="preserve">  </w:t>
      </w:r>
      <w:r>
        <w:rPr>
          <w:rFonts w:hint="eastAsia"/>
        </w:rPr>
        <w:t>永久使用阶段的墙体内力宜按后施工的混凝土外墙与支护墙的刚度比例进行分配；</w:t>
      </w:r>
    </w:p>
    <w:p w:rsidR="009136B5" w:rsidRDefault="00000000">
      <w:pPr>
        <w:pStyle w:val="x"/>
        <w:ind w:firstLine="316"/>
      </w:pPr>
      <w:r>
        <w:rPr>
          <w:b/>
          <w:bCs/>
        </w:rPr>
        <w:t>4</w:t>
      </w:r>
      <w:r>
        <w:t xml:space="preserve">  </w:t>
      </w:r>
      <w:r>
        <w:rPr>
          <w:rFonts w:hint="eastAsia"/>
        </w:rPr>
        <w:t>支护墙与主体结构之间应有可靠连接，当承受竖向荷载较大时，对灌注桩和咬合桩应采取桩端后注浆措施；</w:t>
      </w:r>
    </w:p>
    <w:p w:rsidR="009136B5" w:rsidRDefault="00000000">
      <w:pPr>
        <w:pStyle w:val="x"/>
        <w:ind w:firstLine="316"/>
      </w:pPr>
      <w:r>
        <w:rPr>
          <w:b/>
          <w:bCs/>
        </w:rPr>
        <w:t>5</w:t>
      </w:r>
      <w:r>
        <w:t xml:space="preserve">  </w:t>
      </w:r>
      <w:r>
        <w:rPr>
          <w:rFonts w:hint="eastAsia"/>
        </w:rPr>
        <w:t>应满足主体结构耐久性要求。</w:t>
      </w:r>
    </w:p>
    <w:p w:rsidR="009136B5" w:rsidRDefault="00000000">
      <w:pPr>
        <w:pStyle w:val="aff3"/>
        <w:spacing w:line="440" w:lineRule="exact"/>
        <w:ind w:firstLineChars="0" w:firstLine="0"/>
      </w:pPr>
      <w:r>
        <w:rPr>
          <w:rFonts w:hint="eastAsia"/>
          <w:b/>
          <w:bCs/>
          <w:color w:val="0000FF"/>
        </w:rPr>
        <w:t>条文说明：</w:t>
      </w:r>
      <w:r>
        <w:rPr>
          <w:rFonts w:ascii="Times New Roman" w:hint="eastAsia"/>
          <w:color w:val="0000FF"/>
        </w:rPr>
        <w:t>灌注桩排桩等支护墙在施工过程中往往存在垂直度偏差、扩颈、夹泥、露筋等质量缺陷，设置面层后，一方面质量缺陷得到处理，另一方面有利于保证外防水的施工质量。</w:t>
      </w:r>
    </w:p>
    <w:p w:rsidR="009136B5" w:rsidRDefault="00000000">
      <w:pPr>
        <w:widowControl/>
        <w:spacing w:line="360" w:lineRule="auto"/>
        <w:ind w:firstLineChars="0" w:firstLine="0"/>
        <w:rPr>
          <w:color w:val="000000"/>
          <w:kern w:val="0"/>
          <w:szCs w:val="21"/>
        </w:rPr>
      </w:pPr>
      <w:bookmarkStart w:id="57" w:name="_Toc123647775"/>
      <w:bookmarkStart w:id="58" w:name="_Toc1056"/>
      <w:r>
        <w:rPr>
          <w:rFonts w:hint="eastAsia"/>
          <w:b/>
          <w:bCs/>
          <w:color w:val="000000"/>
          <w:kern w:val="0"/>
          <w:szCs w:val="21"/>
        </w:rPr>
        <w:t>5</w:t>
      </w:r>
      <w:r>
        <w:rPr>
          <w:b/>
          <w:bCs/>
          <w:color w:val="000000"/>
          <w:kern w:val="0"/>
          <w:szCs w:val="21"/>
        </w:rPr>
        <w:t>.2.10</w:t>
      </w:r>
      <w:r>
        <w:rPr>
          <w:color w:val="000000"/>
          <w:kern w:val="0"/>
          <w:szCs w:val="21"/>
        </w:rPr>
        <w:t xml:space="preserve">  </w:t>
      </w:r>
      <w:r>
        <w:rPr>
          <w:rFonts w:hint="eastAsia"/>
          <w:color w:val="000000"/>
          <w:kern w:val="0"/>
          <w:szCs w:val="21"/>
        </w:rPr>
        <w:t>当开挖深度大或变形控制要求高时，侧向支护结构可设置水平支撑或竖向斜撑等内支撑结构，在环境和土层等条件允许时也可设置预应力锚杆。</w:t>
      </w:r>
    </w:p>
    <w:p w:rsidR="009136B5" w:rsidRDefault="00000000">
      <w:pPr>
        <w:widowControl/>
        <w:spacing w:line="360" w:lineRule="auto"/>
        <w:ind w:firstLineChars="0" w:firstLine="0"/>
        <w:rPr>
          <w:color w:val="000000"/>
          <w:kern w:val="0"/>
          <w:szCs w:val="21"/>
        </w:rPr>
      </w:pPr>
      <w:r>
        <w:rPr>
          <w:b/>
          <w:bCs/>
          <w:color w:val="000000"/>
          <w:kern w:val="0"/>
          <w:szCs w:val="21"/>
        </w:rPr>
        <w:t>5.2.11</w:t>
      </w:r>
      <w:r>
        <w:rPr>
          <w:color w:val="000000"/>
          <w:kern w:val="0"/>
          <w:szCs w:val="21"/>
        </w:rPr>
        <w:t xml:space="preserve">  </w:t>
      </w:r>
      <w:r>
        <w:rPr>
          <w:rFonts w:hint="eastAsia"/>
          <w:color w:val="000000"/>
          <w:kern w:val="0"/>
          <w:szCs w:val="21"/>
        </w:rPr>
        <w:t>支撑结构可采用钢支撑、钢筋混凝土支撑或钢与钢筋混凝土组合支撑体系。在环境条件敏感时可结合伺服轴力自动补偿系统，严格控制各个施工工况支护结构的变形。</w:t>
      </w:r>
    </w:p>
    <w:p w:rsidR="009136B5" w:rsidRDefault="00000000">
      <w:pPr>
        <w:widowControl/>
        <w:spacing w:line="360" w:lineRule="auto"/>
        <w:ind w:firstLineChars="0" w:firstLine="0"/>
        <w:rPr>
          <w:color w:val="000000"/>
          <w:kern w:val="0"/>
          <w:szCs w:val="21"/>
        </w:rPr>
      </w:pPr>
      <w:r>
        <w:rPr>
          <w:rFonts w:hint="eastAsia"/>
          <w:b/>
          <w:bCs/>
          <w:color w:val="000000"/>
          <w:kern w:val="0"/>
          <w:szCs w:val="21"/>
        </w:rPr>
        <w:t>5</w:t>
      </w:r>
      <w:r>
        <w:rPr>
          <w:b/>
          <w:bCs/>
          <w:color w:val="000000"/>
          <w:kern w:val="0"/>
          <w:szCs w:val="21"/>
        </w:rPr>
        <w:t>.2.12</w:t>
      </w:r>
      <w:r>
        <w:rPr>
          <w:color w:val="000000"/>
          <w:kern w:val="0"/>
          <w:szCs w:val="21"/>
        </w:rPr>
        <w:t xml:space="preserve">  </w:t>
      </w:r>
      <w:r>
        <w:rPr>
          <w:rFonts w:hint="eastAsia"/>
          <w:color w:val="000000"/>
          <w:kern w:val="0"/>
          <w:szCs w:val="21"/>
        </w:rPr>
        <w:t>水平支撑的布置应便于土方开挖、竖向承载桩间支撑和地下主体结构的施工。当水平支撑整体刚度较大时宜与既有建筑的基础结构连接，支撑体系计算分析时宜采用三维有限元进行整体分析。</w:t>
      </w:r>
    </w:p>
    <w:p w:rsidR="009136B5" w:rsidRDefault="00000000">
      <w:pPr>
        <w:widowControl/>
        <w:spacing w:line="360" w:lineRule="auto"/>
        <w:ind w:firstLineChars="0" w:firstLine="0"/>
        <w:jc w:val="left"/>
        <w:rPr>
          <w:color w:val="000000"/>
          <w:kern w:val="0"/>
          <w:szCs w:val="21"/>
        </w:rPr>
      </w:pPr>
      <w:r>
        <w:rPr>
          <w:b/>
          <w:bCs/>
          <w:color w:val="000000"/>
          <w:kern w:val="0"/>
          <w:szCs w:val="21"/>
        </w:rPr>
        <w:t>5.2.13</w:t>
      </w:r>
      <w:r>
        <w:rPr>
          <w:rFonts w:hint="eastAsia"/>
          <w:color w:val="000000"/>
          <w:kern w:val="0"/>
          <w:szCs w:val="21"/>
        </w:rPr>
        <w:t xml:space="preserve"> </w:t>
      </w:r>
      <w:r>
        <w:rPr>
          <w:color w:val="000000"/>
          <w:kern w:val="0"/>
          <w:szCs w:val="21"/>
        </w:rPr>
        <w:t xml:space="preserve"> </w:t>
      </w:r>
      <w:r>
        <w:rPr>
          <w:rFonts w:hint="eastAsia"/>
          <w:color w:val="000000"/>
          <w:kern w:val="0"/>
          <w:szCs w:val="21"/>
        </w:rPr>
        <w:t>当支护结构兼作主体结构外墙时，水平支撑结构可利用已有或新增地下空间梁、板等构件，并根据逆作施工阶段的平面布置和工况，按水平向荷载和竖向荷载双向作用进行承载力和变形计算；同时还应满足逆作施工阶段和永久使用阶段的承载力极限状态和正常使用极限状态的设计要求。</w:t>
      </w:r>
    </w:p>
    <w:p w:rsidR="009136B5" w:rsidRDefault="00000000">
      <w:pPr>
        <w:pStyle w:val="20"/>
      </w:pPr>
      <w:r>
        <w:lastRenderedPageBreak/>
        <w:t xml:space="preserve">5.3 </w:t>
      </w:r>
      <w:r>
        <w:rPr>
          <w:rFonts w:hint="eastAsia"/>
        </w:rPr>
        <w:t xml:space="preserve"> </w:t>
      </w:r>
      <w:r>
        <w:rPr>
          <w:rFonts w:hint="eastAsia"/>
        </w:rPr>
        <w:t>地下水控制</w:t>
      </w:r>
      <w:bookmarkEnd w:id="57"/>
      <w:bookmarkEnd w:id="58"/>
    </w:p>
    <w:p w:rsidR="009136B5" w:rsidRDefault="00000000">
      <w:pPr>
        <w:pStyle w:val="xxx"/>
      </w:pPr>
      <w:r>
        <w:rPr>
          <w:rFonts w:hint="eastAsia"/>
          <w:b/>
          <w:bCs/>
        </w:rPr>
        <w:t>5</w:t>
      </w:r>
      <w:r>
        <w:rPr>
          <w:b/>
          <w:bCs/>
        </w:rPr>
        <w:t xml:space="preserve">.3.1  </w:t>
      </w:r>
      <w:r>
        <w:rPr>
          <w:rFonts w:hint="eastAsia"/>
        </w:rPr>
        <w:t>地下水控制应保证基坑正常施工，防止潜水和承压水引起的渗流破坏，避免或减小地下水位下降对周边环境的不利影响。</w:t>
      </w:r>
    </w:p>
    <w:p w:rsidR="009136B5" w:rsidRDefault="00000000">
      <w:pPr>
        <w:pStyle w:val="xxx"/>
      </w:pPr>
      <w:r>
        <w:rPr>
          <w:rFonts w:hint="eastAsia"/>
          <w:b/>
          <w:bCs/>
        </w:rPr>
        <w:t>5</w:t>
      </w:r>
      <w:r>
        <w:rPr>
          <w:b/>
          <w:bCs/>
        </w:rPr>
        <w:t>.3.2</w:t>
      </w:r>
      <w:r>
        <w:t xml:space="preserve">  </w:t>
      </w:r>
      <w:r>
        <w:rPr>
          <w:rFonts w:hint="eastAsia"/>
        </w:rPr>
        <w:t>地下水控制可采取集水明排、截水、降水以及地下水回灌等方法，应根据工程地质、水文地质、施工场地和环境条件，结合基坑支护方案综合分析确定。当地质条件和环境条件复杂时，可采用多种地下水控制措施相结合的方案。</w:t>
      </w:r>
    </w:p>
    <w:p w:rsidR="009136B5" w:rsidRDefault="00000000">
      <w:pPr>
        <w:pStyle w:val="xxx"/>
      </w:pPr>
      <w:r>
        <w:rPr>
          <w:rFonts w:hint="eastAsia"/>
          <w:b/>
          <w:bCs/>
        </w:rPr>
        <w:t>5</w:t>
      </w:r>
      <w:r>
        <w:rPr>
          <w:b/>
          <w:bCs/>
        </w:rPr>
        <w:t>.3.3</w:t>
      </w:r>
      <w:r>
        <w:t xml:space="preserve">  </w:t>
      </w:r>
      <w:r>
        <w:rPr>
          <w:rFonts w:hint="eastAsia"/>
        </w:rPr>
        <w:t>基坑可采用设置竖向和水平向截水帷幕等措施截水。竖向截水帷幕可采用水泥土搅拌墙、钢板桩、咬合桩、地下连续墙等。水平向止水帷幕可采用水泥土搅拌法、高压喷射法或注浆法等形成。</w:t>
      </w:r>
    </w:p>
    <w:p w:rsidR="009136B5" w:rsidRDefault="00000000">
      <w:pPr>
        <w:pStyle w:val="xxx"/>
      </w:pPr>
      <w:r>
        <w:rPr>
          <w:rFonts w:hint="eastAsia"/>
          <w:b/>
          <w:bCs/>
        </w:rPr>
        <w:t>5</w:t>
      </w:r>
      <w:r>
        <w:rPr>
          <w:b/>
          <w:bCs/>
        </w:rPr>
        <w:t>.3.4</w:t>
      </w:r>
      <w:r>
        <w:t xml:space="preserve">  </w:t>
      </w:r>
      <w:r>
        <w:rPr>
          <w:rFonts w:hint="eastAsia"/>
        </w:rPr>
        <w:t>基坑降水可采用轻型井点、自流深井和真空深井等。</w:t>
      </w:r>
    </w:p>
    <w:p w:rsidR="009136B5" w:rsidRDefault="00000000">
      <w:pPr>
        <w:pStyle w:val="xxx"/>
      </w:pPr>
      <w:r>
        <w:rPr>
          <w:rFonts w:hint="eastAsia"/>
          <w:b/>
          <w:bCs/>
        </w:rPr>
        <w:t>5</w:t>
      </w:r>
      <w:r>
        <w:rPr>
          <w:b/>
          <w:bCs/>
        </w:rPr>
        <w:t>.3.5</w:t>
      </w:r>
      <w:r>
        <w:t xml:space="preserve">  </w:t>
      </w:r>
      <w:r>
        <w:rPr>
          <w:rFonts w:hint="eastAsia"/>
        </w:rPr>
        <w:t>当场地存在承压水时，应进行地下增层基坑开挖后的坑底突涌稳定性验算，不满足时可采用设置竖向和水平向截水帷幕、承压水减压等措施。</w:t>
      </w:r>
    </w:p>
    <w:p w:rsidR="009136B5" w:rsidRDefault="00000000">
      <w:pPr>
        <w:pStyle w:val="xxx"/>
        <w:sectPr w:rsidR="009136B5">
          <w:pgSz w:w="11907" w:h="16839"/>
          <w:pgMar w:top="1134" w:right="1134" w:bottom="1134" w:left="1418" w:header="567" w:footer="851" w:gutter="0"/>
          <w:cols w:space="720"/>
          <w:docGrid w:type="linesAndChars" w:linePitch="312"/>
        </w:sectPr>
      </w:pPr>
      <w:r>
        <w:rPr>
          <w:rFonts w:hint="eastAsia"/>
          <w:b/>
          <w:bCs/>
        </w:rPr>
        <w:t>5</w:t>
      </w:r>
      <w:r>
        <w:rPr>
          <w:b/>
          <w:bCs/>
        </w:rPr>
        <w:t>.3.6</w:t>
      </w:r>
      <w:r>
        <w:t xml:space="preserve">  </w:t>
      </w:r>
      <w:r>
        <w:rPr>
          <w:rFonts w:hint="eastAsia"/>
        </w:rPr>
        <w:t>基坑施工期间，应对基坑内外地下水位的控制效果及其环境影响进行动态监测。</w:t>
      </w:r>
    </w:p>
    <w:p w:rsidR="009136B5" w:rsidRDefault="00000000">
      <w:pPr>
        <w:pStyle w:val="af6"/>
        <w:ind w:firstLine="318"/>
      </w:pPr>
      <w:r>
        <w:rPr>
          <w:rFonts w:hint="eastAsia"/>
        </w:rPr>
        <w:lastRenderedPageBreak/>
        <w:t xml:space="preserve">6  </w:t>
      </w:r>
      <w:r>
        <w:rPr>
          <w:rFonts w:hint="eastAsia"/>
        </w:rPr>
        <w:t>新增地下室结构及基础设计</w:t>
      </w:r>
      <w:bookmarkEnd w:id="54"/>
      <w:bookmarkEnd w:id="55"/>
      <w:bookmarkEnd w:id="56"/>
    </w:p>
    <w:p w:rsidR="009136B5" w:rsidRDefault="00000000">
      <w:pPr>
        <w:pStyle w:val="20"/>
      </w:pPr>
      <w:bookmarkStart w:id="59" w:name="_Toc123647777"/>
      <w:bookmarkStart w:id="60" w:name="_Toc122424043"/>
      <w:bookmarkStart w:id="61" w:name="_Toc30593"/>
      <w:r>
        <w:t xml:space="preserve">6.1 </w:t>
      </w:r>
      <w:r>
        <w:rPr>
          <w:rFonts w:hint="eastAsia"/>
        </w:rPr>
        <w:t xml:space="preserve"> </w:t>
      </w:r>
      <w:r>
        <w:rPr>
          <w:rFonts w:hint="eastAsia"/>
        </w:rPr>
        <w:t>一般规定</w:t>
      </w:r>
      <w:bookmarkEnd w:id="59"/>
      <w:bookmarkEnd w:id="60"/>
      <w:bookmarkEnd w:id="61"/>
    </w:p>
    <w:p w:rsidR="009136B5" w:rsidRDefault="00000000">
      <w:pPr>
        <w:pStyle w:val="xxx"/>
      </w:pPr>
      <w:r>
        <w:rPr>
          <w:rFonts w:hint="eastAsia"/>
          <w:b/>
          <w:bCs/>
        </w:rPr>
        <w:t>6</w:t>
      </w:r>
      <w:r>
        <w:rPr>
          <w:b/>
          <w:bCs/>
        </w:rPr>
        <w:t>.1.1</w:t>
      </w:r>
      <w:r>
        <w:t xml:space="preserve">  </w:t>
      </w:r>
      <w:r>
        <w:rPr>
          <w:rFonts w:hint="eastAsia"/>
        </w:rPr>
        <w:t>新增</w:t>
      </w:r>
      <w:r>
        <w:t>地下</w:t>
      </w:r>
      <w:r>
        <w:rPr>
          <w:rFonts w:hint="eastAsia"/>
        </w:rPr>
        <w:t>室的</w:t>
      </w:r>
      <w:r>
        <w:t>结构</w:t>
      </w:r>
      <w:r>
        <w:rPr>
          <w:rFonts w:hint="eastAsia"/>
        </w:rPr>
        <w:t>构件及基础构件应按</w:t>
      </w:r>
      <w:r>
        <w:t>现行</w:t>
      </w:r>
      <w:r>
        <w:rPr>
          <w:rFonts w:hint="eastAsia"/>
        </w:rPr>
        <w:t>国家</w:t>
      </w:r>
      <w:r>
        <w:t>标准</w:t>
      </w:r>
      <w:r>
        <w:rPr>
          <w:rFonts w:hint="eastAsia"/>
        </w:rPr>
        <w:t>的有</w:t>
      </w:r>
      <w:r>
        <w:t>关</w:t>
      </w:r>
      <w:r>
        <w:rPr>
          <w:rFonts w:hint="eastAsia"/>
        </w:rPr>
        <w:t>规定进行设计。</w:t>
      </w:r>
    </w:p>
    <w:p w:rsidR="009136B5" w:rsidRDefault="00000000">
      <w:pPr>
        <w:pStyle w:val="xxx"/>
        <w:rPr>
          <w:color w:val="FF0000"/>
        </w:rPr>
      </w:pPr>
      <w:r>
        <w:rPr>
          <w:rFonts w:hint="eastAsia"/>
          <w:b/>
          <w:bCs/>
        </w:rPr>
        <w:t>6</w:t>
      </w:r>
      <w:r>
        <w:rPr>
          <w:b/>
          <w:bCs/>
        </w:rPr>
        <w:t>.</w:t>
      </w:r>
      <w:r>
        <w:rPr>
          <w:rFonts w:hint="eastAsia"/>
          <w:b/>
          <w:bCs/>
        </w:rPr>
        <w:t>1.2</w:t>
      </w:r>
      <w:r>
        <w:t xml:space="preserve">  </w:t>
      </w:r>
      <w:r>
        <w:rPr>
          <w:rFonts w:hint="eastAsia"/>
        </w:rPr>
        <w:t>新增竖向构件</w:t>
      </w:r>
      <w:r>
        <w:t>安全</w:t>
      </w:r>
      <w:r>
        <w:rPr>
          <w:rFonts w:hint="eastAsia"/>
        </w:rPr>
        <w:t>等级应不低于上部结构的安全等级，且不低于二级。新增地下室基础的安全等级应与新增竖向构件一致。</w:t>
      </w:r>
    </w:p>
    <w:p w:rsidR="009136B5" w:rsidRDefault="00000000">
      <w:pPr>
        <w:pStyle w:val="xxx"/>
      </w:pPr>
      <w:r>
        <w:rPr>
          <w:b/>
          <w:bCs/>
        </w:rPr>
        <w:t>6.1.</w:t>
      </w:r>
      <w:r>
        <w:rPr>
          <w:rFonts w:hint="eastAsia"/>
          <w:b/>
          <w:bCs/>
        </w:rPr>
        <w:t>3</w:t>
      </w:r>
      <w:r>
        <w:t xml:space="preserve">  </w:t>
      </w:r>
      <w:r>
        <w:rPr>
          <w:rFonts w:hint="eastAsia"/>
        </w:rPr>
        <w:t>新旧</w:t>
      </w:r>
      <w:r>
        <w:t>基础连接应</w:t>
      </w:r>
      <w:r>
        <w:rPr>
          <w:rFonts w:hint="eastAsia"/>
        </w:rPr>
        <w:t>保证</w:t>
      </w:r>
      <w:r>
        <w:t>基础的整体性，严格控制新旧基础</w:t>
      </w:r>
      <w:r>
        <w:rPr>
          <w:rFonts w:hint="eastAsia"/>
        </w:rPr>
        <w:t>间</w:t>
      </w:r>
      <w:r>
        <w:t>的沉降差。</w:t>
      </w:r>
    </w:p>
    <w:p w:rsidR="009136B5" w:rsidRDefault="00000000">
      <w:pPr>
        <w:pStyle w:val="xxx"/>
      </w:pPr>
      <w:r>
        <w:rPr>
          <w:rFonts w:hint="eastAsia"/>
          <w:b/>
          <w:bCs/>
        </w:rPr>
        <w:t>6.1.4</w:t>
      </w:r>
      <w:r>
        <w:rPr>
          <w:rFonts w:hint="eastAsia"/>
        </w:rPr>
        <w:t xml:space="preserve">  </w:t>
      </w:r>
      <w:r>
        <w:rPr>
          <w:rFonts w:hint="eastAsia"/>
        </w:rPr>
        <w:t>既有建筑地下增层，应先完成新增基础及竖向构件的施工并达到设计强度，方可进行临时支撑结构（构件）的拆除。</w:t>
      </w:r>
    </w:p>
    <w:p w:rsidR="009136B5" w:rsidRDefault="00000000">
      <w:pPr>
        <w:pStyle w:val="xxx"/>
      </w:pPr>
      <w:r>
        <w:rPr>
          <w:rFonts w:hint="eastAsia"/>
          <w:b/>
          <w:bCs/>
        </w:rPr>
        <w:t>6.1.5</w:t>
      </w:r>
      <w:r>
        <w:rPr>
          <w:rFonts w:hint="eastAsia"/>
        </w:rPr>
        <w:t xml:space="preserve">  </w:t>
      </w:r>
      <w:r>
        <w:t>既有建筑地下增层应采取合理措施确保新增</w:t>
      </w:r>
      <w:r>
        <w:rPr>
          <w:rFonts w:hint="eastAsia"/>
        </w:rPr>
        <w:t>地下结构与既有建筑竖向构件的可靠连接，减小对既有竖向构件的损伤。</w:t>
      </w:r>
    </w:p>
    <w:p w:rsidR="009136B5" w:rsidRDefault="00000000">
      <w:pPr>
        <w:pStyle w:val="20"/>
      </w:pPr>
      <w:bookmarkStart w:id="62" w:name="_Toc22798"/>
      <w:bookmarkStart w:id="63" w:name="_Toc123647779"/>
      <w:bookmarkStart w:id="64" w:name="_Toc122424045"/>
      <w:bookmarkStart w:id="65" w:name="_Toc123647778"/>
      <w:bookmarkStart w:id="66" w:name="_Toc122424044"/>
      <w:r>
        <w:rPr>
          <w:rFonts w:hint="eastAsia"/>
        </w:rPr>
        <w:t xml:space="preserve">6.2  </w:t>
      </w:r>
      <w:r>
        <w:rPr>
          <w:rFonts w:hint="eastAsia"/>
        </w:rPr>
        <w:t>地下结构构件设计</w:t>
      </w:r>
      <w:bookmarkEnd w:id="62"/>
      <w:bookmarkEnd w:id="63"/>
      <w:bookmarkEnd w:id="64"/>
    </w:p>
    <w:p w:rsidR="009136B5" w:rsidRDefault="00000000">
      <w:pPr>
        <w:pStyle w:val="xxx"/>
        <w:rPr>
          <w:color w:val="000000" w:themeColor="text1"/>
        </w:rPr>
      </w:pPr>
      <w:r>
        <w:rPr>
          <w:rFonts w:hint="eastAsia"/>
          <w:b/>
          <w:bCs/>
          <w:color w:val="000000" w:themeColor="text1"/>
        </w:rPr>
        <w:t>6.2.1</w:t>
      </w:r>
      <w:r>
        <w:rPr>
          <w:b/>
          <w:bCs/>
          <w:color w:val="000000" w:themeColor="text1"/>
        </w:rPr>
        <w:t xml:space="preserve">  </w:t>
      </w:r>
      <w:r>
        <w:rPr>
          <w:rFonts w:hint="eastAsia"/>
          <w:color w:val="000000" w:themeColor="text1"/>
        </w:rPr>
        <w:t>新增地下室结构柱宜与既有建筑结构柱对齐，当存在偏心时应考虑偏心对既有结构柱承载力的影响；当既有建筑结构柱无法落至基础时，应在新增地下室顶板进行转换。</w:t>
      </w:r>
    </w:p>
    <w:p w:rsidR="009136B5" w:rsidRDefault="00000000">
      <w:pPr>
        <w:pStyle w:val="x"/>
        <w:ind w:firstLineChars="0" w:firstLine="0"/>
        <w:rPr>
          <w:color w:val="FF0000"/>
        </w:rPr>
      </w:pPr>
      <w:r>
        <w:rPr>
          <w:rFonts w:hint="eastAsia"/>
          <w:b/>
          <w:color w:val="000000" w:themeColor="text1"/>
        </w:rPr>
        <w:t xml:space="preserve">6.2.2 </w:t>
      </w:r>
      <w:r>
        <w:rPr>
          <w:b/>
          <w:color w:val="000000" w:themeColor="text1"/>
        </w:rPr>
        <w:t xml:space="preserve"> </w:t>
      </w:r>
      <w:r>
        <w:rPr>
          <w:rFonts w:hint="eastAsia"/>
          <w:color w:val="000000" w:themeColor="text1"/>
        </w:rPr>
        <w:t>新增地下室结构柱位置存在托换桩时，宜保留托换桩并外包混凝土形成结构柱。托换桩表面应采用凿毛、增设抗剪钢筋等确保新旧混凝土共同工作的措施。</w:t>
      </w:r>
    </w:p>
    <w:p w:rsidR="009136B5" w:rsidRDefault="00000000">
      <w:pPr>
        <w:pStyle w:val="afffff1"/>
        <w:ind w:firstLineChars="0" w:firstLine="0"/>
      </w:pPr>
      <w:r>
        <w:rPr>
          <w:rFonts w:hint="eastAsia"/>
          <w:b/>
        </w:rPr>
        <w:t>条文说明：</w:t>
      </w:r>
      <w:r>
        <w:rPr>
          <w:rFonts w:hint="eastAsia"/>
        </w:rPr>
        <w:t>对于“一柱一桩”形式的新增结构柱，可将原工程桩钢筋笼外侧的保护层凿除并凿毛，再在其外侧外包混凝土，形成新增的永久结构柱（见图</w:t>
      </w:r>
      <w:r>
        <w:t>4</w:t>
      </w:r>
      <w:r>
        <w:rPr>
          <w:rFonts w:hint="eastAsia"/>
        </w:rPr>
        <w:t>）。</w:t>
      </w:r>
    </w:p>
    <w:p w:rsidR="009136B5" w:rsidRDefault="00000000">
      <w:pPr>
        <w:pStyle w:val="affffb"/>
        <w:rPr>
          <w:color w:val="4F81BD" w:themeColor="accent1"/>
        </w:rPr>
      </w:pPr>
      <w:r>
        <w:rPr>
          <w:noProof/>
        </w:rPr>
        <w:drawing>
          <wp:inline distT="0" distB="0" distL="114300" distR="114300">
            <wp:extent cx="2557145" cy="1298575"/>
            <wp:effectExtent l="0" t="0" r="8255" b="9525"/>
            <wp:docPr id="49"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78"/>
                    <pic:cNvPicPr>
                      <a:picLocks noChangeAspect="1"/>
                    </pic:cNvPicPr>
                  </pic:nvPicPr>
                  <pic:blipFill>
                    <a:blip r:embed="rId161"/>
                    <a:stretch>
                      <a:fillRect/>
                    </a:stretch>
                  </pic:blipFill>
                  <pic:spPr>
                    <a:xfrm>
                      <a:off x="0" y="0"/>
                      <a:ext cx="2582312" cy="1311511"/>
                    </a:xfrm>
                    <a:prstGeom prst="rect">
                      <a:avLst/>
                    </a:prstGeom>
                    <a:noFill/>
                    <a:ln>
                      <a:noFill/>
                    </a:ln>
                  </pic:spPr>
                </pic:pic>
              </a:graphicData>
            </a:graphic>
          </wp:inline>
        </w:drawing>
      </w:r>
    </w:p>
    <w:p w:rsidR="009136B5" w:rsidRDefault="00000000">
      <w:pPr>
        <w:pStyle w:val="affffb"/>
        <w:rPr>
          <w:rFonts w:ascii="黑体" w:hAnsi="黑体"/>
          <w:color w:val="0000FF"/>
        </w:rPr>
      </w:pPr>
      <w:r>
        <w:rPr>
          <w:color w:val="0000FF"/>
        </w:rPr>
        <w:t>图</w:t>
      </w:r>
      <w:r>
        <w:rPr>
          <w:color w:val="0000FF"/>
        </w:rPr>
        <w:t xml:space="preserve">4 </w:t>
      </w:r>
      <w:r>
        <w:rPr>
          <w:rFonts w:ascii="黑体" w:hAnsi="黑体"/>
          <w:color w:val="0000FF"/>
        </w:rPr>
        <w:t>桩柱</w:t>
      </w:r>
      <w:r>
        <w:rPr>
          <w:rFonts w:ascii="黑体" w:hAnsi="黑体" w:hint="eastAsia"/>
          <w:color w:val="0000FF"/>
        </w:rPr>
        <w:t>一体结构</w:t>
      </w:r>
      <w:r>
        <w:rPr>
          <w:rFonts w:ascii="黑体" w:hAnsi="黑体"/>
          <w:color w:val="0000FF"/>
        </w:rPr>
        <w:t>柱</w:t>
      </w:r>
      <w:r>
        <w:rPr>
          <w:rFonts w:ascii="黑体" w:hAnsi="黑体" w:hint="eastAsia"/>
          <w:color w:val="0000FF"/>
        </w:rPr>
        <w:t>示意图</w:t>
      </w:r>
    </w:p>
    <w:p w:rsidR="009136B5" w:rsidRDefault="00000000">
      <w:pPr>
        <w:pStyle w:val="affffb"/>
        <w:rPr>
          <w:b w:val="0"/>
          <w:bCs w:val="0"/>
          <w:color w:val="0000FF"/>
        </w:rPr>
      </w:pPr>
      <w:r>
        <w:rPr>
          <w:rFonts w:hint="eastAsia"/>
          <w:b w:val="0"/>
          <w:bCs w:val="0"/>
          <w:color w:val="0000FF"/>
        </w:rPr>
        <w:t>1</w:t>
      </w:r>
      <w:r>
        <w:rPr>
          <w:b w:val="0"/>
          <w:bCs w:val="0"/>
          <w:color w:val="0000FF"/>
        </w:rPr>
        <w:t>-</w:t>
      </w:r>
      <w:r>
        <w:rPr>
          <w:rFonts w:hint="eastAsia"/>
          <w:b w:val="0"/>
          <w:bCs w:val="0"/>
          <w:color w:val="0000FF"/>
        </w:rPr>
        <w:t>既有工程桩；</w:t>
      </w:r>
      <w:r>
        <w:rPr>
          <w:rFonts w:hint="eastAsia"/>
          <w:b w:val="0"/>
          <w:bCs w:val="0"/>
          <w:color w:val="0000FF"/>
        </w:rPr>
        <w:t xml:space="preserve"> </w:t>
      </w:r>
      <w:r>
        <w:rPr>
          <w:b w:val="0"/>
          <w:bCs w:val="0"/>
          <w:color w:val="0000FF"/>
        </w:rPr>
        <w:t>2-</w:t>
      </w:r>
      <w:r>
        <w:rPr>
          <w:rFonts w:hint="eastAsia"/>
          <w:b w:val="0"/>
          <w:bCs w:val="0"/>
          <w:color w:val="0000FF"/>
        </w:rPr>
        <w:t>工程桩外包部分；</w:t>
      </w:r>
      <w:r>
        <w:rPr>
          <w:rFonts w:hint="eastAsia"/>
          <w:b w:val="0"/>
          <w:bCs w:val="0"/>
          <w:color w:val="0000FF"/>
        </w:rPr>
        <w:t xml:space="preserve">  </w:t>
      </w:r>
      <w:r>
        <w:rPr>
          <w:b w:val="0"/>
          <w:bCs w:val="0"/>
          <w:color w:val="0000FF"/>
        </w:rPr>
        <w:t>3-</w:t>
      </w:r>
      <w:r>
        <w:rPr>
          <w:rFonts w:hint="eastAsia"/>
          <w:b w:val="0"/>
          <w:bCs w:val="0"/>
          <w:color w:val="0000FF"/>
        </w:rPr>
        <w:t>柱</w:t>
      </w:r>
    </w:p>
    <w:p w:rsidR="009136B5" w:rsidRDefault="00000000">
      <w:pPr>
        <w:pStyle w:val="x"/>
        <w:ind w:firstLineChars="0" w:firstLine="0"/>
        <w:rPr>
          <w:color w:val="000000" w:themeColor="text1"/>
        </w:rPr>
      </w:pPr>
      <w:r>
        <w:rPr>
          <w:rFonts w:hint="eastAsia"/>
          <w:b/>
          <w:color w:val="000000" w:themeColor="text1"/>
        </w:rPr>
        <w:t>6.2.3</w:t>
      </w:r>
      <w:r>
        <w:rPr>
          <w:b/>
          <w:color w:val="000000" w:themeColor="text1"/>
        </w:rPr>
        <w:t xml:space="preserve"> </w:t>
      </w:r>
      <w:r>
        <w:rPr>
          <w:rFonts w:hint="eastAsia"/>
          <w:color w:val="000000" w:themeColor="text1"/>
        </w:rPr>
        <w:t xml:space="preserve"> </w:t>
      </w:r>
      <w:r>
        <w:rPr>
          <w:rFonts w:hint="eastAsia"/>
          <w:color w:val="000000" w:themeColor="text1"/>
        </w:rPr>
        <w:t>新增地下室剪力墙墙肢位置存在托换桩时，宜保留托换桩并作为墙肢的暗柱或壁柱，墙肢钢筋宜绕过托换桩，不能满足时对穿托换桩并注植筋胶灌实。</w:t>
      </w:r>
    </w:p>
    <w:p w:rsidR="009136B5" w:rsidRDefault="00000000">
      <w:pPr>
        <w:pStyle w:val="x"/>
        <w:ind w:firstLineChars="0" w:firstLine="0"/>
        <w:rPr>
          <w:color w:val="FF0000"/>
        </w:rPr>
      </w:pPr>
      <w:r>
        <w:rPr>
          <w:rFonts w:hint="eastAsia"/>
          <w:b/>
          <w:color w:val="000000" w:themeColor="text1"/>
        </w:rPr>
        <w:t>6.2.</w:t>
      </w:r>
      <w:r>
        <w:rPr>
          <w:b/>
          <w:color w:val="000000" w:themeColor="text1"/>
        </w:rPr>
        <w:t xml:space="preserve">4 </w:t>
      </w:r>
      <w:r>
        <w:rPr>
          <w:rFonts w:hint="eastAsia"/>
          <w:color w:val="000000" w:themeColor="text1"/>
        </w:rPr>
        <w:t xml:space="preserve"> </w:t>
      </w:r>
      <w:r>
        <w:rPr>
          <w:rFonts w:hint="eastAsia"/>
          <w:color w:val="000000" w:themeColor="text1"/>
        </w:rPr>
        <w:t>新增地下室剪力墙墙肢位置需要凿除托换桩时，应按照分段施工墙肢、分批凿除托换桩的原则，根据不同工况承载力计算结果制定施工方案。</w:t>
      </w:r>
    </w:p>
    <w:p w:rsidR="009136B5" w:rsidRDefault="00000000">
      <w:pPr>
        <w:pStyle w:val="x"/>
        <w:ind w:firstLineChars="0" w:firstLine="0"/>
        <w:rPr>
          <w:color w:val="000000" w:themeColor="text1"/>
        </w:rPr>
      </w:pPr>
      <w:r>
        <w:rPr>
          <w:rFonts w:hint="eastAsia"/>
          <w:b/>
          <w:color w:val="000000" w:themeColor="text1"/>
        </w:rPr>
        <w:t>6.2.</w:t>
      </w:r>
      <w:r>
        <w:rPr>
          <w:b/>
          <w:color w:val="000000" w:themeColor="text1"/>
        </w:rPr>
        <w:t>5</w:t>
      </w:r>
      <w:r>
        <w:rPr>
          <w:color w:val="000000" w:themeColor="text1"/>
        </w:rPr>
        <w:t xml:space="preserve">  </w:t>
      </w:r>
      <w:r>
        <w:rPr>
          <w:rFonts w:hint="eastAsia"/>
          <w:color w:val="000000" w:themeColor="text1"/>
        </w:rPr>
        <w:t>新增地下室外墙位置需要凿除托换桩时，除满足</w:t>
      </w:r>
      <w:r>
        <w:rPr>
          <w:rFonts w:hint="eastAsia"/>
          <w:color w:val="000000" w:themeColor="text1"/>
        </w:rPr>
        <w:t>6</w:t>
      </w:r>
      <w:r>
        <w:rPr>
          <w:color w:val="000000" w:themeColor="text1"/>
        </w:rPr>
        <w:t>.2.4</w:t>
      </w:r>
      <w:r>
        <w:rPr>
          <w:rFonts w:hint="eastAsia"/>
          <w:color w:val="000000" w:themeColor="text1"/>
        </w:rPr>
        <w:t>条要求外，尚应考虑地下室防水要求。</w:t>
      </w:r>
    </w:p>
    <w:p w:rsidR="009136B5" w:rsidRDefault="00000000">
      <w:pPr>
        <w:pStyle w:val="afffff1"/>
        <w:ind w:firstLineChars="0" w:firstLine="0"/>
      </w:pPr>
      <w:r>
        <w:rPr>
          <w:rFonts w:hint="eastAsia"/>
          <w:b/>
          <w:color w:val="auto"/>
        </w:rPr>
        <w:t>6.2.</w:t>
      </w:r>
      <w:r>
        <w:rPr>
          <w:b/>
          <w:color w:val="auto"/>
        </w:rPr>
        <w:t>6</w:t>
      </w:r>
      <w:r>
        <w:rPr>
          <w:rFonts w:hint="eastAsia"/>
          <w:color w:val="auto"/>
        </w:rPr>
        <w:t xml:space="preserve"> </w:t>
      </w:r>
      <w:r>
        <w:rPr>
          <w:color w:val="auto"/>
        </w:rPr>
        <w:t xml:space="preserve"> </w:t>
      </w:r>
      <w:r>
        <w:rPr>
          <w:rFonts w:hint="eastAsia"/>
          <w:color w:val="auto"/>
        </w:rPr>
        <w:t>应考虑新增竖向构件之间差异变形对既有建筑结构构件受力的影响。</w:t>
      </w:r>
      <w:r>
        <w:rPr>
          <w:rFonts w:hint="eastAsia"/>
          <w:color w:val="000000" w:themeColor="text1"/>
        </w:rPr>
        <w:t>新增地下室竖向构件的变形</w:t>
      </w:r>
      <w:r>
        <w:rPr>
          <w:rFonts w:hint="eastAsia"/>
          <w:color w:val="000000" w:themeColor="text1"/>
        </w:rPr>
        <w:lastRenderedPageBreak/>
        <w:t>计算，应考虑托换构件拆除后产生的弹性压缩变形和混凝土收缩徐变效应引起的变形。</w:t>
      </w:r>
    </w:p>
    <w:p w:rsidR="009136B5" w:rsidRDefault="00000000">
      <w:pPr>
        <w:pStyle w:val="xxx"/>
        <w:widowControl/>
        <w:autoSpaceDN/>
        <w:jc w:val="left"/>
      </w:pPr>
      <w:r>
        <w:rPr>
          <w:rFonts w:hint="eastAsia"/>
          <w:b/>
          <w:bCs/>
        </w:rPr>
        <w:t>6</w:t>
      </w:r>
      <w:r>
        <w:rPr>
          <w:b/>
          <w:bCs/>
        </w:rPr>
        <w:t>.2.7</w:t>
      </w:r>
      <w:r>
        <w:t xml:space="preserve"> </w:t>
      </w:r>
      <w:r>
        <w:rPr>
          <w:rFonts w:hint="eastAsia"/>
        </w:rPr>
        <w:t xml:space="preserve"> </w:t>
      </w:r>
      <w:r>
        <w:rPr>
          <w:rFonts w:hint="eastAsia"/>
          <w:color w:val="000000" w:themeColor="text1"/>
        </w:rPr>
        <w:t>新增地下室竖向</w:t>
      </w:r>
      <w:r>
        <w:rPr>
          <w:rFonts w:hint="eastAsia"/>
        </w:rPr>
        <w:t>构件变形可按</w:t>
      </w:r>
      <w:r>
        <w:rPr>
          <w:rFonts w:ascii="Calibri" w:hAnsi="Calibri" w:cs="宋体" w:hint="eastAsia"/>
        </w:rPr>
        <w:t>下式计算：</w:t>
      </w:r>
    </w:p>
    <w:tbl>
      <w:tblPr>
        <w:tblStyle w:val="afa"/>
        <w:tblW w:w="4920" w:type="pct"/>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5"/>
        <w:gridCol w:w="589"/>
        <w:gridCol w:w="5322"/>
        <w:gridCol w:w="1719"/>
      </w:tblGrid>
      <w:tr w:rsidR="009136B5">
        <w:trPr>
          <w:trHeight w:val="20"/>
        </w:trPr>
        <w:tc>
          <w:tcPr>
            <w:tcW w:w="1175" w:type="pct"/>
            <w:gridSpan w:val="2"/>
            <w:vAlign w:val="center"/>
          </w:tcPr>
          <w:p w:rsidR="009136B5" w:rsidRDefault="009136B5">
            <w:pPr>
              <w:pStyle w:val="x"/>
              <w:ind w:firstLineChars="0" w:firstLine="0"/>
              <w:jc w:val="center"/>
              <w:rPr>
                <w:szCs w:val="21"/>
              </w:rPr>
            </w:pPr>
          </w:p>
        </w:tc>
        <w:tc>
          <w:tcPr>
            <w:tcW w:w="2890" w:type="pct"/>
            <w:vAlign w:val="center"/>
          </w:tcPr>
          <w:p w:rsidR="009136B5" w:rsidRDefault="00000000">
            <w:pPr>
              <w:pStyle w:val="x"/>
              <w:ind w:firstLineChars="0" w:firstLine="0"/>
              <w:jc w:val="center"/>
              <w:rPr>
                <w:kern w:val="0"/>
                <w:szCs w:val="21"/>
              </w:rPr>
            </w:pPr>
            <w:r>
              <w:rPr>
                <w:position w:val="-10"/>
              </w:rPr>
              <w:object w:dxaOrig="3557" w:dyaOrig="322">
                <v:shape id="_x0000_i1093" type="#_x0000_t75" style="width:177.8pt;height:15.65pt" o:ole="">
                  <v:imagedata r:id="rId162" o:title=""/>
                </v:shape>
                <o:OLEObject Type="Embed" ProgID="Equation.DSMT4" ShapeID="_x0000_i1093" DrawAspect="Content" ObjectID="_1735132871" r:id="rId163"/>
              </w:object>
            </w:r>
          </w:p>
        </w:tc>
        <w:tc>
          <w:tcPr>
            <w:tcW w:w="933" w:type="pct"/>
            <w:vAlign w:val="center"/>
          </w:tcPr>
          <w:p w:rsidR="009136B5" w:rsidRDefault="00000000">
            <w:pPr>
              <w:pStyle w:val="x"/>
              <w:ind w:firstLineChars="0" w:firstLine="0"/>
              <w:jc w:val="right"/>
              <w:rPr>
                <w:szCs w:val="21"/>
              </w:rPr>
            </w:pPr>
            <w:r>
              <w:rPr>
                <w:rFonts w:hint="eastAsia"/>
                <w:szCs w:val="21"/>
              </w:rPr>
              <w:t>（</w:t>
            </w:r>
            <w:r>
              <w:rPr>
                <w:szCs w:val="21"/>
              </w:rPr>
              <w:t>6.2.7</w:t>
            </w:r>
            <w:r>
              <w:rPr>
                <w:rFonts w:hint="eastAsia"/>
                <w:szCs w:val="21"/>
              </w:rPr>
              <w:t>）</w:t>
            </w:r>
          </w:p>
        </w:tc>
      </w:tr>
      <w:tr w:rsidR="009136B5">
        <w:tblPrEx>
          <w:tblCellMar>
            <w:left w:w="0" w:type="dxa"/>
            <w:right w:w="57" w:type="dxa"/>
          </w:tblCellMar>
        </w:tblPrEx>
        <w:tc>
          <w:tcPr>
            <w:tcW w:w="855" w:type="pct"/>
            <w:vAlign w:val="center"/>
          </w:tcPr>
          <w:p w:rsidR="009136B5" w:rsidRDefault="00000000">
            <w:pPr>
              <w:pStyle w:val="220"/>
              <w:adjustRightInd w:val="0"/>
              <w:snapToGrid w:val="0"/>
              <w:jc w:val="left"/>
            </w:pPr>
            <w:r>
              <w:rPr>
                <w:rFonts w:hint="eastAsia"/>
              </w:rPr>
              <w:t>式中：</w:t>
            </w:r>
            <w:r>
              <w:rPr>
                <w:rFonts w:hint="eastAsia"/>
              </w:rPr>
              <w:t xml:space="preserve">   </w:t>
            </w:r>
            <w:r>
              <w:rPr>
                <w:position w:val="-10"/>
              </w:rPr>
              <w:object w:dxaOrig="731" w:dyaOrig="322">
                <v:shape id="_x0000_i1094" type="#_x0000_t75" style="width:36.3pt;height:15.65pt" o:ole="">
                  <v:imagedata r:id="rId164" o:title=""/>
                </v:shape>
                <o:OLEObject Type="Embed" ProgID="Equation.DSMT4" ShapeID="_x0000_i1094" DrawAspect="Content" ObjectID="_1735132872" r:id="rId165"/>
              </w:object>
            </w:r>
          </w:p>
        </w:tc>
        <w:tc>
          <w:tcPr>
            <w:tcW w:w="320" w:type="pct"/>
            <w:vAlign w:val="center"/>
          </w:tcPr>
          <w:p w:rsidR="009136B5" w:rsidRDefault="00000000">
            <w:pPr>
              <w:pStyle w:val="220"/>
              <w:widowControl w:val="0"/>
              <w:adjustRightInd w:val="0"/>
              <w:snapToGrid w:val="0"/>
            </w:pPr>
            <w:r>
              <w:t>——</w:t>
            </w:r>
          </w:p>
        </w:tc>
        <w:tc>
          <w:tcPr>
            <w:tcW w:w="3824" w:type="pct"/>
            <w:gridSpan w:val="2"/>
            <w:vAlign w:val="center"/>
          </w:tcPr>
          <w:p w:rsidR="009136B5" w:rsidRDefault="00000000">
            <w:pPr>
              <w:autoSpaceDE w:val="0"/>
              <w:autoSpaceDN w:val="0"/>
              <w:adjustRightInd w:val="0"/>
              <w:snapToGrid w:val="0"/>
              <w:ind w:firstLineChars="0" w:firstLine="0"/>
              <w:rPr>
                <w:szCs w:val="21"/>
                <w:lang w:val="zh-CN"/>
              </w:rPr>
            </w:pPr>
            <w:r>
              <w:rPr>
                <w:position w:val="-6"/>
              </w:rPr>
              <w:object w:dxaOrig="129" w:dyaOrig="226">
                <v:shape id="_x0000_i1095" type="#_x0000_t75" style="width:6.25pt;height:11.25pt" o:ole="">
                  <v:imagedata r:id="rId166" o:title=""/>
                </v:shape>
                <o:OLEObject Type="Embed" ProgID="Equation.DSMT4" ShapeID="_x0000_i1095" DrawAspect="Content" ObjectID="_1735132873" r:id="rId167"/>
              </w:object>
            </w:r>
            <w:r>
              <w:rPr>
                <w:rFonts w:ascii="Calibri" w:hAnsi="Calibri" w:cs="宋体" w:hint="eastAsia"/>
                <w:color w:val="000000"/>
                <w:shd w:val="clear" w:color="auto" w:fill="FFFFFF"/>
              </w:rPr>
              <w:t>时刻混凝土收缩应变</w:t>
            </w:r>
            <w:r>
              <w:rPr>
                <w:color w:val="000000"/>
                <w:shd w:val="clear" w:color="auto" w:fill="FFFFFF"/>
              </w:rPr>
              <w:t>；</w:t>
            </w:r>
          </w:p>
        </w:tc>
      </w:tr>
      <w:tr w:rsidR="009136B5">
        <w:tblPrEx>
          <w:tblCellMar>
            <w:left w:w="0" w:type="dxa"/>
            <w:right w:w="57" w:type="dxa"/>
          </w:tblCellMar>
        </w:tblPrEx>
        <w:trPr>
          <w:trHeight w:val="227"/>
        </w:trPr>
        <w:tc>
          <w:tcPr>
            <w:tcW w:w="855" w:type="pct"/>
            <w:vAlign w:val="center"/>
          </w:tcPr>
          <w:p w:rsidR="009136B5" w:rsidRDefault="00000000">
            <w:pPr>
              <w:pStyle w:val="220"/>
              <w:adjustRightInd w:val="0"/>
              <w:snapToGrid w:val="0"/>
              <w:jc w:val="right"/>
              <w:rPr>
                <w:i/>
                <w:iCs/>
              </w:rPr>
            </w:pPr>
            <w:r>
              <w:rPr>
                <w:position w:val="-10"/>
              </w:rPr>
              <w:object w:dxaOrig="634" w:dyaOrig="322">
                <v:shape id="_x0000_i1096" type="#_x0000_t75" style="width:31.95pt;height:15.65pt" o:ole="">
                  <v:imagedata r:id="rId168" o:title=""/>
                </v:shape>
                <o:OLEObject Type="Embed" ProgID="Equation.DSMT4" ShapeID="_x0000_i1096" DrawAspect="Content" ObjectID="_1735132874" r:id="rId169"/>
              </w:object>
            </w:r>
          </w:p>
        </w:tc>
        <w:tc>
          <w:tcPr>
            <w:tcW w:w="320" w:type="pct"/>
            <w:vAlign w:val="center"/>
          </w:tcPr>
          <w:p w:rsidR="009136B5" w:rsidRDefault="00000000">
            <w:pPr>
              <w:pStyle w:val="220"/>
              <w:adjustRightInd w:val="0"/>
              <w:snapToGrid w:val="0"/>
              <w:jc w:val="center"/>
            </w:pPr>
            <w:r>
              <w:t>——</w:t>
            </w:r>
          </w:p>
        </w:tc>
        <w:tc>
          <w:tcPr>
            <w:tcW w:w="3824" w:type="pct"/>
            <w:gridSpan w:val="2"/>
            <w:vAlign w:val="center"/>
          </w:tcPr>
          <w:p w:rsidR="009136B5" w:rsidRDefault="00000000">
            <w:pPr>
              <w:autoSpaceDE w:val="0"/>
              <w:autoSpaceDN w:val="0"/>
              <w:adjustRightInd w:val="0"/>
              <w:snapToGrid w:val="0"/>
              <w:ind w:firstLineChars="0" w:firstLine="0"/>
              <w:rPr>
                <w:bCs/>
                <w:szCs w:val="21"/>
              </w:rPr>
            </w:pPr>
            <w:r>
              <w:rPr>
                <w:position w:val="-6"/>
              </w:rPr>
              <w:object w:dxaOrig="129" w:dyaOrig="226">
                <v:shape id="_x0000_i1097" type="#_x0000_t75" style="width:6.25pt;height:11.25pt" o:ole="">
                  <v:imagedata r:id="rId170" o:title=""/>
                </v:shape>
                <o:OLEObject Type="Embed" ProgID="Equation.DSMT4" ShapeID="_x0000_i1097" DrawAspect="Content" ObjectID="_1735132875" r:id="rId171"/>
              </w:object>
            </w:r>
            <w:r>
              <w:rPr>
                <w:rFonts w:ascii="Calibri" w:hAnsi="Calibri" w:cs="宋体" w:hint="eastAsia"/>
                <w:color w:val="000000"/>
                <w:shd w:val="clear" w:color="auto" w:fill="FFFFFF"/>
              </w:rPr>
              <w:t>时刻的徐变系数；</w:t>
            </w:r>
          </w:p>
        </w:tc>
      </w:tr>
      <w:tr w:rsidR="009136B5">
        <w:tblPrEx>
          <w:tblCellMar>
            <w:left w:w="0" w:type="dxa"/>
            <w:right w:w="57" w:type="dxa"/>
          </w:tblCellMar>
        </w:tblPrEx>
        <w:tc>
          <w:tcPr>
            <w:tcW w:w="855" w:type="pct"/>
          </w:tcPr>
          <w:p w:rsidR="009136B5" w:rsidRDefault="00000000">
            <w:pPr>
              <w:pStyle w:val="220"/>
              <w:adjustRightInd w:val="0"/>
              <w:snapToGrid w:val="0"/>
              <w:jc w:val="right"/>
              <w:rPr>
                <w:i/>
                <w:iCs/>
              </w:rPr>
            </w:pPr>
            <w:r>
              <w:rPr>
                <w:rFonts w:ascii="宋体" w:hAnsi="宋体"/>
                <w:position w:val="-12"/>
                <w:lang w:bidi="ar"/>
              </w:rPr>
              <w:object w:dxaOrig="258" w:dyaOrig="376">
                <v:shape id="_x0000_i1098" type="#_x0000_t75" style="width:13.15pt;height:18.8pt" o:ole="">
                  <v:imagedata r:id="rId38" o:title=""/>
                </v:shape>
                <o:OLEObject Type="Embed" ProgID="Equation.3" ShapeID="_x0000_i1098" DrawAspect="Content" ObjectID="_1735132876" r:id="rId172"/>
              </w:object>
            </w:r>
          </w:p>
        </w:tc>
        <w:tc>
          <w:tcPr>
            <w:tcW w:w="320" w:type="pct"/>
            <w:vAlign w:val="center"/>
          </w:tcPr>
          <w:p w:rsidR="009136B5" w:rsidRDefault="00000000">
            <w:pPr>
              <w:pStyle w:val="220"/>
              <w:adjustRightInd w:val="0"/>
              <w:snapToGrid w:val="0"/>
              <w:jc w:val="center"/>
            </w:pPr>
            <w:r>
              <w:t>——</w:t>
            </w:r>
          </w:p>
        </w:tc>
        <w:tc>
          <w:tcPr>
            <w:tcW w:w="3824" w:type="pct"/>
            <w:gridSpan w:val="2"/>
            <w:vAlign w:val="center"/>
          </w:tcPr>
          <w:p w:rsidR="009136B5" w:rsidRDefault="00000000">
            <w:pPr>
              <w:autoSpaceDE w:val="0"/>
              <w:autoSpaceDN w:val="0"/>
              <w:adjustRightInd w:val="0"/>
              <w:snapToGrid w:val="0"/>
              <w:ind w:firstLineChars="0" w:firstLine="0"/>
              <w:rPr>
                <w:bCs/>
                <w:szCs w:val="21"/>
              </w:rPr>
            </w:pPr>
            <w:r>
              <w:rPr>
                <w:rFonts w:hint="eastAsia"/>
                <w:position w:val="-6"/>
              </w:rPr>
              <w:t>初始应力作用下混凝土应变；</w:t>
            </w:r>
          </w:p>
        </w:tc>
      </w:tr>
      <w:tr w:rsidR="009136B5">
        <w:tblPrEx>
          <w:tblCellMar>
            <w:left w:w="0" w:type="dxa"/>
            <w:right w:w="57" w:type="dxa"/>
          </w:tblCellMar>
        </w:tblPrEx>
        <w:tc>
          <w:tcPr>
            <w:tcW w:w="855" w:type="pct"/>
            <w:vAlign w:val="center"/>
          </w:tcPr>
          <w:p w:rsidR="009136B5" w:rsidRDefault="00000000">
            <w:pPr>
              <w:pStyle w:val="220"/>
              <w:adjustRightInd w:val="0"/>
              <w:snapToGrid w:val="0"/>
              <w:jc w:val="right"/>
              <w:rPr>
                <w:i/>
                <w:iCs/>
                <w:lang w:bidi="ar"/>
              </w:rPr>
            </w:pPr>
            <w:r>
              <w:rPr>
                <w:i/>
                <w:iCs/>
                <w:lang w:bidi="ar"/>
              </w:rPr>
              <w:t>h</w:t>
            </w:r>
          </w:p>
        </w:tc>
        <w:tc>
          <w:tcPr>
            <w:tcW w:w="320" w:type="pct"/>
            <w:vAlign w:val="center"/>
          </w:tcPr>
          <w:p w:rsidR="009136B5" w:rsidRDefault="00000000">
            <w:pPr>
              <w:pStyle w:val="220"/>
              <w:adjustRightInd w:val="0"/>
              <w:snapToGrid w:val="0"/>
              <w:jc w:val="center"/>
            </w:pPr>
            <w:r>
              <w:t>——</w:t>
            </w:r>
          </w:p>
        </w:tc>
        <w:tc>
          <w:tcPr>
            <w:tcW w:w="3824" w:type="pct"/>
            <w:gridSpan w:val="2"/>
            <w:vAlign w:val="center"/>
          </w:tcPr>
          <w:p w:rsidR="009136B5" w:rsidRDefault="00000000">
            <w:pPr>
              <w:pStyle w:val="xxx"/>
              <w:adjustRightInd w:val="0"/>
              <w:snapToGrid w:val="0"/>
              <w:rPr>
                <w:color w:val="000000"/>
                <w:shd w:val="clear" w:color="auto" w:fill="FFFFFF"/>
              </w:rPr>
            </w:pPr>
            <w:r>
              <w:rPr>
                <w:rFonts w:hint="eastAsia"/>
                <w:color w:val="000000"/>
                <w:shd w:val="clear" w:color="auto" w:fill="FFFFFF"/>
              </w:rPr>
              <w:t>新增地下室竖向构件的高度。</w:t>
            </w:r>
          </w:p>
        </w:tc>
      </w:tr>
    </w:tbl>
    <w:p w:rsidR="009136B5" w:rsidRDefault="00000000">
      <w:pPr>
        <w:pStyle w:val="afffff1"/>
        <w:ind w:firstLineChars="0" w:firstLine="0"/>
      </w:pPr>
      <w:r>
        <w:rPr>
          <w:rFonts w:hint="eastAsia"/>
        </w:rPr>
        <w:t>条文说明：描述</w:t>
      </w:r>
      <w:r>
        <w:t>混凝土收缩徐变特性的常用模型为</w:t>
      </w:r>
      <w:r>
        <w:t>ACI209</w:t>
      </w:r>
      <w:r>
        <w:rPr>
          <w:rFonts w:hint="eastAsia"/>
        </w:rPr>
        <w:t>、</w:t>
      </w:r>
      <w:r>
        <w:t>CEB-FIP</w:t>
      </w:r>
      <w:r>
        <w:rPr>
          <w:rFonts w:hint="eastAsia"/>
        </w:rPr>
        <w:t>、</w:t>
      </w:r>
      <w:r>
        <w:t>B3</w:t>
      </w:r>
      <w:r>
        <w:t>及</w:t>
      </w:r>
      <w:r>
        <w:t>GL2000</w:t>
      </w:r>
      <w:r>
        <w:t>。其中，</w:t>
      </w:r>
      <w:r>
        <w:t>CEB-FIP</w:t>
      </w:r>
      <w:r>
        <w:t>模型长期以来应用较为广泛，</w:t>
      </w:r>
      <w:r>
        <w:rPr>
          <w:rFonts w:hint="eastAsia"/>
        </w:rPr>
        <w:t>我国规范</w:t>
      </w:r>
      <w:r>
        <w:t>《公路钢筋混凝土及预应力混凝土桥涵设计规范》</w:t>
      </w:r>
      <w:r>
        <w:t>JTG 3362-2018</w:t>
      </w:r>
      <w:r>
        <w:rPr>
          <w:rFonts w:hint="eastAsia"/>
        </w:rPr>
        <w:t>关于混凝土收缩徐变的计算就是采用了该模型方法。</w:t>
      </w:r>
      <w:r>
        <w:rPr>
          <w:position w:val="-10"/>
        </w:rPr>
        <w:object w:dxaOrig="731" w:dyaOrig="322">
          <v:shape id="_x0000_i1099" type="#_x0000_t75" style="width:36.3pt;height:15.65pt" o:ole="">
            <v:imagedata r:id="rId164" o:title=""/>
          </v:shape>
          <o:OLEObject Type="Embed" ProgID="Equation.DSMT4" ShapeID="_x0000_i1099" DrawAspect="Content" ObjectID="_1735132877" r:id="rId173"/>
        </w:object>
      </w:r>
      <w:r>
        <w:rPr>
          <w:rFonts w:hint="eastAsia"/>
          <w:position w:val="-10"/>
        </w:rPr>
        <w:t>、</w:t>
      </w:r>
      <w:r>
        <w:rPr>
          <w:position w:val="-10"/>
        </w:rPr>
        <w:object w:dxaOrig="623" w:dyaOrig="322">
          <v:shape id="_x0000_i1100" type="#_x0000_t75" style="width:30.7pt;height:15.65pt" o:ole="">
            <v:imagedata r:id="rId168" o:title=""/>
          </v:shape>
          <o:OLEObject Type="Embed" ProgID="Equation.DSMT4" ShapeID="_x0000_i1100" DrawAspect="Content" ObjectID="_1735132878" r:id="rId174"/>
        </w:object>
      </w:r>
      <w:r>
        <w:rPr>
          <w:rFonts w:hint="eastAsia"/>
        </w:rPr>
        <w:t>可按《公路钢筋混凝土及预应力混凝土桥涵设计规范》</w:t>
      </w:r>
      <w:r>
        <w:rPr>
          <w:rFonts w:hint="eastAsia"/>
        </w:rPr>
        <w:t>JTG 3362-2018</w:t>
      </w:r>
      <w:r>
        <w:rPr>
          <w:rFonts w:hint="eastAsia"/>
        </w:rPr>
        <w:t>计算</w:t>
      </w:r>
      <w:r>
        <w:rPr>
          <w:rFonts w:ascii="Calibri" w:hAnsi="Calibri" w:cs="宋体" w:hint="eastAsia"/>
          <w:color w:val="000000"/>
          <w:shd w:val="clear" w:color="auto" w:fill="FFFFFF"/>
        </w:rPr>
        <w:t>。</w:t>
      </w:r>
    </w:p>
    <w:p w:rsidR="009136B5" w:rsidRDefault="00000000">
      <w:pPr>
        <w:pStyle w:val="afffff1"/>
        <w:ind w:firstLineChars="0" w:firstLine="0"/>
        <w:rPr>
          <w:color w:val="auto"/>
        </w:rPr>
      </w:pPr>
      <w:r>
        <w:rPr>
          <w:rFonts w:hint="eastAsia"/>
          <w:b/>
          <w:color w:val="auto"/>
        </w:rPr>
        <w:t>6.2.</w:t>
      </w:r>
      <w:r>
        <w:rPr>
          <w:b/>
          <w:color w:val="auto"/>
        </w:rPr>
        <w:t xml:space="preserve">8  </w:t>
      </w:r>
      <w:r>
        <w:rPr>
          <w:rFonts w:hint="eastAsia"/>
          <w:color w:val="auto"/>
        </w:rPr>
        <w:t>当新增地下室竖向构件之间差异变形引起的既有建筑结构构件附加内力过大时，应采取增大截面尺寸、提高混凝土强度等级或采用内置型钢预加载法（图</w:t>
      </w:r>
      <w:r>
        <w:rPr>
          <w:rFonts w:hint="eastAsia"/>
          <w:color w:val="auto"/>
        </w:rPr>
        <w:t>6.2.</w:t>
      </w:r>
      <w:r>
        <w:rPr>
          <w:color w:val="auto"/>
        </w:rPr>
        <w:t>8</w:t>
      </w:r>
      <w:r>
        <w:rPr>
          <w:rFonts w:hint="eastAsia"/>
          <w:color w:val="auto"/>
        </w:rPr>
        <w:t>）等减小差异变形的措施。</w:t>
      </w:r>
    </w:p>
    <w:p w:rsidR="009136B5" w:rsidRDefault="00000000">
      <w:pPr>
        <w:pStyle w:val="afffff1"/>
        <w:ind w:firstLineChars="0" w:firstLine="0"/>
        <w:jc w:val="center"/>
        <w:rPr>
          <w:b/>
          <w:bCs/>
          <w:color w:val="000000" w:themeColor="text1"/>
          <w:sz w:val="18"/>
          <w:szCs w:val="21"/>
        </w:rPr>
      </w:pPr>
      <w:r>
        <w:rPr>
          <w:rFonts w:hint="eastAsia"/>
          <w:b/>
          <w:bCs/>
          <w:noProof/>
          <w:color w:val="000000" w:themeColor="text1"/>
          <w:sz w:val="18"/>
          <w:szCs w:val="21"/>
        </w:rPr>
        <w:drawing>
          <wp:inline distT="0" distB="0" distL="0" distR="0">
            <wp:extent cx="1656080" cy="1844040"/>
            <wp:effectExtent l="0" t="0" r="127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a:xfrm>
                      <a:off x="0" y="0"/>
                      <a:ext cx="1656080" cy="1844040"/>
                    </a:xfrm>
                    <a:prstGeom prst="rect">
                      <a:avLst/>
                    </a:prstGeom>
                    <a:noFill/>
                    <a:ln>
                      <a:noFill/>
                    </a:ln>
                  </pic:spPr>
                </pic:pic>
              </a:graphicData>
            </a:graphic>
          </wp:inline>
        </w:drawing>
      </w:r>
      <w:r>
        <w:rPr>
          <w:rFonts w:hint="eastAsia"/>
          <w:b/>
          <w:bCs/>
          <w:color w:val="000000" w:themeColor="text1"/>
          <w:sz w:val="18"/>
          <w:szCs w:val="21"/>
        </w:rPr>
        <w:t xml:space="preserve"> </w:t>
      </w:r>
      <w:r>
        <w:rPr>
          <w:b/>
          <w:bCs/>
          <w:color w:val="000000" w:themeColor="text1"/>
          <w:sz w:val="18"/>
          <w:szCs w:val="21"/>
        </w:rPr>
        <w:t xml:space="preserve">            </w:t>
      </w:r>
      <w:r>
        <w:rPr>
          <w:rFonts w:hint="eastAsia"/>
          <w:b/>
          <w:bCs/>
          <w:color w:val="000000" w:themeColor="text1"/>
          <w:sz w:val="18"/>
          <w:szCs w:val="21"/>
        </w:rPr>
        <w:t xml:space="preserve">       </w:t>
      </w:r>
      <w:r>
        <w:rPr>
          <w:b/>
          <w:bCs/>
          <w:noProof/>
          <w:color w:val="000000" w:themeColor="text1"/>
          <w:sz w:val="18"/>
          <w:szCs w:val="21"/>
        </w:rPr>
        <w:drawing>
          <wp:inline distT="0" distB="0" distL="0" distR="0">
            <wp:extent cx="1440180" cy="1544320"/>
            <wp:effectExtent l="0" t="0" r="7620" b="177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a:xfrm>
                      <a:off x="0" y="0"/>
                      <a:ext cx="1440180" cy="1544320"/>
                    </a:xfrm>
                    <a:prstGeom prst="rect">
                      <a:avLst/>
                    </a:prstGeom>
                    <a:noFill/>
                    <a:ln>
                      <a:noFill/>
                    </a:ln>
                  </pic:spPr>
                </pic:pic>
              </a:graphicData>
            </a:graphic>
          </wp:inline>
        </w:drawing>
      </w:r>
    </w:p>
    <w:p w:rsidR="009136B5" w:rsidRDefault="00000000">
      <w:pPr>
        <w:pStyle w:val="afffff1"/>
        <w:ind w:firstLineChars="0" w:firstLine="0"/>
        <w:jc w:val="center"/>
        <w:rPr>
          <w:b/>
          <w:bCs/>
          <w:color w:val="000000" w:themeColor="text1"/>
          <w:sz w:val="18"/>
          <w:szCs w:val="21"/>
        </w:rPr>
      </w:pPr>
      <w:r>
        <w:rPr>
          <w:rFonts w:hint="eastAsia"/>
          <w:b/>
          <w:bCs/>
          <w:color w:val="000000" w:themeColor="text1"/>
          <w:sz w:val="18"/>
          <w:szCs w:val="21"/>
        </w:rPr>
        <w:t>图</w:t>
      </w:r>
      <w:r>
        <w:rPr>
          <w:rFonts w:hint="eastAsia"/>
          <w:b/>
          <w:bCs/>
          <w:color w:val="000000" w:themeColor="text1"/>
          <w:sz w:val="18"/>
          <w:szCs w:val="21"/>
        </w:rPr>
        <w:t>6.2.8</w:t>
      </w:r>
      <w:r>
        <w:rPr>
          <w:b/>
          <w:bCs/>
          <w:color w:val="000000" w:themeColor="text1"/>
          <w:sz w:val="18"/>
          <w:szCs w:val="21"/>
        </w:rPr>
        <w:t xml:space="preserve"> </w:t>
      </w:r>
      <w:r>
        <w:rPr>
          <w:rFonts w:hint="eastAsia"/>
          <w:b/>
          <w:bCs/>
          <w:color w:val="000000" w:themeColor="text1"/>
          <w:sz w:val="18"/>
          <w:szCs w:val="21"/>
        </w:rPr>
        <w:t>内置型钢预加载法示意图</w:t>
      </w:r>
    </w:p>
    <w:p w:rsidR="009136B5" w:rsidRDefault="00000000">
      <w:pPr>
        <w:pStyle w:val="afffff1"/>
        <w:spacing w:line="240" w:lineRule="auto"/>
        <w:ind w:firstLineChars="0" w:firstLine="0"/>
        <w:jc w:val="center"/>
        <w:rPr>
          <w:color w:val="000000" w:themeColor="text1"/>
          <w:sz w:val="18"/>
          <w:szCs w:val="21"/>
        </w:rPr>
      </w:pPr>
      <w:r>
        <w:rPr>
          <w:color w:val="000000" w:themeColor="text1"/>
          <w:sz w:val="18"/>
          <w:szCs w:val="21"/>
        </w:rPr>
        <w:t>1</w:t>
      </w:r>
      <w:r>
        <w:rPr>
          <w:rFonts w:hint="eastAsia"/>
          <w:color w:val="000000" w:themeColor="text1"/>
          <w:sz w:val="18"/>
          <w:szCs w:val="21"/>
        </w:rPr>
        <w:t>—型钢柱；</w:t>
      </w:r>
      <w:r>
        <w:rPr>
          <w:rFonts w:hint="eastAsia"/>
          <w:color w:val="000000" w:themeColor="text1"/>
          <w:sz w:val="18"/>
          <w:szCs w:val="21"/>
        </w:rPr>
        <w:t>2</w:t>
      </w:r>
      <w:r>
        <w:rPr>
          <w:rFonts w:hint="eastAsia"/>
          <w:color w:val="000000" w:themeColor="text1"/>
          <w:sz w:val="18"/>
          <w:szCs w:val="21"/>
        </w:rPr>
        <w:t>—型钢；</w:t>
      </w:r>
      <w:r>
        <w:rPr>
          <w:rFonts w:hint="eastAsia"/>
          <w:color w:val="000000" w:themeColor="text1"/>
          <w:sz w:val="18"/>
          <w:szCs w:val="21"/>
        </w:rPr>
        <w:t>3</w:t>
      </w:r>
      <w:r>
        <w:rPr>
          <w:rFonts w:hint="eastAsia"/>
          <w:color w:val="000000" w:themeColor="text1"/>
          <w:sz w:val="18"/>
          <w:szCs w:val="21"/>
        </w:rPr>
        <w:t>—型钢柱底板；</w:t>
      </w:r>
      <w:r>
        <w:rPr>
          <w:color w:val="000000" w:themeColor="text1"/>
          <w:sz w:val="18"/>
          <w:szCs w:val="21"/>
        </w:rPr>
        <w:t>4</w:t>
      </w:r>
      <w:r>
        <w:rPr>
          <w:rFonts w:hint="eastAsia"/>
          <w:color w:val="000000" w:themeColor="text1"/>
          <w:sz w:val="18"/>
          <w:szCs w:val="21"/>
        </w:rPr>
        <w:t>—千斤顶；</w:t>
      </w:r>
      <w:r>
        <w:rPr>
          <w:color w:val="000000" w:themeColor="text1"/>
          <w:sz w:val="18"/>
          <w:szCs w:val="21"/>
        </w:rPr>
        <w:t>5</w:t>
      </w:r>
      <w:r>
        <w:rPr>
          <w:rFonts w:hint="eastAsia"/>
          <w:color w:val="000000" w:themeColor="text1"/>
          <w:sz w:val="18"/>
          <w:szCs w:val="21"/>
        </w:rPr>
        <w:t>—预埋钢板；</w:t>
      </w:r>
      <w:r>
        <w:rPr>
          <w:rFonts w:hint="eastAsia"/>
          <w:color w:val="000000" w:themeColor="text1"/>
          <w:sz w:val="18"/>
          <w:szCs w:val="21"/>
        </w:rPr>
        <w:t>6</w:t>
      </w:r>
      <w:r>
        <w:rPr>
          <w:rFonts w:hint="eastAsia"/>
          <w:color w:val="000000" w:themeColor="text1"/>
          <w:sz w:val="18"/>
          <w:szCs w:val="21"/>
        </w:rPr>
        <w:t>—柱插筋；</w:t>
      </w:r>
      <w:r>
        <w:rPr>
          <w:rFonts w:hint="eastAsia"/>
          <w:color w:val="000000" w:themeColor="text1"/>
          <w:sz w:val="18"/>
          <w:szCs w:val="21"/>
        </w:rPr>
        <w:t>7</w:t>
      </w:r>
      <w:r>
        <w:rPr>
          <w:rFonts w:hint="eastAsia"/>
          <w:color w:val="000000" w:themeColor="text1"/>
          <w:sz w:val="18"/>
          <w:szCs w:val="21"/>
        </w:rPr>
        <w:t>—封板</w:t>
      </w:r>
    </w:p>
    <w:p w:rsidR="009136B5" w:rsidRDefault="00000000">
      <w:pPr>
        <w:shd w:val="solid" w:color="FFFFFF" w:fill="auto"/>
        <w:autoSpaceDN w:val="0"/>
        <w:adjustRightInd w:val="0"/>
        <w:ind w:firstLineChars="0" w:firstLine="0"/>
        <w:rPr>
          <w:rFonts w:ascii="Calibri" w:hAnsi="Calibri" w:cs="宋体"/>
        </w:rPr>
      </w:pPr>
      <w:r>
        <w:rPr>
          <w:rFonts w:hint="eastAsia"/>
          <w:b/>
          <w:bCs/>
          <w:color w:val="000000" w:themeColor="text1"/>
        </w:rPr>
        <w:t>6</w:t>
      </w:r>
      <w:r>
        <w:rPr>
          <w:b/>
          <w:bCs/>
          <w:color w:val="000000" w:themeColor="text1"/>
        </w:rPr>
        <w:t>.2.9</w:t>
      </w:r>
      <w:r>
        <w:rPr>
          <w:rFonts w:hint="eastAsia"/>
          <w:b/>
          <w:bCs/>
          <w:color w:val="000000" w:themeColor="text1"/>
        </w:rPr>
        <w:t xml:space="preserve"> </w:t>
      </w:r>
      <w:r>
        <w:rPr>
          <w:b/>
          <w:bCs/>
          <w:color w:val="000000" w:themeColor="text1"/>
        </w:rPr>
        <w:t xml:space="preserve"> </w:t>
      </w:r>
      <w:r>
        <w:rPr>
          <w:rFonts w:ascii="Calibri" w:hAnsi="Calibri" w:cs="宋体" w:hint="eastAsia"/>
        </w:rPr>
        <w:t>当采用</w:t>
      </w:r>
      <w:r>
        <w:rPr>
          <w:rFonts w:hint="eastAsia"/>
        </w:rPr>
        <w:t>内置型钢</w:t>
      </w:r>
      <w:r>
        <w:rPr>
          <w:rFonts w:ascii="Calibri" w:hAnsi="Calibri" w:cs="宋体" w:hint="eastAsia"/>
        </w:rPr>
        <w:t>预加载法时，新增地下室竖向构件变形可按下式计算：</w:t>
      </w:r>
    </w:p>
    <w:tbl>
      <w:tblPr>
        <w:tblStyle w:val="af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9"/>
        <w:gridCol w:w="559"/>
        <w:gridCol w:w="6182"/>
        <w:gridCol w:w="1345"/>
      </w:tblGrid>
      <w:tr w:rsidR="009136B5">
        <w:trPr>
          <w:trHeight w:val="20"/>
        </w:trPr>
        <w:tc>
          <w:tcPr>
            <w:tcW w:w="977" w:type="pct"/>
            <w:gridSpan w:val="2"/>
            <w:vAlign w:val="center"/>
          </w:tcPr>
          <w:p w:rsidR="009136B5" w:rsidRDefault="009136B5">
            <w:pPr>
              <w:pStyle w:val="x"/>
              <w:ind w:firstLineChars="0" w:firstLine="0"/>
              <w:jc w:val="center"/>
              <w:rPr>
                <w:szCs w:val="21"/>
              </w:rPr>
            </w:pPr>
          </w:p>
        </w:tc>
        <w:tc>
          <w:tcPr>
            <w:tcW w:w="3304" w:type="pct"/>
            <w:vAlign w:val="center"/>
          </w:tcPr>
          <w:p w:rsidR="009136B5" w:rsidRDefault="00000000">
            <w:pPr>
              <w:pStyle w:val="x"/>
              <w:ind w:firstLineChars="0" w:firstLine="0"/>
              <w:jc w:val="center"/>
              <w:rPr>
                <w:kern w:val="0"/>
                <w:szCs w:val="21"/>
              </w:rPr>
            </w:pPr>
            <w:r>
              <w:rPr>
                <w:position w:val="-28"/>
              </w:rPr>
              <w:object w:dxaOrig="5846" w:dyaOrig="677">
                <v:shape id="_x0000_i1101" type="#_x0000_t75" style="width:292.4pt;height:33.8pt" o:ole="">
                  <v:imagedata r:id="rId177" o:title=""/>
                </v:shape>
                <o:OLEObject Type="Embed" ProgID="Equation.DSMT4" ShapeID="_x0000_i1101" DrawAspect="Content" ObjectID="_1735132879" r:id="rId178"/>
              </w:object>
            </w:r>
          </w:p>
        </w:tc>
        <w:tc>
          <w:tcPr>
            <w:tcW w:w="719" w:type="pct"/>
            <w:vAlign w:val="center"/>
          </w:tcPr>
          <w:p w:rsidR="009136B5" w:rsidRDefault="00000000">
            <w:pPr>
              <w:pStyle w:val="x"/>
              <w:ind w:firstLineChars="0" w:firstLine="0"/>
              <w:jc w:val="right"/>
              <w:rPr>
                <w:szCs w:val="21"/>
              </w:rPr>
            </w:pPr>
            <w:r>
              <w:rPr>
                <w:rFonts w:hint="eastAsia"/>
                <w:szCs w:val="21"/>
              </w:rPr>
              <w:t>（</w:t>
            </w:r>
            <w:r>
              <w:rPr>
                <w:szCs w:val="21"/>
              </w:rPr>
              <w:t>6.2.8-1</w:t>
            </w:r>
            <w:r>
              <w:rPr>
                <w:rFonts w:hint="eastAsia"/>
                <w:szCs w:val="21"/>
              </w:rPr>
              <w:t>）</w:t>
            </w:r>
          </w:p>
        </w:tc>
      </w:tr>
      <w:tr w:rsidR="009136B5">
        <w:trPr>
          <w:trHeight w:val="20"/>
        </w:trPr>
        <w:tc>
          <w:tcPr>
            <w:tcW w:w="977" w:type="pct"/>
            <w:gridSpan w:val="2"/>
            <w:vAlign w:val="center"/>
          </w:tcPr>
          <w:p w:rsidR="009136B5" w:rsidRDefault="009136B5">
            <w:pPr>
              <w:pStyle w:val="x"/>
              <w:ind w:firstLineChars="0" w:firstLine="0"/>
              <w:jc w:val="center"/>
              <w:rPr>
                <w:szCs w:val="21"/>
              </w:rPr>
            </w:pPr>
          </w:p>
        </w:tc>
        <w:tc>
          <w:tcPr>
            <w:tcW w:w="3304" w:type="pct"/>
            <w:vAlign w:val="center"/>
          </w:tcPr>
          <w:p w:rsidR="009136B5" w:rsidRDefault="00000000">
            <w:pPr>
              <w:pStyle w:val="x"/>
              <w:ind w:firstLineChars="0" w:firstLine="0"/>
              <w:jc w:val="center"/>
            </w:pPr>
            <w:r>
              <w:rPr>
                <w:rStyle w:val="afffff"/>
              </w:rPr>
              <w:object w:dxaOrig="1193" w:dyaOrig="301">
                <v:shape id="_x0000_i1102" type="#_x0000_t75" style="width:60.1pt;height:15.05pt" o:ole="">
                  <v:imagedata r:id="rId179" o:title=""/>
                </v:shape>
                <o:OLEObject Type="Embed" ProgID="Equation.DSMT4" ShapeID="_x0000_i1102" DrawAspect="Content" ObjectID="_1735132880" r:id="rId180"/>
              </w:object>
            </w:r>
          </w:p>
        </w:tc>
        <w:tc>
          <w:tcPr>
            <w:tcW w:w="719" w:type="pct"/>
            <w:vAlign w:val="center"/>
          </w:tcPr>
          <w:p w:rsidR="009136B5" w:rsidRDefault="00000000">
            <w:pPr>
              <w:pStyle w:val="x"/>
              <w:ind w:firstLineChars="0" w:firstLine="0"/>
              <w:jc w:val="right"/>
              <w:rPr>
                <w:szCs w:val="21"/>
              </w:rPr>
            </w:pPr>
            <w:r>
              <w:rPr>
                <w:rStyle w:val="afffff"/>
                <w:rFonts w:hint="eastAsia"/>
              </w:rPr>
              <w:t>（</w:t>
            </w:r>
            <w:r>
              <w:rPr>
                <w:rStyle w:val="afffff"/>
                <w:rFonts w:hint="eastAsia"/>
              </w:rPr>
              <w:t>6.</w:t>
            </w:r>
            <w:r>
              <w:rPr>
                <w:rStyle w:val="afffff"/>
              </w:rPr>
              <w:t>2</w:t>
            </w:r>
            <w:r>
              <w:rPr>
                <w:rStyle w:val="afffff"/>
                <w:rFonts w:hint="eastAsia"/>
              </w:rPr>
              <w:t>.</w:t>
            </w:r>
            <w:r>
              <w:rPr>
                <w:rStyle w:val="afffff"/>
              </w:rPr>
              <w:t>8-</w:t>
            </w:r>
            <w:r>
              <w:rPr>
                <w:rStyle w:val="afffff"/>
                <w:rFonts w:hint="eastAsia"/>
              </w:rPr>
              <w:t>2</w:t>
            </w:r>
            <w:r>
              <w:rPr>
                <w:rStyle w:val="afffff"/>
                <w:rFonts w:hint="eastAsia"/>
              </w:rPr>
              <w:t>）</w:t>
            </w:r>
          </w:p>
        </w:tc>
      </w:tr>
      <w:tr w:rsidR="009136B5">
        <w:tblPrEx>
          <w:tblCellMar>
            <w:left w:w="0" w:type="dxa"/>
            <w:right w:w="57" w:type="dxa"/>
          </w:tblCellMar>
        </w:tblPrEx>
        <w:tc>
          <w:tcPr>
            <w:tcW w:w="678" w:type="pct"/>
          </w:tcPr>
          <w:p w:rsidR="009136B5" w:rsidRDefault="00000000">
            <w:pPr>
              <w:pStyle w:val="220"/>
              <w:adjustRightInd w:val="0"/>
              <w:snapToGrid w:val="0"/>
              <w:jc w:val="left"/>
            </w:pPr>
            <w:r>
              <w:rPr>
                <w:rFonts w:hint="eastAsia"/>
              </w:rPr>
              <w:t>式</w:t>
            </w:r>
            <w:r>
              <w:rPr>
                <w:rFonts w:hint="eastAsia"/>
              </w:rPr>
              <w:t xml:space="preserve">  </w:t>
            </w:r>
            <w:r>
              <w:rPr>
                <w:rFonts w:hint="eastAsia"/>
              </w:rPr>
              <w:t>中：</w:t>
            </w:r>
            <w:r>
              <w:rPr>
                <w:rFonts w:hint="eastAsia"/>
              </w:rPr>
              <w:t xml:space="preserve"> </w:t>
            </w:r>
            <w:r>
              <w:t xml:space="preserve">    </w:t>
            </w:r>
            <w:r>
              <w:rPr>
                <w:position w:val="-6"/>
              </w:rPr>
              <w:object w:dxaOrig="215" w:dyaOrig="204">
                <v:shape id="_x0000_i1103" type="#_x0000_t75" style="width:10pt;height:10pt" o:ole="">
                  <v:imagedata r:id="rId181" o:title=""/>
                </v:shape>
                <o:OLEObject Type="Embed" ProgID="Equation.DSMT4" ShapeID="_x0000_i1103" DrawAspect="Content" ObjectID="_1735132881" r:id="rId182"/>
              </w:object>
            </w:r>
          </w:p>
        </w:tc>
        <w:tc>
          <w:tcPr>
            <w:tcW w:w="299" w:type="pct"/>
          </w:tcPr>
          <w:p w:rsidR="009136B5" w:rsidRDefault="00000000">
            <w:pPr>
              <w:pStyle w:val="220"/>
              <w:widowControl w:val="0"/>
              <w:adjustRightInd w:val="0"/>
              <w:snapToGrid w:val="0"/>
              <w:jc w:val="center"/>
            </w:pPr>
            <w:r>
              <w:t>——</w:t>
            </w:r>
          </w:p>
        </w:tc>
        <w:tc>
          <w:tcPr>
            <w:tcW w:w="4023" w:type="pct"/>
            <w:gridSpan w:val="2"/>
          </w:tcPr>
          <w:p w:rsidR="009136B5" w:rsidRDefault="00000000">
            <w:pPr>
              <w:autoSpaceDE w:val="0"/>
              <w:autoSpaceDN w:val="0"/>
              <w:adjustRightInd w:val="0"/>
              <w:snapToGrid w:val="0"/>
              <w:ind w:firstLineChars="0" w:firstLine="0"/>
              <w:rPr>
                <w:szCs w:val="21"/>
                <w:lang w:val="zh-CN"/>
              </w:rPr>
            </w:pPr>
            <w:r>
              <w:rPr>
                <w:rFonts w:ascii="Calibri" w:hAnsi="Calibri" w:cs="宋体" w:hint="eastAsia"/>
              </w:rPr>
              <w:t>内置</w:t>
            </w:r>
            <w:r>
              <w:rPr>
                <w:rFonts w:ascii="Calibri" w:hAnsi="Calibri" w:cs="宋体"/>
              </w:rPr>
              <w:t>型钢预加载率，即内置型钢轴向预加载力</w:t>
            </w:r>
            <w:r>
              <w:rPr>
                <w:rFonts w:ascii="Calibri" w:hAnsi="Calibri" w:cs="宋体" w:hint="eastAsia"/>
              </w:rPr>
              <w:t>与</w:t>
            </w:r>
            <w:r>
              <w:rPr>
                <w:rFonts w:ascii="Calibri" w:hAnsi="Calibri" w:cs="宋体"/>
              </w:rPr>
              <w:t>该</w:t>
            </w:r>
            <w:r>
              <w:rPr>
                <w:rFonts w:ascii="Calibri" w:hAnsi="Calibri" w:cs="宋体" w:hint="eastAsia"/>
              </w:rPr>
              <w:t>竖向承重</w:t>
            </w:r>
            <w:r>
              <w:rPr>
                <w:rFonts w:ascii="Calibri" w:hAnsi="Calibri" w:cs="宋体"/>
              </w:rPr>
              <w:t>构件总轴向力的比值</w:t>
            </w:r>
            <w:r>
              <w:rPr>
                <w:color w:val="000000"/>
                <w:shd w:val="clear" w:color="auto" w:fill="FFFFFF"/>
              </w:rPr>
              <w:t>；</w:t>
            </w:r>
          </w:p>
        </w:tc>
      </w:tr>
      <w:tr w:rsidR="009136B5">
        <w:tblPrEx>
          <w:tblCellMar>
            <w:left w:w="0" w:type="dxa"/>
            <w:right w:w="57" w:type="dxa"/>
          </w:tblCellMar>
        </w:tblPrEx>
        <w:tc>
          <w:tcPr>
            <w:tcW w:w="678" w:type="pct"/>
          </w:tcPr>
          <w:p w:rsidR="009136B5" w:rsidRDefault="00000000">
            <w:pPr>
              <w:pStyle w:val="220"/>
              <w:adjustRightInd w:val="0"/>
              <w:snapToGrid w:val="0"/>
              <w:jc w:val="right"/>
              <w:rPr>
                <w:i/>
                <w:iCs/>
              </w:rPr>
            </w:pPr>
            <w:r>
              <w:rPr>
                <w:rFonts w:ascii="宋体" w:hAnsi="宋体"/>
                <w:position w:val="-10"/>
                <w:lang w:bidi="ar"/>
              </w:rPr>
              <w:object w:dxaOrig="247" w:dyaOrig="301">
                <v:shape id="_x0000_i1104" type="#_x0000_t75" style="width:11.9pt;height:15.05pt" o:ole="">
                  <v:imagedata r:id="rId183" o:title=""/>
                </v:shape>
                <o:OLEObject Type="Embed" ProgID="Equation.DSMT4" ShapeID="_x0000_i1104" DrawAspect="Content" ObjectID="_1735132882" r:id="rId184"/>
              </w:object>
            </w:r>
          </w:p>
        </w:tc>
        <w:tc>
          <w:tcPr>
            <w:tcW w:w="299" w:type="pct"/>
            <w:vAlign w:val="center"/>
          </w:tcPr>
          <w:p w:rsidR="009136B5" w:rsidRDefault="00000000">
            <w:pPr>
              <w:pStyle w:val="220"/>
              <w:adjustRightInd w:val="0"/>
              <w:snapToGrid w:val="0"/>
              <w:jc w:val="center"/>
            </w:pPr>
            <w:r>
              <w:t>——</w:t>
            </w:r>
          </w:p>
        </w:tc>
        <w:tc>
          <w:tcPr>
            <w:tcW w:w="4023" w:type="pct"/>
            <w:gridSpan w:val="2"/>
            <w:vAlign w:val="center"/>
          </w:tcPr>
          <w:p w:rsidR="009136B5" w:rsidRDefault="00000000">
            <w:pPr>
              <w:autoSpaceDE w:val="0"/>
              <w:autoSpaceDN w:val="0"/>
              <w:adjustRightInd w:val="0"/>
              <w:snapToGrid w:val="0"/>
              <w:ind w:firstLineChars="0" w:firstLine="0"/>
              <w:rPr>
                <w:bCs/>
                <w:szCs w:val="21"/>
              </w:rPr>
            </w:pPr>
            <w:r>
              <w:rPr>
                <w:rFonts w:ascii="Calibri" w:hAnsi="Calibri" w:cs="宋体" w:hint="eastAsia"/>
              </w:rPr>
              <w:t>内置</w:t>
            </w:r>
            <w:r>
              <w:rPr>
                <w:rFonts w:ascii="Calibri" w:hAnsi="Calibri" w:cs="宋体"/>
              </w:rPr>
              <w:t>型钢的预加载</w:t>
            </w:r>
            <w:r>
              <w:rPr>
                <w:rFonts w:ascii="Calibri" w:hAnsi="Calibri" w:cs="宋体" w:hint="eastAsia"/>
              </w:rPr>
              <w:t>后混凝土初始弹性应变</w:t>
            </w:r>
          </w:p>
        </w:tc>
      </w:tr>
      <w:tr w:rsidR="009136B5">
        <w:tblPrEx>
          <w:tblCellMar>
            <w:left w:w="0" w:type="dxa"/>
            <w:right w:w="57" w:type="dxa"/>
          </w:tblCellMar>
        </w:tblPrEx>
        <w:tc>
          <w:tcPr>
            <w:tcW w:w="678" w:type="pct"/>
            <w:vAlign w:val="center"/>
          </w:tcPr>
          <w:p w:rsidR="009136B5" w:rsidRDefault="00000000">
            <w:pPr>
              <w:pStyle w:val="220"/>
              <w:adjustRightInd w:val="0"/>
              <w:snapToGrid w:val="0"/>
              <w:jc w:val="right"/>
              <w:rPr>
                <w:rFonts w:ascii="宋体" w:hAnsi="宋体"/>
                <w:position w:val="-10"/>
                <w:lang w:bidi="ar"/>
              </w:rPr>
            </w:pPr>
            <w:r>
              <w:rPr>
                <w:rFonts w:ascii="宋体" w:hAnsi="宋体"/>
                <w:position w:val="-10"/>
                <w:lang w:bidi="ar"/>
              </w:rPr>
              <w:object w:dxaOrig="226" w:dyaOrig="258">
                <v:shape id="_x0000_i1105" type="#_x0000_t75" style="width:11.25pt;height:13.15pt" o:ole="">
                  <v:imagedata r:id="rId40" o:title=""/>
                </v:shape>
                <o:OLEObject Type="Embed" ProgID="Equation.3" ShapeID="_x0000_i1105" DrawAspect="Content" ObjectID="_1735132883" r:id="rId185"/>
              </w:object>
            </w:r>
          </w:p>
        </w:tc>
        <w:tc>
          <w:tcPr>
            <w:tcW w:w="299" w:type="pct"/>
            <w:vAlign w:val="center"/>
          </w:tcPr>
          <w:p w:rsidR="009136B5" w:rsidRDefault="00000000">
            <w:pPr>
              <w:pStyle w:val="220"/>
              <w:adjustRightInd w:val="0"/>
              <w:snapToGrid w:val="0"/>
              <w:jc w:val="center"/>
            </w:pPr>
            <w:r>
              <w:t>——</w:t>
            </w:r>
          </w:p>
        </w:tc>
        <w:tc>
          <w:tcPr>
            <w:tcW w:w="4023" w:type="pct"/>
            <w:gridSpan w:val="2"/>
            <w:vAlign w:val="center"/>
          </w:tcPr>
          <w:p w:rsidR="009136B5" w:rsidRDefault="00000000">
            <w:pPr>
              <w:pStyle w:val="xxx"/>
              <w:adjustRightInd w:val="0"/>
              <w:snapToGrid w:val="0"/>
              <w:rPr>
                <w:rFonts w:ascii="Calibri" w:hAnsi="Calibri" w:cs="宋体"/>
              </w:rPr>
            </w:pPr>
            <w:r>
              <w:rPr>
                <w:rFonts w:hint="eastAsia"/>
                <w:bCs/>
                <w:szCs w:val="21"/>
              </w:rPr>
              <w:t>含钢率；</w:t>
            </w:r>
          </w:p>
        </w:tc>
      </w:tr>
      <w:tr w:rsidR="009136B5">
        <w:tblPrEx>
          <w:tblCellMar>
            <w:left w:w="0" w:type="dxa"/>
            <w:right w:w="57" w:type="dxa"/>
          </w:tblCellMar>
        </w:tblPrEx>
        <w:tc>
          <w:tcPr>
            <w:tcW w:w="1269" w:type="dxa"/>
            <w:vAlign w:val="center"/>
          </w:tcPr>
          <w:p w:rsidR="009136B5" w:rsidRDefault="00000000">
            <w:pPr>
              <w:pStyle w:val="220"/>
              <w:adjustRightInd w:val="0"/>
              <w:snapToGrid w:val="0"/>
              <w:jc w:val="right"/>
              <w:rPr>
                <w:rFonts w:ascii="宋体" w:hAnsi="宋体"/>
                <w:position w:val="-10"/>
                <w:lang w:bidi="ar"/>
              </w:rPr>
            </w:pPr>
            <w:r>
              <w:rPr>
                <w:rFonts w:ascii="宋体" w:hAnsi="宋体"/>
                <w:position w:val="-12"/>
                <w:lang w:bidi="ar"/>
              </w:rPr>
              <w:object w:dxaOrig="548" w:dyaOrig="322">
                <v:shape id="_x0000_i1106" type="#_x0000_t75" style="width:26.9pt;height:15.65pt" o:ole="">
                  <v:imagedata r:id="rId186" o:title=""/>
                </v:shape>
                <o:OLEObject Type="Embed" ProgID="Equation.DSMT4" ShapeID="_x0000_i1106" DrawAspect="Content" ObjectID="_1735132884" r:id="rId187"/>
              </w:object>
            </w:r>
          </w:p>
        </w:tc>
        <w:tc>
          <w:tcPr>
            <w:tcW w:w="559" w:type="dxa"/>
            <w:vAlign w:val="center"/>
          </w:tcPr>
          <w:p w:rsidR="009136B5" w:rsidRDefault="00000000">
            <w:pPr>
              <w:pStyle w:val="220"/>
              <w:adjustRightInd w:val="0"/>
              <w:snapToGrid w:val="0"/>
              <w:jc w:val="center"/>
            </w:pPr>
            <w:r>
              <w:t>——</w:t>
            </w:r>
          </w:p>
        </w:tc>
        <w:tc>
          <w:tcPr>
            <w:tcW w:w="7527" w:type="dxa"/>
            <w:gridSpan w:val="2"/>
            <w:vAlign w:val="center"/>
          </w:tcPr>
          <w:p w:rsidR="009136B5" w:rsidRDefault="00000000">
            <w:pPr>
              <w:pStyle w:val="xxx"/>
              <w:adjustRightInd w:val="0"/>
              <w:snapToGrid w:val="0"/>
              <w:rPr>
                <w:bCs/>
                <w:szCs w:val="21"/>
              </w:rPr>
            </w:pPr>
            <w:r>
              <w:rPr>
                <w:rFonts w:ascii="Calibri" w:hAnsi="Calibri" w:cs="宋体" w:hint="eastAsia"/>
                <w:color w:val="000000"/>
                <w:shd w:val="clear" w:color="auto" w:fill="FFFFFF"/>
              </w:rPr>
              <w:t>徐变增大系数</w:t>
            </w:r>
            <w:r>
              <w:rPr>
                <w:color w:val="000000"/>
                <w:shd w:val="clear" w:color="auto" w:fill="FFFFFF"/>
              </w:rPr>
              <w:t>；</w:t>
            </w:r>
          </w:p>
        </w:tc>
      </w:tr>
      <w:tr w:rsidR="009136B5">
        <w:tblPrEx>
          <w:tblCellMar>
            <w:left w:w="0" w:type="dxa"/>
            <w:right w:w="57" w:type="dxa"/>
          </w:tblCellMar>
        </w:tblPrEx>
        <w:tc>
          <w:tcPr>
            <w:tcW w:w="1269" w:type="dxa"/>
            <w:vAlign w:val="center"/>
          </w:tcPr>
          <w:p w:rsidR="009136B5" w:rsidRDefault="00000000">
            <w:pPr>
              <w:pStyle w:val="220"/>
              <w:adjustRightInd w:val="0"/>
              <w:snapToGrid w:val="0"/>
              <w:jc w:val="right"/>
              <w:rPr>
                <w:rFonts w:ascii="宋体" w:hAnsi="宋体"/>
                <w:position w:val="-10"/>
                <w:lang w:bidi="ar"/>
              </w:rPr>
            </w:pPr>
            <w:r>
              <w:rPr>
                <w:rFonts w:ascii="宋体" w:hAnsi="宋体"/>
                <w:position w:val="-6"/>
                <w:lang w:bidi="ar"/>
              </w:rPr>
              <w:object w:dxaOrig="226" w:dyaOrig="258">
                <v:shape id="_x0000_i1107" type="#_x0000_t75" style="width:11.25pt;height:13.15pt" o:ole="">
                  <v:imagedata r:id="rId188" o:title=""/>
                </v:shape>
                <o:OLEObject Type="Embed" ProgID="Equation.3" ShapeID="_x0000_i1107" DrawAspect="Content" ObjectID="_1735132885" r:id="rId189"/>
              </w:object>
            </w:r>
          </w:p>
        </w:tc>
        <w:tc>
          <w:tcPr>
            <w:tcW w:w="559" w:type="dxa"/>
            <w:vAlign w:val="center"/>
          </w:tcPr>
          <w:p w:rsidR="009136B5" w:rsidRDefault="00000000">
            <w:pPr>
              <w:pStyle w:val="220"/>
              <w:adjustRightInd w:val="0"/>
              <w:snapToGrid w:val="0"/>
              <w:jc w:val="center"/>
            </w:pPr>
            <w:r>
              <w:t>——</w:t>
            </w:r>
          </w:p>
        </w:tc>
        <w:tc>
          <w:tcPr>
            <w:tcW w:w="7527" w:type="dxa"/>
            <w:gridSpan w:val="2"/>
            <w:vAlign w:val="center"/>
          </w:tcPr>
          <w:p w:rsidR="009136B5" w:rsidRDefault="00000000">
            <w:pPr>
              <w:pStyle w:val="xxx"/>
              <w:adjustRightInd w:val="0"/>
              <w:snapToGrid w:val="0"/>
              <w:rPr>
                <w:bCs/>
                <w:szCs w:val="21"/>
              </w:rPr>
            </w:pPr>
            <w:r>
              <w:rPr>
                <w:rFonts w:hint="eastAsia"/>
                <w:color w:val="000000"/>
                <w:shd w:val="clear" w:color="auto" w:fill="FFFFFF"/>
              </w:rPr>
              <w:t>老化系数，取</w:t>
            </w:r>
            <w:r>
              <w:rPr>
                <w:rFonts w:hint="eastAsia"/>
                <w:color w:val="000000"/>
                <w:shd w:val="clear" w:color="auto" w:fill="FFFFFF"/>
              </w:rPr>
              <w:t>0.5~1.0</w:t>
            </w:r>
            <w:r>
              <w:rPr>
                <w:rFonts w:hint="eastAsia"/>
                <w:color w:val="000000"/>
                <w:shd w:val="clear" w:color="auto" w:fill="FFFFFF"/>
              </w:rPr>
              <w:t>；</w:t>
            </w:r>
          </w:p>
        </w:tc>
      </w:tr>
      <w:tr w:rsidR="009136B5">
        <w:tblPrEx>
          <w:tblCellMar>
            <w:left w:w="0" w:type="dxa"/>
            <w:right w:w="57" w:type="dxa"/>
          </w:tblCellMar>
        </w:tblPrEx>
        <w:tc>
          <w:tcPr>
            <w:tcW w:w="678" w:type="pct"/>
            <w:vAlign w:val="center"/>
          </w:tcPr>
          <w:p w:rsidR="009136B5" w:rsidRDefault="00000000">
            <w:pPr>
              <w:pStyle w:val="220"/>
              <w:adjustRightInd w:val="0"/>
              <w:snapToGrid w:val="0"/>
              <w:jc w:val="right"/>
              <w:rPr>
                <w:rFonts w:ascii="宋体" w:hAnsi="宋体"/>
                <w:position w:val="-10"/>
                <w:lang w:bidi="ar"/>
              </w:rPr>
            </w:pPr>
            <w:r>
              <w:rPr>
                <w:rFonts w:ascii="宋体" w:hAnsi="宋体"/>
                <w:position w:val="-6"/>
                <w:lang w:bidi="ar"/>
              </w:rPr>
              <w:object w:dxaOrig="204" w:dyaOrig="226">
                <v:shape id="_x0000_i1108" type="#_x0000_t75" style="width:10pt;height:11.25pt" o:ole="">
                  <v:imagedata r:id="rId190" o:title=""/>
                </v:shape>
                <o:OLEObject Type="Embed" ProgID="Equation.3" ShapeID="_x0000_i1108" DrawAspect="Content" ObjectID="_1735132886" r:id="rId191"/>
              </w:object>
            </w:r>
          </w:p>
        </w:tc>
        <w:tc>
          <w:tcPr>
            <w:tcW w:w="299" w:type="pct"/>
            <w:vAlign w:val="center"/>
          </w:tcPr>
          <w:p w:rsidR="009136B5" w:rsidRDefault="00000000">
            <w:pPr>
              <w:pStyle w:val="220"/>
              <w:adjustRightInd w:val="0"/>
              <w:snapToGrid w:val="0"/>
              <w:jc w:val="center"/>
            </w:pPr>
            <w:r>
              <w:t>——</w:t>
            </w:r>
          </w:p>
        </w:tc>
        <w:tc>
          <w:tcPr>
            <w:tcW w:w="4023" w:type="pct"/>
            <w:gridSpan w:val="2"/>
            <w:vAlign w:val="center"/>
          </w:tcPr>
          <w:p w:rsidR="009136B5" w:rsidRDefault="00000000">
            <w:pPr>
              <w:pStyle w:val="xxx"/>
              <w:adjustRightInd w:val="0"/>
              <w:snapToGrid w:val="0"/>
              <w:rPr>
                <w:rFonts w:ascii="Calibri" w:hAnsi="Calibri" w:cs="宋体"/>
              </w:rPr>
            </w:pPr>
            <w:r>
              <w:rPr>
                <w:rFonts w:hint="eastAsia"/>
                <w:szCs w:val="21"/>
              </w:rPr>
              <w:t>钢筋与混凝土弹性模量之比。</w:t>
            </w:r>
          </w:p>
        </w:tc>
      </w:tr>
    </w:tbl>
    <w:p w:rsidR="009136B5" w:rsidRDefault="00000000">
      <w:pPr>
        <w:pStyle w:val="xxx"/>
      </w:pPr>
      <w:r>
        <w:rPr>
          <w:rFonts w:hint="eastAsia"/>
          <w:b/>
          <w:bCs/>
        </w:rPr>
        <w:t>6</w:t>
      </w:r>
      <w:r>
        <w:rPr>
          <w:b/>
          <w:bCs/>
        </w:rPr>
        <w:t>.2.10</w:t>
      </w:r>
      <w:r>
        <w:t xml:space="preserve">  </w:t>
      </w:r>
      <w:r>
        <w:rPr>
          <w:rFonts w:hint="eastAsia"/>
        </w:rPr>
        <w:t>当新增地下室的顶板和楼板采用逆作施工，并兼作</w:t>
      </w:r>
      <w:r>
        <w:t>基坑水平支撑</w:t>
      </w:r>
      <w:r>
        <w:rPr>
          <w:rFonts w:hint="eastAsia"/>
        </w:rPr>
        <w:t>结构时，应考虑侧向水土压力对结构顶（楼）板受力的影响。顶（楼）板存在高差时，应在高差部位设置斜板、腋板等确保可靠传</w:t>
      </w:r>
      <w:r>
        <w:rPr>
          <w:rFonts w:hint="eastAsia"/>
        </w:rPr>
        <w:lastRenderedPageBreak/>
        <w:t>力的措施。</w:t>
      </w:r>
    </w:p>
    <w:p w:rsidR="009136B5" w:rsidRDefault="009136B5">
      <w:pPr>
        <w:pStyle w:val="xxx"/>
        <w:rPr>
          <w:strike/>
        </w:rPr>
      </w:pPr>
    </w:p>
    <w:p w:rsidR="009136B5" w:rsidRDefault="00000000">
      <w:pPr>
        <w:pStyle w:val="20"/>
      </w:pPr>
      <w:bookmarkStart w:id="67" w:name="_Toc32736"/>
      <w:r>
        <w:t>6.</w:t>
      </w:r>
      <w:r>
        <w:rPr>
          <w:rFonts w:hint="eastAsia"/>
        </w:rPr>
        <w:t>3</w:t>
      </w:r>
      <w:r>
        <w:t xml:space="preserve"> </w:t>
      </w:r>
      <w:r>
        <w:rPr>
          <w:rFonts w:hint="eastAsia"/>
        </w:rPr>
        <w:t xml:space="preserve"> </w:t>
      </w:r>
      <w:r>
        <w:rPr>
          <w:rFonts w:hint="eastAsia"/>
        </w:rPr>
        <w:t>基础设计</w:t>
      </w:r>
      <w:bookmarkEnd w:id="65"/>
      <w:bookmarkEnd w:id="66"/>
      <w:bookmarkEnd w:id="67"/>
    </w:p>
    <w:p w:rsidR="009136B5" w:rsidRDefault="00000000">
      <w:pPr>
        <w:pStyle w:val="xxx"/>
        <w:rPr>
          <w:color w:val="000000" w:themeColor="text1"/>
        </w:rPr>
      </w:pPr>
      <w:r>
        <w:rPr>
          <w:b/>
          <w:bCs/>
          <w:color w:val="000000" w:themeColor="text1"/>
        </w:rPr>
        <w:t>6.3.</w:t>
      </w:r>
      <w:r>
        <w:rPr>
          <w:rFonts w:hint="eastAsia"/>
          <w:b/>
          <w:bCs/>
          <w:color w:val="000000" w:themeColor="text1"/>
        </w:rPr>
        <w:t>1</w:t>
      </w:r>
      <w:r>
        <w:rPr>
          <w:color w:val="000000" w:themeColor="text1"/>
        </w:rPr>
        <w:t xml:space="preserve">  </w:t>
      </w:r>
      <w:r>
        <w:rPr>
          <w:rFonts w:hint="eastAsia"/>
          <w:color w:val="000000" w:themeColor="text1"/>
        </w:rPr>
        <w:t>新增地下室基础设计时，应进行地下结构的抗浮稳定性验算。</w:t>
      </w:r>
    </w:p>
    <w:p w:rsidR="009136B5" w:rsidRDefault="00000000">
      <w:pPr>
        <w:pStyle w:val="xxx"/>
        <w:rPr>
          <w:color w:val="000000" w:themeColor="text1"/>
        </w:rPr>
      </w:pPr>
      <w:r>
        <w:rPr>
          <w:b/>
          <w:bCs/>
          <w:color w:val="000000" w:themeColor="text1"/>
        </w:rPr>
        <w:t>6.3.</w:t>
      </w:r>
      <w:r>
        <w:rPr>
          <w:rFonts w:hint="eastAsia"/>
          <w:b/>
          <w:bCs/>
          <w:color w:val="000000" w:themeColor="text1"/>
        </w:rPr>
        <w:t>2</w:t>
      </w:r>
      <w:r>
        <w:rPr>
          <w:b/>
          <w:bCs/>
          <w:color w:val="000000" w:themeColor="text1"/>
        </w:rPr>
        <w:t xml:space="preserve"> </w:t>
      </w:r>
      <w:r>
        <w:rPr>
          <w:rFonts w:hint="eastAsia"/>
          <w:color w:val="000000" w:themeColor="text1"/>
        </w:rPr>
        <w:t xml:space="preserve"> </w:t>
      </w:r>
      <w:r>
        <w:rPr>
          <w:rFonts w:hint="eastAsia"/>
          <w:color w:val="000000" w:themeColor="text1"/>
        </w:rPr>
        <w:t>既有建筑地下增层后，当利用托换桩作为抗浮构件时，应进行抗拔承载力、桩身抗拉承载力及抗裂验算。</w:t>
      </w:r>
    </w:p>
    <w:p w:rsidR="009136B5" w:rsidRDefault="00000000">
      <w:pPr>
        <w:pStyle w:val="xxx"/>
        <w:rPr>
          <w:bCs/>
        </w:rPr>
      </w:pPr>
      <w:r>
        <w:rPr>
          <w:rFonts w:hint="eastAsia"/>
          <w:b/>
          <w:bCs/>
        </w:rPr>
        <w:t>6</w:t>
      </w:r>
      <w:r>
        <w:rPr>
          <w:b/>
          <w:bCs/>
        </w:rPr>
        <w:t>.</w:t>
      </w:r>
      <w:r>
        <w:rPr>
          <w:rFonts w:hint="eastAsia"/>
          <w:b/>
          <w:bCs/>
        </w:rPr>
        <w:t>3</w:t>
      </w:r>
      <w:r>
        <w:rPr>
          <w:b/>
          <w:bCs/>
        </w:rPr>
        <w:t xml:space="preserve">.3  </w:t>
      </w:r>
      <w:r>
        <w:rPr>
          <w:rFonts w:hint="eastAsia"/>
          <w:bCs/>
        </w:rPr>
        <w:t>当地下结构不满足抗浮稳定验算要求时，应增设</w:t>
      </w:r>
      <w:r>
        <w:rPr>
          <w:rFonts w:hint="eastAsia"/>
          <w:bCs/>
          <w:color w:val="000000" w:themeColor="text1"/>
        </w:rPr>
        <w:t>锚杆、锚杆静压桩等抗浮构件</w:t>
      </w:r>
      <w:r>
        <w:rPr>
          <w:rFonts w:hint="eastAsia"/>
          <w:bCs/>
        </w:rPr>
        <w:t>，并应考虑新增抗浮构件与托换桩的协同作用。</w:t>
      </w:r>
    </w:p>
    <w:p w:rsidR="009136B5" w:rsidRDefault="00000000">
      <w:pPr>
        <w:pStyle w:val="xxx"/>
        <w:rPr>
          <w:bCs/>
        </w:rPr>
      </w:pPr>
      <w:r>
        <w:rPr>
          <w:rFonts w:hint="eastAsia"/>
          <w:b/>
          <w:bCs/>
        </w:rPr>
        <w:t>6.3.4</w:t>
      </w:r>
      <w:r>
        <w:rPr>
          <w:rFonts w:hint="eastAsia"/>
          <w:bCs/>
        </w:rPr>
        <w:t xml:space="preserve">  </w:t>
      </w:r>
      <w:r>
        <w:rPr>
          <w:rFonts w:hint="eastAsia"/>
          <w:bCs/>
        </w:rPr>
        <w:t>采用永久托换桩兼做新增地下室使用阶段的工程桩，其受压承载力应按</w:t>
      </w:r>
      <w:r>
        <w:rPr>
          <w:rFonts w:hint="eastAsia"/>
          <w:bCs/>
        </w:rPr>
        <w:t>4.3.6</w:t>
      </w:r>
      <w:r>
        <w:rPr>
          <w:rFonts w:hint="eastAsia"/>
          <w:bCs/>
        </w:rPr>
        <w:t>进行验算。</w:t>
      </w:r>
    </w:p>
    <w:p w:rsidR="009136B5" w:rsidRDefault="00000000">
      <w:pPr>
        <w:pStyle w:val="xxx"/>
        <w:rPr>
          <w:bCs/>
        </w:rPr>
      </w:pPr>
      <w:r>
        <w:rPr>
          <w:rFonts w:hint="eastAsia"/>
          <w:b/>
          <w:bCs/>
        </w:rPr>
        <w:t>6</w:t>
      </w:r>
      <w:r>
        <w:rPr>
          <w:b/>
          <w:bCs/>
        </w:rPr>
        <w:t>.3.</w:t>
      </w:r>
      <w:r>
        <w:rPr>
          <w:rFonts w:hint="eastAsia"/>
          <w:b/>
          <w:bCs/>
        </w:rPr>
        <w:t>5</w:t>
      </w:r>
      <w:r>
        <w:rPr>
          <w:bCs/>
        </w:rPr>
        <w:t xml:space="preserve">  </w:t>
      </w:r>
      <w:r>
        <w:rPr>
          <w:rFonts w:hint="eastAsia"/>
          <w:bCs/>
        </w:rPr>
        <w:t>可采用凿毛、植筋等方法提高新增地下室底板与托换桩之间的整体性，新旧混凝土结构面受剪承载力可按</w:t>
      </w:r>
      <w:r>
        <w:rPr>
          <w:rFonts w:hint="eastAsia"/>
          <w:bCs/>
        </w:rPr>
        <w:t>4</w:t>
      </w:r>
      <w:r>
        <w:rPr>
          <w:bCs/>
        </w:rPr>
        <w:t>.4.3</w:t>
      </w:r>
      <w:r>
        <w:rPr>
          <w:rFonts w:hint="eastAsia"/>
          <w:bCs/>
        </w:rPr>
        <w:t>计算。</w:t>
      </w:r>
    </w:p>
    <w:p w:rsidR="009136B5" w:rsidRDefault="00000000">
      <w:pPr>
        <w:pStyle w:val="20"/>
      </w:pPr>
      <w:bookmarkStart w:id="68" w:name="_Toc123647780"/>
      <w:bookmarkStart w:id="69" w:name="_Toc122424046"/>
      <w:bookmarkStart w:id="70" w:name="_Toc10350"/>
      <w:r>
        <w:rPr>
          <w:rFonts w:hint="eastAsia"/>
        </w:rPr>
        <w:t>6</w:t>
      </w:r>
      <w:r>
        <w:t xml:space="preserve">.4 </w:t>
      </w:r>
      <w:r>
        <w:rPr>
          <w:rFonts w:hint="eastAsia"/>
        </w:rPr>
        <w:t xml:space="preserve"> </w:t>
      </w:r>
      <w:r>
        <w:rPr>
          <w:rFonts w:hint="eastAsia"/>
        </w:rPr>
        <w:t>连接构造</w:t>
      </w:r>
      <w:bookmarkEnd w:id="68"/>
      <w:bookmarkEnd w:id="69"/>
      <w:bookmarkEnd w:id="70"/>
    </w:p>
    <w:p w:rsidR="009136B5" w:rsidRDefault="00000000">
      <w:pPr>
        <w:pStyle w:val="xxx"/>
        <w:rPr>
          <w:color w:val="000000" w:themeColor="text1"/>
        </w:rPr>
      </w:pPr>
      <w:r>
        <w:rPr>
          <w:rFonts w:hint="eastAsia"/>
          <w:b/>
          <w:bCs/>
        </w:rPr>
        <w:t>6</w:t>
      </w:r>
      <w:r>
        <w:rPr>
          <w:b/>
          <w:bCs/>
        </w:rPr>
        <w:t>.4.1</w:t>
      </w:r>
      <w:r>
        <w:t xml:space="preserve">  </w:t>
      </w:r>
      <w:r>
        <w:rPr>
          <w:color w:val="000000" w:themeColor="text1"/>
        </w:rPr>
        <w:t>新增</w:t>
      </w:r>
      <w:r>
        <w:rPr>
          <w:rFonts w:hint="eastAsia"/>
          <w:color w:val="000000" w:themeColor="text1"/>
        </w:rPr>
        <w:t>结构柱</w:t>
      </w:r>
      <w:r>
        <w:rPr>
          <w:color w:val="000000" w:themeColor="text1"/>
        </w:rPr>
        <w:t>与各层梁、板结构及柱下基础为非同步施作构件，其连接节点应进行专门设计，节点设计应反映整体结构预期的工作状态，保证构件相交节点在既定约束条件下力的</w:t>
      </w:r>
      <w:r>
        <w:rPr>
          <w:rFonts w:hint="eastAsia"/>
          <w:color w:val="000000" w:themeColor="text1"/>
        </w:rPr>
        <w:t>可靠</w:t>
      </w:r>
      <w:r>
        <w:rPr>
          <w:color w:val="000000" w:themeColor="text1"/>
        </w:rPr>
        <w:t>传递，并进行相应的承载力计算</w:t>
      </w:r>
      <w:r>
        <w:rPr>
          <w:rFonts w:hint="eastAsia"/>
          <w:color w:val="000000" w:themeColor="text1"/>
        </w:rPr>
        <w:t>。</w:t>
      </w:r>
    </w:p>
    <w:p w:rsidR="009136B5" w:rsidRDefault="00000000">
      <w:pPr>
        <w:pStyle w:val="xxx"/>
      </w:pPr>
      <w:r>
        <w:rPr>
          <w:rFonts w:hint="eastAsia"/>
          <w:b/>
          <w:bCs/>
        </w:rPr>
        <w:t>6.4.</w:t>
      </w:r>
      <w:r>
        <w:rPr>
          <w:b/>
          <w:bCs/>
        </w:rPr>
        <w:t>2</w:t>
      </w:r>
      <w:r>
        <w:rPr>
          <w:rFonts w:hint="eastAsia"/>
          <w:b/>
          <w:bCs/>
        </w:rPr>
        <w:t xml:space="preserve">  </w:t>
      </w:r>
      <w:r>
        <w:rPr>
          <w:rFonts w:hint="eastAsia"/>
          <w:bCs/>
        </w:rPr>
        <w:t>当</w:t>
      </w:r>
      <w:r>
        <w:t>既有建筑</w:t>
      </w:r>
      <w:r>
        <w:rPr>
          <w:rFonts w:hint="eastAsia"/>
        </w:rPr>
        <w:t>无地下室时，新增地下室顶板与托换桩、新增结构柱间宜采取以下构造措施（图</w:t>
      </w:r>
      <w:r>
        <w:rPr>
          <w:rFonts w:hint="eastAsia"/>
        </w:rPr>
        <w:t>6</w:t>
      </w:r>
      <w:r>
        <w:t>.4.2</w:t>
      </w:r>
      <w:r>
        <w:rPr>
          <w:rFonts w:hint="eastAsia"/>
        </w:rPr>
        <w:t>）：</w:t>
      </w:r>
    </w:p>
    <w:p w:rsidR="009136B5" w:rsidRDefault="00000000">
      <w:pPr>
        <w:pStyle w:val="xxx"/>
        <w:ind w:firstLineChars="150" w:firstLine="315"/>
      </w:pPr>
      <w:r>
        <w:rPr>
          <w:rFonts w:hint="eastAsia"/>
        </w:rPr>
        <w:t>1</w:t>
      </w:r>
      <w:r>
        <w:t xml:space="preserve">  </w:t>
      </w:r>
      <w:r>
        <w:rPr>
          <w:rFonts w:hint="eastAsia"/>
        </w:rPr>
        <w:t>宜将托换桩与新增地下室顶板连接提高托换桩承载力及稳定性；</w:t>
      </w:r>
    </w:p>
    <w:p w:rsidR="009136B5" w:rsidRDefault="00000000">
      <w:pPr>
        <w:pStyle w:val="xxx"/>
        <w:ind w:firstLineChars="150" w:firstLine="315"/>
      </w:pPr>
      <w:r>
        <w:rPr>
          <w:rFonts w:hint="eastAsia"/>
        </w:rPr>
        <w:t>2</w:t>
      </w:r>
      <w:r>
        <w:t xml:space="preserve">  </w:t>
      </w:r>
      <w:r>
        <w:rPr>
          <w:rFonts w:hint="eastAsia"/>
        </w:rPr>
        <w:t>宜将新增地下室顶板局部加厚以满足托换时的传力要求；</w:t>
      </w:r>
    </w:p>
    <w:p w:rsidR="009136B5" w:rsidRDefault="00000000">
      <w:pPr>
        <w:pStyle w:val="xxx"/>
        <w:ind w:firstLineChars="150" w:firstLine="315"/>
      </w:pPr>
      <w:r>
        <w:t xml:space="preserve">3  </w:t>
      </w:r>
      <w:r>
        <w:rPr>
          <w:rFonts w:hint="eastAsia"/>
        </w:rPr>
        <w:t>新增地下室结构柱尺寸宜大于既有建筑结构柱以保证预留插筋的施工。</w:t>
      </w:r>
    </w:p>
    <w:p w:rsidR="009136B5" w:rsidRDefault="00000000">
      <w:pPr>
        <w:pStyle w:val="xxx"/>
        <w:jc w:val="center"/>
      </w:pPr>
      <w:r>
        <w:object w:dxaOrig="6491" w:dyaOrig="3546">
          <v:shape id="_x0000_i1109" type="#_x0000_t75" style="width:324.3pt;height:177.8pt" o:ole="">
            <v:imagedata r:id="rId192" o:title=""/>
          </v:shape>
          <o:OLEObject Type="Embed" ProgID="AutoCAD.Drawing.23" ShapeID="_x0000_i1109" DrawAspect="Content" ObjectID="_1735132887" r:id="rId193"/>
        </w:object>
      </w:r>
    </w:p>
    <w:p w:rsidR="009136B5" w:rsidRDefault="00000000">
      <w:pPr>
        <w:pStyle w:val="xxx"/>
        <w:jc w:val="center"/>
        <w:rPr>
          <w:color w:val="000000" w:themeColor="text1"/>
          <w:sz w:val="18"/>
          <w:szCs w:val="21"/>
        </w:rPr>
      </w:pPr>
      <w:r>
        <w:rPr>
          <w:rFonts w:hint="eastAsia"/>
          <w:color w:val="000000" w:themeColor="text1"/>
          <w:sz w:val="18"/>
          <w:szCs w:val="21"/>
        </w:rPr>
        <w:t>（</w:t>
      </w:r>
      <w:r>
        <w:rPr>
          <w:rFonts w:hint="eastAsia"/>
          <w:color w:val="000000" w:themeColor="text1"/>
          <w:sz w:val="18"/>
          <w:szCs w:val="21"/>
        </w:rPr>
        <w:t>a</w:t>
      </w:r>
      <w:r>
        <w:rPr>
          <w:rFonts w:hint="eastAsia"/>
          <w:color w:val="000000" w:themeColor="text1"/>
          <w:sz w:val="18"/>
          <w:szCs w:val="21"/>
        </w:rPr>
        <w:t>）新增地下室柱前</w:t>
      </w:r>
      <w:r>
        <w:rPr>
          <w:color w:val="000000" w:themeColor="text1"/>
          <w:sz w:val="18"/>
          <w:szCs w:val="21"/>
        </w:rPr>
        <w:t xml:space="preserve">                                                    </w:t>
      </w:r>
      <w:r>
        <w:rPr>
          <w:rFonts w:hint="eastAsia"/>
          <w:color w:val="000000" w:themeColor="text1"/>
          <w:sz w:val="18"/>
          <w:szCs w:val="21"/>
        </w:rPr>
        <w:t>（</w:t>
      </w:r>
      <w:r>
        <w:rPr>
          <w:rFonts w:hint="eastAsia"/>
          <w:color w:val="000000" w:themeColor="text1"/>
          <w:sz w:val="18"/>
          <w:szCs w:val="21"/>
        </w:rPr>
        <w:t>b</w:t>
      </w:r>
      <w:r>
        <w:rPr>
          <w:rFonts w:hint="eastAsia"/>
          <w:color w:val="000000" w:themeColor="text1"/>
          <w:sz w:val="18"/>
          <w:szCs w:val="21"/>
        </w:rPr>
        <w:t>）新增地下室柱后</w:t>
      </w:r>
    </w:p>
    <w:p w:rsidR="009136B5" w:rsidRDefault="00000000">
      <w:pPr>
        <w:pStyle w:val="affffb"/>
        <w:ind w:firstLine="420"/>
        <w:rPr>
          <w:color w:val="000000" w:themeColor="text1"/>
        </w:rPr>
      </w:pPr>
      <w:r>
        <w:rPr>
          <w:rFonts w:hint="eastAsia"/>
          <w:color w:val="000000" w:themeColor="text1"/>
        </w:rPr>
        <w:t>图</w:t>
      </w:r>
      <w:r>
        <w:rPr>
          <w:color w:val="000000" w:themeColor="text1"/>
        </w:rPr>
        <w:t>6.4.</w:t>
      </w:r>
      <w:r>
        <w:rPr>
          <w:rFonts w:hint="eastAsia"/>
          <w:color w:val="000000" w:themeColor="text1"/>
        </w:rPr>
        <w:t>2</w:t>
      </w:r>
      <w:r>
        <w:rPr>
          <w:color w:val="000000" w:themeColor="text1"/>
        </w:rPr>
        <w:t xml:space="preserve">  </w:t>
      </w:r>
      <w:r>
        <w:rPr>
          <w:rFonts w:hint="eastAsia"/>
          <w:color w:val="000000" w:themeColor="text1"/>
        </w:rPr>
        <w:t>无地下室既有结构新增托换桩与新增地下室顶板连接构造</w:t>
      </w:r>
    </w:p>
    <w:p w:rsidR="009136B5" w:rsidRDefault="00000000">
      <w:pPr>
        <w:pStyle w:val="xxx"/>
        <w:numPr>
          <w:ilvl w:val="0"/>
          <w:numId w:val="1"/>
        </w:numPr>
        <w:jc w:val="center"/>
        <w:rPr>
          <w:b/>
          <w:bCs/>
          <w:color w:val="000000" w:themeColor="text1"/>
        </w:rPr>
      </w:pPr>
      <w:r>
        <w:rPr>
          <w:rFonts w:hint="eastAsia"/>
          <w:color w:val="000000" w:themeColor="text1"/>
          <w:sz w:val="18"/>
          <w:szCs w:val="21"/>
        </w:rPr>
        <w:t>既有建筑结构柱</w:t>
      </w:r>
      <w:r>
        <w:rPr>
          <w:color w:val="000000" w:themeColor="text1"/>
          <w:sz w:val="18"/>
          <w:szCs w:val="21"/>
        </w:rPr>
        <w:t xml:space="preserve"> </w:t>
      </w:r>
      <w:r>
        <w:rPr>
          <w:rFonts w:hint="eastAsia"/>
          <w:color w:val="000000" w:themeColor="text1"/>
          <w:sz w:val="18"/>
          <w:szCs w:val="21"/>
        </w:rPr>
        <w:t>；</w:t>
      </w:r>
      <w:r>
        <w:rPr>
          <w:color w:val="000000" w:themeColor="text1"/>
          <w:sz w:val="18"/>
          <w:szCs w:val="21"/>
        </w:rPr>
        <w:t>2-</w:t>
      </w:r>
      <w:r>
        <w:rPr>
          <w:rFonts w:hint="eastAsia"/>
          <w:color w:val="000000" w:themeColor="text1"/>
          <w:sz w:val="18"/>
          <w:szCs w:val="21"/>
        </w:rPr>
        <w:t>新增梁、板</w:t>
      </w:r>
      <w:r>
        <w:rPr>
          <w:color w:val="000000" w:themeColor="text1"/>
          <w:sz w:val="18"/>
          <w:szCs w:val="21"/>
        </w:rPr>
        <w:t xml:space="preserve"> </w:t>
      </w:r>
      <w:r>
        <w:rPr>
          <w:rFonts w:hint="eastAsia"/>
          <w:color w:val="000000" w:themeColor="text1"/>
          <w:sz w:val="18"/>
          <w:szCs w:val="21"/>
        </w:rPr>
        <w:t>；</w:t>
      </w:r>
      <w:r>
        <w:rPr>
          <w:color w:val="000000" w:themeColor="text1"/>
          <w:sz w:val="18"/>
          <w:szCs w:val="21"/>
        </w:rPr>
        <w:t>3-</w:t>
      </w:r>
      <w:r>
        <w:rPr>
          <w:rFonts w:hint="eastAsia"/>
          <w:color w:val="000000" w:themeColor="text1"/>
          <w:sz w:val="18"/>
          <w:szCs w:val="21"/>
        </w:rPr>
        <w:t>新增楼板局部加厚区；</w:t>
      </w:r>
      <w:r>
        <w:rPr>
          <w:color w:val="000000" w:themeColor="text1"/>
          <w:sz w:val="18"/>
          <w:szCs w:val="21"/>
        </w:rPr>
        <w:t xml:space="preserve"> 4-</w:t>
      </w:r>
      <w:r>
        <w:rPr>
          <w:rFonts w:hint="eastAsia"/>
          <w:color w:val="000000" w:themeColor="text1"/>
          <w:sz w:val="18"/>
          <w:szCs w:val="21"/>
        </w:rPr>
        <w:t>新增托换桩；</w:t>
      </w:r>
      <w:r>
        <w:rPr>
          <w:color w:val="000000" w:themeColor="text1"/>
          <w:sz w:val="18"/>
          <w:szCs w:val="21"/>
        </w:rPr>
        <w:t xml:space="preserve"> 5-</w:t>
      </w:r>
      <w:r>
        <w:rPr>
          <w:rFonts w:hint="eastAsia"/>
          <w:color w:val="000000" w:themeColor="text1"/>
          <w:sz w:val="18"/>
          <w:szCs w:val="21"/>
        </w:rPr>
        <w:t>既有建筑基础；</w:t>
      </w:r>
    </w:p>
    <w:p w:rsidR="009136B5" w:rsidRDefault="00000000">
      <w:pPr>
        <w:pStyle w:val="xxx"/>
        <w:jc w:val="center"/>
        <w:rPr>
          <w:b/>
          <w:bCs/>
          <w:color w:val="000000" w:themeColor="text1"/>
        </w:rPr>
      </w:pPr>
      <w:r>
        <w:rPr>
          <w:color w:val="000000" w:themeColor="text1"/>
          <w:sz w:val="18"/>
          <w:szCs w:val="21"/>
        </w:rPr>
        <w:t>6-</w:t>
      </w:r>
      <w:r>
        <w:rPr>
          <w:rFonts w:hint="eastAsia"/>
          <w:color w:val="000000" w:themeColor="text1"/>
          <w:sz w:val="18"/>
          <w:szCs w:val="21"/>
        </w:rPr>
        <w:t>新增地下室结构柱插筋</w:t>
      </w:r>
      <w:r>
        <w:rPr>
          <w:color w:val="000000" w:themeColor="text1"/>
          <w:sz w:val="18"/>
          <w:szCs w:val="21"/>
        </w:rPr>
        <w:t xml:space="preserve"> </w:t>
      </w:r>
      <w:r>
        <w:rPr>
          <w:rFonts w:hint="eastAsia"/>
          <w:color w:val="000000" w:themeColor="text1"/>
          <w:sz w:val="18"/>
          <w:szCs w:val="21"/>
        </w:rPr>
        <w:t>；</w:t>
      </w:r>
      <w:r>
        <w:rPr>
          <w:color w:val="000000" w:themeColor="text1"/>
          <w:sz w:val="18"/>
          <w:szCs w:val="21"/>
        </w:rPr>
        <w:t>7-</w:t>
      </w:r>
      <w:r>
        <w:rPr>
          <w:rFonts w:hint="eastAsia"/>
          <w:color w:val="000000" w:themeColor="text1"/>
          <w:sz w:val="18"/>
          <w:szCs w:val="21"/>
        </w:rPr>
        <w:t>新增地下室结构柱</w:t>
      </w:r>
    </w:p>
    <w:p w:rsidR="009136B5" w:rsidRDefault="00000000">
      <w:pPr>
        <w:pStyle w:val="xxx"/>
      </w:pPr>
      <w:r>
        <w:rPr>
          <w:rFonts w:hint="eastAsia"/>
          <w:b/>
          <w:bCs/>
        </w:rPr>
        <w:lastRenderedPageBreak/>
        <w:t>6.4.</w:t>
      </w:r>
      <w:r>
        <w:rPr>
          <w:b/>
          <w:bCs/>
        </w:rPr>
        <w:t>3</w:t>
      </w:r>
      <w:r>
        <w:rPr>
          <w:rFonts w:hint="eastAsia"/>
          <w:b/>
          <w:bCs/>
        </w:rPr>
        <w:t xml:space="preserve">  </w:t>
      </w:r>
      <w:r>
        <w:rPr>
          <w:rFonts w:hint="eastAsia"/>
          <w:bCs/>
        </w:rPr>
        <w:t>当</w:t>
      </w:r>
      <w:r>
        <w:t>既有建筑</w:t>
      </w:r>
      <w:r>
        <w:rPr>
          <w:rFonts w:hint="eastAsia"/>
        </w:rPr>
        <w:t>底板作为新增地下室顶板时，除进行施工阶段的极限状态设计计算外，尚进行使用阶段的承载能力极限状态和正常使用极限状态的设计计算，并应采取有效措施保证新增地下室顶板与托换桩、新增结构柱间可靠连接。（图</w:t>
      </w:r>
      <w:r>
        <w:rPr>
          <w:rFonts w:hint="eastAsia"/>
        </w:rPr>
        <w:t>6</w:t>
      </w:r>
      <w:r>
        <w:t>.4.3</w:t>
      </w:r>
      <w:r>
        <w:rPr>
          <w:rFonts w:hint="eastAsia"/>
        </w:rPr>
        <w:t>）</w:t>
      </w:r>
    </w:p>
    <w:p w:rsidR="009136B5" w:rsidRDefault="009136B5">
      <w:pPr>
        <w:pStyle w:val="xxx"/>
        <w:jc w:val="center"/>
      </w:pPr>
    </w:p>
    <w:p w:rsidR="009136B5" w:rsidRDefault="00000000">
      <w:pPr>
        <w:pStyle w:val="xxx"/>
        <w:jc w:val="center"/>
      </w:pPr>
      <w:r>
        <w:object w:dxaOrig="7264" w:dyaOrig="3965">
          <v:shape id="_x0000_i1110" type="#_x0000_t75" style="width:363.15pt;height:198.45pt" o:ole="">
            <v:imagedata r:id="rId194" o:title=""/>
          </v:shape>
          <o:OLEObject Type="Embed" ProgID="AutoCAD.Drawing.23" ShapeID="_x0000_i1110" DrawAspect="Content" ObjectID="_1735132888" r:id="rId195"/>
        </w:object>
      </w:r>
    </w:p>
    <w:p w:rsidR="009136B5" w:rsidRDefault="00000000">
      <w:pPr>
        <w:pStyle w:val="xxx"/>
        <w:jc w:val="center"/>
      </w:pPr>
      <w:r>
        <w:rPr>
          <w:rFonts w:hint="eastAsia"/>
          <w:color w:val="000000" w:themeColor="text1"/>
          <w:sz w:val="18"/>
          <w:szCs w:val="21"/>
        </w:rPr>
        <w:t>（</w:t>
      </w:r>
      <w:r>
        <w:rPr>
          <w:rFonts w:hint="eastAsia"/>
          <w:color w:val="000000" w:themeColor="text1"/>
          <w:sz w:val="18"/>
          <w:szCs w:val="21"/>
        </w:rPr>
        <w:t>a</w:t>
      </w:r>
      <w:r>
        <w:rPr>
          <w:rFonts w:hint="eastAsia"/>
          <w:color w:val="000000" w:themeColor="text1"/>
          <w:sz w:val="18"/>
          <w:szCs w:val="21"/>
        </w:rPr>
        <w:t>）新增地下室柱前</w:t>
      </w:r>
      <w:r>
        <w:rPr>
          <w:color w:val="000000" w:themeColor="text1"/>
          <w:sz w:val="18"/>
          <w:szCs w:val="21"/>
        </w:rPr>
        <w:t xml:space="preserve">                                                    </w:t>
      </w:r>
      <w:r>
        <w:rPr>
          <w:rFonts w:hint="eastAsia"/>
          <w:color w:val="000000" w:themeColor="text1"/>
          <w:sz w:val="18"/>
          <w:szCs w:val="21"/>
        </w:rPr>
        <w:t>（</w:t>
      </w:r>
      <w:r>
        <w:rPr>
          <w:rFonts w:hint="eastAsia"/>
          <w:color w:val="000000" w:themeColor="text1"/>
          <w:sz w:val="18"/>
          <w:szCs w:val="21"/>
        </w:rPr>
        <w:t>b</w:t>
      </w:r>
      <w:r>
        <w:rPr>
          <w:rFonts w:hint="eastAsia"/>
          <w:color w:val="000000" w:themeColor="text1"/>
          <w:sz w:val="18"/>
          <w:szCs w:val="21"/>
        </w:rPr>
        <w:t>）新增地下室柱后</w:t>
      </w:r>
    </w:p>
    <w:p w:rsidR="009136B5" w:rsidRDefault="00000000">
      <w:pPr>
        <w:pStyle w:val="affffb"/>
        <w:rPr>
          <w:color w:val="000000" w:themeColor="text1"/>
        </w:rPr>
      </w:pPr>
      <w:r>
        <w:rPr>
          <w:rFonts w:hint="eastAsia"/>
          <w:color w:val="000000" w:themeColor="text1"/>
        </w:rPr>
        <w:t>图</w:t>
      </w:r>
      <w:r>
        <w:rPr>
          <w:color w:val="000000" w:themeColor="text1"/>
        </w:rPr>
        <w:t xml:space="preserve">6.4.3  </w:t>
      </w:r>
      <w:r>
        <w:rPr>
          <w:rFonts w:hint="eastAsia"/>
          <w:color w:val="000000" w:themeColor="text1"/>
        </w:rPr>
        <w:t>带地下室既有结构新增托换桩与新增地下室顶板连接构造</w:t>
      </w:r>
    </w:p>
    <w:p w:rsidR="009136B5" w:rsidRDefault="00000000">
      <w:pPr>
        <w:pStyle w:val="xxx"/>
        <w:numPr>
          <w:ilvl w:val="0"/>
          <w:numId w:val="2"/>
        </w:numPr>
        <w:jc w:val="center"/>
        <w:rPr>
          <w:color w:val="000000" w:themeColor="text1"/>
          <w:sz w:val="18"/>
          <w:szCs w:val="21"/>
        </w:rPr>
      </w:pPr>
      <w:r>
        <w:rPr>
          <w:rFonts w:hint="eastAsia"/>
          <w:color w:val="000000" w:themeColor="text1"/>
          <w:sz w:val="18"/>
          <w:szCs w:val="21"/>
        </w:rPr>
        <w:t>既有建筑结构柱；</w:t>
      </w:r>
      <w:r>
        <w:rPr>
          <w:color w:val="000000" w:themeColor="text1"/>
          <w:sz w:val="18"/>
          <w:szCs w:val="21"/>
        </w:rPr>
        <w:t xml:space="preserve"> 2-</w:t>
      </w:r>
      <w:r>
        <w:rPr>
          <w:rFonts w:hint="eastAsia"/>
          <w:color w:val="000000" w:themeColor="text1"/>
          <w:sz w:val="18"/>
          <w:szCs w:val="21"/>
        </w:rPr>
        <w:t>既有建筑承台；</w:t>
      </w:r>
      <w:r>
        <w:rPr>
          <w:color w:val="000000" w:themeColor="text1"/>
          <w:sz w:val="18"/>
          <w:szCs w:val="21"/>
        </w:rPr>
        <w:t xml:space="preserve"> 3-</w:t>
      </w:r>
      <w:r>
        <w:rPr>
          <w:rFonts w:hint="eastAsia"/>
          <w:color w:val="000000" w:themeColor="text1"/>
          <w:sz w:val="18"/>
          <w:szCs w:val="21"/>
        </w:rPr>
        <w:t>新增托换桩；</w:t>
      </w:r>
      <w:r>
        <w:rPr>
          <w:color w:val="000000" w:themeColor="text1"/>
          <w:sz w:val="18"/>
          <w:szCs w:val="21"/>
        </w:rPr>
        <w:t xml:space="preserve"> 4-</w:t>
      </w:r>
      <w:r>
        <w:rPr>
          <w:rFonts w:hint="eastAsia"/>
          <w:color w:val="000000" w:themeColor="text1"/>
          <w:sz w:val="18"/>
          <w:szCs w:val="21"/>
        </w:rPr>
        <w:t>既有工程桩；</w:t>
      </w:r>
      <w:r>
        <w:rPr>
          <w:color w:val="000000" w:themeColor="text1"/>
          <w:sz w:val="18"/>
          <w:szCs w:val="21"/>
        </w:rPr>
        <w:t xml:space="preserve"> 5-</w:t>
      </w:r>
      <w:r>
        <w:rPr>
          <w:rFonts w:hint="eastAsia"/>
          <w:color w:val="000000" w:themeColor="text1"/>
          <w:sz w:val="18"/>
          <w:szCs w:val="21"/>
        </w:rPr>
        <w:t>凿除局部承台后的新增地下室顶板；</w:t>
      </w:r>
    </w:p>
    <w:p w:rsidR="009136B5" w:rsidRDefault="00000000">
      <w:pPr>
        <w:pStyle w:val="xxx"/>
        <w:jc w:val="center"/>
      </w:pPr>
      <w:r>
        <w:rPr>
          <w:color w:val="000000" w:themeColor="text1"/>
          <w:sz w:val="18"/>
          <w:szCs w:val="21"/>
        </w:rPr>
        <w:t>6-</w:t>
      </w:r>
      <w:r>
        <w:rPr>
          <w:rFonts w:hint="eastAsia"/>
          <w:color w:val="000000" w:themeColor="text1"/>
          <w:sz w:val="18"/>
          <w:szCs w:val="21"/>
        </w:rPr>
        <w:t>新增地下室结构柱钢筋；</w:t>
      </w:r>
      <w:r>
        <w:rPr>
          <w:color w:val="000000" w:themeColor="text1"/>
          <w:sz w:val="18"/>
          <w:szCs w:val="21"/>
        </w:rPr>
        <w:t>7-</w:t>
      </w:r>
      <w:r>
        <w:rPr>
          <w:rFonts w:hint="eastAsia"/>
          <w:color w:val="000000" w:themeColor="text1"/>
          <w:sz w:val="18"/>
          <w:szCs w:val="21"/>
        </w:rPr>
        <w:t>新增地下室结构柱</w:t>
      </w:r>
    </w:p>
    <w:p w:rsidR="009136B5" w:rsidRDefault="00000000">
      <w:pPr>
        <w:pStyle w:val="xxx"/>
        <w:rPr>
          <w:color w:val="000000" w:themeColor="text1"/>
        </w:rPr>
      </w:pPr>
      <w:r>
        <w:rPr>
          <w:rFonts w:hint="eastAsia"/>
          <w:b/>
          <w:bCs/>
        </w:rPr>
        <w:t>6.4.</w:t>
      </w:r>
      <w:r>
        <w:rPr>
          <w:b/>
          <w:bCs/>
        </w:rPr>
        <w:t>4</w:t>
      </w:r>
      <w:r>
        <w:rPr>
          <w:rFonts w:hint="eastAsia"/>
          <w:b/>
          <w:bCs/>
        </w:rPr>
        <w:t xml:space="preserve">  </w:t>
      </w:r>
      <w:r>
        <w:rPr>
          <w:rFonts w:hint="eastAsia"/>
          <w:color w:val="000000" w:themeColor="text1"/>
        </w:rPr>
        <w:t>新增地下室构件与既有建筑结构柱连接宜满足下列要求（图</w:t>
      </w:r>
      <w:r>
        <w:rPr>
          <w:color w:val="000000" w:themeColor="text1"/>
        </w:rPr>
        <w:t xml:space="preserve"> 6.4.4</w:t>
      </w:r>
      <w:r>
        <w:rPr>
          <w:rFonts w:hint="eastAsia"/>
          <w:color w:val="000000" w:themeColor="text1"/>
        </w:rPr>
        <w:t>）：</w:t>
      </w:r>
    </w:p>
    <w:p w:rsidR="009136B5" w:rsidRDefault="00000000">
      <w:pPr>
        <w:pStyle w:val="xxx"/>
        <w:ind w:firstLineChars="150" w:firstLine="315"/>
        <w:rPr>
          <w:color w:val="000000" w:themeColor="text1"/>
        </w:rPr>
      </w:pPr>
      <w:r>
        <w:rPr>
          <w:color w:val="000000" w:themeColor="text1"/>
        </w:rPr>
        <w:t xml:space="preserve">1  </w:t>
      </w:r>
      <w:r>
        <w:rPr>
          <w:rFonts w:hint="eastAsia"/>
          <w:color w:val="000000" w:themeColor="text1"/>
        </w:rPr>
        <w:t>新增梁角部纵筋宜绕过原结构柱，中部纵筋对穿原结构柱并注植筋胶灌实；</w:t>
      </w:r>
    </w:p>
    <w:p w:rsidR="009136B5" w:rsidRDefault="00000000">
      <w:pPr>
        <w:pStyle w:val="xxx"/>
        <w:ind w:firstLineChars="150" w:firstLine="315"/>
        <w:rPr>
          <w:color w:val="000000" w:themeColor="text1"/>
        </w:rPr>
      </w:pPr>
      <w:r>
        <w:rPr>
          <w:color w:val="000000" w:themeColor="text1"/>
        </w:rPr>
        <w:t xml:space="preserve">2  </w:t>
      </w:r>
      <w:r>
        <w:rPr>
          <w:rFonts w:hint="eastAsia"/>
          <w:color w:val="000000" w:themeColor="text1"/>
        </w:rPr>
        <w:t>新增梁、板结构施工时，宜预留新增地下室结构柱的竖向插筋。</w:t>
      </w:r>
    </w:p>
    <w:p w:rsidR="009136B5" w:rsidRDefault="00000000">
      <w:pPr>
        <w:pStyle w:val="xxx"/>
        <w:jc w:val="center"/>
      </w:pPr>
      <w:r>
        <w:object w:dxaOrig="8447" w:dyaOrig="3525">
          <v:shape id="_x0000_i1111" type="#_x0000_t75" style="width:422.6pt;height:175.95pt" o:ole="">
            <v:imagedata r:id="rId196" o:title=""/>
          </v:shape>
          <o:OLEObject Type="Embed" ProgID="AutoCAD.Drawing.23" ShapeID="_x0000_i1111" DrawAspect="Content" ObjectID="_1735132889" r:id="rId197"/>
        </w:object>
      </w:r>
    </w:p>
    <w:p w:rsidR="009136B5" w:rsidRDefault="00000000">
      <w:pPr>
        <w:pStyle w:val="xxx"/>
        <w:jc w:val="center"/>
        <w:rPr>
          <w:b/>
          <w:bCs/>
          <w:color w:val="000000" w:themeColor="text1"/>
          <w:sz w:val="18"/>
          <w:szCs w:val="21"/>
        </w:rPr>
      </w:pPr>
      <w:r>
        <w:rPr>
          <w:rFonts w:hint="eastAsia"/>
          <w:b/>
          <w:bCs/>
          <w:color w:val="000000" w:themeColor="text1"/>
          <w:sz w:val="18"/>
          <w:szCs w:val="21"/>
        </w:rPr>
        <w:t>图</w:t>
      </w:r>
      <w:r>
        <w:rPr>
          <w:b/>
          <w:bCs/>
          <w:color w:val="000000" w:themeColor="text1"/>
          <w:sz w:val="18"/>
          <w:szCs w:val="21"/>
        </w:rPr>
        <w:t xml:space="preserve">6.4.4  </w:t>
      </w:r>
      <w:r>
        <w:rPr>
          <w:rFonts w:hint="eastAsia"/>
          <w:b/>
          <w:bCs/>
          <w:color w:val="000000" w:themeColor="text1"/>
          <w:sz w:val="18"/>
          <w:szCs w:val="21"/>
        </w:rPr>
        <w:t>新增地下结构构件与既有建筑竖向构件连接构造</w:t>
      </w:r>
    </w:p>
    <w:p w:rsidR="009136B5" w:rsidRDefault="00000000">
      <w:pPr>
        <w:pStyle w:val="xxx"/>
        <w:numPr>
          <w:ilvl w:val="0"/>
          <w:numId w:val="3"/>
        </w:numPr>
        <w:jc w:val="center"/>
        <w:rPr>
          <w:color w:val="000000" w:themeColor="text1"/>
          <w:sz w:val="18"/>
          <w:szCs w:val="21"/>
        </w:rPr>
      </w:pPr>
      <w:r>
        <w:rPr>
          <w:rFonts w:hint="eastAsia"/>
          <w:color w:val="000000" w:themeColor="text1"/>
          <w:sz w:val="18"/>
          <w:szCs w:val="21"/>
        </w:rPr>
        <w:t>既有建筑结构柱；</w:t>
      </w:r>
      <w:r>
        <w:rPr>
          <w:color w:val="000000" w:themeColor="text1"/>
          <w:sz w:val="18"/>
          <w:szCs w:val="21"/>
        </w:rPr>
        <w:t xml:space="preserve"> 2-</w:t>
      </w:r>
      <w:r>
        <w:rPr>
          <w:rFonts w:hint="eastAsia"/>
          <w:color w:val="000000" w:themeColor="text1"/>
          <w:sz w:val="18"/>
          <w:szCs w:val="21"/>
        </w:rPr>
        <w:t>新增梁、板；</w:t>
      </w:r>
      <w:r>
        <w:rPr>
          <w:color w:val="000000" w:themeColor="text1"/>
          <w:sz w:val="18"/>
          <w:szCs w:val="21"/>
        </w:rPr>
        <w:t xml:space="preserve"> 3-</w:t>
      </w:r>
      <w:r>
        <w:rPr>
          <w:rFonts w:hint="eastAsia"/>
          <w:color w:val="000000" w:themeColor="text1"/>
          <w:sz w:val="18"/>
          <w:szCs w:val="21"/>
        </w:rPr>
        <w:t>新增地下室结构柱插筋；</w:t>
      </w:r>
      <w:r>
        <w:rPr>
          <w:color w:val="000000" w:themeColor="text1"/>
          <w:sz w:val="18"/>
          <w:szCs w:val="21"/>
        </w:rPr>
        <w:t xml:space="preserve"> 4-</w:t>
      </w:r>
      <w:r>
        <w:rPr>
          <w:rFonts w:hint="eastAsia"/>
          <w:color w:val="000000" w:themeColor="text1"/>
          <w:sz w:val="18"/>
          <w:szCs w:val="21"/>
        </w:rPr>
        <w:t>新增地下室结构柱</w:t>
      </w:r>
      <w:r>
        <w:rPr>
          <w:rFonts w:hint="eastAsia"/>
          <w:color w:val="000000" w:themeColor="text1"/>
          <w:sz w:val="18"/>
          <w:szCs w:val="21"/>
        </w:rPr>
        <w:t xml:space="preserve"> </w:t>
      </w:r>
      <w:r>
        <w:rPr>
          <w:rFonts w:hint="eastAsia"/>
          <w:color w:val="000000" w:themeColor="text1"/>
          <w:sz w:val="18"/>
          <w:szCs w:val="21"/>
        </w:rPr>
        <w:t>；</w:t>
      </w:r>
      <w:r>
        <w:rPr>
          <w:color w:val="000000" w:themeColor="text1"/>
          <w:sz w:val="18"/>
          <w:szCs w:val="21"/>
        </w:rPr>
        <w:t>5-</w:t>
      </w:r>
      <w:r>
        <w:rPr>
          <w:rFonts w:hint="eastAsia"/>
          <w:color w:val="000000" w:themeColor="text1"/>
          <w:sz w:val="18"/>
          <w:szCs w:val="21"/>
        </w:rPr>
        <w:t>新增梁角部纵筋；</w:t>
      </w:r>
    </w:p>
    <w:p w:rsidR="009136B5" w:rsidRDefault="00000000">
      <w:pPr>
        <w:pStyle w:val="xxx"/>
        <w:jc w:val="center"/>
        <w:rPr>
          <w:b/>
          <w:bCs/>
          <w:color w:val="000000" w:themeColor="text1"/>
          <w:sz w:val="18"/>
          <w:szCs w:val="21"/>
        </w:rPr>
      </w:pPr>
      <w:r>
        <w:rPr>
          <w:color w:val="000000" w:themeColor="text1"/>
          <w:sz w:val="18"/>
          <w:szCs w:val="21"/>
        </w:rPr>
        <w:t>6-</w:t>
      </w:r>
      <w:r>
        <w:rPr>
          <w:rFonts w:hint="eastAsia"/>
          <w:color w:val="000000" w:themeColor="text1"/>
          <w:sz w:val="18"/>
          <w:szCs w:val="21"/>
        </w:rPr>
        <w:t>新增梁中间纵筋</w:t>
      </w:r>
    </w:p>
    <w:p w:rsidR="009136B5" w:rsidRDefault="00000000">
      <w:pPr>
        <w:pStyle w:val="xxx"/>
        <w:rPr>
          <w:color w:val="0000FF"/>
        </w:rPr>
      </w:pPr>
      <w:r>
        <w:rPr>
          <w:rFonts w:hint="eastAsia"/>
          <w:color w:val="0000FF"/>
          <w:szCs w:val="21"/>
        </w:rPr>
        <w:t>条文说明：</w:t>
      </w:r>
      <w:r>
        <w:rPr>
          <w:rFonts w:hint="eastAsia"/>
          <w:color w:val="0000FF"/>
        </w:rPr>
        <w:t>图</w:t>
      </w:r>
      <w:r>
        <w:rPr>
          <w:rFonts w:hint="eastAsia"/>
          <w:color w:val="0000FF"/>
        </w:rPr>
        <w:t>6</w:t>
      </w:r>
      <w:r>
        <w:rPr>
          <w:color w:val="0000FF"/>
        </w:rPr>
        <w:t>.4.4</w:t>
      </w:r>
      <w:r>
        <w:rPr>
          <w:rFonts w:hint="eastAsia"/>
          <w:color w:val="0000FF"/>
        </w:rPr>
        <w:t>为新增地下结构构件与既有建筑竖向构件连接参考做法。</w:t>
      </w:r>
      <w:bookmarkStart w:id="71" w:name="_Hlk124205409"/>
      <w:r>
        <w:rPr>
          <w:rFonts w:hint="eastAsia"/>
          <w:color w:val="0000FF"/>
        </w:rPr>
        <w:t>顶板结构施工时，预留下部地下室结构柱的竖向插筋。待托换桩及新增梁板构件达到设计强度后，凿除顶板以下既有建筑结构</w:t>
      </w:r>
      <w:r>
        <w:rPr>
          <w:rFonts w:hint="eastAsia"/>
          <w:color w:val="0000FF"/>
        </w:rPr>
        <w:lastRenderedPageBreak/>
        <w:t>柱，浇筑新增地下室结构柱。</w:t>
      </w:r>
      <w:bookmarkEnd w:id="71"/>
    </w:p>
    <w:p w:rsidR="009136B5" w:rsidRDefault="00000000">
      <w:pPr>
        <w:pStyle w:val="xxx"/>
      </w:pPr>
      <w:r>
        <w:rPr>
          <w:rFonts w:hint="eastAsia"/>
          <w:b/>
          <w:bCs/>
        </w:rPr>
        <w:t>6.4.</w:t>
      </w:r>
      <w:r>
        <w:rPr>
          <w:b/>
          <w:bCs/>
        </w:rPr>
        <w:t>5</w:t>
      </w:r>
      <w:r>
        <w:rPr>
          <w:rFonts w:hint="eastAsia"/>
          <w:b/>
          <w:bCs/>
        </w:rPr>
        <w:t xml:space="preserve">  </w:t>
      </w:r>
      <w:r>
        <w:rPr>
          <w:rFonts w:hint="eastAsia"/>
        </w:rPr>
        <w:t>新增地下室承台与托换桩间应可靠连接，并采取有效防水措施。</w:t>
      </w:r>
    </w:p>
    <w:p w:rsidR="009136B5" w:rsidRDefault="00000000">
      <w:pPr>
        <w:pStyle w:val="afffff1"/>
        <w:ind w:firstLineChars="0" w:firstLine="0"/>
      </w:pPr>
      <w:r>
        <w:rPr>
          <w:rFonts w:hint="eastAsia"/>
        </w:rPr>
        <w:t>条文说明：当采用锚杆静压桩作为新增托换桩时，可参考图</w:t>
      </w:r>
      <w:r>
        <w:t>5.1</w:t>
      </w:r>
      <w:r>
        <w:rPr>
          <w:rFonts w:hint="eastAsia"/>
        </w:rPr>
        <w:t>与图</w:t>
      </w:r>
      <w:r>
        <w:t>5.2</w:t>
      </w:r>
      <w:r>
        <w:rPr>
          <w:rFonts w:hint="eastAsia"/>
        </w:rPr>
        <w:t>采用增设环肋、栓钉等措施增强底板混凝土桩之间的有效连接，可参考图</w:t>
      </w:r>
      <w:r>
        <w:t>6.1</w:t>
      </w:r>
      <w:r>
        <w:rPr>
          <w:rFonts w:hint="eastAsia"/>
        </w:rPr>
        <w:t>与图</w:t>
      </w:r>
      <w:r>
        <w:t>6.2</w:t>
      </w:r>
      <w:r>
        <w:rPr>
          <w:rFonts w:hint="eastAsia"/>
        </w:rPr>
        <w:t>采用上凸式或下凹式节点构造完成桩内混凝土“填芯”。</w:t>
      </w:r>
    </w:p>
    <w:p w:rsidR="009136B5" w:rsidRDefault="00000000">
      <w:pPr>
        <w:pStyle w:val="affffb"/>
        <w:rPr>
          <w:color w:val="0000FF"/>
        </w:rPr>
      </w:pPr>
      <w:r>
        <w:rPr>
          <w:color w:val="0000FF"/>
        </w:rPr>
        <w:object w:dxaOrig="5610" w:dyaOrig="2332">
          <v:shape id="_x0000_i1112" type="#_x0000_t75" style="width:280.5pt;height:117.1pt" o:ole="">
            <v:imagedata r:id="rId198" o:title=""/>
          </v:shape>
          <o:OLEObject Type="Embed" ProgID="AutoCAD.Drawing.23" ShapeID="_x0000_i1112" DrawAspect="Content" ObjectID="_1735132890" r:id="rId199"/>
        </w:object>
      </w:r>
    </w:p>
    <w:p w:rsidR="009136B5" w:rsidRDefault="00000000">
      <w:pPr>
        <w:pStyle w:val="affffb"/>
        <w:rPr>
          <w:color w:val="0000FF"/>
        </w:rPr>
      </w:pPr>
      <w:r>
        <w:rPr>
          <w:rFonts w:hint="eastAsia"/>
          <w:color w:val="0000FF"/>
        </w:rPr>
        <w:t>图</w:t>
      </w:r>
      <w:r>
        <w:rPr>
          <w:color w:val="0000FF"/>
        </w:rPr>
        <w:t xml:space="preserve">5.1  </w:t>
      </w:r>
      <w:r>
        <w:rPr>
          <w:rFonts w:hint="eastAsia"/>
          <w:color w:val="0000FF"/>
        </w:rPr>
        <w:t>锚杆静压桩与新增地下室基础环肋连接示意图</w:t>
      </w:r>
    </w:p>
    <w:p w:rsidR="009136B5" w:rsidRDefault="00000000">
      <w:pPr>
        <w:pStyle w:val="affffb"/>
        <w:numPr>
          <w:ilvl w:val="0"/>
          <w:numId w:val="4"/>
        </w:numPr>
        <w:rPr>
          <w:b w:val="0"/>
          <w:bCs w:val="0"/>
          <w:color w:val="0000FF"/>
        </w:rPr>
      </w:pPr>
      <w:r>
        <w:rPr>
          <w:rFonts w:hint="eastAsia"/>
          <w:b w:val="0"/>
          <w:bCs w:val="0"/>
          <w:color w:val="0000FF"/>
        </w:rPr>
        <w:t>既有工程桩工程桩；</w:t>
      </w:r>
      <w:r>
        <w:rPr>
          <w:rFonts w:hint="eastAsia"/>
          <w:b w:val="0"/>
          <w:bCs w:val="0"/>
          <w:color w:val="0000FF"/>
        </w:rPr>
        <w:t xml:space="preserve"> </w:t>
      </w:r>
      <w:r>
        <w:rPr>
          <w:b w:val="0"/>
          <w:bCs w:val="0"/>
          <w:color w:val="0000FF"/>
        </w:rPr>
        <w:t>2-</w:t>
      </w:r>
      <w:r>
        <w:rPr>
          <w:rFonts w:hint="eastAsia"/>
          <w:b w:val="0"/>
          <w:bCs w:val="0"/>
          <w:color w:val="0000FF"/>
        </w:rPr>
        <w:t>新增地下室承台；</w:t>
      </w:r>
      <w:r>
        <w:rPr>
          <w:rFonts w:hint="eastAsia"/>
          <w:b w:val="0"/>
          <w:bCs w:val="0"/>
          <w:color w:val="0000FF"/>
        </w:rPr>
        <w:t xml:space="preserve"> </w:t>
      </w:r>
      <w:r>
        <w:rPr>
          <w:b w:val="0"/>
          <w:bCs w:val="0"/>
          <w:color w:val="0000FF"/>
        </w:rPr>
        <w:t>3-</w:t>
      </w:r>
      <w:r>
        <w:rPr>
          <w:rFonts w:hint="eastAsia"/>
          <w:b w:val="0"/>
          <w:bCs w:val="0"/>
          <w:color w:val="0000FF"/>
        </w:rPr>
        <w:t>止水钢板；</w:t>
      </w:r>
      <w:r>
        <w:rPr>
          <w:rFonts w:hint="eastAsia"/>
          <w:b w:val="0"/>
          <w:bCs w:val="0"/>
          <w:color w:val="0000FF"/>
        </w:rPr>
        <w:t xml:space="preserve"> </w:t>
      </w:r>
      <w:r>
        <w:rPr>
          <w:b w:val="0"/>
          <w:bCs w:val="0"/>
          <w:color w:val="0000FF"/>
        </w:rPr>
        <w:t>4-</w:t>
      </w:r>
      <w:r>
        <w:rPr>
          <w:rFonts w:hint="eastAsia"/>
          <w:b w:val="0"/>
          <w:bCs w:val="0"/>
          <w:color w:val="0000FF"/>
        </w:rPr>
        <w:t>新增结构柱；</w:t>
      </w:r>
      <w:r>
        <w:rPr>
          <w:rFonts w:hint="eastAsia"/>
          <w:b w:val="0"/>
          <w:bCs w:val="0"/>
          <w:color w:val="0000FF"/>
        </w:rPr>
        <w:t xml:space="preserve"> </w:t>
      </w:r>
      <w:r>
        <w:rPr>
          <w:b w:val="0"/>
          <w:bCs w:val="0"/>
          <w:color w:val="0000FF"/>
        </w:rPr>
        <w:t>5-</w:t>
      </w:r>
      <w:r>
        <w:rPr>
          <w:rFonts w:hint="eastAsia"/>
          <w:b w:val="0"/>
          <w:bCs w:val="0"/>
          <w:color w:val="0000FF"/>
        </w:rPr>
        <w:t>锚杆静压桩；</w:t>
      </w:r>
      <w:r>
        <w:rPr>
          <w:rFonts w:hint="eastAsia"/>
          <w:b w:val="0"/>
          <w:bCs w:val="0"/>
          <w:color w:val="0000FF"/>
        </w:rPr>
        <w:t xml:space="preserve"> </w:t>
      </w:r>
      <w:r>
        <w:rPr>
          <w:b w:val="0"/>
          <w:bCs w:val="0"/>
          <w:color w:val="0000FF"/>
        </w:rPr>
        <w:t>6-</w:t>
      </w:r>
      <w:r>
        <w:rPr>
          <w:rFonts w:hint="eastAsia"/>
          <w:b w:val="0"/>
          <w:bCs w:val="0"/>
          <w:color w:val="0000FF"/>
        </w:rPr>
        <w:t>连接环肋加劲板；</w:t>
      </w:r>
    </w:p>
    <w:p w:rsidR="009136B5" w:rsidRDefault="00000000">
      <w:pPr>
        <w:pStyle w:val="affffb"/>
        <w:rPr>
          <w:b w:val="0"/>
          <w:bCs w:val="0"/>
          <w:color w:val="0000FF"/>
        </w:rPr>
      </w:pPr>
      <w:r>
        <w:rPr>
          <w:b w:val="0"/>
          <w:bCs w:val="0"/>
          <w:color w:val="0000FF"/>
        </w:rPr>
        <w:t>7-</w:t>
      </w:r>
      <w:r>
        <w:rPr>
          <w:rFonts w:hint="eastAsia"/>
          <w:b w:val="0"/>
          <w:bCs w:val="0"/>
          <w:color w:val="0000FF"/>
        </w:rPr>
        <w:t>连接环肋端板</w:t>
      </w:r>
    </w:p>
    <w:p w:rsidR="009136B5" w:rsidRDefault="009136B5">
      <w:pPr>
        <w:pStyle w:val="affffb"/>
        <w:rPr>
          <w:color w:val="0000FF"/>
        </w:rPr>
      </w:pPr>
    </w:p>
    <w:p w:rsidR="009136B5" w:rsidRDefault="00000000">
      <w:pPr>
        <w:pStyle w:val="affffb"/>
        <w:rPr>
          <w:color w:val="0000FF"/>
        </w:rPr>
      </w:pPr>
      <w:r>
        <w:rPr>
          <w:color w:val="0000FF"/>
        </w:rPr>
        <w:object w:dxaOrig="5276" w:dyaOrig="2235">
          <v:shape id="_x0000_i1113" type="#_x0000_t75" style="width:263.6pt;height:112.05pt" o:ole="">
            <v:imagedata r:id="rId200" o:title=""/>
          </v:shape>
          <o:OLEObject Type="Embed" ProgID="AutoCAD.Drawing.23" ShapeID="_x0000_i1113" DrawAspect="Content" ObjectID="_1735132891" r:id="rId201"/>
        </w:object>
      </w:r>
    </w:p>
    <w:p w:rsidR="009136B5" w:rsidRDefault="00000000">
      <w:pPr>
        <w:pStyle w:val="affffb"/>
        <w:rPr>
          <w:color w:val="0000FF"/>
        </w:rPr>
      </w:pPr>
      <w:r>
        <w:rPr>
          <w:rFonts w:hint="eastAsia"/>
          <w:color w:val="0000FF"/>
        </w:rPr>
        <w:t>图</w:t>
      </w:r>
      <w:r>
        <w:rPr>
          <w:color w:val="0000FF"/>
        </w:rPr>
        <w:t xml:space="preserve">5.2  </w:t>
      </w:r>
      <w:r>
        <w:rPr>
          <w:rFonts w:hint="eastAsia"/>
          <w:color w:val="0000FF"/>
        </w:rPr>
        <w:t>锚杆静压桩与新增地下室基础栓钉连接示意图</w:t>
      </w:r>
    </w:p>
    <w:p w:rsidR="009136B5" w:rsidRDefault="00000000">
      <w:pPr>
        <w:pStyle w:val="affffb"/>
        <w:rPr>
          <w:b w:val="0"/>
          <w:bCs w:val="0"/>
          <w:color w:val="0000FF"/>
        </w:rPr>
      </w:pPr>
      <w:r>
        <w:rPr>
          <w:b w:val="0"/>
          <w:bCs w:val="0"/>
          <w:color w:val="0000FF"/>
        </w:rPr>
        <w:t>1-</w:t>
      </w:r>
      <w:r>
        <w:rPr>
          <w:rFonts w:hint="eastAsia"/>
          <w:b w:val="0"/>
          <w:bCs w:val="0"/>
          <w:color w:val="0000FF"/>
        </w:rPr>
        <w:t>既有工程桩</w:t>
      </w:r>
      <w:r>
        <w:rPr>
          <w:rFonts w:hint="eastAsia"/>
          <w:b w:val="0"/>
          <w:bCs w:val="0"/>
          <w:color w:val="0000FF"/>
        </w:rPr>
        <w:t xml:space="preserve"> </w:t>
      </w:r>
      <w:r>
        <w:rPr>
          <w:rFonts w:hint="eastAsia"/>
          <w:b w:val="0"/>
          <w:bCs w:val="0"/>
          <w:color w:val="0000FF"/>
        </w:rPr>
        <w:t>；</w:t>
      </w:r>
      <w:r>
        <w:rPr>
          <w:b w:val="0"/>
          <w:bCs w:val="0"/>
          <w:color w:val="0000FF"/>
        </w:rPr>
        <w:t>2-</w:t>
      </w:r>
      <w:r>
        <w:rPr>
          <w:rFonts w:hint="eastAsia"/>
          <w:b w:val="0"/>
          <w:bCs w:val="0"/>
          <w:color w:val="0000FF"/>
        </w:rPr>
        <w:t>新增地下室承台；</w:t>
      </w:r>
      <w:r>
        <w:rPr>
          <w:rFonts w:hint="eastAsia"/>
          <w:b w:val="0"/>
          <w:bCs w:val="0"/>
          <w:color w:val="0000FF"/>
        </w:rPr>
        <w:t xml:space="preserve"> </w:t>
      </w:r>
      <w:r>
        <w:rPr>
          <w:b w:val="0"/>
          <w:bCs w:val="0"/>
          <w:color w:val="0000FF"/>
        </w:rPr>
        <w:t>3-</w:t>
      </w:r>
      <w:r>
        <w:rPr>
          <w:rFonts w:hint="eastAsia"/>
          <w:b w:val="0"/>
          <w:bCs w:val="0"/>
          <w:color w:val="0000FF"/>
        </w:rPr>
        <w:t>止水钢板；</w:t>
      </w:r>
      <w:r>
        <w:rPr>
          <w:rFonts w:hint="eastAsia"/>
          <w:b w:val="0"/>
          <w:bCs w:val="0"/>
          <w:color w:val="0000FF"/>
        </w:rPr>
        <w:t xml:space="preserve"> </w:t>
      </w:r>
      <w:r>
        <w:rPr>
          <w:b w:val="0"/>
          <w:bCs w:val="0"/>
          <w:color w:val="0000FF"/>
        </w:rPr>
        <w:t>4-</w:t>
      </w:r>
      <w:r>
        <w:rPr>
          <w:rFonts w:hint="eastAsia"/>
          <w:b w:val="0"/>
          <w:bCs w:val="0"/>
          <w:color w:val="0000FF"/>
        </w:rPr>
        <w:t>新增结构柱；</w:t>
      </w:r>
      <w:r>
        <w:rPr>
          <w:rFonts w:hint="eastAsia"/>
          <w:b w:val="0"/>
          <w:bCs w:val="0"/>
          <w:color w:val="0000FF"/>
        </w:rPr>
        <w:t xml:space="preserve"> </w:t>
      </w:r>
      <w:r>
        <w:rPr>
          <w:b w:val="0"/>
          <w:bCs w:val="0"/>
          <w:color w:val="0000FF"/>
        </w:rPr>
        <w:t>5-</w:t>
      </w:r>
      <w:r>
        <w:rPr>
          <w:rFonts w:hint="eastAsia"/>
          <w:b w:val="0"/>
          <w:bCs w:val="0"/>
          <w:color w:val="0000FF"/>
        </w:rPr>
        <w:t>锚杆静压桩；</w:t>
      </w:r>
      <w:r>
        <w:rPr>
          <w:rFonts w:hint="eastAsia"/>
          <w:b w:val="0"/>
          <w:bCs w:val="0"/>
          <w:color w:val="0000FF"/>
        </w:rPr>
        <w:t xml:space="preserve"> </w:t>
      </w:r>
      <w:r>
        <w:rPr>
          <w:b w:val="0"/>
          <w:bCs w:val="0"/>
          <w:color w:val="0000FF"/>
        </w:rPr>
        <w:t>6-</w:t>
      </w:r>
      <w:r>
        <w:rPr>
          <w:rFonts w:hint="eastAsia"/>
          <w:b w:val="0"/>
          <w:bCs w:val="0"/>
          <w:color w:val="0000FF"/>
        </w:rPr>
        <w:t>栓钉</w:t>
      </w:r>
    </w:p>
    <w:p w:rsidR="009136B5" w:rsidRDefault="00000000">
      <w:pPr>
        <w:pStyle w:val="affffb"/>
        <w:rPr>
          <w:color w:val="0000FF"/>
        </w:rPr>
      </w:pPr>
      <w:r>
        <w:rPr>
          <w:color w:val="0000FF"/>
        </w:rPr>
        <w:object w:dxaOrig="5921" w:dyaOrig="2493">
          <v:shape id="_x0000_i1114" type="#_x0000_t75" style="width:296.15pt;height:124.6pt" o:ole="">
            <v:imagedata r:id="rId202" o:title=""/>
          </v:shape>
          <o:OLEObject Type="Embed" ProgID="AutoCAD.Drawing.23" ShapeID="_x0000_i1114" DrawAspect="Content" ObjectID="_1735132892" r:id="rId203"/>
        </w:object>
      </w:r>
    </w:p>
    <w:p w:rsidR="009136B5" w:rsidRDefault="00000000">
      <w:pPr>
        <w:pStyle w:val="affffb"/>
        <w:rPr>
          <w:color w:val="0000FF"/>
        </w:rPr>
      </w:pPr>
      <w:r>
        <w:rPr>
          <w:rFonts w:hint="eastAsia"/>
          <w:color w:val="0000FF"/>
        </w:rPr>
        <w:t>图</w:t>
      </w:r>
      <w:r>
        <w:rPr>
          <w:color w:val="0000FF"/>
        </w:rPr>
        <w:t xml:space="preserve">6.1 </w:t>
      </w:r>
      <w:r>
        <w:rPr>
          <w:rFonts w:hint="eastAsia"/>
          <w:color w:val="0000FF"/>
        </w:rPr>
        <w:t>锚杆静压桩“填芯”上凸式构造示意图</w:t>
      </w:r>
    </w:p>
    <w:p w:rsidR="009136B5" w:rsidRDefault="00000000">
      <w:pPr>
        <w:pStyle w:val="affffb"/>
        <w:rPr>
          <w:b w:val="0"/>
          <w:bCs w:val="0"/>
          <w:color w:val="0000FF"/>
        </w:rPr>
      </w:pPr>
      <w:r>
        <w:rPr>
          <w:rFonts w:hint="eastAsia"/>
          <w:b w:val="0"/>
          <w:bCs w:val="0"/>
          <w:color w:val="0000FF"/>
        </w:rPr>
        <w:t>1</w:t>
      </w:r>
      <w:r>
        <w:rPr>
          <w:b w:val="0"/>
          <w:bCs w:val="0"/>
          <w:color w:val="0000FF"/>
        </w:rPr>
        <w:t>-</w:t>
      </w:r>
      <w:r>
        <w:rPr>
          <w:rFonts w:hint="eastAsia"/>
          <w:b w:val="0"/>
          <w:bCs w:val="0"/>
          <w:color w:val="0000FF"/>
        </w:rPr>
        <w:t>既有工程桩；</w:t>
      </w:r>
      <w:r>
        <w:rPr>
          <w:b w:val="0"/>
          <w:bCs w:val="0"/>
          <w:color w:val="0000FF"/>
        </w:rPr>
        <w:t>2-</w:t>
      </w:r>
      <w:r>
        <w:rPr>
          <w:rFonts w:hint="eastAsia"/>
          <w:b w:val="0"/>
          <w:bCs w:val="0"/>
          <w:color w:val="0000FF"/>
        </w:rPr>
        <w:t>锚杆静压桩；</w:t>
      </w:r>
      <w:r>
        <w:rPr>
          <w:rFonts w:hint="eastAsia"/>
          <w:b w:val="0"/>
          <w:bCs w:val="0"/>
          <w:color w:val="0000FF"/>
        </w:rPr>
        <w:t xml:space="preserve"> </w:t>
      </w:r>
      <w:r>
        <w:rPr>
          <w:b w:val="0"/>
          <w:bCs w:val="0"/>
          <w:color w:val="0000FF"/>
        </w:rPr>
        <w:t>3-</w:t>
      </w:r>
      <w:r>
        <w:rPr>
          <w:rFonts w:hint="eastAsia"/>
          <w:b w:val="0"/>
          <w:bCs w:val="0"/>
          <w:color w:val="0000FF"/>
        </w:rPr>
        <w:t>新增地下室承台；</w:t>
      </w:r>
      <w:r>
        <w:rPr>
          <w:rFonts w:hint="eastAsia"/>
          <w:b w:val="0"/>
          <w:bCs w:val="0"/>
          <w:color w:val="0000FF"/>
        </w:rPr>
        <w:t xml:space="preserve"> </w:t>
      </w:r>
      <w:r>
        <w:rPr>
          <w:b w:val="0"/>
          <w:bCs w:val="0"/>
          <w:color w:val="0000FF"/>
        </w:rPr>
        <w:t>4-</w:t>
      </w:r>
      <w:r>
        <w:rPr>
          <w:rFonts w:hint="eastAsia"/>
          <w:b w:val="0"/>
          <w:bCs w:val="0"/>
          <w:color w:val="0000FF"/>
        </w:rPr>
        <w:t>建筑面层；</w:t>
      </w:r>
      <w:r>
        <w:rPr>
          <w:rFonts w:hint="eastAsia"/>
          <w:b w:val="0"/>
          <w:bCs w:val="0"/>
          <w:color w:val="0000FF"/>
        </w:rPr>
        <w:t xml:space="preserve"> </w:t>
      </w:r>
      <w:r>
        <w:rPr>
          <w:b w:val="0"/>
          <w:bCs w:val="0"/>
          <w:color w:val="0000FF"/>
        </w:rPr>
        <w:t>5-</w:t>
      </w:r>
      <w:r>
        <w:rPr>
          <w:rFonts w:hint="eastAsia"/>
          <w:b w:val="0"/>
          <w:bCs w:val="0"/>
          <w:color w:val="0000FF"/>
        </w:rPr>
        <w:t>桩顶盖板；</w:t>
      </w:r>
      <w:r>
        <w:rPr>
          <w:rFonts w:hint="eastAsia"/>
          <w:b w:val="0"/>
          <w:bCs w:val="0"/>
          <w:color w:val="0000FF"/>
        </w:rPr>
        <w:t xml:space="preserve"> </w:t>
      </w:r>
      <w:r>
        <w:rPr>
          <w:b w:val="0"/>
          <w:bCs w:val="0"/>
          <w:color w:val="0000FF"/>
        </w:rPr>
        <w:t>6-</w:t>
      </w:r>
      <w:r>
        <w:rPr>
          <w:rFonts w:hint="eastAsia"/>
          <w:b w:val="0"/>
          <w:bCs w:val="0"/>
          <w:color w:val="0000FF"/>
        </w:rPr>
        <w:t>桩底封板</w:t>
      </w:r>
    </w:p>
    <w:p w:rsidR="009136B5" w:rsidRDefault="009136B5">
      <w:pPr>
        <w:pStyle w:val="affffb"/>
        <w:rPr>
          <w:color w:val="0000FF"/>
        </w:rPr>
      </w:pPr>
    </w:p>
    <w:p w:rsidR="009136B5" w:rsidRDefault="00000000">
      <w:pPr>
        <w:pStyle w:val="affffb"/>
        <w:rPr>
          <w:color w:val="0000FF"/>
        </w:rPr>
      </w:pPr>
      <w:r>
        <w:rPr>
          <w:color w:val="0000FF"/>
        </w:rPr>
        <w:object w:dxaOrig="5567" w:dyaOrig="2332">
          <v:shape id="_x0000_i1115" type="#_x0000_t75" style="width:278.6pt;height:117.1pt" o:ole="">
            <v:imagedata r:id="rId204" o:title=""/>
          </v:shape>
          <o:OLEObject Type="Embed" ProgID="AutoCAD.Drawing.23" ShapeID="_x0000_i1115" DrawAspect="Content" ObjectID="_1735132893" r:id="rId205"/>
        </w:object>
      </w:r>
    </w:p>
    <w:p w:rsidR="009136B5" w:rsidRDefault="00000000">
      <w:pPr>
        <w:pStyle w:val="affffb"/>
        <w:rPr>
          <w:color w:val="0000FF"/>
        </w:rPr>
      </w:pPr>
      <w:r>
        <w:rPr>
          <w:rFonts w:hint="eastAsia"/>
          <w:color w:val="0000FF"/>
        </w:rPr>
        <w:t>图</w:t>
      </w:r>
      <w:r>
        <w:rPr>
          <w:color w:val="0000FF"/>
        </w:rPr>
        <w:t xml:space="preserve">6.2 </w:t>
      </w:r>
      <w:r>
        <w:rPr>
          <w:rFonts w:hint="eastAsia"/>
          <w:color w:val="0000FF"/>
        </w:rPr>
        <w:t>锚杆静压桩“填芯”下凹式构造示意图</w:t>
      </w:r>
    </w:p>
    <w:p w:rsidR="009136B5" w:rsidRDefault="00000000">
      <w:pPr>
        <w:pStyle w:val="affffb"/>
        <w:numPr>
          <w:ilvl w:val="0"/>
          <w:numId w:val="5"/>
        </w:numPr>
        <w:rPr>
          <w:b w:val="0"/>
          <w:bCs w:val="0"/>
          <w:color w:val="0000FF"/>
        </w:rPr>
      </w:pPr>
      <w:r>
        <w:rPr>
          <w:rFonts w:hint="eastAsia"/>
          <w:b w:val="0"/>
          <w:bCs w:val="0"/>
          <w:color w:val="0000FF"/>
        </w:rPr>
        <w:t>既有工程桩；</w:t>
      </w:r>
      <w:r>
        <w:rPr>
          <w:rFonts w:hint="eastAsia"/>
          <w:b w:val="0"/>
          <w:bCs w:val="0"/>
          <w:color w:val="0000FF"/>
        </w:rPr>
        <w:t xml:space="preserve"> </w:t>
      </w:r>
      <w:r>
        <w:rPr>
          <w:b w:val="0"/>
          <w:bCs w:val="0"/>
          <w:color w:val="0000FF"/>
        </w:rPr>
        <w:t>2-</w:t>
      </w:r>
      <w:r>
        <w:rPr>
          <w:rFonts w:hint="eastAsia"/>
          <w:b w:val="0"/>
          <w:bCs w:val="0"/>
          <w:color w:val="0000FF"/>
        </w:rPr>
        <w:t>锚杆静压桩；</w:t>
      </w:r>
      <w:r>
        <w:rPr>
          <w:rFonts w:hint="eastAsia"/>
          <w:b w:val="0"/>
          <w:bCs w:val="0"/>
          <w:color w:val="0000FF"/>
        </w:rPr>
        <w:t xml:space="preserve"> </w:t>
      </w:r>
      <w:r>
        <w:rPr>
          <w:b w:val="0"/>
          <w:bCs w:val="0"/>
          <w:color w:val="0000FF"/>
        </w:rPr>
        <w:t>3-</w:t>
      </w:r>
      <w:r>
        <w:rPr>
          <w:rFonts w:hint="eastAsia"/>
          <w:b w:val="0"/>
          <w:bCs w:val="0"/>
          <w:color w:val="0000FF"/>
        </w:rPr>
        <w:t>新增地下室承台</w:t>
      </w:r>
      <w:r>
        <w:rPr>
          <w:rFonts w:hint="eastAsia"/>
          <w:b w:val="0"/>
          <w:bCs w:val="0"/>
          <w:color w:val="0000FF"/>
        </w:rPr>
        <w:t xml:space="preserve"> </w:t>
      </w:r>
      <w:r>
        <w:rPr>
          <w:rFonts w:hint="eastAsia"/>
          <w:b w:val="0"/>
          <w:bCs w:val="0"/>
          <w:color w:val="0000FF"/>
        </w:rPr>
        <w:t>；</w:t>
      </w:r>
      <w:r>
        <w:rPr>
          <w:b w:val="0"/>
          <w:bCs w:val="0"/>
          <w:color w:val="0000FF"/>
        </w:rPr>
        <w:t>4-</w:t>
      </w:r>
      <w:r>
        <w:rPr>
          <w:rFonts w:hint="eastAsia"/>
          <w:b w:val="0"/>
          <w:bCs w:val="0"/>
          <w:color w:val="0000FF"/>
        </w:rPr>
        <w:t>新增地下室承台加厚区；</w:t>
      </w:r>
      <w:r>
        <w:rPr>
          <w:rFonts w:hint="eastAsia"/>
          <w:b w:val="0"/>
          <w:bCs w:val="0"/>
          <w:color w:val="0000FF"/>
        </w:rPr>
        <w:t xml:space="preserve"> </w:t>
      </w:r>
      <w:r>
        <w:rPr>
          <w:b w:val="0"/>
          <w:bCs w:val="0"/>
          <w:color w:val="0000FF"/>
        </w:rPr>
        <w:t>5-</w:t>
      </w:r>
      <w:r>
        <w:rPr>
          <w:rFonts w:hint="eastAsia"/>
          <w:b w:val="0"/>
          <w:bCs w:val="0"/>
          <w:color w:val="0000FF"/>
        </w:rPr>
        <w:t>新增地下室承台后浇区；</w:t>
      </w:r>
    </w:p>
    <w:p w:rsidR="009136B5" w:rsidRDefault="00000000">
      <w:pPr>
        <w:pStyle w:val="affffb"/>
        <w:rPr>
          <w:b w:val="0"/>
          <w:bCs w:val="0"/>
          <w:color w:val="0000FF"/>
        </w:rPr>
      </w:pPr>
      <w:r>
        <w:rPr>
          <w:b w:val="0"/>
          <w:bCs w:val="0"/>
          <w:color w:val="0000FF"/>
        </w:rPr>
        <w:t>6-</w:t>
      </w:r>
      <w:r>
        <w:rPr>
          <w:rFonts w:hint="eastAsia"/>
          <w:b w:val="0"/>
          <w:bCs w:val="0"/>
          <w:color w:val="0000FF"/>
        </w:rPr>
        <w:t>桩顶盖板；</w:t>
      </w:r>
      <w:r>
        <w:rPr>
          <w:rFonts w:hint="eastAsia"/>
          <w:b w:val="0"/>
          <w:bCs w:val="0"/>
          <w:color w:val="0000FF"/>
        </w:rPr>
        <w:t xml:space="preserve"> </w:t>
      </w:r>
      <w:r>
        <w:rPr>
          <w:b w:val="0"/>
          <w:bCs w:val="0"/>
          <w:color w:val="0000FF"/>
        </w:rPr>
        <w:t>7-</w:t>
      </w:r>
      <w:r>
        <w:rPr>
          <w:rFonts w:hint="eastAsia"/>
          <w:b w:val="0"/>
          <w:bCs w:val="0"/>
          <w:color w:val="0000FF"/>
        </w:rPr>
        <w:t>桩底封板；</w:t>
      </w:r>
      <w:r>
        <w:rPr>
          <w:rFonts w:hint="eastAsia"/>
          <w:b w:val="0"/>
          <w:bCs w:val="0"/>
          <w:color w:val="0000FF"/>
        </w:rPr>
        <w:t xml:space="preserve"> </w:t>
      </w:r>
      <w:r>
        <w:rPr>
          <w:b w:val="0"/>
          <w:bCs w:val="0"/>
          <w:color w:val="0000FF"/>
        </w:rPr>
        <w:t>8-</w:t>
      </w:r>
      <w:r>
        <w:rPr>
          <w:rFonts w:hint="eastAsia"/>
          <w:b w:val="0"/>
          <w:bCs w:val="0"/>
          <w:color w:val="0000FF"/>
        </w:rPr>
        <w:t>新增地下室承台顶部钢筋</w:t>
      </w:r>
    </w:p>
    <w:p w:rsidR="009136B5" w:rsidRDefault="009136B5">
      <w:pPr>
        <w:pStyle w:val="affffb"/>
        <w:rPr>
          <w:color w:val="0000FF"/>
        </w:rPr>
      </w:pPr>
    </w:p>
    <w:p w:rsidR="009136B5" w:rsidRDefault="009136B5">
      <w:pPr>
        <w:pStyle w:val="affffb"/>
        <w:jc w:val="both"/>
        <w:rPr>
          <w:color w:val="auto"/>
        </w:rPr>
      </w:pPr>
    </w:p>
    <w:p w:rsidR="009136B5" w:rsidRDefault="009136B5">
      <w:pPr>
        <w:pStyle w:val="xxx"/>
        <w:ind w:firstLine="271"/>
        <w:jc w:val="center"/>
        <w:rPr>
          <w:b/>
          <w:bCs/>
          <w:color w:val="000000"/>
          <w:sz w:val="18"/>
          <w:szCs w:val="21"/>
        </w:rPr>
        <w:sectPr w:rsidR="009136B5">
          <w:pgSz w:w="11907" w:h="16839"/>
          <w:pgMar w:top="1134" w:right="1134" w:bottom="1134" w:left="1418" w:header="567" w:footer="851" w:gutter="0"/>
          <w:cols w:space="720"/>
          <w:docGrid w:type="linesAndChars" w:linePitch="312"/>
        </w:sectPr>
      </w:pPr>
    </w:p>
    <w:p w:rsidR="009136B5" w:rsidRDefault="00000000">
      <w:pPr>
        <w:pStyle w:val="af6"/>
      </w:pPr>
      <w:bookmarkStart w:id="72" w:name="_Toc123647781"/>
      <w:bookmarkStart w:id="73" w:name="_Toc6502"/>
      <w:bookmarkStart w:id="74" w:name="_Toc449476691"/>
      <w:bookmarkEnd w:id="10"/>
      <w:r>
        <w:lastRenderedPageBreak/>
        <w:t xml:space="preserve">7  </w:t>
      </w:r>
      <w:r>
        <w:rPr>
          <w:rFonts w:hint="eastAsia"/>
        </w:rPr>
        <w:t>施</w:t>
      </w:r>
      <w:r>
        <w:rPr>
          <w:rFonts w:hint="eastAsia"/>
        </w:rPr>
        <w:t xml:space="preserve">    </w:t>
      </w:r>
      <w:r>
        <w:rPr>
          <w:rFonts w:hint="eastAsia"/>
        </w:rPr>
        <w:t>工</w:t>
      </w:r>
      <w:bookmarkEnd w:id="72"/>
      <w:bookmarkEnd w:id="73"/>
    </w:p>
    <w:p w:rsidR="009136B5" w:rsidRDefault="00000000">
      <w:pPr>
        <w:pStyle w:val="20"/>
        <w:rPr>
          <w:lang w:bidi="ar"/>
        </w:rPr>
      </w:pPr>
      <w:bookmarkStart w:id="75" w:name="_Toc123647782"/>
      <w:bookmarkStart w:id="76" w:name="_Toc391"/>
      <w:r>
        <w:rPr>
          <w:lang w:bidi="ar"/>
        </w:rPr>
        <w:t>7.1</w:t>
      </w:r>
      <w:r>
        <w:rPr>
          <w:rFonts w:hint="eastAsia"/>
          <w:lang w:bidi="ar"/>
        </w:rPr>
        <w:t xml:space="preserve"> </w:t>
      </w:r>
      <w:r>
        <w:rPr>
          <w:lang w:bidi="ar"/>
        </w:rPr>
        <w:t xml:space="preserve"> </w:t>
      </w:r>
      <w:r>
        <w:rPr>
          <w:rFonts w:hint="eastAsia"/>
          <w:lang w:bidi="ar"/>
        </w:rPr>
        <w:t>一般规定</w:t>
      </w:r>
      <w:bookmarkEnd w:id="75"/>
      <w:bookmarkEnd w:id="76"/>
    </w:p>
    <w:p w:rsidR="009136B5" w:rsidRDefault="00000000">
      <w:pPr>
        <w:pStyle w:val="xxx"/>
        <w:rPr>
          <w:b/>
          <w:bCs/>
          <w:lang w:bidi="ar"/>
        </w:rPr>
      </w:pPr>
      <w:r>
        <w:rPr>
          <w:b/>
          <w:bCs/>
          <w:lang w:bidi="ar"/>
        </w:rPr>
        <w:t xml:space="preserve">7.1.1  </w:t>
      </w:r>
      <w:r>
        <w:rPr>
          <w:rFonts w:hint="eastAsia"/>
          <w:lang w:bidi="ar"/>
        </w:rPr>
        <w:t>既有建筑地下增层施工前应具备下列主要技术资料：</w:t>
      </w:r>
    </w:p>
    <w:p w:rsidR="009136B5" w:rsidRDefault="00000000">
      <w:pPr>
        <w:pStyle w:val="x"/>
        <w:ind w:firstLine="315"/>
      </w:pPr>
      <w:r>
        <w:t xml:space="preserve">1  </w:t>
      </w:r>
      <w:r>
        <w:rPr>
          <w:rFonts w:hint="eastAsia"/>
        </w:rPr>
        <w:t>岩土工程详细勘察报告与</w:t>
      </w:r>
      <w:r>
        <w:t>场地现状资料</w:t>
      </w:r>
      <w:r>
        <w:rPr>
          <w:rFonts w:hint="eastAsia"/>
        </w:rPr>
        <w:t>；</w:t>
      </w:r>
    </w:p>
    <w:p w:rsidR="009136B5" w:rsidRDefault="00000000">
      <w:pPr>
        <w:pStyle w:val="x"/>
        <w:ind w:firstLine="315"/>
      </w:pPr>
      <w:r>
        <w:t xml:space="preserve">2  </w:t>
      </w:r>
      <w:r>
        <w:rPr>
          <w:rFonts w:hint="eastAsia"/>
        </w:rPr>
        <w:t>既有建筑的</w:t>
      </w:r>
      <w:r>
        <w:t>建筑</w:t>
      </w:r>
      <w:r>
        <w:rPr>
          <w:rFonts w:hint="eastAsia"/>
        </w:rPr>
        <w:t>、结构、机电安装等增层</w:t>
      </w:r>
      <w:r>
        <w:t>设计文件和</w:t>
      </w:r>
      <w:r>
        <w:rPr>
          <w:rFonts w:hint="eastAsia"/>
        </w:rPr>
        <w:t>原工程设计文件；</w:t>
      </w:r>
    </w:p>
    <w:p w:rsidR="009136B5" w:rsidRDefault="00000000">
      <w:pPr>
        <w:pStyle w:val="x"/>
        <w:ind w:firstLine="315"/>
      </w:pPr>
      <w:r>
        <w:t xml:space="preserve">3  </w:t>
      </w:r>
      <w:r>
        <w:rPr>
          <w:rFonts w:hint="eastAsia"/>
        </w:rPr>
        <w:t>既有建筑安全性、抗震鉴定报告或评估报告，结构</w:t>
      </w:r>
      <w:r>
        <w:t>和</w:t>
      </w:r>
      <w:r>
        <w:rPr>
          <w:rFonts w:hint="eastAsia"/>
        </w:rPr>
        <w:t>基础受力与变形现状；</w:t>
      </w:r>
    </w:p>
    <w:p w:rsidR="009136B5" w:rsidRDefault="00000000">
      <w:pPr>
        <w:pStyle w:val="x"/>
        <w:ind w:firstLine="315"/>
      </w:pPr>
      <w:r>
        <w:t xml:space="preserve">4  </w:t>
      </w:r>
      <w:r>
        <w:rPr>
          <w:rFonts w:hint="eastAsia"/>
        </w:rPr>
        <w:t>既有建筑地下室增层基坑支护设计文件和</w:t>
      </w:r>
      <w:r>
        <w:t>原基坑设计文件</w:t>
      </w:r>
      <w:r>
        <w:rPr>
          <w:rFonts w:hint="eastAsia"/>
        </w:rPr>
        <w:t>，增层基坑支护设计文件应明确基坑以及周边环境的变形控制指标；</w:t>
      </w:r>
    </w:p>
    <w:p w:rsidR="009136B5" w:rsidRDefault="00000000">
      <w:pPr>
        <w:pStyle w:val="x"/>
        <w:ind w:firstLine="315"/>
      </w:pPr>
      <w:r>
        <w:t xml:space="preserve">5  </w:t>
      </w:r>
      <w:r>
        <w:rPr>
          <w:rFonts w:hint="eastAsia"/>
        </w:rPr>
        <w:t>既有建筑周边建（构）筑物及其保护要求，对影响范围内的建（构）筑物、桥梁、地铁等重要设施应明确具体的保护措施，并获得相关主管部门的认可；</w:t>
      </w:r>
    </w:p>
    <w:p w:rsidR="009136B5" w:rsidRDefault="00000000">
      <w:pPr>
        <w:pStyle w:val="x"/>
        <w:ind w:firstLine="315"/>
      </w:pPr>
      <w:r>
        <w:t xml:space="preserve">6  </w:t>
      </w:r>
      <w:r>
        <w:rPr>
          <w:rFonts w:hint="eastAsia"/>
        </w:rPr>
        <w:t>既有建筑为文物建筑时，应明确保护要求和保护措施；</w:t>
      </w:r>
    </w:p>
    <w:p w:rsidR="009136B5" w:rsidRDefault="00000000">
      <w:pPr>
        <w:pStyle w:val="x"/>
        <w:ind w:firstLine="315"/>
      </w:pPr>
      <w:r>
        <w:t xml:space="preserve">7  </w:t>
      </w:r>
      <w:r>
        <w:rPr>
          <w:rFonts w:hint="eastAsia"/>
        </w:rPr>
        <w:t>既有建筑周边地下管线资料。</w:t>
      </w:r>
    </w:p>
    <w:p w:rsidR="009136B5" w:rsidRDefault="00000000">
      <w:pPr>
        <w:pStyle w:val="xxx"/>
        <w:rPr>
          <w:lang w:bidi="ar"/>
        </w:rPr>
      </w:pPr>
      <w:r>
        <w:rPr>
          <w:b/>
          <w:bCs/>
          <w:lang w:bidi="ar"/>
        </w:rPr>
        <w:t xml:space="preserve">7.1.2  </w:t>
      </w:r>
      <w:r>
        <w:rPr>
          <w:rFonts w:hint="eastAsia"/>
          <w:lang w:bidi="ar"/>
        </w:rPr>
        <w:t>既有建筑地下增层施工前应根据国家现行有关标准规定及设计文件进行施工组织设计，施工组织设计经专家论证通过后方可实施。</w:t>
      </w:r>
    </w:p>
    <w:p w:rsidR="009136B5" w:rsidRDefault="00000000">
      <w:pPr>
        <w:pStyle w:val="afffff1"/>
        <w:ind w:firstLineChars="0" w:firstLine="0"/>
        <w:rPr>
          <w:b/>
          <w:bCs/>
          <w:lang w:bidi="ar"/>
        </w:rPr>
      </w:pPr>
      <w:r>
        <w:rPr>
          <w:rFonts w:hint="eastAsia"/>
          <w:b/>
          <w:lang w:bidi="ar"/>
        </w:rPr>
        <w:t>条文说明</w:t>
      </w:r>
      <w:r>
        <w:rPr>
          <w:rFonts w:hint="eastAsia"/>
          <w:lang w:bidi="ar"/>
        </w:rPr>
        <w:t>：施工组织设计主要内容包括：</w:t>
      </w:r>
    </w:p>
    <w:p w:rsidR="009136B5" w:rsidRDefault="00000000">
      <w:pPr>
        <w:pStyle w:val="afffff1"/>
        <w:rPr>
          <w:lang w:bidi="ar"/>
        </w:rPr>
      </w:pPr>
      <w:r>
        <w:rPr>
          <w:lang w:bidi="ar"/>
        </w:rPr>
        <w:t xml:space="preserve">1  </w:t>
      </w:r>
      <w:r>
        <w:rPr>
          <w:rFonts w:hint="eastAsia"/>
          <w:lang w:bidi="ar"/>
        </w:rPr>
        <w:t>工程概况；</w:t>
      </w:r>
    </w:p>
    <w:p w:rsidR="009136B5" w:rsidRDefault="00000000">
      <w:pPr>
        <w:pStyle w:val="afffff1"/>
        <w:rPr>
          <w:lang w:bidi="ar"/>
        </w:rPr>
      </w:pPr>
      <w:r>
        <w:rPr>
          <w:lang w:bidi="ar"/>
        </w:rPr>
        <w:t xml:space="preserve">2  </w:t>
      </w:r>
      <w:r>
        <w:rPr>
          <w:rFonts w:hint="eastAsia"/>
          <w:lang w:bidi="ar"/>
        </w:rPr>
        <w:t>编制依据；</w:t>
      </w:r>
    </w:p>
    <w:p w:rsidR="009136B5" w:rsidRDefault="00000000">
      <w:pPr>
        <w:pStyle w:val="afffff1"/>
        <w:rPr>
          <w:lang w:bidi="ar"/>
        </w:rPr>
      </w:pPr>
      <w:r>
        <w:rPr>
          <w:lang w:bidi="ar"/>
        </w:rPr>
        <w:t xml:space="preserve">3  </w:t>
      </w:r>
      <w:r>
        <w:rPr>
          <w:rFonts w:hint="eastAsia"/>
          <w:lang w:bidi="ar"/>
        </w:rPr>
        <w:t>施工部署（含开工准备、资源配置计划、施工平面布置等）；</w:t>
      </w:r>
    </w:p>
    <w:p w:rsidR="009136B5" w:rsidRDefault="00000000">
      <w:pPr>
        <w:pStyle w:val="afffff1"/>
        <w:rPr>
          <w:lang w:bidi="ar"/>
        </w:rPr>
      </w:pPr>
      <w:r>
        <w:rPr>
          <w:lang w:bidi="ar"/>
        </w:rPr>
        <w:t xml:space="preserve">4  </w:t>
      </w:r>
      <w:r>
        <w:rPr>
          <w:rFonts w:hint="eastAsia"/>
          <w:lang w:bidi="ar"/>
        </w:rPr>
        <w:t>总体施工顺序；</w:t>
      </w:r>
    </w:p>
    <w:p w:rsidR="009136B5" w:rsidRDefault="00000000">
      <w:pPr>
        <w:pStyle w:val="afffff1"/>
        <w:rPr>
          <w:lang w:bidi="ar"/>
        </w:rPr>
      </w:pPr>
      <w:r>
        <w:rPr>
          <w:lang w:bidi="ar"/>
        </w:rPr>
        <w:t xml:space="preserve">5  </w:t>
      </w:r>
      <w:r>
        <w:rPr>
          <w:rFonts w:hint="eastAsia"/>
          <w:lang w:bidi="ar"/>
        </w:rPr>
        <w:t>既有基础改造与加固施工方案；</w:t>
      </w:r>
    </w:p>
    <w:p w:rsidR="009136B5" w:rsidRDefault="00000000">
      <w:pPr>
        <w:pStyle w:val="afffff1"/>
        <w:rPr>
          <w:lang w:bidi="ar"/>
        </w:rPr>
      </w:pPr>
      <w:r>
        <w:rPr>
          <w:lang w:bidi="ar"/>
        </w:rPr>
        <w:t xml:space="preserve">6  </w:t>
      </w:r>
      <w:r>
        <w:rPr>
          <w:rFonts w:hint="eastAsia"/>
          <w:lang w:bidi="ar"/>
        </w:rPr>
        <w:t>基础（桩）托换施工方案；</w:t>
      </w:r>
    </w:p>
    <w:p w:rsidR="009136B5" w:rsidRDefault="00000000">
      <w:pPr>
        <w:pStyle w:val="afffff1"/>
        <w:rPr>
          <w:lang w:bidi="ar"/>
        </w:rPr>
      </w:pPr>
      <w:r>
        <w:rPr>
          <w:lang w:bidi="ar"/>
        </w:rPr>
        <w:t xml:space="preserve">7  </w:t>
      </w:r>
      <w:r>
        <w:rPr>
          <w:rFonts w:hint="eastAsia"/>
          <w:lang w:bidi="ar"/>
        </w:rPr>
        <w:t>侧向支护结构施工方案；</w:t>
      </w:r>
    </w:p>
    <w:p w:rsidR="009136B5" w:rsidRDefault="00000000">
      <w:pPr>
        <w:pStyle w:val="afffff1"/>
        <w:rPr>
          <w:lang w:bidi="ar"/>
        </w:rPr>
      </w:pPr>
      <w:r>
        <w:rPr>
          <w:lang w:bidi="ar"/>
        </w:rPr>
        <w:t xml:space="preserve">8  </w:t>
      </w:r>
      <w:r>
        <w:rPr>
          <w:rFonts w:hint="eastAsia"/>
          <w:lang w:bidi="ar"/>
        </w:rPr>
        <w:t>降排水方案；</w:t>
      </w:r>
    </w:p>
    <w:p w:rsidR="009136B5" w:rsidRDefault="00000000">
      <w:pPr>
        <w:pStyle w:val="afffff1"/>
        <w:rPr>
          <w:lang w:bidi="ar"/>
        </w:rPr>
      </w:pPr>
      <w:r>
        <w:rPr>
          <w:lang w:bidi="ar"/>
        </w:rPr>
        <w:t xml:space="preserve">9  </w:t>
      </w:r>
      <w:r>
        <w:rPr>
          <w:rFonts w:hint="eastAsia"/>
          <w:lang w:bidi="ar"/>
        </w:rPr>
        <w:t>土方开挖与桩间支撑方案；</w:t>
      </w:r>
    </w:p>
    <w:p w:rsidR="009136B5" w:rsidRDefault="00000000">
      <w:pPr>
        <w:pStyle w:val="afffff1"/>
        <w:rPr>
          <w:lang w:bidi="ar"/>
        </w:rPr>
      </w:pPr>
      <w:r>
        <w:rPr>
          <w:lang w:bidi="ar"/>
        </w:rPr>
        <w:t xml:space="preserve">10  </w:t>
      </w:r>
      <w:r>
        <w:rPr>
          <w:rFonts w:hint="eastAsia"/>
          <w:lang w:bidi="ar"/>
        </w:rPr>
        <w:t>既有结构构件拆除方案；</w:t>
      </w:r>
    </w:p>
    <w:p w:rsidR="009136B5" w:rsidRDefault="00000000">
      <w:pPr>
        <w:pStyle w:val="afffff1"/>
        <w:rPr>
          <w:lang w:bidi="ar"/>
        </w:rPr>
      </w:pPr>
      <w:r>
        <w:rPr>
          <w:lang w:bidi="ar"/>
        </w:rPr>
        <w:t xml:space="preserve">11  </w:t>
      </w:r>
      <w:r>
        <w:rPr>
          <w:rFonts w:hint="eastAsia"/>
          <w:lang w:bidi="ar"/>
        </w:rPr>
        <w:t>既有结构加固方案；</w:t>
      </w:r>
    </w:p>
    <w:p w:rsidR="009136B5" w:rsidRDefault="00000000">
      <w:pPr>
        <w:pStyle w:val="afffff1"/>
        <w:rPr>
          <w:lang w:bidi="ar"/>
        </w:rPr>
      </w:pPr>
      <w:r>
        <w:rPr>
          <w:lang w:bidi="ar"/>
        </w:rPr>
        <w:t xml:space="preserve">12  </w:t>
      </w:r>
      <w:r>
        <w:rPr>
          <w:rFonts w:hint="eastAsia"/>
          <w:lang w:bidi="ar"/>
        </w:rPr>
        <w:t>新建地下结构施工与上下新旧结构连接方案；</w:t>
      </w:r>
    </w:p>
    <w:p w:rsidR="009136B5" w:rsidRDefault="00000000">
      <w:pPr>
        <w:pStyle w:val="afffff1"/>
        <w:rPr>
          <w:lang w:bidi="ar"/>
        </w:rPr>
      </w:pPr>
      <w:r>
        <w:rPr>
          <w:lang w:bidi="ar"/>
        </w:rPr>
        <w:t xml:space="preserve">13  </w:t>
      </w:r>
      <w:r>
        <w:rPr>
          <w:lang w:bidi="ar"/>
        </w:rPr>
        <w:t>周边建（构）筑物与地下管线安全保证措施（或安全保护施工方案）；</w:t>
      </w:r>
    </w:p>
    <w:p w:rsidR="009136B5" w:rsidRDefault="00000000">
      <w:pPr>
        <w:pStyle w:val="afffff1"/>
        <w:rPr>
          <w:lang w:bidi="ar"/>
        </w:rPr>
      </w:pPr>
      <w:r>
        <w:rPr>
          <w:lang w:bidi="ar"/>
        </w:rPr>
        <w:t xml:space="preserve">14  </w:t>
      </w:r>
      <w:r>
        <w:rPr>
          <w:lang w:bidi="ar"/>
        </w:rPr>
        <w:t>施工监测方案；</w:t>
      </w:r>
    </w:p>
    <w:p w:rsidR="009136B5" w:rsidRDefault="00000000">
      <w:pPr>
        <w:pStyle w:val="afffff1"/>
        <w:rPr>
          <w:lang w:bidi="ar"/>
        </w:rPr>
      </w:pPr>
      <w:r>
        <w:rPr>
          <w:lang w:bidi="ar"/>
        </w:rPr>
        <w:t xml:space="preserve">15  </w:t>
      </w:r>
      <w:r>
        <w:rPr>
          <w:lang w:bidi="ar"/>
        </w:rPr>
        <w:t>施工进度计划及保证措施；</w:t>
      </w:r>
    </w:p>
    <w:p w:rsidR="009136B5" w:rsidRDefault="00000000">
      <w:pPr>
        <w:pStyle w:val="afffff1"/>
        <w:rPr>
          <w:lang w:bidi="ar"/>
        </w:rPr>
      </w:pPr>
      <w:r>
        <w:rPr>
          <w:lang w:bidi="ar"/>
        </w:rPr>
        <w:t xml:space="preserve">16  </w:t>
      </w:r>
      <w:r>
        <w:rPr>
          <w:lang w:bidi="ar"/>
        </w:rPr>
        <w:t>工程质量保证措施；</w:t>
      </w:r>
    </w:p>
    <w:p w:rsidR="009136B5" w:rsidRDefault="00000000">
      <w:pPr>
        <w:pStyle w:val="afffff1"/>
        <w:rPr>
          <w:lang w:bidi="ar"/>
        </w:rPr>
      </w:pPr>
      <w:r>
        <w:rPr>
          <w:lang w:bidi="ar"/>
        </w:rPr>
        <w:lastRenderedPageBreak/>
        <w:t xml:space="preserve">17  </w:t>
      </w:r>
      <w:r>
        <w:rPr>
          <w:lang w:bidi="ar"/>
        </w:rPr>
        <w:t>安全、文明施工保证措施；</w:t>
      </w:r>
    </w:p>
    <w:p w:rsidR="009136B5" w:rsidRDefault="00000000">
      <w:pPr>
        <w:pStyle w:val="afffff1"/>
        <w:rPr>
          <w:lang w:bidi="ar"/>
        </w:rPr>
      </w:pPr>
      <w:r>
        <w:rPr>
          <w:lang w:bidi="ar"/>
        </w:rPr>
        <w:t xml:space="preserve">18  </w:t>
      </w:r>
      <w:r>
        <w:rPr>
          <w:lang w:bidi="ar"/>
        </w:rPr>
        <w:t>应急处置方案；</w:t>
      </w:r>
    </w:p>
    <w:p w:rsidR="009136B5" w:rsidRDefault="00000000">
      <w:pPr>
        <w:pStyle w:val="afffff1"/>
        <w:rPr>
          <w:lang w:bidi="ar"/>
        </w:rPr>
      </w:pPr>
      <w:r>
        <w:rPr>
          <w:lang w:bidi="ar"/>
        </w:rPr>
        <w:t xml:space="preserve">19  </w:t>
      </w:r>
      <w:r>
        <w:rPr>
          <w:rFonts w:hint="eastAsia"/>
          <w:lang w:bidi="ar"/>
        </w:rPr>
        <w:t>夜间施工和特殊季节施工保证措施。</w:t>
      </w:r>
    </w:p>
    <w:p w:rsidR="009136B5" w:rsidRDefault="00000000">
      <w:pPr>
        <w:pStyle w:val="xxx"/>
      </w:pPr>
      <w:r>
        <w:rPr>
          <w:b/>
          <w:bCs/>
        </w:rPr>
        <w:t>7.1.3</w:t>
      </w:r>
      <w:r>
        <w:t xml:space="preserve">  </w:t>
      </w:r>
      <w:r>
        <w:rPr>
          <w:rFonts w:hint="eastAsia"/>
        </w:rPr>
        <w:t>既有建筑在地下增层施工期间需要正常使用的，应采取相应的安全与正常使用保证措施。</w:t>
      </w:r>
    </w:p>
    <w:p w:rsidR="009136B5" w:rsidRDefault="00000000">
      <w:pPr>
        <w:pStyle w:val="xxx"/>
      </w:pPr>
      <w:r>
        <w:rPr>
          <w:b/>
          <w:bCs/>
        </w:rPr>
        <w:t>7.1.4</w:t>
      </w:r>
      <w:r>
        <w:t xml:space="preserve">  </w:t>
      </w:r>
      <w:r>
        <w:rPr>
          <w:rFonts w:hint="eastAsia"/>
        </w:rPr>
        <w:t>地下增层施工前，应对影响施工的管线、设备等进行改迁。如遇不明地下障碍物应暂停施工，采取避让</w:t>
      </w:r>
      <w:r>
        <w:t>、</w:t>
      </w:r>
      <w:r>
        <w:rPr>
          <w:rFonts w:hint="eastAsia"/>
        </w:rPr>
        <w:t>清障等有效措施后方可继续施工。</w:t>
      </w:r>
    </w:p>
    <w:p w:rsidR="009136B5" w:rsidRDefault="00000000">
      <w:pPr>
        <w:pStyle w:val="xxx"/>
        <w:rPr>
          <w:lang w:bidi="ar"/>
        </w:rPr>
      </w:pPr>
      <w:r>
        <w:rPr>
          <w:b/>
          <w:bCs/>
        </w:rPr>
        <w:t>7.1.5</w:t>
      </w:r>
      <w:r>
        <w:t xml:space="preserve">  </w:t>
      </w:r>
      <w:r>
        <w:rPr>
          <w:rFonts w:hint="eastAsia"/>
        </w:rPr>
        <w:t>增</w:t>
      </w:r>
      <w:r>
        <w:rPr>
          <w:rFonts w:hint="eastAsia"/>
          <w:lang w:bidi="ar"/>
        </w:rPr>
        <w:t>层施工过程中应加强现场管理，保证工程安全和正常施工。</w:t>
      </w:r>
    </w:p>
    <w:p w:rsidR="009136B5" w:rsidRDefault="00000000">
      <w:pPr>
        <w:pStyle w:val="afffff1"/>
        <w:ind w:firstLineChars="0" w:firstLine="0"/>
        <w:rPr>
          <w:lang w:bidi="ar"/>
        </w:rPr>
      </w:pPr>
      <w:r>
        <w:rPr>
          <w:rFonts w:hint="eastAsia"/>
          <w:b/>
          <w:lang w:bidi="ar"/>
        </w:rPr>
        <w:t>条文说明：</w:t>
      </w:r>
      <w:r>
        <w:rPr>
          <w:rFonts w:hint="eastAsia"/>
          <w:lang w:bidi="ar"/>
        </w:rPr>
        <w:t>增层施工现场管理具体要求如下：</w:t>
      </w:r>
    </w:p>
    <w:p w:rsidR="009136B5" w:rsidRDefault="00000000">
      <w:pPr>
        <w:pStyle w:val="afffff1"/>
        <w:rPr>
          <w:lang w:bidi="ar"/>
        </w:rPr>
      </w:pPr>
      <w:r>
        <w:rPr>
          <w:lang w:bidi="ar"/>
        </w:rPr>
        <w:t xml:space="preserve">1  </w:t>
      </w:r>
      <w:r>
        <w:rPr>
          <w:rFonts w:hint="eastAsia"/>
          <w:lang w:bidi="ar"/>
        </w:rPr>
        <w:t>托换桩施工质量必须可靠，保证附加沉降可控、基本均匀且补桩后沉降能较快地趋于稳定；</w:t>
      </w:r>
    </w:p>
    <w:p w:rsidR="009136B5" w:rsidRDefault="00000000">
      <w:pPr>
        <w:pStyle w:val="afffff1"/>
        <w:rPr>
          <w:lang w:bidi="ar"/>
        </w:rPr>
      </w:pPr>
      <w:r>
        <w:rPr>
          <w:lang w:bidi="ar"/>
        </w:rPr>
        <w:t xml:space="preserve">2  </w:t>
      </w:r>
      <w:r>
        <w:rPr>
          <w:rFonts w:hint="eastAsia"/>
          <w:lang w:bidi="ar"/>
        </w:rPr>
        <w:t>基坑支护体系应保证稳定，并制定应急处置措施，基坑支护体系与既有建筑基础结构原则上应分离，以减少两种受力系统之间的不利影响；</w:t>
      </w:r>
    </w:p>
    <w:p w:rsidR="009136B5" w:rsidRDefault="00000000">
      <w:pPr>
        <w:pStyle w:val="afffff1"/>
        <w:rPr>
          <w:lang w:bidi="ar"/>
        </w:rPr>
      </w:pPr>
      <w:r>
        <w:rPr>
          <w:lang w:bidi="ar"/>
        </w:rPr>
        <w:t xml:space="preserve">3  </w:t>
      </w:r>
      <w:r>
        <w:rPr>
          <w:rFonts w:hint="eastAsia"/>
          <w:lang w:bidi="ar"/>
        </w:rPr>
        <w:t>托换桩、原工程桩桩间应加设支撑形成双向抗侧力的群桩受力体系，保证土方开挖过程中既有建筑物整体稳定；</w:t>
      </w:r>
    </w:p>
    <w:p w:rsidR="009136B5" w:rsidRDefault="00000000">
      <w:pPr>
        <w:pStyle w:val="afffff1"/>
        <w:rPr>
          <w:lang w:bidi="ar"/>
        </w:rPr>
      </w:pPr>
      <w:r>
        <w:rPr>
          <w:lang w:bidi="ar"/>
        </w:rPr>
        <w:t xml:space="preserve">4  </w:t>
      </w:r>
      <w:r>
        <w:rPr>
          <w:rFonts w:hint="eastAsia"/>
          <w:lang w:bidi="ar"/>
        </w:rPr>
        <w:t>基础混凝土垫层宜采用强度等级不低于</w:t>
      </w:r>
      <w:r>
        <w:rPr>
          <w:lang w:bidi="ar"/>
        </w:rPr>
        <w:t>C20</w:t>
      </w:r>
      <w:r>
        <w:rPr>
          <w:lang w:bidi="ar"/>
        </w:rPr>
        <w:t>早强型混凝土，厚度不少于</w:t>
      </w:r>
      <w:r>
        <w:rPr>
          <w:lang w:bidi="ar"/>
        </w:rPr>
        <w:t>150mm</w:t>
      </w:r>
      <w:r>
        <w:rPr>
          <w:rFonts w:hint="eastAsia"/>
          <w:lang w:bidi="ar"/>
        </w:rPr>
        <w:t>，开挖到底后尽快形成坑底垫层，提升群桩侧向稳定性；</w:t>
      </w:r>
    </w:p>
    <w:p w:rsidR="009136B5" w:rsidRDefault="00000000">
      <w:pPr>
        <w:pStyle w:val="afffff1"/>
        <w:rPr>
          <w:lang w:bidi="ar"/>
        </w:rPr>
      </w:pPr>
      <w:r>
        <w:rPr>
          <w:lang w:bidi="ar"/>
        </w:rPr>
        <w:t xml:space="preserve">5  </w:t>
      </w:r>
      <w:r>
        <w:rPr>
          <w:rFonts w:hint="eastAsia"/>
          <w:lang w:bidi="ar"/>
        </w:rPr>
        <w:t>对地下增层施工影响范围内的周边建（构）筑物和地下管线应加强预防性保护，严格控制沉降、倾斜及开裂；</w:t>
      </w:r>
    </w:p>
    <w:p w:rsidR="009136B5" w:rsidRDefault="00000000">
      <w:pPr>
        <w:pStyle w:val="afffff1"/>
        <w:rPr>
          <w:lang w:bidi="ar"/>
        </w:rPr>
      </w:pPr>
      <w:r>
        <w:rPr>
          <w:lang w:bidi="ar"/>
        </w:rPr>
        <w:t xml:space="preserve">6  </w:t>
      </w:r>
      <w:r>
        <w:rPr>
          <w:rFonts w:hint="eastAsia"/>
          <w:lang w:bidi="ar"/>
        </w:rPr>
        <w:t>应严格控制托换桩、支护桩施工对场地土层的扰动，当工程位于地铁保护区域内，应采取减少土层扰动的技术措施。</w:t>
      </w:r>
    </w:p>
    <w:p w:rsidR="009136B5" w:rsidRDefault="00000000">
      <w:pPr>
        <w:pStyle w:val="xxx"/>
        <w:rPr>
          <w:lang w:bidi="ar"/>
        </w:rPr>
      </w:pPr>
      <w:r>
        <w:rPr>
          <w:b/>
          <w:bCs/>
          <w:lang w:bidi="ar"/>
        </w:rPr>
        <w:t xml:space="preserve">7.1.6  </w:t>
      </w:r>
      <w:r>
        <w:rPr>
          <w:rFonts w:hint="eastAsia"/>
          <w:lang w:bidi="ar"/>
        </w:rPr>
        <w:t>在地下增层施工过程中，应对既有建（构）筑物及周边环境进行监测，必要时应实时监测。</w:t>
      </w:r>
    </w:p>
    <w:p w:rsidR="009136B5" w:rsidRDefault="00000000">
      <w:pPr>
        <w:pStyle w:val="xxx"/>
        <w:rPr>
          <w:lang w:bidi="ar"/>
        </w:rPr>
      </w:pPr>
      <w:r>
        <w:rPr>
          <w:b/>
          <w:bCs/>
          <w:lang w:bidi="ar"/>
        </w:rPr>
        <w:t xml:space="preserve">7.1.7  </w:t>
      </w:r>
      <w:r>
        <w:rPr>
          <w:rFonts w:hint="eastAsia"/>
          <w:lang w:bidi="ar"/>
        </w:rPr>
        <w:t>原址增层施工需要通过整体顶升、下降调整既有建筑高程的，升降施工应符合现行行业标准《既有建筑地基基础加固技术规范》</w:t>
      </w:r>
      <w:r>
        <w:rPr>
          <w:lang w:bidi="ar"/>
        </w:rPr>
        <w:t>JGJ123</w:t>
      </w:r>
      <w:r>
        <w:rPr>
          <w:rFonts w:hint="eastAsia"/>
          <w:lang w:bidi="ar"/>
        </w:rPr>
        <w:t>与《建筑物倾斜纠偏技术规程》</w:t>
      </w:r>
      <w:r>
        <w:rPr>
          <w:lang w:bidi="ar"/>
        </w:rPr>
        <w:t>JGJ270</w:t>
      </w:r>
      <w:r>
        <w:rPr>
          <w:rFonts w:hint="eastAsia"/>
          <w:lang w:bidi="ar"/>
        </w:rPr>
        <w:t>的相关规定。</w:t>
      </w:r>
    </w:p>
    <w:p w:rsidR="009136B5" w:rsidRDefault="00000000">
      <w:pPr>
        <w:pStyle w:val="xxx"/>
        <w:rPr>
          <w:lang w:bidi="ar"/>
        </w:rPr>
      </w:pPr>
      <w:r>
        <w:rPr>
          <w:b/>
          <w:bCs/>
          <w:lang w:bidi="ar"/>
        </w:rPr>
        <w:t xml:space="preserve">7.1.8  </w:t>
      </w:r>
      <w:r>
        <w:rPr>
          <w:rFonts w:hint="eastAsia"/>
          <w:lang w:bidi="ar"/>
        </w:rPr>
        <w:t>移址增层施工所涉及的新基坑施工、既有建筑往返移位施工，应符合现行行业标准《建筑基坑支护技术规程》</w:t>
      </w:r>
      <w:r>
        <w:rPr>
          <w:lang w:bidi="ar"/>
        </w:rPr>
        <w:t>JGJ120</w:t>
      </w:r>
      <w:r>
        <w:rPr>
          <w:rFonts w:hint="eastAsia"/>
          <w:lang w:bidi="ar"/>
        </w:rPr>
        <w:t>和《建</w:t>
      </w:r>
      <w:r>
        <w:rPr>
          <w:lang w:bidi="ar"/>
        </w:rPr>
        <w:t>(</w:t>
      </w:r>
      <w:r>
        <w:rPr>
          <w:lang w:bidi="ar"/>
        </w:rPr>
        <w:t>构</w:t>
      </w:r>
      <w:r>
        <w:rPr>
          <w:lang w:bidi="ar"/>
        </w:rPr>
        <w:t>)</w:t>
      </w:r>
      <w:r>
        <w:rPr>
          <w:lang w:bidi="ar"/>
        </w:rPr>
        <w:t>筑物移位工程技术规程》</w:t>
      </w:r>
      <w:r>
        <w:rPr>
          <w:lang w:bidi="ar"/>
        </w:rPr>
        <w:t>JGJ/T239</w:t>
      </w:r>
      <w:r>
        <w:rPr>
          <w:rFonts w:hint="eastAsia"/>
          <w:lang w:bidi="ar"/>
        </w:rPr>
        <w:t>的相关规定。</w:t>
      </w:r>
    </w:p>
    <w:p w:rsidR="009136B5" w:rsidRDefault="00000000">
      <w:pPr>
        <w:pStyle w:val="xxx"/>
        <w:rPr>
          <w:rFonts w:ascii="宋体" w:hAnsi="宋体" w:cs="宋体"/>
          <w:color w:val="000000"/>
          <w:sz w:val="24"/>
          <w:lang w:bidi="ar"/>
        </w:rPr>
      </w:pPr>
      <w:r>
        <w:rPr>
          <w:b/>
          <w:bCs/>
        </w:rPr>
        <w:t>7.1.9</w:t>
      </w:r>
      <w:r>
        <w:t xml:space="preserve">  </w:t>
      </w:r>
      <w:r>
        <w:rPr>
          <w:rFonts w:hint="eastAsia"/>
        </w:rPr>
        <w:t>对于同一场地中既有建筑群体实施地下增层施工，要保证各楼栋的的侧向稳定，土方开挖应遵循“分层、分块、对称、平衡、限时开挖”的原则，防止托换桩变形受损。</w:t>
      </w:r>
    </w:p>
    <w:p w:rsidR="009136B5" w:rsidRDefault="00000000">
      <w:pPr>
        <w:pStyle w:val="xxx"/>
        <w:rPr>
          <w:lang w:bidi="ar"/>
        </w:rPr>
      </w:pPr>
      <w:r>
        <w:rPr>
          <w:b/>
          <w:bCs/>
          <w:lang w:bidi="ar"/>
        </w:rPr>
        <w:t xml:space="preserve">7.1.10  </w:t>
      </w:r>
      <w:r>
        <w:rPr>
          <w:rFonts w:hint="eastAsia"/>
          <w:lang w:bidi="ar"/>
        </w:rPr>
        <w:t>对于主体结构倾斜超标的既有建筑，应先实施整体纠倾，完成后方能开挖基坑。对于开工前沉降不稳定或沉降较大的既有建筑，应予以加固处理，待沉降基本稳定后方可开挖基坑。</w:t>
      </w:r>
      <w:r>
        <w:rPr>
          <w:lang w:bidi="ar"/>
        </w:rPr>
        <w:t xml:space="preserve">  </w:t>
      </w:r>
    </w:p>
    <w:p w:rsidR="009136B5" w:rsidRDefault="00000000">
      <w:pPr>
        <w:pStyle w:val="xxx"/>
        <w:rPr>
          <w:lang w:bidi="ar"/>
        </w:rPr>
      </w:pPr>
      <w:r>
        <w:rPr>
          <w:b/>
          <w:bCs/>
          <w:lang w:bidi="ar"/>
        </w:rPr>
        <w:t xml:space="preserve">7.1.11  </w:t>
      </w:r>
      <w:r>
        <w:rPr>
          <w:rFonts w:hint="eastAsia"/>
          <w:lang w:bidi="ar"/>
        </w:rPr>
        <w:t>对于文物建筑的地下增层施工，应采取必要措施保证建筑文物元素完好无损，严格控制废水、废浆、废气等施工污染以及施工所引发的挤土效应、震动撞击、不均匀沉降等次生问题。</w:t>
      </w:r>
    </w:p>
    <w:p w:rsidR="009136B5" w:rsidRDefault="00000000">
      <w:pPr>
        <w:pStyle w:val="xxx"/>
        <w:rPr>
          <w:lang w:bidi="ar"/>
        </w:rPr>
      </w:pPr>
      <w:r>
        <w:rPr>
          <w:b/>
          <w:bCs/>
          <w:lang w:bidi="ar"/>
        </w:rPr>
        <w:t xml:space="preserve">7.1.12  </w:t>
      </w:r>
      <w:r>
        <w:rPr>
          <w:rFonts w:hint="eastAsia"/>
          <w:lang w:bidi="ar"/>
        </w:rPr>
        <w:t>应制定合理、可行、高效的垂直运输施工方案，保证各阶段施工所需的土方、构件和物料运输。</w:t>
      </w:r>
    </w:p>
    <w:p w:rsidR="009136B5" w:rsidRDefault="00000000">
      <w:pPr>
        <w:pStyle w:val="xxx"/>
        <w:rPr>
          <w:color w:val="FF0000"/>
          <w:lang w:bidi="ar"/>
        </w:rPr>
      </w:pPr>
      <w:r>
        <w:rPr>
          <w:b/>
          <w:bCs/>
          <w:lang w:bidi="ar"/>
        </w:rPr>
        <w:t xml:space="preserve">7.1.13  </w:t>
      </w:r>
      <w:r>
        <w:rPr>
          <w:rFonts w:hint="eastAsia"/>
          <w:lang w:bidi="ar"/>
        </w:rPr>
        <w:t>既有建筑与新地下室顶板的竖向托换连接施工应符合现行建筑结构加固工程设计与施工验收规范的相关规定，保证结构连接质量。</w:t>
      </w:r>
    </w:p>
    <w:p w:rsidR="009136B5" w:rsidRDefault="00000000">
      <w:pPr>
        <w:pStyle w:val="xxx"/>
        <w:rPr>
          <w:lang w:bidi="ar"/>
        </w:rPr>
      </w:pPr>
      <w:r>
        <w:rPr>
          <w:b/>
          <w:bCs/>
          <w:lang w:bidi="ar"/>
        </w:rPr>
        <w:t xml:space="preserve">7.1.14  </w:t>
      </w:r>
      <w:r>
        <w:rPr>
          <w:rFonts w:hint="eastAsia"/>
          <w:lang w:bidi="ar"/>
        </w:rPr>
        <w:t>托换桩施工宜采用预加载方案，控制增层施工期间既有建筑的沉降。</w:t>
      </w:r>
    </w:p>
    <w:p w:rsidR="009136B5" w:rsidRDefault="00000000">
      <w:pPr>
        <w:pStyle w:val="xxx"/>
        <w:rPr>
          <w:lang w:bidi="ar"/>
        </w:rPr>
      </w:pPr>
      <w:r>
        <w:rPr>
          <w:b/>
          <w:bCs/>
          <w:lang w:bidi="ar"/>
        </w:rPr>
        <w:t xml:space="preserve">7.1.15  </w:t>
      </w:r>
      <w:r>
        <w:rPr>
          <w:rFonts w:hint="eastAsia"/>
          <w:lang w:bidi="ar"/>
        </w:rPr>
        <w:t>地下结构施工应处理好新旧结构连接处的防水构造。</w:t>
      </w:r>
    </w:p>
    <w:p w:rsidR="009136B5" w:rsidRDefault="00000000">
      <w:pPr>
        <w:pStyle w:val="20"/>
        <w:rPr>
          <w:lang w:bidi="ar"/>
        </w:rPr>
      </w:pPr>
      <w:bookmarkStart w:id="77" w:name="_Toc123647783"/>
      <w:bookmarkStart w:id="78" w:name="_Toc26421"/>
      <w:r>
        <w:rPr>
          <w:lang w:bidi="ar"/>
        </w:rPr>
        <w:lastRenderedPageBreak/>
        <w:t xml:space="preserve">7.2 </w:t>
      </w:r>
      <w:r>
        <w:rPr>
          <w:rFonts w:hint="eastAsia"/>
          <w:lang w:bidi="ar"/>
        </w:rPr>
        <w:t xml:space="preserve"> </w:t>
      </w:r>
      <w:r>
        <w:rPr>
          <w:rFonts w:hint="eastAsia"/>
          <w:lang w:bidi="ar"/>
        </w:rPr>
        <w:t>既有基础水平构件托换施工</w:t>
      </w:r>
      <w:bookmarkEnd w:id="77"/>
      <w:bookmarkEnd w:id="78"/>
    </w:p>
    <w:p w:rsidR="009136B5" w:rsidRDefault="00000000">
      <w:pPr>
        <w:pStyle w:val="xxx"/>
        <w:rPr>
          <w:lang w:bidi="ar"/>
        </w:rPr>
      </w:pPr>
      <w:r>
        <w:rPr>
          <w:b/>
          <w:bCs/>
          <w:lang w:bidi="ar"/>
        </w:rPr>
        <w:t>7.2.1</w:t>
      </w:r>
      <w:r>
        <w:rPr>
          <w:lang w:bidi="ar"/>
        </w:rPr>
        <w:t xml:space="preserve">  </w:t>
      </w:r>
      <w:r>
        <w:rPr>
          <w:rFonts w:hint="eastAsia"/>
          <w:lang w:bidi="ar"/>
        </w:rPr>
        <w:t>基础开挖之前应按</w:t>
      </w:r>
      <w:r>
        <w:rPr>
          <w:lang w:bidi="ar"/>
        </w:rPr>
        <w:t>设计要求</w:t>
      </w:r>
      <w:r>
        <w:rPr>
          <w:rFonts w:hint="eastAsia"/>
          <w:lang w:bidi="ar"/>
        </w:rPr>
        <w:t>对上部结构进行永久或临时加固，并做好地下管线的改迁保护工作。开挖施工期间应采取</w:t>
      </w:r>
      <w:r>
        <w:rPr>
          <w:lang w:bidi="ar"/>
        </w:rPr>
        <w:t>措施保护</w:t>
      </w:r>
      <w:r>
        <w:rPr>
          <w:rFonts w:hint="eastAsia"/>
          <w:lang w:bidi="ar"/>
        </w:rPr>
        <w:t>既有墙体与基础，软土地基应控制超挖减少基础扰动。墙体两侧开挖深度应基本保持均匀，防止墙体损坏；</w:t>
      </w:r>
    </w:p>
    <w:p w:rsidR="009136B5" w:rsidRDefault="00000000">
      <w:pPr>
        <w:pStyle w:val="xxx"/>
        <w:rPr>
          <w:lang w:bidi="ar"/>
        </w:rPr>
      </w:pPr>
      <w:r>
        <w:rPr>
          <w:b/>
          <w:bCs/>
          <w:lang w:bidi="ar"/>
        </w:rPr>
        <w:t>7.2.2</w:t>
      </w:r>
      <w:r>
        <w:rPr>
          <w:lang w:bidi="ar"/>
        </w:rPr>
        <w:t xml:space="preserve">  </w:t>
      </w:r>
      <w:r>
        <w:rPr>
          <w:rFonts w:hint="eastAsia"/>
          <w:lang w:bidi="ar"/>
        </w:rPr>
        <w:t>对于复杂的基础托换改造工程，施工前应绘制施工深化图，经设计确认后方可实施。</w:t>
      </w:r>
    </w:p>
    <w:p w:rsidR="009136B5" w:rsidRDefault="00000000">
      <w:pPr>
        <w:pStyle w:val="xxx"/>
        <w:rPr>
          <w:lang w:bidi="ar"/>
        </w:rPr>
      </w:pPr>
      <w:r>
        <w:rPr>
          <w:b/>
          <w:bCs/>
          <w:lang w:bidi="ar"/>
        </w:rPr>
        <w:t>7.2.3</w:t>
      </w:r>
      <w:r>
        <w:rPr>
          <w:lang w:bidi="ar"/>
        </w:rPr>
        <w:t xml:space="preserve">  </w:t>
      </w:r>
      <w:r>
        <w:rPr>
          <w:rFonts w:hint="eastAsia"/>
          <w:lang w:bidi="ar"/>
        </w:rPr>
        <w:t>后补锚杆静压桩的承台应先行托换施工，其余托换桩型的承台可先成桩。</w:t>
      </w:r>
    </w:p>
    <w:p w:rsidR="009136B5" w:rsidRDefault="00000000">
      <w:pPr>
        <w:pStyle w:val="xxx"/>
        <w:rPr>
          <w:lang w:bidi="ar"/>
        </w:rPr>
      </w:pPr>
      <w:r>
        <w:rPr>
          <w:b/>
          <w:bCs/>
          <w:lang w:bidi="ar"/>
        </w:rPr>
        <w:t xml:space="preserve">7.2.4  </w:t>
      </w:r>
      <w:r>
        <w:rPr>
          <w:rFonts w:hint="eastAsia"/>
          <w:lang w:bidi="ar"/>
        </w:rPr>
        <w:t>既有砖混结构下的砖石基础托换，可采用分段托换的条形承台、托盘梁与独立承台、双夹梁式承台，或前几种承台</w:t>
      </w:r>
      <w:bookmarkStart w:id="79" w:name="_Hlk123049158"/>
      <w:r>
        <w:rPr>
          <w:rFonts w:hint="eastAsia"/>
          <w:lang w:bidi="ar"/>
        </w:rPr>
        <w:t>（托盘梁）</w:t>
      </w:r>
      <w:bookmarkEnd w:id="79"/>
      <w:r>
        <w:rPr>
          <w:rFonts w:hint="eastAsia"/>
          <w:lang w:bidi="ar"/>
        </w:rPr>
        <w:t>的不同组合形式，砖石基础托换改造的施工流程应先易后难、综合兼顾。</w:t>
      </w:r>
    </w:p>
    <w:p w:rsidR="009136B5" w:rsidRDefault="00000000">
      <w:pPr>
        <w:pStyle w:val="afffff1"/>
        <w:ind w:firstLineChars="0" w:firstLine="0"/>
        <w:rPr>
          <w:lang w:bidi="ar"/>
        </w:rPr>
      </w:pPr>
      <w:r>
        <w:rPr>
          <w:rFonts w:hint="eastAsia"/>
          <w:b/>
          <w:lang w:bidi="ar"/>
        </w:rPr>
        <w:t>条文说明：</w:t>
      </w:r>
      <w:r>
        <w:rPr>
          <w:rFonts w:hint="eastAsia"/>
          <w:lang w:bidi="ar"/>
        </w:rPr>
        <w:t>砖混结构基础应分批托换，先托换非承重墙，后托换承重墙。截面较大的条形承台托换施工可分成两部分成型，先分段托换墙内暗梁，预留两侧承台的外伸主筋，然后跟进浇筑外挑承台。</w:t>
      </w:r>
    </w:p>
    <w:p w:rsidR="009136B5" w:rsidRDefault="00000000">
      <w:pPr>
        <w:pStyle w:val="xxx"/>
        <w:rPr>
          <w:lang w:bidi="ar"/>
        </w:rPr>
      </w:pPr>
      <w:r>
        <w:rPr>
          <w:b/>
          <w:bCs/>
          <w:lang w:bidi="ar"/>
        </w:rPr>
        <w:t>7.2.5</w:t>
      </w:r>
      <w:r>
        <w:rPr>
          <w:lang w:bidi="ar"/>
        </w:rPr>
        <w:t xml:space="preserve">  </w:t>
      </w:r>
      <w:r>
        <w:rPr>
          <w:rFonts w:hint="eastAsia"/>
          <w:lang w:bidi="ar"/>
        </w:rPr>
        <w:t>既有砖混结构下的钢筋混凝土条形、</w:t>
      </w:r>
      <w:bookmarkStart w:id="80" w:name="_Hlk108295769"/>
      <w:r>
        <w:rPr>
          <w:rFonts w:hint="eastAsia"/>
          <w:lang w:bidi="ar"/>
        </w:rPr>
        <w:t>独立基础托换加固，</w:t>
      </w:r>
      <w:bookmarkStart w:id="81" w:name="_Hlk108296370"/>
      <w:bookmarkStart w:id="82" w:name="_Hlk108295789"/>
      <w:bookmarkEnd w:id="80"/>
      <w:r>
        <w:rPr>
          <w:rFonts w:hint="eastAsia"/>
          <w:lang w:bidi="ar"/>
        </w:rPr>
        <w:t>可通过扩大截面形成桩承台，</w:t>
      </w:r>
      <w:bookmarkEnd w:id="81"/>
      <w:r>
        <w:rPr>
          <w:rFonts w:hint="eastAsia"/>
          <w:lang w:bidi="ar"/>
        </w:rPr>
        <w:t>涉及的砖墙</w:t>
      </w:r>
      <w:r>
        <w:rPr>
          <w:rFonts w:hint="eastAsia"/>
        </w:rPr>
        <w:t>采用</w:t>
      </w:r>
      <w:bookmarkStart w:id="83" w:name="_Hlk123049403"/>
      <w:r>
        <w:rPr>
          <w:rFonts w:hint="eastAsia"/>
          <w:lang w:bidi="ar"/>
        </w:rPr>
        <w:t>（托盘梁）</w:t>
      </w:r>
      <w:bookmarkEnd w:id="83"/>
      <w:r>
        <w:rPr>
          <w:rFonts w:hint="eastAsia"/>
          <w:lang w:bidi="ar"/>
        </w:rPr>
        <w:t>分段托换施工</w:t>
      </w:r>
      <w:bookmarkEnd w:id="82"/>
      <w:r>
        <w:rPr>
          <w:rFonts w:hint="eastAsia"/>
          <w:lang w:bidi="ar"/>
        </w:rPr>
        <w:t>。</w:t>
      </w:r>
    </w:p>
    <w:p w:rsidR="009136B5" w:rsidRDefault="00000000">
      <w:pPr>
        <w:pStyle w:val="xxx"/>
        <w:rPr>
          <w:u w:val="single"/>
        </w:rPr>
      </w:pPr>
      <w:bookmarkStart w:id="84" w:name="_Hlk108296969"/>
      <w:r>
        <w:rPr>
          <w:b/>
          <w:bCs/>
          <w:lang w:bidi="ar"/>
        </w:rPr>
        <w:t>7.2.6</w:t>
      </w:r>
      <w:bookmarkEnd w:id="84"/>
      <w:r>
        <w:rPr>
          <w:lang w:bidi="ar"/>
        </w:rPr>
        <w:t xml:space="preserve">  </w:t>
      </w:r>
      <w:r>
        <w:rPr>
          <w:rFonts w:hint="eastAsia"/>
          <w:lang w:bidi="ar"/>
        </w:rPr>
        <w:t>既有框架结构、框剪结构、剪力墙结构的独立、条形、筏板基础托换加固，</w:t>
      </w:r>
      <w:r>
        <w:rPr>
          <w:rFonts w:hint="eastAsia"/>
        </w:rPr>
        <w:t>可通过截面扩大形成桩承台，砖墙下采用</w:t>
      </w:r>
      <w:r>
        <w:rPr>
          <w:rFonts w:hint="eastAsia"/>
          <w:lang w:bidi="ar"/>
        </w:rPr>
        <w:t>（托盘梁）</w:t>
      </w:r>
      <w:r>
        <w:rPr>
          <w:rFonts w:hint="eastAsia"/>
        </w:rPr>
        <w:t>分段托换施工。</w:t>
      </w:r>
    </w:p>
    <w:p w:rsidR="009136B5" w:rsidRDefault="00000000">
      <w:pPr>
        <w:pStyle w:val="xxx"/>
        <w:rPr>
          <w:lang w:bidi="ar"/>
        </w:rPr>
      </w:pPr>
      <w:r>
        <w:rPr>
          <w:b/>
          <w:bCs/>
          <w:lang w:bidi="ar"/>
        </w:rPr>
        <w:t>7.2.7</w:t>
      </w:r>
      <w:r>
        <w:rPr>
          <w:lang w:bidi="ar"/>
        </w:rPr>
        <w:t xml:space="preserve">  </w:t>
      </w:r>
      <w:r>
        <w:rPr>
          <w:rFonts w:hint="eastAsia"/>
          <w:lang w:bidi="ar"/>
        </w:rPr>
        <w:t>既有独立、条形基础托换，应按设计要求基础加固，用于后补桩托换。</w:t>
      </w:r>
    </w:p>
    <w:p w:rsidR="009136B5" w:rsidRDefault="00000000">
      <w:pPr>
        <w:pStyle w:val="xxx"/>
        <w:rPr>
          <w:lang w:bidi="ar"/>
        </w:rPr>
      </w:pPr>
      <w:r>
        <w:rPr>
          <w:b/>
          <w:bCs/>
          <w:lang w:bidi="ar"/>
        </w:rPr>
        <w:t>7.2.8</w:t>
      </w:r>
      <w:r>
        <w:rPr>
          <w:lang w:bidi="ar"/>
        </w:rPr>
        <w:t xml:space="preserve">  </w:t>
      </w:r>
      <w:r>
        <w:rPr>
          <w:rFonts w:hint="eastAsia"/>
          <w:lang w:bidi="ar"/>
        </w:rPr>
        <w:t>低层建筑采用钢梁组合临时承台进行托换改造时，钢梁穿墙孔、双夹钢梁与墙体之间的空隙应预先浇灌密实，</w:t>
      </w:r>
      <w:r>
        <w:rPr>
          <w:lang w:bidi="ar"/>
        </w:rPr>
        <w:t>钢组合梁</w:t>
      </w:r>
      <w:r>
        <w:rPr>
          <w:rFonts w:hint="eastAsia"/>
          <w:lang w:bidi="ar"/>
        </w:rPr>
        <w:t>施工</w:t>
      </w:r>
      <w:r>
        <w:rPr>
          <w:lang w:bidi="ar"/>
        </w:rPr>
        <w:t>应符合</w:t>
      </w:r>
      <w:r>
        <w:rPr>
          <w:rFonts w:hint="eastAsia"/>
          <w:lang w:bidi="ar"/>
        </w:rPr>
        <w:t>现行国家标准《钢结构工程施工质量验收标准》</w:t>
      </w:r>
      <w:r>
        <w:rPr>
          <w:lang w:bidi="ar"/>
        </w:rPr>
        <w:t>GB50205</w:t>
      </w:r>
      <w:r>
        <w:rPr>
          <w:rFonts w:hint="eastAsia"/>
          <w:lang w:bidi="ar"/>
        </w:rPr>
        <w:t>、</w:t>
      </w:r>
      <w:r>
        <w:rPr>
          <w:lang w:bidi="ar"/>
        </w:rPr>
        <w:t>《</w:t>
      </w:r>
      <w:r>
        <w:rPr>
          <w:rFonts w:hint="eastAsia"/>
          <w:lang w:bidi="ar"/>
        </w:rPr>
        <w:t>钢</w:t>
      </w:r>
      <w:r>
        <w:rPr>
          <w:lang w:bidi="ar"/>
        </w:rPr>
        <w:t>结构工程施工规范》</w:t>
      </w:r>
      <w:r>
        <w:rPr>
          <w:rFonts w:hint="eastAsia"/>
          <w:lang w:bidi="ar"/>
        </w:rPr>
        <w:t>GB</w:t>
      </w:r>
      <w:r>
        <w:rPr>
          <w:lang w:bidi="ar"/>
        </w:rPr>
        <w:t>50755</w:t>
      </w:r>
      <w:r>
        <w:rPr>
          <w:rFonts w:hint="eastAsia"/>
          <w:lang w:bidi="ar"/>
        </w:rPr>
        <w:t>的规定。</w:t>
      </w:r>
    </w:p>
    <w:p w:rsidR="009136B5" w:rsidRDefault="00000000">
      <w:pPr>
        <w:pStyle w:val="xxx"/>
        <w:rPr>
          <w:lang w:bidi="ar"/>
        </w:rPr>
      </w:pPr>
      <w:r>
        <w:rPr>
          <w:b/>
          <w:bCs/>
          <w:lang w:bidi="ar"/>
        </w:rPr>
        <w:t xml:space="preserve">7.2.9  </w:t>
      </w:r>
      <w:r>
        <w:rPr>
          <w:rFonts w:hint="eastAsia"/>
          <w:lang w:bidi="ar"/>
        </w:rPr>
        <w:t>砖墙中托盘梁托换施工，应预先开槽（洞）顶紧钢支墩，然后凿通砖洞、安装托盘梁钢筋。托盘梁主筋可分段搭接焊连接，箍筋可采用</w:t>
      </w:r>
      <w:r>
        <w:rPr>
          <w:lang w:bidi="ar"/>
        </w:rPr>
        <w:t>U</w:t>
      </w:r>
      <w:r>
        <w:rPr>
          <w:lang w:bidi="ar"/>
        </w:rPr>
        <w:t>形箍对</w:t>
      </w:r>
      <w:r>
        <w:rPr>
          <w:rFonts w:hint="eastAsia"/>
          <w:lang w:bidi="ar"/>
        </w:rPr>
        <w:t>穿</w:t>
      </w:r>
      <w:r>
        <w:rPr>
          <w:lang w:bidi="ar"/>
        </w:rPr>
        <w:t>连接，混凝土应采用早强微膨胀型</w:t>
      </w:r>
      <w:r>
        <w:rPr>
          <w:rFonts w:hint="eastAsia"/>
          <w:lang w:bidi="ar"/>
        </w:rPr>
        <w:t>。</w:t>
      </w:r>
    </w:p>
    <w:p w:rsidR="009136B5" w:rsidRDefault="00000000">
      <w:pPr>
        <w:pStyle w:val="xxx"/>
        <w:rPr>
          <w:lang w:bidi="ar"/>
        </w:rPr>
      </w:pPr>
      <w:bookmarkStart w:id="85" w:name="_Hlk108298227"/>
      <w:r>
        <w:rPr>
          <w:b/>
          <w:bCs/>
          <w:lang w:bidi="ar"/>
        </w:rPr>
        <w:t>7.2.10</w:t>
      </w:r>
      <w:r>
        <w:rPr>
          <w:lang w:bidi="ar"/>
        </w:rPr>
        <w:t xml:space="preserve">  </w:t>
      </w:r>
      <w:r>
        <w:rPr>
          <w:rFonts w:hint="eastAsia"/>
          <w:lang w:bidi="ar"/>
        </w:rPr>
        <w:t>新旧混凝土结合面和</w:t>
      </w:r>
      <w:r>
        <w:rPr>
          <w:lang w:bidi="ar"/>
        </w:rPr>
        <w:t>施工</w:t>
      </w:r>
      <w:r>
        <w:rPr>
          <w:rFonts w:hint="eastAsia"/>
          <w:lang w:bidi="ar"/>
        </w:rPr>
        <w:t>缝，应预先凿毛、清洗，并做好</w:t>
      </w:r>
      <w:r>
        <w:rPr>
          <w:lang w:bidi="ar"/>
        </w:rPr>
        <w:t>接浆</w:t>
      </w:r>
      <w:r>
        <w:rPr>
          <w:rFonts w:hint="eastAsia"/>
          <w:lang w:bidi="ar"/>
        </w:rPr>
        <w:t>或</w:t>
      </w:r>
      <w:r>
        <w:rPr>
          <w:lang w:bidi="ar"/>
        </w:rPr>
        <w:t>界面剂涂刷</w:t>
      </w:r>
      <w:r>
        <w:rPr>
          <w:rFonts w:hint="eastAsia"/>
          <w:lang w:bidi="ar"/>
        </w:rPr>
        <w:t>。</w:t>
      </w:r>
    </w:p>
    <w:p w:rsidR="009136B5" w:rsidRDefault="00000000">
      <w:pPr>
        <w:pStyle w:val="xxx"/>
        <w:rPr>
          <w:lang w:bidi="ar"/>
        </w:rPr>
      </w:pPr>
      <w:r>
        <w:rPr>
          <w:b/>
          <w:bCs/>
          <w:lang w:bidi="ar"/>
        </w:rPr>
        <w:t>7.2.11</w:t>
      </w:r>
      <w:r>
        <w:rPr>
          <w:lang w:bidi="ar"/>
        </w:rPr>
        <w:t xml:space="preserve">  </w:t>
      </w:r>
      <w:r>
        <w:rPr>
          <w:rFonts w:hint="eastAsia"/>
          <w:lang w:bidi="ar"/>
        </w:rPr>
        <w:t>剪力墙穿墙水平钢筋间距不大于</w:t>
      </w:r>
      <w:r>
        <w:rPr>
          <w:lang w:bidi="ar"/>
        </w:rPr>
        <w:t>150mm</w:t>
      </w:r>
      <w:r>
        <w:rPr>
          <w:rFonts w:hint="eastAsia"/>
          <w:lang w:bidi="ar"/>
        </w:rPr>
        <w:t>时，应分批植筋（后灌胶）；</w:t>
      </w:r>
    </w:p>
    <w:bookmarkEnd w:id="85"/>
    <w:p w:rsidR="009136B5" w:rsidRDefault="00000000">
      <w:pPr>
        <w:pStyle w:val="xxx"/>
        <w:rPr>
          <w:lang w:bidi="ar"/>
        </w:rPr>
      </w:pPr>
      <w:r>
        <w:rPr>
          <w:b/>
          <w:bCs/>
          <w:lang w:bidi="ar"/>
        </w:rPr>
        <w:t xml:space="preserve">7.2.12  </w:t>
      </w:r>
      <w:r>
        <w:rPr>
          <w:rFonts w:hint="eastAsia"/>
          <w:lang w:bidi="ar"/>
        </w:rPr>
        <w:t>钢筋混凝土新承台托换施工，宜预留后期切割拆除所需的穿索孔。</w:t>
      </w:r>
    </w:p>
    <w:p w:rsidR="009136B5" w:rsidRDefault="00000000">
      <w:pPr>
        <w:pStyle w:val="20"/>
        <w:rPr>
          <w:lang w:bidi="ar"/>
        </w:rPr>
      </w:pPr>
      <w:bookmarkStart w:id="86" w:name="_Toc123647784"/>
      <w:bookmarkStart w:id="87" w:name="_Toc11878"/>
      <w:r>
        <w:rPr>
          <w:lang w:bidi="ar"/>
        </w:rPr>
        <w:t xml:space="preserve">7.3 </w:t>
      </w:r>
      <w:r>
        <w:rPr>
          <w:rFonts w:hint="eastAsia"/>
          <w:lang w:bidi="ar"/>
        </w:rPr>
        <w:t xml:space="preserve"> </w:t>
      </w:r>
      <w:r>
        <w:rPr>
          <w:rFonts w:hint="eastAsia"/>
          <w:lang w:bidi="ar"/>
        </w:rPr>
        <w:t>托换桩施工</w:t>
      </w:r>
      <w:bookmarkEnd w:id="86"/>
      <w:bookmarkEnd w:id="87"/>
    </w:p>
    <w:p w:rsidR="009136B5" w:rsidRDefault="00000000">
      <w:pPr>
        <w:pStyle w:val="xxx"/>
      </w:pPr>
      <w:r>
        <w:rPr>
          <w:b/>
          <w:bCs/>
        </w:rPr>
        <w:t>7.3.1</w:t>
      </w:r>
      <w:r>
        <w:t xml:space="preserve">  </w:t>
      </w:r>
      <w:r>
        <w:rPr>
          <w:rFonts w:hint="eastAsia"/>
        </w:rPr>
        <w:t>托换桩施工前，应评估托换桩、基坑支护桩（墙）施工对建筑沉降变形的影响，优化施工方案，采取减小地基附加变形的技术措施。</w:t>
      </w:r>
    </w:p>
    <w:p w:rsidR="009136B5" w:rsidRDefault="00000000">
      <w:pPr>
        <w:pStyle w:val="xxx"/>
      </w:pPr>
      <w:r>
        <w:rPr>
          <w:b/>
          <w:bCs/>
        </w:rPr>
        <w:t>7.3.2</w:t>
      </w:r>
      <w:r>
        <w:t xml:space="preserve">  </w:t>
      </w:r>
      <w:r>
        <w:rPr>
          <w:rFonts w:hint="eastAsia"/>
        </w:rPr>
        <w:t>托换桩施工应选择满足现场使用条件和绿色施工要求的小型化桩机设备，使用前应检测桩机设备的各项性能指标。</w:t>
      </w:r>
    </w:p>
    <w:p w:rsidR="009136B5" w:rsidRDefault="00000000">
      <w:pPr>
        <w:pStyle w:val="xxx"/>
      </w:pPr>
      <w:r>
        <w:rPr>
          <w:b/>
          <w:bCs/>
        </w:rPr>
        <w:t>7.3.3</w:t>
      </w:r>
      <w:r>
        <w:t xml:space="preserve">  </w:t>
      </w:r>
      <w:r>
        <w:rPr>
          <w:rFonts w:hint="eastAsia"/>
        </w:rPr>
        <w:t>施工前应通过试桩确定具体施工参数和施工方法，确保施工可行性。</w:t>
      </w:r>
    </w:p>
    <w:p w:rsidR="009136B5" w:rsidRDefault="00000000">
      <w:pPr>
        <w:pStyle w:val="xxx"/>
      </w:pPr>
      <w:r>
        <w:rPr>
          <w:b/>
          <w:bCs/>
        </w:rPr>
        <w:t>7.3.4</w:t>
      </w:r>
      <w:r>
        <w:t xml:space="preserve">  </w:t>
      </w:r>
      <w:r>
        <w:rPr>
          <w:rFonts w:hint="eastAsia"/>
        </w:rPr>
        <w:t>托换桩作为高承台桩受力复杂，须采取有效措施加强桩与承台、桩上下节的连接。</w:t>
      </w:r>
    </w:p>
    <w:p w:rsidR="009136B5" w:rsidRDefault="00000000">
      <w:pPr>
        <w:pStyle w:val="xxx"/>
      </w:pPr>
      <w:r>
        <w:rPr>
          <w:b/>
          <w:bCs/>
        </w:rPr>
        <w:t>7.3.5</w:t>
      </w:r>
      <w:r>
        <w:t xml:space="preserve">  </w:t>
      </w:r>
      <w:r>
        <w:rPr>
          <w:rFonts w:hint="eastAsia"/>
        </w:rPr>
        <w:t>对于施工场地狭小的灌注桩竖向承载力检验，宜采用基桩承载力自平衡检测法或高应变法。</w:t>
      </w:r>
    </w:p>
    <w:p w:rsidR="009136B5" w:rsidRDefault="00000000">
      <w:pPr>
        <w:pStyle w:val="xxx"/>
      </w:pPr>
      <w:r>
        <w:rPr>
          <w:b/>
          <w:bCs/>
        </w:rPr>
        <w:t>7.3.6</w:t>
      </w:r>
      <w:r>
        <w:t xml:space="preserve">  </w:t>
      </w:r>
      <w:r>
        <w:rPr>
          <w:rFonts w:hint="eastAsia"/>
        </w:rPr>
        <w:t>锚杆静压桩基础托换、加固施工应严格遵照现行行业标准《既有建筑地基基础加固技术规范》</w:t>
      </w:r>
      <w:r>
        <w:t>JGJ123</w:t>
      </w:r>
      <w:r>
        <w:rPr>
          <w:rFonts w:hint="eastAsia"/>
        </w:rPr>
        <w:t>，确保施工质量。并符合</w:t>
      </w:r>
      <w:r>
        <w:t>以下规定：</w:t>
      </w:r>
    </w:p>
    <w:p w:rsidR="009136B5" w:rsidRDefault="00000000">
      <w:pPr>
        <w:pStyle w:val="x"/>
        <w:ind w:firstLine="315"/>
      </w:pPr>
      <w:r>
        <w:t xml:space="preserve">1  </w:t>
      </w:r>
      <w:r>
        <w:rPr>
          <w:rFonts w:hint="eastAsia"/>
        </w:rPr>
        <w:t>锚杆静压桩按桩身材料分为钢筋混凝土方桩、预应力管桩、钢管桩、方管钢桩、</w:t>
      </w:r>
      <w:r>
        <w:rPr>
          <w:rFonts w:hint="eastAsia"/>
        </w:rPr>
        <w:t>H</w:t>
      </w:r>
      <w:r>
        <w:rPr>
          <w:rFonts w:hint="eastAsia"/>
        </w:rPr>
        <w:t>型钢桩等；按</w:t>
      </w:r>
      <w:r>
        <w:rPr>
          <w:rFonts w:hint="eastAsia"/>
        </w:rPr>
        <w:lastRenderedPageBreak/>
        <w:t>终压桩力值区分为（≤</w:t>
      </w:r>
      <w:r>
        <w:rPr>
          <w:rFonts w:hint="eastAsia"/>
        </w:rPr>
        <w:t>2</w:t>
      </w:r>
      <w:r>
        <w:t>000KN</w:t>
      </w:r>
      <w:r>
        <w:rPr>
          <w:rFonts w:hint="eastAsia"/>
        </w:rPr>
        <w:t>）低吨位桩、（</w:t>
      </w:r>
      <w:r>
        <w:rPr>
          <w:rFonts w:ascii="宋体" w:hAnsi="宋体" w:cs="宋体" w:hint="eastAsia"/>
        </w:rPr>
        <w:t>≮</w:t>
      </w:r>
      <w:r>
        <w:t>2000</w:t>
      </w:r>
      <w:r>
        <w:rPr>
          <w:rFonts w:hint="eastAsia"/>
        </w:rPr>
        <w:t>且≤</w:t>
      </w:r>
      <w:r>
        <w:rPr>
          <w:rFonts w:hint="eastAsia"/>
        </w:rPr>
        <w:t>6</w:t>
      </w:r>
      <w:r>
        <w:t>000KN</w:t>
      </w:r>
      <w:r>
        <w:rPr>
          <w:rFonts w:hint="eastAsia"/>
        </w:rPr>
        <w:t>）高吨位桩、（＞</w:t>
      </w:r>
      <w:r>
        <w:rPr>
          <w:rFonts w:hint="eastAsia"/>
        </w:rPr>
        <w:t>6</w:t>
      </w:r>
      <w:r>
        <w:t>000KN</w:t>
      </w:r>
      <w:r>
        <w:rPr>
          <w:rFonts w:hint="eastAsia"/>
        </w:rPr>
        <w:t>）超高吨位桩；按受力方式分为抗压桩、抗拔桩，按封桩方式分为预加载和不加载两种。施工中要严格遵照《既有建筑地基基础加固技术规范》</w:t>
      </w:r>
      <w:r>
        <w:rPr>
          <w:rFonts w:hint="eastAsia"/>
        </w:rPr>
        <w:t>J</w:t>
      </w:r>
      <w:r>
        <w:t>GJ123</w:t>
      </w:r>
      <w:r>
        <w:rPr>
          <w:rFonts w:hint="eastAsia"/>
        </w:rPr>
        <w:t>-2012</w:t>
      </w:r>
      <w:r>
        <w:rPr>
          <w:rFonts w:hint="eastAsia"/>
        </w:rPr>
        <w:t>，确保施工质量；</w:t>
      </w:r>
    </w:p>
    <w:p w:rsidR="009136B5" w:rsidRDefault="00000000">
      <w:pPr>
        <w:pStyle w:val="x"/>
        <w:ind w:firstLine="315"/>
      </w:pPr>
      <w:r>
        <w:t xml:space="preserve">2  </w:t>
      </w:r>
      <w:r>
        <w:rPr>
          <w:rFonts w:hint="eastAsia"/>
        </w:rPr>
        <w:t>锚杆材料宜用预应力螺纹钢筋、镦粗套丝钢筋、或通长螺杆，锚杆数量应根据最大压桩力计</w:t>
      </w:r>
      <w:r>
        <w:rPr>
          <w:rFonts w:hint="eastAsia"/>
          <w:strike/>
        </w:rPr>
        <w:t>估</w:t>
      </w:r>
      <w:r>
        <w:rPr>
          <w:rFonts w:hint="eastAsia"/>
        </w:rPr>
        <w:t>算确定，锚杆锚固深度宜为</w:t>
      </w:r>
      <w:r>
        <w:rPr>
          <w:rFonts w:hint="eastAsia"/>
        </w:rPr>
        <w:t>15</w:t>
      </w:r>
      <w:r>
        <w:rPr>
          <w:rFonts w:hint="eastAsia"/>
        </w:rPr>
        <w:t>～</w:t>
      </w:r>
      <w:r>
        <w:rPr>
          <w:rFonts w:hint="eastAsia"/>
        </w:rPr>
        <w:t>25</w:t>
      </w:r>
      <w:r>
        <w:t>d</w:t>
      </w:r>
      <w:r>
        <w:rPr>
          <w:rFonts w:hint="eastAsia"/>
        </w:rPr>
        <w:t>。</w:t>
      </w:r>
    </w:p>
    <w:p w:rsidR="009136B5" w:rsidRDefault="00000000">
      <w:pPr>
        <w:pStyle w:val="x"/>
        <w:ind w:firstLine="315"/>
      </w:pPr>
      <w:r>
        <w:t xml:space="preserve">3  </w:t>
      </w:r>
      <w:r>
        <w:rPr>
          <w:rFonts w:hint="eastAsia"/>
        </w:rPr>
        <w:t>施工前应该判断土层的可穿透性，对于较厚的塘渣填层、块石填层、密实砂层、砾石碎（卵）石层，应采取可靠的引孔措施，确保桩体顺利穿越复杂土层进入持力层。对于可能存在的地下障碍物，应预备有效的清障措施。</w:t>
      </w:r>
    </w:p>
    <w:p w:rsidR="009136B5" w:rsidRDefault="00000000">
      <w:pPr>
        <w:pStyle w:val="x"/>
        <w:ind w:firstLine="315"/>
      </w:pPr>
      <w:r>
        <w:t xml:space="preserve">4  </w:t>
      </w:r>
      <w:r>
        <w:rPr>
          <w:rFonts w:hint="eastAsia"/>
        </w:rPr>
        <w:t>设计最大压桩力应根据不同地质情况，在施工时通过提前试桩来确定单桩最大压桩力，对于补桩密度较高的地基尚应考虑群桩挤密效应。试压桩数量不应少于</w:t>
      </w:r>
      <w:r>
        <w:rPr>
          <w:rFonts w:hint="eastAsia"/>
        </w:rPr>
        <w:t>3</w:t>
      </w:r>
      <w:r>
        <w:rPr>
          <w:rFonts w:hint="eastAsia"/>
        </w:rPr>
        <w:t>根，地质条件复杂时，尚应增加试桩数量。</w:t>
      </w:r>
      <w:r>
        <w:t xml:space="preserve"> </w:t>
      </w:r>
    </w:p>
    <w:p w:rsidR="009136B5" w:rsidRDefault="00000000">
      <w:pPr>
        <w:pStyle w:val="x"/>
        <w:ind w:firstLine="315"/>
      </w:pPr>
      <w:r>
        <w:t xml:space="preserve">5  </w:t>
      </w:r>
      <w:r>
        <w:rPr>
          <w:rFonts w:hint="eastAsia"/>
        </w:rPr>
        <w:t>钢筋混凝土方桩接头方式不得单独采用硫磺胶泥接桩，宜采用钢板套桩帽焊接接桩，焊缝质量等级不低于二级。桩节接合面不平的，严禁垫塞钢楔片，应采用硫磺胶泥垫平再焊接。</w:t>
      </w:r>
    </w:p>
    <w:p w:rsidR="009136B5" w:rsidRDefault="00000000">
      <w:pPr>
        <w:pStyle w:val="x"/>
        <w:ind w:firstLine="315"/>
      </w:pPr>
      <w:r>
        <w:t xml:space="preserve">6  </w:t>
      </w:r>
      <w:r>
        <w:rPr>
          <w:rFonts w:hint="eastAsia"/>
        </w:rPr>
        <w:t>钢管桩材质优先采用低合金钢，钢管节连接口应精加工，接口加内衬板，以坡口熔透焊等强连接，并采用半自动二氧化碳气体保护焊接工艺，焊缝质量等级不低于二级。</w:t>
      </w:r>
    </w:p>
    <w:p w:rsidR="009136B5" w:rsidRDefault="00000000">
      <w:pPr>
        <w:pStyle w:val="x"/>
        <w:ind w:firstLine="315"/>
      </w:pPr>
      <w:r>
        <w:t xml:space="preserve">7  </w:t>
      </w:r>
      <w:r>
        <w:rPr>
          <w:rFonts w:hint="eastAsia"/>
        </w:rPr>
        <w:t>打桩施工应遵循“同时满足稳定的终压桩力与进入持力层最低深度”的双控原则，并要求复压终沉，在砂土持力层中复压不少于</w:t>
      </w:r>
      <w:r>
        <w:rPr>
          <w:rFonts w:hint="eastAsia"/>
        </w:rPr>
        <w:t>3</w:t>
      </w:r>
      <w:r>
        <w:rPr>
          <w:rFonts w:hint="eastAsia"/>
        </w:rPr>
        <w:t>次，在强风化岩层中复压不少于</w:t>
      </w:r>
      <w:r>
        <w:t>6</w:t>
      </w:r>
      <w:r>
        <w:rPr>
          <w:rFonts w:hint="eastAsia"/>
        </w:rPr>
        <w:t>次。</w:t>
      </w:r>
    </w:p>
    <w:p w:rsidR="009136B5" w:rsidRDefault="00000000">
      <w:pPr>
        <w:pStyle w:val="x"/>
        <w:ind w:firstLine="315"/>
      </w:pPr>
      <w:r>
        <w:t xml:space="preserve">8  </w:t>
      </w:r>
      <w:r>
        <w:rPr>
          <w:rFonts w:hint="eastAsia"/>
        </w:rPr>
        <w:t>压桩施工中，应跟踪监测所在承台的上抬位移，控制终压桩力，避免承台和结构受损。</w:t>
      </w:r>
      <w:r>
        <w:t xml:space="preserve"> </w:t>
      </w:r>
    </w:p>
    <w:p w:rsidR="009136B5" w:rsidRDefault="00000000">
      <w:pPr>
        <w:pStyle w:val="x"/>
        <w:ind w:firstLine="315"/>
      </w:pPr>
      <w:r>
        <w:rPr>
          <w:rFonts w:hint="eastAsia"/>
        </w:rPr>
        <w:t>9</w:t>
      </w:r>
      <w:r>
        <w:t xml:space="preserve">  </w:t>
      </w:r>
      <w:r>
        <w:rPr>
          <w:rFonts w:hint="eastAsia"/>
        </w:rPr>
        <w:t>钢管桩、方管桩和预应力管桩的混凝土灌芯施工质量应有保证；</w:t>
      </w:r>
    </w:p>
    <w:p w:rsidR="009136B5" w:rsidRDefault="00000000">
      <w:pPr>
        <w:pStyle w:val="x"/>
        <w:ind w:firstLine="315"/>
      </w:pPr>
      <w:r>
        <w:t xml:space="preserve">10  </w:t>
      </w:r>
      <w:r>
        <w:rPr>
          <w:rFonts w:hint="eastAsia"/>
        </w:rPr>
        <w:t>在深厚软土地基补桩施工中，应采取及时、整体、可控的</w:t>
      </w:r>
      <w:r>
        <w:t>持荷</w:t>
      </w:r>
      <w:r>
        <w:rPr>
          <w:rFonts w:hint="eastAsia"/>
        </w:rPr>
        <w:t>措施，控制附加沉降。</w:t>
      </w:r>
    </w:p>
    <w:p w:rsidR="009136B5" w:rsidRDefault="00000000">
      <w:pPr>
        <w:pStyle w:val="x"/>
        <w:ind w:firstLine="315"/>
        <w:rPr>
          <w:color w:val="ED7D31"/>
        </w:rPr>
      </w:pPr>
      <w:r>
        <w:t xml:space="preserve">11  </w:t>
      </w:r>
      <w:r>
        <w:rPr>
          <w:rFonts w:hint="eastAsia"/>
        </w:rPr>
        <w:t>预加载</w:t>
      </w:r>
      <w:r>
        <w:t>封桩</w:t>
      </w:r>
      <w:r>
        <w:rPr>
          <w:rFonts w:hint="eastAsia"/>
        </w:rPr>
        <w:t>的加载值</w:t>
      </w:r>
      <w:r>
        <w:t>应根据上部结构荷载而定</w:t>
      </w:r>
      <w:r>
        <w:rPr>
          <w:rFonts w:hint="eastAsia"/>
        </w:rPr>
        <w:t>，封桩混凝土应分二次浇筑，第一次封桩混凝土达到设计强度后方可拆除加载反力架。</w:t>
      </w:r>
    </w:p>
    <w:p w:rsidR="009136B5" w:rsidRDefault="00000000">
      <w:pPr>
        <w:pStyle w:val="xxx"/>
        <w:rPr>
          <w:lang w:bidi="ar"/>
        </w:rPr>
      </w:pPr>
      <w:r>
        <w:rPr>
          <w:b/>
          <w:bCs/>
          <w:lang w:bidi="ar"/>
        </w:rPr>
        <w:t xml:space="preserve">7.3.7  </w:t>
      </w:r>
      <w:r>
        <w:rPr>
          <w:rFonts w:hint="eastAsia"/>
          <w:lang w:bidi="ar"/>
        </w:rPr>
        <w:t>钻孔灌注桩钻孔</w:t>
      </w:r>
      <w:r>
        <w:rPr>
          <w:lang w:bidi="ar"/>
        </w:rPr>
        <w:t>灌注桩</w:t>
      </w:r>
      <w:r>
        <w:rPr>
          <w:rFonts w:hint="eastAsia"/>
          <w:lang w:bidi="ar"/>
        </w:rPr>
        <w:t>（含桩端注浆）</w:t>
      </w:r>
      <w:r>
        <w:rPr>
          <w:lang w:bidi="ar"/>
        </w:rPr>
        <w:t>和人工挖孔桩</w:t>
      </w:r>
      <w:r>
        <w:rPr>
          <w:rFonts w:hint="eastAsia"/>
          <w:lang w:bidi="ar"/>
        </w:rPr>
        <w:t>施工</w:t>
      </w:r>
      <w:r>
        <w:rPr>
          <w:lang w:bidi="ar"/>
        </w:rPr>
        <w:t>，</w:t>
      </w:r>
      <w:r>
        <w:rPr>
          <w:rFonts w:hint="eastAsia"/>
          <w:lang w:bidi="ar"/>
        </w:rPr>
        <w:t>除</w:t>
      </w:r>
      <w:r>
        <w:rPr>
          <w:lang w:bidi="ar"/>
        </w:rPr>
        <w:t>满足</w:t>
      </w:r>
      <w:r>
        <w:rPr>
          <w:rFonts w:hint="eastAsia"/>
          <w:lang w:bidi="ar"/>
        </w:rPr>
        <w:t>《建筑桩基技术规范》</w:t>
      </w:r>
      <w:r>
        <w:rPr>
          <w:lang w:bidi="ar"/>
        </w:rPr>
        <w:t>JGJ94</w:t>
      </w:r>
      <w:r>
        <w:rPr>
          <w:rFonts w:hint="eastAsia"/>
          <w:lang w:bidi="ar"/>
        </w:rPr>
        <w:t>规定</w:t>
      </w:r>
      <w:r>
        <w:rPr>
          <w:lang w:bidi="ar"/>
        </w:rPr>
        <w:t>外，尚应符合下列要求：</w:t>
      </w:r>
    </w:p>
    <w:p w:rsidR="009136B5" w:rsidRDefault="00000000">
      <w:pPr>
        <w:pStyle w:val="x"/>
        <w:ind w:firstLine="315"/>
      </w:pPr>
      <w:r>
        <w:t>1</w:t>
      </w:r>
      <w:r>
        <w:rPr>
          <w:rFonts w:hint="eastAsia"/>
        </w:rPr>
        <w:t xml:space="preserve"> </w:t>
      </w:r>
      <w:r>
        <w:t xml:space="preserve"> </w:t>
      </w:r>
      <w:r>
        <w:rPr>
          <w:rFonts w:hint="eastAsia"/>
        </w:rPr>
        <w:t>现场环境许可时，室外桩可采用旋挖桩机、高桩架钻孔桩机施工。室内应采用小型钻孔桩机和配套导管进行施工，不宜采用冲击成孔；</w:t>
      </w:r>
      <w:r>
        <w:t xml:space="preserve"> </w:t>
      </w:r>
    </w:p>
    <w:p w:rsidR="009136B5" w:rsidRDefault="00000000">
      <w:pPr>
        <w:pStyle w:val="x"/>
        <w:ind w:firstLine="315"/>
      </w:pPr>
      <w:r>
        <w:t>2</w:t>
      </w:r>
      <w:r>
        <w:rPr>
          <w:rFonts w:hint="eastAsia"/>
        </w:rPr>
        <w:t xml:space="preserve"> </w:t>
      </w:r>
      <w:r>
        <w:t xml:space="preserve"> </w:t>
      </w:r>
      <w:r>
        <w:rPr>
          <w:rFonts w:hint="eastAsia"/>
        </w:rPr>
        <w:t>钢筋笼的分节应满足施工空间的要求，应采取可靠措施保证钢筋笼焊接、机械连接与内插格构钢柱的分节焊接质量；</w:t>
      </w:r>
    </w:p>
    <w:p w:rsidR="009136B5" w:rsidRDefault="00000000">
      <w:pPr>
        <w:pStyle w:val="x"/>
        <w:ind w:firstLine="315"/>
      </w:pPr>
      <w:r>
        <w:t xml:space="preserve">3  </w:t>
      </w:r>
      <w:r>
        <w:rPr>
          <w:rFonts w:hint="eastAsia"/>
        </w:rPr>
        <w:t>钻孔应控制泥浆比重，规范两次清孔，控制沉渣厚度≯</w:t>
      </w:r>
      <w:r>
        <w:rPr>
          <w:rFonts w:hint="eastAsia"/>
        </w:rPr>
        <w:t>5</w:t>
      </w:r>
      <w:r>
        <w:t>0mm</w:t>
      </w:r>
      <w:r>
        <w:rPr>
          <w:rFonts w:hint="eastAsia"/>
        </w:rPr>
        <w:t>，控制水下混凝土浇灌质量，并对桩上段</w:t>
      </w:r>
      <w:r>
        <w:rPr>
          <w:rFonts w:hint="eastAsia"/>
        </w:rPr>
        <w:t>6</w:t>
      </w:r>
      <w:r>
        <w:t>m</w:t>
      </w:r>
      <w:r>
        <w:rPr>
          <w:rFonts w:hint="eastAsia"/>
        </w:rPr>
        <w:t>范围应通过振捣致密；</w:t>
      </w:r>
    </w:p>
    <w:p w:rsidR="009136B5" w:rsidRDefault="00000000">
      <w:pPr>
        <w:pStyle w:val="x"/>
        <w:ind w:firstLine="315"/>
        <w:rPr>
          <w:rFonts w:ascii="宋体" w:hAnsi="宋体" w:cs="宋体"/>
          <w:color w:val="000000"/>
          <w:kern w:val="0"/>
          <w:sz w:val="24"/>
          <w:lang w:bidi="ar"/>
        </w:rPr>
      </w:pPr>
      <w:r>
        <w:t xml:space="preserve">4  </w:t>
      </w:r>
      <w:r>
        <w:rPr>
          <w:rFonts w:hint="eastAsia"/>
        </w:rPr>
        <w:t>宜采取减小泥浆排放、现场泥浆固化处理的措施。</w:t>
      </w:r>
    </w:p>
    <w:p w:rsidR="009136B5" w:rsidRDefault="00000000">
      <w:pPr>
        <w:pStyle w:val="xxx"/>
        <w:rPr>
          <w:lang w:bidi="ar"/>
        </w:rPr>
      </w:pPr>
      <w:r>
        <w:rPr>
          <w:b/>
          <w:bCs/>
          <w:lang w:bidi="ar"/>
        </w:rPr>
        <w:t xml:space="preserve">7.3.8 </w:t>
      </w:r>
      <w:r>
        <w:rPr>
          <w:lang w:bidi="ar"/>
        </w:rPr>
        <w:t xml:space="preserve"> </w:t>
      </w:r>
      <w:r>
        <w:rPr>
          <w:rFonts w:hint="eastAsia"/>
          <w:lang w:bidi="ar"/>
        </w:rPr>
        <w:t>既有建筑为沉降稳定、持力层土性较好且层厚分布较均匀的短桩基础，当受施工空间限制钻孔桩机无法正常施工时，可采用人工挖孔桩托换。</w:t>
      </w:r>
    </w:p>
    <w:p w:rsidR="009136B5" w:rsidRDefault="00000000">
      <w:pPr>
        <w:pStyle w:val="afffff1"/>
        <w:ind w:firstLineChars="0" w:firstLine="0"/>
        <w:rPr>
          <w:lang w:bidi="ar"/>
        </w:rPr>
      </w:pPr>
      <w:r>
        <w:rPr>
          <w:rFonts w:hint="eastAsia"/>
          <w:b/>
          <w:lang w:bidi="ar"/>
        </w:rPr>
        <w:t>条文说明：</w:t>
      </w:r>
      <w:r>
        <w:rPr>
          <w:rFonts w:hint="eastAsia"/>
          <w:lang w:bidi="ar"/>
        </w:rPr>
        <w:t>人工挖孔桩施工具体应符合以下规定：</w:t>
      </w:r>
    </w:p>
    <w:p w:rsidR="009136B5" w:rsidRDefault="00000000">
      <w:pPr>
        <w:pStyle w:val="afffff1"/>
        <w:rPr>
          <w:lang w:bidi="ar"/>
        </w:rPr>
      </w:pPr>
      <w:r>
        <w:rPr>
          <w:lang w:bidi="ar"/>
        </w:rPr>
        <w:t xml:space="preserve">1  </w:t>
      </w:r>
      <w:r>
        <w:rPr>
          <w:rFonts w:hint="eastAsia"/>
          <w:lang w:bidi="ar"/>
        </w:rPr>
        <w:t>人工挖孔桩桩径不小于</w:t>
      </w:r>
      <w:r>
        <w:rPr>
          <w:lang w:bidi="ar"/>
        </w:rPr>
        <w:t>800mm</w:t>
      </w:r>
      <w:r>
        <w:rPr>
          <w:rFonts w:hint="eastAsia"/>
          <w:lang w:bidi="ar"/>
        </w:rPr>
        <w:t>，孔深应严格限制在</w:t>
      </w:r>
      <w:r>
        <w:rPr>
          <w:lang w:bidi="ar"/>
        </w:rPr>
        <w:t>15m</w:t>
      </w:r>
      <w:r>
        <w:rPr>
          <w:rFonts w:hint="eastAsia"/>
          <w:lang w:bidi="ar"/>
        </w:rPr>
        <w:t>内，仅适用于桩长范围内无甲烷气体、</w:t>
      </w:r>
      <w:r>
        <w:rPr>
          <w:rFonts w:hint="eastAsia"/>
          <w:lang w:bidi="ar"/>
        </w:rPr>
        <w:lastRenderedPageBreak/>
        <w:t>软土层、松散土层等不良地质条件的地基，并且桩孔不受地下承压水影响；</w:t>
      </w:r>
    </w:p>
    <w:p w:rsidR="009136B5" w:rsidRDefault="00000000">
      <w:pPr>
        <w:pStyle w:val="afffff1"/>
        <w:rPr>
          <w:lang w:bidi="ar"/>
        </w:rPr>
      </w:pPr>
      <w:r>
        <w:rPr>
          <w:lang w:bidi="ar"/>
        </w:rPr>
        <w:t xml:space="preserve">2  </w:t>
      </w:r>
      <w:r>
        <w:rPr>
          <w:rFonts w:hint="eastAsia"/>
          <w:lang w:bidi="ar"/>
        </w:rPr>
        <w:t>人工挖孔桩混凝土护壁的厚度不应小于</w:t>
      </w:r>
      <w:r>
        <w:rPr>
          <w:lang w:bidi="ar"/>
        </w:rPr>
        <w:t>100mm</w:t>
      </w:r>
      <w:r>
        <w:rPr>
          <w:lang w:bidi="ar"/>
        </w:rPr>
        <w:t>，护壁混凝土强度等级不应低于桩身混凝土，并应振捣密实，护壁应配置直径不小于</w:t>
      </w:r>
      <w:r>
        <w:rPr>
          <w:lang w:bidi="ar"/>
        </w:rPr>
        <w:t>8mm</w:t>
      </w:r>
      <w:r>
        <w:rPr>
          <w:lang w:bidi="ar"/>
        </w:rPr>
        <w:t>的构造钢筋，竖向筋应上下搭接。人工挖孔桩的护壁也可采用钢护筒；</w:t>
      </w:r>
    </w:p>
    <w:p w:rsidR="009136B5" w:rsidRDefault="00000000">
      <w:pPr>
        <w:pStyle w:val="afffff1"/>
        <w:rPr>
          <w:lang w:bidi="ar"/>
        </w:rPr>
      </w:pPr>
      <w:r>
        <w:rPr>
          <w:lang w:bidi="ar"/>
        </w:rPr>
        <w:t xml:space="preserve">3  </w:t>
      </w:r>
      <w:r>
        <w:rPr>
          <w:lang w:bidi="ar"/>
        </w:rPr>
        <w:t>挖至设计标高后，应清除护壁上的泥土和孔底残渣、积水，并应进行桩底隐蔽工程验收。验收合格后，应立即封底</w:t>
      </w:r>
      <w:r>
        <w:rPr>
          <w:rFonts w:hint="eastAsia"/>
          <w:lang w:bidi="ar"/>
        </w:rPr>
        <w:t>并灌注桩身混凝土，若地下水渗流速度较快，应停止降水并实施水下混凝土浇灌工艺，确保浇灌质量；</w:t>
      </w:r>
    </w:p>
    <w:p w:rsidR="009136B5" w:rsidRDefault="00000000">
      <w:pPr>
        <w:pStyle w:val="afffff1"/>
        <w:rPr>
          <w:lang w:bidi="ar"/>
        </w:rPr>
      </w:pPr>
      <w:r>
        <w:rPr>
          <w:lang w:bidi="ar"/>
        </w:rPr>
        <w:t xml:space="preserve">4  </w:t>
      </w:r>
      <w:r>
        <w:rPr>
          <w:rFonts w:hint="eastAsia"/>
          <w:lang w:bidi="ar"/>
        </w:rPr>
        <w:t>当孔底基本无地下水</w:t>
      </w:r>
      <w:r>
        <w:rPr>
          <w:lang w:bidi="ar"/>
        </w:rPr>
        <w:t>灌注桩身混凝土时，混凝土</w:t>
      </w:r>
      <w:r>
        <w:rPr>
          <w:rFonts w:hint="eastAsia"/>
          <w:lang w:bidi="ar"/>
        </w:rPr>
        <w:t>应</w:t>
      </w:r>
      <w:r>
        <w:rPr>
          <w:lang w:bidi="ar"/>
        </w:rPr>
        <w:t>通过溜槽</w:t>
      </w:r>
      <w:r>
        <w:rPr>
          <w:rFonts w:hint="eastAsia"/>
          <w:lang w:bidi="ar"/>
        </w:rPr>
        <w:t>浇筑。当落距超过</w:t>
      </w:r>
      <w:r>
        <w:rPr>
          <w:lang w:bidi="ar"/>
        </w:rPr>
        <w:t>3m</w:t>
      </w:r>
      <w:r>
        <w:rPr>
          <w:lang w:bidi="ar"/>
        </w:rPr>
        <w:t>时，应采用串筒</w:t>
      </w:r>
      <w:r>
        <w:rPr>
          <w:rFonts w:hint="eastAsia"/>
          <w:lang w:bidi="ar"/>
        </w:rPr>
        <w:t>浇筑</w:t>
      </w:r>
      <w:r>
        <w:rPr>
          <w:lang w:bidi="ar"/>
        </w:rPr>
        <w:t>，串筒末端距孔底高度不宜大于</w:t>
      </w:r>
      <w:r>
        <w:rPr>
          <w:lang w:bidi="ar"/>
        </w:rPr>
        <w:t>2m</w:t>
      </w:r>
      <w:r>
        <w:rPr>
          <w:lang w:bidi="ar"/>
        </w:rPr>
        <w:t>，也可采用导管泵送</w:t>
      </w:r>
      <w:r>
        <w:rPr>
          <w:rFonts w:hint="eastAsia"/>
          <w:lang w:bidi="ar"/>
        </w:rPr>
        <w:t>。非水下浇筑的混凝土宜采用插入式振捣器振捣密实；</w:t>
      </w:r>
    </w:p>
    <w:p w:rsidR="009136B5" w:rsidRDefault="00000000">
      <w:pPr>
        <w:pStyle w:val="afffff1"/>
        <w:rPr>
          <w:lang w:bidi="ar"/>
        </w:rPr>
      </w:pPr>
      <w:r>
        <w:rPr>
          <w:lang w:bidi="ar"/>
        </w:rPr>
        <w:t xml:space="preserve">5  </w:t>
      </w:r>
      <w:r>
        <w:rPr>
          <w:lang w:bidi="ar"/>
        </w:rPr>
        <w:t>人工挖孔桩应采取相关安全措施，应按</w:t>
      </w:r>
      <w:r>
        <w:rPr>
          <w:rFonts w:hint="eastAsia"/>
          <w:lang w:bidi="ar"/>
        </w:rPr>
        <w:t>现行行业标准《建筑桩基技术规范》</w:t>
      </w:r>
      <w:r>
        <w:rPr>
          <w:lang w:bidi="ar"/>
        </w:rPr>
        <w:t>JGJ 94</w:t>
      </w:r>
      <w:r>
        <w:rPr>
          <w:rFonts w:hint="eastAsia"/>
          <w:lang w:bidi="ar"/>
        </w:rPr>
        <w:t>的有关规定执行。</w:t>
      </w:r>
    </w:p>
    <w:p w:rsidR="009136B5" w:rsidRDefault="00000000">
      <w:pPr>
        <w:pStyle w:val="xxx"/>
        <w:rPr>
          <w:lang w:bidi="ar"/>
        </w:rPr>
      </w:pPr>
      <w:r>
        <w:rPr>
          <w:b/>
          <w:bCs/>
          <w:lang w:bidi="ar"/>
        </w:rPr>
        <w:t xml:space="preserve">7.3.9  </w:t>
      </w:r>
      <w:bookmarkStart w:id="88" w:name="_Hlk108374600"/>
      <w:r>
        <w:rPr>
          <w:rFonts w:hint="eastAsia"/>
          <w:lang w:bidi="ar"/>
        </w:rPr>
        <w:t>水泥土组合钢管桩</w:t>
      </w:r>
      <w:bookmarkEnd w:id="88"/>
      <w:r>
        <w:rPr>
          <w:rFonts w:hint="eastAsia"/>
          <w:lang w:bidi="ar"/>
        </w:rPr>
        <w:t>施工</w:t>
      </w:r>
      <w:r>
        <w:rPr>
          <w:lang w:bidi="ar"/>
        </w:rPr>
        <w:t>应符合以下要求：</w:t>
      </w:r>
    </w:p>
    <w:p w:rsidR="009136B5" w:rsidRDefault="00000000">
      <w:pPr>
        <w:pStyle w:val="x"/>
        <w:ind w:firstLine="315"/>
        <w:rPr>
          <w:lang w:bidi="ar"/>
        </w:rPr>
      </w:pPr>
      <w:r>
        <w:rPr>
          <w:lang w:bidi="ar"/>
        </w:rPr>
        <w:t xml:space="preserve">1  </w:t>
      </w:r>
      <w:r>
        <w:rPr>
          <w:lang w:bidi="ar"/>
        </w:rPr>
        <w:t>水泥土组合钢管桩</w:t>
      </w:r>
      <w:r>
        <w:rPr>
          <w:rFonts w:hint="eastAsia"/>
          <w:lang w:bidi="ar"/>
        </w:rPr>
        <w:t>分通长组合桩、扩底段组合桩两类。水泥土通过高压喷射注浆工艺成型，钢管桩与水泥土之间通过锚固件连接，锚固件一般可采用斜向钢板、角钢倒刺、槽钢和焊接箍筋等；</w:t>
      </w:r>
    </w:p>
    <w:p w:rsidR="009136B5" w:rsidRDefault="00000000">
      <w:pPr>
        <w:pStyle w:val="x"/>
        <w:ind w:firstLine="315"/>
        <w:rPr>
          <w:lang w:bidi="ar"/>
        </w:rPr>
      </w:pPr>
      <w:r>
        <w:rPr>
          <w:lang w:bidi="ar"/>
        </w:rPr>
        <w:t xml:space="preserve">2  </w:t>
      </w:r>
      <w:r>
        <w:rPr>
          <w:rFonts w:hint="eastAsia"/>
          <w:lang w:bidi="ar"/>
        </w:rPr>
        <w:t>水泥土通长组合钢管桩应按以下工序施工：</w:t>
      </w:r>
    </w:p>
    <w:p w:rsidR="009136B5" w:rsidRDefault="00000000">
      <w:pPr>
        <w:pStyle w:val="x1"/>
        <w:ind w:firstLine="630"/>
        <w:rPr>
          <w:lang w:bidi="ar"/>
        </w:rPr>
      </w:pPr>
      <w:r>
        <w:rPr>
          <w:lang w:bidi="ar"/>
        </w:rPr>
        <w:t>1</w:t>
      </w:r>
      <w:r>
        <w:rPr>
          <w:lang w:bidi="ar"/>
        </w:rPr>
        <w:t>）</w:t>
      </w:r>
      <w:bookmarkStart w:id="89" w:name="_Hlk123068352"/>
      <w:r>
        <w:rPr>
          <w:rFonts w:hint="eastAsia"/>
          <w:lang w:bidi="ar"/>
        </w:rPr>
        <w:t>高压旋喷</w:t>
      </w:r>
      <w:bookmarkEnd w:id="89"/>
      <w:r>
        <w:rPr>
          <w:rFonts w:hint="eastAsia"/>
          <w:lang w:bidi="ar"/>
        </w:rPr>
        <w:t>注浆跳打施工，工作面清除泥浆；</w:t>
      </w:r>
    </w:p>
    <w:p w:rsidR="009136B5" w:rsidRDefault="00000000">
      <w:pPr>
        <w:pStyle w:val="x1"/>
        <w:ind w:firstLine="630"/>
        <w:rPr>
          <w:lang w:bidi="ar"/>
        </w:rPr>
      </w:pPr>
      <w:r>
        <w:rPr>
          <w:lang w:bidi="ar"/>
        </w:rPr>
        <w:t>2</w:t>
      </w:r>
      <w:r>
        <w:rPr>
          <w:lang w:bidi="ar"/>
        </w:rPr>
        <w:t>）</w:t>
      </w:r>
      <w:r>
        <w:rPr>
          <w:rFonts w:hint="eastAsia"/>
          <w:lang w:bidi="ar"/>
        </w:rPr>
        <w:t>钢管桩迅速跟进施工，以锚杆静压桩工艺将钢管分节压入水泥土桩内，并满足“双控”要求。</w:t>
      </w:r>
    </w:p>
    <w:p w:rsidR="009136B5" w:rsidRDefault="00000000">
      <w:pPr>
        <w:pStyle w:val="x1"/>
        <w:ind w:firstLine="630"/>
        <w:rPr>
          <w:lang w:bidi="ar"/>
        </w:rPr>
      </w:pPr>
      <w:r>
        <w:rPr>
          <w:lang w:bidi="ar"/>
        </w:rPr>
        <w:t>3</w:t>
      </w:r>
      <w:r>
        <w:rPr>
          <w:lang w:bidi="ar"/>
        </w:rPr>
        <w:t>）</w:t>
      </w:r>
      <w:r>
        <w:rPr>
          <w:rFonts w:hint="eastAsia"/>
          <w:lang w:bidi="ar"/>
        </w:rPr>
        <w:t>及时清理桩孔，持荷加载，混凝土灌芯后加载封桩。</w:t>
      </w:r>
    </w:p>
    <w:p w:rsidR="009136B5" w:rsidRDefault="00000000">
      <w:pPr>
        <w:pStyle w:val="x"/>
        <w:ind w:firstLine="315"/>
        <w:rPr>
          <w:lang w:bidi="ar"/>
        </w:rPr>
      </w:pPr>
      <w:r>
        <w:rPr>
          <w:lang w:bidi="ar"/>
        </w:rPr>
        <w:t xml:space="preserve">3  </w:t>
      </w:r>
      <w:r>
        <w:rPr>
          <w:rFonts w:hint="eastAsia"/>
          <w:lang w:bidi="ar"/>
        </w:rPr>
        <w:t>水泥土扩底组合钢管桩应按以下工序施工：</w:t>
      </w:r>
    </w:p>
    <w:p w:rsidR="009136B5" w:rsidRDefault="00000000">
      <w:pPr>
        <w:pStyle w:val="x1"/>
        <w:ind w:firstLine="630"/>
        <w:rPr>
          <w:lang w:bidi="ar"/>
        </w:rPr>
      </w:pPr>
      <w:r>
        <w:rPr>
          <w:lang w:bidi="ar"/>
        </w:rPr>
        <w:t>1</w:t>
      </w:r>
      <w:r>
        <w:rPr>
          <w:lang w:bidi="ar"/>
        </w:rPr>
        <w:t>）</w:t>
      </w:r>
      <w:r>
        <w:rPr>
          <w:rFonts w:hint="eastAsia"/>
          <w:lang w:bidi="ar"/>
        </w:rPr>
        <w:t>锚杆静压钢管桩跳打施工，直至扩底段以上</w:t>
      </w:r>
      <w:r>
        <w:rPr>
          <w:lang w:bidi="ar"/>
        </w:rPr>
        <w:t>1</w:t>
      </w:r>
      <w:r>
        <w:rPr>
          <w:rFonts w:ascii="BatangChe" w:eastAsia="BatangChe" w:hAnsi="BatangChe"/>
          <w:lang w:bidi="ar"/>
        </w:rPr>
        <w:t>~</w:t>
      </w:r>
      <w:r>
        <w:rPr>
          <w:lang w:bidi="ar"/>
        </w:rPr>
        <w:t>2m</w:t>
      </w:r>
      <w:r>
        <w:rPr>
          <w:rFonts w:hint="eastAsia"/>
          <w:lang w:bidi="ar"/>
        </w:rPr>
        <w:t>处暂停，清理钢管内全部土塞；</w:t>
      </w:r>
    </w:p>
    <w:p w:rsidR="009136B5" w:rsidRDefault="00000000">
      <w:pPr>
        <w:pStyle w:val="x1"/>
        <w:ind w:firstLine="630"/>
        <w:rPr>
          <w:lang w:bidi="ar"/>
        </w:rPr>
      </w:pPr>
      <w:r>
        <w:rPr>
          <w:lang w:bidi="ar"/>
        </w:rPr>
        <w:t>2</w:t>
      </w:r>
      <w:r>
        <w:rPr>
          <w:lang w:bidi="ar"/>
        </w:rPr>
        <w:t>）</w:t>
      </w:r>
      <w:r>
        <w:rPr>
          <w:rFonts w:hint="eastAsia"/>
          <w:lang w:bidi="ar"/>
        </w:rPr>
        <w:t>对桩底端实施高压旋喷复喷施工，工作面清除泥浆；</w:t>
      </w:r>
    </w:p>
    <w:p w:rsidR="009136B5" w:rsidRDefault="00000000">
      <w:pPr>
        <w:pStyle w:val="x1"/>
        <w:ind w:firstLine="630"/>
        <w:rPr>
          <w:lang w:bidi="ar"/>
        </w:rPr>
      </w:pPr>
      <w:r>
        <w:rPr>
          <w:lang w:bidi="ar"/>
        </w:rPr>
        <w:t>3</w:t>
      </w:r>
      <w:r>
        <w:rPr>
          <w:lang w:bidi="ar"/>
        </w:rPr>
        <w:t>）</w:t>
      </w:r>
      <w:r>
        <w:rPr>
          <w:rFonts w:hint="eastAsia"/>
          <w:lang w:bidi="ar"/>
        </w:rPr>
        <w:t>钢管桩迅速跟进沉压施工，将钢管分节压入水泥土桩至设计标高，并满足“双控”要求。</w:t>
      </w:r>
    </w:p>
    <w:p w:rsidR="009136B5" w:rsidRDefault="00000000">
      <w:pPr>
        <w:pStyle w:val="x1"/>
        <w:ind w:firstLine="630"/>
        <w:rPr>
          <w:lang w:bidi="ar"/>
        </w:rPr>
      </w:pPr>
      <w:r>
        <w:rPr>
          <w:lang w:bidi="ar"/>
        </w:rPr>
        <w:t>4</w:t>
      </w:r>
      <w:r>
        <w:rPr>
          <w:lang w:bidi="ar"/>
        </w:rPr>
        <w:t>）</w:t>
      </w:r>
      <w:r>
        <w:rPr>
          <w:rFonts w:hint="eastAsia"/>
          <w:lang w:bidi="ar"/>
        </w:rPr>
        <w:t>及时清理桩孔，持荷加载，混凝土灌芯后加载封桩。</w:t>
      </w:r>
    </w:p>
    <w:p w:rsidR="009136B5" w:rsidRDefault="00000000">
      <w:pPr>
        <w:pStyle w:val="x"/>
        <w:ind w:firstLine="315"/>
        <w:rPr>
          <w:lang w:bidi="ar"/>
        </w:rPr>
      </w:pPr>
      <w:r>
        <w:rPr>
          <w:lang w:bidi="ar"/>
        </w:rPr>
        <w:t xml:space="preserve">4  </w:t>
      </w:r>
      <w:r>
        <w:rPr>
          <w:rFonts w:hint="eastAsia"/>
          <w:lang w:bidi="ar"/>
        </w:rPr>
        <w:t>旋喷桩按双重管、三重管法施工，禁止采用单重管法。施工工艺参数应根据土质条件、加固要求估算，通过试桩确定。现场应采取减小泥浆排放、现场泥浆固化处理的措施；</w:t>
      </w:r>
    </w:p>
    <w:p w:rsidR="009136B5" w:rsidRDefault="00000000">
      <w:pPr>
        <w:pStyle w:val="x"/>
        <w:ind w:firstLine="315"/>
        <w:rPr>
          <w:lang w:bidi="ar"/>
        </w:rPr>
      </w:pPr>
      <w:r>
        <w:rPr>
          <w:lang w:bidi="ar"/>
        </w:rPr>
        <w:t xml:space="preserve">5  </w:t>
      </w:r>
      <w:r>
        <w:rPr>
          <w:rFonts w:hint="eastAsia"/>
          <w:lang w:bidi="ar"/>
        </w:rPr>
        <w:t>高压旋喷注浆，宜采用强度等级为</w:t>
      </w:r>
      <w:r>
        <w:rPr>
          <w:lang w:bidi="ar"/>
        </w:rPr>
        <w:t>42.5</w:t>
      </w:r>
      <w:r>
        <w:rPr>
          <w:lang w:bidi="ar"/>
        </w:rPr>
        <w:t>级普通硅酸盐水泥，水泥浆液的水灰比宜为</w:t>
      </w:r>
      <w:r>
        <w:rPr>
          <w:lang w:bidi="ar"/>
        </w:rPr>
        <w:t>0.8</w:t>
      </w:r>
      <w:r>
        <w:rPr>
          <w:lang w:bidi="ar"/>
        </w:rPr>
        <w:t>～</w:t>
      </w:r>
      <w:r>
        <w:rPr>
          <w:lang w:bidi="ar"/>
        </w:rPr>
        <w:t>1.0</w:t>
      </w:r>
      <w:r>
        <w:rPr>
          <w:rFonts w:hint="eastAsia"/>
          <w:lang w:bidi="ar"/>
        </w:rPr>
        <w:t>，水泥掺量不宜小于被加固土质量的</w:t>
      </w:r>
      <w:r>
        <w:rPr>
          <w:lang w:bidi="ar"/>
        </w:rPr>
        <w:t>30%</w:t>
      </w:r>
      <w:r>
        <w:rPr>
          <w:lang w:bidi="ar"/>
        </w:rPr>
        <w:t>；</w:t>
      </w:r>
    </w:p>
    <w:p w:rsidR="009136B5" w:rsidRDefault="00000000">
      <w:pPr>
        <w:pStyle w:val="x"/>
        <w:ind w:firstLine="315"/>
        <w:rPr>
          <w:lang w:bidi="ar"/>
        </w:rPr>
      </w:pPr>
      <w:r>
        <w:rPr>
          <w:lang w:bidi="ar"/>
        </w:rPr>
        <w:t xml:space="preserve">6  </w:t>
      </w:r>
      <w:r>
        <w:rPr>
          <w:rFonts w:hint="eastAsia"/>
          <w:lang w:bidi="ar"/>
        </w:rPr>
        <w:t>钢管桩施工遵照本章</w:t>
      </w:r>
      <w:r>
        <w:rPr>
          <w:b/>
          <w:bCs/>
          <w:lang w:bidi="ar"/>
        </w:rPr>
        <w:t>7.3.6</w:t>
      </w:r>
      <w:r>
        <w:rPr>
          <w:rFonts w:hint="eastAsia"/>
          <w:lang w:bidi="ar"/>
        </w:rPr>
        <w:t>节执行。</w:t>
      </w:r>
    </w:p>
    <w:p w:rsidR="009136B5" w:rsidRDefault="00000000">
      <w:pPr>
        <w:pStyle w:val="20"/>
        <w:rPr>
          <w:lang w:bidi="ar"/>
        </w:rPr>
      </w:pPr>
      <w:bookmarkStart w:id="90" w:name="_Toc123647785"/>
      <w:bookmarkStart w:id="91" w:name="_Toc14550"/>
      <w:r>
        <w:rPr>
          <w:lang w:bidi="ar"/>
        </w:rPr>
        <w:t xml:space="preserve">7.4 </w:t>
      </w:r>
      <w:r>
        <w:rPr>
          <w:rFonts w:hint="eastAsia"/>
          <w:lang w:bidi="ar"/>
        </w:rPr>
        <w:t xml:space="preserve"> </w:t>
      </w:r>
      <w:r>
        <w:rPr>
          <w:rFonts w:hint="eastAsia"/>
          <w:lang w:bidi="ar"/>
        </w:rPr>
        <w:t>侧向支护结构施工</w:t>
      </w:r>
      <w:bookmarkEnd w:id="90"/>
      <w:bookmarkEnd w:id="91"/>
    </w:p>
    <w:p w:rsidR="009136B5" w:rsidRDefault="00000000">
      <w:pPr>
        <w:pStyle w:val="xxx"/>
      </w:pPr>
      <w:r>
        <w:rPr>
          <w:b/>
          <w:bCs/>
        </w:rPr>
        <w:t>7.4.1</w:t>
      </w:r>
      <w:r>
        <w:t xml:space="preserve">  </w:t>
      </w:r>
      <w:r>
        <w:rPr>
          <w:rFonts w:hint="eastAsia"/>
        </w:rPr>
        <w:t>侧向支护结构系统一般包括支护桩（墙）与冠梁、水平支撑与立柱桩、钢支撑与围檩、止水帷幕、</w:t>
      </w:r>
      <w:bookmarkStart w:id="92" w:name="_Hlk108384807"/>
      <w:r>
        <w:rPr>
          <w:rFonts w:hint="eastAsia"/>
        </w:rPr>
        <w:t>坑底土（被动土）加固</w:t>
      </w:r>
      <w:bookmarkEnd w:id="92"/>
      <w:r>
        <w:rPr>
          <w:rFonts w:hint="eastAsia"/>
        </w:rPr>
        <w:t>等。</w:t>
      </w:r>
    </w:p>
    <w:p w:rsidR="009136B5" w:rsidRDefault="00000000">
      <w:pPr>
        <w:pStyle w:val="afffff1"/>
        <w:ind w:firstLineChars="0" w:firstLine="0"/>
      </w:pPr>
      <w:r>
        <w:rPr>
          <w:rFonts w:hint="eastAsia"/>
          <w:b/>
        </w:rPr>
        <w:t>条文说明：</w:t>
      </w:r>
      <w:r>
        <w:rPr>
          <w:rFonts w:hint="eastAsia"/>
        </w:rPr>
        <w:t>侧向支护结构施工顺序通常为：支护桩（墙）、止水帷幕与立柱桩施工→坑底土加固→冠梁施工→（顶面）水平支撑→钢支撑与围檩→地下结构施工→换撑、拆撑→肥槽回填→拆除冠梁和支</w:t>
      </w:r>
      <w:r>
        <w:rPr>
          <w:rFonts w:hint="eastAsia"/>
        </w:rPr>
        <w:lastRenderedPageBreak/>
        <w:t>护桩（墙）上端部分。</w:t>
      </w:r>
    </w:p>
    <w:p w:rsidR="009136B5" w:rsidRDefault="00000000">
      <w:pPr>
        <w:pStyle w:val="afffff1"/>
      </w:pPr>
      <w:r>
        <w:rPr>
          <w:rFonts w:hint="eastAsia"/>
        </w:rPr>
        <w:t>对于稳定性好、水平刚度较大、整体性强的侧向支护结构，宜与既有建筑托换后的基础结构建立弹性连接，有利于加强既有建筑的侧向稳定。</w:t>
      </w:r>
    </w:p>
    <w:p w:rsidR="009136B5" w:rsidRDefault="00000000">
      <w:pPr>
        <w:pStyle w:val="xxx"/>
        <w:rPr>
          <w:rFonts w:ascii="宋体" w:hAnsi="宋体" w:cs="宋体"/>
          <w:color w:val="000000"/>
          <w:sz w:val="24"/>
          <w:lang w:bidi="ar"/>
        </w:rPr>
      </w:pPr>
      <w:r>
        <w:rPr>
          <w:b/>
          <w:bCs/>
        </w:rPr>
        <w:t>7.4.2</w:t>
      </w:r>
      <w:r>
        <w:t xml:space="preserve">  </w:t>
      </w:r>
      <w:r>
        <w:rPr>
          <w:rFonts w:hint="eastAsia"/>
        </w:rPr>
        <w:t>侧向支护结构施工与施工质量检验应符合现行《建筑桩基技术规范》</w:t>
      </w:r>
      <w:r>
        <w:t>JGJ94</w:t>
      </w:r>
      <w:r>
        <w:rPr>
          <w:rFonts w:hint="eastAsia"/>
        </w:rPr>
        <w:t>、《建筑基坑支护技术规程》</w:t>
      </w:r>
      <w:r>
        <w:t>JGJ120</w:t>
      </w:r>
      <w:r>
        <w:rPr>
          <w:rFonts w:hint="eastAsia"/>
        </w:rPr>
        <w:t>、《建筑基坑工程逆作法技术规程》</w:t>
      </w:r>
      <w:r>
        <w:t>DB33/T1112</w:t>
      </w:r>
      <w:r>
        <w:rPr>
          <w:rFonts w:hint="eastAsia"/>
        </w:rPr>
        <w:t>、《建筑深基坑工程施工安全技术规范》</w:t>
      </w:r>
      <w:r>
        <w:t>JGJ311</w:t>
      </w:r>
      <w:r>
        <w:rPr>
          <w:rFonts w:hint="eastAsia"/>
        </w:rPr>
        <w:t>、《建筑地基基础工程施工质量验收标准》</w:t>
      </w:r>
      <w:r>
        <w:t>GB50202</w:t>
      </w:r>
      <w:r>
        <w:rPr>
          <w:rFonts w:hint="eastAsia"/>
        </w:rPr>
        <w:t>等标准的相关规定。</w:t>
      </w:r>
    </w:p>
    <w:p w:rsidR="009136B5" w:rsidRDefault="00000000">
      <w:pPr>
        <w:pStyle w:val="xxx"/>
        <w:rPr>
          <w:lang w:bidi="ar"/>
        </w:rPr>
      </w:pPr>
      <w:r>
        <w:rPr>
          <w:b/>
          <w:bCs/>
          <w:lang w:bidi="ar"/>
        </w:rPr>
        <w:t xml:space="preserve">7.4.3  </w:t>
      </w:r>
      <w:r>
        <w:rPr>
          <w:rFonts w:hint="eastAsia"/>
          <w:lang w:bidi="ar"/>
        </w:rPr>
        <w:t>支护结构施工前应对既有建筑及原支护结构进行勘探，</w:t>
      </w:r>
      <w:r>
        <w:rPr>
          <w:lang w:bidi="ar"/>
        </w:rPr>
        <w:t>确定是否有障碍物</w:t>
      </w:r>
      <w:r>
        <w:rPr>
          <w:rFonts w:hint="eastAsia"/>
          <w:lang w:bidi="ar"/>
        </w:rPr>
        <w:t>及基础外挑等情况，</w:t>
      </w:r>
      <w:r>
        <w:rPr>
          <w:lang w:bidi="ar"/>
        </w:rPr>
        <w:t>制定针对性施工措施。</w:t>
      </w:r>
    </w:p>
    <w:p w:rsidR="009136B5" w:rsidRDefault="00000000">
      <w:pPr>
        <w:pStyle w:val="xxx"/>
        <w:rPr>
          <w:lang w:bidi="ar"/>
        </w:rPr>
      </w:pPr>
      <w:r>
        <w:rPr>
          <w:b/>
          <w:bCs/>
          <w:lang w:bidi="ar"/>
        </w:rPr>
        <w:t>7.4.4</w:t>
      </w:r>
      <w:r>
        <w:rPr>
          <w:lang w:bidi="ar"/>
        </w:rPr>
        <w:t xml:space="preserve">  </w:t>
      </w:r>
      <w:r>
        <w:rPr>
          <w:lang w:bidi="ar"/>
        </w:rPr>
        <w:t>施工时宜选用低净</w:t>
      </w:r>
      <w:r>
        <w:rPr>
          <w:rFonts w:hint="eastAsia"/>
          <w:lang w:bidi="ar"/>
        </w:rPr>
        <w:t>高、小型化、施工震动与噪音较小的围护施工设备。</w:t>
      </w:r>
    </w:p>
    <w:p w:rsidR="009136B5" w:rsidRDefault="00000000">
      <w:pPr>
        <w:pStyle w:val="xxx"/>
        <w:rPr>
          <w:lang w:bidi="ar"/>
        </w:rPr>
      </w:pPr>
      <w:r>
        <w:rPr>
          <w:b/>
          <w:bCs/>
          <w:lang w:bidi="ar"/>
        </w:rPr>
        <w:t xml:space="preserve">7.4.5  </w:t>
      </w:r>
      <w:r>
        <w:rPr>
          <w:rFonts w:hint="eastAsia"/>
          <w:lang w:bidi="ar"/>
        </w:rPr>
        <w:t>施工前应熟悉支撑系统的图纸及各种计算工况</w:t>
      </w:r>
      <w:r>
        <w:rPr>
          <w:lang w:bidi="ar"/>
        </w:rPr>
        <w:t>，掌握开挖及支撑设置的方式、</w:t>
      </w:r>
      <w:r>
        <w:rPr>
          <w:rFonts w:hint="eastAsia"/>
          <w:lang w:bidi="ar"/>
        </w:rPr>
        <w:t>了解预加轴力及周围环境保护的要求。</w:t>
      </w:r>
      <w:bookmarkStart w:id="93" w:name="_Hlk108387039"/>
    </w:p>
    <w:p w:rsidR="009136B5" w:rsidRDefault="00000000">
      <w:pPr>
        <w:pStyle w:val="xxx"/>
        <w:rPr>
          <w:lang w:bidi="ar"/>
        </w:rPr>
      </w:pPr>
      <w:r>
        <w:rPr>
          <w:b/>
          <w:bCs/>
          <w:lang w:bidi="ar"/>
        </w:rPr>
        <w:t>7.4.</w:t>
      </w:r>
      <w:bookmarkEnd w:id="93"/>
      <w:r>
        <w:rPr>
          <w:b/>
          <w:bCs/>
          <w:lang w:bidi="ar"/>
        </w:rPr>
        <w:t xml:space="preserve">6  </w:t>
      </w:r>
      <w:r>
        <w:rPr>
          <w:rFonts w:hint="eastAsia"/>
          <w:lang w:bidi="ar"/>
        </w:rPr>
        <w:t>支撑结构的安装和拆除顺序</w:t>
      </w:r>
      <w:r>
        <w:rPr>
          <w:lang w:bidi="ar"/>
        </w:rPr>
        <w:t>，应与基坑支护结构的设计工况相一致。</w:t>
      </w:r>
    </w:p>
    <w:p w:rsidR="009136B5" w:rsidRDefault="00000000">
      <w:pPr>
        <w:pStyle w:val="xxx"/>
        <w:rPr>
          <w:lang w:bidi="ar"/>
        </w:rPr>
      </w:pPr>
      <w:r>
        <w:rPr>
          <w:b/>
          <w:bCs/>
          <w:lang w:bidi="ar"/>
        </w:rPr>
        <w:t>7.4.</w:t>
      </w:r>
      <w:r>
        <w:rPr>
          <w:rFonts w:hint="eastAsia"/>
          <w:b/>
          <w:bCs/>
          <w:lang w:bidi="ar"/>
        </w:rPr>
        <w:t>7</w:t>
      </w:r>
      <w:r>
        <w:rPr>
          <w:b/>
          <w:bCs/>
          <w:lang w:bidi="ar"/>
        </w:rPr>
        <w:t xml:space="preserve">  </w:t>
      </w:r>
      <w:r>
        <w:rPr>
          <w:rFonts w:hint="eastAsia"/>
          <w:lang w:bidi="ar"/>
        </w:rPr>
        <w:t>钢筋混凝土内支撑施工应跟随土方施工穿插进行，应符合</w:t>
      </w:r>
      <w:bookmarkStart w:id="94" w:name="_Hlk108395599"/>
      <w:r>
        <w:rPr>
          <w:rFonts w:hint="eastAsia"/>
          <w:lang w:bidi="ar"/>
        </w:rPr>
        <w:t>现行国家标准《混凝土结构工程施工规范》</w:t>
      </w:r>
      <w:r>
        <w:rPr>
          <w:lang w:bidi="ar"/>
        </w:rPr>
        <w:t>GB</w:t>
      </w:r>
      <w:bookmarkEnd w:id="94"/>
      <w:r>
        <w:rPr>
          <w:lang w:bidi="ar"/>
        </w:rPr>
        <w:t>50666</w:t>
      </w:r>
      <w:r>
        <w:rPr>
          <w:rFonts w:hint="eastAsia"/>
          <w:lang w:bidi="ar"/>
        </w:rPr>
        <w:t>和《混凝土结构工程施工质量验收规范》</w:t>
      </w:r>
      <w:bookmarkStart w:id="95" w:name="_Hlk108396473"/>
      <w:r>
        <w:rPr>
          <w:lang w:bidi="ar"/>
        </w:rPr>
        <w:t>GB50204</w:t>
      </w:r>
      <w:bookmarkEnd w:id="95"/>
      <w:r>
        <w:rPr>
          <w:rFonts w:hint="eastAsia"/>
          <w:lang w:bidi="ar"/>
        </w:rPr>
        <w:t>的相关规定。支撑立柱桩、内支撑与既有</w:t>
      </w:r>
      <w:r>
        <w:rPr>
          <w:lang w:bidi="ar"/>
        </w:rPr>
        <w:t>主体</w:t>
      </w:r>
      <w:r>
        <w:rPr>
          <w:rFonts w:hint="eastAsia"/>
          <w:lang w:bidi="ar"/>
        </w:rPr>
        <w:t>基础结构相连接部位，应严格按图施工。</w:t>
      </w:r>
    </w:p>
    <w:p w:rsidR="009136B5" w:rsidRDefault="00000000">
      <w:pPr>
        <w:pStyle w:val="afffff1"/>
        <w:ind w:firstLineChars="0" w:firstLine="0"/>
      </w:pPr>
      <w:r>
        <w:rPr>
          <w:rFonts w:hint="eastAsia"/>
          <w:b/>
        </w:rPr>
        <w:t>条文说明：</w:t>
      </w:r>
      <w:r>
        <w:rPr>
          <w:rFonts w:hint="eastAsia"/>
        </w:rPr>
        <w:t>内支撑的换撑与拆撑施工，应符合基坑工程设计工况要求，采取保证既有主体结构与周边建筑安全的防范措施。并应细化拆撑工序，制定临时加撑、机械切割、人工破碎与垂直运输方案。</w:t>
      </w:r>
    </w:p>
    <w:p w:rsidR="009136B5" w:rsidRDefault="00000000">
      <w:pPr>
        <w:ind w:firstLineChars="0" w:firstLine="0"/>
        <w:rPr>
          <w:lang w:bidi="ar"/>
        </w:rPr>
      </w:pPr>
      <w:r>
        <w:rPr>
          <w:b/>
          <w:bCs/>
          <w:lang w:bidi="ar"/>
        </w:rPr>
        <w:t>7.4.</w:t>
      </w:r>
      <w:r>
        <w:rPr>
          <w:rFonts w:hint="eastAsia"/>
          <w:b/>
          <w:bCs/>
          <w:lang w:bidi="ar"/>
        </w:rPr>
        <w:t>8</w:t>
      </w:r>
      <w:r>
        <w:rPr>
          <w:b/>
          <w:bCs/>
          <w:lang w:bidi="ar"/>
        </w:rPr>
        <w:t xml:space="preserve">  </w:t>
      </w:r>
      <w:r>
        <w:rPr>
          <w:rFonts w:hint="eastAsia"/>
          <w:lang w:bidi="ar"/>
        </w:rPr>
        <w:t>钢支撑（预应力或非预应力）施工，分为</w:t>
      </w:r>
      <w:r>
        <w:rPr>
          <w:lang w:bidi="ar"/>
        </w:rPr>
        <w:t>H</w:t>
      </w:r>
      <w:r>
        <w:rPr>
          <w:lang w:bidi="ar"/>
        </w:rPr>
        <w:t>型钢支撑、</w:t>
      </w:r>
      <w:r>
        <w:rPr>
          <w:rFonts w:hint="eastAsia"/>
          <w:lang w:bidi="ar"/>
        </w:rPr>
        <w:t>钢管支撑和工具式钢支撑，钢支撑运输、拼装应考虑既有建筑有限的地下空间及安装条件的影响，合理地进行运输和安装，施工与验收应符合现行国家标准《钢结构工程施工质量验收标准》</w:t>
      </w:r>
      <w:r>
        <w:rPr>
          <w:lang w:bidi="ar"/>
        </w:rPr>
        <w:t>GB50205</w:t>
      </w:r>
      <w:r>
        <w:rPr>
          <w:rFonts w:hint="eastAsia"/>
          <w:lang w:bidi="ar"/>
        </w:rPr>
        <w:t>的相关规定。</w:t>
      </w:r>
    </w:p>
    <w:p w:rsidR="009136B5" w:rsidRDefault="00000000">
      <w:pPr>
        <w:pStyle w:val="xxx"/>
        <w:rPr>
          <w:lang w:bidi="ar"/>
        </w:rPr>
      </w:pPr>
      <w:bookmarkStart w:id="96" w:name="_Hlk108387414"/>
      <w:r>
        <w:rPr>
          <w:b/>
          <w:bCs/>
          <w:lang w:bidi="ar"/>
        </w:rPr>
        <w:t>7.4.</w:t>
      </w:r>
      <w:r>
        <w:rPr>
          <w:rFonts w:hint="eastAsia"/>
          <w:b/>
          <w:bCs/>
          <w:lang w:bidi="ar"/>
        </w:rPr>
        <w:t>9</w:t>
      </w:r>
      <w:bookmarkEnd w:id="96"/>
      <w:r>
        <w:rPr>
          <w:b/>
          <w:bCs/>
          <w:lang w:bidi="ar"/>
        </w:rPr>
        <w:t xml:space="preserve">  </w:t>
      </w:r>
      <w:bookmarkStart w:id="97" w:name="_Hlk108397135"/>
      <w:bookmarkStart w:id="98" w:name="_Hlk108398037"/>
      <w:r>
        <w:rPr>
          <w:rFonts w:hint="eastAsia"/>
          <w:lang w:bidi="ar"/>
        </w:rPr>
        <w:t>高压旋喷桩</w:t>
      </w:r>
      <w:bookmarkEnd w:id="97"/>
      <w:r>
        <w:rPr>
          <w:rFonts w:hint="eastAsia"/>
          <w:lang w:bidi="ar"/>
        </w:rPr>
        <w:t>止水帷幕与坑内土体加固施工，</w:t>
      </w:r>
      <w:bookmarkEnd w:id="98"/>
      <w:r>
        <w:rPr>
          <w:rFonts w:hint="eastAsia"/>
          <w:lang w:bidi="ar"/>
        </w:rPr>
        <w:t>高压旋喷桩止水帷幕水泥掺量较高，可采用双重管和三重管施工工艺，施工应符合现行行业标准《建筑地基处理技术规范》</w:t>
      </w:r>
      <w:r>
        <w:rPr>
          <w:lang w:bidi="ar"/>
        </w:rPr>
        <w:t>JGJ79</w:t>
      </w:r>
      <w:r>
        <w:rPr>
          <w:rFonts w:hint="eastAsia"/>
          <w:lang w:bidi="ar"/>
        </w:rPr>
        <w:t>的相关规定。对于开挖深度较深、受承压水影响较大、安全等级为一级的基坑，可以采用</w:t>
      </w:r>
      <w:r>
        <w:rPr>
          <w:lang w:bidi="ar"/>
        </w:rPr>
        <w:t>MJS</w:t>
      </w:r>
      <w:r>
        <w:rPr>
          <w:rFonts w:hint="eastAsia"/>
          <w:lang w:bidi="ar"/>
        </w:rPr>
        <w:t>旋喷桩和</w:t>
      </w:r>
      <w:r>
        <w:rPr>
          <w:lang w:bidi="ar"/>
        </w:rPr>
        <w:t>RJP</w:t>
      </w:r>
      <w:r>
        <w:rPr>
          <w:rFonts w:hint="eastAsia"/>
          <w:lang w:bidi="ar"/>
        </w:rPr>
        <w:t>旋喷桩进行止水帷幕施工，施工应符合现行地方标准《既有地下建筑改扩建技术规范》</w:t>
      </w:r>
      <w:r>
        <w:rPr>
          <w:lang w:bidi="ar"/>
        </w:rPr>
        <w:t xml:space="preserve">DJ/TJ08-2235 </w:t>
      </w:r>
      <w:r>
        <w:rPr>
          <w:rFonts w:hint="eastAsia"/>
          <w:lang w:bidi="ar"/>
        </w:rPr>
        <w:t>的相关规定。</w:t>
      </w:r>
    </w:p>
    <w:p w:rsidR="009136B5" w:rsidRDefault="00000000">
      <w:pPr>
        <w:pStyle w:val="afffff1"/>
        <w:ind w:firstLineChars="0" w:firstLine="0"/>
      </w:pPr>
      <w:r>
        <w:rPr>
          <w:rFonts w:hint="eastAsia"/>
          <w:b/>
        </w:rPr>
        <w:t>条文说明：</w:t>
      </w:r>
      <w:r>
        <w:rPr>
          <w:rFonts w:hint="eastAsia"/>
        </w:rPr>
        <w:t>高压旋喷桩坑内土体加固施工，一般水泥掺量较低，施工应严格控制加固层的厚度和平面置换率。</w:t>
      </w:r>
    </w:p>
    <w:p w:rsidR="009136B5" w:rsidRDefault="00000000">
      <w:pPr>
        <w:pStyle w:val="20"/>
        <w:rPr>
          <w:lang w:bidi="ar"/>
        </w:rPr>
      </w:pPr>
      <w:bookmarkStart w:id="99" w:name="_Toc123647786"/>
      <w:bookmarkStart w:id="100" w:name="_Toc24435"/>
      <w:r>
        <w:rPr>
          <w:lang w:bidi="ar"/>
        </w:rPr>
        <w:t xml:space="preserve">7.5 </w:t>
      </w:r>
      <w:r>
        <w:rPr>
          <w:rFonts w:hint="eastAsia"/>
          <w:lang w:bidi="ar"/>
        </w:rPr>
        <w:t xml:space="preserve"> </w:t>
      </w:r>
      <w:r>
        <w:rPr>
          <w:rFonts w:hint="eastAsia"/>
          <w:lang w:bidi="ar"/>
        </w:rPr>
        <w:t>地下水控制</w:t>
      </w:r>
      <w:bookmarkEnd w:id="99"/>
      <w:bookmarkEnd w:id="100"/>
    </w:p>
    <w:p w:rsidR="009136B5" w:rsidRDefault="00000000">
      <w:pPr>
        <w:pStyle w:val="xxx"/>
        <w:rPr>
          <w:lang w:bidi="ar"/>
        </w:rPr>
      </w:pPr>
      <w:r>
        <w:rPr>
          <w:b/>
          <w:bCs/>
          <w:lang w:bidi="ar"/>
        </w:rPr>
        <w:t xml:space="preserve">7.5.1  </w:t>
      </w:r>
      <w:r>
        <w:rPr>
          <w:rFonts w:hint="eastAsia"/>
          <w:lang w:bidi="ar"/>
        </w:rPr>
        <w:t>地下水控制应根据地下建筑增层施工过程中具体的水文地质条件，可</w:t>
      </w:r>
      <w:r>
        <w:rPr>
          <w:lang w:bidi="ar"/>
        </w:rPr>
        <w:t>采用隔水</w:t>
      </w:r>
      <w:r>
        <w:rPr>
          <w:rFonts w:hint="eastAsia"/>
          <w:lang w:bidi="ar"/>
        </w:rPr>
        <w:t>、</w:t>
      </w:r>
      <w:r>
        <w:rPr>
          <w:lang w:bidi="ar"/>
        </w:rPr>
        <w:t>集水明排、降水</w:t>
      </w:r>
      <w:r>
        <w:rPr>
          <w:rFonts w:hint="eastAsia"/>
          <w:lang w:bidi="ar"/>
        </w:rPr>
        <w:t>泄压、地下水回灌等控制措施，确保地下结构正常施工。</w:t>
      </w:r>
    </w:p>
    <w:p w:rsidR="009136B5" w:rsidRDefault="00000000">
      <w:pPr>
        <w:pStyle w:val="xxx"/>
        <w:rPr>
          <w:lang w:bidi="ar"/>
        </w:rPr>
      </w:pPr>
      <w:r>
        <w:rPr>
          <w:b/>
          <w:bCs/>
          <w:lang w:bidi="ar"/>
        </w:rPr>
        <w:t xml:space="preserve">7.5.2  </w:t>
      </w:r>
      <w:r>
        <w:rPr>
          <w:rFonts w:hint="eastAsia"/>
          <w:lang w:bidi="ar"/>
        </w:rPr>
        <w:t>地下水控制</w:t>
      </w:r>
      <w:r>
        <w:rPr>
          <w:lang w:bidi="ar"/>
        </w:rPr>
        <w:t>应减小对</w:t>
      </w:r>
      <w:r>
        <w:rPr>
          <w:rFonts w:hint="eastAsia"/>
          <w:lang w:bidi="ar"/>
        </w:rPr>
        <w:t>既有建筑及周边环境的不利影响。</w:t>
      </w:r>
    </w:p>
    <w:p w:rsidR="009136B5" w:rsidRDefault="00000000">
      <w:pPr>
        <w:pStyle w:val="xxx"/>
        <w:rPr>
          <w:lang w:bidi="ar"/>
        </w:rPr>
      </w:pPr>
      <w:r>
        <w:rPr>
          <w:b/>
          <w:bCs/>
          <w:lang w:bidi="ar"/>
        </w:rPr>
        <w:t xml:space="preserve">7.5.3  </w:t>
      </w:r>
      <w:r>
        <w:rPr>
          <w:rFonts w:hint="eastAsia"/>
          <w:lang w:bidi="ar"/>
        </w:rPr>
        <w:t>既有建筑在降水泄压之前，</w:t>
      </w:r>
      <w:r>
        <w:rPr>
          <w:lang w:bidi="ar"/>
        </w:rPr>
        <w:t>地下结构的底板及外墙上不得开洞</w:t>
      </w:r>
      <w:r>
        <w:rPr>
          <w:rFonts w:hint="eastAsia"/>
          <w:lang w:bidi="ar"/>
        </w:rPr>
        <w:t>，</w:t>
      </w:r>
      <w:r>
        <w:rPr>
          <w:lang w:bidi="ar"/>
        </w:rPr>
        <w:t>防止冒砂和涌水现象。基坑开挖过程中要加强对基坑渗漏水的监控，发现渗漏</w:t>
      </w:r>
      <w:r>
        <w:rPr>
          <w:rFonts w:hint="eastAsia"/>
          <w:lang w:bidi="ar"/>
        </w:rPr>
        <w:t>应</w:t>
      </w:r>
      <w:r>
        <w:rPr>
          <w:lang w:bidi="ar"/>
        </w:rPr>
        <w:t>及时封堵，饱和砂性土地层</w:t>
      </w:r>
      <w:r>
        <w:rPr>
          <w:rFonts w:hint="eastAsia"/>
          <w:lang w:bidi="ar"/>
        </w:rPr>
        <w:t>应采取</w:t>
      </w:r>
      <w:r>
        <w:rPr>
          <w:lang w:bidi="ar"/>
        </w:rPr>
        <w:t>措施防止管涌发生。</w:t>
      </w:r>
    </w:p>
    <w:p w:rsidR="009136B5" w:rsidRDefault="00000000">
      <w:pPr>
        <w:pStyle w:val="xxx"/>
        <w:rPr>
          <w:lang w:bidi="ar"/>
        </w:rPr>
      </w:pPr>
      <w:r>
        <w:rPr>
          <w:b/>
          <w:bCs/>
          <w:lang w:bidi="ar"/>
        </w:rPr>
        <w:t xml:space="preserve">7.5.4  </w:t>
      </w:r>
      <w:r>
        <w:rPr>
          <w:rFonts w:hint="eastAsia"/>
          <w:lang w:bidi="ar"/>
        </w:rPr>
        <w:t>地下增层施工过程中，</w:t>
      </w:r>
      <w:r>
        <w:rPr>
          <w:lang w:bidi="ar"/>
        </w:rPr>
        <w:t>应对地下结构体内外地下水控制效果进行动态监测</w:t>
      </w:r>
      <w:r>
        <w:rPr>
          <w:rFonts w:hint="eastAsia"/>
          <w:lang w:bidi="ar"/>
        </w:rPr>
        <w:t>，</w:t>
      </w:r>
      <w:r>
        <w:rPr>
          <w:lang w:bidi="ar"/>
        </w:rPr>
        <w:t>并根据监测数据指导施工。地下室</w:t>
      </w:r>
      <w:r>
        <w:rPr>
          <w:rFonts w:hint="eastAsia"/>
          <w:lang w:bidi="ar"/>
        </w:rPr>
        <w:t>降水井停止降水时间应满足设计对结构抗浮稳定性的要求。停止降水后，应对降水井采</w:t>
      </w:r>
      <w:r>
        <w:rPr>
          <w:rFonts w:hint="eastAsia"/>
          <w:lang w:bidi="ar"/>
        </w:rPr>
        <w:lastRenderedPageBreak/>
        <w:t>取可靠的封井措施。</w:t>
      </w:r>
    </w:p>
    <w:p w:rsidR="009136B5" w:rsidRDefault="00000000">
      <w:pPr>
        <w:pStyle w:val="xxx"/>
        <w:rPr>
          <w:lang w:bidi="ar"/>
        </w:rPr>
      </w:pPr>
      <w:r>
        <w:rPr>
          <w:b/>
          <w:bCs/>
          <w:lang w:bidi="ar"/>
        </w:rPr>
        <w:t xml:space="preserve">7.5.5  </w:t>
      </w:r>
      <w:r>
        <w:rPr>
          <w:rFonts w:hint="eastAsia"/>
          <w:lang w:bidi="ar"/>
        </w:rPr>
        <w:t>当采用地下水回灌时，在回灌保护范围内，应设置水位观测井并根据水位动态变化调节回灌量。</w:t>
      </w:r>
    </w:p>
    <w:p w:rsidR="009136B5" w:rsidRDefault="00000000">
      <w:pPr>
        <w:pStyle w:val="20"/>
        <w:rPr>
          <w:lang w:bidi="ar"/>
        </w:rPr>
      </w:pPr>
      <w:bookmarkStart w:id="101" w:name="_Toc123647787"/>
      <w:bookmarkStart w:id="102" w:name="_Toc10242"/>
      <w:r>
        <w:rPr>
          <w:lang w:bidi="ar"/>
        </w:rPr>
        <w:t>7.6</w:t>
      </w:r>
      <w:r>
        <w:rPr>
          <w:rFonts w:hint="eastAsia"/>
          <w:lang w:bidi="ar"/>
        </w:rPr>
        <w:t xml:space="preserve"> </w:t>
      </w:r>
      <w:r>
        <w:rPr>
          <w:lang w:bidi="ar"/>
        </w:rPr>
        <w:t xml:space="preserve"> </w:t>
      </w:r>
      <w:r>
        <w:rPr>
          <w:rFonts w:hint="eastAsia"/>
          <w:lang w:bidi="ar"/>
        </w:rPr>
        <w:t>土方开挖与桩间支撑</w:t>
      </w:r>
      <w:bookmarkEnd w:id="101"/>
      <w:bookmarkEnd w:id="102"/>
    </w:p>
    <w:p w:rsidR="009136B5" w:rsidRDefault="00000000">
      <w:pPr>
        <w:pStyle w:val="xxx"/>
        <w:rPr>
          <w:lang w:bidi="ar"/>
        </w:rPr>
      </w:pPr>
      <w:r>
        <w:rPr>
          <w:b/>
          <w:bCs/>
          <w:lang w:bidi="ar"/>
        </w:rPr>
        <w:t xml:space="preserve">7.6.1  </w:t>
      </w:r>
      <w:r>
        <w:rPr>
          <w:rFonts w:hint="eastAsia"/>
          <w:lang w:bidi="ar"/>
        </w:rPr>
        <w:t>基坑土方开挖过程中，应跟踪检查托换桩、既有工程桩的质量，发现问题及时处理。桩间支撑安装应按设计要求及时跟进成型，分块挖至坑底标高</w:t>
      </w:r>
      <w:r>
        <w:rPr>
          <w:lang w:bidi="ar"/>
        </w:rPr>
        <w:t>24</w:t>
      </w:r>
      <w:r>
        <w:rPr>
          <w:rFonts w:hint="eastAsia"/>
          <w:lang w:bidi="ar"/>
        </w:rPr>
        <w:t>小时之内，应完成混凝土垫层施工。</w:t>
      </w:r>
    </w:p>
    <w:p w:rsidR="009136B5" w:rsidRDefault="00000000">
      <w:pPr>
        <w:pStyle w:val="xxx"/>
        <w:rPr>
          <w:lang w:bidi="ar"/>
        </w:rPr>
      </w:pPr>
      <w:r>
        <w:rPr>
          <w:b/>
          <w:bCs/>
          <w:lang w:bidi="ar"/>
        </w:rPr>
        <w:t xml:space="preserve">7.6.2  </w:t>
      </w:r>
      <w:r>
        <w:rPr>
          <w:rFonts w:hint="eastAsia"/>
          <w:lang w:bidi="ar"/>
        </w:rPr>
        <w:t>应全程监控既有建筑的侧向位移，会同设计单位制定侧向微调纠偏措施，确保既有建筑侧向稳定。</w:t>
      </w:r>
    </w:p>
    <w:p w:rsidR="009136B5" w:rsidRDefault="00000000">
      <w:pPr>
        <w:pStyle w:val="xxx"/>
        <w:rPr>
          <w:lang w:bidi="ar"/>
        </w:rPr>
      </w:pPr>
      <w:r>
        <w:rPr>
          <w:b/>
          <w:bCs/>
          <w:lang w:bidi="ar"/>
        </w:rPr>
        <w:t>7.6.3</w:t>
      </w:r>
      <w:r>
        <w:rPr>
          <w:lang w:bidi="ar"/>
        </w:rPr>
        <w:t xml:space="preserve">  </w:t>
      </w:r>
      <w:r>
        <w:rPr>
          <w:lang w:bidi="ar"/>
        </w:rPr>
        <w:t>基坑</w:t>
      </w:r>
      <w:r>
        <w:rPr>
          <w:rFonts w:hint="eastAsia"/>
          <w:lang w:bidi="ar"/>
        </w:rPr>
        <w:t>土方开挖前应根据施工场地环境、支护结构形式、托换桩密度、地质条件和设计要求，编制详细的土方开挖专项施工方案，并按规定履行审批手续。</w:t>
      </w:r>
    </w:p>
    <w:p w:rsidR="009136B5" w:rsidRDefault="00000000">
      <w:pPr>
        <w:pStyle w:val="afffff1"/>
        <w:ind w:firstLineChars="0" w:firstLine="0"/>
        <w:rPr>
          <w:lang w:bidi="ar"/>
        </w:rPr>
      </w:pPr>
      <w:r>
        <w:rPr>
          <w:rFonts w:hint="eastAsia"/>
          <w:b/>
          <w:lang w:bidi="ar"/>
        </w:rPr>
        <w:t>条文说明：</w:t>
      </w:r>
      <w:r>
        <w:rPr>
          <w:rFonts w:hint="eastAsia"/>
          <w:lang w:bidi="ar"/>
        </w:rPr>
        <w:t>土方开挖专项施工方案应包括下列内容：</w:t>
      </w:r>
    </w:p>
    <w:p w:rsidR="009136B5" w:rsidRDefault="00000000">
      <w:pPr>
        <w:pStyle w:val="afffff1"/>
        <w:rPr>
          <w:lang w:bidi="ar"/>
        </w:rPr>
      </w:pPr>
      <w:r>
        <w:rPr>
          <w:lang w:bidi="ar"/>
        </w:rPr>
        <w:t xml:space="preserve">1  </w:t>
      </w:r>
      <w:r>
        <w:rPr>
          <w:lang w:bidi="ar"/>
        </w:rPr>
        <w:t>工程概况；</w:t>
      </w:r>
    </w:p>
    <w:p w:rsidR="009136B5" w:rsidRDefault="00000000">
      <w:pPr>
        <w:pStyle w:val="afffff1"/>
        <w:rPr>
          <w:lang w:bidi="ar"/>
        </w:rPr>
      </w:pPr>
      <w:r>
        <w:rPr>
          <w:lang w:bidi="ar"/>
        </w:rPr>
        <w:t xml:space="preserve">2  </w:t>
      </w:r>
      <w:r>
        <w:rPr>
          <w:lang w:bidi="ar"/>
        </w:rPr>
        <w:t>分层分块开挖</w:t>
      </w:r>
      <w:r>
        <w:rPr>
          <w:rFonts w:hint="eastAsia"/>
          <w:lang w:bidi="ar"/>
        </w:rPr>
        <w:t>原则、开挖顺序、开挖方法；</w:t>
      </w:r>
    </w:p>
    <w:p w:rsidR="009136B5" w:rsidRDefault="00000000">
      <w:pPr>
        <w:pStyle w:val="afffff1"/>
        <w:rPr>
          <w:lang w:bidi="ar"/>
        </w:rPr>
      </w:pPr>
      <w:r>
        <w:rPr>
          <w:lang w:bidi="ar"/>
        </w:rPr>
        <w:t xml:space="preserve">3  </w:t>
      </w:r>
      <w:r>
        <w:rPr>
          <w:rFonts w:hint="eastAsia"/>
          <w:lang w:bidi="ar"/>
        </w:rPr>
        <w:t>出土口留设位置；</w:t>
      </w:r>
    </w:p>
    <w:p w:rsidR="009136B5" w:rsidRDefault="00000000">
      <w:pPr>
        <w:pStyle w:val="afffff1"/>
        <w:rPr>
          <w:lang w:bidi="ar"/>
        </w:rPr>
      </w:pPr>
      <w:r>
        <w:rPr>
          <w:lang w:bidi="ar"/>
        </w:rPr>
        <w:t xml:space="preserve">4  </w:t>
      </w:r>
      <w:r>
        <w:rPr>
          <w:lang w:bidi="ar"/>
        </w:rPr>
        <w:t>土方运输车辆的行车路线；</w:t>
      </w:r>
    </w:p>
    <w:p w:rsidR="009136B5" w:rsidRDefault="00000000">
      <w:pPr>
        <w:pStyle w:val="afffff1"/>
        <w:rPr>
          <w:lang w:bidi="ar"/>
        </w:rPr>
      </w:pPr>
      <w:r>
        <w:rPr>
          <w:lang w:bidi="ar"/>
        </w:rPr>
        <w:t xml:space="preserve">5  </w:t>
      </w:r>
      <w:r>
        <w:rPr>
          <w:lang w:bidi="ar"/>
        </w:rPr>
        <w:t>各分块开挖的时间进度要求；</w:t>
      </w:r>
    </w:p>
    <w:p w:rsidR="009136B5" w:rsidRDefault="00000000">
      <w:pPr>
        <w:pStyle w:val="afffff1"/>
        <w:rPr>
          <w:lang w:bidi="ar"/>
        </w:rPr>
      </w:pPr>
      <w:r>
        <w:rPr>
          <w:lang w:bidi="ar"/>
        </w:rPr>
        <w:t xml:space="preserve">6  </w:t>
      </w:r>
      <w:r>
        <w:rPr>
          <w:lang w:bidi="ar"/>
        </w:rPr>
        <w:t>施工机械的规格、数量、工效分析与劳动力的配备；</w:t>
      </w:r>
    </w:p>
    <w:p w:rsidR="009136B5" w:rsidRDefault="00000000">
      <w:pPr>
        <w:pStyle w:val="afffff1"/>
        <w:rPr>
          <w:lang w:bidi="ar"/>
        </w:rPr>
      </w:pPr>
      <w:r>
        <w:rPr>
          <w:lang w:bidi="ar"/>
        </w:rPr>
        <w:t xml:space="preserve">7  </w:t>
      </w:r>
      <w:r>
        <w:rPr>
          <w:lang w:bidi="ar"/>
        </w:rPr>
        <w:t>卸土场地及出土运输条件；</w:t>
      </w:r>
    </w:p>
    <w:p w:rsidR="009136B5" w:rsidRDefault="00000000">
      <w:pPr>
        <w:pStyle w:val="afffff1"/>
        <w:rPr>
          <w:lang w:bidi="ar"/>
        </w:rPr>
      </w:pPr>
      <w:r>
        <w:rPr>
          <w:lang w:bidi="ar"/>
        </w:rPr>
        <w:t xml:space="preserve">8  </w:t>
      </w:r>
      <w:r>
        <w:rPr>
          <w:lang w:bidi="ar"/>
        </w:rPr>
        <w:t>质量、安全、文明与环境保护措施；</w:t>
      </w:r>
    </w:p>
    <w:p w:rsidR="009136B5" w:rsidRDefault="00000000">
      <w:pPr>
        <w:pStyle w:val="afffff1"/>
        <w:rPr>
          <w:lang w:bidi="ar"/>
        </w:rPr>
      </w:pPr>
      <w:r>
        <w:rPr>
          <w:lang w:bidi="ar"/>
        </w:rPr>
        <w:t xml:space="preserve">9  </w:t>
      </w:r>
      <w:r>
        <w:rPr>
          <w:lang w:bidi="ar"/>
        </w:rPr>
        <w:t>基坑监测与应急措施等。</w:t>
      </w:r>
    </w:p>
    <w:p w:rsidR="009136B5" w:rsidRDefault="00000000">
      <w:pPr>
        <w:pStyle w:val="xxx"/>
        <w:rPr>
          <w:lang w:bidi="ar"/>
        </w:rPr>
      </w:pPr>
      <w:r>
        <w:rPr>
          <w:b/>
          <w:bCs/>
          <w:lang w:bidi="ar"/>
        </w:rPr>
        <w:t>7.6.4</w:t>
      </w:r>
      <w:r>
        <w:rPr>
          <w:lang w:bidi="ar"/>
        </w:rPr>
        <w:t xml:space="preserve">  </w:t>
      </w:r>
      <w:r>
        <w:rPr>
          <w:lang w:bidi="ar"/>
        </w:rPr>
        <w:t>基坑土方开挖时，应符合下列规定：</w:t>
      </w:r>
    </w:p>
    <w:p w:rsidR="009136B5" w:rsidRDefault="00000000">
      <w:pPr>
        <w:pStyle w:val="x"/>
        <w:ind w:firstLine="315"/>
      </w:pPr>
      <w:r>
        <w:rPr>
          <w:lang w:bidi="ar"/>
        </w:rPr>
        <w:t xml:space="preserve">1  </w:t>
      </w:r>
      <w:r>
        <w:rPr>
          <w:rFonts w:hint="eastAsia"/>
          <w:lang w:bidi="ar"/>
        </w:rPr>
        <w:t>基坑土方开挖应遵循“分层、分块、对称、均衡、限时开挖”的原则，严禁超挖。开挖参数应视地质情况及支撑方式确定。挖土机械的行车路线、挖土顺序、土方驳运等都应减小对既有建筑、围护结构、工程桩、支撑立柱、降水井、坑内监测设施、周围环境等的不利影响。应加强对基坑内工程桩与托换桩的保护，桩两侧的开挖面高差不得超过</w:t>
      </w:r>
      <w:r>
        <w:rPr>
          <w:lang w:bidi="ar"/>
        </w:rPr>
        <w:t>1m</w:t>
      </w:r>
      <w:r>
        <w:rPr>
          <w:rFonts w:hint="eastAsia"/>
          <w:lang w:bidi="ar"/>
        </w:rPr>
        <w:t>。</w:t>
      </w:r>
    </w:p>
    <w:p w:rsidR="009136B5" w:rsidRDefault="00000000">
      <w:pPr>
        <w:pStyle w:val="x"/>
        <w:ind w:firstLine="315"/>
      </w:pPr>
      <w:r>
        <w:rPr>
          <w:lang w:bidi="ar"/>
        </w:rPr>
        <w:t xml:space="preserve">2  </w:t>
      </w:r>
      <w:r>
        <w:rPr>
          <w:rFonts w:hint="eastAsia"/>
          <w:lang w:bidi="ar"/>
        </w:rPr>
        <w:t>开挖设备宜采用清洁能源</w:t>
      </w:r>
      <w:r>
        <w:rPr>
          <w:lang w:bidi="ar"/>
        </w:rPr>
        <w:t>，</w:t>
      </w:r>
      <w:r>
        <w:rPr>
          <w:rFonts w:hint="eastAsia"/>
          <w:lang w:bidi="ar"/>
        </w:rPr>
        <w:t>工作行走路线应避免对既有建筑基础造成损坏。开挖方法宜为小型机械开挖、人工修土、水力冲土（粉砂土地层）等。</w:t>
      </w:r>
    </w:p>
    <w:p w:rsidR="009136B5" w:rsidRDefault="00000000">
      <w:pPr>
        <w:pStyle w:val="x"/>
        <w:ind w:firstLine="315"/>
        <w:rPr>
          <w:lang w:bidi="ar"/>
        </w:rPr>
      </w:pPr>
      <w:r>
        <w:rPr>
          <w:lang w:bidi="ar"/>
        </w:rPr>
        <w:t xml:space="preserve">3  </w:t>
      </w:r>
      <w:r>
        <w:rPr>
          <w:lang w:bidi="ar"/>
        </w:rPr>
        <w:t>土方运输方式应根据结构</w:t>
      </w:r>
      <w:r>
        <w:rPr>
          <w:rFonts w:hint="eastAsia"/>
          <w:lang w:bidi="ar"/>
        </w:rPr>
        <w:t>型</w:t>
      </w:r>
      <w:r>
        <w:rPr>
          <w:lang w:bidi="ar"/>
        </w:rPr>
        <w:t>式、埋深和出土口的设置及分布、施工工序等情况确定。</w:t>
      </w:r>
    </w:p>
    <w:p w:rsidR="009136B5" w:rsidRDefault="00000000">
      <w:pPr>
        <w:pStyle w:val="afffff1"/>
        <w:ind w:firstLineChars="0" w:firstLine="0"/>
        <w:rPr>
          <w:rFonts w:hAnsi="宋体" w:cs="宋体"/>
          <w:sz w:val="24"/>
        </w:rPr>
      </w:pPr>
      <w:r>
        <w:rPr>
          <w:rFonts w:hint="eastAsia"/>
          <w:b/>
          <w:lang w:bidi="ar"/>
        </w:rPr>
        <w:t>条文说明：</w:t>
      </w:r>
      <w:r>
        <w:rPr>
          <w:rStyle w:val="xxx0"/>
          <w:rFonts w:hint="eastAsia"/>
        </w:rPr>
        <w:t>土方开挖、运输设备应符合下列要求：</w:t>
      </w:r>
      <w:r>
        <w:rPr>
          <w:rFonts w:hAnsi="宋体" w:cs="宋体"/>
          <w:sz w:val="24"/>
          <w:lang w:bidi="ar"/>
        </w:rPr>
        <w:t xml:space="preserve"> </w:t>
      </w:r>
    </w:p>
    <w:p w:rsidR="009136B5" w:rsidRDefault="00000000">
      <w:pPr>
        <w:pStyle w:val="afffff1"/>
      </w:pPr>
      <w:r>
        <w:rPr>
          <w:lang w:bidi="ar"/>
        </w:rPr>
        <w:t xml:space="preserve">1  </w:t>
      </w:r>
      <w:r>
        <w:rPr>
          <w:rFonts w:hint="eastAsia"/>
          <w:lang w:bidi="ar"/>
        </w:rPr>
        <w:t>开挖设备应根据出土口尺寸、土方开挖范围内的结构净空尺寸、柱间净距、柱与墙间净距、架设支撑后的开挖层净高等因素综合确定；</w:t>
      </w:r>
    </w:p>
    <w:p w:rsidR="009136B5" w:rsidRDefault="00000000">
      <w:pPr>
        <w:pStyle w:val="afffff1"/>
        <w:rPr>
          <w:lang w:bidi="ar"/>
        </w:rPr>
      </w:pPr>
      <w:r>
        <w:rPr>
          <w:lang w:bidi="ar"/>
        </w:rPr>
        <w:t xml:space="preserve">2  </w:t>
      </w:r>
      <w:r>
        <w:rPr>
          <w:lang w:bidi="ar"/>
        </w:rPr>
        <w:t>运输设备</w:t>
      </w:r>
      <w:r>
        <w:rPr>
          <w:rFonts w:hint="eastAsia"/>
          <w:lang w:bidi="ar"/>
        </w:rPr>
        <w:t>的装载、运输能力应与开挖设备的开挖能力相匹配，装载、运输能力不应小于最大开挖能力。</w:t>
      </w:r>
    </w:p>
    <w:p w:rsidR="009136B5" w:rsidRDefault="00000000">
      <w:pPr>
        <w:pStyle w:val="afffff1"/>
        <w:rPr>
          <w:lang w:bidi="ar"/>
        </w:rPr>
      </w:pPr>
      <w:r>
        <w:rPr>
          <w:rFonts w:hint="eastAsia"/>
          <w:lang w:bidi="ar"/>
        </w:rPr>
        <w:t>基坑出土可考虑如下方式：</w:t>
      </w:r>
    </w:p>
    <w:p w:rsidR="009136B5" w:rsidRDefault="00000000">
      <w:pPr>
        <w:pStyle w:val="afffff1"/>
        <w:rPr>
          <w:lang w:bidi="ar"/>
        </w:rPr>
      </w:pPr>
      <w:r>
        <w:rPr>
          <w:lang w:bidi="ar"/>
        </w:rPr>
        <w:t xml:space="preserve">1  </w:t>
      </w:r>
      <w:r>
        <w:rPr>
          <w:lang w:bidi="ar"/>
        </w:rPr>
        <w:t>小型挖机接力转运、叉车转运、小型铲车转运</w:t>
      </w:r>
      <w:r>
        <w:rPr>
          <w:rFonts w:hint="eastAsia"/>
          <w:lang w:bidi="ar"/>
        </w:rPr>
        <w:t>，结合地面挖机出土或简易悬挂移动吊机出土；</w:t>
      </w:r>
    </w:p>
    <w:p w:rsidR="009136B5" w:rsidRDefault="00000000">
      <w:pPr>
        <w:pStyle w:val="afffff1"/>
        <w:rPr>
          <w:lang w:bidi="ar"/>
        </w:rPr>
      </w:pPr>
      <w:r>
        <w:rPr>
          <w:lang w:bidi="ar"/>
        </w:rPr>
        <w:t xml:space="preserve">2  </w:t>
      </w:r>
      <w:r>
        <w:rPr>
          <w:lang w:bidi="ar"/>
        </w:rPr>
        <w:t>小型挖机挖土、皮带运输机出土；</w:t>
      </w:r>
    </w:p>
    <w:p w:rsidR="009136B5" w:rsidRDefault="00000000">
      <w:pPr>
        <w:pStyle w:val="afffff1"/>
        <w:rPr>
          <w:lang w:bidi="ar"/>
        </w:rPr>
      </w:pPr>
      <w:r>
        <w:rPr>
          <w:lang w:bidi="ar"/>
        </w:rPr>
        <w:lastRenderedPageBreak/>
        <w:t xml:space="preserve">3  </w:t>
      </w:r>
      <w:r>
        <w:rPr>
          <w:lang w:bidi="ar"/>
        </w:rPr>
        <w:t>对粉砂土地层</w:t>
      </w:r>
      <w:r>
        <w:rPr>
          <w:rFonts w:hint="eastAsia"/>
          <w:lang w:bidi="ar"/>
        </w:rPr>
        <w:t>，可用水力冲土成浆抽出外运。</w:t>
      </w:r>
    </w:p>
    <w:p w:rsidR="009136B5" w:rsidRDefault="00000000">
      <w:pPr>
        <w:pStyle w:val="xxx"/>
      </w:pPr>
      <w:bookmarkStart w:id="103" w:name="_Hlk108439662"/>
      <w:r>
        <w:rPr>
          <w:b/>
          <w:bCs/>
          <w:lang w:bidi="ar"/>
        </w:rPr>
        <w:t>7.6.</w:t>
      </w:r>
      <w:bookmarkEnd w:id="103"/>
      <w:r>
        <w:rPr>
          <w:b/>
          <w:bCs/>
          <w:lang w:bidi="ar"/>
        </w:rPr>
        <w:t xml:space="preserve">5  </w:t>
      </w:r>
      <w:r>
        <w:rPr>
          <w:rFonts w:hint="eastAsia"/>
          <w:lang w:bidi="ar"/>
        </w:rPr>
        <w:t>软土地层的</w:t>
      </w:r>
      <w:bookmarkStart w:id="104" w:name="_Hlk108443480"/>
      <w:r>
        <w:rPr>
          <w:rFonts w:hint="eastAsia"/>
          <w:lang w:bidi="ar"/>
        </w:rPr>
        <w:t>电梯井、集水井</w:t>
      </w:r>
      <w:bookmarkEnd w:id="104"/>
      <w:r>
        <w:rPr>
          <w:rFonts w:hint="eastAsia"/>
          <w:lang w:bidi="ar"/>
        </w:rPr>
        <w:t>等坑中坑土方可在整体垫层浇筑完毕后再开挖。位于岩石地基中地下增层，应分段、分批次开挖施工。</w:t>
      </w:r>
    </w:p>
    <w:p w:rsidR="009136B5" w:rsidRDefault="00000000">
      <w:pPr>
        <w:pStyle w:val="xxx"/>
        <w:rPr>
          <w:lang w:bidi="ar"/>
        </w:rPr>
      </w:pPr>
      <w:r>
        <w:rPr>
          <w:b/>
          <w:bCs/>
          <w:lang w:bidi="ar"/>
        </w:rPr>
        <w:t xml:space="preserve">7.6.6  </w:t>
      </w:r>
      <w:r>
        <w:rPr>
          <w:rFonts w:hint="eastAsia"/>
          <w:lang w:bidi="ar"/>
        </w:rPr>
        <w:t>基坑土方开挖前</w:t>
      </w:r>
      <w:r>
        <w:rPr>
          <w:lang w:bidi="ar"/>
        </w:rPr>
        <w:t>，基坑支护结构的强度和龄期、降水</w:t>
      </w:r>
      <w:r>
        <w:rPr>
          <w:rFonts w:hint="eastAsia"/>
          <w:lang w:bidi="ar"/>
        </w:rPr>
        <w:t>深度及坑内加固体强度应达到设计要求，并对支护结构进行渗漏水和地下水位监测。</w:t>
      </w:r>
    </w:p>
    <w:p w:rsidR="009136B5" w:rsidRDefault="00000000">
      <w:pPr>
        <w:pStyle w:val="xxx"/>
        <w:rPr>
          <w:lang w:bidi="ar"/>
        </w:rPr>
      </w:pPr>
      <w:r>
        <w:rPr>
          <w:b/>
          <w:bCs/>
          <w:lang w:bidi="ar"/>
        </w:rPr>
        <w:t xml:space="preserve">7.6.7  </w:t>
      </w:r>
      <w:r>
        <w:rPr>
          <w:rFonts w:hint="eastAsia"/>
          <w:lang w:bidi="ar"/>
        </w:rPr>
        <w:t>基坑土方开挖应实行</w:t>
      </w:r>
      <w:bookmarkStart w:id="105" w:name="_Hlk108433605"/>
      <w:r>
        <w:rPr>
          <w:rFonts w:hint="eastAsia"/>
          <w:lang w:bidi="ar"/>
        </w:rPr>
        <w:t>信息化管理和动态监测。</w:t>
      </w:r>
      <w:bookmarkEnd w:id="105"/>
    </w:p>
    <w:p w:rsidR="009136B5" w:rsidRDefault="00000000">
      <w:pPr>
        <w:pStyle w:val="xxx"/>
        <w:rPr>
          <w:lang w:bidi="ar"/>
        </w:rPr>
      </w:pPr>
      <w:r>
        <w:rPr>
          <w:b/>
          <w:bCs/>
          <w:lang w:bidi="ar"/>
        </w:rPr>
        <w:t xml:space="preserve">7.6.8  </w:t>
      </w:r>
      <w:r>
        <w:rPr>
          <w:rFonts w:hint="eastAsia"/>
          <w:lang w:bidi="ar"/>
        </w:rPr>
        <w:t>基坑土方开挖前应对</w:t>
      </w:r>
      <w:r>
        <w:rPr>
          <w:lang w:bidi="ar"/>
        </w:rPr>
        <w:t>邻</w:t>
      </w:r>
      <w:r>
        <w:rPr>
          <w:rFonts w:hint="eastAsia"/>
          <w:lang w:bidi="ar"/>
        </w:rPr>
        <w:t>近建（构）筑物、周边环境和地下重要管线的进行保护，开挖期间应加强监测，发现安全隐患应及时处理。</w:t>
      </w:r>
    </w:p>
    <w:p w:rsidR="009136B5" w:rsidRDefault="00000000">
      <w:pPr>
        <w:pStyle w:val="20"/>
        <w:rPr>
          <w:lang w:bidi="ar"/>
        </w:rPr>
      </w:pPr>
      <w:bookmarkStart w:id="106" w:name="_Toc123647788"/>
      <w:bookmarkStart w:id="107" w:name="_Toc11922"/>
      <w:r>
        <w:rPr>
          <w:lang w:bidi="ar"/>
        </w:rPr>
        <w:t xml:space="preserve">7.7 </w:t>
      </w:r>
      <w:r>
        <w:rPr>
          <w:rFonts w:hint="eastAsia"/>
          <w:lang w:bidi="ar"/>
        </w:rPr>
        <w:t xml:space="preserve"> </w:t>
      </w:r>
      <w:r>
        <w:rPr>
          <w:rFonts w:hint="eastAsia"/>
          <w:lang w:bidi="ar"/>
        </w:rPr>
        <w:t>既有结构构件拆除</w:t>
      </w:r>
      <w:bookmarkEnd w:id="106"/>
      <w:bookmarkEnd w:id="107"/>
    </w:p>
    <w:p w:rsidR="009136B5" w:rsidRDefault="00000000">
      <w:pPr>
        <w:pStyle w:val="xxx"/>
        <w:rPr>
          <w:lang w:bidi="ar"/>
        </w:rPr>
      </w:pPr>
      <w:bookmarkStart w:id="108" w:name="_Hlk108433187"/>
      <w:r>
        <w:rPr>
          <w:b/>
          <w:bCs/>
          <w:lang w:bidi="ar"/>
        </w:rPr>
        <w:t>7.7.</w:t>
      </w:r>
      <w:r>
        <w:rPr>
          <w:rFonts w:hint="eastAsia"/>
          <w:b/>
          <w:bCs/>
          <w:lang w:bidi="ar"/>
        </w:rPr>
        <w:t>1</w:t>
      </w:r>
      <w:r>
        <w:rPr>
          <w:b/>
          <w:bCs/>
          <w:lang w:bidi="ar"/>
        </w:rPr>
        <w:t xml:space="preserve"> </w:t>
      </w:r>
      <w:r>
        <w:rPr>
          <w:lang w:bidi="ar"/>
        </w:rPr>
        <w:t xml:space="preserve"> </w:t>
      </w:r>
      <w:r>
        <w:rPr>
          <w:rFonts w:hint="eastAsia"/>
          <w:lang w:bidi="ar"/>
        </w:rPr>
        <w:t>既有结构构件拆除前﹐应对现有设备、设施进行检查确认，拆除施工不得影响现有设备、设施的正常运行。</w:t>
      </w:r>
    </w:p>
    <w:p w:rsidR="009136B5" w:rsidRDefault="00000000">
      <w:pPr>
        <w:pStyle w:val="afffff1"/>
        <w:ind w:firstLineChars="0" w:firstLine="0"/>
      </w:pPr>
      <w:r>
        <w:rPr>
          <w:rFonts w:hint="eastAsia"/>
          <w:b/>
        </w:rPr>
        <w:t>条文说明：</w:t>
      </w:r>
      <w:r>
        <w:rPr>
          <w:rFonts w:hint="eastAsia"/>
        </w:rPr>
        <w:t>既有结构构件一般包括底层室内外分隔墙、局部围护墙、设计明确拆除的局部结构、托换完成后需拆除的既有基础、新地下室成型后多余的桩体与承台、基坑围护桩墙顶部构件、砼内支撑、钢内支撑、围檩梁等。</w:t>
      </w:r>
    </w:p>
    <w:bookmarkEnd w:id="108"/>
    <w:p w:rsidR="009136B5" w:rsidRDefault="00000000">
      <w:pPr>
        <w:pStyle w:val="xxx"/>
        <w:rPr>
          <w:lang w:bidi="ar"/>
        </w:rPr>
      </w:pPr>
      <w:r>
        <w:rPr>
          <w:b/>
          <w:bCs/>
          <w:lang w:bidi="ar"/>
        </w:rPr>
        <w:t>7.7.</w:t>
      </w:r>
      <w:r>
        <w:rPr>
          <w:rFonts w:hint="eastAsia"/>
          <w:b/>
          <w:bCs/>
          <w:lang w:bidi="ar"/>
        </w:rPr>
        <w:t>2</w:t>
      </w:r>
      <w:r>
        <w:rPr>
          <w:b/>
          <w:bCs/>
          <w:lang w:bidi="ar"/>
        </w:rPr>
        <w:t xml:space="preserve">  </w:t>
      </w:r>
      <w:r>
        <w:rPr>
          <w:rFonts w:hint="eastAsia"/>
          <w:lang w:bidi="ar"/>
        </w:rPr>
        <w:t>既有结构构件拆除前</w:t>
      </w:r>
      <w:r>
        <w:rPr>
          <w:lang w:bidi="ar"/>
        </w:rPr>
        <w:t>，应明确</w:t>
      </w:r>
      <w:r>
        <w:rPr>
          <w:rFonts w:hint="eastAsia"/>
          <w:lang w:bidi="ar"/>
        </w:rPr>
        <w:t>拆除部位与原建筑物的关系以及对应的构造连接节点</w:t>
      </w:r>
      <w:r>
        <w:rPr>
          <w:lang w:bidi="ar"/>
        </w:rPr>
        <w:t>，</w:t>
      </w:r>
      <w:r>
        <w:rPr>
          <w:rFonts w:hint="eastAsia"/>
          <w:lang w:bidi="ar"/>
        </w:rPr>
        <w:t>优选</w:t>
      </w:r>
      <w:r>
        <w:rPr>
          <w:lang w:bidi="ar"/>
        </w:rPr>
        <w:t>拆除方法和拆除顺序。</w:t>
      </w:r>
    </w:p>
    <w:p w:rsidR="009136B5" w:rsidRDefault="00000000">
      <w:pPr>
        <w:pStyle w:val="afffff1"/>
        <w:ind w:firstLineChars="0" w:firstLine="0"/>
      </w:pPr>
      <w:r>
        <w:rPr>
          <w:rFonts w:hint="eastAsia"/>
          <w:b/>
        </w:rPr>
        <w:t>条文说明：</w:t>
      </w:r>
      <w:r>
        <w:rPr>
          <w:rFonts w:hint="eastAsia"/>
        </w:rPr>
        <w:t>拆除</w:t>
      </w:r>
      <w:r>
        <w:t>工程</w:t>
      </w:r>
      <w:r>
        <w:rPr>
          <w:rFonts w:hint="eastAsia"/>
        </w:rPr>
        <w:t>除</w:t>
      </w:r>
      <w:r>
        <w:t>满足</w:t>
      </w:r>
      <w:r>
        <w:rPr>
          <w:rFonts w:hint="eastAsia"/>
        </w:rPr>
        <w:t>建筑拆除工程安全技术规范</w:t>
      </w:r>
      <w:r>
        <w:t>JGJ147</w:t>
      </w:r>
      <w:r>
        <w:rPr>
          <w:rFonts w:hint="eastAsia"/>
        </w:rPr>
        <w:t>要求外</w:t>
      </w:r>
      <w:r>
        <w:t>，尚应符合下列规定：</w:t>
      </w:r>
    </w:p>
    <w:p w:rsidR="009136B5" w:rsidRDefault="00000000">
      <w:pPr>
        <w:pStyle w:val="afffff1"/>
      </w:pPr>
      <w:r>
        <w:t xml:space="preserve">1  </w:t>
      </w:r>
      <w:r>
        <w:rPr>
          <w:rFonts w:hint="eastAsia"/>
        </w:rPr>
        <w:t>先标识后拆除。施工前应分别在图纸和实物上做好标识，并进行必要的测绘﹑拍照等存档等工作。</w:t>
      </w:r>
    </w:p>
    <w:p w:rsidR="009136B5" w:rsidRDefault="00000000">
      <w:pPr>
        <w:pStyle w:val="afffff1"/>
      </w:pPr>
      <w:r>
        <w:t xml:space="preserve">2  </w:t>
      </w:r>
      <w:r>
        <w:rPr>
          <w:rFonts w:hint="eastAsia"/>
        </w:rPr>
        <w:t>先分离后拆除。先将拆除结构与保留结构进行分离，然后拆除需要拆除的部位。</w:t>
      </w:r>
    </w:p>
    <w:p w:rsidR="009136B5" w:rsidRDefault="00000000">
      <w:pPr>
        <w:pStyle w:val="afffff1"/>
      </w:pPr>
      <w:r>
        <w:t xml:space="preserve">3  </w:t>
      </w:r>
      <w:r>
        <w:rPr>
          <w:rFonts w:hint="eastAsia"/>
        </w:rPr>
        <w:t>先加固后拆除。对要拆除的结构应进行必要的临时支撑或加固。</w:t>
      </w:r>
    </w:p>
    <w:p w:rsidR="009136B5" w:rsidRDefault="00000000">
      <w:pPr>
        <w:pStyle w:val="afffff1"/>
      </w:pPr>
      <w:r>
        <w:t xml:space="preserve">4  </w:t>
      </w:r>
      <w:r>
        <w:rPr>
          <w:rFonts w:hint="eastAsia"/>
        </w:rPr>
        <w:t>先保护后拆除。应事先在保护部位设置挡板、遮盖物等保护设施。</w:t>
      </w:r>
    </w:p>
    <w:p w:rsidR="009136B5" w:rsidRDefault="00000000">
      <w:pPr>
        <w:pStyle w:val="xxx"/>
        <w:rPr>
          <w:lang w:bidi="ar"/>
        </w:rPr>
      </w:pPr>
      <w:r>
        <w:rPr>
          <w:b/>
          <w:bCs/>
          <w:lang w:bidi="ar"/>
        </w:rPr>
        <w:t>7.7.</w:t>
      </w:r>
      <w:r>
        <w:rPr>
          <w:rFonts w:hint="eastAsia"/>
          <w:b/>
          <w:bCs/>
          <w:lang w:bidi="ar"/>
        </w:rPr>
        <w:t>3</w:t>
      </w:r>
      <w:r>
        <w:rPr>
          <w:b/>
          <w:bCs/>
          <w:lang w:bidi="ar"/>
        </w:rPr>
        <w:t xml:space="preserve">  </w:t>
      </w:r>
      <w:r>
        <w:rPr>
          <w:rFonts w:hint="eastAsia"/>
          <w:lang w:bidi="ar"/>
        </w:rPr>
        <w:t>既有结构构件拆除施工应按设计规定的顺序进行。拆除前根据施工工艺、施工设备、场地条件等因素，将拆除部位划分为多段</w:t>
      </w:r>
      <w:r>
        <w:rPr>
          <w:lang w:bidi="ar"/>
        </w:rPr>
        <w:t>，拆除时应间隔拆除并进行临时支撑。</w:t>
      </w:r>
    </w:p>
    <w:p w:rsidR="009136B5" w:rsidRDefault="00000000">
      <w:pPr>
        <w:pStyle w:val="xxx"/>
        <w:rPr>
          <w:lang w:bidi="ar"/>
        </w:rPr>
      </w:pPr>
      <w:r>
        <w:rPr>
          <w:b/>
          <w:bCs/>
          <w:lang w:bidi="ar"/>
        </w:rPr>
        <w:t>7.7.</w:t>
      </w:r>
      <w:r>
        <w:rPr>
          <w:rFonts w:hint="eastAsia"/>
          <w:b/>
          <w:bCs/>
          <w:lang w:bidi="ar"/>
        </w:rPr>
        <w:t>4</w:t>
      </w:r>
      <w:r>
        <w:rPr>
          <w:b/>
          <w:bCs/>
          <w:lang w:bidi="ar"/>
        </w:rPr>
        <w:t xml:space="preserve">  </w:t>
      </w:r>
      <w:r>
        <w:rPr>
          <w:rFonts w:hint="eastAsia"/>
          <w:lang w:bidi="ar"/>
        </w:rPr>
        <w:t>既有结构构件拆除前应制定相应的施工方案并做好必要的准备工作，根据结构型式、环保要求选择低震动、低噪音、粉尘和废水可控的拆除方法和拆除设备。</w:t>
      </w:r>
    </w:p>
    <w:p w:rsidR="009136B5" w:rsidRDefault="00000000">
      <w:pPr>
        <w:pStyle w:val="afffff1"/>
        <w:ind w:firstLineChars="0" w:firstLine="0"/>
        <w:rPr>
          <w:lang w:bidi="ar"/>
        </w:rPr>
      </w:pPr>
      <w:r>
        <w:rPr>
          <w:rFonts w:hint="eastAsia"/>
          <w:b/>
          <w:lang w:bidi="ar"/>
        </w:rPr>
        <w:t>条文说明：</w:t>
      </w:r>
      <w:r>
        <w:rPr>
          <w:rFonts w:hint="eastAsia"/>
          <w:lang w:bidi="ar"/>
        </w:rPr>
        <w:t>既有结构构件拆除方法应符合以下要求：</w:t>
      </w:r>
    </w:p>
    <w:p w:rsidR="009136B5" w:rsidRDefault="00000000">
      <w:pPr>
        <w:pStyle w:val="afffff1"/>
        <w:rPr>
          <w:lang w:bidi="ar"/>
        </w:rPr>
      </w:pPr>
      <w:r>
        <w:rPr>
          <w:lang w:bidi="ar"/>
        </w:rPr>
        <w:t xml:space="preserve">1  </w:t>
      </w:r>
      <w:r>
        <w:rPr>
          <w:rFonts w:hint="eastAsia"/>
          <w:lang w:bidi="ar"/>
        </w:rPr>
        <w:t>应选择最大限度有利于既有结构保护及利用的拆除方法</w:t>
      </w:r>
      <w:r>
        <w:rPr>
          <w:lang w:bidi="ar"/>
        </w:rPr>
        <w:t>，根据</w:t>
      </w:r>
      <w:r>
        <w:rPr>
          <w:rFonts w:hint="eastAsia"/>
          <w:lang w:bidi="ar"/>
        </w:rPr>
        <w:t>环保要求优先选择低震动、低噪音、粉尘和废水可控的设备；</w:t>
      </w:r>
    </w:p>
    <w:p w:rsidR="009136B5" w:rsidRDefault="00000000">
      <w:pPr>
        <w:pStyle w:val="afffff1"/>
        <w:rPr>
          <w:lang w:bidi="ar"/>
        </w:rPr>
      </w:pPr>
      <w:r>
        <w:rPr>
          <w:lang w:bidi="ar"/>
        </w:rPr>
        <w:t xml:space="preserve">2  </w:t>
      </w:r>
      <w:r>
        <w:rPr>
          <w:rFonts w:hint="eastAsia"/>
          <w:lang w:bidi="ar"/>
        </w:rPr>
        <w:t>适合整体拆除的部位尽量避免分解拆除；</w:t>
      </w:r>
    </w:p>
    <w:p w:rsidR="009136B5" w:rsidRDefault="00000000">
      <w:pPr>
        <w:pStyle w:val="afffff1"/>
        <w:rPr>
          <w:lang w:bidi="ar"/>
        </w:rPr>
      </w:pPr>
      <w:r>
        <w:rPr>
          <w:lang w:bidi="ar"/>
        </w:rPr>
        <w:t xml:space="preserve">3  </w:t>
      </w:r>
      <w:r>
        <w:rPr>
          <w:rFonts w:hint="eastAsia"/>
          <w:lang w:bidi="ar"/>
        </w:rPr>
        <w:t>必须分解拆除的部位宜先整块拆卸后再分解拆除。</w:t>
      </w:r>
    </w:p>
    <w:p w:rsidR="009136B5" w:rsidRDefault="00000000">
      <w:pPr>
        <w:pStyle w:val="afffff1"/>
        <w:rPr>
          <w:lang w:bidi="ar"/>
        </w:rPr>
      </w:pPr>
      <w:r>
        <w:rPr>
          <w:lang w:bidi="ar"/>
        </w:rPr>
        <w:t xml:space="preserve">4  </w:t>
      </w:r>
      <w:r>
        <w:rPr>
          <w:rFonts w:hint="eastAsia"/>
          <w:lang w:bidi="ar"/>
        </w:rPr>
        <w:t>针对特定既有结构选择最适宜的拆除工具及设备</w:t>
      </w:r>
      <w:r>
        <w:rPr>
          <w:lang w:bidi="ar"/>
        </w:rPr>
        <w:t>，将拆除</w:t>
      </w:r>
      <w:r>
        <w:rPr>
          <w:rFonts w:hint="eastAsia"/>
          <w:lang w:bidi="ar"/>
        </w:rPr>
        <w:t>施工对保护部位的影响下降到最低程度。</w:t>
      </w:r>
    </w:p>
    <w:p w:rsidR="009136B5" w:rsidRDefault="00000000">
      <w:pPr>
        <w:pStyle w:val="xxx"/>
        <w:rPr>
          <w:lang w:bidi="ar"/>
        </w:rPr>
      </w:pPr>
      <w:r>
        <w:rPr>
          <w:b/>
          <w:bCs/>
          <w:lang w:bidi="ar"/>
        </w:rPr>
        <w:t>7.7.</w:t>
      </w:r>
      <w:r>
        <w:rPr>
          <w:rFonts w:hint="eastAsia"/>
          <w:b/>
          <w:bCs/>
          <w:lang w:bidi="ar"/>
        </w:rPr>
        <w:t>5</w:t>
      </w:r>
      <w:r>
        <w:rPr>
          <w:b/>
          <w:bCs/>
          <w:lang w:bidi="ar"/>
        </w:rPr>
        <w:t xml:space="preserve">  </w:t>
      </w:r>
      <w:r>
        <w:rPr>
          <w:rFonts w:hint="eastAsia"/>
          <w:lang w:bidi="ar"/>
        </w:rPr>
        <w:t>承重结构构件拆除施工应实行信息化管理和动态监测。</w:t>
      </w:r>
    </w:p>
    <w:p w:rsidR="009136B5" w:rsidRDefault="00000000">
      <w:pPr>
        <w:pStyle w:val="afffff1"/>
        <w:ind w:firstLineChars="0" w:firstLine="0"/>
        <w:rPr>
          <w:lang w:bidi="ar"/>
        </w:rPr>
      </w:pPr>
      <w:r>
        <w:rPr>
          <w:rFonts w:hint="eastAsia"/>
          <w:b/>
          <w:lang w:bidi="ar"/>
        </w:rPr>
        <w:lastRenderedPageBreak/>
        <w:t>条文说明：</w:t>
      </w:r>
      <w:r>
        <w:rPr>
          <w:rFonts w:hint="eastAsia"/>
          <w:lang w:bidi="ar"/>
        </w:rPr>
        <w:t>既有结构构件拆除施工应符合以下要求：</w:t>
      </w:r>
    </w:p>
    <w:p w:rsidR="009136B5" w:rsidRDefault="00000000">
      <w:pPr>
        <w:pStyle w:val="afffff1"/>
        <w:rPr>
          <w:lang w:bidi="ar"/>
        </w:rPr>
      </w:pPr>
      <w:r>
        <w:rPr>
          <w:lang w:bidi="ar"/>
        </w:rPr>
        <w:t xml:space="preserve">1  </w:t>
      </w:r>
      <w:r>
        <w:rPr>
          <w:rFonts w:hint="eastAsia"/>
          <w:lang w:bidi="ar"/>
        </w:rPr>
        <w:t>可采用水冷金刚水钻、金刚石盘锯、绳锯切割机或液压剪对混凝土构件、砌体进行无振动分块拆除，承重结构、工程桩与承台应预先绘制切割方案图，采用分块静力切割，拆除部位分块外运后再破碎。</w:t>
      </w:r>
    </w:p>
    <w:p w:rsidR="009136B5" w:rsidRDefault="00000000">
      <w:pPr>
        <w:pStyle w:val="afffff1"/>
        <w:rPr>
          <w:lang w:bidi="ar"/>
        </w:rPr>
      </w:pPr>
      <w:r>
        <w:rPr>
          <w:lang w:bidi="ar"/>
        </w:rPr>
        <w:t xml:space="preserve">2  </w:t>
      </w:r>
      <w:r>
        <w:rPr>
          <w:rFonts w:hint="eastAsia"/>
          <w:lang w:bidi="ar"/>
        </w:rPr>
        <w:t>距离保留结构</w:t>
      </w:r>
      <w:r>
        <w:rPr>
          <w:lang w:bidi="ar"/>
        </w:rPr>
        <w:t>300mm</w:t>
      </w:r>
      <w:r>
        <w:rPr>
          <w:lang w:bidi="ar"/>
        </w:rPr>
        <w:t>范围内应采用人工凿除方式，凿除范围内钢筋应保持完整性。</w:t>
      </w:r>
    </w:p>
    <w:p w:rsidR="009136B5" w:rsidRDefault="00000000">
      <w:pPr>
        <w:pStyle w:val="afffff1"/>
        <w:rPr>
          <w:lang w:bidi="ar"/>
        </w:rPr>
      </w:pPr>
      <w:r>
        <w:rPr>
          <w:lang w:bidi="ar"/>
        </w:rPr>
        <w:t xml:space="preserve">3  </w:t>
      </w:r>
      <w:r>
        <w:rPr>
          <w:rFonts w:hint="eastAsia"/>
          <w:lang w:bidi="ar"/>
        </w:rPr>
        <w:t>对钢构件采取气焰切割拆除。</w:t>
      </w:r>
    </w:p>
    <w:p w:rsidR="009136B5" w:rsidRDefault="00000000">
      <w:pPr>
        <w:pStyle w:val="20"/>
        <w:rPr>
          <w:lang w:bidi="ar"/>
        </w:rPr>
      </w:pPr>
      <w:bookmarkStart w:id="109" w:name="_Toc123647789"/>
      <w:bookmarkStart w:id="110" w:name="_Toc31197"/>
      <w:r>
        <w:rPr>
          <w:lang w:bidi="ar"/>
        </w:rPr>
        <w:t xml:space="preserve">7.8 </w:t>
      </w:r>
      <w:r>
        <w:rPr>
          <w:rFonts w:hint="eastAsia"/>
          <w:lang w:bidi="ar"/>
        </w:rPr>
        <w:t xml:space="preserve"> </w:t>
      </w:r>
      <w:r>
        <w:rPr>
          <w:lang w:bidi="ar"/>
        </w:rPr>
        <w:t>既有</w:t>
      </w:r>
      <w:r>
        <w:rPr>
          <w:rFonts w:hint="eastAsia"/>
          <w:lang w:bidi="ar"/>
        </w:rPr>
        <w:t>上部</w:t>
      </w:r>
      <w:r>
        <w:rPr>
          <w:lang w:bidi="ar"/>
        </w:rPr>
        <w:t>结构加固</w:t>
      </w:r>
      <w:bookmarkEnd w:id="109"/>
      <w:bookmarkEnd w:id="110"/>
    </w:p>
    <w:p w:rsidR="009136B5" w:rsidRDefault="00000000">
      <w:pPr>
        <w:pStyle w:val="xxx"/>
        <w:rPr>
          <w:lang w:bidi="ar"/>
        </w:rPr>
      </w:pPr>
      <w:r>
        <w:rPr>
          <w:b/>
          <w:bCs/>
          <w:lang w:bidi="ar"/>
        </w:rPr>
        <w:t xml:space="preserve">7.8.1  </w:t>
      </w:r>
      <w:r>
        <w:rPr>
          <w:rFonts w:hint="eastAsia"/>
          <w:lang w:bidi="ar"/>
        </w:rPr>
        <w:t>既有上部结构加固分为永久性加固和临时性加固，既有结构加固施工应严格按照设计工况制定施工流程，施工荷载不得超过设计允许值。</w:t>
      </w:r>
    </w:p>
    <w:p w:rsidR="009136B5" w:rsidRDefault="00000000">
      <w:pPr>
        <w:pStyle w:val="xxx"/>
        <w:rPr>
          <w:lang w:bidi="ar"/>
        </w:rPr>
      </w:pPr>
      <w:r>
        <w:rPr>
          <w:b/>
          <w:bCs/>
          <w:lang w:bidi="ar"/>
        </w:rPr>
        <w:t xml:space="preserve">7.8.2  </w:t>
      </w:r>
      <w:r>
        <w:rPr>
          <w:rFonts w:hint="eastAsia"/>
          <w:lang w:bidi="ar"/>
        </w:rPr>
        <w:t>在既有结构加固前</w:t>
      </w:r>
      <w:r>
        <w:rPr>
          <w:lang w:bidi="ar"/>
        </w:rPr>
        <w:t>，应根据既有结构相关设计资料对结构</w:t>
      </w:r>
      <w:r>
        <w:rPr>
          <w:rFonts w:hint="eastAsia"/>
          <w:lang w:bidi="ar"/>
        </w:rPr>
        <w:t>尺寸、构造等进行现场核对，既有结构现状与设计资料不相符时</w:t>
      </w:r>
      <w:r>
        <w:rPr>
          <w:lang w:bidi="ar"/>
        </w:rPr>
        <w:t>，应由设计</w:t>
      </w:r>
      <w:r>
        <w:rPr>
          <w:rFonts w:hint="eastAsia"/>
          <w:lang w:bidi="ar"/>
        </w:rPr>
        <w:t>确认加固方案。</w:t>
      </w:r>
    </w:p>
    <w:p w:rsidR="009136B5" w:rsidRDefault="00000000">
      <w:pPr>
        <w:pStyle w:val="xxx"/>
        <w:rPr>
          <w:lang w:bidi="ar"/>
        </w:rPr>
      </w:pPr>
      <w:r>
        <w:rPr>
          <w:b/>
          <w:bCs/>
          <w:lang w:bidi="ar"/>
        </w:rPr>
        <w:t>7.8.</w:t>
      </w:r>
      <w:r>
        <w:rPr>
          <w:rFonts w:hint="eastAsia"/>
          <w:b/>
          <w:bCs/>
          <w:lang w:bidi="ar"/>
        </w:rPr>
        <w:t>3</w:t>
      </w:r>
      <w:r>
        <w:rPr>
          <w:b/>
          <w:bCs/>
          <w:lang w:bidi="ar"/>
        </w:rPr>
        <w:t xml:space="preserve">  </w:t>
      </w:r>
      <w:r>
        <w:rPr>
          <w:rFonts w:hint="eastAsia"/>
          <w:lang w:bidi="ar"/>
        </w:rPr>
        <w:t>结构加固除</w:t>
      </w:r>
      <w:r>
        <w:rPr>
          <w:lang w:bidi="ar"/>
        </w:rPr>
        <w:t>满足《</w:t>
      </w:r>
      <w:hyperlink r:id="rId206" w:tgtFrame="_blank" w:history="1">
        <w:r>
          <w:rPr>
            <w:lang w:bidi="ar"/>
          </w:rPr>
          <w:t>混凝土结构加固设计规范》</w:t>
        </w:r>
        <w:r>
          <w:rPr>
            <w:lang w:bidi="ar"/>
          </w:rPr>
          <w:t>GB50367</w:t>
        </w:r>
        <w:r>
          <w:rPr>
            <w:rFonts w:hint="eastAsia"/>
            <w:lang w:bidi="ar"/>
          </w:rPr>
          <w:t>、《</w:t>
        </w:r>
      </w:hyperlink>
      <w:r>
        <w:rPr>
          <w:lang w:bidi="ar"/>
        </w:rPr>
        <w:t>建筑结构加固工程施工质量</w:t>
      </w:r>
      <w:r>
        <w:rPr>
          <w:rFonts w:hint="eastAsia"/>
          <w:lang w:bidi="ar"/>
        </w:rPr>
        <w:t>验收规范》</w:t>
      </w:r>
      <w:r>
        <w:rPr>
          <w:lang w:bidi="ar"/>
        </w:rPr>
        <w:t>GB50550</w:t>
      </w:r>
      <w:r>
        <w:rPr>
          <w:rFonts w:hint="eastAsia"/>
          <w:lang w:bidi="ar"/>
        </w:rPr>
        <w:t>外</w:t>
      </w:r>
      <w:r>
        <w:rPr>
          <w:lang w:bidi="ar"/>
        </w:rPr>
        <w:t>，尚应符合</w:t>
      </w:r>
      <w:r>
        <w:rPr>
          <w:rFonts w:hint="eastAsia"/>
          <w:lang w:bidi="ar"/>
        </w:rPr>
        <w:t>本规程的</w:t>
      </w:r>
      <w:r>
        <w:rPr>
          <w:lang w:bidi="ar"/>
        </w:rPr>
        <w:t>要求</w:t>
      </w:r>
      <w:r>
        <w:rPr>
          <w:rFonts w:hint="eastAsia"/>
          <w:lang w:bidi="ar"/>
        </w:rPr>
        <w:t>。</w:t>
      </w:r>
    </w:p>
    <w:p w:rsidR="009136B5" w:rsidRDefault="00000000">
      <w:pPr>
        <w:pStyle w:val="xxx"/>
        <w:rPr>
          <w:lang w:bidi="ar"/>
        </w:rPr>
      </w:pPr>
      <w:r>
        <w:rPr>
          <w:b/>
          <w:bCs/>
          <w:lang w:bidi="ar"/>
        </w:rPr>
        <w:t>7.8.</w:t>
      </w:r>
      <w:r>
        <w:rPr>
          <w:rFonts w:hint="eastAsia"/>
          <w:b/>
          <w:bCs/>
          <w:lang w:bidi="ar"/>
        </w:rPr>
        <w:t>4</w:t>
      </w:r>
      <w:r>
        <w:rPr>
          <w:b/>
          <w:bCs/>
          <w:lang w:bidi="ar"/>
        </w:rPr>
        <w:t xml:space="preserve">  </w:t>
      </w:r>
      <w:r>
        <w:rPr>
          <w:rFonts w:hint="eastAsia"/>
          <w:lang w:bidi="ar"/>
        </w:rPr>
        <w:t>采用碳纤维加固、粘贴钢板加固、外包型钢加固等直接加固法对既有结构加固前</w:t>
      </w:r>
      <w:r>
        <w:rPr>
          <w:lang w:bidi="ar"/>
        </w:rPr>
        <w:t>，应对既有结构界面进行清理，对结构损伤进行补强处理，保证</w:t>
      </w:r>
      <w:r>
        <w:rPr>
          <w:rFonts w:hint="eastAsia"/>
          <w:lang w:bidi="ar"/>
        </w:rPr>
        <w:t>既有结构质量满足设计要求。</w:t>
      </w:r>
    </w:p>
    <w:p w:rsidR="009136B5" w:rsidRDefault="00000000">
      <w:pPr>
        <w:pStyle w:val="xxx"/>
        <w:rPr>
          <w:lang w:bidi="ar"/>
        </w:rPr>
      </w:pPr>
      <w:r>
        <w:rPr>
          <w:b/>
          <w:bCs/>
          <w:lang w:bidi="ar"/>
        </w:rPr>
        <w:t>7.8.</w:t>
      </w:r>
      <w:r>
        <w:rPr>
          <w:rFonts w:hint="eastAsia"/>
          <w:b/>
          <w:bCs/>
          <w:lang w:bidi="ar"/>
        </w:rPr>
        <w:t>5</w:t>
      </w:r>
      <w:r>
        <w:rPr>
          <w:b/>
          <w:bCs/>
          <w:lang w:bidi="ar"/>
        </w:rPr>
        <w:t xml:space="preserve">  </w:t>
      </w:r>
      <w:r>
        <w:rPr>
          <w:rFonts w:hint="eastAsia"/>
          <w:lang w:bidi="ar"/>
        </w:rPr>
        <w:t>采用增大截面、增设支点等间接加固法对既有结构加固前</w:t>
      </w:r>
      <w:r>
        <w:rPr>
          <w:lang w:bidi="ar"/>
        </w:rPr>
        <w:t>，应对既有结构进行临时支撑，做好受力转换，同时保证结构加固连接节点的质量。</w:t>
      </w:r>
    </w:p>
    <w:p w:rsidR="009136B5" w:rsidRDefault="00000000">
      <w:pPr>
        <w:pStyle w:val="xxx"/>
        <w:rPr>
          <w:lang w:bidi="ar"/>
        </w:rPr>
      </w:pPr>
      <w:r>
        <w:rPr>
          <w:b/>
          <w:bCs/>
          <w:lang w:bidi="ar"/>
        </w:rPr>
        <w:t>7.8.</w:t>
      </w:r>
      <w:r>
        <w:rPr>
          <w:rFonts w:hint="eastAsia"/>
          <w:b/>
          <w:bCs/>
          <w:lang w:bidi="ar"/>
        </w:rPr>
        <w:t>6</w:t>
      </w:r>
      <w:r>
        <w:rPr>
          <w:lang w:bidi="ar"/>
        </w:rPr>
        <w:t xml:space="preserve">  </w:t>
      </w:r>
      <w:r>
        <w:rPr>
          <w:rFonts w:hint="eastAsia"/>
          <w:lang w:bidi="ar"/>
        </w:rPr>
        <w:t>上部结构临时保护加固主要采用钢套架、钢支撑、钢拉杆体系，特殊部位采用刚度较强的钢筋混凝土加强体，施工中要注意新旧结构的构造连接，避免对既有结构产生不利影响。</w:t>
      </w:r>
    </w:p>
    <w:p w:rsidR="009136B5" w:rsidRDefault="00000000">
      <w:pPr>
        <w:pStyle w:val="xxx"/>
        <w:rPr>
          <w:lang w:bidi="ar"/>
        </w:rPr>
      </w:pPr>
      <w:r>
        <w:rPr>
          <w:b/>
          <w:bCs/>
          <w:lang w:bidi="ar"/>
        </w:rPr>
        <w:t>7.8.</w:t>
      </w:r>
      <w:r>
        <w:rPr>
          <w:rFonts w:hint="eastAsia"/>
          <w:b/>
          <w:bCs/>
          <w:lang w:bidi="ar"/>
        </w:rPr>
        <w:t>7</w:t>
      </w:r>
      <w:r>
        <w:rPr>
          <w:b/>
          <w:bCs/>
          <w:lang w:bidi="ar"/>
        </w:rPr>
        <w:t xml:space="preserve">  </w:t>
      </w:r>
      <w:r>
        <w:rPr>
          <w:rFonts w:hint="eastAsia"/>
          <w:lang w:bidi="ar"/>
        </w:rPr>
        <w:t>既有结构加固除本章规定外</w:t>
      </w:r>
      <w:r>
        <w:rPr>
          <w:lang w:bidi="ar"/>
        </w:rPr>
        <w:t>，尚应符合现行国家标准《建筑结构加固工程施工质量验收规范》</w:t>
      </w:r>
      <w:r>
        <w:rPr>
          <w:lang w:bidi="ar"/>
        </w:rPr>
        <w:t>GB 50550</w:t>
      </w:r>
      <w:r>
        <w:rPr>
          <w:lang w:bidi="ar"/>
        </w:rPr>
        <w:t>的</w:t>
      </w:r>
      <w:r>
        <w:rPr>
          <w:rFonts w:hint="eastAsia"/>
          <w:lang w:bidi="ar"/>
        </w:rPr>
        <w:t>相关规定。</w:t>
      </w:r>
    </w:p>
    <w:p w:rsidR="009136B5" w:rsidRDefault="00000000">
      <w:pPr>
        <w:pStyle w:val="20"/>
        <w:rPr>
          <w:lang w:bidi="ar"/>
        </w:rPr>
      </w:pPr>
      <w:bookmarkStart w:id="111" w:name="_Toc123647790"/>
      <w:bookmarkStart w:id="112" w:name="_Toc15354"/>
      <w:r>
        <w:rPr>
          <w:lang w:bidi="ar"/>
        </w:rPr>
        <w:t xml:space="preserve">7.9 </w:t>
      </w:r>
      <w:r>
        <w:rPr>
          <w:rFonts w:hint="eastAsia"/>
          <w:lang w:bidi="ar"/>
        </w:rPr>
        <w:t xml:space="preserve"> </w:t>
      </w:r>
      <w:r>
        <w:rPr>
          <w:rFonts w:hint="eastAsia"/>
          <w:lang w:bidi="ar"/>
        </w:rPr>
        <w:t>新增地下结构施工</w:t>
      </w:r>
      <w:bookmarkEnd w:id="111"/>
      <w:bookmarkEnd w:id="112"/>
    </w:p>
    <w:p w:rsidR="009136B5" w:rsidRDefault="00000000">
      <w:pPr>
        <w:pStyle w:val="xxx"/>
        <w:rPr>
          <w:lang w:bidi="ar"/>
        </w:rPr>
      </w:pPr>
      <w:r>
        <w:rPr>
          <w:b/>
          <w:bCs/>
          <w:lang w:bidi="ar"/>
        </w:rPr>
        <w:t xml:space="preserve">7.9.1  </w:t>
      </w:r>
      <w:r>
        <w:rPr>
          <w:rFonts w:hint="eastAsia"/>
          <w:lang w:bidi="ar"/>
        </w:rPr>
        <w:t>地下增层施工顺序应符合设计要求。</w:t>
      </w:r>
    </w:p>
    <w:p w:rsidR="009136B5" w:rsidRDefault="00000000">
      <w:pPr>
        <w:pStyle w:val="afffff1"/>
        <w:ind w:firstLineChars="0" w:firstLine="0"/>
        <w:rPr>
          <w:b/>
          <w:lang w:bidi="ar"/>
        </w:rPr>
      </w:pPr>
      <w:r>
        <w:rPr>
          <w:rFonts w:hint="eastAsia"/>
          <w:b/>
          <w:lang w:bidi="ar"/>
        </w:rPr>
        <w:t>条文说明：</w:t>
      </w:r>
    </w:p>
    <w:p w:rsidR="009136B5" w:rsidRDefault="00000000">
      <w:pPr>
        <w:pStyle w:val="afffff1"/>
        <w:rPr>
          <w:lang w:bidi="ar"/>
        </w:rPr>
      </w:pPr>
      <w:r>
        <w:rPr>
          <w:rFonts w:hint="eastAsia"/>
          <w:lang w:bidi="ar"/>
        </w:rPr>
        <w:t>单层地下室增层施工顺序通常为：底板施工→地下室柱与上部结构托换连接→顶面支撑换撑、拆除托换构件→外墙、内墙施工→汽车坡道、顶板施工→上下结构连接节点二次处理、楼梯施工→地下室防水→肥槽回填→拆除高出地表、影响地下管线埋设的支护桩（墙）→拆除上部结构临时加固体系。</w:t>
      </w:r>
      <w:r>
        <w:rPr>
          <w:lang w:bidi="ar"/>
        </w:rPr>
        <w:t xml:space="preserve"> </w:t>
      </w:r>
    </w:p>
    <w:p w:rsidR="009136B5" w:rsidRDefault="00000000">
      <w:pPr>
        <w:pStyle w:val="afffff1"/>
        <w:rPr>
          <w:b/>
          <w:bCs/>
          <w:lang w:bidi="ar"/>
        </w:rPr>
      </w:pPr>
      <w:r>
        <w:rPr>
          <w:rFonts w:hint="eastAsia"/>
          <w:lang w:bidi="ar"/>
        </w:rPr>
        <w:t>多层地下室增层施工顺序与单层地下室相比，增加中间层水平内支撑换撑与拆除施工工序。</w:t>
      </w:r>
    </w:p>
    <w:p w:rsidR="009136B5" w:rsidRDefault="00000000">
      <w:pPr>
        <w:pStyle w:val="xxx"/>
        <w:rPr>
          <w:b/>
          <w:bCs/>
          <w:lang w:bidi="ar"/>
        </w:rPr>
      </w:pPr>
      <w:bookmarkStart w:id="113" w:name="_Hlk108441791"/>
      <w:r>
        <w:rPr>
          <w:b/>
          <w:bCs/>
          <w:lang w:bidi="ar"/>
        </w:rPr>
        <w:t>7.9.2</w:t>
      </w:r>
      <w:bookmarkEnd w:id="113"/>
      <w:r>
        <w:rPr>
          <w:b/>
          <w:bCs/>
          <w:lang w:bidi="ar"/>
        </w:rPr>
        <w:t xml:space="preserve">  </w:t>
      </w:r>
      <w:r>
        <w:rPr>
          <w:rFonts w:hint="eastAsia"/>
          <w:lang w:bidi="ar"/>
        </w:rPr>
        <w:t>地下增层基础结构与基坑支护桩（墙）、水平支撑、立柱桩、工程桩、托换桩及其承台、上部结构下口之间的节点施工前应绘制施工深化图。</w:t>
      </w:r>
    </w:p>
    <w:p w:rsidR="009136B5" w:rsidRDefault="00000000">
      <w:pPr>
        <w:pStyle w:val="xxx"/>
        <w:rPr>
          <w:lang w:bidi="ar"/>
        </w:rPr>
      </w:pPr>
      <w:r>
        <w:rPr>
          <w:b/>
          <w:bCs/>
          <w:lang w:bidi="ar"/>
        </w:rPr>
        <w:t>7.9.3</w:t>
      </w:r>
      <w:r>
        <w:rPr>
          <w:lang w:bidi="ar"/>
        </w:rPr>
        <w:t xml:space="preserve">  </w:t>
      </w:r>
      <w:r>
        <w:rPr>
          <w:rFonts w:hint="eastAsia"/>
          <w:lang w:bidi="ar"/>
        </w:rPr>
        <w:t>底板施工前，应按设计要求控制地下水位，确保支护桩（墙）不漏水。</w:t>
      </w:r>
    </w:p>
    <w:p w:rsidR="009136B5" w:rsidRDefault="00000000">
      <w:pPr>
        <w:pStyle w:val="xxx"/>
        <w:rPr>
          <w:lang w:bidi="ar"/>
        </w:rPr>
      </w:pPr>
      <w:r>
        <w:rPr>
          <w:rFonts w:hint="eastAsia"/>
          <w:b/>
          <w:bCs/>
        </w:rPr>
        <w:t>7.9.4</w:t>
      </w:r>
      <w:r>
        <w:t xml:space="preserve">  </w:t>
      </w:r>
      <w:r>
        <w:rPr>
          <w:rFonts w:hint="eastAsia"/>
          <w:lang w:bidi="ar"/>
        </w:rPr>
        <w:t>新旧结构连接面处理应</w:t>
      </w:r>
      <w:r>
        <w:rPr>
          <w:lang w:bidi="ar"/>
        </w:rPr>
        <w:t>符合以下要求</w:t>
      </w:r>
      <w:r>
        <w:rPr>
          <w:rFonts w:hint="eastAsia"/>
          <w:lang w:bidi="ar"/>
        </w:rPr>
        <w:t>：</w:t>
      </w:r>
    </w:p>
    <w:p w:rsidR="009136B5" w:rsidRDefault="00000000">
      <w:pPr>
        <w:pStyle w:val="x"/>
        <w:ind w:firstLine="315"/>
        <w:rPr>
          <w:lang w:bidi="ar"/>
        </w:rPr>
      </w:pPr>
      <w:r>
        <w:rPr>
          <w:lang w:bidi="ar"/>
        </w:rPr>
        <w:t xml:space="preserve">1  </w:t>
      </w:r>
      <w:r>
        <w:rPr>
          <w:rFonts w:hint="eastAsia"/>
          <w:lang w:bidi="ar"/>
        </w:rPr>
        <w:t>工程桩、托换桩和围护墙与底板之间的连接面应采用人工凿毛处理</w:t>
      </w:r>
      <w:r>
        <w:rPr>
          <w:lang w:bidi="ar"/>
        </w:rPr>
        <w:t>，凿毛应避免造成既有结构损伤，凿毛后应冲洗干净，植筋与抗剪键</w:t>
      </w:r>
      <w:r>
        <w:rPr>
          <w:rFonts w:hint="eastAsia"/>
          <w:lang w:bidi="ar"/>
        </w:rPr>
        <w:t>应符合设计要求</w:t>
      </w:r>
      <w:r>
        <w:rPr>
          <w:lang w:bidi="ar"/>
        </w:rPr>
        <w:t>;</w:t>
      </w:r>
    </w:p>
    <w:p w:rsidR="009136B5" w:rsidRDefault="00000000">
      <w:pPr>
        <w:pStyle w:val="x"/>
        <w:ind w:firstLine="315"/>
        <w:rPr>
          <w:lang w:bidi="ar"/>
        </w:rPr>
      </w:pPr>
      <w:r>
        <w:rPr>
          <w:lang w:bidi="ar"/>
        </w:rPr>
        <w:lastRenderedPageBreak/>
        <w:t xml:space="preserve">2  </w:t>
      </w:r>
      <w:r>
        <w:rPr>
          <w:rFonts w:hint="eastAsia"/>
          <w:lang w:bidi="ar"/>
        </w:rPr>
        <w:t>托换钢桩、钢立柱桩的连接面除了抗剪键外，应加焊止水环（板），对穿钢筋开孔较多影响安全受力的构件截面应按</w:t>
      </w:r>
      <w:r>
        <w:rPr>
          <w:lang w:bidi="ar"/>
        </w:rPr>
        <w:t>设计要求</w:t>
      </w:r>
      <w:r>
        <w:rPr>
          <w:rFonts w:hint="eastAsia"/>
          <w:lang w:bidi="ar"/>
        </w:rPr>
        <w:t>补强</w:t>
      </w:r>
      <w:r>
        <w:rPr>
          <w:lang w:bidi="ar"/>
        </w:rPr>
        <w:t>;</w:t>
      </w:r>
    </w:p>
    <w:p w:rsidR="009136B5" w:rsidRDefault="00000000">
      <w:pPr>
        <w:pStyle w:val="x"/>
        <w:ind w:firstLine="315"/>
        <w:rPr>
          <w:lang w:bidi="ar"/>
        </w:rPr>
      </w:pPr>
      <w:r>
        <w:rPr>
          <w:lang w:bidi="ar"/>
        </w:rPr>
        <w:t xml:space="preserve">3  </w:t>
      </w:r>
      <w:r>
        <w:rPr>
          <w:rFonts w:hint="eastAsia"/>
          <w:lang w:bidi="ar"/>
        </w:rPr>
        <w:t>底板与地下连续墙相连接采用钢筋焊接时</w:t>
      </w:r>
      <w:r>
        <w:rPr>
          <w:lang w:bidi="ar"/>
        </w:rPr>
        <w:t>，焊接长度应符合</w:t>
      </w:r>
      <w:r>
        <w:rPr>
          <w:rFonts w:hint="eastAsia"/>
          <w:lang w:bidi="ar"/>
        </w:rPr>
        <w:t>规范要求</w:t>
      </w:r>
      <w:r>
        <w:rPr>
          <w:lang w:bidi="ar"/>
        </w:rPr>
        <w:t>;</w:t>
      </w:r>
      <w:r>
        <w:rPr>
          <w:rFonts w:hint="eastAsia"/>
          <w:lang w:bidi="ar"/>
        </w:rPr>
        <w:t>采用植筋时</w:t>
      </w:r>
      <w:r>
        <w:rPr>
          <w:lang w:bidi="ar"/>
        </w:rPr>
        <w:t>，植筋深度应满足设计要求，植筋时应避免损伤老结构</w:t>
      </w:r>
      <w:r>
        <w:rPr>
          <w:rFonts w:hint="eastAsia"/>
          <w:lang w:bidi="ar"/>
        </w:rPr>
        <w:t>钢筋。</w:t>
      </w:r>
    </w:p>
    <w:p w:rsidR="009136B5" w:rsidRDefault="00000000">
      <w:pPr>
        <w:pStyle w:val="xxx"/>
        <w:rPr>
          <w:lang w:bidi="ar"/>
        </w:rPr>
      </w:pPr>
      <w:r>
        <w:rPr>
          <w:b/>
          <w:bCs/>
          <w:lang w:bidi="ar"/>
        </w:rPr>
        <w:t xml:space="preserve">7.9.4  </w:t>
      </w:r>
      <w:r>
        <w:rPr>
          <w:rFonts w:hint="eastAsia"/>
          <w:lang w:bidi="ar"/>
        </w:rPr>
        <w:t>底板或楼层板设置后浇带时</w:t>
      </w:r>
      <w:r>
        <w:rPr>
          <w:lang w:bidi="ar"/>
        </w:rPr>
        <w:t>，应设置</w:t>
      </w:r>
      <w:r>
        <w:rPr>
          <w:rFonts w:hint="eastAsia"/>
          <w:lang w:bidi="ar"/>
        </w:rPr>
        <w:t>传力构件</w:t>
      </w:r>
      <w:r>
        <w:rPr>
          <w:lang w:bidi="ar"/>
        </w:rPr>
        <w:t>，楼层后浇带</w:t>
      </w:r>
      <w:r>
        <w:rPr>
          <w:rFonts w:hint="eastAsia"/>
          <w:lang w:bidi="ar"/>
        </w:rPr>
        <w:t>两侧</w:t>
      </w:r>
      <w:r>
        <w:rPr>
          <w:lang w:bidi="ar"/>
        </w:rPr>
        <w:t>梁板悬臂长度超过设计允许值时，应设置临时支撑。</w:t>
      </w:r>
    </w:p>
    <w:p w:rsidR="009136B5" w:rsidRDefault="00000000">
      <w:pPr>
        <w:pStyle w:val="afffff1"/>
        <w:ind w:firstLineChars="0" w:firstLine="0"/>
        <w:rPr>
          <w:lang w:bidi="ar"/>
        </w:rPr>
      </w:pPr>
      <w:r>
        <w:rPr>
          <w:rFonts w:hint="eastAsia"/>
          <w:b/>
          <w:lang w:bidi="ar"/>
        </w:rPr>
        <w:t>条文说明：</w:t>
      </w:r>
      <w:r>
        <w:rPr>
          <w:rFonts w:hint="eastAsia"/>
          <w:lang w:bidi="ar"/>
        </w:rPr>
        <w:t>底板电梯井、集水井基础可先行浇筑成型。底板主筋接头较多，宜采用机械连接，不宜采用电弧焊连接。组合墙柱中的钢柱底座、柱墙竖向主筋必须精确定位固定。底板混凝土可以分仓施工，浇筑应按早强型大体积混凝土要求施工。</w:t>
      </w:r>
    </w:p>
    <w:p w:rsidR="009136B5" w:rsidRDefault="00000000">
      <w:pPr>
        <w:pStyle w:val="xxx"/>
      </w:pPr>
      <w:r>
        <w:rPr>
          <w:rFonts w:hint="eastAsia"/>
          <w:b/>
          <w:bCs/>
        </w:rPr>
        <w:t>7.9.5</w:t>
      </w:r>
      <w:r>
        <w:t xml:space="preserve">  </w:t>
      </w:r>
      <w:r>
        <w:rPr>
          <w:rFonts w:hint="eastAsia"/>
        </w:rPr>
        <w:t>底板和</w:t>
      </w:r>
      <w:r>
        <w:t>楼板</w:t>
      </w:r>
      <w:r>
        <w:rPr>
          <w:rFonts w:hint="eastAsia"/>
        </w:rPr>
        <w:t>混凝土浇筑养护达到规定</w:t>
      </w:r>
      <w:r>
        <w:t>的强度要求</w:t>
      </w:r>
      <w:r>
        <w:rPr>
          <w:rFonts w:hint="eastAsia"/>
        </w:rPr>
        <w:t>后，方可进入逐层换撑、逐层新结构施工阶段。</w:t>
      </w:r>
    </w:p>
    <w:p w:rsidR="009136B5" w:rsidRDefault="00000000">
      <w:pPr>
        <w:pStyle w:val="xxx"/>
        <w:rPr>
          <w:lang w:bidi="ar"/>
        </w:rPr>
      </w:pPr>
      <w:r>
        <w:rPr>
          <w:b/>
          <w:bCs/>
          <w:lang w:bidi="ar"/>
        </w:rPr>
        <w:t xml:space="preserve">7.9.6  </w:t>
      </w:r>
      <w:r>
        <w:rPr>
          <w:rFonts w:hint="eastAsia"/>
          <w:lang w:bidi="ar"/>
        </w:rPr>
        <w:t>底板与墙板的水平施工缝留设应规范、合理。</w:t>
      </w:r>
    </w:p>
    <w:p w:rsidR="009136B5" w:rsidRDefault="00000000">
      <w:pPr>
        <w:pStyle w:val="afffff1"/>
        <w:ind w:firstLineChars="0" w:firstLine="0"/>
        <w:rPr>
          <w:lang w:bidi="ar"/>
        </w:rPr>
      </w:pPr>
      <w:r>
        <w:rPr>
          <w:rFonts w:hint="eastAsia"/>
          <w:b/>
          <w:lang w:bidi="ar"/>
        </w:rPr>
        <w:t>条文说明：</w:t>
      </w:r>
      <w:r>
        <w:rPr>
          <w:rFonts w:hint="eastAsia"/>
          <w:lang w:bidi="ar"/>
        </w:rPr>
        <w:t>底板与墙板的水平施工缝留设应符合以下要求</w:t>
      </w:r>
      <w:r>
        <w:rPr>
          <w:lang w:bidi="ar"/>
        </w:rPr>
        <w:t>:</w:t>
      </w:r>
    </w:p>
    <w:p w:rsidR="009136B5" w:rsidRDefault="00000000">
      <w:pPr>
        <w:pStyle w:val="afffff1"/>
        <w:rPr>
          <w:lang w:bidi="ar"/>
        </w:rPr>
      </w:pPr>
      <w:r>
        <w:rPr>
          <w:lang w:bidi="ar"/>
        </w:rPr>
        <w:t xml:space="preserve">1  </w:t>
      </w:r>
      <w:r>
        <w:rPr>
          <w:rFonts w:hint="eastAsia"/>
          <w:lang w:bidi="ar"/>
        </w:rPr>
        <w:t>水平施工缝的留设应结合设计要求、后续结构施工便利性要求综合确定；</w:t>
      </w:r>
    </w:p>
    <w:p w:rsidR="009136B5" w:rsidRDefault="00000000">
      <w:pPr>
        <w:pStyle w:val="afffff1"/>
        <w:rPr>
          <w:lang w:bidi="ar"/>
        </w:rPr>
      </w:pPr>
      <w:r>
        <w:rPr>
          <w:lang w:bidi="ar"/>
        </w:rPr>
        <w:t xml:space="preserve">2  </w:t>
      </w:r>
      <w:r>
        <w:rPr>
          <w:rFonts w:hint="eastAsia"/>
          <w:lang w:bidi="ar"/>
        </w:rPr>
        <w:t>应对留设的竖向钢筋采取必要的保护措施</w:t>
      </w:r>
      <w:r>
        <w:rPr>
          <w:lang w:bidi="ar"/>
        </w:rPr>
        <w:t>，宜采用一级机械接头；</w:t>
      </w:r>
    </w:p>
    <w:p w:rsidR="009136B5" w:rsidRDefault="00000000">
      <w:pPr>
        <w:pStyle w:val="afffff1"/>
        <w:rPr>
          <w:lang w:bidi="ar"/>
        </w:rPr>
      </w:pPr>
      <w:r>
        <w:rPr>
          <w:lang w:bidi="ar"/>
        </w:rPr>
        <w:t xml:space="preserve">3  </w:t>
      </w:r>
      <w:r>
        <w:rPr>
          <w:rFonts w:hint="eastAsia"/>
          <w:lang w:bidi="ar"/>
        </w:rPr>
        <w:t>外墙的水平施工缝应采取相应的止水措施。</w:t>
      </w:r>
    </w:p>
    <w:p w:rsidR="009136B5" w:rsidRDefault="00000000">
      <w:pPr>
        <w:pStyle w:val="xxx"/>
        <w:rPr>
          <w:lang w:bidi="ar"/>
        </w:rPr>
      </w:pPr>
      <w:r>
        <w:rPr>
          <w:b/>
          <w:bCs/>
          <w:lang w:bidi="ar"/>
        </w:rPr>
        <w:t xml:space="preserve">7.9.7  </w:t>
      </w:r>
      <w:r>
        <w:rPr>
          <w:rFonts w:hint="eastAsia"/>
          <w:lang w:bidi="ar"/>
        </w:rPr>
        <w:t>柱、墙施工时预留的梁支座钢筋、墙板水平主筋，数量</w:t>
      </w:r>
      <w:r>
        <w:rPr>
          <w:lang w:bidi="ar"/>
        </w:rPr>
        <w:t>、</w:t>
      </w:r>
      <w:r>
        <w:rPr>
          <w:rFonts w:hint="eastAsia"/>
          <w:lang w:bidi="ar"/>
        </w:rPr>
        <w:t>位置、</w:t>
      </w:r>
      <w:r>
        <w:rPr>
          <w:lang w:bidi="ar"/>
        </w:rPr>
        <w:t>伸出长度</w:t>
      </w:r>
      <w:r>
        <w:rPr>
          <w:rFonts w:hint="eastAsia"/>
          <w:lang w:bidi="ar"/>
        </w:rPr>
        <w:t>应满足</w:t>
      </w:r>
      <w:r>
        <w:rPr>
          <w:lang w:bidi="ar"/>
        </w:rPr>
        <w:t>设计要求</w:t>
      </w:r>
      <w:r>
        <w:rPr>
          <w:rFonts w:hint="eastAsia"/>
          <w:lang w:bidi="ar"/>
        </w:rPr>
        <w:t>。竖向结构构件连接达到设计</w:t>
      </w:r>
      <w:r>
        <w:rPr>
          <w:lang w:bidi="ar"/>
        </w:rPr>
        <w:t>要求</w:t>
      </w:r>
      <w:r>
        <w:rPr>
          <w:rFonts w:hint="eastAsia"/>
          <w:lang w:bidi="ar"/>
        </w:rPr>
        <w:t>前，不得拆除</w:t>
      </w:r>
      <w:r>
        <w:rPr>
          <w:lang w:bidi="ar"/>
        </w:rPr>
        <w:t>临时</w:t>
      </w:r>
      <w:r>
        <w:rPr>
          <w:rFonts w:hint="eastAsia"/>
          <w:lang w:bidi="ar"/>
        </w:rPr>
        <w:t>支撑和上部结构托换承台。拆除前应采取水平向加固措施确保竖向构件的侧向稳定。</w:t>
      </w:r>
    </w:p>
    <w:p w:rsidR="009136B5" w:rsidRDefault="00000000">
      <w:pPr>
        <w:pStyle w:val="afffff1"/>
        <w:ind w:firstLineChars="0" w:firstLine="0"/>
        <w:rPr>
          <w:lang w:bidi="ar"/>
        </w:rPr>
      </w:pPr>
      <w:r>
        <w:rPr>
          <w:rFonts w:hint="eastAsia"/>
          <w:b/>
          <w:lang w:bidi="ar"/>
        </w:rPr>
        <w:t>条文说明：</w:t>
      </w:r>
      <w:r>
        <w:rPr>
          <w:rFonts w:hint="eastAsia"/>
          <w:lang w:bidi="ar"/>
        </w:rPr>
        <w:t>地下室竖向结构构件（柱、墙、电梯井道）施工，多为组合结构，连接施工比较复杂，系地下室结构施工的重中之重，应严格按设计要求施工，实施精细化管控，保证新结构的柱、墙与上部结构下口连接节点安全可靠。</w:t>
      </w:r>
    </w:p>
    <w:p w:rsidR="009136B5" w:rsidRDefault="00000000">
      <w:pPr>
        <w:pStyle w:val="afffff1"/>
        <w:rPr>
          <w:lang w:bidi="ar"/>
        </w:rPr>
      </w:pPr>
      <w:r>
        <w:rPr>
          <w:rFonts w:hint="eastAsia"/>
          <w:lang w:bidi="ar"/>
        </w:rPr>
        <w:t>竖向结构托换与转换施工，宜采用</w:t>
      </w:r>
      <w:r>
        <w:rPr>
          <w:lang w:bidi="ar"/>
        </w:rPr>
        <w:t>PLC</w:t>
      </w:r>
      <w:r>
        <w:rPr>
          <w:rFonts w:hint="eastAsia"/>
          <w:lang w:bidi="ar"/>
        </w:rPr>
        <w:t>同步液压控制系统施加顶升力控制竖向位移，确保竖向构件上下连接安全可靠、保证质量。</w:t>
      </w:r>
    </w:p>
    <w:p w:rsidR="009136B5" w:rsidRDefault="00000000">
      <w:pPr>
        <w:pStyle w:val="xxx"/>
        <w:rPr>
          <w:lang w:bidi="ar"/>
        </w:rPr>
      </w:pPr>
      <w:r>
        <w:rPr>
          <w:b/>
          <w:bCs/>
          <w:lang w:bidi="ar"/>
        </w:rPr>
        <w:t xml:space="preserve">7.9.8 </w:t>
      </w:r>
      <w:r>
        <w:rPr>
          <w:lang w:bidi="ar"/>
        </w:rPr>
        <w:t xml:space="preserve"> </w:t>
      </w:r>
      <w:r>
        <w:rPr>
          <w:rFonts w:hint="eastAsia"/>
          <w:lang w:bidi="ar"/>
        </w:rPr>
        <w:t>新增地下室结构与上部结构墙﹑柱下部连接时</w:t>
      </w:r>
      <w:r>
        <w:rPr>
          <w:lang w:bidi="ar"/>
        </w:rPr>
        <w:t>，</w:t>
      </w:r>
      <w:r>
        <w:rPr>
          <w:rFonts w:hint="eastAsia"/>
          <w:lang w:bidi="ar"/>
        </w:rPr>
        <w:t>应采取</w:t>
      </w:r>
      <w:r>
        <w:rPr>
          <w:lang w:bidi="ar"/>
        </w:rPr>
        <w:t>措施</w:t>
      </w:r>
      <w:r>
        <w:rPr>
          <w:rFonts w:hint="eastAsia"/>
          <w:lang w:bidi="ar"/>
        </w:rPr>
        <w:t>保证接缝防水性能。</w:t>
      </w:r>
    </w:p>
    <w:p w:rsidR="009136B5" w:rsidRDefault="00000000">
      <w:pPr>
        <w:pStyle w:val="afffff1"/>
        <w:ind w:firstLineChars="0" w:firstLine="0"/>
        <w:rPr>
          <w:lang w:bidi="ar"/>
        </w:rPr>
      </w:pPr>
      <w:r>
        <w:rPr>
          <w:rFonts w:hint="eastAsia"/>
          <w:b/>
          <w:lang w:bidi="ar"/>
        </w:rPr>
        <w:t>条文说明：</w:t>
      </w:r>
      <w:r>
        <w:rPr>
          <w:rFonts w:hint="eastAsia"/>
          <w:lang w:bidi="ar"/>
        </w:rPr>
        <w:t>新地下室结构与上部结构墙﹑柱下部连接时</w:t>
      </w:r>
      <w:r>
        <w:rPr>
          <w:lang w:bidi="ar"/>
        </w:rPr>
        <w:t>，施工应符合以下要求：</w:t>
      </w:r>
    </w:p>
    <w:p w:rsidR="009136B5" w:rsidRDefault="00000000">
      <w:pPr>
        <w:pStyle w:val="afffff1"/>
        <w:rPr>
          <w:lang w:bidi="ar"/>
        </w:rPr>
      </w:pPr>
      <w:r>
        <w:rPr>
          <w:lang w:bidi="ar"/>
        </w:rPr>
        <w:t xml:space="preserve">1  </w:t>
      </w:r>
      <w:r>
        <w:rPr>
          <w:rFonts w:hint="eastAsia"/>
          <w:lang w:bidi="ar"/>
        </w:rPr>
        <w:t>新结构浇筑应采用超灌法或注浆法的接缝处理方式</w:t>
      </w:r>
      <w:r>
        <w:rPr>
          <w:lang w:bidi="ar"/>
        </w:rPr>
        <w:t>，必要时可采用免振捣特种加固混凝土、高强无收缩灌浆料和自密实混凝土浇筑；</w:t>
      </w:r>
    </w:p>
    <w:p w:rsidR="009136B5" w:rsidRDefault="00000000">
      <w:pPr>
        <w:pStyle w:val="afffff1"/>
        <w:rPr>
          <w:lang w:bidi="ar"/>
        </w:rPr>
      </w:pPr>
      <w:r>
        <w:rPr>
          <w:lang w:bidi="ar"/>
        </w:rPr>
        <w:t xml:space="preserve">2  </w:t>
      </w:r>
      <w:r>
        <w:rPr>
          <w:rFonts w:hint="eastAsia"/>
          <w:lang w:bidi="ar"/>
        </w:rPr>
        <w:t>应在接缝处预埋单组分、遇水膨胀型聚氨酯密封胶条，保证接缝防水性能；</w:t>
      </w:r>
    </w:p>
    <w:p w:rsidR="009136B5" w:rsidRDefault="00000000">
      <w:pPr>
        <w:pStyle w:val="afffff1"/>
        <w:rPr>
          <w:lang w:bidi="ar"/>
        </w:rPr>
      </w:pPr>
      <w:r>
        <w:rPr>
          <w:lang w:bidi="ar"/>
        </w:rPr>
        <w:t xml:space="preserve">3  </w:t>
      </w:r>
      <w:r>
        <w:rPr>
          <w:rFonts w:hint="eastAsia"/>
          <w:lang w:bidi="ar"/>
        </w:rPr>
        <w:t>在接缝处预埋全断面注浆管</w:t>
      </w:r>
      <w:r>
        <w:rPr>
          <w:lang w:bidi="ar"/>
        </w:rPr>
        <w:t>，竖向结构施工完成后</w:t>
      </w:r>
      <w:r>
        <w:rPr>
          <w:rFonts w:hint="eastAsia"/>
          <w:lang w:bidi="ar"/>
        </w:rPr>
        <w:t>注入灌浆料对接缝进行处理；</w:t>
      </w:r>
    </w:p>
    <w:p w:rsidR="009136B5" w:rsidRDefault="00000000">
      <w:pPr>
        <w:pStyle w:val="afffff1"/>
        <w:rPr>
          <w:lang w:bidi="ar"/>
        </w:rPr>
      </w:pPr>
      <w:r>
        <w:rPr>
          <w:lang w:bidi="ar"/>
        </w:rPr>
        <w:t xml:space="preserve">4  </w:t>
      </w:r>
      <w:r>
        <w:rPr>
          <w:rFonts w:hint="eastAsia"/>
          <w:lang w:bidi="ar"/>
        </w:rPr>
        <w:t>上下主筋连接与锚固应满足设计要求。</w:t>
      </w:r>
    </w:p>
    <w:p w:rsidR="009136B5" w:rsidRDefault="00000000">
      <w:pPr>
        <w:pStyle w:val="xxx"/>
        <w:rPr>
          <w:lang w:bidi="ar"/>
        </w:rPr>
      </w:pPr>
      <w:r>
        <w:rPr>
          <w:b/>
          <w:bCs/>
          <w:lang w:bidi="ar"/>
        </w:rPr>
        <w:t xml:space="preserve">7.9.9  </w:t>
      </w:r>
      <w:r>
        <w:rPr>
          <w:rFonts w:hint="eastAsia"/>
          <w:lang w:bidi="ar"/>
        </w:rPr>
        <w:t>地下室顶板结构施工，应严格处理好梁板与柱子、墙板的结合面，保证混凝土顶板的防水性能。</w:t>
      </w:r>
    </w:p>
    <w:p w:rsidR="009136B5" w:rsidRDefault="00000000">
      <w:pPr>
        <w:pStyle w:val="xxx"/>
        <w:rPr>
          <w:lang w:bidi="ar"/>
        </w:rPr>
      </w:pPr>
      <w:r>
        <w:rPr>
          <w:b/>
          <w:bCs/>
          <w:lang w:bidi="ar"/>
        </w:rPr>
        <w:t xml:space="preserve">7.9.10  </w:t>
      </w:r>
      <w:r>
        <w:rPr>
          <w:rFonts w:hint="eastAsia"/>
          <w:lang w:bidi="ar"/>
        </w:rPr>
        <w:t>主体结构施工除符合本章规定外</w:t>
      </w:r>
      <w:r>
        <w:rPr>
          <w:lang w:bidi="ar"/>
        </w:rPr>
        <w:t>，尚应符合现行国家标准《混凝土结构工程施工规范》</w:t>
      </w:r>
      <w:r>
        <w:rPr>
          <w:lang w:bidi="ar"/>
        </w:rPr>
        <w:t>GB 50666</w:t>
      </w:r>
      <w:r>
        <w:rPr>
          <w:lang w:bidi="ar"/>
        </w:rPr>
        <w:t>的</w:t>
      </w:r>
      <w:r>
        <w:rPr>
          <w:rFonts w:hint="eastAsia"/>
          <w:lang w:bidi="ar"/>
        </w:rPr>
        <w:t>相关规定。结构防水施工应符合现行国家标准《地下工程防水技术规范》</w:t>
      </w:r>
      <w:r>
        <w:rPr>
          <w:lang w:bidi="ar"/>
        </w:rPr>
        <w:t>GB 50108</w:t>
      </w:r>
      <w:r>
        <w:rPr>
          <w:lang w:bidi="ar"/>
        </w:rPr>
        <w:t>的</w:t>
      </w:r>
      <w:r>
        <w:rPr>
          <w:rFonts w:hint="eastAsia"/>
          <w:lang w:bidi="ar"/>
        </w:rPr>
        <w:t>相关规定。</w:t>
      </w:r>
    </w:p>
    <w:p w:rsidR="009136B5" w:rsidRDefault="00000000">
      <w:pPr>
        <w:pStyle w:val="20"/>
        <w:rPr>
          <w:lang w:bidi="ar"/>
        </w:rPr>
      </w:pPr>
      <w:bookmarkStart w:id="114" w:name="_Toc123647791"/>
      <w:bookmarkStart w:id="115" w:name="_Toc1755"/>
      <w:r>
        <w:rPr>
          <w:lang w:bidi="ar"/>
        </w:rPr>
        <w:lastRenderedPageBreak/>
        <w:t>7.10</w:t>
      </w:r>
      <w:r>
        <w:rPr>
          <w:rFonts w:hint="eastAsia"/>
          <w:lang w:bidi="ar"/>
        </w:rPr>
        <w:t xml:space="preserve"> </w:t>
      </w:r>
      <w:r>
        <w:rPr>
          <w:lang w:bidi="ar"/>
        </w:rPr>
        <w:t xml:space="preserve"> </w:t>
      </w:r>
      <w:r>
        <w:rPr>
          <w:lang w:bidi="ar"/>
        </w:rPr>
        <w:t>作业环境及施工安全控制</w:t>
      </w:r>
      <w:bookmarkEnd w:id="114"/>
      <w:bookmarkEnd w:id="115"/>
    </w:p>
    <w:p w:rsidR="009136B5" w:rsidRDefault="00000000">
      <w:pPr>
        <w:pStyle w:val="xxx"/>
        <w:rPr>
          <w:lang w:bidi="ar"/>
        </w:rPr>
      </w:pPr>
      <w:r>
        <w:rPr>
          <w:b/>
          <w:bCs/>
          <w:lang w:bidi="ar"/>
        </w:rPr>
        <w:t xml:space="preserve">7.10.1  </w:t>
      </w:r>
      <w:r>
        <w:rPr>
          <w:rFonts w:hint="eastAsia"/>
          <w:lang w:bidi="ar"/>
        </w:rPr>
        <w:t>施工过程中的安全与降噪、通风与排气、照明与电力设施除符合本规程规定外，尚应符合现行行业标准《建筑施工安全检查标准》</w:t>
      </w:r>
      <w:r>
        <w:rPr>
          <w:lang w:bidi="ar"/>
        </w:rPr>
        <w:t>JGJ59</w:t>
      </w:r>
      <w:r>
        <w:rPr>
          <w:lang w:bidi="ar"/>
        </w:rPr>
        <w:t>、《建设工程施工现场环境与卫生标准》</w:t>
      </w:r>
      <w:r>
        <w:rPr>
          <w:lang w:bidi="ar"/>
        </w:rPr>
        <w:t>JGJ146</w:t>
      </w:r>
      <w:r>
        <w:rPr>
          <w:lang w:bidi="ar"/>
        </w:rPr>
        <w:t>的</w:t>
      </w:r>
      <w:r>
        <w:rPr>
          <w:rFonts w:hint="eastAsia"/>
          <w:lang w:bidi="ar"/>
        </w:rPr>
        <w:t>相关规定。</w:t>
      </w:r>
    </w:p>
    <w:p w:rsidR="009136B5" w:rsidRDefault="00000000">
      <w:pPr>
        <w:pStyle w:val="xxx"/>
        <w:rPr>
          <w:lang w:bidi="ar"/>
        </w:rPr>
      </w:pPr>
      <w:r>
        <w:rPr>
          <w:b/>
          <w:bCs/>
          <w:lang w:bidi="ar"/>
        </w:rPr>
        <w:t xml:space="preserve">7.10.2  </w:t>
      </w:r>
      <w:r>
        <w:rPr>
          <w:rFonts w:hint="eastAsia"/>
          <w:lang w:bidi="ar"/>
        </w:rPr>
        <w:t>施工过程中应按现行国家标准《建筑施工场界环境噪声排放标准》</w:t>
      </w:r>
      <w:r>
        <w:rPr>
          <w:lang w:bidi="ar"/>
        </w:rPr>
        <w:t>GB12523</w:t>
      </w:r>
      <w:r>
        <w:rPr>
          <w:lang w:bidi="ar"/>
        </w:rPr>
        <w:t>的</w:t>
      </w:r>
      <w:r>
        <w:rPr>
          <w:rFonts w:hint="eastAsia"/>
          <w:lang w:bidi="ar"/>
        </w:rPr>
        <w:t>相关规定，严格控制施工期间的噪声。</w:t>
      </w:r>
    </w:p>
    <w:p w:rsidR="009136B5" w:rsidRDefault="00000000">
      <w:pPr>
        <w:pStyle w:val="afffff1"/>
        <w:ind w:firstLineChars="0" w:firstLine="0"/>
        <w:rPr>
          <w:lang w:bidi="ar"/>
        </w:rPr>
      </w:pPr>
      <w:r>
        <w:rPr>
          <w:rFonts w:hint="eastAsia"/>
          <w:b/>
          <w:lang w:bidi="ar"/>
        </w:rPr>
        <w:t>条文说明：</w:t>
      </w:r>
      <w:r>
        <w:rPr>
          <w:rFonts w:hint="eastAsia"/>
          <w:lang w:bidi="ar"/>
        </w:rPr>
        <w:t>施工过程中应采取下列措施控制噪声污染：</w:t>
      </w:r>
    </w:p>
    <w:p w:rsidR="009136B5" w:rsidRDefault="00000000">
      <w:pPr>
        <w:pStyle w:val="afffff1"/>
        <w:rPr>
          <w:lang w:bidi="ar"/>
        </w:rPr>
      </w:pPr>
      <w:r>
        <w:rPr>
          <w:lang w:bidi="ar"/>
        </w:rPr>
        <w:t xml:space="preserve">1  </w:t>
      </w:r>
      <w:r>
        <w:rPr>
          <w:lang w:bidi="ar"/>
        </w:rPr>
        <w:t>宜选用低噪声的机械，固定式机械宜安装隔声罩；</w:t>
      </w:r>
    </w:p>
    <w:p w:rsidR="009136B5" w:rsidRDefault="00000000">
      <w:pPr>
        <w:pStyle w:val="afffff1"/>
        <w:rPr>
          <w:lang w:bidi="ar"/>
        </w:rPr>
      </w:pPr>
      <w:r>
        <w:rPr>
          <w:lang w:bidi="ar"/>
        </w:rPr>
        <w:t xml:space="preserve">2  </w:t>
      </w:r>
      <w:r>
        <w:rPr>
          <w:lang w:bidi="ar"/>
        </w:rPr>
        <w:t>进入施工现场后</w:t>
      </w:r>
      <w:r>
        <w:rPr>
          <w:rFonts w:hint="eastAsia"/>
          <w:lang w:bidi="ar"/>
        </w:rPr>
        <w:t>，车辆禁鸣喇叭。</w:t>
      </w:r>
    </w:p>
    <w:p w:rsidR="009136B5" w:rsidRDefault="00000000">
      <w:pPr>
        <w:pStyle w:val="xxx"/>
        <w:rPr>
          <w:lang w:bidi="ar"/>
        </w:rPr>
      </w:pPr>
      <w:r>
        <w:rPr>
          <w:b/>
          <w:bCs/>
          <w:lang w:bidi="ar"/>
        </w:rPr>
        <w:t xml:space="preserve">7.10.3  </w:t>
      </w:r>
      <w:r>
        <w:rPr>
          <w:rFonts w:hint="eastAsia"/>
          <w:lang w:bidi="ar"/>
        </w:rPr>
        <w:t>临时用电应按现行行业标准《施工现场临时用电安全技术规范》</w:t>
      </w:r>
      <w:r>
        <w:rPr>
          <w:lang w:bidi="ar"/>
        </w:rPr>
        <w:t>JGJ46</w:t>
      </w:r>
      <w:r>
        <w:rPr>
          <w:lang w:bidi="ar"/>
        </w:rPr>
        <w:t>进行接地保护。</w:t>
      </w:r>
    </w:p>
    <w:p w:rsidR="009136B5" w:rsidRDefault="00000000">
      <w:pPr>
        <w:pStyle w:val="xxx"/>
        <w:rPr>
          <w:lang w:bidi="ar"/>
        </w:rPr>
      </w:pPr>
      <w:r>
        <w:rPr>
          <w:b/>
          <w:bCs/>
          <w:lang w:bidi="ar"/>
        </w:rPr>
        <w:t xml:space="preserve">7.10.4  </w:t>
      </w:r>
      <w:r>
        <w:rPr>
          <w:rFonts w:hint="eastAsia"/>
          <w:lang w:bidi="ar"/>
        </w:rPr>
        <w:t>按照总平面布置图的要求保证施工现场道路畅通，道路上不得堆放各种设备、材料和杂物，保证道路整洁。保证施工现场排水系统良好，无积水现象。</w:t>
      </w:r>
    </w:p>
    <w:p w:rsidR="009136B5" w:rsidRDefault="00000000">
      <w:pPr>
        <w:pStyle w:val="xxx"/>
        <w:rPr>
          <w:lang w:bidi="ar"/>
        </w:rPr>
      </w:pPr>
      <w:r>
        <w:rPr>
          <w:b/>
          <w:bCs/>
          <w:lang w:bidi="ar"/>
        </w:rPr>
        <w:t xml:space="preserve">7.10.5  </w:t>
      </w:r>
      <w:r>
        <w:rPr>
          <w:rFonts w:hint="eastAsia"/>
          <w:lang w:bidi="ar"/>
        </w:rPr>
        <w:t>闲置出土口、楼梯孔洞、交通要道应搭设防护设施。</w:t>
      </w:r>
    </w:p>
    <w:p w:rsidR="009136B5" w:rsidRDefault="00000000">
      <w:pPr>
        <w:pStyle w:val="xxx"/>
        <w:rPr>
          <w:lang w:bidi="ar"/>
        </w:rPr>
      </w:pPr>
      <w:r>
        <w:rPr>
          <w:b/>
          <w:bCs/>
          <w:lang w:bidi="ar"/>
        </w:rPr>
        <w:t xml:space="preserve">7.10.6  </w:t>
      </w:r>
      <w:r>
        <w:rPr>
          <w:rFonts w:hint="eastAsia"/>
          <w:lang w:bidi="ar"/>
        </w:rPr>
        <w:t>施工前应勘察地下有毒、有害气体的分布情况。</w:t>
      </w:r>
    </w:p>
    <w:p w:rsidR="009136B5" w:rsidRDefault="00000000">
      <w:pPr>
        <w:pStyle w:val="xxx"/>
        <w:rPr>
          <w:lang w:bidi="ar"/>
        </w:rPr>
      </w:pPr>
      <w:r>
        <w:rPr>
          <w:b/>
          <w:bCs/>
          <w:lang w:bidi="ar"/>
        </w:rPr>
        <w:t xml:space="preserve">7.10.7  </w:t>
      </w:r>
      <w:r>
        <w:rPr>
          <w:rFonts w:hint="eastAsia"/>
          <w:lang w:bidi="ar"/>
        </w:rPr>
        <w:t>通风及排气设施应结合地下增层规模、施工季节、地质条件、风机类型和噪声等因素选择。</w:t>
      </w:r>
    </w:p>
    <w:p w:rsidR="009136B5" w:rsidRDefault="00000000">
      <w:pPr>
        <w:pStyle w:val="xxx"/>
        <w:rPr>
          <w:lang w:bidi="ar"/>
        </w:rPr>
      </w:pPr>
      <w:r>
        <w:rPr>
          <w:b/>
          <w:bCs/>
          <w:lang w:bidi="ar"/>
        </w:rPr>
        <w:t xml:space="preserve">7.10.8  </w:t>
      </w:r>
      <w:r>
        <w:rPr>
          <w:rFonts w:hint="eastAsia"/>
          <w:lang w:bidi="ar"/>
        </w:rPr>
        <w:t>施工通风应采用压入式机械通风，逆作法通风排气宜采用轴流风机，风机应配备防水、降温和防雷击设施。</w:t>
      </w:r>
    </w:p>
    <w:p w:rsidR="009136B5" w:rsidRDefault="00000000">
      <w:pPr>
        <w:pStyle w:val="xxx"/>
        <w:rPr>
          <w:lang w:bidi="ar"/>
        </w:rPr>
      </w:pPr>
      <w:r>
        <w:rPr>
          <w:b/>
          <w:bCs/>
          <w:lang w:bidi="ar"/>
        </w:rPr>
        <w:t xml:space="preserve">7.10.9  </w:t>
      </w:r>
      <w:r>
        <w:rPr>
          <w:rFonts w:hint="eastAsia"/>
          <w:lang w:bidi="ar"/>
        </w:rPr>
        <w:t>应定期测试通风的风量、风速、风压，检查通风设备的供风能力和动力消耗。</w:t>
      </w:r>
    </w:p>
    <w:p w:rsidR="009136B5" w:rsidRDefault="00000000">
      <w:pPr>
        <w:pStyle w:val="xxx"/>
        <w:rPr>
          <w:lang w:bidi="ar"/>
        </w:rPr>
      </w:pPr>
      <w:r>
        <w:rPr>
          <w:b/>
          <w:bCs/>
          <w:lang w:bidi="ar"/>
        </w:rPr>
        <w:t xml:space="preserve">7.10.10  </w:t>
      </w:r>
      <w:r>
        <w:rPr>
          <w:rFonts w:hint="eastAsia"/>
          <w:lang w:bidi="ar"/>
        </w:rPr>
        <w:t>逆作法地下室施工应设一般照明、局部照明和混合照明。在一个工作场所内，不得只设局部照明。</w:t>
      </w:r>
    </w:p>
    <w:p w:rsidR="009136B5" w:rsidRDefault="00000000">
      <w:pPr>
        <w:pStyle w:val="xxx"/>
        <w:rPr>
          <w:lang w:bidi="ar"/>
        </w:rPr>
      </w:pPr>
      <w:r>
        <w:rPr>
          <w:b/>
          <w:bCs/>
          <w:lang w:bidi="ar"/>
        </w:rPr>
        <w:t xml:space="preserve">7.10.11  </w:t>
      </w:r>
      <w:r>
        <w:rPr>
          <w:rFonts w:hint="eastAsia"/>
          <w:lang w:bidi="ar"/>
        </w:rPr>
        <w:t>现场照明应采用防爆、防潮、高光效、长寿命、低能耗的照明光源。</w:t>
      </w:r>
    </w:p>
    <w:p w:rsidR="009136B5" w:rsidRDefault="00000000">
      <w:pPr>
        <w:pStyle w:val="xxx"/>
        <w:rPr>
          <w:lang w:bidi="ar"/>
        </w:rPr>
      </w:pPr>
      <w:r>
        <w:rPr>
          <w:b/>
          <w:bCs/>
          <w:lang w:bidi="ar"/>
        </w:rPr>
        <w:t xml:space="preserve">7.10.12  </w:t>
      </w:r>
      <w:r>
        <w:rPr>
          <w:rFonts w:hint="eastAsia"/>
          <w:lang w:bidi="ar"/>
        </w:rPr>
        <w:t>动力、照明线路应在楼板、梁、柱等结构中设置专用的绝缘防水线路，严禁将线路架设在脚手架、钢支承柱及其他设施上。</w:t>
      </w:r>
    </w:p>
    <w:p w:rsidR="009136B5" w:rsidRDefault="00000000">
      <w:pPr>
        <w:pStyle w:val="xxx"/>
        <w:rPr>
          <w:lang w:bidi="ar"/>
        </w:rPr>
      </w:pPr>
      <w:r>
        <w:rPr>
          <w:b/>
          <w:bCs/>
          <w:lang w:bidi="ar"/>
        </w:rPr>
        <w:t xml:space="preserve">7.10.13  </w:t>
      </w:r>
      <w:r>
        <w:rPr>
          <w:rFonts w:hint="eastAsia"/>
          <w:lang w:bidi="ar"/>
        </w:rPr>
        <w:t>人员通道应设置安全防护棚，楼梯应设置安全护栏。人员进入施工作业通道宜设置门禁系统。</w:t>
      </w:r>
    </w:p>
    <w:p w:rsidR="009136B5" w:rsidRDefault="00000000">
      <w:pPr>
        <w:pStyle w:val="xxx"/>
        <w:rPr>
          <w:lang w:bidi="ar"/>
        </w:rPr>
      </w:pPr>
      <w:r>
        <w:rPr>
          <w:b/>
          <w:bCs/>
          <w:lang w:bidi="ar"/>
        </w:rPr>
        <w:t xml:space="preserve">7.10.14  </w:t>
      </w:r>
      <w:r>
        <w:rPr>
          <w:rFonts w:hint="eastAsia"/>
          <w:lang w:bidi="ar"/>
        </w:rPr>
        <w:t>各类洞口应设置安全防护设施。</w:t>
      </w:r>
    </w:p>
    <w:p w:rsidR="009136B5" w:rsidRDefault="009136B5">
      <w:pPr>
        <w:spacing w:line="440" w:lineRule="exact"/>
        <w:ind w:firstLine="420"/>
        <w:sectPr w:rsidR="009136B5">
          <w:pgSz w:w="11907" w:h="16839"/>
          <w:pgMar w:top="1134" w:right="1134" w:bottom="1134" w:left="1418" w:header="567" w:footer="851" w:gutter="0"/>
          <w:cols w:space="720"/>
          <w:docGrid w:type="linesAndChars" w:linePitch="312"/>
        </w:sectPr>
      </w:pPr>
    </w:p>
    <w:p w:rsidR="009136B5" w:rsidRDefault="00000000">
      <w:pPr>
        <w:pStyle w:val="af6"/>
      </w:pPr>
      <w:bookmarkStart w:id="116" w:name="_Toc15106"/>
      <w:bookmarkStart w:id="117" w:name="_Toc123647792"/>
      <w:bookmarkEnd w:id="74"/>
      <w:r>
        <w:lastRenderedPageBreak/>
        <w:t xml:space="preserve">8 </w:t>
      </w:r>
      <w:r>
        <w:rPr>
          <w:rFonts w:hint="eastAsia"/>
        </w:rPr>
        <w:t xml:space="preserve"> </w:t>
      </w:r>
      <w:r>
        <w:rPr>
          <w:rFonts w:hint="eastAsia"/>
        </w:rPr>
        <w:t>监</w:t>
      </w:r>
      <w:r>
        <w:rPr>
          <w:rFonts w:hint="eastAsia"/>
        </w:rPr>
        <w:t xml:space="preserve">    </w:t>
      </w:r>
      <w:r>
        <w:rPr>
          <w:rFonts w:hint="eastAsia"/>
        </w:rPr>
        <w:t>测</w:t>
      </w:r>
      <w:bookmarkEnd w:id="116"/>
      <w:bookmarkEnd w:id="117"/>
    </w:p>
    <w:p w:rsidR="009136B5" w:rsidRDefault="00000000">
      <w:pPr>
        <w:pStyle w:val="20"/>
      </w:pPr>
      <w:bookmarkStart w:id="118" w:name="_Toc18143"/>
      <w:bookmarkStart w:id="119" w:name="_Toc123647793"/>
      <w:r>
        <w:t xml:space="preserve">8.1 </w:t>
      </w:r>
      <w:r>
        <w:rPr>
          <w:rFonts w:hint="eastAsia"/>
        </w:rPr>
        <w:t xml:space="preserve"> </w:t>
      </w:r>
      <w:r>
        <w:rPr>
          <w:rFonts w:hint="eastAsia"/>
        </w:rPr>
        <w:t>一般规定</w:t>
      </w:r>
      <w:bookmarkEnd w:id="118"/>
      <w:bookmarkEnd w:id="119"/>
    </w:p>
    <w:p w:rsidR="009136B5" w:rsidRDefault="00000000">
      <w:pPr>
        <w:pStyle w:val="xxx"/>
      </w:pPr>
      <w:r>
        <w:rPr>
          <w:rFonts w:hint="eastAsia"/>
          <w:b/>
          <w:bCs/>
        </w:rPr>
        <w:t>8.</w:t>
      </w:r>
      <w:r>
        <w:rPr>
          <w:b/>
          <w:bCs/>
        </w:rPr>
        <w:t>1</w:t>
      </w:r>
      <w:r>
        <w:rPr>
          <w:rFonts w:hint="eastAsia"/>
          <w:b/>
          <w:bCs/>
        </w:rPr>
        <w:t>.</w:t>
      </w:r>
      <w:r>
        <w:rPr>
          <w:b/>
          <w:bCs/>
        </w:rPr>
        <w:t xml:space="preserve">1 </w:t>
      </w:r>
      <w:r>
        <w:rPr>
          <w:rFonts w:hint="eastAsia"/>
        </w:rPr>
        <w:t xml:space="preserve"> </w:t>
      </w:r>
      <w:r>
        <w:rPr>
          <w:rFonts w:hint="eastAsia"/>
        </w:rPr>
        <w:t>既有建筑地下增层施工前应编制专项监测方案，施工过程中依据方案进行监测，并根据监测结果指导施工。</w:t>
      </w:r>
    </w:p>
    <w:p w:rsidR="009136B5" w:rsidRDefault="00000000">
      <w:pPr>
        <w:pStyle w:val="xxx"/>
      </w:pPr>
      <w:r>
        <w:rPr>
          <w:rFonts w:hint="eastAsia"/>
          <w:b/>
          <w:bCs/>
        </w:rPr>
        <w:t>8.</w:t>
      </w:r>
      <w:r>
        <w:rPr>
          <w:b/>
          <w:bCs/>
        </w:rPr>
        <w:t>1</w:t>
      </w:r>
      <w:r>
        <w:rPr>
          <w:rFonts w:hint="eastAsia"/>
          <w:b/>
          <w:bCs/>
        </w:rPr>
        <w:t>.</w:t>
      </w:r>
      <w:r>
        <w:rPr>
          <w:b/>
          <w:bCs/>
        </w:rPr>
        <w:t xml:space="preserve">2  </w:t>
      </w:r>
      <w:r>
        <w:rPr>
          <w:rFonts w:hint="eastAsia"/>
        </w:rPr>
        <w:t>既有建筑地下增层施工前应由设计单位根据增层设计及周边情况提出监测技术要求，包括：监测项目、测点位置、监测频率及监测报警值等；监测内容及技术指标应充分考虑既有建筑地下增层施工过程中，结构内力及邻近土体变形的发展变化特点，以及周边建（构）筑物、管线及道路等的允许限值。</w:t>
      </w:r>
    </w:p>
    <w:p w:rsidR="009136B5" w:rsidRDefault="00000000">
      <w:pPr>
        <w:pStyle w:val="xxx"/>
      </w:pPr>
      <w:r>
        <w:rPr>
          <w:rFonts w:hint="eastAsia"/>
          <w:b/>
          <w:bCs/>
        </w:rPr>
        <w:t>8.</w:t>
      </w:r>
      <w:r>
        <w:rPr>
          <w:b/>
          <w:bCs/>
        </w:rPr>
        <w:t>1</w:t>
      </w:r>
      <w:r>
        <w:rPr>
          <w:rFonts w:hint="eastAsia"/>
          <w:b/>
          <w:bCs/>
        </w:rPr>
        <w:t>.</w:t>
      </w:r>
      <w:r>
        <w:rPr>
          <w:b/>
          <w:bCs/>
        </w:rPr>
        <w:t xml:space="preserve">3  </w:t>
      </w:r>
      <w:r>
        <w:t>各监测项目应在基坑开挖前或测点安装后测得稳定的初始值，且次数不应少于两次。</w:t>
      </w:r>
    </w:p>
    <w:p w:rsidR="009136B5" w:rsidRDefault="00000000">
      <w:pPr>
        <w:pStyle w:val="xxx"/>
      </w:pPr>
      <w:bookmarkStart w:id="120" w:name="_Hlk114437426"/>
      <w:r>
        <w:rPr>
          <w:rFonts w:hint="eastAsia"/>
          <w:b/>
          <w:bCs/>
        </w:rPr>
        <w:t>8.</w:t>
      </w:r>
      <w:r>
        <w:rPr>
          <w:b/>
          <w:bCs/>
        </w:rPr>
        <w:t>1</w:t>
      </w:r>
      <w:r>
        <w:rPr>
          <w:rFonts w:hint="eastAsia"/>
          <w:b/>
          <w:bCs/>
        </w:rPr>
        <w:t>.</w:t>
      </w:r>
      <w:bookmarkEnd w:id="120"/>
      <w:r>
        <w:rPr>
          <w:b/>
          <w:bCs/>
        </w:rPr>
        <w:t>4</w:t>
      </w:r>
      <w:r>
        <w:t xml:space="preserve">  </w:t>
      </w:r>
      <w:r>
        <w:rPr>
          <w:rFonts w:hint="eastAsia"/>
        </w:rPr>
        <w:t>既有建筑地下增层施工过程中，应安排专人每天进行巡视检查。主要检查托换结构及侧向支护结构是否开裂，</w:t>
      </w:r>
      <w:r>
        <w:t>开挖面</w:t>
      </w:r>
      <w:r>
        <w:rPr>
          <w:rFonts w:hint="eastAsia"/>
        </w:rPr>
        <w:t>是否</w:t>
      </w:r>
      <w:r>
        <w:t>出现隆起现象</w:t>
      </w:r>
      <w:r>
        <w:rPr>
          <w:rFonts w:hint="eastAsia"/>
        </w:rPr>
        <w:t>或</w:t>
      </w:r>
      <w:r>
        <w:t>流土、管涌现象</w:t>
      </w:r>
      <w:r>
        <w:rPr>
          <w:rFonts w:hint="eastAsia"/>
        </w:rPr>
        <w:t>，邻近土体是否存在异常变形或裂缝，周边建（构）筑物、管线及道路是否存在开裂、破损等情况。</w:t>
      </w:r>
    </w:p>
    <w:p w:rsidR="009136B5" w:rsidRDefault="00000000">
      <w:pPr>
        <w:pStyle w:val="xxx"/>
      </w:pPr>
      <w:r>
        <w:rPr>
          <w:rFonts w:hint="eastAsia"/>
          <w:b/>
          <w:bCs/>
        </w:rPr>
        <w:t>8.</w:t>
      </w:r>
      <w:r>
        <w:rPr>
          <w:b/>
          <w:bCs/>
        </w:rPr>
        <w:t>1</w:t>
      </w:r>
      <w:r>
        <w:rPr>
          <w:rFonts w:hint="eastAsia"/>
          <w:b/>
          <w:bCs/>
        </w:rPr>
        <w:t>.</w:t>
      </w:r>
      <w:r>
        <w:rPr>
          <w:b/>
          <w:bCs/>
        </w:rPr>
        <w:t xml:space="preserve">5  </w:t>
      </w:r>
      <w:r>
        <w:rPr>
          <w:rFonts w:hint="eastAsia"/>
        </w:rPr>
        <w:t>托换梁（承台）、竖向托换构件、侧向支护结构和主体结构监测项目的控制值应符合设计要求；增层基坑、周边建（构）筑物、管线控制值应符合现行国家标准《建筑基坑工程监测技术规范》</w:t>
      </w:r>
      <w:r>
        <w:rPr>
          <w:rFonts w:hint="eastAsia"/>
        </w:rPr>
        <w:t>GB 50497</w:t>
      </w:r>
      <w:r>
        <w:rPr>
          <w:rFonts w:hint="eastAsia"/>
        </w:rPr>
        <w:t>的规定。</w:t>
      </w:r>
    </w:p>
    <w:p w:rsidR="009136B5" w:rsidRDefault="00000000">
      <w:pPr>
        <w:pStyle w:val="xxx"/>
      </w:pPr>
      <w:r>
        <w:rPr>
          <w:rFonts w:hint="eastAsia"/>
          <w:b/>
          <w:bCs/>
        </w:rPr>
        <w:t>8.</w:t>
      </w:r>
      <w:r>
        <w:rPr>
          <w:b/>
          <w:bCs/>
        </w:rPr>
        <w:t>1</w:t>
      </w:r>
      <w:r>
        <w:rPr>
          <w:rFonts w:hint="eastAsia"/>
          <w:b/>
          <w:bCs/>
        </w:rPr>
        <w:t>.</w:t>
      </w:r>
      <w:r>
        <w:rPr>
          <w:b/>
          <w:bCs/>
        </w:rPr>
        <w:t>6</w:t>
      </w:r>
      <w:r>
        <w:rPr>
          <w:rFonts w:hint="eastAsia"/>
          <w:b/>
          <w:bCs/>
        </w:rPr>
        <w:t xml:space="preserve"> </w:t>
      </w:r>
      <w:r>
        <w:rPr>
          <w:b/>
          <w:bCs/>
        </w:rPr>
        <w:t xml:space="preserve"> </w:t>
      </w:r>
      <w:r>
        <w:rPr>
          <w:rFonts w:hint="eastAsia"/>
        </w:rPr>
        <w:t>变形监测可采用水准仪、经纬仪以及高精度全站仪，构件内力监测可采用应变片、钢筋计、混凝土应变计或光纤光栅。</w:t>
      </w:r>
    </w:p>
    <w:p w:rsidR="009136B5" w:rsidRDefault="00000000">
      <w:pPr>
        <w:pStyle w:val="20"/>
      </w:pPr>
      <w:bookmarkStart w:id="121" w:name="_Toc123647794"/>
      <w:bookmarkStart w:id="122" w:name="_Toc13889"/>
      <w:r>
        <w:rPr>
          <w:rFonts w:hint="eastAsia"/>
        </w:rPr>
        <w:t xml:space="preserve">8.2  </w:t>
      </w:r>
      <w:r>
        <w:rPr>
          <w:rFonts w:hint="eastAsia"/>
        </w:rPr>
        <w:t>既有结构监测</w:t>
      </w:r>
      <w:bookmarkEnd w:id="121"/>
      <w:bookmarkEnd w:id="122"/>
    </w:p>
    <w:p w:rsidR="009136B5" w:rsidRDefault="00000000">
      <w:pPr>
        <w:pStyle w:val="xxx"/>
      </w:pPr>
      <w:r>
        <w:rPr>
          <w:rFonts w:hint="eastAsia"/>
          <w:b/>
          <w:bCs/>
        </w:rPr>
        <w:t>8.2.1</w:t>
      </w:r>
      <w:r>
        <w:rPr>
          <w:rFonts w:hint="eastAsia"/>
        </w:rPr>
        <w:t xml:space="preserve">  </w:t>
      </w:r>
      <w:r>
        <w:rPr>
          <w:rFonts w:hint="eastAsia"/>
        </w:rPr>
        <w:t>地下增层施工的全过程应对既有结构进行监测，监测项目应包括以下内容：沉降、倾斜、水平位移、裂缝，工程需要时，尚应增加结构振动和主要受力构件内力监测。</w:t>
      </w:r>
    </w:p>
    <w:p w:rsidR="009136B5" w:rsidRDefault="00000000">
      <w:pPr>
        <w:pStyle w:val="xxx"/>
      </w:pPr>
      <w:r>
        <w:rPr>
          <w:rFonts w:hint="eastAsia"/>
          <w:b/>
          <w:bCs/>
        </w:rPr>
        <w:t>8.2.2</w:t>
      </w:r>
      <w:r>
        <w:rPr>
          <w:rFonts w:hint="eastAsia"/>
        </w:rPr>
        <w:t xml:space="preserve">  </w:t>
      </w:r>
      <w:r>
        <w:rPr>
          <w:rFonts w:hint="eastAsia"/>
        </w:rPr>
        <w:t>监测点应布置在对变形敏感、结构薄弱及主要受力部位，测点数量、监测频率、监测周期等应根据设计要求及《建筑变形测量规范》</w:t>
      </w:r>
      <w:r>
        <w:rPr>
          <w:rFonts w:hint="eastAsia"/>
        </w:rPr>
        <w:t>JGJ 8</w:t>
      </w:r>
      <w:r>
        <w:rPr>
          <w:rFonts w:hint="eastAsia"/>
        </w:rPr>
        <w:t>的有关规定确定。</w:t>
      </w:r>
    </w:p>
    <w:p w:rsidR="009136B5" w:rsidRDefault="00000000">
      <w:pPr>
        <w:pStyle w:val="xxx"/>
      </w:pPr>
      <w:r>
        <w:rPr>
          <w:rFonts w:hint="eastAsia"/>
          <w:b/>
          <w:bCs/>
        </w:rPr>
        <w:t>8.2.3</w:t>
      </w:r>
      <w:r>
        <w:rPr>
          <w:rFonts w:hint="eastAsia"/>
        </w:rPr>
        <w:t xml:space="preserve">  </w:t>
      </w:r>
      <w:r>
        <w:rPr>
          <w:rFonts w:hint="eastAsia"/>
        </w:rPr>
        <w:t>施工期间宜每天监测一次，在进行原有结构拆除、基础托换等既有建筑受力体系转化施工时，应加大监测频率或采用自动化监测系统实时监测。</w:t>
      </w:r>
    </w:p>
    <w:p w:rsidR="009136B5" w:rsidRDefault="00000000">
      <w:pPr>
        <w:pStyle w:val="xxx"/>
      </w:pPr>
      <w:r>
        <w:rPr>
          <w:rFonts w:hint="eastAsia"/>
          <w:b/>
          <w:bCs/>
        </w:rPr>
        <w:t>8.2.4</w:t>
      </w:r>
      <w:r>
        <w:rPr>
          <w:rFonts w:hint="eastAsia"/>
        </w:rPr>
        <w:t xml:space="preserve">  </w:t>
      </w:r>
      <w:r>
        <w:rPr>
          <w:rFonts w:hint="eastAsia"/>
        </w:rPr>
        <w:t>原址地下增层需要通过整体顶升、迫降等调整既有建筑高程的，</w:t>
      </w:r>
      <w:bookmarkStart w:id="123" w:name="_Hlk120821860"/>
      <w:r>
        <w:rPr>
          <w:rFonts w:hint="eastAsia"/>
        </w:rPr>
        <w:t>除应符合本规程外，</w:t>
      </w:r>
      <w:bookmarkEnd w:id="123"/>
      <w:r>
        <w:rPr>
          <w:rFonts w:hint="eastAsia"/>
        </w:rPr>
        <w:t>尚应符合《建筑物倾斜纠偏技术规程》（</w:t>
      </w:r>
      <w:r>
        <w:rPr>
          <w:rFonts w:hint="eastAsia"/>
        </w:rPr>
        <w:t>JGJ270</w:t>
      </w:r>
      <w:r>
        <w:rPr>
          <w:rFonts w:hint="eastAsia"/>
        </w:rPr>
        <w:t>）的有关规定。</w:t>
      </w:r>
    </w:p>
    <w:p w:rsidR="009136B5" w:rsidRDefault="00000000">
      <w:pPr>
        <w:pStyle w:val="xxx"/>
      </w:pPr>
      <w:r>
        <w:rPr>
          <w:rFonts w:hint="eastAsia"/>
          <w:b/>
          <w:bCs/>
        </w:rPr>
        <w:t>8.2.5</w:t>
      </w:r>
      <w:r>
        <w:rPr>
          <w:rFonts w:hint="eastAsia"/>
        </w:rPr>
        <w:t xml:space="preserve">  </w:t>
      </w:r>
      <w:r>
        <w:rPr>
          <w:rFonts w:hint="eastAsia"/>
        </w:rPr>
        <w:t>移位地下增层的，除应符合本规程外，尚应符合《建</w:t>
      </w:r>
      <w:r>
        <w:rPr>
          <w:rFonts w:hint="eastAsia"/>
        </w:rPr>
        <w:t>(</w:t>
      </w:r>
      <w:r>
        <w:rPr>
          <w:rFonts w:hint="eastAsia"/>
        </w:rPr>
        <w:t>构</w:t>
      </w:r>
      <w:r>
        <w:rPr>
          <w:rFonts w:hint="eastAsia"/>
        </w:rPr>
        <w:t>)</w:t>
      </w:r>
      <w:r>
        <w:rPr>
          <w:rFonts w:hint="eastAsia"/>
        </w:rPr>
        <w:t>筑物移位工程技术规程》（</w:t>
      </w:r>
      <w:r>
        <w:rPr>
          <w:rFonts w:hint="eastAsia"/>
        </w:rPr>
        <w:t>JGJ/T239</w:t>
      </w:r>
      <w:r>
        <w:rPr>
          <w:rFonts w:hint="eastAsia"/>
        </w:rPr>
        <w:t>）的有关规定。</w:t>
      </w:r>
    </w:p>
    <w:p w:rsidR="009136B5" w:rsidRDefault="00000000">
      <w:pPr>
        <w:pStyle w:val="20"/>
        <w:rPr>
          <w:rFonts w:ascii="Calibri" w:hAnsi="Calibri" w:cs="Calibri"/>
          <w:sz w:val="24"/>
        </w:rPr>
      </w:pPr>
      <w:bookmarkStart w:id="124" w:name="_Toc123647795"/>
      <w:bookmarkStart w:id="125" w:name="_Toc19294"/>
      <w:r>
        <w:rPr>
          <w:rFonts w:hint="eastAsia"/>
        </w:rPr>
        <w:t xml:space="preserve">8.3  </w:t>
      </w:r>
      <w:r>
        <w:rPr>
          <w:rFonts w:hint="eastAsia"/>
        </w:rPr>
        <w:t>托换结构监测</w:t>
      </w:r>
      <w:bookmarkEnd w:id="124"/>
      <w:bookmarkEnd w:id="125"/>
    </w:p>
    <w:p w:rsidR="009136B5" w:rsidRDefault="00000000">
      <w:pPr>
        <w:pStyle w:val="xxx"/>
      </w:pPr>
      <w:r>
        <w:rPr>
          <w:rFonts w:hint="eastAsia"/>
          <w:b/>
          <w:bCs/>
        </w:rPr>
        <w:t xml:space="preserve">8.3.1 </w:t>
      </w:r>
      <w:r>
        <w:rPr>
          <w:rFonts w:hint="eastAsia"/>
        </w:rPr>
        <w:t xml:space="preserve"> </w:t>
      </w:r>
      <w:r>
        <w:rPr>
          <w:rFonts w:hint="eastAsia"/>
        </w:rPr>
        <w:t>托换结构监测项目应包括以下内容：托换桩的沉降及侧向变形、转换构件的变形、裂缝与内力等。</w:t>
      </w:r>
    </w:p>
    <w:p w:rsidR="009136B5" w:rsidRDefault="00000000">
      <w:pPr>
        <w:pStyle w:val="xxx"/>
      </w:pPr>
      <w:r>
        <w:rPr>
          <w:rFonts w:hint="eastAsia"/>
          <w:b/>
          <w:bCs/>
        </w:rPr>
        <w:lastRenderedPageBreak/>
        <w:t>8.3.2</w:t>
      </w:r>
      <w:r>
        <w:rPr>
          <w:rFonts w:hint="eastAsia"/>
        </w:rPr>
        <w:t xml:space="preserve">  </w:t>
      </w:r>
      <w:r>
        <w:rPr>
          <w:rFonts w:hint="eastAsia"/>
        </w:rPr>
        <w:t>压桩施工中，应跟踪监测所在承台的上抬位移，控制终压桩力，避免承台和结构受损。</w:t>
      </w:r>
    </w:p>
    <w:p w:rsidR="009136B5" w:rsidRDefault="00000000">
      <w:pPr>
        <w:pStyle w:val="xxx"/>
      </w:pPr>
      <w:r>
        <w:rPr>
          <w:rFonts w:hint="eastAsia"/>
          <w:b/>
          <w:bCs/>
        </w:rPr>
        <w:t>8.3.3</w:t>
      </w:r>
      <w:r>
        <w:rPr>
          <w:rFonts w:hint="eastAsia"/>
        </w:rPr>
        <w:t xml:space="preserve">  </w:t>
      </w:r>
      <w:r>
        <w:rPr>
          <w:rFonts w:hint="eastAsia"/>
        </w:rPr>
        <w:t>测点布置应根据设计要求确定，施工过程中应根据施工进度及时布点，宜采用自动化监测系统实时监测。</w:t>
      </w:r>
    </w:p>
    <w:p w:rsidR="009136B5" w:rsidRDefault="00000000">
      <w:pPr>
        <w:pStyle w:val="20"/>
      </w:pPr>
      <w:bookmarkStart w:id="126" w:name="_Toc123647796"/>
      <w:bookmarkStart w:id="127" w:name="_Toc19883"/>
      <w:r>
        <w:t>8.</w:t>
      </w:r>
      <w:r>
        <w:rPr>
          <w:rFonts w:hint="eastAsia"/>
        </w:rPr>
        <w:t xml:space="preserve">4 </w:t>
      </w:r>
      <w:r>
        <w:t xml:space="preserve"> </w:t>
      </w:r>
      <w:r>
        <w:rPr>
          <w:rFonts w:hint="eastAsia"/>
        </w:rPr>
        <w:t>支护监测</w:t>
      </w:r>
      <w:bookmarkEnd w:id="126"/>
      <w:bookmarkEnd w:id="127"/>
    </w:p>
    <w:p w:rsidR="009136B5" w:rsidRDefault="00000000">
      <w:pPr>
        <w:pStyle w:val="xxx"/>
      </w:pPr>
      <w:bookmarkStart w:id="128" w:name="_Hlk115104414"/>
      <w:r>
        <w:rPr>
          <w:b/>
          <w:bCs/>
        </w:rPr>
        <w:t>8.4</w:t>
      </w:r>
      <w:r>
        <w:rPr>
          <w:rFonts w:hint="eastAsia"/>
          <w:b/>
          <w:bCs/>
        </w:rPr>
        <w:t>.1</w:t>
      </w:r>
      <w:bookmarkEnd w:id="128"/>
      <w:r>
        <w:rPr>
          <w:b/>
          <w:bCs/>
        </w:rPr>
        <w:t xml:space="preserve">  </w:t>
      </w:r>
      <w:r>
        <w:rPr>
          <w:rFonts w:hint="eastAsia"/>
        </w:rPr>
        <w:t>监测项目应包括以下内容：支护结构内力以及</w:t>
      </w:r>
      <w:r>
        <w:t>支护结构顶部水平位移</w:t>
      </w:r>
      <w:r>
        <w:rPr>
          <w:rFonts w:hint="eastAsia"/>
        </w:rPr>
        <w:t>、</w:t>
      </w:r>
      <w:r>
        <w:t>支护结构</w:t>
      </w:r>
      <w:r>
        <w:rPr>
          <w:rFonts w:hint="eastAsia"/>
        </w:rPr>
        <w:t>深层</w:t>
      </w:r>
      <w:r>
        <w:t>水平位移</w:t>
      </w:r>
      <w:r>
        <w:rPr>
          <w:rFonts w:hint="eastAsia"/>
        </w:rPr>
        <w:t>、</w:t>
      </w:r>
      <w:r>
        <w:t>支护结构竖向位移</w:t>
      </w:r>
      <w:r>
        <w:rPr>
          <w:rFonts w:hint="eastAsia"/>
        </w:rPr>
        <w:t>；</w:t>
      </w:r>
    </w:p>
    <w:p w:rsidR="009136B5" w:rsidRDefault="00000000">
      <w:pPr>
        <w:pStyle w:val="xxx"/>
      </w:pPr>
      <w:bookmarkStart w:id="129" w:name="_Hlk114178006"/>
      <w:r>
        <w:rPr>
          <w:b/>
          <w:bCs/>
        </w:rPr>
        <w:t>8.4</w:t>
      </w:r>
      <w:r>
        <w:rPr>
          <w:rFonts w:hint="eastAsia"/>
          <w:b/>
          <w:bCs/>
        </w:rPr>
        <w:t>.</w:t>
      </w:r>
      <w:r>
        <w:rPr>
          <w:b/>
          <w:bCs/>
        </w:rPr>
        <w:t>2</w:t>
      </w:r>
      <w:bookmarkEnd w:id="129"/>
      <w:r>
        <w:t xml:space="preserve">  </w:t>
      </w:r>
      <w:r>
        <w:rPr>
          <w:rFonts w:hint="eastAsia"/>
        </w:rPr>
        <w:t>各监测项目在基坑施工影响前应测得稳定的初始值，且不应少于两次。</w:t>
      </w:r>
    </w:p>
    <w:p w:rsidR="009136B5" w:rsidRDefault="00000000">
      <w:pPr>
        <w:pStyle w:val="xxx"/>
      </w:pPr>
      <w:r>
        <w:rPr>
          <w:b/>
          <w:bCs/>
        </w:rPr>
        <w:t>8.4</w:t>
      </w:r>
      <w:r>
        <w:rPr>
          <w:rFonts w:hint="eastAsia"/>
          <w:b/>
          <w:bCs/>
        </w:rPr>
        <w:t>.</w:t>
      </w:r>
      <w:r>
        <w:rPr>
          <w:b/>
          <w:bCs/>
        </w:rPr>
        <w:t xml:space="preserve">3  </w:t>
      </w:r>
      <w:r>
        <w:rPr>
          <w:rFonts w:hint="eastAsia"/>
        </w:rPr>
        <w:t>各项监测工作的时间间隔根据施工进程确定，在开挖卸载急剧阶段，间隔时间不宜超过</w:t>
      </w:r>
      <w:r>
        <w:t>1</w:t>
      </w:r>
      <w:r>
        <w:rPr>
          <w:rFonts w:hint="eastAsia"/>
        </w:rPr>
        <w:t>天，其余情况下可延至</w:t>
      </w:r>
      <w:r>
        <w:t>2</w:t>
      </w:r>
      <w:r>
        <w:rPr>
          <w:rFonts w:hint="eastAsia"/>
        </w:rPr>
        <w:t>～</w:t>
      </w:r>
      <w:r>
        <w:t>5</w:t>
      </w:r>
      <w:r>
        <w:rPr>
          <w:rFonts w:hint="eastAsia"/>
        </w:rPr>
        <w:t>天。当变形超过有关标准或场地条件变化较大时，应加密观测。当有危险事故征兆时，则需进行连续监测。每次监测工作结束后，及时提交监测简报及处理意见。</w:t>
      </w:r>
    </w:p>
    <w:p w:rsidR="009136B5" w:rsidRDefault="00000000">
      <w:pPr>
        <w:pStyle w:val="20"/>
      </w:pPr>
      <w:bookmarkStart w:id="130" w:name="_Toc123647797"/>
      <w:bookmarkStart w:id="131" w:name="_Toc32649"/>
      <w:r>
        <w:rPr>
          <w:rFonts w:hint="eastAsia"/>
        </w:rPr>
        <w:t>8</w:t>
      </w:r>
      <w:r>
        <w:t>.</w:t>
      </w:r>
      <w:r>
        <w:rPr>
          <w:rFonts w:hint="eastAsia"/>
        </w:rPr>
        <w:t>5</w:t>
      </w:r>
      <w:r>
        <w:t xml:space="preserve"> </w:t>
      </w:r>
      <w:r>
        <w:rPr>
          <w:rFonts w:hint="eastAsia"/>
        </w:rPr>
        <w:t xml:space="preserve"> </w:t>
      </w:r>
      <w:r>
        <w:rPr>
          <w:rFonts w:hint="eastAsia"/>
        </w:rPr>
        <w:t>周边环境监测</w:t>
      </w:r>
      <w:bookmarkEnd w:id="130"/>
      <w:bookmarkEnd w:id="131"/>
    </w:p>
    <w:p w:rsidR="009136B5" w:rsidRDefault="00000000">
      <w:pPr>
        <w:pStyle w:val="xxx"/>
      </w:pPr>
      <w:r>
        <w:rPr>
          <w:b/>
          <w:bCs/>
        </w:rPr>
        <w:t>8.5</w:t>
      </w:r>
      <w:r>
        <w:rPr>
          <w:rFonts w:hint="eastAsia"/>
          <w:b/>
          <w:bCs/>
        </w:rPr>
        <w:t>.1</w:t>
      </w:r>
      <w:r>
        <w:rPr>
          <w:b/>
          <w:bCs/>
        </w:rPr>
        <w:t xml:space="preserve">  </w:t>
      </w:r>
      <w:r>
        <w:rPr>
          <w:rFonts w:hint="eastAsia"/>
        </w:rPr>
        <w:t>施工监测项目应包括以下内容：</w:t>
      </w:r>
    </w:p>
    <w:p w:rsidR="009136B5" w:rsidRDefault="00000000">
      <w:pPr>
        <w:pStyle w:val="x"/>
        <w:ind w:firstLine="315"/>
      </w:pPr>
      <w:r>
        <w:t xml:space="preserve">1  </w:t>
      </w:r>
      <w:r>
        <w:t>临近建</w:t>
      </w:r>
      <w:r>
        <w:rPr>
          <w:rFonts w:hint="eastAsia"/>
        </w:rPr>
        <w:t>（</w:t>
      </w:r>
      <w:r>
        <w:t>构</w:t>
      </w:r>
      <w:r>
        <w:rPr>
          <w:rFonts w:hint="eastAsia"/>
        </w:rPr>
        <w:t>）</w:t>
      </w:r>
      <w:r>
        <w:t>物竖向位移</w:t>
      </w:r>
      <w:r>
        <w:rPr>
          <w:rFonts w:hint="eastAsia"/>
        </w:rPr>
        <w:t>、倾斜及裂缝；</w:t>
      </w:r>
    </w:p>
    <w:p w:rsidR="009136B5" w:rsidRDefault="00000000">
      <w:pPr>
        <w:pStyle w:val="x"/>
        <w:ind w:firstLine="315"/>
      </w:pPr>
      <w:r>
        <w:t>2</w:t>
      </w:r>
      <w:r>
        <w:rPr>
          <w:rFonts w:hint="eastAsia"/>
        </w:rPr>
        <w:t xml:space="preserve"> </w:t>
      </w:r>
      <w:r>
        <w:t xml:space="preserve"> </w:t>
      </w:r>
      <w:r>
        <w:t>地下水水位</w:t>
      </w:r>
      <w:r>
        <w:rPr>
          <w:rFonts w:hint="eastAsia"/>
        </w:rPr>
        <w:t>；</w:t>
      </w:r>
    </w:p>
    <w:p w:rsidR="009136B5" w:rsidRDefault="00000000">
      <w:pPr>
        <w:pStyle w:val="x"/>
        <w:ind w:firstLine="315"/>
      </w:pPr>
      <w:r>
        <w:t>3</w:t>
      </w:r>
      <w:r>
        <w:rPr>
          <w:rFonts w:hint="eastAsia"/>
        </w:rPr>
        <w:t xml:space="preserve"> </w:t>
      </w:r>
      <w:r>
        <w:t xml:space="preserve"> </w:t>
      </w:r>
      <w:r>
        <w:rPr>
          <w:rFonts w:hint="eastAsia"/>
        </w:rPr>
        <w:t>周围土体侧向位移以及</w:t>
      </w:r>
      <w:r>
        <w:t>地表竖向位移</w:t>
      </w:r>
      <w:r>
        <w:rPr>
          <w:rFonts w:hint="eastAsia"/>
        </w:rPr>
        <w:t>；</w:t>
      </w:r>
    </w:p>
    <w:p w:rsidR="009136B5" w:rsidRDefault="00000000">
      <w:pPr>
        <w:pStyle w:val="x"/>
        <w:ind w:firstLine="315"/>
      </w:pPr>
      <w:r>
        <w:rPr>
          <w:rFonts w:hint="eastAsia"/>
        </w:rPr>
        <w:t xml:space="preserve">4 </w:t>
      </w:r>
      <w:r>
        <w:t xml:space="preserve"> </w:t>
      </w:r>
      <w:r>
        <w:rPr>
          <w:rFonts w:hint="eastAsia"/>
        </w:rPr>
        <w:t>地下管线及道路位移。</w:t>
      </w:r>
    </w:p>
    <w:p w:rsidR="009136B5" w:rsidRDefault="00000000">
      <w:pPr>
        <w:pStyle w:val="xxx"/>
      </w:pPr>
      <w:r>
        <w:rPr>
          <w:b/>
          <w:bCs/>
        </w:rPr>
        <w:t>8.5</w:t>
      </w:r>
      <w:r>
        <w:rPr>
          <w:rFonts w:hint="eastAsia"/>
          <w:b/>
          <w:bCs/>
        </w:rPr>
        <w:t>.</w:t>
      </w:r>
      <w:r>
        <w:rPr>
          <w:b/>
          <w:bCs/>
        </w:rPr>
        <w:t xml:space="preserve">2  </w:t>
      </w:r>
      <w:r>
        <w:rPr>
          <w:rFonts w:hint="eastAsia"/>
        </w:rPr>
        <w:t>监测区域应涵盖地下增层开挖影响范围，可以地面至开挖底面深度的</w:t>
      </w:r>
      <w:r>
        <w:rPr>
          <w:rFonts w:hint="eastAsia"/>
        </w:rPr>
        <w:t>1</w:t>
      </w:r>
      <w:r>
        <w:t>~3</w:t>
      </w:r>
      <w:r>
        <w:rPr>
          <w:rFonts w:hint="eastAsia"/>
        </w:rPr>
        <w:t>倍作为监测范围。邻近重要建（构）筑物，尤其是古文物保护对象应列入监测范围内。</w:t>
      </w:r>
    </w:p>
    <w:p w:rsidR="009136B5" w:rsidRDefault="009136B5">
      <w:pPr>
        <w:ind w:firstLine="420"/>
      </w:pPr>
    </w:p>
    <w:p w:rsidR="009136B5" w:rsidRDefault="009136B5">
      <w:pPr>
        <w:pStyle w:val="xxx"/>
        <w:sectPr w:rsidR="009136B5">
          <w:pgSz w:w="11907" w:h="16839"/>
          <w:pgMar w:top="1134" w:right="1134" w:bottom="1134" w:left="1418" w:header="567" w:footer="851" w:gutter="0"/>
          <w:cols w:space="720"/>
          <w:docGrid w:type="linesAndChars" w:linePitch="312"/>
        </w:sectPr>
      </w:pPr>
    </w:p>
    <w:p w:rsidR="009136B5" w:rsidRDefault="00000000">
      <w:pPr>
        <w:pStyle w:val="af6"/>
      </w:pPr>
      <w:bookmarkStart w:id="132" w:name="_Toc1681"/>
      <w:bookmarkStart w:id="133" w:name="_Toc123647798"/>
      <w:r>
        <w:rPr>
          <w:rFonts w:hint="eastAsia"/>
        </w:rPr>
        <w:lastRenderedPageBreak/>
        <w:t>9</w:t>
      </w:r>
      <w:r>
        <w:t xml:space="preserve">  </w:t>
      </w:r>
      <w:r>
        <w:rPr>
          <w:rFonts w:hint="eastAsia"/>
        </w:rPr>
        <w:t>验</w:t>
      </w:r>
      <w:r>
        <w:rPr>
          <w:rFonts w:hint="eastAsia"/>
        </w:rPr>
        <w:t xml:space="preserve">    </w:t>
      </w:r>
      <w:r>
        <w:rPr>
          <w:rFonts w:hint="eastAsia"/>
        </w:rPr>
        <w:t>收</w:t>
      </w:r>
      <w:bookmarkEnd w:id="132"/>
      <w:bookmarkEnd w:id="133"/>
    </w:p>
    <w:p w:rsidR="009136B5" w:rsidRDefault="00000000">
      <w:pPr>
        <w:pStyle w:val="20"/>
        <w:rPr>
          <w:rStyle w:val="af7"/>
          <w:b/>
          <w:sz w:val="21"/>
        </w:rPr>
      </w:pPr>
      <w:bookmarkStart w:id="134" w:name="_Toc123647799"/>
      <w:bookmarkStart w:id="135" w:name="_Toc1734"/>
      <w:r>
        <w:rPr>
          <w:rStyle w:val="af7"/>
          <w:rFonts w:hint="eastAsia"/>
          <w:b/>
          <w:sz w:val="21"/>
        </w:rPr>
        <w:t>9</w:t>
      </w:r>
      <w:r>
        <w:rPr>
          <w:rStyle w:val="af7"/>
          <w:b/>
          <w:sz w:val="21"/>
        </w:rPr>
        <w:t>.1</w:t>
      </w:r>
      <w:r>
        <w:rPr>
          <w:rStyle w:val="af7"/>
          <w:rFonts w:hint="eastAsia"/>
          <w:b/>
          <w:sz w:val="21"/>
        </w:rPr>
        <w:t xml:space="preserve"> </w:t>
      </w:r>
      <w:r>
        <w:rPr>
          <w:rStyle w:val="af7"/>
          <w:b/>
          <w:sz w:val="21"/>
        </w:rPr>
        <w:t xml:space="preserve"> </w:t>
      </w:r>
      <w:r>
        <w:rPr>
          <w:rStyle w:val="af7"/>
          <w:b/>
          <w:sz w:val="21"/>
        </w:rPr>
        <w:t>一般规定</w:t>
      </w:r>
      <w:bookmarkEnd w:id="134"/>
      <w:bookmarkEnd w:id="135"/>
    </w:p>
    <w:p w:rsidR="009136B5" w:rsidRDefault="00000000">
      <w:pPr>
        <w:pStyle w:val="xxx"/>
      </w:pPr>
      <w:r>
        <w:rPr>
          <w:b/>
          <w:bCs/>
        </w:rPr>
        <w:t>9.1.1</w:t>
      </w:r>
      <w:r>
        <w:t xml:space="preserve">  </w:t>
      </w:r>
      <w:bookmarkStart w:id="136" w:name="_Hlk123384848"/>
      <w:r>
        <w:rPr>
          <w:rFonts w:hint="eastAsia"/>
        </w:rPr>
        <w:t>既有建筑</w:t>
      </w:r>
      <w:r>
        <w:t>地下</w:t>
      </w:r>
      <w:r>
        <w:rPr>
          <w:rFonts w:hint="eastAsia"/>
        </w:rPr>
        <w:t>增层工程</w:t>
      </w:r>
      <w:bookmarkEnd w:id="136"/>
      <w:r>
        <w:t>必须进行施工质量检验和</w:t>
      </w:r>
      <w:r>
        <w:rPr>
          <w:rFonts w:hint="eastAsia"/>
        </w:rPr>
        <w:t>中间</w:t>
      </w:r>
      <w:r>
        <w:t>验收，</w:t>
      </w:r>
      <w:r>
        <w:rPr>
          <w:rFonts w:hint="eastAsia"/>
        </w:rPr>
        <w:t>验收</w:t>
      </w:r>
      <w:r>
        <w:t>合格后方</w:t>
      </w:r>
      <w:r>
        <w:rPr>
          <w:rFonts w:hint="eastAsia"/>
        </w:rPr>
        <w:t>可进入下一阶段施工</w:t>
      </w:r>
      <w:r>
        <w:t>。</w:t>
      </w:r>
    </w:p>
    <w:p w:rsidR="009136B5" w:rsidRDefault="00000000">
      <w:pPr>
        <w:pStyle w:val="xxx"/>
      </w:pPr>
      <w:r>
        <w:rPr>
          <w:b/>
          <w:bCs/>
        </w:rPr>
        <w:t xml:space="preserve">9.1.2  </w:t>
      </w:r>
      <w:r>
        <w:rPr>
          <w:rFonts w:hint="eastAsia"/>
        </w:rPr>
        <w:t>既有建筑</w:t>
      </w:r>
      <w:r>
        <w:t>地下</w:t>
      </w:r>
      <w:r>
        <w:rPr>
          <w:rFonts w:hint="eastAsia"/>
        </w:rPr>
        <w:t>增层工程作为（建筑改造）单位工程的分部工程进行中间质量验收，施工</w:t>
      </w:r>
      <w:r>
        <w:t>质量验收的划分、程序和组织应符合现</w:t>
      </w:r>
      <w:r>
        <w:rPr>
          <w:rFonts w:hint="eastAsia"/>
        </w:rPr>
        <w:t>行</w:t>
      </w:r>
      <w:r>
        <w:t>国家标准《</w:t>
      </w:r>
      <w:r>
        <w:rPr>
          <w:rFonts w:hint="eastAsia"/>
        </w:rPr>
        <w:t>建筑工程</w:t>
      </w:r>
      <w:r>
        <w:t>施工质量验收统一标准》</w:t>
      </w:r>
      <w:r>
        <w:rPr>
          <w:rFonts w:hint="eastAsia"/>
        </w:rPr>
        <w:t>GB5033</w:t>
      </w:r>
      <w:r>
        <w:rPr>
          <w:rFonts w:hint="eastAsia"/>
        </w:rPr>
        <w:t>的有</w:t>
      </w:r>
      <w:r>
        <w:t>关规定。</w:t>
      </w:r>
    </w:p>
    <w:p w:rsidR="009136B5" w:rsidRDefault="00000000">
      <w:pPr>
        <w:ind w:firstLine="420"/>
      </w:pPr>
      <w:r>
        <w:rPr>
          <w:rFonts w:hint="eastAsia"/>
        </w:rPr>
        <w:t>分部工程应包括地基与基础（托换）子分部工程、地下结构子分部工程、侧向支护子分部工程、上部结构加固子分部工程等，具体的子分部、分项工程划分见附录</w:t>
      </w:r>
      <w:r>
        <w:rPr>
          <w:rFonts w:hint="eastAsia"/>
        </w:rPr>
        <w:t>B</w:t>
      </w:r>
      <w:r>
        <w:rPr>
          <w:rFonts w:hint="eastAsia"/>
        </w:rPr>
        <w:t>。</w:t>
      </w:r>
    </w:p>
    <w:p w:rsidR="009136B5" w:rsidRDefault="00000000">
      <w:pPr>
        <w:pStyle w:val="xxx"/>
      </w:pPr>
      <w:bookmarkStart w:id="137" w:name="_Hlk123385116"/>
      <w:r>
        <w:rPr>
          <w:b/>
          <w:bCs/>
        </w:rPr>
        <w:t>9.1.3</w:t>
      </w:r>
      <w:r>
        <w:t xml:space="preserve"> </w:t>
      </w:r>
      <w:bookmarkEnd w:id="137"/>
      <w:r>
        <w:t xml:space="preserve"> </w:t>
      </w:r>
      <w:r>
        <w:rPr>
          <w:rFonts w:hint="eastAsia"/>
        </w:rPr>
        <w:t>地下增层</w:t>
      </w:r>
      <w:r>
        <w:t>工程</w:t>
      </w:r>
      <w:r>
        <w:rPr>
          <w:rFonts w:hint="eastAsia"/>
        </w:rPr>
        <w:t>的分项工程（检验批）</w:t>
      </w:r>
      <w:r>
        <w:t>质量</w:t>
      </w:r>
      <w:r>
        <w:rPr>
          <w:rFonts w:hint="eastAsia"/>
        </w:rPr>
        <w:t>验收记录</w:t>
      </w:r>
      <w:r>
        <w:t>的主控项目、一般项目</w:t>
      </w:r>
      <w:r>
        <w:rPr>
          <w:rFonts w:hint="eastAsia"/>
        </w:rPr>
        <w:t>应</w:t>
      </w:r>
      <w:r>
        <w:t>符合</w:t>
      </w:r>
      <w:bookmarkStart w:id="138" w:name="_Hlk123398120"/>
      <w:r>
        <w:t>现</w:t>
      </w:r>
      <w:r>
        <w:rPr>
          <w:rFonts w:hint="eastAsia"/>
        </w:rPr>
        <w:t>行</w:t>
      </w:r>
      <w:r>
        <w:t>国家标准《</w:t>
      </w:r>
      <w:r>
        <w:rPr>
          <w:rFonts w:hint="eastAsia"/>
        </w:rPr>
        <w:t>建筑</w:t>
      </w:r>
      <w:r>
        <w:t>地基基础工程施工质量验收标准》</w:t>
      </w:r>
      <w:r>
        <w:rPr>
          <w:rFonts w:hint="eastAsia"/>
        </w:rPr>
        <w:t>GB50202</w:t>
      </w:r>
      <w:r>
        <w:rPr>
          <w:rFonts w:hint="eastAsia"/>
        </w:rPr>
        <w:t>、《既有建筑地基基础加固技术规范》</w:t>
      </w:r>
      <w:r>
        <w:rPr>
          <w:rFonts w:hint="eastAsia"/>
        </w:rPr>
        <w:t>J</w:t>
      </w:r>
      <w:r>
        <w:t>GJ123</w:t>
      </w:r>
      <w:r>
        <w:rPr>
          <w:rFonts w:hint="eastAsia"/>
        </w:rPr>
        <w:t>、</w:t>
      </w:r>
      <w:bookmarkStart w:id="139" w:name="_Hlk123392428"/>
      <w:bookmarkEnd w:id="138"/>
      <w:r>
        <w:t>《</w:t>
      </w:r>
      <w:r>
        <w:rPr>
          <w:rFonts w:hint="eastAsia"/>
        </w:rPr>
        <w:t>混凝土</w:t>
      </w:r>
      <w:r>
        <w:t>结构工程施工质量验收规范》</w:t>
      </w:r>
      <w:r>
        <w:rPr>
          <w:rFonts w:hint="eastAsia"/>
        </w:rPr>
        <w:t>GB50204</w:t>
      </w:r>
      <w:bookmarkEnd w:id="139"/>
      <w:r>
        <w:rPr>
          <w:rFonts w:hint="eastAsia"/>
        </w:rPr>
        <w:t>、</w:t>
      </w:r>
      <w:r>
        <w:t>《</w:t>
      </w:r>
      <w:r>
        <w:rPr>
          <w:rFonts w:hint="eastAsia"/>
        </w:rPr>
        <w:t>钢</w:t>
      </w:r>
      <w:r>
        <w:t>结构工程施工质量验收规范》</w:t>
      </w:r>
      <w:bookmarkStart w:id="140" w:name="_Hlk123393012"/>
      <w:r>
        <w:rPr>
          <w:rFonts w:hint="eastAsia"/>
        </w:rPr>
        <w:t>GB50205</w:t>
      </w:r>
      <w:bookmarkEnd w:id="140"/>
      <w:r>
        <w:rPr>
          <w:rFonts w:hint="eastAsia"/>
        </w:rPr>
        <w:t>、</w:t>
      </w:r>
      <w:r>
        <w:t>《</w:t>
      </w:r>
      <w:r>
        <w:rPr>
          <w:rFonts w:hint="eastAsia"/>
        </w:rPr>
        <w:t>建筑结构</w:t>
      </w:r>
      <w:r>
        <w:t>加固</w:t>
      </w:r>
      <w:r>
        <w:rPr>
          <w:rFonts w:hint="eastAsia"/>
        </w:rPr>
        <w:t>工程</w:t>
      </w:r>
      <w:r>
        <w:t>施工质量验收</w:t>
      </w:r>
      <w:r>
        <w:rPr>
          <w:rFonts w:hint="eastAsia"/>
        </w:rPr>
        <w:t>规范</w:t>
      </w:r>
      <w:r>
        <w:t>》</w:t>
      </w:r>
      <w:r>
        <w:rPr>
          <w:rFonts w:hint="eastAsia"/>
        </w:rPr>
        <w:t>GB50550</w:t>
      </w:r>
      <w:bookmarkStart w:id="141" w:name="_Hlk123398203"/>
      <w:r>
        <w:rPr>
          <w:rFonts w:hint="eastAsia"/>
        </w:rPr>
        <w:t>和《地下工程防水技术规范》</w:t>
      </w:r>
      <w:r>
        <w:rPr>
          <w:rFonts w:hint="eastAsia"/>
        </w:rPr>
        <w:t>GB50</w:t>
      </w:r>
      <w:r>
        <w:t>1</w:t>
      </w:r>
      <w:r>
        <w:rPr>
          <w:rFonts w:hint="eastAsia"/>
        </w:rPr>
        <w:t>0</w:t>
      </w:r>
      <w:bookmarkEnd w:id="141"/>
      <w:r>
        <w:rPr>
          <w:rFonts w:hint="eastAsia"/>
        </w:rPr>
        <w:t>8</w:t>
      </w:r>
      <w:r>
        <w:rPr>
          <w:rFonts w:hint="eastAsia"/>
        </w:rPr>
        <w:t>等的有</w:t>
      </w:r>
      <w:r>
        <w:t>关规定。</w:t>
      </w:r>
    </w:p>
    <w:p w:rsidR="009136B5" w:rsidRDefault="00000000">
      <w:pPr>
        <w:ind w:firstLine="420"/>
      </w:pPr>
      <w:r>
        <w:rPr>
          <w:rFonts w:hint="eastAsia"/>
        </w:rPr>
        <w:t>对于地下抗浮构件的施工质量检验，则应按照《建筑工程抗浮技术标准》</w:t>
      </w:r>
      <w:r>
        <w:t>JGJ476</w:t>
      </w:r>
      <w:r>
        <w:rPr>
          <w:rFonts w:hint="eastAsia"/>
        </w:rPr>
        <w:t>执行。</w:t>
      </w:r>
    </w:p>
    <w:p w:rsidR="009136B5" w:rsidRDefault="00000000">
      <w:pPr>
        <w:pStyle w:val="xxx"/>
      </w:pPr>
      <w:r>
        <w:rPr>
          <w:b/>
          <w:bCs/>
        </w:rPr>
        <w:t xml:space="preserve">9.1.4  </w:t>
      </w:r>
      <w:bookmarkStart w:id="142" w:name="_Hlk123393793"/>
      <w:r>
        <w:rPr>
          <w:rFonts w:hint="eastAsia"/>
        </w:rPr>
        <w:t>既有建筑</w:t>
      </w:r>
      <w:r>
        <w:t>地下</w:t>
      </w:r>
      <w:r>
        <w:rPr>
          <w:rFonts w:hint="eastAsia"/>
        </w:rPr>
        <w:t>增层</w:t>
      </w:r>
      <w:r>
        <w:t>工程</w:t>
      </w:r>
      <w:r>
        <w:rPr>
          <w:rFonts w:hint="eastAsia"/>
        </w:rPr>
        <w:t>中间</w:t>
      </w:r>
      <w:r>
        <w:t>验收时</w:t>
      </w:r>
      <w:r>
        <w:rPr>
          <w:rFonts w:hint="eastAsia"/>
        </w:rPr>
        <w:t>所需</w:t>
      </w:r>
      <w:r>
        <w:t>提供的</w:t>
      </w:r>
      <w:r>
        <w:rPr>
          <w:rFonts w:hint="eastAsia"/>
        </w:rPr>
        <w:t>相关</w:t>
      </w:r>
      <w:r>
        <w:t>资料</w:t>
      </w:r>
      <w:r>
        <w:rPr>
          <w:rFonts w:hint="eastAsia"/>
        </w:rPr>
        <w:t>，</w:t>
      </w:r>
      <w:bookmarkEnd w:id="142"/>
      <w:r>
        <w:t>除应符合现</w:t>
      </w:r>
      <w:r>
        <w:rPr>
          <w:rFonts w:hint="eastAsia"/>
        </w:rPr>
        <w:t>行</w:t>
      </w:r>
      <w:r>
        <w:t>国家标准《</w:t>
      </w:r>
      <w:r>
        <w:rPr>
          <w:rFonts w:hint="eastAsia"/>
        </w:rPr>
        <w:t>建筑</w:t>
      </w:r>
      <w:r>
        <w:t>地基基础工程施工质量验收标准》</w:t>
      </w:r>
      <w:r>
        <w:rPr>
          <w:rFonts w:hint="eastAsia"/>
        </w:rPr>
        <w:t>GB50202</w:t>
      </w:r>
      <w:r>
        <w:rPr>
          <w:rFonts w:hint="eastAsia"/>
        </w:rPr>
        <w:t>、</w:t>
      </w:r>
      <w:r>
        <w:t>《</w:t>
      </w:r>
      <w:r>
        <w:rPr>
          <w:rFonts w:hint="eastAsia"/>
        </w:rPr>
        <w:t>混凝土</w:t>
      </w:r>
      <w:r>
        <w:t>结构工程施工质量验收规范》</w:t>
      </w:r>
      <w:r>
        <w:rPr>
          <w:rFonts w:hint="eastAsia"/>
        </w:rPr>
        <w:t>GB50204</w:t>
      </w:r>
      <w:r>
        <w:rPr>
          <w:rFonts w:hint="eastAsia"/>
        </w:rPr>
        <w:t>和</w:t>
      </w:r>
      <w:r>
        <w:t>《</w:t>
      </w:r>
      <w:r>
        <w:rPr>
          <w:rFonts w:hint="eastAsia"/>
        </w:rPr>
        <w:t>建筑结构</w:t>
      </w:r>
      <w:r>
        <w:t>加固</w:t>
      </w:r>
      <w:r>
        <w:rPr>
          <w:rFonts w:hint="eastAsia"/>
        </w:rPr>
        <w:t>工程</w:t>
      </w:r>
      <w:r>
        <w:t>施工质量验收</w:t>
      </w:r>
      <w:r>
        <w:rPr>
          <w:rFonts w:hint="eastAsia"/>
        </w:rPr>
        <w:t>规范</w:t>
      </w:r>
      <w:r>
        <w:t>》</w:t>
      </w:r>
      <w:r>
        <w:rPr>
          <w:rFonts w:hint="eastAsia"/>
        </w:rPr>
        <w:t>GB50550</w:t>
      </w:r>
      <w:r>
        <w:rPr>
          <w:rFonts w:hint="eastAsia"/>
        </w:rPr>
        <w:t>等的有</w:t>
      </w:r>
      <w:r>
        <w:t>关规定</w:t>
      </w:r>
      <w:r>
        <w:rPr>
          <w:rFonts w:hint="eastAsia"/>
        </w:rPr>
        <w:t>外</w:t>
      </w:r>
      <w:r>
        <w:t>，</w:t>
      </w:r>
      <w:r>
        <w:rPr>
          <w:rFonts w:hint="eastAsia"/>
        </w:rPr>
        <w:t>尚</w:t>
      </w:r>
      <w:r>
        <w:t>应提供工程</w:t>
      </w:r>
      <w:r>
        <w:rPr>
          <w:rFonts w:hint="eastAsia"/>
        </w:rPr>
        <w:t>施工监测</w:t>
      </w:r>
      <w:r>
        <w:t>报告。</w:t>
      </w:r>
    </w:p>
    <w:p w:rsidR="009136B5" w:rsidRDefault="00000000">
      <w:pPr>
        <w:pStyle w:val="afffff1"/>
        <w:ind w:firstLineChars="0" w:firstLine="0"/>
      </w:pPr>
      <w:r>
        <w:rPr>
          <w:rFonts w:hint="eastAsia"/>
          <w:b/>
        </w:rPr>
        <w:t>条文说明：</w:t>
      </w:r>
      <w:r>
        <w:rPr>
          <w:rFonts w:hint="eastAsia"/>
        </w:rPr>
        <w:t>既有建筑</w:t>
      </w:r>
      <w:r>
        <w:t>地下</w:t>
      </w:r>
      <w:r>
        <w:rPr>
          <w:rFonts w:hint="eastAsia"/>
        </w:rPr>
        <w:t>增层</w:t>
      </w:r>
      <w:r>
        <w:t>工程</w:t>
      </w:r>
      <w:r>
        <w:rPr>
          <w:rFonts w:hint="eastAsia"/>
        </w:rPr>
        <w:t>中间</w:t>
      </w:r>
      <w:r>
        <w:t>验收时</w:t>
      </w:r>
      <w:r>
        <w:rPr>
          <w:rFonts w:hint="eastAsia"/>
        </w:rPr>
        <w:t>所需</w:t>
      </w:r>
      <w:r>
        <w:t>提供的</w:t>
      </w:r>
      <w:r>
        <w:rPr>
          <w:rFonts w:hint="eastAsia"/>
        </w:rPr>
        <w:t>相关</w:t>
      </w:r>
      <w:r>
        <w:t>资料</w:t>
      </w:r>
      <w:r>
        <w:rPr>
          <w:rFonts w:hint="eastAsia"/>
        </w:rPr>
        <w:t>，应包括以下资料：</w:t>
      </w:r>
    </w:p>
    <w:p w:rsidR="009136B5" w:rsidRDefault="00000000">
      <w:pPr>
        <w:pStyle w:val="afffff1"/>
        <w:ind w:firstLineChars="150" w:firstLine="315"/>
      </w:pPr>
      <w:r>
        <w:rPr>
          <w:rFonts w:hint="eastAsia"/>
        </w:rPr>
        <w:t>1</w:t>
      </w:r>
      <w:r>
        <w:t xml:space="preserve">  </w:t>
      </w:r>
      <w:r>
        <w:t>岩土工程勘察报告</w:t>
      </w:r>
      <w:r>
        <w:rPr>
          <w:rFonts w:hint="eastAsia"/>
        </w:rPr>
        <w:t>、既有建筑安全性（抗震性）鉴定报告</w:t>
      </w:r>
      <w:r>
        <w:t>；</w:t>
      </w:r>
    </w:p>
    <w:p w:rsidR="009136B5" w:rsidRDefault="00000000">
      <w:pPr>
        <w:pStyle w:val="afffff1"/>
        <w:ind w:firstLineChars="150" w:firstLine="315"/>
      </w:pPr>
      <w:r>
        <w:rPr>
          <w:rFonts w:hint="eastAsia"/>
        </w:rPr>
        <w:t>2</w:t>
      </w:r>
      <w:r>
        <w:t xml:space="preserve">  </w:t>
      </w:r>
      <w:r>
        <w:t>设计文件、图纸会审记录和设计变更文件；</w:t>
      </w:r>
    </w:p>
    <w:p w:rsidR="009136B5" w:rsidRDefault="00000000">
      <w:pPr>
        <w:pStyle w:val="afffff1"/>
        <w:ind w:firstLineChars="150" w:firstLine="315"/>
      </w:pPr>
      <w:r>
        <w:rPr>
          <w:rFonts w:hint="eastAsia"/>
        </w:rPr>
        <w:t>3</w:t>
      </w:r>
      <w:r>
        <w:t xml:space="preserve">  </w:t>
      </w:r>
      <w:r>
        <w:t>施工组织设计及专项施工方案；</w:t>
      </w:r>
    </w:p>
    <w:p w:rsidR="009136B5" w:rsidRDefault="00000000">
      <w:pPr>
        <w:pStyle w:val="afffff1"/>
        <w:ind w:firstLineChars="150" w:firstLine="315"/>
      </w:pPr>
      <w:r>
        <w:t xml:space="preserve">4  </w:t>
      </w:r>
      <w:r>
        <w:t>原材料、</w:t>
      </w:r>
      <w:r>
        <w:rPr>
          <w:rFonts w:hint="eastAsia"/>
        </w:rPr>
        <w:t>（钢、混凝土）</w:t>
      </w:r>
      <w:r>
        <w:t>构配件的出厂质量合格证书、预拌混凝土的质量证明文件</w:t>
      </w:r>
      <w:r>
        <w:rPr>
          <w:rFonts w:hint="eastAsia"/>
        </w:rPr>
        <w:t>以及</w:t>
      </w:r>
      <w:r>
        <w:t>进场见证检测和抽样检验记录、检测报告；预应力筋用锚具、连接器的质量证明文件和抽样检验报告；</w:t>
      </w:r>
      <w:r>
        <w:t xml:space="preserve"> </w:t>
      </w:r>
    </w:p>
    <w:p w:rsidR="009136B5" w:rsidRDefault="00000000">
      <w:pPr>
        <w:pStyle w:val="afffff1"/>
        <w:ind w:firstLineChars="150" w:firstLine="315"/>
      </w:pPr>
      <w:r>
        <w:rPr>
          <w:rFonts w:hint="eastAsia"/>
        </w:rPr>
        <w:t>5</w:t>
      </w:r>
      <w:r>
        <w:t xml:space="preserve">  </w:t>
      </w:r>
      <w:r>
        <w:t>工程测量、定位放线</w:t>
      </w:r>
      <w:r>
        <w:rPr>
          <w:rFonts w:hint="eastAsia"/>
        </w:rPr>
        <w:t>、技术复核</w:t>
      </w:r>
      <w:r>
        <w:t>记录</w:t>
      </w:r>
      <w:r>
        <w:rPr>
          <w:rFonts w:hint="eastAsia"/>
        </w:rPr>
        <w:t>，隐蔽工程验收记录；</w:t>
      </w:r>
    </w:p>
    <w:p w:rsidR="009136B5" w:rsidRDefault="00000000">
      <w:pPr>
        <w:pStyle w:val="afffff1"/>
        <w:ind w:firstLineChars="150" w:firstLine="315"/>
      </w:pPr>
      <w:r>
        <w:rPr>
          <w:rFonts w:hint="eastAsia"/>
        </w:rPr>
        <w:t>6</w:t>
      </w:r>
      <w:r>
        <w:t xml:space="preserve">  </w:t>
      </w:r>
      <w:r>
        <w:rPr>
          <w:rFonts w:hint="eastAsia"/>
        </w:rPr>
        <w:t>植筋试验、</w:t>
      </w:r>
      <w:r>
        <w:t>钢筋</w:t>
      </w:r>
      <w:r>
        <w:rPr>
          <w:rFonts w:hint="eastAsia"/>
        </w:rPr>
        <w:t>焊接</w:t>
      </w:r>
      <w:r>
        <w:t>接头试验报告</w:t>
      </w:r>
      <w:r>
        <w:rPr>
          <w:rFonts w:hint="eastAsia"/>
        </w:rPr>
        <w:t>，</w:t>
      </w:r>
      <w:r>
        <w:t>结构加固各工序应检项目的现场检查记录和检验报告；</w:t>
      </w:r>
    </w:p>
    <w:p w:rsidR="009136B5" w:rsidRDefault="00000000">
      <w:pPr>
        <w:pStyle w:val="afffff1"/>
        <w:ind w:firstLineChars="150" w:firstLine="315"/>
      </w:pPr>
      <w:r>
        <w:rPr>
          <w:rFonts w:hint="eastAsia"/>
        </w:rPr>
        <w:t>7</w:t>
      </w:r>
      <w:r>
        <w:t xml:space="preserve">  </w:t>
      </w:r>
      <w:r>
        <w:t>混凝土工程施工记录</w:t>
      </w:r>
      <w:r>
        <w:rPr>
          <w:rFonts w:hint="eastAsia"/>
        </w:rPr>
        <w:t>，</w:t>
      </w:r>
      <w:r>
        <w:t>预应力筋安装、张拉的检验记录</w:t>
      </w:r>
      <w:r>
        <w:rPr>
          <w:rFonts w:hint="eastAsia"/>
        </w:rPr>
        <w:t>、</w:t>
      </w:r>
      <w:r>
        <w:t>预应力孔道灌浆记录；</w:t>
      </w:r>
      <w:r>
        <w:rPr>
          <w:rFonts w:hint="eastAsia"/>
        </w:rPr>
        <w:t>混凝土试块强度报告</w:t>
      </w:r>
      <w:r>
        <w:t>；</w:t>
      </w:r>
    </w:p>
    <w:p w:rsidR="009136B5" w:rsidRDefault="00000000">
      <w:pPr>
        <w:pStyle w:val="afffff1"/>
        <w:ind w:firstLineChars="150" w:firstLine="315"/>
      </w:pPr>
      <w:r>
        <w:rPr>
          <w:rFonts w:hint="eastAsia"/>
        </w:rPr>
        <w:t>8</w:t>
      </w:r>
      <w:r>
        <w:t xml:space="preserve">  </w:t>
      </w:r>
      <w:r>
        <w:rPr>
          <w:rFonts w:hint="eastAsia"/>
        </w:rPr>
        <w:t>试桩施工记录（报告）、（托换）打桩施工记录（含持荷控制）、基坑支护桩施工记录等；</w:t>
      </w:r>
    </w:p>
    <w:p w:rsidR="009136B5" w:rsidRDefault="00000000">
      <w:pPr>
        <w:pStyle w:val="afffff1"/>
        <w:ind w:firstLineChars="150" w:firstLine="315"/>
      </w:pPr>
      <w:r>
        <w:rPr>
          <w:rFonts w:hint="eastAsia"/>
        </w:rPr>
        <w:t>9</w:t>
      </w:r>
      <w:r>
        <w:t xml:space="preserve">  </w:t>
      </w:r>
      <w:r>
        <w:rPr>
          <w:rFonts w:hint="eastAsia"/>
        </w:rPr>
        <w:t>既有基础构件托换施工记录、内支撑施工记录（含轴力伺服控制）、锚杆施工记录、降排水施工记录、换撑施工记录，结构加固与结构连接施工记录等；</w:t>
      </w:r>
    </w:p>
    <w:p w:rsidR="009136B5" w:rsidRDefault="00000000">
      <w:pPr>
        <w:pStyle w:val="afffff1"/>
        <w:ind w:firstLineChars="150" w:firstLine="315"/>
      </w:pPr>
      <w:r>
        <w:rPr>
          <w:rFonts w:hint="eastAsia"/>
        </w:rPr>
        <w:t>1</w:t>
      </w:r>
      <w:r>
        <w:t xml:space="preserve">0  </w:t>
      </w:r>
      <w:r>
        <w:rPr>
          <w:rFonts w:hint="eastAsia"/>
        </w:rPr>
        <w:t>工程桩低（高）应变检测报告、桩静载测试报告等；</w:t>
      </w:r>
    </w:p>
    <w:p w:rsidR="009136B5" w:rsidRDefault="00000000">
      <w:pPr>
        <w:pStyle w:val="afffff1"/>
        <w:ind w:firstLineChars="150" w:firstLine="315"/>
      </w:pPr>
      <w:r>
        <w:rPr>
          <w:rFonts w:hint="eastAsia"/>
        </w:rPr>
        <w:t>1</w:t>
      </w:r>
      <w:r>
        <w:t xml:space="preserve">1  </w:t>
      </w:r>
      <w:r>
        <w:rPr>
          <w:rFonts w:hint="eastAsia"/>
        </w:rPr>
        <w:t>建筑移位、顶升施工记录；</w:t>
      </w:r>
    </w:p>
    <w:p w:rsidR="009136B5" w:rsidRDefault="00000000">
      <w:pPr>
        <w:pStyle w:val="afffff1"/>
        <w:ind w:firstLineChars="150" w:firstLine="315"/>
      </w:pPr>
      <w:r>
        <w:rPr>
          <w:rFonts w:hint="eastAsia"/>
        </w:rPr>
        <w:t>1</w:t>
      </w:r>
      <w:r>
        <w:t xml:space="preserve">2  </w:t>
      </w:r>
      <w:r>
        <w:t>结构实体</w:t>
      </w:r>
      <w:r>
        <w:rPr>
          <w:rFonts w:hint="eastAsia"/>
        </w:rPr>
        <w:t>抽样</w:t>
      </w:r>
      <w:r>
        <w:t>检验记录</w:t>
      </w:r>
      <w:r>
        <w:rPr>
          <w:rFonts w:hint="eastAsia"/>
        </w:rPr>
        <w:t>；</w:t>
      </w:r>
    </w:p>
    <w:p w:rsidR="009136B5" w:rsidRDefault="00000000">
      <w:pPr>
        <w:pStyle w:val="afffff1"/>
        <w:ind w:firstLineChars="150" w:firstLine="315"/>
      </w:pPr>
      <w:r>
        <w:rPr>
          <w:rFonts w:hint="eastAsia"/>
        </w:rPr>
        <w:lastRenderedPageBreak/>
        <w:t>1</w:t>
      </w:r>
      <w:r>
        <w:t xml:space="preserve">3  </w:t>
      </w:r>
      <w:r>
        <w:rPr>
          <w:rFonts w:hint="eastAsia"/>
        </w:rPr>
        <w:t>结构观感验收记录；</w:t>
      </w:r>
    </w:p>
    <w:p w:rsidR="009136B5" w:rsidRDefault="00000000">
      <w:pPr>
        <w:pStyle w:val="afffff1"/>
        <w:ind w:firstLineChars="150" w:firstLine="315"/>
      </w:pPr>
      <w:r>
        <w:rPr>
          <w:rFonts w:hint="eastAsia"/>
        </w:rPr>
        <w:t>1</w:t>
      </w:r>
      <w:r>
        <w:t xml:space="preserve">4  </w:t>
      </w:r>
      <w:r>
        <w:rPr>
          <w:rFonts w:hint="eastAsia"/>
        </w:rPr>
        <w:t>检验批质量验收资料、分项工程质量验收资料；</w:t>
      </w:r>
    </w:p>
    <w:p w:rsidR="009136B5" w:rsidRDefault="00000000">
      <w:pPr>
        <w:pStyle w:val="afffff1"/>
        <w:ind w:firstLineChars="150" w:firstLine="315"/>
      </w:pPr>
      <w:r>
        <w:rPr>
          <w:rFonts w:hint="eastAsia"/>
        </w:rPr>
        <w:t>1</w:t>
      </w:r>
      <w:r>
        <w:t xml:space="preserve">5  </w:t>
      </w:r>
      <w:r>
        <w:rPr>
          <w:rFonts w:hint="eastAsia"/>
        </w:rPr>
        <w:t>分部、子分部质量验收资料；</w:t>
      </w:r>
    </w:p>
    <w:p w:rsidR="009136B5" w:rsidRDefault="00000000">
      <w:pPr>
        <w:pStyle w:val="afffff1"/>
        <w:ind w:firstLineChars="150" w:firstLine="315"/>
      </w:pPr>
      <w:r>
        <w:rPr>
          <w:rFonts w:hint="eastAsia"/>
        </w:rPr>
        <w:t>1</w:t>
      </w:r>
      <w:r>
        <w:t xml:space="preserve">6  </w:t>
      </w:r>
      <w:r>
        <w:t>工程</w:t>
      </w:r>
      <w:r>
        <w:rPr>
          <w:rFonts w:hint="eastAsia"/>
        </w:rPr>
        <w:t>施工</w:t>
      </w:r>
      <w:r>
        <w:t>监测报告</w:t>
      </w:r>
      <w:r>
        <w:rPr>
          <w:rFonts w:hint="eastAsia"/>
        </w:rPr>
        <w:t>（含周边环境监测）</w:t>
      </w:r>
      <w:r>
        <w:t>；</w:t>
      </w:r>
    </w:p>
    <w:p w:rsidR="009136B5" w:rsidRDefault="00000000">
      <w:pPr>
        <w:pStyle w:val="afffff1"/>
        <w:ind w:firstLineChars="150" w:firstLine="315"/>
      </w:pPr>
      <w:r>
        <w:rPr>
          <w:rFonts w:hint="eastAsia"/>
        </w:rPr>
        <w:t>1</w:t>
      </w:r>
      <w:r>
        <w:t xml:space="preserve">7  </w:t>
      </w:r>
      <w:r>
        <w:rPr>
          <w:rFonts w:hint="eastAsia"/>
        </w:rPr>
        <w:t>施工影像资料；</w:t>
      </w:r>
    </w:p>
    <w:p w:rsidR="009136B5" w:rsidRDefault="00000000">
      <w:pPr>
        <w:pStyle w:val="afffff1"/>
        <w:ind w:firstLineChars="150" w:firstLine="315"/>
      </w:pPr>
      <w:r>
        <w:rPr>
          <w:rFonts w:hint="eastAsia"/>
        </w:rPr>
        <w:t>1</w:t>
      </w:r>
      <w:r>
        <w:t xml:space="preserve">8  </w:t>
      </w:r>
      <w:r>
        <w:t>工程的重大质量问题的处理方案和验收记录；</w:t>
      </w:r>
    </w:p>
    <w:p w:rsidR="009136B5" w:rsidRDefault="00000000">
      <w:pPr>
        <w:pStyle w:val="afffff1"/>
        <w:ind w:firstLineChars="150" w:firstLine="315"/>
      </w:pPr>
      <w:r>
        <w:rPr>
          <w:rFonts w:hint="eastAsia"/>
        </w:rPr>
        <w:t>1</w:t>
      </w:r>
      <w:r>
        <w:t xml:space="preserve">9  </w:t>
      </w:r>
      <w:r>
        <w:rPr>
          <w:rFonts w:hint="eastAsia"/>
        </w:rPr>
        <w:t>（基础与结构）中间</w:t>
      </w:r>
      <w:r>
        <w:t>验收报告；</w:t>
      </w:r>
    </w:p>
    <w:p w:rsidR="009136B5" w:rsidRDefault="00000000">
      <w:pPr>
        <w:pStyle w:val="afffff1"/>
        <w:ind w:firstLineChars="150" w:firstLine="315"/>
      </w:pPr>
      <w:r>
        <w:rPr>
          <w:rFonts w:hint="eastAsia"/>
        </w:rPr>
        <w:t>2</w:t>
      </w:r>
      <w:r>
        <w:t xml:space="preserve">0  </w:t>
      </w:r>
      <w:r>
        <w:t>其他必要的文件和记录。</w:t>
      </w:r>
    </w:p>
    <w:p w:rsidR="009136B5" w:rsidRDefault="00000000">
      <w:pPr>
        <w:pStyle w:val="20"/>
      </w:pPr>
      <w:bookmarkStart w:id="143" w:name="_Toc123647800"/>
      <w:bookmarkStart w:id="144" w:name="_Toc17583"/>
      <w:r>
        <w:rPr>
          <w:rFonts w:hint="eastAsia"/>
        </w:rPr>
        <w:t>9</w:t>
      </w:r>
      <w:r>
        <w:t>.2</w:t>
      </w:r>
      <w:r>
        <w:rPr>
          <w:rFonts w:hint="eastAsia"/>
        </w:rPr>
        <w:t xml:space="preserve"> </w:t>
      </w:r>
      <w:r>
        <w:t xml:space="preserve"> </w:t>
      </w:r>
      <w:r>
        <w:rPr>
          <w:rFonts w:hint="eastAsia"/>
        </w:rPr>
        <w:t>检验</w:t>
      </w:r>
      <w:bookmarkEnd w:id="143"/>
      <w:bookmarkEnd w:id="144"/>
    </w:p>
    <w:p w:rsidR="009136B5" w:rsidRDefault="00000000">
      <w:pPr>
        <w:pStyle w:val="xxx"/>
      </w:pPr>
      <w:r>
        <w:rPr>
          <w:b/>
          <w:bCs/>
        </w:rPr>
        <w:t>9.2.1</w:t>
      </w:r>
      <w:r>
        <w:t xml:space="preserve">  </w:t>
      </w:r>
      <w:r>
        <w:rPr>
          <w:rFonts w:hint="eastAsia"/>
        </w:rPr>
        <w:t>既有</w:t>
      </w:r>
      <w:r>
        <w:t>上部结构</w:t>
      </w:r>
      <w:r>
        <w:rPr>
          <w:rFonts w:hint="eastAsia"/>
        </w:rPr>
        <w:t>永久</w:t>
      </w:r>
      <w:r>
        <w:t>或临时加固、托换承台及托换梁的施工</w:t>
      </w:r>
      <w:r>
        <w:rPr>
          <w:rFonts w:hint="eastAsia"/>
        </w:rPr>
        <w:t>质量</w:t>
      </w:r>
      <w:r>
        <w:t>检验</w:t>
      </w:r>
      <w:r>
        <w:rPr>
          <w:rFonts w:hint="eastAsia"/>
        </w:rPr>
        <w:t>，</w:t>
      </w:r>
      <w:r>
        <w:t>应</w:t>
      </w:r>
      <w:r>
        <w:rPr>
          <w:rFonts w:hint="eastAsia"/>
        </w:rPr>
        <w:t>按</w:t>
      </w:r>
      <w:r>
        <w:t>《</w:t>
      </w:r>
      <w:r>
        <w:rPr>
          <w:rFonts w:hint="eastAsia"/>
        </w:rPr>
        <w:t>建筑结构</w:t>
      </w:r>
      <w:r>
        <w:t>加固</w:t>
      </w:r>
      <w:r>
        <w:rPr>
          <w:rFonts w:hint="eastAsia"/>
        </w:rPr>
        <w:t>工程</w:t>
      </w:r>
      <w:r>
        <w:t>施工质量验收</w:t>
      </w:r>
      <w:r>
        <w:rPr>
          <w:rFonts w:hint="eastAsia"/>
        </w:rPr>
        <w:t>规范</w:t>
      </w:r>
      <w:r>
        <w:t>》</w:t>
      </w:r>
      <w:r>
        <w:rPr>
          <w:rFonts w:hint="eastAsia"/>
        </w:rPr>
        <w:t>（</w:t>
      </w:r>
      <w:r>
        <w:rPr>
          <w:rFonts w:hint="eastAsia"/>
        </w:rPr>
        <w:t>GB50550</w:t>
      </w:r>
      <w:r>
        <w:rPr>
          <w:rFonts w:hint="eastAsia"/>
        </w:rPr>
        <w:t>）的相关</w:t>
      </w:r>
      <w:r>
        <w:t>要求进行</w:t>
      </w:r>
      <w:r>
        <w:rPr>
          <w:rFonts w:hint="eastAsia"/>
        </w:rPr>
        <w:t>。凡涉及</w:t>
      </w:r>
      <w:r>
        <w:t>结构安全的加固材料、施工工艺、施工过程留置的试件</w:t>
      </w:r>
      <w:r>
        <w:rPr>
          <w:rFonts w:hint="eastAsia"/>
        </w:rPr>
        <w:t>、</w:t>
      </w:r>
      <w:r>
        <w:t>结构重要部位的</w:t>
      </w:r>
      <w:r>
        <w:rPr>
          <w:rFonts w:hint="eastAsia"/>
        </w:rPr>
        <w:t>加固</w:t>
      </w:r>
      <w:r>
        <w:t>施工质量</w:t>
      </w:r>
      <w:r>
        <w:rPr>
          <w:rFonts w:hint="eastAsia"/>
        </w:rPr>
        <w:t>等</w:t>
      </w:r>
      <w:r>
        <w:t>项目，</w:t>
      </w:r>
      <w:r>
        <w:rPr>
          <w:rFonts w:hint="eastAsia"/>
        </w:rPr>
        <w:t>均</w:t>
      </w:r>
      <w:r>
        <w:t>须进行现场见证取样检测或结构构件实体见证检验。</w:t>
      </w:r>
    </w:p>
    <w:p w:rsidR="009136B5" w:rsidRDefault="00000000">
      <w:pPr>
        <w:pStyle w:val="xxx"/>
      </w:pPr>
      <w:r>
        <w:rPr>
          <w:b/>
          <w:bCs/>
        </w:rPr>
        <w:t>9.2.2</w:t>
      </w:r>
      <w:r>
        <w:t xml:space="preserve">  </w:t>
      </w:r>
      <w:r>
        <w:t>采用</w:t>
      </w:r>
      <w:r>
        <w:rPr>
          <w:rFonts w:hint="eastAsia"/>
        </w:rPr>
        <w:t>分节</w:t>
      </w:r>
      <w:r>
        <w:t>压入预制桩或植</w:t>
      </w:r>
      <w:r>
        <w:rPr>
          <w:rFonts w:hint="eastAsia"/>
        </w:rPr>
        <w:t>入</w:t>
      </w:r>
      <w:r>
        <w:t>的</w:t>
      </w:r>
      <w:r>
        <w:rPr>
          <w:rFonts w:hint="eastAsia"/>
        </w:rPr>
        <w:t>组合桩为托换</w:t>
      </w:r>
      <w:r>
        <w:t>桩，施工前应对成品桩的</w:t>
      </w:r>
      <w:r>
        <w:rPr>
          <w:rFonts w:hint="eastAsia"/>
        </w:rPr>
        <w:t>质量</w:t>
      </w:r>
      <w:r>
        <w:t>进行检验，施工</w:t>
      </w:r>
      <w:r>
        <w:rPr>
          <w:rFonts w:hint="eastAsia"/>
        </w:rPr>
        <w:t>过程</w:t>
      </w:r>
      <w:r>
        <w:t>中应对接桩质量进行检验，</w:t>
      </w:r>
      <w:r>
        <w:rPr>
          <w:rFonts w:hint="eastAsia"/>
        </w:rPr>
        <w:t>最终</w:t>
      </w:r>
      <w:r>
        <w:t>压桩</w:t>
      </w:r>
      <w:r>
        <w:rPr>
          <w:rFonts w:hint="eastAsia"/>
        </w:rPr>
        <w:t>力及</w:t>
      </w:r>
      <w:r>
        <w:t>压</w:t>
      </w:r>
      <w:r>
        <w:rPr>
          <w:rFonts w:hint="eastAsia"/>
        </w:rPr>
        <w:t>入或</w:t>
      </w:r>
      <w:r>
        <w:t>植入深度应符合设计要求，施工结束后应检验桩的</w:t>
      </w:r>
      <w:r>
        <w:rPr>
          <w:rFonts w:hint="eastAsia"/>
        </w:rPr>
        <w:t>竖向</w:t>
      </w:r>
      <w:r>
        <w:t>承载力</w:t>
      </w:r>
      <w:r>
        <w:rPr>
          <w:rFonts w:hint="eastAsia"/>
        </w:rPr>
        <w:t>。</w:t>
      </w:r>
    </w:p>
    <w:p w:rsidR="009136B5" w:rsidRDefault="00000000">
      <w:pPr>
        <w:pStyle w:val="xxx"/>
      </w:pPr>
      <w:r>
        <w:rPr>
          <w:b/>
          <w:bCs/>
        </w:rPr>
        <w:t>9.2.3</w:t>
      </w:r>
      <w:r>
        <w:t xml:space="preserve">  </w:t>
      </w:r>
      <w:r>
        <w:t>采用</w:t>
      </w:r>
      <w:r>
        <w:rPr>
          <w:rFonts w:hint="eastAsia"/>
        </w:rPr>
        <w:t>钻（挖）孔</w:t>
      </w:r>
      <w:r>
        <w:t>灌注桩</w:t>
      </w:r>
      <w:r>
        <w:rPr>
          <w:rFonts w:hint="eastAsia"/>
        </w:rPr>
        <w:t>为托</w:t>
      </w:r>
      <w:r>
        <w:t>换桩</w:t>
      </w:r>
      <w:r>
        <w:rPr>
          <w:rFonts w:hint="eastAsia"/>
        </w:rPr>
        <w:t>，施工</w:t>
      </w:r>
      <w:r>
        <w:t>前应检验原材料</w:t>
      </w:r>
      <w:r>
        <w:rPr>
          <w:rFonts w:hint="eastAsia"/>
        </w:rPr>
        <w:t>质量</w:t>
      </w:r>
      <w:r>
        <w:t>，</w:t>
      </w:r>
      <w:r>
        <w:rPr>
          <w:rFonts w:hint="eastAsia"/>
        </w:rPr>
        <w:t>施工</w:t>
      </w:r>
      <w:r>
        <w:t>过程中应</w:t>
      </w:r>
      <w:r>
        <w:rPr>
          <w:rFonts w:hint="eastAsia"/>
        </w:rPr>
        <w:t>检验</w:t>
      </w:r>
      <w:r>
        <w:t>孔深、</w:t>
      </w:r>
      <w:r>
        <w:rPr>
          <w:rFonts w:hint="eastAsia"/>
        </w:rPr>
        <w:t>泥浆比重、钢筋笼</w:t>
      </w:r>
      <w:r>
        <w:t>制作与安装</w:t>
      </w:r>
      <w:r>
        <w:rPr>
          <w:rFonts w:hint="eastAsia"/>
        </w:rPr>
        <w:t>质量</w:t>
      </w:r>
      <w:r>
        <w:t>，</w:t>
      </w:r>
      <w:r>
        <w:rPr>
          <w:rFonts w:hint="eastAsia"/>
        </w:rPr>
        <w:t>成桩</w:t>
      </w:r>
      <w:r>
        <w:t>后应</w:t>
      </w:r>
      <w:r>
        <w:rPr>
          <w:rFonts w:hint="eastAsia"/>
        </w:rPr>
        <w:t>对桩身混凝土</w:t>
      </w:r>
      <w:r>
        <w:t>强度、桩身完整性及</w:t>
      </w:r>
      <w:r>
        <w:rPr>
          <w:rFonts w:hint="eastAsia"/>
        </w:rPr>
        <w:t>竖向</w:t>
      </w:r>
      <w:r>
        <w:t>承载力进行检验。</w:t>
      </w:r>
      <w:r>
        <w:rPr>
          <w:rFonts w:hint="eastAsia"/>
        </w:rPr>
        <w:t>钻孔灌注桩身</w:t>
      </w:r>
      <w:r>
        <w:t>完整性</w:t>
      </w:r>
      <w:r>
        <w:rPr>
          <w:rFonts w:hint="eastAsia"/>
        </w:rPr>
        <w:t>抽检</w:t>
      </w:r>
      <w:r>
        <w:t>比例</w:t>
      </w:r>
      <w:r>
        <w:rPr>
          <w:rFonts w:hint="eastAsia"/>
        </w:rPr>
        <w:t>宜为</w:t>
      </w:r>
      <w:r>
        <w:rPr>
          <w:rFonts w:hint="eastAsia"/>
        </w:rPr>
        <w:t>100</w:t>
      </w:r>
      <w:r>
        <w:t>%</w:t>
      </w:r>
      <w:r>
        <w:t>。</w:t>
      </w:r>
    </w:p>
    <w:p w:rsidR="009136B5" w:rsidRDefault="00000000">
      <w:pPr>
        <w:pStyle w:val="xxx"/>
      </w:pPr>
      <w:r>
        <w:rPr>
          <w:b/>
          <w:bCs/>
        </w:rPr>
        <w:t>9.2.4</w:t>
      </w:r>
      <w:r>
        <w:t xml:space="preserve">  </w:t>
      </w:r>
      <w:r>
        <w:rPr>
          <w:rFonts w:hint="eastAsia"/>
        </w:rPr>
        <w:t>托换桩应采用</w:t>
      </w:r>
      <w:r>
        <w:t>静载试验的方法进行承载力检验，检验桩数不</w:t>
      </w:r>
      <w:r>
        <w:rPr>
          <w:rFonts w:hint="eastAsia"/>
        </w:rPr>
        <w:t>应</w:t>
      </w:r>
      <w:r>
        <w:t>少于总桩数的</w:t>
      </w:r>
      <w:r>
        <w:rPr>
          <w:rFonts w:hint="eastAsia"/>
        </w:rPr>
        <w:t>1</w:t>
      </w:r>
      <w:r>
        <w:t>%</w:t>
      </w:r>
      <w:r>
        <w:t>，且不少于</w:t>
      </w:r>
      <w:r>
        <w:rPr>
          <w:rFonts w:hint="eastAsia"/>
        </w:rPr>
        <w:t>3</w:t>
      </w:r>
      <w:r>
        <w:rPr>
          <w:rFonts w:hint="eastAsia"/>
        </w:rPr>
        <w:t>根</w:t>
      </w:r>
      <w:r>
        <w:t>，</w:t>
      </w:r>
      <w:r>
        <w:rPr>
          <w:rFonts w:hint="eastAsia"/>
        </w:rPr>
        <w:t>当</w:t>
      </w:r>
      <w:r>
        <w:t>总桩数少于</w:t>
      </w:r>
      <w:r>
        <w:rPr>
          <w:rFonts w:hint="eastAsia"/>
        </w:rPr>
        <w:t>50</w:t>
      </w:r>
      <w:r>
        <w:rPr>
          <w:rFonts w:hint="eastAsia"/>
        </w:rPr>
        <w:t>根</w:t>
      </w:r>
      <w:r>
        <w:t>时，不应少于</w:t>
      </w:r>
      <w:r>
        <w:rPr>
          <w:rFonts w:hint="eastAsia"/>
        </w:rPr>
        <w:t>2</w:t>
      </w:r>
      <w:r>
        <w:rPr>
          <w:rFonts w:hint="eastAsia"/>
        </w:rPr>
        <w:t>根</w:t>
      </w:r>
      <w:r>
        <w:t>。</w:t>
      </w:r>
      <w:r>
        <w:rPr>
          <w:rFonts w:hint="eastAsia"/>
        </w:rPr>
        <w:t>当</w:t>
      </w:r>
      <w:r>
        <w:t>受</w:t>
      </w:r>
      <w:r>
        <w:rPr>
          <w:rFonts w:hint="eastAsia"/>
        </w:rPr>
        <w:t>设备</w:t>
      </w:r>
      <w:r>
        <w:t>或现场条件限制</w:t>
      </w:r>
      <w:r>
        <w:rPr>
          <w:rFonts w:hint="eastAsia"/>
        </w:rPr>
        <w:t>无法</w:t>
      </w:r>
      <w:r>
        <w:t>采用静载试验</w:t>
      </w:r>
      <w:r>
        <w:rPr>
          <w:rFonts w:hint="eastAsia"/>
        </w:rPr>
        <w:t>时，可</w:t>
      </w:r>
      <w:r>
        <w:t>采用自平衡法</w:t>
      </w:r>
      <w:r>
        <w:rPr>
          <w:rFonts w:hint="eastAsia"/>
        </w:rPr>
        <w:t>。</w:t>
      </w:r>
    </w:p>
    <w:p w:rsidR="009136B5" w:rsidRDefault="00000000">
      <w:pPr>
        <w:pStyle w:val="xxx"/>
      </w:pPr>
      <w:r>
        <w:rPr>
          <w:b/>
          <w:bCs/>
        </w:rPr>
        <w:t>9.2.5</w:t>
      </w:r>
      <w:r>
        <w:t xml:space="preserve">  </w:t>
      </w:r>
      <w:r>
        <w:rPr>
          <w:rFonts w:hint="eastAsia"/>
        </w:rPr>
        <w:t>侧向支护结构（支护桩、墙、支撑、锚杆、坑底加固、止水帷幕等）的</w:t>
      </w:r>
      <w:r>
        <w:t>施工</w:t>
      </w:r>
      <w:r>
        <w:rPr>
          <w:rFonts w:hint="eastAsia"/>
        </w:rPr>
        <w:t>质量</w:t>
      </w:r>
      <w:r>
        <w:t>检验，</w:t>
      </w:r>
      <w:r>
        <w:rPr>
          <w:rFonts w:hint="eastAsia"/>
        </w:rPr>
        <w:t>应按</w:t>
      </w:r>
      <w:r>
        <w:t>现</w:t>
      </w:r>
      <w:r>
        <w:rPr>
          <w:rFonts w:hint="eastAsia"/>
        </w:rPr>
        <w:t>行</w:t>
      </w:r>
      <w:r>
        <w:t>国家标准《</w:t>
      </w:r>
      <w:r>
        <w:rPr>
          <w:rFonts w:hint="eastAsia"/>
        </w:rPr>
        <w:t>建筑</w:t>
      </w:r>
      <w:r>
        <w:t>地基基础工程施工质量验收标准》</w:t>
      </w:r>
      <w:r>
        <w:rPr>
          <w:rFonts w:hint="eastAsia"/>
        </w:rPr>
        <w:t>（</w:t>
      </w:r>
      <w:r>
        <w:rPr>
          <w:rFonts w:hint="eastAsia"/>
        </w:rPr>
        <w:t>GB50202</w:t>
      </w:r>
      <w:r>
        <w:t>-2018</w:t>
      </w:r>
      <w:r>
        <w:rPr>
          <w:rFonts w:hint="eastAsia"/>
        </w:rPr>
        <w:t>）的相关要求进行；</w:t>
      </w:r>
    </w:p>
    <w:p w:rsidR="009136B5" w:rsidRDefault="00000000">
      <w:pPr>
        <w:pStyle w:val="xxx"/>
      </w:pPr>
      <w:r>
        <w:rPr>
          <w:b/>
          <w:bCs/>
        </w:rPr>
        <w:t>9.2.6</w:t>
      </w:r>
      <w:r>
        <w:t xml:space="preserve">  </w:t>
      </w:r>
      <w:r>
        <w:t>新</w:t>
      </w:r>
      <w:r>
        <w:rPr>
          <w:rFonts w:hint="eastAsia"/>
        </w:rPr>
        <w:t>增地下</w:t>
      </w:r>
      <w:r>
        <w:t>结构</w:t>
      </w:r>
      <w:r>
        <w:rPr>
          <w:rFonts w:hint="eastAsia"/>
        </w:rPr>
        <w:t>的</w:t>
      </w:r>
      <w:r>
        <w:t>施工</w:t>
      </w:r>
      <w:r>
        <w:rPr>
          <w:rFonts w:hint="eastAsia"/>
        </w:rPr>
        <w:t>质量</w:t>
      </w:r>
      <w:r>
        <w:t>检验，应按《</w:t>
      </w:r>
      <w:r>
        <w:rPr>
          <w:rFonts w:hint="eastAsia"/>
        </w:rPr>
        <w:t>混凝土</w:t>
      </w:r>
      <w:r>
        <w:t>结构工程施工质量验收规范》</w:t>
      </w:r>
      <w:r>
        <w:rPr>
          <w:rFonts w:hint="eastAsia"/>
        </w:rPr>
        <w:t>（</w:t>
      </w:r>
      <w:r>
        <w:rPr>
          <w:rFonts w:hint="eastAsia"/>
        </w:rPr>
        <w:t>GB50204</w:t>
      </w:r>
      <w:r>
        <w:rPr>
          <w:rFonts w:hint="eastAsia"/>
        </w:rPr>
        <w:t>）和《地下工程防水技术规范》（</w:t>
      </w:r>
      <w:r>
        <w:rPr>
          <w:rFonts w:hint="eastAsia"/>
        </w:rPr>
        <w:t>GB50</w:t>
      </w:r>
      <w:r>
        <w:t>1</w:t>
      </w:r>
      <w:r>
        <w:rPr>
          <w:rFonts w:hint="eastAsia"/>
        </w:rPr>
        <w:t>0</w:t>
      </w:r>
      <w:r>
        <w:t>8</w:t>
      </w:r>
      <w:r>
        <w:rPr>
          <w:rFonts w:hint="eastAsia"/>
        </w:rPr>
        <w:t>）的</w:t>
      </w:r>
      <w:r>
        <w:t>相关</w:t>
      </w:r>
      <w:r>
        <w:rPr>
          <w:rFonts w:hint="eastAsia"/>
        </w:rPr>
        <w:t>规定</w:t>
      </w:r>
      <w:r>
        <w:t>进行。</w:t>
      </w:r>
      <w:r>
        <w:rPr>
          <w:rFonts w:hint="eastAsia"/>
        </w:rPr>
        <w:t>对</w:t>
      </w:r>
      <w:r>
        <w:t>涉及混凝土结构</w:t>
      </w:r>
      <w:r>
        <w:rPr>
          <w:rFonts w:hint="eastAsia"/>
        </w:rPr>
        <w:t>安全</w:t>
      </w:r>
      <w:r>
        <w:t>的有代表性</w:t>
      </w:r>
      <w:r>
        <w:rPr>
          <w:rFonts w:hint="eastAsia"/>
        </w:rPr>
        <w:t>的</w:t>
      </w:r>
      <w:r>
        <w:t>部位</w:t>
      </w:r>
      <w:r>
        <w:rPr>
          <w:rFonts w:hint="eastAsia"/>
        </w:rPr>
        <w:t>应</w:t>
      </w:r>
      <w:r>
        <w:t>进行结构实体检验。</w:t>
      </w:r>
    </w:p>
    <w:p w:rsidR="009136B5" w:rsidRDefault="00000000">
      <w:pPr>
        <w:pStyle w:val="xxx"/>
      </w:pPr>
      <w:r>
        <w:rPr>
          <w:b/>
          <w:bCs/>
        </w:rPr>
        <w:t>9.2.7</w:t>
      </w:r>
      <w:r>
        <w:t xml:space="preserve">  </w:t>
      </w:r>
      <w:r>
        <w:rPr>
          <w:rFonts w:hint="eastAsia"/>
        </w:rPr>
        <w:t>应对</w:t>
      </w:r>
      <w:r>
        <w:t>新增结构与原主体结构</w:t>
      </w:r>
      <w:r>
        <w:rPr>
          <w:rFonts w:hint="eastAsia"/>
        </w:rPr>
        <w:t>之间</w:t>
      </w:r>
      <w:r>
        <w:t>的连接构造进行检验，并提供隐蔽工程</w:t>
      </w:r>
      <w:r>
        <w:rPr>
          <w:rFonts w:hint="eastAsia"/>
        </w:rPr>
        <w:t>验收</w:t>
      </w:r>
      <w:r>
        <w:t>报告。</w:t>
      </w:r>
    </w:p>
    <w:p w:rsidR="009136B5" w:rsidRDefault="00000000">
      <w:pPr>
        <w:pStyle w:val="xxx"/>
      </w:pPr>
      <w:r>
        <w:rPr>
          <w:b/>
          <w:bCs/>
        </w:rPr>
        <w:t xml:space="preserve">9.2.8  </w:t>
      </w:r>
      <w:r>
        <w:rPr>
          <w:rFonts w:hint="eastAsia"/>
        </w:rPr>
        <w:t>对于移位增层、既有建筑通过升降完成最终结构改造的工程，移位施工和结构升降施工质量检验，应按《建（构）筑物移位工程技术规程》</w:t>
      </w:r>
      <w:r>
        <w:rPr>
          <w:rFonts w:hint="eastAsia"/>
        </w:rPr>
        <w:t>J</w:t>
      </w:r>
      <w:r>
        <w:t>GJ/T239-2011</w:t>
      </w:r>
      <w:r>
        <w:rPr>
          <w:rFonts w:hint="eastAsia"/>
        </w:rPr>
        <w:t>、《建筑物倾斜纠偏技术规程》</w:t>
      </w:r>
      <w:r>
        <w:rPr>
          <w:rFonts w:hint="eastAsia"/>
        </w:rPr>
        <w:t>J</w:t>
      </w:r>
      <w:r>
        <w:t>GJ270-2012</w:t>
      </w:r>
      <w:r>
        <w:rPr>
          <w:rFonts w:hint="eastAsia"/>
        </w:rPr>
        <w:t>的相关规定进行。</w:t>
      </w:r>
    </w:p>
    <w:p w:rsidR="009136B5" w:rsidRDefault="00000000">
      <w:pPr>
        <w:pStyle w:val="20"/>
      </w:pPr>
      <w:bookmarkStart w:id="145" w:name="_Toc123647801"/>
      <w:bookmarkStart w:id="146" w:name="_Toc5127"/>
      <w:r>
        <w:rPr>
          <w:rFonts w:hint="eastAsia"/>
        </w:rPr>
        <w:t>9</w:t>
      </w:r>
      <w:r>
        <w:t xml:space="preserve">.3 </w:t>
      </w:r>
      <w:r>
        <w:rPr>
          <w:rFonts w:hint="eastAsia"/>
        </w:rPr>
        <w:t xml:space="preserve"> </w:t>
      </w:r>
      <w:r>
        <w:rPr>
          <w:rFonts w:hint="eastAsia"/>
        </w:rPr>
        <w:t>验收</w:t>
      </w:r>
      <w:bookmarkEnd w:id="145"/>
      <w:bookmarkEnd w:id="146"/>
    </w:p>
    <w:p w:rsidR="009136B5" w:rsidRDefault="00000000">
      <w:pPr>
        <w:pStyle w:val="xxx"/>
      </w:pPr>
      <w:r>
        <w:rPr>
          <w:b/>
          <w:bCs/>
        </w:rPr>
        <w:t>9.3.1</w:t>
      </w:r>
      <w:r>
        <w:t xml:space="preserve">  </w:t>
      </w:r>
      <w:r>
        <w:rPr>
          <w:rFonts w:hint="eastAsia"/>
        </w:rPr>
        <w:t>检验</w:t>
      </w:r>
      <w:r>
        <w:t>批</w:t>
      </w:r>
      <w:r>
        <w:rPr>
          <w:rFonts w:hint="eastAsia"/>
        </w:rPr>
        <w:t>的</w:t>
      </w:r>
      <w:r>
        <w:t>质量</w:t>
      </w:r>
      <w:r>
        <w:rPr>
          <w:rFonts w:hint="eastAsia"/>
        </w:rPr>
        <w:t>验收应</w:t>
      </w:r>
      <w:r>
        <w:t>包括实物检查和资料检查，并应符合下列规定：</w:t>
      </w:r>
    </w:p>
    <w:p w:rsidR="009136B5" w:rsidRDefault="00000000">
      <w:pPr>
        <w:pStyle w:val="x"/>
        <w:ind w:firstLine="316"/>
      </w:pPr>
      <w:r>
        <w:rPr>
          <w:rFonts w:hint="eastAsia"/>
          <w:b/>
          <w:bCs/>
        </w:rPr>
        <w:t>1</w:t>
      </w:r>
      <w:r>
        <w:t xml:space="preserve">  </w:t>
      </w:r>
      <w:r>
        <w:rPr>
          <w:rFonts w:hint="eastAsia"/>
        </w:rPr>
        <w:t>主控</w:t>
      </w:r>
      <w:r>
        <w:t>项目的质量经抽样检验均</w:t>
      </w:r>
      <w:r>
        <w:rPr>
          <w:rFonts w:hint="eastAsia"/>
        </w:rPr>
        <w:t>应</w:t>
      </w:r>
      <w:r>
        <w:t>合格</w:t>
      </w:r>
      <w:r>
        <w:rPr>
          <w:rFonts w:hint="eastAsia"/>
        </w:rPr>
        <w:t>；</w:t>
      </w:r>
    </w:p>
    <w:p w:rsidR="009136B5" w:rsidRDefault="00000000">
      <w:pPr>
        <w:pStyle w:val="x"/>
        <w:ind w:firstLine="316"/>
      </w:pPr>
      <w:r>
        <w:rPr>
          <w:b/>
          <w:bCs/>
        </w:rPr>
        <w:t>2</w:t>
      </w:r>
      <w:r>
        <w:t xml:space="preserve">  </w:t>
      </w:r>
      <w:r>
        <w:rPr>
          <w:rFonts w:hint="eastAsia"/>
        </w:rPr>
        <w:t>一般</w:t>
      </w:r>
      <w:r>
        <w:t>项目的质量经抽样检验应合格；当采用</w:t>
      </w:r>
      <w:r>
        <w:rPr>
          <w:rFonts w:hint="eastAsia"/>
        </w:rPr>
        <w:t>计数</w:t>
      </w:r>
      <w:r>
        <w:t>检验</w:t>
      </w:r>
      <w:r>
        <w:rPr>
          <w:rFonts w:hint="eastAsia"/>
        </w:rPr>
        <w:t>时，除有</w:t>
      </w:r>
      <w:r>
        <w:t>专门规定外，其合格点率应不低于</w:t>
      </w:r>
      <w:r>
        <w:rPr>
          <w:rFonts w:hint="eastAsia"/>
        </w:rPr>
        <w:lastRenderedPageBreak/>
        <w:t>80</w:t>
      </w:r>
      <w:r>
        <w:t>%</w:t>
      </w:r>
      <w:r>
        <w:t>，</w:t>
      </w:r>
      <w:r>
        <w:rPr>
          <w:rFonts w:hint="eastAsia"/>
        </w:rPr>
        <w:t>且</w:t>
      </w:r>
      <w:r>
        <w:t>不得有严重</w:t>
      </w:r>
      <w:r>
        <w:rPr>
          <w:rFonts w:hint="eastAsia"/>
        </w:rPr>
        <w:t>缺陷；</w:t>
      </w:r>
    </w:p>
    <w:p w:rsidR="009136B5" w:rsidRDefault="00000000">
      <w:pPr>
        <w:pStyle w:val="x"/>
        <w:ind w:firstLine="316"/>
      </w:pPr>
      <w:r>
        <w:rPr>
          <w:b/>
          <w:bCs/>
        </w:rPr>
        <w:t>3</w:t>
      </w:r>
      <w:r>
        <w:t xml:space="preserve">  </w:t>
      </w:r>
      <w:r>
        <w:rPr>
          <w:rFonts w:hint="eastAsia"/>
        </w:rPr>
        <w:t>具有</w:t>
      </w:r>
      <w:r>
        <w:t>完整的施工操作依据、质量</w:t>
      </w:r>
      <w:r>
        <w:rPr>
          <w:rFonts w:hint="eastAsia"/>
        </w:rPr>
        <w:t>验收记录</w:t>
      </w:r>
      <w:r>
        <w:t>。</w:t>
      </w:r>
    </w:p>
    <w:p w:rsidR="009136B5" w:rsidRDefault="00000000">
      <w:pPr>
        <w:pStyle w:val="xxx"/>
      </w:pPr>
      <w:r>
        <w:rPr>
          <w:b/>
          <w:bCs/>
        </w:rPr>
        <w:t>9.3.2</w:t>
      </w:r>
      <w:r>
        <w:t xml:space="preserve">  </w:t>
      </w:r>
      <w:r>
        <w:rPr>
          <w:rFonts w:hint="eastAsia"/>
        </w:rPr>
        <w:t>分项工程</w:t>
      </w:r>
      <w:r>
        <w:t>的质量验收应在其所含检验批验收合格的基础上，</w:t>
      </w:r>
      <w:r>
        <w:rPr>
          <w:rFonts w:hint="eastAsia"/>
        </w:rPr>
        <w:t>进行质量</w:t>
      </w:r>
      <w:r>
        <w:t>验收，并</w:t>
      </w:r>
      <w:r>
        <w:rPr>
          <w:rFonts w:hint="eastAsia"/>
        </w:rPr>
        <w:t>应</w:t>
      </w:r>
      <w:r>
        <w:t>符合下列规定：</w:t>
      </w:r>
    </w:p>
    <w:p w:rsidR="009136B5" w:rsidRDefault="00000000">
      <w:pPr>
        <w:pStyle w:val="x"/>
        <w:ind w:firstLine="316"/>
      </w:pPr>
      <w:r>
        <w:rPr>
          <w:rFonts w:hint="eastAsia"/>
          <w:b/>
          <w:bCs/>
        </w:rPr>
        <w:t>1</w:t>
      </w:r>
      <w:r>
        <w:t xml:space="preserve">  </w:t>
      </w:r>
      <w:r>
        <w:t>所含</w:t>
      </w:r>
      <w:r>
        <w:rPr>
          <w:rFonts w:hint="eastAsia"/>
        </w:rPr>
        <w:t>各检验</w:t>
      </w:r>
      <w:r>
        <w:t>批</w:t>
      </w:r>
      <w:r>
        <w:rPr>
          <w:rFonts w:hint="eastAsia"/>
        </w:rPr>
        <w:t>的质量均</w:t>
      </w:r>
      <w:r>
        <w:t>应验收合格</w:t>
      </w:r>
      <w:r>
        <w:rPr>
          <w:rFonts w:hint="eastAsia"/>
        </w:rPr>
        <w:t>；</w:t>
      </w:r>
    </w:p>
    <w:p w:rsidR="009136B5" w:rsidRDefault="00000000">
      <w:pPr>
        <w:pStyle w:val="x"/>
        <w:ind w:firstLine="316"/>
      </w:pPr>
      <w:r>
        <w:rPr>
          <w:b/>
          <w:bCs/>
        </w:rPr>
        <w:t>2</w:t>
      </w:r>
      <w:r>
        <w:t xml:space="preserve">  </w:t>
      </w:r>
      <w:r>
        <w:t>所含的</w:t>
      </w:r>
      <w:r>
        <w:rPr>
          <w:rFonts w:hint="eastAsia"/>
        </w:rPr>
        <w:t>各检验</w:t>
      </w:r>
      <w:r>
        <w:t>批质量验收记录</w:t>
      </w:r>
      <w:r>
        <w:rPr>
          <w:rFonts w:hint="eastAsia"/>
        </w:rPr>
        <w:t>应</w:t>
      </w:r>
      <w:r>
        <w:t>完整。</w:t>
      </w:r>
    </w:p>
    <w:p w:rsidR="009136B5" w:rsidRDefault="00000000">
      <w:pPr>
        <w:pStyle w:val="xxx"/>
      </w:pPr>
      <w:r>
        <w:rPr>
          <w:b/>
          <w:bCs/>
        </w:rPr>
        <w:t>9.3.3</w:t>
      </w:r>
      <w:r>
        <w:t xml:space="preserve">  </w:t>
      </w:r>
      <w:r>
        <w:rPr>
          <w:rFonts w:hint="eastAsia"/>
        </w:rPr>
        <w:t>子</w:t>
      </w:r>
      <w:bookmarkStart w:id="147" w:name="_Hlk123400046"/>
      <w:r>
        <w:rPr>
          <w:rFonts w:hint="eastAsia"/>
        </w:rPr>
        <w:t>分部工程的</w:t>
      </w:r>
      <w:r>
        <w:t>质量验收应在</w:t>
      </w:r>
      <w:r>
        <w:rPr>
          <w:rFonts w:hint="eastAsia"/>
        </w:rPr>
        <w:t>其</w:t>
      </w:r>
      <w:r>
        <w:t>所含分项工程</w:t>
      </w:r>
      <w:r>
        <w:rPr>
          <w:rFonts w:hint="eastAsia"/>
        </w:rPr>
        <w:t>验收</w:t>
      </w:r>
      <w:r>
        <w:t>合格的基础上，并应符合下列规定：</w:t>
      </w:r>
    </w:p>
    <w:p w:rsidR="009136B5" w:rsidRDefault="00000000">
      <w:pPr>
        <w:pStyle w:val="x"/>
        <w:ind w:firstLine="316"/>
      </w:pPr>
      <w:r>
        <w:rPr>
          <w:rFonts w:hint="eastAsia"/>
          <w:b/>
          <w:bCs/>
        </w:rPr>
        <w:t>1</w:t>
      </w:r>
      <w:r>
        <w:t xml:space="preserve">  </w:t>
      </w:r>
      <w:r>
        <w:rPr>
          <w:rFonts w:hint="eastAsia"/>
        </w:rPr>
        <w:t>所含各</w:t>
      </w:r>
      <w:r>
        <w:t>分项工程</w:t>
      </w:r>
      <w:r>
        <w:rPr>
          <w:rFonts w:hint="eastAsia"/>
        </w:rPr>
        <w:t>质量</w:t>
      </w:r>
      <w:r>
        <w:t>验收合格</w:t>
      </w:r>
      <w:r>
        <w:rPr>
          <w:rFonts w:hint="eastAsia"/>
        </w:rPr>
        <w:t>；</w:t>
      </w:r>
    </w:p>
    <w:p w:rsidR="009136B5" w:rsidRDefault="00000000">
      <w:pPr>
        <w:pStyle w:val="x"/>
        <w:ind w:firstLine="316"/>
      </w:pPr>
      <w:r>
        <w:rPr>
          <w:b/>
          <w:bCs/>
        </w:rPr>
        <w:t>2</w:t>
      </w:r>
      <w:r>
        <w:t xml:space="preserve">  </w:t>
      </w:r>
      <w:r>
        <w:rPr>
          <w:rFonts w:hint="eastAsia"/>
        </w:rPr>
        <w:t>质量控制</w:t>
      </w:r>
      <w:r>
        <w:t>资料完整</w:t>
      </w:r>
      <w:r>
        <w:rPr>
          <w:rFonts w:hint="eastAsia"/>
        </w:rPr>
        <w:t>；</w:t>
      </w:r>
    </w:p>
    <w:p w:rsidR="009136B5" w:rsidRDefault="00000000">
      <w:pPr>
        <w:pStyle w:val="x"/>
        <w:ind w:firstLine="316"/>
      </w:pPr>
      <w:r>
        <w:rPr>
          <w:b/>
          <w:bCs/>
        </w:rPr>
        <w:t>3</w:t>
      </w:r>
      <w:r>
        <w:t xml:space="preserve">  </w:t>
      </w:r>
      <w:r>
        <w:rPr>
          <w:rFonts w:hint="eastAsia"/>
        </w:rPr>
        <w:t>观感质量</w:t>
      </w:r>
      <w:r>
        <w:t>验收合格</w:t>
      </w:r>
      <w:r>
        <w:rPr>
          <w:rFonts w:hint="eastAsia"/>
        </w:rPr>
        <w:t>；</w:t>
      </w:r>
    </w:p>
    <w:p w:rsidR="009136B5" w:rsidRDefault="00000000">
      <w:pPr>
        <w:pStyle w:val="x"/>
        <w:ind w:firstLine="316"/>
      </w:pPr>
      <w:r>
        <w:rPr>
          <w:b/>
          <w:bCs/>
        </w:rPr>
        <w:t>4</w:t>
      </w:r>
      <w:r>
        <w:t xml:space="preserve">  </w:t>
      </w:r>
      <w:r>
        <w:rPr>
          <w:rFonts w:hint="eastAsia"/>
        </w:rPr>
        <w:t>实体检验和主要使用功能抽样检验</w:t>
      </w:r>
      <w:r>
        <w:t>合格</w:t>
      </w:r>
      <w:r>
        <w:rPr>
          <w:rFonts w:hint="eastAsia"/>
        </w:rPr>
        <w:t>。</w:t>
      </w:r>
    </w:p>
    <w:bookmarkEnd w:id="147"/>
    <w:p w:rsidR="009136B5" w:rsidRDefault="00000000">
      <w:pPr>
        <w:pStyle w:val="xxx"/>
      </w:pPr>
      <w:r>
        <w:rPr>
          <w:b/>
          <w:bCs/>
        </w:rPr>
        <w:t>9.3.4</w:t>
      </w:r>
      <w:r>
        <w:t xml:space="preserve">  </w:t>
      </w:r>
      <w:r>
        <w:rPr>
          <w:rFonts w:hint="eastAsia"/>
        </w:rPr>
        <w:t>分部工程的</w:t>
      </w:r>
      <w:r>
        <w:t>质量验收应在</w:t>
      </w:r>
      <w:r>
        <w:rPr>
          <w:rFonts w:hint="eastAsia"/>
        </w:rPr>
        <w:t>其</w:t>
      </w:r>
      <w:r>
        <w:t>所含</w:t>
      </w:r>
      <w:r>
        <w:rPr>
          <w:rFonts w:hint="eastAsia"/>
        </w:rPr>
        <w:t>子分部</w:t>
      </w:r>
      <w:r>
        <w:t>工程</w:t>
      </w:r>
      <w:r>
        <w:rPr>
          <w:rFonts w:hint="eastAsia"/>
        </w:rPr>
        <w:t>验收</w:t>
      </w:r>
      <w:r>
        <w:t>合格的基础上，并应符合下列规定：</w:t>
      </w:r>
    </w:p>
    <w:p w:rsidR="009136B5" w:rsidRDefault="00000000">
      <w:pPr>
        <w:pStyle w:val="x"/>
        <w:ind w:firstLine="316"/>
      </w:pPr>
      <w:r>
        <w:rPr>
          <w:rFonts w:hint="eastAsia"/>
          <w:b/>
          <w:bCs/>
        </w:rPr>
        <w:t>1</w:t>
      </w:r>
      <w:r>
        <w:t xml:space="preserve">  </w:t>
      </w:r>
      <w:r>
        <w:rPr>
          <w:rFonts w:hint="eastAsia"/>
        </w:rPr>
        <w:t>质量控制</w:t>
      </w:r>
      <w:r>
        <w:t>资料完整</w:t>
      </w:r>
      <w:r>
        <w:rPr>
          <w:rFonts w:hint="eastAsia"/>
        </w:rPr>
        <w:t>；</w:t>
      </w:r>
    </w:p>
    <w:p w:rsidR="009136B5" w:rsidRDefault="00000000">
      <w:pPr>
        <w:pStyle w:val="x"/>
        <w:ind w:firstLine="316"/>
      </w:pPr>
      <w:r>
        <w:rPr>
          <w:b/>
          <w:bCs/>
        </w:rPr>
        <w:t>2</w:t>
      </w:r>
      <w:r>
        <w:t xml:space="preserve">  </w:t>
      </w:r>
      <w:r>
        <w:rPr>
          <w:rFonts w:hint="eastAsia"/>
        </w:rPr>
        <w:t>观感质量</w:t>
      </w:r>
      <w:r>
        <w:t>验收合格</w:t>
      </w:r>
      <w:r>
        <w:rPr>
          <w:rFonts w:hint="eastAsia"/>
        </w:rPr>
        <w:t>；</w:t>
      </w:r>
    </w:p>
    <w:p w:rsidR="009136B5" w:rsidRDefault="00000000">
      <w:pPr>
        <w:pStyle w:val="x"/>
        <w:ind w:firstLine="316"/>
        <w:rPr>
          <w:b/>
        </w:rPr>
      </w:pPr>
      <w:r>
        <w:rPr>
          <w:b/>
          <w:bCs/>
        </w:rPr>
        <w:t>3</w:t>
      </w:r>
      <w:r>
        <w:t xml:space="preserve"> </w:t>
      </w:r>
      <w:r>
        <w:rPr>
          <w:rFonts w:hint="eastAsia"/>
        </w:rPr>
        <w:t>实体检验和主要使用功能抽样检验</w:t>
      </w:r>
      <w:r>
        <w:t>合格</w:t>
      </w:r>
      <w:r>
        <w:rPr>
          <w:rFonts w:hint="eastAsia"/>
        </w:rPr>
        <w:t>。</w:t>
      </w:r>
    </w:p>
    <w:p w:rsidR="009136B5" w:rsidRDefault="00000000">
      <w:pPr>
        <w:pStyle w:val="xxx"/>
      </w:pPr>
      <w:r>
        <w:rPr>
          <w:b/>
          <w:bCs/>
        </w:rPr>
        <w:t>9.3.5</w:t>
      </w:r>
      <w:r>
        <w:t xml:space="preserve">  </w:t>
      </w:r>
      <w:r>
        <w:rPr>
          <w:rFonts w:hint="eastAsia"/>
        </w:rPr>
        <w:t>地下增层工程施工质量（中间）验收合格</w:t>
      </w:r>
      <w:r>
        <w:t>应符合下列规定：</w:t>
      </w:r>
    </w:p>
    <w:p w:rsidR="009136B5" w:rsidRDefault="00000000">
      <w:pPr>
        <w:pStyle w:val="x"/>
        <w:ind w:firstLine="316"/>
      </w:pPr>
      <w:r>
        <w:rPr>
          <w:rFonts w:hint="eastAsia"/>
          <w:b/>
          <w:bCs/>
        </w:rPr>
        <w:t>1</w:t>
      </w:r>
      <w:r>
        <w:t xml:space="preserve">  </w:t>
      </w:r>
      <w:r>
        <w:rPr>
          <w:rFonts w:hint="eastAsia"/>
        </w:rPr>
        <w:t>所含各</w:t>
      </w:r>
      <w:r>
        <w:t>分</w:t>
      </w:r>
      <w:r>
        <w:rPr>
          <w:rFonts w:hint="eastAsia"/>
        </w:rPr>
        <w:t>部</w:t>
      </w:r>
      <w:r>
        <w:t>工程</w:t>
      </w:r>
      <w:r>
        <w:rPr>
          <w:rFonts w:hint="eastAsia"/>
        </w:rPr>
        <w:t>质量</w:t>
      </w:r>
      <w:r>
        <w:t>验收合格</w:t>
      </w:r>
      <w:r>
        <w:rPr>
          <w:rFonts w:hint="eastAsia"/>
        </w:rPr>
        <w:t>；</w:t>
      </w:r>
    </w:p>
    <w:p w:rsidR="009136B5" w:rsidRDefault="00000000">
      <w:pPr>
        <w:pStyle w:val="x"/>
        <w:ind w:firstLine="316"/>
      </w:pPr>
      <w:r>
        <w:rPr>
          <w:b/>
          <w:bCs/>
        </w:rPr>
        <w:t>2</w:t>
      </w:r>
      <w:r>
        <w:t xml:space="preserve">  </w:t>
      </w:r>
      <w:r>
        <w:rPr>
          <w:rFonts w:hint="eastAsia"/>
        </w:rPr>
        <w:t>质量控制</w:t>
      </w:r>
      <w:r>
        <w:t>资料完整</w:t>
      </w:r>
      <w:r>
        <w:rPr>
          <w:rFonts w:hint="eastAsia"/>
        </w:rPr>
        <w:t>；</w:t>
      </w:r>
    </w:p>
    <w:p w:rsidR="009136B5" w:rsidRDefault="00000000">
      <w:pPr>
        <w:pStyle w:val="x"/>
        <w:ind w:firstLine="316"/>
      </w:pPr>
      <w:r>
        <w:rPr>
          <w:b/>
          <w:bCs/>
        </w:rPr>
        <w:t>3</w:t>
      </w:r>
      <w:r>
        <w:t xml:space="preserve">  </w:t>
      </w:r>
      <w:r>
        <w:rPr>
          <w:rFonts w:hint="eastAsia"/>
        </w:rPr>
        <w:t>所含各子</w:t>
      </w:r>
      <w:r>
        <w:t>分</w:t>
      </w:r>
      <w:r>
        <w:rPr>
          <w:rFonts w:hint="eastAsia"/>
        </w:rPr>
        <w:t>部工程</w:t>
      </w:r>
      <w:r>
        <w:t>中有关安全、节能、环境</w:t>
      </w:r>
      <w:r>
        <w:rPr>
          <w:rFonts w:hint="eastAsia"/>
        </w:rPr>
        <w:t>保护</w:t>
      </w:r>
      <w:r>
        <w:t>和主要</w:t>
      </w:r>
      <w:r>
        <w:rPr>
          <w:rFonts w:hint="eastAsia"/>
        </w:rPr>
        <w:t>使用</w:t>
      </w:r>
      <w:r>
        <w:t>功能的检验资料应完整；</w:t>
      </w:r>
    </w:p>
    <w:p w:rsidR="009136B5" w:rsidRDefault="00000000">
      <w:pPr>
        <w:pStyle w:val="x"/>
        <w:ind w:firstLine="316"/>
      </w:pPr>
      <w:r>
        <w:rPr>
          <w:b/>
          <w:bCs/>
        </w:rPr>
        <w:t>4</w:t>
      </w:r>
      <w:r>
        <w:t xml:space="preserve">  </w:t>
      </w:r>
      <w:r>
        <w:rPr>
          <w:rFonts w:hint="eastAsia"/>
        </w:rPr>
        <w:t>主要使用</w:t>
      </w:r>
      <w:r>
        <w:t>功能的抽查</w:t>
      </w:r>
      <w:r>
        <w:rPr>
          <w:rFonts w:hint="eastAsia"/>
        </w:rPr>
        <w:t>结果</w:t>
      </w:r>
      <w:r>
        <w:t>应符合相关专业验收规范的</w:t>
      </w:r>
      <w:r>
        <w:rPr>
          <w:rFonts w:hint="eastAsia"/>
        </w:rPr>
        <w:t>规定</w:t>
      </w:r>
      <w:r>
        <w:t>；</w:t>
      </w:r>
    </w:p>
    <w:p w:rsidR="009136B5" w:rsidRDefault="00000000">
      <w:pPr>
        <w:pStyle w:val="x"/>
        <w:ind w:firstLine="316"/>
        <w:rPr>
          <w:b/>
        </w:rPr>
      </w:pPr>
      <w:r>
        <w:rPr>
          <w:b/>
          <w:bCs/>
        </w:rPr>
        <w:t>5</w:t>
      </w:r>
      <w:r>
        <w:t xml:space="preserve">  </w:t>
      </w:r>
      <w:r>
        <w:rPr>
          <w:rFonts w:hint="eastAsia"/>
        </w:rPr>
        <w:t>观感质量</w:t>
      </w:r>
      <w:r>
        <w:t>验收合格</w:t>
      </w:r>
      <w:r>
        <w:rPr>
          <w:rFonts w:hint="eastAsia"/>
        </w:rPr>
        <w:t>。</w:t>
      </w:r>
    </w:p>
    <w:p w:rsidR="009136B5" w:rsidRDefault="00000000">
      <w:pPr>
        <w:ind w:firstLineChars="0" w:firstLine="0"/>
      </w:pPr>
      <w:r>
        <w:rPr>
          <w:b/>
          <w:bCs/>
        </w:rPr>
        <w:t xml:space="preserve">9.3.6  </w:t>
      </w:r>
      <w:r>
        <w:rPr>
          <w:rFonts w:hint="eastAsia"/>
        </w:rPr>
        <w:t>施工</w:t>
      </w:r>
      <w:r>
        <w:t>质量验收不合格时，应由施工单位返工、返修，并重新检查、验收。若</w:t>
      </w:r>
      <w:r>
        <w:rPr>
          <w:rFonts w:hint="eastAsia"/>
        </w:rPr>
        <w:t>通过</w:t>
      </w:r>
      <w:r>
        <w:t>返工</w:t>
      </w:r>
      <w:r>
        <w:rPr>
          <w:rFonts w:hint="eastAsia"/>
        </w:rPr>
        <w:t>、</w:t>
      </w:r>
      <w:r>
        <w:t>返修后</w:t>
      </w:r>
      <w:r>
        <w:rPr>
          <w:rFonts w:hint="eastAsia"/>
        </w:rPr>
        <w:t>仍</w:t>
      </w:r>
      <w:r>
        <w:t>不能满足安全使用要求的，</w:t>
      </w:r>
      <w:r>
        <w:rPr>
          <w:rFonts w:hint="eastAsia"/>
        </w:rPr>
        <w:t>严禁</w:t>
      </w:r>
      <w:r>
        <w:t>验收。</w:t>
      </w:r>
    </w:p>
    <w:p w:rsidR="009136B5" w:rsidRDefault="00000000">
      <w:pPr>
        <w:ind w:firstLine="420"/>
      </w:pPr>
      <w:r>
        <w:br w:type="page"/>
      </w:r>
    </w:p>
    <w:p w:rsidR="009136B5" w:rsidRDefault="00000000">
      <w:pPr>
        <w:pStyle w:val="2"/>
        <w:ind w:firstLine="561"/>
        <w:jc w:val="center"/>
        <w:outlineLvl w:val="0"/>
      </w:pPr>
      <w:bookmarkStart w:id="148" w:name="_Toc31925"/>
      <w:r>
        <w:rPr>
          <w:rFonts w:ascii="宋体" w:eastAsia="宋体" w:hAnsi="宋体" w:hint="eastAsia"/>
          <w:b/>
          <w:bCs/>
          <w:sz w:val="21"/>
          <w:szCs w:val="21"/>
        </w:rPr>
        <w:lastRenderedPageBreak/>
        <w:t>附</w:t>
      </w:r>
      <w:r>
        <w:rPr>
          <w:rFonts w:eastAsia="宋体" w:cs="Times New Roman"/>
          <w:b/>
          <w:bCs/>
          <w:sz w:val="21"/>
          <w:szCs w:val="21"/>
        </w:rPr>
        <w:t>录</w:t>
      </w:r>
      <w:r>
        <w:rPr>
          <w:rFonts w:eastAsia="宋体" w:cs="Times New Roman"/>
          <w:b/>
          <w:bCs/>
          <w:sz w:val="21"/>
          <w:szCs w:val="21"/>
        </w:rPr>
        <w:t xml:space="preserve">A  </w:t>
      </w:r>
      <w:r>
        <w:rPr>
          <w:rFonts w:ascii="宋体" w:eastAsia="宋体" w:hAnsi="宋体" w:hint="eastAsia"/>
          <w:b/>
          <w:bCs/>
          <w:sz w:val="21"/>
          <w:szCs w:val="21"/>
        </w:rPr>
        <w:t>考虑开挖卸荷影响桩基侧摩阻力折减系数计算</w:t>
      </w:r>
      <w:bookmarkEnd w:id="148"/>
    </w:p>
    <w:p w:rsidR="009136B5" w:rsidRDefault="00000000">
      <w:pPr>
        <w:pStyle w:val="xxx"/>
      </w:pPr>
      <w:r>
        <w:rPr>
          <w:rFonts w:hint="eastAsia"/>
          <w:b/>
          <w:bCs/>
        </w:rPr>
        <w:t>A.0.</w:t>
      </w:r>
      <w:r>
        <w:rPr>
          <w:b/>
          <w:bCs/>
        </w:rPr>
        <w:t>1</w:t>
      </w:r>
      <w:r>
        <w:t xml:space="preserve">  </w:t>
      </w:r>
      <w:r>
        <w:rPr>
          <w:rFonts w:hint="eastAsia"/>
        </w:rPr>
        <w:t>考虑开挖卸荷对桩基承载力的影响时，可将桩侧摩阻力标准值乘以相应的折减系数。折减系数可按下式计算：</w:t>
      </w:r>
    </w:p>
    <w:tbl>
      <w:tblPr>
        <w:tblStyle w:val="afa"/>
        <w:tblW w:w="4920" w:type="pct"/>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
        <w:gridCol w:w="626"/>
        <w:gridCol w:w="1572"/>
        <w:gridCol w:w="3111"/>
        <w:gridCol w:w="3065"/>
      </w:tblGrid>
      <w:tr w:rsidR="009136B5">
        <w:trPr>
          <w:trHeight w:val="20"/>
        </w:trPr>
        <w:tc>
          <w:tcPr>
            <w:tcW w:w="1645" w:type="pct"/>
            <w:gridSpan w:val="3"/>
            <w:vAlign w:val="center"/>
          </w:tcPr>
          <w:p w:rsidR="009136B5" w:rsidRDefault="009136B5">
            <w:pPr>
              <w:pStyle w:val="x"/>
              <w:ind w:firstLineChars="0" w:firstLine="0"/>
              <w:jc w:val="center"/>
              <w:rPr>
                <w:szCs w:val="21"/>
              </w:rPr>
            </w:pPr>
          </w:p>
        </w:tc>
        <w:tc>
          <w:tcPr>
            <w:tcW w:w="1690" w:type="pct"/>
            <w:vAlign w:val="center"/>
          </w:tcPr>
          <w:p w:rsidR="009136B5" w:rsidRDefault="00000000">
            <w:pPr>
              <w:pStyle w:val="x"/>
              <w:ind w:firstLineChars="0" w:firstLine="0"/>
              <w:jc w:val="center"/>
              <w:rPr>
                <w:kern w:val="0"/>
                <w:szCs w:val="21"/>
              </w:rPr>
            </w:pPr>
            <w:r>
              <w:rPr>
                <w:color w:val="000000" w:themeColor="text1"/>
                <w:position w:val="-28"/>
                <w:szCs w:val="21"/>
              </w:rPr>
              <w:object w:dxaOrig="2042" w:dyaOrig="602">
                <v:shape id="_x0000_i1116" type="#_x0000_t75" style="width:102.05pt;height:30.05pt" o:ole="">
                  <v:imagedata r:id="rId207" o:title=""/>
                </v:shape>
                <o:OLEObject Type="Embed" ProgID="Equation.DSMT4" ShapeID="_x0000_i1116" DrawAspect="Content" ObjectID="_1735132894" r:id="rId208"/>
              </w:object>
            </w:r>
          </w:p>
        </w:tc>
        <w:tc>
          <w:tcPr>
            <w:tcW w:w="1664" w:type="pct"/>
            <w:vAlign w:val="center"/>
          </w:tcPr>
          <w:p w:rsidR="009136B5" w:rsidRDefault="00000000">
            <w:pPr>
              <w:pStyle w:val="x"/>
              <w:ind w:firstLineChars="0" w:firstLine="0"/>
              <w:jc w:val="right"/>
              <w:rPr>
                <w:szCs w:val="21"/>
              </w:rPr>
            </w:pPr>
            <w:r>
              <w:rPr>
                <w:rFonts w:hint="eastAsia"/>
                <w:szCs w:val="21"/>
              </w:rPr>
              <w:t>（</w:t>
            </w:r>
            <w:r>
              <w:rPr>
                <w:rFonts w:hint="eastAsia"/>
                <w:szCs w:val="21"/>
              </w:rPr>
              <w:t>A</w:t>
            </w:r>
            <w:r>
              <w:rPr>
                <w:szCs w:val="21"/>
              </w:rPr>
              <w:t>.0.1</w:t>
            </w:r>
            <w:r>
              <w:rPr>
                <w:rFonts w:hint="eastAsia"/>
                <w:szCs w:val="21"/>
              </w:rPr>
              <w:t>）</w:t>
            </w:r>
          </w:p>
        </w:tc>
      </w:tr>
      <w:tr w:rsidR="009136B5">
        <w:tblPrEx>
          <w:tblCellMar>
            <w:left w:w="0" w:type="dxa"/>
            <w:right w:w="57" w:type="dxa"/>
          </w:tblCellMar>
        </w:tblPrEx>
        <w:tc>
          <w:tcPr>
            <w:tcW w:w="451" w:type="pct"/>
            <w:vAlign w:val="center"/>
          </w:tcPr>
          <w:p w:rsidR="009136B5" w:rsidRDefault="00000000">
            <w:pPr>
              <w:pStyle w:val="220"/>
              <w:jc w:val="right"/>
            </w:pPr>
            <w:r>
              <w:rPr>
                <w:rFonts w:hint="eastAsia"/>
              </w:rPr>
              <w:t>式中：</w:t>
            </w:r>
            <w:r>
              <w:rPr>
                <w:i/>
                <w:iCs/>
              </w:rPr>
              <w:t>η</w:t>
            </w:r>
          </w:p>
        </w:tc>
        <w:tc>
          <w:tcPr>
            <w:tcW w:w="340" w:type="pct"/>
            <w:vAlign w:val="center"/>
          </w:tcPr>
          <w:p w:rsidR="009136B5" w:rsidRDefault="00000000">
            <w:pPr>
              <w:pStyle w:val="220"/>
              <w:jc w:val="center"/>
            </w:pPr>
            <w:r>
              <w:t>——</w:t>
            </w:r>
          </w:p>
        </w:tc>
        <w:tc>
          <w:tcPr>
            <w:tcW w:w="4209" w:type="pct"/>
            <w:gridSpan w:val="3"/>
            <w:vAlign w:val="center"/>
          </w:tcPr>
          <w:p w:rsidR="009136B5" w:rsidRDefault="00000000">
            <w:pPr>
              <w:autoSpaceDE w:val="0"/>
              <w:autoSpaceDN w:val="0"/>
              <w:adjustRightInd w:val="0"/>
              <w:ind w:firstLineChars="0" w:firstLine="0"/>
              <w:rPr>
                <w:szCs w:val="21"/>
                <w:lang w:val="zh-CN"/>
              </w:rPr>
            </w:pPr>
            <w:r>
              <w:rPr>
                <w:rFonts w:ascii="宋体" w:hAnsi="宋体" w:cs="宋体" w:hint="eastAsia"/>
                <w:color w:val="000000" w:themeColor="text1"/>
                <w:szCs w:val="21"/>
                <w:lang w:bidi="ar"/>
              </w:rPr>
              <w:t>计算点的桩侧摩阻力折减系数；</w:t>
            </w:r>
          </w:p>
        </w:tc>
      </w:tr>
      <w:tr w:rsidR="009136B5">
        <w:tblPrEx>
          <w:tblCellMar>
            <w:left w:w="0" w:type="dxa"/>
            <w:right w:w="57" w:type="dxa"/>
          </w:tblCellMar>
        </w:tblPrEx>
        <w:tc>
          <w:tcPr>
            <w:tcW w:w="451" w:type="pct"/>
          </w:tcPr>
          <w:p w:rsidR="009136B5" w:rsidRDefault="00000000">
            <w:pPr>
              <w:pStyle w:val="220"/>
              <w:jc w:val="right"/>
              <w:rPr>
                <w:i/>
                <w:iCs/>
              </w:rPr>
            </w:pPr>
            <w:r>
              <w:rPr>
                <w:rFonts w:hint="eastAsia"/>
                <w:i/>
                <w:iCs/>
              </w:rPr>
              <w:t>f</w:t>
            </w:r>
            <w:r>
              <w:rPr>
                <w:rFonts w:hint="eastAsia"/>
                <w:vertAlign w:val="subscript"/>
              </w:rPr>
              <w:t>s0</w:t>
            </w:r>
            <w:r>
              <w:rPr>
                <w:rFonts w:hint="eastAsia"/>
                <w:i/>
                <w:iCs/>
              </w:rPr>
              <w:t>、</w:t>
            </w:r>
            <w:r>
              <w:rPr>
                <w:rFonts w:hint="eastAsia"/>
                <w:i/>
                <w:iCs/>
              </w:rPr>
              <w:t>f</w:t>
            </w:r>
            <w:r>
              <w:rPr>
                <w:rFonts w:hint="eastAsia"/>
                <w:vertAlign w:val="subscript"/>
              </w:rPr>
              <w:t>s1</w:t>
            </w:r>
          </w:p>
        </w:tc>
        <w:tc>
          <w:tcPr>
            <w:tcW w:w="340" w:type="pct"/>
            <w:vAlign w:val="center"/>
          </w:tcPr>
          <w:p w:rsidR="009136B5" w:rsidRDefault="00000000">
            <w:pPr>
              <w:pStyle w:val="220"/>
              <w:jc w:val="center"/>
            </w:pPr>
            <w:r>
              <w:t>——</w:t>
            </w:r>
          </w:p>
        </w:tc>
        <w:tc>
          <w:tcPr>
            <w:tcW w:w="4209" w:type="pct"/>
            <w:gridSpan w:val="3"/>
            <w:vAlign w:val="center"/>
          </w:tcPr>
          <w:p w:rsidR="009136B5" w:rsidRDefault="00000000">
            <w:pPr>
              <w:autoSpaceDE w:val="0"/>
              <w:autoSpaceDN w:val="0"/>
              <w:adjustRightInd w:val="0"/>
              <w:ind w:firstLineChars="0" w:firstLine="0"/>
              <w:rPr>
                <w:bCs/>
                <w:szCs w:val="21"/>
              </w:rPr>
            </w:pPr>
            <w:r>
              <w:rPr>
                <w:rFonts w:ascii="宋体" w:hAnsi="宋体" w:cs="宋体" w:hint="eastAsia"/>
                <w:color w:val="000000" w:themeColor="text1"/>
                <w:szCs w:val="21"/>
                <w:lang w:bidi="ar"/>
              </w:rPr>
              <w:t>开挖前、开挖后计算点的桩侧阻力标准值；</w:t>
            </w:r>
          </w:p>
        </w:tc>
      </w:tr>
      <w:tr w:rsidR="009136B5">
        <w:tblPrEx>
          <w:tblCellMar>
            <w:left w:w="0" w:type="dxa"/>
            <w:right w:w="57" w:type="dxa"/>
          </w:tblCellMar>
        </w:tblPrEx>
        <w:tc>
          <w:tcPr>
            <w:tcW w:w="451" w:type="pct"/>
          </w:tcPr>
          <w:p w:rsidR="009136B5" w:rsidRDefault="00000000">
            <w:pPr>
              <w:pStyle w:val="220"/>
              <w:jc w:val="right"/>
              <w:rPr>
                <w:i/>
                <w:iCs/>
              </w:rPr>
            </w:pPr>
            <w:r>
              <w:rPr>
                <w:rFonts w:ascii="宋体" w:hAnsi="宋体"/>
                <w:color w:val="000000" w:themeColor="text1"/>
                <w:position w:val="-10"/>
                <w:lang w:bidi="ar"/>
              </w:rPr>
              <w:object w:dxaOrig="774" w:dyaOrig="301">
                <v:shape id="_x0000_i1117" type="#_x0000_t75" style="width:38.2pt;height:15.05pt" o:ole="">
                  <v:imagedata r:id="rId209" o:title=""/>
                </v:shape>
                <o:OLEObject Type="Embed" ProgID="Equation.DSMT4" ShapeID="_x0000_i1117" DrawAspect="Content" ObjectID="_1735132895" r:id="rId210"/>
              </w:object>
            </w:r>
          </w:p>
        </w:tc>
        <w:tc>
          <w:tcPr>
            <w:tcW w:w="340" w:type="pct"/>
            <w:vAlign w:val="center"/>
          </w:tcPr>
          <w:p w:rsidR="009136B5" w:rsidRDefault="00000000">
            <w:pPr>
              <w:pStyle w:val="220"/>
              <w:jc w:val="center"/>
            </w:pPr>
            <w:r>
              <w:t>——</w:t>
            </w:r>
          </w:p>
        </w:tc>
        <w:tc>
          <w:tcPr>
            <w:tcW w:w="4209" w:type="pct"/>
            <w:gridSpan w:val="3"/>
            <w:vAlign w:val="center"/>
          </w:tcPr>
          <w:p w:rsidR="009136B5" w:rsidRDefault="00000000">
            <w:pPr>
              <w:ind w:firstLineChars="0" w:firstLine="0"/>
              <w:rPr>
                <w:bCs/>
                <w:szCs w:val="21"/>
              </w:rPr>
            </w:pPr>
            <w:r>
              <w:rPr>
                <w:rFonts w:ascii="宋体" w:hAnsi="宋体" w:cs="宋体" w:hint="eastAsia"/>
                <w:color w:val="000000" w:themeColor="text1"/>
                <w:szCs w:val="21"/>
                <w:lang w:bidi="ar"/>
              </w:rPr>
              <w:t>开挖前、开挖后计算点的土体竖向有效应力，</w:t>
            </w:r>
            <w:r>
              <w:rPr>
                <w:color w:val="000000" w:themeColor="text1"/>
                <w:szCs w:val="21"/>
                <w:lang w:bidi="ar"/>
              </w:rPr>
              <w:t>分别按本规程第</w:t>
            </w:r>
            <w:r>
              <w:rPr>
                <w:color w:val="000000" w:themeColor="text1"/>
                <w:szCs w:val="21"/>
                <w:lang w:bidi="ar"/>
              </w:rPr>
              <w:t>A.0.2</w:t>
            </w:r>
            <w:r>
              <w:rPr>
                <w:color w:val="000000" w:themeColor="text1"/>
                <w:szCs w:val="21"/>
                <w:lang w:bidi="ar"/>
              </w:rPr>
              <w:t>和</w:t>
            </w:r>
            <w:r>
              <w:rPr>
                <w:color w:val="000000" w:themeColor="text1"/>
                <w:szCs w:val="21"/>
                <w:lang w:bidi="ar"/>
              </w:rPr>
              <w:t>A.0.3</w:t>
            </w:r>
            <w:r>
              <w:rPr>
                <w:color w:val="000000" w:themeColor="text1"/>
                <w:szCs w:val="21"/>
                <w:lang w:bidi="ar"/>
              </w:rPr>
              <w:t>条计算</w:t>
            </w:r>
            <w:r>
              <w:rPr>
                <w:rFonts w:ascii="宋体" w:hAnsi="宋体" w:cs="宋体" w:hint="eastAsia"/>
                <w:color w:val="000000" w:themeColor="text1"/>
                <w:szCs w:val="21"/>
                <w:lang w:bidi="ar"/>
              </w:rPr>
              <w:t>；</w:t>
            </w:r>
          </w:p>
        </w:tc>
      </w:tr>
      <w:tr w:rsidR="009136B5">
        <w:tblPrEx>
          <w:tblCellMar>
            <w:left w:w="0" w:type="dxa"/>
            <w:right w:w="57" w:type="dxa"/>
          </w:tblCellMar>
        </w:tblPrEx>
        <w:tc>
          <w:tcPr>
            <w:tcW w:w="451" w:type="pct"/>
            <w:vAlign w:val="center"/>
          </w:tcPr>
          <w:p w:rsidR="009136B5" w:rsidRDefault="00000000">
            <w:pPr>
              <w:pStyle w:val="220"/>
              <w:jc w:val="right"/>
              <w:rPr>
                <w:i/>
                <w:iCs/>
              </w:rPr>
            </w:pPr>
            <w:r>
              <w:rPr>
                <w:rFonts w:hint="eastAsia"/>
                <w:i/>
                <w:iCs/>
              </w:rPr>
              <w:t>O</w:t>
            </w:r>
            <w:r>
              <w:rPr>
                <w:i/>
                <w:iCs/>
              </w:rPr>
              <w:t>CR</w:t>
            </w:r>
          </w:p>
        </w:tc>
        <w:tc>
          <w:tcPr>
            <w:tcW w:w="340" w:type="pct"/>
            <w:vAlign w:val="center"/>
          </w:tcPr>
          <w:p w:rsidR="009136B5" w:rsidRDefault="00000000">
            <w:pPr>
              <w:pStyle w:val="220"/>
              <w:jc w:val="center"/>
            </w:pPr>
            <w:r>
              <w:t>——</w:t>
            </w:r>
          </w:p>
        </w:tc>
        <w:tc>
          <w:tcPr>
            <w:tcW w:w="4209" w:type="pct"/>
            <w:gridSpan w:val="3"/>
            <w:vAlign w:val="center"/>
          </w:tcPr>
          <w:p w:rsidR="009136B5" w:rsidRDefault="00000000">
            <w:pPr>
              <w:pStyle w:val="xxx"/>
              <w:adjustRightInd w:val="0"/>
              <w:snapToGrid w:val="0"/>
              <w:rPr>
                <w:rFonts w:ascii="宋体" w:hAnsi="宋体" w:cs="宋体"/>
                <w:color w:val="000000" w:themeColor="text1"/>
                <w:szCs w:val="21"/>
                <w:lang w:bidi="ar"/>
              </w:rPr>
            </w:pPr>
            <w:r>
              <w:rPr>
                <w:rFonts w:ascii="宋体" w:hAnsi="宋体" w:cs="宋体" w:hint="eastAsia"/>
                <w:color w:val="000000" w:themeColor="text1"/>
                <w:szCs w:val="21"/>
                <w:lang w:bidi="ar"/>
              </w:rPr>
              <w:t>计算点</w:t>
            </w:r>
            <w:r>
              <w:rPr>
                <w:rFonts w:hint="eastAsia"/>
                <w:color w:val="000000" w:themeColor="text1"/>
                <w:szCs w:val="21"/>
              </w:rPr>
              <w:t>土的超固结比，等于开挖前与开挖后计算点的竖向有效应力之比</w:t>
            </w:r>
            <w:r>
              <w:rPr>
                <w:rFonts w:ascii="宋体" w:hAnsi="宋体" w:cs="宋体" w:hint="eastAsia"/>
                <w:color w:val="000000" w:themeColor="text1"/>
                <w:szCs w:val="21"/>
                <w:lang w:bidi="ar"/>
              </w:rPr>
              <w:t>；</w:t>
            </w:r>
          </w:p>
        </w:tc>
      </w:tr>
      <w:tr w:rsidR="009136B5">
        <w:tblPrEx>
          <w:tblCellMar>
            <w:left w:w="0" w:type="dxa"/>
            <w:right w:w="57" w:type="dxa"/>
          </w:tblCellMar>
        </w:tblPrEx>
        <w:tc>
          <w:tcPr>
            <w:tcW w:w="451" w:type="pct"/>
            <w:vAlign w:val="center"/>
          </w:tcPr>
          <w:p w:rsidR="009136B5" w:rsidRDefault="00000000">
            <w:pPr>
              <w:pStyle w:val="220"/>
              <w:jc w:val="right"/>
              <w:rPr>
                <w:i/>
                <w:iCs/>
              </w:rPr>
            </w:pPr>
            <w:r>
              <w:rPr>
                <w:color w:val="000000" w:themeColor="text1"/>
                <w:position w:val="-10"/>
              </w:rPr>
              <w:object w:dxaOrig="258" w:dyaOrig="301">
                <v:shape id="_x0000_i1118" type="#_x0000_t75" style="width:13.15pt;height:15.05pt" o:ole="">
                  <v:imagedata r:id="rId211" o:title=""/>
                </v:shape>
                <o:OLEObject Type="Embed" ProgID="Equation.DSMT4" ShapeID="_x0000_i1118" DrawAspect="Content" ObjectID="_1735132896" r:id="rId212"/>
              </w:object>
            </w:r>
          </w:p>
        </w:tc>
        <w:tc>
          <w:tcPr>
            <w:tcW w:w="340" w:type="pct"/>
            <w:vAlign w:val="center"/>
          </w:tcPr>
          <w:p w:rsidR="009136B5" w:rsidRDefault="00000000">
            <w:pPr>
              <w:pStyle w:val="220"/>
              <w:jc w:val="center"/>
            </w:pPr>
            <w:r>
              <w:t>——</w:t>
            </w:r>
          </w:p>
        </w:tc>
        <w:tc>
          <w:tcPr>
            <w:tcW w:w="4209" w:type="pct"/>
            <w:gridSpan w:val="3"/>
            <w:vAlign w:val="center"/>
          </w:tcPr>
          <w:p w:rsidR="009136B5" w:rsidRDefault="00000000">
            <w:pPr>
              <w:pStyle w:val="xxx"/>
              <w:adjustRightInd w:val="0"/>
              <w:snapToGrid w:val="0"/>
              <w:rPr>
                <w:rFonts w:ascii="宋体" w:hAnsi="宋体" w:cs="宋体"/>
                <w:color w:val="000000" w:themeColor="text1"/>
                <w:szCs w:val="21"/>
                <w:lang w:bidi="ar"/>
              </w:rPr>
            </w:pPr>
            <w:r>
              <w:rPr>
                <w:rFonts w:ascii="宋体" w:hAnsi="宋体" w:cs="宋体" w:hint="eastAsia"/>
                <w:color w:val="000000" w:themeColor="text1"/>
                <w:szCs w:val="21"/>
                <w:lang w:bidi="ar"/>
              </w:rPr>
              <w:t>计算点土的有效内摩擦角（</w:t>
            </w:r>
            <w:r>
              <w:rPr>
                <w:rFonts w:ascii="宋体" w:hAnsi="宋体" w:cs="宋体" w:hint="eastAsia"/>
                <w:color w:val="000000" w:themeColor="text1"/>
                <w:szCs w:val="21"/>
                <w:vertAlign w:val="superscript"/>
                <w:lang w:bidi="ar"/>
              </w:rPr>
              <w:t>o</w:t>
            </w:r>
            <w:r>
              <w:rPr>
                <w:rFonts w:ascii="宋体" w:hAnsi="宋体" w:cs="宋体" w:hint="eastAsia"/>
                <w:color w:val="000000" w:themeColor="text1"/>
                <w:szCs w:val="21"/>
                <w:lang w:bidi="ar"/>
              </w:rPr>
              <w:t>）；</w:t>
            </w:r>
          </w:p>
        </w:tc>
      </w:tr>
      <w:tr w:rsidR="009136B5">
        <w:tblPrEx>
          <w:tblCellMar>
            <w:left w:w="0" w:type="dxa"/>
            <w:right w:w="57" w:type="dxa"/>
          </w:tblCellMar>
        </w:tblPrEx>
        <w:tc>
          <w:tcPr>
            <w:tcW w:w="451" w:type="pct"/>
            <w:vAlign w:val="center"/>
          </w:tcPr>
          <w:p w:rsidR="009136B5" w:rsidRDefault="00000000">
            <w:pPr>
              <w:pStyle w:val="220"/>
              <w:jc w:val="right"/>
              <w:rPr>
                <w:i/>
                <w:iCs/>
              </w:rPr>
            </w:pPr>
            <w:r>
              <w:rPr>
                <w:rFonts w:ascii="宋体" w:hAnsi="宋体"/>
                <w:color w:val="000000" w:themeColor="text1"/>
                <w:position w:val="-10"/>
                <w:lang w:bidi="ar"/>
              </w:rPr>
              <w:object w:dxaOrig="204" w:dyaOrig="301">
                <v:shape id="_x0000_i1119" type="#_x0000_t75" style="width:10pt;height:15.05pt" o:ole="">
                  <v:imagedata r:id="rId213" o:title=""/>
                </v:shape>
                <o:OLEObject Type="Embed" ProgID="Equation.DSMT4" ShapeID="_x0000_i1119" DrawAspect="Content" ObjectID="_1735132897" r:id="rId214"/>
              </w:object>
            </w:r>
          </w:p>
        </w:tc>
        <w:tc>
          <w:tcPr>
            <w:tcW w:w="340" w:type="pct"/>
            <w:vAlign w:val="center"/>
          </w:tcPr>
          <w:p w:rsidR="009136B5" w:rsidRDefault="00000000">
            <w:pPr>
              <w:pStyle w:val="220"/>
              <w:jc w:val="center"/>
            </w:pPr>
            <w:r>
              <w:t>——</w:t>
            </w:r>
          </w:p>
        </w:tc>
        <w:tc>
          <w:tcPr>
            <w:tcW w:w="4209" w:type="pct"/>
            <w:gridSpan w:val="3"/>
            <w:vAlign w:val="center"/>
          </w:tcPr>
          <w:p w:rsidR="009136B5" w:rsidRDefault="00000000">
            <w:pPr>
              <w:pStyle w:val="xxx"/>
              <w:adjustRightInd w:val="0"/>
              <w:snapToGrid w:val="0"/>
              <w:rPr>
                <w:rFonts w:ascii="宋体" w:hAnsi="宋体"/>
                <w:color w:val="000000" w:themeColor="text1"/>
                <w:szCs w:val="21"/>
                <w:lang w:bidi="ar"/>
              </w:rPr>
            </w:pPr>
            <w:r>
              <w:rPr>
                <w:rFonts w:ascii="宋体" w:hAnsi="宋体" w:cs="宋体" w:hint="eastAsia"/>
                <w:color w:val="000000" w:themeColor="text1"/>
                <w:szCs w:val="21"/>
                <w:lang w:bidi="ar"/>
              </w:rPr>
              <w:t>与超固结比相关的参数，</w:t>
            </w:r>
            <w:r>
              <w:rPr>
                <w:color w:val="000000" w:themeColor="text1"/>
                <w:position w:val="-22"/>
                <w:sz w:val="24"/>
                <w:szCs w:val="24"/>
              </w:rPr>
              <w:object w:dxaOrig="1268" w:dyaOrig="548">
                <v:shape id="_x0000_i1120" type="#_x0000_t75" style="width:63.85pt;height:26.9pt" o:ole="">
                  <v:imagedata r:id="rId215" o:title=""/>
                </v:shape>
                <o:OLEObject Type="Embed" ProgID="Equation.DSMT4" ShapeID="_x0000_i1120" DrawAspect="Content" ObjectID="_1735132898" r:id="rId216"/>
              </w:object>
            </w:r>
            <w:r>
              <w:rPr>
                <w:rFonts w:hint="eastAsia"/>
                <w:color w:val="000000" w:themeColor="text1"/>
                <w:sz w:val="24"/>
                <w:szCs w:val="24"/>
              </w:rPr>
              <w:t>，其中</w:t>
            </w:r>
            <w:r>
              <w:rPr>
                <w:rFonts w:hint="eastAsia"/>
                <w:i/>
                <w:iCs/>
                <w:color w:val="000000" w:themeColor="text1"/>
                <w:szCs w:val="24"/>
              </w:rPr>
              <w:t>a</w:t>
            </w:r>
            <w:r>
              <w:rPr>
                <w:rFonts w:ascii="宋体" w:hAnsi="宋体" w:hint="eastAsia"/>
                <w:color w:val="000000" w:themeColor="text1"/>
                <w:szCs w:val="21"/>
                <w:lang w:bidi="ar"/>
              </w:rPr>
              <w:t>为</w:t>
            </w:r>
            <w:r>
              <w:rPr>
                <w:rFonts w:ascii="宋体" w:hAnsi="宋体" w:cs="宋体" w:hint="eastAsia"/>
                <w:color w:val="000000" w:themeColor="text1"/>
                <w:szCs w:val="21"/>
                <w:lang w:bidi="ar"/>
              </w:rPr>
              <w:t>拟合参数，</w:t>
            </w:r>
            <w:r>
              <w:rPr>
                <w:color w:val="000000" w:themeColor="text1"/>
                <w:szCs w:val="21"/>
                <w:lang w:bidi="ar"/>
              </w:rPr>
              <w:t>取</w:t>
            </w:r>
            <w:r>
              <w:rPr>
                <w:color w:val="000000" w:themeColor="text1"/>
                <w:szCs w:val="21"/>
                <w:lang w:bidi="ar"/>
              </w:rPr>
              <w:t>1.86</w:t>
            </w:r>
            <w:r>
              <w:rPr>
                <w:rFonts w:ascii="宋体" w:hAnsi="宋体" w:cs="宋体" w:hint="eastAsia"/>
                <w:color w:val="000000" w:themeColor="text1"/>
                <w:szCs w:val="21"/>
                <w:lang w:bidi="ar"/>
              </w:rPr>
              <w:t>。</w:t>
            </w:r>
          </w:p>
        </w:tc>
      </w:tr>
    </w:tbl>
    <w:p w:rsidR="009136B5" w:rsidRDefault="00000000">
      <w:pPr>
        <w:pStyle w:val="xxx"/>
        <w:adjustRightInd w:val="0"/>
        <w:snapToGrid w:val="0"/>
        <w:rPr>
          <w:rFonts w:ascii="宋体" w:hAnsi="宋体" w:cs="宋体"/>
          <w:color w:val="000000" w:themeColor="text1"/>
          <w:szCs w:val="21"/>
          <w:lang w:bidi="ar"/>
        </w:rPr>
      </w:pPr>
      <w:r>
        <w:rPr>
          <w:rFonts w:hint="eastAsia"/>
          <w:b/>
          <w:bCs/>
          <w:color w:val="000000" w:themeColor="text1"/>
        </w:rPr>
        <w:t>A.</w:t>
      </w:r>
      <w:r>
        <w:rPr>
          <w:b/>
          <w:bCs/>
          <w:color w:val="000000" w:themeColor="text1"/>
        </w:rPr>
        <w:t>0.2</w:t>
      </w:r>
      <w:r>
        <w:rPr>
          <w:color w:val="000000" w:themeColor="text1"/>
        </w:rPr>
        <w:t xml:space="preserve">  </w:t>
      </w:r>
      <w:r>
        <w:rPr>
          <w:rFonts w:ascii="宋体" w:hAnsi="宋体" w:cs="宋体" w:hint="eastAsia"/>
          <w:color w:val="000000" w:themeColor="text1"/>
          <w:szCs w:val="21"/>
          <w:lang w:bidi="ar"/>
        </w:rPr>
        <w:t>开挖前计算点的土体竖向有效应力</w:t>
      </w:r>
      <w:r>
        <w:rPr>
          <w:rFonts w:ascii="宋体" w:hAnsi="宋体"/>
          <w:color w:val="000000" w:themeColor="text1"/>
          <w:position w:val="-10"/>
          <w:szCs w:val="21"/>
          <w:lang w:bidi="ar"/>
        </w:rPr>
        <w:object w:dxaOrig="355" w:dyaOrig="301">
          <v:shape id="_x0000_i1121" type="#_x0000_t75" style="width:17.55pt;height:15.05pt" o:ole="">
            <v:imagedata r:id="rId217" o:title=""/>
          </v:shape>
          <o:OLEObject Type="Embed" ProgID="Equation.DSMT4" ShapeID="_x0000_i1121" DrawAspect="Content" ObjectID="_1735132899" r:id="rId218"/>
        </w:object>
      </w:r>
      <w:r>
        <w:rPr>
          <w:rFonts w:ascii="宋体" w:hAnsi="宋体" w:cs="宋体" w:hint="eastAsia"/>
          <w:color w:val="000000" w:themeColor="text1"/>
          <w:szCs w:val="21"/>
          <w:lang w:bidi="ar"/>
        </w:rPr>
        <w:t>应按式</w:t>
      </w:r>
      <w:r>
        <w:rPr>
          <w:color w:val="000000" w:themeColor="text1"/>
          <w:szCs w:val="21"/>
          <w:lang w:bidi="ar"/>
        </w:rPr>
        <w:t>（</w:t>
      </w:r>
      <w:r>
        <w:rPr>
          <w:color w:val="000000" w:themeColor="text1"/>
          <w:szCs w:val="21"/>
          <w:lang w:bidi="ar"/>
        </w:rPr>
        <w:t>A.0.2</w:t>
      </w:r>
      <w:r>
        <w:rPr>
          <w:color w:val="000000" w:themeColor="text1"/>
          <w:szCs w:val="21"/>
          <w:lang w:bidi="ar"/>
        </w:rPr>
        <w:t>）</w:t>
      </w:r>
      <w:r>
        <w:rPr>
          <w:rFonts w:ascii="宋体" w:hAnsi="宋体" w:cs="宋体" w:hint="eastAsia"/>
          <w:color w:val="000000" w:themeColor="text1"/>
          <w:szCs w:val="21"/>
          <w:lang w:bidi="ar"/>
        </w:rPr>
        <w:t>计算：</w:t>
      </w:r>
    </w:p>
    <w:tbl>
      <w:tblPr>
        <w:tblStyle w:val="afa"/>
        <w:tblW w:w="4920" w:type="pct"/>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
        <w:gridCol w:w="635"/>
        <w:gridCol w:w="1570"/>
        <w:gridCol w:w="3113"/>
        <w:gridCol w:w="3065"/>
      </w:tblGrid>
      <w:tr w:rsidR="009136B5">
        <w:trPr>
          <w:trHeight w:val="20"/>
        </w:trPr>
        <w:tc>
          <w:tcPr>
            <w:tcW w:w="1644" w:type="pct"/>
            <w:gridSpan w:val="3"/>
            <w:vAlign w:val="center"/>
          </w:tcPr>
          <w:p w:rsidR="009136B5" w:rsidRDefault="009136B5">
            <w:pPr>
              <w:pStyle w:val="x"/>
              <w:ind w:firstLineChars="0" w:firstLine="0"/>
              <w:jc w:val="center"/>
              <w:rPr>
                <w:szCs w:val="21"/>
              </w:rPr>
            </w:pPr>
          </w:p>
        </w:tc>
        <w:tc>
          <w:tcPr>
            <w:tcW w:w="1691" w:type="pct"/>
            <w:vAlign w:val="center"/>
          </w:tcPr>
          <w:p w:rsidR="009136B5" w:rsidRDefault="00000000">
            <w:pPr>
              <w:pStyle w:val="x"/>
              <w:ind w:firstLineChars="0" w:firstLine="0"/>
              <w:jc w:val="center"/>
              <w:rPr>
                <w:kern w:val="0"/>
                <w:szCs w:val="21"/>
              </w:rPr>
            </w:pPr>
            <w:r>
              <w:rPr>
                <w:color w:val="000000" w:themeColor="text1"/>
                <w:position w:val="-10"/>
                <w:szCs w:val="21"/>
              </w:rPr>
              <w:object w:dxaOrig="1161" w:dyaOrig="301">
                <v:shape id="_x0000_i1122" type="#_x0000_t75" style="width:58.25pt;height:15.05pt" o:ole="">
                  <v:imagedata r:id="rId219" o:title=""/>
                </v:shape>
                <o:OLEObject Type="Embed" ProgID="Equation.DSMT4" ShapeID="_x0000_i1122" DrawAspect="Content" ObjectID="_1735132900" r:id="rId220"/>
              </w:object>
            </w:r>
          </w:p>
        </w:tc>
        <w:tc>
          <w:tcPr>
            <w:tcW w:w="1665" w:type="pct"/>
            <w:vAlign w:val="center"/>
          </w:tcPr>
          <w:p w:rsidR="009136B5" w:rsidRDefault="00000000">
            <w:pPr>
              <w:pStyle w:val="x"/>
              <w:ind w:firstLineChars="0" w:firstLine="0"/>
              <w:jc w:val="right"/>
              <w:rPr>
                <w:szCs w:val="21"/>
              </w:rPr>
            </w:pPr>
            <w:r>
              <w:rPr>
                <w:rFonts w:hint="eastAsia"/>
                <w:szCs w:val="21"/>
              </w:rPr>
              <w:t>（</w:t>
            </w:r>
            <w:r>
              <w:rPr>
                <w:rFonts w:hint="eastAsia"/>
                <w:szCs w:val="21"/>
              </w:rPr>
              <w:t>A</w:t>
            </w:r>
            <w:r>
              <w:rPr>
                <w:szCs w:val="21"/>
              </w:rPr>
              <w:t>.0.2</w:t>
            </w:r>
            <w:r>
              <w:rPr>
                <w:rFonts w:hint="eastAsia"/>
                <w:szCs w:val="21"/>
              </w:rPr>
              <w:t>）</w:t>
            </w:r>
          </w:p>
        </w:tc>
      </w:tr>
      <w:tr w:rsidR="009136B5">
        <w:tblPrEx>
          <w:tblCellMar>
            <w:left w:w="0" w:type="dxa"/>
            <w:right w:w="57" w:type="dxa"/>
          </w:tblCellMar>
        </w:tblPrEx>
        <w:tc>
          <w:tcPr>
            <w:tcW w:w="446" w:type="pct"/>
            <w:vAlign w:val="center"/>
          </w:tcPr>
          <w:p w:rsidR="009136B5" w:rsidRDefault="00000000">
            <w:pPr>
              <w:pStyle w:val="220"/>
              <w:jc w:val="right"/>
            </w:pPr>
            <w:r>
              <w:rPr>
                <w:rFonts w:hint="eastAsia"/>
              </w:rPr>
              <w:t>式中：</w:t>
            </w:r>
            <w:r>
              <w:rPr>
                <w:rFonts w:hint="eastAsia"/>
                <w:i/>
                <w:iCs/>
              </w:rPr>
              <w:t>z</w:t>
            </w:r>
          </w:p>
        </w:tc>
        <w:tc>
          <w:tcPr>
            <w:tcW w:w="345" w:type="pct"/>
            <w:vAlign w:val="center"/>
          </w:tcPr>
          <w:p w:rsidR="009136B5" w:rsidRDefault="00000000">
            <w:pPr>
              <w:pStyle w:val="220"/>
              <w:jc w:val="center"/>
            </w:pPr>
            <w:r>
              <w:t>——</w:t>
            </w:r>
          </w:p>
        </w:tc>
        <w:tc>
          <w:tcPr>
            <w:tcW w:w="4209" w:type="pct"/>
            <w:gridSpan w:val="3"/>
            <w:vAlign w:val="center"/>
          </w:tcPr>
          <w:p w:rsidR="009136B5" w:rsidRDefault="00000000">
            <w:pPr>
              <w:autoSpaceDE w:val="0"/>
              <w:autoSpaceDN w:val="0"/>
              <w:adjustRightInd w:val="0"/>
              <w:ind w:firstLineChars="0" w:firstLine="0"/>
              <w:rPr>
                <w:szCs w:val="21"/>
                <w:lang w:val="zh-CN"/>
              </w:rPr>
            </w:pPr>
            <w:r>
              <w:rPr>
                <w:color w:val="000000" w:themeColor="text1"/>
                <w:szCs w:val="21"/>
              </w:rPr>
              <w:t>自</w:t>
            </w:r>
            <w:r>
              <w:rPr>
                <w:rFonts w:hint="eastAsia"/>
                <w:color w:val="000000" w:themeColor="text1"/>
                <w:szCs w:val="21"/>
              </w:rPr>
              <w:t>原</w:t>
            </w:r>
            <w:r>
              <w:rPr>
                <w:color w:val="000000" w:themeColor="text1"/>
                <w:szCs w:val="21"/>
              </w:rPr>
              <w:t>基础底面起算的计算点深度</w:t>
            </w:r>
            <w:r>
              <w:rPr>
                <w:rFonts w:hint="eastAsia"/>
                <w:color w:val="000000" w:themeColor="text1"/>
                <w:szCs w:val="21"/>
              </w:rPr>
              <w:t>；</w:t>
            </w:r>
          </w:p>
        </w:tc>
      </w:tr>
      <w:tr w:rsidR="009136B5">
        <w:tblPrEx>
          <w:tblCellMar>
            <w:left w:w="0" w:type="dxa"/>
            <w:right w:w="57" w:type="dxa"/>
          </w:tblCellMar>
        </w:tblPrEx>
        <w:tc>
          <w:tcPr>
            <w:tcW w:w="446" w:type="pct"/>
          </w:tcPr>
          <w:p w:rsidR="009136B5" w:rsidRDefault="00000000">
            <w:pPr>
              <w:pStyle w:val="220"/>
              <w:jc w:val="right"/>
              <w:rPr>
                <w:i/>
                <w:iCs/>
              </w:rPr>
            </w:pPr>
            <w:r>
              <w:rPr>
                <w:color w:val="000000" w:themeColor="text1"/>
                <w:position w:val="-10"/>
              </w:rPr>
              <w:object w:dxaOrig="301" w:dyaOrig="301">
                <v:shape id="_x0000_i1123" type="#_x0000_t75" style="width:15.05pt;height:15.05pt" o:ole="">
                  <v:imagedata r:id="rId46" o:title=""/>
                </v:shape>
                <o:OLEObject Type="Embed" ProgID="Equation.3" ShapeID="_x0000_i1123" DrawAspect="Content" ObjectID="_1735132901" r:id="rId221"/>
              </w:object>
            </w:r>
          </w:p>
        </w:tc>
        <w:tc>
          <w:tcPr>
            <w:tcW w:w="345" w:type="pct"/>
            <w:vAlign w:val="center"/>
          </w:tcPr>
          <w:p w:rsidR="009136B5" w:rsidRDefault="00000000">
            <w:pPr>
              <w:pStyle w:val="220"/>
              <w:jc w:val="center"/>
            </w:pPr>
            <w:r>
              <w:t>——</w:t>
            </w:r>
          </w:p>
        </w:tc>
        <w:tc>
          <w:tcPr>
            <w:tcW w:w="4209" w:type="pct"/>
            <w:gridSpan w:val="3"/>
            <w:vAlign w:val="center"/>
          </w:tcPr>
          <w:p w:rsidR="009136B5" w:rsidRDefault="00000000">
            <w:pPr>
              <w:autoSpaceDE w:val="0"/>
              <w:autoSpaceDN w:val="0"/>
              <w:adjustRightInd w:val="0"/>
              <w:ind w:firstLineChars="0" w:firstLine="0"/>
              <w:rPr>
                <w:bCs/>
                <w:szCs w:val="21"/>
              </w:rPr>
            </w:pPr>
            <w:r>
              <w:rPr>
                <w:color w:val="000000" w:themeColor="text1"/>
                <w:szCs w:val="21"/>
              </w:rPr>
              <w:t>原基础底面至计算点深度范围内土层的平均有效重度</w:t>
            </w:r>
            <w:r>
              <w:rPr>
                <w:rFonts w:hint="eastAsia"/>
                <w:color w:val="000000" w:themeColor="text1"/>
                <w:szCs w:val="21"/>
              </w:rPr>
              <w:t>；</w:t>
            </w:r>
          </w:p>
        </w:tc>
      </w:tr>
      <w:tr w:rsidR="009136B5">
        <w:tblPrEx>
          <w:tblCellMar>
            <w:left w:w="0" w:type="dxa"/>
            <w:right w:w="57" w:type="dxa"/>
          </w:tblCellMar>
        </w:tblPrEx>
        <w:tc>
          <w:tcPr>
            <w:tcW w:w="446" w:type="pct"/>
          </w:tcPr>
          <w:p w:rsidR="009136B5" w:rsidRDefault="00000000">
            <w:pPr>
              <w:pStyle w:val="220"/>
              <w:jc w:val="right"/>
              <w:rPr>
                <w:i/>
                <w:iCs/>
              </w:rPr>
            </w:pPr>
            <w:r>
              <w:rPr>
                <w:i/>
                <w:iCs/>
                <w:color w:val="000000" w:themeColor="text1"/>
                <w:lang w:bidi="ar"/>
              </w:rPr>
              <w:t>q</w:t>
            </w:r>
          </w:p>
        </w:tc>
        <w:tc>
          <w:tcPr>
            <w:tcW w:w="345" w:type="pct"/>
            <w:vAlign w:val="center"/>
          </w:tcPr>
          <w:p w:rsidR="009136B5" w:rsidRDefault="00000000">
            <w:pPr>
              <w:pStyle w:val="220"/>
              <w:jc w:val="center"/>
            </w:pPr>
            <w:r>
              <w:t>——</w:t>
            </w:r>
          </w:p>
        </w:tc>
        <w:tc>
          <w:tcPr>
            <w:tcW w:w="4209" w:type="pct"/>
            <w:gridSpan w:val="3"/>
            <w:vAlign w:val="center"/>
          </w:tcPr>
          <w:p w:rsidR="009136B5" w:rsidRDefault="00000000">
            <w:pPr>
              <w:ind w:firstLineChars="0" w:firstLine="0"/>
              <w:rPr>
                <w:bCs/>
                <w:szCs w:val="21"/>
              </w:rPr>
            </w:pPr>
            <w:r>
              <w:rPr>
                <w:color w:val="000000" w:themeColor="text1"/>
                <w:szCs w:val="21"/>
              </w:rPr>
              <w:t>原基础底面土</w:t>
            </w:r>
            <w:r>
              <w:rPr>
                <w:rFonts w:hint="eastAsia"/>
                <w:color w:val="000000" w:themeColor="text1"/>
                <w:szCs w:val="21"/>
              </w:rPr>
              <w:t>的反</w:t>
            </w:r>
            <w:r>
              <w:rPr>
                <w:color w:val="000000" w:themeColor="text1"/>
                <w:szCs w:val="21"/>
              </w:rPr>
              <w:t>力。</w:t>
            </w:r>
          </w:p>
        </w:tc>
      </w:tr>
    </w:tbl>
    <w:p w:rsidR="009136B5" w:rsidRDefault="00000000">
      <w:pPr>
        <w:pStyle w:val="xxx"/>
        <w:adjustRightInd w:val="0"/>
        <w:snapToGrid w:val="0"/>
        <w:rPr>
          <w:rFonts w:ascii="宋体" w:hAnsi="宋体"/>
          <w:color w:val="000000" w:themeColor="text1"/>
          <w:szCs w:val="21"/>
          <w:lang w:bidi="ar"/>
        </w:rPr>
      </w:pPr>
      <w:r>
        <w:rPr>
          <w:b/>
          <w:bCs/>
          <w:color w:val="000000" w:themeColor="text1"/>
        </w:rPr>
        <w:t>A.0.3</w:t>
      </w:r>
      <w:r>
        <w:rPr>
          <w:color w:val="000000" w:themeColor="text1"/>
        </w:rPr>
        <w:t xml:space="preserve">  </w:t>
      </w:r>
      <w:r>
        <w:rPr>
          <w:rFonts w:ascii="宋体" w:hAnsi="宋体" w:cs="宋体" w:hint="eastAsia"/>
          <w:color w:val="000000" w:themeColor="text1"/>
          <w:szCs w:val="21"/>
          <w:lang w:bidi="ar"/>
        </w:rPr>
        <w:t>开挖后计算点的土体竖向有效应力</w:t>
      </w:r>
      <w:r>
        <w:rPr>
          <w:rFonts w:ascii="宋体" w:hAnsi="宋体"/>
          <w:color w:val="000000" w:themeColor="text1"/>
          <w:position w:val="-10"/>
          <w:szCs w:val="21"/>
          <w:lang w:bidi="ar"/>
        </w:rPr>
        <w:object w:dxaOrig="301" w:dyaOrig="301">
          <v:shape id="_x0000_i1124" type="#_x0000_t75" style="width:15.05pt;height:15.05pt" o:ole="">
            <v:imagedata r:id="rId222" o:title=""/>
          </v:shape>
          <o:OLEObject Type="Embed" ProgID="Equation.DSMT4" ShapeID="_x0000_i1124" DrawAspect="Content" ObjectID="_1735132902" r:id="rId223"/>
        </w:object>
      </w:r>
      <w:r>
        <w:rPr>
          <w:rFonts w:ascii="宋体" w:hAnsi="宋体" w:hint="eastAsia"/>
          <w:color w:val="000000" w:themeColor="text1"/>
          <w:szCs w:val="21"/>
          <w:lang w:bidi="ar"/>
        </w:rPr>
        <w:t>应按</w:t>
      </w:r>
      <w:r>
        <w:rPr>
          <w:color w:val="000000" w:themeColor="text1"/>
          <w:szCs w:val="21"/>
          <w:lang w:bidi="ar"/>
        </w:rPr>
        <w:t>式（</w:t>
      </w:r>
      <w:r>
        <w:rPr>
          <w:color w:val="000000" w:themeColor="text1"/>
          <w:szCs w:val="21"/>
          <w:lang w:bidi="ar"/>
        </w:rPr>
        <w:t>A.0.3</w:t>
      </w:r>
      <w:r>
        <w:rPr>
          <w:color w:val="000000" w:themeColor="text1"/>
          <w:szCs w:val="21"/>
          <w:lang w:bidi="ar"/>
        </w:rPr>
        <w:t>）计</w:t>
      </w:r>
      <w:r>
        <w:rPr>
          <w:rFonts w:ascii="宋体" w:hAnsi="宋体" w:hint="eastAsia"/>
          <w:color w:val="000000" w:themeColor="text1"/>
          <w:szCs w:val="21"/>
          <w:lang w:bidi="ar"/>
        </w:rPr>
        <w:t>算：</w:t>
      </w:r>
    </w:p>
    <w:tbl>
      <w:tblPr>
        <w:tblStyle w:val="afa"/>
        <w:tblW w:w="4920" w:type="pct"/>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7"/>
        <w:gridCol w:w="3113"/>
        <w:gridCol w:w="3065"/>
      </w:tblGrid>
      <w:tr w:rsidR="009136B5">
        <w:trPr>
          <w:trHeight w:val="20"/>
        </w:trPr>
        <w:tc>
          <w:tcPr>
            <w:tcW w:w="1644" w:type="pct"/>
            <w:vAlign w:val="center"/>
          </w:tcPr>
          <w:p w:rsidR="009136B5" w:rsidRDefault="009136B5">
            <w:pPr>
              <w:pStyle w:val="x"/>
              <w:ind w:firstLineChars="0" w:firstLine="0"/>
              <w:jc w:val="center"/>
              <w:rPr>
                <w:szCs w:val="21"/>
              </w:rPr>
            </w:pPr>
          </w:p>
        </w:tc>
        <w:tc>
          <w:tcPr>
            <w:tcW w:w="1691" w:type="pct"/>
            <w:vAlign w:val="center"/>
          </w:tcPr>
          <w:p w:rsidR="009136B5" w:rsidRDefault="00000000">
            <w:pPr>
              <w:pStyle w:val="x"/>
              <w:ind w:firstLineChars="0" w:firstLine="0"/>
              <w:jc w:val="center"/>
              <w:rPr>
                <w:kern w:val="0"/>
                <w:szCs w:val="21"/>
              </w:rPr>
            </w:pPr>
            <w:r>
              <w:rPr>
                <w:color w:val="000000" w:themeColor="text1"/>
                <w:position w:val="-10"/>
                <w:szCs w:val="21"/>
              </w:rPr>
              <w:object w:dxaOrig="1354" w:dyaOrig="301">
                <v:shape id="_x0000_i1125" type="#_x0000_t75" style="width:67pt;height:15.05pt" o:ole="">
                  <v:imagedata r:id="rId224" o:title=""/>
                </v:shape>
                <o:OLEObject Type="Embed" ProgID="Equation.DSMT4" ShapeID="_x0000_i1125" DrawAspect="Content" ObjectID="_1735132903" r:id="rId225"/>
              </w:object>
            </w:r>
          </w:p>
        </w:tc>
        <w:tc>
          <w:tcPr>
            <w:tcW w:w="1665" w:type="pct"/>
            <w:vAlign w:val="center"/>
          </w:tcPr>
          <w:p w:rsidR="009136B5" w:rsidRDefault="00000000">
            <w:pPr>
              <w:pStyle w:val="x"/>
              <w:ind w:firstLineChars="0" w:firstLine="0"/>
              <w:jc w:val="right"/>
              <w:rPr>
                <w:szCs w:val="21"/>
              </w:rPr>
            </w:pPr>
            <w:r>
              <w:rPr>
                <w:rFonts w:hint="eastAsia"/>
                <w:szCs w:val="21"/>
              </w:rPr>
              <w:t>（</w:t>
            </w:r>
            <w:r>
              <w:rPr>
                <w:rFonts w:hint="eastAsia"/>
                <w:szCs w:val="21"/>
              </w:rPr>
              <w:t>A</w:t>
            </w:r>
            <w:r>
              <w:rPr>
                <w:szCs w:val="21"/>
              </w:rPr>
              <w:t>.0.3</w:t>
            </w:r>
            <w:r>
              <w:rPr>
                <w:rFonts w:hint="eastAsia"/>
                <w:szCs w:val="21"/>
              </w:rPr>
              <w:t>）</w:t>
            </w:r>
          </w:p>
        </w:tc>
      </w:tr>
    </w:tbl>
    <w:p w:rsidR="009136B5" w:rsidRDefault="00000000">
      <w:pPr>
        <w:pStyle w:val="xxx"/>
        <w:adjustRightInd w:val="0"/>
        <w:snapToGrid w:val="0"/>
        <w:rPr>
          <w:rFonts w:ascii="宋体" w:hAnsi="宋体" w:cs="宋体"/>
          <w:color w:val="000000" w:themeColor="text1"/>
          <w:szCs w:val="21"/>
          <w:lang w:bidi="ar"/>
        </w:rPr>
      </w:pPr>
      <w:r>
        <w:rPr>
          <w:rFonts w:ascii="宋体" w:hAnsi="宋体" w:hint="eastAsia"/>
          <w:color w:val="000000" w:themeColor="text1"/>
          <w:szCs w:val="21"/>
          <w:lang w:bidi="ar"/>
        </w:rPr>
        <w:t>式中，</w:t>
      </w:r>
      <w:r>
        <w:rPr>
          <w:rFonts w:ascii="宋体" w:hAnsi="宋体"/>
          <w:color w:val="000000" w:themeColor="text1"/>
          <w:position w:val="-10"/>
          <w:szCs w:val="21"/>
          <w:lang w:bidi="ar"/>
        </w:rPr>
        <w:object w:dxaOrig="387" w:dyaOrig="301">
          <v:shape id="_x0000_i1126" type="#_x0000_t75" style="width:19.4pt;height:15.05pt" o:ole="">
            <v:imagedata r:id="rId226" o:title=""/>
          </v:shape>
          <o:OLEObject Type="Embed" ProgID="Equation.DSMT4" ShapeID="_x0000_i1126" DrawAspect="Content" ObjectID="_1735132904" r:id="rId227"/>
        </w:object>
      </w:r>
      <w:r>
        <w:rPr>
          <w:rFonts w:ascii="宋体" w:hAnsi="宋体" w:hint="eastAsia"/>
          <w:color w:val="000000" w:themeColor="text1"/>
          <w:szCs w:val="21"/>
          <w:lang w:bidi="ar"/>
        </w:rPr>
        <w:t>为既有建筑地下开挖产生的卸荷应力，</w:t>
      </w:r>
      <w:r>
        <w:rPr>
          <w:color w:val="000000" w:themeColor="text1"/>
          <w:szCs w:val="21"/>
        </w:rPr>
        <w:t>可将开挖卸荷视为在开挖面施加向上的均布荷载</w:t>
      </w:r>
      <w:r>
        <w:rPr>
          <w:color w:val="000000" w:themeColor="text1"/>
          <w:position w:val="-10"/>
          <w:szCs w:val="21"/>
        </w:rPr>
        <w:object w:dxaOrig="387" w:dyaOrig="290">
          <v:shape id="_x0000_i1127" type="#_x0000_t75" style="width:19.4pt;height:15.05pt" o:ole="">
            <v:imagedata r:id="rId228" o:title=""/>
          </v:shape>
          <o:OLEObject Type="Embed" ProgID="Equation.DSMT4" ShapeID="_x0000_i1127" DrawAspect="Content" ObjectID="_1735132905" r:id="rId229"/>
        </w:object>
      </w:r>
      <w:r>
        <w:rPr>
          <w:color w:val="000000" w:themeColor="text1"/>
          <w:szCs w:val="21"/>
        </w:rPr>
        <w:t>，利用</w:t>
      </w:r>
      <w:proofErr w:type="spellStart"/>
      <w:r>
        <w:rPr>
          <w:color w:val="000000" w:themeColor="text1"/>
          <w:szCs w:val="21"/>
        </w:rPr>
        <w:t>Mindlin</w:t>
      </w:r>
      <w:proofErr w:type="spellEnd"/>
      <w:r>
        <w:rPr>
          <w:color w:val="000000" w:themeColor="text1"/>
          <w:szCs w:val="21"/>
        </w:rPr>
        <w:t>应力解</w:t>
      </w:r>
      <w:r>
        <w:rPr>
          <w:rFonts w:hint="eastAsia"/>
          <w:color w:val="000000" w:themeColor="text1"/>
          <w:szCs w:val="21"/>
        </w:rPr>
        <w:t>计算。</w:t>
      </w:r>
    </w:p>
    <w:p w:rsidR="009136B5" w:rsidRDefault="00000000">
      <w:pPr>
        <w:ind w:firstLineChars="0" w:firstLine="0"/>
      </w:pPr>
      <w:r>
        <w:br w:type="page"/>
      </w:r>
    </w:p>
    <w:p w:rsidR="009136B5" w:rsidRDefault="00000000">
      <w:pPr>
        <w:ind w:firstLine="422"/>
        <w:jc w:val="center"/>
        <w:outlineLvl w:val="0"/>
        <w:rPr>
          <w:rFonts w:ascii="宋体" w:hAnsi="宋体" w:cs="宋体"/>
          <w:b/>
          <w:bCs/>
          <w:szCs w:val="21"/>
        </w:rPr>
      </w:pPr>
      <w:bookmarkStart w:id="149" w:name="_Toc10429"/>
      <w:r>
        <w:rPr>
          <w:rFonts w:ascii="宋体" w:hAnsi="宋体" w:cs="宋体" w:hint="eastAsia"/>
          <w:b/>
          <w:bCs/>
          <w:szCs w:val="21"/>
        </w:rPr>
        <w:lastRenderedPageBreak/>
        <w:t>附录</w:t>
      </w:r>
      <w:r>
        <w:rPr>
          <w:b/>
          <w:bCs/>
          <w:szCs w:val="21"/>
        </w:rPr>
        <w:t xml:space="preserve">B  </w:t>
      </w:r>
      <w:r>
        <w:rPr>
          <w:b/>
          <w:bCs/>
          <w:szCs w:val="21"/>
        </w:rPr>
        <w:t>既</w:t>
      </w:r>
      <w:r>
        <w:rPr>
          <w:rFonts w:ascii="宋体" w:hAnsi="宋体" w:cs="宋体" w:hint="eastAsia"/>
          <w:b/>
          <w:bCs/>
          <w:szCs w:val="21"/>
        </w:rPr>
        <w:t>有建筑地下增层工程分部、子分部工程、分项工程划分</w:t>
      </w:r>
      <w:bookmarkEnd w:id="149"/>
    </w:p>
    <w:tbl>
      <w:tblPr>
        <w:tblW w:w="491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83"/>
        <w:gridCol w:w="1317"/>
        <w:gridCol w:w="1491"/>
        <w:gridCol w:w="5768"/>
      </w:tblGrid>
      <w:tr w:rsidR="009136B5">
        <w:trPr>
          <w:jc w:val="center"/>
        </w:trPr>
        <w:tc>
          <w:tcPr>
            <w:tcW w:w="318" w:type="pct"/>
            <w:shd w:val="clear" w:color="auto" w:fill="auto"/>
            <w:vAlign w:val="center"/>
          </w:tcPr>
          <w:p w:rsidR="009136B5" w:rsidRDefault="00000000">
            <w:pPr>
              <w:widowControl/>
              <w:adjustRightInd w:val="0"/>
              <w:snapToGrid w:val="0"/>
              <w:spacing w:beforeLines="20" w:before="62" w:afterLines="20" w:after="62" w:line="240" w:lineRule="auto"/>
              <w:ind w:firstLineChars="0" w:firstLine="0"/>
              <w:jc w:val="center"/>
              <w:rPr>
                <w:sz w:val="18"/>
                <w:szCs w:val="18"/>
              </w:rPr>
            </w:pPr>
            <w:r>
              <w:rPr>
                <w:sz w:val="18"/>
                <w:szCs w:val="18"/>
              </w:rPr>
              <w:t>序号</w:t>
            </w:r>
          </w:p>
        </w:tc>
        <w:tc>
          <w:tcPr>
            <w:tcW w:w="719" w:type="pct"/>
            <w:shd w:val="clear" w:color="auto" w:fill="auto"/>
            <w:vAlign w:val="center"/>
          </w:tcPr>
          <w:p w:rsidR="009136B5" w:rsidRDefault="00000000">
            <w:pPr>
              <w:widowControl/>
              <w:adjustRightInd w:val="0"/>
              <w:snapToGrid w:val="0"/>
              <w:spacing w:beforeLines="20" w:before="62" w:afterLines="20" w:after="62" w:line="240" w:lineRule="auto"/>
              <w:ind w:firstLineChars="0" w:firstLine="0"/>
              <w:jc w:val="center"/>
              <w:rPr>
                <w:sz w:val="18"/>
                <w:szCs w:val="18"/>
              </w:rPr>
            </w:pPr>
            <w:r>
              <w:rPr>
                <w:sz w:val="18"/>
                <w:szCs w:val="18"/>
              </w:rPr>
              <w:t>分部工程</w:t>
            </w:r>
          </w:p>
        </w:tc>
        <w:tc>
          <w:tcPr>
            <w:tcW w:w="814" w:type="pct"/>
            <w:shd w:val="clear" w:color="auto" w:fill="auto"/>
            <w:vAlign w:val="center"/>
          </w:tcPr>
          <w:p w:rsidR="009136B5" w:rsidRDefault="00000000">
            <w:pPr>
              <w:widowControl/>
              <w:adjustRightInd w:val="0"/>
              <w:snapToGrid w:val="0"/>
              <w:spacing w:beforeLines="20" w:before="62" w:afterLines="20" w:after="62" w:line="240" w:lineRule="auto"/>
              <w:ind w:firstLineChars="0" w:firstLine="0"/>
              <w:jc w:val="center"/>
              <w:rPr>
                <w:sz w:val="18"/>
                <w:szCs w:val="18"/>
              </w:rPr>
            </w:pPr>
            <w:r>
              <w:rPr>
                <w:sz w:val="18"/>
                <w:szCs w:val="18"/>
              </w:rPr>
              <w:t>子分部工程</w:t>
            </w:r>
          </w:p>
        </w:tc>
        <w:tc>
          <w:tcPr>
            <w:tcW w:w="3149" w:type="pct"/>
            <w:shd w:val="clear" w:color="auto" w:fill="auto"/>
            <w:vAlign w:val="center"/>
          </w:tcPr>
          <w:p w:rsidR="009136B5" w:rsidRDefault="00000000">
            <w:pPr>
              <w:widowControl/>
              <w:adjustRightInd w:val="0"/>
              <w:snapToGrid w:val="0"/>
              <w:spacing w:beforeLines="20" w:before="62" w:afterLines="20" w:after="62" w:line="240" w:lineRule="auto"/>
              <w:ind w:firstLineChars="0" w:firstLine="0"/>
              <w:jc w:val="center"/>
              <w:rPr>
                <w:sz w:val="18"/>
                <w:szCs w:val="18"/>
              </w:rPr>
            </w:pPr>
            <w:r>
              <w:rPr>
                <w:sz w:val="18"/>
                <w:szCs w:val="18"/>
              </w:rPr>
              <w:t>分项工程</w:t>
            </w:r>
          </w:p>
        </w:tc>
      </w:tr>
      <w:tr w:rsidR="009136B5">
        <w:trPr>
          <w:jc w:val="center"/>
        </w:trPr>
        <w:tc>
          <w:tcPr>
            <w:tcW w:w="318" w:type="pct"/>
            <w:vMerge w:val="restart"/>
            <w:shd w:val="clear" w:color="auto" w:fill="auto"/>
            <w:vAlign w:val="center"/>
          </w:tcPr>
          <w:p w:rsidR="009136B5" w:rsidRDefault="00000000">
            <w:pPr>
              <w:widowControl/>
              <w:adjustRightInd w:val="0"/>
              <w:snapToGrid w:val="0"/>
              <w:spacing w:beforeLines="20" w:before="62" w:afterLines="20" w:after="62" w:line="240" w:lineRule="auto"/>
              <w:ind w:firstLineChars="0" w:firstLine="0"/>
              <w:jc w:val="center"/>
              <w:rPr>
                <w:sz w:val="18"/>
                <w:szCs w:val="18"/>
              </w:rPr>
            </w:pPr>
            <w:r>
              <w:rPr>
                <w:sz w:val="18"/>
                <w:szCs w:val="18"/>
              </w:rPr>
              <w:t>1</w:t>
            </w:r>
          </w:p>
        </w:tc>
        <w:tc>
          <w:tcPr>
            <w:tcW w:w="719" w:type="pct"/>
            <w:vMerge w:val="restart"/>
            <w:shd w:val="clear" w:color="auto" w:fill="auto"/>
            <w:vAlign w:val="center"/>
          </w:tcPr>
          <w:p w:rsidR="009136B5" w:rsidRDefault="00000000">
            <w:pPr>
              <w:widowControl/>
              <w:adjustRightInd w:val="0"/>
              <w:snapToGrid w:val="0"/>
              <w:spacing w:beforeLines="20" w:before="62" w:afterLines="20" w:after="62" w:line="240" w:lineRule="auto"/>
              <w:ind w:firstLineChars="0" w:firstLine="0"/>
              <w:jc w:val="center"/>
              <w:rPr>
                <w:sz w:val="18"/>
                <w:szCs w:val="18"/>
              </w:rPr>
            </w:pPr>
            <w:r>
              <w:rPr>
                <w:sz w:val="18"/>
                <w:szCs w:val="18"/>
              </w:rPr>
              <w:t>地基与基础</w:t>
            </w:r>
          </w:p>
        </w:tc>
        <w:tc>
          <w:tcPr>
            <w:tcW w:w="814" w:type="pct"/>
            <w:shd w:val="clear" w:color="auto" w:fill="auto"/>
            <w:vAlign w:val="center"/>
          </w:tcPr>
          <w:p w:rsidR="009136B5" w:rsidRDefault="00000000">
            <w:pPr>
              <w:widowControl/>
              <w:adjustRightInd w:val="0"/>
              <w:snapToGrid w:val="0"/>
              <w:spacing w:beforeLines="20" w:before="62" w:afterLines="20" w:after="62" w:line="240" w:lineRule="auto"/>
              <w:ind w:firstLineChars="0" w:firstLine="0"/>
              <w:jc w:val="center"/>
              <w:rPr>
                <w:sz w:val="18"/>
                <w:szCs w:val="18"/>
              </w:rPr>
            </w:pPr>
            <w:r>
              <w:rPr>
                <w:sz w:val="18"/>
                <w:szCs w:val="18"/>
              </w:rPr>
              <w:t>地基</w:t>
            </w:r>
          </w:p>
        </w:tc>
        <w:tc>
          <w:tcPr>
            <w:tcW w:w="3149" w:type="pct"/>
            <w:shd w:val="clear" w:color="auto" w:fill="auto"/>
            <w:vAlign w:val="center"/>
          </w:tcPr>
          <w:p w:rsidR="009136B5" w:rsidRDefault="00000000">
            <w:pPr>
              <w:widowControl/>
              <w:adjustRightInd w:val="0"/>
              <w:snapToGrid w:val="0"/>
              <w:spacing w:beforeLines="20" w:before="62" w:afterLines="20" w:after="62" w:line="240" w:lineRule="auto"/>
              <w:ind w:firstLineChars="0" w:firstLine="0"/>
              <w:jc w:val="left"/>
              <w:rPr>
                <w:sz w:val="18"/>
                <w:szCs w:val="18"/>
              </w:rPr>
            </w:pPr>
            <w:r>
              <w:rPr>
                <w:sz w:val="18"/>
                <w:szCs w:val="18"/>
              </w:rPr>
              <w:t>砂石地基，压密注浆地基，高压旋喷桩注浆地基，水泥土搅拌桩复合地基。</w:t>
            </w:r>
          </w:p>
        </w:tc>
      </w:tr>
      <w:tr w:rsidR="009136B5">
        <w:trPr>
          <w:jc w:val="center"/>
        </w:trPr>
        <w:tc>
          <w:tcPr>
            <w:tcW w:w="318" w:type="pct"/>
            <w:vMerge/>
            <w:shd w:val="clear" w:color="auto" w:fill="auto"/>
            <w:vAlign w:val="center"/>
          </w:tcPr>
          <w:p w:rsidR="009136B5" w:rsidRDefault="009136B5">
            <w:pPr>
              <w:widowControl/>
              <w:adjustRightInd w:val="0"/>
              <w:snapToGrid w:val="0"/>
              <w:spacing w:beforeLines="20" w:before="62" w:afterLines="20" w:after="62" w:line="240" w:lineRule="auto"/>
              <w:ind w:firstLineChars="0" w:firstLine="0"/>
              <w:jc w:val="center"/>
              <w:rPr>
                <w:sz w:val="18"/>
                <w:szCs w:val="18"/>
              </w:rPr>
            </w:pPr>
          </w:p>
        </w:tc>
        <w:tc>
          <w:tcPr>
            <w:tcW w:w="719" w:type="pct"/>
            <w:vMerge/>
            <w:shd w:val="clear" w:color="auto" w:fill="auto"/>
            <w:vAlign w:val="center"/>
          </w:tcPr>
          <w:p w:rsidR="009136B5" w:rsidRDefault="009136B5">
            <w:pPr>
              <w:widowControl/>
              <w:adjustRightInd w:val="0"/>
              <w:snapToGrid w:val="0"/>
              <w:spacing w:beforeLines="20" w:before="62" w:afterLines="20" w:after="62" w:line="240" w:lineRule="auto"/>
              <w:ind w:firstLineChars="0" w:firstLine="0"/>
              <w:jc w:val="center"/>
              <w:rPr>
                <w:sz w:val="18"/>
                <w:szCs w:val="18"/>
              </w:rPr>
            </w:pPr>
          </w:p>
        </w:tc>
        <w:tc>
          <w:tcPr>
            <w:tcW w:w="814" w:type="pct"/>
            <w:shd w:val="clear" w:color="auto" w:fill="auto"/>
            <w:vAlign w:val="center"/>
          </w:tcPr>
          <w:p w:rsidR="009136B5" w:rsidRDefault="00000000">
            <w:pPr>
              <w:widowControl/>
              <w:adjustRightInd w:val="0"/>
              <w:snapToGrid w:val="0"/>
              <w:spacing w:beforeLines="20" w:before="62" w:afterLines="20" w:after="62" w:line="240" w:lineRule="auto"/>
              <w:ind w:firstLineChars="0" w:firstLine="0"/>
              <w:jc w:val="center"/>
              <w:rPr>
                <w:sz w:val="18"/>
                <w:szCs w:val="18"/>
              </w:rPr>
            </w:pPr>
            <w:r>
              <w:rPr>
                <w:sz w:val="18"/>
                <w:szCs w:val="18"/>
              </w:rPr>
              <w:t>基础</w:t>
            </w:r>
          </w:p>
        </w:tc>
        <w:tc>
          <w:tcPr>
            <w:tcW w:w="3149" w:type="pct"/>
            <w:shd w:val="clear" w:color="auto" w:fill="auto"/>
            <w:vAlign w:val="center"/>
          </w:tcPr>
          <w:p w:rsidR="009136B5" w:rsidRDefault="00000000">
            <w:pPr>
              <w:widowControl/>
              <w:adjustRightInd w:val="0"/>
              <w:snapToGrid w:val="0"/>
              <w:spacing w:beforeLines="20" w:before="62" w:afterLines="20" w:after="62" w:line="240" w:lineRule="auto"/>
              <w:ind w:firstLineChars="0" w:firstLine="0"/>
              <w:jc w:val="left"/>
              <w:rPr>
                <w:sz w:val="18"/>
                <w:szCs w:val="18"/>
              </w:rPr>
            </w:pPr>
            <w:r>
              <w:rPr>
                <w:sz w:val="18"/>
                <w:szCs w:val="18"/>
              </w:rPr>
              <w:t>钢筋混凝土独立、条形基础或承台，筏形与箱形基础或承台，钢结构基础，钢管混凝土结构基础，型钢混凝土结构基础，钢筋混凝土预制桩基础，钻（挖）孔灌注桩基础，干作业成孔桩基础，长螺旋钻孔压灌桩基础，钢桩基础，锚杆静压桩基础，组合桩基础，抗浮锚杆。</w:t>
            </w:r>
          </w:p>
        </w:tc>
      </w:tr>
      <w:tr w:rsidR="009136B5">
        <w:trPr>
          <w:jc w:val="center"/>
        </w:trPr>
        <w:tc>
          <w:tcPr>
            <w:tcW w:w="318" w:type="pct"/>
            <w:vMerge/>
            <w:shd w:val="clear" w:color="auto" w:fill="auto"/>
            <w:vAlign w:val="center"/>
          </w:tcPr>
          <w:p w:rsidR="009136B5" w:rsidRDefault="009136B5">
            <w:pPr>
              <w:widowControl/>
              <w:adjustRightInd w:val="0"/>
              <w:snapToGrid w:val="0"/>
              <w:spacing w:beforeLines="20" w:before="62" w:afterLines="20" w:after="62" w:line="240" w:lineRule="auto"/>
              <w:ind w:firstLineChars="0" w:firstLine="0"/>
              <w:jc w:val="center"/>
              <w:rPr>
                <w:sz w:val="18"/>
                <w:szCs w:val="18"/>
              </w:rPr>
            </w:pPr>
          </w:p>
        </w:tc>
        <w:tc>
          <w:tcPr>
            <w:tcW w:w="719" w:type="pct"/>
            <w:vMerge/>
            <w:shd w:val="clear" w:color="auto" w:fill="auto"/>
            <w:vAlign w:val="center"/>
          </w:tcPr>
          <w:p w:rsidR="009136B5" w:rsidRDefault="009136B5">
            <w:pPr>
              <w:widowControl/>
              <w:adjustRightInd w:val="0"/>
              <w:snapToGrid w:val="0"/>
              <w:spacing w:beforeLines="20" w:before="62" w:afterLines="20" w:after="62" w:line="240" w:lineRule="auto"/>
              <w:ind w:firstLineChars="0" w:firstLine="0"/>
              <w:jc w:val="center"/>
              <w:rPr>
                <w:sz w:val="18"/>
                <w:szCs w:val="18"/>
              </w:rPr>
            </w:pPr>
          </w:p>
        </w:tc>
        <w:tc>
          <w:tcPr>
            <w:tcW w:w="814" w:type="pct"/>
            <w:shd w:val="clear" w:color="auto" w:fill="auto"/>
            <w:vAlign w:val="center"/>
          </w:tcPr>
          <w:p w:rsidR="009136B5" w:rsidRDefault="00000000">
            <w:pPr>
              <w:widowControl/>
              <w:adjustRightInd w:val="0"/>
              <w:snapToGrid w:val="0"/>
              <w:spacing w:beforeLines="20" w:before="62" w:afterLines="20" w:after="62" w:line="240" w:lineRule="auto"/>
              <w:ind w:firstLineChars="0" w:firstLine="0"/>
              <w:jc w:val="center"/>
              <w:rPr>
                <w:sz w:val="18"/>
                <w:szCs w:val="18"/>
              </w:rPr>
            </w:pPr>
            <w:r>
              <w:rPr>
                <w:sz w:val="18"/>
                <w:szCs w:val="18"/>
              </w:rPr>
              <w:t>基坑侧向支护</w:t>
            </w:r>
          </w:p>
        </w:tc>
        <w:tc>
          <w:tcPr>
            <w:tcW w:w="3149" w:type="pct"/>
            <w:shd w:val="clear" w:color="auto" w:fill="auto"/>
            <w:vAlign w:val="center"/>
          </w:tcPr>
          <w:p w:rsidR="009136B5" w:rsidRDefault="00000000">
            <w:pPr>
              <w:widowControl/>
              <w:adjustRightInd w:val="0"/>
              <w:snapToGrid w:val="0"/>
              <w:spacing w:beforeLines="20" w:before="62" w:afterLines="20" w:after="62" w:line="240" w:lineRule="auto"/>
              <w:ind w:firstLineChars="0" w:firstLine="0"/>
              <w:jc w:val="left"/>
              <w:rPr>
                <w:sz w:val="18"/>
                <w:szCs w:val="18"/>
              </w:rPr>
            </w:pPr>
            <w:r>
              <w:rPr>
                <w:sz w:val="18"/>
                <w:szCs w:val="18"/>
              </w:rPr>
              <w:t>灌注桩排桩围护墙，板桩围护墙，咬合桩围护墙，型钢水泥土搅拌墙，土钉墙，地下连续墙，水泥土重力式挡墙，混凝土或钢内支撑，岩土锚杆，与主体结构相结合的基坑支护。</w:t>
            </w:r>
          </w:p>
        </w:tc>
      </w:tr>
      <w:tr w:rsidR="009136B5">
        <w:trPr>
          <w:jc w:val="center"/>
        </w:trPr>
        <w:tc>
          <w:tcPr>
            <w:tcW w:w="318" w:type="pct"/>
            <w:vMerge/>
            <w:shd w:val="clear" w:color="auto" w:fill="auto"/>
            <w:vAlign w:val="center"/>
          </w:tcPr>
          <w:p w:rsidR="009136B5" w:rsidRDefault="009136B5">
            <w:pPr>
              <w:widowControl/>
              <w:adjustRightInd w:val="0"/>
              <w:snapToGrid w:val="0"/>
              <w:spacing w:beforeLines="20" w:before="62" w:afterLines="20" w:after="62" w:line="240" w:lineRule="auto"/>
              <w:ind w:firstLineChars="0" w:firstLine="0"/>
              <w:jc w:val="center"/>
              <w:rPr>
                <w:sz w:val="18"/>
                <w:szCs w:val="18"/>
              </w:rPr>
            </w:pPr>
          </w:p>
        </w:tc>
        <w:tc>
          <w:tcPr>
            <w:tcW w:w="719" w:type="pct"/>
            <w:vMerge/>
            <w:shd w:val="clear" w:color="auto" w:fill="auto"/>
            <w:vAlign w:val="center"/>
          </w:tcPr>
          <w:p w:rsidR="009136B5" w:rsidRDefault="009136B5">
            <w:pPr>
              <w:widowControl/>
              <w:adjustRightInd w:val="0"/>
              <w:snapToGrid w:val="0"/>
              <w:spacing w:beforeLines="20" w:before="62" w:afterLines="20" w:after="62" w:line="240" w:lineRule="auto"/>
              <w:ind w:firstLineChars="0" w:firstLine="0"/>
              <w:jc w:val="center"/>
              <w:rPr>
                <w:sz w:val="18"/>
                <w:szCs w:val="18"/>
              </w:rPr>
            </w:pPr>
          </w:p>
        </w:tc>
        <w:tc>
          <w:tcPr>
            <w:tcW w:w="814" w:type="pct"/>
            <w:shd w:val="clear" w:color="auto" w:fill="auto"/>
            <w:vAlign w:val="center"/>
          </w:tcPr>
          <w:p w:rsidR="009136B5" w:rsidRDefault="00000000">
            <w:pPr>
              <w:widowControl/>
              <w:adjustRightInd w:val="0"/>
              <w:snapToGrid w:val="0"/>
              <w:spacing w:beforeLines="20" w:before="62" w:afterLines="20" w:after="62" w:line="240" w:lineRule="auto"/>
              <w:ind w:firstLineChars="0" w:firstLine="0"/>
              <w:jc w:val="center"/>
              <w:rPr>
                <w:sz w:val="18"/>
                <w:szCs w:val="18"/>
              </w:rPr>
            </w:pPr>
            <w:r>
              <w:rPr>
                <w:sz w:val="18"/>
                <w:szCs w:val="18"/>
              </w:rPr>
              <w:t>地下水控制</w:t>
            </w:r>
          </w:p>
        </w:tc>
        <w:tc>
          <w:tcPr>
            <w:tcW w:w="3149" w:type="pct"/>
            <w:shd w:val="clear" w:color="auto" w:fill="auto"/>
            <w:vAlign w:val="center"/>
          </w:tcPr>
          <w:p w:rsidR="009136B5" w:rsidRDefault="00000000">
            <w:pPr>
              <w:widowControl/>
              <w:adjustRightInd w:val="0"/>
              <w:snapToGrid w:val="0"/>
              <w:spacing w:beforeLines="20" w:before="62" w:afterLines="20" w:after="62" w:line="240" w:lineRule="auto"/>
              <w:ind w:firstLineChars="0" w:firstLine="0"/>
              <w:jc w:val="left"/>
              <w:rPr>
                <w:sz w:val="18"/>
                <w:szCs w:val="18"/>
              </w:rPr>
            </w:pPr>
            <w:r>
              <w:rPr>
                <w:sz w:val="18"/>
                <w:szCs w:val="18"/>
              </w:rPr>
              <w:t>降水与排水，回灌。</w:t>
            </w:r>
          </w:p>
        </w:tc>
      </w:tr>
      <w:tr w:rsidR="009136B5">
        <w:trPr>
          <w:jc w:val="center"/>
        </w:trPr>
        <w:tc>
          <w:tcPr>
            <w:tcW w:w="318" w:type="pct"/>
            <w:vMerge/>
            <w:shd w:val="clear" w:color="auto" w:fill="auto"/>
            <w:vAlign w:val="center"/>
          </w:tcPr>
          <w:p w:rsidR="009136B5" w:rsidRDefault="009136B5">
            <w:pPr>
              <w:widowControl/>
              <w:adjustRightInd w:val="0"/>
              <w:snapToGrid w:val="0"/>
              <w:spacing w:beforeLines="20" w:before="62" w:afterLines="20" w:after="62" w:line="240" w:lineRule="auto"/>
              <w:ind w:firstLineChars="0" w:firstLine="0"/>
              <w:jc w:val="center"/>
              <w:rPr>
                <w:sz w:val="18"/>
                <w:szCs w:val="18"/>
              </w:rPr>
            </w:pPr>
          </w:p>
        </w:tc>
        <w:tc>
          <w:tcPr>
            <w:tcW w:w="719" w:type="pct"/>
            <w:vMerge/>
            <w:shd w:val="clear" w:color="auto" w:fill="auto"/>
            <w:vAlign w:val="center"/>
          </w:tcPr>
          <w:p w:rsidR="009136B5" w:rsidRDefault="009136B5">
            <w:pPr>
              <w:widowControl/>
              <w:adjustRightInd w:val="0"/>
              <w:snapToGrid w:val="0"/>
              <w:spacing w:beforeLines="20" w:before="62" w:afterLines="20" w:after="62" w:line="240" w:lineRule="auto"/>
              <w:ind w:firstLineChars="0" w:firstLine="0"/>
              <w:jc w:val="center"/>
              <w:rPr>
                <w:sz w:val="18"/>
                <w:szCs w:val="18"/>
              </w:rPr>
            </w:pPr>
          </w:p>
        </w:tc>
        <w:tc>
          <w:tcPr>
            <w:tcW w:w="814" w:type="pct"/>
            <w:shd w:val="clear" w:color="auto" w:fill="auto"/>
            <w:vAlign w:val="center"/>
          </w:tcPr>
          <w:p w:rsidR="009136B5" w:rsidRDefault="00000000">
            <w:pPr>
              <w:widowControl/>
              <w:adjustRightInd w:val="0"/>
              <w:snapToGrid w:val="0"/>
              <w:spacing w:beforeLines="20" w:before="62" w:afterLines="20" w:after="62" w:line="240" w:lineRule="auto"/>
              <w:ind w:firstLineChars="0" w:firstLine="0"/>
              <w:jc w:val="center"/>
              <w:rPr>
                <w:sz w:val="18"/>
                <w:szCs w:val="18"/>
              </w:rPr>
            </w:pPr>
            <w:r>
              <w:rPr>
                <w:sz w:val="18"/>
                <w:szCs w:val="18"/>
              </w:rPr>
              <w:t>地下防水</w:t>
            </w:r>
          </w:p>
        </w:tc>
        <w:tc>
          <w:tcPr>
            <w:tcW w:w="3149" w:type="pct"/>
            <w:shd w:val="clear" w:color="auto" w:fill="auto"/>
            <w:vAlign w:val="center"/>
          </w:tcPr>
          <w:p w:rsidR="009136B5" w:rsidRDefault="00000000">
            <w:pPr>
              <w:widowControl/>
              <w:adjustRightInd w:val="0"/>
              <w:snapToGrid w:val="0"/>
              <w:spacing w:beforeLines="20" w:before="62" w:afterLines="20" w:after="62" w:line="240" w:lineRule="auto"/>
              <w:ind w:firstLineChars="0" w:firstLine="0"/>
              <w:jc w:val="left"/>
              <w:rPr>
                <w:sz w:val="18"/>
                <w:szCs w:val="18"/>
              </w:rPr>
            </w:pPr>
            <w:r>
              <w:rPr>
                <w:sz w:val="18"/>
                <w:szCs w:val="18"/>
              </w:rPr>
              <w:t>主体结构防水，细部构造防水，注浆。</w:t>
            </w:r>
          </w:p>
        </w:tc>
      </w:tr>
      <w:tr w:rsidR="009136B5">
        <w:trPr>
          <w:jc w:val="center"/>
        </w:trPr>
        <w:tc>
          <w:tcPr>
            <w:tcW w:w="318" w:type="pct"/>
            <w:vMerge w:val="restart"/>
            <w:shd w:val="clear" w:color="auto" w:fill="auto"/>
            <w:vAlign w:val="center"/>
          </w:tcPr>
          <w:p w:rsidR="009136B5" w:rsidRDefault="00000000">
            <w:pPr>
              <w:widowControl/>
              <w:adjustRightInd w:val="0"/>
              <w:snapToGrid w:val="0"/>
              <w:spacing w:beforeLines="20" w:before="62" w:afterLines="20" w:after="62" w:line="240" w:lineRule="auto"/>
              <w:ind w:firstLineChars="0" w:firstLine="0"/>
              <w:jc w:val="center"/>
              <w:rPr>
                <w:sz w:val="18"/>
                <w:szCs w:val="18"/>
              </w:rPr>
            </w:pPr>
            <w:r>
              <w:rPr>
                <w:sz w:val="18"/>
                <w:szCs w:val="18"/>
              </w:rPr>
              <w:t>2</w:t>
            </w:r>
          </w:p>
        </w:tc>
        <w:tc>
          <w:tcPr>
            <w:tcW w:w="719" w:type="pct"/>
            <w:vMerge w:val="restart"/>
            <w:shd w:val="clear" w:color="auto" w:fill="auto"/>
            <w:vAlign w:val="center"/>
          </w:tcPr>
          <w:p w:rsidR="009136B5" w:rsidRDefault="00000000">
            <w:pPr>
              <w:widowControl/>
              <w:adjustRightInd w:val="0"/>
              <w:snapToGrid w:val="0"/>
              <w:spacing w:beforeLines="20" w:before="62" w:afterLines="20" w:after="62" w:line="240" w:lineRule="auto"/>
              <w:ind w:firstLineChars="0" w:firstLine="0"/>
              <w:jc w:val="center"/>
              <w:rPr>
                <w:sz w:val="18"/>
                <w:szCs w:val="18"/>
              </w:rPr>
            </w:pPr>
            <w:r>
              <w:rPr>
                <w:sz w:val="18"/>
                <w:szCs w:val="18"/>
              </w:rPr>
              <w:t>主体结构</w:t>
            </w:r>
          </w:p>
        </w:tc>
        <w:tc>
          <w:tcPr>
            <w:tcW w:w="814" w:type="pct"/>
            <w:shd w:val="clear" w:color="auto" w:fill="auto"/>
            <w:vAlign w:val="center"/>
          </w:tcPr>
          <w:p w:rsidR="009136B5" w:rsidRDefault="00000000">
            <w:pPr>
              <w:widowControl/>
              <w:adjustRightInd w:val="0"/>
              <w:snapToGrid w:val="0"/>
              <w:spacing w:beforeLines="20" w:before="62" w:afterLines="20" w:after="62" w:line="240" w:lineRule="auto"/>
              <w:ind w:firstLineChars="0" w:firstLine="0"/>
              <w:jc w:val="center"/>
              <w:rPr>
                <w:sz w:val="18"/>
                <w:szCs w:val="18"/>
              </w:rPr>
            </w:pPr>
            <w:r>
              <w:rPr>
                <w:sz w:val="18"/>
                <w:szCs w:val="18"/>
              </w:rPr>
              <w:t>混凝土结构</w:t>
            </w:r>
          </w:p>
        </w:tc>
        <w:tc>
          <w:tcPr>
            <w:tcW w:w="3149" w:type="pct"/>
            <w:shd w:val="clear" w:color="auto" w:fill="auto"/>
            <w:vAlign w:val="center"/>
          </w:tcPr>
          <w:p w:rsidR="009136B5" w:rsidRDefault="00000000">
            <w:pPr>
              <w:widowControl/>
              <w:adjustRightInd w:val="0"/>
              <w:snapToGrid w:val="0"/>
              <w:spacing w:beforeLines="20" w:before="62" w:afterLines="20" w:after="62" w:line="240" w:lineRule="auto"/>
              <w:ind w:firstLineChars="0" w:firstLine="0"/>
              <w:jc w:val="left"/>
              <w:rPr>
                <w:sz w:val="18"/>
                <w:szCs w:val="18"/>
              </w:rPr>
            </w:pPr>
            <w:r>
              <w:rPr>
                <w:sz w:val="18"/>
                <w:szCs w:val="18"/>
              </w:rPr>
              <w:t>柱墙梁板结构的模板，钢筋，混凝土浇筑，预应力张拉灌浆。</w:t>
            </w:r>
          </w:p>
        </w:tc>
      </w:tr>
      <w:tr w:rsidR="009136B5">
        <w:trPr>
          <w:jc w:val="center"/>
        </w:trPr>
        <w:tc>
          <w:tcPr>
            <w:tcW w:w="318" w:type="pct"/>
            <w:vMerge/>
            <w:shd w:val="clear" w:color="auto" w:fill="auto"/>
            <w:vAlign w:val="center"/>
          </w:tcPr>
          <w:p w:rsidR="009136B5" w:rsidRDefault="009136B5">
            <w:pPr>
              <w:widowControl/>
              <w:adjustRightInd w:val="0"/>
              <w:snapToGrid w:val="0"/>
              <w:spacing w:beforeLines="20" w:before="62" w:afterLines="20" w:after="62" w:line="240" w:lineRule="auto"/>
              <w:ind w:firstLineChars="0" w:firstLine="0"/>
              <w:jc w:val="center"/>
              <w:rPr>
                <w:sz w:val="18"/>
                <w:szCs w:val="18"/>
              </w:rPr>
            </w:pPr>
          </w:p>
        </w:tc>
        <w:tc>
          <w:tcPr>
            <w:tcW w:w="719" w:type="pct"/>
            <w:vMerge/>
            <w:shd w:val="clear" w:color="auto" w:fill="auto"/>
            <w:vAlign w:val="center"/>
          </w:tcPr>
          <w:p w:rsidR="009136B5" w:rsidRDefault="009136B5">
            <w:pPr>
              <w:widowControl/>
              <w:adjustRightInd w:val="0"/>
              <w:snapToGrid w:val="0"/>
              <w:spacing w:beforeLines="20" w:before="62" w:afterLines="20" w:after="62" w:line="240" w:lineRule="auto"/>
              <w:ind w:firstLineChars="0" w:firstLine="0"/>
              <w:jc w:val="center"/>
              <w:rPr>
                <w:sz w:val="18"/>
                <w:szCs w:val="18"/>
              </w:rPr>
            </w:pPr>
          </w:p>
        </w:tc>
        <w:tc>
          <w:tcPr>
            <w:tcW w:w="814" w:type="pct"/>
            <w:shd w:val="clear" w:color="auto" w:fill="auto"/>
            <w:vAlign w:val="center"/>
          </w:tcPr>
          <w:p w:rsidR="009136B5" w:rsidRDefault="00000000">
            <w:pPr>
              <w:widowControl/>
              <w:adjustRightInd w:val="0"/>
              <w:snapToGrid w:val="0"/>
              <w:spacing w:beforeLines="20" w:before="62" w:afterLines="20" w:after="62" w:line="240" w:lineRule="auto"/>
              <w:ind w:firstLineChars="0" w:firstLine="0"/>
              <w:jc w:val="center"/>
              <w:rPr>
                <w:sz w:val="18"/>
                <w:szCs w:val="18"/>
              </w:rPr>
            </w:pPr>
            <w:r>
              <w:rPr>
                <w:sz w:val="18"/>
                <w:szCs w:val="18"/>
              </w:rPr>
              <w:t>砌体结构</w:t>
            </w:r>
          </w:p>
        </w:tc>
        <w:tc>
          <w:tcPr>
            <w:tcW w:w="3149" w:type="pct"/>
            <w:shd w:val="clear" w:color="auto" w:fill="auto"/>
            <w:vAlign w:val="center"/>
          </w:tcPr>
          <w:p w:rsidR="009136B5" w:rsidRDefault="00000000">
            <w:pPr>
              <w:widowControl/>
              <w:adjustRightInd w:val="0"/>
              <w:snapToGrid w:val="0"/>
              <w:spacing w:beforeLines="20" w:before="62" w:afterLines="20" w:after="62" w:line="240" w:lineRule="auto"/>
              <w:ind w:firstLineChars="0" w:firstLine="0"/>
              <w:jc w:val="left"/>
              <w:rPr>
                <w:sz w:val="18"/>
                <w:szCs w:val="18"/>
              </w:rPr>
            </w:pPr>
            <w:r>
              <w:rPr>
                <w:sz w:val="18"/>
                <w:szCs w:val="18"/>
              </w:rPr>
              <w:t>砖砌体，混凝土小型空心砌体砌块，配筋砌体，填充墙砌体。</w:t>
            </w:r>
          </w:p>
        </w:tc>
      </w:tr>
      <w:tr w:rsidR="009136B5">
        <w:trPr>
          <w:jc w:val="center"/>
        </w:trPr>
        <w:tc>
          <w:tcPr>
            <w:tcW w:w="318" w:type="pct"/>
            <w:vMerge/>
            <w:shd w:val="clear" w:color="auto" w:fill="auto"/>
            <w:vAlign w:val="center"/>
          </w:tcPr>
          <w:p w:rsidR="009136B5" w:rsidRDefault="009136B5">
            <w:pPr>
              <w:widowControl/>
              <w:adjustRightInd w:val="0"/>
              <w:snapToGrid w:val="0"/>
              <w:spacing w:beforeLines="20" w:before="62" w:afterLines="20" w:after="62" w:line="240" w:lineRule="auto"/>
              <w:ind w:firstLineChars="0" w:firstLine="0"/>
              <w:jc w:val="center"/>
              <w:rPr>
                <w:sz w:val="18"/>
                <w:szCs w:val="18"/>
              </w:rPr>
            </w:pPr>
          </w:p>
        </w:tc>
        <w:tc>
          <w:tcPr>
            <w:tcW w:w="719" w:type="pct"/>
            <w:vMerge/>
            <w:shd w:val="clear" w:color="auto" w:fill="auto"/>
            <w:vAlign w:val="center"/>
          </w:tcPr>
          <w:p w:rsidR="009136B5" w:rsidRDefault="009136B5">
            <w:pPr>
              <w:widowControl/>
              <w:adjustRightInd w:val="0"/>
              <w:snapToGrid w:val="0"/>
              <w:spacing w:beforeLines="20" w:before="62" w:afterLines="20" w:after="62" w:line="240" w:lineRule="auto"/>
              <w:ind w:firstLineChars="0" w:firstLine="0"/>
              <w:jc w:val="center"/>
              <w:rPr>
                <w:sz w:val="18"/>
                <w:szCs w:val="18"/>
              </w:rPr>
            </w:pPr>
          </w:p>
        </w:tc>
        <w:tc>
          <w:tcPr>
            <w:tcW w:w="814" w:type="pct"/>
            <w:shd w:val="clear" w:color="auto" w:fill="auto"/>
            <w:vAlign w:val="center"/>
          </w:tcPr>
          <w:p w:rsidR="009136B5" w:rsidRDefault="00000000">
            <w:pPr>
              <w:widowControl/>
              <w:adjustRightInd w:val="0"/>
              <w:snapToGrid w:val="0"/>
              <w:spacing w:beforeLines="20" w:before="62" w:afterLines="20" w:after="62" w:line="240" w:lineRule="auto"/>
              <w:ind w:firstLineChars="0" w:firstLine="0"/>
              <w:jc w:val="center"/>
              <w:rPr>
                <w:sz w:val="18"/>
                <w:szCs w:val="18"/>
              </w:rPr>
            </w:pPr>
            <w:r>
              <w:rPr>
                <w:sz w:val="18"/>
                <w:szCs w:val="18"/>
              </w:rPr>
              <w:t>钢结构</w:t>
            </w:r>
          </w:p>
        </w:tc>
        <w:tc>
          <w:tcPr>
            <w:tcW w:w="3149" w:type="pct"/>
            <w:shd w:val="clear" w:color="auto" w:fill="auto"/>
            <w:vAlign w:val="center"/>
          </w:tcPr>
          <w:p w:rsidR="009136B5" w:rsidRDefault="00000000">
            <w:pPr>
              <w:widowControl/>
              <w:adjustRightInd w:val="0"/>
              <w:snapToGrid w:val="0"/>
              <w:spacing w:beforeLines="20" w:before="62" w:afterLines="20" w:after="62" w:line="240" w:lineRule="auto"/>
              <w:ind w:firstLineChars="0" w:firstLine="0"/>
              <w:jc w:val="left"/>
              <w:rPr>
                <w:sz w:val="18"/>
                <w:szCs w:val="18"/>
              </w:rPr>
            </w:pPr>
            <w:r>
              <w:rPr>
                <w:sz w:val="18"/>
                <w:szCs w:val="18"/>
              </w:rPr>
              <w:t>钢结构焊接，紧固件连接，钢零部件加工，钢构件组装及预拼装，压型金属板，防腐涂料涂装，防火涂料涂装。</w:t>
            </w:r>
          </w:p>
        </w:tc>
      </w:tr>
      <w:tr w:rsidR="009136B5">
        <w:trPr>
          <w:jc w:val="center"/>
        </w:trPr>
        <w:tc>
          <w:tcPr>
            <w:tcW w:w="318" w:type="pct"/>
            <w:vMerge/>
            <w:shd w:val="clear" w:color="auto" w:fill="auto"/>
            <w:vAlign w:val="center"/>
          </w:tcPr>
          <w:p w:rsidR="009136B5" w:rsidRDefault="009136B5">
            <w:pPr>
              <w:widowControl/>
              <w:adjustRightInd w:val="0"/>
              <w:snapToGrid w:val="0"/>
              <w:spacing w:beforeLines="20" w:before="62" w:afterLines="20" w:after="62" w:line="240" w:lineRule="auto"/>
              <w:ind w:firstLineChars="0" w:firstLine="0"/>
              <w:jc w:val="center"/>
              <w:rPr>
                <w:sz w:val="18"/>
                <w:szCs w:val="18"/>
              </w:rPr>
            </w:pPr>
          </w:p>
        </w:tc>
        <w:tc>
          <w:tcPr>
            <w:tcW w:w="719" w:type="pct"/>
            <w:vMerge/>
            <w:shd w:val="clear" w:color="auto" w:fill="auto"/>
            <w:vAlign w:val="center"/>
          </w:tcPr>
          <w:p w:rsidR="009136B5" w:rsidRDefault="009136B5">
            <w:pPr>
              <w:widowControl/>
              <w:adjustRightInd w:val="0"/>
              <w:snapToGrid w:val="0"/>
              <w:spacing w:beforeLines="20" w:before="62" w:afterLines="20" w:after="62" w:line="240" w:lineRule="auto"/>
              <w:ind w:firstLineChars="0" w:firstLine="0"/>
              <w:jc w:val="center"/>
              <w:rPr>
                <w:sz w:val="18"/>
                <w:szCs w:val="18"/>
              </w:rPr>
            </w:pPr>
          </w:p>
        </w:tc>
        <w:tc>
          <w:tcPr>
            <w:tcW w:w="814" w:type="pct"/>
            <w:shd w:val="clear" w:color="auto" w:fill="auto"/>
            <w:vAlign w:val="center"/>
          </w:tcPr>
          <w:p w:rsidR="009136B5" w:rsidRDefault="00000000">
            <w:pPr>
              <w:widowControl/>
              <w:adjustRightInd w:val="0"/>
              <w:snapToGrid w:val="0"/>
              <w:spacing w:beforeLines="20" w:before="62" w:afterLines="20" w:after="62" w:line="240" w:lineRule="auto"/>
              <w:ind w:firstLineChars="0" w:firstLine="0"/>
              <w:jc w:val="center"/>
              <w:rPr>
                <w:sz w:val="18"/>
                <w:szCs w:val="18"/>
              </w:rPr>
            </w:pPr>
            <w:r>
              <w:rPr>
                <w:sz w:val="18"/>
                <w:szCs w:val="18"/>
              </w:rPr>
              <w:t>钢管混凝土结构</w:t>
            </w:r>
          </w:p>
        </w:tc>
        <w:tc>
          <w:tcPr>
            <w:tcW w:w="3149" w:type="pct"/>
            <w:shd w:val="clear" w:color="auto" w:fill="auto"/>
            <w:vAlign w:val="center"/>
          </w:tcPr>
          <w:p w:rsidR="009136B5" w:rsidRDefault="00000000">
            <w:pPr>
              <w:widowControl/>
              <w:adjustRightInd w:val="0"/>
              <w:snapToGrid w:val="0"/>
              <w:spacing w:beforeLines="20" w:before="62" w:afterLines="20" w:after="62" w:line="240" w:lineRule="auto"/>
              <w:ind w:firstLineChars="0" w:firstLine="0"/>
              <w:jc w:val="left"/>
              <w:rPr>
                <w:sz w:val="18"/>
                <w:szCs w:val="18"/>
              </w:rPr>
            </w:pPr>
            <w:r>
              <w:rPr>
                <w:sz w:val="18"/>
                <w:szCs w:val="18"/>
              </w:rPr>
              <w:t>钢构件制作，钢管焊接，构件连接，钢管内钢筋骨架，混凝土浇筑。</w:t>
            </w:r>
          </w:p>
        </w:tc>
      </w:tr>
      <w:tr w:rsidR="009136B5">
        <w:trPr>
          <w:jc w:val="center"/>
        </w:trPr>
        <w:tc>
          <w:tcPr>
            <w:tcW w:w="318" w:type="pct"/>
            <w:vMerge/>
            <w:shd w:val="clear" w:color="auto" w:fill="auto"/>
            <w:vAlign w:val="center"/>
          </w:tcPr>
          <w:p w:rsidR="009136B5" w:rsidRDefault="009136B5">
            <w:pPr>
              <w:widowControl/>
              <w:adjustRightInd w:val="0"/>
              <w:snapToGrid w:val="0"/>
              <w:spacing w:beforeLines="20" w:before="62" w:afterLines="20" w:after="62" w:line="240" w:lineRule="auto"/>
              <w:ind w:firstLineChars="0" w:firstLine="0"/>
              <w:jc w:val="center"/>
              <w:rPr>
                <w:sz w:val="18"/>
                <w:szCs w:val="18"/>
              </w:rPr>
            </w:pPr>
          </w:p>
        </w:tc>
        <w:tc>
          <w:tcPr>
            <w:tcW w:w="719" w:type="pct"/>
            <w:vMerge/>
            <w:shd w:val="clear" w:color="auto" w:fill="auto"/>
            <w:vAlign w:val="center"/>
          </w:tcPr>
          <w:p w:rsidR="009136B5" w:rsidRDefault="009136B5">
            <w:pPr>
              <w:widowControl/>
              <w:adjustRightInd w:val="0"/>
              <w:snapToGrid w:val="0"/>
              <w:spacing w:beforeLines="20" w:before="62" w:afterLines="20" w:after="62" w:line="240" w:lineRule="auto"/>
              <w:ind w:firstLineChars="0" w:firstLine="0"/>
              <w:jc w:val="center"/>
              <w:rPr>
                <w:sz w:val="18"/>
                <w:szCs w:val="18"/>
              </w:rPr>
            </w:pPr>
          </w:p>
        </w:tc>
        <w:tc>
          <w:tcPr>
            <w:tcW w:w="814" w:type="pct"/>
            <w:shd w:val="clear" w:color="auto" w:fill="auto"/>
            <w:vAlign w:val="center"/>
          </w:tcPr>
          <w:p w:rsidR="009136B5" w:rsidRDefault="00000000">
            <w:pPr>
              <w:widowControl/>
              <w:adjustRightInd w:val="0"/>
              <w:snapToGrid w:val="0"/>
              <w:spacing w:beforeLines="20" w:before="62" w:afterLines="20" w:after="62" w:line="240" w:lineRule="auto"/>
              <w:ind w:firstLineChars="0" w:firstLine="0"/>
              <w:jc w:val="center"/>
              <w:rPr>
                <w:sz w:val="18"/>
                <w:szCs w:val="18"/>
              </w:rPr>
            </w:pPr>
            <w:r>
              <w:rPr>
                <w:sz w:val="18"/>
                <w:szCs w:val="18"/>
              </w:rPr>
              <w:t>型钢混凝土结构</w:t>
            </w:r>
          </w:p>
        </w:tc>
        <w:tc>
          <w:tcPr>
            <w:tcW w:w="3149" w:type="pct"/>
            <w:shd w:val="clear" w:color="auto" w:fill="auto"/>
            <w:vAlign w:val="center"/>
          </w:tcPr>
          <w:p w:rsidR="009136B5" w:rsidRDefault="00000000">
            <w:pPr>
              <w:widowControl/>
              <w:adjustRightInd w:val="0"/>
              <w:snapToGrid w:val="0"/>
              <w:spacing w:beforeLines="20" w:before="62" w:afterLines="20" w:after="62" w:line="240" w:lineRule="auto"/>
              <w:ind w:firstLineChars="0" w:firstLine="0"/>
              <w:jc w:val="left"/>
              <w:rPr>
                <w:sz w:val="18"/>
                <w:szCs w:val="18"/>
              </w:rPr>
            </w:pPr>
            <w:r>
              <w:rPr>
                <w:sz w:val="18"/>
                <w:szCs w:val="18"/>
              </w:rPr>
              <w:t>型钢焊接，紧固件连接，型钢与钢筋连接，型钢构件组装及预拼装，型钢安装，模板，混凝土浇筑。</w:t>
            </w:r>
          </w:p>
        </w:tc>
      </w:tr>
      <w:tr w:rsidR="009136B5">
        <w:trPr>
          <w:jc w:val="center"/>
        </w:trPr>
        <w:tc>
          <w:tcPr>
            <w:tcW w:w="318" w:type="pct"/>
            <w:vMerge w:val="restart"/>
            <w:shd w:val="clear" w:color="auto" w:fill="auto"/>
            <w:vAlign w:val="center"/>
          </w:tcPr>
          <w:p w:rsidR="009136B5" w:rsidRDefault="00000000">
            <w:pPr>
              <w:widowControl/>
              <w:adjustRightInd w:val="0"/>
              <w:snapToGrid w:val="0"/>
              <w:spacing w:beforeLines="20" w:before="62" w:afterLines="20" w:after="62" w:line="240" w:lineRule="auto"/>
              <w:ind w:firstLineChars="0" w:firstLine="0"/>
              <w:jc w:val="center"/>
              <w:rPr>
                <w:sz w:val="18"/>
                <w:szCs w:val="18"/>
              </w:rPr>
            </w:pPr>
            <w:r>
              <w:rPr>
                <w:sz w:val="18"/>
                <w:szCs w:val="18"/>
              </w:rPr>
              <w:t>3</w:t>
            </w:r>
          </w:p>
        </w:tc>
        <w:tc>
          <w:tcPr>
            <w:tcW w:w="719" w:type="pct"/>
            <w:vMerge w:val="restart"/>
            <w:shd w:val="clear" w:color="auto" w:fill="auto"/>
            <w:vAlign w:val="center"/>
          </w:tcPr>
          <w:p w:rsidR="009136B5" w:rsidRDefault="00000000">
            <w:pPr>
              <w:widowControl/>
              <w:adjustRightInd w:val="0"/>
              <w:snapToGrid w:val="0"/>
              <w:spacing w:beforeLines="20" w:before="62" w:afterLines="20" w:after="62" w:line="240" w:lineRule="auto"/>
              <w:ind w:firstLineChars="0" w:firstLine="0"/>
              <w:jc w:val="center"/>
              <w:rPr>
                <w:sz w:val="18"/>
                <w:szCs w:val="18"/>
              </w:rPr>
            </w:pPr>
            <w:r>
              <w:rPr>
                <w:sz w:val="18"/>
                <w:szCs w:val="18"/>
              </w:rPr>
              <w:t>上部结构加固</w:t>
            </w:r>
          </w:p>
        </w:tc>
        <w:tc>
          <w:tcPr>
            <w:tcW w:w="814" w:type="pct"/>
            <w:shd w:val="clear" w:color="auto" w:fill="auto"/>
            <w:vAlign w:val="center"/>
          </w:tcPr>
          <w:p w:rsidR="009136B5" w:rsidRDefault="00000000">
            <w:pPr>
              <w:widowControl/>
              <w:adjustRightInd w:val="0"/>
              <w:snapToGrid w:val="0"/>
              <w:spacing w:beforeLines="20" w:before="62" w:afterLines="20" w:after="62" w:line="240" w:lineRule="auto"/>
              <w:ind w:firstLineChars="0" w:firstLine="0"/>
              <w:jc w:val="center"/>
              <w:rPr>
                <w:sz w:val="18"/>
                <w:szCs w:val="18"/>
              </w:rPr>
            </w:pPr>
            <w:r>
              <w:rPr>
                <w:sz w:val="18"/>
                <w:szCs w:val="18"/>
              </w:rPr>
              <w:t>混凝土构件增大截面工程</w:t>
            </w:r>
          </w:p>
        </w:tc>
        <w:tc>
          <w:tcPr>
            <w:tcW w:w="3149" w:type="pct"/>
            <w:shd w:val="clear" w:color="auto" w:fill="auto"/>
            <w:vAlign w:val="center"/>
          </w:tcPr>
          <w:p w:rsidR="009136B5" w:rsidRDefault="00000000">
            <w:pPr>
              <w:widowControl/>
              <w:adjustRightInd w:val="0"/>
              <w:snapToGrid w:val="0"/>
              <w:spacing w:beforeLines="20" w:before="62" w:afterLines="20" w:after="62" w:line="240" w:lineRule="auto"/>
              <w:ind w:firstLineChars="0" w:firstLine="0"/>
              <w:jc w:val="left"/>
              <w:rPr>
                <w:sz w:val="18"/>
                <w:szCs w:val="18"/>
              </w:rPr>
            </w:pPr>
            <w:r>
              <w:rPr>
                <w:sz w:val="18"/>
                <w:szCs w:val="18"/>
              </w:rPr>
              <w:t>原构件修整、界面处理、钢筋加工、焊接、混凝土浇筑</w:t>
            </w:r>
          </w:p>
        </w:tc>
      </w:tr>
      <w:tr w:rsidR="009136B5">
        <w:trPr>
          <w:jc w:val="center"/>
        </w:trPr>
        <w:tc>
          <w:tcPr>
            <w:tcW w:w="318" w:type="pct"/>
            <w:vMerge/>
            <w:shd w:val="clear" w:color="auto" w:fill="auto"/>
            <w:vAlign w:val="center"/>
          </w:tcPr>
          <w:p w:rsidR="009136B5" w:rsidRDefault="009136B5">
            <w:pPr>
              <w:widowControl/>
              <w:adjustRightInd w:val="0"/>
              <w:snapToGrid w:val="0"/>
              <w:spacing w:beforeLines="20" w:before="62" w:afterLines="20" w:after="62" w:line="240" w:lineRule="auto"/>
              <w:ind w:firstLineChars="0" w:firstLine="0"/>
              <w:jc w:val="center"/>
              <w:rPr>
                <w:sz w:val="18"/>
                <w:szCs w:val="18"/>
              </w:rPr>
            </w:pPr>
          </w:p>
        </w:tc>
        <w:tc>
          <w:tcPr>
            <w:tcW w:w="719" w:type="pct"/>
            <w:vMerge/>
            <w:shd w:val="clear" w:color="auto" w:fill="auto"/>
            <w:vAlign w:val="center"/>
          </w:tcPr>
          <w:p w:rsidR="009136B5" w:rsidRDefault="009136B5">
            <w:pPr>
              <w:widowControl/>
              <w:adjustRightInd w:val="0"/>
              <w:snapToGrid w:val="0"/>
              <w:spacing w:beforeLines="20" w:before="62" w:afterLines="20" w:after="62" w:line="240" w:lineRule="auto"/>
              <w:ind w:firstLineChars="0" w:firstLine="0"/>
              <w:jc w:val="center"/>
              <w:rPr>
                <w:sz w:val="18"/>
                <w:szCs w:val="18"/>
              </w:rPr>
            </w:pPr>
          </w:p>
        </w:tc>
        <w:tc>
          <w:tcPr>
            <w:tcW w:w="814" w:type="pct"/>
            <w:shd w:val="clear" w:color="auto" w:fill="auto"/>
            <w:vAlign w:val="center"/>
          </w:tcPr>
          <w:p w:rsidR="009136B5" w:rsidRDefault="00000000">
            <w:pPr>
              <w:widowControl/>
              <w:adjustRightInd w:val="0"/>
              <w:snapToGrid w:val="0"/>
              <w:spacing w:beforeLines="20" w:before="62" w:afterLines="20" w:after="62" w:line="240" w:lineRule="auto"/>
              <w:ind w:firstLineChars="0" w:firstLine="0"/>
              <w:jc w:val="center"/>
              <w:rPr>
                <w:sz w:val="18"/>
                <w:szCs w:val="18"/>
              </w:rPr>
            </w:pPr>
            <w:r>
              <w:rPr>
                <w:sz w:val="18"/>
                <w:szCs w:val="18"/>
              </w:rPr>
              <w:t>混凝土局部置换构件工程</w:t>
            </w:r>
          </w:p>
        </w:tc>
        <w:tc>
          <w:tcPr>
            <w:tcW w:w="3149" w:type="pct"/>
            <w:shd w:val="clear" w:color="auto" w:fill="auto"/>
            <w:vAlign w:val="center"/>
          </w:tcPr>
          <w:p w:rsidR="009136B5" w:rsidRDefault="00000000">
            <w:pPr>
              <w:widowControl/>
              <w:adjustRightInd w:val="0"/>
              <w:snapToGrid w:val="0"/>
              <w:spacing w:beforeLines="20" w:before="62" w:afterLines="20" w:after="62" w:line="240" w:lineRule="auto"/>
              <w:ind w:firstLineChars="0" w:firstLine="0"/>
              <w:jc w:val="left"/>
              <w:rPr>
                <w:sz w:val="18"/>
                <w:szCs w:val="18"/>
              </w:rPr>
            </w:pPr>
            <w:r>
              <w:rPr>
                <w:sz w:val="18"/>
                <w:szCs w:val="18"/>
              </w:rPr>
              <w:t>局部凿除、界面处理、钢筋修复、混凝土浇筑</w:t>
            </w:r>
          </w:p>
        </w:tc>
      </w:tr>
      <w:tr w:rsidR="009136B5">
        <w:trPr>
          <w:jc w:val="center"/>
        </w:trPr>
        <w:tc>
          <w:tcPr>
            <w:tcW w:w="318" w:type="pct"/>
            <w:vMerge/>
            <w:shd w:val="clear" w:color="auto" w:fill="auto"/>
            <w:vAlign w:val="center"/>
          </w:tcPr>
          <w:p w:rsidR="009136B5" w:rsidRDefault="009136B5">
            <w:pPr>
              <w:widowControl/>
              <w:adjustRightInd w:val="0"/>
              <w:snapToGrid w:val="0"/>
              <w:spacing w:beforeLines="20" w:before="62" w:afterLines="20" w:after="62" w:line="240" w:lineRule="auto"/>
              <w:ind w:firstLineChars="0" w:firstLine="0"/>
              <w:jc w:val="center"/>
              <w:rPr>
                <w:sz w:val="18"/>
                <w:szCs w:val="18"/>
              </w:rPr>
            </w:pPr>
          </w:p>
        </w:tc>
        <w:tc>
          <w:tcPr>
            <w:tcW w:w="719" w:type="pct"/>
            <w:vMerge/>
            <w:shd w:val="clear" w:color="auto" w:fill="auto"/>
            <w:vAlign w:val="center"/>
          </w:tcPr>
          <w:p w:rsidR="009136B5" w:rsidRDefault="009136B5">
            <w:pPr>
              <w:widowControl/>
              <w:adjustRightInd w:val="0"/>
              <w:snapToGrid w:val="0"/>
              <w:spacing w:beforeLines="20" w:before="62" w:afterLines="20" w:after="62" w:line="240" w:lineRule="auto"/>
              <w:ind w:firstLineChars="0" w:firstLine="0"/>
              <w:jc w:val="center"/>
              <w:rPr>
                <w:sz w:val="18"/>
                <w:szCs w:val="18"/>
              </w:rPr>
            </w:pPr>
          </w:p>
        </w:tc>
        <w:tc>
          <w:tcPr>
            <w:tcW w:w="814" w:type="pct"/>
            <w:shd w:val="clear" w:color="auto" w:fill="auto"/>
            <w:vAlign w:val="center"/>
          </w:tcPr>
          <w:p w:rsidR="009136B5" w:rsidRDefault="00000000">
            <w:pPr>
              <w:widowControl/>
              <w:adjustRightInd w:val="0"/>
              <w:snapToGrid w:val="0"/>
              <w:spacing w:beforeLines="20" w:before="62" w:afterLines="20" w:after="62" w:line="240" w:lineRule="auto"/>
              <w:ind w:firstLineChars="0" w:firstLine="0"/>
              <w:jc w:val="center"/>
              <w:rPr>
                <w:sz w:val="18"/>
                <w:szCs w:val="18"/>
              </w:rPr>
            </w:pPr>
            <w:r>
              <w:rPr>
                <w:sz w:val="18"/>
                <w:szCs w:val="18"/>
              </w:rPr>
              <w:t>外粘型钢工程</w:t>
            </w:r>
          </w:p>
        </w:tc>
        <w:tc>
          <w:tcPr>
            <w:tcW w:w="3149" w:type="pct"/>
            <w:shd w:val="clear" w:color="auto" w:fill="auto"/>
            <w:vAlign w:val="center"/>
          </w:tcPr>
          <w:p w:rsidR="009136B5" w:rsidRDefault="00000000">
            <w:pPr>
              <w:widowControl/>
              <w:adjustRightInd w:val="0"/>
              <w:snapToGrid w:val="0"/>
              <w:spacing w:beforeLines="20" w:before="62" w:afterLines="20" w:after="62" w:line="240" w:lineRule="auto"/>
              <w:ind w:firstLineChars="0" w:firstLine="0"/>
              <w:jc w:val="left"/>
              <w:rPr>
                <w:sz w:val="18"/>
                <w:szCs w:val="18"/>
              </w:rPr>
            </w:pPr>
            <w:r>
              <w:rPr>
                <w:sz w:val="18"/>
                <w:szCs w:val="18"/>
              </w:rPr>
              <w:t>原构件修整、界面处理、钢构件加工与安装、焊接、注胶、涂装</w:t>
            </w:r>
          </w:p>
        </w:tc>
      </w:tr>
      <w:tr w:rsidR="009136B5">
        <w:trPr>
          <w:jc w:val="center"/>
        </w:trPr>
        <w:tc>
          <w:tcPr>
            <w:tcW w:w="318" w:type="pct"/>
            <w:vMerge/>
            <w:shd w:val="clear" w:color="auto" w:fill="auto"/>
            <w:vAlign w:val="center"/>
          </w:tcPr>
          <w:p w:rsidR="009136B5" w:rsidRDefault="009136B5">
            <w:pPr>
              <w:widowControl/>
              <w:adjustRightInd w:val="0"/>
              <w:snapToGrid w:val="0"/>
              <w:spacing w:beforeLines="20" w:before="62" w:afterLines="20" w:after="62" w:line="240" w:lineRule="auto"/>
              <w:ind w:firstLineChars="0" w:firstLine="0"/>
              <w:jc w:val="center"/>
              <w:rPr>
                <w:sz w:val="18"/>
                <w:szCs w:val="18"/>
              </w:rPr>
            </w:pPr>
          </w:p>
        </w:tc>
        <w:tc>
          <w:tcPr>
            <w:tcW w:w="719" w:type="pct"/>
            <w:vMerge/>
            <w:shd w:val="clear" w:color="auto" w:fill="auto"/>
            <w:vAlign w:val="center"/>
          </w:tcPr>
          <w:p w:rsidR="009136B5" w:rsidRDefault="009136B5">
            <w:pPr>
              <w:widowControl/>
              <w:adjustRightInd w:val="0"/>
              <w:snapToGrid w:val="0"/>
              <w:spacing w:beforeLines="20" w:before="62" w:afterLines="20" w:after="62" w:line="240" w:lineRule="auto"/>
              <w:ind w:firstLineChars="0" w:firstLine="0"/>
              <w:jc w:val="center"/>
              <w:rPr>
                <w:sz w:val="18"/>
                <w:szCs w:val="18"/>
              </w:rPr>
            </w:pPr>
          </w:p>
        </w:tc>
        <w:tc>
          <w:tcPr>
            <w:tcW w:w="814" w:type="pct"/>
            <w:shd w:val="clear" w:color="auto" w:fill="auto"/>
            <w:vAlign w:val="center"/>
          </w:tcPr>
          <w:p w:rsidR="009136B5" w:rsidRDefault="00000000">
            <w:pPr>
              <w:widowControl/>
              <w:adjustRightInd w:val="0"/>
              <w:snapToGrid w:val="0"/>
              <w:spacing w:beforeLines="20" w:before="62" w:afterLines="20" w:after="62" w:line="240" w:lineRule="auto"/>
              <w:ind w:firstLineChars="0" w:firstLine="0"/>
              <w:jc w:val="center"/>
              <w:rPr>
                <w:sz w:val="18"/>
                <w:szCs w:val="18"/>
              </w:rPr>
            </w:pPr>
            <w:r>
              <w:rPr>
                <w:sz w:val="18"/>
                <w:szCs w:val="18"/>
              </w:rPr>
              <w:t>粘贴纤维复合材工程</w:t>
            </w:r>
          </w:p>
        </w:tc>
        <w:tc>
          <w:tcPr>
            <w:tcW w:w="3149" w:type="pct"/>
            <w:shd w:val="clear" w:color="auto" w:fill="auto"/>
            <w:vAlign w:val="center"/>
          </w:tcPr>
          <w:p w:rsidR="009136B5" w:rsidRDefault="00000000">
            <w:pPr>
              <w:widowControl/>
              <w:adjustRightInd w:val="0"/>
              <w:snapToGrid w:val="0"/>
              <w:spacing w:beforeLines="20" w:before="62" w:afterLines="20" w:after="62" w:line="240" w:lineRule="auto"/>
              <w:ind w:firstLineChars="0" w:firstLine="0"/>
              <w:jc w:val="left"/>
              <w:rPr>
                <w:sz w:val="18"/>
                <w:szCs w:val="18"/>
              </w:rPr>
            </w:pPr>
            <w:r>
              <w:rPr>
                <w:sz w:val="18"/>
                <w:szCs w:val="18"/>
              </w:rPr>
              <w:t>原构件修整、界面处理、纤维材料粘贴、防护面层</w:t>
            </w:r>
          </w:p>
        </w:tc>
      </w:tr>
      <w:tr w:rsidR="009136B5">
        <w:trPr>
          <w:jc w:val="center"/>
        </w:trPr>
        <w:tc>
          <w:tcPr>
            <w:tcW w:w="318" w:type="pct"/>
            <w:vMerge/>
            <w:shd w:val="clear" w:color="auto" w:fill="auto"/>
            <w:vAlign w:val="center"/>
          </w:tcPr>
          <w:p w:rsidR="009136B5" w:rsidRDefault="009136B5">
            <w:pPr>
              <w:widowControl/>
              <w:adjustRightInd w:val="0"/>
              <w:snapToGrid w:val="0"/>
              <w:spacing w:beforeLines="20" w:before="62" w:afterLines="20" w:after="62" w:line="240" w:lineRule="auto"/>
              <w:ind w:firstLineChars="0" w:firstLine="0"/>
              <w:jc w:val="center"/>
              <w:rPr>
                <w:sz w:val="18"/>
                <w:szCs w:val="18"/>
              </w:rPr>
            </w:pPr>
          </w:p>
        </w:tc>
        <w:tc>
          <w:tcPr>
            <w:tcW w:w="719" w:type="pct"/>
            <w:vMerge/>
            <w:shd w:val="clear" w:color="auto" w:fill="auto"/>
            <w:vAlign w:val="center"/>
          </w:tcPr>
          <w:p w:rsidR="009136B5" w:rsidRDefault="009136B5">
            <w:pPr>
              <w:widowControl/>
              <w:adjustRightInd w:val="0"/>
              <w:snapToGrid w:val="0"/>
              <w:spacing w:beforeLines="20" w:before="62" w:afterLines="20" w:after="62" w:line="240" w:lineRule="auto"/>
              <w:ind w:firstLineChars="0" w:firstLine="0"/>
              <w:jc w:val="center"/>
              <w:rPr>
                <w:sz w:val="18"/>
                <w:szCs w:val="18"/>
              </w:rPr>
            </w:pPr>
          </w:p>
        </w:tc>
        <w:tc>
          <w:tcPr>
            <w:tcW w:w="814" w:type="pct"/>
            <w:shd w:val="clear" w:color="auto" w:fill="auto"/>
            <w:vAlign w:val="center"/>
          </w:tcPr>
          <w:p w:rsidR="009136B5" w:rsidRDefault="00000000">
            <w:pPr>
              <w:widowControl/>
              <w:adjustRightInd w:val="0"/>
              <w:snapToGrid w:val="0"/>
              <w:spacing w:beforeLines="20" w:before="62" w:afterLines="20" w:after="62" w:line="240" w:lineRule="auto"/>
              <w:ind w:firstLineChars="0" w:firstLine="0"/>
              <w:jc w:val="center"/>
              <w:rPr>
                <w:sz w:val="18"/>
                <w:szCs w:val="18"/>
              </w:rPr>
            </w:pPr>
            <w:r>
              <w:rPr>
                <w:sz w:val="18"/>
                <w:szCs w:val="18"/>
              </w:rPr>
              <w:t>外粘钢板工程</w:t>
            </w:r>
          </w:p>
        </w:tc>
        <w:tc>
          <w:tcPr>
            <w:tcW w:w="3149" w:type="pct"/>
            <w:shd w:val="clear" w:color="auto" w:fill="auto"/>
            <w:vAlign w:val="center"/>
          </w:tcPr>
          <w:p w:rsidR="009136B5" w:rsidRDefault="00000000">
            <w:pPr>
              <w:widowControl/>
              <w:adjustRightInd w:val="0"/>
              <w:snapToGrid w:val="0"/>
              <w:spacing w:beforeLines="20" w:before="62" w:afterLines="20" w:after="62" w:line="240" w:lineRule="auto"/>
              <w:ind w:firstLineChars="0" w:firstLine="0"/>
              <w:jc w:val="left"/>
              <w:rPr>
                <w:sz w:val="18"/>
                <w:szCs w:val="18"/>
              </w:rPr>
            </w:pPr>
            <w:r>
              <w:rPr>
                <w:sz w:val="18"/>
                <w:szCs w:val="18"/>
              </w:rPr>
              <w:t>原构件修整、界面处理、钢板加工、胶接与锚固、防护面层</w:t>
            </w:r>
          </w:p>
        </w:tc>
      </w:tr>
      <w:tr w:rsidR="009136B5">
        <w:trPr>
          <w:jc w:val="center"/>
        </w:trPr>
        <w:tc>
          <w:tcPr>
            <w:tcW w:w="318" w:type="pct"/>
            <w:vMerge/>
            <w:shd w:val="clear" w:color="auto" w:fill="auto"/>
            <w:vAlign w:val="center"/>
          </w:tcPr>
          <w:p w:rsidR="009136B5" w:rsidRDefault="009136B5">
            <w:pPr>
              <w:widowControl/>
              <w:adjustRightInd w:val="0"/>
              <w:snapToGrid w:val="0"/>
              <w:spacing w:beforeLines="20" w:before="62" w:afterLines="20" w:after="62" w:line="240" w:lineRule="auto"/>
              <w:ind w:firstLineChars="0" w:firstLine="0"/>
              <w:jc w:val="center"/>
              <w:rPr>
                <w:sz w:val="18"/>
                <w:szCs w:val="18"/>
              </w:rPr>
            </w:pPr>
          </w:p>
        </w:tc>
        <w:tc>
          <w:tcPr>
            <w:tcW w:w="719" w:type="pct"/>
            <w:vMerge/>
            <w:shd w:val="clear" w:color="auto" w:fill="auto"/>
            <w:vAlign w:val="center"/>
          </w:tcPr>
          <w:p w:rsidR="009136B5" w:rsidRDefault="009136B5">
            <w:pPr>
              <w:widowControl/>
              <w:adjustRightInd w:val="0"/>
              <w:snapToGrid w:val="0"/>
              <w:spacing w:beforeLines="20" w:before="62" w:afterLines="20" w:after="62" w:line="240" w:lineRule="auto"/>
              <w:ind w:firstLineChars="0" w:firstLine="0"/>
              <w:jc w:val="center"/>
              <w:rPr>
                <w:sz w:val="18"/>
                <w:szCs w:val="18"/>
              </w:rPr>
            </w:pPr>
          </w:p>
        </w:tc>
        <w:tc>
          <w:tcPr>
            <w:tcW w:w="814" w:type="pct"/>
            <w:shd w:val="clear" w:color="auto" w:fill="auto"/>
            <w:vAlign w:val="center"/>
          </w:tcPr>
          <w:p w:rsidR="009136B5" w:rsidRDefault="00000000">
            <w:pPr>
              <w:widowControl/>
              <w:adjustRightInd w:val="0"/>
              <w:snapToGrid w:val="0"/>
              <w:spacing w:beforeLines="20" w:before="62" w:afterLines="20" w:after="62" w:line="240" w:lineRule="auto"/>
              <w:ind w:firstLineChars="0" w:firstLine="0"/>
              <w:jc w:val="center"/>
              <w:rPr>
                <w:sz w:val="18"/>
                <w:szCs w:val="18"/>
              </w:rPr>
            </w:pPr>
            <w:r>
              <w:rPr>
                <w:sz w:val="18"/>
                <w:szCs w:val="18"/>
              </w:rPr>
              <w:t>钢丝绳网片外加聚合物砂浆面层工程</w:t>
            </w:r>
          </w:p>
        </w:tc>
        <w:tc>
          <w:tcPr>
            <w:tcW w:w="3149" w:type="pct"/>
            <w:shd w:val="clear" w:color="auto" w:fill="auto"/>
            <w:vAlign w:val="center"/>
          </w:tcPr>
          <w:p w:rsidR="009136B5" w:rsidRDefault="00000000">
            <w:pPr>
              <w:widowControl/>
              <w:adjustRightInd w:val="0"/>
              <w:snapToGrid w:val="0"/>
              <w:spacing w:beforeLines="20" w:before="62" w:afterLines="20" w:after="62" w:line="240" w:lineRule="auto"/>
              <w:ind w:firstLineChars="0" w:firstLine="0"/>
              <w:jc w:val="left"/>
              <w:rPr>
                <w:sz w:val="18"/>
                <w:szCs w:val="18"/>
              </w:rPr>
            </w:pPr>
            <w:r>
              <w:rPr>
                <w:sz w:val="18"/>
                <w:szCs w:val="18"/>
              </w:rPr>
              <w:t>原构件修整、界面处理、网片安装与锚固、聚合物砂浆喷抹</w:t>
            </w:r>
          </w:p>
        </w:tc>
      </w:tr>
      <w:tr w:rsidR="009136B5">
        <w:trPr>
          <w:jc w:val="center"/>
        </w:trPr>
        <w:tc>
          <w:tcPr>
            <w:tcW w:w="318" w:type="pct"/>
            <w:vMerge/>
            <w:shd w:val="clear" w:color="auto" w:fill="auto"/>
            <w:vAlign w:val="center"/>
          </w:tcPr>
          <w:p w:rsidR="009136B5" w:rsidRDefault="009136B5">
            <w:pPr>
              <w:widowControl/>
              <w:adjustRightInd w:val="0"/>
              <w:snapToGrid w:val="0"/>
              <w:spacing w:beforeLines="20" w:before="62" w:afterLines="20" w:after="62" w:line="240" w:lineRule="auto"/>
              <w:ind w:firstLineChars="0" w:firstLine="0"/>
              <w:jc w:val="center"/>
              <w:rPr>
                <w:sz w:val="18"/>
                <w:szCs w:val="18"/>
              </w:rPr>
            </w:pPr>
          </w:p>
        </w:tc>
        <w:tc>
          <w:tcPr>
            <w:tcW w:w="719" w:type="pct"/>
            <w:vMerge/>
            <w:shd w:val="clear" w:color="auto" w:fill="auto"/>
            <w:vAlign w:val="center"/>
          </w:tcPr>
          <w:p w:rsidR="009136B5" w:rsidRDefault="009136B5">
            <w:pPr>
              <w:widowControl/>
              <w:adjustRightInd w:val="0"/>
              <w:snapToGrid w:val="0"/>
              <w:spacing w:beforeLines="20" w:before="62" w:afterLines="20" w:after="62" w:line="240" w:lineRule="auto"/>
              <w:ind w:firstLineChars="0" w:firstLine="0"/>
              <w:jc w:val="center"/>
              <w:rPr>
                <w:sz w:val="18"/>
                <w:szCs w:val="18"/>
              </w:rPr>
            </w:pPr>
          </w:p>
        </w:tc>
        <w:tc>
          <w:tcPr>
            <w:tcW w:w="814" w:type="pct"/>
            <w:shd w:val="clear" w:color="auto" w:fill="auto"/>
            <w:vAlign w:val="center"/>
          </w:tcPr>
          <w:p w:rsidR="009136B5" w:rsidRDefault="00000000">
            <w:pPr>
              <w:widowControl/>
              <w:adjustRightInd w:val="0"/>
              <w:snapToGrid w:val="0"/>
              <w:spacing w:beforeLines="20" w:before="62" w:afterLines="20" w:after="62" w:line="240" w:lineRule="auto"/>
              <w:ind w:firstLineChars="0" w:firstLine="0"/>
              <w:jc w:val="center"/>
              <w:rPr>
                <w:sz w:val="18"/>
                <w:szCs w:val="18"/>
              </w:rPr>
            </w:pPr>
            <w:r>
              <w:rPr>
                <w:sz w:val="18"/>
                <w:szCs w:val="18"/>
              </w:rPr>
              <w:t>承重构件外加钢筋网</w:t>
            </w:r>
            <w:r>
              <w:rPr>
                <w:sz w:val="18"/>
                <w:szCs w:val="18"/>
              </w:rPr>
              <w:t>—</w:t>
            </w:r>
            <w:r>
              <w:rPr>
                <w:sz w:val="18"/>
                <w:szCs w:val="18"/>
              </w:rPr>
              <w:t>砂浆面层工程</w:t>
            </w:r>
          </w:p>
        </w:tc>
        <w:tc>
          <w:tcPr>
            <w:tcW w:w="3149" w:type="pct"/>
            <w:shd w:val="clear" w:color="auto" w:fill="auto"/>
            <w:vAlign w:val="center"/>
          </w:tcPr>
          <w:p w:rsidR="009136B5" w:rsidRDefault="00000000">
            <w:pPr>
              <w:widowControl/>
              <w:adjustRightInd w:val="0"/>
              <w:snapToGrid w:val="0"/>
              <w:spacing w:beforeLines="20" w:before="62" w:afterLines="20" w:after="62" w:line="240" w:lineRule="auto"/>
              <w:ind w:firstLineChars="0" w:firstLine="0"/>
              <w:jc w:val="left"/>
              <w:rPr>
                <w:sz w:val="18"/>
                <w:szCs w:val="18"/>
              </w:rPr>
            </w:pPr>
            <w:r>
              <w:rPr>
                <w:sz w:val="18"/>
                <w:szCs w:val="18"/>
              </w:rPr>
              <w:t>原构件修整、钢筋网加工与焊接、安装与锚固、聚合物砂浆或复合砂浆喷抹</w:t>
            </w:r>
          </w:p>
        </w:tc>
      </w:tr>
      <w:tr w:rsidR="009136B5">
        <w:trPr>
          <w:jc w:val="center"/>
        </w:trPr>
        <w:tc>
          <w:tcPr>
            <w:tcW w:w="318" w:type="pct"/>
            <w:vMerge/>
            <w:shd w:val="clear" w:color="auto" w:fill="auto"/>
            <w:vAlign w:val="center"/>
          </w:tcPr>
          <w:p w:rsidR="009136B5" w:rsidRDefault="009136B5">
            <w:pPr>
              <w:widowControl/>
              <w:adjustRightInd w:val="0"/>
              <w:snapToGrid w:val="0"/>
              <w:spacing w:beforeLines="20" w:before="62" w:afterLines="20" w:after="62" w:line="240" w:lineRule="auto"/>
              <w:ind w:firstLineChars="0" w:firstLine="0"/>
              <w:jc w:val="center"/>
              <w:rPr>
                <w:sz w:val="18"/>
                <w:szCs w:val="18"/>
              </w:rPr>
            </w:pPr>
          </w:p>
        </w:tc>
        <w:tc>
          <w:tcPr>
            <w:tcW w:w="719" w:type="pct"/>
            <w:vMerge/>
            <w:shd w:val="clear" w:color="auto" w:fill="auto"/>
            <w:vAlign w:val="center"/>
          </w:tcPr>
          <w:p w:rsidR="009136B5" w:rsidRDefault="009136B5">
            <w:pPr>
              <w:widowControl/>
              <w:adjustRightInd w:val="0"/>
              <w:snapToGrid w:val="0"/>
              <w:spacing w:beforeLines="20" w:before="62" w:afterLines="20" w:after="62" w:line="240" w:lineRule="auto"/>
              <w:ind w:firstLineChars="0" w:firstLine="0"/>
              <w:jc w:val="center"/>
              <w:rPr>
                <w:sz w:val="18"/>
                <w:szCs w:val="18"/>
              </w:rPr>
            </w:pPr>
          </w:p>
        </w:tc>
        <w:tc>
          <w:tcPr>
            <w:tcW w:w="814" w:type="pct"/>
            <w:shd w:val="clear" w:color="auto" w:fill="auto"/>
            <w:vAlign w:val="center"/>
          </w:tcPr>
          <w:p w:rsidR="009136B5" w:rsidRDefault="00000000">
            <w:pPr>
              <w:widowControl/>
              <w:adjustRightInd w:val="0"/>
              <w:snapToGrid w:val="0"/>
              <w:spacing w:beforeLines="20" w:before="62" w:afterLines="20" w:after="62" w:line="240" w:lineRule="auto"/>
              <w:ind w:firstLineChars="0" w:firstLine="0"/>
              <w:jc w:val="center"/>
              <w:rPr>
                <w:sz w:val="18"/>
                <w:szCs w:val="18"/>
              </w:rPr>
            </w:pPr>
            <w:r>
              <w:rPr>
                <w:sz w:val="18"/>
                <w:szCs w:val="18"/>
              </w:rPr>
              <w:t>钢构件增大截面工程</w:t>
            </w:r>
          </w:p>
        </w:tc>
        <w:tc>
          <w:tcPr>
            <w:tcW w:w="3149" w:type="pct"/>
            <w:shd w:val="clear" w:color="auto" w:fill="auto"/>
            <w:vAlign w:val="center"/>
          </w:tcPr>
          <w:p w:rsidR="009136B5" w:rsidRDefault="00000000">
            <w:pPr>
              <w:widowControl/>
              <w:adjustRightInd w:val="0"/>
              <w:snapToGrid w:val="0"/>
              <w:spacing w:beforeLines="20" w:before="62" w:afterLines="20" w:after="62" w:line="240" w:lineRule="auto"/>
              <w:ind w:firstLineChars="0" w:firstLine="0"/>
              <w:jc w:val="left"/>
              <w:rPr>
                <w:sz w:val="18"/>
                <w:szCs w:val="18"/>
              </w:rPr>
            </w:pPr>
            <w:r>
              <w:rPr>
                <w:sz w:val="18"/>
                <w:szCs w:val="18"/>
              </w:rPr>
              <w:t>原构件修整、界面处理、钢部件加工与安装、焊接或高强度螺栓连接、涂装</w:t>
            </w:r>
          </w:p>
        </w:tc>
      </w:tr>
      <w:tr w:rsidR="009136B5">
        <w:trPr>
          <w:jc w:val="center"/>
        </w:trPr>
        <w:tc>
          <w:tcPr>
            <w:tcW w:w="318" w:type="pct"/>
            <w:vMerge/>
            <w:shd w:val="clear" w:color="auto" w:fill="auto"/>
            <w:vAlign w:val="center"/>
          </w:tcPr>
          <w:p w:rsidR="009136B5" w:rsidRDefault="009136B5">
            <w:pPr>
              <w:widowControl/>
              <w:adjustRightInd w:val="0"/>
              <w:snapToGrid w:val="0"/>
              <w:spacing w:beforeLines="20" w:before="62" w:afterLines="20" w:after="62" w:line="240" w:lineRule="auto"/>
              <w:ind w:firstLineChars="0" w:firstLine="0"/>
              <w:jc w:val="center"/>
              <w:rPr>
                <w:sz w:val="18"/>
                <w:szCs w:val="18"/>
              </w:rPr>
            </w:pPr>
          </w:p>
        </w:tc>
        <w:tc>
          <w:tcPr>
            <w:tcW w:w="719" w:type="pct"/>
            <w:vMerge/>
            <w:shd w:val="clear" w:color="auto" w:fill="auto"/>
            <w:vAlign w:val="center"/>
          </w:tcPr>
          <w:p w:rsidR="009136B5" w:rsidRDefault="009136B5">
            <w:pPr>
              <w:widowControl/>
              <w:adjustRightInd w:val="0"/>
              <w:snapToGrid w:val="0"/>
              <w:spacing w:beforeLines="20" w:before="62" w:afterLines="20" w:after="62" w:line="240" w:lineRule="auto"/>
              <w:ind w:firstLineChars="0" w:firstLine="0"/>
              <w:jc w:val="center"/>
              <w:rPr>
                <w:sz w:val="18"/>
                <w:szCs w:val="18"/>
              </w:rPr>
            </w:pPr>
          </w:p>
        </w:tc>
        <w:tc>
          <w:tcPr>
            <w:tcW w:w="814" w:type="pct"/>
            <w:shd w:val="clear" w:color="auto" w:fill="auto"/>
            <w:vAlign w:val="center"/>
          </w:tcPr>
          <w:p w:rsidR="009136B5" w:rsidRDefault="00000000">
            <w:pPr>
              <w:widowControl/>
              <w:adjustRightInd w:val="0"/>
              <w:snapToGrid w:val="0"/>
              <w:spacing w:beforeLines="20" w:before="62" w:afterLines="20" w:after="62" w:line="240" w:lineRule="auto"/>
              <w:ind w:firstLineChars="0" w:firstLine="0"/>
              <w:jc w:val="center"/>
              <w:rPr>
                <w:sz w:val="18"/>
                <w:szCs w:val="18"/>
              </w:rPr>
            </w:pPr>
            <w:r>
              <w:rPr>
                <w:sz w:val="18"/>
                <w:szCs w:val="18"/>
              </w:rPr>
              <w:t>混凝土构件外加预应力工程</w:t>
            </w:r>
          </w:p>
        </w:tc>
        <w:tc>
          <w:tcPr>
            <w:tcW w:w="3149" w:type="pct"/>
            <w:shd w:val="clear" w:color="auto" w:fill="auto"/>
            <w:vAlign w:val="center"/>
          </w:tcPr>
          <w:p w:rsidR="009136B5" w:rsidRDefault="00000000">
            <w:pPr>
              <w:widowControl/>
              <w:adjustRightInd w:val="0"/>
              <w:snapToGrid w:val="0"/>
              <w:spacing w:beforeLines="20" w:before="62" w:afterLines="20" w:after="62" w:line="240" w:lineRule="auto"/>
              <w:ind w:firstLineChars="0" w:firstLine="0"/>
              <w:jc w:val="left"/>
              <w:rPr>
                <w:sz w:val="18"/>
                <w:szCs w:val="18"/>
              </w:rPr>
            </w:pPr>
            <w:r>
              <w:rPr>
                <w:sz w:val="18"/>
                <w:szCs w:val="18"/>
              </w:rPr>
              <w:t>原构件修整、预应力部件加工与安装、预加应力、涂装</w:t>
            </w:r>
          </w:p>
        </w:tc>
      </w:tr>
      <w:tr w:rsidR="009136B5">
        <w:trPr>
          <w:jc w:val="center"/>
        </w:trPr>
        <w:tc>
          <w:tcPr>
            <w:tcW w:w="318" w:type="pct"/>
            <w:vMerge/>
            <w:shd w:val="clear" w:color="auto" w:fill="auto"/>
            <w:vAlign w:val="center"/>
          </w:tcPr>
          <w:p w:rsidR="009136B5" w:rsidRDefault="009136B5">
            <w:pPr>
              <w:widowControl/>
              <w:adjustRightInd w:val="0"/>
              <w:snapToGrid w:val="0"/>
              <w:spacing w:beforeLines="20" w:before="62" w:afterLines="20" w:after="62" w:line="240" w:lineRule="auto"/>
              <w:ind w:firstLineChars="0" w:firstLine="0"/>
              <w:jc w:val="center"/>
              <w:rPr>
                <w:sz w:val="18"/>
                <w:szCs w:val="18"/>
              </w:rPr>
            </w:pPr>
          </w:p>
        </w:tc>
        <w:tc>
          <w:tcPr>
            <w:tcW w:w="719" w:type="pct"/>
            <w:vMerge/>
            <w:shd w:val="clear" w:color="auto" w:fill="auto"/>
            <w:vAlign w:val="center"/>
          </w:tcPr>
          <w:p w:rsidR="009136B5" w:rsidRDefault="009136B5">
            <w:pPr>
              <w:widowControl/>
              <w:adjustRightInd w:val="0"/>
              <w:snapToGrid w:val="0"/>
              <w:spacing w:beforeLines="20" w:before="62" w:afterLines="20" w:after="62" w:line="240" w:lineRule="auto"/>
              <w:ind w:firstLineChars="0" w:firstLine="0"/>
              <w:jc w:val="center"/>
              <w:rPr>
                <w:sz w:val="18"/>
                <w:szCs w:val="18"/>
              </w:rPr>
            </w:pPr>
          </w:p>
        </w:tc>
        <w:tc>
          <w:tcPr>
            <w:tcW w:w="814" w:type="pct"/>
            <w:shd w:val="clear" w:color="auto" w:fill="auto"/>
            <w:vAlign w:val="center"/>
          </w:tcPr>
          <w:p w:rsidR="009136B5" w:rsidRDefault="00000000">
            <w:pPr>
              <w:widowControl/>
              <w:adjustRightInd w:val="0"/>
              <w:snapToGrid w:val="0"/>
              <w:spacing w:beforeLines="20" w:before="62" w:afterLines="20" w:after="62" w:line="240" w:lineRule="auto"/>
              <w:ind w:firstLineChars="0" w:firstLine="0"/>
              <w:jc w:val="center"/>
              <w:rPr>
                <w:sz w:val="18"/>
                <w:szCs w:val="18"/>
              </w:rPr>
            </w:pPr>
            <w:r>
              <w:rPr>
                <w:sz w:val="18"/>
                <w:szCs w:val="18"/>
              </w:rPr>
              <w:t>混凝土及砌体裂缝修补工程</w:t>
            </w:r>
          </w:p>
        </w:tc>
        <w:tc>
          <w:tcPr>
            <w:tcW w:w="3149" w:type="pct"/>
            <w:shd w:val="clear" w:color="auto" w:fill="auto"/>
            <w:vAlign w:val="center"/>
          </w:tcPr>
          <w:p w:rsidR="009136B5" w:rsidRDefault="00000000">
            <w:pPr>
              <w:widowControl/>
              <w:adjustRightInd w:val="0"/>
              <w:snapToGrid w:val="0"/>
              <w:spacing w:beforeLines="20" w:before="62" w:afterLines="20" w:after="62" w:line="240" w:lineRule="auto"/>
              <w:ind w:firstLineChars="0" w:firstLine="0"/>
              <w:jc w:val="left"/>
              <w:rPr>
                <w:sz w:val="18"/>
                <w:szCs w:val="18"/>
              </w:rPr>
            </w:pPr>
            <w:r>
              <w:rPr>
                <w:sz w:val="18"/>
                <w:szCs w:val="18"/>
              </w:rPr>
              <w:t>原构件修整、界面处理、注胶或注浆、或填充密封、表面封闭、防护面层</w:t>
            </w:r>
          </w:p>
        </w:tc>
      </w:tr>
      <w:tr w:rsidR="009136B5">
        <w:trPr>
          <w:jc w:val="center"/>
        </w:trPr>
        <w:tc>
          <w:tcPr>
            <w:tcW w:w="318" w:type="pct"/>
            <w:vMerge/>
            <w:shd w:val="clear" w:color="auto" w:fill="auto"/>
            <w:vAlign w:val="center"/>
          </w:tcPr>
          <w:p w:rsidR="009136B5" w:rsidRDefault="009136B5">
            <w:pPr>
              <w:widowControl/>
              <w:adjustRightInd w:val="0"/>
              <w:snapToGrid w:val="0"/>
              <w:spacing w:beforeLines="20" w:before="62" w:afterLines="20" w:after="62" w:line="240" w:lineRule="auto"/>
              <w:ind w:firstLineChars="0" w:firstLine="0"/>
              <w:jc w:val="center"/>
              <w:rPr>
                <w:sz w:val="18"/>
                <w:szCs w:val="18"/>
              </w:rPr>
            </w:pPr>
          </w:p>
        </w:tc>
        <w:tc>
          <w:tcPr>
            <w:tcW w:w="719" w:type="pct"/>
            <w:vMerge/>
            <w:shd w:val="clear" w:color="auto" w:fill="auto"/>
            <w:vAlign w:val="center"/>
          </w:tcPr>
          <w:p w:rsidR="009136B5" w:rsidRDefault="009136B5">
            <w:pPr>
              <w:widowControl/>
              <w:adjustRightInd w:val="0"/>
              <w:snapToGrid w:val="0"/>
              <w:spacing w:beforeLines="20" w:before="62" w:afterLines="20" w:after="62" w:line="240" w:lineRule="auto"/>
              <w:ind w:firstLineChars="0" w:firstLine="0"/>
              <w:jc w:val="center"/>
              <w:rPr>
                <w:sz w:val="18"/>
                <w:szCs w:val="18"/>
              </w:rPr>
            </w:pPr>
          </w:p>
        </w:tc>
        <w:tc>
          <w:tcPr>
            <w:tcW w:w="814" w:type="pct"/>
            <w:shd w:val="clear" w:color="auto" w:fill="auto"/>
            <w:vAlign w:val="center"/>
          </w:tcPr>
          <w:p w:rsidR="009136B5" w:rsidRDefault="00000000">
            <w:pPr>
              <w:widowControl/>
              <w:adjustRightInd w:val="0"/>
              <w:snapToGrid w:val="0"/>
              <w:spacing w:beforeLines="20" w:before="62" w:afterLines="20" w:after="62" w:line="240" w:lineRule="auto"/>
              <w:ind w:firstLineChars="0" w:firstLine="0"/>
              <w:jc w:val="center"/>
              <w:rPr>
                <w:sz w:val="18"/>
                <w:szCs w:val="18"/>
              </w:rPr>
            </w:pPr>
            <w:r>
              <w:rPr>
                <w:sz w:val="18"/>
                <w:szCs w:val="18"/>
              </w:rPr>
              <w:t>植筋工程</w:t>
            </w:r>
          </w:p>
        </w:tc>
        <w:tc>
          <w:tcPr>
            <w:tcW w:w="3149" w:type="pct"/>
            <w:shd w:val="clear" w:color="auto" w:fill="auto"/>
            <w:vAlign w:val="center"/>
          </w:tcPr>
          <w:p w:rsidR="009136B5" w:rsidRDefault="00000000">
            <w:pPr>
              <w:widowControl/>
              <w:adjustRightInd w:val="0"/>
              <w:snapToGrid w:val="0"/>
              <w:spacing w:beforeLines="20" w:before="62" w:afterLines="20" w:after="62" w:line="240" w:lineRule="auto"/>
              <w:ind w:firstLineChars="0" w:firstLine="0"/>
              <w:jc w:val="left"/>
              <w:rPr>
                <w:sz w:val="18"/>
                <w:szCs w:val="18"/>
              </w:rPr>
            </w:pPr>
            <w:r>
              <w:rPr>
                <w:sz w:val="18"/>
                <w:szCs w:val="18"/>
              </w:rPr>
              <w:t>原构件修整、钢筋加工、钻孔、界面处理、注胶</w:t>
            </w:r>
          </w:p>
        </w:tc>
      </w:tr>
      <w:tr w:rsidR="009136B5">
        <w:trPr>
          <w:jc w:val="center"/>
        </w:trPr>
        <w:tc>
          <w:tcPr>
            <w:tcW w:w="318" w:type="pct"/>
            <w:vMerge/>
            <w:shd w:val="clear" w:color="auto" w:fill="auto"/>
            <w:vAlign w:val="center"/>
          </w:tcPr>
          <w:p w:rsidR="009136B5" w:rsidRDefault="009136B5">
            <w:pPr>
              <w:widowControl/>
              <w:adjustRightInd w:val="0"/>
              <w:snapToGrid w:val="0"/>
              <w:spacing w:beforeLines="20" w:before="62" w:afterLines="20" w:after="62" w:line="240" w:lineRule="auto"/>
              <w:ind w:firstLineChars="0" w:firstLine="0"/>
              <w:jc w:val="center"/>
              <w:rPr>
                <w:sz w:val="18"/>
                <w:szCs w:val="18"/>
              </w:rPr>
            </w:pPr>
          </w:p>
        </w:tc>
        <w:tc>
          <w:tcPr>
            <w:tcW w:w="719" w:type="pct"/>
            <w:vMerge/>
            <w:shd w:val="clear" w:color="auto" w:fill="auto"/>
            <w:vAlign w:val="center"/>
          </w:tcPr>
          <w:p w:rsidR="009136B5" w:rsidRDefault="009136B5">
            <w:pPr>
              <w:widowControl/>
              <w:adjustRightInd w:val="0"/>
              <w:snapToGrid w:val="0"/>
              <w:spacing w:beforeLines="20" w:before="62" w:afterLines="20" w:after="62" w:line="240" w:lineRule="auto"/>
              <w:ind w:firstLineChars="0" w:firstLine="0"/>
              <w:jc w:val="center"/>
              <w:rPr>
                <w:sz w:val="18"/>
                <w:szCs w:val="18"/>
              </w:rPr>
            </w:pPr>
          </w:p>
        </w:tc>
        <w:tc>
          <w:tcPr>
            <w:tcW w:w="814" w:type="pct"/>
            <w:shd w:val="clear" w:color="auto" w:fill="auto"/>
            <w:vAlign w:val="center"/>
          </w:tcPr>
          <w:p w:rsidR="009136B5" w:rsidRDefault="00000000">
            <w:pPr>
              <w:widowControl/>
              <w:adjustRightInd w:val="0"/>
              <w:snapToGrid w:val="0"/>
              <w:spacing w:beforeLines="20" w:before="62" w:afterLines="20" w:after="62" w:line="240" w:lineRule="auto"/>
              <w:ind w:firstLineChars="0" w:firstLine="0"/>
              <w:jc w:val="center"/>
              <w:rPr>
                <w:sz w:val="18"/>
                <w:szCs w:val="18"/>
              </w:rPr>
            </w:pPr>
            <w:r>
              <w:rPr>
                <w:sz w:val="18"/>
                <w:szCs w:val="18"/>
              </w:rPr>
              <w:t>锚栓工程</w:t>
            </w:r>
          </w:p>
        </w:tc>
        <w:tc>
          <w:tcPr>
            <w:tcW w:w="3149" w:type="pct"/>
            <w:shd w:val="clear" w:color="auto" w:fill="auto"/>
            <w:vAlign w:val="center"/>
          </w:tcPr>
          <w:p w:rsidR="009136B5" w:rsidRDefault="00000000">
            <w:pPr>
              <w:widowControl/>
              <w:adjustRightInd w:val="0"/>
              <w:snapToGrid w:val="0"/>
              <w:spacing w:beforeLines="20" w:before="62" w:afterLines="20" w:after="62" w:line="240" w:lineRule="auto"/>
              <w:ind w:firstLineChars="0" w:firstLine="0"/>
              <w:jc w:val="left"/>
              <w:rPr>
                <w:sz w:val="18"/>
                <w:szCs w:val="18"/>
              </w:rPr>
            </w:pPr>
            <w:r>
              <w:rPr>
                <w:sz w:val="18"/>
                <w:szCs w:val="18"/>
              </w:rPr>
              <w:t>原构件修整、钻孔、界面处理、机械锚栓或定型化学锚栓安装</w:t>
            </w:r>
          </w:p>
        </w:tc>
      </w:tr>
    </w:tbl>
    <w:p w:rsidR="009136B5" w:rsidRDefault="009136B5">
      <w:pPr>
        <w:ind w:firstLineChars="0" w:firstLine="0"/>
      </w:pPr>
    </w:p>
    <w:p w:rsidR="009136B5" w:rsidRDefault="009136B5">
      <w:pPr>
        <w:ind w:firstLine="420"/>
      </w:pPr>
    </w:p>
    <w:p w:rsidR="009136B5" w:rsidRDefault="009136B5">
      <w:pPr>
        <w:ind w:firstLine="420"/>
      </w:pPr>
    </w:p>
    <w:p w:rsidR="009136B5" w:rsidRDefault="009136B5">
      <w:pPr>
        <w:ind w:firstLine="420"/>
        <w:sectPr w:rsidR="009136B5">
          <w:footerReference w:type="default" r:id="rId230"/>
          <w:pgSz w:w="11907" w:h="16839"/>
          <w:pgMar w:top="1134" w:right="1134" w:bottom="1134" w:left="1418" w:header="567" w:footer="851" w:gutter="0"/>
          <w:cols w:space="720"/>
          <w:docGrid w:type="linesAndChars" w:linePitch="312"/>
        </w:sectPr>
      </w:pPr>
      <w:bookmarkStart w:id="150" w:name="_Toc449476695"/>
      <w:bookmarkEnd w:id="150"/>
    </w:p>
    <w:p w:rsidR="009136B5" w:rsidRDefault="00000000">
      <w:pPr>
        <w:pStyle w:val="af6"/>
        <w:ind w:firstLine="640"/>
        <w:rPr>
          <w:b w:val="0"/>
        </w:rPr>
      </w:pPr>
      <w:bookmarkStart w:id="151" w:name="_Toc29663"/>
      <w:bookmarkStart w:id="152" w:name="_Toc123647802"/>
      <w:bookmarkStart w:id="153" w:name="_Toc115014636"/>
      <w:bookmarkStart w:id="154" w:name="_Toc449476703"/>
      <w:r>
        <w:rPr>
          <w:b w:val="0"/>
        </w:rPr>
        <w:lastRenderedPageBreak/>
        <w:t>本规程用词说明</w:t>
      </w:r>
      <w:bookmarkEnd w:id="151"/>
      <w:bookmarkEnd w:id="152"/>
      <w:bookmarkEnd w:id="153"/>
      <w:bookmarkEnd w:id="154"/>
    </w:p>
    <w:p w:rsidR="009136B5" w:rsidRDefault="00000000">
      <w:pPr>
        <w:spacing w:line="440" w:lineRule="exact"/>
        <w:ind w:firstLineChars="196" w:firstLine="413"/>
      </w:pPr>
      <w:r>
        <w:rPr>
          <w:b/>
        </w:rPr>
        <w:t xml:space="preserve">1  </w:t>
      </w:r>
      <w:r>
        <w:t>为便于在执行本规程条文时区别对待，对要求严格程度不同的用词说明如下：</w:t>
      </w:r>
    </w:p>
    <w:p w:rsidR="009136B5" w:rsidRDefault="00000000">
      <w:pPr>
        <w:spacing w:line="440" w:lineRule="exact"/>
        <w:ind w:firstLineChars="350" w:firstLine="738"/>
      </w:pPr>
      <w:r>
        <w:rPr>
          <w:b/>
        </w:rPr>
        <w:t>1</w:t>
      </w:r>
      <w:r>
        <w:t xml:space="preserve">)  </w:t>
      </w:r>
      <w:r>
        <w:t>表示很严格，非这样做不可的：</w:t>
      </w:r>
    </w:p>
    <w:p w:rsidR="009136B5" w:rsidRDefault="00000000">
      <w:pPr>
        <w:spacing w:line="440" w:lineRule="exact"/>
        <w:ind w:leftChars="200" w:left="420" w:firstLine="420"/>
      </w:pPr>
      <w:r>
        <w:t>正面词采用</w:t>
      </w:r>
      <w:r>
        <w:rPr>
          <w:rFonts w:hint="eastAsia"/>
        </w:rPr>
        <w:t>“</w:t>
      </w:r>
      <w:r>
        <w:t>必须</w:t>
      </w:r>
      <w:r>
        <w:rPr>
          <w:rFonts w:hint="eastAsia"/>
        </w:rPr>
        <w:t>”，</w:t>
      </w:r>
      <w:r>
        <w:t>反面词采用</w:t>
      </w:r>
      <w:r>
        <w:rPr>
          <w:rFonts w:hint="eastAsia"/>
        </w:rPr>
        <w:t>“</w:t>
      </w:r>
      <w:r>
        <w:t>严禁</w:t>
      </w:r>
      <w:r>
        <w:rPr>
          <w:rFonts w:hint="eastAsia"/>
        </w:rPr>
        <w:t>”</w:t>
      </w:r>
      <w:r>
        <w:t>。</w:t>
      </w:r>
    </w:p>
    <w:p w:rsidR="009136B5" w:rsidRDefault="00000000">
      <w:pPr>
        <w:spacing w:line="440" w:lineRule="exact"/>
        <w:ind w:leftChars="200" w:left="420" w:firstLine="422"/>
      </w:pPr>
      <w:r>
        <w:rPr>
          <w:b/>
        </w:rPr>
        <w:t xml:space="preserve">2)  </w:t>
      </w:r>
      <w:r>
        <w:t>表示严格，在正常情况下均应这样做的：</w:t>
      </w:r>
    </w:p>
    <w:p w:rsidR="009136B5" w:rsidRDefault="00000000">
      <w:pPr>
        <w:spacing w:line="440" w:lineRule="exact"/>
        <w:ind w:leftChars="200" w:left="420" w:firstLine="420"/>
      </w:pPr>
      <w:r>
        <w:t>正面词采用</w:t>
      </w:r>
      <w:r>
        <w:rPr>
          <w:rFonts w:hint="eastAsia"/>
        </w:rPr>
        <w:t>“</w:t>
      </w:r>
      <w:r>
        <w:t>应</w:t>
      </w:r>
      <w:r>
        <w:rPr>
          <w:rFonts w:hint="eastAsia"/>
        </w:rPr>
        <w:t>”，</w:t>
      </w:r>
      <w:r>
        <w:t>反面词采用</w:t>
      </w:r>
      <w:r>
        <w:rPr>
          <w:rFonts w:hint="eastAsia"/>
        </w:rPr>
        <w:t>“</w:t>
      </w:r>
      <w:r>
        <w:t>不应</w:t>
      </w:r>
      <w:r>
        <w:rPr>
          <w:rFonts w:hint="eastAsia"/>
        </w:rPr>
        <w:t>”</w:t>
      </w:r>
      <w:r>
        <w:t>或</w:t>
      </w:r>
      <w:r>
        <w:rPr>
          <w:rFonts w:hint="eastAsia"/>
        </w:rPr>
        <w:t>“</w:t>
      </w:r>
      <w:r>
        <w:t>不得</w:t>
      </w:r>
      <w:r>
        <w:rPr>
          <w:rFonts w:hint="eastAsia"/>
        </w:rPr>
        <w:t>”</w:t>
      </w:r>
      <w:r>
        <w:t>。</w:t>
      </w:r>
    </w:p>
    <w:p w:rsidR="009136B5" w:rsidRDefault="00000000">
      <w:pPr>
        <w:spacing w:line="440" w:lineRule="exact"/>
        <w:ind w:leftChars="200" w:left="420" w:firstLine="422"/>
      </w:pPr>
      <w:r>
        <w:rPr>
          <w:b/>
        </w:rPr>
        <w:t xml:space="preserve">3)  </w:t>
      </w:r>
      <w:r>
        <w:t>表示允许稍有选择，在条件许可时首先应这样做的：</w:t>
      </w:r>
    </w:p>
    <w:p w:rsidR="009136B5" w:rsidRDefault="00000000">
      <w:pPr>
        <w:spacing w:line="440" w:lineRule="exact"/>
        <w:ind w:leftChars="200" w:left="420" w:firstLine="420"/>
      </w:pPr>
      <w:r>
        <w:t>正面词采用</w:t>
      </w:r>
      <w:r>
        <w:rPr>
          <w:rFonts w:hint="eastAsia"/>
        </w:rPr>
        <w:t>“</w:t>
      </w:r>
      <w:r>
        <w:t>宜</w:t>
      </w:r>
      <w:r>
        <w:rPr>
          <w:rFonts w:hint="eastAsia"/>
        </w:rPr>
        <w:t>”，</w:t>
      </w:r>
      <w:r>
        <w:t>反面词采用</w:t>
      </w:r>
      <w:r>
        <w:rPr>
          <w:rFonts w:hint="eastAsia"/>
        </w:rPr>
        <w:t>“</w:t>
      </w:r>
      <w:r>
        <w:t>不宜</w:t>
      </w:r>
      <w:r>
        <w:rPr>
          <w:rFonts w:hint="eastAsia"/>
        </w:rPr>
        <w:t>”</w:t>
      </w:r>
      <w:r>
        <w:t>。</w:t>
      </w:r>
    </w:p>
    <w:p w:rsidR="009136B5" w:rsidRDefault="00000000">
      <w:pPr>
        <w:spacing w:line="440" w:lineRule="exact"/>
        <w:ind w:leftChars="200" w:left="420" w:firstLine="422"/>
      </w:pPr>
      <w:r>
        <w:rPr>
          <w:b/>
        </w:rPr>
        <w:t>4</w:t>
      </w:r>
      <w:r>
        <w:rPr>
          <w:rFonts w:hint="eastAsia"/>
        </w:rPr>
        <w:t xml:space="preserve">)  </w:t>
      </w:r>
      <w:r>
        <w:t>表示有选择，在一定条件下可以这样做的，采用</w:t>
      </w:r>
      <w:r>
        <w:rPr>
          <w:rFonts w:hint="eastAsia"/>
        </w:rPr>
        <w:t>“</w:t>
      </w:r>
      <w:r>
        <w:t>可</w:t>
      </w:r>
      <w:r>
        <w:rPr>
          <w:rFonts w:hint="eastAsia"/>
        </w:rPr>
        <w:t>”</w:t>
      </w:r>
      <w:r>
        <w:t>。</w:t>
      </w:r>
    </w:p>
    <w:p w:rsidR="009136B5" w:rsidRDefault="00000000">
      <w:pPr>
        <w:pStyle w:val="aff3"/>
        <w:spacing w:line="440" w:lineRule="exact"/>
        <w:ind w:firstLineChars="196" w:firstLine="413"/>
        <w:rPr>
          <w:rFonts w:ascii="Times New Roman"/>
        </w:rPr>
        <w:sectPr w:rsidR="009136B5">
          <w:footerReference w:type="default" r:id="rId231"/>
          <w:pgSz w:w="11907" w:h="16839"/>
          <w:pgMar w:top="1134" w:right="1134" w:bottom="1134" w:left="1418" w:header="567" w:footer="851" w:gutter="0"/>
          <w:cols w:space="720"/>
          <w:docGrid w:type="linesAndChars" w:linePitch="312"/>
        </w:sectPr>
      </w:pPr>
      <w:r>
        <w:rPr>
          <w:rFonts w:ascii="Times New Roman"/>
          <w:b/>
        </w:rPr>
        <w:t xml:space="preserve">2  </w:t>
      </w:r>
      <w:r>
        <w:rPr>
          <w:rFonts w:ascii="Times New Roman"/>
        </w:rPr>
        <w:t>规程中指明应按其他有关标准、规范执行的，写法为：</w:t>
      </w:r>
      <w:r>
        <w:rPr>
          <w:rFonts w:ascii="Times New Roman" w:hint="eastAsia"/>
        </w:rPr>
        <w:t>“</w:t>
      </w:r>
      <w:r>
        <w:rPr>
          <w:rFonts w:ascii="Times New Roman"/>
        </w:rPr>
        <w:t>应按</w:t>
      </w:r>
      <w:r>
        <w:rPr>
          <w:rFonts w:ascii="Times New Roman"/>
        </w:rPr>
        <w:t>……</w:t>
      </w:r>
      <w:r>
        <w:rPr>
          <w:rFonts w:ascii="Times New Roman"/>
        </w:rPr>
        <w:t>执行</w:t>
      </w:r>
      <w:r>
        <w:rPr>
          <w:rFonts w:ascii="Times New Roman" w:hint="eastAsia"/>
        </w:rPr>
        <w:t>”</w:t>
      </w:r>
      <w:r>
        <w:rPr>
          <w:rFonts w:ascii="Times New Roman"/>
        </w:rPr>
        <w:t>或</w:t>
      </w:r>
      <w:r>
        <w:rPr>
          <w:rFonts w:ascii="Times New Roman" w:hint="eastAsia"/>
        </w:rPr>
        <w:t>“</w:t>
      </w:r>
      <w:r>
        <w:rPr>
          <w:rFonts w:ascii="Times New Roman"/>
        </w:rPr>
        <w:t>应符合</w:t>
      </w:r>
      <w:r>
        <w:rPr>
          <w:rFonts w:ascii="Times New Roman"/>
        </w:rPr>
        <w:t>……</w:t>
      </w:r>
      <w:r>
        <w:rPr>
          <w:rFonts w:ascii="Times New Roman"/>
        </w:rPr>
        <w:t>的规定或要求</w:t>
      </w:r>
      <w:r>
        <w:rPr>
          <w:rFonts w:ascii="Times New Roman" w:hint="eastAsia"/>
        </w:rPr>
        <w:t>”</w:t>
      </w:r>
      <w:r>
        <w:rPr>
          <w:rFonts w:ascii="Times New Roman"/>
        </w:rPr>
        <w:t>。</w:t>
      </w:r>
    </w:p>
    <w:p w:rsidR="009136B5" w:rsidRDefault="00000000">
      <w:pPr>
        <w:pStyle w:val="af6"/>
        <w:ind w:firstLine="640"/>
        <w:rPr>
          <w:b w:val="0"/>
        </w:rPr>
      </w:pPr>
      <w:bookmarkStart w:id="155" w:name="_Toc24695"/>
      <w:bookmarkStart w:id="156" w:name="_Toc115014637"/>
      <w:bookmarkStart w:id="157" w:name="_Toc123647803"/>
      <w:r>
        <w:rPr>
          <w:rFonts w:hint="eastAsia"/>
          <w:b w:val="0"/>
        </w:rPr>
        <w:lastRenderedPageBreak/>
        <w:t>引用标准名录</w:t>
      </w:r>
      <w:bookmarkEnd w:id="155"/>
      <w:bookmarkEnd w:id="156"/>
      <w:bookmarkEnd w:id="157"/>
    </w:p>
    <w:p w:rsidR="009136B5" w:rsidRPr="003B692B" w:rsidRDefault="00000000" w:rsidP="003B692B">
      <w:pPr>
        <w:spacing w:line="440" w:lineRule="exact"/>
        <w:ind w:left="318" w:firstLineChars="0" w:firstLine="0"/>
        <w:rPr>
          <w:szCs w:val="21"/>
        </w:rPr>
      </w:pPr>
      <w:r w:rsidRPr="003B692B">
        <w:rPr>
          <w:rFonts w:hint="eastAsia"/>
          <w:szCs w:val="21"/>
        </w:rPr>
        <w:t>《岩土工程勘察规范》</w:t>
      </w:r>
      <w:r w:rsidRPr="003B692B">
        <w:rPr>
          <w:rFonts w:hint="eastAsia"/>
          <w:szCs w:val="21"/>
        </w:rPr>
        <w:t>G</w:t>
      </w:r>
      <w:r w:rsidRPr="003B692B">
        <w:rPr>
          <w:szCs w:val="21"/>
        </w:rPr>
        <w:t>B 50021</w:t>
      </w:r>
    </w:p>
    <w:p w:rsidR="009136B5" w:rsidRPr="003B692B" w:rsidRDefault="00000000" w:rsidP="003B692B">
      <w:pPr>
        <w:spacing w:line="440" w:lineRule="exact"/>
        <w:ind w:left="318" w:firstLineChars="0" w:firstLine="0"/>
        <w:rPr>
          <w:szCs w:val="21"/>
        </w:rPr>
      </w:pPr>
      <w:r>
        <w:rPr>
          <w:rFonts w:hint="eastAsia"/>
        </w:rPr>
        <w:t>《建筑设计防火规范》</w:t>
      </w:r>
      <w:r>
        <w:rPr>
          <w:rFonts w:hint="eastAsia"/>
        </w:rPr>
        <w:t>GB</w:t>
      </w:r>
      <w:r>
        <w:t xml:space="preserve"> </w:t>
      </w:r>
      <w:r>
        <w:rPr>
          <w:rFonts w:hint="eastAsia"/>
        </w:rPr>
        <w:t>50016</w:t>
      </w:r>
    </w:p>
    <w:p w:rsidR="009136B5" w:rsidRPr="003B692B" w:rsidRDefault="00000000" w:rsidP="003B692B">
      <w:pPr>
        <w:spacing w:line="440" w:lineRule="exact"/>
        <w:ind w:left="318" w:firstLineChars="0" w:firstLine="0"/>
        <w:rPr>
          <w:szCs w:val="21"/>
        </w:rPr>
      </w:pPr>
      <w:r>
        <w:rPr>
          <w:rFonts w:hint="eastAsia"/>
        </w:rPr>
        <w:t>《地下工程防水技术规范》</w:t>
      </w:r>
      <w:r>
        <w:rPr>
          <w:rFonts w:hint="eastAsia"/>
        </w:rPr>
        <w:t>GB</w:t>
      </w:r>
      <w:r>
        <w:t xml:space="preserve"> </w:t>
      </w:r>
      <w:r>
        <w:rPr>
          <w:rFonts w:hint="eastAsia"/>
        </w:rPr>
        <w:t>50108</w:t>
      </w:r>
    </w:p>
    <w:p w:rsidR="009136B5" w:rsidRPr="003B692B" w:rsidRDefault="00000000" w:rsidP="003B692B">
      <w:pPr>
        <w:spacing w:line="440" w:lineRule="exact"/>
        <w:ind w:left="318" w:firstLineChars="0" w:firstLine="0"/>
        <w:rPr>
          <w:szCs w:val="21"/>
        </w:rPr>
      </w:pPr>
      <w:r>
        <w:rPr>
          <w:rFonts w:hint="eastAsia"/>
        </w:rPr>
        <w:t>《</w:t>
      </w:r>
      <w:r>
        <w:t>建筑给水排水设计规范</w:t>
      </w:r>
      <w:r>
        <w:rPr>
          <w:rFonts w:hint="eastAsia"/>
        </w:rPr>
        <w:t>》</w:t>
      </w:r>
      <w:r>
        <w:t>GB 50015</w:t>
      </w:r>
    </w:p>
    <w:p w:rsidR="009136B5" w:rsidRPr="003B692B" w:rsidRDefault="00000000" w:rsidP="003B692B">
      <w:pPr>
        <w:spacing w:line="440" w:lineRule="exact"/>
        <w:ind w:left="318" w:firstLineChars="0" w:firstLine="0"/>
        <w:rPr>
          <w:szCs w:val="21"/>
        </w:rPr>
      </w:pPr>
      <w:r>
        <w:rPr>
          <w:rFonts w:hint="eastAsia"/>
        </w:rPr>
        <w:t>《</w:t>
      </w:r>
      <w:r>
        <w:t>民用建筑电气设计规范</w:t>
      </w:r>
      <w:r>
        <w:rPr>
          <w:rFonts w:hint="eastAsia"/>
        </w:rPr>
        <w:t>》</w:t>
      </w:r>
      <w:r>
        <w:rPr>
          <w:rFonts w:hint="eastAsia"/>
        </w:rPr>
        <w:t>GB</w:t>
      </w:r>
      <w:r>
        <w:t xml:space="preserve"> </w:t>
      </w:r>
      <w:r>
        <w:rPr>
          <w:rFonts w:hint="eastAsia"/>
        </w:rPr>
        <w:t>51348</w:t>
      </w:r>
    </w:p>
    <w:p w:rsidR="009136B5" w:rsidRPr="003B692B" w:rsidRDefault="00000000" w:rsidP="003B692B">
      <w:pPr>
        <w:spacing w:line="440" w:lineRule="exact"/>
        <w:ind w:left="318" w:firstLineChars="0" w:firstLine="0"/>
        <w:rPr>
          <w:szCs w:val="21"/>
        </w:rPr>
      </w:pPr>
      <w:r>
        <w:rPr>
          <w:rFonts w:hint="eastAsia"/>
        </w:rPr>
        <w:t>《</w:t>
      </w:r>
      <w:r>
        <w:t>建筑物防雷设计规范》</w:t>
      </w:r>
      <w:r>
        <w:t>GB 50057</w:t>
      </w:r>
    </w:p>
    <w:p w:rsidR="009136B5" w:rsidRPr="003B692B" w:rsidRDefault="00000000" w:rsidP="003B692B">
      <w:pPr>
        <w:spacing w:line="440" w:lineRule="exact"/>
        <w:ind w:left="318" w:firstLineChars="0" w:firstLine="0"/>
        <w:rPr>
          <w:szCs w:val="21"/>
        </w:rPr>
      </w:pPr>
      <w:r>
        <w:rPr>
          <w:rFonts w:hint="eastAsia"/>
        </w:rPr>
        <w:t>《</w:t>
      </w:r>
      <w:r>
        <w:t>民用建筑供暖通风与空气调节设计规范</w:t>
      </w:r>
      <w:r>
        <w:rPr>
          <w:rFonts w:hint="eastAsia"/>
        </w:rPr>
        <w:t>》</w:t>
      </w:r>
      <w:r>
        <w:t>GB 50736</w:t>
      </w:r>
    </w:p>
    <w:p w:rsidR="009136B5" w:rsidRPr="003B692B" w:rsidRDefault="00000000" w:rsidP="003B692B">
      <w:pPr>
        <w:spacing w:line="440" w:lineRule="exact"/>
        <w:ind w:left="318" w:firstLineChars="0" w:firstLine="0"/>
        <w:rPr>
          <w:szCs w:val="21"/>
        </w:rPr>
      </w:pPr>
      <w:r>
        <w:rPr>
          <w:rFonts w:hint="eastAsia"/>
        </w:rPr>
        <w:t>《建筑地基基础设计规范》</w:t>
      </w:r>
      <w:r>
        <w:t>GB 50007</w:t>
      </w:r>
    </w:p>
    <w:p w:rsidR="009136B5" w:rsidRPr="003B692B" w:rsidRDefault="00000000" w:rsidP="003B692B">
      <w:pPr>
        <w:spacing w:line="440" w:lineRule="exact"/>
        <w:ind w:left="318" w:firstLineChars="0" w:firstLine="0"/>
        <w:rPr>
          <w:szCs w:val="21"/>
        </w:rPr>
      </w:pPr>
      <w:r>
        <w:rPr>
          <w:rFonts w:hint="eastAsia"/>
        </w:rPr>
        <w:t>《建筑与市政地基基础通用规范》</w:t>
      </w:r>
      <w:r>
        <w:t>GB 55003</w:t>
      </w:r>
    </w:p>
    <w:p w:rsidR="009136B5" w:rsidRPr="003B692B" w:rsidRDefault="00000000" w:rsidP="003B692B">
      <w:pPr>
        <w:spacing w:line="440" w:lineRule="exact"/>
        <w:ind w:left="318" w:firstLineChars="0" w:firstLine="0"/>
        <w:rPr>
          <w:szCs w:val="21"/>
        </w:rPr>
      </w:pPr>
      <w:r>
        <w:rPr>
          <w:rFonts w:hint="eastAsia"/>
        </w:rPr>
        <w:t>《建筑桩基技术规范》</w:t>
      </w:r>
      <w:r>
        <w:t>JGJ 94</w:t>
      </w:r>
    </w:p>
    <w:p w:rsidR="009136B5" w:rsidRPr="003B692B" w:rsidRDefault="00000000" w:rsidP="003B692B">
      <w:pPr>
        <w:spacing w:line="440" w:lineRule="exact"/>
        <w:ind w:left="318" w:firstLineChars="0" w:firstLine="0"/>
        <w:rPr>
          <w:szCs w:val="21"/>
        </w:rPr>
      </w:pPr>
      <w:r>
        <w:rPr>
          <w:rFonts w:hint="eastAsia"/>
        </w:rPr>
        <w:t>《既有建筑地基基础加固技术规范》</w:t>
      </w:r>
      <w:r>
        <w:rPr>
          <w:rFonts w:hint="eastAsia"/>
        </w:rPr>
        <w:t>JGJ 123</w:t>
      </w:r>
    </w:p>
    <w:p w:rsidR="009136B5" w:rsidRPr="003B692B" w:rsidRDefault="00000000" w:rsidP="003B692B">
      <w:pPr>
        <w:spacing w:line="440" w:lineRule="exact"/>
        <w:ind w:left="318" w:firstLineChars="0" w:firstLine="0"/>
        <w:rPr>
          <w:szCs w:val="21"/>
        </w:rPr>
      </w:pPr>
      <w:r>
        <w:rPr>
          <w:rFonts w:hint="eastAsia"/>
        </w:rPr>
        <w:t>《建</w:t>
      </w:r>
      <w:r>
        <w:rPr>
          <w:rFonts w:hint="eastAsia"/>
        </w:rPr>
        <w:t>(</w:t>
      </w:r>
      <w:r>
        <w:rPr>
          <w:rFonts w:hint="eastAsia"/>
        </w:rPr>
        <w:t>构</w:t>
      </w:r>
      <w:r>
        <w:rPr>
          <w:rFonts w:hint="eastAsia"/>
        </w:rPr>
        <w:t>)</w:t>
      </w:r>
      <w:r>
        <w:rPr>
          <w:rFonts w:hint="eastAsia"/>
        </w:rPr>
        <w:t>筑物托换技术规程》</w:t>
      </w:r>
      <w:r>
        <w:rPr>
          <w:rFonts w:hint="eastAsia"/>
        </w:rPr>
        <w:t>CECS 295</w:t>
      </w:r>
    </w:p>
    <w:p w:rsidR="009136B5" w:rsidRPr="003B692B" w:rsidRDefault="00000000" w:rsidP="003B692B">
      <w:pPr>
        <w:spacing w:line="440" w:lineRule="exact"/>
        <w:ind w:left="318" w:firstLineChars="0" w:firstLine="0"/>
        <w:rPr>
          <w:szCs w:val="21"/>
        </w:rPr>
      </w:pPr>
      <w:r>
        <w:rPr>
          <w:rFonts w:hint="eastAsia"/>
        </w:rPr>
        <w:t>《建筑物移位纠倾增层改造技术规范》</w:t>
      </w:r>
      <w:r>
        <w:rPr>
          <w:rFonts w:hint="eastAsia"/>
        </w:rPr>
        <w:t>CECS 225</w:t>
      </w:r>
    </w:p>
    <w:p w:rsidR="009136B5" w:rsidRPr="003B692B" w:rsidRDefault="00000000" w:rsidP="003B692B">
      <w:pPr>
        <w:spacing w:line="440" w:lineRule="exact"/>
        <w:ind w:left="318" w:firstLineChars="0" w:firstLine="0"/>
        <w:rPr>
          <w:szCs w:val="21"/>
        </w:rPr>
      </w:pPr>
      <w:r>
        <w:rPr>
          <w:rFonts w:hint="eastAsia"/>
        </w:rPr>
        <w:t>《钢结构设计标准》</w:t>
      </w:r>
      <w:r>
        <w:rPr>
          <w:rFonts w:hint="eastAsia"/>
        </w:rPr>
        <w:t>GB</w:t>
      </w:r>
      <w:r>
        <w:t xml:space="preserve"> </w:t>
      </w:r>
      <w:r>
        <w:rPr>
          <w:rFonts w:hint="eastAsia"/>
        </w:rPr>
        <w:t>50017</w:t>
      </w:r>
    </w:p>
    <w:p w:rsidR="009136B5" w:rsidRPr="003B692B" w:rsidRDefault="00000000" w:rsidP="003B692B">
      <w:pPr>
        <w:spacing w:line="440" w:lineRule="exact"/>
        <w:ind w:left="318" w:firstLineChars="0" w:firstLine="0"/>
        <w:rPr>
          <w:szCs w:val="21"/>
        </w:rPr>
      </w:pPr>
      <w:r>
        <w:rPr>
          <w:rFonts w:hint="eastAsia"/>
        </w:rPr>
        <w:t>《钢管混凝土结构技术规范》</w:t>
      </w:r>
      <w:r>
        <w:rPr>
          <w:rFonts w:hint="eastAsia"/>
        </w:rPr>
        <w:t>GB</w:t>
      </w:r>
      <w:r>
        <w:t xml:space="preserve"> </w:t>
      </w:r>
      <w:r>
        <w:rPr>
          <w:rFonts w:hint="eastAsia"/>
        </w:rPr>
        <w:t>50936</w:t>
      </w:r>
    </w:p>
    <w:p w:rsidR="009136B5" w:rsidRPr="003B692B" w:rsidRDefault="00000000" w:rsidP="003B692B">
      <w:pPr>
        <w:spacing w:line="440" w:lineRule="exact"/>
        <w:ind w:left="318" w:firstLineChars="0" w:firstLine="0"/>
        <w:rPr>
          <w:szCs w:val="21"/>
        </w:rPr>
      </w:pPr>
      <w:r>
        <w:rPr>
          <w:rFonts w:hint="eastAsia"/>
        </w:rPr>
        <w:t>《混凝土结构设计规范》</w:t>
      </w:r>
      <w:r>
        <w:rPr>
          <w:rFonts w:hint="eastAsia"/>
        </w:rPr>
        <w:t>GB</w:t>
      </w:r>
      <w:r>
        <w:t xml:space="preserve"> </w:t>
      </w:r>
      <w:r>
        <w:rPr>
          <w:rFonts w:hint="eastAsia"/>
        </w:rPr>
        <w:t>50010</w:t>
      </w:r>
    </w:p>
    <w:p w:rsidR="009136B5" w:rsidRPr="003B692B" w:rsidRDefault="00000000" w:rsidP="003B692B">
      <w:pPr>
        <w:spacing w:line="440" w:lineRule="exact"/>
        <w:ind w:left="318" w:firstLineChars="0" w:firstLine="0"/>
        <w:rPr>
          <w:szCs w:val="21"/>
        </w:rPr>
      </w:pPr>
      <w:r>
        <w:rPr>
          <w:rFonts w:hint="eastAsia"/>
        </w:rPr>
        <w:t>《砌体结构通用规范》</w:t>
      </w:r>
      <w:r>
        <w:rPr>
          <w:rFonts w:hint="eastAsia"/>
        </w:rPr>
        <w:t>GB 55007</w:t>
      </w:r>
    </w:p>
    <w:p w:rsidR="009136B5" w:rsidRPr="003B692B" w:rsidRDefault="00000000" w:rsidP="003B692B">
      <w:pPr>
        <w:spacing w:line="440" w:lineRule="exact"/>
        <w:ind w:left="318" w:firstLineChars="0" w:firstLine="0"/>
        <w:rPr>
          <w:szCs w:val="21"/>
        </w:rPr>
      </w:pPr>
      <w:r>
        <w:rPr>
          <w:rFonts w:hint="eastAsia"/>
        </w:rPr>
        <w:t>《砌体结构设计规范》</w:t>
      </w:r>
      <w:r>
        <w:rPr>
          <w:rFonts w:hint="eastAsia"/>
        </w:rPr>
        <w:t>GB</w:t>
      </w:r>
      <w:r>
        <w:t xml:space="preserve"> </w:t>
      </w:r>
      <w:r>
        <w:rPr>
          <w:rFonts w:hint="eastAsia"/>
        </w:rPr>
        <w:t>50003</w:t>
      </w:r>
    </w:p>
    <w:p w:rsidR="009136B5" w:rsidRPr="003B692B" w:rsidRDefault="00000000" w:rsidP="003B692B">
      <w:pPr>
        <w:spacing w:line="440" w:lineRule="exact"/>
        <w:ind w:left="318" w:firstLineChars="0" w:firstLine="0"/>
        <w:rPr>
          <w:szCs w:val="21"/>
        </w:rPr>
      </w:pPr>
      <w:r>
        <w:rPr>
          <w:rFonts w:hint="eastAsia"/>
        </w:rPr>
        <w:t>《组合结构通用规范》</w:t>
      </w:r>
      <w:r>
        <w:rPr>
          <w:rFonts w:hint="eastAsia"/>
        </w:rPr>
        <w:t>GB 55004</w:t>
      </w:r>
    </w:p>
    <w:p w:rsidR="009136B5" w:rsidRPr="003B692B" w:rsidRDefault="00000000" w:rsidP="003B692B">
      <w:pPr>
        <w:spacing w:line="440" w:lineRule="exact"/>
        <w:ind w:left="318" w:firstLineChars="0" w:firstLine="0"/>
        <w:rPr>
          <w:szCs w:val="21"/>
        </w:rPr>
      </w:pPr>
      <w:r>
        <w:rPr>
          <w:rFonts w:hint="eastAsia"/>
        </w:rPr>
        <w:t>《组合结构设计规范》</w:t>
      </w:r>
      <w:r>
        <w:rPr>
          <w:rFonts w:hint="eastAsia"/>
        </w:rPr>
        <w:t>JGJ</w:t>
      </w:r>
      <w:r>
        <w:t xml:space="preserve"> </w:t>
      </w:r>
      <w:r>
        <w:rPr>
          <w:rFonts w:hint="eastAsia"/>
        </w:rPr>
        <w:t>138</w:t>
      </w:r>
    </w:p>
    <w:p w:rsidR="009136B5" w:rsidRPr="003B692B" w:rsidRDefault="00000000" w:rsidP="003B692B">
      <w:pPr>
        <w:spacing w:line="440" w:lineRule="exact"/>
        <w:ind w:left="318" w:firstLineChars="0" w:firstLine="0"/>
        <w:rPr>
          <w:szCs w:val="21"/>
        </w:rPr>
      </w:pPr>
      <w:r>
        <w:rPr>
          <w:rFonts w:hint="eastAsia"/>
        </w:rPr>
        <w:t>《混凝土结构通用规范》</w:t>
      </w:r>
      <w:r>
        <w:rPr>
          <w:rFonts w:hint="eastAsia"/>
        </w:rPr>
        <w:t>GB 55008</w:t>
      </w:r>
    </w:p>
    <w:p w:rsidR="009136B5" w:rsidRPr="003B692B" w:rsidRDefault="00000000" w:rsidP="003B692B">
      <w:pPr>
        <w:spacing w:line="440" w:lineRule="exact"/>
        <w:ind w:left="318" w:firstLineChars="0" w:firstLine="0"/>
        <w:rPr>
          <w:szCs w:val="21"/>
        </w:rPr>
      </w:pPr>
      <w:r>
        <w:rPr>
          <w:rFonts w:hint="eastAsia"/>
        </w:rPr>
        <w:t>《预应力混凝土结构设计规范》</w:t>
      </w:r>
      <w:r>
        <w:t>JGJ 369</w:t>
      </w:r>
    </w:p>
    <w:p w:rsidR="009136B5" w:rsidRPr="003B692B" w:rsidRDefault="00000000" w:rsidP="003B692B">
      <w:pPr>
        <w:spacing w:line="440" w:lineRule="exact"/>
        <w:ind w:left="318" w:firstLineChars="0" w:firstLine="0"/>
        <w:rPr>
          <w:szCs w:val="21"/>
        </w:rPr>
      </w:pPr>
      <w:r>
        <w:rPr>
          <w:rFonts w:hint="eastAsia"/>
        </w:rPr>
        <w:t>《无粘结预应力混凝土结构技术规程》</w:t>
      </w:r>
      <w:r>
        <w:t>JGJ 92</w:t>
      </w:r>
    </w:p>
    <w:p w:rsidR="009136B5" w:rsidRPr="003B692B" w:rsidRDefault="00000000" w:rsidP="003B692B">
      <w:pPr>
        <w:spacing w:line="440" w:lineRule="exact"/>
        <w:ind w:left="318" w:firstLineChars="0" w:firstLine="0"/>
        <w:rPr>
          <w:szCs w:val="21"/>
        </w:rPr>
      </w:pPr>
      <w:r>
        <w:rPr>
          <w:rFonts w:hint="eastAsia"/>
        </w:rPr>
        <w:t>《</w:t>
      </w:r>
      <w:r>
        <w:t>工程结构通用规范</w:t>
      </w:r>
      <w:r>
        <w:rPr>
          <w:rFonts w:hint="eastAsia"/>
        </w:rPr>
        <w:t>》</w:t>
      </w:r>
      <w:r>
        <w:t>GB 55001</w:t>
      </w:r>
    </w:p>
    <w:p w:rsidR="009136B5" w:rsidRPr="003B692B" w:rsidRDefault="00000000" w:rsidP="003B692B">
      <w:pPr>
        <w:spacing w:line="440" w:lineRule="exact"/>
        <w:ind w:left="318" w:firstLineChars="0" w:firstLine="0"/>
        <w:rPr>
          <w:szCs w:val="21"/>
        </w:rPr>
      </w:pPr>
      <w:r>
        <w:rPr>
          <w:rFonts w:hint="eastAsia"/>
        </w:rPr>
        <w:t>《建筑抗震设计规范》</w:t>
      </w:r>
      <w:r>
        <w:t>GB 50011</w:t>
      </w:r>
    </w:p>
    <w:p w:rsidR="009136B5" w:rsidRPr="003B692B" w:rsidRDefault="00000000" w:rsidP="003B692B">
      <w:pPr>
        <w:spacing w:line="440" w:lineRule="exact"/>
        <w:ind w:left="318" w:firstLineChars="0" w:firstLine="0"/>
        <w:rPr>
          <w:szCs w:val="21"/>
        </w:rPr>
      </w:pPr>
      <w:r>
        <w:rPr>
          <w:rFonts w:hint="eastAsia"/>
        </w:rPr>
        <w:t>《建（构）筑物移位工程技术规程》</w:t>
      </w:r>
      <w:r>
        <w:rPr>
          <w:rFonts w:hint="eastAsia"/>
        </w:rPr>
        <w:t>JGJ/T</w:t>
      </w:r>
      <w:r>
        <w:t xml:space="preserve"> </w:t>
      </w:r>
      <w:r>
        <w:rPr>
          <w:rFonts w:hint="eastAsia"/>
        </w:rPr>
        <w:t>239</w:t>
      </w:r>
    </w:p>
    <w:p w:rsidR="009136B5" w:rsidRPr="003B692B" w:rsidRDefault="00000000" w:rsidP="003B692B">
      <w:pPr>
        <w:spacing w:line="440" w:lineRule="exact"/>
        <w:ind w:left="318" w:firstLineChars="0" w:firstLine="0"/>
        <w:rPr>
          <w:szCs w:val="21"/>
        </w:rPr>
      </w:pPr>
      <w:r>
        <w:rPr>
          <w:rFonts w:hint="eastAsia"/>
        </w:rPr>
        <w:t>《地下建筑工程</w:t>
      </w:r>
      <w:r>
        <w:t>逆作</w:t>
      </w:r>
      <w:r>
        <w:rPr>
          <w:rFonts w:hint="eastAsia"/>
        </w:rPr>
        <w:t>法技术规程》</w:t>
      </w:r>
      <w:r>
        <w:rPr>
          <w:rFonts w:hint="eastAsia"/>
        </w:rPr>
        <w:t>JGJ</w:t>
      </w:r>
      <w:r>
        <w:t xml:space="preserve"> </w:t>
      </w:r>
      <w:r>
        <w:rPr>
          <w:rFonts w:hint="eastAsia"/>
        </w:rPr>
        <w:t>165</w:t>
      </w:r>
    </w:p>
    <w:p w:rsidR="009136B5" w:rsidRPr="003B692B" w:rsidRDefault="00000000" w:rsidP="003B692B">
      <w:pPr>
        <w:spacing w:line="440" w:lineRule="exact"/>
        <w:ind w:left="318" w:firstLineChars="0" w:firstLine="0"/>
        <w:rPr>
          <w:szCs w:val="21"/>
        </w:rPr>
      </w:pPr>
      <w:r>
        <w:rPr>
          <w:rFonts w:hint="eastAsia"/>
        </w:rPr>
        <w:t>《建筑深基坑工程安全施工技术规程》</w:t>
      </w:r>
      <w:r>
        <w:rPr>
          <w:rFonts w:hint="eastAsia"/>
        </w:rPr>
        <w:t>JGJ</w:t>
      </w:r>
      <w:r>
        <w:t xml:space="preserve"> </w:t>
      </w:r>
      <w:r>
        <w:rPr>
          <w:rFonts w:hint="eastAsia"/>
        </w:rPr>
        <w:t>311</w:t>
      </w:r>
    </w:p>
    <w:p w:rsidR="009136B5" w:rsidRPr="003B692B" w:rsidRDefault="00000000" w:rsidP="003B692B">
      <w:pPr>
        <w:spacing w:line="440" w:lineRule="exact"/>
        <w:ind w:left="318" w:firstLineChars="0" w:firstLine="0"/>
        <w:rPr>
          <w:szCs w:val="21"/>
        </w:rPr>
      </w:pPr>
      <w:r>
        <w:rPr>
          <w:rFonts w:hint="eastAsia"/>
        </w:rPr>
        <w:t>《建筑基坑工程监测技术标准》</w:t>
      </w:r>
      <w:r>
        <w:rPr>
          <w:rFonts w:hint="eastAsia"/>
        </w:rPr>
        <w:t>GB</w:t>
      </w:r>
      <w:r>
        <w:t xml:space="preserve"> </w:t>
      </w:r>
      <w:r>
        <w:rPr>
          <w:rFonts w:hint="eastAsia"/>
        </w:rPr>
        <w:t>50497</w:t>
      </w:r>
    </w:p>
    <w:p w:rsidR="009136B5" w:rsidRPr="003B692B" w:rsidRDefault="00000000" w:rsidP="003B692B">
      <w:pPr>
        <w:spacing w:line="440" w:lineRule="exact"/>
        <w:ind w:left="318" w:firstLineChars="0" w:firstLine="0"/>
        <w:rPr>
          <w:szCs w:val="21"/>
        </w:rPr>
      </w:pPr>
      <w:r>
        <w:rPr>
          <w:rFonts w:hint="eastAsia"/>
        </w:rPr>
        <w:lastRenderedPageBreak/>
        <w:t>《混凝土结构工程施工规范》</w:t>
      </w:r>
      <w:r>
        <w:rPr>
          <w:rFonts w:hint="eastAsia"/>
        </w:rPr>
        <w:t>G</w:t>
      </w:r>
      <w:r>
        <w:t>B 50666</w:t>
      </w:r>
    </w:p>
    <w:p w:rsidR="009136B5" w:rsidRPr="003B692B" w:rsidRDefault="00000000" w:rsidP="003B692B">
      <w:pPr>
        <w:spacing w:line="440" w:lineRule="exact"/>
        <w:ind w:left="318" w:firstLineChars="0" w:firstLine="0"/>
        <w:rPr>
          <w:szCs w:val="21"/>
        </w:rPr>
      </w:pPr>
      <w:r>
        <w:rPr>
          <w:rFonts w:hint="eastAsia"/>
        </w:rPr>
        <w:t>《混凝土结构工程施工质量验收规范》</w:t>
      </w:r>
      <w:r>
        <w:rPr>
          <w:rFonts w:hint="eastAsia"/>
        </w:rPr>
        <w:t>G</w:t>
      </w:r>
      <w:r>
        <w:t>B 50204</w:t>
      </w:r>
    </w:p>
    <w:p w:rsidR="009136B5" w:rsidRPr="003B692B" w:rsidRDefault="00000000" w:rsidP="003B692B">
      <w:pPr>
        <w:spacing w:line="440" w:lineRule="exact"/>
        <w:ind w:left="318" w:firstLineChars="0" w:firstLine="0"/>
        <w:rPr>
          <w:szCs w:val="21"/>
        </w:rPr>
      </w:pPr>
      <w:r>
        <w:rPr>
          <w:rFonts w:hint="eastAsia"/>
        </w:rPr>
        <w:t>《钢结构工程施工质量验收规范》</w:t>
      </w:r>
      <w:r>
        <w:rPr>
          <w:rFonts w:hint="eastAsia"/>
        </w:rPr>
        <w:t>G</w:t>
      </w:r>
      <w:r>
        <w:t>B 50205</w:t>
      </w:r>
    </w:p>
    <w:p w:rsidR="009136B5" w:rsidRPr="003B692B" w:rsidRDefault="00000000" w:rsidP="003B692B">
      <w:pPr>
        <w:spacing w:line="440" w:lineRule="exact"/>
        <w:ind w:left="318" w:firstLineChars="0" w:firstLine="0"/>
        <w:rPr>
          <w:szCs w:val="21"/>
        </w:rPr>
      </w:pPr>
      <w:r>
        <w:rPr>
          <w:rFonts w:hint="eastAsia"/>
        </w:rPr>
        <w:t>《既有地下建筑改扩建技术规范》</w:t>
      </w:r>
      <w:r>
        <w:rPr>
          <w:rFonts w:hint="eastAsia"/>
        </w:rPr>
        <w:t>D</w:t>
      </w:r>
      <w:r>
        <w:t>G/TJ 08-2235-2017</w:t>
      </w:r>
    </w:p>
    <w:p w:rsidR="009136B5" w:rsidRPr="003B692B" w:rsidRDefault="00000000" w:rsidP="003B692B">
      <w:pPr>
        <w:spacing w:line="440" w:lineRule="exact"/>
        <w:ind w:left="318" w:firstLineChars="0" w:firstLine="0"/>
        <w:rPr>
          <w:szCs w:val="21"/>
        </w:rPr>
      </w:pPr>
      <w:r>
        <w:rPr>
          <w:rFonts w:hint="eastAsia"/>
        </w:rPr>
        <w:t>《建筑结构加固工程施工质量验收规范》</w:t>
      </w:r>
      <w:r>
        <w:rPr>
          <w:rFonts w:hint="eastAsia"/>
        </w:rPr>
        <w:t>GB 50550</w:t>
      </w:r>
    </w:p>
    <w:p w:rsidR="009136B5" w:rsidRPr="003B692B" w:rsidRDefault="00000000" w:rsidP="003B692B">
      <w:pPr>
        <w:spacing w:line="440" w:lineRule="exact"/>
        <w:ind w:left="318" w:firstLineChars="0" w:firstLine="0"/>
        <w:rPr>
          <w:szCs w:val="21"/>
        </w:rPr>
      </w:pPr>
      <w:r>
        <w:rPr>
          <w:rFonts w:hint="eastAsia"/>
        </w:rPr>
        <w:t>《建筑施工安全检查标准》</w:t>
      </w:r>
      <w:r>
        <w:rPr>
          <w:rFonts w:hint="eastAsia"/>
        </w:rPr>
        <w:t>JGJ</w:t>
      </w:r>
      <w:r>
        <w:t xml:space="preserve"> </w:t>
      </w:r>
      <w:r>
        <w:rPr>
          <w:rFonts w:hint="eastAsia"/>
        </w:rPr>
        <w:t>59</w:t>
      </w:r>
    </w:p>
    <w:p w:rsidR="009136B5" w:rsidRPr="003B692B" w:rsidRDefault="00000000" w:rsidP="003B692B">
      <w:pPr>
        <w:spacing w:line="440" w:lineRule="exact"/>
        <w:ind w:left="318" w:firstLineChars="0" w:firstLine="0"/>
        <w:rPr>
          <w:szCs w:val="21"/>
        </w:rPr>
      </w:pPr>
      <w:r>
        <w:rPr>
          <w:rFonts w:hint="eastAsia"/>
        </w:rPr>
        <w:t>《建设工程施工现场环境与卫生标准》</w:t>
      </w:r>
      <w:r>
        <w:rPr>
          <w:rFonts w:hint="eastAsia"/>
        </w:rPr>
        <w:t>JGJ</w:t>
      </w:r>
      <w:r>
        <w:t xml:space="preserve"> </w:t>
      </w:r>
      <w:r>
        <w:rPr>
          <w:rFonts w:hint="eastAsia"/>
        </w:rPr>
        <w:t>146</w:t>
      </w:r>
    </w:p>
    <w:p w:rsidR="009136B5" w:rsidRPr="003B692B" w:rsidRDefault="00000000" w:rsidP="003B692B">
      <w:pPr>
        <w:spacing w:line="440" w:lineRule="exact"/>
        <w:ind w:left="318" w:firstLineChars="0" w:firstLine="0"/>
        <w:rPr>
          <w:szCs w:val="21"/>
        </w:rPr>
      </w:pPr>
      <w:r w:rsidRPr="003B692B">
        <w:rPr>
          <w:rFonts w:hint="eastAsia"/>
          <w:bCs/>
        </w:rPr>
        <w:t>《建筑施工场界环境噪声排放标准》</w:t>
      </w:r>
      <w:r w:rsidRPr="003B692B">
        <w:rPr>
          <w:rFonts w:hint="eastAsia"/>
          <w:bCs/>
        </w:rPr>
        <w:t>GB</w:t>
      </w:r>
      <w:r w:rsidRPr="003B692B">
        <w:rPr>
          <w:bCs/>
        </w:rPr>
        <w:t xml:space="preserve"> </w:t>
      </w:r>
      <w:r w:rsidRPr="003B692B">
        <w:rPr>
          <w:rFonts w:hint="eastAsia"/>
          <w:bCs/>
        </w:rPr>
        <w:t>12523</w:t>
      </w:r>
    </w:p>
    <w:p w:rsidR="009136B5" w:rsidRPr="003B692B" w:rsidRDefault="00000000" w:rsidP="003B692B">
      <w:pPr>
        <w:spacing w:line="440" w:lineRule="exact"/>
        <w:ind w:left="318" w:firstLineChars="0" w:firstLine="0"/>
        <w:rPr>
          <w:szCs w:val="21"/>
        </w:rPr>
      </w:pPr>
      <w:r>
        <w:rPr>
          <w:rFonts w:hint="eastAsia"/>
        </w:rPr>
        <w:t>《施工现场临时用电安全技术规范》</w:t>
      </w:r>
      <w:r>
        <w:rPr>
          <w:rFonts w:hint="eastAsia"/>
        </w:rPr>
        <w:t>JGJ</w:t>
      </w:r>
      <w:r>
        <w:t xml:space="preserve"> </w:t>
      </w:r>
      <w:r>
        <w:rPr>
          <w:rFonts w:hint="eastAsia"/>
        </w:rPr>
        <w:t>46</w:t>
      </w:r>
    </w:p>
    <w:p w:rsidR="009136B5" w:rsidRPr="003B692B" w:rsidRDefault="00000000" w:rsidP="003B692B">
      <w:pPr>
        <w:spacing w:line="440" w:lineRule="exact"/>
        <w:ind w:left="318" w:firstLineChars="0" w:firstLine="0"/>
        <w:rPr>
          <w:szCs w:val="21"/>
        </w:rPr>
      </w:pPr>
      <w:r>
        <w:t>《</w:t>
      </w:r>
      <w:r>
        <w:rPr>
          <w:rFonts w:hint="eastAsia"/>
        </w:rPr>
        <w:t>建筑</w:t>
      </w:r>
      <w:r>
        <w:t>地基基础工程施工质量验收标准》</w:t>
      </w:r>
      <w:r>
        <w:rPr>
          <w:rFonts w:hint="eastAsia"/>
        </w:rPr>
        <w:t>GB</w:t>
      </w:r>
      <w:r>
        <w:t xml:space="preserve"> </w:t>
      </w:r>
      <w:r>
        <w:rPr>
          <w:rFonts w:hint="eastAsia"/>
        </w:rPr>
        <w:t>50202</w:t>
      </w:r>
    </w:p>
    <w:p w:rsidR="009136B5" w:rsidRPr="003B692B" w:rsidRDefault="00000000" w:rsidP="003B692B">
      <w:pPr>
        <w:spacing w:line="440" w:lineRule="exact"/>
        <w:ind w:left="318" w:firstLineChars="0" w:firstLine="0"/>
        <w:rPr>
          <w:szCs w:val="21"/>
        </w:rPr>
      </w:pPr>
      <w:r>
        <w:t>《</w:t>
      </w:r>
      <w:r>
        <w:rPr>
          <w:rFonts w:hint="eastAsia"/>
        </w:rPr>
        <w:t>建筑工程</w:t>
      </w:r>
      <w:r>
        <w:t>施工质量验收统一标准》</w:t>
      </w:r>
      <w:r>
        <w:rPr>
          <w:rFonts w:hint="eastAsia"/>
        </w:rPr>
        <w:t>GB</w:t>
      </w:r>
      <w:r>
        <w:t xml:space="preserve"> </w:t>
      </w:r>
      <w:r>
        <w:rPr>
          <w:rFonts w:hint="eastAsia"/>
        </w:rPr>
        <w:t>5033</w:t>
      </w:r>
    </w:p>
    <w:p w:rsidR="009136B5" w:rsidRPr="003B692B" w:rsidRDefault="00000000" w:rsidP="003B692B">
      <w:pPr>
        <w:spacing w:line="440" w:lineRule="exact"/>
        <w:ind w:left="318" w:firstLineChars="0" w:firstLine="0"/>
        <w:rPr>
          <w:szCs w:val="21"/>
        </w:rPr>
      </w:pPr>
      <w:r>
        <w:rPr>
          <w:rFonts w:hint="eastAsia"/>
        </w:rPr>
        <w:t>《建筑基坑支护技术规程》</w:t>
      </w:r>
      <w:r>
        <w:rPr>
          <w:rFonts w:hint="eastAsia"/>
        </w:rPr>
        <w:t>JGJ</w:t>
      </w:r>
      <w:r>
        <w:t xml:space="preserve"> </w:t>
      </w:r>
      <w:r>
        <w:rPr>
          <w:rFonts w:hint="eastAsia"/>
        </w:rPr>
        <w:t>120</w:t>
      </w:r>
    </w:p>
    <w:p w:rsidR="009136B5" w:rsidRPr="003B692B" w:rsidRDefault="00000000" w:rsidP="003B692B">
      <w:pPr>
        <w:spacing w:line="440" w:lineRule="exact"/>
        <w:ind w:left="318" w:firstLineChars="0" w:firstLine="0"/>
        <w:rPr>
          <w:szCs w:val="21"/>
        </w:rPr>
      </w:pPr>
      <w:r>
        <w:rPr>
          <w:rFonts w:hint="eastAsia"/>
        </w:rPr>
        <w:t>《建筑工程逆作法技术标准》</w:t>
      </w:r>
      <w:r>
        <w:rPr>
          <w:rFonts w:hint="eastAsia"/>
        </w:rPr>
        <w:t>JGJ</w:t>
      </w:r>
      <w:r>
        <w:t xml:space="preserve"> </w:t>
      </w:r>
      <w:r>
        <w:rPr>
          <w:rFonts w:hint="eastAsia"/>
        </w:rPr>
        <w:t>432</w:t>
      </w:r>
    </w:p>
    <w:p w:rsidR="009136B5" w:rsidRPr="003B692B" w:rsidRDefault="00000000" w:rsidP="003B692B">
      <w:pPr>
        <w:spacing w:line="440" w:lineRule="exact"/>
        <w:ind w:left="318" w:firstLineChars="0" w:firstLine="0"/>
        <w:rPr>
          <w:szCs w:val="21"/>
        </w:rPr>
      </w:pPr>
      <w:r>
        <w:rPr>
          <w:rFonts w:hint="eastAsia"/>
        </w:rPr>
        <w:t>《建筑物倾斜纠偏技术规程》</w:t>
      </w:r>
      <w:r>
        <w:rPr>
          <w:rFonts w:hint="eastAsia"/>
        </w:rPr>
        <w:t>JGJ</w:t>
      </w:r>
      <w:r>
        <w:t xml:space="preserve"> </w:t>
      </w:r>
      <w:r>
        <w:rPr>
          <w:rFonts w:hint="eastAsia"/>
        </w:rPr>
        <w:t>270</w:t>
      </w:r>
    </w:p>
    <w:p w:rsidR="009136B5" w:rsidRPr="003B692B" w:rsidRDefault="00000000" w:rsidP="003B692B">
      <w:pPr>
        <w:spacing w:line="440" w:lineRule="exact"/>
        <w:ind w:left="318" w:firstLineChars="0" w:firstLine="0"/>
        <w:rPr>
          <w:szCs w:val="21"/>
        </w:rPr>
      </w:pPr>
      <w:r>
        <w:rPr>
          <w:rFonts w:hint="eastAsia"/>
        </w:rPr>
        <w:t>《建筑变形测量规范》</w:t>
      </w:r>
      <w:r>
        <w:rPr>
          <w:rFonts w:hint="eastAsia"/>
        </w:rPr>
        <w:t>JGJ</w:t>
      </w:r>
      <w:r>
        <w:t xml:space="preserve"> </w:t>
      </w:r>
      <w:r>
        <w:rPr>
          <w:rFonts w:hint="eastAsia"/>
        </w:rPr>
        <w:t>8</w:t>
      </w:r>
    </w:p>
    <w:p w:rsidR="009136B5" w:rsidRDefault="009136B5">
      <w:pPr>
        <w:ind w:firstLine="420"/>
        <w:jc w:val="center"/>
        <w:rPr>
          <w:szCs w:val="21"/>
        </w:rPr>
      </w:pPr>
    </w:p>
    <w:sectPr w:rsidR="009136B5">
      <w:pgSz w:w="11907" w:h="16839"/>
      <w:pgMar w:top="1134" w:right="1134" w:bottom="1134" w:left="1418" w:header="567" w:footer="851" w:gutter="0"/>
      <w:cols w:space="720"/>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2147E" w:rsidRDefault="0002147E">
      <w:pPr>
        <w:spacing w:line="240" w:lineRule="auto"/>
        <w:ind w:firstLine="420"/>
      </w:pPr>
      <w:r>
        <w:separator/>
      </w:r>
    </w:p>
  </w:endnote>
  <w:endnote w:type="continuationSeparator" w:id="0">
    <w:p w:rsidR="0002147E" w:rsidRDefault="0002147E">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ZSSK--GBK1-0">
    <w:altName w:val="Times New Roman"/>
    <w:charset w:val="00"/>
    <w:family w:val="roman"/>
    <w:pitch w:val="default"/>
  </w:font>
  <w:font w:name="Vijaya">
    <w:altName w:val="Nirmala UI"/>
    <w:charset w:val="00"/>
    <w:family w:val="roman"/>
    <w:pitch w:val="default"/>
    <w:sig w:usb0="00100003" w:usb1="00000000" w:usb2="00000000" w:usb3="00000000" w:csb0="00000001" w:csb1="00000000"/>
  </w:font>
  <w:font w:name="TimesNewRomanPS-BoldMT">
    <w:altName w:val="Segoe Print"/>
    <w:charset w:val="00"/>
    <w:family w:val="roman"/>
    <w:pitch w:val="default"/>
    <w:sig w:usb0="00000000" w:usb1="00000000" w:usb2="00000010" w:usb3="00000000" w:csb0="00040000" w:csb1="00000000"/>
  </w:font>
  <w:font w:name="TimesNewRoman,Bold">
    <w:altName w:val="Times New Roman"/>
    <w:charset w:val="00"/>
    <w:family w:val="roman"/>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JQY">
    <w:panose1 w:val="02010600030101010101"/>
    <w:charset w:val="86"/>
    <w:family w:val="auto"/>
    <w:pitch w:val="variable"/>
    <w:sig w:usb0="00000003" w:usb1="080E0000" w:usb2="00000010" w:usb3="00000000" w:csb0="00040001" w:csb1="00000000"/>
  </w:font>
  <w:font w:name="BatangChe">
    <w:altName w:val="Malgun Gothic"/>
    <w:charset w:val="81"/>
    <w:family w:val="modern"/>
    <w:pitch w:val="default"/>
    <w:sig w:usb0="B00002AF" w:usb1="69D77CFB" w:usb2="00000030" w:usb3="00000000" w:csb0="4008009F" w:csb1="DFD7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136B5" w:rsidRDefault="009136B5">
    <w:pPr>
      <w:pStyle w:val="af"/>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136B5" w:rsidRDefault="009136B5">
    <w:pPr>
      <w:pStyle w:val="af"/>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136B5" w:rsidRDefault="009136B5">
    <w:pPr>
      <w:pStyle w:val="af"/>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136B5" w:rsidRDefault="00000000">
    <w:pPr>
      <w:pStyle w:val="af"/>
      <w:ind w:firstLine="360"/>
      <w:jc w:val="right"/>
    </w:pPr>
    <w:r>
      <w:fldChar w:fldCharType="begin"/>
    </w:r>
    <w:r>
      <w:instrText>PAGE   \* MERGEFORMAT</w:instrText>
    </w:r>
    <w:r>
      <w:fldChar w:fldCharType="separate"/>
    </w:r>
    <w:r>
      <w:rPr>
        <w:lang w:val="zh-CN"/>
      </w:rPr>
      <w:t>1</w:t>
    </w:r>
    <w:r>
      <w:rPr>
        <w:lang w:val="zh-CN"/>
      </w:rPr>
      <w:fldChar w:fldCharType="end"/>
    </w:r>
  </w:p>
  <w:p w:rsidR="009136B5" w:rsidRDefault="009136B5">
    <w:pPr>
      <w:pStyle w:val="af"/>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136B5" w:rsidRDefault="00000000">
    <w:pPr>
      <w:pStyle w:val="af"/>
      <w:ind w:firstLine="360"/>
      <w:jc w:val="right"/>
    </w:pPr>
    <w:r>
      <w:fldChar w:fldCharType="begin"/>
    </w:r>
    <w:r>
      <w:instrText>PAGE   \* MERGEFORMAT</w:instrText>
    </w:r>
    <w:r>
      <w:fldChar w:fldCharType="separate"/>
    </w:r>
    <w:r>
      <w:rPr>
        <w:lang w:val="zh-CN"/>
      </w:rPr>
      <w:t>III</w:t>
    </w:r>
    <w:r>
      <w:rPr>
        <w:lang w:val="zh-CN"/>
      </w:rPr>
      <w:fldChar w:fldCharType="end"/>
    </w:r>
  </w:p>
  <w:p w:rsidR="009136B5" w:rsidRDefault="009136B5">
    <w:pPr>
      <w:pStyle w:val="af"/>
      <w:ind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136B5" w:rsidRDefault="00000000">
    <w:pPr>
      <w:pStyle w:val="af"/>
      <w:ind w:firstLine="360"/>
      <w:jc w:val="right"/>
    </w:pPr>
    <w:r>
      <w:fldChar w:fldCharType="begin"/>
    </w:r>
    <w:r>
      <w:instrText>PAGE   \* MERGEFORMAT</w:instrText>
    </w:r>
    <w:r>
      <w:fldChar w:fldCharType="separate"/>
    </w:r>
    <w:r>
      <w:rPr>
        <w:lang w:val="zh-CN"/>
      </w:rPr>
      <w:t>17</w:t>
    </w:r>
    <w:r>
      <w:rPr>
        <w:lang w:val="zh-CN"/>
      </w:rPr>
      <w:fldChar w:fldCharType="end"/>
    </w:r>
  </w:p>
  <w:p w:rsidR="009136B5" w:rsidRDefault="009136B5">
    <w:pPr>
      <w:pStyle w:val="af"/>
      <w:ind w:firstLine="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136B5" w:rsidRDefault="00000000">
    <w:pPr>
      <w:pStyle w:val="af"/>
      <w:ind w:firstLine="360"/>
      <w:jc w:val="right"/>
    </w:pPr>
    <w:r>
      <w:fldChar w:fldCharType="begin"/>
    </w:r>
    <w:r>
      <w:instrText>PAGE   \* MERGEFORMAT</w:instrText>
    </w:r>
    <w:r>
      <w:fldChar w:fldCharType="separate"/>
    </w:r>
    <w:r>
      <w:rPr>
        <w:lang w:val="zh-CN"/>
      </w:rPr>
      <w:t>56</w:t>
    </w:r>
    <w:r>
      <w:rPr>
        <w:lang w:val="zh-CN"/>
      </w:rPr>
      <w:fldChar w:fldCharType="end"/>
    </w:r>
  </w:p>
  <w:p w:rsidR="009136B5" w:rsidRDefault="009136B5">
    <w:pPr>
      <w:pStyle w:val="af"/>
      <w:ind w:firstLine="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136B5" w:rsidRDefault="00000000">
    <w:pPr>
      <w:pStyle w:val="af"/>
      <w:ind w:firstLine="360"/>
      <w:jc w:val="right"/>
    </w:pPr>
    <w:r>
      <w:fldChar w:fldCharType="begin"/>
    </w:r>
    <w:r>
      <w:instrText>PAGE   \* MERGEFORMAT</w:instrText>
    </w:r>
    <w:r>
      <w:fldChar w:fldCharType="separate"/>
    </w:r>
    <w:r>
      <w:rPr>
        <w:lang w:val="zh-CN"/>
      </w:rPr>
      <w:t>57</w:t>
    </w:r>
    <w:r>
      <w:rPr>
        <w:lang w:val="zh-C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2147E" w:rsidRDefault="0002147E">
      <w:pPr>
        <w:ind w:firstLine="420"/>
      </w:pPr>
      <w:r>
        <w:separator/>
      </w:r>
    </w:p>
  </w:footnote>
  <w:footnote w:type="continuationSeparator" w:id="0">
    <w:p w:rsidR="0002147E" w:rsidRDefault="0002147E">
      <w:pPr>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136B5" w:rsidRDefault="009136B5">
    <w:pPr>
      <w:pStyle w:val="af1"/>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136B5" w:rsidRDefault="009136B5">
    <w:pPr>
      <w:pStyle w:val="af1"/>
      <w:ind w:firstLineChars="111"/>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136B5" w:rsidRDefault="009136B5">
    <w:pPr>
      <w:pStyle w:val="af1"/>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9B1F76"/>
    <w:multiLevelType w:val="singleLevel"/>
    <w:tmpl w:val="809B1F76"/>
    <w:lvl w:ilvl="0">
      <w:start w:val="1"/>
      <w:numFmt w:val="decimal"/>
      <w:suff w:val="nothing"/>
      <w:lvlText w:val="%1-"/>
      <w:lvlJc w:val="left"/>
    </w:lvl>
  </w:abstractNum>
  <w:abstractNum w:abstractNumId="1" w15:restartNumberingAfterBreak="0">
    <w:nsid w:val="A3E9615D"/>
    <w:multiLevelType w:val="singleLevel"/>
    <w:tmpl w:val="A3E9615D"/>
    <w:lvl w:ilvl="0">
      <w:start w:val="1"/>
      <w:numFmt w:val="decimal"/>
      <w:suff w:val="nothing"/>
      <w:lvlText w:val="%1-"/>
      <w:lvlJc w:val="left"/>
    </w:lvl>
  </w:abstractNum>
  <w:abstractNum w:abstractNumId="2" w15:restartNumberingAfterBreak="0">
    <w:nsid w:val="E2ADF538"/>
    <w:multiLevelType w:val="singleLevel"/>
    <w:tmpl w:val="E2ADF538"/>
    <w:lvl w:ilvl="0">
      <w:start w:val="1"/>
      <w:numFmt w:val="decimal"/>
      <w:suff w:val="nothing"/>
      <w:lvlText w:val="%1-"/>
      <w:lvlJc w:val="left"/>
    </w:lvl>
  </w:abstractNum>
  <w:abstractNum w:abstractNumId="3" w15:restartNumberingAfterBreak="0">
    <w:nsid w:val="01F0799B"/>
    <w:multiLevelType w:val="multilevel"/>
    <w:tmpl w:val="01F0799B"/>
    <w:lvl w:ilvl="0">
      <w:start w:val="1"/>
      <w:numFmt w:val="decimal"/>
      <w:lvlText w:val="%1"/>
      <w:lvlJc w:val="left"/>
      <w:pPr>
        <w:ind w:left="735" w:hanging="420"/>
      </w:pPr>
      <w:rPr>
        <w:rFonts w:ascii="Times New Roman" w:hAnsi="Times New Roman" w:hint="default"/>
        <w:b/>
        <w:i w:val="0"/>
      </w:rPr>
    </w:lvl>
    <w:lvl w:ilvl="1">
      <w:start w:val="1"/>
      <w:numFmt w:val="lowerLetter"/>
      <w:lvlText w:val="%2)"/>
      <w:lvlJc w:val="left"/>
      <w:pPr>
        <w:ind w:left="1155" w:hanging="420"/>
      </w:pPr>
    </w:lvl>
    <w:lvl w:ilvl="2">
      <w:start w:val="1"/>
      <w:numFmt w:val="lowerRoman"/>
      <w:lvlText w:val="%3."/>
      <w:lvlJc w:val="right"/>
      <w:pPr>
        <w:ind w:left="1575" w:hanging="420"/>
      </w:pPr>
    </w:lvl>
    <w:lvl w:ilvl="3">
      <w:start w:val="1"/>
      <w:numFmt w:val="decimal"/>
      <w:lvlText w:val="%4."/>
      <w:lvlJc w:val="left"/>
      <w:pPr>
        <w:ind w:left="1995" w:hanging="420"/>
      </w:pPr>
    </w:lvl>
    <w:lvl w:ilvl="4">
      <w:start w:val="1"/>
      <w:numFmt w:val="lowerLetter"/>
      <w:lvlText w:val="%5)"/>
      <w:lvlJc w:val="left"/>
      <w:pPr>
        <w:ind w:left="2415" w:hanging="420"/>
      </w:pPr>
    </w:lvl>
    <w:lvl w:ilvl="5">
      <w:start w:val="1"/>
      <w:numFmt w:val="lowerRoman"/>
      <w:lvlText w:val="%6."/>
      <w:lvlJc w:val="right"/>
      <w:pPr>
        <w:ind w:left="2835" w:hanging="420"/>
      </w:pPr>
    </w:lvl>
    <w:lvl w:ilvl="6">
      <w:start w:val="1"/>
      <w:numFmt w:val="decimal"/>
      <w:lvlText w:val="%7."/>
      <w:lvlJc w:val="left"/>
      <w:pPr>
        <w:ind w:left="3255" w:hanging="420"/>
      </w:pPr>
    </w:lvl>
    <w:lvl w:ilvl="7">
      <w:start w:val="1"/>
      <w:numFmt w:val="lowerLetter"/>
      <w:lvlText w:val="%8)"/>
      <w:lvlJc w:val="left"/>
      <w:pPr>
        <w:ind w:left="3675" w:hanging="420"/>
      </w:pPr>
    </w:lvl>
    <w:lvl w:ilvl="8">
      <w:start w:val="1"/>
      <w:numFmt w:val="lowerRoman"/>
      <w:lvlText w:val="%9."/>
      <w:lvlJc w:val="right"/>
      <w:pPr>
        <w:ind w:left="4095" w:hanging="420"/>
      </w:pPr>
    </w:lvl>
  </w:abstractNum>
  <w:abstractNum w:abstractNumId="4" w15:restartNumberingAfterBreak="0">
    <w:nsid w:val="5BAB02F7"/>
    <w:multiLevelType w:val="singleLevel"/>
    <w:tmpl w:val="5BAB02F7"/>
    <w:lvl w:ilvl="0">
      <w:start w:val="1"/>
      <w:numFmt w:val="decimal"/>
      <w:suff w:val="nothing"/>
      <w:lvlText w:val="%1-"/>
      <w:lvlJc w:val="left"/>
    </w:lvl>
  </w:abstractNum>
  <w:abstractNum w:abstractNumId="5" w15:restartNumberingAfterBreak="0">
    <w:nsid w:val="6B7491F8"/>
    <w:multiLevelType w:val="singleLevel"/>
    <w:tmpl w:val="6B7491F8"/>
    <w:lvl w:ilvl="0">
      <w:start w:val="1"/>
      <w:numFmt w:val="decimal"/>
      <w:suff w:val="nothing"/>
      <w:lvlText w:val="%1-"/>
      <w:lvlJc w:val="left"/>
    </w:lvl>
  </w:abstractNum>
  <w:num w:numId="1" w16cid:durableId="1457723127">
    <w:abstractNumId w:val="1"/>
  </w:num>
  <w:num w:numId="2" w16cid:durableId="234323569">
    <w:abstractNumId w:val="5"/>
  </w:num>
  <w:num w:numId="3" w16cid:durableId="1874614831">
    <w:abstractNumId w:val="4"/>
  </w:num>
  <w:num w:numId="4" w16cid:durableId="1350913134">
    <w:abstractNumId w:val="2"/>
  </w:num>
  <w:num w:numId="5" w16cid:durableId="291791536">
    <w:abstractNumId w:val="0"/>
  </w:num>
  <w:num w:numId="6" w16cid:durableId="3292358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TQzZjI5MWJjNWU2NjAwYjk4M2I5NjYyZjE1NWIwZTMifQ=="/>
  </w:docVars>
  <w:rsids>
    <w:rsidRoot w:val="00DE27D9"/>
    <w:rsid w:val="00000317"/>
    <w:rsid w:val="0000068D"/>
    <w:rsid w:val="000007EF"/>
    <w:rsid w:val="00001189"/>
    <w:rsid w:val="0000191C"/>
    <w:rsid w:val="00001CA5"/>
    <w:rsid w:val="00001CD6"/>
    <w:rsid w:val="00002008"/>
    <w:rsid w:val="00002456"/>
    <w:rsid w:val="000024C3"/>
    <w:rsid w:val="00002BF2"/>
    <w:rsid w:val="00003AC8"/>
    <w:rsid w:val="0000485F"/>
    <w:rsid w:val="00006621"/>
    <w:rsid w:val="00006AAD"/>
    <w:rsid w:val="00010088"/>
    <w:rsid w:val="000113BD"/>
    <w:rsid w:val="000113E4"/>
    <w:rsid w:val="00011A49"/>
    <w:rsid w:val="000125C3"/>
    <w:rsid w:val="00012CE0"/>
    <w:rsid w:val="00012D83"/>
    <w:rsid w:val="00013513"/>
    <w:rsid w:val="00013EDE"/>
    <w:rsid w:val="00013F14"/>
    <w:rsid w:val="000140B6"/>
    <w:rsid w:val="0001421B"/>
    <w:rsid w:val="00015AF5"/>
    <w:rsid w:val="00015B5D"/>
    <w:rsid w:val="00016343"/>
    <w:rsid w:val="00016575"/>
    <w:rsid w:val="0001682A"/>
    <w:rsid w:val="000173FD"/>
    <w:rsid w:val="00020183"/>
    <w:rsid w:val="0002147E"/>
    <w:rsid w:val="00022017"/>
    <w:rsid w:val="00022545"/>
    <w:rsid w:val="00022BF4"/>
    <w:rsid w:val="0002382B"/>
    <w:rsid w:val="00023EF5"/>
    <w:rsid w:val="00024554"/>
    <w:rsid w:val="000252A1"/>
    <w:rsid w:val="00025A37"/>
    <w:rsid w:val="00025D07"/>
    <w:rsid w:val="000262BA"/>
    <w:rsid w:val="00026382"/>
    <w:rsid w:val="00027963"/>
    <w:rsid w:val="000279F1"/>
    <w:rsid w:val="00030514"/>
    <w:rsid w:val="000311A0"/>
    <w:rsid w:val="0003186B"/>
    <w:rsid w:val="0003196A"/>
    <w:rsid w:val="00032669"/>
    <w:rsid w:val="000328B4"/>
    <w:rsid w:val="00033266"/>
    <w:rsid w:val="00033369"/>
    <w:rsid w:val="00033D67"/>
    <w:rsid w:val="000343E1"/>
    <w:rsid w:val="00034F39"/>
    <w:rsid w:val="00035C06"/>
    <w:rsid w:val="00036151"/>
    <w:rsid w:val="00037371"/>
    <w:rsid w:val="00037653"/>
    <w:rsid w:val="00037E1A"/>
    <w:rsid w:val="00040347"/>
    <w:rsid w:val="00040E00"/>
    <w:rsid w:val="000414E0"/>
    <w:rsid w:val="00041AA9"/>
    <w:rsid w:val="0004212D"/>
    <w:rsid w:val="0004236F"/>
    <w:rsid w:val="000427BD"/>
    <w:rsid w:val="00042BCE"/>
    <w:rsid w:val="00042CF3"/>
    <w:rsid w:val="00043484"/>
    <w:rsid w:val="00043A72"/>
    <w:rsid w:val="000452E9"/>
    <w:rsid w:val="00045D48"/>
    <w:rsid w:val="00046377"/>
    <w:rsid w:val="0004659B"/>
    <w:rsid w:val="00046BA8"/>
    <w:rsid w:val="000476D9"/>
    <w:rsid w:val="00050C73"/>
    <w:rsid w:val="00051D6A"/>
    <w:rsid w:val="000523D5"/>
    <w:rsid w:val="000528FA"/>
    <w:rsid w:val="000539A4"/>
    <w:rsid w:val="00054D9C"/>
    <w:rsid w:val="00057D5D"/>
    <w:rsid w:val="00060761"/>
    <w:rsid w:val="00060CFD"/>
    <w:rsid w:val="00060E90"/>
    <w:rsid w:val="00061990"/>
    <w:rsid w:val="00061C8D"/>
    <w:rsid w:val="00062D78"/>
    <w:rsid w:val="00062E2B"/>
    <w:rsid w:val="000632B5"/>
    <w:rsid w:val="00063CC8"/>
    <w:rsid w:val="00064516"/>
    <w:rsid w:val="000648ED"/>
    <w:rsid w:val="00064B0E"/>
    <w:rsid w:val="00065990"/>
    <w:rsid w:val="00065991"/>
    <w:rsid w:val="00065DC8"/>
    <w:rsid w:val="000661D0"/>
    <w:rsid w:val="00066377"/>
    <w:rsid w:val="000663BB"/>
    <w:rsid w:val="0006710D"/>
    <w:rsid w:val="000678B8"/>
    <w:rsid w:val="000701BC"/>
    <w:rsid w:val="00072A50"/>
    <w:rsid w:val="0007411E"/>
    <w:rsid w:val="00074416"/>
    <w:rsid w:val="000748D9"/>
    <w:rsid w:val="0007496D"/>
    <w:rsid w:val="0007515B"/>
    <w:rsid w:val="000756BE"/>
    <w:rsid w:val="00076D21"/>
    <w:rsid w:val="00077346"/>
    <w:rsid w:val="00080304"/>
    <w:rsid w:val="00080708"/>
    <w:rsid w:val="000809B7"/>
    <w:rsid w:val="000814D1"/>
    <w:rsid w:val="000818CB"/>
    <w:rsid w:val="00081AA6"/>
    <w:rsid w:val="0008385C"/>
    <w:rsid w:val="0008423D"/>
    <w:rsid w:val="000848EE"/>
    <w:rsid w:val="00084DB2"/>
    <w:rsid w:val="00084F01"/>
    <w:rsid w:val="00084F8F"/>
    <w:rsid w:val="00085006"/>
    <w:rsid w:val="00085011"/>
    <w:rsid w:val="000853BD"/>
    <w:rsid w:val="00085E16"/>
    <w:rsid w:val="00087C44"/>
    <w:rsid w:val="0009023A"/>
    <w:rsid w:val="00090BC3"/>
    <w:rsid w:val="00090C39"/>
    <w:rsid w:val="00091E9A"/>
    <w:rsid w:val="0009215B"/>
    <w:rsid w:val="0009267F"/>
    <w:rsid w:val="00092DCA"/>
    <w:rsid w:val="00092EA5"/>
    <w:rsid w:val="0009307F"/>
    <w:rsid w:val="0009518E"/>
    <w:rsid w:val="0009562D"/>
    <w:rsid w:val="0009639B"/>
    <w:rsid w:val="00096786"/>
    <w:rsid w:val="00096CA5"/>
    <w:rsid w:val="00096D65"/>
    <w:rsid w:val="000977D9"/>
    <w:rsid w:val="000A0EA9"/>
    <w:rsid w:val="000A0FFE"/>
    <w:rsid w:val="000A14B5"/>
    <w:rsid w:val="000A2066"/>
    <w:rsid w:val="000A2527"/>
    <w:rsid w:val="000A341A"/>
    <w:rsid w:val="000A3A99"/>
    <w:rsid w:val="000A3B43"/>
    <w:rsid w:val="000A4E04"/>
    <w:rsid w:val="000A544D"/>
    <w:rsid w:val="000A558E"/>
    <w:rsid w:val="000A59E2"/>
    <w:rsid w:val="000A5CA5"/>
    <w:rsid w:val="000A5F0E"/>
    <w:rsid w:val="000A6143"/>
    <w:rsid w:val="000A61AB"/>
    <w:rsid w:val="000A68A4"/>
    <w:rsid w:val="000A7037"/>
    <w:rsid w:val="000A7112"/>
    <w:rsid w:val="000A79B3"/>
    <w:rsid w:val="000A7C28"/>
    <w:rsid w:val="000B0151"/>
    <w:rsid w:val="000B1DEB"/>
    <w:rsid w:val="000B1EC6"/>
    <w:rsid w:val="000B30B6"/>
    <w:rsid w:val="000B3D91"/>
    <w:rsid w:val="000B40DE"/>
    <w:rsid w:val="000B56F5"/>
    <w:rsid w:val="000B664C"/>
    <w:rsid w:val="000B6F97"/>
    <w:rsid w:val="000C0A45"/>
    <w:rsid w:val="000C0D9F"/>
    <w:rsid w:val="000C1C58"/>
    <w:rsid w:val="000C1D9A"/>
    <w:rsid w:val="000C28E4"/>
    <w:rsid w:val="000C3B82"/>
    <w:rsid w:val="000C3CBA"/>
    <w:rsid w:val="000C3E44"/>
    <w:rsid w:val="000C3F52"/>
    <w:rsid w:val="000C418C"/>
    <w:rsid w:val="000C47B1"/>
    <w:rsid w:val="000C4B9C"/>
    <w:rsid w:val="000C4FEC"/>
    <w:rsid w:val="000C547D"/>
    <w:rsid w:val="000C60F6"/>
    <w:rsid w:val="000C62A5"/>
    <w:rsid w:val="000C6A8A"/>
    <w:rsid w:val="000C6ABA"/>
    <w:rsid w:val="000D0306"/>
    <w:rsid w:val="000D0392"/>
    <w:rsid w:val="000D05B1"/>
    <w:rsid w:val="000D05C6"/>
    <w:rsid w:val="000D05D1"/>
    <w:rsid w:val="000D1451"/>
    <w:rsid w:val="000D2135"/>
    <w:rsid w:val="000D25A6"/>
    <w:rsid w:val="000D2896"/>
    <w:rsid w:val="000D3E05"/>
    <w:rsid w:val="000D4DDF"/>
    <w:rsid w:val="000D632D"/>
    <w:rsid w:val="000D6ECB"/>
    <w:rsid w:val="000D73D8"/>
    <w:rsid w:val="000D7B86"/>
    <w:rsid w:val="000E0AD3"/>
    <w:rsid w:val="000E1073"/>
    <w:rsid w:val="000E16F5"/>
    <w:rsid w:val="000E1E2A"/>
    <w:rsid w:val="000E308C"/>
    <w:rsid w:val="000E39CD"/>
    <w:rsid w:val="000E46E6"/>
    <w:rsid w:val="000E4A08"/>
    <w:rsid w:val="000E4D55"/>
    <w:rsid w:val="000E4E2E"/>
    <w:rsid w:val="000E72D6"/>
    <w:rsid w:val="000E7823"/>
    <w:rsid w:val="000E7E26"/>
    <w:rsid w:val="000F0075"/>
    <w:rsid w:val="000F0507"/>
    <w:rsid w:val="000F0887"/>
    <w:rsid w:val="000F099C"/>
    <w:rsid w:val="000F1845"/>
    <w:rsid w:val="000F1EF9"/>
    <w:rsid w:val="000F265C"/>
    <w:rsid w:val="000F2A2D"/>
    <w:rsid w:val="000F2A3F"/>
    <w:rsid w:val="000F2B1C"/>
    <w:rsid w:val="000F34EF"/>
    <w:rsid w:val="000F3945"/>
    <w:rsid w:val="000F3FD4"/>
    <w:rsid w:val="000F44D2"/>
    <w:rsid w:val="000F458A"/>
    <w:rsid w:val="000F4C7F"/>
    <w:rsid w:val="000F5364"/>
    <w:rsid w:val="000F6663"/>
    <w:rsid w:val="000F69D5"/>
    <w:rsid w:val="000F7731"/>
    <w:rsid w:val="000F7F29"/>
    <w:rsid w:val="00100B0D"/>
    <w:rsid w:val="00101E8B"/>
    <w:rsid w:val="0010205F"/>
    <w:rsid w:val="00102854"/>
    <w:rsid w:val="00103607"/>
    <w:rsid w:val="0010397E"/>
    <w:rsid w:val="00103E51"/>
    <w:rsid w:val="00104627"/>
    <w:rsid w:val="001048D2"/>
    <w:rsid w:val="00104B72"/>
    <w:rsid w:val="0010506B"/>
    <w:rsid w:val="00105AFD"/>
    <w:rsid w:val="00106FDC"/>
    <w:rsid w:val="001108AC"/>
    <w:rsid w:val="00110907"/>
    <w:rsid w:val="0011169F"/>
    <w:rsid w:val="0011259B"/>
    <w:rsid w:val="001126B0"/>
    <w:rsid w:val="001133B1"/>
    <w:rsid w:val="00113717"/>
    <w:rsid w:val="00113F25"/>
    <w:rsid w:val="00114B4D"/>
    <w:rsid w:val="00114CB8"/>
    <w:rsid w:val="00116386"/>
    <w:rsid w:val="00116437"/>
    <w:rsid w:val="001176D8"/>
    <w:rsid w:val="00117892"/>
    <w:rsid w:val="0012009C"/>
    <w:rsid w:val="0012033D"/>
    <w:rsid w:val="00120B1B"/>
    <w:rsid w:val="001212E4"/>
    <w:rsid w:val="001217EA"/>
    <w:rsid w:val="00121D0A"/>
    <w:rsid w:val="00122A52"/>
    <w:rsid w:val="001244F5"/>
    <w:rsid w:val="00124510"/>
    <w:rsid w:val="00124933"/>
    <w:rsid w:val="00124F05"/>
    <w:rsid w:val="001254D6"/>
    <w:rsid w:val="00126549"/>
    <w:rsid w:val="00126766"/>
    <w:rsid w:val="00126E6E"/>
    <w:rsid w:val="00127746"/>
    <w:rsid w:val="00127BDE"/>
    <w:rsid w:val="00127F4B"/>
    <w:rsid w:val="001301B5"/>
    <w:rsid w:val="001310C9"/>
    <w:rsid w:val="001313A4"/>
    <w:rsid w:val="001319D2"/>
    <w:rsid w:val="00132237"/>
    <w:rsid w:val="00132A43"/>
    <w:rsid w:val="00133FC1"/>
    <w:rsid w:val="00135A58"/>
    <w:rsid w:val="00135D0A"/>
    <w:rsid w:val="001366A7"/>
    <w:rsid w:val="00136B29"/>
    <w:rsid w:val="00136CA2"/>
    <w:rsid w:val="001371AA"/>
    <w:rsid w:val="0013767A"/>
    <w:rsid w:val="00137CF4"/>
    <w:rsid w:val="00141A99"/>
    <w:rsid w:val="00142302"/>
    <w:rsid w:val="0014329C"/>
    <w:rsid w:val="00143348"/>
    <w:rsid w:val="00143EE7"/>
    <w:rsid w:val="001441E5"/>
    <w:rsid w:val="00144BEC"/>
    <w:rsid w:val="00145361"/>
    <w:rsid w:val="00145799"/>
    <w:rsid w:val="00147C00"/>
    <w:rsid w:val="00147C41"/>
    <w:rsid w:val="00147FA0"/>
    <w:rsid w:val="001509FE"/>
    <w:rsid w:val="00151940"/>
    <w:rsid w:val="0015413D"/>
    <w:rsid w:val="0015797E"/>
    <w:rsid w:val="00160022"/>
    <w:rsid w:val="001602B8"/>
    <w:rsid w:val="001606ED"/>
    <w:rsid w:val="00160791"/>
    <w:rsid w:val="001607B0"/>
    <w:rsid w:val="00160880"/>
    <w:rsid w:val="001610F1"/>
    <w:rsid w:val="00161C55"/>
    <w:rsid w:val="00162CBB"/>
    <w:rsid w:val="00164D94"/>
    <w:rsid w:val="00164EB2"/>
    <w:rsid w:val="00165110"/>
    <w:rsid w:val="00165119"/>
    <w:rsid w:val="00165964"/>
    <w:rsid w:val="00165A06"/>
    <w:rsid w:val="00166405"/>
    <w:rsid w:val="001665EB"/>
    <w:rsid w:val="00167762"/>
    <w:rsid w:val="0017060E"/>
    <w:rsid w:val="00170A53"/>
    <w:rsid w:val="0017105D"/>
    <w:rsid w:val="00171942"/>
    <w:rsid w:val="001722A5"/>
    <w:rsid w:val="001722E8"/>
    <w:rsid w:val="001725DC"/>
    <w:rsid w:val="001737E9"/>
    <w:rsid w:val="001739E9"/>
    <w:rsid w:val="00174AA7"/>
    <w:rsid w:val="00174E07"/>
    <w:rsid w:val="00177B98"/>
    <w:rsid w:val="001815B4"/>
    <w:rsid w:val="001830DC"/>
    <w:rsid w:val="001834F7"/>
    <w:rsid w:val="00183F83"/>
    <w:rsid w:val="001843CA"/>
    <w:rsid w:val="001859DB"/>
    <w:rsid w:val="001875C1"/>
    <w:rsid w:val="0019066A"/>
    <w:rsid w:val="0019184B"/>
    <w:rsid w:val="001943CB"/>
    <w:rsid w:val="00194430"/>
    <w:rsid w:val="0019518A"/>
    <w:rsid w:val="001961FA"/>
    <w:rsid w:val="00196719"/>
    <w:rsid w:val="00196D58"/>
    <w:rsid w:val="00196E39"/>
    <w:rsid w:val="00197747"/>
    <w:rsid w:val="00197C2D"/>
    <w:rsid w:val="001A042C"/>
    <w:rsid w:val="001A0A7E"/>
    <w:rsid w:val="001A0D2E"/>
    <w:rsid w:val="001A1760"/>
    <w:rsid w:val="001A3C5F"/>
    <w:rsid w:val="001A421A"/>
    <w:rsid w:val="001A4877"/>
    <w:rsid w:val="001A53F7"/>
    <w:rsid w:val="001A642E"/>
    <w:rsid w:val="001A6FE6"/>
    <w:rsid w:val="001A72D2"/>
    <w:rsid w:val="001B0116"/>
    <w:rsid w:val="001B0521"/>
    <w:rsid w:val="001B0748"/>
    <w:rsid w:val="001B1656"/>
    <w:rsid w:val="001B2013"/>
    <w:rsid w:val="001B362E"/>
    <w:rsid w:val="001B3D8B"/>
    <w:rsid w:val="001B5D7F"/>
    <w:rsid w:val="001B5E9A"/>
    <w:rsid w:val="001B6158"/>
    <w:rsid w:val="001B616D"/>
    <w:rsid w:val="001B6430"/>
    <w:rsid w:val="001B6766"/>
    <w:rsid w:val="001B6F71"/>
    <w:rsid w:val="001B6FAF"/>
    <w:rsid w:val="001B767D"/>
    <w:rsid w:val="001C1B99"/>
    <w:rsid w:val="001C31EA"/>
    <w:rsid w:val="001C3264"/>
    <w:rsid w:val="001C3A92"/>
    <w:rsid w:val="001C5258"/>
    <w:rsid w:val="001C55FC"/>
    <w:rsid w:val="001C578B"/>
    <w:rsid w:val="001C5E9A"/>
    <w:rsid w:val="001C6D43"/>
    <w:rsid w:val="001C7770"/>
    <w:rsid w:val="001D0C22"/>
    <w:rsid w:val="001D0FA7"/>
    <w:rsid w:val="001D183B"/>
    <w:rsid w:val="001D1C1F"/>
    <w:rsid w:val="001D2402"/>
    <w:rsid w:val="001D2B56"/>
    <w:rsid w:val="001D3821"/>
    <w:rsid w:val="001D4E6B"/>
    <w:rsid w:val="001D5286"/>
    <w:rsid w:val="001D6154"/>
    <w:rsid w:val="001D64F1"/>
    <w:rsid w:val="001D6F86"/>
    <w:rsid w:val="001D71B9"/>
    <w:rsid w:val="001D71FA"/>
    <w:rsid w:val="001D7CA5"/>
    <w:rsid w:val="001E0EF8"/>
    <w:rsid w:val="001E1C85"/>
    <w:rsid w:val="001E2973"/>
    <w:rsid w:val="001E2A8B"/>
    <w:rsid w:val="001E2F32"/>
    <w:rsid w:val="001E376F"/>
    <w:rsid w:val="001E5CCB"/>
    <w:rsid w:val="001E6108"/>
    <w:rsid w:val="001E7363"/>
    <w:rsid w:val="001E7627"/>
    <w:rsid w:val="001E7E48"/>
    <w:rsid w:val="001F0356"/>
    <w:rsid w:val="001F355E"/>
    <w:rsid w:val="001F3562"/>
    <w:rsid w:val="001F3602"/>
    <w:rsid w:val="001F3FC7"/>
    <w:rsid w:val="001F42A4"/>
    <w:rsid w:val="001F4A60"/>
    <w:rsid w:val="001F4B54"/>
    <w:rsid w:val="001F4CB8"/>
    <w:rsid w:val="001F4FFF"/>
    <w:rsid w:val="001F5368"/>
    <w:rsid w:val="001F5573"/>
    <w:rsid w:val="001F55CC"/>
    <w:rsid w:val="001F6F11"/>
    <w:rsid w:val="00200D50"/>
    <w:rsid w:val="00200F84"/>
    <w:rsid w:val="00201515"/>
    <w:rsid w:val="00201B78"/>
    <w:rsid w:val="002040AA"/>
    <w:rsid w:val="00204908"/>
    <w:rsid w:val="00204FED"/>
    <w:rsid w:val="00205B49"/>
    <w:rsid w:val="00206069"/>
    <w:rsid w:val="00206270"/>
    <w:rsid w:val="0020681B"/>
    <w:rsid w:val="00206F96"/>
    <w:rsid w:val="00207277"/>
    <w:rsid w:val="00207A76"/>
    <w:rsid w:val="002115A0"/>
    <w:rsid w:val="00211A6A"/>
    <w:rsid w:val="0021223E"/>
    <w:rsid w:val="002130FD"/>
    <w:rsid w:val="002146A1"/>
    <w:rsid w:val="00215078"/>
    <w:rsid w:val="002150FE"/>
    <w:rsid w:val="00215228"/>
    <w:rsid w:val="00216339"/>
    <w:rsid w:val="0021652E"/>
    <w:rsid w:val="00216CC5"/>
    <w:rsid w:val="00217410"/>
    <w:rsid w:val="002174C4"/>
    <w:rsid w:val="002201EC"/>
    <w:rsid w:val="00220B56"/>
    <w:rsid w:val="00220E82"/>
    <w:rsid w:val="00221153"/>
    <w:rsid w:val="00221844"/>
    <w:rsid w:val="00221B24"/>
    <w:rsid w:val="00222734"/>
    <w:rsid w:val="00224721"/>
    <w:rsid w:val="002250B2"/>
    <w:rsid w:val="002254A4"/>
    <w:rsid w:val="002254D3"/>
    <w:rsid w:val="00225A1D"/>
    <w:rsid w:val="00225BB7"/>
    <w:rsid w:val="00225F42"/>
    <w:rsid w:val="00226885"/>
    <w:rsid w:val="00226A0C"/>
    <w:rsid w:val="00226A13"/>
    <w:rsid w:val="00226C10"/>
    <w:rsid w:val="0022738D"/>
    <w:rsid w:val="00227BC5"/>
    <w:rsid w:val="00230FEF"/>
    <w:rsid w:val="0023273A"/>
    <w:rsid w:val="00233063"/>
    <w:rsid w:val="00233285"/>
    <w:rsid w:val="00233590"/>
    <w:rsid w:val="00233BC0"/>
    <w:rsid w:val="00234227"/>
    <w:rsid w:val="00235563"/>
    <w:rsid w:val="00235687"/>
    <w:rsid w:val="00235808"/>
    <w:rsid w:val="00236E33"/>
    <w:rsid w:val="00236F24"/>
    <w:rsid w:val="00237423"/>
    <w:rsid w:val="00237462"/>
    <w:rsid w:val="00237498"/>
    <w:rsid w:val="00237A72"/>
    <w:rsid w:val="00237CA2"/>
    <w:rsid w:val="00237F39"/>
    <w:rsid w:val="00240116"/>
    <w:rsid w:val="002405D1"/>
    <w:rsid w:val="00240FD8"/>
    <w:rsid w:val="002414F5"/>
    <w:rsid w:val="002418ED"/>
    <w:rsid w:val="00242354"/>
    <w:rsid w:val="0024308E"/>
    <w:rsid w:val="00244257"/>
    <w:rsid w:val="00244686"/>
    <w:rsid w:val="00244AF6"/>
    <w:rsid w:val="00244B1F"/>
    <w:rsid w:val="00244FD7"/>
    <w:rsid w:val="0024527A"/>
    <w:rsid w:val="002452B5"/>
    <w:rsid w:val="00245311"/>
    <w:rsid w:val="00245386"/>
    <w:rsid w:val="00245488"/>
    <w:rsid w:val="0024563F"/>
    <w:rsid w:val="00245B54"/>
    <w:rsid w:val="00246E5D"/>
    <w:rsid w:val="00246F28"/>
    <w:rsid w:val="0024798B"/>
    <w:rsid w:val="00250268"/>
    <w:rsid w:val="0025111F"/>
    <w:rsid w:val="00251D4C"/>
    <w:rsid w:val="00252279"/>
    <w:rsid w:val="00253077"/>
    <w:rsid w:val="00253AC3"/>
    <w:rsid w:val="0025492A"/>
    <w:rsid w:val="00255D68"/>
    <w:rsid w:val="002561CD"/>
    <w:rsid w:val="00256EFB"/>
    <w:rsid w:val="00260055"/>
    <w:rsid w:val="00260325"/>
    <w:rsid w:val="00260C75"/>
    <w:rsid w:val="0026186D"/>
    <w:rsid w:val="00261940"/>
    <w:rsid w:val="00261950"/>
    <w:rsid w:val="00261E81"/>
    <w:rsid w:val="00262F1E"/>
    <w:rsid w:val="00263755"/>
    <w:rsid w:val="00263FC0"/>
    <w:rsid w:val="00264BEF"/>
    <w:rsid w:val="00264E29"/>
    <w:rsid w:val="00265A25"/>
    <w:rsid w:val="00265CCA"/>
    <w:rsid w:val="00266360"/>
    <w:rsid w:val="00270589"/>
    <w:rsid w:val="00271E16"/>
    <w:rsid w:val="00272889"/>
    <w:rsid w:val="00273779"/>
    <w:rsid w:val="00275496"/>
    <w:rsid w:val="00275C53"/>
    <w:rsid w:val="00275F33"/>
    <w:rsid w:val="00276E1B"/>
    <w:rsid w:val="002775AF"/>
    <w:rsid w:val="002814F6"/>
    <w:rsid w:val="002815C5"/>
    <w:rsid w:val="0028308D"/>
    <w:rsid w:val="00284050"/>
    <w:rsid w:val="00284B3A"/>
    <w:rsid w:val="0028551C"/>
    <w:rsid w:val="002858F5"/>
    <w:rsid w:val="00286553"/>
    <w:rsid w:val="00286FE7"/>
    <w:rsid w:val="0028704B"/>
    <w:rsid w:val="002873E8"/>
    <w:rsid w:val="002877D0"/>
    <w:rsid w:val="00290181"/>
    <w:rsid w:val="002909BE"/>
    <w:rsid w:val="00290CB8"/>
    <w:rsid w:val="00290CDA"/>
    <w:rsid w:val="00291209"/>
    <w:rsid w:val="002914C5"/>
    <w:rsid w:val="002939C2"/>
    <w:rsid w:val="00293B14"/>
    <w:rsid w:val="00293B9D"/>
    <w:rsid w:val="00293BD8"/>
    <w:rsid w:val="00293C5F"/>
    <w:rsid w:val="002950F7"/>
    <w:rsid w:val="002954D8"/>
    <w:rsid w:val="00296211"/>
    <w:rsid w:val="00296332"/>
    <w:rsid w:val="002969A6"/>
    <w:rsid w:val="00297C5A"/>
    <w:rsid w:val="002A10A0"/>
    <w:rsid w:val="002A12F0"/>
    <w:rsid w:val="002A2C17"/>
    <w:rsid w:val="002A2E40"/>
    <w:rsid w:val="002A3A08"/>
    <w:rsid w:val="002A400A"/>
    <w:rsid w:val="002A4302"/>
    <w:rsid w:val="002A4A20"/>
    <w:rsid w:val="002A597E"/>
    <w:rsid w:val="002A5C24"/>
    <w:rsid w:val="002A6CC0"/>
    <w:rsid w:val="002A7280"/>
    <w:rsid w:val="002A76E9"/>
    <w:rsid w:val="002A7729"/>
    <w:rsid w:val="002B08F8"/>
    <w:rsid w:val="002B1456"/>
    <w:rsid w:val="002B2F6A"/>
    <w:rsid w:val="002B374D"/>
    <w:rsid w:val="002B4D17"/>
    <w:rsid w:val="002B5911"/>
    <w:rsid w:val="002B6200"/>
    <w:rsid w:val="002B6760"/>
    <w:rsid w:val="002B69D9"/>
    <w:rsid w:val="002C0021"/>
    <w:rsid w:val="002C07D8"/>
    <w:rsid w:val="002C1C0C"/>
    <w:rsid w:val="002C2733"/>
    <w:rsid w:val="002C2885"/>
    <w:rsid w:val="002C3D8D"/>
    <w:rsid w:val="002C4F7D"/>
    <w:rsid w:val="002C5480"/>
    <w:rsid w:val="002C6232"/>
    <w:rsid w:val="002C680D"/>
    <w:rsid w:val="002C6E2E"/>
    <w:rsid w:val="002C73F5"/>
    <w:rsid w:val="002C75DB"/>
    <w:rsid w:val="002C7D2B"/>
    <w:rsid w:val="002D2171"/>
    <w:rsid w:val="002D2695"/>
    <w:rsid w:val="002D2F1B"/>
    <w:rsid w:val="002D4F86"/>
    <w:rsid w:val="002D532D"/>
    <w:rsid w:val="002D5B48"/>
    <w:rsid w:val="002D5D7B"/>
    <w:rsid w:val="002D775C"/>
    <w:rsid w:val="002E0623"/>
    <w:rsid w:val="002E0F15"/>
    <w:rsid w:val="002E15C5"/>
    <w:rsid w:val="002E20F0"/>
    <w:rsid w:val="002E264D"/>
    <w:rsid w:val="002E293A"/>
    <w:rsid w:val="002E375C"/>
    <w:rsid w:val="002E4200"/>
    <w:rsid w:val="002E434C"/>
    <w:rsid w:val="002E539B"/>
    <w:rsid w:val="002E5F98"/>
    <w:rsid w:val="002E61BE"/>
    <w:rsid w:val="002F0066"/>
    <w:rsid w:val="002F0B6C"/>
    <w:rsid w:val="002F1ABD"/>
    <w:rsid w:val="002F24E5"/>
    <w:rsid w:val="002F4E07"/>
    <w:rsid w:val="002F4EAE"/>
    <w:rsid w:val="002F50B1"/>
    <w:rsid w:val="002F66E9"/>
    <w:rsid w:val="002F68BC"/>
    <w:rsid w:val="002F7959"/>
    <w:rsid w:val="0030066E"/>
    <w:rsid w:val="003019F0"/>
    <w:rsid w:val="0030211C"/>
    <w:rsid w:val="003021A2"/>
    <w:rsid w:val="00302BA7"/>
    <w:rsid w:val="00302E97"/>
    <w:rsid w:val="00303D08"/>
    <w:rsid w:val="00304B72"/>
    <w:rsid w:val="00305715"/>
    <w:rsid w:val="00305A9A"/>
    <w:rsid w:val="0030686E"/>
    <w:rsid w:val="00306895"/>
    <w:rsid w:val="00306DC3"/>
    <w:rsid w:val="00306E2F"/>
    <w:rsid w:val="003076A9"/>
    <w:rsid w:val="00307854"/>
    <w:rsid w:val="00310036"/>
    <w:rsid w:val="003127D4"/>
    <w:rsid w:val="00313778"/>
    <w:rsid w:val="00313C17"/>
    <w:rsid w:val="00314F0D"/>
    <w:rsid w:val="00315519"/>
    <w:rsid w:val="0031606D"/>
    <w:rsid w:val="00317571"/>
    <w:rsid w:val="00317733"/>
    <w:rsid w:val="00317B0E"/>
    <w:rsid w:val="003200C5"/>
    <w:rsid w:val="003202ED"/>
    <w:rsid w:val="00320663"/>
    <w:rsid w:val="00322756"/>
    <w:rsid w:val="00322A1D"/>
    <w:rsid w:val="003232A0"/>
    <w:rsid w:val="003235C5"/>
    <w:rsid w:val="0032365F"/>
    <w:rsid w:val="00324447"/>
    <w:rsid w:val="00324494"/>
    <w:rsid w:val="00324574"/>
    <w:rsid w:val="00324581"/>
    <w:rsid w:val="00324B04"/>
    <w:rsid w:val="00325D23"/>
    <w:rsid w:val="003262E1"/>
    <w:rsid w:val="00326338"/>
    <w:rsid w:val="003273F1"/>
    <w:rsid w:val="00327765"/>
    <w:rsid w:val="00327B6B"/>
    <w:rsid w:val="003305C5"/>
    <w:rsid w:val="00333712"/>
    <w:rsid w:val="00334FF8"/>
    <w:rsid w:val="0033516D"/>
    <w:rsid w:val="0033632C"/>
    <w:rsid w:val="00336B56"/>
    <w:rsid w:val="00336E8C"/>
    <w:rsid w:val="003370AD"/>
    <w:rsid w:val="0033717B"/>
    <w:rsid w:val="0033765C"/>
    <w:rsid w:val="00337A9D"/>
    <w:rsid w:val="00337B2A"/>
    <w:rsid w:val="003402A7"/>
    <w:rsid w:val="00340AE2"/>
    <w:rsid w:val="00341658"/>
    <w:rsid w:val="003426B6"/>
    <w:rsid w:val="003434D7"/>
    <w:rsid w:val="00343CFD"/>
    <w:rsid w:val="0034413A"/>
    <w:rsid w:val="00344192"/>
    <w:rsid w:val="003442B5"/>
    <w:rsid w:val="00344F31"/>
    <w:rsid w:val="003454C6"/>
    <w:rsid w:val="00346298"/>
    <w:rsid w:val="0034692E"/>
    <w:rsid w:val="00346A08"/>
    <w:rsid w:val="00346F3F"/>
    <w:rsid w:val="00350420"/>
    <w:rsid w:val="0035181B"/>
    <w:rsid w:val="00352787"/>
    <w:rsid w:val="003528CE"/>
    <w:rsid w:val="00352BB1"/>
    <w:rsid w:val="00352C83"/>
    <w:rsid w:val="00352F53"/>
    <w:rsid w:val="00352F5B"/>
    <w:rsid w:val="00353651"/>
    <w:rsid w:val="00353C19"/>
    <w:rsid w:val="00354431"/>
    <w:rsid w:val="003546C6"/>
    <w:rsid w:val="00354824"/>
    <w:rsid w:val="00354FC5"/>
    <w:rsid w:val="00355FBD"/>
    <w:rsid w:val="00360447"/>
    <w:rsid w:val="00360F6C"/>
    <w:rsid w:val="00360FAD"/>
    <w:rsid w:val="00362487"/>
    <w:rsid w:val="003624D3"/>
    <w:rsid w:val="003635D1"/>
    <w:rsid w:val="00366329"/>
    <w:rsid w:val="003670FA"/>
    <w:rsid w:val="003671BD"/>
    <w:rsid w:val="00367795"/>
    <w:rsid w:val="00370A32"/>
    <w:rsid w:val="00371A7B"/>
    <w:rsid w:val="00371CBA"/>
    <w:rsid w:val="00371D31"/>
    <w:rsid w:val="00371F46"/>
    <w:rsid w:val="00371FAA"/>
    <w:rsid w:val="00372183"/>
    <w:rsid w:val="00372D1B"/>
    <w:rsid w:val="0037433F"/>
    <w:rsid w:val="00374B27"/>
    <w:rsid w:val="00375065"/>
    <w:rsid w:val="003757E6"/>
    <w:rsid w:val="00375A19"/>
    <w:rsid w:val="00375EBE"/>
    <w:rsid w:val="0037704B"/>
    <w:rsid w:val="003778BC"/>
    <w:rsid w:val="003803AC"/>
    <w:rsid w:val="00381AC2"/>
    <w:rsid w:val="00381F27"/>
    <w:rsid w:val="00382353"/>
    <w:rsid w:val="0038295B"/>
    <w:rsid w:val="0038328F"/>
    <w:rsid w:val="003835DC"/>
    <w:rsid w:val="0038435D"/>
    <w:rsid w:val="00384ADD"/>
    <w:rsid w:val="0038540E"/>
    <w:rsid w:val="0039016B"/>
    <w:rsid w:val="00390174"/>
    <w:rsid w:val="0039024E"/>
    <w:rsid w:val="00392CC8"/>
    <w:rsid w:val="0039345C"/>
    <w:rsid w:val="00393728"/>
    <w:rsid w:val="003938D8"/>
    <w:rsid w:val="003944AC"/>
    <w:rsid w:val="00395852"/>
    <w:rsid w:val="00395BF2"/>
    <w:rsid w:val="003963C7"/>
    <w:rsid w:val="0039659E"/>
    <w:rsid w:val="00396BCA"/>
    <w:rsid w:val="003A0134"/>
    <w:rsid w:val="003A3281"/>
    <w:rsid w:val="003A339F"/>
    <w:rsid w:val="003A36E0"/>
    <w:rsid w:val="003A3785"/>
    <w:rsid w:val="003A4F73"/>
    <w:rsid w:val="003A5218"/>
    <w:rsid w:val="003A5877"/>
    <w:rsid w:val="003A5958"/>
    <w:rsid w:val="003A5C79"/>
    <w:rsid w:val="003A5E71"/>
    <w:rsid w:val="003A6577"/>
    <w:rsid w:val="003A70B0"/>
    <w:rsid w:val="003A7917"/>
    <w:rsid w:val="003B004C"/>
    <w:rsid w:val="003B0636"/>
    <w:rsid w:val="003B12A1"/>
    <w:rsid w:val="003B279F"/>
    <w:rsid w:val="003B2AF6"/>
    <w:rsid w:val="003B35CC"/>
    <w:rsid w:val="003B3B4B"/>
    <w:rsid w:val="003B3C8F"/>
    <w:rsid w:val="003B4797"/>
    <w:rsid w:val="003B482B"/>
    <w:rsid w:val="003B4B80"/>
    <w:rsid w:val="003B51C0"/>
    <w:rsid w:val="003B61BF"/>
    <w:rsid w:val="003B6458"/>
    <w:rsid w:val="003B692B"/>
    <w:rsid w:val="003B6FFC"/>
    <w:rsid w:val="003C04F7"/>
    <w:rsid w:val="003C16A5"/>
    <w:rsid w:val="003C186E"/>
    <w:rsid w:val="003C1C9B"/>
    <w:rsid w:val="003C4088"/>
    <w:rsid w:val="003C4457"/>
    <w:rsid w:val="003C44C3"/>
    <w:rsid w:val="003C4670"/>
    <w:rsid w:val="003C50DC"/>
    <w:rsid w:val="003C51D2"/>
    <w:rsid w:val="003C597E"/>
    <w:rsid w:val="003C6CBD"/>
    <w:rsid w:val="003C74C2"/>
    <w:rsid w:val="003D13FD"/>
    <w:rsid w:val="003D254A"/>
    <w:rsid w:val="003D2ACA"/>
    <w:rsid w:val="003D375A"/>
    <w:rsid w:val="003D3C37"/>
    <w:rsid w:val="003D4E16"/>
    <w:rsid w:val="003D4F2F"/>
    <w:rsid w:val="003D51BC"/>
    <w:rsid w:val="003D5BA9"/>
    <w:rsid w:val="003D5F95"/>
    <w:rsid w:val="003D7EAD"/>
    <w:rsid w:val="003E0A84"/>
    <w:rsid w:val="003E0CC6"/>
    <w:rsid w:val="003E15DD"/>
    <w:rsid w:val="003E2873"/>
    <w:rsid w:val="003E2957"/>
    <w:rsid w:val="003E45F5"/>
    <w:rsid w:val="003E4D1B"/>
    <w:rsid w:val="003E4D59"/>
    <w:rsid w:val="003E504E"/>
    <w:rsid w:val="003E7B79"/>
    <w:rsid w:val="003F03AF"/>
    <w:rsid w:val="003F0C80"/>
    <w:rsid w:val="003F0D10"/>
    <w:rsid w:val="003F0E3A"/>
    <w:rsid w:val="003F15EE"/>
    <w:rsid w:val="003F2AC5"/>
    <w:rsid w:val="003F2B2C"/>
    <w:rsid w:val="003F2DBF"/>
    <w:rsid w:val="003F2FB2"/>
    <w:rsid w:val="003F3FA8"/>
    <w:rsid w:val="003F40B7"/>
    <w:rsid w:val="003F4248"/>
    <w:rsid w:val="003F4D24"/>
    <w:rsid w:val="003F54BE"/>
    <w:rsid w:val="003F6566"/>
    <w:rsid w:val="003F6D3A"/>
    <w:rsid w:val="003F78FB"/>
    <w:rsid w:val="003F7FDE"/>
    <w:rsid w:val="004001AE"/>
    <w:rsid w:val="0040072E"/>
    <w:rsid w:val="00400807"/>
    <w:rsid w:val="00400F04"/>
    <w:rsid w:val="00401769"/>
    <w:rsid w:val="004017A8"/>
    <w:rsid w:val="00401CE5"/>
    <w:rsid w:val="00403C59"/>
    <w:rsid w:val="00403F36"/>
    <w:rsid w:val="00404478"/>
    <w:rsid w:val="00405DF8"/>
    <w:rsid w:val="004069DA"/>
    <w:rsid w:val="00406DFC"/>
    <w:rsid w:val="00406F7F"/>
    <w:rsid w:val="00407C6E"/>
    <w:rsid w:val="00407E9A"/>
    <w:rsid w:val="00410DC3"/>
    <w:rsid w:val="0041173D"/>
    <w:rsid w:val="00412AEA"/>
    <w:rsid w:val="004141F4"/>
    <w:rsid w:val="00414890"/>
    <w:rsid w:val="00414A6D"/>
    <w:rsid w:val="00414D49"/>
    <w:rsid w:val="00416234"/>
    <w:rsid w:val="00416382"/>
    <w:rsid w:val="0042159F"/>
    <w:rsid w:val="004219A4"/>
    <w:rsid w:val="004228E6"/>
    <w:rsid w:val="004233DD"/>
    <w:rsid w:val="0042346B"/>
    <w:rsid w:val="00423A04"/>
    <w:rsid w:val="004241F2"/>
    <w:rsid w:val="0042543E"/>
    <w:rsid w:val="0042558F"/>
    <w:rsid w:val="00425784"/>
    <w:rsid w:val="00426121"/>
    <w:rsid w:val="0042662B"/>
    <w:rsid w:val="004277A0"/>
    <w:rsid w:val="00427E56"/>
    <w:rsid w:val="00430DD6"/>
    <w:rsid w:val="00432B02"/>
    <w:rsid w:val="00433261"/>
    <w:rsid w:val="00433B57"/>
    <w:rsid w:val="00433D2C"/>
    <w:rsid w:val="0043472C"/>
    <w:rsid w:val="00436937"/>
    <w:rsid w:val="00436BCC"/>
    <w:rsid w:val="0043729A"/>
    <w:rsid w:val="004406CE"/>
    <w:rsid w:val="0044083D"/>
    <w:rsid w:val="00440879"/>
    <w:rsid w:val="00441F44"/>
    <w:rsid w:val="004424E7"/>
    <w:rsid w:val="00442706"/>
    <w:rsid w:val="00442F40"/>
    <w:rsid w:val="00442F8E"/>
    <w:rsid w:val="004430C1"/>
    <w:rsid w:val="00443E25"/>
    <w:rsid w:val="004443EA"/>
    <w:rsid w:val="00444FBC"/>
    <w:rsid w:val="00445460"/>
    <w:rsid w:val="00445737"/>
    <w:rsid w:val="00445B8E"/>
    <w:rsid w:val="004466E2"/>
    <w:rsid w:val="00446BD3"/>
    <w:rsid w:val="00451767"/>
    <w:rsid w:val="00452EF1"/>
    <w:rsid w:val="00453969"/>
    <w:rsid w:val="00453C34"/>
    <w:rsid w:val="00455760"/>
    <w:rsid w:val="00455B2C"/>
    <w:rsid w:val="00456618"/>
    <w:rsid w:val="00456C65"/>
    <w:rsid w:val="00456CFD"/>
    <w:rsid w:val="00457059"/>
    <w:rsid w:val="004602F0"/>
    <w:rsid w:val="00460DDF"/>
    <w:rsid w:val="004616A7"/>
    <w:rsid w:val="00464375"/>
    <w:rsid w:val="00465888"/>
    <w:rsid w:val="00466680"/>
    <w:rsid w:val="00467114"/>
    <w:rsid w:val="00467E88"/>
    <w:rsid w:val="004703C0"/>
    <w:rsid w:val="004704F4"/>
    <w:rsid w:val="00470948"/>
    <w:rsid w:val="00470973"/>
    <w:rsid w:val="00470DD8"/>
    <w:rsid w:val="004711C0"/>
    <w:rsid w:val="004720DB"/>
    <w:rsid w:val="00472864"/>
    <w:rsid w:val="004729B5"/>
    <w:rsid w:val="004730FE"/>
    <w:rsid w:val="00473BDC"/>
    <w:rsid w:val="00474392"/>
    <w:rsid w:val="004743D1"/>
    <w:rsid w:val="00475A2C"/>
    <w:rsid w:val="00476399"/>
    <w:rsid w:val="00477810"/>
    <w:rsid w:val="00477C6C"/>
    <w:rsid w:val="00477DD6"/>
    <w:rsid w:val="004801E7"/>
    <w:rsid w:val="00480783"/>
    <w:rsid w:val="004816BC"/>
    <w:rsid w:val="00482627"/>
    <w:rsid w:val="004826C9"/>
    <w:rsid w:val="004838F0"/>
    <w:rsid w:val="0048396F"/>
    <w:rsid w:val="00483DAB"/>
    <w:rsid w:val="00484487"/>
    <w:rsid w:val="00484B5E"/>
    <w:rsid w:val="004857A1"/>
    <w:rsid w:val="004857D0"/>
    <w:rsid w:val="00485F8B"/>
    <w:rsid w:val="00486882"/>
    <w:rsid w:val="004869E3"/>
    <w:rsid w:val="004875F4"/>
    <w:rsid w:val="0049099B"/>
    <w:rsid w:val="00491A91"/>
    <w:rsid w:val="00491B2B"/>
    <w:rsid w:val="00492C14"/>
    <w:rsid w:val="00492D6D"/>
    <w:rsid w:val="0049341B"/>
    <w:rsid w:val="00493E76"/>
    <w:rsid w:val="00494A16"/>
    <w:rsid w:val="00495E57"/>
    <w:rsid w:val="00495F2C"/>
    <w:rsid w:val="0049688E"/>
    <w:rsid w:val="00497489"/>
    <w:rsid w:val="004A0CA4"/>
    <w:rsid w:val="004A17C5"/>
    <w:rsid w:val="004A2164"/>
    <w:rsid w:val="004A2B37"/>
    <w:rsid w:val="004A2D1F"/>
    <w:rsid w:val="004A39BD"/>
    <w:rsid w:val="004A43AA"/>
    <w:rsid w:val="004A44A8"/>
    <w:rsid w:val="004A539C"/>
    <w:rsid w:val="004A5450"/>
    <w:rsid w:val="004A5525"/>
    <w:rsid w:val="004A6000"/>
    <w:rsid w:val="004A628C"/>
    <w:rsid w:val="004A70B2"/>
    <w:rsid w:val="004A7A2E"/>
    <w:rsid w:val="004B00AF"/>
    <w:rsid w:val="004B08A8"/>
    <w:rsid w:val="004B0C40"/>
    <w:rsid w:val="004B126B"/>
    <w:rsid w:val="004B1CDB"/>
    <w:rsid w:val="004B1F6E"/>
    <w:rsid w:val="004B2204"/>
    <w:rsid w:val="004B2CDC"/>
    <w:rsid w:val="004B4F32"/>
    <w:rsid w:val="004B5CE5"/>
    <w:rsid w:val="004B674A"/>
    <w:rsid w:val="004C044D"/>
    <w:rsid w:val="004C32F7"/>
    <w:rsid w:val="004C3888"/>
    <w:rsid w:val="004C5EC8"/>
    <w:rsid w:val="004C6739"/>
    <w:rsid w:val="004C72BF"/>
    <w:rsid w:val="004D1F28"/>
    <w:rsid w:val="004D3FA2"/>
    <w:rsid w:val="004D440D"/>
    <w:rsid w:val="004D490C"/>
    <w:rsid w:val="004D4CA5"/>
    <w:rsid w:val="004D4CEF"/>
    <w:rsid w:val="004D5E5A"/>
    <w:rsid w:val="004D5E9F"/>
    <w:rsid w:val="004D6A38"/>
    <w:rsid w:val="004D6AA1"/>
    <w:rsid w:val="004D6EDE"/>
    <w:rsid w:val="004D7D8F"/>
    <w:rsid w:val="004D7DF1"/>
    <w:rsid w:val="004E07F0"/>
    <w:rsid w:val="004E0FB6"/>
    <w:rsid w:val="004E115E"/>
    <w:rsid w:val="004E1678"/>
    <w:rsid w:val="004E320C"/>
    <w:rsid w:val="004E33C2"/>
    <w:rsid w:val="004E33C5"/>
    <w:rsid w:val="004E3878"/>
    <w:rsid w:val="004E4A6C"/>
    <w:rsid w:val="004E4BF9"/>
    <w:rsid w:val="004E4CF5"/>
    <w:rsid w:val="004E545B"/>
    <w:rsid w:val="004E54E8"/>
    <w:rsid w:val="004E5646"/>
    <w:rsid w:val="004E796D"/>
    <w:rsid w:val="004F11C5"/>
    <w:rsid w:val="004F1633"/>
    <w:rsid w:val="004F1E1C"/>
    <w:rsid w:val="004F238C"/>
    <w:rsid w:val="004F3583"/>
    <w:rsid w:val="004F3BFE"/>
    <w:rsid w:val="004F3F3E"/>
    <w:rsid w:val="004F4179"/>
    <w:rsid w:val="004F45B5"/>
    <w:rsid w:val="004F5732"/>
    <w:rsid w:val="004F5AC1"/>
    <w:rsid w:val="004F5F8D"/>
    <w:rsid w:val="004F6098"/>
    <w:rsid w:val="004F7813"/>
    <w:rsid w:val="004F7C97"/>
    <w:rsid w:val="005003A9"/>
    <w:rsid w:val="00500616"/>
    <w:rsid w:val="005006A1"/>
    <w:rsid w:val="00501AEC"/>
    <w:rsid w:val="00501BBE"/>
    <w:rsid w:val="00501FCA"/>
    <w:rsid w:val="00502FCA"/>
    <w:rsid w:val="00503157"/>
    <w:rsid w:val="005039F8"/>
    <w:rsid w:val="00503DC7"/>
    <w:rsid w:val="00503EDA"/>
    <w:rsid w:val="005043BD"/>
    <w:rsid w:val="00504417"/>
    <w:rsid w:val="0050462D"/>
    <w:rsid w:val="00504BBE"/>
    <w:rsid w:val="00505651"/>
    <w:rsid w:val="00505772"/>
    <w:rsid w:val="005058CD"/>
    <w:rsid w:val="005066FF"/>
    <w:rsid w:val="00506CFC"/>
    <w:rsid w:val="005104FA"/>
    <w:rsid w:val="00510804"/>
    <w:rsid w:val="005112F4"/>
    <w:rsid w:val="005120C9"/>
    <w:rsid w:val="00512723"/>
    <w:rsid w:val="00512A03"/>
    <w:rsid w:val="005144B2"/>
    <w:rsid w:val="005154DE"/>
    <w:rsid w:val="00516D46"/>
    <w:rsid w:val="00517502"/>
    <w:rsid w:val="00517F7F"/>
    <w:rsid w:val="005206EC"/>
    <w:rsid w:val="00520BC1"/>
    <w:rsid w:val="00521195"/>
    <w:rsid w:val="00522FBE"/>
    <w:rsid w:val="00523F96"/>
    <w:rsid w:val="00524CF9"/>
    <w:rsid w:val="0052642B"/>
    <w:rsid w:val="00526526"/>
    <w:rsid w:val="005268FB"/>
    <w:rsid w:val="005274A2"/>
    <w:rsid w:val="00530618"/>
    <w:rsid w:val="00532BCD"/>
    <w:rsid w:val="00534310"/>
    <w:rsid w:val="0053462D"/>
    <w:rsid w:val="0053465D"/>
    <w:rsid w:val="00534728"/>
    <w:rsid w:val="00534F46"/>
    <w:rsid w:val="0053584F"/>
    <w:rsid w:val="00535A4B"/>
    <w:rsid w:val="0053781A"/>
    <w:rsid w:val="00540243"/>
    <w:rsid w:val="00540CF8"/>
    <w:rsid w:val="0054112E"/>
    <w:rsid w:val="00541B46"/>
    <w:rsid w:val="00542412"/>
    <w:rsid w:val="00543696"/>
    <w:rsid w:val="00543E2A"/>
    <w:rsid w:val="00543F7D"/>
    <w:rsid w:val="00544C6F"/>
    <w:rsid w:val="00545075"/>
    <w:rsid w:val="00545ADD"/>
    <w:rsid w:val="0054736F"/>
    <w:rsid w:val="00547AD4"/>
    <w:rsid w:val="00550EAA"/>
    <w:rsid w:val="00551007"/>
    <w:rsid w:val="0055152F"/>
    <w:rsid w:val="005516B2"/>
    <w:rsid w:val="00551FCB"/>
    <w:rsid w:val="005527F3"/>
    <w:rsid w:val="00552CC1"/>
    <w:rsid w:val="005542B4"/>
    <w:rsid w:val="00555DA6"/>
    <w:rsid w:val="005566B0"/>
    <w:rsid w:val="0055710E"/>
    <w:rsid w:val="00557442"/>
    <w:rsid w:val="00557862"/>
    <w:rsid w:val="00557F18"/>
    <w:rsid w:val="00561047"/>
    <w:rsid w:val="00561352"/>
    <w:rsid w:val="00562101"/>
    <w:rsid w:val="00562386"/>
    <w:rsid w:val="005645C9"/>
    <w:rsid w:val="00564847"/>
    <w:rsid w:val="00564F0D"/>
    <w:rsid w:val="00564F8C"/>
    <w:rsid w:val="00565657"/>
    <w:rsid w:val="00565D62"/>
    <w:rsid w:val="0056727C"/>
    <w:rsid w:val="005675EA"/>
    <w:rsid w:val="00567BFB"/>
    <w:rsid w:val="00570218"/>
    <w:rsid w:val="00570280"/>
    <w:rsid w:val="00571D25"/>
    <w:rsid w:val="005724DB"/>
    <w:rsid w:val="005730E2"/>
    <w:rsid w:val="0057333E"/>
    <w:rsid w:val="0057398D"/>
    <w:rsid w:val="005746CF"/>
    <w:rsid w:val="00574EA2"/>
    <w:rsid w:val="005765CE"/>
    <w:rsid w:val="00576F9F"/>
    <w:rsid w:val="005818C4"/>
    <w:rsid w:val="00582263"/>
    <w:rsid w:val="005826D8"/>
    <w:rsid w:val="00582C98"/>
    <w:rsid w:val="005839D8"/>
    <w:rsid w:val="00584145"/>
    <w:rsid w:val="005846DF"/>
    <w:rsid w:val="005859AB"/>
    <w:rsid w:val="00586281"/>
    <w:rsid w:val="00586DAF"/>
    <w:rsid w:val="00587B3A"/>
    <w:rsid w:val="00590EDC"/>
    <w:rsid w:val="005917D9"/>
    <w:rsid w:val="00592AD5"/>
    <w:rsid w:val="00593175"/>
    <w:rsid w:val="00593748"/>
    <w:rsid w:val="005937B9"/>
    <w:rsid w:val="00593C7C"/>
    <w:rsid w:val="00594A61"/>
    <w:rsid w:val="005961A2"/>
    <w:rsid w:val="00596391"/>
    <w:rsid w:val="00596E20"/>
    <w:rsid w:val="005972BE"/>
    <w:rsid w:val="005A0989"/>
    <w:rsid w:val="005A111E"/>
    <w:rsid w:val="005A162D"/>
    <w:rsid w:val="005A1E92"/>
    <w:rsid w:val="005A3599"/>
    <w:rsid w:val="005A3F4C"/>
    <w:rsid w:val="005A49D4"/>
    <w:rsid w:val="005A4B50"/>
    <w:rsid w:val="005A5039"/>
    <w:rsid w:val="005A616D"/>
    <w:rsid w:val="005A7738"/>
    <w:rsid w:val="005A7EE1"/>
    <w:rsid w:val="005A7F53"/>
    <w:rsid w:val="005B0D0D"/>
    <w:rsid w:val="005B115E"/>
    <w:rsid w:val="005B19DA"/>
    <w:rsid w:val="005B1E12"/>
    <w:rsid w:val="005B1F3E"/>
    <w:rsid w:val="005B20A3"/>
    <w:rsid w:val="005B279A"/>
    <w:rsid w:val="005B402F"/>
    <w:rsid w:val="005B4970"/>
    <w:rsid w:val="005B4A3D"/>
    <w:rsid w:val="005B5420"/>
    <w:rsid w:val="005B6F2D"/>
    <w:rsid w:val="005B7380"/>
    <w:rsid w:val="005C0D7F"/>
    <w:rsid w:val="005C13DC"/>
    <w:rsid w:val="005C2862"/>
    <w:rsid w:val="005C35C0"/>
    <w:rsid w:val="005C42CE"/>
    <w:rsid w:val="005C6E7B"/>
    <w:rsid w:val="005C75F9"/>
    <w:rsid w:val="005C7D84"/>
    <w:rsid w:val="005D0230"/>
    <w:rsid w:val="005D0FED"/>
    <w:rsid w:val="005D1379"/>
    <w:rsid w:val="005D1800"/>
    <w:rsid w:val="005D21FB"/>
    <w:rsid w:val="005D262F"/>
    <w:rsid w:val="005D3F64"/>
    <w:rsid w:val="005D413F"/>
    <w:rsid w:val="005D5B3A"/>
    <w:rsid w:val="005D5D36"/>
    <w:rsid w:val="005D7DDC"/>
    <w:rsid w:val="005E2572"/>
    <w:rsid w:val="005E4841"/>
    <w:rsid w:val="005E5A4B"/>
    <w:rsid w:val="005E6395"/>
    <w:rsid w:val="005E7B79"/>
    <w:rsid w:val="005F00C1"/>
    <w:rsid w:val="005F0211"/>
    <w:rsid w:val="005F0CAA"/>
    <w:rsid w:val="005F1190"/>
    <w:rsid w:val="005F1999"/>
    <w:rsid w:val="005F1E87"/>
    <w:rsid w:val="005F2A01"/>
    <w:rsid w:val="005F3839"/>
    <w:rsid w:val="005F4260"/>
    <w:rsid w:val="005F4981"/>
    <w:rsid w:val="005F51BB"/>
    <w:rsid w:val="005F534D"/>
    <w:rsid w:val="005F5B2D"/>
    <w:rsid w:val="005F5B65"/>
    <w:rsid w:val="005F5CE7"/>
    <w:rsid w:val="005F5E05"/>
    <w:rsid w:val="005F6447"/>
    <w:rsid w:val="005F6778"/>
    <w:rsid w:val="005F68A8"/>
    <w:rsid w:val="005F734D"/>
    <w:rsid w:val="00600030"/>
    <w:rsid w:val="00601188"/>
    <w:rsid w:val="00603097"/>
    <w:rsid w:val="00603902"/>
    <w:rsid w:val="00603BFE"/>
    <w:rsid w:val="006040C9"/>
    <w:rsid w:val="0060428F"/>
    <w:rsid w:val="00604A5B"/>
    <w:rsid w:val="00605901"/>
    <w:rsid w:val="00610427"/>
    <w:rsid w:val="00610FB5"/>
    <w:rsid w:val="00611C06"/>
    <w:rsid w:val="00611CCA"/>
    <w:rsid w:val="00612867"/>
    <w:rsid w:val="0061297A"/>
    <w:rsid w:val="00615439"/>
    <w:rsid w:val="00615B87"/>
    <w:rsid w:val="0061606C"/>
    <w:rsid w:val="00616D17"/>
    <w:rsid w:val="00617FA9"/>
    <w:rsid w:val="006200F7"/>
    <w:rsid w:val="0062046D"/>
    <w:rsid w:val="00620597"/>
    <w:rsid w:val="00620C37"/>
    <w:rsid w:val="00621F00"/>
    <w:rsid w:val="00622B29"/>
    <w:rsid w:val="0062348E"/>
    <w:rsid w:val="00623C35"/>
    <w:rsid w:val="006246CD"/>
    <w:rsid w:val="00624ABE"/>
    <w:rsid w:val="006252A2"/>
    <w:rsid w:val="00625CC7"/>
    <w:rsid w:val="00625F75"/>
    <w:rsid w:val="006269DE"/>
    <w:rsid w:val="00626A81"/>
    <w:rsid w:val="006274F2"/>
    <w:rsid w:val="006277C1"/>
    <w:rsid w:val="006277D4"/>
    <w:rsid w:val="00627A26"/>
    <w:rsid w:val="00627F51"/>
    <w:rsid w:val="00630D6E"/>
    <w:rsid w:val="00630E56"/>
    <w:rsid w:val="006312BF"/>
    <w:rsid w:val="00634FB8"/>
    <w:rsid w:val="006354CA"/>
    <w:rsid w:val="00635849"/>
    <w:rsid w:val="00637317"/>
    <w:rsid w:val="00640145"/>
    <w:rsid w:val="0064057F"/>
    <w:rsid w:val="006407CD"/>
    <w:rsid w:val="00640B38"/>
    <w:rsid w:val="00642640"/>
    <w:rsid w:val="006428B5"/>
    <w:rsid w:val="006429C2"/>
    <w:rsid w:val="00642C3B"/>
    <w:rsid w:val="00643D24"/>
    <w:rsid w:val="00644C5D"/>
    <w:rsid w:val="00645D37"/>
    <w:rsid w:val="006472BE"/>
    <w:rsid w:val="006509F4"/>
    <w:rsid w:val="00650FB0"/>
    <w:rsid w:val="00651FBB"/>
    <w:rsid w:val="00652ED5"/>
    <w:rsid w:val="00653962"/>
    <w:rsid w:val="00653CCC"/>
    <w:rsid w:val="00653EAE"/>
    <w:rsid w:val="00653F9B"/>
    <w:rsid w:val="00654015"/>
    <w:rsid w:val="00654385"/>
    <w:rsid w:val="00654DD9"/>
    <w:rsid w:val="00654DE2"/>
    <w:rsid w:val="00655328"/>
    <w:rsid w:val="0065622C"/>
    <w:rsid w:val="00656A1C"/>
    <w:rsid w:val="00656B40"/>
    <w:rsid w:val="006571FA"/>
    <w:rsid w:val="00660F24"/>
    <w:rsid w:val="00663730"/>
    <w:rsid w:val="0066385B"/>
    <w:rsid w:val="00663B13"/>
    <w:rsid w:val="00663DEE"/>
    <w:rsid w:val="006642F9"/>
    <w:rsid w:val="006646E3"/>
    <w:rsid w:val="006648F3"/>
    <w:rsid w:val="00664E53"/>
    <w:rsid w:val="00664FA7"/>
    <w:rsid w:val="006667D3"/>
    <w:rsid w:val="00667F8E"/>
    <w:rsid w:val="006718D1"/>
    <w:rsid w:val="00672466"/>
    <w:rsid w:val="00672C5B"/>
    <w:rsid w:val="006735A3"/>
    <w:rsid w:val="00674658"/>
    <w:rsid w:val="006758A8"/>
    <w:rsid w:val="0067659E"/>
    <w:rsid w:val="00677887"/>
    <w:rsid w:val="006807B1"/>
    <w:rsid w:val="006818AB"/>
    <w:rsid w:val="00681986"/>
    <w:rsid w:val="00681F08"/>
    <w:rsid w:val="00683454"/>
    <w:rsid w:val="00684E56"/>
    <w:rsid w:val="00685799"/>
    <w:rsid w:val="00686248"/>
    <w:rsid w:val="00687A87"/>
    <w:rsid w:val="00687EB5"/>
    <w:rsid w:val="00690A59"/>
    <w:rsid w:val="00691535"/>
    <w:rsid w:val="00692D1C"/>
    <w:rsid w:val="00692D5B"/>
    <w:rsid w:val="0069310F"/>
    <w:rsid w:val="006934C0"/>
    <w:rsid w:val="00693587"/>
    <w:rsid w:val="00693E08"/>
    <w:rsid w:val="00694787"/>
    <w:rsid w:val="00694878"/>
    <w:rsid w:val="00695914"/>
    <w:rsid w:val="006968D3"/>
    <w:rsid w:val="0069772B"/>
    <w:rsid w:val="00697A43"/>
    <w:rsid w:val="00697E17"/>
    <w:rsid w:val="006A14A6"/>
    <w:rsid w:val="006A16FC"/>
    <w:rsid w:val="006A23A7"/>
    <w:rsid w:val="006A290C"/>
    <w:rsid w:val="006A325B"/>
    <w:rsid w:val="006A3924"/>
    <w:rsid w:val="006A392E"/>
    <w:rsid w:val="006A41AB"/>
    <w:rsid w:val="006A468F"/>
    <w:rsid w:val="006A548B"/>
    <w:rsid w:val="006A6286"/>
    <w:rsid w:val="006A65A3"/>
    <w:rsid w:val="006A7ACE"/>
    <w:rsid w:val="006B1427"/>
    <w:rsid w:val="006B143A"/>
    <w:rsid w:val="006B4D66"/>
    <w:rsid w:val="006B4FAB"/>
    <w:rsid w:val="006B7ABD"/>
    <w:rsid w:val="006B7B4E"/>
    <w:rsid w:val="006C0274"/>
    <w:rsid w:val="006C2F5A"/>
    <w:rsid w:val="006C5300"/>
    <w:rsid w:val="006C5818"/>
    <w:rsid w:val="006C636B"/>
    <w:rsid w:val="006C658B"/>
    <w:rsid w:val="006C69FE"/>
    <w:rsid w:val="006C6D5E"/>
    <w:rsid w:val="006C7246"/>
    <w:rsid w:val="006C7383"/>
    <w:rsid w:val="006C78EB"/>
    <w:rsid w:val="006C7D83"/>
    <w:rsid w:val="006D064F"/>
    <w:rsid w:val="006D0989"/>
    <w:rsid w:val="006D17C5"/>
    <w:rsid w:val="006D263F"/>
    <w:rsid w:val="006D4C66"/>
    <w:rsid w:val="006D5310"/>
    <w:rsid w:val="006D648E"/>
    <w:rsid w:val="006D6691"/>
    <w:rsid w:val="006D730C"/>
    <w:rsid w:val="006D7372"/>
    <w:rsid w:val="006D78E8"/>
    <w:rsid w:val="006E06AB"/>
    <w:rsid w:val="006E089A"/>
    <w:rsid w:val="006E1510"/>
    <w:rsid w:val="006E1EE0"/>
    <w:rsid w:val="006E310E"/>
    <w:rsid w:val="006E3962"/>
    <w:rsid w:val="006E4BB9"/>
    <w:rsid w:val="006E4D48"/>
    <w:rsid w:val="006E533D"/>
    <w:rsid w:val="006E547A"/>
    <w:rsid w:val="006E5F37"/>
    <w:rsid w:val="006E670F"/>
    <w:rsid w:val="006E6D4B"/>
    <w:rsid w:val="006E7D6F"/>
    <w:rsid w:val="006F01E8"/>
    <w:rsid w:val="006F0FE8"/>
    <w:rsid w:val="006F1185"/>
    <w:rsid w:val="006F2291"/>
    <w:rsid w:val="006F2915"/>
    <w:rsid w:val="006F2C40"/>
    <w:rsid w:val="006F34A1"/>
    <w:rsid w:val="006F35FA"/>
    <w:rsid w:val="006F402E"/>
    <w:rsid w:val="006F4554"/>
    <w:rsid w:val="006F48F8"/>
    <w:rsid w:val="006F5659"/>
    <w:rsid w:val="006F5908"/>
    <w:rsid w:val="006F62A6"/>
    <w:rsid w:val="006F7624"/>
    <w:rsid w:val="007011B5"/>
    <w:rsid w:val="007017E5"/>
    <w:rsid w:val="0070192A"/>
    <w:rsid w:val="00702A04"/>
    <w:rsid w:val="00702EE6"/>
    <w:rsid w:val="007035F5"/>
    <w:rsid w:val="0070404F"/>
    <w:rsid w:val="00704090"/>
    <w:rsid w:val="00704F4B"/>
    <w:rsid w:val="00705125"/>
    <w:rsid w:val="00705790"/>
    <w:rsid w:val="00705D6F"/>
    <w:rsid w:val="007078E6"/>
    <w:rsid w:val="00710B25"/>
    <w:rsid w:val="007123A3"/>
    <w:rsid w:val="00713AC7"/>
    <w:rsid w:val="00715C9C"/>
    <w:rsid w:val="0071636F"/>
    <w:rsid w:val="0072000E"/>
    <w:rsid w:val="00720B86"/>
    <w:rsid w:val="0072127B"/>
    <w:rsid w:val="0072141B"/>
    <w:rsid w:val="007214AD"/>
    <w:rsid w:val="00721B89"/>
    <w:rsid w:val="007225CE"/>
    <w:rsid w:val="00723020"/>
    <w:rsid w:val="00723FFF"/>
    <w:rsid w:val="00724224"/>
    <w:rsid w:val="00726564"/>
    <w:rsid w:val="00726E80"/>
    <w:rsid w:val="0073017A"/>
    <w:rsid w:val="00730325"/>
    <w:rsid w:val="007305BA"/>
    <w:rsid w:val="00730DF2"/>
    <w:rsid w:val="00732218"/>
    <w:rsid w:val="00732332"/>
    <w:rsid w:val="007325C8"/>
    <w:rsid w:val="007327FB"/>
    <w:rsid w:val="007334BC"/>
    <w:rsid w:val="007340E4"/>
    <w:rsid w:val="007343DD"/>
    <w:rsid w:val="007346F2"/>
    <w:rsid w:val="007352B1"/>
    <w:rsid w:val="007357A9"/>
    <w:rsid w:val="00735963"/>
    <w:rsid w:val="007360D5"/>
    <w:rsid w:val="0073672B"/>
    <w:rsid w:val="0073706C"/>
    <w:rsid w:val="00741472"/>
    <w:rsid w:val="00741A05"/>
    <w:rsid w:val="00741B43"/>
    <w:rsid w:val="00741D5D"/>
    <w:rsid w:val="0074280A"/>
    <w:rsid w:val="007438B7"/>
    <w:rsid w:val="007443A4"/>
    <w:rsid w:val="0074460C"/>
    <w:rsid w:val="0074605E"/>
    <w:rsid w:val="00746160"/>
    <w:rsid w:val="00746AFC"/>
    <w:rsid w:val="00746C60"/>
    <w:rsid w:val="0074726C"/>
    <w:rsid w:val="00747AE1"/>
    <w:rsid w:val="00747B09"/>
    <w:rsid w:val="00747E70"/>
    <w:rsid w:val="007502FE"/>
    <w:rsid w:val="00751A55"/>
    <w:rsid w:val="00751CF7"/>
    <w:rsid w:val="007525B8"/>
    <w:rsid w:val="00754A9C"/>
    <w:rsid w:val="00755477"/>
    <w:rsid w:val="00755545"/>
    <w:rsid w:val="007558AA"/>
    <w:rsid w:val="0075657C"/>
    <w:rsid w:val="00756D27"/>
    <w:rsid w:val="00756E27"/>
    <w:rsid w:val="007570FD"/>
    <w:rsid w:val="00761D86"/>
    <w:rsid w:val="00763A97"/>
    <w:rsid w:val="00763AE0"/>
    <w:rsid w:val="00763C95"/>
    <w:rsid w:val="0076437B"/>
    <w:rsid w:val="00764668"/>
    <w:rsid w:val="00766432"/>
    <w:rsid w:val="00767F61"/>
    <w:rsid w:val="00770D3F"/>
    <w:rsid w:val="00771250"/>
    <w:rsid w:val="00771421"/>
    <w:rsid w:val="00771565"/>
    <w:rsid w:val="007716D2"/>
    <w:rsid w:val="00771C2B"/>
    <w:rsid w:val="00771DC3"/>
    <w:rsid w:val="0077246B"/>
    <w:rsid w:val="0077355E"/>
    <w:rsid w:val="0077515A"/>
    <w:rsid w:val="007755DA"/>
    <w:rsid w:val="00775F3A"/>
    <w:rsid w:val="007761F5"/>
    <w:rsid w:val="007766A2"/>
    <w:rsid w:val="00777542"/>
    <w:rsid w:val="00777BCE"/>
    <w:rsid w:val="00777D12"/>
    <w:rsid w:val="0078056E"/>
    <w:rsid w:val="00781A9F"/>
    <w:rsid w:val="00782CF4"/>
    <w:rsid w:val="007833E9"/>
    <w:rsid w:val="007840B4"/>
    <w:rsid w:val="007859A6"/>
    <w:rsid w:val="00786830"/>
    <w:rsid w:val="007908CC"/>
    <w:rsid w:val="00791930"/>
    <w:rsid w:val="00792D56"/>
    <w:rsid w:val="007944BC"/>
    <w:rsid w:val="0079508C"/>
    <w:rsid w:val="0079532B"/>
    <w:rsid w:val="007957DD"/>
    <w:rsid w:val="00795F1E"/>
    <w:rsid w:val="00796722"/>
    <w:rsid w:val="007978A6"/>
    <w:rsid w:val="007A164D"/>
    <w:rsid w:val="007A2F25"/>
    <w:rsid w:val="007A2F9C"/>
    <w:rsid w:val="007A30F7"/>
    <w:rsid w:val="007A384A"/>
    <w:rsid w:val="007A3D46"/>
    <w:rsid w:val="007A424C"/>
    <w:rsid w:val="007A48D4"/>
    <w:rsid w:val="007A4A8E"/>
    <w:rsid w:val="007A4CC3"/>
    <w:rsid w:val="007A575A"/>
    <w:rsid w:val="007A6CBF"/>
    <w:rsid w:val="007A6FF2"/>
    <w:rsid w:val="007A75DA"/>
    <w:rsid w:val="007A78A1"/>
    <w:rsid w:val="007B0A02"/>
    <w:rsid w:val="007B23E6"/>
    <w:rsid w:val="007B3A57"/>
    <w:rsid w:val="007B4024"/>
    <w:rsid w:val="007B4761"/>
    <w:rsid w:val="007B4997"/>
    <w:rsid w:val="007B5071"/>
    <w:rsid w:val="007B56A8"/>
    <w:rsid w:val="007B5B95"/>
    <w:rsid w:val="007B5E5D"/>
    <w:rsid w:val="007B5EC5"/>
    <w:rsid w:val="007B6118"/>
    <w:rsid w:val="007B6407"/>
    <w:rsid w:val="007B6CCE"/>
    <w:rsid w:val="007B71E9"/>
    <w:rsid w:val="007B73F2"/>
    <w:rsid w:val="007B798B"/>
    <w:rsid w:val="007C1084"/>
    <w:rsid w:val="007C158B"/>
    <w:rsid w:val="007C1A54"/>
    <w:rsid w:val="007C1B24"/>
    <w:rsid w:val="007C20A2"/>
    <w:rsid w:val="007C294B"/>
    <w:rsid w:val="007C4870"/>
    <w:rsid w:val="007C5774"/>
    <w:rsid w:val="007C5F63"/>
    <w:rsid w:val="007C6569"/>
    <w:rsid w:val="007C7007"/>
    <w:rsid w:val="007C7D4D"/>
    <w:rsid w:val="007C7F79"/>
    <w:rsid w:val="007D0659"/>
    <w:rsid w:val="007D2EFF"/>
    <w:rsid w:val="007D3122"/>
    <w:rsid w:val="007D3505"/>
    <w:rsid w:val="007D3B65"/>
    <w:rsid w:val="007D4444"/>
    <w:rsid w:val="007D45AB"/>
    <w:rsid w:val="007D634B"/>
    <w:rsid w:val="007D76FF"/>
    <w:rsid w:val="007D7A8F"/>
    <w:rsid w:val="007E0516"/>
    <w:rsid w:val="007E0F22"/>
    <w:rsid w:val="007E2E75"/>
    <w:rsid w:val="007E3CF0"/>
    <w:rsid w:val="007E3D85"/>
    <w:rsid w:val="007E48B6"/>
    <w:rsid w:val="007E495E"/>
    <w:rsid w:val="007E5343"/>
    <w:rsid w:val="007E695D"/>
    <w:rsid w:val="007E6AB1"/>
    <w:rsid w:val="007E7320"/>
    <w:rsid w:val="007F0CC9"/>
    <w:rsid w:val="007F140A"/>
    <w:rsid w:val="007F1754"/>
    <w:rsid w:val="007F2440"/>
    <w:rsid w:val="007F286F"/>
    <w:rsid w:val="007F3A84"/>
    <w:rsid w:val="007F44A9"/>
    <w:rsid w:val="007F63B9"/>
    <w:rsid w:val="007F6927"/>
    <w:rsid w:val="00800193"/>
    <w:rsid w:val="008018B9"/>
    <w:rsid w:val="008034DC"/>
    <w:rsid w:val="0080364C"/>
    <w:rsid w:val="008039F6"/>
    <w:rsid w:val="00803C80"/>
    <w:rsid w:val="00803EFB"/>
    <w:rsid w:val="0080434D"/>
    <w:rsid w:val="00804F8F"/>
    <w:rsid w:val="0080507F"/>
    <w:rsid w:val="0080646D"/>
    <w:rsid w:val="0080720E"/>
    <w:rsid w:val="0080746D"/>
    <w:rsid w:val="008076D7"/>
    <w:rsid w:val="00807923"/>
    <w:rsid w:val="00807B87"/>
    <w:rsid w:val="008108EC"/>
    <w:rsid w:val="008108F6"/>
    <w:rsid w:val="00810AC9"/>
    <w:rsid w:val="00810D61"/>
    <w:rsid w:val="00810EDF"/>
    <w:rsid w:val="00811307"/>
    <w:rsid w:val="00813E8E"/>
    <w:rsid w:val="00814900"/>
    <w:rsid w:val="0081625B"/>
    <w:rsid w:val="008167BB"/>
    <w:rsid w:val="00816FB8"/>
    <w:rsid w:val="00817487"/>
    <w:rsid w:val="00817771"/>
    <w:rsid w:val="00817E53"/>
    <w:rsid w:val="0082013F"/>
    <w:rsid w:val="00820319"/>
    <w:rsid w:val="00820F21"/>
    <w:rsid w:val="0082282A"/>
    <w:rsid w:val="00823484"/>
    <w:rsid w:val="00823FBC"/>
    <w:rsid w:val="00824062"/>
    <w:rsid w:val="00824E14"/>
    <w:rsid w:val="0082587D"/>
    <w:rsid w:val="00826756"/>
    <w:rsid w:val="0082719E"/>
    <w:rsid w:val="008272CD"/>
    <w:rsid w:val="0082767C"/>
    <w:rsid w:val="00827D2B"/>
    <w:rsid w:val="00827D4D"/>
    <w:rsid w:val="0083142C"/>
    <w:rsid w:val="0083287A"/>
    <w:rsid w:val="00833634"/>
    <w:rsid w:val="0083417A"/>
    <w:rsid w:val="00834E7D"/>
    <w:rsid w:val="008358B1"/>
    <w:rsid w:val="00835D63"/>
    <w:rsid w:val="008370C0"/>
    <w:rsid w:val="008405BA"/>
    <w:rsid w:val="00840D22"/>
    <w:rsid w:val="00842290"/>
    <w:rsid w:val="00842E33"/>
    <w:rsid w:val="0084362F"/>
    <w:rsid w:val="0084412F"/>
    <w:rsid w:val="008459A2"/>
    <w:rsid w:val="00847207"/>
    <w:rsid w:val="00850F3D"/>
    <w:rsid w:val="00851B39"/>
    <w:rsid w:val="00851B53"/>
    <w:rsid w:val="00852B58"/>
    <w:rsid w:val="00853F12"/>
    <w:rsid w:val="00855069"/>
    <w:rsid w:val="00855AA4"/>
    <w:rsid w:val="00855F18"/>
    <w:rsid w:val="00856339"/>
    <w:rsid w:val="0085653E"/>
    <w:rsid w:val="00856F80"/>
    <w:rsid w:val="00857226"/>
    <w:rsid w:val="0085727E"/>
    <w:rsid w:val="00857AE6"/>
    <w:rsid w:val="00860387"/>
    <w:rsid w:val="00860F5F"/>
    <w:rsid w:val="00861137"/>
    <w:rsid w:val="00861D4B"/>
    <w:rsid w:val="008640C1"/>
    <w:rsid w:val="008644C0"/>
    <w:rsid w:val="008646CB"/>
    <w:rsid w:val="00864C8C"/>
    <w:rsid w:val="008653E4"/>
    <w:rsid w:val="00865493"/>
    <w:rsid w:val="00866CDB"/>
    <w:rsid w:val="00867924"/>
    <w:rsid w:val="00870D4C"/>
    <w:rsid w:val="00871949"/>
    <w:rsid w:val="00873A27"/>
    <w:rsid w:val="00874527"/>
    <w:rsid w:val="00874F10"/>
    <w:rsid w:val="008759AA"/>
    <w:rsid w:val="0087681B"/>
    <w:rsid w:val="00876BEB"/>
    <w:rsid w:val="0087718F"/>
    <w:rsid w:val="00877822"/>
    <w:rsid w:val="00877A63"/>
    <w:rsid w:val="00877C5A"/>
    <w:rsid w:val="00877F03"/>
    <w:rsid w:val="00880559"/>
    <w:rsid w:val="00881205"/>
    <w:rsid w:val="00882A14"/>
    <w:rsid w:val="008851EB"/>
    <w:rsid w:val="00885787"/>
    <w:rsid w:val="00886B62"/>
    <w:rsid w:val="008876C7"/>
    <w:rsid w:val="00887A0A"/>
    <w:rsid w:val="00890CF6"/>
    <w:rsid w:val="008920DB"/>
    <w:rsid w:val="00892244"/>
    <w:rsid w:val="0089225C"/>
    <w:rsid w:val="00892918"/>
    <w:rsid w:val="00892999"/>
    <w:rsid w:val="00893B37"/>
    <w:rsid w:val="00894E90"/>
    <w:rsid w:val="008960ED"/>
    <w:rsid w:val="00896F8D"/>
    <w:rsid w:val="008A00A1"/>
    <w:rsid w:val="008A07B8"/>
    <w:rsid w:val="008A0C8A"/>
    <w:rsid w:val="008A1016"/>
    <w:rsid w:val="008A3A22"/>
    <w:rsid w:val="008A6C29"/>
    <w:rsid w:val="008A795C"/>
    <w:rsid w:val="008B05CE"/>
    <w:rsid w:val="008B0BD4"/>
    <w:rsid w:val="008B0CAA"/>
    <w:rsid w:val="008B1623"/>
    <w:rsid w:val="008B1B5A"/>
    <w:rsid w:val="008B1EF0"/>
    <w:rsid w:val="008B21E9"/>
    <w:rsid w:val="008B4989"/>
    <w:rsid w:val="008B4BA3"/>
    <w:rsid w:val="008B5441"/>
    <w:rsid w:val="008B6C87"/>
    <w:rsid w:val="008B7293"/>
    <w:rsid w:val="008B7563"/>
    <w:rsid w:val="008C0895"/>
    <w:rsid w:val="008C0F61"/>
    <w:rsid w:val="008C31D8"/>
    <w:rsid w:val="008C44B9"/>
    <w:rsid w:val="008C4559"/>
    <w:rsid w:val="008C4731"/>
    <w:rsid w:val="008C5EFC"/>
    <w:rsid w:val="008C6DB3"/>
    <w:rsid w:val="008C7ACB"/>
    <w:rsid w:val="008C7BAC"/>
    <w:rsid w:val="008D1FAD"/>
    <w:rsid w:val="008D4C8A"/>
    <w:rsid w:val="008D4E8A"/>
    <w:rsid w:val="008D52F4"/>
    <w:rsid w:val="008D57D4"/>
    <w:rsid w:val="008D5C07"/>
    <w:rsid w:val="008D5D0F"/>
    <w:rsid w:val="008D5F1A"/>
    <w:rsid w:val="008D731B"/>
    <w:rsid w:val="008D7A94"/>
    <w:rsid w:val="008E0537"/>
    <w:rsid w:val="008E0C1D"/>
    <w:rsid w:val="008E0CC6"/>
    <w:rsid w:val="008E2255"/>
    <w:rsid w:val="008E289D"/>
    <w:rsid w:val="008E2A25"/>
    <w:rsid w:val="008E2E1F"/>
    <w:rsid w:val="008E2EBB"/>
    <w:rsid w:val="008E3528"/>
    <w:rsid w:val="008E35A1"/>
    <w:rsid w:val="008E39E7"/>
    <w:rsid w:val="008E3FA0"/>
    <w:rsid w:val="008E4D2C"/>
    <w:rsid w:val="008E6590"/>
    <w:rsid w:val="008E6B3D"/>
    <w:rsid w:val="008E6C88"/>
    <w:rsid w:val="008E713A"/>
    <w:rsid w:val="008F080B"/>
    <w:rsid w:val="008F0861"/>
    <w:rsid w:val="008F0A75"/>
    <w:rsid w:val="008F0B7E"/>
    <w:rsid w:val="008F1AD7"/>
    <w:rsid w:val="008F3A18"/>
    <w:rsid w:val="008F3BBC"/>
    <w:rsid w:val="008F3D82"/>
    <w:rsid w:val="008F4338"/>
    <w:rsid w:val="008F4635"/>
    <w:rsid w:val="008F4FD0"/>
    <w:rsid w:val="008F5174"/>
    <w:rsid w:val="008F531D"/>
    <w:rsid w:val="008F6375"/>
    <w:rsid w:val="008F65A0"/>
    <w:rsid w:val="008F6C56"/>
    <w:rsid w:val="008F7525"/>
    <w:rsid w:val="009004CF"/>
    <w:rsid w:val="009007D9"/>
    <w:rsid w:val="00900B69"/>
    <w:rsid w:val="009011B1"/>
    <w:rsid w:val="009014D0"/>
    <w:rsid w:val="00901A10"/>
    <w:rsid w:val="0090278F"/>
    <w:rsid w:val="00903335"/>
    <w:rsid w:val="009040D2"/>
    <w:rsid w:val="0090489E"/>
    <w:rsid w:val="0090727A"/>
    <w:rsid w:val="00907D7F"/>
    <w:rsid w:val="00910797"/>
    <w:rsid w:val="00910834"/>
    <w:rsid w:val="00911251"/>
    <w:rsid w:val="00912596"/>
    <w:rsid w:val="009127CE"/>
    <w:rsid w:val="00912B5D"/>
    <w:rsid w:val="00912EEB"/>
    <w:rsid w:val="009136B5"/>
    <w:rsid w:val="00913909"/>
    <w:rsid w:val="00913AD6"/>
    <w:rsid w:val="00914DC1"/>
    <w:rsid w:val="00914E24"/>
    <w:rsid w:val="0091513E"/>
    <w:rsid w:val="00915491"/>
    <w:rsid w:val="00915A64"/>
    <w:rsid w:val="009161A0"/>
    <w:rsid w:val="00916F46"/>
    <w:rsid w:val="00917195"/>
    <w:rsid w:val="00920145"/>
    <w:rsid w:val="0092062B"/>
    <w:rsid w:val="009206F8"/>
    <w:rsid w:val="0092234E"/>
    <w:rsid w:val="00922B80"/>
    <w:rsid w:val="00922FBA"/>
    <w:rsid w:val="00923DC7"/>
    <w:rsid w:val="00925956"/>
    <w:rsid w:val="00925969"/>
    <w:rsid w:val="00925B7E"/>
    <w:rsid w:val="009263BB"/>
    <w:rsid w:val="0092657A"/>
    <w:rsid w:val="00926EA8"/>
    <w:rsid w:val="00927A32"/>
    <w:rsid w:val="00931075"/>
    <w:rsid w:val="009321FC"/>
    <w:rsid w:val="00932A50"/>
    <w:rsid w:val="0093321C"/>
    <w:rsid w:val="009343AF"/>
    <w:rsid w:val="009347A0"/>
    <w:rsid w:val="00934CB5"/>
    <w:rsid w:val="009361C4"/>
    <w:rsid w:val="00936B84"/>
    <w:rsid w:val="00937344"/>
    <w:rsid w:val="009379D3"/>
    <w:rsid w:val="00937B2A"/>
    <w:rsid w:val="00937F42"/>
    <w:rsid w:val="009401D3"/>
    <w:rsid w:val="00941CAA"/>
    <w:rsid w:val="00941D61"/>
    <w:rsid w:val="00942AE5"/>
    <w:rsid w:val="00942B91"/>
    <w:rsid w:val="00942EDB"/>
    <w:rsid w:val="009431A6"/>
    <w:rsid w:val="009431CF"/>
    <w:rsid w:val="00943348"/>
    <w:rsid w:val="00943B43"/>
    <w:rsid w:val="0094401D"/>
    <w:rsid w:val="0094543B"/>
    <w:rsid w:val="00946740"/>
    <w:rsid w:val="00946FE6"/>
    <w:rsid w:val="0094765F"/>
    <w:rsid w:val="00947F16"/>
    <w:rsid w:val="00950E0C"/>
    <w:rsid w:val="00952745"/>
    <w:rsid w:val="009533CA"/>
    <w:rsid w:val="00953B0D"/>
    <w:rsid w:val="00954674"/>
    <w:rsid w:val="00954B09"/>
    <w:rsid w:val="009551C0"/>
    <w:rsid w:val="00955511"/>
    <w:rsid w:val="009556F2"/>
    <w:rsid w:val="0095644D"/>
    <w:rsid w:val="00956B9B"/>
    <w:rsid w:val="00956C03"/>
    <w:rsid w:val="009577B0"/>
    <w:rsid w:val="00960BE6"/>
    <w:rsid w:val="00960E95"/>
    <w:rsid w:val="009610DD"/>
    <w:rsid w:val="0096152E"/>
    <w:rsid w:val="00961A12"/>
    <w:rsid w:val="00961CC0"/>
    <w:rsid w:val="009629EF"/>
    <w:rsid w:val="00962B0C"/>
    <w:rsid w:val="009630FD"/>
    <w:rsid w:val="00963585"/>
    <w:rsid w:val="00963A70"/>
    <w:rsid w:val="00964A5C"/>
    <w:rsid w:val="009662F1"/>
    <w:rsid w:val="00966A51"/>
    <w:rsid w:val="00966AA0"/>
    <w:rsid w:val="00966C1D"/>
    <w:rsid w:val="00966E7C"/>
    <w:rsid w:val="00967099"/>
    <w:rsid w:val="009708B6"/>
    <w:rsid w:val="009708B7"/>
    <w:rsid w:val="0097117A"/>
    <w:rsid w:val="00971AB9"/>
    <w:rsid w:val="00972673"/>
    <w:rsid w:val="00972E22"/>
    <w:rsid w:val="00972EFB"/>
    <w:rsid w:val="00972FEB"/>
    <w:rsid w:val="009737D1"/>
    <w:rsid w:val="00973AB1"/>
    <w:rsid w:val="00974A64"/>
    <w:rsid w:val="009758FC"/>
    <w:rsid w:val="00977AFC"/>
    <w:rsid w:val="00977F41"/>
    <w:rsid w:val="00980536"/>
    <w:rsid w:val="00981229"/>
    <w:rsid w:val="00981278"/>
    <w:rsid w:val="009816C0"/>
    <w:rsid w:val="00981DC1"/>
    <w:rsid w:val="0098224D"/>
    <w:rsid w:val="00982922"/>
    <w:rsid w:val="00982D71"/>
    <w:rsid w:val="00983910"/>
    <w:rsid w:val="009850C4"/>
    <w:rsid w:val="009858E2"/>
    <w:rsid w:val="0098596A"/>
    <w:rsid w:val="009867F1"/>
    <w:rsid w:val="00987271"/>
    <w:rsid w:val="00990428"/>
    <w:rsid w:val="0099046C"/>
    <w:rsid w:val="00990D94"/>
    <w:rsid w:val="00990ED2"/>
    <w:rsid w:val="009918DA"/>
    <w:rsid w:val="0099268F"/>
    <w:rsid w:val="00994783"/>
    <w:rsid w:val="00994DCA"/>
    <w:rsid w:val="009950A4"/>
    <w:rsid w:val="00995691"/>
    <w:rsid w:val="00995CFD"/>
    <w:rsid w:val="0099652E"/>
    <w:rsid w:val="009A0338"/>
    <w:rsid w:val="009A03AB"/>
    <w:rsid w:val="009A052B"/>
    <w:rsid w:val="009A0885"/>
    <w:rsid w:val="009A1267"/>
    <w:rsid w:val="009A127A"/>
    <w:rsid w:val="009A1AB5"/>
    <w:rsid w:val="009A2026"/>
    <w:rsid w:val="009A2939"/>
    <w:rsid w:val="009A2C21"/>
    <w:rsid w:val="009A2D27"/>
    <w:rsid w:val="009A3C56"/>
    <w:rsid w:val="009A4C3F"/>
    <w:rsid w:val="009A5857"/>
    <w:rsid w:val="009A6069"/>
    <w:rsid w:val="009A7201"/>
    <w:rsid w:val="009A7A63"/>
    <w:rsid w:val="009B0EE5"/>
    <w:rsid w:val="009B1319"/>
    <w:rsid w:val="009B1783"/>
    <w:rsid w:val="009B20D0"/>
    <w:rsid w:val="009B34FA"/>
    <w:rsid w:val="009B36C9"/>
    <w:rsid w:val="009B38F7"/>
    <w:rsid w:val="009B3F9D"/>
    <w:rsid w:val="009B4419"/>
    <w:rsid w:val="009B5FCC"/>
    <w:rsid w:val="009B6211"/>
    <w:rsid w:val="009B649B"/>
    <w:rsid w:val="009B671F"/>
    <w:rsid w:val="009B6FFD"/>
    <w:rsid w:val="009B7940"/>
    <w:rsid w:val="009C0B55"/>
    <w:rsid w:val="009C0C6D"/>
    <w:rsid w:val="009C15D6"/>
    <w:rsid w:val="009C2192"/>
    <w:rsid w:val="009C221C"/>
    <w:rsid w:val="009C39C2"/>
    <w:rsid w:val="009C3AD2"/>
    <w:rsid w:val="009C3B9D"/>
    <w:rsid w:val="009C4544"/>
    <w:rsid w:val="009C4BAA"/>
    <w:rsid w:val="009C4F50"/>
    <w:rsid w:val="009C74DB"/>
    <w:rsid w:val="009D016F"/>
    <w:rsid w:val="009D06FA"/>
    <w:rsid w:val="009D0DAB"/>
    <w:rsid w:val="009D2116"/>
    <w:rsid w:val="009D2858"/>
    <w:rsid w:val="009D2B63"/>
    <w:rsid w:val="009D410C"/>
    <w:rsid w:val="009D4325"/>
    <w:rsid w:val="009D4376"/>
    <w:rsid w:val="009D49B9"/>
    <w:rsid w:val="009D65D3"/>
    <w:rsid w:val="009D66CB"/>
    <w:rsid w:val="009D66D8"/>
    <w:rsid w:val="009D6AF3"/>
    <w:rsid w:val="009D6B00"/>
    <w:rsid w:val="009D7040"/>
    <w:rsid w:val="009D72E2"/>
    <w:rsid w:val="009D746D"/>
    <w:rsid w:val="009D7ACE"/>
    <w:rsid w:val="009E02E8"/>
    <w:rsid w:val="009E0E1E"/>
    <w:rsid w:val="009E252B"/>
    <w:rsid w:val="009E307C"/>
    <w:rsid w:val="009E3E05"/>
    <w:rsid w:val="009E48FA"/>
    <w:rsid w:val="009E4BE9"/>
    <w:rsid w:val="009E5405"/>
    <w:rsid w:val="009E5F04"/>
    <w:rsid w:val="009E6AE1"/>
    <w:rsid w:val="009E6FD0"/>
    <w:rsid w:val="009E708E"/>
    <w:rsid w:val="009E71DB"/>
    <w:rsid w:val="009E7CAA"/>
    <w:rsid w:val="009F061B"/>
    <w:rsid w:val="009F1159"/>
    <w:rsid w:val="009F18F5"/>
    <w:rsid w:val="009F27EC"/>
    <w:rsid w:val="009F2B6D"/>
    <w:rsid w:val="009F2BE9"/>
    <w:rsid w:val="009F36C6"/>
    <w:rsid w:val="009F44F1"/>
    <w:rsid w:val="009F4A94"/>
    <w:rsid w:val="009F4F6A"/>
    <w:rsid w:val="009F5201"/>
    <w:rsid w:val="00A00BBA"/>
    <w:rsid w:val="00A010AB"/>
    <w:rsid w:val="00A029CC"/>
    <w:rsid w:val="00A0353D"/>
    <w:rsid w:val="00A0376A"/>
    <w:rsid w:val="00A043C5"/>
    <w:rsid w:val="00A0488A"/>
    <w:rsid w:val="00A049A3"/>
    <w:rsid w:val="00A04D97"/>
    <w:rsid w:val="00A05DBE"/>
    <w:rsid w:val="00A104FE"/>
    <w:rsid w:val="00A10ED7"/>
    <w:rsid w:val="00A119C2"/>
    <w:rsid w:val="00A11A66"/>
    <w:rsid w:val="00A11C30"/>
    <w:rsid w:val="00A1328A"/>
    <w:rsid w:val="00A1388B"/>
    <w:rsid w:val="00A13A2E"/>
    <w:rsid w:val="00A13B17"/>
    <w:rsid w:val="00A1438D"/>
    <w:rsid w:val="00A1514F"/>
    <w:rsid w:val="00A156EE"/>
    <w:rsid w:val="00A16BE2"/>
    <w:rsid w:val="00A16C48"/>
    <w:rsid w:val="00A17488"/>
    <w:rsid w:val="00A17B02"/>
    <w:rsid w:val="00A219AE"/>
    <w:rsid w:val="00A2276F"/>
    <w:rsid w:val="00A23ADC"/>
    <w:rsid w:val="00A2488E"/>
    <w:rsid w:val="00A24911"/>
    <w:rsid w:val="00A24BB8"/>
    <w:rsid w:val="00A26A9E"/>
    <w:rsid w:val="00A26BA3"/>
    <w:rsid w:val="00A27179"/>
    <w:rsid w:val="00A27A29"/>
    <w:rsid w:val="00A300B6"/>
    <w:rsid w:val="00A30C71"/>
    <w:rsid w:val="00A31C85"/>
    <w:rsid w:val="00A31D54"/>
    <w:rsid w:val="00A327A1"/>
    <w:rsid w:val="00A32DEA"/>
    <w:rsid w:val="00A3329E"/>
    <w:rsid w:val="00A3369E"/>
    <w:rsid w:val="00A336E0"/>
    <w:rsid w:val="00A3382B"/>
    <w:rsid w:val="00A34DF9"/>
    <w:rsid w:val="00A34F2D"/>
    <w:rsid w:val="00A34F66"/>
    <w:rsid w:val="00A3533A"/>
    <w:rsid w:val="00A35427"/>
    <w:rsid w:val="00A355E8"/>
    <w:rsid w:val="00A35731"/>
    <w:rsid w:val="00A35790"/>
    <w:rsid w:val="00A35A75"/>
    <w:rsid w:val="00A36208"/>
    <w:rsid w:val="00A40721"/>
    <w:rsid w:val="00A40805"/>
    <w:rsid w:val="00A42A41"/>
    <w:rsid w:val="00A43442"/>
    <w:rsid w:val="00A44256"/>
    <w:rsid w:val="00A45B73"/>
    <w:rsid w:val="00A4621B"/>
    <w:rsid w:val="00A47EDF"/>
    <w:rsid w:val="00A52B35"/>
    <w:rsid w:val="00A5366A"/>
    <w:rsid w:val="00A54148"/>
    <w:rsid w:val="00A543A7"/>
    <w:rsid w:val="00A55B4F"/>
    <w:rsid w:val="00A55D5B"/>
    <w:rsid w:val="00A56120"/>
    <w:rsid w:val="00A60F80"/>
    <w:rsid w:val="00A61914"/>
    <w:rsid w:val="00A61936"/>
    <w:rsid w:val="00A61B5C"/>
    <w:rsid w:val="00A6332D"/>
    <w:rsid w:val="00A636D5"/>
    <w:rsid w:val="00A638A1"/>
    <w:rsid w:val="00A63E01"/>
    <w:rsid w:val="00A6419C"/>
    <w:rsid w:val="00A65686"/>
    <w:rsid w:val="00A6569A"/>
    <w:rsid w:val="00A66866"/>
    <w:rsid w:val="00A67CB1"/>
    <w:rsid w:val="00A7198B"/>
    <w:rsid w:val="00A71DD8"/>
    <w:rsid w:val="00A71E6C"/>
    <w:rsid w:val="00A725A1"/>
    <w:rsid w:val="00A72954"/>
    <w:rsid w:val="00A73419"/>
    <w:rsid w:val="00A75DCF"/>
    <w:rsid w:val="00A80128"/>
    <w:rsid w:val="00A82663"/>
    <w:rsid w:val="00A826EC"/>
    <w:rsid w:val="00A831D0"/>
    <w:rsid w:val="00A834B4"/>
    <w:rsid w:val="00A836C2"/>
    <w:rsid w:val="00A84BCB"/>
    <w:rsid w:val="00A85E38"/>
    <w:rsid w:val="00A86815"/>
    <w:rsid w:val="00A86B19"/>
    <w:rsid w:val="00A903E0"/>
    <w:rsid w:val="00A90A12"/>
    <w:rsid w:val="00A915A3"/>
    <w:rsid w:val="00A916B3"/>
    <w:rsid w:val="00A91C55"/>
    <w:rsid w:val="00A92928"/>
    <w:rsid w:val="00A932BA"/>
    <w:rsid w:val="00A935E9"/>
    <w:rsid w:val="00A93765"/>
    <w:rsid w:val="00A937EE"/>
    <w:rsid w:val="00A9469C"/>
    <w:rsid w:val="00A94892"/>
    <w:rsid w:val="00A94AFE"/>
    <w:rsid w:val="00A95197"/>
    <w:rsid w:val="00A9537C"/>
    <w:rsid w:val="00A953CF"/>
    <w:rsid w:val="00A9579B"/>
    <w:rsid w:val="00A95B83"/>
    <w:rsid w:val="00A95DB9"/>
    <w:rsid w:val="00A96D7E"/>
    <w:rsid w:val="00A96F33"/>
    <w:rsid w:val="00A9739A"/>
    <w:rsid w:val="00A973E0"/>
    <w:rsid w:val="00AA0499"/>
    <w:rsid w:val="00AA081C"/>
    <w:rsid w:val="00AA16DD"/>
    <w:rsid w:val="00AA1D90"/>
    <w:rsid w:val="00AA247C"/>
    <w:rsid w:val="00AA2BEF"/>
    <w:rsid w:val="00AA37CD"/>
    <w:rsid w:val="00AA4D7F"/>
    <w:rsid w:val="00AA5138"/>
    <w:rsid w:val="00AA6150"/>
    <w:rsid w:val="00AA6F24"/>
    <w:rsid w:val="00AA731E"/>
    <w:rsid w:val="00AA78F0"/>
    <w:rsid w:val="00AA7F69"/>
    <w:rsid w:val="00AB0A87"/>
    <w:rsid w:val="00AB24C9"/>
    <w:rsid w:val="00AB3365"/>
    <w:rsid w:val="00AB3373"/>
    <w:rsid w:val="00AB3CCA"/>
    <w:rsid w:val="00AB4DFE"/>
    <w:rsid w:val="00AB5119"/>
    <w:rsid w:val="00AB51ED"/>
    <w:rsid w:val="00AB560F"/>
    <w:rsid w:val="00AB59C4"/>
    <w:rsid w:val="00AB603A"/>
    <w:rsid w:val="00AB6253"/>
    <w:rsid w:val="00AB690D"/>
    <w:rsid w:val="00AB6D39"/>
    <w:rsid w:val="00AB7359"/>
    <w:rsid w:val="00AB75D5"/>
    <w:rsid w:val="00AC033F"/>
    <w:rsid w:val="00AC0B9D"/>
    <w:rsid w:val="00AC1FFB"/>
    <w:rsid w:val="00AC387B"/>
    <w:rsid w:val="00AC5278"/>
    <w:rsid w:val="00AC53D5"/>
    <w:rsid w:val="00AC5402"/>
    <w:rsid w:val="00AC675B"/>
    <w:rsid w:val="00AC6C94"/>
    <w:rsid w:val="00AC7128"/>
    <w:rsid w:val="00AC7BDB"/>
    <w:rsid w:val="00AD05D2"/>
    <w:rsid w:val="00AD0A2D"/>
    <w:rsid w:val="00AD124A"/>
    <w:rsid w:val="00AD1465"/>
    <w:rsid w:val="00AD163E"/>
    <w:rsid w:val="00AD2766"/>
    <w:rsid w:val="00AD285D"/>
    <w:rsid w:val="00AD60BC"/>
    <w:rsid w:val="00AD7574"/>
    <w:rsid w:val="00AD773D"/>
    <w:rsid w:val="00AD7C9F"/>
    <w:rsid w:val="00AE0184"/>
    <w:rsid w:val="00AE1F54"/>
    <w:rsid w:val="00AE2053"/>
    <w:rsid w:val="00AE23BA"/>
    <w:rsid w:val="00AE2F8E"/>
    <w:rsid w:val="00AE4D06"/>
    <w:rsid w:val="00AE5E50"/>
    <w:rsid w:val="00AE5F11"/>
    <w:rsid w:val="00AE5F37"/>
    <w:rsid w:val="00AE6DFE"/>
    <w:rsid w:val="00AE6E82"/>
    <w:rsid w:val="00AE7417"/>
    <w:rsid w:val="00AE7B5B"/>
    <w:rsid w:val="00AE7E55"/>
    <w:rsid w:val="00AF04C3"/>
    <w:rsid w:val="00AF0628"/>
    <w:rsid w:val="00AF1378"/>
    <w:rsid w:val="00AF1755"/>
    <w:rsid w:val="00AF24EE"/>
    <w:rsid w:val="00AF48B1"/>
    <w:rsid w:val="00AF50A2"/>
    <w:rsid w:val="00AF55AD"/>
    <w:rsid w:val="00AF6A75"/>
    <w:rsid w:val="00B002A6"/>
    <w:rsid w:val="00B00DC4"/>
    <w:rsid w:val="00B00E67"/>
    <w:rsid w:val="00B012E4"/>
    <w:rsid w:val="00B016EC"/>
    <w:rsid w:val="00B01871"/>
    <w:rsid w:val="00B03892"/>
    <w:rsid w:val="00B03A11"/>
    <w:rsid w:val="00B07189"/>
    <w:rsid w:val="00B07464"/>
    <w:rsid w:val="00B10065"/>
    <w:rsid w:val="00B10173"/>
    <w:rsid w:val="00B10543"/>
    <w:rsid w:val="00B114D9"/>
    <w:rsid w:val="00B11B8B"/>
    <w:rsid w:val="00B12191"/>
    <w:rsid w:val="00B12E5B"/>
    <w:rsid w:val="00B136EB"/>
    <w:rsid w:val="00B1436C"/>
    <w:rsid w:val="00B14F1C"/>
    <w:rsid w:val="00B14FBB"/>
    <w:rsid w:val="00B16088"/>
    <w:rsid w:val="00B16B2D"/>
    <w:rsid w:val="00B208DB"/>
    <w:rsid w:val="00B2167D"/>
    <w:rsid w:val="00B21D66"/>
    <w:rsid w:val="00B22BDB"/>
    <w:rsid w:val="00B2381C"/>
    <w:rsid w:val="00B241B9"/>
    <w:rsid w:val="00B24F25"/>
    <w:rsid w:val="00B25817"/>
    <w:rsid w:val="00B25B71"/>
    <w:rsid w:val="00B267C0"/>
    <w:rsid w:val="00B2728D"/>
    <w:rsid w:val="00B300FA"/>
    <w:rsid w:val="00B305E2"/>
    <w:rsid w:val="00B30B18"/>
    <w:rsid w:val="00B3197F"/>
    <w:rsid w:val="00B32293"/>
    <w:rsid w:val="00B33D9E"/>
    <w:rsid w:val="00B34F10"/>
    <w:rsid w:val="00B35025"/>
    <w:rsid w:val="00B3515E"/>
    <w:rsid w:val="00B356D8"/>
    <w:rsid w:val="00B40FB8"/>
    <w:rsid w:val="00B416D5"/>
    <w:rsid w:val="00B42CA9"/>
    <w:rsid w:val="00B4302B"/>
    <w:rsid w:val="00B43F74"/>
    <w:rsid w:val="00B44624"/>
    <w:rsid w:val="00B44F06"/>
    <w:rsid w:val="00B4566D"/>
    <w:rsid w:val="00B46212"/>
    <w:rsid w:val="00B467FD"/>
    <w:rsid w:val="00B46D81"/>
    <w:rsid w:val="00B505E6"/>
    <w:rsid w:val="00B50DFD"/>
    <w:rsid w:val="00B51F61"/>
    <w:rsid w:val="00B52927"/>
    <w:rsid w:val="00B534E3"/>
    <w:rsid w:val="00B53C5A"/>
    <w:rsid w:val="00B56C48"/>
    <w:rsid w:val="00B57775"/>
    <w:rsid w:val="00B6004C"/>
    <w:rsid w:val="00B607C7"/>
    <w:rsid w:val="00B61325"/>
    <w:rsid w:val="00B6254F"/>
    <w:rsid w:val="00B62C55"/>
    <w:rsid w:val="00B63817"/>
    <w:rsid w:val="00B64061"/>
    <w:rsid w:val="00B6430D"/>
    <w:rsid w:val="00B648CD"/>
    <w:rsid w:val="00B650DA"/>
    <w:rsid w:val="00B66349"/>
    <w:rsid w:val="00B67981"/>
    <w:rsid w:val="00B706FD"/>
    <w:rsid w:val="00B70760"/>
    <w:rsid w:val="00B70C18"/>
    <w:rsid w:val="00B71CE9"/>
    <w:rsid w:val="00B72936"/>
    <w:rsid w:val="00B72FB4"/>
    <w:rsid w:val="00B732CA"/>
    <w:rsid w:val="00B7369E"/>
    <w:rsid w:val="00B73BE1"/>
    <w:rsid w:val="00B75319"/>
    <w:rsid w:val="00B75DCE"/>
    <w:rsid w:val="00B76559"/>
    <w:rsid w:val="00B76A54"/>
    <w:rsid w:val="00B76F3C"/>
    <w:rsid w:val="00B76FB3"/>
    <w:rsid w:val="00B7747D"/>
    <w:rsid w:val="00B77EDD"/>
    <w:rsid w:val="00B80459"/>
    <w:rsid w:val="00B80850"/>
    <w:rsid w:val="00B80BA0"/>
    <w:rsid w:val="00B820B6"/>
    <w:rsid w:val="00B823AB"/>
    <w:rsid w:val="00B833AC"/>
    <w:rsid w:val="00B83D59"/>
    <w:rsid w:val="00B84303"/>
    <w:rsid w:val="00B8495C"/>
    <w:rsid w:val="00B853C9"/>
    <w:rsid w:val="00B86011"/>
    <w:rsid w:val="00B862AE"/>
    <w:rsid w:val="00B86F52"/>
    <w:rsid w:val="00B87768"/>
    <w:rsid w:val="00B87791"/>
    <w:rsid w:val="00B87E0B"/>
    <w:rsid w:val="00B9040C"/>
    <w:rsid w:val="00B90986"/>
    <w:rsid w:val="00B91D76"/>
    <w:rsid w:val="00B92125"/>
    <w:rsid w:val="00B9219F"/>
    <w:rsid w:val="00B926A7"/>
    <w:rsid w:val="00B92F47"/>
    <w:rsid w:val="00B93B0C"/>
    <w:rsid w:val="00B94272"/>
    <w:rsid w:val="00B9508D"/>
    <w:rsid w:val="00B954FD"/>
    <w:rsid w:val="00B95868"/>
    <w:rsid w:val="00B9596A"/>
    <w:rsid w:val="00B95C36"/>
    <w:rsid w:val="00B96E3B"/>
    <w:rsid w:val="00B97902"/>
    <w:rsid w:val="00B97BD2"/>
    <w:rsid w:val="00B97EA2"/>
    <w:rsid w:val="00BA0E0F"/>
    <w:rsid w:val="00BA1413"/>
    <w:rsid w:val="00BA15F4"/>
    <w:rsid w:val="00BA17B7"/>
    <w:rsid w:val="00BA276C"/>
    <w:rsid w:val="00BA2B78"/>
    <w:rsid w:val="00BA2DBB"/>
    <w:rsid w:val="00BA4630"/>
    <w:rsid w:val="00BA6181"/>
    <w:rsid w:val="00BA650C"/>
    <w:rsid w:val="00BA7348"/>
    <w:rsid w:val="00BB18B9"/>
    <w:rsid w:val="00BB233F"/>
    <w:rsid w:val="00BB2CD0"/>
    <w:rsid w:val="00BB3029"/>
    <w:rsid w:val="00BB3248"/>
    <w:rsid w:val="00BB39C6"/>
    <w:rsid w:val="00BB3CF2"/>
    <w:rsid w:val="00BB3E8F"/>
    <w:rsid w:val="00BB4EA5"/>
    <w:rsid w:val="00BB513D"/>
    <w:rsid w:val="00BB5B2D"/>
    <w:rsid w:val="00BB5BCD"/>
    <w:rsid w:val="00BB6BCC"/>
    <w:rsid w:val="00BB6D04"/>
    <w:rsid w:val="00BB76A9"/>
    <w:rsid w:val="00BB7B96"/>
    <w:rsid w:val="00BC0893"/>
    <w:rsid w:val="00BC240E"/>
    <w:rsid w:val="00BC2579"/>
    <w:rsid w:val="00BC316F"/>
    <w:rsid w:val="00BC3254"/>
    <w:rsid w:val="00BC40E0"/>
    <w:rsid w:val="00BC4334"/>
    <w:rsid w:val="00BC507E"/>
    <w:rsid w:val="00BC631C"/>
    <w:rsid w:val="00BC7028"/>
    <w:rsid w:val="00BC708E"/>
    <w:rsid w:val="00BD07CC"/>
    <w:rsid w:val="00BD09B0"/>
    <w:rsid w:val="00BD175B"/>
    <w:rsid w:val="00BD2365"/>
    <w:rsid w:val="00BD274E"/>
    <w:rsid w:val="00BD295A"/>
    <w:rsid w:val="00BD2DC2"/>
    <w:rsid w:val="00BD30A8"/>
    <w:rsid w:val="00BD3140"/>
    <w:rsid w:val="00BD38A4"/>
    <w:rsid w:val="00BD3930"/>
    <w:rsid w:val="00BD3AA8"/>
    <w:rsid w:val="00BD3EB8"/>
    <w:rsid w:val="00BD425B"/>
    <w:rsid w:val="00BD4A7D"/>
    <w:rsid w:val="00BD4B34"/>
    <w:rsid w:val="00BD4E2A"/>
    <w:rsid w:val="00BD4E79"/>
    <w:rsid w:val="00BD557F"/>
    <w:rsid w:val="00BD5BEE"/>
    <w:rsid w:val="00BD74C2"/>
    <w:rsid w:val="00BE015D"/>
    <w:rsid w:val="00BE09EE"/>
    <w:rsid w:val="00BE0D20"/>
    <w:rsid w:val="00BE17FD"/>
    <w:rsid w:val="00BE3125"/>
    <w:rsid w:val="00BE359B"/>
    <w:rsid w:val="00BE44E2"/>
    <w:rsid w:val="00BE47D3"/>
    <w:rsid w:val="00BE514F"/>
    <w:rsid w:val="00BE53C8"/>
    <w:rsid w:val="00BE5794"/>
    <w:rsid w:val="00BE5F68"/>
    <w:rsid w:val="00BE6172"/>
    <w:rsid w:val="00BE623A"/>
    <w:rsid w:val="00BE6818"/>
    <w:rsid w:val="00BE68B8"/>
    <w:rsid w:val="00BE6E01"/>
    <w:rsid w:val="00BF0166"/>
    <w:rsid w:val="00BF073A"/>
    <w:rsid w:val="00BF11DF"/>
    <w:rsid w:val="00BF1395"/>
    <w:rsid w:val="00BF18A6"/>
    <w:rsid w:val="00BF4D63"/>
    <w:rsid w:val="00BF6D9B"/>
    <w:rsid w:val="00BF78B9"/>
    <w:rsid w:val="00BF7EC1"/>
    <w:rsid w:val="00C00500"/>
    <w:rsid w:val="00C00890"/>
    <w:rsid w:val="00C01064"/>
    <w:rsid w:val="00C014CE"/>
    <w:rsid w:val="00C0157D"/>
    <w:rsid w:val="00C019E8"/>
    <w:rsid w:val="00C023CC"/>
    <w:rsid w:val="00C02791"/>
    <w:rsid w:val="00C0307B"/>
    <w:rsid w:val="00C0313B"/>
    <w:rsid w:val="00C03464"/>
    <w:rsid w:val="00C0385B"/>
    <w:rsid w:val="00C044DC"/>
    <w:rsid w:val="00C04D82"/>
    <w:rsid w:val="00C05560"/>
    <w:rsid w:val="00C0694A"/>
    <w:rsid w:val="00C0789F"/>
    <w:rsid w:val="00C07952"/>
    <w:rsid w:val="00C1040B"/>
    <w:rsid w:val="00C104F5"/>
    <w:rsid w:val="00C1076F"/>
    <w:rsid w:val="00C12977"/>
    <w:rsid w:val="00C13197"/>
    <w:rsid w:val="00C13761"/>
    <w:rsid w:val="00C13CC9"/>
    <w:rsid w:val="00C13D6D"/>
    <w:rsid w:val="00C140B1"/>
    <w:rsid w:val="00C14B24"/>
    <w:rsid w:val="00C15DE3"/>
    <w:rsid w:val="00C1615E"/>
    <w:rsid w:val="00C17012"/>
    <w:rsid w:val="00C176C3"/>
    <w:rsid w:val="00C178C8"/>
    <w:rsid w:val="00C207D2"/>
    <w:rsid w:val="00C208C8"/>
    <w:rsid w:val="00C20CCA"/>
    <w:rsid w:val="00C20E2D"/>
    <w:rsid w:val="00C21645"/>
    <w:rsid w:val="00C21D3E"/>
    <w:rsid w:val="00C22572"/>
    <w:rsid w:val="00C22AFD"/>
    <w:rsid w:val="00C236C0"/>
    <w:rsid w:val="00C237E5"/>
    <w:rsid w:val="00C249D9"/>
    <w:rsid w:val="00C259BA"/>
    <w:rsid w:val="00C264D6"/>
    <w:rsid w:val="00C26681"/>
    <w:rsid w:val="00C271D3"/>
    <w:rsid w:val="00C27AB3"/>
    <w:rsid w:val="00C30F14"/>
    <w:rsid w:val="00C30F79"/>
    <w:rsid w:val="00C31E8C"/>
    <w:rsid w:val="00C323D6"/>
    <w:rsid w:val="00C32BE9"/>
    <w:rsid w:val="00C33260"/>
    <w:rsid w:val="00C338F2"/>
    <w:rsid w:val="00C33A9F"/>
    <w:rsid w:val="00C33D2F"/>
    <w:rsid w:val="00C33F61"/>
    <w:rsid w:val="00C3411D"/>
    <w:rsid w:val="00C3430E"/>
    <w:rsid w:val="00C35160"/>
    <w:rsid w:val="00C36E72"/>
    <w:rsid w:val="00C37842"/>
    <w:rsid w:val="00C37FDA"/>
    <w:rsid w:val="00C400F9"/>
    <w:rsid w:val="00C420FF"/>
    <w:rsid w:val="00C42E78"/>
    <w:rsid w:val="00C43381"/>
    <w:rsid w:val="00C436EC"/>
    <w:rsid w:val="00C43F37"/>
    <w:rsid w:val="00C45853"/>
    <w:rsid w:val="00C4637D"/>
    <w:rsid w:val="00C4728F"/>
    <w:rsid w:val="00C4738D"/>
    <w:rsid w:val="00C4745C"/>
    <w:rsid w:val="00C47C14"/>
    <w:rsid w:val="00C5081A"/>
    <w:rsid w:val="00C50AAA"/>
    <w:rsid w:val="00C50F55"/>
    <w:rsid w:val="00C5111E"/>
    <w:rsid w:val="00C5160C"/>
    <w:rsid w:val="00C51BD1"/>
    <w:rsid w:val="00C52ACD"/>
    <w:rsid w:val="00C5348D"/>
    <w:rsid w:val="00C53A2F"/>
    <w:rsid w:val="00C53F71"/>
    <w:rsid w:val="00C54A62"/>
    <w:rsid w:val="00C54F89"/>
    <w:rsid w:val="00C55275"/>
    <w:rsid w:val="00C57BF1"/>
    <w:rsid w:val="00C6001A"/>
    <w:rsid w:val="00C60967"/>
    <w:rsid w:val="00C61660"/>
    <w:rsid w:val="00C625A8"/>
    <w:rsid w:val="00C62CD7"/>
    <w:rsid w:val="00C62DBB"/>
    <w:rsid w:val="00C635C7"/>
    <w:rsid w:val="00C6386B"/>
    <w:rsid w:val="00C640E4"/>
    <w:rsid w:val="00C64409"/>
    <w:rsid w:val="00C64C65"/>
    <w:rsid w:val="00C655FC"/>
    <w:rsid w:val="00C65AB5"/>
    <w:rsid w:val="00C66D8D"/>
    <w:rsid w:val="00C66ECB"/>
    <w:rsid w:val="00C6786C"/>
    <w:rsid w:val="00C72128"/>
    <w:rsid w:val="00C728CF"/>
    <w:rsid w:val="00C73BFD"/>
    <w:rsid w:val="00C7473D"/>
    <w:rsid w:val="00C74925"/>
    <w:rsid w:val="00C74DEF"/>
    <w:rsid w:val="00C7570F"/>
    <w:rsid w:val="00C75C42"/>
    <w:rsid w:val="00C764BD"/>
    <w:rsid w:val="00C76A3E"/>
    <w:rsid w:val="00C77A1F"/>
    <w:rsid w:val="00C8020C"/>
    <w:rsid w:val="00C803B9"/>
    <w:rsid w:val="00C80528"/>
    <w:rsid w:val="00C812EE"/>
    <w:rsid w:val="00C81B19"/>
    <w:rsid w:val="00C828E1"/>
    <w:rsid w:val="00C829E3"/>
    <w:rsid w:val="00C83214"/>
    <w:rsid w:val="00C835CF"/>
    <w:rsid w:val="00C83A28"/>
    <w:rsid w:val="00C8456C"/>
    <w:rsid w:val="00C85BDD"/>
    <w:rsid w:val="00C85C25"/>
    <w:rsid w:val="00C862EA"/>
    <w:rsid w:val="00C86C82"/>
    <w:rsid w:val="00C87FEA"/>
    <w:rsid w:val="00C907E6"/>
    <w:rsid w:val="00C91519"/>
    <w:rsid w:val="00C93A25"/>
    <w:rsid w:val="00C94363"/>
    <w:rsid w:val="00C9462B"/>
    <w:rsid w:val="00C94771"/>
    <w:rsid w:val="00C94FBF"/>
    <w:rsid w:val="00C95216"/>
    <w:rsid w:val="00C9530F"/>
    <w:rsid w:val="00C9716C"/>
    <w:rsid w:val="00C976E1"/>
    <w:rsid w:val="00C977A8"/>
    <w:rsid w:val="00C97A0B"/>
    <w:rsid w:val="00C97BB3"/>
    <w:rsid w:val="00C97BEC"/>
    <w:rsid w:val="00C97E44"/>
    <w:rsid w:val="00CA148B"/>
    <w:rsid w:val="00CA1B09"/>
    <w:rsid w:val="00CA1BB0"/>
    <w:rsid w:val="00CA1BB1"/>
    <w:rsid w:val="00CA1C1B"/>
    <w:rsid w:val="00CA3000"/>
    <w:rsid w:val="00CA319E"/>
    <w:rsid w:val="00CA328B"/>
    <w:rsid w:val="00CA3F3A"/>
    <w:rsid w:val="00CA4C86"/>
    <w:rsid w:val="00CA535B"/>
    <w:rsid w:val="00CA5C8B"/>
    <w:rsid w:val="00CA62FB"/>
    <w:rsid w:val="00CB064B"/>
    <w:rsid w:val="00CB0C87"/>
    <w:rsid w:val="00CB277E"/>
    <w:rsid w:val="00CB2D71"/>
    <w:rsid w:val="00CB3046"/>
    <w:rsid w:val="00CB322B"/>
    <w:rsid w:val="00CB3E4B"/>
    <w:rsid w:val="00CB4555"/>
    <w:rsid w:val="00CB4B30"/>
    <w:rsid w:val="00CB4D15"/>
    <w:rsid w:val="00CB5213"/>
    <w:rsid w:val="00CB606E"/>
    <w:rsid w:val="00CB6408"/>
    <w:rsid w:val="00CB72AB"/>
    <w:rsid w:val="00CC0625"/>
    <w:rsid w:val="00CC11B3"/>
    <w:rsid w:val="00CC1378"/>
    <w:rsid w:val="00CC2746"/>
    <w:rsid w:val="00CC3932"/>
    <w:rsid w:val="00CC3B2F"/>
    <w:rsid w:val="00CC6ADB"/>
    <w:rsid w:val="00CC7347"/>
    <w:rsid w:val="00CC73BC"/>
    <w:rsid w:val="00CC7630"/>
    <w:rsid w:val="00CC7EA3"/>
    <w:rsid w:val="00CD034F"/>
    <w:rsid w:val="00CD08C9"/>
    <w:rsid w:val="00CD0F41"/>
    <w:rsid w:val="00CD1B4E"/>
    <w:rsid w:val="00CD1BA8"/>
    <w:rsid w:val="00CD1D09"/>
    <w:rsid w:val="00CD259D"/>
    <w:rsid w:val="00CD2FB0"/>
    <w:rsid w:val="00CD3C5A"/>
    <w:rsid w:val="00CD49FD"/>
    <w:rsid w:val="00CD4C3C"/>
    <w:rsid w:val="00CD50E6"/>
    <w:rsid w:val="00CD5926"/>
    <w:rsid w:val="00CD5C04"/>
    <w:rsid w:val="00CD63BE"/>
    <w:rsid w:val="00CD671C"/>
    <w:rsid w:val="00CE031D"/>
    <w:rsid w:val="00CE070F"/>
    <w:rsid w:val="00CE0AA1"/>
    <w:rsid w:val="00CE180D"/>
    <w:rsid w:val="00CE1D12"/>
    <w:rsid w:val="00CE22D8"/>
    <w:rsid w:val="00CE3515"/>
    <w:rsid w:val="00CE353A"/>
    <w:rsid w:val="00CE3EC1"/>
    <w:rsid w:val="00CE4B05"/>
    <w:rsid w:val="00CE587D"/>
    <w:rsid w:val="00CE5EA4"/>
    <w:rsid w:val="00CE68DA"/>
    <w:rsid w:val="00CE7586"/>
    <w:rsid w:val="00CE7926"/>
    <w:rsid w:val="00CE79F7"/>
    <w:rsid w:val="00CE7D9D"/>
    <w:rsid w:val="00CF0123"/>
    <w:rsid w:val="00CF068D"/>
    <w:rsid w:val="00CF0F08"/>
    <w:rsid w:val="00CF1250"/>
    <w:rsid w:val="00CF148E"/>
    <w:rsid w:val="00CF18D3"/>
    <w:rsid w:val="00CF1A9D"/>
    <w:rsid w:val="00CF2BED"/>
    <w:rsid w:val="00CF30DB"/>
    <w:rsid w:val="00CF42C2"/>
    <w:rsid w:val="00CF4515"/>
    <w:rsid w:val="00CF4611"/>
    <w:rsid w:val="00CF5097"/>
    <w:rsid w:val="00CF50FD"/>
    <w:rsid w:val="00CF572E"/>
    <w:rsid w:val="00CF608C"/>
    <w:rsid w:val="00CF6366"/>
    <w:rsid w:val="00CF6428"/>
    <w:rsid w:val="00CF7095"/>
    <w:rsid w:val="00CF7763"/>
    <w:rsid w:val="00D025AA"/>
    <w:rsid w:val="00D02A9E"/>
    <w:rsid w:val="00D043B8"/>
    <w:rsid w:val="00D04692"/>
    <w:rsid w:val="00D0568C"/>
    <w:rsid w:val="00D05793"/>
    <w:rsid w:val="00D06C08"/>
    <w:rsid w:val="00D06E81"/>
    <w:rsid w:val="00D07235"/>
    <w:rsid w:val="00D10893"/>
    <w:rsid w:val="00D10BF1"/>
    <w:rsid w:val="00D11360"/>
    <w:rsid w:val="00D1138C"/>
    <w:rsid w:val="00D11663"/>
    <w:rsid w:val="00D1188E"/>
    <w:rsid w:val="00D11F22"/>
    <w:rsid w:val="00D120F1"/>
    <w:rsid w:val="00D12593"/>
    <w:rsid w:val="00D146E8"/>
    <w:rsid w:val="00D15273"/>
    <w:rsid w:val="00D15479"/>
    <w:rsid w:val="00D162D8"/>
    <w:rsid w:val="00D16D8F"/>
    <w:rsid w:val="00D17C35"/>
    <w:rsid w:val="00D20539"/>
    <w:rsid w:val="00D2116A"/>
    <w:rsid w:val="00D212B4"/>
    <w:rsid w:val="00D2153A"/>
    <w:rsid w:val="00D21B61"/>
    <w:rsid w:val="00D22016"/>
    <w:rsid w:val="00D227A1"/>
    <w:rsid w:val="00D22A98"/>
    <w:rsid w:val="00D23612"/>
    <w:rsid w:val="00D23CD1"/>
    <w:rsid w:val="00D24EFB"/>
    <w:rsid w:val="00D255F6"/>
    <w:rsid w:val="00D26004"/>
    <w:rsid w:val="00D269E6"/>
    <w:rsid w:val="00D26AC0"/>
    <w:rsid w:val="00D277E8"/>
    <w:rsid w:val="00D277F1"/>
    <w:rsid w:val="00D301B5"/>
    <w:rsid w:val="00D30B0D"/>
    <w:rsid w:val="00D313C5"/>
    <w:rsid w:val="00D325D2"/>
    <w:rsid w:val="00D32F2F"/>
    <w:rsid w:val="00D33875"/>
    <w:rsid w:val="00D34B25"/>
    <w:rsid w:val="00D35030"/>
    <w:rsid w:val="00D35051"/>
    <w:rsid w:val="00D351DF"/>
    <w:rsid w:val="00D35997"/>
    <w:rsid w:val="00D36513"/>
    <w:rsid w:val="00D372DB"/>
    <w:rsid w:val="00D40DE5"/>
    <w:rsid w:val="00D41A4F"/>
    <w:rsid w:val="00D41CB4"/>
    <w:rsid w:val="00D42504"/>
    <w:rsid w:val="00D42A46"/>
    <w:rsid w:val="00D42AD9"/>
    <w:rsid w:val="00D42E34"/>
    <w:rsid w:val="00D43BDA"/>
    <w:rsid w:val="00D43F51"/>
    <w:rsid w:val="00D44BB3"/>
    <w:rsid w:val="00D45403"/>
    <w:rsid w:val="00D45BB8"/>
    <w:rsid w:val="00D47920"/>
    <w:rsid w:val="00D47A8A"/>
    <w:rsid w:val="00D508D6"/>
    <w:rsid w:val="00D510AF"/>
    <w:rsid w:val="00D517F6"/>
    <w:rsid w:val="00D52076"/>
    <w:rsid w:val="00D52424"/>
    <w:rsid w:val="00D52587"/>
    <w:rsid w:val="00D52C30"/>
    <w:rsid w:val="00D52DB8"/>
    <w:rsid w:val="00D53540"/>
    <w:rsid w:val="00D53F21"/>
    <w:rsid w:val="00D550C4"/>
    <w:rsid w:val="00D55CBE"/>
    <w:rsid w:val="00D56198"/>
    <w:rsid w:val="00D56285"/>
    <w:rsid w:val="00D56A87"/>
    <w:rsid w:val="00D56C92"/>
    <w:rsid w:val="00D57BE8"/>
    <w:rsid w:val="00D57FD1"/>
    <w:rsid w:val="00D61845"/>
    <w:rsid w:val="00D61CD3"/>
    <w:rsid w:val="00D626ED"/>
    <w:rsid w:val="00D62EDB"/>
    <w:rsid w:val="00D63420"/>
    <w:rsid w:val="00D6351C"/>
    <w:rsid w:val="00D636D0"/>
    <w:rsid w:val="00D645EA"/>
    <w:rsid w:val="00D650E8"/>
    <w:rsid w:val="00D65BB2"/>
    <w:rsid w:val="00D65EAB"/>
    <w:rsid w:val="00D6730E"/>
    <w:rsid w:val="00D67C14"/>
    <w:rsid w:val="00D67DEC"/>
    <w:rsid w:val="00D70599"/>
    <w:rsid w:val="00D72A3E"/>
    <w:rsid w:val="00D74C6E"/>
    <w:rsid w:val="00D753A3"/>
    <w:rsid w:val="00D75EE0"/>
    <w:rsid w:val="00D76B70"/>
    <w:rsid w:val="00D76EA1"/>
    <w:rsid w:val="00D80058"/>
    <w:rsid w:val="00D80244"/>
    <w:rsid w:val="00D80EB2"/>
    <w:rsid w:val="00D81371"/>
    <w:rsid w:val="00D81979"/>
    <w:rsid w:val="00D81EB0"/>
    <w:rsid w:val="00D84047"/>
    <w:rsid w:val="00D84E10"/>
    <w:rsid w:val="00D85802"/>
    <w:rsid w:val="00D86763"/>
    <w:rsid w:val="00D87295"/>
    <w:rsid w:val="00D907A4"/>
    <w:rsid w:val="00D92562"/>
    <w:rsid w:val="00D942AF"/>
    <w:rsid w:val="00D94652"/>
    <w:rsid w:val="00D9595A"/>
    <w:rsid w:val="00D961AE"/>
    <w:rsid w:val="00D96F1C"/>
    <w:rsid w:val="00D9765A"/>
    <w:rsid w:val="00D97EFE"/>
    <w:rsid w:val="00DA013B"/>
    <w:rsid w:val="00DA093F"/>
    <w:rsid w:val="00DA10CE"/>
    <w:rsid w:val="00DA1458"/>
    <w:rsid w:val="00DA148E"/>
    <w:rsid w:val="00DA28E4"/>
    <w:rsid w:val="00DA404A"/>
    <w:rsid w:val="00DA4A83"/>
    <w:rsid w:val="00DA4DD0"/>
    <w:rsid w:val="00DA6205"/>
    <w:rsid w:val="00DB1105"/>
    <w:rsid w:val="00DB157C"/>
    <w:rsid w:val="00DB1C98"/>
    <w:rsid w:val="00DB40C3"/>
    <w:rsid w:val="00DB53B7"/>
    <w:rsid w:val="00DB5976"/>
    <w:rsid w:val="00DB5984"/>
    <w:rsid w:val="00DB5A6B"/>
    <w:rsid w:val="00DB5DFB"/>
    <w:rsid w:val="00DB7076"/>
    <w:rsid w:val="00DB79E8"/>
    <w:rsid w:val="00DC063E"/>
    <w:rsid w:val="00DC0702"/>
    <w:rsid w:val="00DC0B82"/>
    <w:rsid w:val="00DC1A33"/>
    <w:rsid w:val="00DC1A98"/>
    <w:rsid w:val="00DC2032"/>
    <w:rsid w:val="00DC2424"/>
    <w:rsid w:val="00DC2C8A"/>
    <w:rsid w:val="00DC2F9A"/>
    <w:rsid w:val="00DC3449"/>
    <w:rsid w:val="00DC36D1"/>
    <w:rsid w:val="00DC45B7"/>
    <w:rsid w:val="00DC4608"/>
    <w:rsid w:val="00DC5203"/>
    <w:rsid w:val="00DC6952"/>
    <w:rsid w:val="00DC6A76"/>
    <w:rsid w:val="00DC71E0"/>
    <w:rsid w:val="00DC7CF5"/>
    <w:rsid w:val="00DC7DBB"/>
    <w:rsid w:val="00DD0572"/>
    <w:rsid w:val="00DD0AE3"/>
    <w:rsid w:val="00DD102D"/>
    <w:rsid w:val="00DD165C"/>
    <w:rsid w:val="00DD17B0"/>
    <w:rsid w:val="00DD2575"/>
    <w:rsid w:val="00DD2809"/>
    <w:rsid w:val="00DD2880"/>
    <w:rsid w:val="00DD414D"/>
    <w:rsid w:val="00DD4C85"/>
    <w:rsid w:val="00DD504A"/>
    <w:rsid w:val="00DD58E2"/>
    <w:rsid w:val="00DD7331"/>
    <w:rsid w:val="00DE1439"/>
    <w:rsid w:val="00DE1824"/>
    <w:rsid w:val="00DE2109"/>
    <w:rsid w:val="00DE2508"/>
    <w:rsid w:val="00DE27D9"/>
    <w:rsid w:val="00DE29E6"/>
    <w:rsid w:val="00DE388B"/>
    <w:rsid w:val="00DE3958"/>
    <w:rsid w:val="00DE39A5"/>
    <w:rsid w:val="00DE3ED4"/>
    <w:rsid w:val="00DE432F"/>
    <w:rsid w:val="00DE4934"/>
    <w:rsid w:val="00DE4AE1"/>
    <w:rsid w:val="00DE4DA9"/>
    <w:rsid w:val="00DE6FCD"/>
    <w:rsid w:val="00DE7DF2"/>
    <w:rsid w:val="00DE7F31"/>
    <w:rsid w:val="00DF071B"/>
    <w:rsid w:val="00DF07EA"/>
    <w:rsid w:val="00DF0996"/>
    <w:rsid w:val="00DF1064"/>
    <w:rsid w:val="00DF1450"/>
    <w:rsid w:val="00DF1582"/>
    <w:rsid w:val="00DF1B2E"/>
    <w:rsid w:val="00DF2D64"/>
    <w:rsid w:val="00DF2EB8"/>
    <w:rsid w:val="00DF2FCB"/>
    <w:rsid w:val="00DF325D"/>
    <w:rsid w:val="00DF5120"/>
    <w:rsid w:val="00DF5339"/>
    <w:rsid w:val="00DF59C0"/>
    <w:rsid w:val="00DF66A1"/>
    <w:rsid w:val="00DF6CC4"/>
    <w:rsid w:val="00DF6EAB"/>
    <w:rsid w:val="00DF6FD3"/>
    <w:rsid w:val="00DF7604"/>
    <w:rsid w:val="00E0018E"/>
    <w:rsid w:val="00E013B4"/>
    <w:rsid w:val="00E01887"/>
    <w:rsid w:val="00E019E5"/>
    <w:rsid w:val="00E01C0A"/>
    <w:rsid w:val="00E02D8B"/>
    <w:rsid w:val="00E03475"/>
    <w:rsid w:val="00E03E17"/>
    <w:rsid w:val="00E03EFB"/>
    <w:rsid w:val="00E05B9A"/>
    <w:rsid w:val="00E1011F"/>
    <w:rsid w:val="00E10558"/>
    <w:rsid w:val="00E124C9"/>
    <w:rsid w:val="00E12BE8"/>
    <w:rsid w:val="00E12C87"/>
    <w:rsid w:val="00E131CF"/>
    <w:rsid w:val="00E132BE"/>
    <w:rsid w:val="00E146E8"/>
    <w:rsid w:val="00E177CB"/>
    <w:rsid w:val="00E203CD"/>
    <w:rsid w:val="00E20EE7"/>
    <w:rsid w:val="00E20F25"/>
    <w:rsid w:val="00E216CD"/>
    <w:rsid w:val="00E21D94"/>
    <w:rsid w:val="00E22D23"/>
    <w:rsid w:val="00E241FE"/>
    <w:rsid w:val="00E25768"/>
    <w:rsid w:val="00E258CA"/>
    <w:rsid w:val="00E27D08"/>
    <w:rsid w:val="00E30446"/>
    <w:rsid w:val="00E31931"/>
    <w:rsid w:val="00E3274E"/>
    <w:rsid w:val="00E3276E"/>
    <w:rsid w:val="00E34859"/>
    <w:rsid w:val="00E34B59"/>
    <w:rsid w:val="00E365D0"/>
    <w:rsid w:val="00E36751"/>
    <w:rsid w:val="00E37FB0"/>
    <w:rsid w:val="00E404B8"/>
    <w:rsid w:val="00E40BE3"/>
    <w:rsid w:val="00E40E0E"/>
    <w:rsid w:val="00E40FF4"/>
    <w:rsid w:val="00E410F0"/>
    <w:rsid w:val="00E417C1"/>
    <w:rsid w:val="00E41D6B"/>
    <w:rsid w:val="00E434E3"/>
    <w:rsid w:val="00E45017"/>
    <w:rsid w:val="00E45E6A"/>
    <w:rsid w:val="00E4713F"/>
    <w:rsid w:val="00E4725A"/>
    <w:rsid w:val="00E475CA"/>
    <w:rsid w:val="00E50FF9"/>
    <w:rsid w:val="00E51012"/>
    <w:rsid w:val="00E510D8"/>
    <w:rsid w:val="00E5163E"/>
    <w:rsid w:val="00E51D17"/>
    <w:rsid w:val="00E52651"/>
    <w:rsid w:val="00E54F7D"/>
    <w:rsid w:val="00E55B4E"/>
    <w:rsid w:val="00E56546"/>
    <w:rsid w:val="00E5738B"/>
    <w:rsid w:val="00E579E9"/>
    <w:rsid w:val="00E606E0"/>
    <w:rsid w:val="00E60729"/>
    <w:rsid w:val="00E61FBB"/>
    <w:rsid w:val="00E63121"/>
    <w:rsid w:val="00E631BE"/>
    <w:rsid w:val="00E6477B"/>
    <w:rsid w:val="00E66546"/>
    <w:rsid w:val="00E66BCF"/>
    <w:rsid w:val="00E66DAA"/>
    <w:rsid w:val="00E66F40"/>
    <w:rsid w:val="00E671E6"/>
    <w:rsid w:val="00E6760A"/>
    <w:rsid w:val="00E70904"/>
    <w:rsid w:val="00E7180E"/>
    <w:rsid w:val="00E71A15"/>
    <w:rsid w:val="00E71DC2"/>
    <w:rsid w:val="00E72B2E"/>
    <w:rsid w:val="00E734F4"/>
    <w:rsid w:val="00E73D4A"/>
    <w:rsid w:val="00E74C65"/>
    <w:rsid w:val="00E74DFA"/>
    <w:rsid w:val="00E74E8D"/>
    <w:rsid w:val="00E74F2F"/>
    <w:rsid w:val="00E75E4B"/>
    <w:rsid w:val="00E76735"/>
    <w:rsid w:val="00E76D90"/>
    <w:rsid w:val="00E80241"/>
    <w:rsid w:val="00E803FC"/>
    <w:rsid w:val="00E80689"/>
    <w:rsid w:val="00E80D5C"/>
    <w:rsid w:val="00E80D79"/>
    <w:rsid w:val="00E81465"/>
    <w:rsid w:val="00E818AF"/>
    <w:rsid w:val="00E82168"/>
    <w:rsid w:val="00E82362"/>
    <w:rsid w:val="00E82436"/>
    <w:rsid w:val="00E827FF"/>
    <w:rsid w:val="00E82B5F"/>
    <w:rsid w:val="00E82D1C"/>
    <w:rsid w:val="00E848BC"/>
    <w:rsid w:val="00E85402"/>
    <w:rsid w:val="00E85A18"/>
    <w:rsid w:val="00E86F77"/>
    <w:rsid w:val="00E87D51"/>
    <w:rsid w:val="00E90067"/>
    <w:rsid w:val="00E90C19"/>
    <w:rsid w:val="00E90DA9"/>
    <w:rsid w:val="00E90DFD"/>
    <w:rsid w:val="00E910FF"/>
    <w:rsid w:val="00E92581"/>
    <w:rsid w:val="00E93BEB"/>
    <w:rsid w:val="00E93EE0"/>
    <w:rsid w:val="00E944BF"/>
    <w:rsid w:val="00E947CF"/>
    <w:rsid w:val="00E95523"/>
    <w:rsid w:val="00E95647"/>
    <w:rsid w:val="00E9738A"/>
    <w:rsid w:val="00E9741A"/>
    <w:rsid w:val="00E97421"/>
    <w:rsid w:val="00E978EC"/>
    <w:rsid w:val="00E97DF9"/>
    <w:rsid w:val="00EA0067"/>
    <w:rsid w:val="00EA0C18"/>
    <w:rsid w:val="00EA0F10"/>
    <w:rsid w:val="00EA1915"/>
    <w:rsid w:val="00EA1E5E"/>
    <w:rsid w:val="00EA2062"/>
    <w:rsid w:val="00EA25F9"/>
    <w:rsid w:val="00EA2DA9"/>
    <w:rsid w:val="00EA3EAA"/>
    <w:rsid w:val="00EA5047"/>
    <w:rsid w:val="00EA6A61"/>
    <w:rsid w:val="00EB1711"/>
    <w:rsid w:val="00EB2EB4"/>
    <w:rsid w:val="00EB2F92"/>
    <w:rsid w:val="00EB368E"/>
    <w:rsid w:val="00EB3941"/>
    <w:rsid w:val="00EB47CE"/>
    <w:rsid w:val="00EB4A26"/>
    <w:rsid w:val="00EB5276"/>
    <w:rsid w:val="00EB65E2"/>
    <w:rsid w:val="00EB67F5"/>
    <w:rsid w:val="00EB78BB"/>
    <w:rsid w:val="00EC07DC"/>
    <w:rsid w:val="00EC0D85"/>
    <w:rsid w:val="00EC16EB"/>
    <w:rsid w:val="00EC1AAC"/>
    <w:rsid w:val="00EC22BE"/>
    <w:rsid w:val="00EC263D"/>
    <w:rsid w:val="00EC2C6B"/>
    <w:rsid w:val="00EC470A"/>
    <w:rsid w:val="00EC4CF6"/>
    <w:rsid w:val="00EC57B8"/>
    <w:rsid w:val="00EC60BD"/>
    <w:rsid w:val="00EC6C37"/>
    <w:rsid w:val="00EC71C2"/>
    <w:rsid w:val="00EC746A"/>
    <w:rsid w:val="00ED046F"/>
    <w:rsid w:val="00ED0B38"/>
    <w:rsid w:val="00ED0B8C"/>
    <w:rsid w:val="00ED0C40"/>
    <w:rsid w:val="00ED1697"/>
    <w:rsid w:val="00ED1792"/>
    <w:rsid w:val="00ED2532"/>
    <w:rsid w:val="00ED2A0B"/>
    <w:rsid w:val="00ED321C"/>
    <w:rsid w:val="00ED44CF"/>
    <w:rsid w:val="00ED518D"/>
    <w:rsid w:val="00ED66B2"/>
    <w:rsid w:val="00ED6D6E"/>
    <w:rsid w:val="00EE156E"/>
    <w:rsid w:val="00EE1658"/>
    <w:rsid w:val="00EE1AF3"/>
    <w:rsid w:val="00EE22C8"/>
    <w:rsid w:val="00EE2534"/>
    <w:rsid w:val="00EE263B"/>
    <w:rsid w:val="00EE2B8B"/>
    <w:rsid w:val="00EE2C28"/>
    <w:rsid w:val="00EE2E75"/>
    <w:rsid w:val="00EE33E1"/>
    <w:rsid w:val="00EE480D"/>
    <w:rsid w:val="00EE516C"/>
    <w:rsid w:val="00EE5675"/>
    <w:rsid w:val="00EE60BA"/>
    <w:rsid w:val="00EE677E"/>
    <w:rsid w:val="00EE7D51"/>
    <w:rsid w:val="00EF04E9"/>
    <w:rsid w:val="00EF0ACC"/>
    <w:rsid w:val="00EF0BB8"/>
    <w:rsid w:val="00EF2233"/>
    <w:rsid w:val="00EF2BCE"/>
    <w:rsid w:val="00EF2DE6"/>
    <w:rsid w:val="00EF3D43"/>
    <w:rsid w:val="00EF3D6E"/>
    <w:rsid w:val="00EF4095"/>
    <w:rsid w:val="00EF44BE"/>
    <w:rsid w:val="00EF5EB3"/>
    <w:rsid w:val="00EF6082"/>
    <w:rsid w:val="00EF6381"/>
    <w:rsid w:val="00EF63A5"/>
    <w:rsid w:val="00EF6734"/>
    <w:rsid w:val="00EF7263"/>
    <w:rsid w:val="00EF7E79"/>
    <w:rsid w:val="00EF7ED4"/>
    <w:rsid w:val="00F01A3B"/>
    <w:rsid w:val="00F01FE5"/>
    <w:rsid w:val="00F03152"/>
    <w:rsid w:val="00F03428"/>
    <w:rsid w:val="00F03629"/>
    <w:rsid w:val="00F039E6"/>
    <w:rsid w:val="00F04106"/>
    <w:rsid w:val="00F05FE0"/>
    <w:rsid w:val="00F06AC9"/>
    <w:rsid w:val="00F073F0"/>
    <w:rsid w:val="00F073FD"/>
    <w:rsid w:val="00F0786D"/>
    <w:rsid w:val="00F1008D"/>
    <w:rsid w:val="00F1101E"/>
    <w:rsid w:val="00F11D8D"/>
    <w:rsid w:val="00F1379F"/>
    <w:rsid w:val="00F13C01"/>
    <w:rsid w:val="00F14944"/>
    <w:rsid w:val="00F15554"/>
    <w:rsid w:val="00F167F4"/>
    <w:rsid w:val="00F16C3F"/>
    <w:rsid w:val="00F17D0C"/>
    <w:rsid w:val="00F21022"/>
    <w:rsid w:val="00F219D5"/>
    <w:rsid w:val="00F22CA9"/>
    <w:rsid w:val="00F23CAA"/>
    <w:rsid w:val="00F2451A"/>
    <w:rsid w:val="00F24718"/>
    <w:rsid w:val="00F24C22"/>
    <w:rsid w:val="00F25809"/>
    <w:rsid w:val="00F25F8D"/>
    <w:rsid w:val="00F262C6"/>
    <w:rsid w:val="00F27FA1"/>
    <w:rsid w:val="00F30426"/>
    <w:rsid w:val="00F30B80"/>
    <w:rsid w:val="00F31D40"/>
    <w:rsid w:val="00F33832"/>
    <w:rsid w:val="00F33C70"/>
    <w:rsid w:val="00F34316"/>
    <w:rsid w:val="00F34425"/>
    <w:rsid w:val="00F35CE7"/>
    <w:rsid w:val="00F35F74"/>
    <w:rsid w:val="00F360D0"/>
    <w:rsid w:val="00F365F6"/>
    <w:rsid w:val="00F37562"/>
    <w:rsid w:val="00F37CCB"/>
    <w:rsid w:val="00F37E83"/>
    <w:rsid w:val="00F40ADF"/>
    <w:rsid w:val="00F412A2"/>
    <w:rsid w:val="00F420B3"/>
    <w:rsid w:val="00F425BB"/>
    <w:rsid w:val="00F43367"/>
    <w:rsid w:val="00F440FA"/>
    <w:rsid w:val="00F44D85"/>
    <w:rsid w:val="00F46715"/>
    <w:rsid w:val="00F502CD"/>
    <w:rsid w:val="00F50D02"/>
    <w:rsid w:val="00F50FFC"/>
    <w:rsid w:val="00F51265"/>
    <w:rsid w:val="00F516E2"/>
    <w:rsid w:val="00F5211E"/>
    <w:rsid w:val="00F52D72"/>
    <w:rsid w:val="00F533FA"/>
    <w:rsid w:val="00F53B0E"/>
    <w:rsid w:val="00F552A3"/>
    <w:rsid w:val="00F554F5"/>
    <w:rsid w:val="00F55F5F"/>
    <w:rsid w:val="00F5747B"/>
    <w:rsid w:val="00F5766C"/>
    <w:rsid w:val="00F578B6"/>
    <w:rsid w:val="00F579FD"/>
    <w:rsid w:val="00F62B22"/>
    <w:rsid w:val="00F638FF"/>
    <w:rsid w:val="00F6496C"/>
    <w:rsid w:val="00F64A70"/>
    <w:rsid w:val="00F656A9"/>
    <w:rsid w:val="00F65997"/>
    <w:rsid w:val="00F668E8"/>
    <w:rsid w:val="00F7090C"/>
    <w:rsid w:val="00F70EC8"/>
    <w:rsid w:val="00F7185B"/>
    <w:rsid w:val="00F7221E"/>
    <w:rsid w:val="00F722EF"/>
    <w:rsid w:val="00F7240E"/>
    <w:rsid w:val="00F73054"/>
    <w:rsid w:val="00F73893"/>
    <w:rsid w:val="00F73EB2"/>
    <w:rsid w:val="00F74418"/>
    <w:rsid w:val="00F75547"/>
    <w:rsid w:val="00F76050"/>
    <w:rsid w:val="00F76A29"/>
    <w:rsid w:val="00F809CF"/>
    <w:rsid w:val="00F8195D"/>
    <w:rsid w:val="00F826A7"/>
    <w:rsid w:val="00F830F4"/>
    <w:rsid w:val="00F838CD"/>
    <w:rsid w:val="00F83D71"/>
    <w:rsid w:val="00F8449B"/>
    <w:rsid w:val="00F851B2"/>
    <w:rsid w:val="00F90171"/>
    <w:rsid w:val="00F909CE"/>
    <w:rsid w:val="00F9424F"/>
    <w:rsid w:val="00F94651"/>
    <w:rsid w:val="00F9564B"/>
    <w:rsid w:val="00F95B3B"/>
    <w:rsid w:val="00F95EEF"/>
    <w:rsid w:val="00F96F60"/>
    <w:rsid w:val="00FA09E8"/>
    <w:rsid w:val="00FA0EC5"/>
    <w:rsid w:val="00FA1504"/>
    <w:rsid w:val="00FA1BB3"/>
    <w:rsid w:val="00FA2041"/>
    <w:rsid w:val="00FA239F"/>
    <w:rsid w:val="00FA2C53"/>
    <w:rsid w:val="00FA2C70"/>
    <w:rsid w:val="00FA3B5E"/>
    <w:rsid w:val="00FA414B"/>
    <w:rsid w:val="00FA48E4"/>
    <w:rsid w:val="00FA6A31"/>
    <w:rsid w:val="00FA7229"/>
    <w:rsid w:val="00FA7E83"/>
    <w:rsid w:val="00FB0889"/>
    <w:rsid w:val="00FB1154"/>
    <w:rsid w:val="00FB14F4"/>
    <w:rsid w:val="00FB203D"/>
    <w:rsid w:val="00FB20BA"/>
    <w:rsid w:val="00FB2353"/>
    <w:rsid w:val="00FB32B3"/>
    <w:rsid w:val="00FB3418"/>
    <w:rsid w:val="00FB4CE8"/>
    <w:rsid w:val="00FB4E2E"/>
    <w:rsid w:val="00FB5616"/>
    <w:rsid w:val="00FB571A"/>
    <w:rsid w:val="00FB588F"/>
    <w:rsid w:val="00FB6B62"/>
    <w:rsid w:val="00FB7F66"/>
    <w:rsid w:val="00FC005C"/>
    <w:rsid w:val="00FC07F3"/>
    <w:rsid w:val="00FC0816"/>
    <w:rsid w:val="00FC09F1"/>
    <w:rsid w:val="00FC0C25"/>
    <w:rsid w:val="00FC1227"/>
    <w:rsid w:val="00FC14F9"/>
    <w:rsid w:val="00FC15CE"/>
    <w:rsid w:val="00FC173F"/>
    <w:rsid w:val="00FC1A14"/>
    <w:rsid w:val="00FC249A"/>
    <w:rsid w:val="00FC2C58"/>
    <w:rsid w:val="00FC3280"/>
    <w:rsid w:val="00FC416F"/>
    <w:rsid w:val="00FC44D5"/>
    <w:rsid w:val="00FC4BFC"/>
    <w:rsid w:val="00FC4D3A"/>
    <w:rsid w:val="00FC5BA1"/>
    <w:rsid w:val="00FC67C7"/>
    <w:rsid w:val="00FC6E2A"/>
    <w:rsid w:val="00FC6E96"/>
    <w:rsid w:val="00FC6FAA"/>
    <w:rsid w:val="00FD0045"/>
    <w:rsid w:val="00FD0FBE"/>
    <w:rsid w:val="00FD1072"/>
    <w:rsid w:val="00FD11EB"/>
    <w:rsid w:val="00FD1659"/>
    <w:rsid w:val="00FD1920"/>
    <w:rsid w:val="00FD25D9"/>
    <w:rsid w:val="00FD30A5"/>
    <w:rsid w:val="00FD3A3C"/>
    <w:rsid w:val="00FD3EB3"/>
    <w:rsid w:val="00FD41B7"/>
    <w:rsid w:val="00FD4E34"/>
    <w:rsid w:val="00FD525E"/>
    <w:rsid w:val="00FD555E"/>
    <w:rsid w:val="00FD62DB"/>
    <w:rsid w:val="00FD6427"/>
    <w:rsid w:val="00FD730B"/>
    <w:rsid w:val="00FE11F3"/>
    <w:rsid w:val="00FE1380"/>
    <w:rsid w:val="00FE13FC"/>
    <w:rsid w:val="00FE241A"/>
    <w:rsid w:val="00FE251A"/>
    <w:rsid w:val="00FE25F9"/>
    <w:rsid w:val="00FE291F"/>
    <w:rsid w:val="00FE392B"/>
    <w:rsid w:val="00FE398C"/>
    <w:rsid w:val="00FE3A69"/>
    <w:rsid w:val="00FE3E9E"/>
    <w:rsid w:val="00FE47FF"/>
    <w:rsid w:val="00FE4A6B"/>
    <w:rsid w:val="00FE4E77"/>
    <w:rsid w:val="00FE520F"/>
    <w:rsid w:val="00FE593C"/>
    <w:rsid w:val="00FE5AC9"/>
    <w:rsid w:val="00FE5DB4"/>
    <w:rsid w:val="00FE63D2"/>
    <w:rsid w:val="00FE7F14"/>
    <w:rsid w:val="00FF1BCB"/>
    <w:rsid w:val="00FF31A9"/>
    <w:rsid w:val="00FF3210"/>
    <w:rsid w:val="00FF34D7"/>
    <w:rsid w:val="00FF35D5"/>
    <w:rsid w:val="00FF4413"/>
    <w:rsid w:val="00FF4A0B"/>
    <w:rsid w:val="00FF4CB2"/>
    <w:rsid w:val="00FF4FDB"/>
    <w:rsid w:val="00FF524D"/>
    <w:rsid w:val="00FF5329"/>
    <w:rsid w:val="00FF55FC"/>
    <w:rsid w:val="00FF6E2A"/>
    <w:rsid w:val="00FF7225"/>
    <w:rsid w:val="00FF769A"/>
    <w:rsid w:val="0195020E"/>
    <w:rsid w:val="01D152A8"/>
    <w:rsid w:val="02287BCC"/>
    <w:rsid w:val="02373978"/>
    <w:rsid w:val="0242108C"/>
    <w:rsid w:val="02D9037D"/>
    <w:rsid w:val="036C67AF"/>
    <w:rsid w:val="037F558A"/>
    <w:rsid w:val="038D3EA2"/>
    <w:rsid w:val="03D64DF8"/>
    <w:rsid w:val="03D920FE"/>
    <w:rsid w:val="03E54152"/>
    <w:rsid w:val="03F7663C"/>
    <w:rsid w:val="044C10F1"/>
    <w:rsid w:val="04532D44"/>
    <w:rsid w:val="049614D5"/>
    <w:rsid w:val="056A3A4A"/>
    <w:rsid w:val="056F08F3"/>
    <w:rsid w:val="05DD5554"/>
    <w:rsid w:val="05EC59DB"/>
    <w:rsid w:val="068428E9"/>
    <w:rsid w:val="06A43D37"/>
    <w:rsid w:val="06CB6090"/>
    <w:rsid w:val="073C6CB6"/>
    <w:rsid w:val="079515DD"/>
    <w:rsid w:val="07A80859"/>
    <w:rsid w:val="095E38C5"/>
    <w:rsid w:val="099311DA"/>
    <w:rsid w:val="0A116758"/>
    <w:rsid w:val="0AAA0BDE"/>
    <w:rsid w:val="0AFF3D6C"/>
    <w:rsid w:val="0B11202D"/>
    <w:rsid w:val="0B4170F1"/>
    <w:rsid w:val="0C023E7A"/>
    <w:rsid w:val="0C2C08AC"/>
    <w:rsid w:val="0D0F0A4A"/>
    <w:rsid w:val="0D2F7FD6"/>
    <w:rsid w:val="0D9D1FC6"/>
    <w:rsid w:val="0ECC1460"/>
    <w:rsid w:val="0ECD33EB"/>
    <w:rsid w:val="0EF66370"/>
    <w:rsid w:val="0F04543C"/>
    <w:rsid w:val="0F072565"/>
    <w:rsid w:val="0FA330AF"/>
    <w:rsid w:val="105168FE"/>
    <w:rsid w:val="10765998"/>
    <w:rsid w:val="10A267EA"/>
    <w:rsid w:val="11A94390"/>
    <w:rsid w:val="12725762"/>
    <w:rsid w:val="12CD3299"/>
    <w:rsid w:val="1319019E"/>
    <w:rsid w:val="135D5CCB"/>
    <w:rsid w:val="13745854"/>
    <w:rsid w:val="13DA0D00"/>
    <w:rsid w:val="14343A6F"/>
    <w:rsid w:val="143B3DD6"/>
    <w:rsid w:val="14D60809"/>
    <w:rsid w:val="1518514A"/>
    <w:rsid w:val="15875C32"/>
    <w:rsid w:val="15C2768E"/>
    <w:rsid w:val="15D8139B"/>
    <w:rsid w:val="15F16C72"/>
    <w:rsid w:val="160D7302"/>
    <w:rsid w:val="16395427"/>
    <w:rsid w:val="166E74BB"/>
    <w:rsid w:val="168B1A72"/>
    <w:rsid w:val="17141A67"/>
    <w:rsid w:val="17464643"/>
    <w:rsid w:val="17B07CCC"/>
    <w:rsid w:val="18115FA7"/>
    <w:rsid w:val="1832458F"/>
    <w:rsid w:val="186407CC"/>
    <w:rsid w:val="196C7FA5"/>
    <w:rsid w:val="1A0556FA"/>
    <w:rsid w:val="1A214249"/>
    <w:rsid w:val="1A407338"/>
    <w:rsid w:val="1A791C7D"/>
    <w:rsid w:val="1B6814CF"/>
    <w:rsid w:val="1B6E1CA3"/>
    <w:rsid w:val="1B76354C"/>
    <w:rsid w:val="1BB40FA4"/>
    <w:rsid w:val="1BBD1402"/>
    <w:rsid w:val="1BC44CFE"/>
    <w:rsid w:val="1C017BD3"/>
    <w:rsid w:val="1C8F5A42"/>
    <w:rsid w:val="1C9403FB"/>
    <w:rsid w:val="1CAE4AC5"/>
    <w:rsid w:val="1D7278D3"/>
    <w:rsid w:val="1D7C72DD"/>
    <w:rsid w:val="1DBF24DA"/>
    <w:rsid w:val="1E40709C"/>
    <w:rsid w:val="1E511630"/>
    <w:rsid w:val="1F08518B"/>
    <w:rsid w:val="1F134CFA"/>
    <w:rsid w:val="1F1F737F"/>
    <w:rsid w:val="1FDC36B8"/>
    <w:rsid w:val="20226736"/>
    <w:rsid w:val="210448FA"/>
    <w:rsid w:val="22B3482A"/>
    <w:rsid w:val="234E2613"/>
    <w:rsid w:val="23A23A33"/>
    <w:rsid w:val="242332EA"/>
    <w:rsid w:val="243E6375"/>
    <w:rsid w:val="24EB331E"/>
    <w:rsid w:val="254F6E1B"/>
    <w:rsid w:val="25BE54ED"/>
    <w:rsid w:val="25C50DDC"/>
    <w:rsid w:val="25DF6638"/>
    <w:rsid w:val="271D1953"/>
    <w:rsid w:val="27677D17"/>
    <w:rsid w:val="27CF71D4"/>
    <w:rsid w:val="280E304B"/>
    <w:rsid w:val="285707EE"/>
    <w:rsid w:val="28687E65"/>
    <w:rsid w:val="28941EA0"/>
    <w:rsid w:val="28A31303"/>
    <w:rsid w:val="29197BC1"/>
    <w:rsid w:val="299C1546"/>
    <w:rsid w:val="2A3A53BB"/>
    <w:rsid w:val="2B3B1E6A"/>
    <w:rsid w:val="2BAD44D0"/>
    <w:rsid w:val="2BCB686C"/>
    <w:rsid w:val="2BE03161"/>
    <w:rsid w:val="2C3A7311"/>
    <w:rsid w:val="2CE35D0C"/>
    <w:rsid w:val="2DFA155F"/>
    <w:rsid w:val="2E935510"/>
    <w:rsid w:val="2F383C4B"/>
    <w:rsid w:val="2F6D62A0"/>
    <w:rsid w:val="2F9C03F4"/>
    <w:rsid w:val="2FE51D9B"/>
    <w:rsid w:val="30126C39"/>
    <w:rsid w:val="30430644"/>
    <w:rsid w:val="308E447E"/>
    <w:rsid w:val="313F54DB"/>
    <w:rsid w:val="31C3379C"/>
    <w:rsid w:val="31F12E94"/>
    <w:rsid w:val="320209E2"/>
    <w:rsid w:val="323A4BDB"/>
    <w:rsid w:val="325A372A"/>
    <w:rsid w:val="334B67CA"/>
    <w:rsid w:val="33513ACD"/>
    <w:rsid w:val="33865643"/>
    <w:rsid w:val="33E81E5A"/>
    <w:rsid w:val="3491604D"/>
    <w:rsid w:val="35022F66"/>
    <w:rsid w:val="352262AE"/>
    <w:rsid w:val="3566572C"/>
    <w:rsid w:val="357C6CFE"/>
    <w:rsid w:val="35AF2938"/>
    <w:rsid w:val="36363ACB"/>
    <w:rsid w:val="36664A33"/>
    <w:rsid w:val="366C60E6"/>
    <w:rsid w:val="373D3C5A"/>
    <w:rsid w:val="388568C9"/>
    <w:rsid w:val="38A30475"/>
    <w:rsid w:val="38BD38B5"/>
    <w:rsid w:val="38E7709F"/>
    <w:rsid w:val="397639A2"/>
    <w:rsid w:val="397E7B9C"/>
    <w:rsid w:val="398F4B8E"/>
    <w:rsid w:val="39E97F5D"/>
    <w:rsid w:val="39EE7A9E"/>
    <w:rsid w:val="3A037A9A"/>
    <w:rsid w:val="3A98265A"/>
    <w:rsid w:val="3AFA0718"/>
    <w:rsid w:val="3BA10547"/>
    <w:rsid w:val="3BA573AC"/>
    <w:rsid w:val="3C014827"/>
    <w:rsid w:val="3C154BC4"/>
    <w:rsid w:val="3C7A6A26"/>
    <w:rsid w:val="3D6E0485"/>
    <w:rsid w:val="3DFA2EB5"/>
    <w:rsid w:val="3E82613A"/>
    <w:rsid w:val="3EE11AAE"/>
    <w:rsid w:val="3F0F760E"/>
    <w:rsid w:val="3F33040C"/>
    <w:rsid w:val="40700F21"/>
    <w:rsid w:val="407A2962"/>
    <w:rsid w:val="413722F8"/>
    <w:rsid w:val="41C05B83"/>
    <w:rsid w:val="4257505E"/>
    <w:rsid w:val="425828A0"/>
    <w:rsid w:val="4292301A"/>
    <w:rsid w:val="429C09DF"/>
    <w:rsid w:val="43193488"/>
    <w:rsid w:val="43686B13"/>
    <w:rsid w:val="437B1AAF"/>
    <w:rsid w:val="43993170"/>
    <w:rsid w:val="43EA54FC"/>
    <w:rsid w:val="44916383"/>
    <w:rsid w:val="44995516"/>
    <w:rsid w:val="449C423B"/>
    <w:rsid w:val="45126D36"/>
    <w:rsid w:val="45E2720A"/>
    <w:rsid w:val="45E501B6"/>
    <w:rsid w:val="45F51D14"/>
    <w:rsid w:val="46734EE8"/>
    <w:rsid w:val="46FA5CD4"/>
    <w:rsid w:val="47077574"/>
    <w:rsid w:val="47376F28"/>
    <w:rsid w:val="47405714"/>
    <w:rsid w:val="47714AD7"/>
    <w:rsid w:val="47D7484D"/>
    <w:rsid w:val="48DC0859"/>
    <w:rsid w:val="48FF49F7"/>
    <w:rsid w:val="49415EA6"/>
    <w:rsid w:val="495E33C9"/>
    <w:rsid w:val="49AE7A41"/>
    <w:rsid w:val="4A380FA0"/>
    <w:rsid w:val="4A4F6337"/>
    <w:rsid w:val="4AE53655"/>
    <w:rsid w:val="4AF01898"/>
    <w:rsid w:val="4B46773A"/>
    <w:rsid w:val="4B7047B7"/>
    <w:rsid w:val="4B796708"/>
    <w:rsid w:val="4B8967B2"/>
    <w:rsid w:val="4C164854"/>
    <w:rsid w:val="4C2F01CE"/>
    <w:rsid w:val="4CEE1091"/>
    <w:rsid w:val="4D267D15"/>
    <w:rsid w:val="4D29404E"/>
    <w:rsid w:val="4D454FCB"/>
    <w:rsid w:val="4D471F66"/>
    <w:rsid w:val="4D5F6268"/>
    <w:rsid w:val="4DC20CBA"/>
    <w:rsid w:val="4E336F5A"/>
    <w:rsid w:val="4E3D4FE3"/>
    <w:rsid w:val="4EB7142B"/>
    <w:rsid w:val="4EC20497"/>
    <w:rsid w:val="4F3D69A7"/>
    <w:rsid w:val="50482CDD"/>
    <w:rsid w:val="50B46B92"/>
    <w:rsid w:val="5116790E"/>
    <w:rsid w:val="51452941"/>
    <w:rsid w:val="51E5607B"/>
    <w:rsid w:val="52296040"/>
    <w:rsid w:val="52451AB6"/>
    <w:rsid w:val="52A64F62"/>
    <w:rsid w:val="534D6F8E"/>
    <w:rsid w:val="5373116E"/>
    <w:rsid w:val="53890B0C"/>
    <w:rsid w:val="54A11B44"/>
    <w:rsid w:val="54B532AC"/>
    <w:rsid w:val="54D32DB3"/>
    <w:rsid w:val="5503558F"/>
    <w:rsid w:val="550474CD"/>
    <w:rsid w:val="55A234C5"/>
    <w:rsid w:val="55C42F05"/>
    <w:rsid w:val="561D19DF"/>
    <w:rsid w:val="56260E9F"/>
    <w:rsid w:val="562A046D"/>
    <w:rsid w:val="562C68C9"/>
    <w:rsid w:val="5648204C"/>
    <w:rsid w:val="567F2B50"/>
    <w:rsid w:val="57716BA1"/>
    <w:rsid w:val="57A52D2A"/>
    <w:rsid w:val="58754E0D"/>
    <w:rsid w:val="58B33CCF"/>
    <w:rsid w:val="58C87B41"/>
    <w:rsid w:val="58DB7FD1"/>
    <w:rsid w:val="59955C06"/>
    <w:rsid w:val="59A73A9A"/>
    <w:rsid w:val="59AD1771"/>
    <w:rsid w:val="5A5F1B67"/>
    <w:rsid w:val="5ABD01A6"/>
    <w:rsid w:val="5AF94062"/>
    <w:rsid w:val="5B0D4BE1"/>
    <w:rsid w:val="5C9373FE"/>
    <w:rsid w:val="5CCB7FC6"/>
    <w:rsid w:val="5D2B2082"/>
    <w:rsid w:val="5D2E4FE8"/>
    <w:rsid w:val="5D762388"/>
    <w:rsid w:val="5D9E74E7"/>
    <w:rsid w:val="5E0745F3"/>
    <w:rsid w:val="5F3A715E"/>
    <w:rsid w:val="5F4A37BA"/>
    <w:rsid w:val="5F506981"/>
    <w:rsid w:val="5F8A4F9C"/>
    <w:rsid w:val="5FA635FB"/>
    <w:rsid w:val="5FCC24AC"/>
    <w:rsid w:val="603D35F5"/>
    <w:rsid w:val="60A81662"/>
    <w:rsid w:val="6115066F"/>
    <w:rsid w:val="61C15B42"/>
    <w:rsid w:val="62570456"/>
    <w:rsid w:val="62A74283"/>
    <w:rsid w:val="62CD2097"/>
    <w:rsid w:val="62DB0C58"/>
    <w:rsid w:val="63456FA8"/>
    <w:rsid w:val="63AA1BD6"/>
    <w:rsid w:val="642B2EE6"/>
    <w:rsid w:val="64D15E6F"/>
    <w:rsid w:val="64DB6CED"/>
    <w:rsid w:val="658B24C1"/>
    <w:rsid w:val="65EE2A50"/>
    <w:rsid w:val="670E6301"/>
    <w:rsid w:val="67812B31"/>
    <w:rsid w:val="68090576"/>
    <w:rsid w:val="683E436F"/>
    <w:rsid w:val="68507647"/>
    <w:rsid w:val="68810274"/>
    <w:rsid w:val="68B8544A"/>
    <w:rsid w:val="68E70119"/>
    <w:rsid w:val="68F6059A"/>
    <w:rsid w:val="68F627AB"/>
    <w:rsid w:val="68FB040C"/>
    <w:rsid w:val="68FE744E"/>
    <w:rsid w:val="691727E7"/>
    <w:rsid w:val="69AD796E"/>
    <w:rsid w:val="69F93E11"/>
    <w:rsid w:val="6A1872F5"/>
    <w:rsid w:val="6A1F27FA"/>
    <w:rsid w:val="6AD95A7D"/>
    <w:rsid w:val="6B3B6F49"/>
    <w:rsid w:val="6B5C1C19"/>
    <w:rsid w:val="6B9D4CFC"/>
    <w:rsid w:val="6BDA4A9D"/>
    <w:rsid w:val="6BFD47C6"/>
    <w:rsid w:val="6C0F7459"/>
    <w:rsid w:val="6C9854C4"/>
    <w:rsid w:val="6CCF2F9A"/>
    <w:rsid w:val="6CE03B4D"/>
    <w:rsid w:val="6CF00E71"/>
    <w:rsid w:val="6CF71B02"/>
    <w:rsid w:val="6D2342E3"/>
    <w:rsid w:val="6D330F59"/>
    <w:rsid w:val="6DE37BAC"/>
    <w:rsid w:val="6F2319BD"/>
    <w:rsid w:val="6F56311B"/>
    <w:rsid w:val="6F5E1A1C"/>
    <w:rsid w:val="6F967A08"/>
    <w:rsid w:val="6FDD7472"/>
    <w:rsid w:val="71DC54DC"/>
    <w:rsid w:val="727C3944"/>
    <w:rsid w:val="739A5400"/>
    <w:rsid w:val="739D4D6B"/>
    <w:rsid w:val="743609E9"/>
    <w:rsid w:val="74A523B8"/>
    <w:rsid w:val="74CE23CA"/>
    <w:rsid w:val="74EB4D2A"/>
    <w:rsid w:val="74F64BBC"/>
    <w:rsid w:val="75CE1778"/>
    <w:rsid w:val="76157027"/>
    <w:rsid w:val="761F6587"/>
    <w:rsid w:val="76D02D81"/>
    <w:rsid w:val="77260421"/>
    <w:rsid w:val="77A66F66"/>
    <w:rsid w:val="786D57AF"/>
    <w:rsid w:val="787601B5"/>
    <w:rsid w:val="788D5E09"/>
    <w:rsid w:val="792141B4"/>
    <w:rsid w:val="797057FE"/>
    <w:rsid w:val="798D0B54"/>
    <w:rsid w:val="79AF4FBE"/>
    <w:rsid w:val="79BE57D0"/>
    <w:rsid w:val="79C550BC"/>
    <w:rsid w:val="7A0B3779"/>
    <w:rsid w:val="7AA00C16"/>
    <w:rsid w:val="7AAD720D"/>
    <w:rsid w:val="7B2B2A3C"/>
    <w:rsid w:val="7BE3163E"/>
    <w:rsid w:val="7C0E264A"/>
    <w:rsid w:val="7C3B1CEA"/>
    <w:rsid w:val="7CB74A2B"/>
    <w:rsid w:val="7CBC6FAC"/>
    <w:rsid w:val="7CE97D41"/>
    <w:rsid w:val="7D07647A"/>
    <w:rsid w:val="7D310D08"/>
    <w:rsid w:val="7DD75E0C"/>
    <w:rsid w:val="7E34604E"/>
    <w:rsid w:val="7E6C05F2"/>
    <w:rsid w:val="7E9B17F8"/>
    <w:rsid w:val="7EFE0D38"/>
    <w:rsid w:val="7F1C483F"/>
    <w:rsid w:val="7F264BB1"/>
    <w:rsid w:val="7F620CF3"/>
    <w:rsid w:val="7F697D22"/>
    <w:rsid w:val="7F937A0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7D652EA1"/>
  <w15:docId w15:val="{EB9B9937-6FCF-4D37-BCB3-5C6ACAE83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locked="1" w:uiPriority="39" w:unhideWhenUsed="1" w:qFormat="1"/>
    <w:lsdException w:name="toc 4" w:locked="1" w:uiPriority="39" w:unhideWhenUsed="1" w:qFormat="1"/>
    <w:lsdException w:name="toc 5" w:locked="1" w:uiPriority="39" w:unhideWhenUsed="1" w:qFormat="1"/>
    <w:lsdException w:name="toc 6" w:locked="1" w:uiPriority="39" w:unhideWhenUsed="1" w:qFormat="1"/>
    <w:lsdException w:name="toc 7" w:locked="1" w:uiPriority="39" w:unhideWhenUsed="1" w:qFormat="1"/>
    <w:lsdException w:name="toc 8" w:locked="1" w:uiPriority="39" w:unhideWhenUsed="1" w:qFormat="1"/>
    <w:lsdException w:name="toc 9" w:locked="1" w:uiPriority="39" w:unhideWhenUsed="1" w:qFormat="1"/>
    <w:lsdException w:name="Normal Indent" w:semiHidden="1" w:unhideWhenUsed="1"/>
    <w:lsdException w:name="footnote text" w:qFormat="1"/>
    <w:lsdException w:name="annotation text" w:uiPriority="99" w:qFormat="1"/>
    <w:lsdException w:name="header" w:uiPriority="99"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qFormat="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Message Header" w:semiHidden="1" w:unhideWhenUsed="1"/>
    <w:lsdException w:name="Subtitle" w:locked="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qFormat="1"/>
    <w:lsdException w:name="Emphasis" w:locked="1"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locked="1" w:semiHidden="1" w:unhideWhenUsed="1"/>
    <w:lsdException w:name="HTML Address" w:qFormat="1"/>
    <w:lsdException w:name="HTML Cite" w:qFormat="1"/>
    <w:lsdException w:name="HTML Code" w:qFormat="1"/>
    <w:lsdException w:name="HTML Definition" w:qFormat="1"/>
    <w:lsdException w:name="HTML Keyboard" w:qFormat="1"/>
    <w:lsdException w:name="HTML Preformatted" w:qFormat="1"/>
    <w:lsdException w:name="HTML Sample" w:qFormat="1"/>
    <w:lsdException w:name="HTML Typewriter" w:qFormat="1"/>
    <w:lsdException w:name="HTML Variable" w:qFormat="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locked="1" w:qFormat="1"/>
    <w:lsdException w:name="Table Theme" w:semiHidden="1" w:unhideWhenUsed="1"/>
    <w:lsdException w:name="Placeholder Text"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2"/>
    <w:qFormat/>
    <w:pPr>
      <w:widowControl w:val="0"/>
      <w:spacing w:line="312" w:lineRule="auto"/>
      <w:ind w:firstLineChars="200" w:firstLine="200"/>
      <w:jc w:val="both"/>
    </w:pPr>
    <w:rPr>
      <w:kern w:val="2"/>
      <w:sz w:val="21"/>
      <w:szCs w:val="24"/>
    </w:rPr>
  </w:style>
  <w:style w:type="paragraph" w:styleId="1">
    <w:name w:val="heading 1"/>
    <w:basedOn w:val="a"/>
    <w:next w:val="a"/>
    <w:link w:val="10"/>
    <w:qFormat/>
    <w:pPr>
      <w:keepNext/>
      <w:keepLines/>
      <w:spacing w:before="340" w:after="330" w:line="578" w:lineRule="auto"/>
      <w:outlineLvl w:val="0"/>
    </w:pPr>
    <w:rPr>
      <w:b/>
      <w:kern w:val="44"/>
      <w:sz w:val="44"/>
      <w:szCs w:val="20"/>
    </w:rPr>
  </w:style>
  <w:style w:type="paragraph" w:styleId="20">
    <w:name w:val="heading 2"/>
    <w:basedOn w:val="a"/>
    <w:next w:val="a"/>
    <w:link w:val="21"/>
    <w:qFormat/>
    <w:pPr>
      <w:keepNext/>
      <w:keepLines/>
      <w:adjustRightInd w:val="0"/>
      <w:snapToGrid w:val="0"/>
      <w:spacing w:beforeLines="50" w:before="156" w:afterLines="50" w:after="156"/>
      <w:ind w:firstLineChars="0" w:firstLine="422"/>
      <w:jc w:val="center"/>
      <w:outlineLvl w:val="1"/>
    </w:pPr>
    <w:rPr>
      <w:b/>
      <w:kern w:val="0"/>
      <w:szCs w:val="21"/>
    </w:rPr>
  </w:style>
  <w:style w:type="paragraph" w:styleId="3">
    <w:name w:val="heading 3"/>
    <w:basedOn w:val="a"/>
    <w:next w:val="a"/>
    <w:link w:val="30"/>
    <w:qFormat/>
    <w:pPr>
      <w:keepNext/>
      <w:keepLines/>
      <w:spacing w:before="260" w:after="260"/>
      <w:ind w:firstLineChars="0" w:firstLine="0"/>
      <w:outlineLvl w:val="2"/>
    </w:pPr>
    <w:rPr>
      <w:kern w:val="0"/>
      <w:szCs w:val="20"/>
    </w:rPr>
  </w:style>
  <w:style w:type="paragraph" w:styleId="4">
    <w:name w:val="heading 4"/>
    <w:basedOn w:val="a"/>
    <w:next w:val="a"/>
    <w:link w:val="40"/>
    <w:qFormat/>
    <w:pPr>
      <w:keepNext/>
      <w:keepLines/>
      <w:spacing w:before="280" w:after="290" w:line="376" w:lineRule="auto"/>
      <w:outlineLvl w:val="3"/>
    </w:pPr>
    <w:rPr>
      <w:rFonts w:ascii="Arial" w:eastAsia="黑体" w:hAnsi="Arial"/>
      <w:b/>
      <w:kern w:val="0"/>
      <w:sz w:val="28"/>
      <w:szCs w:val="20"/>
    </w:rPr>
  </w:style>
  <w:style w:type="paragraph" w:styleId="5">
    <w:name w:val="heading 5"/>
    <w:basedOn w:val="a"/>
    <w:next w:val="a"/>
    <w:link w:val="50"/>
    <w:qFormat/>
    <w:pPr>
      <w:keepNext/>
      <w:keepLines/>
      <w:spacing w:before="280" w:after="290" w:line="376" w:lineRule="auto"/>
      <w:outlineLvl w:val="4"/>
    </w:pPr>
    <w:rPr>
      <w:b/>
      <w:kern w:val="0"/>
      <w:sz w:val="28"/>
      <w:szCs w:val="20"/>
    </w:rPr>
  </w:style>
  <w:style w:type="paragraph" w:styleId="6">
    <w:name w:val="heading 6"/>
    <w:basedOn w:val="a"/>
    <w:next w:val="a"/>
    <w:link w:val="60"/>
    <w:qFormat/>
    <w:pPr>
      <w:keepNext/>
      <w:keepLines/>
      <w:spacing w:before="240" w:after="64" w:line="320" w:lineRule="auto"/>
      <w:outlineLvl w:val="5"/>
    </w:pPr>
    <w:rPr>
      <w:rFonts w:ascii="Arial" w:eastAsia="黑体" w:hAnsi="Arial"/>
      <w:b/>
      <w:kern w:val="0"/>
      <w:sz w:val="24"/>
      <w:szCs w:val="20"/>
    </w:rPr>
  </w:style>
  <w:style w:type="paragraph" w:styleId="7">
    <w:name w:val="heading 7"/>
    <w:basedOn w:val="a"/>
    <w:next w:val="a"/>
    <w:link w:val="70"/>
    <w:qFormat/>
    <w:pPr>
      <w:keepNext/>
      <w:keepLines/>
      <w:spacing w:before="240" w:after="64" w:line="320" w:lineRule="auto"/>
      <w:outlineLvl w:val="6"/>
    </w:pPr>
    <w:rPr>
      <w:b/>
      <w:kern w:val="0"/>
      <w:sz w:val="24"/>
      <w:szCs w:val="20"/>
    </w:rPr>
  </w:style>
  <w:style w:type="paragraph" w:styleId="8">
    <w:name w:val="heading 8"/>
    <w:basedOn w:val="a"/>
    <w:next w:val="a"/>
    <w:link w:val="80"/>
    <w:qFormat/>
    <w:pPr>
      <w:keepNext/>
      <w:keepLines/>
      <w:spacing w:before="240" w:after="64" w:line="320" w:lineRule="auto"/>
      <w:outlineLvl w:val="7"/>
    </w:pPr>
    <w:rPr>
      <w:rFonts w:ascii="Arial" w:eastAsia="黑体" w:hAnsi="Arial"/>
      <w:kern w:val="0"/>
      <w:sz w:val="24"/>
      <w:szCs w:val="20"/>
    </w:rPr>
  </w:style>
  <w:style w:type="paragraph" w:styleId="9">
    <w:name w:val="heading 9"/>
    <w:basedOn w:val="a"/>
    <w:next w:val="a"/>
    <w:link w:val="90"/>
    <w:qFormat/>
    <w:pPr>
      <w:keepNext/>
      <w:keepLines/>
      <w:spacing w:before="240" w:after="64" w:line="320" w:lineRule="auto"/>
      <w:outlineLvl w:val="8"/>
    </w:pPr>
    <w:rPr>
      <w:rFonts w:ascii="Arial" w:eastAsia="黑体" w:hAnsi="Arial"/>
      <w:kern w:val="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
    <w:name w:val="样式 首行缩进:  2 字符"/>
    <w:basedOn w:val="a"/>
    <w:qFormat/>
    <w:pPr>
      <w:spacing w:line="240" w:lineRule="auto"/>
      <w:ind w:firstLineChars="0" w:firstLine="560"/>
    </w:pPr>
    <w:rPr>
      <w:rFonts w:eastAsia="仿宋_GB2312" w:cs="宋体"/>
      <w:sz w:val="24"/>
    </w:rPr>
  </w:style>
  <w:style w:type="paragraph" w:styleId="TOC7">
    <w:name w:val="toc 7"/>
    <w:basedOn w:val="a"/>
    <w:next w:val="a"/>
    <w:uiPriority w:val="39"/>
    <w:unhideWhenUsed/>
    <w:qFormat/>
    <w:locked/>
    <w:pPr>
      <w:ind w:leftChars="1200" w:left="2520"/>
    </w:pPr>
    <w:rPr>
      <w:rFonts w:asciiTheme="minorHAnsi" w:eastAsiaTheme="minorEastAsia" w:hAnsiTheme="minorHAnsi" w:cstheme="minorBidi"/>
      <w:szCs w:val="22"/>
    </w:rPr>
  </w:style>
  <w:style w:type="paragraph" w:styleId="a3">
    <w:name w:val="table of authorities"/>
    <w:basedOn w:val="a"/>
    <w:next w:val="a"/>
    <w:qFormat/>
    <w:pPr>
      <w:ind w:leftChars="200" w:left="420"/>
    </w:pPr>
  </w:style>
  <w:style w:type="paragraph" w:styleId="a4">
    <w:name w:val="caption"/>
    <w:basedOn w:val="a"/>
    <w:next w:val="a"/>
    <w:qFormat/>
    <w:rPr>
      <w:rFonts w:ascii="Cambria" w:eastAsia="黑体" w:hAnsi="Cambria"/>
      <w:sz w:val="20"/>
      <w:szCs w:val="20"/>
    </w:rPr>
  </w:style>
  <w:style w:type="paragraph" w:styleId="a5">
    <w:name w:val="Document Map"/>
    <w:basedOn w:val="a"/>
    <w:link w:val="a6"/>
    <w:qFormat/>
    <w:rPr>
      <w:rFonts w:ascii="宋体"/>
      <w:sz w:val="18"/>
      <w:szCs w:val="18"/>
    </w:rPr>
  </w:style>
  <w:style w:type="paragraph" w:styleId="a7">
    <w:name w:val="annotation text"/>
    <w:basedOn w:val="a"/>
    <w:link w:val="a8"/>
    <w:uiPriority w:val="99"/>
    <w:qFormat/>
    <w:pPr>
      <w:jc w:val="left"/>
    </w:pPr>
    <w:rPr>
      <w:sz w:val="24"/>
      <w:szCs w:val="20"/>
    </w:rPr>
  </w:style>
  <w:style w:type="paragraph" w:styleId="a9">
    <w:name w:val="Body Text"/>
    <w:basedOn w:val="a"/>
    <w:link w:val="aa"/>
    <w:qFormat/>
    <w:pPr>
      <w:adjustRightInd w:val="0"/>
      <w:snapToGrid w:val="0"/>
      <w:jc w:val="center"/>
    </w:pPr>
    <w:rPr>
      <w:rFonts w:ascii="仿宋_GB2312" w:eastAsia="仿宋_GB2312"/>
      <w:kern w:val="0"/>
      <w:szCs w:val="20"/>
    </w:rPr>
  </w:style>
  <w:style w:type="paragraph" w:styleId="HTML">
    <w:name w:val="HTML Address"/>
    <w:basedOn w:val="a"/>
    <w:link w:val="HTML0"/>
    <w:qFormat/>
    <w:rPr>
      <w:i/>
      <w:kern w:val="0"/>
      <w:sz w:val="24"/>
      <w:szCs w:val="20"/>
    </w:rPr>
  </w:style>
  <w:style w:type="paragraph" w:styleId="TOC5">
    <w:name w:val="toc 5"/>
    <w:basedOn w:val="a"/>
    <w:next w:val="a"/>
    <w:uiPriority w:val="39"/>
    <w:unhideWhenUsed/>
    <w:qFormat/>
    <w:locked/>
    <w:pPr>
      <w:ind w:leftChars="800" w:left="1680"/>
    </w:pPr>
    <w:rPr>
      <w:rFonts w:asciiTheme="minorHAnsi" w:eastAsiaTheme="minorEastAsia" w:hAnsiTheme="minorHAnsi" w:cstheme="minorBidi"/>
      <w:szCs w:val="22"/>
    </w:rPr>
  </w:style>
  <w:style w:type="paragraph" w:styleId="TOC3">
    <w:name w:val="toc 3"/>
    <w:basedOn w:val="a"/>
    <w:next w:val="a"/>
    <w:uiPriority w:val="39"/>
    <w:unhideWhenUsed/>
    <w:qFormat/>
    <w:locked/>
    <w:pPr>
      <w:ind w:leftChars="400" w:left="840"/>
    </w:pPr>
    <w:rPr>
      <w:rFonts w:asciiTheme="minorHAnsi" w:eastAsiaTheme="minorEastAsia" w:hAnsiTheme="minorHAnsi" w:cstheme="minorBidi"/>
      <w:szCs w:val="22"/>
    </w:rPr>
  </w:style>
  <w:style w:type="paragraph" w:styleId="TOC8">
    <w:name w:val="toc 8"/>
    <w:basedOn w:val="a"/>
    <w:next w:val="a"/>
    <w:uiPriority w:val="39"/>
    <w:unhideWhenUsed/>
    <w:qFormat/>
    <w:locked/>
    <w:pPr>
      <w:ind w:leftChars="1400" w:left="2940"/>
    </w:pPr>
    <w:rPr>
      <w:rFonts w:asciiTheme="minorHAnsi" w:eastAsiaTheme="minorEastAsia" w:hAnsiTheme="minorHAnsi" w:cstheme="minorBidi"/>
      <w:szCs w:val="22"/>
    </w:rPr>
  </w:style>
  <w:style w:type="paragraph" w:styleId="ab">
    <w:name w:val="Date"/>
    <w:basedOn w:val="a"/>
    <w:next w:val="a"/>
    <w:link w:val="ac"/>
    <w:qFormat/>
    <w:pPr>
      <w:ind w:leftChars="2500" w:left="100"/>
    </w:pPr>
    <w:rPr>
      <w:kern w:val="0"/>
      <w:sz w:val="24"/>
      <w:szCs w:val="20"/>
    </w:rPr>
  </w:style>
  <w:style w:type="paragraph" w:styleId="ad">
    <w:name w:val="Balloon Text"/>
    <w:basedOn w:val="a"/>
    <w:link w:val="ae"/>
    <w:qFormat/>
    <w:rPr>
      <w:kern w:val="0"/>
      <w:sz w:val="18"/>
      <w:szCs w:val="20"/>
    </w:rPr>
  </w:style>
  <w:style w:type="paragraph" w:styleId="af">
    <w:name w:val="footer"/>
    <w:basedOn w:val="a"/>
    <w:link w:val="af0"/>
    <w:uiPriority w:val="99"/>
    <w:qFormat/>
    <w:pPr>
      <w:tabs>
        <w:tab w:val="center" w:pos="4153"/>
        <w:tab w:val="right" w:pos="8306"/>
      </w:tabs>
      <w:snapToGrid w:val="0"/>
      <w:jc w:val="left"/>
    </w:pPr>
    <w:rPr>
      <w:rFonts w:ascii="Calibri" w:hAnsi="Calibri"/>
      <w:kern w:val="0"/>
      <w:sz w:val="18"/>
      <w:szCs w:val="20"/>
    </w:rPr>
  </w:style>
  <w:style w:type="paragraph" w:styleId="af1">
    <w:name w:val="header"/>
    <w:basedOn w:val="a"/>
    <w:link w:val="af2"/>
    <w:uiPriority w:val="99"/>
    <w:qFormat/>
    <w:pPr>
      <w:tabs>
        <w:tab w:val="center" w:pos="4153"/>
        <w:tab w:val="right" w:pos="8306"/>
      </w:tabs>
      <w:snapToGrid w:val="0"/>
      <w:jc w:val="center"/>
    </w:pPr>
    <w:rPr>
      <w:rFonts w:ascii="Calibri" w:hAnsi="Calibri"/>
      <w:kern w:val="0"/>
      <w:sz w:val="18"/>
      <w:szCs w:val="20"/>
    </w:rPr>
  </w:style>
  <w:style w:type="paragraph" w:styleId="TOC1">
    <w:name w:val="toc 1"/>
    <w:basedOn w:val="a"/>
    <w:next w:val="a"/>
    <w:uiPriority w:val="39"/>
    <w:qFormat/>
    <w:pPr>
      <w:spacing w:before="120" w:after="120"/>
      <w:jc w:val="left"/>
    </w:pPr>
    <w:rPr>
      <w:b/>
      <w:bCs/>
      <w:caps/>
      <w:sz w:val="20"/>
      <w:szCs w:val="20"/>
    </w:rPr>
  </w:style>
  <w:style w:type="paragraph" w:styleId="TOC4">
    <w:name w:val="toc 4"/>
    <w:basedOn w:val="a"/>
    <w:next w:val="a"/>
    <w:uiPriority w:val="39"/>
    <w:unhideWhenUsed/>
    <w:qFormat/>
    <w:locked/>
    <w:pPr>
      <w:ind w:leftChars="600" w:left="1260"/>
    </w:pPr>
    <w:rPr>
      <w:rFonts w:asciiTheme="minorHAnsi" w:eastAsiaTheme="minorEastAsia" w:hAnsiTheme="minorHAnsi" w:cstheme="minorBidi"/>
      <w:szCs w:val="22"/>
    </w:rPr>
  </w:style>
  <w:style w:type="paragraph" w:styleId="af3">
    <w:name w:val="footnote text"/>
    <w:basedOn w:val="a"/>
    <w:link w:val="af4"/>
    <w:qFormat/>
    <w:pPr>
      <w:snapToGrid w:val="0"/>
      <w:jc w:val="left"/>
    </w:pPr>
    <w:rPr>
      <w:kern w:val="0"/>
      <w:sz w:val="18"/>
      <w:szCs w:val="20"/>
    </w:rPr>
  </w:style>
  <w:style w:type="paragraph" w:styleId="TOC6">
    <w:name w:val="toc 6"/>
    <w:basedOn w:val="a"/>
    <w:next w:val="a"/>
    <w:uiPriority w:val="39"/>
    <w:unhideWhenUsed/>
    <w:qFormat/>
    <w:locked/>
    <w:pPr>
      <w:ind w:leftChars="1000" w:left="2100"/>
    </w:pPr>
    <w:rPr>
      <w:rFonts w:asciiTheme="minorHAnsi" w:eastAsiaTheme="minorEastAsia" w:hAnsiTheme="minorHAnsi" w:cstheme="minorBidi"/>
      <w:szCs w:val="22"/>
    </w:rPr>
  </w:style>
  <w:style w:type="paragraph" w:styleId="TOC2">
    <w:name w:val="toc 2"/>
    <w:basedOn w:val="TOC1"/>
    <w:next w:val="a"/>
    <w:uiPriority w:val="39"/>
    <w:qFormat/>
    <w:pPr>
      <w:tabs>
        <w:tab w:val="right" w:leader="dot" w:pos="9345"/>
      </w:tabs>
      <w:spacing w:before="0" w:after="0" w:line="280" w:lineRule="exact"/>
      <w:ind w:left="210"/>
    </w:pPr>
    <w:rPr>
      <w:b w:val="0"/>
      <w:bCs w:val="0"/>
      <w:caps w:val="0"/>
      <w:smallCaps/>
    </w:rPr>
  </w:style>
  <w:style w:type="paragraph" w:styleId="TOC9">
    <w:name w:val="toc 9"/>
    <w:basedOn w:val="a"/>
    <w:next w:val="a"/>
    <w:uiPriority w:val="39"/>
    <w:unhideWhenUsed/>
    <w:qFormat/>
    <w:locked/>
    <w:pPr>
      <w:ind w:leftChars="1600" w:left="3360"/>
    </w:pPr>
    <w:rPr>
      <w:rFonts w:asciiTheme="minorHAnsi" w:eastAsiaTheme="minorEastAsia" w:hAnsiTheme="minorHAnsi" w:cstheme="minorBidi"/>
      <w:szCs w:val="22"/>
    </w:rPr>
  </w:style>
  <w:style w:type="paragraph" w:styleId="HTML1">
    <w:name w:val="HTML Preformatted"/>
    <w:basedOn w:val="a"/>
    <w:link w:val="HTML2"/>
    <w:qFormat/>
    <w:rPr>
      <w:rFonts w:ascii="Courier New" w:hAnsi="Courier New"/>
      <w:kern w:val="0"/>
      <w:sz w:val="20"/>
      <w:szCs w:val="20"/>
    </w:rPr>
  </w:style>
  <w:style w:type="paragraph" w:styleId="af5">
    <w:name w:val="Normal (Web)"/>
    <w:basedOn w:val="a"/>
    <w:semiHidden/>
    <w:unhideWhenUsed/>
    <w:qFormat/>
    <w:pPr>
      <w:spacing w:beforeAutospacing="1" w:afterAutospacing="1" w:line="240" w:lineRule="auto"/>
      <w:ind w:firstLineChars="0" w:firstLine="0"/>
      <w:jc w:val="left"/>
    </w:pPr>
    <w:rPr>
      <w:kern w:val="0"/>
      <w:sz w:val="24"/>
    </w:rPr>
  </w:style>
  <w:style w:type="paragraph" w:styleId="af6">
    <w:name w:val="Title"/>
    <w:basedOn w:val="a"/>
    <w:link w:val="af7"/>
    <w:qFormat/>
    <w:pPr>
      <w:adjustRightInd w:val="0"/>
      <w:snapToGrid w:val="0"/>
      <w:spacing w:beforeLines="200" w:before="624" w:afterLines="200" w:after="624" w:line="440" w:lineRule="exact"/>
      <w:ind w:firstLineChars="0" w:firstLine="315"/>
      <w:jc w:val="center"/>
      <w:outlineLvl w:val="0"/>
    </w:pPr>
    <w:rPr>
      <w:b/>
      <w:kern w:val="0"/>
      <w:sz w:val="32"/>
      <w:szCs w:val="20"/>
    </w:rPr>
  </w:style>
  <w:style w:type="paragraph" w:styleId="af8">
    <w:name w:val="annotation subject"/>
    <w:basedOn w:val="a7"/>
    <w:next w:val="a7"/>
    <w:link w:val="af9"/>
    <w:semiHidden/>
    <w:qFormat/>
    <w:rPr>
      <w:b/>
    </w:rPr>
  </w:style>
  <w:style w:type="table" w:styleId="afa">
    <w:name w:val="Table Grid"/>
    <w:basedOn w:val="a1"/>
    <w:qFormat/>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Strong"/>
    <w:qFormat/>
    <w:rPr>
      <w:b/>
    </w:rPr>
  </w:style>
  <w:style w:type="character" w:styleId="afc">
    <w:name w:val="page number"/>
    <w:qFormat/>
    <w:rPr>
      <w:rFonts w:ascii="Times New Roman" w:eastAsia="宋体" w:hAnsi="Times New Roman"/>
      <w:sz w:val="18"/>
    </w:rPr>
  </w:style>
  <w:style w:type="character" w:styleId="afd">
    <w:name w:val="Emphasis"/>
    <w:basedOn w:val="a0"/>
    <w:qFormat/>
    <w:locked/>
    <w:rPr>
      <w:i/>
    </w:rPr>
  </w:style>
  <w:style w:type="character" w:styleId="HTML3">
    <w:name w:val="HTML Definition"/>
    <w:qFormat/>
    <w:rPr>
      <w:i/>
    </w:rPr>
  </w:style>
  <w:style w:type="character" w:styleId="HTML4">
    <w:name w:val="HTML Typewriter"/>
    <w:qFormat/>
    <w:rPr>
      <w:rFonts w:ascii="Courier New" w:hAnsi="Courier New"/>
      <w:sz w:val="20"/>
    </w:rPr>
  </w:style>
  <w:style w:type="character" w:styleId="HTML5">
    <w:name w:val="HTML Variable"/>
    <w:qFormat/>
    <w:rPr>
      <w:i/>
    </w:rPr>
  </w:style>
  <w:style w:type="character" w:styleId="afe">
    <w:name w:val="Hyperlink"/>
    <w:uiPriority w:val="99"/>
    <w:qFormat/>
    <w:rPr>
      <w:rFonts w:ascii="Times New Roman" w:eastAsia="宋体" w:hAnsi="Times New Roman"/>
      <w:color w:val="auto"/>
      <w:spacing w:val="0"/>
      <w:w w:val="100"/>
      <w:position w:val="0"/>
      <w:sz w:val="21"/>
      <w:u w:val="none"/>
      <w:vertAlign w:val="baseline"/>
    </w:rPr>
  </w:style>
  <w:style w:type="character" w:styleId="HTML6">
    <w:name w:val="HTML Code"/>
    <w:qFormat/>
    <w:rPr>
      <w:rFonts w:ascii="Courier New" w:hAnsi="Courier New"/>
      <w:sz w:val="20"/>
    </w:rPr>
  </w:style>
  <w:style w:type="character" w:styleId="aff">
    <w:name w:val="annotation reference"/>
    <w:uiPriority w:val="99"/>
    <w:qFormat/>
    <w:rPr>
      <w:sz w:val="21"/>
    </w:rPr>
  </w:style>
  <w:style w:type="character" w:styleId="HTML7">
    <w:name w:val="HTML Cite"/>
    <w:qFormat/>
    <w:rPr>
      <w:i/>
    </w:rPr>
  </w:style>
  <w:style w:type="character" w:styleId="aff0">
    <w:name w:val="footnote reference"/>
    <w:qFormat/>
    <w:rPr>
      <w:vertAlign w:val="superscript"/>
    </w:rPr>
  </w:style>
  <w:style w:type="character" w:styleId="HTML8">
    <w:name w:val="HTML Keyboard"/>
    <w:qFormat/>
    <w:rPr>
      <w:rFonts w:ascii="Courier New" w:hAnsi="Courier New"/>
      <w:sz w:val="20"/>
    </w:rPr>
  </w:style>
  <w:style w:type="character" w:styleId="HTML9">
    <w:name w:val="HTML Sample"/>
    <w:qFormat/>
    <w:rPr>
      <w:rFonts w:ascii="Courier New" w:hAnsi="Courier New"/>
    </w:rPr>
  </w:style>
  <w:style w:type="character" w:customStyle="1" w:styleId="Char3">
    <w:name w:val="标题 Char3"/>
    <w:uiPriority w:val="99"/>
    <w:qFormat/>
    <w:locked/>
    <w:rPr>
      <w:rFonts w:ascii="Arial" w:eastAsia="宋体" w:hAnsi="Arial"/>
      <w:b/>
      <w:sz w:val="32"/>
    </w:rPr>
  </w:style>
  <w:style w:type="character" w:customStyle="1" w:styleId="af9">
    <w:name w:val="批注主题 字符"/>
    <w:link w:val="af8"/>
    <w:semiHidden/>
    <w:qFormat/>
    <w:locked/>
    <w:rPr>
      <w:rFonts w:ascii="Times New Roman" w:hAnsi="Times New Roman"/>
      <w:b/>
      <w:kern w:val="2"/>
      <w:sz w:val="24"/>
    </w:rPr>
  </w:style>
  <w:style w:type="character" w:customStyle="1" w:styleId="40">
    <w:name w:val="标题 4 字符"/>
    <w:link w:val="4"/>
    <w:qFormat/>
    <w:locked/>
    <w:rPr>
      <w:rFonts w:ascii="Arial" w:eastAsia="黑体" w:hAnsi="Arial"/>
      <w:b/>
      <w:sz w:val="28"/>
    </w:rPr>
  </w:style>
  <w:style w:type="character" w:customStyle="1" w:styleId="50">
    <w:name w:val="标题 5 字符"/>
    <w:link w:val="5"/>
    <w:qFormat/>
    <w:locked/>
    <w:rPr>
      <w:rFonts w:ascii="Times New Roman" w:eastAsia="宋体" w:hAnsi="Times New Roman"/>
      <w:b/>
      <w:sz w:val="28"/>
    </w:rPr>
  </w:style>
  <w:style w:type="character" w:customStyle="1" w:styleId="21">
    <w:name w:val="标题 2 字符"/>
    <w:link w:val="20"/>
    <w:qFormat/>
    <w:locked/>
    <w:rPr>
      <w:b/>
      <w:sz w:val="21"/>
      <w:szCs w:val="21"/>
    </w:rPr>
  </w:style>
  <w:style w:type="character" w:customStyle="1" w:styleId="Char2">
    <w:name w:val="标题 Char2"/>
    <w:qFormat/>
    <w:locked/>
    <w:rPr>
      <w:rFonts w:ascii="Arial" w:eastAsia="宋体" w:hAnsi="Arial"/>
      <w:b/>
      <w:sz w:val="32"/>
    </w:rPr>
  </w:style>
  <w:style w:type="character" w:customStyle="1" w:styleId="ac">
    <w:name w:val="日期 字符"/>
    <w:link w:val="ab"/>
    <w:qFormat/>
    <w:locked/>
    <w:rPr>
      <w:rFonts w:ascii="Times New Roman" w:eastAsia="宋体" w:hAnsi="Times New Roman"/>
      <w:sz w:val="24"/>
    </w:rPr>
  </w:style>
  <w:style w:type="character" w:customStyle="1" w:styleId="a6">
    <w:name w:val="文档结构图 字符"/>
    <w:link w:val="a5"/>
    <w:qFormat/>
    <w:rPr>
      <w:rFonts w:ascii="宋体" w:hAnsi="Times New Roman"/>
      <w:kern w:val="2"/>
      <w:sz w:val="18"/>
      <w:szCs w:val="18"/>
    </w:rPr>
  </w:style>
  <w:style w:type="character" w:customStyle="1" w:styleId="HTMLChar1">
    <w:name w:val="HTML 地址 Char1"/>
    <w:semiHidden/>
    <w:qFormat/>
    <w:rPr>
      <w:rFonts w:ascii="Times New Roman" w:eastAsia="宋体" w:hAnsi="Times New Roman"/>
      <w:i/>
      <w:sz w:val="24"/>
    </w:rPr>
  </w:style>
  <w:style w:type="character" w:customStyle="1" w:styleId="11">
    <w:name w:val="占位符文本1"/>
    <w:semiHidden/>
    <w:qFormat/>
    <w:rPr>
      <w:color w:val="808080"/>
    </w:rPr>
  </w:style>
  <w:style w:type="character" w:customStyle="1" w:styleId="af4">
    <w:name w:val="脚注文本 字符"/>
    <w:link w:val="af3"/>
    <w:qFormat/>
    <w:locked/>
    <w:rPr>
      <w:rFonts w:ascii="Times New Roman" w:eastAsia="宋体" w:hAnsi="Times New Roman"/>
      <w:sz w:val="18"/>
    </w:rPr>
  </w:style>
  <w:style w:type="character" w:customStyle="1" w:styleId="dotarr1">
    <w:name w:val="dotarr1"/>
    <w:qFormat/>
    <w:rPr>
      <w:vanish/>
    </w:rPr>
  </w:style>
  <w:style w:type="character" w:customStyle="1" w:styleId="CharChar">
    <w:name w:val="二级条标题 Char Char"/>
    <w:link w:val="aff1"/>
    <w:qFormat/>
    <w:locked/>
    <w:rPr>
      <w:rFonts w:ascii="Times New Roman" w:eastAsia="黑体" w:hAnsi="Times New Roman"/>
      <w:kern w:val="0"/>
      <w:sz w:val="20"/>
      <w:lang w:val="en-US" w:eastAsia="zh-CN"/>
    </w:rPr>
  </w:style>
  <w:style w:type="paragraph" w:customStyle="1" w:styleId="aff1">
    <w:name w:val="二级条标题"/>
    <w:basedOn w:val="aff2"/>
    <w:next w:val="aff3"/>
    <w:link w:val="CharChar"/>
    <w:qFormat/>
    <w:pPr>
      <w:outlineLvl w:val="3"/>
    </w:pPr>
    <w:rPr>
      <w:kern w:val="0"/>
      <w:sz w:val="20"/>
      <w:szCs w:val="20"/>
    </w:rPr>
  </w:style>
  <w:style w:type="paragraph" w:customStyle="1" w:styleId="aff2">
    <w:name w:val="一级条标题"/>
    <w:next w:val="aff3"/>
    <w:link w:val="CharChar0"/>
    <w:qFormat/>
    <w:pPr>
      <w:outlineLvl w:val="2"/>
    </w:pPr>
    <w:rPr>
      <w:rFonts w:eastAsia="黑体"/>
      <w:kern w:val="2"/>
      <w:sz w:val="21"/>
      <w:szCs w:val="22"/>
    </w:rPr>
  </w:style>
  <w:style w:type="paragraph" w:customStyle="1" w:styleId="aff3">
    <w:name w:val="段"/>
    <w:link w:val="aff4"/>
    <w:uiPriority w:val="99"/>
    <w:qFormat/>
    <w:pPr>
      <w:autoSpaceDE w:val="0"/>
      <w:autoSpaceDN w:val="0"/>
      <w:ind w:firstLineChars="200" w:firstLine="200"/>
      <w:jc w:val="both"/>
    </w:pPr>
    <w:rPr>
      <w:rFonts w:ascii="宋体"/>
      <w:sz w:val="21"/>
    </w:rPr>
  </w:style>
  <w:style w:type="character" w:customStyle="1" w:styleId="af7">
    <w:name w:val="标题 字符"/>
    <w:link w:val="af6"/>
    <w:qFormat/>
    <w:locked/>
    <w:rPr>
      <w:b/>
      <w:sz w:val="32"/>
    </w:rPr>
  </w:style>
  <w:style w:type="character" w:customStyle="1" w:styleId="ae">
    <w:name w:val="批注框文本 字符"/>
    <w:link w:val="ad"/>
    <w:qFormat/>
    <w:locked/>
    <w:rPr>
      <w:rFonts w:ascii="Times New Roman" w:eastAsia="宋体" w:hAnsi="Times New Roman"/>
      <w:sz w:val="18"/>
    </w:rPr>
  </w:style>
  <w:style w:type="character" w:customStyle="1" w:styleId="HTMLChar10">
    <w:name w:val="HTML 预设格式 Char1"/>
    <w:semiHidden/>
    <w:qFormat/>
    <w:rPr>
      <w:rFonts w:ascii="Courier New" w:eastAsia="宋体" w:hAnsi="Courier New"/>
      <w:sz w:val="20"/>
    </w:rPr>
  </w:style>
  <w:style w:type="character" w:customStyle="1" w:styleId="af0">
    <w:name w:val="页脚 字符"/>
    <w:link w:val="af"/>
    <w:uiPriority w:val="99"/>
    <w:qFormat/>
    <w:locked/>
    <w:rPr>
      <w:sz w:val="18"/>
    </w:rPr>
  </w:style>
  <w:style w:type="character" w:customStyle="1" w:styleId="Char1">
    <w:name w:val="标题 Char1"/>
    <w:uiPriority w:val="10"/>
    <w:qFormat/>
    <w:rPr>
      <w:rFonts w:ascii="Cambria" w:eastAsia="宋体" w:hAnsi="Cambria"/>
      <w:b/>
      <w:sz w:val="32"/>
    </w:rPr>
  </w:style>
  <w:style w:type="character" w:customStyle="1" w:styleId="dajulo1">
    <w:name w:val="dajulo1"/>
    <w:qFormat/>
    <w:rPr>
      <w:vanish/>
    </w:rPr>
  </w:style>
  <w:style w:type="character" w:customStyle="1" w:styleId="aa">
    <w:name w:val="正文文本 字符"/>
    <w:link w:val="a9"/>
    <w:qFormat/>
    <w:locked/>
    <w:rPr>
      <w:rFonts w:ascii="仿宋_GB2312" w:eastAsia="仿宋_GB2312" w:hAnsi="Times New Roman"/>
      <w:kern w:val="0"/>
      <w:sz w:val="21"/>
    </w:rPr>
  </w:style>
  <w:style w:type="character" w:customStyle="1" w:styleId="aff5">
    <w:name w:val="个人撰写风格"/>
    <w:qFormat/>
    <w:rPr>
      <w:rFonts w:ascii="Arial" w:eastAsia="宋体" w:hAnsi="Arial"/>
      <w:color w:val="auto"/>
      <w:sz w:val="20"/>
    </w:rPr>
  </w:style>
  <w:style w:type="character" w:customStyle="1" w:styleId="aff6">
    <w:name w:val="发布"/>
    <w:qFormat/>
    <w:rPr>
      <w:rFonts w:ascii="黑体" w:eastAsia="黑体"/>
      <w:spacing w:val="22"/>
      <w:w w:val="100"/>
      <w:position w:val="3"/>
      <w:sz w:val="28"/>
    </w:rPr>
  </w:style>
  <w:style w:type="character" w:customStyle="1" w:styleId="a8">
    <w:name w:val="批注文字 字符"/>
    <w:link w:val="a7"/>
    <w:uiPriority w:val="99"/>
    <w:qFormat/>
    <w:locked/>
    <w:rPr>
      <w:rFonts w:ascii="Times New Roman" w:hAnsi="Times New Roman"/>
      <w:kern w:val="2"/>
      <w:sz w:val="24"/>
    </w:rPr>
  </w:style>
  <w:style w:type="character" w:customStyle="1" w:styleId="Char10">
    <w:name w:val="正文文本 Char1"/>
    <w:semiHidden/>
    <w:qFormat/>
    <w:rPr>
      <w:rFonts w:ascii="Times New Roman" w:eastAsia="宋体" w:hAnsi="Times New Roman"/>
      <w:sz w:val="24"/>
    </w:rPr>
  </w:style>
  <w:style w:type="character" w:customStyle="1" w:styleId="Char11">
    <w:name w:val="批注框文本 Char1"/>
    <w:semiHidden/>
    <w:qFormat/>
    <w:rPr>
      <w:rFonts w:ascii="Times New Roman" w:eastAsia="宋体" w:hAnsi="Times New Roman"/>
      <w:sz w:val="18"/>
    </w:rPr>
  </w:style>
  <w:style w:type="character" w:customStyle="1" w:styleId="HTML0">
    <w:name w:val="HTML 地址 字符"/>
    <w:link w:val="HTML"/>
    <w:qFormat/>
    <w:locked/>
    <w:rPr>
      <w:rFonts w:ascii="Times New Roman" w:eastAsia="宋体" w:hAnsi="Times New Roman"/>
      <w:i/>
      <w:sz w:val="24"/>
    </w:rPr>
  </w:style>
  <w:style w:type="character" w:customStyle="1" w:styleId="Char12">
    <w:name w:val="日期 Char1"/>
    <w:semiHidden/>
    <w:qFormat/>
    <w:rPr>
      <w:rFonts w:ascii="Times New Roman" w:eastAsia="宋体" w:hAnsi="Times New Roman"/>
      <w:sz w:val="24"/>
    </w:rPr>
  </w:style>
  <w:style w:type="character" w:customStyle="1" w:styleId="Char13">
    <w:name w:val="批注文字 Char1"/>
    <w:qFormat/>
    <w:rPr>
      <w:rFonts w:eastAsia="宋体"/>
      <w:kern w:val="2"/>
      <w:sz w:val="21"/>
      <w:szCs w:val="24"/>
      <w:lang w:val="en-US" w:eastAsia="zh-CN" w:bidi="ar-SA"/>
    </w:rPr>
  </w:style>
  <w:style w:type="character" w:customStyle="1" w:styleId="HTML2">
    <w:name w:val="HTML 预设格式 字符"/>
    <w:link w:val="HTML1"/>
    <w:qFormat/>
    <w:locked/>
    <w:rPr>
      <w:rFonts w:ascii="Courier New" w:eastAsia="宋体" w:hAnsi="Courier New"/>
      <w:sz w:val="20"/>
    </w:rPr>
  </w:style>
  <w:style w:type="character" w:customStyle="1" w:styleId="70">
    <w:name w:val="标题 7 字符"/>
    <w:link w:val="7"/>
    <w:qFormat/>
    <w:locked/>
    <w:rPr>
      <w:rFonts w:ascii="Times New Roman" w:eastAsia="宋体" w:hAnsi="Times New Roman"/>
      <w:b/>
      <w:sz w:val="24"/>
    </w:rPr>
  </w:style>
  <w:style w:type="character" w:customStyle="1" w:styleId="10">
    <w:name w:val="标题 1 字符"/>
    <w:link w:val="1"/>
    <w:qFormat/>
    <w:locked/>
    <w:rPr>
      <w:rFonts w:ascii="Times New Roman" w:eastAsia="宋体" w:hAnsi="Times New Roman"/>
      <w:b/>
      <w:kern w:val="44"/>
      <w:sz w:val="44"/>
    </w:rPr>
  </w:style>
  <w:style w:type="character" w:customStyle="1" w:styleId="CharChar0">
    <w:name w:val="一级条标题 Char Char"/>
    <w:link w:val="aff2"/>
    <w:qFormat/>
    <w:locked/>
    <w:rPr>
      <w:rFonts w:ascii="Times New Roman" w:eastAsia="黑体" w:hAnsi="Times New Roman"/>
      <w:kern w:val="2"/>
      <w:sz w:val="21"/>
      <w:szCs w:val="22"/>
      <w:lang w:val="en-US" w:eastAsia="zh-CN" w:bidi="ar-SA"/>
    </w:rPr>
  </w:style>
  <w:style w:type="character" w:customStyle="1" w:styleId="Char14">
    <w:name w:val="脚注文本 Char1"/>
    <w:semiHidden/>
    <w:qFormat/>
    <w:rPr>
      <w:rFonts w:ascii="Times New Roman" w:eastAsia="宋体" w:hAnsi="Times New Roman"/>
      <w:sz w:val="18"/>
    </w:rPr>
  </w:style>
  <w:style w:type="character" w:customStyle="1" w:styleId="af2">
    <w:name w:val="页眉 字符"/>
    <w:link w:val="af1"/>
    <w:uiPriority w:val="99"/>
    <w:qFormat/>
    <w:locked/>
    <w:rPr>
      <w:sz w:val="18"/>
    </w:rPr>
  </w:style>
  <w:style w:type="character" w:customStyle="1" w:styleId="90">
    <w:name w:val="标题 9 字符"/>
    <w:link w:val="9"/>
    <w:qFormat/>
    <w:locked/>
    <w:rPr>
      <w:rFonts w:ascii="Arial" w:eastAsia="黑体" w:hAnsi="Arial"/>
      <w:sz w:val="21"/>
    </w:rPr>
  </w:style>
  <w:style w:type="character" w:customStyle="1" w:styleId="80">
    <w:name w:val="标题 8 字符"/>
    <w:link w:val="8"/>
    <w:qFormat/>
    <w:locked/>
    <w:rPr>
      <w:rFonts w:ascii="Arial" w:eastAsia="黑体" w:hAnsi="Arial"/>
      <w:sz w:val="24"/>
    </w:rPr>
  </w:style>
  <w:style w:type="character" w:customStyle="1" w:styleId="aff7">
    <w:name w:val="个人答复风格"/>
    <w:qFormat/>
    <w:rPr>
      <w:rFonts w:ascii="Arial" w:eastAsia="宋体" w:hAnsi="Arial"/>
      <w:color w:val="auto"/>
      <w:sz w:val="20"/>
    </w:rPr>
  </w:style>
  <w:style w:type="character" w:customStyle="1" w:styleId="30">
    <w:name w:val="标题 3 字符"/>
    <w:link w:val="3"/>
    <w:qFormat/>
    <w:locked/>
    <w:rPr>
      <w:rFonts w:ascii="Times New Roman" w:hAnsi="Times New Roman"/>
      <w:sz w:val="21"/>
    </w:rPr>
  </w:style>
  <w:style w:type="character" w:customStyle="1" w:styleId="60">
    <w:name w:val="标题 6 字符"/>
    <w:link w:val="6"/>
    <w:qFormat/>
    <w:locked/>
    <w:rPr>
      <w:rFonts w:ascii="Arial" w:eastAsia="黑体" w:hAnsi="Arial"/>
      <w:b/>
      <w:sz w:val="24"/>
    </w:rPr>
  </w:style>
  <w:style w:type="paragraph" w:customStyle="1" w:styleId="12">
    <w:name w:val="纯文本1"/>
    <w:basedOn w:val="a"/>
    <w:qFormat/>
    <w:pPr>
      <w:adjustRightInd w:val="0"/>
      <w:textAlignment w:val="baseline"/>
    </w:pPr>
    <w:rPr>
      <w:rFonts w:ascii="宋体" w:hAnsi="Courier New"/>
      <w:szCs w:val="20"/>
    </w:rPr>
  </w:style>
  <w:style w:type="paragraph" w:customStyle="1" w:styleId="aff8">
    <w:name w:val="列项●（二级）"/>
    <w:qFormat/>
    <w:pPr>
      <w:tabs>
        <w:tab w:val="left" w:pos="840"/>
      </w:tabs>
      <w:ind w:left="717" w:hanging="317"/>
      <w:jc w:val="both"/>
    </w:pPr>
    <w:rPr>
      <w:rFonts w:ascii="宋体"/>
      <w:sz w:val="21"/>
    </w:rPr>
  </w:style>
  <w:style w:type="paragraph" w:customStyle="1" w:styleId="aff9">
    <w:name w:val="目次、索引正文"/>
    <w:qFormat/>
    <w:pPr>
      <w:spacing w:line="320" w:lineRule="exact"/>
      <w:jc w:val="both"/>
    </w:pPr>
    <w:rPr>
      <w:rFonts w:ascii="宋体"/>
      <w:sz w:val="21"/>
    </w:rPr>
  </w:style>
  <w:style w:type="paragraph" w:customStyle="1" w:styleId="affa">
    <w:name w:val="附录表标题"/>
    <w:next w:val="aff3"/>
    <w:qFormat/>
    <w:pPr>
      <w:tabs>
        <w:tab w:val="left" w:pos="360"/>
      </w:tabs>
      <w:jc w:val="center"/>
      <w:textAlignment w:val="baseline"/>
    </w:pPr>
    <w:rPr>
      <w:rFonts w:ascii="黑体" w:eastAsia="黑体"/>
      <w:kern w:val="21"/>
      <w:sz w:val="21"/>
    </w:rPr>
  </w:style>
  <w:style w:type="paragraph" w:customStyle="1" w:styleId="affb">
    <w:name w:val="标准标志"/>
    <w:next w:val="a"/>
    <w:uiPriority w:val="99"/>
    <w:qFormat/>
    <w:pPr>
      <w:shd w:val="solid" w:color="FFFFFF" w:fill="FFFFFF"/>
      <w:spacing w:line="240" w:lineRule="atLeast"/>
      <w:jc w:val="right"/>
    </w:pPr>
    <w:rPr>
      <w:b/>
      <w:w w:val="130"/>
      <w:sz w:val="96"/>
    </w:rPr>
  </w:style>
  <w:style w:type="paragraph" w:customStyle="1" w:styleId="affc">
    <w:name w:val="前言、引言标题"/>
    <w:next w:val="a"/>
    <w:qFormat/>
    <w:pPr>
      <w:shd w:val="clear" w:color="FFFFFF" w:fill="FFFFFF"/>
      <w:spacing w:before="640" w:after="560"/>
      <w:jc w:val="center"/>
      <w:outlineLvl w:val="0"/>
    </w:pPr>
    <w:rPr>
      <w:rFonts w:ascii="黑体" w:eastAsia="黑体"/>
      <w:sz w:val="32"/>
    </w:rPr>
  </w:style>
  <w:style w:type="paragraph" w:customStyle="1" w:styleId="affd">
    <w:name w:val="封面一致性程度标识"/>
    <w:qFormat/>
    <w:pPr>
      <w:spacing w:before="440" w:line="400" w:lineRule="exact"/>
      <w:jc w:val="center"/>
    </w:pPr>
    <w:rPr>
      <w:rFonts w:ascii="宋体"/>
      <w:sz w:val="28"/>
    </w:rPr>
  </w:style>
  <w:style w:type="paragraph" w:customStyle="1" w:styleId="affe">
    <w:name w:val="封面标准名称"/>
    <w:uiPriority w:val="99"/>
    <w:qFormat/>
    <w:pPr>
      <w:widowControl w:val="0"/>
      <w:spacing w:line="680" w:lineRule="exact"/>
      <w:jc w:val="center"/>
      <w:textAlignment w:val="center"/>
    </w:pPr>
    <w:rPr>
      <w:rFonts w:ascii="黑体" w:eastAsia="黑体"/>
      <w:sz w:val="52"/>
    </w:rPr>
  </w:style>
  <w:style w:type="paragraph" w:customStyle="1" w:styleId="afff">
    <w:name w:val="正文图标题"/>
    <w:next w:val="aff3"/>
    <w:qFormat/>
    <w:pPr>
      <w:jc w:val="center"/>
    </w:pPr>
    <w:rPr>
      <w:rFonts w:ascii="黑体" w:eastAsia="黑体"/>
      <w:sz w:val="21"/>
    </w:rPr>
  </w:style>
  <w:style w:type="paragraph" w:customStyle="1" w:styleId="Char2CharChar1CharCharCharCharCharCharCharCharCharChar">
    <w:name w:val="Char2 Char Char1 Char Char Char Char Char Char Char Char Char Char"/>
    <w:basedOn w:val="5"/>
    <w:qFormat/>
    <w:pPr>
      <w:widowControl/>
      <w:spacing w:after="160" w:line="240" w:lineRule="exact"/>
      <w:jc w:val="left"/>
    </w:pPr>
    <w:rPr>
      <w:bCs/>
      <w:kern w:val="2"/>
      <w:szCs w:val="28"/>
    </w:rPr>
  </w:style>
  <w:style w:type="paragraph" w:customStyle="1" w:styleId="afff0">
    <w:name w:val="标准书脚_偶数页"/>
    <w:qFormat/>
    <w:pPr>
      <w:spacing w:before="120"/>
    </w:pPr>
    <w:rPr>
      <w:sz w:val="18"/>
    </w:rPr>
  </w:style>
  <w:style w:type="paragraph" w:customStyle="1" w:styleId="afff1">
    <w:name w:val="封面标准文稿编辑信息"/>
    <w:qFormat/>
    <w:pPr>
      <w:spacing w:before="180" w:line="180" w:lineRule="exact"/>
      <w:jc w:val="center"/>
    </w:pPr>
    <w:rPr>
      <w:rFonts w:ascii="宋体"/>
      <w:sz w:val="21"/>
    </w:rPr>
  </w:style>
  <w:style w:type="paragraph" w:customStyle="1" w:styleId="afff2">
    <w:name w:val="示例"/>
    <w:next w:val="aff3"/>
    <w:qFormat/>
    <w:pPr>
      <w:jc w:val="both"/>
    </w:pPr>
    <w:rPr>
      <w:rFonts w:ascii="宋体"/>
      <w:sz w:val="18"/>
    </w:rPr>
  </w:style>
  <w:style w:type="paragraph" w:customStyle="1" w:styleId="afff3">
    <w:name w:val="附录图标题"/>
    <w:next w:val="aff3"/>
    <w:qFormat/>
    <w:pPr>
      <w:tabs>
        <w:tab w:val="left" w:pos="360"/>
      </w:tabs>
      <w:jc w:val="center"/>
    </w:pPr>
    <w:rPr>
      <w:rFonts w:ascii="黑体" w:eastAsia="黑体"/>
      <w:sz w:val="21"/>
    </w:rPr>
  </w:style>
  <w:style w:type="paragraph" w:customStyle="1" w:styleId="afff4">
    <w:name w:val="图表脚注"/>
    <w:next w:val="aff3"/>
    <w:qFormat/>
    <w:pPr>
      <w:ind w:leftChars="200" w:left="300" w:hangingChars="100" w:hanging="100"/>
      <w:jc w:val="both"/>
    </w:pPr>
    <w:rPr>
      <w:rFonts w:ascii="宋体"/>
      <w:sz w:val="18"/>
    </w:rPr>
  </w:style>
  <w:style w:type="paragraph" w:customStyle="1" w:styleId="afff5">
    <w:name w:val="数字编号列项（二级）"/>
    <w:qFormat/>
    <w:pPr>
      <w:ind w:leftChars="400" w:left="1260" w:hangingChars="200" w:hanging="420"/>
      <w:jc w:val="both"/>
    </w:pPr>
    <w:rPr>
      <w:rFonts w:ascii="宋体"/>
      <w:sz w:val="21"/>
    </w:rPr>
  </w:style>
  <w:style w:type="paragraph" w:customStyle="1" w:styleId="13">
    <w:name w:val="列出段落1"/>
    <w:basedOn w:val="a"/>
    <w:qFormat/>
    <w:pPr>
      <w:ind w:firstLine="420"/>
    </w:pPr>
  </w:style>
  <w:style w:type="paragraph" w:customStyle="1" w:styleId="afff6">
    <w:name w:val="编号列项（三级）"/>
    <w:qFormat/>
    <w:pPr>
      <w:ind w:leftChars="600" w:left="800" w:hangingChars="200" w:hanging="200"/>
    </w:pPr>
    <w:rPr>
      <w:rFonts w:ascii="宋体"/>
      <w:sz w:val="21"/>
    </w:rPr>
  </w:style>
  <w:style w:type="paragraph" w:customStyle="1" w:styleId="afff7">
    <w:name w:val="文献分类号"/>
    <w:uiPriority w:val="99"/>
    <w:qFormat/>
    <w:pPr>
      <w:widowControl w:val="0"/>
      <w:textAlignment w:val="center"/>
    </w:pPr>
    <w:rPr>
      <w:rFonts w:eastAsia="黑体"/>
      <w:sz w:val="21"/>
    </w:rPr>
  </w:style>
  <w:style w:type="paragraph" w:customStyle="1" w:styleId="Default">
    <w:name w:val="Default"/>
    <w:qFormat/>
    <w:pPr>
      <w:widowControl w:val="0"/>
      <w:autoSpaceDE w:val="0"/>
      <w:autoSpaceDN w:val="0"/>
      <w:adjustRightInd w:val="0"/>
    </w:pPr>
    <w:rPr>
      <w:color w:val="000000"/>
      <w:sz w:val="24"/>
      <w:szCs w:val="24"/>
    </w:rPr>
  </w:style>
  <w:style w:type="paragraph" w:customStyle="1" w:styleId="afff8">
    <w:name w:val="注×："/>
    <w:qFormat/>
    <w:pPr>
      <w:widowControl w:val="0"/>
      <w:tabs>
        <w:tab w:val="left" w:pos="630"/>
      </w:tabs>
      <w:autoSpaceDE w:val="0"/>
      <w:autoSpaceDN w:val="0"/>
      <w:jc w:val="both"/>
    </w:pPr>
    <w:rPr>
      <w:rFonts w:ascii="宋体"/>
      <w:sz w:val="18"/>
    </w:rPr>
  </w:style>
  <w:style w:type="paragraph" w:customStyle="1" w:styleId="afff9">
    <w:name w:val="标准称谓"/>
    <w:next w:val="a"/>
    <w:qFormat/>
    <w:pPr>
      <w:widowControl w:val="0"/>
      <w:kinsoku w:val="0"/>
      <w:overflowPunct w:val="0"/>
      <w:autoSpaceDE w:val="0"/>
      <w:autoSpaceDN w:val="0"/>
      <w:spacing w:line="240" w:lineRule="atLeast"/>
      <w:jc w:val="distribute"/>
    </w:pPr>
    <w:rPr>
      <w:rFonts w:ascii="宋体"/>
      <w:b/>
      <w:bCs/>
      <w:spacing w:val="20"/>
      <w:w w:val="148"/>
      <w:sz w:val="52"/>
    </w:rPr>
  </w:style>
  <w:style w:type="paragraph" w:customStyle="1" w:styleId="afffa">
    <w:name w:val="字母编号列项（一级）"/>
    <w:qFormat/>
    <w:pPr>
      <w:ind w:leftChars="200" w:left="840" w:hangingChars="200" w:hanging="420"/>
      <w:jc w:val="both"/>
    </w:pPr>
    <w:rPr>
      <w:rFonts w:ascii="宋体"/>
      <w:sz w:val="21"/>
    </w:rPr>
  </w:style>
  <w:style w:type="paragraph" w:customStyle="1" w:styleId="afffb">
    <w:name w:val="封面正文"/>
    <w:uiPriority w:val="99"/>
    <w:qFormat/>
    <w:pPr>
      <w:jc w:val="both"/>
    </w:pPr>
  </w:style>
  <w:style w:type="paragraph" w:customStyle="1" w:styleId="afffc">
    <w:name w:val="标准书眉一"/>
    <w:qFormat/>
    <w:pPr>
      <w:jc w:val="both"/>
    </w:pPr>
  </w:style>
  <w:style w:type="paragraph" w:customStyle="1" w:styleId="afffd">
    <w:name w:val="封面标准文稿类别"/>
    <w:qFormat/>
    <w:pPr>
      <w:spacing w:before="440" w:line="400" w:lineRule="exact"/>
      <w:jc w:val="center"/>
    </w:pPr>
    <w:rPr>
      <w:rFonts w:ascii="宋体"/>
      <w:sz w:val="24"/>
    </w:rPr>
  </w:style>
  <w:style w:type="paragraph" w:customStyle="1" w:styleId="TOC10">
    <w:name w:val="TOC 标题1"/>
    <w:basedOn w:val="1"/>
    <w:next w:val="a"/>
    <w:uiPriority w:val="39"/>
    <w:qFormat/>
    <w:pPr>
      <w:outlineLvl w:val="9"/>
    </w:pPr>
    <w:rPr>
      <w:bCs/>
      <w:szCs w:val="44"/>
    </w:rPr>
  </w:style>
  <w:style w:type="paragraph" w:customStyle="1" w:styleId="CharCharChar">
    <w:name w:val="Char Char Char"/>
    <w:basedOn w:val="a"/>
    <w:qFormat/>
    <w:rPr>
      <w:rFonts w:ascii="Tahoma" w:hAnsi="Tahoma"/>
      <w:sz w:val="24"/>
      <w:szCs w:val="20"/>
    </w:rPr>
  </w:style>
  <w:style w:type="paragraph" w:customStyle="1" w:styleId="afffe">
    <w:name w:val="注："/>
    <w:next w:val="aff3"/>
    <w:qFormat/>
    <w:pPr>
      <w:widowControl w:val="0"/>
      <w:autoSpaceDE w:val="0"/>
      <w:autoSpaceDN w:val="0"/>
      <w:jc w:val="both"/>
    </w:pPr>
    <w:rPr>
      <w:rFonts w:ascii="宋体"/>
      <w:sz w:val="18"/>
    </w:rPr>
  </w:style>
  <w:style w:type="paragraph" w:customStyle="1" w:styleId="affff">
    <w:name w:val="列项◆（三级）"/>
    <w:qFormat/>
    <w:pPr>
      <w:tabs>
        <w:tab w:val="left" w:pos="960"/>
      </w:tabs>
      <w:ind w:left="917" w:hanging="317"/>
    </w:pPr>
    <w:rPr>
      <w:rFonts w:ascii="宋体"/>
      <w:sz w:val="21"/>
    </w:rPr>
  </w:style>
  <w:style w:type="paragraph" w:customStyle="1" w:styleId="14">
    <w:name w:val="修订1"/>
    <w:uiPriority w:val="99"/>
    <w:semiHidden/>
    <w:qFormat/>
    <w:rPr>
      <w:kern w:val="2"/>
      <w:sz w:val="21"/>
      <w:szCs w:val="24"/>
    </w:rPr>
  </w:style>
  <w:style w:type="paragraph" w:customStyle="1" w:styleId="affff0">
    <w:name w:val="发布部门"/>
    <w:next w:val="aff3"/>
    <w:qFormat/>
    <w:pPr>
      <w:jc w:val="center"/>
    </w:pPr>
    <w:rPr>
      <w:rFonts w:ascii="宋体"/>
      <w:b/>
      <w:spacing w:val="20"/>
      <w:w w:val="135"/>
      <w:sz w:val="36"/>
    </w:rPr>
  </w:style>
  <w:style w:type="paragraph" w:customStyle="1" w:styleId="affff1">
    <w:name w:val="章标题"/>
    <w:next w:val="aff3"/>
    <w:qFormat/>
    <w:pPr>
      <w:spacing w:beforeLines="50" w:afterLines="50"/>
      <w:jc w:val="both"/>
      <w:outlineLvl w:val="1"/>
    </w:pPr>
    <w:rPr>
      <w:rFonts w:ascii="黑体" w:eastAsia="黑体"/>
      <w:sz w:val="21"/>
    </w:rPr>
  </w:style>
  <w:style w:type="paragraph" w:customStyle="1" w:styleId="affff2">
    <w:name w:val="其他标准称谓"/>
    <w:uiPriority w:val="99"/>
    <w:qFormat/>
    <w:pPr>
      <w:spacing w:line="240" w:lineRule="atLeast"/>
      <w:jc w:val="distribute"/>
    </w:pPr>
    <w:rPr>
      <w:rFonts w:ascii="黑体" w:eastAsia="黑体" w:hAnsi="宋体"/>
      <w:sz w:val="52"/>
    </w:rPr>
  </w:style>
  <w:style w:type="paragraph" w:customStyle="1" w:styleId="affff3">
    <w:name w:val="附录章标题"/>
    <w:next w:val="aff3"/>
    <w:qFormat/>
    <w:pPr>
      <w:wordWrap w:val="0"/>
      <w:overflowPunct w:val="0"/>
      <w:autoSpaceDE w:val="0"/>
      <w:spacing w:beforeLines="50" w:afterLines="50"/>
      <w:jc w:val="both"/>
      <w:textAlignment w:val="baseline"/>
      <w:outlineLvl w:val="1"/>
    </w:pPr>
    <w:rPr>
      <w:rFonts w:ascii="黑体" w:eastAsia="黑体"/>
      <w:kern w:val="21"/>
      <w:sz w:val="21"/>
    </w:rPr>
  </w:style>
  <w:style w:type="paragraph" w:customStyle="1" w:styleId="affff4">
    <w:name w:val="标准书眉_奇数页"/>
    <w:next w:val="a"/>
    <w:qFormat/>
    <w:pPr>
      <w:tabs>
        <w:tab w:val="center" w:pos="4154"/>
        <w:tab w:val="right" w:pos="8306"/>
      </w:tabs>
      <w:spacing w:after="120"/>
      <w:jc w:val="right"/>
    </w:pPr>
    <w:rPr>
      <w:sz w:val="21"/>
    </w:rPr>
  </w:style>
  <w:style w:type="paragraph" w:customStyle="1" w:styleId="affff5">
    <w:name w:val="封面标准英文名称"/>
    <w:qFormat/>
    <w:pPr>
      <w:widowControl w:val="0"/>
      <w:spacing w:before="370" w:line="400" w:lineRule="exact"/>
      <w:jc w:val="center"/>
    </w:pPr>
    <w:rPr>
      <w:sz w:val="28"/>
    </w:rPr>
  </w:style>
  <w:style w:type="paragraph" w:customStyle="1" w:styleId="affff6">
    <w:name w:val="正文表标题"/>
    <w:next w:val="aff3"/>
    <w:qFormat/>
    <w:pPr>
      <w:jc w:val="center"/>
    </w:pPr>
    <w:rPr>
      <w:rFonts w:ascii="黑体" w:eastAsia="黑体"/>
      <w:sz w:val="21"/>
    </w:rPr>
  </w:style>
  <w:style w:type="paragraph" w:customStyle="1" w:styleId="affff7">
    <w:name w:val="发布日期"/>
    <w:qFormat/>
    <w:rPr>
      <w:rFonts w:eastAsia="黑体"/>
      <w:sz w:val="28"/>
    </w:rPr>
  </w:style>
  <w:style w:type="paragraph" w:customStyle="1" w:styleId="22">
    <w:name w:val="纯文本2"/>
    <w:basedOn w:val="a"/>
    <w:qFormat/>
    <w:pPr>
      <w:adjustRightInd w:val="0"/>
      <w:textAlignment w:val="baseline"/>
    </w:pPr>
    <w:rPr>
      <w:rFonts w:ascii="宋体" w:hAnsi="Courier New"/>
      <w:szCs w:val="20"/>
    </w:rPr>
  </w:style>
  <w:style w:type="paragraph" w:customStyle="1" w:styleId="affff8">
    <w:name w:val="标准书脚_奇数页"/>
    <w:qFormat/>
    <w:pPr>
      <w:spacing w:before="120"/>
      <w:jc w:val="right"/>
    </w:pPr>
    <w:rPr>
      <w:sz w:val="18"/>
    </w:rPr>
  </w:style>
  <w:style w:type="paragraph" w:customStyle="1" w:styleId="affff9">
    <w:name w:val="列项——（一级）"/>
    <w:qFormat/>
    <w:pPr>
      <w:widowControl w:val="0"/>
      <w:tabs>
        <w:tab w:val="left" w:pos="1140"/>
      </w:tabs>
      <w:ind w:left="840" w:hanging="420"/>
      <w:jc w:val="both"/>
    </w:pPr>
    <w:rPr>
      <w:rFonts w:ascii="宋体"/>
      <w:sz w:val="21"/>
    </w:rPr>
  </w:style>
  <w:style w:type="paragraph" w:customStyle="1" w:styleId="15">
    <w:name w:val="封面标准号1"/>
    <w:uiPriority w:val="99"/>
    <w:qFormat/>
    <w:pPr>
      <w:widowControl w:val="0"/>
      <w:kinsoku w:val="0"/>
      <w:overflowPunct w:val="0"/>
      <w:autoSpaceDE w:val="0"/>
      <w:autoSpaceDN w:val="0"/>
      <w:spacing w:before="308"/>
      <w:jc w:val="right"/>
      <w:textAlignment w:val="center"/>
    </w:pPr>
    <w:rPr>
      <w:sz w:val="28"/>
    </w:rPr>
  </w:style>
  <w:style w:type="character" w:styleId="affffa">
    <w:name w:val="Placeholder Text"/>
    <w:basedOn w:val="a0"/>
    <w:uiPriority w:val="99"/>
    <w:unhideWhenUsed/>
    <w:qFormat/>
    <w:rPr>
      <w:color w:val="808080"/>
    </w:rPr>
  </w:style>
  <w:style w:type="paragraph" w:customStyle="1" w:styleId="xxx">
    <w:name w:val="x.x.x."/>
    <w:basedOn w:val="aff3"/>
    <w:link w:val="xxx0"/>
    <w:qFormat/>
    <w:pPr>
      <w:widowControl w:val="0"/>
      <w:spacing w:line="312" w:lineRule="auto"/>
      <w:ind w:firstLineChars="0" w:firstLine="0"/>
    </w:pPr>
    <w:rPr>
      <w:rFonts w:ascii="Times New Roman"/>
    </w:rPr>
  </w:style>
  <w:style w:type="character" w:customStyle="1" w:styleId="aff4">
    <w:name w:val="段 字符"/>
    <w:basedOn w:val="a0"/>
    <w:link w:val="aff3"/>
    <w:uiPriority w:val="99"/>
    <w:qFormat/>
    <w:rPr>
      <w:rFonts w:ascii="宋体" w:hAnsi="Times New Roman"/>
      <w:sz w:val="21"/>
    </w:rPr>
  </w:style>
  <w:style w:type="character" w:customStyle="1" w:styleId="xxx0">
    <w:name w:val="x.x.x. 字符"/>
    <w:basedOn w:val="aff4"/>
    <w:link w:val="xxx"/>
    <w:qFormat/>
    <w:rPr>
      <w:rFonts w:ascii="宋体" w:hAnsi="Times New Roman"/>
      <w:sz w:val="21"/>
    </w:rPr>
  </w:style>
  <w:style w:type="paragraph" w:customStyle="1" w:styleId="220">
    <w:name w:val="2.2公式"/>
    <w:basedOn w:val="aff3"/>
    <w:link w:val="221"/>
    <w:qFormat/>
    <w:pPr>
      <w:spacing w:line="312" w:lineRule="auto"/>
      <w:ind w:firstLineChars="0" w:firstLine="0"/>
    </w:pPr>
    <w:rPr>
      <w:rFonts w:ascii="Times New Roman"/>
      <w:szCs w:val="21"/>
    </w:rPr>
  </w:style>
  <w:style w:type="character" w:customStyle="1" w:styleId="221">
    <w:name w:val="2.2公式 字符"/>
    <w:basedOn w:val="aff4"/>
    <w:link w:val="220"/>
    <w:qFormat/>
    <w:rPr>
      <w:rFonts w:ascii="Times New Roman" w:hAnsi="Times New Roman"/>
      <w:sz w:val="21"/>
      <w:szCs w:val="21"/>
    </w:rPr>
  </w:style>
  <w:style w:type="paragraph" w:customStyle="1" w:styleId="x">
    <w:name w:val="x"/>
    <w:basedOn w:val="a"/>
    <w:link w:val="x0"/>
    <w:qFormat/>
    <w:pPr>
      <w:ind w:firstLineChars="150" w:firstLine="150"/>
    </w:pPr>
  </w:style>
  <w:style w:type="paragraph" w:customStyle="1" w:styleId="affffb">
    <w:name w:val="图表名"/>
    <w:basedOn w:val="a"/>
    <w:link w:val="affffc"/>
    <w:qFormat/>
    <w:pPr>
      <w:widowControl/>
      <w:ind w:firstLineChars="0" w:firstLine="0"/>
      <w:jc w:val="center"/>
    </w:pPr>
    <w:rPr>
      <w:b/>
      <w:bCs/>
      <w:color w:val="000000"/>
      <w:kern w:val="0"/>
      <w:sz w:val="18"/>
      <w:szCs w:val="21"/>
    </w:rPr>
  </w:style>
  <w:style w:type="character" w:customStyle="1" w:styleId="x0">
    <w:name w:val="x 字符"/>
    <w:basedOn w:val="a0"/>
    <w:link w:val="x"/>
    <w:qFormat/>
    <w:rPr>
      <w:kern w:val="2"/>
      <w:sz w:val="21"/>
      <w:szCs w:val="24"/>
    </w:rPr>
  </w:style>
  <w:style w:type="character" w:customStyle="1" w:styleId="16">
    <w:name w:val="书籍标题1"/>
    <w:basedOn w:val="a0"/>
    <w:uiPriority w:val="33"/>
    <w:qFormat/>
    <w:rPr>
      <w:b/>
      <w:bCs/>
      <w:i/>
      <w:iCs/>
      <w:spacing w:val="5"/>
    </w:rPr>
  </w:style>
  <w:style w:type="character" w:customStyle="1" w:styleId="affffc">
    <w:name w:val="图表名 字符"/>
    <w:basedOn w:val="a0"/>
    <w:link w:val="affffb"/>
    <w:qFormat/>
    <w:rPr>
      <w:rFonts w:ascii="Times New Roman" w:hAnsi="Times New Roman"/>
      <w:b/>
      <w:bCs/>
      <w:color w:val="000000"/>
      <w:sz w:val="18"/>
      <w:szCs w:val="21"/>
    </w:rPr>
  </w:style>
  <w:style w:type="paragraph" w:customStyle="1" w:styleId="100">
    <w:name w:val="10以后"/>
    <w:basedOn w:val="a"/>
    <w:link w:val="101"/>
    <w:qFormat/>
  </w:style>
  <w:style w:type="character" w:customStyle="1" w:styleId="fontstyle01">
    <w:name w:val="fontstyle01"/>
    <w:basedOn w:val="a0"/>
    <w:qFormat/>
    <w:rPr>
      <w:rFonts w:ascii="FZSSK--GBK1-0" w:hAnsi="FZSSK--GBK1-0" w:hint="default"/>
      <w:color w:val="242021"/>
      <w:sz w:val="22"/>
      <w:szCs w:val="22"/>
    </w:rPr>
  </w:style>
  <w:style w:type="character" w:customStyle="1" w:styleId="101">
    <w:name w:val="10以后 字符"/>
    <w:basedOn w:val="a0"/>
    <w:link w:val="100"/>
    <w:qFormat/>
    <w:rPr>
      <w:rFonts w:ascii="Times New Roman" w:hAnsi="Times New Roman"/>
      <w:kern w:val="2"/>
      <w:sz w:val="21"/>
      <w:szCs w:val="24"/>
    </w:rPr>
  </w:style>
  <w:style w:type="character" w:customStyle="1" w:styleId="fontstyle21">
    <w:name w:val="fontstyle21"/>
    <w:basedOn w:val="a0"/>
    <w:qFormat/>
    <w:rPr>
      <w:rFonts w:ascii="Vijaya" w:hAnsi="Vijaya" w:cs="Vijaya" w:hint="default"/>
      <w:color w:val="242021"/>
      <w:sz w:val="22"/>
      <w:szCs w:val="22"/>
    </w:rPr>
  </w:style>
  <w:style w:type="paragraph" w:styleId="affffd">
    <w:name w:val="List Paragraph"/>
    <w:basedOn w:val="a"/>
    <w:uiPriority w:val="99"/>
    <w:qFormat/>
    <w:pPr>
      <w:ind w:firstLine="420"/>
    </w:pPr>
  </w:style>
  <w:style w:type="paragraph" w:customStyle="1" w:styleId="affffe">
    <w:name w:val="公式"/>
    <w:basedOn w:val="a"/>
    <w:link w:val="afffff"/>
    <w:qFormat/>
    <w:pPr>
      <w:ind w:firstLineChars="0" w:firstLine="0"/>
      <w:jc w:val="right"/>
      <w:textAlignment w:val="center"/>
    </w:pPr>
  </w:style>
  <w:style w:type="character" w:customStyle="1" w:styleId="afffff">
    <w:name w:val="公式 字符"/>
    <w:basedOn w:val="a0"/>
    <w:link w:val="affffe"/>
    <w:qFormat/>
    <w:rPr>
      <w:rFonts w:cs="Times New Roman"/>
      <w:szCs w:val="24"/>
      <w:lang w:eastAsia="zh-CN"/>
    </w:rPr>
  </w:style>
  <w:style w:type="paragraph" w:customStyle="1" w:styleId="23">
    <w:name w:val="修订2"/>
    <w:hidden/>
    <w:uiPriority w:val="99"/>
    <w:semiHidden/>
    <w:qFormat/>
    <w:rPr>
      <w:kern w:val="2"/>
      <w:sz w:val="21"/>
      <w:szCs w:val="24"/>
    </w:rPr>
  </w:style>
  <w:style w:type="paragraph" w:customStyle="1" w:styleId="31">
    <w:name w:val="修订3"/>
    <w:hidden/>
    <w:uiPriority w:val="99"/>
    <w:semiHidden/>
    <w:qFormat/>
    <w:rPr>
      <w:kern w:val="2"/>
      <w:sz w:val="21"/>
      <w:szCs w:val="24"/>
    </w:rPr>
  </w:style>
  <w:style w:type="paragraph" w:customStyle="1" w:styleId="afffff0">
    <w:name w:val="段落文字"/>
    <w:basedOn w:val="a"/>
    <w:link w:val="Char"/>
    <w:qFormat/>
    <w:pPr>
      <w:spacing w:line="400" w:lineRule="exact"/>
    </w:pPr>
    <w:rPr>
      <w:rFonts w:eastAsia="Times New Roman"/>
      <w:sz w:val="24"/>
    </w:rPr>
  </w:style>
  <w:style w:type="character" w:customStyle="1" w:styleId="Char">
    <w:name w:val="段落文字 Char"/>
    <w:basedOn w:val="a0"/>
    <w:link w:val="afffff0"/>
    <w:qFormat/>
    <w:rPr>
      <w:rFonts w:eastAsia="Times New Roman"/>
      <w:kern w:val="2"/>
      <w:sz w:val="24"/>
      <w:szCs w:val="24"/>
    </w:rPr>
  </w:style>
  <w:style w:type="paragraph" w:customStyle="1" w:styleId="afffff1">
    <w:name w:val="条文说明"/>
    <w:basedOn w:val="a"/>
    <w:link w:val="afffff2"/>
    <w:qFormat/>
    <w:pPr>
      <w:ind w:firstLine="420"/>
    </w:pPr>
    <w:rPr>
      <w:color w:val="0000FF"/>
      <w:kern w:val="0"/>
      <w:szCs w:val="20"/>
    </w:rPr>
  </w:style>
  <w:style w:type="paragraph" w:customStyle="1" w:styleId="x1">
    <w:name w:val="x）"/>
    <w:basedOn w:val="x"/>
    <w:qFormat/>
    <w:pPr>
      <w:ind w:firstLineChars="300" w:firstLine="300"/>
    </w:pPr>
  </w:style>
  <w:style w:type="character" w:customStyle="1" w:styleId="afffff2">
    <w:name w:val="条文说明 字符"/>
    <w:basedOn w:val="a0"/>
    <w:link w:val="afffff1"/>
    <w:qFormat/>
    <w:rPr>
      <w:color w:val="0000FF"/>
      <w:sz w:val="21"/>
    </w:rPr>
  </w:style>
  <w:style w:type="paragraph" w:customStyle="1" w:styleId="afffff3">
    <w:name w:val="表文字"/>
    <w:basedOn w:val="affffb"/>
    <w:link w:val="afffff4"/>
    <w:qFormat/>
    <w:pPr>
      <w:spacing w:line="240" w:lineRule="auto"/>
    </w:pPr>
    <w:rPr>
      <w:b w:val="0"/>
    </w:rPr>
  </w:style>
  <w:style w:type="character" w:customStyle="1" w:styleId="afffff4">
    <w:name w:val="表文字 字符"/>
    <w:basedOn w:val="affffc"/>
    <w:link w:val="afffff3"/>
    <w:qFormat/>
    <w:rPr>
      <w:rFonts w:ascii="Times New Roman" w:hAnsi="Times New Roman"/>
      <w:b w:val="0"/>
      <w:bCs/>
      <w:color w:val="000000"/>
      <w:sz w:val="18"/>
      <w:szCs w:val="21"/>
    </w:rPr>
  </w:style>
  <w:style w:type="paragraph" w:customStyle="1" w:styleId="41">
    <w:name w:val="修订4"/>
    <w:hidden/>
    <w:uiPriority w:val="99"/>
    <w:semiHidden/>
    <w:rPr>
      <w:kern w:val="2"/>
      <w:sz w:val="21"/>
      <w:szCs w:val="24"/>
    </w:rPr>
  </w:style>
  <w:style w:type="paragraph" w:customStyle="1" w:styleId="51">
    <w:name w:val="修订5"/>
    <w:hidden/>
    <w:uiPriority w:val="99"/>
    <w:semiHidden/>
    <w:rPr>
      <w:kern w:val="2"/>
      <w:sz w:val="21"/>
      <w:szCs w:val="24"/>
    </w:rPr>
  </w:style>
  <w:style w:type="paragraph" w:customStyle="1" w:styleId="61">
    <w:name w:val="修订6"/>
    <w:hidden/>
    <w:uiPriority w:val="99"/>
    <w:semiHidden/>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oleObject" Target="embeddings/oleObject47.bin"/><Relationship Id="rId21" Type="http://schemas.openxmlformats.org/officeDocument/2006/relationships/oleObject" Target="embeddings/oleObject2.bin"/><Relationship Id="rId42" Type="http://schemas.openxmlformats.org/officeDocument/2006/relationships/image" Target="media/image14.wmf"/><Relationship Id="rId63" Type="http://schemas.openxmlformats.org/officeDocument/2006/relationships/image" Target="media/image27.wmf"/><Relationship Id="rId84" Type="http://schemas.openxmlformats.org/officeDocument/2006/relationships/oleObject" Target="embeddings/oleObject27.bin"/><Relationship Id="rId138" Type="http://schemas.openxmlformats.org/officeDocument/2006/relationships/oleObject" Target="embeddings/oleObject57.bin"/><Relationship Id="rId159" Type="http://schemas.openxmlformats.org/officeDocument/2006/relationships/image" Target="media/image75.wmf"/><Relationship Id="rId170" Type="http://schemas.openxmlformats.org/officeDocument/2006/relationships/image" Target="media/image81.wmf"/><Relationship Id="rId191" Type="http://schemas.openxmlformats.org/officeDocument/2006/relationships/oleObject" Target="embeddings/oleObject84.bin"/><Relationship Id="rId205" Type="http://schemas.openxmlformats.org/officeDocument/2006/relationships/oleObject" Target="embeddings/oleObject91.bin"/><Relationship Id="rId226" Type="http://schemas.openxmlformats.org/officeDocument/2006/relationships/image" Target="media/image107.wmf"/><Relationship Id="rId107" Type="http://schemas.openxmlformats.org/officeDocument/2006/relationships/image" Target="media/image49.wmf"/><Relationship Id="rId11" Type="http://schemas.openxmlformats.org/officeDocument/2006/relationships/header" Target="header2.xml"/><Relationship Id="rId32" Type="http://schemas.openxmlformats.org/officeDocument/2006/relationships/image" Target="media/image9.wmf"/><Relationship Id="rId53" Type="http://schemas.openxmlformats.org/officeDocument/2006/relationships/image" Target="media/image21.png"/><Relationship Id="rId74" Type="http://schemas.openxmlformats.org/officeDocument/2006/relationships/oleObject" Target="embeddings/oleObject22.bin"/><Relationship Id="rId128" Type="http://schemas.openxmlformats.org/officeDocument/2006/relationships/oleObject" Target="embeddings/oleObject52.bin"/><Relationship Id="rId149" Type="http://schemas.openxmlformats.org/officeDocument/2006/relationships/image" Target="media/image70.wmf"/><Relationship Id="rId5" Type="http://schemas.openxmlformats.org/officeDocument/2006/relationships/settings" Target="settings.xml"/><Relationship Id="rId95" Type="http://schemas.openxmlformats.org/officeDocument/2006/relationships/image" Target="media/image45.wmf"/><Relationship Id="rId160" Type="http://schemas.openxmlformats.org/officeDocument/2006/relationships/oleObject" Target="embeddings/oleObject68.bin"/><Relationship Id="rId181" Type="http://schemas.openxmlformats.org/officeDocument/2006/relationships/image" Target="media/image86.wmf"/><Relationship Id="rId216" Type="http://schemas.openxmlformats.org/officeDocument/2006/relationships/oleObject" Target="embeddings/oleObject96.bin"/><Relationship Id="rId22" Type="http://schemas.openxmlformats.org/officeDocument/2006/relationships/image" Target="media/image4.wmf"/><Relationship Id="rId43" Type="http://schemas.openxmlformats.org/officeDocument/2006/relationships/oleObject" Target="embeddings/oleObject13.bin"/><Relationship Id="rId64" Type="http://schemas.openxmlformats.org/officeDocument/2006/relationships/oleObject" Target="embeddings/oleObject20.bin"/><Relationship Id="rId118" Type="http://schemas.openxmlformats.org/officeDocument/2006/relationships/image" Target="media/image54.wmf"/><Relationship Id="rId139" Type="http://schemas.openxmlformats.org/officeDocument/2006/relationships/image" Target="media/image65.wmf"/><Relationship Id="rId85" Type="http://schemas.openxmlformats.org/officeDocument/2006/relationships/oleObject" Target="embeddings/oleObject28.bin"/><Relationship Id="rId150" Type="http://schemas.openxmlformats.org/officeDocument/2006/relationships/oleObject" Target="embeddings/oleObject63.bin"/><Relationship Id="rId171" Type="http://schemas.openxmlformats.org/officeDocument/2006/relationships/oleObject" Target="embeddings/oleObject73.bin"/><Relationship Id="rId192" Type="http://schemas.openxmlformats.org/officeDocument/2006/relationships/image" Target="media/image91.wmf"/><Relationship Id="rId206" Type="http://schemas.openxmlformats.org/officeDocument/2006/relationships/hyperlink" Target="https://www.baidu.com/link?url=57aywD0Q6WTnl7XKbIHuE8b-omKc3ap2x5EsTpVbV6AE2Y0M0_hmC8Z9FHRAsK7rz6H-_PQsGpq6_7laZQSzJq&amp;wd=&amp;eqid=ff938fe7000c7ce300000004636080d3" TargetMode="External"/><Relationship Id="rId227" Type="http://schemas.openxmlformats.org/officeDocument/2006/relationships/oleObject" Target="embeddings/oleObject102.bin"/><Relationship Id="rId12" Type="http://schemas.openxmlformats.org/officeDocument/2006/relationships/footer" Target="footer1.xml"/><Relationship Id="rId33" Type="http://schemas.openxmlformats.org/officeDocument/2006/relationships/oleObject" Target="embeddings/oleObject8.bin"/><Relationship Id="rId108" Type="http://schemas.openxmlformats.org/officeDocument/2006/relationships/oleObject" Target="embeddings/oleObject42.bin"/><Relationship Id="rId129" Type="http://schemas.openxmlformats.org/officeDocument/2006/relationships/image" Target="media/image60.wmf"/><Relationship Id="rId54" Type="http://schemas.openxmlformats.org/officeDocument/2006/relationships/image" Target="media/image22.png"/><Relationship Id="rId75" Type="http://schemas.openxmlformats.org/officeDocument/2006/relationships/image" Target="media/image36.wmf"/><Relationship Id="rId96" Type="http://schemas.openxmlformats.org/officeDocument/2006/relationships/oleObject" Target="embeddings/oleObject34.bin"/><Relationship Id="rId140" Type="http://schemas.openxmlformats.org/officeDocument/2006/relationships/oleObject" Target="embeddings/oleObject58.bin"/><Relationship Id="rId161" Type="http://schemas.openxmlformats.org/officeDocument/2006/relationships/image" Target="media/image76.emf"/><Relationship Id="rId182" Type="http://schemas.openxmlformats.org/officeDocument/2006/relationships/oleObject" Target="embeddings/oleObject79.bin"/><Relationship Id="rId217" Type="http://schemas.openxmlformats.org/officeDocument/2006/relationships/image" Target="media/image103.wmf"/><Relationship Id="rId6" Type="http://schemas.openxmlformats.org/officeDocument/2006/relationships/webSettings" Target="webSettings.xml"/><Relationship Id="rId23" Type="http://schemas.openxmlformats.org/officeDocument/2006/relationships/oleObject" Target="embeddings/oleObject3.bin"/><Relationship Id="rId119" Type="http://schemas.openxmlformats.org/officeDocument/2006/relationships/oleObject" Target="embeddings/oleObject48.bin"/><Relationship Id="rId44" Type="http://schemas.openxmlformats.org/officeDocument/2006/relationships/image" Target="media/image15.wmf"/><Relationship Id="rId65" Type="http://schemas.openxmlformats.org/officeDocument/2006/relationships/image" Target="media/image28.emf"/><Relationship Id="rId86" Type="http://schemas.openxmlformats.org/officeDocument/2006/relationships/oleObject" Target="embeddings/oleObject29.bin"/><Relationship Id="rId130" Type="http://schemas.openxmlformats.org/officeDocument/2006/relationships/oleObject" Target="embeddings/oleObject53.bin"/><Relationship Id="rId151" Type="http://schemas.openxmlformats.org/officeDocument/2006/relationships/image" Target="media/image71.wmf"/><Relationship Id="rId172" Type="http://schemas.openxmlformats.org/officeDocument/2006/relationships/oleObject" Target="embeddings/oleObject74.bin"/><Relationship Id="rId193" Type="http://schemas.openxmlformats.org/officeDocument/2006/relationships/oleObject" Target="embeddings/oleObject85.bin"/><Relationship Id="rId207" Type="http://schemas.openxmlformats.org/officeDocument/2006/relationships/image" Target="media/image98.wmf"/><Relationship Id="rId228" Type="http://schemas.openxmlformats.org/officeDocument/2006/relationships/image" Target="media/image108.wmf"/><Relationship Id="rId13" Type="http://schemas.openxmlformats.org/officeDocument/2006/relationships/footer" Target="footer2.xml"/><Relationship Id="rId109" Type="http://schemas.openxmlformats.org/officeDocument/2006/relationships/image" Target="media/image50.wmf"/><Relationship Id="rId34" Type="http://schemas.openxmlformats.org/officeDocument/2006/relationships/image" Target="media/image10.wmf"/><Relationship Id="rId55" Type="http://schemas.openxmlformats.org/officeDocument/2006/relationships/image" Target="media/image23.wmf"/><Relationship Id="rId76" Type="http://schemas.openxmlformats.org/officeDocument/2006/relationships/oleObject" Target="embeddings/oleObject23.bin"/><Relationship Id="rId97" Type="http://schemas.openxmlformats.org/officeDocument/2006/relationships/image" Target="media/image46.wmf"/><Relationship Id="rId120" Type="http://schemas.openxmlformats.org/officeDocument/2006/relationships/image" Target="media/image55.wmf"/><Relationship Id="rId141" Type="http://schemas.openxmlformats.org/officeDocument/2006/relationships/image" Target="media/image66.wmf"/><Relationship Id="rId7" Type="http://schemas.openxmlformats.org/officeDocument/2006/relationships/footnotes" Target="footnotes.xml"/><Relationship Id="rId162" Type="http://schemas.openxmlformats.org/officeDocument/2006/relationships/image" Target="media/image77.wmf"/><Relationship Id="rId183" Type="http://schemas.openxmlformats.org/officeDocument/2006/relationships/image" Target="media/image87.wmf"/><Relationship Id="rId218" Type="http://schemas.openxmlformats.org/officeDocument/2006/relationships/oleObject" Target="embeddings/oleObject97.bin"/><Relationship Id="rId24" Type="http://schemas.openxmlformats.org/officeDocument/2006/relationships/image" Target="media/image5.wmf"/><Relationship Id="rId45" Type="http://schemas.openxmlformats.org/officeDocument/2006/relationships/oleObject" Target="embeddings/oleObject14.bin"/><Relationship Id="rId66" Type="http://schemas.openxmlformats.org/officeDocument/2006/relationships/image" Target="media/image29.png"/><Relationship Id="rId87" Type="http://schemas.openxmlformats.org/officeDocument/2006/relationships/image" Target="media/image41.wmf"/><Relationship Id="rId110" Type="http://schemas.openxmlformats.org/officeDocument/2006/relationships/oleObject" Target="embeddings/oleObject43.bin"/><Relationship Id="rId131" Type="http://schemas.openxmlformats.org/officeDocument/2006/relationships/image" Target="media/image61.wmf"/><Relationship Id="rId152" Type="http://schemas.openxmlformats.org/officeDocument/2006/relationships/oleObject" Target="embeddings/oleObject64.bin"/><Relationship Id="rId173" Type="http://schemas.openxmlformats.org/officeDocument/2006/relationships/oleObject" Target="embeddings/oleObject75.bin"/><Relationship Id="rId194" Type="http://schemas.openxmlformats.org/officeDocument/2006/relationships/image" Target="media/image92.wmf"/><Relationship Id="rId208" Type="http://schemas.openxmlformats.org/officeDocument/2006/relationships/oleObject" Target="embeddings/oleObject92.bin"/><Relationship Id="rId229" Type="http://schemas.openxmlformats.org/officeDocument/2006/relationships/oleObject" Target="embeddings/oleObject103.bin"/><Relationship Id="rId14" Type="http://schemas.openxmlformats.org/officeDocument/2006/relationships/header" Target="header3.xml"/><Relationship Id="rId35" Type="http://schemas.openxmlformats.org/officeDocument/2006/relationships/oleObject" Target="embeddings/oleObject9.bin"/><Relationship Id="rId56" Type="http://schemas.openxmlformats.org/officeDocument/2006/relationships/oleObject" Target="embeddings/oleObject16.bin"/><Relationship Id="rId77" Type="http://schemas.openxmlformats.org/officeDocument/2006/relationships/image" Target="media/image37.wmf"/><Relationship Id="rId100" Type="http://schemas.openxmlformats.org/officeDocument/2006/relationships/image" Target="media/image47.wmf"/><Relationship Id="rId8" Type="http://schemas.openxmlformats.org/officeDocument/2006/relationships/endnotes" Target="endnotes.xml"/><Relationship Id="rId98" Type="http://schemas.openxmlformats.org/officeDocument/2006/relationships/oleObject" Target="embeddings/oleObject35.bin"/><Relationship Id="rId121" Type="http://schemas.openxmlformats.org/officeDocument/2006/relationships/oleObject" Target="embeddings/oleObject49.bin"/><Relationship Id="rId142" Type="http://schemas.openxmlformats.org/officeDocument/2006/relationships/oleObject" Target="embeddings/oleObject59.bin"/><Relationship Id="rId163" Type="http://schemas.openxmlformats.org/officeDocument/2006/relationships/oleObject" Target="embeddings/oleObject69.bin"/><Relationship Id="rId184" Type="http://schemas.openxmlformats.org/officeDocument/2006/relationships/oleObject" Target="embeddings/oleObject80.bin"/><Relationship Id="rId219" Type="http://schemas.openxmlformats.org/officeDocument/2006/relationships/image" Target="media/image104.wmf"/><Relationship Id="rId230" Type="http://schemas.openxmlformats.org/officeDocument/2006/relationships/footer" Target="footer7.xml"/><Relationship Id="rId25" Type="http://schemas.openxmlformats.org/officeDocument/2006/relationships/oleObject" Target="embeddings/oleObject4.bin"/><Relationship Id="rId46" Type="http://schemas.openxmlformats.org/officeDocument/2006/relationships/image" Target="media/image16.wmf"/><Relationship Id="rId67" Type="http://schemas.openxmlformats.org/officeDocument/2006/relationships/image" Target="media/image30.png"/><Relationship Id="rId20" Type="http://schemas.openxmlformats.org/officeDocument/2006/relationships/image" Target="media/image3.wmf"/><Relationship Id="rId41" Type="http://schemas.openxmlformats.org/officeDocument/2006/relationships/oleObject" Target="embeddings/oleObject12.bin"/><Relationship Id="rId62" Type="http://schemas.openxmlformats.org/officeDocument/2006/relationships/oleObject" Target="embeddings/oleObject19.bin"/><Relationship Id="rId83" Type="http://schemas.openxmlformats.org/officeDocument/2006/relationships/image" Target="media/image40.wmf"/><Relationship Id="rId88" Type="http://schemas.openxmlformats.org/officeDocument/2006/relationships/oleObject" Target="embeddings/oleObject30.bin"/><Relationship Id="rId111" Type="http://schemas.openxmlformats.org/officeDocument/2006/relationships/oleObject" Target="embeddings/oleObject44.bin"/><Relationship Id="rId132" Type="http://schemas.openxmlformats.org/officeDocument/2006/relationships/oleObject" Target="embeddings/oleObject54.bin"/><Relationship Id="rId153" Type="http://schemas.openxmlformats.org/officeDocument/2006/relationships/image" Target="media/image72.wmf"/><Relationship Id="rId174" Type="http://schemas.openxmlformats.org/officeDocument/2006/relationships/oleObject" Target="embeddings/oleObject76.bin"/><Relationship Id="rId179" Type="http://schemas.openxmlformats.org/officeDocument/2006/relationships/image" Target="media/image85.wmf"/><Relationship Id="rId195" Type="http://schemas.openxmlformats.org/officeDocument/2006/relationships/oleObject" Target="embeddings/oleObject86.bin"/><Relationship Id="rId209" Type="http://schemas.openxmlformats.org/officeDocument/2006/relationships/image" Target="media/image99.wmf"/><Relationship Id="rId190" Type="http://schemas.openxmlformats.org/officeDocument/2006/relationships/image" Target="media/image90.wmf"/><Relationship Id="rId204" Type="http://schemas.openxmlformats.org/officeDocument/2006/relationships/image" Target="media/image97.wmf"/><Relationship Id="rId220" Type="http://schemas.openxmlformats.org/officeDocument/2006/relationships/oleObject" Target="embeddings/oleObject98.bin"/><Relationship Id="rId225" Type="http://schemas.openxmlformats.org/officeDocument/2006/relationships/oleObject" Target="embeddings/oleObject101.bin"/><Relationship Id="rId15" Type="http://schemas.openxmlformats.org/officeDocument/2006/relationships/footer" Target="footer3.xml"/><Relationship Id="rId36" Type="http://schemas.openxmlformats.org/officeDocument/2006/relationships/image" Target="media/image11.wmf"/><Relationship Id="rId57" Type="http://schemas.openxmlformats.org/officeDocument/2006/relationships/image" Target="media/image24.wmf"/><Relationship Id="rId106" Type="http://schemas.openxmlformats.org/officeDocument/2006/relationships/oleObject" Target="embeddings/oleObject41.bin"/><Relationship Id="rId127" Type="http://schemas.openxmlformats.org/officeDocument/2006/relationships/image" Target="media/image59.wmf"/><Relationship Id="rId10" Type="http://schemas.openxmlformats.org/officeDocument/2006/relationships/header" Target="header1.xml"/><Relationship Id="rId31" Type="http://schemas.openxmlformats.org/officeDocument/2006/relationships/oleObject" Target="embeddings/oleObject7.bin"/><Relationship Id="rId52" Type="http://schemas.openxmlformats.org/officeDocument/2006/relationships/image" Target="media/image20.emf"/><Relationship Id="rId73" Type="http://schemas.openxmlformats.org/officeDocument/2006/relationships/image" Target="media/image35.wmf"/><Relationship Id="rId78" Type="http://schemas.openxmlformats.org/officeDocument/2006/relationships/oleObject" Target="embeddings/oleObject24.bin"/><Relationship Id="rId94" Type="http://schemas.openxmlformats.org/officeDocument/2006/relationships/oleObject" Target="embeddings/oleObject33.bin"/><Relationship Id="rId99" Type="http://schemas.openxmlformats.org/officeDocument/2006/relationships/oleObject" Target="embeddings/oleObject36.bin"/><Relationship Id="rId101" Type="http://schemas.openxmlformats.org/officeDocument/2006/relationships/oleObject" Target="embeddings/oleObject37.bin"/><Relationship Id="rId122" Type="http://schemas.openxmlformats.org/officeDocument/2006/relationships/image" Target="media/image56.wmf"/><Relationship Id="rId143" Type="http://schemas.openxmlformats.org/officeDocument/2006/relationships/image" Target="media/image67.wmf"/><Relationship Id="rId148" Type="http://schemas.openxmlformats.org/officeDocument/2006/relationships/oleObject" Target="embeddings/oleObject62.bin"/><Relationship Id="rId164" Type="http://schemas.openxmlformats.org/officeDocument/2006/relationships/image" Target="media/image78.wmf"/><Relationship Id="rId169" Type="http://schemas.openxmlformats.org/officeDocument/2006/relationships/oleObject" Target="embeddings/oleObject72.bin"/><Relationship Id="rId185" Type="http://schemas.openxmlformats.org/officeDocument/2006/relationships/oleObject" Target="embeddings/oleObject81.bin"/><Relationship Id="rId4" Type="http://schemas.openxmlformats.org/officeDocument/2006/relationships/styles" Target="styles.xml"/><Relationship Id="rId9" Type="http://schemas.openxmlformats.org/officeDocument/2006/relationships/image" Target="media/image1.png"/><Relationship Id="rId180" Type="http://schemas.openxmlformats.org/officeDocument/2006/relationships/oleObject" Target="embeddings/oleObject78.bin"/><Relationship Id="rId210" Type="http://schemas.openxmlformats.org/officeDocument/2006/relationships/oleObject" Target="embeddings/oleObject93.bin"/><Relationship Id="rId215" Type="http://schemas.openxmlformats.org/officeDocument/2006/relationships/image" Target="media/image102.wmf"/><Relationship Id="rId26" Type="http://schemas.openxmlformats.org/officeDocument/2006/relationships/image" Target="media/image6.wmf"/><Relationship Id="rId231" Type="http://schemas.openxmlformats.org/officeDocument/2006/relationships/footer" Target="footer8.xml"/><Relationship Id="rId47" Type="http://schemas.openxmlformats.org/officeDocument/2006/relationships/oleObject" Target="embeddings/oleObject15.bin"/><Relationship Id="rId68" Type="http://schemas.openxmlformats.org/officeDocument/2006/relationships/image" Target="media/image31.png"/><Relationship Id="rId89" Type="http://schemas.openxmlformats.org/officeDocument/2006/relationships/image" Target="media/image42.wmf"/><Relationship Id="rId112" Type="http://schemas.openxmlformats.org/officeDocument/2006/relationships/image" Target="media/image51.wmf"/><Relationship Id="rId133" Type="http://schemas.openxmlformats.org/officeDocument/2006/relationships/image" Target="media/image62.wmf"/><Relationship Id="rId154" Type="http://schemas.openxmlformats.org/officeDocument/2006/relationships/oleObject" Target="embeddings/oleObject65.bin"/><Relationship Id="rId175" Type="http://schemas.openxmlformats.org/officeDocument/2006/relationships/image" Target="media/image82.emf"/><Relationship Id="rId196" Type="http://schemas.openxmlformats.org/officeDocument/2006/relationships/image" Target="media/image93.wmf"/><Relationship Id="rId200" Type="http://schemas.openxmlformats.org/officeDocument/2006/relationships/image" Target="media/image95.wmf"/><Relationship Id="rId16" Type="http://schemas.openxmlformats.org/officeDocument/2006/relationships/footer" Target="footer4.xml"/><Relationship Id="rId221" Type="http://schemas.openxmlformats.org/officeDocument/2006/relationships/oleObject" Target="embeddings/oleObject99.bin"/><Relationship Id="rId37" Type="http://schemas.openxmlformats.org/officeDocument/2006/relationships/oleObject" Target="embeddings/oleObject10.bin"/><Relationship Id="rId58" Type="http://schemas.openxmlformats.org/officeDocument/2006/relationships/oleObject" Target="embeddings/oleObject17.bin"/><Relationship Id="rId79" Type="http://schemas.openxmlformats.org/officeDocument/2006/relationships/image" Target="media/image38.wmf"/><Relationship Id="rId102" Type="http://schemas.openxmlformats.org/officeDocument/2006/relationships/image" Target="media/image48.wmf"/><Relationship Id="rId123" Type="http://schemas.openxmlformats.org/officeDocument/2006/relationships/oleObject" Target="embeddings/oleObject50.bin"/><Relationship Id="rId144" Type="http://schemas.openxmlformats.org/officeDocument/2006/relationships/oleObject" Target="embeddings/oleObject60.bin"/><Relationship Id="rId90" Type="http://schemas.openxmlformats.org/officeDocument/2006/relationships/oleObject" Target="embeddings/oleObject31.bin"/><Relationship Id="rId165" Type="http://schemas.openxmlformats.org/officeDocument/2006/relationships/oleObject" Target="embeddings/oleObject70.bin"/><Relationship Id="rId186" Type="http://schemas.openxmlformats.org/officeDocument/2006/relationships/image" Target="media/image88.wmf"/><Relationship Id="rId211" Type="http://schemas.openxmlformats.org/officeDocument/2006/relationships/image" Target="media/image100.wmf"/><Relationship Id="rId232" Type="http://schemas.openxmlformats.org/officeDocument/2006/relationships/fontTable" Target="fontTable.xml"/><Relationship Id="rId27" Type="http://schemas.openxmlformats.org/officeDocument/2006/relationships/oleObject" Target="embeddings/oleObject5.bin"/><Relationship Id="rId48" Type="http://schemas.openxmlformats.org/officeDocument/2006/relationships/image" Target="media/image17.emf"/><Relationship Id="rId69" Type="http://schemas.openxmlformats.org/officeDocument/2006/relationships/image" Target="media/image32.png"/><Relationship Id="rId113" Type="http://schemas.openxmlformats.org/officeDocument/2006/relationships/oleObject" Target="embeddings/oleObject45.bin"/><Relationship Id="rId134" Type="http://schemas.openxmlformats.org/officeDocument/2006/relationships/oleObject" Target="embeddings/oleObject55.bin"/><Relationship Id="rId80" Type="http://schemas.openxmlformats.org/officeDocument/2006/relationships/oleObject" Target="embeddings/oleObject25.bin"/><Relationship Id="rId155" Type="http://schemas.openxmlformats.org/officeDocument/2006/relationships/image" Target="media/image73.wmf"/><Relationship Id="rId176" Type="http://schemas.openxmlformats.org/officeDocument/2006/relationships/image" Target="media/image83.emf"/><Relationship Id="rId197" Type="http://schemas.openxmlformats.org/officeDocument/2006/relationships/oleObject" Target="embeddings/oleObject87.bin"/><Relationship Id="rId201" Type="http://schemas.openxmlformats.org/officeDocument/2006/relationships/oleObject" Target="embeddings/oleObject89.bin"/><Relationship Id="rId222" Type="http://schemas.openxmlformats.org/officeDocument/2006/relationships/image" Target="media/image105.wmf"/><Relationship Id="rId17" Type="http://schemas.openxmlformats.org/officeDocument/2006/relationships/footer" Target="footer5.xml"/><Relationship Id="rId38" Type="http://schemas.openxmlformats.org/officeDocument/2006/relationships/image" Target="media/image12.wmf"/><Relationship Id="rId59" Type="http://schemas.openxmlformats.org/officeDocument/2006/relationships/image" Target="media/image25.wmf"/><Relationship Id="rId103" Type="http://schemas.openxmlformats.org/officeDocument/2006/relationships/oleObject" Target="embeddings/oleObject38.bin"/><Relationship Id="rId124" Type="http://schemas.openxmlformats.org/officeDocument/2006/relationships/image" Target="media/image57.png"/><Relationship Id="rId70" Type="http://schemas.openxmlformats.org/officeDocument/2006/relationships/image" Target="media/image33.png"/><Relationship Id="rId91" Type="http://schemas.openxmlformats.org/officeDocument/2006/relationships/image" Target="media/image43.wmf"/><Relationship Id="rId145" Type="http://schemas.openxmlformats.org/officeDocument/2006/relationships/image" Target="media/image68.wmf"/><Relationship Id="rId166" Type="http://schemas.openxmlformats.org/officeDocument/2006/relationships/image" Target="media/image79.wmf"/><Relationship Id="rId187" Type="http://schemas.openxmlformats.org/officeDocument/2006/relationships/oleObject" Target="embeddings/oleObject82.bin"/><Relationship Id="rId1" Type="http://schemas.openxmlformats.org/officeDocument/2006/relationships/customXml" Target="../customXml/item1.xml"/><Relationship Id="rId212" Type="http://schemas.openxmlformats.org/officeDocument/2006/relationships/oleObject" Target="embeddings/oleObject94.bin"/><Relationship Id="rId233" Type="http://schemas.openxmlformats.org/officeDocument/2006/relationships/theme" Target="theme/theme1.xml"/><Relationship Id="rId28" Type="http://schemas.openxmlformats.org/officeDocument/2006/relationships/image" Target="media/image7.wmf"/><Relationship Id="rId49" Type="http://schemas.openxmlformats.org/officeDocument/2006/relationships/image" Target="media/image18.emf"/><Relationship Id="rId114" Type="http://schemas.openxmlformats.org/officeDocument/2006/relationships/image" Target="media/image52.wmf"/><Relationship Id="rId60" Type="http://schemas.openxmlformats.org/officeDocument/2006/relationships/oleObject" Target="embeddings/oleObject18.bin"/><Relationship Id="rId81" Type="http://schemas.openxmlformats.org/officeDocument/2006/relationships/image" Target="media/image39.wmf"/><Relationship Id="rId135" Type="http://schemas.openxmlformats.org/officeDocument/2006/relationships/image" Target="media/image63.wmf"/><Relationship Id="rId156" Type="http://schemas.openxmlformats.org/officeDocument/2006/relationships/oleObject" Target="embeddings/oleObject66.bin"/><Relationship Id="rId177" Type="http://schemas.openxmlformats.org/officeDocument/2006/relationships/image" Target="media/image84.wmf"/><Relationship Id="rId198" Type="http://schemas.openxmlformats.org/officeDocument/2006/relationships/image" Target="media/image94.wmf"/><Relationship Id="rId202" Type="http://schemas.openxmlformats.org/officeDocument/2006/relationships/image" Target="media/image96.wmf"/><Relationship Id="rId223" Type="http://schemas.openxmlformats.org/officeDocument/2006/relationships/oleObject" Target="embeddings/oleObject100.bin"/><Relationship Id="rId18" Type="http://schemas.openxmlformats.org/officeDocument/2006/relationships/image" Target="media/image2.wmf"/><Relationship Id="rId39" Type="http://schemas.openxmlformats.org/officeDocument/2006/relationships/oleObject" Target="embeddings/oleObject11.bin"/><Relationship Id="rId50" Type="http://schemas.openxmlformats.org/officeDocument/2006/relationships/image" Target="media/image19.png"/><Relationship Id="rId104" Type="http://schemas.openxmlformats.org/officeDocument/2006/relationships/oleObject" Target="embeddings/oleObject39.bin"/><Relationship Id="rId125" Type="http://schemas.openxmlformats.org/officeDocument/2006/relationships/image" Target="media/image58.wmf"/><Relationship Id="rId146" Type="http://schemas.openxmlformats.org/officeDocument/2006/relationships/oleObject" Target="embeddings/oleObject61.bin"/><Relationship Id="rId167" Type="http://schemas.openxmlformats.org/officeDocument/2006/relationships/oleObject" Target="embeddings/oleObject71.bin"/><Relationship Id="rId188" Type="http://schemas.openxmlformats.org/officeDocument/2006/relationships/image" Target="media/image89.wmf"/><Relationship Id="rId71" Type="http://schemas.openxmlformats.org/officeDocument/2006/relationships/image" Target="media/image34.wmf"/><Relationship Id="rId92" Type="http://schemas.openxmlformats.org/officeDocument/2006/relationships/oleObject" Target="embeddings/oleObject32.bin"/><Relationship Id="rId213" Type="http://schemas.openxmlformats.org/officeDocument/2006/relationships/image" Target="media/image101.wmf"/><Relationship Id="rId2" Type="http://schemas.openxmlformats.org/officeDocument/2006/relationships/customXml" Target="../customXml/item2.xml"/><Relationship Id="rId29" Type="http://schemas.openxmlformats.org/officeDocument/2006/relationships/oleObject" Target="embeddings/oleObject6.bin"/><Relationship Id="rId40" Type="http://schemas.openxmlformats.org/officeDocument/2006/relationships/image" Target="media/image13.wmf"/><Relationship Id="rId115" Type="http://schemas.openxmlformats.org/officeDocument/2006/relationships/oleObject" Target="embeddings/oleObject46.bin"/><Relationship Id="rId136" Type="http://schemas.openxmlformats.org/officeDocument/2006/relationships/oleObject" Target="embeddings/oleObject56.bin"/><Relationship Id="rId157" Type="http://schemas.openxmlformats.org/officeDocument/2006/relationships/image" Target="media/image74.wmf"/><Relationship Id="rId178" Type="http://schemas.openxmlformats.org/officeDocument/2006/relationships/oleObject" Target="embeddings/oleObject77.bin"/><Relationship Id="rId61" Type="http://schemas.openxmlformats.org/officeDocument/2006/relationships/image" Target="media/image26.wmf"/><Relationship Id="rId82" Type="http://schemas.openxmlformats.org/officeDocument/2006/relationships/oleObject" Target="embeddings/oleObject26.bin"/><Relationship Id="rId199" Type="http://schemas.openxmlformats.org/officeDocument/2006/relationships/oleObject" Target="embeddings/oleObject88.bin"/><Relationship Id="rId203" Type="http://schemas.openxmlformats.org/officeDocument/2006/relationships/oleObject" Target="embeddings/oleObject90.bin"/><Relationship Id="rId19" Type="http://schemas.openxmlformats.org/officeDocument/2006/relationships/oleObject" Target="embeddings/oleObject1.bin"/><Relationship Id="rId224" Type="http://schemas.openxmlformats.org/officeDocument/2006/relationships/image" Target="media/image106.wmf"/><Relationship Id="rId30" Type="http://schemas.openxmlformats.org/officeDocument/2006/relationships/image" Target="media/image8.wmf"/><Relationship Id="rId105" Type="http://schemas.openxmlformats.org/officeDocument/2006/relationships/oleObject" Target="embeddings/oleObject40.bin"/><Relationship Id="rId126" Type="http://schemas.openxmlformats.org/officeDocument/2006/relationships/oleObject" Target="embeddings/oleObject51.bin"/><Relationship Id="rId147" Type="http://schemas.openxmlformats.org/officeDocument/2006/relationships/image" Target="media/image69.wmf"/><Relationship Id="rId168" Type="http://schemas.openxmlformats.org/officeDocument/2006/relationships/image" Target="media/image80.wmf"/><Relationship Id="rId51" Type="http://schemas.openxmlformats.org/officeDocument/2006/relationships/footer" Target="footer6.xml"/><Relationship Id="rId72" Type="http://schemas.openxmlformats.org/officeDocument/2006/relationships/oleObject" Target="embeddings/oleObject21.bin"/><Relationship Id="rId93" Type="http://schemas.openxmlformats.org/officeDocument/2006/relationships/image" Target="media/image44.wmf"/><Relationship Id="rId189" Type="http://schemas.openxmlformats.org/officeDocument/2006/relationships/oleObject" Target="embeddings/oleObject83.bin"/><Relationship Id="rId3" Type="http://schemas.openxmlformats.org/officeDocument/2006/relationships/numbering" Target="numbering.xml"/><Relationship Id="rId214" Type="http://schemas.openxmlformats.org/officeDocument/2006/relationships/oleObject" Target="embeddings/oleObject95.bin"/><Relationship Id="rId116" Type="http://schemas.openxmlformats.org/officeDocument/2006/relationships/image" Target="media/image53.wmf"/><Relationship Id="rId137" Type="http://schemas.openxmlformats.org/officeDocument/2006/relationships/image" Target="media/image64.wmf"/><Relationship Id="rId158" Type="http://schemas.openxmlformats.org/officeDocument/2006/relationships/oleObject" Target="embeddings/oleObject67.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B79019F-F342-4B13-AEA2-424929A1D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63</Pages>
  <Words>8881</Words>
  <Characters>50627</Characters>
  <Application>Microsoft Office Word</Application>
  <DocSecurity>0</DocSecurity>
  <Lines>421</Lines>
  <Paragraphs>118</Paragraphs>
  <ScaleCrop>false</ScaleCrop>
  <Company>jinhu.me</Company>
  <LinksUpToDate>false</LinksUpToDate>
  <CharactersWithSpaces>59390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jhfans</dc:creator>
  <cp:lastModifiedBy>周</cp:lastModifiedBy>
  <cp:revision>71</cp:revision>
  <cp:lastPrinted>2023-01-13T04:33:00Z</cp:lastPrinted>
  <dcterms:created xsi:type="dcterms:W3CDTF">2023-01-11T08:35:00Z</dcterms:created>
  <dcterms:modified xsi:type="dcterms:W3CDTF">2023-01-13T08:32:00Z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2052-11.1.0.13703</vt:lpwstr>
  </property>
  <property fmtid="{D5CDD505-2E9C-101B-9397-08002B2CF9AE}" pid="4" name="ICV">
    <vt:lpwstr>6CA9FEF6FA43465CA5B0A81A93F14275</vt:lpwstr>
  </property>
</Properties>
</file>